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9D20FF1" w:rsidR="00040C3A" w:rsidRPr="006E2301" w:rsidRDefault="00D306D1" w:rsidP="00627C9F">
      <w:pPr>
        <w:jc w:val="both"/>
        <w:rPr>
          <w:rFonts w:asciiTheme="majorHAnsi" w:hAnsiTheme="majorHAnsi" w:cs="Univers"/>
          <w:b/>
          <w:bCs/>
          <w:sz w:val="22"/>
          <w:szCs w:val="22"/>
        </w:rPr>
      </w:pPr>
      <w:r w:rsidRPr="006E230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773C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E230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3A1C7B">
        <w:rPr>
          <w:rFonts w:asciiTheme="majorHAnsi" w:hAnsiTheme="majorHAnsi" w:cs="Univers"/>
          <w:b/>
          <w:bCs/>
          <w:sz w:val="22"/>
          <w:szCs w:val="22"/>
        </w:rPr>
        <w:tab/>
      </w:r>
      <w:r w:rsidR="00071174" w:rsidRPr="006E2301">
        <w:rPr>
          <w:rFonts w:asciiTheme="majorHAnsi" w:hAnsiTheme="majorHAnsi" w:cs="Univers"/>
          <w:b/>
          <w:bCs/>
          <w:sz w:val="22"/>
          <w:szCs w:val="22"/>
        </w:rPr>
        <w:t xml:space="preserve"> </w:t>
      </w:r>
    </w:p>
    <w:p w14:paraId="751BC92D" w14:textId="77777777" w:rsidR="00040C3A" w:rsidRPr="006E2301" w:rsidRDefault="00040C3A" w:rsidP="00040C3A">
      <w:pPr>
        <w:tabs>
          <w:tab w:val="center" w:pos="5400"/>
        </w:tabs>
        <w:suppressAutoHyphens/>
        <w:jc w:val="both"/>
        <w:rPr>
          <w:rFonts w:asciiTheme="majorHAnsi" w:hAnsiTheme="majorHAnsi"/>
          <w:sz w:val="22"/>
          <w:szCs w:val="22"/>
        </w:rPr>
      </w:pPr>
    </w:p>
    <w:p w14:paraId="4601B0E5" w14:textId="77777777" w:rsidR="00040C3A" w:rsidRPr="006E2301" w:rsidRDefault="00040C3A" w:rsidP="00040C3A">
      <w:pPr>
        <w:tabs>
          <w:tab w:val="center" w:pos="5400"/>
        </w:tabs>
        <w:suppressAutoHyphens/>
        <w:jc w:val="both"/>
        <w:rPr>
          <w:rFonts w:asciiTheme="majorHAnsi" w:hAnsiTheme="majorHAnsi"/>
          <w:sz w:val="22"/>
          <w:szCs w:val="22"/>
        </w:rPr>
      </w:pPr>
    </w:p>
    <w:p w14:paraId="49EC0A3F" w14:textId="77777777" w:rsidR="005128E4" w:rsidRPr="006E2301" w:rsidRDefault="005128E4" w:rsidP="00040C3A">
      <w:pPr>
        <w:tabs>
          <w:tab w:val="center" w:pos="5400"/>
        </w:tabs>
        <w:suppressAutoHyphens/>
        <w:rPr>
          <w:rFonts w:asciiTheme="majorHAnsi" w:hAnsiTheme="majorHAnsi"/>
          <w:sz w:val="22"/>
          <w:szCs w:val="22"/>
        </w:rPr>
      </w:pPr>
    </w:p>
    <w:p w14:paraId="7F51F08B" w14:textId="77777777" w:rsidR="005128E4" w:rsidRPr="006E2301" w:rsidRDefault="005128E4" w:rsidP="00040C3A">
      <w:pPr>
        <w:tabs>
          <w:tab w:val="center" w:pos="5400"/>
        </w:tabs>
        <w:suppressAutoHyphens/>
        <w:rPr>
          <w:rFonts w:asciiTheme="majorHAnsi" w:hAnsiTheme="majorHAnsi"/>
          <w:sz w:val="22"/>
          <w:szCs w:val="22"/>
        </w:rPr>
      </w:pPr>
    </w:p>
    <w:p w14:paraId="058606A7" w14:textId="77777777" w:rsidR="005128E4" w:rsidRPr="006E2301" w:rsidRDefault="005128E4" w:rsidP="00040C3A">
      <w:pPr>
        <w:tabs>
          <w:tab w:val="center" w:pos="5400"/>
        </w:tabs>
        <w:suppressAutoHyphens/>
        <w:rPr>
          <w:rFonts w:asciiTheme="majorHAnsi" w:hAnsiTheme="majorHAnsi"/>
          <w:sz w:val="22"/>
          <w:szCs w:val="22"/>
        </w:rPr>
      </w:pPr>
    </w:p>
    <w:p w14:paraId="01B9D56A" w14:textId="77777777" w:rsidR="00040C3A" w:rsidRPr="006E2301" w:rsidRDefault="00040C3A" w:rsidP="005128E4">
      <w:pPr>
        <w:tabs>
          <w:tab w:val="center" w:pos="5400"/>
        </w:tabs>
        <w:suppressAutoHyphens/>
        <w:jc w:val="center"/>
        <w:rPr>
          <w:rFonts w:asciiTheme="majorHAnsi" w:hAnsiTheme="majorHAnsi"/>
          <w:sz w:val="22"/>
          <w:szCs w:val="22"/>
        </w:rPr>
      </w:pPr>
    </w:p>
    <w:p w14:paraId="513D0572" w14:textId="77777777" w:rsidR="00040C3A" w:rsidRPr="006E2301" w:rsidRDefault="00040C3A" w:rsidP="005128E4">
      <w:pPr>
        <w:tabs>
          <w:tab w:val="center" w:pos="5400"/>
        </w:tabs>
        <w:suppressAutoHyphens/>
        <w:jc w:val="center"/>
        <w:rPr>
          <w:rFonts w:asciiTheme="majorHAnsi" w:hAnsiTheme="majorHAnsi"/>
          <w:sz w:val="22"/>
          <w:szCs w:val="22"/>
        </w:rPr>
      </w:pPr>
    </w:p>
    <w:p w14:paraId="2D06BA43" w14:textId="77777777" w:rsidR="005B52B0" w:rsidRPr="006E2301" w:rsidRDefault="005B52B0" w:rsidP="005128E4">
      <w:pPr>
        <w:tabs>
          <w:tab w:val="center" w:pos="5400"/>
        </w:tabs>
        <w:suppressAutoHyphens/>
        <w:jc w:val="center"/>
        <w:rPr>
          <w:rFonts w:asciiTheme="majorHAnsi" w:hAnsiTheme="majorHAnsi"/>
          <w:sz w:val="22"/>
          <w:szCs w:val="22"/>
        </w:rPr>
      </w:pPr>
    </w:p>
    <w:p w14:paraId="762470A2" w14:textId="77777777" w:rsidR="005B52B0" w:rsidRPr="006E2301" w:rsidRDefault="005B52B0" w:rsidP="005128E4">
      <w:pPr>
        <w:tabs>
          <w:tab w:val="center" w:pos="5400"/>
        </w:tabs>
        <w:suppressAutoHyphens/>
        <w:jc w:val="center"/>
        <w:rPr>
          <w:rFonts w:asciiTheme="majorHAnsi" w:hAnsiTheme="majorHAnsi"/>
          <w:sz w:val="22"/>
          <w:szCs w:val="22"/>
        </w:rPr>
      </w:pPr>
    </w:p>
    <w:p w14:paraId="6F01DDF3" w14:textId="77777777" w:rsidR="005B52B0" w:rsidRPr="006E2301" w:rsidRDefault="005B52B0" w:rsidP="005128E4">
      <w:pPr>
        <w:tabs>
          <w:tab w:val="center" w:pos="5400"/>
        </w:tabs>
        <w:suppressAutoHyphens/>
        <w:jc w:val="center"/>
        <w:rPr>
          <w:rFonts w:asciiTheme="majorHAnsi" w:hAnsiTheme="majorHAnsi"/>
          <w:sz w:val="22"/>
          <w:szCs w:val="22"/>
        </w:rPr>
      </w:pPr>
    </w:p>
    <w:p w14:paraId="35ACB115" w14:textId="77777777" w:rsidR="00040C3A" w:rsidRPr="006E2301" w:rsidRDefault="00040C3A" w:rsidP="00040C3A">
      <w:pPr>
        <w:tabs>
          <w:tab w:val="center" w:pos="5400"/>
        </w:tabs>
        <w:suppressAutoHyphens/>
        <w:jc w:val="center"/>
        <w:rPr>
          <w:rFonts w:asciiTheme="majorHAnsi" w:hAnsiTheme="majorHAnsi"/>
          <w:sz w:val="22"/>
          <w:szCs w:val="22"/>
        </w:rPr>
      </w:pPr>
    </w:p>
    <w:p w14:paraId="3D124B92" w14:textId="77777777" w:rsidR="00040C3A" w:rsidRPr="006E2301" w:rsidRDefault="00040C3A" w:rsidP="00040C3A">
      <w:pPr>
        <w:tabs>
          <w:tab w:val="center" w:pos="5400"/>
        </w:tabs>
        <w:suppressAutoHyphens/>
        <w:jc w:val="center"/>
        <w:rPr>
          <w:rFonts w:asciiTheme="majorHAnsi" w:hAnsiTheme="majorHAnsi"/>
          <w:sz w:val="22"/>
          <w:szCs w:val="22"/>
        </w:rPr>
      </w:pPr>
    </w:p>
    <w:p w14:paraId="01E9EAD2" w14:textId="77777777" w:rsidR="00040C3A" w:rsidRPr="006E2301" w:rsidRDefault="003D3BC2" w:rsidP="00040C3A">
      <w:pPr>
        <w:tabs>
          <w:tab w:val="center" w:pos="5400"/>
        </w:tabs>
        <w:suppressAutoHyphens/>
        <w:jc w:val="center"/>
        <w:rPr>
          <w:rFonts w:asciiTheme="majorHAnsi" w:hAnsiTheme="majorHAnsi"/>
          <w:sz w:val="22"/>
          <w:szCs w:val="22"/>
        </w:rPr>
      </w:pPr>
      <w:r w:rsidRPr="006E230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5FBF61ED">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662956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FA467B">
                              <w:rPr>
                                <w:rFonts w:asciiTheme="majorHAnsi" w:hAnsiTheme="majorHAnsi" w:cs="Arial"/>
                                <w:b/>
                                <w:bCs/>
                                <w:color w:val="0D0D0D" w:themeColor="text1" w:themeTint="F2"/>
                                <w:sz w:val="36"/>
                                <w:szCs w:val="40"/>
                                <w:lang w:val="es-ES_tradnl"/>
                              </w:rPr>
                              <w:t>.</w:t>
                            </w:r>
                            <w:r w:rsidR="007B05C4" w:rsidRPr="00FA467B">
                              <w:rPr>
                                <w:rFonts w:asciiTheme="majorHAnsi" w:hAnsiTheme="majorHAnsi" w:cs="Arial"/>
                                <w:b/>
                                <w:bCs/>
                                <w:color w:val="0D0D0D" w:themeColor="text1" w:themeTint="F2"/>
                                <w:sz w:val="36"/>
                                <w:szCs w:val="22"/>
                                <w:lang w:val="es-ES_tradnl"/>
                              </w:rPr>
                              <w:t xml:space="preserve"> </w:t>
                            </w:r>
                            <w:r w:rsidR="007C515B">
                              <w:rPr>
                                <w:rFonts w:asciiTheme="majorHAnsi" w:hAnsiTheme="majorHAnsi" w:cs="Arial"/>
                                <w:b/>
                                <w:bCs/>
                                <w:color w:val="0D0D0D" w:themeColor="text1" w:themeTint="F2"/>
                                <w:sz w:val="36"/>
                                <w:szCs w:val="22"/>
                                <w:lang w:val="es-ES_tradnl"/>
                              </w:rPr>
                              <w:t>81</w:t>
                            </w:r>
                            <w:r w:rsidR="007B05C4" w:rsidRPr="00FA467B">
                              <w:rPr>
                                <w:rFonts w:asciiTheme="majorHAnsi" w:hAnsiTheme="majorHAnsi" w:cs="Arial"/>
                                <w:b/>
                                <w:bCs/>
                                <w:color w:val="0D0D0D" w:themeColor="text1" w:themeTint="F2"/>
                                <w:sz w:val="36"/>
                                <w:szCs w:val="22"/>
                                <w:lang w:val="es-ES_tradnl"/>
                              </w:rPr>
                              <w:t>/</w:t>
                            </w:r>
                            <w:r w:rsidR="002D1C5D" w:rsidRPr="00FA467B">
                              <w:rPr>
                                <w:rFonts w:asciiTheme="majorHAnsi" w:hAnsiTheme="majorHAnsi" w:cs="Arial"/>
                                <w:b/>
                                <w:bCs/>
                                <w:color w:val="0D0D0D" w:themeColor="text1" w:themeTint="F2"/>
                                <w:sz w:val="36"/>
                                <w:szCs w:val="22"/>
                                <w:lang w:val="es-ES_tradnl"/>
                              </w:rPr>
                              <w:t>2</w:t>
                            </w:r>
                            <w:r w:rsidR="003A1C7B" w:rsidRPr="00FA467B">
                              <w:rPr>
                                <w:rFonts w:asciiTheme="majorHAnsi" w:hAnsiTheme="majorHAnsi" w:cs="Arial"/>
                                <w:b/>
                                <w:bCs/>
                                <w:color w:val="0D0D0D" w:themeColor="text1" w:themeTint="F2"/>
                                <w:sz w:val="36"/>
                                <w:szCs w:val="22"/>
                                <w:lang w:val="es-ES_tradnl"/>
                              </w:rPr>
                              <w:t>3</w:t>
                            </w:r>
                          </w:p>
                          <w:p w14:paraId="45F30ECA" w14:textId="72D56C1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F6E23">
                              <w:rPr>
                                <w:rFonts w:asciiTheme="majorHAnsi" w:hAnsiTheme="majorHAnsi" w:cs="Arial"/>
                                <w:b/>
                                <w:color w:val="0D0D0D" w:themeColor="text1" w:themeTint="F2"/>
                                <w:sz w:val="36"/>
                                <w:szCs w:val="22"/>
                                <w:lang w:val="es-ES_tradnl"/>
                              </w:rPr>
                              <w:t>P-</w:t>
                            </w:r>
                            <w:r w:rsidR="00C75E0D">
                              <w:rPr>
                                <w:rFonts w:asciiTheme="majorHAnsi" w:hAnsiTheme="majorHAnsi" w:cs="Arial"/>
                                <w:b/>
                                <w:color w:val="0D0D0D" w:themeColor="text1" w:themeTint="F2"/>
                                <w:sz w:val="36"/>
                                <w:szCs w:val="22"/>
                                <w:lang w:val="es-ES_tradnl"/>
                              </w:rPr>
                              <w:t>1088</w:t>
                            </w:r>
                            <w:r w:rsidR="00FF6E23">
                              <w:rPr>
                                <w:rFonts w:asciiTheme="majorHAnsi" w:hAnsiTheme="majorHAnsi" w:cs="Arial"/>
                                <w:b/>
                                <w:color w:val="0D0D0D" w:themeColor="text1" w:themeTint="F2"/>
                                <w:sz w:val="36"/>
                                <w:szCs w:val="22"/>
                                <w:lang w:val="es-ES_tradnl"/>
                              </w:rPr>
                              <w:t>-1</w:t>
                            </w:r>
                            <w:r w:rsidR="00C75E0D">
                              <w:rPr>
                                <w:rFonts w:asciiTheme="majorHAnsi" w:hAnsiTheme="majorHAnsi" w:cs="Arial"/>
                                <w:b/>
                                <w:color w:val="0D0D0D" w:themeColor="text1" w:themeTint="F2"/>
                                <w:sz w:val="36"/>
                                <w:szCs w:val="22"/>
                                <w:lang w:val="es-ES_tradnl"/>
                              </w:rPr>
                              <w:t>1</w:t>
                            </w:r>
                          </w:p>
                          <w:p w14:paraId="188B4303" w14:textId="6A16B8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449F7">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B9F7D22" w14:textId="0CF7BE46" w:rsidR="005B52B0" w:rsidRPr="0005565D" w:rsidRDefault="003A1C7B" w:rsidP="00F56ECB">
                            <w:pPr>
                              <w:spacing w:line="276" w:lineRule="auto"/>
                              <w:rPr>
                                <w:rFonts w:asciiTheme="majorHAnsi" w:hAnsiTheme="majorHAnsi" w:cs="Arial"/>
                                <w:color w:val="0D0D0D" w:themeColor="text1" w:themeTint="F2"/>
                                <w:szCs w:val="22"/>
                                <w:lang w:val="pt-BR"/>
                              </w:rPr>
                            </w:pPr>
                            <w:r w:rsidRPr="0005565D">
                              <w:rPr>
                                <w:rFonts w:asciiTheme="majorHAnsi" w:hAnsiTheme="majorHAnsi" w:cs="Arial"/>
                                <w:color w:val="0D0D0D" w:themeColor="text1" w:themeTint="F2"/>
                                <w:szCs w:val="22"/>
                                <w:lang w:val="pt-BR"/>
                              </w:rPr>
                              <w:t xml:space="preserve">ALBA </w:t>
                            </w:r>
                            <w:r w:rsidR="00070E34" w:rsidRPr="0005565D">
                              <w:rPr>
                                <w:rFonts w:asciiTheme="majorHAnsi" w:hAnsiTheme="majorHAnsi" w:cs="Arial"/>
                                <w:color w:val="0D0D0D" w:themeColor="text1" w:themeTint="F2"/>
                                <w:szCs w:val="22"/>
                                <w:lang w:val="pt-BR"/>
                              </w:rPr>
                              <w:t xml:space="preserve">TERESA </w:t>
                            </w:r>
                            <w:r w:rsidRPr="0005565D">
                              <w:rPr>
                                <w:rFonts w:asciiTheme="majorHAnsi" w:hAnsiTheme="majorHAnsi" w:cs="Arial"/>
                                <w:color w:val="0D0D0D" w:themeColor="text1" w:themeTint="F2"/>
                                <w:szCs w:val="22"/>
                                <w:lang w:val="pt-BR"/>
                              </w:rPr>
                              <w:t>SÁNCHEZ VERA E HIJO</w:t>
                            </w:r>
                          </w:p>
                          <w:p w14:paraId="31AB275A" w14:textId="737ECCFC" w:rsidR="001C0314" w:rsidRPr="00F56ECB" w:rsidRDefault="001C0314"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2662956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FA467B">
                        <w:rPr>
                          <w:rFonts w:asciiTheme="majorHAnsi" w:hAnsiTheme="majorHAnsi" w:cs="Arial"/>
                          <w:b/>
                          <w:bCs/>
                          <w:color w:val="0D0D0D" w:themeColor="text1" w:themeTint="F2"/>
                          <w:sz w:val="36"/>
                          <w:szCs w:val="40"/>
                          <w:lang w:val="es-ES_tradnl"/>
                        </w:rPr>
                        <w:t>.</w:t>
                      </w:r>
                      <w:r w:rsidR="007B05C4" w:rsidRPr="00FA467B">
                        <w:rPr>
                          <w:rFonts w:asciiTheme="majorHAnsi" w:hAnsiTheme="majorHAnsi" w:cs="Arial"/>
                          <w:b/>
                          <w:bCs/>
                          <w:color w:val="0D0D0D" w:themeColor="text1" w:themeTint="F2"/>
                          <w:sz w:val="36"/>
                          <w:szCs w:val="22"/>
                          <w:lang w:val="es-ES_tradnl"/>
                        </w:rPr>
                        <w:t xml:space="preserve"> </w:t>
                      </w:r>
                      <w:r w:rsidR="007C515B">
                        <w:rPr>
                          <w:rFonts w:asciiTheme="majorHAnsi" w:hAnsiTheme="majorHAnsi" w:cs="Arial"/>
                          <w:b/>
                          <w:bCs/>
                          <w:color w:val="0D0D0D" w:themeColor="text1" w:themeTint="F2"/>
                          <w:sz w:val="36"/>
                          <w:szCs w:val="22"/>
                          <w:lang w:val="es-ES_tradnl"/>
                        </w:rPr>
                        <w:t>81</w:t>
                      </w:r>
                      <w:r w:rsidR="007B05C4" w:rsidRPr="00FA467B">
                        <w:rPr>
                          <w:rFonts w:asciiTheme="majorHAnsi" w:hAnsiTheme="majorHAnsi" w:cs="Arial"/>
                          <w:b/>
                          <w:bCs/>
                          <w:color w:val="0D0D0D" w:themeColor="text1" w:themeTint="F2"/>
                          <w:sz w:val="36"/>
                          <w:szCs w:val="22"/>
                          <w:lang w:val="es-ES_tradnl"/>
                        </w:rPr>
                        <w:t>/</w:t>
                      </w:r>
                      <w:r w:rsidR="002D1C5D" w:rsidRPr="00FA467B">
                        <w:rPr>
                          <w:rFonts w:asciiTheme="majorHAnsi" w:hAnsiTheme="majorHAnsi" w:cs="Arial"/>
                          <w:b/>
                          <w:bCs/>
                          <w:color w:val="0D0D0D" w:themeColor="text1" w:themeTint="F2"/>
                          <w:sz w:val="36"/>
                          <w:szCs w:val="22"/>
                          <w:lang w:val="es-ES_tradnl"/>
                        </w:rPr>
                        <w:t>2</w:t>
                      </w:r>
                      <w:r w:rsidR="003A1C7B" w:rsidRPr="00FA467B">
                        <w:rPr>
                          <w:rFonts w:asciiTheme="majorHAnsi" w:hAnsiTheme="majorHAnsi" w:cs="Arial"/>
                          <w:b/>
                          <w:bCs/>
                          <w:color w:val="0D0D0D" w:themeColor="text1" w:themeTint="F2"/>
                          <w:sz w:val="36"/>
                          <w:szCs w:val="22"/>
                          <w:lang w:val="es-ES_tradnl"/>
                        </w:rPr>
                        <w:t>3</w:t>
                      </w:r>
                    </w:p>
                    <w:p w14:paraId="45F30ECA" w14:textId="72D56C1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F6E23">
                        <w:rPr>
                          <w:rFonts w:asciiTheme="majorHAnsi" w:hAnsiTheme="majorHAnsi" w:cs="Arial"/>
                          <w:b/>
                          <w:color w:val="0D0D0D" w:themeColor="text1" w:themeTint="F2"/>
                          <w:sz w:val="36"/>
                          <w:szCs w:val="22"/>
                          <w:lang w:val="es-ES_tradnl"/>
                        </w:rPr>
                        <w:t>P-</w:t>
                      </w:r>
                      <w:r w:rsidR="00C75E0D">
                        <w:rPr>
                          <w:rFonts w:asciiTheme="majorHAnsi" w:hAnsiTheme="majorHAnsi" w:cs="Arial"/>
                          <w:b/>
                          <w:color w:val="0D0D0D" w:themeColor="text1" w:themeTint="F2"/>
                          <w:sz w:val="36"/>
                          <w:szCs w:val="22"/>
                          <w:lang w:val="es-ES_tradnl"/>
                        </w:rPr>
                        <w:t>1088</w:t>
                      </w:r>
                      <w:r w:rsidR="00FF6E23">
                        <w:rPr>
                          <w:rFonts w:asciiTheme="majorHAnsi" w:hAnsiTheme="majorHAnsi" w:cs="Arial"/>
                          <w:b/>
                          <w:color w:val="0D0D0D" w:themeColor="text1" w:themeTint="F2"/>
                          <w:sz w:val="36"/>
                          <w:szCs w:val="22"/>
                          <w:lang w:val="es-ES_tradnl"/>
                        </w:rPr>
                        <w:t>-1</w:t>
                      </w:r>
                      <w:r w:rsidR="00C75E0D">
                        <w:rPr>
                          <w:rFonts w:asciiTheme="majorHAnsi" w:hAnsiTheme="majorHAnsi" w:cs="Arial"/>
                          <w:b/>
                          <w:color w:val="0D0D0D" w:themeColor="text1" w:themeTint="F2"/>
                          <w:sz w:val="36"/>
                          <w:szCs w:val="22"/>
                          <w:lang w:val="es-ES_tradnl"/>
                        </w:rPr>
                        <w:t>1</w:t>
                      </w:r>
                    </w:p>
                    <w:p w14:paraId="188B4303" w14:textId="6A16B8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449F7">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F7D22" w14:textId="0CF7BE46" w:rsidR="005B52B0" w:rsidRPr="0005565D" w:rsidRDefault="003A1C7B" w:rsidP="00F56ECB">
                      <w:pPr>
                        <w:spacing w:line="276" w:lineRule="auto"/>
                        <w:rPr>
                          <w:rFonts w:asciiTheme="majorHAnsi" w:hAnsiTheme="majorHAnsi" w:cs="Arial"/>
                          <w:color w:val="0D0D0D" w:themeColor="text1" w:themeTint="F2"/>
                          <w:szCs w:val="22"/>
                          <w:lang w:val="pt-BR"/>
                        </w:rPr>
                      </w:pPr>
                      <w:r w:rsidRPr="0005565D">
                        <w:rPr>
                          <w:rFonts w:asciiTheme="majorHAnsi" w:hAnsiTheme="majorHAnsi" w:cs="Arial"/>
                          <w:color w:val="0D0D0D" w:themeColor="text1" w:themeTint="F2"/>
                          <w:szCs w:val="22"/>
                          <w:lang w:val="pt-BR"/>
                        </w:rPr>
                        <w:t xml:space="preserve">ALBA </w:t>
                      </w:r>
                      <w:r w:rsidR="00070E34" w:rsidRPr="0005565D">
                        <w:rPr>
                          <w:rFonts w:asciiTheme="majorHAnsi" w:hAnsiTheme="majorHAnsi" w:cs="Arial"/>
                          <w:color w:val="0D0D0D" w:themeColor="text1" w:themeTint="F2"/>
                          <w:szCs w:val="22"/>
                          <w:lang w:val="pt-BR"/>
                        </w:rPr>
                        <w:t xml:space="preserve">TERESA </w:t>
                      </w:r>
                      <w:r w:rsidRPr="0005565D">
                        <w:rPr>
                          <w:rFonts w:asciiTheme="majorHAnsi" w:hAnsiTheme="majorHAnsi" w:cs="Arial"/>
                          <w:color w:val="0D0D0D" w:themeColor="text1" w:themeTint="F2"/>
                          <w:szCs w:val="22"/>
                          <w:lang w:val="pt-BR"/>
                        </w:rPr>
                        <w:t>SÁNCHEZ VERA E HIJO</w:t>
                      </w:r>
                    </w:p>
                    <w:p w14:paraId="31AB275A" w14:textId="737ECCFC" w:rsidR="001C0314" w:rsidRPr="00F56ECB" w:rsidRDefault="001C0314"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6E230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F0A8CA7" w:rsidR="00627C9F" w:rsidRPr="0005565D" w:rsidRDefault="00834D49" w:rsidP="007A5817">
                            <w:pPr>
                              <w:spacing w:line="276" w:lineRule="auto"/>
                              <w:jc w:val="right"/>
                              <w:rPr>
                                <w:rFonts w:asciiTheme="minorHAnsi" w:hAnsiTheme="minorHAnsi"/>
                                <w:color w:val="FFFFFF" w:themeColor="background1"/>
                                <w:sz w:val="22"/>
                                <w:lang w:val="es-AR"/>
                              </w:rPr>
                            </w:pPr>
                            <w:r w:rsidRPr="0005565D">
                              <w:rPr>
                                <w:rFonts w:asciiTheme="minorHAnsi" w:hAnsiTheme="minorHAnsi"/>
                                <w:color w:val="FFFFFF" w:themeColor="background1"/>
                                <w:sz w:val="22"/>
                                <w:lang w:val="es-AR"/>
                              </w:rPr>
                              <w:t>OEA/Ser.L/V/II</w:t>
                            </w:r>
                          </w:p>
                          <w:p w14:paraId="71D2D5D2" w14:textId="3437C2F3" w:rsidR="00627C9F" w:rsidRPr="0005565D" w:rsidRDefault="00627C9F" w:rsidP="007A5817">
                            <w:pPr>
                              <w:spacing w:line="276" w:lineRule="auto"/>
                              <w:jc w:val="right"/>
                              <w:rPr>
                                <w:rFonts w:asciiTheme="minorHAnsi" w:hAnsiTheme="minorHAnsi"/>
                                <w:color w:val="FFFFFF" w:themeColor="background1"/>
                                <w:sz w:val="22"/>
                                <w:lang w:val="es-AR"/>
                              </w:rPr>
                            </w:pPr>
                            <w:r w:rsidRPr="0005565D">
                              <w:rPr>
                                <w:rFonts w:asciiTheme="minorHAnsi" w:hAnsiTheme="minorHAnsi"/>
                                <w:color w:val="FFFFFF" w:themeColor="background1"/>
                                <w:sz w:val="22"/>
                                <w:lang w:val="es-AR"/>
                              </w:rPr>
                              <w:t xml:space="preserve">Doc. </w:t>
                            </w:r>
                            <w:r w:rsidR="007C515B" w:rsidRPr="0005565D">
                              <w:rPr>
                                <w:rFonts w:asciiTheme="minorHAnsi" w:hAnsiTheme="minorHAnsi"/>
                                <w:color w:val="FFFFFF" w:themeColor="background1"/>
                                <w:sz w:val="22"/>
                                <w:lang w:val="es-AR"/>
                              </w:rPr>
                              <w:t>89</w:t>
                            </w:r>
                          </w:p>
                          <w:p w14:paraId="4061DBBD" w14:textId="54754573" w:rsidR="00627C9F" w:rsidRPr="00FA467B" w:rsidRDefault="007C515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junio</w:t>
                            </w:r>
                            <w:r w:rsidR="007B05C4" w:rsidRPr="00FA467B">
                              <w:rPr>
                                <w:rFonts w:asciiTheme="minorHAnsi" w:hAnsiTheme="minorHAnsi"/>
                                <w:color w:val="FFFFFF" w:themeColor="background1"/>
                                <w:sz w:val="22"/>
                                <w:lang w:val="es-PA"/>
                              </w:rPr>
                              <w:t xml:space="preserve"> </w:t>
                            </w:r>
                            <w:r w:rsidR="00627C9F" w:rsidRPr="00FA467B">
                              <w:rPr>
                                <w:rFonts w:asciiTheme="minorHAnsi" w:hAnsiTheme="minorHAnsi"/>
                                <w:color w:val="FFFFFF" w:themeColor="background1"/>
                                <w:sz w:val="22"/>
                                <w:lang w:val="es-PA"/>
                              </w:rPr>
                              <w:t>20</w:t>
                            </w:r>
                            <w:r w:rsidR="00C23BA4" w:rsidRPr="00FA467B">
                              <w:rPr>
                                <w:rFonts w:asciiTheme="minorHAnsi" w:hAnsiTheme="minorHAnsi"/>
                                <w:color w:val="FFFFFF" w:themeColor="background1"/>
                                <w:sz w:val="22"/>
                                <w:lang w:val="es-PA"/>
                              </w:rPr>
                              <w:t>2</w:t>
                            </w:r>
                            <w:r w:rsidR="003A1C7B" w:rsidRPr="00FA467B">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FA467B">
                              <w:rPr>
                                <w:rFonts w:asciiTheme="minorHAnsi" w:hAnsiTheme="minorHAnsi"/>
                                <w:color w:val="FFFFFF" w:themeColor="background1"/>
                                <w:sz w:val="22"/>
                                <w:lang w:val="es-PA"/>
                              </w:rPr>
                              <w:t xml:space="preserve">Original: </w:t>
                            </w:r>
                            <w:r w:rsidR="008B12F5" w:rsidRPr="00FA467B">
                              <w:rPr>
                                <w:rFonts w:asciiTheme="minorHAnsi" w:hAnsiTheme="minorHAnsi"/>
                                <w:color w:val="FFFFFF" w:themeColor="background1"/>
                                <w:sz w:val="22"/>
                                <w:lang w:val="es-PA"/>
                              </w:rPr>
                              <w:t>e</w:t>
                            </w:r>
                            <w:r w:rsidR="00627C9F" w:rsidRPr="00FA467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F0A8CA7" w:rsidR="00627C9F" w:rsidRPr="0005565D" w:rsidRDefault="00834D49" w:rsidP="007A5817">
                      <w:pPr>
                        <w:spacing w:line="276" w:lineRule="auto"/>
                        <w:jc w:val="right"/>
                        <w:rPr>
                          <w:rFonts w:asciiTheme="minorHAnsi" w:hAnsiTheme="minorHAnsi"/>
                          <w:color w:val="FFFFFF" w:themeColor="background1"/>
                          <w:sz w:val="22"/>
                          <w:lang w:val="es-AR"/>
                        </w:rPr>
                      </w:pPr>
                      <w:r w:rsidRPr="0005565D">
                        <w:rPr>
                          <w:rFonts w:asciiTheme="minorHAnsi" w:hAnsiTheme="minorHAnsi"/>
                          <w:color w:val="FFFFFF" w:themeColor="background1"/>
                          <w:sz w:val="22"/>
                          <w:lang w:val="es-AR"/>
                        </w:rPr>
                        <w:t>OEA/Ser.L/V/II</w:t>
                      </w:r>
                    </w:p>
                    <w:p w14:paraId="71D2D5D2" w14:textId="3437C2F3" w:rsidR="00627C9F" w:rsidRPr="0005565D" w:rsidRDefault="00627C9F" w:rsidP="007A5817">
                      <w:pPr>
                        <w:spacing w:line="276" w:lineRule="auto"/>
                        <w:jc w:val="right"/>
                        <w:rPr>
                          <w:rFonts w:asciiTheme="minorHAnsi" w:hAnsiTheme="minorHAnsi"/>
                          <w:color w:val="FFFFFF" w:themeColor="background1"/>
                          <w:sz w:val="22"/>
                          <w:lang w:val="es-AR"/>
                        </w:rPr>
                      </w:pPr>
                      <w:r w:rsidRPr="0005565D">
                        <w:rPr>
                          <w:rFonts w:asciiTheme="minorHAnsi" w:hAnsiTheme="minorHAnsi"/>
                          <w:color w:val="FFFFFF" w:themeColor="background1"/>
                          <w:sz w:val="22"/>
                          <w:lang w:val="es-AR"/>
                        </w:rPr>
                        <w:t xml:space="preserve">Doc. </w:t>
                      </w:r>
                      <w:r w:rsidR="007C515B" w:rsidRPr="0005565D">
                        <w:rPr>
                          <w:rFonts w:asciiTheme="minorHAnsi" w:hAnsiTheme="minorHAnsi"/>
                          <w:color w:val="FFFFFF" w:themeColor="background1"/>
                          <w:sz w:val="22"/>
                          <w:lang w:val="es-AR"/>
                        </w:rPr>
                        <w:t>89</w:t>
                      </w:r>
                    </w:p>
                    <w:p w14:paraId="4061DBBD" w14:textId="54754573" w:rsidR="00627C9F" w:rsidRPr="00FA467B" w:rsidRDefault="007C515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junio</w:t>
                      </w:r>
                      <w:r w:rsidR="007B05C4" w:rsidRPr="00FA467B">
                        <w:rPr>
                          <w:rFonts w:asciiTheme="minorHAnsi" w:hAnsiTheme="minorHAnsi"/>
                          <w:color w:val="FFFFFF" w:themeColor="background1"/>
                          <w:sz w:val="22"/>
                          <w:lang w:val="es-PA"/>
                        </w:rPr>
                        <w:t xml:space="preserve"> </w:t>
                      </w:r>
                      <w:r w:rsidR="00627C9F" w:rsidRPr="00FA467B">
                        <w:rPr>
                          <w:rFonts w:asciiTheme="minorHAnsi" w:hAnsiTheme="minorHAnsi"/>
                          <w:color w:val="FFFFFF" w:themeColor="background1"/>
                          <w:sz w:val="22"/>
                          <w:lang w:val="es-PA"/>
                        </w:rPr>
                        <w:t>20</w:t>
                      </w:r>
                      <w:r w:rsidR="00C23BA4" w:rsidRPr="00FA467B">
                        <w:rPr>
                          <w:rFonts w:asciiTheme="minorHAnsi" w:hAnsiTheme="minorHAnsi"/>
                          <w:color w:val="FFFFFF" w:themeColor="background1"/>
                          <w:sz w:val="22"/>
                          <w:lang w:val="es-PA"/>
                        </w:rPr>
                        <w:t>2</w:t>
                      </w:r>
                      <w:r w:rsidR="003A1C7B" w:rsidRPr="00FA467B">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FA467B">
                        <w:rPr>
                          <w:rFonts w:asciiTheme="minorHAnsi" w:hAnsiTheme="minorHAnsi"/>
                          <w:color w:val="FFFFFF" w:themeColor="background1"/>
                          <w:sz w:val="22"/>
                          <w:lang w:val="es-PA"/>
                        </w:rPr>
                        <w:t xml:space="preserve">Original: </w:t>
                      </w:r>
                      <w:r w:rsidR="008B12F5" w:rsidRPr="00FA467B">
                        <w:rPr>
                          <w:rFonts w:asciiTheme="minorHAnsi" w:hAnsiTheme="minorHAnsi"/>
                          <w:color w:val="FFFFFF" w:themeColor="background1"/>
                          <w:sz w:val="22"/>
                          <w:lang w:val="es-PA"/>
                        </w:rPr>
                        <w:t>e</w:t>
                      </w:r>
                      <w:r w:rsidR="00627C9F" w:rsidRPr="00FA467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6E2301" w:rsidRDefault="00040C3A" w:rsidP="00040C3A">
      <w:pPr>
        <w:tabs>
          <w:tab w:val="center" w:pos="5400"/>
        </w:tabs>
        <w:suppressAutoHyphens/>
        <w:jc w:val="center"/>
        <w:rPr>
          <w:rFonts w:asciiTheme="majorHAnsi" w:hAnsiTheme="majorHAnsi"/>
          <w:sz w:val="22"/>
          <w:szCs w:val="22"/>
        </w:rPr>
      </w:pPr>
    </w:p>
    <w:p w14:paraId="529AB783" w14:textId="77777777" w:rsidR="00040C3A" w:rsidRPr="006E2301" w:rsidRDefault="00040C3A" w:rsidP="00040C3A">
      <w:pPr>
        <w:tabs>
          <w:tab w:val="center" w:pos="5400"/>
        </w:tabs>
        <w:suppressAutoHyphens/>
        <w:jc w:val="center"/>
        <w:rPr>
          <w:rFonts w:asciiTheme="majorHAnsi" w:hAnsiTheme="majorHAnsi"/>
          <w:sz w:val="22"/>
          <w:szCs w:val="22"/>
        </w:rPr>
      </w:pPr>
    </w:p>
    <w:p w14:paraId="147F033C" w14:textId="77777777" w:rsidR="00040C3A" w:rsidRPr="006E2301"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6E2301" w:rsidRDefault="00040C3A" w:rsidP="00040C3A">
      <w:pPr>
        <w:tabs>
          <w:tab w:val="center" w:pos="5400"/>
        </w:tabs>
        <w:suppressAutoHyphens/>
        <w:jc w:val="center"/>
        <w:rPr>
          <w:rFonts w:asciiTheme="majorHAnsi" w:hAnsiTheme="majorHAnsi"/>
          <w:sz w:val="22"/>
          <w:szCs w:val="22"/>
        </w:rPr>
      </w:pPr>
    </w:p>
    <w:p w14:paraId="46C4195B" w14:textId="77777777" w:rsidR="00040C3A" w:rsidRPr="006E2301" w:rsidRDefault="00040C3A" w:rsidP="00040C3A">
      <w:pPr>
        <w:tabs>
          <w:tab w:val="center" w:pos="5400"/>
        </w:tabs>
        <w:suppressAutoHyphens/>
        <w:jc w:val="center"/>
        <w:rPr>
          <w:rFonts w:asciiTheme="majorHAnsi" w:hAnsiTheme="majorHAnsi"/>
          <w:sz w:val="22"/>
          <w:szCs w:val="22"/>
        </w:rPr>
      </w:pPr>
    </w:p>
    <w:p w14:paraId="6C0D9CAF" w14:textId="77777777" w:rsidR="00040C3A" w:rsidRPr="006E2301" w:rsidRDefault="00040C3A" w:rsidP="00040C3A">
      <w:pPr>
        <w:tabs>
          <w:tab w:val="center" w:pos="5400"/>
        </w:tabs>
        <w:suppressAutoHyphens/>
        <w:jc w:val="center"/>
        <w:rPr>
          <w:rFonts w:asciiTheme="majorHAnsi" w:hAnsiTheme="majorHAnsi"/>
          <w:sz w:val="22"/>
          <w:szCs w:val="22"/>
        </w:rPr>
      </w:pPr>
    </w:p>
    <w:p w14:paraId="6140E39A" w14:textId="77777777" w:rsidR="00040C3A" w:rsidRPr="006E2301" w:rsidRDefault="00040C3A" w:rsidP="00040C3A">
      <w:pPr>
        <w:tabs>
          <w:tab w:val="center" w:pos="5400"/>
        </w:tabs>
        <w:suppressAutoHyphens/>
        <w:jc w:val="center"/>
        <w:rPr>
          <w:rFonts w:asciiTheme="majorHAnsi" w:hAnsiTheme="majorHAnsi"/>
          <w:sz w:val="22"/>
          <w:szCs w:val="22"/>
        </w:rPr>
      </w:pPr>
    </w:p>
    <w:p w14:paraId="116878DE" w14:textId="77777777" w:rsidR="005128E4" w:rsidRPr="006E2301" w:rsidRDefault="005128E4" w:rsidP="00040C3A">
      <w:pPr>
        <w:tabs>
          <w:tab w:val="center" w:pos="5400"/>
        </w:tabs>
        <w:suppressAutoHyphens/>
        <w:jc w:val="center"/>
        <w:rPr>
          <w:rFonts w:asciiTheme="majorHAnsi" w:hAnsiTheme="majorHAnsi"/>
          <w:sz w:val="22"/>
          <w:szCs w:val="22"/>
        </w:rPr>
      </w:pPr>
    </w:p>
    <w:p w14:paraId="6FF1A208" w14:textId="77777777" w:rsidR="00040C3A" w:rsidRPr="006E2301" w:rsidRDefault="00040C3A" w:rsidP="00040C3A">
      <w:pPr>
        <w:tabs>
          <w:tab w:val="center" w:pos="5400"/>
        </w:tabs>
        <w:suppressAutoHyphens/>
        <w:jc w:val="center"/>
        <w:rPr>
          <w:rFonts w:asciiTheme="majorHAnsi" w:hAnsiTheme="majorHAnsi"/>
          <w:sz w:val="22"/>
          <w:szCs w:val="22"/>
        </w:rPr>
      </w:pPr>
    </w:p>
    <w:p w14:paraId="23E1EE64" w14:textId="77777777" w:rsidR="005128E4" w:rsidRPr="006E2301" w:rsidRDefault="005128E4" w:rsidP="00040C3A">
      <w:pPr>
        <w:tabs>
          <w:tab w:val="center" w:pos="5400"/>
        </w:tabs>
        <w:suppressAutoHyphens/>
        <w:jc w:val="center"/>
        <w:rPr>
          <w:rFonts w:asciiTheme="majorHAnsi" w:hAnsiTheme="majorHAnsi"/>
          <w:sz w:val="22"/>
          <w:szCs w:val="22"/>
        </w:rPr>
      </w:pPr>
    </w:p>
    <w:p w14:paraId="2D8331F2" w14:textId="77777777" w:rsidR="005128E4" w:rsidRPr="006E2301" w:rsidRDefault="005128E4" w:rsidP="00040C3A">
      <w:pPr>
        <w:tabs>
          <w:tab w:val="center" w:pos="5400"/>
        </w:tabs>
        <w:suppressAutoHyphens/>
        <w:jc w:val="center"/>
        <w:rPr>
          <w:rFonts w:asciiTheme="majorHAnsi" w:hAnsiTheme="majorHAnsi"/>
          <w:sz w:val="22"/>
          <w:szCs w:val="22"/>
        </w:rPr>
      </w:pPr>
    </w:p>
    <w:p w14:paraId="1D1FCC8F" w14:textId="77777777" w:rsidR="005128E4" w:rsidRPr="006E2301" w:rsidRDefault="005128E4" w:rsidP="00040C3A">
      <w:pPr>
        <w:tabs>
          <w:tab w:val="center" w:pos="5400"/>
        </w:tabs>
        <w:suppressAutoHyphens/>
        <w:jc w:val="center"/>
        <w:rPr>
          <w:rFonts w:asciiTheme="majorHAnsi" w:hAnsiTheme="majorHAnsi"/>
          <w:sz w:val="22"/>
          <w:szCs w:val="22"/>
        </w:rPr>
      </w:pPr>
    </w:p>
    <w:p w14:paraId="67F753E7" w14:textId="77777777" w:rsidR="00040C3A" w:rsidRPr="006E2301" w:rsidRDefault="00040C3A" w:rsidP="00040C3A">
      <w:pPr>
        <w:tabs>
          <w:tab w:val="center" w:pos="5400"/>
        </w:tabs>
        <w:suppressAutoHyphens/>
        <w:jc w:val="center"/>
        <w:rPr>
          <w:rFonts w:asciiTheme="majorHAnsi" w:hAnsiTheme="majorHAnsi"/>
          <w:sz w:val="22"/>
          <w:szCs w:val="22"/>
        </w:rPr>
      </w:pPr>
    </w:p>
    <w:p w14:paraId="165AA979" w14:textId="77777777" w:rsidR="00040C3A" w:rsidRPr="006E2301" w:rsidRDefault="00040C3A" w:rsidP="00040C3A">
      <w:pPr>
        <w:tabs>
          <w:tab w:val="center" w:pos="5400"/>
        </w:tabs>
        <w:suppressAutoHyphens/>
        <w:jc w:val="center"/>
        <w:rPr>
          <w:rFonts w:asciiTheme="majorHAnsi" w:hAnsiTheme="majorHAnsi"/>
          <w:sz w:val="22"/>
          <w:szCs w:val="22"/>
        </w:rPr>
      </w:pPr>
    </w:p>
    <w:p w14:paraId="2F2457A8" w14:textId="77777777" w:rsidR="00A50FCF" w:rsidRPr="006E2301" w:rsidRDefault="00A50FCF" w:rsidP="00040C3A">
      <w:pPr>
        <w:tabs>
          <w:tab w:val="center" w:pos="5400"/>
        </w:tabs>
        <w:suppressAutoHyphens/>
        <w:jc w:val="center"/>
        <w:rPr>
          <w:rFonts w:asciiTheme="majorHAnsi" w:hAnsiTheme="majorHAnsi"/>
          <w:sz w:val="18"/>
          <w:szCs w:val="22"/>
        </w:rPr>
      </w:pPr>
    </w:p>
    <w:p w14:paraId="20439390" w14:textId="77777777" w:rsidR="00A50FCF" w:rsidRPr="006E2301" w:rsidRDefault="00A50FCF" w:rsidP="00040C3A">
      <w:pPr>
        <w:tabs>
          <w:tab w:val="center" w:pos="5400"/>
        </w:tabs>
        <w:suppressAutoHyphens/>
        <w:jc w:val="center"/>
        <w:rPr>
          <w:rFonts w:asciiTheme="majorHAnsi" w:hAnsiTheme="majorHAnsi"/>
          <w:sz w:val="18"/>
          <w:szCs w:val="22"/>
        </w:rPr>
      </w:pPr>
    </w:p>
    <w:p w14:paraId="5B80B262" w14:textId="77777777" w:rsidR="00A50FCF" w:rsidRPr="006E2301" w:rsidRDefault="00A50FCF" w:rsidP="00040C3A">
      <w:pPr>
        <w:tabs>
          <w:tab w:val="center" w:pos="5400"/>
        </w:tabs>
        <w:suppressAutoHyphens/>
        <w:jc w:val="center"/>
        <w:rPr>
          <w:rFonts w:asciiTheme="majorHAnsi" w:hAnsiTheme="majorHAnsi"/>
          <w:sz w:val="18"/>
          <w:szCs w:val="22"/>
        </w:rPr>
      </w:pPr>
    </w:p>
    <w:p w14:paraId="734846D8" w14:textId="77777777" w:rsidR="00A50FCF" w:rsidRPr="006E2301" w:rsidRDefault="00A50FCF" w:rsidP="00040C3A">
      <w:pPr>
        <w:tabs>
          <w:tab w:val="center" w:pos="5400"/>
        </w:tabs>
        <w:suppressAutoHyphens/>
        <w:jc w:val="center"/>
        <w:rPr>
          <w:rFonts w:asciiTheme="majorHAnsi" w:hAnsiTheme="majorHAnsi"/>
          <w:sz w:val="18"/>
          <w:szCs w:val="22"/>
        </w:rPr>
      </w:pPr>
    </w:p>
    <w:p w14:paraId="36D2C63A" w14:textId="77777777" w:rsidR="00A50FCF" w:rsidRPr="006E2301" w:rsidRDefault="00A50FCF" w:rsidP="00040C3A">
      <w:pPr>
        <w:tabs>
          <w:tab w:val="center" w:pos="5400"/>
        </w:tabs>
        <w:suppressAutoHyphens/>
        <w:jc w:val="center"/>
        <w:rPr>
          <w:rFonts w:asciiTheme="majorHAnsi" w:hAnsiTheme="majorHAnsi"/>
          <w:sz w:val="18"/>
          <w:szCs w:val="22"/>
        </w:rPr>
      </w:pPr>
    </w:p>
    <w:p w14:paraId="4F0B7F5A" w14:textId="77777777" w:rsidR="00A50FCF" w:rsidRPr="006E2301" w:rsidRDefault="00A50FCF" w:rsidP="00040C3A">
      <w:pPr>
        <w:tabs>
          <w:tab w:val="center" w:pos="5400"/>
        </w:tabs>
        <w:suppressAutoHyphens/>
        <w:jc w:val="center"/>
        <w:rPr>
          <w:rFonts w:asciiTheme="majorHAnsi" w:hAnsiTheme="majorHAnsi"/>
          <w:sz w:val="18"/>
          <w:szCs w:val="22"/>
        </w:rPr>
      </w:pPr>
    </w:p>
    <w:p w14:paraId="07218933" w14:textId="77777777" w:rsidR="00A50FCF" w:rsidRPr="006E2301" w:rsidRDefault="00A50FCF" w:rsidP="00040C3A">
      <w:pPr>
        <w:tabs>
          <w:tab w:val="center" w:pos="5400"/>
        </w:tabs>
        <w:suppressAutoHyphens/>
        <w:jc w:val="center"/>
        <w:rPr>
          <w:rFonts w:asciiTheme="majorHAnsi" w:hAnsiTheme="majorHAnsi"/>
          <w:sz w:val="18"/>
          <w:szCs w:val="22"/>
        </w:rPr>
      </w:pPr>
    </w:p>
    <w:p w14:paraId="2C99136A" w14:textId="77777777" w:rsidR="00A50FCF" w:rsidRPr="006E2301" w:rsidRDefault="00A50FCF" w:rsidP="00040C3A">
      <w:pPr>
        <w:tabs>
          <w:tab w:val="center" w:pos="5400"/>
        </w:tabs>
        <w:suppressAutoHyphens/>
        <w:jc w:val="center"/>
        <w:rPr>
          <w:rFonts w:asciiTheme="majorHAnsi" w:hAnsiTheme="majorHAnsi"/>
          <w:sz w:val="18"/>
          <w:szCs w:val="22"/>
        </w:rPr>
      </w:pPr>
    </w:p>
    <w:p w14:paraId="078A9198" w14:textId="77777777" w:rsidR="00A50FCF" w:rsidRPr="006E2301" w:rsidRDefault="00A50FCF" w:rsidP="00040C3A">
      <w:pPr>
        <w:tabs>
          <w:tab w:val="center" w:pos="5400"/>
        </w:tabs>
        <w:suppressAutoHyphens/>
        <w:jc w:val="center"/>
        <w:rPr>
          <w:rFonts w:asciiTheme="majorHAnsi" w:hAnsiTheme="majorHAnsi"/>
          <w:sz w:val="18"/>
          <w:szCs w:val="22"/>
        </w:rPr>
      </w:pPr>
    </w:p>
    <w:p w14:paraId="6A001DA7" w14:textId="77777777" w:rsidR="00A50FCF" w:rsidRPr="006E2301" w:rsidRDefault="00A50FCF" w:rsidP="00040C3A">
      <w:pPr>
        <w:tabs>
          <w:tab w:val="center" w:pos="5400"/>
        </w:tabs>
        <w:suppressAutoHyphens/>
        <w:jc w:val="center"/>
        <w:rPr>
          <w:rFonts w:asciiTheme="majorHAnsi" w:hAnsiTheme="majorHAnsi"/>
          <w:sz w:val="18"/>
          <w:szCs w:val="22"/>
        </w:rPr>
      </w:pPr>
    </w:p>
    <w:p w14:paraId="217E7AAB" w14:textId="77777777" w:rsidR="00A50FCF" w:rsidRPr="006E2301" w:rsidRDefault="00A50FCF" w:rsidP="00040C3A">
      <w:pPr>
        <w:tabs>
          <w:tab w:val="center" w:pos="5400"/>
        </w:tabs>
        <w:suppressAutoHyphens/>
        <w:jc w:val="center"/>
        <w:rPr>
          <w:rFonts w:asciiTheme="majorHAnsi" w:hAnsiTheme="majorHAnsi"/>
          <w:sz w:val="18"/>
          <w:szCs w:val="22"/>
        </w:rPr>
      </w:pPr>
    </w:p>
    <w:p w14:paraId="0C34B449" w14:textId="77777777" w:rsidR="00A50FCF" w:rsidRPr="006E2301" w:rsidRDefault="00A50FCF" w:rsidP="00040C3A">
      <w:pPr>
        <w:tabs>
          <w:tab w:val="center" w:pos="5400"/>
        </w:tabs>
        <w:suppressAutoHyphens/>
        <w:jc w:val="center"/>
        <w:rPr>
          <w:rFonts w:asciiTheme="majorHAnsi" w:hAnsiTheme="majorHAnsi"/>
          <w:sz w:val="18"/>
          <w:szCs w:val="22"/>
        </w:rPr>
      </w:pPr>
    </w:p>
    <w:p w14:paraId="5CF516E8" w14:textId="77777777" w:rsidR="00A50FCF" w:rsidRPr="006E2301" w:rsidRDefault="00A50FCF" w:rsidP="00040C3A">
      <w:pPr>
        <w:tabs>
          <w:tab w:val="center" w:pos="5400"/>
        </w:tabs>
        <w:suppressAutoHyphens/>
        <w:jc w:val="center"/>
        <w:rPr>
          <w:rFonts w:asciiTheme="majorHAnsi" w:hAnsiTheme="majorHAnsi"/>
          <w:sz w:val="18"/>
          <w:szCs w:val="22"/>
        </w:rPr>
      </w:pPr>
    </w:p>
    <w:p w14:paraId="417C9993" w14:textId="77777777" w:rsidR="00A50FCF" w:rsidRPr="006E2301" w:rsidRDefault="00A50FCF" w:rsidP="00040C3A">
      <w:pPr>
        <w:tabs>
          <w:tab w:val="center" w:pos="5400"/>
        </w:tabs>
        <w:suppressAutoHyphens/>
        <w:jc w:val="center"/>
        <w:rPr>
          <w:rFonts w:asciiTheme="majorHAnsi" w:hAnsiTheme="majorHAnsi"/>
          <w:sz w:val="18"/>
          <w:szCs w:val="22"/>
        </w:rPr>
      </w:pPr>
    </w:p>
    <w:p w14:paraId="641C6754" w14:textId="77777777" w:rsidR="00A50FCF" w:rsidRPr="006E2301" w:rsidRDefault="0090270B" w:rsidP="00040C3A">
      <w:pPr>
        <w:tabs>
          <w:tab w:val="center" w:pos="5400"/>
        </w:tabs>
        <w:suppressAutoHyphens/>
        <w:jc w:val="center"/>
        <w:rPr>
          <w:rFonts w:asciiTheme="majorHAnsi" w:hAnsiTheme="majorHAnsi"/>
          <w:sz w:val="18"/>
          <w:szCs w:val="22"/>
        </w:rPr>
      </w:pPr>
      <w:r w:rsidRPr="006E230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58402C08">
                <wp:simplePos x="0" y="0"/>
                <wp:positionH relativeFrom="column">
                  <wp:posOffset>1327687</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012A706"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2634E3">
                              <w:rPr>
                                <w:rFonts w:asciiTheme="majorHAnsi" w:hAnsiTheme="majorHAnsi"/>
                                <w:color w:val="0D0D0D" w:themeColor="text1" w:themeTint="F2"/>
                                <w:sz w:val="18"/>
                                <w:szCs w:val="22"/>
                              </w:rPr>
                              <w:t xml:space="preserve">Aprobado electrónicamente por la </w:t>
                            </w:r>
                            <w:r w:rsidRPr="00FA467B">
                              <w:rPr>
                                <w:rFonts w:asciiTheme="majorHAnsi" w:hAnsiTheme="majorHAnsi"/>
                                <w:color w:val="0D0D0D" w:themeColor="text1" w:themeTint="F2"/>
                                <w:sz w:val="18"/>
                                <w:szCs w:val="22"/>
                              </w:rPr>
                              <w:t xml:space="preserve">Comisión el </w:t>
                            </w:r>
                            <w:r w:rsidR="007C515B">
                              <w:rPr>
                                <w:rFonts w:asciiTheme="majorHAnsi" w:hAnsiTheme="majorHAnsi"/>
                                <w:color w:val="0D0D0D" w:themeColor="text1" w:themeTint="F2"/>
                                <w:sz w:val="18"/>
                                <w:szCs w:val="22"/>
                              </w:rPr>
                              <w:t>4</w:t>
                            </w:r>
                            <w:r w:rsidRPr="00FA467B">
                              <w:rPr>
                                <w:rFonts w:asciiTheme="majorHAnsi" w:hAnsiTheme="majorHAnsi"/>
                                <w:color w:val="0D0D0D" w:themeColor="text1" w:themeTint="F2"/>
                                <w:sz w:val="18"/>
                                <w:szCs w:val="22"/>
                              </w:rPr>
                              <w:t xml:space="preserve"> de </w:t>
                            </w:r>
                            <w:r w:rsidR="007C515B">
                              <w:rPr>
                                <w:rFonts w:asciiTheme="majorHAnsi" w:hAnsiTheme="majorHAnsi"/>
                                <w:color w:val="0D0D0D" w:themeColor="text1" w:themeTint="F2"/>
                                <w:sz w:val="18"/>
                                <w:szCs w:val="22"/>
                              </w:rPr>
                              <w:t>junio</w:t>
                            </w:r>
                            <w:r w:rsidR="00F81BB8" w:rsidRPr="00FA467B">
                              <w:rPr>
                                <w:rFonts w:asciiTheme="majorHAnsi" w:hAnsiTheme="majorHAnsi"/>
                                <w:color w:val="0D0D0D" w:themeColor="text1" w:themeTint="F2"/>
                                <w:sz w:val="18"/>
                                <w:szCs w:val="22"/>
                              </w:rPr>
                              <w:t xml:space="preserve"> </w:t>
                            </w:r>
                            <w:r w:rsidRPr="00FA467B">
                              <w:rPr>
                                <w:rFonts w:asciiTheme="majorHAnsi" w:hAnsiTheme="majorHAnsi"/>
                                <w:color w:val="0D0D0D" w:themeColor="text1" w:themeTint="F2"/>
                                <w:sz w:val="18"/>
                                <w:szCs w:val="22"/>
                              </w:rPr>
                              <w:t>de</w:t>
                            </w:r>
                            <w:r w:rsidRPr="002634E3">
                              <w:rPr>
                                <w:rFonts w:asciiTheme="majorHAnsi" w:hAnsiTheme="majorHAnsi"/>
                                <w:color w:val="0D0D0D" w:themeColor="text1" w:themeTint="F2"/>
                                <w:sz w:val="18"/>
                                <w:szCs w:val="22"/>
                              </w:rPr>
                              <w:t xml:space="preserve"> 20</w:t>
                            </w:r>
                            <w:r w:rsidR="00C23BA4" w:rsidRPr="002634E3">
                              <w:rPr>
                                <w:rFonts w:asciiTheme="majorHAnsi" w:hAnsiTheme="majorHAnsi"/>
                                <w:color w:val="0D0D0D" w:themeColor="text1" w:themeTint="F2"/>
                                <w:sz w:val="18"/>
                                <w:szCs w:val="22"/>
                              </w:rPr>
                              <w:t>2</w:t>
                            </w:r>
                            <w:r w:rsidR="00135D87">
                              <w:rPr>
                                <w:rFonts w:asciiTheme="majorHAnsi" w:hAnsiTheme="majorHAnsi"/>
                                <w:color w:val="0D0D0D" w:themeColor="text1" w:themeTint="F2"/>
                                <w:sz w:val="18"/>
                                <w:szCs w:val="22"/>
                              </w:rPr>
                              <w:t>3</w:t>
                            </w:r>
                            <w:r w:rsidR="007C515B">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4.5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" filled="f" stroked="f" strokeweight=".5pt">
                <v:textbox>
                  <w:txbxContent>
                    <w:p w14:paraId="179E1DD7" w14:textId="7012A706"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2634E3">
                        <w:rPr>
                          <w:rFonts w:asciiTheme="majorHAnsi" w:hAnsiTheme="majorHAnsi"/>
                          <w:color w:val="0D0D0D" w:themeColor="text1" w:themeTint="F2"/>
                          <w:sz w:val="18"/>
                          <w:szCs w:val="22"/>
                        </w:rPr>
                        <w:t xml:space="preserve">Aprobado electrónicamente por la </w:t>
                      </w:r>
                      <w:r w:rsidRPr="00FA467B">
                        <w:rPr>
                          <w:rFonts w:asciiTheme="majorHAnsi" w:hAnsiTheme="majorHAnsi"/>
                          <w:color w:val="0D0D0D" w:themeColor="text1" w:themeTint="F2"/>
                          <w:sz w:val="18"/>
                          <w:szCs w:val="22"/>
                        </w:rPr>
                        <w:t xml:space="preserve">Comisión el </w:t>
                      </w:r>
                      <w:r w:rsidR="007C515B">
                        <w:rPr>
                          <w:rFonts w:asciiTheme="majorHAnsi" w:hAnsiTheme="majorHAnsi"/>
                          <w:color w:val="0D0D0D" w:themeColor="text1" w:themeTint="F2"/>
                          <w:sz w:val="18"/>
                          <w:szCs w:val="22"/>
                        </w:rPr>
                        <w:t>4</w:t>
                      </w:r>
                      <w:r w:rsidRPr="00FA467B">
                        <w:rPr>
                          <w:rFonts w:asciiTheme="majorHAnsi" w:hAnsiTheme="majorHAnsi"/>
                          <w:color w:val="0D0D0D" w:themeColor="text1" w:themeTint="F2"/>
                          <w:sz w:val="18"/>
                          <w:szCs w:val="22"/>
                        </w:rPr>
                        <w:t xml:space="preserve"> de </w:t>
                      </w:r>
                      <w:r w:rsidR="007C515B">
                        <w:rPr>
                          <w:rFonts w:asciiTheme="majorHAnsi" w:hAnsiTheme="majorHAnsi"/>
                          <w:color w:val="0D0D0D" w:themeColor="text1" w:themeTint="F2"/>
                          <w:sz w:val="18"/>
                          <w:szCs w:val="22"/>
                        </w:rPr>
                        <w:t>junio</w:t>
                      </w:r>
                      <w:r w:rsidR="00F81BB8" w:rsidRPr="00FA467B">
                        <w:rPr>
                          <w:rFonts w:asciiTheme="majorHAnsi" w:hAnsiTheme="majorHAnsi"/>
                          <w:color w:val="0D0D0D" w:themeColor="text1" w:themeTint="F2"/>
                          <w:sz w:val="18"/>
                          <w:szCs w:val="22"/>
                        </w:rPr>
                        <w:t xml:space="preserve"> </w:t>
                      </w:r>
                      <w:r w:rsidRPr="00FA467B">
                        <w:rPr>
                          <w:rFonts w:asciiTheme="majorHAnsi" w:hAnsiTheme="majorHAnsi"/>
                          <w:color w:val="0D0D0D" w:themeColor="text1" w:themeTint="F2"/>
                          <w:sz w:val="18"/>
                          <w:szCs w:val="22"/>
                        </w:rPr>
                        <w:t>de</w:t>
                      </w:r>
                      <w:r w:rsidRPr="002634E3">
                        <w:rPr>
                          <w:rFonts w:asciiTheme="majorHAnsi" w:hAnsiTheme="majorHAnsi"/>
                          <w:color w:val="0D0D0D" w:themeColor="text1" w:themeTint="F2"/>
                          <w:sz w:val="18"/>
                          <w:szCs w:val="22"/>
                        </w:rPr>
                        <w:t xml:space="preserve"> 20</w:t>
                      </w:r>
                      <w:r w:rsidR="00C23BA4" w:rsidRPr="002634E3">
                        <w:rPr>
                          <w:rFonts w:asciiTheme="majorHAnsi" w:hAnsiTheme="majorHAnsi"/>
                          <w:color w:val="0D0D0D" w:themeColor="text1" w:themeTint="F2"/>
                          <w:sz w:val="18"/>
                          <w:szCs w:val="22"/>
                        </w:rPr>
                        <w:t>2</w:t>
                      </w:r>
                      <w:r w:rsidR="00135D87">
                        <w:rPr>
                          <w:rFonts w:asciiTheme="majorHAnsi" w:hAnsiTheme="majorHAnsi"/>
                          <w:color w:val="0D0D0D" w:themeColor="text1" w:themeTint="F2"/>
                          <w:sz w:val="18"/>
                          <w:szCs w:val="22"/>
                        </w:rPr>
                        <w:t>3</w:t>
                      </w:r>
                      <w:r w:rsidR="007C515B">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6E2301" w:rsidRDefault="00A50FCF" w:rsidP="00040C3A">
      <w:pPr>
        <w:tabs>
          <w:tab w:val="center" w:pos="5400"/>
        </w:tabs>
        <w:suppressAutoHyphens/>
        <w:jc w:val="center"/>
        <w:rPr>
          <w:rFonts w:asciiTheme="majorHAnsi" w:hAnsiTheme="majorHAnsi"/>
          <w:sz w:val="18"/>
          <w:szCs w:val="22"/>
        </w:rPr>
      </w:pPr>
    </w:p>
    <w:p w14:paraId="28FED950" w14:textId="77777777" w:rsidR="00A50FCF" w:rsidRPr="006E2301" w:rsidRDefault="00A50FCF" w:rsidP="00040C3A">
      <w:pPr>
        <w:tabs>
          <w:tab w:val="center" w:pos="5400"/>
        </w:tabs>
        <w:suppressAutoHyphens/>
        <w:jc w:val="center"/>
        <w:rPr>
          <w:rFonts w:asciiTheme="majorHAnsi" w:hAnsiTheme="majorHAnsi"/>
          <w:sz w:val="18"/>
          <w:szCs w:val="22"/>
        </w:rPr>
      </w:pPr>
    </w:p>
    <w:p w14:paraId="53E3A276" w14:textId="77777777" w:rsidR="00A50FCF" w:rsidRPr="006E2301" w:rsidRDefault="00A50FCF" w:rsidP="00040C3A">
      <w:pPr>
        <w:tabs>
          <w:tab w:val="center" w:pos="5400"/>
        </w:tabs>
        <w:suppressAutoHyphens/>
        <w:jc w:val="center"/>
        <w:rPr>
          <w:rFonts w:asciiTheme="majorHAnsi" w:hAnsiTheme="majorHAnsi"/>
          <w:sz w:val="18"/>
          <w:szCs w:val="22"/>
        </w:rPr>
      </w:pPr>
    </w:p>
    <w:p w14:paraId="5EDC5EE2" w14:textId="77777777" w:rsidR="00A50FCF" w:rsidRPr="006E2301" w:rsidRDefault="00A50FCF" w:rsidP="00040C3A">
      <w:pPr>
        <w:tabs>
          <w:tab w:val="center" w:pos="5400"/>
        </w:tabs>
        <w:suppressAutoHyphens/>
        <w:jc w:val="center"/>
        <w:rPr>
          <w:rFonts w:asciiTheme="majorHAnsi" w:hAnsiTheme="majorHAnsi"/>
          <w:sz w:val="18"/>
          <w:szCs w:val="22"/>
        </w:rPr>
      </w:pPr>
    </w:p>
    <w:p w14:paraId="4730F205" w14:textId="77777777" w:rsidR="00A50FCF" w:rsidRPr="006E2301" w:rsidRDefault="0090270B" w:rsidP="00040C3A">
      <w:pPr>
        <w:tabs>
          <w:tab w:val="center" w:pos="5400"/>
        </w:tabs>
        <w:suppressAutoHyphens/>
        <w:jc w:val="center"/>
        <w:rPr>
          <w:rFonts w:asciiTheme="majorHAnsi" w:hAnsiTheme="majorHAnsi"/>
          <w:sz w:val="18"/>
          <w:szCs w:val="22"/>
        </w:rPr>
      </w:pPr>
      <w:r w:rsidRPr="006E230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1B35F" w14:textId="77777777" w:rsidR="00AE33B7"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w:t>
                            </w:r>
                            <w:r w:rsidRPr="00FA467B">
                              <w:rPr>
                                <w:rFonts w:asciiTheme="majorHAnsi" w:hAnsiTheme="majorHAnsi"/>
                                <w:color w:val="595959" w:themeColor="text1" w:themeTint="A6"/>
                                <w:sz w:val="18"/>
                                <w:szCs w:val="18"/>
                                <w:lang w:val="pt-BR"/>
                              </w:rPr>
                              <w:t xml:space="preserve">Informe No. </w:t>
                            </w:r>
                            <w:r w:rsidR="007C515B" w:rsidRPr="007C515B">
                              <w:rPr>
                                <w:rFonts w:asciiTheme="majorHAnsi" w:hAnsiTheme="majorHAnsi"/>
                                <w:color w:val="595959" w:themeColor="text1" w:themeTint="A6"/>
                                <w:sz w:val="18"/>
                                <w:szCs w:val="18"/>
                                <w:lang w:val="pt-BR"/>
                              </w:rPr>
                              <w:t>81</w:t>
                            </w:r>
                            <w:r w:rsidR="007B05C4" w:rsidRPr="007C515B">
                              <w:rPr>
                                <w:rFonts w:asciiTheme="majorHAnsi" w:hAnsiTheme="majorHAnsi"/>
                                <w:color w:val="595959" w:themeColor="text1" w:themeTint="A6"/>
                                <w:sz w:val="18"/>
                                <w:szCs w:val="18"/>
                                <w:lang w:val="pt-BR"/>
                              </w:rPr>
                              <w:t>/</w:t>
                            </w:r>
                            <w:r w:rsidR="00ED2342" w:rsidRPr="007C515B">
                              <w:rPr>
                                <w:rFonts w:asciiTheme="majorHAnsi" w:hAnsiTheme="majorHAnsi"/>
                                <w:color w:val="595959" w:themeColor="text1" w:themeTint="A6"/>
                                <w:sz w:val="18"/>
                                <w:szCs w:val="18"/>
                                <w:lang w:val="pt-BR"/>
                              </w:rPr>
                              <w:t>2</w:t>
                            </w:r>
                            <w:r w:rsidR="007D715E" w:rsidRPr="007C515B">
                              <w:rPr>
                                <w:rFonts w:asciiTheme="majorHAnsi" w:hAnsiTheme="majorHAnsi"/>
                                <w:color w:val="595959" w:themeColor="text1" w:themeTint="A6"/>
                                <w:sz w:val="18"/>
                                <w:szCs w:val="18"/>
                                <w:lang w:val="pt-BR"/>
                              </w:rPr>
                              <w:t>3</w:t>
                            </w:r>
                            <w:r w:rsidRPr="007C515B">
                              <w:rPr>
                                <w:rFonts w:asciiTheme="majorHAnsi" w:hAnsiTheme="majorHAnsi"/>
                                <w:color w:val="595959" w:themeColor="text1" w:themeTint="A6"/>
                                <w:sz w:val="18"/>
                                <w:szCs w:val="18"/>
                                <w:lang w:val="pt-BR"/>
                              </w:rPr>
                              <w:t xml:space="preserve">. </w:t>
                            </w:r>
                            <w:r w:rsidR="000433C9" w:rsidRPr="00FA467B">
                              <w:rPr>
                                <w:rFonts w:asciiTheme="majorHAnsi" w:hAnsiTheme="majorHAnsi"/>
                                <w:color w:val="595959" w:themeColor="text1" w:themeTint="A6"/>
                                <w:sz w:val="18"/>
                                <w:szCs w:val="18"/>
                              </w:rPr>
                              <w:t xml:space="preserve">Petición </w:t>
                            </w:r>
                            <w:r w:rsidR="00135D87" w:rsidRPr="00FA467B">
                              <w:rPr>
                                <w:rFonts w:asciiTheme="majorHAnsi" w:hAnsiTheme="majorHAnsi"/>
                                <w:color w:val="595959" w:themeColor="text1" w:themeTint="A6"/>
                                <w:sz w:val="18"/>
                                <w:szCs w:val="18"/>
                              </w:rPr>
                              <w:t>1088</w:t>
                            </w:r>
                            <w:r w:rsidR="00FF6E23" w:rsidRPr="00FA467B">
                              <w:rPr>
                                <w:rFonts w:asciiTheme="majorHAnsi" w:hAnsiTheme="majorHAnsi"/>
                                <w:color w:val="595959" w:themeColor="text1" w:themeTint="A6"/>
                                <w:sz w:val="18"/>
                                <w:szCs w:val="18"/>
                              </w:rPr>
                              <w:t>-</w:t>
                            </w:r>
                            <w:r w:rsidR="00135D87" w:rsidRPr="00FA467B">
                              <w:rPr>
                                <w:rFonts w:asciiTheme="majorHAnsi" w:hAnsiTheme="majorHAnsi"/>
                                <w:color w:val="595959" w:themeColor="text1" w:themeTint="A6"/>
                                <w:sz w:val="18"/>
                                <w:szCs w:val="18"/>
                              </w:rPr>
                              <w:t>11</w:t>
                            </w:r>
                            <w:r w:rsidR="000433C9" w:rsidRPr="00FA467B">
                              <w:rPr>
                                <w:rFonts w:asciiTheme="majorHAnsi" w:hAnsiTheme="majorHAnsi"/>
                                <w:color w:val="595959" w:themeColor="text1" w:themeTint="A6"/>
                                <w:sz w:val="18"/>
                                <w:szCs w:val="18"/>
                              </w:rPr>
                              <w:t xml:space="preserve">. </w:t>
                            </w:r>
                            <w:r w:rsidRPr="00FA467B">
                              <w:rPr>
                                <w:rFonts w:asciiTheme="majorHAnsi" w:hAnsiTheme="majorHAnsi"/>
                                <w:color w:val="595959" w:themeColor="text1" w:themeTint="A6"/>
                                <w:sz w:val="18"/>
                                <w:szCs w:val="18"/>
                              </w:rPr>
                              <w:t xml:space="preserve">Inadmisibilidad. </w:t>
                            </w:r>
                          </w:p>
                          <w:p w14:paraId="7FD77785" w14:textId="3783761B" w:rsidR="00113F73" w:rsidRPr="007B05C4" w:rsidRDefault="00C85277" w:rsidP="00113F73">
                            <w:pPr>
                              <w:spacing w:line="276" w:lineRule="auto"/>
                              <w:rPr>
                                <w:rFonts w:asciiTheme="majorHAnsi" w:hAnsiTheme="majorHAnsi"/>
                                <w:color w:val="595959" w:themeColor="text1" w:themeTint="A6"/>
                                <w:sz w:val="18"/>
                                <w:szCs w:val="18"/>
                              </w:rPr>
                            </w:pPr>
                            <w:r w:rsidRPr="00FA467B">
                              <w:rPr>
                                <w:rFonts w:asciiTheme="majorHAnsi" w:hAnsiTheme="majorHAnsi"/>
                                <w:color w:val="595959" w:themeColor="text1" w:themeTint="A6"/>
                                <w:sz w:val="18"/>
                                <w:szCs w:val="18"/>
                              </w:rPr>
                              <w:t>Alba Teresa Sánchez Vera e hijo</w:t>
                            </w:r>
                            <w:r w:rsidR="00AA2F73" w:rsidRPr="00FA467B">
                              <w:rPr>
                                <w:rFonts w:asciiTheme="majorHAnsi" w:hAnsiTheme="majorHAnsi"/>
                                <w:color w:val="595959" w:themeColor="text1" w:themeTint="A6"/>
                                <w:sz w:val="18"/>
                                <w:szCs w:val="18"/>
                              </w:rPr>
                              <w:t xml:space="preserve">. </w:t>
                            </w:r>
                            <w:r w:rsidR="00FF6E23" w:rsidRPr="00FA467B">
                              <w:rPr>
                                <w:rFonts w:asciiTheme="majorHAnsi" w:hAnsiTheme="majorHAnsi"/>
                                <w:color w:val="595959" w:themeColor="text1" w:themeTint="A6"/>
                                <w:sz w:val="18"/>
                                <w:szCs w:val="18"/>
                              </w:rPr>
                              <w:t>Ecuador</w:t>
                            </w:r>
                            <w:r w:rsidR="00113F73" w:rsidRPr="00FA467B">
                              <w:rPr>
                                <w:rFonts w:asciiTheme="majorHAnsi" w:hAnsiTheme="majorHAnsi"/>
                                <w:color w:val="595959" w:themeColor="text1" w:themeTint="A6"/>
                                <w:sz w:val="18"/>
                                <w:szCs w:val="18"/>
                              </w:rPr>
                              <w:t xml:space="preserve">. </w:t>
                            </w:r>
                            <w:r w:rsidR="00AE33B7">
                              <w:rPr>
                                <w:rFonts w:asciiTheme="majorHAnsi" w:hAnsiTheme="majorHAnsi"/>
                                <w:color w:val="595959" w:themeColor="text1" w:themeTint="A6"/>
                                <w:sz w:val="18"/>
                                <w:szCs w:val="18"/>
                              </w:rPr>
                              <w:t>4 de junio de 2023</w:t>
                            </w:r>
                            <w:r w:rsidR="00113F73" w:rsidRPr="00FA467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261B35F" w14:textId="77777777" w:rsidR="00AE33B7"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w:t>
                      </w:r>
                      <w:r w:rsidRPr="00FA467B">
                        <w:rPr>
                          <w:rFonts w:asciiTheme="majorHAnsi" w:hAnsiTheme="majorHAnsi"/>
                          <w:color w:val="595959" w:themeColor="text1" w:themeTint="A6"/>
                          <w:sz w:val="18"/>
                          <w:szCs w:val="18"/>
                          <w:lang w:val="pt-BR"/>
                        </w:rPr>
                        <w:t xml:space="preserve">Informe No. </w:t>
                      </w:r>
                      <w:r w:rsidR="007C515B" w:rsidRPr="007C515B">
                        <w:rPr>
                          <w:rFonts w:asciiTheme="majorHAnsi" w:hAnsiTheme="majorHAnsi"/>
                          <w:color w:val="595959" w:themeColor="text1" w:themeTint="A6"/>
                          <w:sz w:val="18"/>
                          <w:szCs w:val="18"/>
                          <w:lang w:val="pt-BR"/>
                        </w:rPr>
                        <w:t>81</w:t>
                      </w:r>
                      <w:r w:rsidR="007B05C4" w:rsidRPr="007C515B">
                        <w:rPr>
                          <w:rFonts w:asciiTheme="majorHAnsi" w:hAnsiTheme="majorHAnsi"/>
                          <w:color w:val="595959" w:themeColor="text1" w:themeTint="A6"/>
                          <w:sz w:val="18"/>
                          <w:szCs w:val="18"/>
                          <w:lang w:val="pt-BR"/>
                        </w:rPr>
                        <w:t>/</w:t>
                      </w:r>
                      <w:r w:rsidR="00ED2342" w:rsidRPr="007C515B">
                        <w:rPr>
                          <w:rFonts w:asciiTheme="majorHAnsi" w:hAnsiTheme="majorHAnsi"/>
                          <w:color w:val="595959" w:themeColor="text1" w:themeTint="A6"/>
                          <w:sz w:val="18"/>
                          <w:szCs w:val="18"/>
                          <w:lang w:val="pt-BR"/>
                        </w:rPr>
                        <w:t>2</w:t>
                      </w:r>
                      <w:r w:rsidR="007D715E" w:rsidRPr="007C515B">
                        <w:rPr>
                          <w:rFonts w:asciiTheme="majorHAnsi" w:hAnsiTheme="majorHAnsi"/>
                          <w:color w:val="595959" w:themeColor="text1" w:themeTint="A6"/>
                          <w:sz w:val="18"/>
                          <w:szCs w:val="18"/>
                          <w:lang w:val="pt-BR"/>
                        </w:rPr>
                        <w:t>3</w:t>
                      </w:r>
                      <w:r w:rsidRPr="007C515B">
                        <w:rPr>
                          <w:rFonts w:asciiTheme="majorHAnsi" w:hAnsiTheme="majorHAnsi"/>
                          <w:color w:val="595959" w:themeColor="text1" w:themeTint="A6"/>
                          <w:sz w:val="18"/>
                          <w:szCs w:val="18"/>
                          <w:lang w:val="pt-BR"/>
                        </w:rPr>
                        <w:t xml:space="preserve">. </w:t>
                      </w:r>
                      <w:r w:rsidR="000433C9" w:rsidRPr="00FA467B">
                        <w:rPr>
                          <w:rFonts w:asciiTheme="majorHAnsi" w:hAnsiTheme="majorHAnsi"/>
                          <w:color w:val="595959" w:themeColor="text1" w:themeTint="A6"/>
                          <w:sz w:val="18"/>
                          <w:szCs w:val="18"/>
                        </w:rPr>
                        <w:t xml:space="preserve">Petición </w:t>
                      </w:r>
                      <w:r w:rsidR="00135D87" w:rsidRPr="00FA467B">
                        <w:rPr>
                          <w:rFonts w:asciiTheme="majorHAnsi" w:hAnsiTheme="majorHAnsi"/>
                          <w:color w:val="595959" w:themeColor="text1" w:themeTint="A6"/>
                          <w:sz w:val="18"/>
                          <w:szCs w:val="18"/>
                        </w:rPr>
                        <w:t>1088</w:t>
                      </w:r>
                      <w:r w:rsidR="00FF6E23" w:rsidRPr="00FA467B">
                        <w:rPr>
                          <w:rFonts w:asciiTheme="majorHAnsi" w:hAnsiTheme="majorHAnsi"/>
                          <w:color w:val="595959" w:themeColor="text1" w:themeTint="A6"/>
                          <w:sz w:val="18"/>
                          <w:szCs w:val="18"/>
                        </w:rPr>
                        <w:t>-</w:t>
                      </w:r>
                      <w:r w:rsidR="00135D87" w:rsidRPr="00FA467B">
                        <w:rPr>
                          <w:rFonts w:asciiTheme="majorHAnsi" w:hAnsiTheme="majorHAnsi"/>
                          <w:color w:val="595959" w:themeColor="text1" w:themeTint="A6"/>
                          <w:sz w:val="18"/>
                          <w:szCs w:val="18"/>
                        </w:rPr>
                        <w:t>11</w:t>
                      </w:r>
                      <w:r w:rsidR="000433C9" w:rsidRPr="00FA467B">
                        <w:rPr>
                          <w:rFonts w:asciiTheme="majorHAnsi" w:hAnsiTheme="majorHAnsi"/>
                          <w:color w:val="595959" w:themeColor="text1" w:themeTint="A6"/>
                          <w:sz w:val="18"/>
                          <w:szCs w:val="18"/>
                        </w:rPr>
                        <w:t xml:space="preserve">. </w:t>
                      </w:r>
                      <w:r w:rsidRPr="00FA467B">
                        <w:rPr>
                          <w:rFonts w:asciiTheme="majorHAnsi" w:hAnsiTheme="majorHAnsi"/>
                          <w:color w:val="595959" w:themeColor="text1" w:themeTint="A6"/>
                          <w:sz w:val="18"/>
                          <w:szCs w:val="18"/>
                        </w:rPr>
                        <w:t xml:space="preserve">Inadmisibilidad. </w:t>
                      </w:r>
                    </w:p>
                    <w:p w14:paraId="7FD77785" w14:textId="3783761B" w:rsidR="00113F73" w:rsidRPr="007B05C4" w:rsidRDefault="00C85277" w:rsidP="00113F73">
                      <w:pPr>
                        <w:spacing w:line="276" w:lineRule="auto"/>
                        <w:rPr>
                          <w:rFonts w:asciiTheme="majorHAnsi" w:hAnsiTheme="majorHAnsi"/>
                          <w:color w:val="595959" w:themeColor="text1" w:themeTint="A6"/>
                          <w:sz w:val="18"/>
                          <w:szCs w:val="18"/>
                        </w:rPr>
                      </w:pPr>
                      <w:r w:rsidRPr="00FA467B">
                        <w:rPr>
                          <w:rFonts w:asciiTheme="majorHAnsi" w:hAnsiTheme="majorHAnsi"/>
                          <w:color w:val="595959" w:themeColor="text1" w:themeTint="A6"/>
                          <w:sz w:val="18"/>
                          <w:szCs w:val="18"/>
                        </w:rPr>
                        <w:t>Alba Teresa Sánchez Vera e hijo</w:t>
                      </w:r>
                      <w:r w:rsidR="00AA2F73" w:rsidRPr="00FA467B">
                        <w:rPr>
                          <w:rFonts w:asciiTheme="majorHAnsi" w:hAnsiTheme="majorHAnsi"/>
                          <w:color w:val="595959" w:themeColor="text1" w:themeTint="A6"/>
                          <w:sz w:val="18"/>
                          <w:szCs w:val="18"/>
                        </w:rPr>
                        <w:t xml:space="preserve">. </w:t>
                      </w:r>
                      <w:r w:rsidR="00FF6E23" w:rsidRPr="00FA467B">
                        <w:rPr>
                          <w:rFonts w:asciiTheme="majorHAnsi" w:hAnsiTheme="majorHAnsi"/>
                          <w:color w:val="595959" w:themeColor="text1" w:themeTint="A6"/>
                          <w:sz w:val="18"/>
                          <w:szCs w:val="18"/>
                        </w:rPr>
                        <w:t>Ecuador</w:t>
                      </w:r>
                      <w:r w:rsidR="00113F73" w:rsidRPr="00FA467B">
                        <w:rPr>
                          <w:rFonts w:asciiTheme="majorHAnsi" w:hAnsiTheme="majorHAnsi"/>
                          <w:color w:val="595959" w:themeColor="text1" w:themeTint="A6"/>
                          <w:sz w:val="18"/>
                          <w:szCs w:val="18"/>
                        </w:rPr>
                        <w:t xml:space="preserve">. </w:t>
                      </w:r>
                      <w:r w:rsidR="00AE33B7">
                        <w:rPr>
                          <w:rFonts w:asciiTheme="majorHAnsi" w:hAnsiTheme="majorHAnsi"/>
                          <w:color w:val="595959" w:themeColor="text1" w:themeTint="A6"/>
                          <w:sz w:val="18"/>
                          <w:szCs w:val="18"/>
                        </w:rPr>
                        <w:t>4 de junio de 2023</w:t>
                      </w:r>
                      <w:r w:rsidR="00113F73" w:rsidRPr="00FA467B">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6E2301" w:rsidRDefault="00A50FCF" w:rsidP="00040C3A">
      <w:pPr>
        <w:tabs>
          <w:tab w:val="center" w:pos="5400"/>
        </w:tabs>
        <w:suppressAutoHyphens/>
        <w:jc w:val="center"/>
        <w:rPr>
          <w:rFonts w:asciiTheme="majorHAnsi" w:hAnsiTheme="majorHAnsi"/>
          <w:sz w:val="18"/>
          <w:szCs w:val="22"/>
        </w:rPr>
      </w:pPr>
    </w:p>
    <w:p w14:paraId="0C9396CC" w14:textId="77777777" w:rsidR="0090270B" w:rsidRPr="006E2301" w:rsidRDefault="00D306D1" w:rsidP="005516A1">
      <w:pPr>
        <w:tabs>
          <w:tab w:val="center" w:pos="5400"/>
        </w:tabs>
        <w:suppressAutoHyphens/>
        <w:jc w:val="center"/>
        <w:rPr>
          <w:rFonts w:asciiTheme="majorHAnsi" w:hAnsiTheme="majorHAnsi"/>
          <w:b/>
          <w:sz w:val="20"/>
        </w:rPr>
      </w:pPr>
      <w:r w:rsidRPr="006E230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E230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6E2301" w:rsidRDefault="004A6A54" w:rsidP="005516A1">
      <w:pPr>
        <w:tabs>
          <w:tab w:val="center" w:pos="5400"/>
        </w:tabs>
        <w:suppressAutoHyphens/>
        <w:jc w:val="center"/>
        <w:rPr>
          <w:rFonts w:asciiTheme="majorHAnsi" w:hAnsiTheme="majorHAnsi"/>
          <w:b/>
          <w:sz w:val="20"/>
        </w:rPr>
        <w:sectPr w:rsidR="0070697F" w:rsidRPr="006E230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6E2301">
        <w:rPr>
          <w:rFonts w:asciiTheme="majorHAnsi" w:hAnsiTheme="majorHAnsi"/>
          <w:b/>
          <w:sz w:val="20"/>
        </w:rPr>
        <w:tab/>
      </w:r>
    </w:p>
    <w:p w14:paraId="2786EE58" w14:textId="77777777" w:rsidR="003239B8" w:rsidRPr="006E2301" w:rsidRDefault="003239B8" w:rsidP="004A6A54">
      <w:pPr>
        <w:spacing w:after="240"/>
        <w:ind w:firstLine="720"/>
        <w:jc w:val="both"/>
        <w:rPr>
          <w:rFonts w:asciiTheme="majorHAnsi" w:hAnsiTheme="majorHAnsi"/>
          <w:b/>
          <w:bCs/>
          <w:sz w:val="20"/>
          <w:szCs w:val="20"/>
        </w:rPr>
      </w:pPr>
      <w:r w:rsidRPr="006E2301">
        <w:rPr>
          <w:rFonts w:asciiTheme="majorHAnsi" w:hAnsiTheme="majorHAnsi"/>
          <w:b/>
          <w:bCs/>
          <w:sz w:val="20"/>
          <w:szCs w:val="20"/>
        </w:rPr>
        <w:lastRenderedPageBreak/>
        <w:t>I.</w:t>
      </w:r>
      <w:r w:rsidRPr="006E2301">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E230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6E2301" w:rsidRDefault="003239B8">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Parte peticionaria:</w:t>
            </w:r>
          </w:p>
        </w:tc>
        <w:tc>
          <w:tcPr>
            <w:tcW w:w="5647" w:type="dxa"/>
            <w:vAlign w:val="center"/>
          </w:tcPr>
          <w:p w14:paraId="07DAAE2E" w14:textId="730BE34E" w:rsidR="003239B8" w:rsidRPr="006E2301" w:rsidRDefault="00F832EB">
            <w:pPr>
              <w:jc w:val="both"/>
              <w:rPr>
                <w:rFonts w:asciiTheme="majorHAnsi" w:hAnsiTheme="majorHAnsi"/>
                <w:bCs/>
                <w:sz w:val="20"/>
                <w:szCs w:val="20"/>
              </w:rPr>
            </w:pPr>
            <w:r>
              <w:rPr>
                <w:rFonts w:asciiTheme="majorHAnsi" w:hAnsiTheme="majorHAnsi"/>
                <w:bCs/>
                <w:sz w:val="20"/>
                <w:szCs w:val="20"/>
              </w:rPr>
              <w:t xml:space="preserve">Alba </w:t>
            </w:r>
            <w:r w:rsidR="00F31E25">
              <w:rPr>
                <w:rFonts w:asciiTheme="majorHAnsi" w:hAnsiTheme="majorHAnsi"/>
                <w:bCs/>
                <w:sz w:val="20"/>
                <w:szCs w:val="20"/>
              </w:rPr>
              <w:t xml:space="preserve">Teresa </w:t>
            </w:r>
            <w:r>
              <w:rPr>
                <w:rFonts w:asciiTheme="majorHAnsi" w:hAnsiTheme="majorHAnsi"/>
                <w:bCs/>
                <w:sz w:val="20"/>
                <w:szCs w:val="20"/>
              </w:rPr>
              <w:t>Sánchez Vera</w:t>
            </w:r>
          </w:p>
        </w:tc>
      </w:tr>
      <w:tr w:rsidR="003239B8" w:rsidRPr="0005565D"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0085C4AD" w:rsidR="003239B8" w:rsidRPr="006E2301" w:rsidRDefault="006141D6">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9A7B31">
                  <w:rPr>
                    <w:rFonts w:asciiTheme="majorHAnsi" w:hAnsiTheme="majorHAnsi"/>
                    <w:b/>
                    <w:bCs/>
                    <w:color w:val="FFFFFF" w:themeColor="background1"/>
                    <w:sz w:val="20"/>
                    <w:szCs w:val="20"/>
                  </w:rPr>
                  <w:t>Presuntas víctimas</w:t>
                </w:r>
              </w:sdtContent>
            </w:sdt>
            <w:r w:rsidR="003239B8" w:rsidRPr="006E2301">
              <w:rPr>
                <w:rFonts w:asciiTheme="majorHAnsi" w:hAnsiTheme="majorHAnsi"/>
                <w:b/>
                <w:bCs/>
                <w:color w:val="FFFFFF" w:themeColor="background1"/>
                <w:sz w:val="20"/>
                <w:szCs w:val="20"/>
              </w:rPr>
              <w:t>:</w:t>
            </w:r>
          </w:p>
        </w:tc>
        <w:tc>
          <w:tcPr>
            <w:tcW w:w="5647" w:type="dxa"/>
            <w:vAlign w:val="center"/>
          </w:tcPr>
          <w:p w14:paraId="143D44A8" w14:textId="444FCFFF" w:rsidR="003239B8" w:rsidRPr="00B4425E" w:rsidRDefault="00F832EB">
            <w:pPr>
              <w:jc w:val="both"/>
              <w:rPr>
                <w:rFonts w:asciiTheme="majorHAnsi" w:hAnsiTheme="majorHAnsi"/>
                <w:bCs/>
                <w:sz w:val="20"/>
                <w:szCs w:val="20"/>
                <w:lang w:val="pt-BR"/>
              </w:rPr>
            </w:pPr>
            <w:r w:rsidRPr="00B4425E">
              <w:rPr>
                <w:rFonts w:asciiTheme="majorHAnsi" w:hAnsiTheme="majorHAnsi"/>
                <w:bCs/>
                <w:sz w:val="20"/>
                <w:szCs w:val="20"/>
                <w:lang w:val="pt-BR"/>
              </w:rPr>
              <w:t xml:space="preserve">Alba </w:t>
            </w:r>
            <w:r w:rsidR="00F31E25" w:rsidRPr="00B4425E">
              <w:rPr>
                <w:rFonts w:asciiTheme="majorHAnsi" w:hAnsiTheme="majorHAnsi"/>
                <w:bCs/>
                <w:sz w:val="20"/>
                <w:szCs w:val="20"/>
                <w:lang w:val="pt-BR"/>
              </w:rPr>
              <w:t xml:space="preserve">Teresa </w:t>
            </w:r>
            <w:r w:rsidRPr="00B4425E">
              <w:rPr>
                <w:rFonts w:asciiTheme="majorHAnsi" w:hAnsiTheme="majorHAnsi"/>
                <w:bCs/>
                <w:sz w:val="20"/>
                <w:szCs w:val="20"/>
                <w:lang w:val="pt-BR"/>
              </w:rPr>
              <w:t>Sánchez Vera</w:t>
            </w:r>
            <w:r w:rsidR="009A7B31" w:rsidRPr="00B4425E">
              <w:rPr>
                <w:rFonts w:asciiTheme="majorHAnsi" w:hAnsiTheme="majorHAnsi"/>
                <w:bCs/>
                <w:sz w:val="20"/>
                <w:szCs w:val="20"/>
                <w:lang w:val="pt-BR"/>
              </w:rPr>
              <w:t xml:space="preserve"> e Ider Fabián Palaci</w:t>
            </w:r>
            <w:r w:rsidR="00D112A5" w:rsidRPr="00B4425E">
              <w:rPr>
                <w:rFonts w:asciiTheme="majorHAnsi" w:hAnsiTheme="majorHAnsi"/>
                <w:bCs/>
                <w:sz w:val="20"/>
                <w:szCs w:val="20"/>
                <w:lang w:val="pt-BR"/>
              </w:rPr>
              <w:t>o</w:t>
            </w:r>
            <w:r w:rsidR="009A7B31" w:rsidRPr="00B4425E">
              <w:rPr>
                <w:rFonts w:asciiTheme="majorHAnsi" w:hAnsiTheme="majorHAnsi"/>
                <w:bCs/>
                <w:sz w:val="20"/>
                <w:szCs w:val="20"/>
                <w:lang w:val="pt-BR"/>
              </w:rPr>
              <w:t>s Vera</w:t>
            </w:r>
          </w:p>
        </w:tc>
      </w:tr>
      <w:tr w:rsidR="003239B8" w:rsidRPr="006E2301"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6E2301" w:rsidRDefault="003239B8">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Estado denunciado:</w:t>
            </w:r>
          </w:p>
        </w:tc>
        <w:tc>
          <w:tcPr>
            <w:tcW w:w="5647" w:type="dxa"/>
            <w:vAlign w:val="center"/>
          </w:tcPr>
          <w:p w14:paraId="5D0EC05D" w14:textId="7B653C22" w:rsidR="003239B8" w:rsidRPr="006E2301" w:rsidRDefault="00FF6E23">
            <w:pPr>
              <w:jc w:val="both"/>
              <w:rPr>
                <w:rFonts w:asciiTheme="majorHAnsi" w:hAnsiTheme="majorHAnsi"/>
                <w:bCs/>
                <w:sz w:val="20"/>
                <w:szCs w:val="20"/>
              </w:rPr>
            </w:pPr>
            <w:r w:rsidRPr="006E2301">
              <w:rPr>
                <w:rFonts w:asciiTheme="majorHAnsi" w:hAnsiTheme="majorHAnsi"/>
                <w:bCs/>
                <w:sz w:val="20"/>
                <w:szCs w:val="20"/>
              </w:rPr>
              <w:t>Ecuador</w:t>
            </w:r>
          </w:p>
        </w:tc>
      </w:tr>
      <w:tr w:rsidR="000449F7" w:rsidRPr="006E230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0449F7" w:rsidRPr="006E2301" w:rsidRDefault="000449F7" w:rsidP="000449F7">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Derechos invocados:</w:t>
            </w:r>
          </w:p>
        </w:tc>
        <w:tc>
          <w:tcPr>
            <w:tcW w:w="5647" w:type="dxa"/>
            <w:vAlign w:val="center"/>
          </w:tcPr>
          <w:p w14:paraId="52B28392" w14:textId="3D519E18" w:rsidR="00E955AB" w:rsidRPr="00F77EF2" w:rsidRDefault="00395882" w:rsidP="000449F7">
            <w:pPr>
              <w:jc w:val="both"/>
              <w:rPr>
                <w:rFonts w:asciiTheme="majorHAnsi" w:hAnsiTheme="majorHAnsi"/>
                <w:bCs/>
                <w:sz w:val="20"/>
                <w:szCs w:val="20"/>
              </w:rPr>
            </w:pPr>
            <w:r w:rsidRPr="00F77EF2">
              <w:rPr>
                <w:rFonts w:asciiTheme="majorHAnsi" w:hAnsiTheme="majorHAnsi"/>
                <w:bCs/>
                <w:sz w:val="20"/>
                <w:szCs w:val="20"/>
              </w:rPr>
              <w:t>Artículo</w:t>
            </w:r>
            <w:r w:rsidR="001926ED" w:rsidRPr="00F77EF2">
              <w:rPr>
                <w:rFonts w:asciiTheme="majorHAnsi" w:hAnsiTheme="majorHAnsi"/>
                <w:bCs/>
                <w:sz w:val="20"/>
                <w:szCs w:val="20"/>
              </w:rPr>
              <w:t>s 4 (vida),</w:t>
            </w:r>
            <w:r w:rsidRPr="00F77EF2">
              <w:rPr>
                <w:rFonts w:asciiTheme="majorHAnsi" w:hAnsiTheme="majorHAnsi"/>
                <w:bCs/>
                <w:sz w:val="20"/>
                <w:szCs w:val="20"/>
              </w:rPr>
              <w:t xml:space="preserve"> 8</w:t>
            </w:r>
            <w:r w:rsidR="00FB4DAF" w:rsidRPr="00F77EF2">
              <w:rPr>
                <w:rFonts w:asciiTheme="majorHAnsi" w:hAnsiTheme="majorHAnsi"/>
                <w:bCs/>
                <w:sz w:val="20"/>
                <w:szCs w:val="20"/>
              </w:rPr>
              <w:t xml:space="preserve"> (garantías judiciales)</w:t>
            </w:r>
            <w:r w:rsidR="00F17D1D">
              <w:rPr>
                <w:rFonts w:asciiTheme="majorHAnsi" w:hAnsiTheme="majorHAnsi"/>
                <w:bCs/>
                <w:sz w:val="20"/>
                <w:szCs w:val="20"/>
              </w:rPr>
              <w:t>, 24 (igualdad ante la ley)</w:t>
            </w:r>
            <w:r w:rsidR="00FB4DAF" w:rsidRPr="00F77EF2">
              <w:rPr>
                <w:rFonts w:asciiTheme="majorHAnsi" w:hAnsiTheme="majorHAnsi"/>
                <w:bCs/>
                <w:sz w:val="20"/>
                <w:szCs w:val="20"/>
              </w:rPr>
              <w:t xml:space="preserve"> </w:t>
            </w:r>
            <w:r w:rsidR="001926ED" w:rsidRPr="00F77EF2">
              <w:rPr>
                <w:rFonts w:asciiTheme="majorHAnsi" w:hAnsiTheme="majorHAnsi"/>
                <w:bCs/>
                <w:sz w:val="20"/>
                <w:szCs w:val="20"/>
              </w:rPr>
              <w:t xml:space="preserve">y 25 (protección judicial) </w:t>
            </w:r>
            <w:r w:rsidR="000449F7" w:rsidRPr="00F77EF2">
              <w:rPr>
                <w:rFonts w:asciiTheme="majorHAnsi" w:hAnsiTheme="majorHAnsi"/>
                <w:bCs/>
                <w:sz w:val="20"/>
                <w:szCs w:val="20"/>
              </w:rPr>
              <w:t>de la Convención Americana sobre Derechos Humanos</w:t>
            </w:r>
            <w:r w:rsidR="000449F7" w:rsidRPr="00F77EF2">
              <w:rPr>
                <w:rStyle w:val="FootnoteReference"/>
                <w:rFonts w:asciiTheme="majorHAnsi" w:hAnsiTheme="majorHAnsi"/>
                <w:bCs/>
                <w:sz w:val="20"/>
                <w:szCs w:val="20"/>
              </w:rPr>
              <w:footnoteReference w:id="2"/>
            </w:r>
          </w:p>
        </w:tc>
      </w:tr>
    </w:tbl>
    <w:p w14:paraId="176FB213" w14:textId="77777777" w:rsidR="003239B8" w:rsidRPr="006E2301" w:rsidRDefault="003239B8" w:rsidP="003239B8">
      <w:pPr>
        <w:spacing w:before="240" w:after="240"/>
        <w:ind w:firstLine="720"/>
        <w:jc w:val="both"/>
        <w:rPr>
          <w:rFonts w:asciiTheme="majorHAnsi" w:hAnsiTheme="majorHAnsi"/>
          <w:b/>
          <w:bCs/>
          <w:sz w:val="20"/>
          <w:szCs w:val="20"/>
        </w:rPr>
      </w:pPr>
      <w:r w:rsidRPr="006E2301">
        <w:rPr>
          <w:rFonts w:asciiTheme="majorHAnsi" w:hAnsiTheme="majorHAnsi"/>
          <w:b/>
          <w:bCs/>
          <w:sz w:val="20"/>
          <w:szCs w:val="20"/>
        </w:rPr>
        <w:t>II.</w:t>
      </w:r>
      <w:r w:rsidRPr="006E2301">
        <w:rPr>
          <w:rFonts w:asciiTheme="majorHAnsi" w:hAnsiTheme="majorHAnsi"/>
          <w:b/>
          <w:bCs/>
          <w:sz w:val="20"/>
          <w:szCs w:val="20"/>
        </w:rPr>
        <w:tab/>
        <w:t>TRÁMITE ANTE LA CIDH</w:t>
      </w:r>
      <w:r w:rsidR="008E3BFE" w:rsidRPr="006E2301">
        <w:rPr>
          <w:rStyle w:val="FootnoteReference"/>
          <w:rFonts w:asciiTheme="majorHAnsi" w:hAnsiTheme="majorHAnsi"/>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6E2301"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6E2301" w:rsidRDefault="004A6A54" w:rsidP="004A6A54">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P</w:t>
            </w:r>
            <w:r w:rsidR="004C2312" w:rsidRPr="006E2301">
              <w:rPr>
                <w:rFonts w:asciiTheme="majorHAnsi" w:hAnsiTheme="majorHAnsi"/>
                <w:b/>
                <w:bCs/>
                <w:color w:val="FFFFFF" w:themeColor="background1"/>
                <w:sz w:val="20"/>
                <w:szCs w:val="20"/>
              </w:rPr>
              <w:t>resentación de la petición:</w:t>
            </w:r>
          </w:p>
        </w:tc>
        <w:tc>
          <w:tcPr>
            <w:tcW w:w="5647" w:type="dxa"/>
            <w:vAlign w:val="center"/>
          </w:tcPr>
          <w:p w14:paraId="6883A5F8" w14:textId="3709D9DE" w:rsidR="004C2312" w:rsidRPr="006E2301" w:rsidRDefault="003F237C">
            <w:pPr>
              <w:jc w:val="both"/>
              <w:rPr>
                <w:rFonts w:asciiTheme="majorHAnsi" w:hAnsiTheme="majorHAnsi"/>
                <w:bCs/>
                <w:sz w:val="20"/>
                <w:szCs w:val="20"/>
              </w:rPr>
            </w:pPr>
            <w:r w:rsidRPr="004D5BB8">
              <w:rPr>
                <w:rFonts w:asciiTheme="majorHAnsi" w:hAnsiTheme="majorHAnsi"/>
                <w:bCs/>
                <w:sz w:val="20"/>
                <w:szCs w:val="20"/>
              </w:rPr>
              <w:t>1</w:t>
            </w:r>
            <w:r w:rsidR="00054821">
              <w:rPr>
                <w:rFonts w:asciiTheme="majorHAnsi" w:hAnsiTheme="majorHAnsi"/>
                <w:bCs/>
                <w:sz w:val="20"/>
                <w:szCs w:val="20"/>
              </w:rPr>
              <w:t>5</w:t>
            </w:r>
            <w:r w:rsidR="00EC353C" w:rsidRPr="004D5BB8">
              <w:rPr>
                <w:rFonts w:asciiTheme="majorHAnsi" w:hAnsiTheme="majorHAnsi"/>
                <w:bCs/>
                <w:sz w:val="20"/>
                <w:szCs w:val="20"/>
              </w:rPr>
              <w:t xml:space="preserve"> de agosto</w:t>
            </w:r>
            <w:r w:rsidR="00EC353C">
              <w:rPr>
                <w:rFonts w:asciiTheme="majorHAnsi" w:hAnsiTheme="majorHAnsi"/>
                <w:bCs/>
                <w:sz w:val="20"/>
                <w:szCs w:val="20"/>
              </w:rPr>
              <w:t xml:space="preserve"> de 2011</w:t>
            </w:r>
          </w:p>
        </w:tc>
      </w:tr>
      <w:tr w:rsidR="00F832EB" w:rsidRPr="006E230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F832EB" w:rsidRPr="006E2301" w:rsidRDefault="00F832EB" w:rsidP="00F832EB">
            <w:pPr>
              <w:jc w:val="center"/>
              <w:rPr>
                <w:rFonts w:asciiTheme="majorHAnsi" w:hAnsiTheme="majorHAnsi"/>
                <w:b/>
                <w:bCs/>
                <w:color w:val="FFFFFF" w:themeColor="background1"/>
                <w:sz w:val="20"/>
                <w:szCs w:val="20"/>
              </w:rPr>
            </w:pPr>
            <w:r w:rsidRPr="006E2301">
              <w:rPr>
                <w:rFonts w:asciiTheme="majorHAnsi" w:hAnsiTheme="majorHAnsi"/>
                <w:b/>
                <w:color w:val="FFFFFF" w:themeColor="background1"/>
                <w:sz w:val="20"/>
                <w:szCs w:val="20"/>
              </w:rPr>
              <w:t>Notificación de la petición al Estado:</w:t>
            </w:r>
          </w:p>
        </w:tc>
        <w:tc>
          <w:tcPr>
            <w:tcW w:w="5647" w:type="dxa"/>
            <w:vAlign w:val="center"/>
          </w:tcPr>
          <w:p w14:paraId="58485921" w14:textId="69F91AD3" w:rsidR="00F832EB" w:rsidRPr="007A6AAD" w:rsidRDefault="004D5BB8" w:rsidP="00F832EB">
            <w:pPr>
              <w:jc w:val="both"/>
              <w:rPr>
                <w:rFonts w:asciiTheme="majorHAnsi" w:hAnsiTheme="majorHAnsi"/>
                <w:bCs/>
                <w:sz w:val="20"/>
                <w:szCs w:val="20"/>
              </w:rPr>
            </w:pPr>
            <w:r>
              <w:rPr>
                <w:rFonts w:asciiTheme="majorHAnsi" w:hAnsiTheme="majorHAnsi"/>
                <w:bCs/>
                <w:sz w:val="20"/>
                <w:szCs w:val="20"/>
              </w:rPr>
              <w:t>5 de septiembre de 2019</w:t>
            </w:r>
          </w:p>
        </w:tc>
      </w:tr>
      <w:tr w:rsidR="00F832EB" w:rsidRPr="006E2301"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F832EB" w:rsidRPr="006E2301" w:rsidRDefault="00F832EB" w:rsidP="00F832EB">
            <w:pPr>
              <w:jc w:val="center"/>
              <w:rPr>
                <w:rFonts w:asciiTheme="majorHAnsi" w:hAnsiTheme="majorHAnsi"/>
                <w:b/>
                <w:bCs/>
                <w:color w:val="FFFFFF" w:themeColor="background1"/>
                <w:sz w:val="20"/>
                <w:szCs w:val="20"/>
              </w:rPr>
            </w:pPr>
            <w:r w:rsidRPr="006E2301">
              <w:rPr>
                <w:rFonts w:asciiTheme="majorHAnsi" w:hAnsiTheme="majorHAnsi"/>
                <w:b/>
                <w:color w:val="FFFFFF" w:themeColor="background1"/>
                <w:sz w:val="20"/>
                <w:szCs w:val="20"/>
              </w:rPr>
              <w:t>Primera respuesta del Estado:</w:t>
            </w:r>
          </w:p>
        </w:tc>
        <w:tc>
          <w:tcPr>
            <w:tcW w:w="5647" w:type="dxa"/>
            <w:vAlign w:val="center"/>
          </w:tcPr>
          <w:p w14:paraId="6B47064C" w14:textId="0E852CEE" w:rsidR="00F832EB" w:rsidRPr="007A6AAD" w:rsidRDefault="004D5BB8" w:rsidP="00F832EB">
            <w:pPr>
              <w:jc w:val="both"/>
              <w:rPr>
                <w:rFonts w:asciiTheme="majorHAnsi" w:hAnsiTheme="majorHAnsi"/>
                <w:bCs/>
                <w:sz w:val="20"/>
                <w:szCs w:val="20"/>
              </w:rPr>
            </w:pPr>
            <w:r>
              <w:rPr>
                <w:rFonts w:asciiTheme="majorHAnsi" w:hAnsiTheme="majorHAnsi"/>
                <w:bCs/>
                <w:sz w:val="20"/>
                <w:szCs w:val="20"/>
              </w:rPr>
              <w:t>12 de febrero de 2020</w:t>
            </w:r>
          </w:p>
        </w:tc>
      </w:tr>
      <w:tr w:rsidR="00F832EB" w:rsidRPr="006E2301" w14:paraId="4EFF4542" w14:textId="77777777" w:rsidTr="00394073">
        <w:tc>
          <w:tcPr>
            <w:tcW w:w="3600" w:type="dxa"/>
            <w:tcBorders>
              <w:top w:val="single" w:sz="6" w:space="0" w:color="auto"/>
              <w:bottom w:val="single" w:sz="6" w:space="0" w:color="auto"/>
            </w:tcBorders>
            <w:shd w:val="clear" w:color="auto" w:fill="386294"/>
            <w:vAlign w:val="center"/>
          </w:tcPr>
          <w:p w14:paraId="61D71413" w14:textId="7EF53AC4" w:rsidR="00F832EB" w:rsidRPr="006E2301" w:rsidRDefault="00F832EB" w:rsidP="00F832EB">
            <w:pPr>
              <w:jc w:val="center"/>
              <w:rPr>
                <w:rFonts w:asciiTheme="majorHAnsi" w:hAnsiTheme="majorHAnsi"/>
                <w:b/>
                <w:color w:val="FFFFFF" w:themeColor="background1"/>
                <w:sz w:val="20"/>
                <w:szCs w:val="20"/>
              </w:rPr>
            </w:pPr>
            <w:r>
              <w:rPr>
                <w:rFonts w:asciiTheme="majorHAnsi" w:hAnsiTheme="majorHAnsi"/>
                <w:b/>
                <w:color w:val="FFFFFF" w:themeColor="background1"/>
                <w:sz w:val="20"/>
                <w:szCs w:val="20"/>
              </w:rPr>
              <w:t>Observaciones adicionales de la parte peticionaria:</w:t>
            </w:r>
          </w:p>
        </w:tc>
        <w:tc>
          <w:tcPr>
            <w:tcW w:w="5647" w:type="dxa"/>
            <w:vAlign w:val="center"/>
          </w:tcPr>
          <w:p w14:paraId="132A0B46" w14:textId="05CE6D27" w:rsidR="00F832EB" w:rsidRPr="007A6AAD" w:rsidRDefault="004D5BB8" w:rsidP="00F832EB">
            <w:pPr>
              <w:jc w:val="both"/>
              <w:rPr>
                <w:rFonts w:asciiTheme="majorHAnsi" w:hAnsiTheme="majorHAnsi"/>
                <w:bCs/>
                <w:sz w:val="20"/>
                <w:szCs w:val="20"/>
              </w:rPr>
            </w:pPr>
            <w:r>
              <w:rPr>
                <w:rFonts w:asciiTheme="majorHAnsi" w:hAnsiTheme="majorHAnsi"/>
                <w:bCs/>
                <w:sz w:val="20"/>
                <w:szCs w:val="20"/>
              </w:rPr>
              <w:t>10 de agosto y 22 de septiembre de 2020</w:t>
            </w:r>
          </w:p>
        </w:tc>
      </w:tr>
    </w:tbl>
    <w:p w14:paraId="0FC6E9E8" w14:textId="77777777" w:rsidR="003239B8" w:rsidRPr="006E2301" w:rsidRDefault="003239B8" w:rsidP="003239B8">
      <w:pPr>
        <w:spacing w:before="240" w:after="240"/>
        <w:ind w:firstLine="720"/>
        <w:jc w:val="both"/>
        <w:rPr>
          <w:rFonts w:asciiTheme="majorHAnsi" w:hAnsiTheme="majorHAnsi"/>
          <w:b/>
          <w:bCs/>
          <w:sz w:val="20"/>
          <w:szCs w:val="20"/>
        </w:rPr>
      </w:pPr>
      <w:r w:rsidRPr="006E2301">
        <w:rPr>
          <w:rFonts w:asciiTheme="majorHAnsi" w:hAnsiTheme="majorHAnsi"/>
          <w:b/>
          <w:bCs/>
          <w:sz w:val="20"/>
          <w:szCs w:val="20"/>
        </w:rPr>
        <w:t xml:space="preserve">III. </w:t>
      </w:r>
      <w:r w:rsidRPr="006E2301">
        <w:rPr>
          <w:rFonts w:asciiTheme="majorHAnsi" w:hAnsiTheme="majorHAnsi"/>
          <w:b/>
          <w:bCs/>
          <w:sz w:val="20"/>
          <w:szCs w:val="20"/>
        </w:rPr>
        <w:tab/>
        <w:t>COMPETENCIA</w:t>
      </w:r>
      <w:r w:rsidR="00EE00E9" w:rsidRPr="006E2301">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E2301"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6E2301" w:rsidRDefault="003239B8">
            <w:pPr>
              <w:jc w:val="center"/>
              <w:rPr>
                <w:rFonts w:asciiTheme="majorHAnsi" w:hAnsiTheme="majorHAnsi"/>
                <w:b/>
                <w:bCs/>
                <w:i/>
                <w:color w:val="FFFFFF" w:themeColor="background1"/>
                <w:sz w:val="20"/>
                <w:szCs w:val="20"/>
              </w:rPr>
            </w:pPr>
            <w:r w:rsidRPr="006E2301">
              <w:rPr>
                <w:rFonts w:asciiTheme="majorHAnsi" w:hAnsiTheme="majorHAnsi"/>
                <w:b/>
                <w:bCs/>
                <w:color w:val="FFFFFF" w:themeColor="background1"/>
                <w:sz w:val="20"/>
                <w:szCs w:val="20"/>
              </w:rPr>
              <w:t>Competencia</w:t>
            </w:r>
            <w:r w:rsidRPr="006E2301">
              <w:rPr>
                <w:rFonts w:asciiTheme="majorHAnsi" w:hAnsiTheme="majorHAnsi"/>
                <w:b/>
                <w:bCs/>
                <w:i/>
                <w:color w:val="FFFFFF" w:themeColor="background1"/>
                <w:sz w:val="20"/>
                <w:szCs w:val="20"/>
              </w:rPr>
              <w:t xml:space="preserve"> Ratione personae:</w:t>
            </w:r>
          </w:p>
        </w:tc>
        <w:tc>
          <w:tcPr>
            <w:tcW w:w="5760" w:type="dxa"/>
            <w:vAlign w:val="center"/>
          </w:tcPr>
          <w:p w14:paraId="1E494D5D" w14:textId="14B9DE8B" w:rsidR="003239B8" w:rsidRPr="006E2301" w:rsidRDefault="004A3217">
            <w:pPr>
              <w:rPr>
                <w:rFonts w:asciiTheme="majorHAnsi" w:hAnsiTheme="majorHAnsi"/>
                <w:bCs/>
                <w:sz w:val="20"/>
                <w:szCs w:val="20"/>
              </w:rPr>
            </w:pPr>
            <w:r w:rsidRPr="006E2301">
              <w:rPr>
                <w:rFonts w:asciiTheme="majorHAnsi" w:hAnsiTheme="majorHAnsi"/>
                <w:bCs/>
                <w:sz w:val="20"/>
                <w:szCs w:val="20"/>
              </w:rPr>
              <w:t xml:space="preserve">Sí </w:t>
            </w:r>
          </w:p>
        </w:tc>
      </w:tr>
      <w:tr w:rsidR="003239B8" w:rsidRPr="006E2301"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6E2301" w:rsidRDefault="003239B8">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Competencia</w:t>
            </w:r>
            <w:r w:rsidRPr="006E2301">
              <w:rPr>
                <w:rFonts w:asciiTheme="majorHAnsi" w:hAnsiTheme="majorHAnsi"/>
                <w:b/>
                <w:bCs/>
                <w:i/>
                <w:color w:val="FFFFFF" w:themeColor="background1"/>
                <w:sz w:val="20"/>
                <w:szCs w:val="20"/>
              </w:rPr>
              <w:t xml:space="preserve"> Ratione loci</w:t>
            </w:r>
            <w:r w:rsidRPr="006E2301">
              <w:rPr>
                <w:rFonts w:asciiTheme="majorHAnsi" w:hAnsiTheme="majorHAnsi"/>
                <w:b/>
                <w:bCs/>
                <w:color w:val="FFFFFF" w:themeColor="background1"/>
                <w:sz w:val="20"/>
                <w:szCs w:val="20"/>
              </w:rPr>
              <w:t>:</w:t>
            </w:r>
          </w:p>
        </w:tc>
        <w:tc>
          <w:tcPr>
            <w:tcW w:w="5760" w:type="dxa"/>
            <w:vAlign w:val="center"/>
          </w:tcPr>
          <w:p w14:paraId="77C8256A" w14:textId="680DC42C" w:rsidR="003239B8" w:rsidRPr="006E2301" w:rsidRDefault="004A3217">
            <w:pPr>
              <w:rPr>
                <w:rFonts w:asciiTheme="majorHAnsi" w:hAnsiTheme="majorHAnsi"/>
                <w:bCs/>
                <w:sz w:val="20"/>
                <w:szCs w:val="20"/>
              </w:rPr>
            </w:pPr>
            <w:r w:rsidRPr="006E2301">
              <w:rPr>
                <w:rFonts w:asciiTheme="majorHAnsi" w:hAnsiTheme="majorHAnsi"/>
                <w:bCs/>
                <w:sz w:val="20"/>
                <w:szCs w:val="20"/>
              </w:rPr>
              <w:t>Sí</w:t>
            </w:r>
          </w:p>
        </w:tc>
      </w:tr>
      <w:tr w:rsidR="003239B8" w:rsidRPr="006E2301"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6E2301" w:rsidRDefault="003239B8">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Competencia</w:t>
            </w:r>
            <w:r w:rsidRPr="006E2301">
              <w:rPr>
                <w:rFonts w:asciiTheme="majorHAnsi" w:hAnsiTheme="majorHAnsi"/>
                <w:b/>
                <w:bCs/>
                <w:i/>
                <w:color w:val="FFFFFF" w:themeColor="background1"/>
                <w:sz w:val="20"/>
                <w:szCs w:val="20"/>
              </w:rPr>
              <w:t xml:space="preserve"> Ratione temporis</w:t>
            </w:r>
            <w:r w:rsidRPr="006E2301">
              <w:rPr>
                <w:rFonts w:asciiTheme="majorHAnsi" w:hAnsiTheme="majorHAnsi"/>
                <w:b/>
                <w:bCs/>
                <w:color w:val="FFFFFF" w:themeColor="background1"/>
                <w:sz w:val="20"/>
                <w:szCs w:val="20"/>
              </w:rPr>
              <w:t>:</w:t>
            </w:r>
          </w:p>
        </w:tc>
        <w:tc>
          <w:tcPr>
            <w:tcW w:w="5760" w:type="dxa"/>
            <w:vAlign w:val="center"/>
          </w:tcPr>
          <w:p w14:paraId="523F6BD6" w14:textId="0AEFBCDB" w:rsidR="003239B8" w:rsidRPr="006E2301" w:rsidRDefault="004A3217">
            <w:pPr>
              <w:rPr>
                <w:rFonts w:asciiTheme="majorHAnsi" w:hAnsiTheme="majorHAnsi"/>
                <w:bCs/>
                <w:sz w:val="20"/>
                <w:szCs w:val="20"/>
              </w:rPr>
            </w:pPr>
            <w:r w:rsidRPr="006E2301">
              <w:rPr>
                <w:rFonts w:asciiTheme="majorHAnsi" w:hAnsiTheme="majorHAnsi"/>
                <w:bCs/>
                <w:sz w:val="20"/>
                <w:szCs w:val="20"/>
              </w:rPr>
              <w:t>Sí</w:t>
            </w:r>
          </w:p>
        </w:tc>
      </w:tr>
      <w:tr w:rsidR="003239B8" w:rsidRPr="006E230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6E2301" w:rsidRDefault="003239B8">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Competencia</w:t>
            </w:r>
            <w:r w:rsidRPr="006E2301">
              <w:rPr>
                <w:rFonts w:asciiTheme="majorHAnsi" w:hAnsiTheme="majorHAnsi"/>
                <w:b/>
                <w:bCs/>
                <w:i/>
                <w:color w:val="FFFFFF" w:themeColor="background1"/>
                <w:sz w:val="20"/>
                <w:szCs w:val="20"/>
              </w:rPr>
              <w:t xml:space="preserve"> Ratione materia</w:t>
            </w:r>
            <w:r w:rsidR="00EE00E9" w:rsidRPr="006E2301">
              <w:rPr>
                <w:rFonts w:asciiTheme="majorHAnsi" w:hAnsiTheme="majorHAnsi"/>
                <w:b/>
                <w:bCs/>
                <w:i/>
                <w:color w:val="FFFFFF" w:themeColor="background1"/>
                <w:sz w:val="20"/>
                <w:szCs w:val="20"/>
              </w:rPr>
              <w:t>e</w:t>
            </w:r>
            <w:r w:rsidRPr="006E2301">
              <w:rPr>
                <w:rFonts w:asciiTheme="majorHAnsi" w:hAnsiTheme="majorHAnsi"/>
                <w:b/>
                <w:bCs/>
                <w:color w:val="FFFFFF" w:themeColor="background1"/>
                <w:sz w:val="20"/>
                <w:szCs w:val="20"/>
              </w:rPr>
              <w:t>:</w:t>
            </w:r>
          </w:p>
        </w:tc>
        <w:tc>
          <w:tcPr>
            <w:tcW w:w="5760" w:type="dxa"/>
            <w:vAlign w:val="center"/>
          </w:tcPr>
          <w:p w14:paraId="257C8337" w14:textId="0310414F" w:rsidR="003239B8" w:rsidRPr="006E2301" w:rsidRDefault="004A3217">
            <w:pPr>
              <w:jc w:val="both"/>
              <w:rPr>
                <w:rFonts w:asciiTheme="majorHAnsi" w:hAnsiTheme="majorHAnsi"/>
                <w:bCs/>
                <w:sz w:val="20"/>
                <w:szCs w:val="20"/>
              </w:rPr>
            </w:pPr>
            <w:r w:rsidRPr="006E2301">
              <w:rPr>
                <w:rFonts w:asciiTheme="majorHAnsi" w:hAnsiTheme="majorHAnsi"/>
                <w:bCs/>
                <w:sz w:val="20"/>
                <w:szCs w:val="20"/>
              </w:rPr>
              <w:t xml:space="preserve">Sí, Convención Americana (depósito de instrumento de ratificación realizado el </w:t>
            </w:r>
            <w:r w:rsidR="005C20DF" w:rsidRPr="006E2301">
              <w:rPr>
                <w:rFonts w:asciiTheme="majorHAnsi" w:hAnsiTheme="majorHAnsi"/>
                <w:bCs/>
                <w:sz w:val="20"/>
                <w:szCs w:val="20"/>
              </w:rPr>
              <w:t>8 de septiembre</w:t>
            </w:r>
            <w:r w:rsidRPr="006E2301">
              <w:rPr>
                <w:rFonts w:asciiTheme="majorHAnsi" w:hAnsiTheme="majorHAnsi"/>
                <w:bCs/>
                <w:sz w:val="20"/>
                <w:szCs w:val="20"/>
              </w:rPr>
              <w:t xml:space="preserve"> de 1977)</w:t>
            </w:r>
          </w:p>
        </w:tc>
      </w:tr>
    </w:tbl>
    <w:p w14:paraId="299A3868" w14:textId="4924CC02" w:rsidR="003239B8" w:rsidRPr="006E2301" w:rsidRDefault="003239B8" w:rsidP="003239B8">
      <w:pPr>
        <w:spacing w:before="240" w:after="240"/>
        <w:ind w:firstLine="720"/>
        <w:jc w:val="both"/>
        <w:rPr>
          <w:rFonts w:asciiTheme="majorHAnsi" w:hAnsiTheme="majorHAnsi"/>
          <w:b/>
          <w:bCs/>
          <w:sz w:val="20"/>
          <w:szCs w:val="20"/>
        </w:rPr>
      </w:pPr>
      <w:r w:rsidRPr="006E2301">
        <w:rPr>
          <w:rFonts w:asciiTheme="majorHAnsi" w:hAnsiTheme="majorHAnsi"/>
          <w:b/>
          <w:bCs/>
          <w:sz w:val="20"/>
          <w:szCs w:val="20"/>
        </w:rPr>
        <w:t xml:space="preserve">IV. </w:t>
      </w:r>
      <w:r w:rsidRPr="006E2301">
        <w:rPr>
          <w:rFonts w:asciiTheme="majorHAnsi" w:hAnsiTheme="majorHAnsi"/>
          <w:b/>
          <w:bCs/>
          <w:sz w:val="20"/>
          <w:szCs w:val="20"/>
        </w:rPr>
        <w:tab/>
      </w:r>
      <w:r w:rsidR="00EE00E9" w:rsidRPr="006E2301">
        <w:rPr>
          <w:rFonts w:asciiTheme="majorHAnsi" w:hAnsiTheme="majorHAnsi"/>
          <w:b/>
          <w:bCs/>
          <w:sz w:val="20"/>
          <w:szCs w:val="20"/>
        </w:rPr>
        <w:t>DUPLICACIÓN</w:t>
      </w:r>
      <w:r w:rsidR="00EE00E9" w:rsidRPr="006E2301">
        <w:rPr>
          <w:rFonts w:asciiTheme="majorHAnsi" w:hAnsiTheme="majorHAnsi"/>
          <w:b/>
          <w:bCs/>
          <w:color w:val="FFFFFF" w:themeColor="background1"/>
          <w:sz w:val="20"/>
          <w:szCs w:val="20"/>
        </w:rPr>
        <w:t xml:space="preserve"> </w:t>
      </w:r>
      <w:r w:rsidR="00EE00E9" w:rsidRPr="006E2301">
        <w:rPr>
          <w:rFonts w:asciiTheme="majorHAnsi" w:hAnsiTheme="majorHAnsi"/>
          <w:b/>
          <w:bCs/>
          <w:sz w:val="20"/>
          <w:szCs w:val="20"/>
        </w:rPr>
        <w:t>DE PROCEDIMIENTOS Y COSA JUZGADA</w:t>
      </w:r>
      <w:r w:rsidR="00EE00E9" w:rsidRPr="006E2301">
        <w:rPr>
          <w:rFonts w:asciiTheme="majorHAnsi" w:hAnsiTheme="majorHAnsi"/>
          <w:b/>
          <w:bCs/>
          <w:i/>
          <w:sz w:val="20"/>
          <w:szCs w:val="20"/>
        </w:rPr>
        <w:t xml:space="preserve"> </w:t>
      </w:r>
      <w:r w:rsidR="00EE00E9" w:rsidRPr="006E2301">
        <w:rPr>
          <w:rFonts w:asciiTheme="majorHAnsi" w:hAnsiTheme="majorHAnsi"/>
          <w:b/>
          <w:bCs/>
          <w:sz w:val="20"/>
          <w:szCs w:val="20"/>
        </w:rPr>
        <w:t xml:space="preserve">INTERNACIONAL, </w:t>
      </w:r>
      <w:r w:rsidRPr="006E2301">
        <w:rPr>
          <w:rFonts w:asciiTheme="majorHAnsi" w:hAnsiTheme="majorHAnsi"/>
          <w:b/>
          <w:bCs/>
          <w:sz w:val="20"/>
          <w:szCs w:val="20"/>
        </w:rPr>
        <w:t xml:space="preserve">CARACTERIZACIÓN, </w:t>
      </w:r>
      <w:r w:rsidRPr="006E2301">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6E2301"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6E2301" w:rsidRDefault="00EE00E9">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Duplicación de procedimientos y cosa juzgada internacional:</w:t>
            </w:r>
          </w:p>
        </w:tc>
        <w:tc>
          <w:tcPr>
            <w:tcW w:w="5760" w:type="dxa"/>
            <w:vAlign w:val="center"/>
          </w:tcPr>
          <w:p w14:paraId="764D7F60" w14:textId="47768922" w:rsidR="00EE00E9" w:rsidRPr="006E2301" w:rsidRDefault="00476D4D">
            <w:pPr>
              <w:jc w:val="both"/>
              <w:rPr>
                <w:rFonts w:asciiTheme="majorHAnsi" w:hAnsiTheme="majorHAnsi"/>
                <w:bCs/>
                <w:sz w:val="20"/>
                <w:szCs w:val="20"/>
              </w:rPr>
            </w:pPr>
            <w:r w:rsidRPr="006E2301">
              <w:rPr>
                <w:rFonts w:asciiTheme="majorHAnsi" w:hAnsiTheme="majorHAnsi"/>
                <w:bCs/>
                <w:sz w:val="20"/>
                <w:szCs w:val="20"/>
              </w:rPr>
              <w:t>No</w:t>
            </w:r>
          </w:p>
        </w:tc>
      </w:tr>
      <w:tr w:rsidR="003239B8" w:rsidRPr="006E230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6E2301" w:rsidRDefault="003239B8">
            <w:pPr>
              <w:jc w:val="center"/>
              <w:rPr>
                <w:rFonts w:asciiTheme="majorHAnsi" w:hAnsiTheme="majorHAnsi"/>
                <w:b/>
                <w:bCs/>
                <w:i/>
                <w:color w:val="FFFFFF" w:themeColor="background1"/>
                <w:sz w:val="20"/>
                <w:szCs w:val="20"/>
              </w:rPr>
            </w:pPr>
            <w:r w:rsidRPr="006E2301">
              <w:rPr>
                <w:rFonts w:asciiTheme="majorHAnsi" w:hAnsiTheme="majorHAnsi"/>
                <w:b/>
                <w:bCs/>
                <w:color w:val="FFFFFF" w:themeColor="background1"/>
                <w:sz w:val="20"/>
                <w:szCs w:val="20"/>
              </w:rPr>
              <w:t>Derechos declarados admisibles</w:t>
            </w:r>
            <w:r w:rsidRPr="006E2301">
              <w:rPr>
                <w:rFonts w:asciiTheme="majorHAnsi" w:hAnsiTheme="majorHAnsi"/>
                <w:b/>
                <w:bCs/>
                <w:i/>
                <w:color w:val="FFFFFF" w:themeColor="background1"/>
                <w:sz w:val="20"/>
                <w:szCs w:val="20"/>
              </w:rPr>
              <w:t>:</w:t>
            </w:r>
          </w:p>
        </w:tc>
        <w:tc>
          <w:tcPr>
            <w:tcW w:w="5760" w:type="dxa"/>
            <w:vAlign w:val="center"/>
          </w:tcPr>
          <w:p w14:paraId="4DAE9D4D" w14:textId="45D58D69" w:rsidR="003239B8" w:rsidRPr="006E2301" w:rsidRDefault="007C2912">
            <w:pPr>
              <w:jc w:val="both"/>
              <w:rPr>
                <w:rFonts w:asciiTheme="majorHAnsi" w:hAnsiTheme="majorHAnsi"/>
                <w:bCs/>
                <w:sz w:val="20"/>
                <w:szCs w:val="20"/>
              </w:rPr>
            </w:pPr>
            <w:r>
              <w:rPr>
                <w:rFonts w:asciiTheme="majorHAnsi" w:hAnsiTheme="majorHAnsi"/>
                <w:bCs/>
                <w:sz w:val="20"/>
                <w:szCs w:val="20"/>
              </w:rPr>
              <w:t>No Aplica</w:t>
            </w:r>
          </w:p>
        </w:tc>
      </w:tr>
      <w:tr w:rsidR="003239B8" w:rsidRPr="006E230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6E2301" w:rsidRDefault="003239B8">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Agotamiento de recursos internos</w:t>
            </w:r>
            <w:r w:rsidR="00EE00E9" w:rsidRPr="006E2301">
              <w:rPr>
                <w:rFonts w:asciiTheme="majorHAnsi" w:hAnsiTheme="majorHAnsi"/>
                <w:b/>
                <w:bCs/>
                <w:color w:val="FFFFFF" w:themeColor="background1"/>
                <w:sz w:val="20"/>
                <w:szCs w:val="20"/>
              </w:rPr>
              <w:t xml:space="preserve"> o procedencia de una excepción</w:t>
            </w:r>
            <w:r w:rsidRPr="006E2301">
              <w:rPr>
                <w:rFonts w:asciiTheme="majorHAnsi" w:hAnsiTheme="majorHAnsi"/>
                <w:b/>
                <w:bCs/>
                <w:color w:val="FFFFFF" w:themeColor="background1"/>
                <w:sz w:val="20"/>
                <w:szCs w:val="20"/>
              </w:rPr>
              <w:t>:</w:t>
            </w:r>
          </w:p>
        </w:tc>
        <w:tc>
          <w:tcPr>
            <w:tcW w:w="5760" w:type="dxa"/>
            <w:vAlign w:val="center"/>
          </w:tcPr>
          <w:p w14:paraId="7F7C1A19" w14:textId="12A59976" w:rsidR="003239B8" w:rsidRPr="006E2301" w:rsidRDefault="00A20447">
            <w:pPr>
              <w:rPr>
                <w:rFonts w:asciiTheme="majorHAnsi" w:hAnsiTheme="majorHAnsi"/>
                <w:bCs/>
                <w:sz w:val="20"/>
                <w:szCs w:val="20"/>
              </w:rPr>
            </w:pPr>
            <w:r>
              <w:rPr>
                <w:rFonts w:ascii="Cambria" w:hAnsi="Cambria"/>
                <w:bCs/>
                <w:sz w:val="20"/>
                <w:szCs w:val="20"/>
              </w:rPr>
              <w:t>Sí</w:t>
            </w:r>
            <w:r w:rsidR="007C2912">
              <w:rPr>
                <w:rFonts w:ascii="Cambria" w:hAnsi="Cambria"/>
                <w:bCs/>
                <w:sz w:val="20"/>
                <w:szCs w:val="20"/>
              </w:rPr>
              <w:t xml:space="preserve">, </w:t>
            </w:r>
            <w:r>
              <w:rPr>
                <w:rFonts w:ascii="Cambria" w:hAnsi="Cambria"/>
                <w:bCs/>
                <w:sz w:val="20"/>
                <w:szCs w:val="20"/>
              </w:rPr>
              <w:t xml:space="preserve">en los </w:t>
            </w:r>
            <w:r w:rsidRPr="00B4490E">
              <w:rPr>
                <w:rFonts w:ascii="Cambria" w:hAnsi="Cambria"/>
                <w:bCs/>
                <w:sz w:val="20"/>
                <w:szCs w:val="20"/>
              </w:rPr>
              <w:t>términos</w:t>
            </w:r>
            <w:r>
              <w:rPr>
                <w:rFonts w:ascii="Cambria" w:hAnsi="Cambria"/>
                <w:bCs/>
                <w:sz w:val="20"/>
                <w:szCs w:val="20"/>
              </w:rPr>
              <w:t xml:space="preserve"> de la Sección VI</w:t>
            </w:r>
          </w:p>
        </w:tc>
      </w:tr>
      <w:tr w:rsidR="003239B8" w:rsidRPr="006E230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6E2301" w:rsidRDefault="003239B8">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Presentación dentro de plazo:</w:t>
            </w:r>
          </w:p>
        </w:tc>
        <w:tc>
          <w:tcPr>
            <w:tcW w:w="5760" w:type="dxa"/>
            <w:vAlign w:val="center"/>
          </w:tcPr>
          <w:p w14:paraId="2AF0FC69" w14:textId="325792A1" w:rsidR="003239B8" w:rsidRPr="006E2301" w:rsidRDefault="007C2912">
            <w:pPr>
              <w:rPr>
                <w:rFonts w:asciiTheme="majorHAnsi" w:hAnsiTheme="majorHAnsi"/>
                <w:bCs/>
                <w:sz w:val="20"/>
                <w:szCs w:val="20"/>
              </w:rPr>
            </w:pPr>
            <w:r>
              <w:rPr>
                <w:rFonts w:asciiTheme="majorHAnsi" w:hAnsiTheme="majorHAnsi"/>
                <w:bCs/>
                <w:sz w:val="20"/>
                <w:szCs w:val="20"/>
              </w:rPr>
              <w:t>No, incumplimiento del plazo previsto en el artículo 46.1.b)</w:t>
            </w:r>
            <w:r w:rsidR="00D32F0E">
              <w:rPr>
                <w:rFonts w:asciiTheme="majorHAnsi" w:hAnsiTheme="majorHAnsi"/>
                <w:bCs/>
                <w:sz w:val="20"/>
                <w:szCs w:val="20"/>
              </w:rPr>
              <w:t xml:space="preserve"> de la Convención</w:t>
            </w:r>
          </w:p>
        </w:tc>
      </w:tr>
    </w:tbl>
    <w:p w14:paraId="56FD5D57" w14:textId="252B1FD5" w:rsidR="003239B8" w:rsidRDefault="00223A29" w:rsidP="00861126">
      <w:pPr>
        <w:spacing w:before="240" w:after="240"/>
        <w:ind w:firstLine="720"/>
        <w:jc w:val="both"/>
        <w:rPr>
          <w:rFonts w:asciiTheme="majorHAnsi" w:hAnsiTheme="majorHAnsi"/>
          <w:b/>
          <w:sz w:val="20"/>
          <w:szCs w:val="20"/>
          <w:lang w:val="es-ES_tradnl"/>
        </w:rPr>
      </w:pPr>
      <w:r w:rsidRPr="00515E92">
        <w:rPr>
          <w:rFonts w:asciiTheme="majorHAnsi" w:hAnsiTheme="majorHAnsi"/>
          <w:b/>
          <w:sz w:val="20"/>
          <w:szCs w:val="20"/>
          <w:lang w:val="es-ES_tradnl"/>
        </w:rPr>
        <w:t xml:space="preserve">V. </w:t>
      </w:r>
      <w:r w:rsidRPr="00515E92">
        <w:rPr>
          <w:rFonts w:asciiTheme="majorHAnsi" w:hAnsiTheme="majorHAnsi"/>
          <w:b/>
          <w:sz w:val="20"/>
          <w:szCs w:val="20"/>
          <w:lang w:val="es-ES_tradnl"/>
        </w:rPr>
        <w:tab/>
      </w:r>
      <w:r w:rsidR="004241A0" w:rsidRPr="00515E92">
        <w:rPr>
          <w:rFonts w:asciiTheme="majorHAnsi" w:hAnsiTheme="majorHAnsi"/>
          <w:b/>
          <w:sz w:val="20"/>
          <w:szCs w:val="20"/>
          <w:lang w:val="es-ES_tradnl"/>
        </w:rPr>
        <w:t>POSICIÓN DE LAS PARTES</w:t>
      </w:r>
      <w:r w:rsidR="003239B8" w:rsidRPr="00515E92">
        <w:rPr>
          <w:rFonts w:asciiTheme="majorHAnsi" w:hAnsiTheme="majorHAnsi"/>
          <w:b/>
          <w:sz w:val="20"/>
          <w:szCs w:val="20"/>
          <w:lang w:val="es-ES_tradnl"/>
        </w:rPr>
        <w:t xml:space="preserve"> </w:t>
      </w:r>
    </w:p>
    <w:p w14:paraId="6C243325" w14:textId="2A03CAA9" w:rsidR="00BE36D6" w:rsidRPr="00BE36D6" w:rsidRDefault="00BE36D6" w:rsidP="00861126">
      <w:pPr>
        <w:spacing w:before="240" w:after="240"/>
        <w:ind w:firstLine="720"/>
        <w:jc w:val="both"/>
        <w:rPr>
          <w:rFonts w:asciiTheme="majorHAnsi" w:hAnsiTheme="majorHAnsi"/>
          <w:bCs/>
          <w:i/>
          <w:iCs/>
          <w:sz w:val="20"/>
          <w:szCs w:val="20"/>
          <w:lang w:val="es-ES_tradnl"/>
        </w:rPr>
      </w:pPr>
      <w:r>
        <w:rPr>
          <w:rFonts w:asciiTheme="majorHAnsi" w:hAnsiTheme="majorHAnsi"/>
          <w:bCs/>
          <w:i/>
          <w:iCs/>
          <w:sz w:val="20"/>
          <w:szCs w:val="20"/>
          <w:lang w:val="es-ES_tradnl"/>
        </w:rPr>
        <w:t xml:space="preserve">Posición de la parte </w:t>
      </w:r>
      <w:r w:rsidR="00940A3D">
        <w:rPr>
          <w:rFonts w:asciiTheme="majorHAnsi" w:hAnsiTheme="majorHAnsi"/>
          <w:bCs/>
          <w:i/>
          <w:iCs/>
          <w:sz w:val="20"/>
          <w:szCs w:val="20"/>
          <w:lang w:val="es-ES_tradnl"/>
        </w:rPr>
        <w:t>peticionaria</w:t>
      </w:r>
    </w:p>
    <w:p w14:paraId="226676CE" w14:textId="4A8B937D" w:rsidR="004D4953" w:rsidRPr="00484662" w:rsidRDefault="00F77EF2" w:rsidP="00484662">
      <w:pPr>
        <w:pStyle w:val="ListParagraph"/>
        <w:numPr>
          <w:ilvl w:val="0"/>
          <w:numId w:val="60"/>
        </w:numPr>
        <w:spacing w:before="240" w:after="240"/>
        <w:ind w:left="0" w:firstLine="720"/>
        <w:jc w:val="both"/>
        <w:rPr>
          <w:rFonts w:asciiTheme="majorHAnsi" w:hAnsiTheme="majorHAnsi"/>
          <w:bCs/>
          <w:sz w:val="20"/>
          <w:szCs w:val="20"/>
          <w:lang w:val="es-ES_tradnl"/>
        </w:rPr>
      </w:pPr>
      <w:r>
        <w:rPr>
          <w:rFonts w:asciiTheme="majorHAnsi" w:hAnsiTheme="majorHAnsi"/>
          <w:bCs/>
          <w:sz w:val="20"/>
          <w:szCs w:val="20"/>
          <w:lang w:val="es-ES_tradnl"/>
        </w:rPr>
        <w:t xml:space="preserve">La </w:t>
      </w:r>
      <w:r w:rsidRPr="00AA66FC">
        <w:rPr>
          <w:rFonts w:asciiTheme="majorHAnsi" w:hAnsiTheme="majorHAnsi"/>
          <w:bCs/>
          <w:sz w:val="20"/>
          <w:szCs w:val="20"/>
          <w:lang w:val="es-ES_tradnl"/>
        </w:rPr>
        <w:t xml:space="preserve">señora Alba </w:t>
      </w:r>
      <w:r w:rsidR="005C4371" w:rsidRPr="00AA66FC">
        <w:rPr>
          <w:rFonts w:asciiTheme="majorHAnsi" w:hAnsiTheme="majorHAnsi"/>
          <w:bCs/>
          <w:sz w:val="20"/>
          <w:szCs w:val="20"/>
          <w:lang w:val="es-ES_tradnl"/>
        </w:rPr>
        <w:t>Sánchez Vera</w:t>
      </w:r>
      <w:r w:rsidR="00820813">
        <w:rPr>
          <w:rFonts w:asciiTheme="majorHAnsi" w:hAnsiTheme="majorHAnsi"/>
          <w:bCs/>
          <w:sz w:val="20"/>
          <w:szCs w:val="20"/>
          <w:lang w:val="es-ES_tradnl"/>
        </w:rPr>
        <w:t xml:space="preserve"> (en adelante la “peticionaria” o la “señora Sánchez”)</w:t>
      </w:r>
      <w:r w:rsidR="00DC02D4">
        <w:rPr>
          <w:rFonts w:asciiTheme="majorHAnsi" w:hAnsiTheme="majorHAnsi"/>
          <w:bCs/>
          <w:sz w:val="20"/>
          <w:szCs w:val="20"/>
          <w:lang w:val="es-ES_tradnl"/>
        </w:rPr>
        <w:t xml:space="preserve"> alega la responsabilidad internacional del Ecuador</w:t>
      </w:r>
      <w:r w:rsidR="00C47BB7">
        <w:rPr>
          <w:rFonts w:asciiTheme="majorHAnsi" w:hAnsiTheme="majorHAnsi"/>
          <w:bCs/>
          <w:sz w:val="20"/>
          <w:szCs w:val="20"/>
          <w:lang w:val="es-ES_tradnl"/>
        </w:rPr>
        <w:t xml:space="preserve"> por la</w:t>
      </w:r>
      <w:r w:rsidR="00AA66FC">
        <w:rPr>
          <w:rFonts w:asciiTheme="majorHAnsi" w:hAnsiTheme="majorHAnsi"/>
          <w:bCs/>
          <w:sz w:val="20"/>
          <w:szCs w:val="20"/>
          <w:lang w:val="es-ES_tradnl"/>
        </w:rPr>
        <w:t xml:space="preserve"> vulneración </w:t>
      </w:r>
      <w:r w:rsidR="008F1F7C">
        <w:rPr>
          <w:rFonts w:asciiTheme="majorHAnsi" w:hAnsiTheme="majorHAnsi"/>
          <w:bCs/>
          <w:sz w:val="20"/>
          <w:szCs w:val="20"/>
          <w:lang w:val="es-ES_tradnl"/>
        </w:rPr>
        <w:t>a su</w:t>
      </w:r>
      <w:r w:rsidR="00C22D33">
        <w:rPr>
          <w:rFonts w:asciiTheme="majorHAnsi" w:hAnsiTheme="majorHAnsi"/>
          <w:bCs/>
          <w:sz w:val="20"/>
          <w:szCs w:val="20"/>
          <w:lang w:val="es-ES_tradnl"/>
        </w:rPr>
        <w:t>s</w:t>
      </w:r>
      <w:r w:rsidR="008F1F7C">
        <w:rPr>
          <w:rFonts w:asciiTheme="majorHAnsi" w:hAnsiTheme="majorHAnsi"/>
          <w:bCs/>
          <w:sz w:val="20"/>
          <w:szCs w:val="20"/>
          <w:lang w:val="es-ES_tradnl"/>
        </w:rPr>
        <w:t xml:space="preserve"> derecho</w:t>
      </w:r>
      <w:r w:rsidR="00C22D33">
        <w:rPr>
          <w:rFonts w:asciiTheme="majorHAnsi" w:hAnsiTheme="majorHAnsi"/>
          <w:bCs/>
          <w:sz w:val="20"/>
          <w:szCs w:val="20"/>
          <w:lang w:val="es-ES_tradnl"/>
        </w:rPr>
        <w:t>s</w:t>
      </w:r>
      <w:r w:rsidR="008F1F7C">
        <w:rPr>
          <w:rFonts w:asciiTheme="majorHAnsi" w:hAnsiTheme="majorHAnsi"/>
          <w:bCs/>
          <w:sz w:val="20"/>
          <w:szCs w:val="20"/>
          <w:lang w:val="es-ES_tradnl"/>
        </w:rPr>
        <w:t xml:space="preserve"> al</w:t>
      </w:r>
      <w:r w:rsidR="00AA66FC">
        <w:rPr>
          <w:rFonts w:asciiTheme="majorHAnsi" w:hAnsiTheme="majorHAnsi"/>
          <w:bCs/>
          <w:sz w:val="20"/>
          <w:szCs w:val="20"/>
          <w:lang w:val="es-ES_tradnl"/>
        </w:rPr>
        <w:t xml:space="preserve"> debido proceso y a la igualdad en el marco de un recurso de casación otorgado en favor de una institución estatal, </w:t>
      </w:r>
      <w:r w:rsidR="00C22D33">
        <w:rPr>
          <w:rFonts w:asciiTheme="majorHAnsi" w:hAnsiTheme="majorHAnsi"/>
          <w:bCs/>
          <w:sz w:val="20"/>
          <w:szCs w:val="20"/>
          <w:lang w:val="es-ES_tradnl"/>
        </w:rPr>
        <w:t>negándole con ello</w:t>
      </w:r>
      <w:r w:rsidR="00484662">
        <w:rPr>
          <w:rFonts w:asciiTheme="majorHAnsi" w:hAnsiTheme="majorHAnsi"/>
          <w:bCs/>
          <w:sz w:val="20"/>
          <w:szCs w:val="20"/>
          <w:lang w:val="es-ES_tradnl"/>
        </w:rPr>
        <w:t xml:space="preserve"> </w:t>
      </w:r>
      <w:r w:rsidR="00AA66FC">
        <w:rPr>
          <w:rFonts w:asciiTheme="majorHAnsi" w:hAnsiTheme="majorHAnsi"/>
          <w:bCs/>
          <w:sz w:val="20"/>
          <w:szCs w:val="20"/>
          <w:lang w:val="es-ES_tradnl"/>
        </w:rPr>
        <w:t>una</w:t>
      </w:r>
      <w:r w:rsidR="00537DDD" w:rsidRPr="00484662">
        <w:rPr>
          <w:rFonts w:asciiTheme="majorHAnsi" w:hAnsiTheme="majorHAnsi"/>
          <w:bCs/>
          <w:sz w:val="20"/>
          <w:szCs w:val="20"/>
          <w:lang w:val="es-ES_tradnl"/>
        </w:rPr>
        <w:t xml:space="preserve"> </w:t>
      </w:r>
      <w:r w:rsidR="00BF3BD1" w:rsidRPr="00484662">
        <w:rPr>
          <w:rFonts w:asciiTheme="majorHAnsi" w:hAnsiTheme="majorHAnsi"/>
          <w:bCs/>
          <w:sz w:val="20"/>
          <w:szCs w:val="20"/>
          <w:lang w:val="es-ES_tradnl"/>
        </w:rPr>
        <w:t xml:space="preserve">indemnización administrativa </w:t>
      </w:r>
      <w:r w:rsidR="0091464E">
        <w:rPr>
          <w:rFonts w:asciiTheme="majorHAnsi" w:hAnsiTheme="majorHAnsi"/>
          <w:bCs/>
          <w:sz w:val="20"/>
          <w:szCs w:val="20"/>
          <w:lang w:val="es-ES_tradnl"/>
        </w:rPr>
        <w:t>por</w:t>
      </w:r>
      <w:r w:rsidR="00C47BB7">
        <w:rPr>
          <w:rFonts w:asciiTheme="majorHAnsi" w:hAnsiTheme="majorHAnsi"/>
          <w:bCs/>
          <w:sz w:val="20"/>
          <w:szCs w:val="20"/>
          <w:lang w:val="es-ES_tradnl"/>
        </w:rPr>
        <w:t xml:space="preserve"> </w:t>
      </w:r>
      <w:r w:rsidR="00484662" w:rsidRPr="00484662">
        <w:rPr>
          <w:rFonts w:asciiTheme="majorHAnsi" w:hAnsiTheme="majorHAnsi"/>
          <w:bCs/>
          <w:sz w:val="20"/>
          <w:szCs w:val="20"/>
          <w:lang w:val="es-ES_tradnl"/>
        </w:rPr>
        <w:t>la muerte de su hijo</w:t>
      </w:r>
      <w:r w:rsidR="00C22D33">
        <w:rPr>
          <w:rFonts w:asciiTheme="majorHAnsi" w:hAnsiTheme="majorHAnsi"/>
          <w:bCs/>
          <w:sz w:val="20"/>
          <w:szCs w:val="20"/>
          <w:lang w:val="es-ES_tradnl"/>
        </w:rPr>
        <w:t>, la cual fue</w:t>
      </w:r>
      <w:r w:rsidR="00806FBB">
        <w:rPr>
          <w:rFonts w:asciiTheme="majorHAnsi" w:hAnsiTheme="majorHAnsi"/>
          <w:bCs/>
          <w:sz w:val="20"/>
          <w:szCs w:val="20"/>
          <w:lang w:val="es-ES_tradnl"/>
        </w:rPr>
        <w:t xml:space="preserve"> provocada de manera accidental</w:t>
      </w:r>
      <w:r w:rsidR="00484662" w:rsidRPr="00484662">
        <w:rPr>
          <w:rFonts w:asciiTheme="majorHAnsi" w:hAnsiTheme="majorHAnsi"/>
          <w:bCs/>
          <w:sz w:val="20"/>
          <w:szCs w:val="20"/>
          <w:lang w:val="es-ES_tradnl"/>
        </w:rPr>
        <w:t xml:space="preserve"> por parte de un agente </w:t>
      </w:r>
      <w:r w:rsidR="0031749E">
        <w:rPr>
          <w:rFonts w:asciiTheme="majorHAnsi" w:hAnsiTheme="majorHAnsi"/>
          <w:bCs/>
          <w:sz w:val="20"/>
          <w:szCs w:val="20"/>
          <w:lang w:val="es-ES_tradnl"/>
        </w:rPr>
        <w:t>de la Policía Nacional</w:t>
      </w:r>
      <w:r w:rsidR="003B4443">
        <w:rPr>
          <w:rFonts w:asciiTheme="majorHAnsi" w:hAnsiTheme="majorHAnsi"/>
          <w:bCs/>
          <w:sz w:val="20"/>
          <w:szCs w:val="20"/>
          <w:lang w:val="es-ES_tradnl"/>
        </w:rPr>
        <w:t>.</w:t>
      </w:r>
    </w:p>
    <w:p w14:paraId="0647A6D5" w14:textId="37E7FFBB" w:rsidR="007F40C5" w:rsidRDefault="00290C8E" w:rsidP="00064E9A">
      <w:pPr>
        <w:pStyle w:val="ListParagraph"/>
        <w:numPr>
          <w:ilvl w:val="0"/>
          <w:numId w:val="60"/>
        </w:numPr>
        <w:spacing w:before="240" w:after="240"/>
        <w:ind w:left="0" w:firstLine="720"/>
        <w:jc w:val="both"/>
        <w:rPr>
          <w:rFonts w:asciiTheme="majorHAnsi" w:hAnsiTheme="majorHAnsi"/>
          <w:bCs/>
          <w:sz w:val="20"/>
          <w:szCs w:val="20"/>
          <w:lang w:val="es-ES"/>
        </w:rPr>
      </w:pPr>
      <w:r>
        <w:rPr>
          <w:rFonts w:asciiTheme="majorHAnsi" w:hAnsiTheme="majorHAnsi"/>
          <w:bCs/>
          <w:sz w:val="20"/>
          <w:szCs w:val="20"/>
          <w:lang w:val="es-ES_tradnl"/>
        </w:rPr>
        <w:t xml:space="preserve">La peticionaria relata que el </w:t>
      </w:r>
      <w:r w:rsidR="004E523E">
        <w:rPr>
          <w:rFonts w:asciiTheme="majorHAnsi" w:hAnsiTheme="majorHAnsi"/>
          <w:bCs/>
          <w:sz w:val="20"/>
          <w:szCs w:val="20"/>
          <w:lang w:val="es-ES_tradnl"/>
        </w:rPr>
        <w:t xml:space="preserve">1 de septiembre de </w:t>
      </w:r>
      <w:r w:rsidR="00974492">
        <w:rPr>
          <w:rFonts w:asciiTheme="majorHAnsi" w:hAnsiTheme="majorHAnsi"/>
          <w:bCs/>
          <w:sz w:val="20"/>
          <w:szCs w:val="20"/>
          <w:lang w:val="es-ES_tradnl"/>
        </w:rPr>
        <w:t>199</w:t>
      </w:r>
      <w:r w:rsidR="004E523E">
        <w:rPr>
          <w:rFonts w:asciiTheme="majorHAnsi" w:hAnsiTheme="majorHAnsi"/>
          <w:bCs/>
          <w:sz w:val="20"/>
          <w:szCs w:val="20"/>
          <w:lang w:val="es-ES_tradnl"/>
        </w:rPr>
        <w:t>5</w:t>
      </w:r>
      <w:r>
        <w:rPr>
          <w:rFonts w:asciiTheme="majorHAnsi" w:hAnsiTheme="majorHAnsi"/>
          <w:bCs/>
          <w:sz w:val="20"/>
          <w:szCs w:val="20"/>
          <w:lang w:val="es-ES_tradnl"/>
        </w:rPr>
        <w:t xml:space="preserve"> su hijo, </w:t>
      </w:r>
      <w:r w:rsidRPr="00290C8E">
        <w:rPr>
          <w:rFonts w:asciiTheme="majorHAnsi" w:hAnsiTheme="majorHAnsi"/>
          <w:bCs/>
          <w:sz w:val="20"/>
          <w:szCs w:val="20"/>
          <w:lang w:val="es-ES"/>
        </w:rPr>
        <w:t>Ider Fabián Palacios Vera</w:t>
      </w:r>
      <w:r w:rsidR="00793A69">
        <w:rPr>
          <w:rFonts w:asciiTheme="majorHAnsi" w:hAnsiTheme="majorHAnsi"/>
          <w:bCs/>
          <w:sz w:val="20"/>
          <w:szCs w:val="20"/>
          <w:lang w:val="es-ES"/>
        </w:rPr>
        <w:t>,</w:t>
      </w:r>
      <w:r>
        <w:rPr>
          <w:rFonts w:asciiTheme="majorHAnsi" w:hAnsiTheme="majorHAnsi"/>
          <w:bCs/>
          <w:sz w:val="20"/>
          <w:szCs w:val="20"/>
          <w:lang w:val="es-ES"/>
        </w:rPr>
        <w:t xml:space="preserve"> de quince años </w:t>
      </w:r>
      <w:r w:rsidR="004E523E">
        <w:rPr>
          <w:rFonts w:asciiTheme="majorHAnsi" w:hAnsiTheme="majorHAnsi"/>
          <w:bCs/>
          <w:sz w:val="20"/>
          <w:szCs w:val="20"/>
          <w:lang w:val="es-ES"/>
        </w:rPr>
        <w:t>al momento de los hechos</w:t>
      </w:r>
      <w:r w:rsidR="00DC5FD8">
        <w:rPr>
          <w:rFonts w:asciiTheme="majorHAnsi" w:hAnsiTheme="majorHAnsi"/>
          <w:bCs/>
          <w:sz w:val="20"/>
          <w:szCs w:val="20"/>
          <w:lang w:val="es-ES"/>
        </w:rPr>
        <w:t xml:space="preserve"> (en adelante </w:t>
      </w:r>
      <w:r w:rsidR="00100558">
        <w:rPr>
          <w:rFonts w:asciiTheme="majorHAnsi" w:hAnsiTheme="majorHAnsi"/>
          <w:bCs/>
          <w:sz w:val="20"/>
          <w:szCs w:val="20"/>
          <w:lang w:val="es-ES"/>
        </w:rPr>
        <w:t>el “</w:t>
      </w:r>
      <w:r w:rsidR="00461A7B">
        <w:rPr>
          <w:rFonts w:asciiTheme="majorHAnsi" w:hAnsiTheme="majorHAnsi"/>
          <w:bCs/>
          <w:sz w:val="20"/>
          <w:szCs w:val="20"/>
          <w:lang w:val="es-ES"/>
        </w:rPr>
        <w:t>adolescente</w:t>
      </w:r>
      <w:r w:rsidR="00100558">
        <w:rPr>
          <w:rFonts w:asciiTheme="majorHAnsi" w:hAnsiTheme="majorHAnsi"/>
          <w:bCs/>
          <w:sz w:val="20"/>
          <w:szCs w:val="20"/>
          <w:lang w:val="es-ES"/>
        </w:rPr>
        <w:t xml:space="preserve">” o </w:t>
      </w:r>
      <w:r w:rsidR="00DC5FD8">
        <w:rPr>
          <w:rFonts w:asciiTheme="majorHAnsi" w:hAnsiTheme="majorHAnsi"/>
          <w:bCs/>
          <w:sz w:val="20"/>
          <w:szCs w:val="20"/>
          <w:lang w:val="es-ES"/>
        </w:rPr>
        <w:t>“</w:t>
      </w:r>
      <w:r w:rsidR="00455D25">
        <w:rPr>
          <w:rFonts w:asciiTheme="majorHAnsi" w:hAnsiTheme="majorHAnsi"/>
          <w:bCs/>
          <w:sz w:val="20"/>
          <w:szCs w:val="20"/>
          <w:lang w:val="es-ES"/>
        </w:rPr>
        <w:t>Ider Fabián</w:t>
      </w:r>
      <w:r w:rsidR="00DC5FD8">
        <w:rPr>
          <w:rFonts w:asciiTheme="majorHAnsi" w:hAnsiTheme="majorHAnsi"/>
          <w:bCs/>
          <w:sz w:val="20"/>
          <w:szCs w:val="20"/>
          <w:lang w:val="es-ES"/>
        </w:rPr>
        <w:t>”)</w:t>
      </w:r>
      <w:r>
        <w:rPr>
          <w:rFonts w:asciiTheme="majorHAnsi" w:hAnsiTheme="majorHAnsi"/>
          <w:bCs/>
          <w:sz w:val="20"/>
          <w:szCs w:val="20"/>
          <w:lang w:val="es-ES"/>
        </w:rPr>
        <w:t xml:space="preserve">, </w:t>
      </w:r>
      <w:r w:rsidR="004E523E">
        <w:rPr>
          <w:rFonts w:asciiTheme="majorHAnsi" w:hAnsiTheme="majorHAnsi"/>
          <w:bCs/>
          <w:sz w:val="20"/>
          <w:szCs w:val="20"/>
          <w:lang w:val="es-ES"/>
        </w:rPr>
        <w:t>se</w:t>
      </w:r>
      <w:r>
        <w:rPr>
          <w:rFonts w:asciiTheme="majorHAnsi" w:hAnsiTheme="majorHAnsi"/>
          <w:bCs/>
          <w:sz w:val="20"/>
          <w:szCs w:val="20"/>
          <w:lang w:val="es-ES"/>
        </w:rPr>
        <w:t xml:space="preserve"> encontraba</w:t>
      </w:r>
      <w:r w:rsidR="004E523E">
        <w:rPr>
          <w:rFonts w:asciiTheme="majorHAnsi" w:hAnsiTheme="majorHAnsi"/>
          <w:bCs/>
          <w:sz w:val="20"/>
          <w:szCs w:val="20"/>
          <w:lang w:val="es-ES"/>
        </w:rPr>
        <w:t xml:space="preserve"> en un predio</w:t>
      </w:r>
      <w:r w:rsidR="00364672">
        <w:rPr>
          <w:rFonts w:asciiTheme="majorHAnsi" w:hAnsiTheme="majorHAnsi"/>
          <w:bCs/>
          <w:sz w:val="20"/>
          <w:szCs w:val="20"/>
          <w:lang w:val="es-ES"/>
        </w:rPr>
        <w:t xml:space="preserve"> </w:t>
      </w:r>
      <w:r w:rsidR="00DF5C61">
        <w:rPr>
          <w:rFonts w:asciiTheme="majorHAnsi" w:hAnsiTheme="majorHAnsi"/>
          <w:bCs/>
          <w:sz w:val="20"/>
          <w:szCs w:val="20"/>
          <w:lang w:val="es-ES"/>
        </w:rPr>
        <w:t xml:space="preserve">ubicado en la ciudad de Portoviejo </w:t>
      </w:r>
      <w:r w:rsidR="004E523E">
        <w:rPr>
          <w:rFonts w:asciiTheme="majorHAnsi" w:hAnsiTheme="majorHAnsi"/>
          <w:bCs/>
          <w:sz w:val="20"/>
          <w:szCs w:val="20"/>
          <w:lang w:val="es-ES"/>
        </w:rPr>
        <w:t>en compañía de un amigo</w:t>
      </w:r>
      <w:r w:rsidR="00820813">
        <w:rPr>
          <w:rFonts w:asciiTheme="majorHAnsi" w:hAnsiTheme="majorHAnsi"/>
          <w:bCs/>
          <w:sz w:val="20"/>
          <w:szCs w:val="20"/>
          <w:lang w:val="es-ES"/>
        </w:rPr>
        <w:t xml:space="preserve"> cuando se realizó un operativo policial con el objeto de desalojar a los invasores, entre ellos el </w:t>
      </w:r>
      <w:r w:rsidR="006E17A4">
        <w:rPr>
          <w:rFonts w:asciiTheme="majorHAnsi" w:hAnsiTheme="majorHAnsi"/>
          <w:bCs/>
          <w:sz w:val="20"/>
          <w:szCs w:val="20"/>
          <w:lang w:val="es-ES"/>
        </w:rPr>
        <w:t>adolescente</w:t>
      </w:r>
      <w:r w:rsidR="00820813">
        <w:rPr>
          <w:rFonts w:asciiTheme="majorHAnsi" w:hAnsiTheme="majorHAnsi"/>
          <w:bCs/>
          <w:sz w:val="20"/>
          <w:szCs w:val="20"/>
          <w:lang w:val="es-ES"/>
        </w:rPr>
        <w:t xml:space="preserve">. </w:t>
      </w:r>
      <w:r w:rsidR="007F40C5">
        <w:rPr>
          <w:rFonts w:asciiTheme="majorHAnsi" w:hAnsiTheme="majorHAnsi"/>
          <w:bCs/>
          <w:sz w:val="20"/>
          <w:szCs w:val="20"/>
          <w:lang w:val="es-ES"/>
        </w:rPr>
        <w:t>Expresa que</w:t>
      </w:r>
      <w:r w:rsidR="00D82FF9">
        <w:rPr>
          <w:rFonts w:asciiTheme="majorHAnsi" w:hAnsiTheme="majorHAnsi"/>
          <w:bCs/>
          <w:sz w:val="20"/>
          <w:szCs w:val="20"/>
          <w:lang w:val="es-ES"/>
        </w:rPr>
        <w:t xml:space="preserve"> </w:t>
      </w:r>
      <w:r w:rsidR="00820813">
        <w:rPr>
          <w:rFonts w:asciiTheme="majorHAnsi" w:hAnsiTheme="majorHAnsi"/>
          <w:bCs/>
          <w:sz w:val="20"/>
          <w:szCs w:val="20"/>
          <w:lang w:val="es-ES"/>
        </w:rPr>
        <w:t xml:space="preserve">durante el operativo un vehículo </w:t>
      </w:r>
      <w:r w:rsidR="00820813">
        <w:rPr>
          <w:rFonts w:asciiTheme="majorHAnsi" w:hAnsiTheme="majorHAnsi"/>
          <w:bCs/>
          <w:sz w:val="20"/>
          <w:szCs w:val="20"/>
          <w:lang w:val="es-ES"/>
        </w:rPr>
        <w:lastRenderedPageBreak/>
        <w:t>anti</w:t>
      </w:r>
      <w:r w:rsidR="00793A69">
        <w:rPr>
          <w:rFonts w:asciiTheme="majorHAnsi" w:hAnsiTheme="majorHAnsi"/>
          <w:bCs/>
          <w:sz w:val="20"/>
          <w:szCs w:val="20"/>
          <w:lang w:val="es-ES"/>
        </w:rPr>
        <w:t>-</w:t>
      </w:r>
      <w:r w:rsidR="00820813">
        <w:rPr>
          <w:rFonts w:asciiTheme="majorHAnsi" w:hAnsiTheme="majorHAnsi"/>
          <w:bCs/>
          <w:sz w:val="20"/>
          <w:szCs w:val="20"/>
          <w:lang w:val="es-ES"/>
        </w:rPr>
        <w:t>mot</w:t>
      </w:r>
      <w:r w:rsidR="00793A69">
        <w:rPr>
          <w:rFonts w:asciiTheme="majorHAnsi" w:hAnsiTheme="majorHAnsi"/>
          <w:bCs/>
          <w:sz w:val="20"/>
          <w:szCs w:val="20"/>
          <w:lang w:val="es-ES"/>
        </w:rPr>
        <w:t>ín</w:t>
      </w:r>
      <w:r w:rsidR="00820813">
        <w:rPr>
          <w:rFonts w:asciiTheme="majorHAnsi" w:hAnsiTheme="majorHAnsi"/>
          <w:bCs/>
          <w:sz w:val="20"/>
          <w:szCs w:val="20"/>
          <w:lang w:val="es-ES"/>
        </w:rPr>
        <w:t xml:space="preserve"> de la Policía Nacional destruyó el lugar en donde se resguardaba</w:t>
      </w:r>
      <w:r w:rsidR="00DB7296">
        <w:rPr>
          <w:rFonts w:asciiTheme="majorHAnsi" w:hAnsiTheme="majorHAnsi"/>
          <w:bCs/>
          <w:sz w:val="20"/>
          <w:szCs w:val="20"/>
          <w:lang w:val="es-ES"/>
        </w:rPr>
        <w:t xml:space="preserve"> </w:t>
      </w:r>
      <w:r w:rsidR="00A23E1E">
        <w:rPr>
          <w:rFonts w:asciiTheme="majorHAnsi" w:hAnsiTheme="majorHAnsi"/>
          <w:bCs/>
          <w:sz w:val="20"/>
          <w:szCs w:val="20"/>
          <w:lang w:val="es-ES"/>
        </w:rPr>
        <w:t>Ider Fabián</w:t>
      </w:r>
      <w:r w:rsidR="00820813">
        <w:rPr>
          <w:rFonts w:asciiTheme="majorHAnsi" w:hAnsiTheme="majorHAnsi"/>
          <w:bCs/>
          <w:sz w:val="20"/>
          <w:szCs w:val="20"/>
          <w:lang w:val="es-ES"/>
        </w:rPr>
        <w:t>, falleciendo a consecuencia de</w:t>
      </w:r>
      <w:r w:rsidR="00BA3EFA">
        <w:rPr>
          <w:rFonts w:asciiTheme="majorHAnsi" w:hAnsiTheme="majorHAnsi"/>
          <w:bCs/>
          <w:sz w:val="20"/>
          <w:szCs w:val="20"/>
          <w:lang w:val="es-ES"/>
        </w:rPr>
        <w:t xml:space="preserve"> las lesiones provocadas por el </w:t>
      </w:r>
      <w:r w:rsidR="00A600C0">
        <w:rPr>
          <w:rFonts w:asciiTheme="majorHAnsi" w:hAnsiTheme="majorHAnsi"/>
          <w:bCs/>
          <w:sz w:val="20"/>
          <w:szCs w:val="20"/>
          <w:lang w:val="es-ES"/>
        </w:rPr>
        <w:t xml:space="preserve">impacto del </w:t>
      </w:r>
      <w:r w:rsidR="00BA3EFA">
        <w:rPr>
          <w:rFonts w:asciiTheme="majorHAnsi" w:hAnsiTheme="majorHAnsi"/>
          <w:bCs/>
          <w:sz w:val="20"/>
          <w:szCs w:val="20"/>
          <w:lang w:val="es-ES"/>
        </w:rPr>
        <w:t>vehículo</w:t>
      </w:r>
      <w:r w:rsidR="00820813">
        <w:rPr>
          <w:rFonts w:asciiTheme="majorHAnsi" w:hAnsiTheme="majorHAnsi"/>
          <w:bCs/>
          <w:sz w:val="20"/>
          <w:szCs w:val="20"/>
          <w:lang w:val="es-ES"/>
        </w:rPr>
        <w:t xml:space="preserve">. </w:t>
      </w:r>
    </w:p>
    <w:p w14:paraId="47D9FCB9" w14:textId="243E5A53" w:rsidR="00AD50E0" w:rsidRPr="00AD50E0" w:rsidRDefault="00793A69" w:rsidP="00AD50E0">
      <w:pPr>
        <w:pStyle w:val="ListParagraph"/>
        <w:spacing w:before="240" w:after="240"/>
        <w:jc w:val="both"/>
        <w:rPr>
          <w:rFonts w:asciiTheme="majorHAnsi" w:hAnsiTheme="majorHAnsi"/>
          <w:bCs/>
          <w:i/>
          <w:iCs/>
          <w:sz w:val="20"/>
          <w:szCs w:val="20"/>
          <w:lang w:val="es-ES"/>
        </w:rPr>
      </w:pPr>
      <w:r>
        <w:rPr>
          <w:rFonts w:asciiTheme="majorHAnsi" w:hAnsiTheme="majorHAnsi"/>
          <w:bCs/>
          <w:i/>
          <w:iCs/>
          <w:sz w:val="20"/>
          <w:szCs w:val="20"/>
          <w:lang w:val="es-ES"/>
        </w:rPr>
        <w:t>Denuncia</w:t>
      </w:r>
      <w:r w:rsidR="00AD50E0" w:rsidRPr="00AD50E0">
        <w:rPr>
          <w:rFonts w:asciiTheme="majorHAnsi" w:hAnsiTheme="majorHAnsi"/>
          <w:bCs/>
          <w:i/>
          <w:iCs/>
          <w:sz w:val="20"/>
          <w:szCs w:val="20"/>
          <w:lang w:val="es-ES"/>
        </w:rPr>
        <w:t xml:space="preserve"> penal </w:t>
      </w:r>
    </w:p>
    <w:p w14:paraId="31FA8155" w14:textId="466CE759" w:rsidR="007A082E" w:rsidRDefault="002A74BB" w:rsidP="007F40C5">
      <w:pPr>
        <w:pStyle w:val="ListParagraph"/>
        <w:numPr>
          <w:ilvl w:val="0"/>
          <w:numId w:val="60"/>
        </w:numPr>
        <w:spacing w:before="240" w:after="240"/>
        <w:ind w:left="0" w:firstLine="720"/>
        <w:jc w:val="both"/>
        <w:rPr>
          <w:rFonts w:asciiTheme="majorHAnsi" w:hAnsiTheme="majorHAnsi"/>
          <w:bCs/>
          <w:sz w:val="20"/>
          <w:szCs w:val="20"/>
          <w:lang w:val="es-ES"/>
        </w:rPr>
      </w:pPr>
      <w:r w:rsidRPr="001500AC">
        <w:rPr>
          <w:rFonts w:asciiTheme="majorHAnsi" w:hAnsiTheme="majorHAnsi"/>
          <w:bCs/>
          <w:sz w:val="20"/>
          <w:szCs w:val="20"/>
          <w:lang w:val="es-ES"/>
        </w:rPr>
        <w:t>Consecuentemente</w:t>
      </w:r>
      <w:r w:rsidR="00820813" w:rsidRPr="001500AC">
        <w:rPr>
          <w:rFonts w:asciiTheme="majorHAnsi" w:hAnsiTheme="majorHAnsi"/>
          <w:bCs/>
          <w:sz w:val="20"/>
          <w:szCs w:val="20"/>
          <w:lang w:val="es-ES"/>
        </w:rPr>
        <w:t xml:space="preserve">, </w:t>
      </w:r>
      <w:r w:rsidR="00D82FF9" w:rsidRPr="001500AC">
        <w:rPr>
          <w:rFonts w:asciiTheme="majorHAnsi" w:hAnsiTheme="majorHAnsi"/>
          <w:bCs/>
          <w:sz w:val="20"/>
          <w:szCs w:val="20"/>
          <w:lang w:val="es-ES"/>
        </w:rPr>
        <w:t>la señora Sánchez interpuso una denuncia por el homicidio de su hijo</w:t>
      </w:r>
      <w:r w:rsidR="007F40C5" w:rsidRPr="001500AC">
        <w:rPr>
          <w:rFonts w:asciiTheme="majorHAnsi" w:hAnsiTheme="majorHAnsi"/>
          <w:bCs/>
          <w:sz w:val="20"/>
          <w:szCs w:val="20"/>
          <w:lang w:val="es-ES"/>
        </w:rPr>
        <w:t>.</w:t>
      </w:r>
      <w:r w:rsidR="00D82FF9" w:rsidRPr="001500AC">
        <w:rPr>
          <w:rFonts w:asciiTheme="majorHAnsi" w:hAnsiTheme="majorHAnsi"/>
          <w:bCs/>
          <w:sz w:val="20"/>
          <w:szCs w:val="20"/>
          <w:lang w:val="es-ES"/>
        </w:rPr>
        <w:t xml:space="preserve"> </w:t>
      </w:r>
      <w:r w:rsidR="00066C97" w:rsidRPr="001500AC">
        <w:rPr>
          <w:rFonts w:asciiTheme="majorHAnsi" w:hAnsiTheme="majorHAnsi"/>
          <w:bCs/>
          <w:sz w:val="20"/>
          <w:szCs w:val="20"/>
          <w:lang w:val="es-ES"/>
        </w:rPr>
        <w:t>De la información aportada por la peticionaria</w:t>
      </w:r>
      <w:r w:rsidR="00F33AA0" w:rsidRPr="001500AC">
        <w:rPr>
          <w:rFonts w:asciiTheme="majorHAnsi" w:hAnsiTheme="majorHAnsi"/>
          <w:bCs/>
          <w:sz w:val="20"/>
          <w:szCs w:val="20"/>
          <w:lang w:val="es-ES"/>
        </w:rPr>
        <w:t>,</w:t>
      </w:r>
      <w:r w:rsidR="00066C97" w:rsidRPr="001500AC">
        <w:rPr>
          <w:rFonts w:asciiTheme="majorHAnsi" w:hAnsiTheme="majorHAnsi"/>
          <w:bCs/>
          <w:sz w:val="20"/>
          <w:szCs w:val="20"/>
          <w:lang w:val="es-ES"/>
        </w:rPr>
        <w:t xml:space="preserve"> complementada por el Estado, se desprende que </w:t>
      </w:r>
      <w:r w:rsidR="00D82FF9" w:rsidRPr="001500AC">
        <w:rPr>
          <w:rFonts w:asciiTheme="majorHAnsi" w:hAnsiTheme="majorHAnsi"/>
          <w:bCs/>
          <w:sz w:val="20"/>
          <w:szCs w:val="20"/>
          <w:lang w:val="es-ES"/>
        </w:rPr>
        <w:t xml:space="preserve">el 24 de agosto de 1995 se inició </w:t>
      </w:r>
      <w:r w:rsidR="00F72019" w:rsidRPr="001500AC">
        <w:rPr>
          <w:rFonts w:asciiTheme="majorHAnsi" w:hAnsiTheme="majorHAnsi"/>
          <w:bCs/>
          <w:sz w:val="20"/>
          <w:szCs w:val="20"/>
          <w:lang w:val="es-ES"/>
        </w:rPr>
        <w:t>un</w:t>
      </w:r>
      <w:r w:rsidR="00D82FF9" w:rsidRPr="001500AC">
        <w:rPr>
          <w:rFonts w:asciiTheme="majorHAnsi" w:hAnsiTheme="majorHAnsi"/>
          <w:bCs/>
          <w:sz w:val="20"/>
          <w:szCs w:val="20"/>
          <w:lang w:val="es-ES"/>
        </w:rPr>
        <w:t xml:space="preserve"> proceso penal en contra del jefe político de Portoviejo, el comandante provincial de la Policía de Manabí y el dueño del terreno </w:t>
      </w:r>
      <w:r w:rsidR="002D656F">
        <w:rPr>
          <w:rFonts w:asciiTheme="majorHAnsi" w:hAnsiTheme="majorHAnsi"/>
          <w:bCs/>
          <w:sz w:val="20"/>
          <w:szCs w:val="20"/>
          <w:lang w:val="es-ES"/>
        </w:rPr>
        <w:t>invadido</w:t>
      </w:r>
      <w:r w:rsidR="00D82FF9" w:rsidRPr="001500AC">
        <w:rPr>
          <w:rFonts w:asciiTheme="majorHAnsi" w:hAnsiTheme="majorHAnsi"/>
          <w:bCs/>
          <w:sz w:val="20"/>
          <w:szCs w:val="20"/>
          <w:lang w:val="es-ES"/>
        </w:rPr>
        <w:t xml:space="preserve">. </w:t>
      </w:r>
      <w:r w:rsidR="007F40C5" w:rsidRPr="001500AC">
        <w:rPr>
          <w:rFonts w:asciiTheme="majorHAnsi" w:hAnsiTheme="majorHAnsi"/>
          <w:bCs/>
          <w:sz w:val="20"/>
          <w:szCs w:val="20"/>
          <w:lang w:val="es-ES"/>
        </w:rPr>
        <w:t xml:space="preserve">El 29 de noviembre de 1999 la Corte Superior de Justicia de </w:t>
      </w:r>
      <w:r w:rsidR="001500AC" w:rsidRPr="001500AC">
        <w:rPr>
          <w:rFonts w:asciiTheme="majorHAnsi" w:hAnsiTheme="majorHAnsi"/>
          <w:bCs/>
          <w:sz w:val="20"/>
          <w:szCs w:val="20"/>
          <w:lang w:val="es-ES"/>
        </w:rPr>
        <w:t>Portov</w:t>
      </w:r>
      <w:r w:rsidR="001500AC">
        <w:rPr>
          <w:rFonts w:asciiTheme="majorHAnsi" w:hAnsiTheme="majorHAnsi"/>
          <w:bCs/>
          <w:sz w:val="20"/>
          <w:szCs w:val="20"/>
          <w:lang w:val="es-ES"/>
        </w:rPr>
        <w:t xml:space="preserve">iejo condenó a un año de prisión por homicidio no culposo al policía que conducía el vehículo que atropelló </w:t>
      </w:r>
      <w:r w:rsidR="00931CBD">
        <w:rPr>
          <w:rFonts w:asciiTheme="majorHAnsi" w:hAnsiTheme="majorHAnsi"/>
          <w:bCs/>
          <w:sz w:val="20"/>
          <w:szCs w:val="20"/>
          <w:lang w:val="es-ES"/>
        </w:rPr>
        <w:t xml:space="preserve">a </w:t>
      </w:r>
      <w:r w:rsidR="00931CBD" w:rsidRPr="00931CBD">
        <w:rPr>
          <w:rFonts w:asciiTheme="majorHAnsi" w:hAnsiTheme="majorHAnsi"/>
          <w:bCs/>
          <w:sz w:val="20"/>
          <w:szCs w:val="20"/>
          <w:lang w:val="es-ES"/>
        </w:rPr>
        <w:t>Ider Fabián</w:t>
      </w:r>
      <w:r w:rsidR="001500AC">
        <w:rPr>
          <w:rFonts w:asciiTheme="majorHAnsi" w:hAnsiTheme="majorHAnsi"/>
          <w:bCs/>
          <w:sz w:val="20"/>
          <w:szCs w:val="20"/>
          <w:lang w:val="es-ES"/>
        </w:rPr>
        <w:t xml:space="preserve">. </w:t>
      </w:r>
    </w:p>
    <w:p w14:paraId="254C7FAE" w14:textId="350A0C86" w:rsidR="008B71C9" w:rsidRPr="008B71C9" w:rsidRDefault="008B71C9" w:rsidP="008B71C9">
      <w:pPr>
        <w:pStyle w:val="ListParagraph"/>
        <w:spacing w:before="240" w:after="240"/>
        <w:jc w:val="both"/>
        <w:rPr>
          <w:rFonts w:asciiTheme="majorHAnsi" w:hAnsiTheme="majorHAnsi"/>
          <w:bCs/>
          <w:i/>
          <w:iCs/>
          <w:sz w:val="20"/>
          <w:szCs w:val="20"/>
          <w:lang w:val="es-ES"/>
        </w:rPr>
      </w:pPr>
      <w:r w:rsidRPr="008B71C9">
        <w:rPr>
          <w:rFonts w:asciiTheme="majorHAnsi" w:hAnsiTheme="majorHAnsi"/>
          <w:bCs/>
          <w:i/>
          <w:iCs/>
          <w:sz w:val="20"/>
          <w:szCs w:val="20"/>
          <w:lang w:val="es-ES"/>
        </w:rPr>
        <w:t>Acción de amparo</w:t>
      </w:r>
    </w:p>
    <w:p w14:paraId="6A19948F" w14:textId="36AAEE14" w:rsidR="003F0829" w:rsidRDefault="00753B43" w:rsidP="003F0829">
      <w:pPr>
        <w:pStyle w:val="ListParagraph"/>
        <w:numPr>
          <w:ilvl w:val="0"/>
          <w:numId w:val="60"/>
        </w:numPr>
        <w:spacing w:before="240" w:after="240"/>
        <w:ind w:left="0" w:firstLine="720"/>
        <w:jc w:val="both"/>
        <w:rPr>
          <w:rFonts w:asciiTheme="majorHAnsi" w:hAnsiTheme="majorHAnsi"/>
          <w:bCs/>
          <w:sz w:val="20"/>
          <w:szCs w:val="20"/>
          <w:lang w:val="es-ES_tradnl"/>
        </w:rPr>
      </w:pPr>
      <w:r>
        <w:rPr>
          <w:rFonts w:asciiTheme="majorHAnsi" w:hAnsiTheme="majorHAnsi"/>
          <w:bCs/>
          <w:sz w:val="20"/>
          <w:szCs w:val="20"/>
          <w:lang w:val="es-ES"/>
        </w:rPr>
        <w:t>Por otro lado, el</w:t>
      </w:r>
      <w:r w:rsidR="004B741C">
        <w:rPr>
          <w:rFonts w:asciiTheme="majorHAnsi" w:hAnsiTheme="majorHAnsi"/>
          <w:bCs/>
          <w:sz w:val="20"/>
          <w:szCs w:val="20"/>
          <w:lang w:val="es-ES_tradnl"/>
        </w:rPr>
        <w:t xml:space="preserve"> 11 de julio de 2002 </w:t>
      </w:r>
      <w:r w:rsidR="00143D37">
        <w:rPr>
          <w:rFonts w:asciiTheme="majorHAnsi" w:hAnsiTheme="majorHAnsi"/>
          <w:bCs/>
          <w:sz w:val="20"/>
          <w:szCs w:val="20"/>
          <w:lang w:val="es-ES_tradnl"/>
        </w:rPr>
        <w:t xml:space="preserve">la peticionaria interpuso una acción de amparo constitucional ante el Tribunal Contencioso Administrativo de Portoviejo, solicitando la debida sanción </w:t>
      </w:r>
      <w:r w:rsidR="00CC10AE">
        <w:rPr>
          <w:rFonts w:asciiTheme="majorHAnsi" w:hAnsiTheme="majorHAnsi"/>
          <w:bCs/>
          <w:sz w:val="20"/>
          <w:szCs w:val="20"/>
          <w:lang w:val="es-ES_tradnl"/>
        </w:rPr>
        <w:t>de</w:t>
      </w:r>
      <w:r w:rsidR="00143D37">
        <w:rPr>
          <w:rFonts w:asciiTheme="majorHAnsi" w:hAnsiTheme="majorHAnsi"/>
          <w:bCs/>
          <w:sz w:val="20"/>
          <w:szCs w:val="20"/>
          <w:lang w:val="es-ES_tradnl"/>
        </w:rPr>
        <w:t xml:space="preserve"> los responsables, así como la indemnización respectiva por la responsabilidad patrimonial de la Policía Nacional por el homicidio del </w:t>
      </w:r>
      <w:r w:rsidR="00F05292">
        <w:rPr>
          <w:rFonts w:asciiTheme="majorHAnsi" w:hAnsiTheme="majorHAnsi"/>
          <w:bCs/>
          <w:sz w:val="20"/>
          <w:szCs w:val="20"/>
          <w:lang w:val="es-ES_tradnl"/>
        </w:rPr>
        <w:t>adolescente</w:t>
      </w:r>
      <w:r w:rsidR="00A1076A">
        <w:rPr>
          <w:rFonts w:asciiTheme="majorHAnsi" w:hAnsiTheme="majorHAnsi"/>
          <w:bCs/>
          <w:sz w:val="20"/>
          <w:szCs w:val="20"/>
          <w:lang w:val="es-ES_tradnl"/>
        </w:rPr>
        <w:t>.</w:t>
      </w:r>
      <w:r w:rsidR="00C3269B">
        <w:rPr>
          <w:rFonts w:asciiTheme="majorHAnsi" w:hAnsiTheme="majorHAnsi"/>
          <w:bCs/>
          <w:sz w:val="20"/>
          <w:szCs w:val="20"/>
          <w:lang w:val="es-ES_tradnl"/>
        </w:rPr>
        <w:t xml:space="preserve"> No obstante, el 1 de agosto de 2002 el Tribunal Distrital de lo Contencioso Administrativo inadmitió el amparo al considerar que el delito perpetrado en contra del </w:t>
      </w:r>
      <w:r w:rsidR="00F05292">
        <w:rPr>
          <w:rFonts w:asciiTheme="majorHAnsi" w:hAnsiTheme="majorHAnsi"/>
          <w:bCs/>
          <w:sz w:val="20"/>
          <w:szCs w:val="20"/>
          <w:lang w:val="es-ES_tradnl"/>
        </w:rPr>
        <w:t>adolescente</w:t>
      </w:r>
      <w:r w:rsidR="00C3269B">
        <w:rPr>
          <w:rFonts w:asciiTheme="majorHAnsi" w:hAnsiTheme="majorHAnsi"/>
          <w:bCs/>
          <w:sz w:val="20"/>
          <w:szCs w:val="20"/>
          <w:lang w:val="es-ES_tradnl"/>
        </w:rPr>
        <w:t xml:space="preserve"> fue debidamente investigado y sancionad</w:t>
      </w:r>
      <w:r w:rsidR="00091611">
        <w:rPr>
          <w:rFonts w:asciiTheme="majorHAnsi" w:hAnsiTheme="majorHAnsi"/>
          <w:bCs/>
          <w:sz w:val="20"/>
          <w:szCs w:val="20"/>
          <w:lang w:val="es-ES_tradnl"/>
        </w:rPr>
        <w:t>o</w:t>
      </w:r>
      <w:r w:rsidR="00C3269B">
        <w:rPr>
          <w:rFonts w:asciiTheme="majorHAnsi" w:hAnsiTheme="majorHAnsi"/>
          <w:bCs/>
          <w:sz w:val="20"/>
          <w:szCs w:val="20"/>
          <w:lang w:val="es-ES_tradnl"/>
        </w:rPr>
        <w:t xml:space="preserve">. </w:t>
      </w:r>
      <w:r w:rsidR="003F0829">
        <w:rPr>
          <w:rFonts w:asciiTheme="majorHAnsi" w:hAnsiTheme="majorHAnsi"/>
          <w:bCs/>
          <w:sz w:val="20"/>
          <w:szCs w:val="20"/>
          <w:lang w:val="es-ES_tradnl"/>
        </w:rPr>
        <w:t>No conforme, la peticionaria impugnó la inadmisión de la acción de amparo; sin embargo, la Segunda Sala del Tribunal Constitucional</w:t>
      </w:r>
      <w:r w:rsidR="00113FB3">
        <w:rPr>
          <w:rFonts w:asciiTheme="majorHAnsi" w:hAnsiTheme="majorHAnsi"/>
          <w:bCs/>
          <w:sz w:val="20"/>
          <w:szCs w:val="20"/>
          <w:lang w:val="es-ES_tradnl"/>
        </w:rPr>
        <w:t xml:space="preserve"> </w:t>
      </w:r>
      <w:r w:rsidR="00CB6067">
        <w:rPr>
          <w:rFonts w:asciiTheme="majorHAnsi" w:hAnsiTheme="majorHAnsi"/>
          <w:bCs/>
          <w:sz w:val="20"/>
          <w:szCs w:val="20"/>
          <w:lang w:val="es-ES_tradnl"/>
        </w:rPr>
        <w:t>confirmó la resolución dictada en primera instancia</w:t>
      </w:r>
      <w:r w:rsidR="00CC10AE">
        <w:rPr>
          <w:rFonts w:asciiTheme="majorHAnsi" w:hAnsiTheme="majorHAnsi"/>
          <w:bCs/>
          <w:sz w:val="20"/>
          <w:szCs w:val="20"/>
          <w:lang w:val="es-ES_tradnl"/>
        </w:rPr>
        <w:t>.</w:t>
      </w:r>
      <w:r w:rsidR="00CB6067">
        <w:rPr>
          <w:rFonts w:asciiTheme="majorHAnsi" w:hAnsiTheme="majorHAnsi"/>
          <w:bCs/>
          <w:sz w:val="20"/>
          <w:szCs w:val="20"/>
          <w:lang w:val="es-ES_tradnl"/>
        </w:rPr>
        <w:t xml:space="preserve"> </w:t>
      </w:r>
    </w:p>
    <w:p w14:paraId="341AE3F6" w14:textId="050A6D83" w:rsidR="00014234" w:rsidRPr="00014234" w:rsidRDefault="00014234" w:rsidP="00014234">
      <w:pPr>
        <w:pStyle w:val="ListParagraph"/>
        <w:spacing w:before="240" w:after="240"/>
        <w:jc w:val="both"/>
        <w:rPr>
          <w:rFonts w:asciiTheme="majorHAnsi" w:hAnsiTheme="majorHAnsi"/>
          <w:bCs/>
          <w:i/>
          <w:iCs/>
          <w:sz w:val="20"/>
          <w:szCs w:val="20"/>
          <w:lang w:val="es-ES_tradnl"/>
        </w:rPr>
      </w:pPr>
      <w:r w:rsidRPr="00014234">
        <w:rPr>
          <w:rFonts w:asciiTheme="majorHAnsi" w:hAnsiTheme="majorHAnsi"/>
          <w:bCs/>
          <w:i/>
          <w:iCs/>
          <w:sz w:val="20"/>
          <w:szCs w:val="20"/>
          <w:lang w:val="es-ES_tradnl"/>
        </w:rPr>
        <w:t xml:space="preserve">Proceso en la jurisdicción </w:t>
      </w:r>
      <w:r w:rsidR="00C85223">
        <w:rPr>
          <w:rFonts w:asciiTheme="majorHAnsi" w:hAnsiTheme="majorHAnsi"/>
          <w:bCs/>
          <w:i/>
          <w:iCs/>
          <w:sz w:val="20"/>
          <w:szCs w:val="20"/>
          <w:lang w:val="es-ES_tradnl"/>
        </w:rPr>
        <w:t>contencioso-</w:t>
      </w:r>
      <w:r w:rsidRPr="00014234">
        <w:rPr>
          <w:rFonts w:asciiTheme="majorHAnsi" w:hAnsiTheme="majorHAnsi"/>
          <w:bCs/>
          <w:i/>
          <w:iCs/>
          <w:sz w:val="20"/>
          <w:szCs w:val="20"/>
          <w:lang w:val="es-ES_tradnl"/>
        </w:rPr>
        <w:t>administrativa</w:t>
      </w:r>
      <w:r w:rsidR="008A1F63">
        <w:rPr>
          <w:rFonts w:asciiTheme="majorHAnsi" w:hAnsiTheme="majorHAnsi"/>
          <w:bCs/>
          <w:i/>
          <w:iCs/>
          <w:sz w:val="20"/>
          <w:szCs w:val="20"/>
          <w:lang w:val="es-ES_tradnl"/>
        </w:rPr>
        <w:t xml:space="preserve"> y constitucional</w:t>
      </w:r>
    </w:p>
    <w:p w14:paraId="784C2638" w14:textId="6EA6D6C4" w:rsidR="00AE3052" w:rsidRDefault="003F0829" w:rsidP="001E4662">
      <w:pPr>
        <w:pStyle w:val="ListParagraph"/>
        <w:numPr>
          <w:ilvl w:val="0"/>
          <w:numId w:val="60"/>
        </w:numPr>
        <w:spacing w:before="240" w:after="240"/>
        <w:ind w:left="0" w:firstLine="720"/>
        <w:jc w:val="both"/>
        <w:rPr>
          <w:rFonts w:asciiTheme="majorHAnsi" w:hAnsiTheme="majorHAnsi"/>
          <w:bCs/>
          <w:sz w:val="20"/>
          <w:szCs w:val="20"/>
          <w:lang w:val="es-ES_tradnl"/>
        </w:rPr>
      </w:pPr>
      <w:r>
        <w:rPr>
          <w:rFonts w:asciiTheme="majorHAnsi" w:hAnsiTheme="majorHAnsi"/>
          <w:bCs/>
          <w:sz w:val="20"/>
          <w:szCs w:val="20"/>
          <w:lang w:val="es-ES_tradnl"/>
        </w:rPr>
        <w:t xml:space="preserve">Por otro lado, </w:t>
      </w:r>
      <w:r w:rsidR="00455D25">
        <w:rPr>
          <w:rFonts w:asciiTheme="majorHAnsi" w:hAnsiTheme="majorHAnsi"/>
          <w:bCs/>
          <w:sz w:val="20"/>
          <w:szCs w:val="20"/>
          <w:lang w:val="es-ES_tradnl"/>
        </w:rPr>
        <w:t>el 22 de enero de 2004 la peticionaria reclamó ante la Comandancia General de la Policía Nacional</w:t>
      </w:r>
      <w:r w:rsidR="00AE429E">
        <w:rPr>
          <w:rFonts w:asciiTheme="majorHAnsi" w:hAnsiTheme="majorHAnsi"/>
          <w:bCs/>
          <w:sz w:val="20"/>
          <w:szCs w:val="20"/>
          <w:lang w:val="es-ES_tradnl"/>
        </w:rPr>
        <w:t xml:space="preserve"> una</w:t>
      </w:r>
      <w:r w:rsidR="00CC10AE">
        <w:rPr>
          <w:rFonts w:asciiTheme="majorHAnsi" w:hAnsiTheme="majorHAnsi"/>
          <w:bCs/>
          <w:sz w:val="20"/>
          <w:szCs w:val="20"/>
          <w:lang w:val="es-ES_tradnl"/>
        </w:rPr>
        <w:t xml:space="preserve"> indemnización</w:t>
      </w:r>
      <w:r w:rsidR="00B4425E">
        <w:rPr>
          <w:rFonts w:asciiTheme="majorHAnsi" w:hAnsiTheme="majorHAnsi"/>
          <w:bCs/>
          <w:sz w:val="20"/>
          <w:szCs w:val="20"/>
          <w:lang w:val="es-ES_tradnl"/>
        </w:rPr>
        <w:t xml:space="preserve"> por</w:t>
      </w:r>
      <w:r w:rsidR="00CC10AE">
        <w:rPr>
          <w:rFonts w:asciiTheme="majorHAnsi" w:hAnsiTheme="majorHAnsi"/>
          <w:bCs/>
          <w:sz w:val="20"/>
          <w:szCs w:val="20"/>
          <w:lang w:val="es-ES_tradnl"/>
        </w:rPr>
        <w:t xml:space="preserve"> </w:t>
      </w:r>
      <w:r w:rsidR="000D4632">
        <w:rPr>
          <w:rFonts w:asciiTheme="majorHAnsi" w:hAnsiTheme="majorHAnsi"/>
          <w:bCs/>
          <w:sz w:val="20"/>
          <w:szCs w:val="20"/>
          <w:lang w:val="es-ES_tradnl"/>
        </w:rPr>
        <w:t>responsabilidad institucional</w:t>
      </w:r>
      <w:r w:rsidR="005C617A">
        <w:rPr>
          <w:rFonts w:asciiTheme="majorHAnsi" w:hAnsiTheme="majorHAnsi"/>
          <w:bCs/>
          <w:sz w:val="20"/>
          <w:szCs w:val="20"/>
          <w:lang w:val="es-ES_tradnl"/>
        </w:rPr>
        <w:t xml:space="preserve"> </w:t>
      </w:r>
      <w:r w:rsidR="00CC10AE">
        <w:rPr>
          <w:rFonts w:asciiTheme="majorHAnsi" w:hAnsiTheme="majorHAnsi"/>
          <w:bCs/>
          <w:sz w:val="20"/>
          <w:szCs w:val="20"/>
          <w:lang w:val="es-ES_tradnl"/>
        </w:rPr>
        <w:t>por</w:t>
      </w:r>
      <w:r w:rsidR="00455D25">
        <w:rPr>
          <w:rFonts w:asciiTheme="majorHAnsi" w:hAnsiTheme="majorHAnsi"/>
          <w:bCs/>
          <w:sz w:val="20"/>
          <w:szCs w:val="20"/>
          <w:lang w:val="es-ES_tradnl"/>
        </w:rPr>
        <w:t xml:space="preserve"> la muerte de </w:t>
      </w:r>
      <w:r w:rsidR="00E5307C">
        <w:rPr>
          <w:rFonts w:asciiTheme="majorHAnsi" w:hAnsiTheme="majorHAnsi"/>
          <w:bCs/>
          <w:sz w:val="20"/>
          <w:szCs w:val="20"/>
          <w:lang w:val="es-ES_tradnl"/>
        </w:rPr>
        <w:t>Ider Fabián</w:t>
      </w:r>
      <w:r w:rsidR="002D1126">
        <w:rPr>
          <w:rFonts w:asciiTheme="majorHAnsi" w:hAnsiTheme="majorHAnsi"/>
          <w:bCs/>
          <w:sz w:val="20"/>
          <w:szCs w:val="20"/>
          <w:lang w:val="es-ES_tradnl"/>
        </w:rPr>
        <w:t>, solicitando el pago de los daños y perjuicios</w:t>
      </w:r>
      <w:r w:rsidR="00305E90">
        <w:rPr>
          <w:rFonts w:asciiTheme="majorHAnsi" w:hAnsiTheme="majorHAnsi"/>
          <w:bCs/>
          <w:sz w:val="20"/>
          <w:szCs w:val="20"/>
          <w:lang w:val="es-ES_tradnl"/>
        </w:rPr>
        <w:t xml:space="preserve"> en su favor</w:t>
      </w:r>
      <w:r w:rsidR="002D1126">
        <w:rPr>
          <w:rFonts w:asciiTheme="majorHAnsi" w:hAnsiTheme="majorHAnsi"/>
          <w:bCs/>
          <w:sz w:val="20"/>
          <w:szCs w:val="20"/>
          <w:lang w:val="es-ES_tradnl"/>
        </w:rPr>
        <w:t>.</w:t>
      </w:r>
      <w:r w:rsidR="001F67B5">
        <w:rPr>
          <w:rFonts w:asciiTheme="majorHAnsi" w:hAnsiTheme="majorHAnsi"/>
          <w:bCs/>
          <w:sz w:val="20"/>
          <w:szCs w:val="20"/>
          <w:lang w:val="es-ES_tradnl"/>
        </w:rPr>
        <w:t xml:space="preserve"> El 16 de febrero de 2004 la Comandancia General de la Policía Nacional </w:t>
      </w:r>
      <w:r w:rsidR="00784FD2">
        <w:rPr>
          <w:rFonts w:asciiTheme="majorHAnsi" w:hAnsiTheme="majorHAnsi"/>
          <w:bCs/>
          <w:sz w:val="20"/>
          <w:szCs w:val="20"/>
          <w:lang w:val="es-ES_tradnl"/>
        </w:rPr>
        <w:t>negó la solicitud de la peticionaria al considerar que el derecho a la indemnización se configura</w:t>
      </w:r>
      <w:r w:rsidR="000F49DA">
        <w:rPr>
          <w:rFonts w:asciiTheme="majorHAnsi" w:hAnsiTheme="majorHAnsi"/>
          <w:bCs/>
          <w:sz w:val="20"/>
          <w:szCs w:val="20"/>
          <w:lang w:val="es-ES_tradnl"/>
        </w:rPr>
        <w:t>,</w:t>
      </w:r>
      <w:r w:rsidR="00784FD2">
        <w:rPr>
          <w:rFonts w:asciiTheme="majorHAnsi" w:hAnsiTheme="majorHAnsi"/>
          <w:bCs/>
          <w:sz w:val="20"/>
          <w:szCs w:val="20"/>
          <w:lang w:val="es-ES_tradnl"/>
        </w:rPr>
        <w:t xml:space="preserve"> a través de una sentencia firme y ejecutoriada</w:t>
      </w:r>
      <w:r w:rsidR="00EA0679">
        <w:rPr>
          <w:rFonts w:asciiTheme="majorHAnsi" w:hAnsiTheme="majorHAnsi"/>
          <w:bCs/>
          <w:sz w:val="20"/>
          <w:szCs w:val="20"/>
          <w:lang w:val="es-ES_tradnl"/>
        </w:rPr>
        <w:t xml:space="preserve"> que determine la responsabilidad de la Policía Nacional para el pago de daños y perjuicios</w:t>
      </w:r>
      <w:r w:rsidR="00784FD2">
        <w:rPr>
          <w:rFonts w:asciiTheme="majorHAnsi" w:hAnsiTheme="majorHAnsi"/>
          <w:bCs/>
          <w:sz w:val="20"/>
          <w:szCs w:val="20"/>
          <w:lang w:val="es-ES_tradnl"/>
        </w:rPr>
        <w:t xml:space="preserve">. </w:t>
      </w:r>
    </w:p>
    <w:p w14:paraId="0D17318C" w14:textId="0F97D69E" w:rsidR="0056099F" w:rsidRDefault="00672DED" w:rsidP="00C85223">
      <w:pPr>
        <w:pStyle w:val="ListParagraph"/>
        <w:numPr>
          <w:ilvl w:val="0"/>
          <w:numId w:val="60"/>
        </w:numPr>
        <w:spacing w:before="240" w:after="240"/>
        <w:ind w:left="0" w:firstLine="720"/>
        <w:jc w:val="both"/>
        <w:rPr>
          <w:rFonts w:asciiTheme="majorHAnsi" w:hAnsiTheme="majorHAnsi"/>
          <w:bCs/>
          <w:sz w:val="20"/>
          <w:szCs w:val="20"/>
          <w:lang w:val="es-ES_tradnl"/>
        </w:rPr>
      </w:pPr>
      <w:r>
        <w:rPr>
          <w:rFonts w:asciiTheme="majorHAnsi" w:hAnsiTheme="majorHAnsi"/>
          <w:bCs/>
          <w:sz w:val="20"/>
          <w:szCs w:val="20"/>
          <w:lang w:val="es-ES_tradnl"/>
        </w:rPr>
        <w:t>E</w:t>
      </w:r>
      <w:r w:rsidR="00764250">
        <w:rPr>
          <w:rFonts w:asciiTheme="majorHAnsi" w:hAnsiTheme="majorHAnsi"/>
          <w:bCs/>
          <w:sz w:val="20"/>
          <w:szCs w:val="20"/>
          <w:lang w:val="es-ES_tradnl"/>
        </w:rPr>
        <w:t xml:space="preserve">l 14 de mayo de 2004 </w:t>
      </w:r>
      <w:r w:rsidR="00784FD2">
        <w:rPr>
          <w:rFonts w:asciiTheme="majorHAnsi" w:hAnsiTheme="majorHAnsi"/>
          <w:bCs/>
          <w:sz w:val="20"/>
          <w:szCs w:val="20"/>
          <w:lang w:val="es-ES_tradnl"/>
        </w:rPr>
        <w:t>la señora Sánchez</w:t>
      </w:r>
      <w:r w:rsidR="0065467D">
        <w:rPr>
          <w:rFonts w:asciiTheme="majorHAnsi" w:hAnsiTheme="majorHAnsi"/>
          <w:bCs/>
          <w:sz w:val="20"/>
          <w:szCs w:val="20"/>
          <w:lang w:val="es-ES_tradnl"/>
        </w:rPr>
        <w:t xml:space="preserve"> presentó una demanda </w:t>
      </w:r>
      <w:r w:rsidR="00154908">
        <w:rPr>
          <w:rFonts w:asciiTheme="majorHAnsi" w:hAnsiTheme="majorHAnsi"/>
          <w:bCs/>
          <w:sz w:val="20"/>
          <w:szCs w:val="20"/>
          <w:lang w:val="es-ES_tradnl"/>
        </w:rPr>
        <w:t xml:space="preserve">ante el Tribunal de lo Contencioso Administrativo de Portoviejo </w:t>
      </w:r>
      <w:r w:rsidR="0057719F">
        <w:rPr>
          <w:rFonts w:asciiTheme="majorHAnsi" w:hAnsiTheme="majorHAnsi"/>
          <w:bCs/>
          <w:sz w:val="20"/>
          <w:szCs w:val="20"/>
          <w:lang w:val="es-ES_tradnl"/>
        </w:rPr>
        <w:t xml:space="preserve">en contra de la Policía Nacional </w:t>
      </w:r>
      <w:r w:rsidR="0065467D">
        <w:rPr>
          <w:rFonts w:asciiTheme="majorHAnsi" w:hAnsiTheme="majorHAnsi"/>
          <w:bCs/>
          <w:sz w:val="20"/>
          <w:szCs w:val="20"/>
          <w:lang w:val="es-ES_tradnl"/>
        </w:rPr>
        <w:t>por</w:t>
      </w:r>
      <w:r w:rsidR="00BA14D5">
        <w:rPr>
          <w:rFonts w:asciiTheme="majorHAnsi" w:hAnsiTheme="majorHAnsi"/>
          <w:bCs/>
          <w:sz w:val="20"/>
          <w:szCs w:val="20"/>
          <w:lang w:val="es-ES_tradnl"/>
        </w:rPr>
        <w:t xml:space="preserve"> los daños</w:t>
      </w:r>
      <w:r w:rsidR="0065467D">
        <w:rPr>
          <w:rFonts w:asciiTheme="majorHAnsi" w:hAnsiTheme="majorHAnsi"/>
          <w:bCs/>
          <w:sz w:val="20"/>
          <w:szCs w:val="20"/>
          <w:lang w:val="es-ES_tradnl"/>
        </w:rPr>
        <w:t xml:space="preserve"> </w:t>
      </w:r>
      <w:r w:rsidR="00BA14D5">
        <w:rPr>
          <w:rFonts w:asciiTheme="majorHAnsi" w:hAnsiTheme="majorHAnsi"/>
          <w:bCs/>
          <w:sz w:val="20"/>
          <w:szCs w:val="20"/>
          <w:lang w:val="es-ES_tradnl"/>
        </w:rPr>
        <w:t xml:space="preserve">y </w:t>
      </w:r>
      <w:r w:rsidR="003143C7">
        <w:rPr>
          <w:rFonts w:asciiTheme="majorHAnsi" w:hAnsiTheme="majorHAnsi"/>
          <w:bCs/>
          <w:sz w:val="20"/>
          <w:szCs w:val="20"/>
          <w:lang w:val="es-ES_tradnl"/>
        </w:rPr>
        <w:t xml:space="preserve">perjuicios </w:t>
      </w:r>
      <w:r w:rsidR="00154908">
        <w:rPr>
          <w:rFonts w:asciiTheme="majorHAnsi" w:hAnsiTheme="majorHAnsi"/>
          <w:bCs/>
          <w:sz w:val="20"/>
          <w:szCs w:val="20"/>
          <w:lang w:val="es-ES_tradnl"/>
        </w:rPr>
        <w:t xml:space="preserve">emanados de la muerte </w:t>
      </w:r>
      <w:r w:rsidR="001942C6">
        <w:rPr>
          <w:rFonts w:asciiTheme="majorHAnsi" w:hAnsiTheme="majorHAnsi"/>
          <w:bCs/>
          <w:sz w:val="20"/>
          <w:szCs w:val="20"/>
          <w:lang w:val="es-ES_tradnl"/>
        </w:rPr>
        <w:t>del adolescente</w:t>
      </w:r>
      <w:r w:rsidR="00154908">
        <w:rPr>
          <w:rFonts w:asciiTheme="majorHAnsi" w:hAnsiTheme="majorHAnsi"/>
          <w:bCs/>
          <w:sz w:val="20"/>
          <w:szCs w:val="20"/>
          <w:lang w:val="es-ES_tradnl"/>
        </w:rPr>
        <w:t xml:space="preserve">. </w:t>
      </w:r>
      <w:r w:rsidR="00AE3052">
        <w:rPr>
          <w:rFonts w:asciiTheme="majorHAnsi" w:hAnsiTheme="majorHAnsi"/>
          <w:bCs/>
          <w:sz w:val="20"/>
          <w:szCs w:val="20"/>
          <w:lang w:val="es-ES_tradnl"/>
        </w:rPr>
        <w:t>El 20 de diciembre de 2006 el referido tribunal condenó a la Policía Nacional del Ecuador al pago indemnizatorio por daños y perjuicios, así como por daño moral en favor de la señora Sánchez</w:t>
      </w:r>
      <w:r w:rsidR="00FE6614">
        <w:rPr>
          <w:rFonts w:asciiTheme="majorHAnsi" w:hAnsiTheme="majorHAnsi"/>
          <w:bCs/>
          <w:sz w:val="20"/>
          <w:szCs w:val="20"/>
          <w:lang w:val="es-ES_tradnl"/>
        </w:rPr>
        <w:t xml:space="preserve"> por la cantidad de USD$ 550,65</w:t>
      </w:r>
      <w:r w:rsidR="00DD2F14">
        <w:rPr>
          <w:rFonts w:asciiTheme="majorHAnsi" w:hAnsiTheme="majorHAnsi"/>
          <w:bCs/>
          <w:sz w:val="20"/>
          <w:szCs w:val="20"/>
          <w:lang w:val="es-ES_tradnl"/>
        </w:rPr>
        <w:t>6</w:t>
      </w:r>
      <w:r w:rsidR="005C617A">
        <w:rPr>
          <w:rFonts w:asciiTheme="majorHAnsi" w:hAnsiTheme="majorHAnsi"/>
          <w:bCs/>
          <w:sz w:val="20"/>
          <w:szCs w:val="20"/>
          <w:lang w:val="es-ES_tradnl"/>
        </w:rPr>
        <w:t>; a</w:t>
      </w:r>
      <w:r w:rsidR="00AE3052">
        <w:rPr>
          <w:rFonts w:asciiTheme="majorHAnsi" w:hAnsiTheme="majorHAnsi"/>
          <w:bCs/>
          <w:sz w:val="20"/>
          <w:szCs w:val="20"/>
          <w:lang w:val="es-ES_tradnl"/>
        </w:rPr>
        <w:t>l considerar que el chofer del vehículo que provocó la muerte de Ider Fabián actuó en calidad d</w:t>
      </w:r>
      <w:r w:rsidR="00407DF9">
        <w:rPr>
          <w:rFonts w:asciiTheme="majorHAnsi" w:hAnsiTheme="majorHAnsi"/>
          <w:bCs/>
          <w:sz w:val="20"/>
          <w:szCs w:val="20"/>
          <w:lang w:val="es-ES_tradnl"/>
        </w:rPr>
        <w:t xml:space="preserve">e miembro de la Policía Nacional, </w:t>
      </w:r>
      <w:r w:rsidR="00AE3052">
        <w:rPr>
          <w:rFonts w:asciiTheme="majorHAnsi" w:hAnsiTheme="majorHAnsi"/>
          <w:bCs/>
          <w:sz w:val="20"/>
          <w:szCs w:val="20"/>
          <w:lang w:val="es-ES_tradnl"/>
        </w:rPr>
        <w:t>bajo órdenes emitidas por sus superiores</w:t>
      </w:r>
      <w:r w:rsidR="00407DF9">
        <w:rPr>
          <w:rFonts w:asciiTheme="majorHAnsi" w:hAnsiTheme="majorHAnsi"/>
          <w:bCs/>
          <w:sz w:val="20"/>
          <w:szCs w:val="20"/>
          <w:lang w:val="es-ES_tradnl"/>
        </w:rPr>
        <w:t xml:space="preserve">, configurando así una responsabilidad institucional y no personal. </w:t>
      </w:r>
    </w:p>
    <w:p w14:paraId="42C76346" w14:textId="67818424" w:rsidR="003F0829" w:rsidRDefault="0056099F" w:rsidP="001E4662">
      <w:pPr>
        <w:pStyle w:val="ListParagraph"/>
        <w:numPr>
          <w:ilvl w:val="0"/>
          <w:numId w:val="60"/>
        </w:numPr>
        <w:spacing w:before="240" w:after="240"/>
        <w:ind w:left="0" w:firstLine="720"/>
        <w:jc w:val="both"/>
        <w:rPr>
          <w:rFonts w:asciiTheme="majorHAnsi" w:hAnsiTheme="majorHAnsi"/>
          <w:bCs/>
          <w:sz w:val="20"/>
          <w:szCs w:val="20"/>
          <w:lang w:val="es-ES_tradnl"/>
        </w:rPr>
      </w:pPr>
      <w:r>
        <w:rPr>
          <w:rFonts w:asciiTheme="majorHAnsi" w:hAnsiTheme="majorHAnsi"/>
          <w:bCs/>
          <w:sz w:val="20"/>
          <w:szCs w:val="20"/>
          <w:lang w:val="es-ES_tradnl"/>
        </w:rPr>
        <w:t>En contra de ello, la Policía Nacional interpuso recurso de ampliación y aclaración de sentencia, mismo que el 30 de enero de 2007 fue negado por el Tribunal Distrital de lo Contencioso y Administrativo</w:t>
      </w:r>
      <w:r w:rsidR="0036356E">
        <w:rPr>
          <w:rFonts w:asciiTheme="majorHAnsi" w:hAnsiTheme="majorHAnsi"/>
          <w:bCs/>
          <w:sz w:val="20"/>
          <w:szCs w:val="20"/>
          <w:lang w:val="es-ES_tradnl"/>
        </w:rPr>
        <w:t xml:space="preserve">. </w:t>
      </w:r>
      <w:r w:rsidR="00BA14D5">
        <w:rPr>
          <w:rFonts w:asciiTheme="majorHAnsi" w:hAnsiTheme="majorHAnsi"/>
          <w:bCs/>
          <w:sz w:val="20"/>
          <w:szCs w:val="20"/>
          <w:lang w:val="es-ES_tradnl"/>
        </w:rPr>
        <w:t>El</w:t>
      </w:r>
      <w:r>
        <w:rPr>
          <w:rFonts w:asciiTheme="majorHAnsi" w:hAnsiTheme="majorHAnsi"/>
          <w:bCs/>
          <w:sz w:val="20"/>
          <w:szCs w:val="20"/>
          <w:lang w:val="es-ES_tradnl"/>
        </w:rPr>
        <w:t xml:space="preserve"> 5 de febrero de 2007 la Policía Nacional interpuso recurso de casación, alega</w:t>
      </w:r>
      <w:r w:rsidR="0036356E">
        <w:rPr>
          <w:rFonts w:asciiTheme="majorHAnsi" w:hAnsiTheme="majorHAnsi"/>
          <w:bCs/>
          <w:sz w:val="20"/>
          <w:szCs w:val="20"/>
          <w:lang w:val="es-ES_tradnl"/>
        </w:rPr>
        <w:t>n</w:t>
      </w:r>
      <w:r>
        <w:rPr>
          <w:rFonts w:asciiTheme="majorHAnsi" w:hAnsiTheme="majorHAnsi"/>
          <w:bCs/>
          <w:sz w:val="20"/>
          <w:szCs w:val="20"/>
          <w:lang w:val="es-ES_tradnl"/>
        </w:rPr>
        <w:t xml:space="preserve">do la prescripción de la </w:t>
      </w:r>
      <w:r w:rsidR="00111372">
        <w:rPr>
          <w:rFonts w:asciiTheme="majorHAnsi" w:hAnsiTheme="majorHAnsi"/>
          <w:bCs/>
          <w:sz w:val="20"/>
          <w:szCs w:val="20"/>
          <w:lang w:val="es-ES_tradnl"/>
        </w:rPr>
        <w:t>demanda por daños y perjuicios interpuesta por la señora Sánchez el 22 de enero de 2004</w:t>
      </w:r>
      <w:r>
        <w:rPr>
          <w:rFonts w:asciiTheme="majorHAnsi" w:hAnsiTheme="majorHAnsi"/>
          <w:bCs/>
          <w:sz w:val="20"/>
          <w:szCs w:val="20"/>
          <w:lang w:val="es-ES_tradnl"/>
        </w:rPr>
        <w:t xml:space="preserve">. </w:t>
      </w:r>
      <w:r w:rsidR="000E73E5">
        <w:rPr>
          <w:rFonts w:asciiTheme="majorHAnsi" w:hAnsiTheme="majorHAnsi"/>
          <w:bCs/>
          <w:sz w:val="20"/>
          <w:szCs w:val="20"/>
          <w:lang w:val="es-ES_tradnl"/>
        </w:rPr>
        <w:t xml:space="preserve">Paralelamente, el 23 de febrero de 2007 la Procuraduría General del Estado </w:t>
      </w:r>
      <w:r w:rsidR="00A42B50">
        <w:rPr>
          <w:rFonts w:asciiTheme="majorHAnsi" w:hAnsiTheme="majorHAnsi"/>
          <w:bCs/>
          <w:sz w:val="20"/>
          <w:szCs w:val="20"/>
          <w:lang w:val="es-ES_tradnl"/>
        </w:rPr>
        <w:t xml:space="preserve">interpuso recurso de casación </w:t>
      </w:r>
      <w:r w:rsidR="004A214C">
        <w:rPr>
          <w:rFonts w:asciiTheme="majorHAnsi" w:hAnsiTheme="majorHAnsi"/>
          <w:bCs/>
          <w:sz w:val="20"/>
          <w:szCs w:val="20"/>
          <w:lang w:val="es-ES_tradnl"/>
        </w:rPr>
        <w:t>aduciendo</w:t>
      </w:r>
      <w:r w:rsidR="00A42B50">
        <w:rPr>
          <w:rFonts w:asciiTheme="majorHAnsi" w:hAnsiTheme="majorHAnsi"/>
          <w:bCs/>
          <w:sz w:val="20"/>
          <w:szCs w:val="20"/>
          <w:lang w:val="es-ES_tradnl"/>
        </w:rPr>
        <w:t xml:space="preserve"> </w:t>
      </w:r>
      <w:r w:rsidR="00111372">
        <w:rPr>
          <w:rFonts w:asciiTheme="majorHAnsi" w:hAnsiTheme="majorHAnsi"/>
          <w:bCs/>
          <w:sz w:val="20"/>
          <w:szCs w:val="20"/>
          <w:lang w:val="es-ES_tradnl"/>
        </w:rPr>
        <w:t>igualmente</w:t>
      </w:r>
      <w:r w:rsidR="00A42B50">
        <w:rPr>
          <w:rFonts w:asciiTheme="majorHAnsi" w:hAnsiTheme="majorHAnsi"/>
          <w:bCs/>
          <w:sz w:val="20"/>
          <w:szCs w:val="20"/>
          <w:lang w:val="es-ES_tradnl"/>
        </w:rPr>
        <w:t xml:space="preserve"> que se había configurado la prescripción de la </w:t>
      </w:r>
      <w:r w:rsidR="00F510FF">
        <w:rPr>
          <w:rFonts w:asciiTheme="majorHAnsi" w:hAnsiTheme="majorHAnsi"/>
          <w:bCs/>
          <w:sz w:val="20"/>
          <w:szCs w:val="20"/>
          <w:lang w:val="es-ES_tradnl"/>
        </w:rPr>
        <w:t>demanda</w:t>
      </w:r>
      <w:r w:rsidR="00A42B50">
        <w:rPr>
          <w:rFonts w:asciiTheme="majorHAnsi" w:hAnsiTheme="majorHAnsi"/>
          <w:bCs/>
          <w:sz w:val="20"/>
          <w:szCs w:val="20"/>
          <w:lang w:val="es-ES_tradnl"/>
        </w:rPr>
        <w:t xml:space="preserve">. </w:t>
      </w:r>
      <w:r w:rsidR="00BD2868">
        <w:rPr>
          <w:rFonts w:asciiTheme="majorHAnsi" w:hAnsiTheme="majorHAnsi"/>
          <w:bCs/>
          <w:sz w:val="20"/>
          <w:szCs w:val="20"/>
          <w:lang w:val="es-ES_tradnl"/>
        </w:rPr>
        <w:t>El 8 de marzo de 2007 el Tribunal Distrital de lo Contencioso Administrativo inadmitió los recursos de casación</w:t>
      </w:r>
      <w:r w:rsidR="00797964">
        <w:rPr>
          <w:rFonts w:asciiTheme="majorHAnsi" w:hAnsiTheme="majorHAnsi"/>
          <w:bCs/>
          <w:sz w:val="20"/>
          <w:szCs w:val="20"/>
          <w:lang w:val="es-ES_tradnl"/>
        </w:rPr>
        <w:t xml:space="preserve">, </w:t>
      </w:r>
      <w:r w:rsidR="00603630">
        <w:rPr>
          <w:rFonts w:asciiTheme="majorHAnsi" w:hAnsiTheme="majorHAnsi"/>
          <w:bCs/>
          <w:sz w:val="20"/>
          <w:szCs w:val="20"/>
          <w:lang w:val="es-ES_tradnl"/>
        </w:rPr>
        <w:t>determinando</w:t>
      </w:r>
      <w:r w:rsidR="00797964">
        <w:rPr>
          <w:rFonts w:asciiTheme="majorHAnsi" w:hAnsiTheme="majorHAnsi"/>
          <w:bCs/>
          <w:sz w:val="20"/>
          <w:szCs w:val="20"/>
          <w:lang w:val="es-ES_tradnl"/>
        </w:rPr>
        <w:t>; por una parte, que el recurso planteado por la Policía Nacional estaba fundamentado de manera errónea y; por otra, que el recurso interpuesto por la Procuraduría General del Estado era improcedente debido a que</w:t>
      </w:r>
      <w:r w:rsidR="00A97C18">
        <w:rPr>
          <w:rFonts w:asciiTheme="majorHAnsi" w:hAnsiTheme="majorHAnsi"/>
          <w:bCs/>
          <w:sz w:val="20"/>
          <w:szCs w:val="20"/>
          <w:lang w:val="es-ES_tradnl"/>
        </w:rPr>
        <w:t xml:space="preserve"> esta</w:t>
      </w:r>
      <w:r w:rsidR="00797964">
        <w:rPr>
          <w:rFonts w:asciiTheme="majorHAnsi" w:hAnsiTheme="majorHAnsi"/>
          <w:bCs/>
          <w:sz w:val="20"/>
          <w:szCs w:val="20"/>
          <w:lang w:val="es-ES_tradnl"/>
        </w:rPr>
        <w:t xml:space="preserve"> no </w:t>
      </w:r>
      <w:r w:rsidR="00797964" w:rsidRPr="004A214C">
        <w:rPr>
          <w:rFonts w:asciiTheme="majorHAnsi" w:hAnsiTheme="majorHAnsi"/>
          <w:bCs/>
          <w:sz w:val="20"/>
          <w:szCs w:val="20"/>
          <w:lang w:val="es-ES_tradnl"/>
        </w:rPr>
        <w:t xml:space="preserve">era </w:t>
      </w:r>
      <w:r w:rsidR="009B2C84" w:rsidRPr="004A214C">
        <w:rPr>
          <w:rFonts w:asciiTheme="majorHAnsi" w:hAnsiTheme="majorHAnsi"/>
          <w:bCs/>
          <w:sz w:val="20"/>
          <w:szCs w:val="20"/>
          <w:lang w:val="es-ES_tradnl"/>
        </w:rPr>
        <w:t xml:space="preserve">una </w:t>
      </w:r>
      <w:r w:rsidR="00797964" w:rsidRPr="004A214C">
        <w:rPr>
          <w:rFonts w:asciiTheme="majorHAnsi" w:hAnsiTheme="majorHAnsi"/>
          <w:bCs/>
          <w:sz w:val="20"/>
          <w:szCs w:val="20"/>
          <w:lang w:val="es-ES_tradnl"/>
        </w:rPr>
        <w:t>parte procesal</w:t>
      </w:r>
      <w:r w:rsidR="00797964">
        <w:rPr>
          <w:rFonts w:asciiTheme="majorHAnsi" w:hAnsiTheme="majorHAnsi"/>
          <w:bCs/>
          <w:sz w:val="20"/>
          <w:szCs w:val="20"/>
          <w:lang w:val="es-ES_tradnl"/>
        </w:rPr>
        <w:t xml:space="preserve">. </w:t>
      </w:r>
      <w:r w:rsidR="0092793E">
        <w:rPr>
          <w:rFonts w:asciiTheme="majorHAnsi" w:hAnsiTheme="majorHAnsi"/>
          <w:bCs/>
          <w:sz w:val="20"/>
          <w:szCs w:val="20"/>
          <w:lang w:val="es-ES_tradnl"/>
        </w:rPr>
        <w:t>No conformes</w:t>
      </w:r>
      <w:r w:rsidR="009D31AB">
        <w:rPr>
          <w:rFonts w:asciiTheme="majorHAnsi" w:hAnsiTheme="majorHAnsi"/>
          <w:bCs/>
          <w:sz w:val="20"/>
          <w:szCs w:val="20"/>
          <w:lang w:val="es-ES_tradnl"/>
        </w:rPr>
        <w:t xml:space="preserve">, </w:t>
      </w:r>
      <w:r w:rsidR="0092793E">
        <w:rPr>
          <w:rFonts w:asciiTheme="majorHAnsi" w:hAnsiTheme="majorHAnsi"/>
          <w:bCs/>
          <w:sz w:val="20"/>
          <w:szCs w:val="20"/>
          <w:lang w:val="es-ES_tradnl"/>
        </w:rPr>
        <w:t xml:space="preserve">el 9 y 16 de marzo de 2007 </w:t>
      </w:r>
      <w:r w:rsidR="009D31AB">
        <w:rPr>
          <w:rFonts w:asciiTheme="majorHAnsi" w:hAnsiTheme="majorHAnsi"/>
          <w:bCs/>
          <w:sz w:val="20"/>
          <w:szCs w:val="20"/>
          <w:lang w:val="es-ES_tradnl"/>
        </w:rPr>
        <w:t>l</w:t>
      </w:r>
      <w:r w:rsidR="0092793E">
        <w:rPr>
          <w:rFonts w:asciiTheme="majorHAnsi" w:hAnsiTheme="majorHAnsi"/>
          <w:bCs/>
          <w:sz w:val="20"/>
          <w:szCs w:val="20"/>
          <w:lang w:val="es-ES_tradnl"/>
        </w:rPr>
        <w:t xml:space="preserve">a </w:t>
      </w:r>
      <w:r w:rsidR="009D31AB">
        <w:rPr>
          <w:rFonts w:asciiTheme="majorHAnsi" w:hAnsiTheme="majorHAnsi"/>
          <w:bCs/>
          <w:sz w:val="20"/>
          <w:szCs w:val="20"/>
          <w:lang w:val="es-ES_tradnl"/>
        </w:rPr>
        <w:t>Policía</w:t>
      </w:r>
      <w:r w:rsidR="0092793E">
        <w:rPr>
          <w:rFonts w:asciiTheme="majorHAnsi" w:hAnsiTheme="majorHAnsi"/>
          <w:bCs/>
          <w:sz w:val="20"/>
          <w:szCs w:val="20"/>
          <w:lang w:val="es-ES_tradnl"/>
        </w:rPr>
        <w:t xml:space="preserve"> Nacional y la Procuraduría General del Estado, </w:t>
      </w:r>
      <w:r w:rsidR="009D31AB">
        <w:rPr>
          <w:rFonts w:asciiTheme="majorHAnsi" w:hAnsiTheme="majorHAnsi"/>
          <w:bCs/>
          <w:sz w:val="20"/>
          <w:szCs w:val="20"/>
          <w:lang w:val="es-ES_tradnl"/>
        </w:rPr>
        <w:t>respectivamente</w:t>
      </w:r>
      <w:r w:rsidR="0092793E">
        <w:rPr>
          <w:rFonts w:asciiTheme="majorHAnsi" w:hAnsiTheme="majorHAnsi"/>
          <w:bCs/>
          <w:sz w:val="20"/>
          <w:szCs w:val="20"/>
          <w:lang w:val="es-ES_tradnl"/>
        </w:rPr>
        <w:t>, interpusieron recurso</w:t>
      </w:r>
      <w:r w:rsidR="009D31AB">
        <w:rPr>
          <w:rFonts w:asciiTheme="majorHAnsi" w:hAnsiTheme="majorHAnsi"/>
          <w:bCs/>
          <w:sz w:val="20"/>
          <w:szCs w:val="20"/>
          <w:lang w:val="es-ES_tradnl"/>
        </w:rPr>
        <w:t>s</w:t>
      </w:r>
      <w:r w:rsidR="0092793E">
        <w:rPr>
          <w:rFonts w:asciiTheme="majorHAnsi" w:hAnsiTheme="majorHAnsi"/>
          <w:bCs/>
          <w:sz w:val="20"/>
          <w:szCs w:val="20"/>
          <w:lang w:val="es-ES_tradnl"/>
        </w:rPr>
        <w:t xml:space="preserve"> de hecho.</w:t>
      </w:r>
      <w:r w:rsidR="009D31AB">
        <w:rPr>
          <w:rFonts w:asciiTheme="majorHAnsi" w:hAnsiTheme="majorHAnsi"/>
          <w:bCs/>
          <w:sz w:val="20"/>
          <w:szCs w:val="20"/>
          <w:lang w:val="es-ES_tradnl"/>
        </w:rPr>
        <w:t xml:space="preserve"> </w:t>
      </w:r>
    </w:p>
    <w:p w14:paraId="3D4A5D5C" w14:textId="5E1655E9" w:rsidR="004A214C" w:rsidRDefault="009D31AB" w:rsidP="001E4662">
      <w:pPr>
        <w:pStyle w:val="ListParagraph"/>
        <w:numPr>
          <w:ilvl w:val="0"/>
          <w:numId w:val="60"/>
        </w:numPr>
        <w:spacing w:before="240" w:after="240"/>
        <w:ind w:left="0" w:firstLine="720"/>
        <w:jc w:val="both"/>
        <w:rPr>
          <w:rFonts w:asciiTheme="majorHAnsi" w:hAnsiTheme="majorHAnsi"/>
          <w:bCs/>
          <w:sz w:val="20"/>
          <w:szCs w:val="20"/>
          <w:lang w:val="es-ES_tradnl"/>
        </w:rPr>
      </w:pPr>
      <w:r>
        <w:rPr>
          <w:rFonts w:asciiTheme="majorHAnsi" w:hAnsiTheme="majorHAnsi"/>
          <w:bCs/>
          <w:sz w:val="20"/>
          <w:szCs w:val="20"/>
          <w:lang w:val="es-ES_tradnl"/>
        </w:rPr>
        <w:t xml:space="preserve">En relación con los recursos de hecho, el 8 de septiembre de 2008 la Sala de lo Contencioso Administrativo de la </w:t>
      </w:r>
      <w:r w:rsidR="00F364D4">
        <w:rPr>
          <w:rFonts w:asciiTheme="majorHAnsi" w:hAnsiTheme="majorHAnsi"/>
          <w:bCs/>
          <w:sz w:val="20"/>
          <w:szCs w:val="20"/>
          <w:lang w:val="es-ES_tradnl"/>
        </w:rPr>
        <w:t xml:space="preserve">entonces </w:t>
      </w:r>
      <w:r>
        <w:rPr>
          <w:rFonts w:asciiTheme="majorHAnsi" w:hAnsiTheme="majorHAnsi"/>
          <w:bCs/>
          <w:sz w:val="20"/>
          <w:szCs w:val="20"/>
          <w:lang w:val="es-ES_tradnl"/>
        </w:rPr>
        <w:t xml:space="preserve">Corte </w:t>
      </w:r>
      <w:r w:rsidR="00F364D4">
        <w:rPr>
          <w:rFonts w:asciiTheme="majorHAnsi" w:hAnsiTheme="majorHAnsi"/>
          <w:bCs/>
          <w:sz w:val="20"/>
          <w:szCs w:val="20"/>
          <w:lang w:val="es-ES_tradnl"/>
        </w:rPr>
        <w:t>Suprema</w:t>
      </w:r>
      <w:r>
        <w:rPr>
          <w:rFonts w:asciiTheme="majorHAnsi" w:hAnsiTheme="majorHAnsi"/>
          <w:bCs/>
          <w:sz w:val="20"/>
          <w:szCs w:val="20"/>
          <w:lang w:val="es-ES_tradnl"/>
        </w:rPr>
        <w:t xml:space="preserve"> de Justicia </w:t>
      </w:r>
      <w:r w:rsidR="007F0B55">
        <w:rPr>
          <w:rFonts w:asciiTheme="majorHAnsi" w:hAnsiTheme="majorHAnsi"/>
          <w:bCs/>
          <w:sz w:val="20"/>
          <w:szCs w:val="20"/>
          <w:lang w:val="es-ES_tradnl"/>
        </w:rPr>
        <w:t>examinó ambos recursos, admitiendo el interpuesto por la Procuraduría General del Estado al considerar que el Tribunal Distrital de lo Contencioso Administrativo</w:t>
      </w:r>
      <w:r w:rsidR="004A214C">
        <w:rPr>
          <w:rFonts w:asciiTheme="majorHAnsi" w:hAnsiTheme="majorHAnsi"/>
          <w:bCs/>
          <w:sz w:val="20"/>
          <w:szCs w:val="20"/>
          <w:lang w:val="es-ES_tradnl"/>
        </w:rPr>
        <w:t>,</w:t>
      </w:r>
      <w:r w:rsidR="007F0B55">
        <w:rPr>
          <w:rFonts w:asciiTheme="majorHAnsi" w:hAnsiTheme="majorHAnsi"/>
          <w:bCs/>
          <w:sz w:val="20"/>
          <w:szCs w:val="20"/>
          <w:lang w:val="es-ES_tradnl"/>
        </w:rPr>
        <w:t xml:space="preserve"> </w:t>
      </w:r>
      <w:r w:rsidR="007F0B55">
        <w:rPr>
          <w:rFonts w:asciiTheme="majorHAnsi" w:hAnsiTheme="majorHAnsi"/>
          <w:bCs/>
          <w:sz w:val="20"/>
          <w:szCs w:val="20"/>
          <w:lang w:val="es-ES_tradnl"/>
        </w:rPr>
        <w:lastRenderedPageBreak/>
        <w:t>al no admitir el recurso de casación interpuesto por esta entidad estatal</w:t>
      </w:r>
      <w:r w:rsidR="004A214C">
        <w:rPr>
          <w:rFonts w:asciiTheme="majorHAnsi" w:hAnsiTheme="majorHAnsi"/>
          <w:bCs/>
          <w:sz w:val="20"/>
          <w:szCs w:val="20"/>
          <w:lang w:val="es-ES_tradnl"/>
        </w:rPr>
        <w:t>,</w:t>
      </w:r>
      <w:r w:rsidR="007F0B55">
        <w:rPr>
          <w:rFonts w:asciiTheme="majorHAnsi" w:hAnsiTheme="majorHAnsi"/>
          <w:bCs/>
          <w:sz w:val="20"/>
          <w:szCs w:val="20"/>
          <w:lang w:val="es-ES_tradnl"/>
        </w:rPr>
        <w:t xml:space="preserve"> </w:t>
      </w:r>
      <w:r w:rsidR="004D5130">
        <w:rPr>
          <w:rFonts w:asciiTheme="majorHAnsi" w:hAnsiTheme="majorHAnsi"/>
          <w:bCs/>
          <w:sz w:val="20"/>
          <w:szCs w:val="20"/>
          <w:lang w:val="es-ES_tradnl"/>
        </w:rPr>
        <w:t xml:space="preserve">incurrió en error al no considerarla como parte procesal y no pronunciarse sobre las excepciones </w:t>
      </w:r>
      <w:r w:rsidR="004A214C">
        <w:rPr>
          <w:rFonts w:asciiTheme="majorHAnsi" w:hAnsiTheme="majorHAnsi"/>
          <w:bCs/>
          <w:sz w:val="20"/>
          <w:szCs w:val="20"/>
          <w:lang w:val="es-ES_tradnl"/>
        </w:rPr>
        <w:t xml:space="preserve">vertidas </w:t>
      </w:r>
      <w:r w:rsidR="004D5130">
        <w:rPr>
          <w:rFonts w:asciiTheme="majorHAnsi" w:hAnsiTheme="majorHAnsi"/>
          <w:bCs/>
          <w:sz w:val="20"/>
          <w:szCs w:val="20"/>
          <w:lang w:val="es-ES_tradnl"/>
        </w:rPr>
        <w:t xml:space="preserve">por esta. </w:t>
      </w:r>
      <w:r w:rsidR="00D64DA9">
        <w:rPr>
          <w:rFonts w:asciiTheme="majorHAnsi" w:hAnsiTheme="majorHAnsi"/>
          <w:bCs/>
          <w:sz w:val="20"/>
          <w:szCs w:val="20"/>
          <w:lang w:val="es-ES_tradnl"/>
        </w:rPr>
        <w:t>Así, e</w:t>
      </w:r>
      <w:r w:rsidR="004D5130">
        <w:rPr>
          <w:rFonts w:asciiTheme="majorHAnsi" w:hAnsiTheme="majorHAnsi"/>
          <w:bCs/>
          <w:sz w:val="20"/>
          <w:szCs w:val="20"/>
          <w:lang w:val="es-ES_tradnl"/>
        </w:rPr>
        <w:t>l 8 de octubre de 2010 la Sala de lo Contencioso Administrativo de la Corte</w:t>
      </w:r>
      <w:r w:rsidR="00022AD7">
        <w:rPr>
          <w:rFonts w:asciiTheme="majorHAnsi" w:hAnsiTheme="majorHAnsi"/>
          <w:bCs/>
          <w:sz w:val="20"/>
          <w:szCs w:val="20"/>
          <w:lang w:val="es-ES_tradnl"/>
        </w:rPr>
        <w:t xml:space="preserve"> Nacional de Justicia</w:t>
      </w:r>
      <w:r w:rsidR="004D5130">
        <w:rPr>
          <w:rFonts w:asciiTheme="majorHAnsi" w:hAnsiTheme="majorHAnsi"/>
          <w:bCs/>
          <w:sz w:val="20"/>
          <w:szCs w:val="20"/>
          <w:lang w:val="es-ES_tradnl"/>
        </w:rPr>
        <w:t xml:space="preserve"> </w:t>
      </w:r>
      <w:r w:rsidR="00D041D7">
        <w:rPr>
          <w:rFonts w:asciiTheme="majorHAnsi" w:hAnsiTheme="majorHAnsi"/>
          <w:bCs/>
          <w:sz w:val="20"/>
          <w:szCs w:val="20"/>
          <w:lang w:val="es-ES_tradnl"/>
        </w:rPr>
        <w:t>otorgó el recurso de casación en favor de</w:t>
      </w:r>
      <w:r w:rsidR="00B5520E">
        <w:rPr>
          <w:rFonts w:asciiTheme="majorHAnsi" w:hAnsiTheme="majorHAnsi"/>
          <w:bCs/>
          <w:sz w:val="20"/>
          <w:szCs w:val="20"/>
          <w:lang w:val="es-ES_tradnl"/>
        </w:rPr>
        <w:t xml:space="preserve"> la Procuraduría General del Estado</w:t>
      </w:r>
      <w:r w:rsidR="00D041D7">
        <w:rPr>
          <w:rFonts w:asciiTheme="majorHAnsi" w:hAnsiTheme="majorHAnsi"/>
          <w:bCs/>
          <w:sz w:val="20"/>
          <w:szCs w:val="20"/>
          <w:lang w:val="es-ES_tradnl"/>
        </w:rPr>
        <w:t xml:space="preserve">, al considerar la </w:t>
      </w:r>
      <w:r w:rsidR="00E070B4">
        <w:rPr>
          <w:rFonts w:asciiTheme="majorHAnsi" w:hAnsiTheme="majorHAnsi"/>
          <w:bCs/>
          <w:sz w:val="20"/>
          <w:szCs w:val="20"/>
          <w:lang w:val="es-ES_tradnl"/>
        </w:rPr>
        <w:t xml:space="preserve">prescripción de </w:t>
      </w:r>
      <w:r w:rsidR="004A214C">
        <w:rPr>
          <w:rFonts w:asciiTheme="majorHAnsi" w:hAnsiTheme="majorHAnsi"/>
          <w:bCs/>
          <w:sz w:val="20"/>
          <w:szCs w:val="20"/>
          <w:lang w:val="es-ES_tradnl"/>
        </w:rPr>
        <w:t xml:space="preserve">la </w:t>
      </w:r>
      <w:r w:rsidR="00D041D7">
        <w:rPr>
          <w:rFonts w:asciiTheme="majorHAnsi" w:hAnsiTheme="majorHAnsi"/>
          <w:bCs/>
          <w:sz w:val="20"/>
          <w:szCs w:val="20"/>
          <w:lang w:val="es-ES_tradnl"/>
        </w:rPr>
        <w:t xml:space="preserve">demanda de daños y perjuicios iniciada por la </w:t>
      </w:r>
      <w:r w:rsidR="0065335B">
        <w:rPr>
          <w:rFonts w:asciiTheme="majorHAnsi" w:hAnsiTheme="majorHAnsi"/>
          <w:bCs/>
          <w:sz w:val="20"/>
          <w:szCs w:val="20"/>
          <w:lang w:val="es-ES_tradnl"/>
        </w:rPr>
        <w:t>señora Sánchez</w:t>
      </w:r>
      <w:r w:rsidR="004A214C">
        <w:rPr>
          <w:rFonts w:asciiTheme="majorHAnsi" w:hAnsiTheme="majorHAnsi"/>
          <w:bCs/>
          <w:sz w:val="20"/>
          <w:szCs w:val="20"/>
          <w:lang w:val="es-ES_tradnl"/>
        </w:rPr>
        <w:t xml:space="preserve">, principalmente, conforme a lo siguiente: </w:t>
      </w:r>
    </w:p>
    <w:p w14:paraId="4E925413" w14:textId="533488F0" w:rsidR="004A214C" w:rsidRDefault="004A214C" w:rsidP="004136E6">
      <w:pPr>
        <w:pStyle w:val="ListParagraph"/>
        <w:spacing w:before="240" w:after="240"/>
        <w:ind w:right="720"/>
        <w:jc w:val="both"/>
        <w:rPr>
          <w:rFonts w:asciiTheme="majorHAnsi" w:hAnsiTheme="majorHAnsi"/>
          <w:bCs/>
          <w:sz w:val="20"/>
          <w:szCs w:val="20"/>
          <w:lang w:val="es-ES_tradnl"/>
        </w:rPr>
      </w:pPr>
      <w:r>
        <w:rPr>
          <w:rFonts w:asciiTheme="majorHAnsi" w:hAnsiTheme="majorHAnsi"/>
          <w:bCs/>
          <w:sz w:val="20"/>
          <w:szCs w:val="20"/>
          <w:lang w:val="es-ES_tradnl"/>
        </w:rPr>
        <w:t>“[…]</w:t>
      </w:r>
      <w:r w:rsidR="00E121C2">
        <w:rPr>
          <w:rFonts w:asciiTheme="majorHAnsi" w:hAnsiTheme="majorHAnsi"/>
          <w:bCs/>
          <w:sz w:val="20"/>
          <w:szCs w:val="20"/>
          <w:lang w:val="es-ES_tradnl"/>
        </w:rPr>
        <w:t xml:space="preserve"> En tanto que el Art. 2235 -del Estatuto del Régimen Jurídico Administrativo de la Función Judicial-, al referirse a las indemnizaciones por daño moral preceptúa que las acciones prescribe en “cuatro años, contadas desde la perpetración del acto”, lo que significa que si la muerte del hijo de la accionante se produjo el 24 de agosto de 1995, al 3 de junio de 2004, fecha en que se presenta la demanda ante el Tribunal Distrital Cuarto de lo Contencioso Administrativo, las acciones estaban ya prescritas, por lo que la alegación hecha por el delegado de la Procuraduría General del Estado, respecto a la prescripción, es procedente.</w:t>
      </w:r>
      <w:r w:rsidR="00F810B5">
        <w:rPr>
          <w:rFonts w:asciiTheme="majorHAnsi" w:hAnsiTheme="majorHAnsi"/>
          <w:bCs/>
          <w:sz w:val="20"/>
          <w:szCs w:val="20"/>
          <w:lang w:val="es-ES_tradnl"/>
        </w:rPr>
        <w:t xml:space="preserve"> […]”</w:t>
      </w:r>
    </w:p>
    <w:p w14:paraId="63CD643B" w14:textId="6EECB585" w:rsidR="009D31AB" w:rsidRDefault="0065335B" w:rsidP="001E4662">
      <w:pPr>
        <w:pStyle w:val="ListParagraph"/>
        <w:numPr>
          <w:ilvl w:val="0"/>
          <w:numId w:val="60"/>
        </w:numPr>
        <w:spacing w:before="240" w:after="240"/>
        <w:ind w:left="0" w:firstLine="720"/>
        <w:jc w:val="both"/>
        <w:rPr>
          <w:rFonts w:asciiTheme="majorHAnsi" w:hAnsiTheme="majorHAnsi"/>
          <w:bCs/>
          <w:sz w:val="20"/>
          <w:szCs w:val="20"/>
          <w:lang w:val="es-ES_tradnl"/>
        </w:rPr>
      </w:pPr>
      <w:r>
        <w:rPr>
          <w:rFonts w:asciiTheme="majorHAnsi" w:hAnsiTheme="majorHAnsi"/>
          <w:bCs/>
          <w:sz w:val="20"/>
          <w:szCs w:val="20"/>
          <w:lang w:val="es-ES_tradnl"/>
        </w:rPr>
        <w:t>En contra de ello, el 4 de noviembre de 2010 la peticionaria</w:t>
      </w:r>
      <w:r w:rsidR="00D526E8">
        <w:rPr>
          <w:rFonts w:asciiTheme="majorHAnsi" w:hAnsiTheme="majorHAnsi"/>
          <w:bCs/>
          <w:sz w:val="20"/>
          <w:szCs w:val="20"/>
          <w:lang w:val="es-ES_tradnl"/>
        </w:rPr>
        <w:t xml:space="preserve"> interpuso una acción extraordinaria de protección; sin embargo, el 24 de enero de 2011 la </w:t>
      </w:r>
      <w:r w:rsidR="001F5DA7">
        <w:rPr>
          <w:rFonts w:asciiTheme="majorHAnsi" w:hAnsiTheme="majorHAnsi"/>
          <w:bCs/>
          <w:sz w:val="20"/>
          <w:szCs w:val="20"/>
          <w:lang w:val="es-ES_tradnl"/>
        </w:rPr>
        <w:t xml:space="preserve">Sala de Admisión de la </w:t>
      </w:r>
      <w:r w:rsidR="00D526E8">
        <w:rPr>
          <w:rFonts w:asciiTheme="majorHAnsi" w:hAnsiTheme="majorHAnsi"/>
          <w:bCs/>
          <w:sz w:val="20"/>
          <w:szCs w:val="20"/>
          <w:lang w:val="es-ES_tradnl"/>
        </w:rPr>
        <w:t xml:space="preserve">Corte Constitucional </w:t>
      </w:r>
      <w:r w:rsidR="001F5DA7">
        <w:rPr>
          <w:rFonts w:asciiTheme="majorHAnsi" w:hAnsiTheme="majorHAnsi"/>
          <w:bCs/>
          <w:sz w:val="20"/>
          <w:szCs w:val="20"/>
          <w:lang w:val="es-ES_tradnl"/>
        </w:rPr>
        <w:t>para el periodo de transición,</w:t>
      </w:r>
      <w:r w:rsidR="00D526E8">
        <w:rPr>
          <w:rFonts w:asciiTheme="majorHAnsi" w:hAnsiTheme="majorHAnsi"/>
          <w:bCs/>
          <w:sz w:val="20"/>
          <w:szCs w:val="20"/>
          <w:lang w:val="es-ES_tradnl"/>
        </w:rPr>
        <w:t xml:space="preserve"> inadmitió la acción</w:t>
      </w:r>
      <w:r w:rsidR="00A155BC">
        <w:rPr>
          <w:rFonts w:asciiTheme="majorHAnsi" w:hAnsiTheme="majorHAnsi"/>
          <w:bCs/>
          <w:sz w:val="20"/>
          <w:szCs w:val="20"/>
          <w:lang w:val="es-ES_tradnl"/>
        </w:rPr>
        <w:t xml:space="preserve"> bajo el siguiente razonamiento:</w:t>
      </w:r>
    </w:p>
    <w:p w14:paraId="4BE5EFFE" w14:textId="3510F8C5" w:rsidR="000D57E9" w:rsidRDefault="000F27C0" w:rsidP="0060202B">
      <w:pPr>
        <w:pStyle w:val="ListParagraph"/>
        <w:spacing w:before="240" w:after="240"/>
        <w:ind w:right="720"/>
        <w:jc w:val="both"/>
        <w:rPr>
          <w:rFonts w:asciiTheme="majorHAnsi" w:hAnsiTheme="majorHAnsi"/>
          <w:bCs/>
          <w:sz w:val="20"/>
          <w:szCs w:val="20"/>
          <w:lang w:val="es-ES_tradnl"/>
        </w:rPr>
      </w:pPr>
      <w:r>
        <w:rPr>
          <w:rFonts w:asciiTheme="majorHAnsi" w:hAnsiTheme="majorHAnsi"/>
          <w:bCs/>
          <w:sz w:val="20"/>
          <w:szCs w:val="20"/>
          <w:lang w:val="es-ES_tradnl"/>
        </w:rPr>
        <w:t>“</w:t>
      </w:r>
      <w:r w:rsidR="000D57E9" w:rsidRPr="0060202B">
        <w:rPr>
          <w:rFonts w:asciiTheme="majorHAnsi" w:hAnsiTheme="majorHAnsi"/>
          <w:bCs/>
          <w:sz w:val="20"/>
          <w:szCs w:val="20"/>
          <w:lang w:val="es-ES_tradnl"/>
        </w:rPr>
        <w:t>CUARTO</w:t>
      </w:r>
      <w:r w:rsidR="00A13DEC">
        <w:rPr>
          <w:rFonts w:asciiTheme="majorHAnsi" w:hAnsiTheme="majorHAnsi"/>
          <w:bCs/>
          <w:sz w:val="20"/>
          <w:szCs w:val="20"/>
          <w:lang w:val="es-ES_tradnl"/>
        </w:rPr>
        <w:t>.- […] En la especie, de la lectura del texto de la demanda se desprende que la accionante, vía acción extraordinaria de protección pretende que esta Corte Constitucional se pronuncie sobre hechos que ya fueron conocidos y absueltos en el proceso de la justicia ordinaria, desnaturalizando la esencia de esta garantía jurisdiccional, que tiene como propósito tutelar derechos fundamentales, especialmente el debido proceso, por el accionar u omisión de los operadores de justicia, presupuestos que no se evidencian en la causa en estudio. Adicionalmente, la Sala hace presente que, la demanda no cumple con los presupuestos de admisibilidad previstos en el Artículo 62 numeral 2, 3 y 5 de la Ley Orgánica de Garantías Jurisdiccionales y Control Constitucional.</w:t>
      </w:r>
      <w:r>
        <w:rPr>
          <w:rFonts w:asciiTheme="majorHAnsi" w:hAnsiTheme="majorHAnsi"/>
          <w:bCs/>
          <w:sz w:val="20"/>
          <w:szCs w:val="20"/>
          <w:lang w:val="es-ES_tradnl"/>
        </w:rPr>
        <w:t>”</w:t>
      </w:r>
    </w:p>
    <w:p w14:paraId="28C5DF61" w14:textId="77092F95" w:rsidR="00271CAC" w:rsidRDefault="0060202B" w:rsidP="001E4662">
      <w:pPr>
        <w:pStyle w:val="ListParagraph"/>
        <w:numPr>
          <w:ilvl w:val="0"/>
          <w:numId w:val="60"/>
        </w:numPr>
        <w:spacing w:before="240" w:after="240"/>
        <w:ind w:left="0" w:firstLine="720"/>
        <w:jc w:val="both"/>
        <w:rPr>
          <w:rFonts w:asciiTheme="majorHAnsi" w:hAnsiTheme="majorHAnsi"/>
          <w:bCs/>
          <w:sz w:val="20"/>
          <w:szCs w:val="20"/>
          <w:lang w:val="es-ES_tradnl"/>
        </w:rPr>
      </w:pPr>
      <w:r w:rsidRPr="00974492">
        <w:rPr>
          <w:rFonts w:asciiTheme="majorHAnsi" w:hAnsiTheme="majorHAnsi"/>
          <w:bCs/>
          <w:sz w:val="20"/>
          <w:szCs w:val="20"/>
          <w:lang w:val="es-ES_tradnl"/>
        </w:rPr>
        <w:t xml:space="preserve">En </w:t>
      </w:r>
      <w:r w:rsidRPr="001E10F0">
        <w:rPr>
          <w:rFonts w:asciiTheme="majorHAnsi" w:hAnsiTheme="majorHAnsi"/>
          <w:bCs/>
          <w:sz w:val="20"/>
          <w:szCs w:val="20"/>
          <w:lang w:val="es-ES_tradnl"/>
        </w:rPr>
        <w:t>suma</w:t>
      </w:r>
      <w:r w:rsidRPr="00974492">
        <w:rPr>
          <w:rFonts w:asciiTheme="majorHAnsi" w:hAnsiTheme="majorHAnsi"/>
          <w:bCs/>
          <w:sz w:val="20"/>
          <w:szCs w:val="20"/>
          <w:lang w:val="es-ES_tradnl"/>
        </w:rPr>
        <w:t>, la</w:t>
      </w:r>
      <w:r w:rsidR="001C6B7D" w:rsidRPr="00974492">
        <w:rPr>
          <w:rFonts w:asciiTheme="majorHAnsi" w:hAnsiTheme="majorHAnsi"/>
          <w:bCs/>
          <w:sz w:val="20"/>
          <w:szCs w:val="20"/>
          <w:lang w:val="es-ES_tradnl"/>
        </w:rPr>
        <w:t xml:space="preserve"> peticionaria alega </w:t>
      </w:r>
      <w:r w:rsidR="00974492" w:rsidRPr="00974492">
        <w:rPr>
          <w:rFonts w:asciiTheme="majorHAnsi" w:hAnsiTheme="majorHAnsi"/>
          <w:bCs/>
          <w:sz w:val="20"/>
          <w:szCs w:val="20"/>
          <w:lang w:val="es-ES_tradnl"/>
        </w:rPr>
        <w:t xml:space="preserve">que </w:t>
      </w:r>
      <w:r w:rsidR="00E320C4" w:rsidRPr="00974492">
        <w:rPr>
          <w:rFonts w:asciiTheme="majorHAnsi" w:hAnsiTheme="majorHAnsi"/>
          <w:bCs/>
          <w:sz w:val="20"/>
          <w:szCs w:val="20"/>
          <w:lang w:val="es-ES_tradnl"/>
        </w:rPr>
        <w:t>la</w:t>
      </w:r>
      <w:r w:rsidR="00271CAC">
        <w:rPr>
          <w:rFonts w:asciiTheme="majorHAnsi" w:hAnsiTheme="majorHAnsi"/>
          <w:bCs/>
          <w:sz w:val="20"/>
          <w:szCs w:val="20"/>
          <w:lang w:val="es-ES_tradnl"/>
        </w:rPr>
        <w:t>s resoluciones emitidas por: (i)</w:t>
      </w:r>
      <w:r w:rsidR="00E320C4" w:rsidRPr="00974492">
        <w:rPr>
          <w:rFonts w:asciiTheme="majorHAnsi" w:hAnsiTheme="majorHAnsi"/>
          <w:bCs/>
          <w:sz w:val="20"/>
          <w:szCs w:val="20"/>
          <w:lang w:val="es-ES_tradnl"/>
        </w:rPr>
        <w:t xml:space="preserve"> </w:t>
      </w:r>
      <w:r w:rsidR="00271CAC">
        <w:rPr>
          <w:rFonts w:asciiTheme="majorHAnsi" w:hAnsiTheme="majorHAnsi"/>
          <w:bCs/>
          <w:sz w:val="20"/>
          <w:szCs w:val="20"/>
          <w:lang w:val="es-ES_tradnl"/>
        </w:rPr>
        <w:t xml:space="preserve">la </w:t>
      </w:r>
      <w:r w:rsidR="00E320C4" w:rsidRPr="00974492">
        <w:rPr>
          <w:rFonts w:asciiTheme="majorHAnsi" w:hAnsiTheme="majorHAnsi"/>
          <w:bCs/>
          <w:sz w:val="20"/>
          <w:szCs w:val="20"/>
          <w:lang w:val="es-ES_tradnl"/>
        </w:rPr>
        <w:t xml:space="preserve">Sala de lo Contencioso Administrativo de la entonces Corte Suprema de Justicia </w:t>
      </w:r>
      <w:r w:rsidR="00271CAC">
        <w:rPr>
          <w:rFonts w:asciiTheme="majorHAnsi" w:hAnsiTheme="majorHAnsi"/>
          <w:bCs/>
          <w:sz w:val="20"/>
          <w:szCs w:val="20"/>
          <w:lang w:val="es-ES_tradnl"/>
        </w:rPr>
        <w:t>al admitir</w:t>
      </w:r>
      <w:r w:rsidR="00974492" w:rsidRPr="00974492">
        <w:rPr>
          <w:rFonts w:asciiTheme="majorHAnsi" w:hAnsiTheme="majorHAnsi"/>
          <w:bCs/>
          <w:sz w:val="20"/>
          <w:szCs w:val="20"/>
          <w:lang w:val="es-ES_tradnl"/>
        </w:rPr>
        <w:t xml:space="preserve"> el recurso de</w:t>
      </w:r>
      <w:r w:rsidR="00E320C4" w:rsidRPr="00974492">
        <w:rPr>
          <w:rFonts w:asciiTheme="majorHAnsi" w:hAnsiTheme="majorHAnsi"/>
          <w:bCs/>
          <w:sz w:val="20"/>
          <w:szCs w:val="20"/>
          <w:lang w:val="es-ES_tradnl"/>
        </w:rPr>
        <w:t xml:space="preserve"> hecho </w:t>
      </w:r>
      <w:r w:rsidR="00974492" w:rsidRPr="00974492">
        <w:rPr>
          <w:rFonts w:asciiTheme="majorHAnsi" w:hAnsiTheme="majorHAnsi"/>
          <w:bCs/>
          <w:sz w:val="20"/>
          <w:szCs w:val="20"/>
          <w:lang w:val="es-ES_tradnl"/>
        </w:rPr>
        <w:t>interpuesto por</w:t>
      </w:r>
      <w:r w:rsidR="00E320C4" w:rsidRPr="00974492">
        <w:rPr>
          <w:rFonts w:asciiTheme="majorHAnsi" w:hAnsiTheme="majorHAnsi"/>
          <w:bCs/>
          <w:sz w:val="20"/>
          <w:szCs w:val="20"/>
          <w:lang w:val="es-ES_tradnl"/>
        </w:rPr>
        <w:t xml:space="preserve"> la Procuraduría General del Estado</w:t>
      </w:r>
      <w:r w:rsidR="00271CAC">
        <w:rPr>
          <w:rFonts w:asciiTheme="majorHAnsi" w:hAnsiTheme="majorHAnsi"/>
          <w:bCs/>
          <w:sz w:val="20"/>
          <w:szCs w:val="20"/>
          <w:lang w:val="es-ES_tradnl"/>
        </w:rPr>
        <w:t>;</w:t>
      </w:r>
      <w:r w:rsidR="00E320C4" w:rsidRPr="00974492">
        <w:rPr>
          <w:rFonts w:asciiTheme="majorHAnsi" w:hAnsiTheme="majorHAnsi"/>
          <w:bCs/>
          <w:sz w:val="20"/>
          <w:szCs w:val="20"/>
          <w:lang w:val="es-ES_tradnl"/>
        </w:rPr>
        <w:t xml:space="preserve"> y</w:t>
      </w:r>
      <w:r w:rsidR="00271CAC">
        <w:rPr>
          <w:rFonts w:asciiTheme="majorHAnsi" w:hAnsiTheme="majorHAnsi"/>
          <w:bCs/>
          <w:sz w:val="20"/>
          <w:szCs w:val="20"/>
          <w:lang w:val="es-ES_tradnl"/>
        </w:rPr>
        <w:t xml:space="preserve"> (ii)</w:t>
      </w:r>
      <w:r w:rsidR="00E320C4" w:rsidRPr="00974492">
        <w:rPr>
          <w:rFonts w:asciiTheme="majorHAnsi" w:hAnsiTheme="majorHAnsi"/>
          <w:bCs/>
          <w:sz w:val="20"/>
          <w:szCs w:val="20"/>
          <w:lang w:val="es-ES_tradnl"/>
        </w:rPr>
        <w:t xml:space="preserve"> la Sala de lo Contencioso Administrativo de la Corte Nacional de Justicia</w:t>
      </w:r>
      <w:r w:rsidR="00377051" w:rsidRPr="00974492">
        <w:rPr>
          <w:rFonts w:asciiTheme="majorHAnsi" w:hAnsiTheme="majorHAnsi"/>
          <w:bCs/>
          <w:sz w:val="20"/>
          <w:szCs w:val="20"/>
          <w:lang w:val="es-ES_tradnl"/>
        </w:rPr>
        <w:t xml:space="preserve"> al fallar el recurso de casación </w:t>
      </w:r>
      <w:r w:rsidR="001E64F2">
        <w:rPr>
          <w:rFonts w:asciiTheme="majorHAnsi" w:hAnsiTheme="majorHAnsi"/>
          <w:bCs/>
          <w:sz w:val="20"/>
          <w:szCs w:val="20"/>
          <w:lang w:val="es-ES_tradnl"/>
        </w:rPr>
        <w:t>por esa misma institución</w:t>
      </w:r>
      <w:r w:rsidR="00377051" w:rsidRPr="00974492">
        <w:rPr>
          <w:rFonts w:asciiTheme="majorHAnsi" w:hAnsiTheme="majorHAnsi"/>
          <w:bCs/>
          <w:sz w:val="20"/>
          <w:szCs w:val="20"/>
          <w:lang w:val="es-ES_tradnl"/>
        </w:rPr>
        <w:t xml:space="preserve">, determinando la prescripción de la acción por daños y perjuicios interpuesta por el fallecimiento de su hijo, </w:t>
      </w:r>
      <w:r w:rsidR="00271CAC">
        <w:rPr>
          <w:rFonts w:asciiTheme="majorHAnsi" w:hAnsiTheme="majorHAnsi"/>
          <w:bCs/>
          <w:sz w:val="20"/>
          <w:szCs w:val="20"/>
          <w:lang w:val="es-ES_tradnl"/>
        </w:rPr>
        <w:t>vulneraron</w:t>
      </w:r>
      <w:r w:rsidR="00377051" w:rsidRPr="00974492">
        <w:rPr>
          <w:rFonts w:asciiTheme="majorHAnsi" w:hAnsiTheme="majorHAnsi"/>
          <w:bCs/>
          <w:sz w:val="20"/>
          <w:szCs w:val="20"/>
          <w:lang w:val="es-ES_tradnl"/>
        </w:rPr>
        <w:t xml:space="preserve"> su derecho al debido proceso, a la igualdad y a la seguridad jurídica. Por una parte, al considerar que</w:t>
      </w:r>
      <w:r w:rsidR="001E64F2">
        <w:rPr>
          <w:rFonts w:asciiTheme="majorHAnsi" w:hAnsiTheme="majorHAnsi"/>
          <w:bCs/>
          <w:sz w:val="20"/>
          <w:szCs w:val="20"/>
          <w:lang w:val="es-ES_tradnl"/>
        </w:rPr>
        <w:t xml:space="preserve"> en</w:t>
      </w:r>
      <w:r w:rsidR="00377051" w:rsidRPr="00974492">
        <w:rPr>
          <w:rFonts w:asciiTheme="majorHAnsi" w:hAnsiTheme="majorHAnsi"/>
          <w:bCs/>
          <w:sz w:val="20"/>
          <w:szCs w:val="20"/>
          <w:lang w:val="es-ES_tradnl"/>
        </w:rPr>
        <w:t xml:space="preserve"> el recurso de hecho fallado la sala falló sobre un recurso que no conocía, debido a que sólo se había </w:t>
      </w:r>
      <w:r w:rsidR="00271CAC">
        <w:rPr>
          <w:rFonts w:asciiTheme="majorHAnsi" w:hAnsiTheme="majorHAnsi"/>
          <w:bCs/>
          <w:sz w:val="20"/>
          <w:szCs w:val="20"/>
          <w:lang w:val="es-ES_tradnl"/>
        </w:rPr>
        <w:t>determinad</w:t>
      </w:r>
      <w:r w:rsidR="001E64F2">
        <w:rPr>
          <w:rFonts w:asciiTheme="majorHAnsi" w:hAnsiTheme="majorHAnsi"/>
          <w:bCs/>
          <w:sz w:val="20"/>
          <w:szCs w:val="20"/>
          <w:lang w:val="es-ES_tradnl"/>
        </w:rPr>
        <w:t>o</w:t>
      </w:r>
      <w:r w:rsidR="00377051" w:rsidRPr="00974492">
        <w:rPr>
          <w:rFonts w:asciiTheme="majorHAnsi" w:hAnsiTheme="majorHAnsi"/>
          <w:bCs/>
          <w:sz w:val="20"/>
          <w:szCs w:val="20"/>
          <w:lang w:val="es-ES_tradnl"/>
        </w:rPr>
        <w:t xml:space="preserve"> </w:t>
      </w:r>
      <w:r w:rsidR="00271CAC">
        <w:rPr>
          <w:rFonts w:asciiTheme="majorHAnsi" w:hAnsiTheme="majorHAnsi"/>
          <w:bCs/>
          <w:sz w:val="20"/>
          <w:szCs w:val="20"/>
          <w:lang w:val="es-ES_tradnl"/>
        </w:rPr>
        <w:t>el conocimiento del recurso interpuesto por</w:t>
      </w:r>
      <w:r w:rsidR="00377051" w:rsidRPr="00974492">
        <w:rPr>
          <w:rFonts w:asciiTheme="majorHAnsi" w:hAnsiTheme="majorHAnsi"/>
          <w:bCs/>
          <w:sz w:val="20"/>
          <w:szCs w:val="20"/>
          <w:lang w:val="es-ES_tradnl"/>
        </w:rPr>
        <w:t xml:space="preserve"> la Policía Nacional</w:t>
      </w:r>
      <w:r w:rsidR="00EB6215">
        <w:rPr>
          <w:rFonts w:asciiTheme="majorHAnsi" w:hAnsiTheme="majorHAnsi"/>
          <w:bCs/>
          <w:sz w:val="20"/>
          <w:szCs w:val="20"/>
          <w:lang w:val="es-ES_tradnl"/>
        </w:rPr>
        <w:t>;</w:t>
      </w:r>
      <w:r w:rsidR="00271CAC">
        <w:rPr>
          <w:rFonts w:asciiTheme="majorHAnsi" w:hAnsiTheme="majorHAnsi"/>
          <w:bCs/>
          <w:sz w:val="20"/>
          <w:szCs w:val="20"/>
          <w:lang w:val="es-ES_tradnl"/>
        </w:rPr>
        <w:t xml:space="preserve"> y por otra, al considerar que estos entes estatales interpusieron dos recursos de casación en contra de la sentencia que determinó el pago de daños y perjuicios en su favor, </w:t>
      </w:r>
      <w:r w:rsidR="001E64F2">
        <w:rPr>
          <w:rFonts w:asciiTheme="majorHAnsi" w:hAnsiTheme="majorHAnsi"/>
          <w:bCs/>
          <w:sz w:val="20"/>
          <w:szCs w:val="20"/>
          <w:lang w:val="es-ES_tradnl"/>
        </w:rPr>
        <w:t>fallando de</w:t>
      </w:r>
      <w:r w:rsidR="00271CAC">
        <w:rPr>
          <w:rFonts w:asciiTheme="majorHAnsi" w:hAnsiTheme="majorHAnsi"/>
          <w:bCs/>
          <w:sz w:val="20"/>
          <w:szCs w:val="20"/>
          <w:lang w:val="es-ES_tradnl"/>
        </w:rPr>
        <w:t xml:space="preserve"> manera discrecional en favor de los intereses de </w:t>
      </w:r>
      <w:r w:rsidR="001E64F2">
        <w:rPr>
          <w:rFonts w:asciiTheme="majorHAnsi" w:hAnsiTheme="majorHAnsi"/>
          <w:bCs/>
          <w:sz w:val="20"/>
          <w:szCs w:val="20"/>
          <w:lang w:val="es-ES_tradnl"/>
        </w:rPr>
        <w:t>las instituciones</w:t>
      </w:r>
      <w:r w:rsidR="00271CAC">
        <w:rPr>
          <w:rFonts w:asciiTheme="majorHAnsi" w:hAnsiTheme="majorHAnsi"/>
          <w:bCs/>
          <w:sz w:val="20"/>
          <w:szCs w:val="20"/>
          <w:lang w:val="es-ES_tradnl"/>
        </w:rPr>
        <w:t xml:space="preserve"> estatales con el objeto de no indemnizarla</w:t>
      </w:r>
      <w:r w:rsidR="00404CE3">
        <w:rPr>
          <w:rFonts w:asciiTheme="majorHAnsi" w:hAnsiTheme="majorHAnsi"/>
          <w:bCs/>
          <w:sz w:val="20"/>
          <w:szCs w:val="20"/>
          <w:lang w:val="es-ES_tradnl"/>
        </w:rPr>
        <w:t>, a pesar de que en la jurisdicción contencioso-ad</w:t>
      </w:r>
      <w:r w:rsidR="00C4624A">
        <w:rPr>
          <w:rFonts w:asciiTheme="majorHAnsi" w:hAnsiTheme="majorHAnsi"/>
          <w:bCs/>
          <w:sz w:val="20"/>
          <w:szCs w:val="20"/>
          <w:lang w:val="es-ES_tradnl"/>
        </w:rPr>
        <w:t>mi</w:t>
      </w:r>
      <w:r w:rsidR="0080639A">
        <w:rPr>
          <w:rFonts w:asciiTheme="majorHAnsi" w:hAnsiTheme="majorHAnsi"/>
          <w:bCs/>
          <w:sz w:val="20"/>
          <w:szCs w:val="20"/>
          <w:lang w:val="es-ES_tradnl"/>
        </w:rPr>
        <w:t>ni</w:t>
      </w:r>
      <w:r w:rsidR="00C4624A">
        <w:rPr>
          <w:rFonts w:asciiTheme="majorHAnsi" w:hAnsiTheme="majorHAnsi"/>
          <w:bCs/>
          <w:sz w:val="20"/>
          <w:szCs w:val="20"/>
          <w:lang w:val="es-ES_tradnl"/>
        </w:rPr>
        <w:t>strativ</w:t>
      </w:r>
      <w:r w:rsidR="008F3801">
        <w:rPr>
          <w:rFonts w:asciiTheme="majorHAnsi" w:hAnsiTheme="majorHAnsi"/>
          <w:bCs/>
          <w:sz w:val="20"/>
          <w:szCs w:val="20"/>
          <w:lang w:val="es-ES_tradnl"/>
        </w:rPr>
        <w:t>a</w:t>
      </w:r>
      <w:r w:rsidR="00271CAC">
        <w:rPr>
          <w:rFonts w:asciiTheme="majorHAnsi" w:hAnsiTheme="majorHAnsi"/>
          <w:bCs/>
          <w:sz w:val="20"/>
          <w:szCs w:val="20"/>
          <w:lang w:val="es-ES_tradnl"/>
        </w:rPr>
        <w:t xml:space="preserve"> </w:t>
      </w:r>
      <w:r w:rsidR="008F3801">
        <w:rPr>
          <w:rFonts w:asciiTheme="majorHAnsi" w:hAnsiTheme="majorHAnsi"/>
          <w:bCs/>
          <w:sz w:val="20"/>
          <w:szCs w:val="20"/>
          <w:lang w:val="es-ES_tradnl"/>
        </w:rPr>
        <w:t>se había</w:t>
      </w:r>
      <w:r w:rsidR="00271CAC">
        <w:rPr>
          <w:rFonts w:asciiTheme="majorHAnsi" w:hAnsiTheme="majorHAnsi"/>
          <w:bCs/>
          <w:sz w:val="20"/>
          <w:szCs w:val="20"/>
          <w:lang w:val="es-ES_tradnl"/>
        </w:rPr>
        <w:t xml:space="preserve"> </w:t>
      </w:r>
      <w:r w:rsidR="008F3801">
        <w:rPr>
          <w:rFonts w:asciiTheme="majorHAnsi" w:hAnsiTheme="majorHAnsi"/>
          <w:bCs/>
          <w:sz w:val="20"/>
          <w:szCs w:val="20"/>
          <w:lang w:val="es-ES_tradnl"/>
        </w:rPr>
        <w:t>determinado la responsabilidad institucional de la Policía Nacional por la muerte de Ider Fabián</w:t>
      </w:r>
      <w:r w:rsidR="00271CAC">
        <w:rPr>
          <w:rFonts w:asciiTheme="majorHAnsi" w:hAnsiTheme="majorHAnsi"/>
          <w:bCs/>
          <w:sz w:val="20"/>
          <w:szCs w:val="20"/>
          <w:lang w:val="es-ES_tradnl"/>
        </w:rPr>
        <w:t>, quedando en un estado de indefensión y desigualdad frente a estas instituciones del Estado.</w:t>
      </w:r>
    </w:p>
    <w:p w14:paraId="02622F9A" w14:textId="64736D93" w:rsidR="005140E8" w:rsidRPr="002A32F1" w:rsidRDefault="005140E8" w:rsidP="005140E8">
      <w:pPr>
        <w:pStyle w:val="ListParagraph"/>
        <w:spacing w:before="240" w:after="240"/>
        <w:jc w:val="both"/>
        <w:rPr>
          <w:rFonts w:asciiTheme="majorHAnsi" w:hAnsiTheme="majorHAnsi"/>
          <w:bCs/>
          <w:i/>
          <w:iCs/>
          <w:sz w:val="20"/>
          <w:szCs w:val="20"/>
          <w:lang w:val="es-ES_tradnl"/>
        </w:rPr>
      </w:pPr>
      <w:r w:rsidRPr="002A32F1">
        <w:rPr>
          <w:rFonts w:asciiTheme="majorHAnsi" w:hAnsiTheme="majorHAnsi"/>
          <w:bCs/>
          <w:i/>
          <w:iCs/>
          <w:sz w:val="20"/>
          <w:szCs w:val="20"/>
          <w:lang w:val="es-ES_tradnl"/>
        </w:rPr>
        <w:t>Posicionamiento del Estado ecuatoriano</w:t>
      </w:r>
    </w:p>
    <w:p w14:paraId="5A6C36E1" w14:textId="69FE8A63" w:rsidR="00535331" w:rsidRPr="00BE1007" w:rsidRDefault="00846E58" w:rsidP="00BE1007">
      <w:pPr>
        <w:pStyle w:val="ListParagraph"/>
        <w:numPr>
          <w:ilvl w:val="0"/>
          <w:numId w:val="60"/>
        </w:numPr>
        <w:spacing w:before="240" w:after="240"/>
        <w:ind w:left="0" w:firstLine="720"/>
        <w:jc w:val="both"/>
        <w:rPr>
          <w:rFonts w:asciiTheme="majorHAnsi" w:hAnsiTheme="majorHAnsi"/>
          <w:sz w:val="20"/>
          <w:szCs w:val="20"/>
          <w:lang w:val="es-ES_tradnl"/>
        </w:rPr>
      </w:pPr>
      <w:r w:rsidRPr="00515E92">
        <w:rPr>
          <w:rFonts w:asciiTheme="majorHAnsi" w:hAnsiTheme="majorHAnsi"/>
          <w:sz w:val="20"/>
          <w:szCs w:val="20"/>
          <w:lang w:val="es-ES_tradnl"/>
        </w:rPr>
        <w:t xml:space="preserve">En </w:t>
      </w:r>
      <w:r w:rsidRPr="00A20447">
        <w:rPr>
          <w:rFonts w:asciiTheme="majorHAnsi" w:hAnsiTheme="majorHAnsi"/>
          <w:sz w:val="20"/>
          <w:szCs w:val="20"/>
          <w:lang w:val="es-ES_tradnl"/>
        </w:rPr>
        <w:t xml:space="preserve">su </w:t>
      </w:r>
      <w:r w:rsidR="004F7748">
        <w:rPr>
          <w:rFonts w:asciiTheme="majorHAnsi" w:hAnsiTheme="majorHAnsi"/>
          <w:sz w:val="20"/>
          <w:szCs w:val="20"/>
          <w:lang w:val="es-ES_tradnl"/>
        </w:rPr>
        <w:t>respuesta</w:t>
      </w:r>
      <w:r w:rsidRPr="00515E92">
        <w:rPr>
          <w:rFonts w:asciiTheme="majorHAnsi" w:hAnsiTheme="majorHAnsi"/>
          <w:sz w:val="20"/>
          <w:szCs w:val="20"/>
          <w:lang w:val="es-ES_tradnl"/>
        </w:rPr>
        <w:t xml:space="preserve">, el Estado </w:t>
      </w:r>
      <w:r w:rsidR="00882633">
        <w:rPr>
          <w:rFonts w:asciiTheme="majorHAnsi" w:hAnsiTheme="majorHAnsi"/>
          <w:sz w:val="20"/>
          <w:szCs w:val="20"/>
          <w:lang w:val="es-ES_tradnl"/>
        </w:rPr>
        <w:t xml:space="preserve">relata que el 24 de agosto de 1995 un grupo de jóvenes formaron un asentamiento informal en una propiedad privada </w:t>
      </w:r>
      <w:r w:rsidR="001E10F0">
        <w:rPr>
          <w:rFonts w:asciiTheme="majorHAnsi" w:hAnsiTheme="majorHAnsi"/>
          <w:sz w:val="20"/>
          <w:szCs w:val="20"/>
          <w:lang w:val="es-ES_tradnl"/>
        </w:rPr>
        <w:t>perte</w:t>
      </w:r>
      <w:r w:rsidR="00D17D43">
        <w:rPr>
          <w:rFonts w:asciiTheme="majorHAnsi" w:hAnsiTheme="majorHAnsi"/>
          <w:sz w:val="20"/>
          <w:szCs w:val="20"/>
          <w:lang w:val="es-ES_tradnl"/>
        </w:rPr>
        <w:t>ne</w:t>
      </w:r>
      <w:r w:rsidR="001E10F0">
        <w:rPr>
          <w:rFonts w:asciiTheme="majorHAnsi" w:hAnsiTheme="majorHAnsi"/>
          <w:sz w:val="20"/>
          <w:szCs w:val="20"/>
          <w:lang w:val="es-ES_tradnl"/>
        </w:rPr>
        <w:t>ciente a</w:t>
      </w:r>
      <w:r w:rsidR="00882633">
        <w:rPr>
          <w:rFonts w:asciiTheme="majorHAnsi" w:hAnsiTheme="majorHAnsi"/>
          <w:sz w:val="20"/>
          <w:szCs w:val="20"/>
          <w:lang w:val="es-ES_tradnl"/>
        </w:rPr>
        <w:t xml:space="preserve"> un tercero, con el propósito de comprar el terreno a un menor precio. Derivado de ello, el dueño del terreno negoció con los ocupantes la venta proporcional del predio en su favor, bajo la condición de desalojarlo para realizar los trámites correspondientes; no obstante, al percatarse que el terreno continuaba siendo invadido, solicitó ante las autoridades judiciales el desalojo de los in</w:t>
      </w:r>
      <w:r w:rsidR="00F92250">
        <w:rPr>
          <w:rFonts w:asciiTheme="majorHAnsi" w:hAnsiTheme="majorHAnsi"/>
          <w:sz w:val="20"/>
          <w:szCs w:val="20"/>
          <w:lang w:val="es-ES_tradnl"/>
        </w:rPr>
        <w:t>v</w:t>
      </w:r>
      <w:r w:rsidR="00882633">
        <w:rPr>
          <w:rFonts w:asciiTheme="majorHAnsi" w:hAnsiTheme="majorHAnsi"/>
          <w:sz w:val="20"/>
          <w:szCs w:val="20"/>
          <w:lang w:val="es-ES_tradnl"/>
        </w:rPr>
        <w:t xml:space="preserve">asores. </w:t>
      </w:r>
      <w:r w:rsidR="00967247">
        <w:rPr>
          <w:rFonts w:asciiTheme="majorHAnsi" w:hAnsiTheme="majorHAnsi"/>
          <w:sz w:val="20"/>
          <w:szCs w:val="20"/>
          <w:lang w:val="es-ES_tradnl"/>
        </w:rPr>
        <w:t xml:space="preserve">Consecuentemente, el intendente general de la Policía de Manabí </w:t>
      </w:r>
      <w:r w:rsidR="00DE7A5B">
        <w:rPr>
          <w:rFonts w:asciiTheme="majorHAnsi" w:hAnsiTheme="majorHAnsi"/>
          <w:sz w:val="20"/>
          <w:szCs w:val="20"/>
          <w:lang w:val="es-ES_tradnl"/>
        </w:rPr>
        <w:t xml:space="preserve">puso en conocimiento de los invasores la orden de desalojo </w:t>
      </w:r>
      <w:r w:rsidR="00535331">
        <w:rPr>
          <w:rFonts w:asciiTheme="majorHAnsi" w:hAnsiTheme="majorHAnsi"/>
          <w:sz w:val="20"/>
          <w:szCs w:val="20"/>
          <w:lang w:val="es-ES_tradnl"/>
        </w:rPr>
        <w:t>y</w:t>
      </w:r>
      <w:r w:rsidR="00D17D43">
        <w:rPr>
          <w:rFonts w:asciiTheme="majorHAnsi" w:hAnsiTheme="majorHAnsi"/>
          <w:sz w:val="20"/>
          <w:szCs w:val="20"/>
          <w:lang w:val="es-ES_tradnl"/>
        </w:rPr>
        <w:t>, ante negativa de desalojarlo,</w:t>
      </w:r>
      <w:r w:rsidR="00535331">
        <w:rPr>
          <w:rFonts w:asciiTheme="majorHAnsi" w:hAnsiTheme="majorHAnsi"/>
          <w:sz w:val="20"/>
          <w:szCs w:val="20"/>
          <w:lang w:val="es-ES_tradnl"/>
        </w:rPr>
        <w:t xml:space="preserve"> el 1 de septiembre de 1995 se ejecutó el operativo de desalojo por parte de la Policía Nacional en presencia de medios de comunicación; no obstante, el conductor del vehículo anti</w:t>
      </w:r>
      <w:r w:rsidR="00380AFE">
        <w:rPr>
          <w:rFonts w:asciiTheme="majorHAnsi" w:hAnsiTheme="majorHAnsi"/>
          <w:sz w:val="20"/>
          <w:szCs w:val="20"/>
          <w:lang w:val="es-ES_tradnl"/>
        </w:rPr>
        <w:t>-</w:t>
      </w:r>
      <w:r w:rsidR="00535331">
        <w:rPr>
          <w:rFonts w:asciiTheme="majorHAnsi" w:hAnsiTheme="majorHAnsi"/>
          <w:sz w:val="20"/>
          <w:szCs w:val="20"/>
          <w:lang w:val="es-ES_tradnl"/>
        </w:rPr>
        <w:t xml:space="preserve">motín que </w:t>
      </w:r>
      <w:r w:rsidR="00380AFE">
        <w:rPr>
          <w:rFonts w:asciiTheme="majorHAnsi" w:hAnsiTheme="majorHAnsi"/>
          <w:sz w:val="20"/>
          <w:szCs w:val="20"/>
          <w:lang w:val="es-ES_tradnl"/>
        </w:rPr>
        <w:t xml:space="preserve">removió </w:t>
      </w:r>
      <w:r w:rsidR="00BC2D0C">
        <w:rPr>
          <w:rFonts w:asciiTheme="majorHAnsi" w:hAnsiTheme="majorHAnsi"/>
          <w:sz w:val="20"/>
          <w:szCs w:val="20"/>
          <w:lang w:val="es-ES_tradnl"/>
        </w:rPr>
        <w:t>las viviendas rústicas</w:t>
      </w:r>
      <w:r w:rsidR="00535331">
        <w:rPr>
          <w:rFonts w:asciiTheme="majorHAnsi" w:hAnsiTheme="majorHAnsi"/>
          <w:sz w:val="20"/>
          <w:szCs w:val="20"/>
          <w:lang w:val="es-ES_tradnl"/>
        </w:rPr>
        <w:t xml:space="preserve"> del predio privado no se percató que dos personas se encontraban en dos sacos de yute, en los que dormía Ider Fabián Palacios Vera junto con otro joven, quienes fueron afectados por los escombros generados. Accidente </w:t>
      </w:r>
      <w:r w:rsidR="00535331">
        <w:rPr>
          <w:rFonts w:asciiTheme="majorHAnsi" w:hAnsiTheme="majorHAnsi"/>
          <w:sz w:val="20"/>
          <w:szCs w:val="20"/>
          <w:lang w:val="es-ES_tradnl"/>
        </w:rPr>
        <w:lastRenderedPageBreak/>
        <w:t xml:space="preserve">que devino en la muerte de Ider Fabián y </w:t>
      </w:r>
      <w:r w:rsidR="00220C16">
        <w:rPr>
          <w:rFonts w:asciiTheme="majorHAnsi" w:hAnsiTheme="majorHAnsi"/>
          <w:sz w:val="20"/>
          <w:szCs w:val="20"/>
          <w:lang w:val="es-ES_tradnl"/>
        </w:rPr>
        <w:t>provocó</w:t>
      </w:r>
      <w:r w:rsidR="00535331">
        <w:rPr>
          <w:rFonts w:asciiTheme="majorHAnsi" w:hAnsiTheme="majorHAnsi"/>
          <w:sz w:val="20"/>
          <w:szCs w:val="20"/>
          <w:lang w:val="es-ES_tradnl"/>
        </w:rPr>
        <w:t xml:space="preserve"> varias lesiones en conta del otro joven que lo acompañaba. </w:t>
      </w:r>
      <w:r w:rsidR="00535331" w:rsidRPr="00BE1007">
        <w:rPr>
          <w:rFonts w:asciiTheme="majorHAnsi" w:hAnsiTheme="majorHAnsi"/>
          <w:sz w:val="20"/>
          <w:szCs w:val="20"/>
          <w:lang w:val="es-ES_tradnl"/>
        </w:rPr>
        <w:t>En relación con lo anterior, se inició un proceso penal en contra de las autoridades responsables del desalojo y del dueño del predio invadido</w:t>
      </w:r>
      <w:r w:rsidR="00220C16">
        <w:rPr>
          <w:rFonts w:asciiTheme="majorHAnsi" w:hAnsiTheme="majorHAnsi"/>
          <w:sz w:val="20"/>
          <w:szCs w:val="20"/>
          <w:lang w:val="es-ES_tradnl"/>
        </w:rPr>
        <w:t>.</w:t>
      </w:r>
      <w:r w:rsidR="00535331" w:rsidRPr="00BE1007">
        <w:rPr>
          <w:rFonts w:asciiTheme="majorHAnsi" w:hAnsiTheme="majorHAnsi"/>
          <w:sz w:val="20"/>
          <w:szCs w:val="20"/>
          <w:lang w:val="es-ES_tradnl"/>
        </w:rPr>
        <w:t xml:space="preserve"> </w:t>
      </w:r>
      <w:r w:rsidR="00220C16">
        <w:rPr>
          <w:rFonts w:asciiTheme="majorHAnsi" w:hAnsiTheme="majorHAnsi"/>
          <w:sz w:val="20"/>
          <w:szCs w:val="20"/>
          <w:lang w:val="es-ES_tradnl"/>
        </w:rPr>
        <w:t>E</w:t>
      </w:r>
      <w:r w:rsidR="00535331" w:rsidRPr="00BE1007">
        <w:rPr>
          <w:rFonts w:asciiTheme="majorHAnsi" w:hAnsiTheme="majorHAnsi"/>
          <w:sz w:val="20"/>
          <w:szCs w:val="20"/>
          <w:lang w:val="es-ES_tradnl"/>
        </w:rPr>
        <w:t>l 29 de noviembre de 1999 la Corte Superior de Justicia de Portoviejo</w:t>
      </w:r>
      <w:r w:rsidR="00BE1007">
        <w:rPr>
          <w:rFonts w:asciiTheme="majorHAnsi" w:hAnsiTheme="majorHAnsi"/>
          <w:sz w:val="20"/>
          <w:szCs w:val="20"/>
          <w:lang w:val="es-ES_tradnl"/>
        </w:rPr>
        <w:t xml:space="preserve"> </w:t>
      </w:r>
      <w:r w:rsidR="00BD457E">
        <w:rPr>
          <w:rFonts w:asciiTheme="majorHAnsi" w:hAnsiTheme="majorHAnsi"/>
          <w:sz w:val="20"/>
          <w:szCs w:val="20"/>
          <w:lang w:val="es-ES_tradnl"/>
        </w:rPr>
        <w:t>conden</w:t>
      </w:r>
      <w:r w:rsidR="007C4185">
        <w:rPr>
          <w:rFonts w:asciiTheme="majorHAnsi" w:hAnsiTheme="majorHAnsi"/>
          <w:sz w:val="20"/>
          <w:szCs w:val="20"/>
          <w:lang w:val="es-ES_tradnl"/>
        </w:rPr>
        <w:t>ó</w:t>
      </w:r>
      <w:r w:rsidR="00BD457E">
        <w:rPr>
          <w:rFonts w:asciiTheme="majorHAnsi" w:hAnsiTheme="majorHAnsi"/>
          <w:sz w:val="20"/>
          <w:szCs w:val="20"/>
          <w:lang w:val="es-ES_tradnl"/>
        </w:rPr>
        <w:t xml:space="preserve"> al policía que conducía el vehículo </w:t>
      </w:r>
      <w:r w:rsidR="00A518FE">
        <w:rPr>
          <w:rFonts w:asciiTheme="majorHAnsi" w:hAnsiTheme="majorHAnsi"/>
          <w:sz w:val="20"/>
          <w:szCs w:val="20"/>
          <w:lang w:val="es-ES_tradnl"/>
        </w:rPr>
        <w:t>anti-motín</w:t>
      </w:r>
      <w:r w:rsidR="00BD457E">
        <w:rPr>
          <w:rFonts w:asciiTheme="majorHAnsi" w:hAnsiTheme="majorHAnsi"/>
          <w:sz w:val="20"/>
          <w:szCs w:val="20"/>
          <w:lang w:val="es-ES_tradnl"/>
        </w:rPr>
        <w:t xml:space="preserve"> que provocó la muerte de Ider Fabián y lesionó de gravedad al otro joven a un año de prisión, </w:t>
      </w:r>
      <w:r w:rsidR="00220C16">
        <w:rPr>
          <w:rFonts w:asciiTheme="majorHAnsi" w:hAnsiTheme="majorHAnsi"/>
          <w:sz w:val="20"/>
          <w:szCs w:val="20"/>
          <w:lang w:val="es-ES_tradnl"/>
        </w:rPr>
        <w:t xml:space="preserve">señalando que dicha </w:t>
      </w:r>
      <w:r w:rsidR="00BD457E">
        <w:rPr>
          <w:rFonts w:asciiTheme="majorHAnsi" w:hAnsiTheme="majorHAnsi"/>
          <w:sz w:val="20"/>
          <w:szCs w:val="20"/>
          <w:lang w:val="es-ES_tradnl"/>
        </w:rPr>
        <w:t>sentencia que fue debidamente cumplida</w:t>
      </w:r>
      <w:r w:rsidR="00220C16">
        <w:rPr>
          <w:rFonts w:asciiTheme="majorHAnsi" w:hAnsiTheme="majorHAnsi"/>
          <w:sz w:val="20"/>
          <w:szCs w:val="20"/>
          <w:lang w:val="es-ES_tradnl"/>
        </w:rPr>
        <w:t xml:space="preserve"> por el imputado</w:t>
      </w:r>
      <w:r w:rsidR="00BD457E">
        <w:rPr>
          <w:rFonts w:asciiTheme="majorHAnsi" w:hAnsiTheme="majorHAnsi"/>
          <w:sz w:val="20"/>
          <w:szCs w:val="20"/>
          <w:lang w:val="es-ES_tradnl"/>
        </w:rPr>
        <w:t>.</w:t>
      </w:r>
    </w:p>
    <w:p w14:paraId="11F79030" w14:textId="0BE10B44" w:rsidR="00882633" w:rsidRDefault="004779F9" w:rsidP="001C684C">
      <w:pPr>
        <w:pStyle w:val="ListParagraph"/>
        <w:numPr>
          <w:ilvl w:val="0"/>
          <w:numId w:val="60"/>
        </w:numPr>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Además, Ecuador</w:t>
      </w:r>
      <w:r w:rsidR="00535331">
        <w:rPr>
          <w:rFonts w:asciiTheme="majorHAnsi" w:hAnsiTheme="majorHAnsi"/>
          <w:sz w:val="20"/>
          <w:szCs w:val="20"/>
          <w:lang w:val="es-ES_tradnl"/>
        </w:rPr>
        <w:t xml:space="preserve"> </w:t>
      </w:r>
      <w:r w:rsidR="00846E58" w:rsidRPr="00515E92">
        <w:rPr>
          <w:rFonts w:asciiTheme="majorHAnsi" w:hAnsiTheme="majorHAnsi"/>
          <w:sz w:val="20"/>
          <w:szCs w:val="20"/>
          <w:lang w:val="es-ES_tradnl"/>
        </w:rPr>
        <w:t xml:space="preserve">solicita a la CIDH que la petición sea </w:t>
      </w:r>
      <w:r w:rsidR="00D56670" w:rsidRPr="00515E92">
        <w:rPr>
          <w:rFonts w:asciiTheme="majorHAnsi" w:hAnsiTheme="majorHAnsi"/>
          <w:sz w:val="20"/>
          <w:szCs w:val="20"/>
          <w:lang w:val="es-ES_tradnl"/>
        </w:rPr>
        <w:t>declarada</w:t>
      </w:r>
      <w:r w:rsidR="00846E58" w:rsidRPr="00515E92">
        <w:rPr>
          <w:rFonts w:asciiTheme="majorHAnsi" w:hAnsiTheme="majorHAnsi"/>
          <w:sz w:val="20"/>
          <w:szCs w:val="20"/>
          <w:lang w:val="es-ES_tradnl"/>
        </w:rPr>
        <w:t xml:space="preserve"> inadmisible</w:t>
      </w:r>
      <w:r w:rsidR="000E0C88">
        <w:rPr>
          <w:rFonts w:asciiTheme="majorHAnsi" w:hAnsiTheme="majorHAnsi"/>
          <w:sz w:val="20"/>
          <w:szCs w:val="20"/>
          <w:lang w:val="es-ES_tradnl"/>
        </w:rPr>
        <w:t xml:space="preserve"> por</w:t>
      </w:r>
      <w:r w:rsidR="00C91013" w:rsidRPr="00515E92">
        <w:rPr>
          <w:rFonts w:asciiTheme="majorHAnsi" w:hAnsiTheme="majorHAnsi"/>
          <w:sz w:val="20"/>
          <w:szCs w:val="20"/>
          <w:lang w:val="es-ES_tradnl"/>
        </w:rPr>
        <w:t>: (i)</w:t>
      </w:r>
      <w:r w:rsidR="00D56670" w:rsidRPr="00515E92">
        <w:rPr>
          <w:rFonts w:asciiTheme="majorHAnsi" w:hAnsiTheme="majorHAnsi"/>
          <w:sz w:val="20"/>
          <w:szCs w:val="20"/>
          <w:lang w:val="es-ES_tradnl"/>
        </w:rPr>
        <w:t xml:space="preserve"> </w:t>
      </w:r>
      <w:r w:rsidR="000E0C88">
        <w:rPr>
          <w:rFonts w:asciiTheme="majorHAnsi" w:hAnsiTheme="majorHAnsi"/>
          <w:sz w:val="20"/>
          <w:szCs w:val="20"/>
          <w:lang w:val="es-ES_tradnl"/>
        </w:rPr>
        <w:t>falta de competencia en razón de la materia</w:t>
      </w:r>
      <w:r w:rsidR="00FE0ADF">
        <w:rPr>
          <w:rFonts w:asciiTheme="majorHAnsi" w:hAnsiTheme="majorHAnsi"/>
          <w:sz w:val="20"/>
          <w:szCs w:val="20"/>
          <w:lang w:val="es-ES_tradnl"/>
        </w:rPr>
        <w:t>-</w:t>
      </w:r>
      <w:r w:rsidR="000E0C88">
        <w:rPr>
          <w:rFonts w:asciiTheme="majorHAnsi" w:hAnsiTheme="majorHAnsi"/>
          <w:sz w:val="20"/>
          <w:szCs w:val="20"/>
          <w:lang w:val="es-ES_tradnl"/>
        </w:rPr>
        <w:t>objeto de la petición</w:t>
      </w:r>
      <w:r w:rsidR="00C91013" w:rsidRPr="00515E92">
        <w:rPr>
          <w:rFonts w:asciiTheme="majorHAnsi" w:hAnsiTheme="majorHAnsi"/>
          <w:sz w:val="20"/>
          <w:szCs w:val="20"/>
          <w:lang w:val="es-ES_tradnl"/>
        </w:rPr>
        <w:t xml:space="preserve">; y (ii) </w:t>
      </w:r>
      <w:r w:rsidR="007318D8">
        <w:rPr>
          <w:rFonts w:asciiTheme="majorHAnsi" w:hAnsiTheme="majorHAnsi"/>
          <w:sz w:val="20"/>
          <w:szCs w:val="20"/>
          <w:lang w:val="es-ES_tradnl"/>
        </w:rPr>
        <w:t>la extemporaneidad en la presentación de la petición</w:t>
      </w:r>
      <w:r w:rsidR="00C91013" w:rsidRPr="00515E92">
        <w:rPr>
          <w:rFonts w:asciiTheme="majorHAnsi" w:hAnsiTheme="majorHAnsi"/>
          <w:sz w:val="20"/>
          <w:szCs w:val="20"/>
          <w:lang w:val="es-ES_tradnl"/>
        </w:rPr>
        <w:t xml:space="preserve">. </w:t>
      </w:r>
      <w:r w:rsidR="00C91013" w:rsidRPr="001C684C">
        <w:rPr>
          <w:rFonts w:asciiTheme="majorHAnsi" w:hAnsiTheme="majorHAnsi"/>
          <w:sz w:val="20"/>
          <w:szCs w:val="20"/>
          <w:lang w:val="es-ES_tradnl"/>
        </w:rPr>
        <w:t>En cuanto al punto (i)</w:t>
      </w:r>
      <w:r w:rsidR="005A47EC" w:rsidRPr="001C684C">
        <w:rPr>
          <w:rFonts w:asciiTheme="majorHAnsi" w:hAnsiTheme="majorHAnsi"/>
          <w:sz w:val="20"/>
          <w:szCs w:val="20"/>
          <w:lang w:val="es-ES_tradnl"/>
        </w:rPr>
        <w:t xml:space="preserve">, </w:t>
      </w:r>
      <w:r w:rsidR="00226203" w:rsidRPr="001C684C">
        <w:rPr>
          <w:rFonts w:asciiTheme="majorHAnsi" w:hAnsiTheme="majorHAnsi"/>
          <w:sz w:val="20"/>
          <w:szCs w:val="20"/>
          <w:lang w:val="es-ES_tradnl"/>
        </w:rPr>
        <w:t xml:space="preserve">alega que </w:t>
      </w:r>
      <w:r w:rsidR="00A518FE" w:rsidRPr="001C684C">
        <w:rPr>
          <w:rFonts w:asciiTheme="majorHAnsi" w:hAnsiTheme="majorHAnsi"/>
          <w:sz w:val="20"/>
          <w:szCs w:val="20"/>
          <w:lang w:val="es-ES_tradnl"/>
        </w:rPr>
        <w:t>la peticionaria pretende que la CIDH condene al Estado ecuatoriano al pago de una indemnización en su favor por la vulneración a sus derechos fundamentales en el marco de los procesos judiciales iniciados por la muerte de su hijo</w:t>
      </w:r>
      <w:r w:rsidR="001C684C">
        <w:rPr>
          <w:rFonts w:asciiTheme="majorHAnsi" w:hAnsiTheme="majorHAnsi"/>
          <w:sz w:val="20"/>
          <w:szCs w:val="20"/>
          <w:lang w:val="es-ES_tradnl"/>
        </w:rPr>
        <w:t>. En ese sentido, aduce que la CIDH carece de competencia para pronunciarse respecto de las resoluciones judiciales adoptadas en el ámbito interno, toda vez que de hacer</w:t>
      </w:r>
      <w:r w:rsidR="00A01F14">
        <w:rPr>
          <w:rFonts w:asciiTheme="majorHAnsi" w:hAnsiTheme="majorHAnsi"/>
          <w:sz w:val="20"/>
          <w:szCs w:val="20"/>
          <w:lang w:val="es-ES_tradnl"/>
        </w:rPr>
        <w:t>lo</w:t>
      </w:r>
      <w:r w:rsidR="001C684C">
        <w:rPr>
          <w:rFonts w:asciiTheme="majorHAnsi" w:hAnsiTheme="majorHAnsi"/>
          <w:sz w:val="20"/>
          <w:szCs w:val="20"/>
          <w:lang w:val="es-ES_tradnl"/>
        </w:rPr>
        <w:t xml:space="preserve"> se convertiría en un tribunal de “cuarta instancia”. </w:t>
      </w:r>
    </w:p>
    <w:p w14:paraId="392CF47D" w14:textId="0BED7040" w:rsidR="001C684C" w:rsidRPr="001C684C" w:rsidRDefault="001C684C" w:rsidP="001C684C">
      <w:pPr>
        <w:pStyle w:val="ListParagraph"/>
        <w:numPr>
          <w:ilvl w:val="0"/>
          <w:numId w:val="60"/>
        </w:numPr>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Respecto al punto (ii), relativo a </w:t>
      </w:r>
      <w:r w:rsidR="00A56712">
        <w:rPr>
          <w:rFonts w:asciiTheme="majorHAnsi" w:hAnsiTheme="majorHAnsi"/>
          <w:sz w:val="20"/>
          <w:szCs w:val="20"/>
          <w:lang w:val="es-ES_tradnl"/>
        </w:rPr>
        <w:t xml:space="preserve">la </w:t>
      </w:r>
      <w:r>
        <w:rPr>
          <w:rFonts w:asciiTheme="majorHAnsi" w:hAnsiTheme="majorHAnsi"/>
          <w:sz w:val="20"/>
          <w:szCs w:val="20"/>
          <w:lang w:val="es-ES_tradnl"/>
        </w:rPr>
        <w:t>presentación extemporánea de la petición</w:t>
      </w:r>
      <w:r w:rsidR="00DC5A27">
        <w:rPr>
          <w:rFonts w:asciiTheme="majorHAnsi" w:hAnsiTheme="majorHAnsi"/>
          <w:sz w:val="20"/>
          <w:szCs w:val="20"/>
          <w:lang w:val="es-ES_tradnl"/>
        </w:rPr>
        <w:t xml:space="preserve">; </w:t>
      </w:r>
      <w:r w:rsidR="00F45E7D">
        <w:rPr>
          <w:rFonts w:asciiTheme="majorHAnsi" w:hAnsiTheme="majorHAnsi"/>
          <w:sz w:val="20"/>
          <w:szCs w:val="20"/>
          <w:lang w:val="es-ES_tradnl"/>
        </w:rPr>
        <w:t>aduce</w:t>
      </w:r>
      <w:r w:rsidR="00DC5A27">
        <w:rPr>
          <w:rFonts w:asciiTheme="majorHAnsi" w:hAnsiTheme="majorHAnsi"/>
          <w:sz w:val="20"/>
          <w:szCs w:val="20"/>
          <w:lang w:val="es-ES_tradnl"/>
        </w:rPr>
        <w:t xml:space="preserve"> que </w:t>
      </w:r>
      <w:r w:rsidR="00EC353C">
        <w:rPr>
          <w:rFonts w:asciiTheme="majorHAnsi" w:hAnsiTheme="majorHAnsi"/>
          <w:sz w:val="20"/>
          <w:szCs w:val="20"/>
          <w:lang w:val="es-ES_tradnl"/>
        </w:rPr>
        <w:t xml:space="preserve">los recursos de la jurisdicción interna concluyeron el </w:t>
      </w:r>
      <w:r w:rsidR="004536B2">
        <w:rPr>
          <w:rFonts w:asciiTheme="majorHAnsi" w:hAnsiTheme="majorHAnsi"/>
          <w:sz w:val="20"/>
          <w:szCs w:val="20"/>
          <w:lang w:val="es-ES_tradnl"/>
        </w:rPr>
        <w:t>8 de octubre de 2010</w:t>
      </w:r>
      <w:r w:rsidR="00EC353C">
        <w:rPr>
          <w:rFonts w:asciiTheme="majorHAnsi" w:hAnsiTheme="majorHAnsi"/>
          <w:sz w:val="20"/>
          <w:szCs w:val="20"/>
          <w:lang w:val="es-ES_tradnl"/>
        </w:rPr>
        <w:t xml:space="preserve"> con</w:t>
      </w:r>
      <w:r w:rsidR="00270824">
        <w:rPr>
          <w:rFonts w:asciiTheme="majorHAnsi" w:hAnsiTheme="majorHAnsi"/>
          <w:sz w:val="20"/>
          <w:szCs w:val="20"/>
          <w:lang w:val="es-ES_tradnl"/>
        </w:rPr>
        <w:t xml:space="preserve"> </w:t>
      </w:r>
      <w:r w:rsidR="00F7447D">
        <w:rPr>
          <w:rFonts w:asciiTheme="majorHAnsi" w:hAnsiTheme="majorHAnsi"/>
          <w:sz w:val="20"/>
          <w:szCs w:val="20"/>
          <w:lang w:val="es-ES_tradnl"/>
        </w:rPr>
        <w:t xml:space="preserve">el cual la Sala de lo Contencioso Administrativo de la Corte Nacional de Justicia aceptó el recurso de casación </w:t>
      </w:r>
      <w:r w:rsidR="002477FB">
        <w:rPr>
          <w:rFonts w:asciiTheme="majorHAnsi" w:hAnsiTheme="majorHAnsi"/>
          <w:sz w:val="20"/>
          <w:szCs w:val="20"/>
          <w:lang w:val="es-ES_tradnl"/>
        </w:rPr>
        <w:t>interpuesto por la Procuraduría General del Estado</w:t>
      </w:r>
      <w:r w:rsidR="00612255">
        <w:rPr>
          <w:rFonts w:asciiTheme="majorHAnsi" w:hAnsiTheme="majorHAnsi"/>
          <w:sz w:val="20"/>
          <w:szCs w:val="20"/>
          <w:lang w:val="es-ES_tradnl"/>
        </w:rPr>
        <w:t xml:space="preserve">, considerando que </w:t>
      </w:r>
      <w:r w:rsidR="001A00DC">
        <w:rPr>
          <w:rFonts w:asciiTheme="majorHAnsi" w:hAnsiTheme="majorHAnsi"/>
          <w:sz w:val="20"/>
          <w:szCs w:val="20"/>
          <w:lang w:val="es-ES_tradnl"/>
        </w:rPr>
        <w:t xml:space="preserve">si </w:t>
      </w:r>
      <w:r w:rsidR="00612255">
        <w:rPr>
          <w:rFonts w:asciiTheme="majorHAnsi" w:hAnsiTheme="majorHAnsi"/>
          <w:sz w:val="20"/>
          <w:szCs w:val="20"/>
          <w:lang w:val="es-ES_tradnl"/>
        </w:rPr>
        <w:t>la petición fue presentada el 15 de agosto de 2011</w:t>
      </w:r>
      <w:r w:rsidR="00F7447D">
        <w:rPr>
          <w:rFonts w:asciiTheme="majorHAnsi" w:hAnsiTheme="majorHAnsi"/>
          <w:sz w:val="20"/>
          <w:szCs w:val="20"/>
          <w:lang w:val="es-ES_tradnl"/>
        </w:rPr>
        <w:t xml:space="preserve">, </w:t>
      </w:r>
      <w:r w:rsidR="001A00DC">
        <w:rPr>
          <w:rFonts w:asciiTheme="majorHAnsi" w:hAnsiTheme="majorHAnsi"/>
          <w:sz w:val="20"/>
          <w:szCs w:val="20"/>
          <w:lang w:val="es-ES_tradnl"/>
        </w:rPr>
        <w:t>esto</w:t>
      </w:r>
      <w:r w:rsidR="00F7447D">
        <w:rPr>
          <w:rFonts w:asciiTheme="majorHAnsi" w:hAnsiTheme="majorHAnsi"/>
          <w:sz w:val="20"/>
          <w:szCs w:val="20"/>
          <w:lang w:val="es-ES_tradnl"/>
        </w:rPr>
        <w:t xml:space="preserve"> </w:t>
      </w:r>
      <w:r w:rsidR="001A00DC">
        <w:rPr>
          <w:rFonts w:asciiTheme="majorHAnsi" w:hAnsiTheme="majorHAnsi"/>
          <w:sz w:val="20"/>
          <w:szCs w:val="20"/>
          <w:lang w:val="es-ES_tradnl"/>
        </w:rPr>
        <w:t>se realizó</w:t>
      </w:r>
      <w:r w:rsidR="00F7447D">
        <w:rPr>
          <w:rFonts w:asciiTheme="majorHAnsi" w:hAnsiTheme="majorHAnsi"/>
          <w:sz w:val="20"/>
          <w:szCs w:val="20"/>
          <w:lang w:val="es-ES_tradnl"/>
        </w:rPr>
        <w:t xml:space="preserve"> </w:t>
      </w:r>
      <w:r w:rsidR="006A63A8">
        <w:rPr>
          <w:rFonts w:asciiTheme="majorHAnsi" w:hAnsiTheme="majorHAnsi"/>
          <w:sz w:val="20"/>
          <w:szCs w:val="20"/>
          <w:lang w:val="es-ES_tradnl"/>
        </w:rPr>
        <w:t>diez</w:t>
      </w:r>
      <w:r w:rsidR="00F7447D">
        <w:rPr>
          <w:rFonts w:asciiTheme="majorHAnsi" w:hAnsiTheme="majorHAnsi"/>
          <w:sz w:val="20"/>
          <w:szCs w:val="20"/>
          <w:lang w:val="es-ES_tradnl"/>
        </w:rPr>
        <w:t xml:space="preserve"> meses </w:t>
      </w:r>
      <w:r w:rsidR="00B95F89">
        <w:rPr>
          <w:rFonts w:asciiTheme="majorHAnsi" w:hAnsiTheme="majorHAnsi"/>
          <w:sz w:val="20"/>
          <w:szCs w:val="20"/>
          <w:lang w:val="es-ES_tradnl"/>
        </w:rPr>
        <w:t xml:space="preserve">fuera </w:t>
      </w:r>
      <w:r w:rsidR="00F7447D">
        <w:rPr>
          <w:rFonts w:asciiTheme="majorHAnsi" w:hAnsiTheme="majorHAnsi"/>
          <w:sz w:val="20"/>
          <w:szCs w:val="20"/>
          <w:lang w:val="es-ES_tradnl"/>
        </w:rPr>
        <w:t>después del plazo previsto en el artículo 46.1.</w:t>
      </w:r>
      <w:r w:rsidR="004F436E">
        <w:rPr>
          <w:rFonts w:asciiTheme="majorHAnsi" w:hAnsiTheme="majorHAnsi"/>
          <w:sz w:val="20"/>
          <w:szCs w:val="20"/>
          <w:lang w:val="es-ES_tradnl"/>
        </w:rPr>
        <w:t>b</w:t>
      </w:r>
      <w:r w:rsidR="00F7447D">
        <w:rPr>
          <w:rFonts w:asciiTheme="majorHAnsi" w:hAnsiTheme="majorHAnsi"/>
          <w:sz w:val="20"/>
          <w:szCs w:val="20"/>
          <w:lang w:val="es-ES_tradnl"/>
        </w:rPr>
        <w:t xml:space="preserve">) de la Convención Americana. </w:t>
      </w:r>
      <w:r w:rsidR="009063C5">
        <w:rPr>
          <w:rFonts w:asciiTheme="majorHAnsi" w:hAnsiTheme="majorHAnsi"/>
          <w:sz w:val="20"/>
          <w:szCs w:val="20"/>
          <w:lang w:val="es-ES_tradnl"/>
        </w:rPr>
        <w:t xml:space="preserve">Por otro lado, </w:t>
      </w:r>
      <w:r w:rsidR="00072765">
        <w:rPr>
          <w:rFonts w:asciiTheme="majorHAnsi" w:hAnsiTheme="majorHAnsi"/>
          <w:sz w:val="20"/>
          <w:szCs w:val="20"/>
          <w:lang w:val="es-ES_tradnl"/>
        </w:rPr>
        <w:t>aduce que si bien la peticionaria interpuso una acción extraordinaria de protección en contra de</w:t>
      </w:r>
      <w:r w:rsidR="00FC3A74">
        <w:rPr>
          <w:rFonts w:asciiTheme="majorHAnsi" w:hAnsiTheme="majorHAnsi"/>
          <w:sz w:val="20"/>
          <w:szCs w:val="20"/>
          <w:lang w:val="es-ES_tradnl"/>
        </w:rPr>
        <w:t>l recurso de casación otorgado en favor de la Procuraduría General del Estado, este recurso de carácter constitucional no era adecuado y efectivo para alcanzar el resultado esperado por la peticionaria, que era la obtención de una indemnización económica por daños y perjuicios en su favor</w:t>
      </w:r>
      <w:r w:rsidR="00DD10CD">
        <w:rPr>
          <w:rFonts w:asciiTheme="majorHAnsi" w:hAnsiTheme="majorHAnsi"/>
          <w:sz w:val="20"/>
          <w:szCs w:val="20"/>
          <w:lang w:val="es-ES_tradnl"/>
        </w:rPr>
        <w:t>, sosteniendo que la jurisdicción contencioso-administrativa era la vía adecuada frente a este reclamo</w:t>
      </w:r>
      <w:r w:rsidR="00FC3A74">
        <w:rPr>
          <w:rFonts w:asciiTheme="majorHAnsi" w:hAnsiTheme="majorHAnsi"/>
          <w:sz w:val="20"/>
          <w:szCs w:val="20"/>
          <w:lang w:val="es-ES_tradnl"/>
        </w:rPr>
        <w:t>. No obstante, indica que la petición fue presentada de manera extemporánea respecto a este recurso</w:t>
      </w:r>
      <w:r w:rsidR="00DD10CD">
        <w:rPr>
          <w:rFonts w:asciiTheme="majorHAnsi" w:hAnsiTheme="majorHAnsi"/>
          <w:sz w:val="20"/>
          <w:szCs w:val="20"/>
          <w:lang w:val="es-ES_tradnl"/>
        </w:rPr>
        <w:t>,</w:t>
      </w:r>
      <w:r w:rsidR="00122BB7">
        <w:rPr>
          <w:rFonts w:asciiTheme="majorHAnsi" w:hAnsiTheme="majorHAnsi"/>
          <w:sz w:val="20"/>
          <w:szCs w:val="20"/>
          <w:lang w:val="es-ES_tradnl"/>
        </w:rPr>
        <w:t xml:space="preserve"> debido a que la inadmisión de la acción extraordinaria de protección fue dictada el 24 de enero de </w:t>
      </w:r>
      <w:r w:rsidR="00374E8F">
        <w:rPr>
          <w:rFonts w:asciiTheme="majorHAnsi" w:hAnsiTheme="majorHAnsi"/>
          <w:sz w:val="20"/>
          <w:szCs w:val="20"/>
          <w:lang w:val="es-ES_tradnl"/>
        </w:rPr>
        <w:t>2011</w:t>
      </w:r>
      <w:r w:rsidR="00CA1DC0">
        <w:rPr>
          <w:rFonts w:asciiTheme="majorHAnsi" w:hAnsiTheme="majorHAnsi"/>
          <w:sz w:val="20"/>
          <w:szCs w:val="20"/>
          <w:lang w:val="es-ES_tradnl"/>
        </w:rPr>
        <w:t>,</w:t>
      </w:r>
      <w:r w:rsidR="00122BB7">
        <w:rPr>
          <w:rFonts w:asciiTheme="majorHAnsi" w:hAnsiTheme="majorHAnsi"/>
          <w:sz w:val="20"/>
          <w:szCs w:val="20"/>
          <w:lang w:val="es-ES_tradnl"/>
        </w:rPr>
        <w:t xml:space="preserve"> y </w:t>
      </w:r>
      <w:r w:rsidR="00374E8F">
        <w:rPr>
          <w:rFonts w:asciiTheme="majorHAnsi" w:hAnsiTheme="majorHAnsi"/>
          <w:sz w:val="20"/>
          <w:szCs w:val="20"/>
          <w:lang w:val="es-ES_tradnl"/>
        </w:rPr>
        <w:t xml:space="preserve">la petición fue presentada el 15 de agosto de 2011, es decir, </w:t>
      </w:r>
      <w:r w:rsidR="004F436E">
        <w:rPr>
          <w:rFonts w:asciiTheme="majorHAnsi" w:hAnsiTheme="majorHAnsi"/>
          <w:sz w:val="20"/>
          <w:szCs w:val="20"/>
          <w:lang w:val="es-ES_tradnl"/>
        </w:rPr>
        <w:t xml:space="preserve">veintidós días después del </w:t>
      </w:r>
      <w:r w:rsidR="008062C0">
        <w:rPr>
          <w:rFonts w:asciiTheme="majorHAnsi" w:hAnsiTheme="majorHAnsi"/>
          <w:sz w:val="20"/>
          <w:szCs w:val="20"/>
          <w:lang w:val="es-ES_tradnl"/>
        </w:rPr>
        <w:t>plazo</w:t>
      </w:r>
      <w:r w:rsidR="004F436E">
        <w:rPr>
          <w:rFonts w:asciiTheme="majorHAnsi" w:hAnsiTheme="majorHAnsi"/>
          <w:sz w:val="20"/>
          <w:szCs w:val="20"/>
          <w:lang w:val="es-ES_tradnl"/>
        </w:rPr>
        <w:t xml:space="preserve"> de seis meses establecido en el artículo 46.1.b) de la Convención</w:t>
      </w:r>
      <w:r w:rsidR="00DE7A56">
        <w:rPr>
          <w:rFonts w:asciiTheme="majorHAnsi" w:hAnsiTheme="majorHAnsi"/>
          <w:sz w:val="20"/>
          <w:szCs w:val="20"/>
          <w:lang w:val="es-ES_tradnl"/>
        </w:rPr>
        <w:t xml:space="preserve">. </w:t>
      </w:r>
    </w:p>
    <w:p w14:paraId="3BF9904F" w14:textId="77777777" w:rsidR="00B074B3" w:rsidRDefault="009D608D" w:rsidP="009D608D">
      <w:pPr>
        <w:pStyle w:val="ListParagraph"/>
        <w:numPr>
          <w:ilvl w:val="0"/>
          <w:numId w:val="60"/>
        </w:numPr>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En respuesta, la peticionaria sostiene que el objeto fundamental de la petición es la vulneración a su derecho a la igualdad y al acceso a la justicia en el marco del proceso del recurso de casación otorgado en favor de la Procuraduría General del Estado, tal y como se estableció en la parte relativa a su posicionamiento. Por otro lado, respecto al plazo de presentación de la petición, la peticionaria ha indicado que: </w:t>
      </w:r>
    </w:p>
    <w:p w14:paraId="04F033BF" w14:textId="2074CD6D" w:rsidR="00BE438D" w:rsidRPr="00052C9E" w:rsidRDefault="009D608D" w:rsidP="00052C9E">
      <w:pPr>
        <w:spacing w:before="240" w:after="240"/>
        <w:ind w:left="720" w:right="720"/>
        <w:jc w:val="both"/>
        <w:rPr>
          <w:rFonts w:asciiTheme="majorHAnsi" w:hAnsiTheme="majorHAnsi"/>
          <w:sz w:val="20"/>
          <w:szCs w:val="20"/>
          <w:lang w:val="es-ES_tradnl"/>
        </w:rPr>
      </w:pPr>
      <w:r w:rsidRPr="00052C9E">
        <w:rPr>
          <w:rFonts w:asciiTheme="majorHAnsi" w:hAnsiTheme="majorHAnsi"/>
          <w:sz w:val="20"/>
          <w:szCs w:val="20"/>
          <w:lang w:val="es-ES_tradnl"/>
        </w:rPr>
        <w:t>Es forzada la afirmación estatal de considerar que la fecha de expedición de la Resolución de la Acción Extraordinaria de Protección N° 1673-10-EP del 24 de enero del 2011 es la que debe considerase para contar el plazo de presentación ante la CIDH, pues, según la derogada Ley Contenciosa Administrativa Art. 65, la prescripción de la causa y no la caducidad como observa el estado ecuatoriano, opera después de cinco años, es decir</w:t>
      </w:r>
      <w:r w:rsidR="00964567" w:rsidRPr="00052C9E">
        <w:rPr>
          <w:rFonts w:asciiTheme="majorHAnsi" w:hAnsiTheme="majorHAnsi"/>
          <w:sz w:val="20"/>
          <w:szCs w:val="20"/>
          <w:lang w:val="es-ES_tradnl"/>
        </w:rPr>
        <w:t>,</w:t>
      </w:r>
      <w:r w:rsidRPr="00052C9E">
        <w:rPr>
          <w:rFonts w:asciiTheme="majorHAnsi" w:hAnsiTheme="majorHAnsi"/>
          <w:sz w:val="20"/>
          <w:szCs w:val="20"/>
          <w:lang w:val="es-ES_tradnl"/>
        </w:rPr>
        <w:t xml:space="preserve"> yo tenía plazo hasta el año 2016.</w:t>
      </w:r>
      <w:r w:rsidR="008567DF" w:rsidRPr="00052C9E">
        <w:rPr>
          <w:rFonts w:asciiTheme="majorHAnsi" w:hAnsiTheme="majorHAnsi"/>
          <w:sz w:val="20"/>
          <w:szCs w:val="20"/>
          <w:lang w:val="es-ES_tradnl"/>
        </w:rPr>
        <w:t xml:space="preserve"> </w:t>
      </w:r>
    </w:p>
    <w:p w14:paraId="51F68C92" w14:textId="38107712" w:rsidR="003239B8" w:rsidRPr="00515E92" w:rsidRDefault="003239B8" w:rsidP="00861126">
      <w:pPr>
        <w:spacing w:before="240" w:after="240"/>
        <w:ind w:firstLine="720"/>
        <w:jc w:val="both"/>
        <w:rPr>
          <w:rFonts w:asciiTheme="majorHAnsi" w:hAnsiTheme="majorHAnsi"/>
          <w:b/>
          <w:bCs/>
          <w:sz w:val="20"/>
          <w:szCs w:val="20"/>
          <w:lang w:val="es-ES_tradnl"/>
        </w:rPr>
      </w:pPr>
      <w:r w:rsidRPr="00515E92">
        <w:rPr>
          <w:rFonts w:asciiTheme="majorHAnsi" w:eastAsia="Cambria" w:hAnsiTheme="majorHAnsi" w:cs="Cambria"/>
          <w:b/>
          <w:bCs/>
          <w:color w:val="000000"/>
          <w:sz w:val="20"/>
          <w:szCs w:val="20"/>
          <w:u w:color="000000"/>
          <w:lang w:val="es-ES_tradnl" w:eastAsia="es-ES"/>
        </w:rPr>
        <w:t>VI.</w:t>
      </w:r>
      <w:r w:rsidRPr="00515E92">
        <w:rPr>
          <w:rFonts w:asciiTheme="majorHAnsi" w:eastAsia="Cambria" w:hAnsiTheme="majorHAnsi" w:cs="Cambria"/>
          <w:b/>
          <w:bCs/>
          <w:color w:val="000000"/>
          <w:sz w:val="20"/>
          <w:szCs w:val="20"/>
          <w:u w:color="000000"/>
          <w:lang w:val="es-ES_tradnl" w:eastAsia="es-ES"/>
        </w:rPr>
        <w:tab/>
      </w:r>
      <w:r w:rsidR="00A90BD3" w:rsidRPr="00515E92">
        <w:rPr>
          <w:rFonts w:asciiTheme="majorHAnsi" w:hAnsiTheme="majorHAnsi"/>
          <w:b/>
          <w:bCs/>
          <w:sz w:val="20"/>
          <w:szCs w:val="20"/>
          <w:lang w:val="es-ES_tradnl"/>
        </w:rPr>
        <w:t>ANÁLISIS DE AGOTAMIENTO DE LOS RECURSOS INTERNOS</w:t>
      </w:r>
      <w:r w:rsidR="00A47D47">
        <w:rPr>
          <w:rFonts w:asciiTheme="majorHAnsi" w:hAnsiTheme="majorHAnsi"/>
          <w:b/>
          <w:bCs/>
          <w:sz w:val="20"/>
          <w:szCs w:val="20"/>
          <w:lang w:val="es-ES_tradnl"/>
        </w:rPr>
        <w:t xml:space="preserve"> Y</w:t>
      </w:r>
      <w:r w:rsidR="00A90BD3" w:rsidRPr="00515E92">
        <w:rPr>
          <w:rFonts w:asciiTheme="majorHAnsi" w:hAnsiTheme="majorHAnsi"/>
          <w:b/>
          <w:bCs/>
          <w:sz w:val="20"/>
          <w:szCs w:val="20"/>
          <w:lang w:val="es-ES_tradnl"/>
        </w:rPr>
        <w:t xml:space="preserve"> PLAZO DE PRESENTACIÓN</w:t>
      </w:r>
    </w:p>
    <w:p w14:paraId="7CC0957C" w14:textId="5A6FB5C0" w:rsidR="00724465" w:rsidRPr="00724465" w:rsidRDefault="00724465" w:rsidP="00724465">
      <w:pPr>
        <w:pStyle w:val="ListParagraph"/>
        <w:numPr>
          <w:ilvl w:val="0"/>
          <w:numId w:val="60"/>
        </w:numPr>
        <w:spacing w:before="240" w:after="240"/>
        <w:ind w:left="0" w:firstLine="720"/>
        <w:jc w:val="both"/>
        <w:rPr>
          <w:sz w:val="20"/>
          <w:szCs w:val="20"/>
          <w:lang w:val="es-ES_tradnl"/>
        </w:rPr>
      </w:pPr>
      <w:r w:rsidRPr="00724465">
        <w:rPr>
          <w:rFonts w:asciiTheme="majorHAnsi" w:hAnsiTheme="majorHAnsi"/>
          <w:sz w:val="20"/>
          <w:szCs w:val="20"/>
          <w:lang w:val="es-ES"/>
        </w:rPr>
        <w:t>Como lo ha decidido en anteriores pronunciamientos</w:t>
      </w:r>
      <w:r w:rsidRPr="00DC5655">
        <w:rPr>
          <w:rStyle w:val="FootnoteReference"/>
          <w:rFonts w:asciiTheme="majorHAnsi" w:hAnsiTheme="majorHAnsi"/>
          <w:sz w:val="20"/>
          <w:szCs w:val="20"/>
          <w:lang w:val="es-ES"/>
        </w:rPr>
        <w:footnoteReference w:id="4"/>
      </w:r>
      <w:r w:rsidRPr="00724465">
        <w:rPr>
          <w:rFonts w:asciiTheme="majorHAnsi" w:hAnsiTheme="majorHAnsi"/>
          <w:sz w:val="20"/>
          <w:szCs w:val="20"/>
          <w:lang w:val="es-ES"/>
        </w:rPr>
        <w:t xml:space="preserve">, la CIDH considera que los recursos idóneos a agotar en casos en que se alegan violaciones de la libertad personal, las garantías procesales y otros derechos humanos en el curso de procesos judiciales, son por regla general aquellos medios provistos por la legislación procesal nacional que permiten atacar, en el curso del propio proceso cuestionado, las actuaciones y decisiones adoptadas en </w:t>
      </w:r>
      <w:r w:rsidRPr="00724465">
        <w:rPr>
          <w:rFonts w:cs="Calibri"/>
          <w:color w:val="auto"/>
          <w:sz w:val="20"/>
          <w:szCs w:val="20"/>
          <w:lang w:val="es-ES"/>
        </w:rPr>
        <w:t>su</w:t>
      </w:r>
      <w:r w:rsidRPr="00724465">
        <w:rPr>
          <w:rFonts w:asciiTheme="majorHAnsi" w:hAnsiTheme="majorHAnsi"/>
          <w:sz w:val="20"/>
          <w:szCs w:val="20"/>
          <w:lang w:val="es-ES"/>
        </w:rPr>
        <w:t xml:space="preserve"> desarrollo, en particular los recursos judiciales ordinarios a los que haya lugar, o los extraordinarios si éstos fueron interpuestos </w:t>
      </w:r>
      <w:r w:rsidRPr="00724465">
        <w:rPr>
          <w:rFonts w:cs="Calibri"/>
          <w:color w:val="auto"/>
          <w:sz w:val="20"/>
          <w:szCs w:val="20"/>
          <w:lang w:val="es-ES"/>
        </w:rPr>
        <w:t>por</w:t>
      </w:r>
      <w:r w:rsidRPr="00724465">
        <w:rPr>
          <w:rFonts w:asciiTheme="majorHAnsi" w:hAnsiTheme="majorHAnsi"/>
          <w:sz w:val="20"/>
          <w:szCs w:val="20"/>
          <w:lang w:val="es-ES"/>
        </w:rPr>
        <w:t xml:space="preserve"> las alegadas víctimas para hacer valer sus derechos. </w:t>
      </w:r>
    </w:p>
    <w:p w14:paraId="4508B70D" w14:textId="77777777" w:rsidR="0008420B" w:rsidRPr="0008420B" w:rsidRDefault="00724465" w:rsidP="001463C4">
      <w:pPr>
        <w:pStyle w:val="ListParagraph"/>
        <w:numPr>
          <w:ilvl w:val="0"/>
          <w:numId w:val="60"/>
        </w:numPr>
        <w:spacing w:before="240" w:after="240"/>
        <w:ind w:left="0" w:firstLine="720"/>
        <w:jc w:val="both"/>
        <w:rPr>
          <w:rFonts w:asciiTheme="majorHAnsi" w:hAnsiTheme="majorHAnsi"/>
          <w:bCs/>
          <w:sz w:val="20"/>
          <w:szCs w:val="20"/>
          <w:lang w:val="es-ES_tradnl"/>
        </w:rPr>
      </w:pPr>
      <w:r w:rsidRPr="00DC5655">
        <w:rPr>
          <w:rFonts w:asciiTheme="majorHAnsi" w:hAnsiTheme="majorHAnsi"/>
          <w:sz w:val="20"/>
          <w:szCs w:val="20"/>
          <w:lang w:val="es-ES"/>
        </w:rPr>
        <w:t>La CIDH precisa que</w:t>
      </w:r>
      <w:r w:rsidR="00964567">
        <w:rPr>
          <w:rFonts w:asciiTheme="majorHAnsi" w:hAnsiTheme="majorHAnsi"/>
          <w:sz w:val="20"/>
          <w:szCs w:val="20"/>
          <w:lang w:val="es-ES"/>
        </w:rPr>
        <w:t>,</w:t>
      </w:r>
      <w:r w:rsidRPr="00DC5655">
        <w:rPr>
          <w:rFonts w:asciiTheme="majorHAnsi" w:hAnsiTheme="majorHAnsi"/>
          <w:sz w:val="20"/>
          <w:szCs w:val="20"/>
          <w:lang w:val="es-ES"/>
        </w:rPr>
        <w:t xml:space="preserve"> para efectos de evaluar la idoneidad de los recursos disponibles a un determinado peticionario bajo el ordenamiento nacional, usualmente establece con precisión cuál es el reclamo específico que se ha formulado en sede interamericana, para luego identificar los recursos judiciales provistos </w:t>
      </w:r>
      <w:r w:rsidRPr="00DC5655">
        <w:rPr>
          <w:rFonts w:asciiTheme="majorHAnsi" w:hAnsiTheme="majorHAnsi"/>
          <w:sz w:val="20"/>
          <w:szCs w:val="20"/>
          <w:lang w:val="es-ES"/>
        </w:rPr>
        <w:lastRenderedPageBreak/>
        <w:t xml:space="preserve">por el sistema jurídico doméstico que estaban disponibles y eran adecuados </w:t>
      </w:r>
      <w:r w:rsidRPr="00964567">
        <w:rPr>
          <w:rFonts w:asciiTheme="majorHAnsi" w:hAnsiTheme="majorHAnsi"/>
          <w:sz w:val="20"/>
          <w:szCs w:val="20"/>
          <w:lang w:val="es-ES"/>
        </w:rPr>
        <w:t>para ventilar ese reclamo en particular</w:t>
      </w:r>
      <w:r w:rsidRPr="00DC5655">
        <w:rPr>
          <w:rFonts w:asciiTheme="majorHAnsi" w:hAnsiTheme="majorHAnsi"/>
          <w:sz w:val="20"/>
          <w:szCs w:val="20"/>
          <w:lang w:val="es-ES"/>
        </w:rPr>
        <w:t xml:space="preserve">; en ello consiste, precisamente, la idoneidad y efectividad de cada recurso considerado en concreto, en que provea una oportunidad real para que la alegada lesión a los derechos humanos sea remediada y resuelta por los jueces nacionales, de manera efectiva y oportuna, antes de que se pueda acudir al Sistema Interamericano de protección. </w:t>
      </w:r>
    </w:p>
    <w:p w14:paraId="4B387118" w14:textId="3B159153" w:rsidR="00EB78FA" w:rsidRPr="008A1F08" w:rsidRDefault="00EB78FA" w:rsidP="001463C4">
      <w:pPr>
        <w:pStyle w:val="ListParagraph"/>
        <w:numPr>
          <w:ilvl w:val="0"/>
          <w:numId w:val="60"/>
        </w:numPr>
        <w:spacing w:before="240" w:after="240"/>
        <w:ind w:left="0" w:firstLine="720"/>
        <w:jc w:val="both"/>
        <w:rPr>
          <w:rFonts w:asciiTheme="majorHAnsi" w:hAnsiTheme="majorHAnsi"/>
          <w:bCs/>
          <w:sz w:val="20"/>
          <w:szCs w:val="20"/>
          <w:lang w:val="es-ES_tradnl"/>
        </w:rPr>
      </w:pPr>
      <w:r w:rsidRPr="008A1F08">
        <w:rPr>
          <w:rFonts w:asciiTheme="majorHAnsi" w:hAnsiTheme="majorHAnsi"/>
          <w:sz w:val="20"/>
          <w:szCs w:val="20"/>
          <w:lang w:val="es-ES"/>
        </w:rPr>
        <w:t>La señora Sánchez ha dirigido sus reclamos principales contra las decisiones judiciales en el marco de</w:t>
      </w:r>
      <w:r w:rsidR="00101898" w:rsidRPr="008A1F08">
        <w:rPr>
          <w:rFonts w:asciiTheme="majorHAnsi" w:hAnsiTheme="majorHAnsi"/>
          <w:sz w:val="20"/>
          <w:szCs w:val="20"/>
          <w:lang w:val="es-ES"/>
        </w:rPr>
        <w:t>l</w:t>
      </w:r>
      <w:r w:rsidRPr="008A1F08">
        <w:rPr>
          <w:rFonts w:asciiTheme="majorHAnsi" w:hAnsiTheme="majorHAnsi"/>
          <w:sz w:val="20"/>
          <w:szCs w:val="20"/>
          <w:lang w:val="es-ES"/>
        </w:rPr>
        <w:t xml:space="preserve"> </w:t>
      </w:r>
      <w:r w:rsidR="00101898" w:rsidRPr="008A1F08">
        <w:rPr>
          <w:rFonts w:asciiTheme="majorHAnsi" w:hAnsiTheme="majorHAnsi"/>
          <w:sz w:val="20"/>
          <w:szCs w:val="20"/>
          <w:lang w:val="es-ES"/>
        </w:rPr>
        <w:t xml:space="preserve">recurso </w:t>
      </w:r>
      <w:r w:rsidRPr="008A1F08">
        <w:rPr>
          <w:rFonts w:asciiTheme="majorHAnsi" w:hAnsiTheme="majorHAnsi"/>
          <w:sz w:val="20"/>
          <w:szCs w:val="20"/>
          <w:lang w:val="es-ES"/>
        </w:rPr>
        <w:t>de hecho y de casación otorgados</w:t>
      </w:r>
      <w:r w:rsidR="00101898" w:rsidRPr="008A1F08">
        <w:rPr>
          <w:rFonts w:asciiTheme="majorHAnsi" w:hAnsiTheme="majorHAnsi"/>
          <w:sz w:val="20"/>
          <w:szCs w:val="20"/>
          <w:lang w:val="es-ES"/>
        </w:rPr>
        <w:t xml:space="preserve"> el </w:t>
      </w:r>
      <w:r w:rsidR="003A4858">
        <w:rPr>
          <w:rFonts w:asciiTheme="majorHAnsi" w:hAnsiTheme="majorHAnsi"/>
          <w:bCs/>
          <w:sz w:val="20"/>
          <w:szCs w:val="20"/>
          <w:lang w:val="es-ES_tradnl"/>
        </w:rPr>
        <w:t>8 de septiembre de 2008 y 8 de octubre de 2010, respectivamente,</w:t>
      </w:r>
      <w:r w:rsidRPr="008A1F08">
        <w:rPr>
          <w:rFonts w:asciiTheme="majorHAnsi" w:hAnsiTheme="majorHAnsi"/>
          <w:sz w:val="20"/>
          <w:szCs w:val="20"/>
          <w:lang w:val="es-ES"/>
        </w:rPr>
        <w:t xml:space="preserve"> en favor de la Procuraduría General de la República, con lo cual</w:t>
      </w:r>
      <w:r w:rsidR="00AA0183" w:rsidRPr="008A1F08">
        <w:rPr>
          <w:rFonts w:asciiTheme="majorHAnsi" w:hAnsiTheme="majorHAnsi"/>
          <w:sz w:val="20"/>
          <w:szCs w:val="20"/>
          <w:lang w:val="es-ES"/>
        </w:rPr>
        <w:t>, en sede de casación,</w:t>
      </w:r>
      <w:r w:rsidRPr="008A1F08">
        <w:rPr>
          <w:rFonts w:asciiTheme="majorHAnsi" w:hAnsiTheme="majorHAnsi"/>
          <w:sz w:val="20"/>
          <w:szCs w:val="20"/>
          <w:lang w:val="es-ES"/>
        </w:rPr>
        <w:t xml:space="preserve"> se acogió el alegato de dicho ente estatal relativo a la prescripción de la demanda por daños y perjuicios, negándole el pago de la indemnización </w:t>
      </w:r>
      <w:r w:rsidR="008130C2" w:rsidRPr="008A1F08">
        <w:rPr>
          <w:rFonts w:asciiTheme="majorHAnsi" w:hAnsiTheme="majorHAnsi"/>
          <w:sz w:val="20"/>
          <w:szCs w:val="20"/>
          <w:lang w:val="es-ES"/>
        </w:rPr>
        <w:t>reconocida en una primera instancia</w:t>
      </w:r>
      <w:r w:rsidRPr="008A1F08">
        <w:rPr>
          <w:rFonts w:asciiTheme="majorHAnsi" w:hAnsiTheme="majorHAnsi"/>
          <w:sz w:val="20"/>
          <w:szCs w:val="20"/>
          <w:lang w:val="es-ES"/>
        </w:rPr>
        <w:t xml:space="preserve"> por </w:t>
      </w:r>
      <w:r w:rsidR="008130C2">
        <w:rPr>
          <w:sz w:val="20"/>
          <w:szCs w:val="20"/>
          <w:lang w:val="es-ES_tradnl"/>
        </w:rPr>
        <w:t>el T</w:t>
      </w:r>
      <w:r w:rsidR="008130C2">
        <w:rPr>
          <w:rFonts w:asciiTheme="majorHAnsi" w:hAnsiTheme="majorHAnsi"/>
          <w:bCs/>
          <w:sz w:val="20"/>
          <w:szCs w:val="20"/>
          <w:lang w:val="es-ES_tradnl"/>
        </w:rPr>
        <w:t xml:space="preserve">ribunal de lo Contencioso Administrativo de Portoviejo, al determinar </w:t>
      </w:r>
      <w:r w:rsidRPr="008A1F08">
        <w:rPr>
          <w:rFonts w:asciiTheme="majorHAnsi" w:hAnsiTheme="majorHAnsi"/>
          <w:sz w:val="20"/>
          <w:szCs w:val="20"/>
          <w:lang w:val="es-ES"/>
        </w:rPr>
        <w:t>la responsabilidad institucional de la Policía Nacional por la muerte de su hijo, Ider Fabián Palacio Vera</w:t>
      </w:r>
      <w:r w:rsidR="00964567">
        <w:rPr>
          <w:rFonts w:asciiTheme="majorHAnsi" w:hAnsiTheme="majorHAnsi"/>
          <w:sz w:val="20"/>
          <w:szCs w:val="20"/>
          <w:lang w:val="es-ES"/>
        </w:rPr>
        <w:t>. En ese sentido,</w:t>
      </w:r>
      <w:r w:rsidR="008A1F08" w:rsidRPr="008A1F08">
        <w:rPr>
          <w:rFonts w:asciiTheme="majorHAnsi" w:hAnsiTheme="majorHAnsi"/>
          <w:sz w:val="20"/>
          <w:szCs w:val="20"/>
          <w:lang w:val="es-ES"/>
        </w:rPr>
        <w:t xml:space="preserve"> </w:t>
      </w:r>
      <w:r w:rsidR="00964567">
        <w:rPr>
          <w:rFonts w:asciiTheme="majorHAnsi" w:hAnsiTheme="majorHAnsi"/>
          <w:sz w:val="20"/>
          <w:szCs w:val="20"/>
          <w:lang w:val="es-ES"/>
        </w:rPr>
        <w:t>la señora Sánchez alega</w:t>
      </w:r>
      <w:r w:rsidR="008A1F08" w:rsidRPr="008A1F08">
        <w:rPr>
          <w:rFonts w:asciiTheme="majorHAnsi" w:hAnsiTheme="majorHAnsi"/>
          <w:sz w:val="20"/>
          <w:szCs w:val="20"/>
          <w:lang w:val="es-ES"/>
        </w:rPr>
        <w:t xml:space="preserve"> que d</w:t>
      </w:r>
      <w:r w:rsidR="008A1F08">
        <w:rPr>
          <w:rFonts w:asciiTheme="majorHAnsi" w:hAnsiTheme="majorHAnsi"/>
          <w:sz w:val="20"/>
          <w:szCs w:val="20"/>
          <w:lang w:val="es-ES"/>
        </w:rPr>
        <w:t xml:space="preserve">ichas resoluciones </w:t>
      </w:r>
      <w:r w:rsidR="00085019">
        <w:rPr>
          <w:rFonts w:asciiTheme="majorHAnsi" w:hAnsiTheme="majorHAnsi"/>
          <w:sz w:val="20"/>
          <w:szCs w:val="20"/>
          <w:lang w:val="es-ES"/>
        </w:rPr>
        <w:t>vulneraron</w:t>
      </w:r>
      <w:r w:rsidR="008A1F08">
        <w:rPr>
          <w:rFonts w:asciiTheme="majorHAnsi" w:hAnsiTheme="majorHAnsi"/>
          <w:sz w:val="20"/>
          <w:szCs w:val="20"/>
          <w:lang w:val="es-ES"/>
        </w:rPr>
        <w:t xml:space="preserve"> su derecho al debido proceso, a la igualdad y a la protección judicial</w:t>
      </w:r>
      <w:r w:rsidRPr="008A1F08">
        <w:rPr>
          <w:rFonts w:asciiTheme="majorHAnsi" w:hAnsiTheme="majorHAnsi"/>
          <w:sz w:val="20"/>
          <w:szCs w:val="20"/>
          <w:lang w:val="es-ES"/>
        </w:rPr>
        <w:t xml:space="preserve">. </w:t>
      </w:r>
      <w:r w:rsidR="00366593" w:rsidRPr="008A1F08">
        <w:rPr>
          <w:rFonts w:asciiTheme="majorHAnsi" w:hAnsiTheme="majorHAnsi"/>
          <w:sz w:val="20"/>
          <w:szCs w:val="20"/>
          <w:lang w:val="es-ES"/>
        </w:rPr>
        <w:t xml:space="preserve">En contra de esto, la peticionaria interpuso una acción extraordinaria de protección; sin embargo, </w:t>
      </w:r>
      <w:r w:rsidR="008A1F08">
        <w:rPr>
          <w:rFonts w:asciiTheme="majorHAnsi" w:hAnsiTheme="majorHAnsi"/>
          <w:bCs/>
          <w:sz w:val="20"/>
          <w:szCs w:val="20"/>
          <w:lang w:val="es-ES_tradnl"/>
        </w:rPr>
        <w:t>el 24 de enero de 2011 la Sala de Admisión de la Corte Constitucional para el periodo de transición, inadmitió la acción</w:t>
      </w:r>
      <w:r w:rsidR="001463C4">
        <w:rPr>
          <w:rFonts w:asciiTheme="majorHAnsi" w:hAnsiTheme="majorHAnsi"/>
          <w:bCs/>
          <w:sz w:val="20"/>
          <w:szCs w:val="20"/>
          <w:lang w:val="es-ES_tradnl"/>
        </w:rPr>
        <w:t xml:space="preserve">. </w:t>
      </w:r>
    </w:p>
    <w:p w14:paraId="530945BB" w14:textId="158A637B" w:rsidR="00334D19" w:rsidRPr="007C1263" w:rsidRDefault="008A1F08" w:rsidP="0060149C">
      <w:pPr>
        <w:pStyle w:val="ListParagraph"/>
        <w:numPr>
          <w:ilvl w:val="0"/>
          <w:numId w:val="60"/>
        </w:numPr>
        <w:spacing w:before="240" w:after="240"/>
        <w:ind w:left="0" w:firstLine="720"/>
        <w:jc w:val="both"/>
        <w:rPr>
          <w:sz w:val="20"/>
          <w:szCs w:val="20"/>
          <w:lang w:val="es-ES"/>
        </w:rPr>
      </w:pPr>
      <w:r>
        <w:rPr>
          <w:sz w:val="20"/>
          <w:szCs w:val="20"/>
          <w:lang w:val="es-ES_tradnl"/>
        </w:rPr>
        <w:t xml:space="preserve">El Estado, por su parte, ha alegado que la acción de protección no era un recurso judicial idóneo para ventilar </w:t>
      </w:r>
      <w:r w:rsidRPr="009D6195">
        <w:rPr>
          <w:sz w:val="20"/>
          <w:szCs w:val="20"/>
          <w:lang w:val="es-ES"/>
        </w:rPr>
        <w:t>los</w:t>
      </w:r>
      <w:r>
        <w:rPr>
          <w:sz w:val="20"/>
          <w:szCs w:val="20"/>
          <w:lang w:val="es-ES_tradnl"/>
        </w:rPr>
        <w:t xml:space="preserve"> reclamos centrales de</w:t>
      </w:r>
      <w:r w:rsidR="009D6195">
        <w:rPr>
          <w:sz w:val="20"/>
          <w:szCs w:val="20"/>
          <w:lang w:val="es-ES_tradnl"/>
        </w:rPr>
        <w:t xml:space="preserve"> </w:t>
      </w:r>
      <w:r>
        <w:rPr>
          <w:sz w:val="20"/>
          <w:szCs w:val="20"/>
          <w:lang w:val="es-ES_tradnl"/>
        </w:rPr>
        <w:t>l</w:t>
      </w:r>
      <w:r w:rsidR="009D6195">
        <w:rPr>
          <w:sz w:val="20"/>
          <w:szCs w:val="20"/>
          <w:lang w:val="es-ES_tradnl"/>
        </w:rPr>
        <w:t>a</w:t>
      </w:r>
      <w:r>
        <w:rPr>
          <w:sz w:val="20"/>
          <w:szCs w:val="20"/>
          <w:lang w:val="es-ES_tradnl"/>
        </w:rPr>
        <w:t xml:space="preserve"> peticionari</w:t>
      </w:r>
      <w:r w:rsidR="009D6195">
        <w:rPr>
          <w:sz w:val="20"/>
          <w:szCs w:val="20"/>
          <w:lang w:val="es-ES_tradnl"/>
        </w:rPr>
        <w:t xml:space="preserve">a consistentes en la falta de indemnización por los daños y perjuicios ocasionados en su perjuicio por la muerte de su hijo. </w:t>
      </w:r>
      <w:r w:rsidR="009D6195" w:rsidRPr="009D6195">
        <w:rPr>
          <w:sz w:val="20"/>
          <w:szCs w:val="20"/>
          <w:lang w:val="es-ES"/>
        </w:rPr>
        <w:t>Ante lo alegado, la Comisión considera pertinente recordar que</w:t>
      </w:r>
      <w:r w:rsidR="009D6195">
        <w:rPr>
          <w:sz w:val="20"/>
          <w:szCs w:val="20"/>
          <w:lang w:val="es-ES"/>
        </w:rPr>
        <w:t>,</w:t>
      </w:r>
      <w:r w:rsidR="009D6195" w:rsidRPr="009D6195">
        <w:rPr>
          <w:sz w:val="20"/>
          <w:szCs w:val="20"/>
          <w:lang w:val="es-ES"/>
        </w:rPr>
        <w:t xml:space="preserve"> </w:t>
      </w:r>
      <w:r w:rsidR="009D6195" w:rsidRPr="0060149C">
        <w:rPr>
          <w:rFonts w:asciiTheme="majorHAnsi" w:hAnsiTheme="majorHAnsi"/>
          <w:sz w:val="20"/>
          <w:szCs w:val="20"/>
          <w:lang w:val="es-ES"/>
        </w:rPr>
        <w:t>cuando</w:t>
      </w:r>
      <w:r w:rsidR="009D6195" w:rsidRPr="009D6195">
        <w:rPr>
          <w:sz w:val="20"/>
          <w:szCs w:val="20"/>
          <w:lang w:val="es-ES"/>
        </w:rPr>
        <w:t xml:space="preserve"> un Estado alega la falta de agotamiento, tiene la carga de identificar cuáles serían los recursos a tal efecto y demostrar que resultan “adecuados” para subsanar la violación alegada, vale </w:t>
      </w:r>
      <w:r w:rsidR="009D6195" w:rsidRPr="00334D19">
        <w:rPr>
          <w:sz w:val="20"/>
          <w:szCs w:val="20"/>
          <w:lang w:val="es-ES"/>
        </w:rPr>
        <w:t>decir</w:t>
      </w:r>
      <w:r w:rsidR="009D6195" w:rsidRPr="009D6195">
        <w:rPr>
          <w:sz w:val="20"/>
          <w:szCs w:val="20"/>
          <w:lang w:val="es-ES"/>
        </w:rPr>
        <w:t xml:space="preserve"> que su función en el derecho interno es idónea para proteger la situación jurídica infringida</w:t>
      </w:r>
      <w:r w:rsidR="009D6195" w:rsidRPr="0033143B">
        <w:rPr>
          <w:rStyle w:val="FootnoteReference"/>
          <w:sz w:val="20"/>
          <w:szCs w:val="20"/>
        </w:rPr>
        <w:footnoteReference w:id="5"/>
      </w:r>
      <w:r w:rsidR="009D6195" w:rsidRPr="0033143B">
        <w:rPr>
          <w:sz w:val="20"/>
          <w:szCs w:val="20"/>
          <w:lang w:val="es-ES"/>
        </w:rPr>
        <w:t>. Ello, toda vez que, como norma general, los únicos recursos que deben agotarse son aquellos cuyas funciones, dentro del sistema jurídico, son adecuados y efectivos para brindar protección tendiente a remediar una infracción de determinado derecho legal</w:t>
      </w:r>
      <w:r w:rsidR="009D6195" w:rsidRPr="0033143B">
        <w:rPr>
          <w:rStyle w:val="FootnoteReference"/>
          <w:sz w:val="20"/>
          <w:szCs w:val="20"/>
          <w:lang w:val="es-ES"/>
        </w:rPr>
        <w:footnoteReference w:id="6"/>
      </w:r>
      <w:r w:rsidR="009D6195" w:rsidRPr="0033143B">
        <w:rPr>
          <w:sz w:val="20"/>
          <w:szCs w:val="20"/>
          <w:lang w:val="es-ES"/>
        </w:rPr>
        <w:t>.</w:t>
      </w:r>
      <w:r w:rsidR="001463C4">
        <w:rPr>
          <w:sz w:val="20"/>
          <w:szCs w:val="20"/>
          <w:lang w:val="es-ES"/>
        </w:rPr>
        <w:t xml:space="preserve"> </w:t>
      </w:r>
      <w:r w:rsidR="00334D19">
        <w:rPr>
          <w:sz w:val="20"/>
          <w:szCs w:val="20"/>
          <w:lang w:val="es-ES"/>
        </w:rPr>
        <w:t>No obstante, la CIDH not</w:t>
      </w:r>
      <w:r w:rsidR="00132494">
        <w:rPr>
          <w:sz w:val="20"/>
          <w:szCs w:val="20"/>
          <w:lang w:val="es-ES"/>
        </w:rPr>
        <w:t xml:space="preserve">a que el objeto central de la petición versa sobre las vulneraciones a los derechos de la señora Sánchez en el marco de los recursos de hecho y de casación otorgados en favor de la Procuraduría General del Estado. </w:t>
      </w:r>
      <w:r w:rsidR="00334D19">
        <w:rPr>
          <w:sz w:val="20"/>
          <w:szCs w:val="20"/>
          <w:lang w:val="es-ES"/>
        </w:rPr>
        <w:t>En ese sentido,</w:t>
      </w:r>
      <w:r w:rsidR="007C1263">
        <w:rPr>
          <w:sz w:val="20"/>
          <w:szCs w:val="20"/>
          <w:lang w:val="es-ES"/>
        </w:rPr>
        <w:t xml:space="preserve"> el </w:t>
      </w:r>
      <w:r w:rsidR="00334D19" w:rsidRPr="007C1263">
        <w:rPr>
          <w:sz w:val="20"/>
          <w:szCs w:val="20"/>
          <w:lang w:val="es-ES"/>
        </w:rPr>
        <w:t xml:space="preserve">Estado no ha indicado ni surge del expediente que, luego de la inadmisión </w:t>
      </w:r>
      <w:r w:rsidR="007C1263">
        <w:rPr>
          <w:sz w:val="20"/>
          <w:szCs w:val="20"/>
          <w:lang w:val="es-ES"/>
        </w:rPr>
        <w:t>de la acción extraordinaria de protección</w:t>
      </w:r>
      <w:r w:rsidR="00334D19" w:rsidRPr="007C1263">
        <w:rPr>
          <w:sz w:val="20"/>
          <w:szCs w:val="20"/>
          <w:lang w:val="es-ES"/>
        </w:rPr>
        <w:t xml:space="preserve">, restaran recursos adicionales no agotados que pudieran haber sido idóneos para que la presunta víctima reclamara a nivel doméstico </w:t>
      </w:r>
      <w:r w:rsidR="0060149C">
        <w:rPr>
          <w:sz w:val="20"/>
          <w:szCs w:val="20"/>
          <w:lang w:val="es-ES"/>
        </w:rPr>
        <w:t>las vulneraciones al debido proceso alegadas en el marco de los recursos de hecho y casación otorgados en favor de la</w:t>
      </w:r>
      <w:r w:rsidR="0060149C" w:rsidRPr="0060149C">
        <w:rPr>
          <w:sz w:val="20"/>
          <w:szCs w:val="20"/>
          <w:lang w:val="es-ES"/>
        </w:rPr>
        <w:t xml:space="preserve"> </w:t>
      </w:r>
      <w:r w:rsidR="0060149C">
        <w:rPr>
          <w:sz w:val="20"/>
          <w:szCs w:val="20"/>
          <w:lang w:val="es-ES"/>
        </w:rPr>
        <w:t>Procuraduría General del Estado</w:t>
      </w:r>
      <w:r w:rsidR="007C1263" w:rsidRPr="007C1263">
        <w:rPr>
          <w:sz w:val="20"/>
          <w:szCs w:val="20"/>
          <w:lang w:val="es-ES"/>
        </w:rPr>
        <w:t xml:space="preserve">. </w:t>
      </w:r>
      <w:r w:rsidR="00334D19" w:rsidRPr="007C1263">
        <w:rPr>
          <w:sz w:val="20"/>
          <w:szCs w:val="20"/>
          <w:lang w:val="es-ES"/>
        </w:rPr>
        <w:t>En consecuencia, la Comisión concluye que la presente petición cumple con el requisito del artículo 46.1.a) de la Convención Americana.</w:t>
      </w:r>
    </w:p>
    <w:p w14:paraId="5CFA9D61" w14:textId="6D5D39CE" w:rsidR="00CF0B52" w:rsidRDefault="00724465" w:rsidP="00F13DAB">
      <w:pPr>
        <w:suppressAutoHyphens/>
        <w:spacing w:after="240"/>
        <w:ind w:firstLine="720"/>
        <w:jc w:val="both"/>
        <w:rPr>
          <w:rFonts w:asciiTheme="majorHAnsi" w:hAnsiTheme="majorHAnsi"/>
          <w:sz w:val="20"/>
          <w:szCs w:val="20"/>
          <w:lang w:val="es-ES_tradnl"/>
        </w:rPr>
      </w:pPr>
      <w:r w:rsidRPr="00DC5655">
        <w:rPr>
          <w:rFonts w:asciiTheme="majorHAnsi" w:hAnsiTheme="majorHAnsi"/>
          <w:sz w:val="20"/>
          <w:szCs w:val="20"/>
        </w:rPr>
        <w:t>1</w:t>
      </w:r>
      <w:r w:rsidR="00EC6E85">
        <w:rPr>
          <w:rFonts w:asciiTheme="majorHAnsi" w:hAnsiTheme="majorHAnsi"/>
          <w:sz w:val="20"/>
          <w:szCs w:val="20"/>
        </w:rPr>
        <w:t>9</w:t>
      </w:r>
      <w:r w:rsidRPr="00DC5655">
        <w:rPr>
          <w:rFonts w:asciiTheme="majorHAnsi" w:hAnsiTheme="majorHAnsi"/>
          <w:sz w:val="20"/>
          <w:szCs w:val="20"/>
        </w:rPr>
        <w:t>.</w:t>
      </w:r>
      <w:r w:rsidRPr="00DC5655">
        <w:rPr>
          <w:rFonts w:asciiTheme="majorHAnsi" w:hAnsiTheme="majorHAnsi"/>
          <w:sz w:val="20"/>
          <w:szCs w:val="20"/>
        </w:rPr>
        <w:tab/>
        <w:t xml:space="preserve">Teniendo en cuenta que los recursos internos fueron agotados el </w:t>
      </w:r>
      <w:r w:rsidR="0060149C">
        <w:rPr>
          <w:rFonts w:asciiTheme="majorHAnsi" w:hAnsiTheme="majorHAnsi"/>
          <w:bCs/>
          <w:sz w:val="20"/>
          <w:szCs w:val="20"/>
          <w:lang w:val="es-ES_tradnl"/>
        </w:rPr>
        <w:t>24 de enero de 2011 con la inadmisión de la acción de protección interpuesto por la señora Sánchez</w:t>
      </w:r>
      <w:r w:rsidRPr="00DC5655">
        <w:rPr>
          <w:rFonts w:asciiTheme="majorHAnsi" w:hAnsiTheme="majorHAnsi"/>
          <w:sz w:val="20"/>
          <w:szCs w:val="20"/>
        </w:rPr>
        <w:t xml:space="preserve"> y que la petición fue recibida por la Secretaría Ejecutiva de la Comisión </w:t>
      </w:r>
      <w:r w:rsidR="0060149C">
        <w:rPr>
          <w:rFonts w:asciiTheme="majorHAnsi" w:hAnsiTheme="majorHAnsi"/>
          <w:sz w:val="20"/>
          <w:szCs w:val="20"/>
        </w:rPr>
        <w:t xml:space="preserve">Interamericana </w:t>
      </w:r>
      <w:r w:rsidR="00B1088B">
        <w:rPr>
          <w:rFonts w:asciiTheme="majorHAnsi" w:hAnsiTheme="majorHAnsi"/>
          <w:sz w:val="20"/>
          <w:szCs w:val="20"/>
        </w:rPr>
        <w:t xml:space="preserve">seis meses y </w:t>
      </w:r>
      <w:r w:rsidR="00505764">
        <w:rPr>
          <w:rFonts w:asciiTheme="majorHAnsi" w:hAnsiTheme="majorHAnsi"/>
          <w:sz w:val="20"/>
          <w:szCs w:val="20"/>
        </w:rPr>
        <w:t>veintidós</w:t>
      </w:r>
      <w:r w:rsidR="0060149C">
        <w:rPr>
          <w:rFonts w:asciiTheme="majorHAnsi" w:hAnsiTheme="majorHAnsi"/>
          <w:sz w:val="20"/>
          <w:szCs w:val="20"/>
        </w:rPr>
        <w:t xml:space="preserve"> días después</w:t>
      </w:r>
      <w:r w:rsidRPr="00DC5655">
        <w:rPr>
          <w:rFonts w:asciiTheme="majorHAnsi" w:hAnsiTheme="majorHAnsi"/>
          <w:sz w:val="20"/>
          <w:szCs w:val="20"/>
        </w:rPr>
        <w:t xml:space="preserve">, el </w:t>
      </w:r>
      <w:r w:rsidR="0060149C">
        <w:rPr>
          <w:rFonts w:asciiTheme="majorHAnsi" w:hAnsiTheme="majorHAnsi"/>
          <w:sz w:val="20"/>
          <w:szCs w:val="20"/>
        </w:rPr>
        <w:t>1</w:t>
      </w:r>
      <w:r w:rsidR="006A5268">
        <w:rPr>
          <w:rFonts w:asciiTheme="majorHAnsi" w:hAnsiTheme="majorHAnsi"/>
          <w:sz w:val="20"/>
          <w:szCs w:val="20"/>
        </w:rPr>
        <w:t>5</w:t>
      </w:r>
      <w:r w:rsidRPr="00DC5655">
        <w:rPr>
          <w:rFonts w:asciiTheme="majorHAnsi" w:hAnsiTheme="majorHAnsi"/>
          <w:sz w:val="20"/>
          <w:szCs w:val="20"/>
        </w:rPr>
        <w:t xml:space="preserve"> de </w:t>
      </w:r>
      <w:r w:rsidR="0060149C">
        <w:rPr>
          <w:rFonts w:asciiTheme="majorHAnsi" w:hAnsiTheme="majorHAnsi"/>
          <w:sz w:val="20"/>
          <w:szCs w:val="20"/>
        </w:rPr>
        <w:t>agosto</w:t>
      </w:r>
      <w:r w:rsidRPr="00DC5655">
        <w:rPr>
          <w:rFonts w:asciiTheme="majorHAnsi" w:hAnsiTheme="majorHAnsi"/>
          <w:sz w:val="20"/>
          <w:szCs w:val="20"/>
        </w:rPr>
        <w:t xml:space="preserve"> de 2011, se concluye que </w:t>
      </w:r>
      <w:r w:rsidR="00B1088B">
        <w:rPr>
          <w:rFonts w:asciiTheme="majorHAnsi" w:hAnsiTheme="majorHAnsi"/>
          <w:sz w:val="20"/>
          <w:szCs w:val="20"/>
        </w:rPr>
        <w:t>la</w:t>
      </w:r>
      <w:r w:rsidRPr="00DC5655">
        <w:rPr>
          <w:rFonts w:asciiTheme="majorHAnsi" w:hAnsiTheme="majorHAnsi"/>
          <w:sz w:val="20"/>
          <w:szCs w:val="20"/>
        </w:rPr>
        <w:t xml:space="preserve"> </w:t>
      </w:r>
      <w:r w:rsidR="00B1088B">
        <w:rPr>
          <w:rFonts w:asciiTheme="majorHAnsi" w:hAnsiTheme="majorHAnsi"/>
          <w:sz w:val="20"/>
          <w:szCs w:val="20"/>
        </w:rPr>
        <w:t>peticionaria</w:t>
      </w:r>
      <w:r w:rsidRPr="00DC5655">
        <w:rPr>
          <w:rFonts w:asciiTheme="majorHAnsi" w:hAnsiTheme="majorHAnsi"/>
          <w:sz w:val="20"/>
          <w:szCs w:val="20"/>
        </w:rPr>
        <w:t xml:space="preserve"> no la presentó oportunamente, incumpliendo así con el término de seis meses previsto expresamente en el Artículo 46.1.b) de la Convención. </w:t>
      </w:r>
      <w:r w:rsidR="00F13DAB">
        <w:rPr>
          <w:rFonts w:asciiTheme="majorHAnsi" w:hAnsiTheme="majorHAnsi"/>
          <w:sz w:val="20"/>
          <w:szCs w:val="20"/>
        </w:rPr>
        <w:t>La señora Sánchez</w:t>
      </w:r>
      <w:r w:rsidRPr="00DC5655">
        <w:rPr>
          <w:rFonts w:asciiTheme="majorHAnsi" w:hAnsiTheme="majorHAnsi"/>
          <w:sz w:val="20"/>
          <w:szCs w:val="20"/>
        </w:rPr>
        <w:t xml:space="preserve"> </w:t>
      </w:r>
      <w:r w:rsidR="00B34F37">
        <w:rPr>
          <w:rFonts w:asciiTheme="majorHAnsi" w:hAnsiTheme="majorHAnsi"/>
          <w:sz w:val="20"/>
          <w:szCs w:val="20"/>
        </w:rPr>
        <w:t xml:space="preserve">no argumenta </w:t>
      </w:r>
      <w:r w:rsidRPr="00DC5655">
        <w:rPr>
          <w:rFonts w:asciiTheme="majorHAnsi" w:hAnsiTheme="majorHAnsi"/>
          <w:sz w:val="20"/>
          <w:szCs w:val="20"/>
        </w:rPr>
        <w:t>en su petición alguna excepción al deber de agotamiento de los recursos internos de las que prevé el Artículo 46.2 de la Convención ni observa la CIDH que haya elementos de juicio en el expediente para detectar su configuración.</w:t>
      </w:r>
      <w:r w:rsidR="009D55FD">
        <w:rPr>
          <w:rFonts w:asciiTheme="majorHAnsi" w:hAnsiTheme="majorHAnsi"/>
          <w:sz w:val="20"/>
          <w:szCs w:val="20"/>
        </w:rPr>
        <w:t xml:space="preserve"> Por lo tanto, de acuerdo con el análisis de la información aportada por ambas partes en la presente petición</w:t>
      </w:r>
      <w:r w:rsidR="00304B8F">
        <w:rPr>
          <w:rFonts w:asciiTheme="majorHAnsi" w:hAnsiTheme="majorHAnsi"/>
          <w:sz w:val="20"/>
          <w:szCs w:val="20"/>
        </w:rPr>
        <w:t xml:space="preserve">, y atendiendo al hecho de la petición misma fue presentada </w:t>
      </w:r>
      <w:r w:rsidR="00505764">
        <w:rPr>
          <w:rFonts w:asciiTheme="majorHAnsi" w:hAnsiTheme="majorHAnsi"/>
          <w:sz w:val="20"/>
          <w:szCs w:val="20"/>
        </w:rPr>
        <w:t>por correo electrónico, el mismo día de su recepción</w:t>
      </w:r>
      <w:r w:rsidR="00FE2051">
        <w:rPr>
          <w:rFonts w:asciiTheme="majorHAnsi" w:hAnsiTheme="majorHAnsi"/>
          <w:sz w:val="20"/>
          <w:szCs w:val="20"/>
        </w:rPr>
        <w:t>, la Comisión concluye que esta se recibió fuera del plazo de seis meses establecido en la norma citada.</w:t>
      </w:r>
      <w:r w:rsidR="00A20447">
        <w:rPr>
          <w:rFonts w:asciiTheme="majorHAnsi" w:hAnsiTheme="majorHAnsi"/>
          <w:sz w:val="20"/>
          <w:szCs w:val="20"/>
          <w:lang w:val="es-ES_tradnl"/>
        </w:rPr>
        <w:t xml:space="preserve"> </w:t>
      </w:r>
    </w:p>
    <w:p w14:paraId="445BF42E" w14:textId="1C71F201" w:rsidR="003239B8" w:rsidRPr="00515E92" w:rsidRDefault="003239B8" w:rsidP="005D1D39">
      <w:pPr>
        <w:pStyle w:val="ListParagraph"/>
        <w:spacing w:before="240" w:after="240"/>
        <w:ind w:left="0" w:firstLine="720"/>
        <w:jc w:val="both"/>
        <w:rPr>
          <w:rFonts w:asciiTheme="majorHAnsi" w:hAnsiTheme="majorHAnsi"/>
          <w:sz w:val="20"/>
          <w:szCs w:val="20"/>
          <w:lang w:val="es-ES_tradnl"/>
        </w:rPr>
      </w:pPr>
      <w:r w:rsidRPr="00515E92">
        <w:rPr>
          <w:rFonts w:asciiTheme="majorHAnsi" w:hAnsiTheme="majorHAnsi"/>
          <w:b/>
          <w:bCs/>
          <w:sz w:val="20"/>
          <w:szCs w:val="20"/>
          <w:lang w:val="es-ES_tradnl"/>
        </w:rPr>
        <w:t>VI</w:t>
      </w:r>
      <w:r w:rsidR="00B4490E">
        <w:rPr>
          <w:rFonts w:asciiTheme="majorHAnsi" w:hAnsiTheme="majorHAnsi"/>
          <w:b/>
          <w:bCs/>
          <w:sz w:val="20"/>
          <w:szCs w:val="20"/>
          <w:lang w:val="es-ES_tradnl"/>
        </w:rPr>
        <w:t>I</w:t>
      </w:r>
      <w:r w:rsidRPr="00515E92">
        <w:rPr>
          <w:rFonts w:asciiTheme="majorHAnsi" w:hAnsiTheme="majorHAnsi"/>
          <w:b/>
          <w:bCs/>
          <w:sz w:val="20"/>
          <w:szCs w:val="20"/>
          <w:lang w:val="es-ES_tradnl"/>
        </w:rPr>
        <w:t xml:space="preserve">I. </w:t>
      </w:r>
      <w:r w:rsidRPr="00515E92">
        <w:rPr>
          <w:rFonts w:asciiTheme="majorHAnsi" w:hAnsiTheme="majorHAnsi"/>
          <w:b/>
          <w:bCs/>
          <w:sz w:val="20"/>
          <w:szCs w:val="20"/>
          <w:lang w:val="es-ES_tradnl"/>
        </w:rPr>
        <w:tab/>
        <w:t>DECISIÓN</w:t>
      </w:r>
    </w:p>
    <w:p w14:paraId="547DFF8E" w14:textId="53C8F5CD" w:rsidR="000419AD" w:rsidRPr="00515E92" w:rsidRDefault="000419AD" w:rsidP="008C52D8">
      <w:pPr>
        <w:pStyle w:val="ListParagraph"/>
        <w:numPr>
          <w:ilvl w:val="0"/>
          <w:numId w:val="55"/>
        </w:numPr>
        <w:spacing w:before="240" w:after="240"/>
        <w:rPr>
          <w:rFonts w:asciiTheme="majorHAnsi" w:eastAsia="Arial Unicode MS" w:hAnsiTheme="majorHAnsi" w:cs="Times New Roman"/>
          <w:color w:val="auto"/>
          <w:sz w:val="20"/>
          <w:szCs w:val="20"/>
          <w:lang w:val="es-ES_tradnl" w:eastAsia="en-US"/>
        </w:rPr>
      </w:pPr>
      <w:r w:rsidRPr="00515E92">
        <w:rPr>
          <w:rFonts w:asciiTheme="majorHAnsi" w:eastAsia="Arial Unicode MS" w:hAnsiTheme="majorHAnsi" w:cs="Times New Roman"/>
          <w:color w:val="auto"/>
          <w:sz w:val="20"/>
          <w:szCs w:val="20"/>
          <w:lang w:val="es-ES_tradnl" w:eastAsia="en-US"/>
        </w:rPr>
        <w:t>Declarar inadmisible la presente petición</w:t>
      </w:r>
      <w:r w:rsidR="00A758AA" w:rsidRPr="00515E92">
        <w:rPr>
          <w:rFonts w:asciiTheme="majorHAnsi" w:eastAsia="Arial Unicode MS" w:hAnsiTheme="majorHAnsi" w:cs="Times New Roman"/>
          <w:color w:val="auto"/>
          <w:sz w:val="20"/>
          <w:szCs w:val="20"/>
          <w:lang w:val="es-ES_tradnl" w:eastAsia="en-US"/>
        </w:rPr>
        <w:t>;</w:t>
      </w:r>
      <w:r w:rsidR="004A6A54" w:rsidRPr="00515E92">
        <w:rPr>
          <w:rFonts w:asciiTheme="majorHAnsi" w:eastAsia="Arial Unicode MS" w:hAnsiTheme="majorHAnsi" w:cs="Times New Roman"/>
          <w:color w:val="auto"/>
          <w:sz w:val="20"/>
          <w:szCs w:val="20"/>
          <w:lang w:val="es-ES_tradnl" w:eastAsia="en-US"/>
        </w:rPr>
        <w:t xml:space="preserve"> y</w:t>
      </w:r>
    </w:p>
    <w:p w14:paraId="02C904B2" w14:textId="69F4F761" w:rsidR="009A56CE" w:rsidRDefault="004A6A54" w:rsidP="008C52D8">
      <w:pPr>
        <w:numPr>
          <w:ilvl w:val="0"/>
          <w:numId w:val="55"/>
        </w:numPr>
        <w:suppressAutoHyphens/>
        <w:spacing w:before="240" w:after="240"/>
        <w:jc w:val="both"/>
        <w:rPr>
          <w:rFonts w:asciiTheme="majorHAnsi" w:hAnsiTheme="majorHAnsi"/>
          <w:sz w:val="20"/>
          <w:szCs w:val="20"/>
        </w:rPr>
      </w:pPr>
      <w:r w:rsidRPr="00515E92">
        <w:rPr>
          <w:rFonts w:asciiTheme="majorHAnsi" w:hAnsiTheme="majorHAnsi"/>
          <w:sz w:val="20"/>
          <w:szCs w:val="20"/>
          <w:lang w:val="es-ES_tradnl"/>
        </w:rPr>
        <w:lastRenderedPageBreak/>
        <w:t>Notificar a las partes la presente decisión</w:t>
      </w:r>
      <w:r w:rsidR="00753CE3">
        <w:rPr>
          <w:rFonts w:asciiTheme="majorHAnsi" w:hAnsiTheme="majorHAnsi"/>
          <w:sz w:val="20"/>
          <w:szCs w:val="20"/>
          <w:lang w:val="es-ES_tradnl"/>
        </w:rPr>
        <w:t>; y</w:t>
      </w:r>
      <w:r w:rsidRPr="00515E92">
        <w:rPr>
          <w:rFonts w:asciiTheme="majorHAnsi" w:hAnsiTheme="majorHAnsi"/>
          <w:sz w:val="20"/>
          <w:szCs w:val="20"/>
          <w:lang w:val="es-ES_tradnl"/>
        </w:rPr>
        <w:t xml:space="preserve"> publicar esta decisión</w:t>
      </w:r>
      <w:r w:rsidR="00753CE3">
        <w:rPr>
          <w:rFonts w:asciiTheme="majorHAnsi" w:hAnsiTheme="majorHAnsi"/>
          <w:sz w:val="20"/>
          <w:szCs w:val="20"/>
          <w:lang w:val="es-ES_tradnl"/>
        </w:rPr>
        <w:t xml:space="preserve"> </w:t>
      </w:r>
      <w:r w:rsidRPr="00515E92">
        <w:rPr>
          <w:rFonts w:asciiTheme="majorHAnsi" w:hAnsiTheme="majorHAnsi"/>
          <w:sz w:val="20"/>
          <w:szCs w:val="20"/>
          <w:lang w:val="es-ES_tradnl"/>
        </w:rPr>
        <w:t>e incluirla en su Informe Anual a la Asamblea General de la Organización de los Estados American</w:t>
      </w:r>
      <w:r w:rsidRPr="006E2301">
        <w:rPr>
          <w:rFonts w:asciiTheme="majorHAnsi" w:hAnsiTheme="majorHAnsi"/>
          <w:sz w:val="20"/>
          <w:szCs w:val="20"/>
        </w:rPr>
        <w:t>os.</w:t>
      </w:r>
    </w:p>
    <w:p w14:paraId="7ECA0C4E" w14:textId="5A5BF217" w:rsidR="001C24D7" w:rsidRPr="0005565D" w:rsidRDefault="001C24D7" w:rsidP="0005565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4 días del mes de junio de 2023. (Firmado): Esmeralda Arosemena de Troitiño, Primer Vicepresidente; Joel Hernández García, Julissa Mantilla Falcón y Stuardo Ralón Orellana, </w:t>
      </w:r>
      <w:r w:rsidR="0005565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1C24D7" w:rsidRPr="0005565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57A9" w14:textId="77777777" w:rsidR="00E41863" w:rsidRDefault="00E41863">
      <w:r>
        <w:separator/>
      </w:r>
    </w:p>
  </w:endnote>
  <w:endnote w:type="continuationSeparator" w:id="0">
    <w:p w14:paraId="6EB3C118" w14:textId="77777777" w:rsidR="00E41863" w:rsidRDefault="00E4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2926" w14:textId="77777777" w:rsidR="00E41863" w:rsidRPr="000F35ED" w:rsidRDefault="00E4186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53DC42" w14:textId="77777777" w:rsidR="00E41863" w:rsidRPr="000F35ED" w:rsidRDefault="00E41863" w:rsidP="000F35ED">
      <w:pPr>
        <w:rPr>
          <w:rFonts w:asciiTheme="majorHAnsi" w:hAnsiTheme="majorHAnsi"/>
          <w:sz w:val="16"/>
          <w:szCs w:val="16"/>
        </w:rPr>
      </w:pPr>
      <w:r w:rsidRPr="000F35ED">
        <w:rPr>
          <w:rFonts w:asciiTheme="majorHAnsi" w:hAnsiTheme="majorHAnsi"/>
          <w:sz w:val="16"/>
          <w:szCs w:val="16"/>
        </w:rPr>
        <w:separator/>
      </w:r>
    </w:p>
    <w:p w14:paraId="5335BDF8" w14:textId="77777777" w:rsidR="00E41863" w:rsidRPr="000F35ED" w:rsidRDefault="00E4186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142738F" w14:textId="77777777" w:rsidR="00E41863" w:rsidRPr="000F35ED" w:rsidRDefault="00E41863"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8DA65FA" w14:textId="27086060" w:rsidR="000449F7" w:rsidRPr="00094854" w:rsidRDefault="000449F7">
      <w:pPr>
        <w:pStyle w:val="FootnoteText"/>
        <w:ind w:firstLine="720"/>
        <w:jc w:val="both"/>
        <w:rPr>
          <w:rFonts w:asciiTheme="majorHAnsi" w:hAnsiTheme="majorHAnsi"/>
          <w:sz w:val="16"/>
          <w:szCs w:val="16"/>
          <w:lang w:val="es-ES"/>
        </w:rPr>
      </w:pPr>
      <w:r w:rsidRPr="00094854">
        <w:rPr>
          <w:rFonts w:asciiTheme="majorHAnsi" w:hAnsiTheme="majorHAnsi"/>
          <w:sz w:val="16"/>
          <w:szCs w:val="16"/>
          <w:vertAlign w:val="superscript"/>
          <w:lang w:val="es-ES"/>
        </w:rPr>
        <w:footnoteRef/>
      </w:r>
      <w:r w:rsidRPr="00094854">
        <w:rPr>
          <w:rFonts w:asciiTheme="majorHAnsi" w:hAnsiTheme="majorHAnsi"/>
          <w:sz w:val="16"/>
          <w:szCs w:val="16"/>
          <w:lang w:val="es-ES"/>
        </w:rPr>
        <w:t xml:space="preserve"> En adelante la “</w:t>
      </w:r>
      <w:r w:rsidR="00A7222D" w:rsidRPr="00094854">
        <w:rPr>
          <w:rFonts w:asciiTheme="majorHAnsi" w:hAnsiTheme="majorHAnsi"/>
          <w:sz w:val="16"/>
          <w:szCs w:val="16"/>
          <w:lang w:val="es-ES"/>
        </w:rPr>
        <w:t xml:space="preserve">la </w:t>
      </w:r>
      <w:r w:rsidRPr="00094854">
        <w:rPr>
          <w:rFonts w:asciiTheme="majorHAnsi" w:hAnsiTheme="majorHAnsi"/>
          <w:sz w:val="16"/>
          <w:szCs w:val="16"/>
          <w:lang w:val="es-ES"/>
        </w:rPr>
        <w:t>Convención” o la “Convención Americana”.</w:t>
      </w:r>
    </w:p>
  </w:footnote>
  <w:footnote w:id="3">
    <w:p w14:paraId="1AFEF3B0" w14:textId="32BFB5DC" w:rsidR="008E3BFE" w:rsidRPr="00094854" w:rsidRDefault="008E3BFE" w:rsidP="00306F33">
      <w:pPr>
        <w:pStyle w:val="FootnoteText"/>
        <w:ind w:firstLine="720"/>
        <w:jc w:val="both"/>
        <w:rPr>
          <w:rFonts w:asciiTheme="majorHAnsi" w:hAnsiTheme="majorHAnsi"/>
          <w:sz w:val="16"/>
          <w:szCs w:val="16"/>
          <w:lang w:val="es-ES"/>
        </w:rPr>
      </w:pPr>
      <w:r w:rsidRPr="009F1F95">
        <w:rPr>
          <w:rStyle w:val="FootnoteReference"/>
          <w:rFonts w:asciiTheme="majorHAnsi" w:hAnsiTheme="majorHAnsi"/>
          <w:sz w:val="16"/>
          <w:szCs w:val="16"/>
        </w:rPr>
        <w:footnoteRef/>
      </w:r>
      <w:r w:rsidRPr="009F1F95">
        <w:rPr>
          <w:rFonts w:asciiTheme="majorHAnsi" w:hAnsiTheme="majorHAnsi"/>
          <w:sz w:val="16"/>
          <w:szCs w:val="16"/>
          <w:lang w:val="es-ES"/>
        </w:rPr>
        <w:t xml:space="preserve"> Las observaciones de cada parte fueron debidamente trasladadas a la parte contraria.</w:t>
      </w:r>
      <w:r w:rsidR="009A56CE" w:rsidRPr="009F1F95">
        <w:rPr>
          <w:rFonts w:asciiTheme="majorHAnsi" w:hAnsiTheme="majorHAnsi"/>
          <w:sz w:val="16"/>
          <w:szCs w:val="16"/>
          <w:lang w:val="es-ES"/>
        </w:rPr>
        <w:t xml:space="preserve"> </w:t>
      </w:r>
      <w:r w:rsidR="00F93CD1">
        <w:rPr>
          <w:rFonts w:asciiTheme="majorHAnsi" w:hAnsiTheme="majorHAnsi"/>
          <w:sz w:val="16"/>
          <w:szCs w:val="16"/>
          <w:lang w:val="es-ES"/>
        </w:rPr>
        <w:t>En comunicación de 24 de mayo de 2015 la peticionaria manifestó su interés en el trámite de la petición.</w:t>
      </w:r>
    </w:p>
  </w:footnote>
  <w:footnote w:id="4">
    <w:p w14:paraId="335778D9" w14:textId="77777777" w:rsidR="00724465" w:rsidRPr="00CF6CFB" w:rsidRDefault="00724465" w:rsidP="00724465">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5">
    <w:p w14:paraId="5BF9AF0A" w14:textId="77777777" w:rsidR="009D6195" w:rsidRPr="0033143B" w:rsidRDefault="009D6195" w:rsidP="009D6195">
      <w:pPr>
        <w:pStyle w:val="FootnoteText"/>
        <w:ind w:firstLine="720"/>
        <w:jc w:val="both"/>
        <w:rPr>
          <w:rFonts w:asciiTheme="majorHAnsi" w:hAnsiTheme="majorHAnsi"/>
          <w:color w:val="auto"/>
          <w:sz w:val="16"/>
          <w:szCs w:val="16"/>
          <w:lang w:val="es-ES"/>
        </w:rPr>
      </w:pPr>
      <w:r w:rsidRPr="0033143B">
        <w:rPr>
          <w:rStyle w:val="FootnoteReference"/>
          <w:rFonts w:asciiTheme="majorHAnsi" w:hAnsiTheme="majorHAnsi"/>
          <w:color w:val="auto"/>
          <w:sz w:val="16"/>
          <w:szCs w:val="16"/>
        </w:rPr>
        <w:footnoteRef/>
      </w:r>
      <w:r w:rsidRPr="0033143B">
        <w:rPr>
          <w:rFonts w:asciiTheme="majorHAnsi" w:hAnsiTheme="majorHAnsi"/>
          <w:color w:val="auto"/>
          <w:sz w:val="16"/>
          <w:szCs w:val="16"/>
          <w:lang w:val="es-US"/>
        </w:rPr>
        <w:t xml:space="preserve"> </w:t>
      </w:r>
      <w:r w:rsidRPr="0033143B">
        <w:rPr>
          <w:rFonts w:asciiTheme="majorHAnsi" w:hAnsiTheme="majorHAnsi"/>
          <w:color w:val="auto"/>
          <w:sz w:val="16"/>
          <w:szCs w:val="16"/>
          <w:lang w:val="es-CO"/>
        </w:rPr>
        <w:t>CIDH, Informe No. 26/16, Petición 932-03 (Admisibilidad), Rómulo Jonás Ponce Santamaría, Perú, 15 de abril de 2016, párr. 25 y CIDH, Informe No. 83/17, Petición 151-08. (Admisibilidad), José Francisco Cid. Argentina. 7 de julio de 2017, párr. 17.</w:t>
      </w:r>
    </w:p>
  </w:footnote>
  <w:footnote w:id="6">
    <w:p w14:paraId="14BCFB16" w14:textId="77777777" w:rsidR="009D6195" w:rsidRPr="00132A53" w:rsidRDefault="009D6195" w:rsidP="009D6195">
      <w:pPr>
        <w:pStyle w:val="FootnoteText"/>
        <w:ind w:firstLine="720"/>
        <w:rPr>
          <w:lang w:val="es-ES"/>
        </w:rPr>
      </w:pPr>
      <w:r w:rsidRPr="0033143B">
        <w:rPr>
          <w:rStyle w:val="FootnoteReference"/>
          <w:rFonts w:asciiTheme="majorHAnsi" w:hAnsiTheme="majorHAnsi"/>
          <w:sz w:val="16"/>
          <w:szCs w:val="16"/>
        </w:rPr>
        <w:footnoteRef/>
      </w:r>
      <w:r w:rsidRPr="0033143B">
        <w:rPr>
          <w:rFonts w:asciiTheme="majorHAnsi" w:hAnsiTheme="majorHAnsi"/>
          <w:sz w:val="16"/>
          <w:szCs w:val="16"/>
          <w:lang w:val="es-ES"/>
        </w:rPr>
        <w:t xml:space="preserve"> CIDH, Informe No. 161/17, Petición 29-07. Admisibilidad. </w:t>
      </w:r>
      <w:r w:rsidRPr="00E459EA">
        <w:rPr>
          <w:rFonts w:asciiTheme="majorHAnsi" w:hAnsiTheme="majorHAnsi"/>
          <w:sz w:val="16"/>
          <w:szCs w:val="16"/>
          <w:lang w:val="es-ES"/>
        </w:rPr>
        <w:t xml:space="preserve">Andy Williams Garcés Suárez y familia. </w:t>
      </w:r>
      <w:r w:rsidRPr="0033143B">
        <w:rPr>
          <w:rFonts w:asciiTheme="majorHAnsi" w:hAnsiTheme="majorHAnsi"/>
          <w:sz w:val="16"/>
          <w:szCs w:val="16"/>
          <w:lang w:val="es-ES"/>
        </w:rPr>
        <w:t>Perú. 30 de noviembre de 2017,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141D6" w:rsidP="00A50FCF">
    <w:pPr>
      <w:pStyle w:val="Header"/>
      <w:tabs>
        <w:tab w:val="clear" w:pos="4320"/>
        <w:tab w:val="clear" w:pos="8640"/>
      </w:tabs>
      <w:jc w:val="center"/>
      <w:rPr>
        <w:sz w:val="22"/>
        <w:szCs w:val="22"/>
      </w:rPr>
    </w:pPr>
    <w:r>
      <w:rPr>
        <w:noProof/>
        <w:sz w:val="22"/>
        <w:szCs w:val="22"/>
        <w:bdr w:val="nil"/>
      </w:rPr>
      <w:pict w14:anchorId="7049EB1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6DEB9CC"/>
    <w:lvl w:ilvl="0" w:tplc="6E44B7A2">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3364BF"/>
    <w:multiLevelType w:val="hybridMultilevel"/>
    <w:tmpl w:val="3830D61E"/>
    <w:lvl w:ilvl="0" w:tplc="FC04B416">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8C1D06"/>
    <w:multiLevelType w:val="hybridMultilevel"/>
    <w:tmpl w:val="501A7C0A"/>
    <w:lvl w:ilvl="0" w:tplc="FFFFFFFF">
      <w:start w:val="1"/>
      <w:numFmt w:val="decimal"/>
      <w:lvlText w:val="%1."/>
      <w:lvlJc w:val="left"/>
      <w:pPr>
        <w:tabs>
          <w:tab w:val="num" w:pos="1440"/>
        </w:tabs>
        <w:ind w:left="720" w:firstLine="72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46773"/>
    <w:multiLevelType w:val="hybridMultilevel"/>
    <w:tmpl w:val="40DEF6A4"/>
    <w:lvl w:ilvl="0" w:tplc="8206B448">
      <w:start w:val="1"/>
      <w:numFmt w:val="decimal"/>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DB2652"/>
    <w:multiLevelType w:val="hybridMultilevel"/>
    <w:tmpl w:val="2AC2AF86"/>
    <w:lvl w:ilvl="0" w:tplc="1E34374E">
      <w:start w:val="1"/>
      <w:numFmt w:val="low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9"/>
  </w:num>
  <w:num w:numId="4" w16cid:durableId="2018339747">
    <w:abstractNumId w:val="22"/>
  </w:num>
  <w:num w:numId="5" w16cid:durableId="368341374">
    <w:abstractNumId w:val="53"/>
  </w:num>
  <w:num w:numId="6" w16cid:durableId="1074009954">
    <w:abstractNumId w:val="30"/>
  </w:num>
  <w:num w:numId="7" w16cid:durableId="1545016965">
    <w:abstractNumId w:val="6"/>
  </w:num>
  <w:num w:numId="8" w16cid:durableId="1165165820">
    <w:abstractNumId w:val="18"/>
  </w:num>
  <w:num w:numId="9" w16cid:durableId="751703382">
    <w:abstractNumId w:val="47"/>
  </w:num>
  <w:num w:numId="10" w16cid:durableId="1010065578">
    <w:abstractNumId w:val="0"/>
  </w:num>
  <w:num w:numId="11" w16cid:durableId="599265313">
    <w:abstractNumId w:val="41"/>
  </w:num>
  <w:num w:numId="12" w16cid:durableId="1094203649">
    <w:abstractNumId w:val="43"/>
  </w:num>
  <w:num w:numId="13" w16cid:durableId="393090155">
    <w:abstractNumId w:val="49"/>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4"/>
  </w:num>
  <w:num w:numId="22" w16cid:durableId="1700861223">
    <w:abstractNumId w:val="15"/>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6"/>
  </w:num>
  <w:num w:numId="36" w16cid:durableId="1752315512">
    <w:abstractNumId w:val="37"/>
  </w:num>
  <w:num w:numId="37" w16cid:durableId="1536426887">
    <w:abstractNumId w:val="38"/>
  </w:num>
  <w:num w:numId="38" w16cid:durableId="949702590">
    <w:abstractNumId w:val="39"/>
  </w:num>
  <w:num w:numId="39" w16cid:durableId="115605940">
    <w:abstractNumId w:val="44"/>
  </w:num>
  <w:num w:numId="40" w16cid:durableId="2008750670">
    <w:abstractNumId w:val="45"/>
  </w:num>
  <w:num w:numId="41" w16cid:durableId="579801488">
    <w:abstractNumId w:val="51"/>
  </w:num>
  <w:num w:numId="42" w16cid:durableId="910309630">
    <w:abstractNumId w:val="54"/>
  </w:num>
  <w:num w:numId="43" w16cid:durableId="221603102">
    <w:abstractNumId w:val="55"/>
  </w:num>
  <w:num w:numId="44" w16cid:durableId="779104680">
    <w:abstractNumId w:val="57"/>
  </w:num>
  <w:num w:numId="45" w16cid:durableId="1713115894">
    <w:abstractNumId w:val="58"/>
  </w:num>
  <w:num w:numId="46" w16cid:durableId="1387951419">
    <w:abstractNumId w:val="60"/>
  </w:num>
  <w:num w:numId="47" w16cid:durableId="648510715">
    <w:abstractNumId w:val="61"/>
  </w:num>
  <w:num w:numId="48" w16cid:durableId="1806315575">
    <w:abstractNumId w:val="62"/>
  </w:num>
  <w:num w:numId="49" w16cid:durableId="1682586011">
    <w:abstractNumId w:val="63"/>
  </w:num>
  <w:num w:numId="50" w16cid:durableId="2025083079">
    <w:abstractNumId w:val="64"/>
  </w:num>
  <w:num w:numId="51" w16cid:durableId="530342504">
    <w:abstractNumId w:val="21"/>
  </w:num>
  <w:num w:numId="52" w16cid:durableId="955454438">
    <w:abstractNumId w:val="46"/>
  </w:num>
  <w:num w:numId="53" w16cid:durableId="586957926">
    <w:abstractNumId w:val="56"/>
  </w:num>
  <w:num w:numId="54" w16cid:durableId="1498381482">
    <w:abstractNumId w:val="50"/>
  </w:num>
  <w:num w:numId="55" w16cid:durableId="1930308158">
    <w:abstractNumId w:val="48"/>
  </w:num>
  <w:num w:numId="56" w16cid:durableId="71783945">
    <w:abstractNumId w:val="29"/>
  </w:num>
  <w:num w:numId="57" w16cid:durableId="327246300">
    <w:abstractNumId w:val="27"/>
  </w:num>
  <w:num w:numId="58" w16cid:durableId="823088829">
    <w:abstractNumId w:val="40"/>
  </w:num>
  <w:num w:numId="59" w16cid:durableId="1355229861">
    <w:abstractNumId w:val="26"/>
  </w:num>
  <w:num w:numId="60" w16cid:durableId="1375034006">
    <w:abstractNumId w:val="42"/>
  </w:num>
  <w:num w:numId="61" w16cid:durableId="985082942">
    <w:abstractNumId w:val="52"/>
  </w:num>
  <w:num w:numId="62" w16cid:durableId="1978994873">
    <w:abstractNumId w:val="4"/>
  </w:num>
  <w:num w:numId="63" w16cid:durableId="213467381">
    <w:abstractNumId w:val="13"/>
  </w:num>
  <w:num w:numId="64" w16cid:durableId="1124885905">
    <w:abstractNumId w:val="12"/>
  </w:num>
  <w:num w:numId="65" w16cid:durableId="148138482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A4"/>
    <w:rsid w:val="0000036F"/>
    <w:rsid w:val="00000CDA"/>
    <w:rsid w:val="00002C64"/>
    <w:rsid w:val="00002E6D"/>
    <w:rsid w:val="000045CB"/>
    <w:rsid w:val="00006E1F"/>
    <w:rsid w:val="000070D7"/>
    <w:rsid w:val="00010643"/>
    <w:rsid w:val="00014234"/>
    <w:rsid w:val="0001788C"/>
    <w:rsid w:val="00020431"/>
    <w:rsid w:val="00022497"/>
    <w:rsid w:val="000228C2"/>
    <w:rsid w:val="00022AD7"/>
    <w:rsid w:val="00022F00"/>
    <w:rsid w:val="000266E3"/>
    <w:rsid w:val="00031C90"/>
    <w:rsid w:val="000320E1"/>
    <w:rsid w:val="00032887"/>
    <w:rsid w:val="000337EF"/>
    <w:rsid w:val="0003392E"/>
    <w:rsid w:val="00035F97"/>
    <w:rsid w:val="00037A76"/>
    <w:rsid w:val="00040C3A"/>
    <w:rsid w:val="000419AD"/>
    <w:rsid w:val="000428AC"/>
    <w:rsid w:val="000433C9"/>
    <w:rsid w:val="000449F7"/>
    <w:rsid w:val="00050873"/>
    <w:rsid w:val="000518C3"/>
    <w:rsid w:val="00052C9E"/>
    <w:rsid w:val="00054821"/>
    <w:rsid w:val="00055561"/>
    <w:rsid w:val="00055578"/>
    <w:rsid w:val="0005565D"/>
    <w:rsid w:val="000618DD"/>
    <w:rsid w:val="00061F05"/>
    <w:rsid w:val="0006331B"/>
    <w:rsid w:val="000634D4"/>
    <w:rsid w:val="00064E9A"/>
    <w:rsid w:val="00066C97"/>
    <w:rsid w:val="0007017F"/>
    <w:rsid w:val="00070E34"/>
    <w:rsid w:val="00071174"/>
    <w:rsid w:val="000716C5"/>
    <w:rsid w:val="00072765"/>
    <w:rsid w:val="0007304A"/>
    <w:rsid w:val="00074608"/>
    <w:rsid w:val="00075E23"/>
    <w:rsid w:val="00077BC7"/>
    <w:rsid w:val="00077EDC"/>
    <w:rsid w:val="00080D2B"/>
    <w:rsid w:val="00081F43"/>
    <w:rsid w:val="0008420B"/>
    <w:rsid w:val="00085019"/>
    <w:rsid w:val="00091611"/>
    <w:rsid w:val="00091AAA"/>
    <w:rsid w:val="0009344A"/>
    <w:rsid w:val="0009347D"/>
    <w:rsid w:val="00094854"/>
    <w:rsid w:val="00095E15"/>
    <w:rsid w:val="000A028F"/>
    <w:rsid w:val="000A0440"/>
    <w:rsid w:val="000A392E"/>
    <w:rsid w:val="000A575F"/>
    <w:rsid w:val="000A623E"/>
    <w:rsid w:val="000A7608"/>
    <w:rsid w:val="000B1E55"/>
    <w:rsid w:val="000C1734"/>
    <w:rsid w:val="000C2736"/>
    <w:rsid w:val="000C438E"/>
    <w:rsid w:val="000C640B"/>
    <w:rsid w:val="000C69B3"/>
    <w:rsid w:val="000D05CB"/>
    <w:rsid w:val="000D10DB"/>
    <w:rsid w:val="000D1893"/>
    <w:rsid w:val="000D1D73"/>
    <w:rsid w:val="000D22F0"/>
    <w:rsid w:val="000D28B2"/>
    <w:rsid w:val="000D4632"/>
    <w:rsid w:val="000D487B"/>
    <w:rsid w:val="000D57E9"/>
    <w:rsid w:val="000E0C88"/>
    <w:rsid w:val="000E5440"/>
    <w:rsid w:val="000E5EB5"/>
    <w:rsid w:val="000E73E5"/>
    <w:rsid w:val="000F1324"/>
    <w:rsid w:val="000F1B39"/>
    <w:rsid w:val="000F27C0"/>
    <w:rsid w:val="000F35ED"/>
    <w:rsid w:val="000F49DA"/>
    <w:rsid w:val="001004FE"/>
    <w:rsid w:val="00100558"/>
    <w:rsid w:val="00101898"/>
    <w:rsid w:val="0010380A"/>
    <w:rsid w:val="001045DD"/>
    <w:rsid w:val="001049C7"/>
    <w:rsid w:val="0010587A"/>
    <w:rsid w:val="00107131"/>
    <w:rsid w:val="0010736F"/>
    <w:rsid w:val="001102BE"/>
    <w:rsid w:val="00110CB2"/>
    <w:rsid w:val="00111372"/>
    <w:rsid w:val="001117F8"/>
    <w:rsid w:val="00113F73"/>
    <w:rsid w:val="00113FB3"/>
    <w:rsid w:val="0011407E"/>
    <w:rsid w:val="00116BB6"/>
    <w:rsid w:val="00117B8F"/>
    <w:rsid w:val="00121CC2"/>
    <w:rsid w:val="00122BB7"/>
    <w:rsid w:val="00122E24"/>
    <w:rsid w:val="00124D41"/>
    <w:rsid w:val="00131334"/>
    <w:rsid w:val="00131425"/>
    <w:rsid w:val="00132494"/>
    <w:rsid w:val="00133EE5"/>
    <w:rsid w:val="00135D87"/>
    <w:rsid w:val="00140991"/>
    <w:rsid w:val="00141787"/>
    <w:rsid w:val="0014339F"/>
    <w:rsid w:val="00143D37"/>
    <w:rsid w:val="00144B95"/>
    <w:rsid w:val="001451C2"/>
    <w:rsid w:val="001463C4"/>
    <w:rsid w:val="001500AC"/>
    <w:rsid w:val="00150141"/>
    <w:rsid w:val="00154908"/>
    <w:rsid w:val="00155145"/>
    <w:rsid w:val="00155AF1"/>
    <w:rsid w:val="00161492"/>
    <w:rsid w:val="00165E50"/>
    <w:rsid w:val="00166635"/>
    <w:rsid w:val="00167A34"/>
    <w:rsid w:val="00170564"/>
    <w:rsid w:val="00170D34"/>
    <w:rsid w:val="00171944"/>
    <w:rsid w:val="00172536"/>
    <w:rsid w:val="00173752"/>
    <w:rsid w:val="001760B8"/>
    <w:rsid w:val="001839E1"/>
    <w:rsid w:val="00185487"/>
    <w:rsid w:val="00186412"/>
    <w:rsid w:val="0019024C"/>
    <w:rsid w:val="001902A9"/>
    <w:rsid w:val="00191E52"/>
    <w:rsid w:val="001926ED"/>
    <w:rsid w:val="001942C6"/>
    <w:rsid w:val="001943D1"/>
    <w:rsid w:val="001943F0"/>
    <w:rsid w:val="00194C85"/>
    <w:rsid w:val="00195668"/>
    <w:rsid w:val="00196BDD"/>
    <w:rsid w:val="001A00B4"/>
    <w:rsid w:val="001A00DC"/>
    <w:rsid w:val="001A520D"/>
    <w:rsid w:val="001A6DBB"/>
    <w:rsid w:val="001A7870"/>
    <w:rsid w:val="001B26C8"/>
    <w:rsid w:val="001B3A00"/>
    <w:rsid w:val="001B478B"/>
    <w:rsid w:val="001B7232"/>
    <w:rsid w:val="001B7749"/>
    <w:rsid w:val="001C0314"/>
    <w:rsid w:val="001C1B41"/>
    <w:rsid w:val="001C24D7"/>
    <w:rsid w:val="001C2DD7"/>
    <w:rsid w:val="001C3939"/>
    <w:rsid w:val="001C3EAD"/>
    <w:rsid w:val="001C427A"/>
    <w:rsid w:val="001C442A"/>
    <w:rsid w:val="001C5AE6"/>
    <w:rsid w:val="001C684C"/>
    <w:rsid w:val="001C6B7D"/>
    <w:rsid w:val="001D166B"/>
    <w:rsid w:val="001D3B9B"/>
    <w:rsid w:val="001D58A4"/>
    <w:rsid w:val="001D65EF"/>
    <w:rsid w:val="001D7F96"/>
    <w:rsid w:val="001E063D"/>
    <w:rsid w:val="001E10F0"/>
    <w:rsid w:val="001E1568"/>
    <w:rsid w:val="001E2780"/>
    <w:rsid w:val="001E2E12"/>
    <w:rsid w:val="001E4662"/>
    <w:rsid w:val="001E49E7"/>
    <w:rsid w:val="001E64F2"/>
    <w:rsid w:val="001E6A8B"/>
    <w:rsid w:val="001F0BCA"/>
    <w:rsid w:val="001F23EE"/>
    <w:rsid w:val="001F5DA7"/>
    <w:rsid w:val="001F67B5"/>
    <w:rsid w:val="001F7201"/>
    <w:rsid w:val="002015E4"/>
    <w:rsid w:val="00201CD6"/>
    <w:rsid w:val="00201E50"/>
    <w:rsid w:val="00205951"/>
    <w:rsid w:val="00206F02"/>
    <w:rsid w:val="00214EA0"/>
    <w:rsid w:val="00220C16"/>
    <w:rsid w:val="00220FB5"/>
    <w:rsid w:val="00223A29"/>
    <w:rsid w:val="002250A3"/>
    <w:rsid w:val="002251B9"/>
    <w:rsid w:val="00226203"/>
    <w:rsid w:val="00226360"/>
    <w:rsid w:val="00231ECB"/>
    <w:rsid w:val="00232698"/>
    <w:rsid w:val="002342D9"/>
    <w:rsid w:val="00235217"/>
    <w:rsid w:val="0023655E"/>
    <w:rsid w:val="00246169"/>
    <w:rsid w:val="00246D1F"/>
    <w:rsid w:val="00247403"/>
    <w:rsid w:val="00247542"/>
    <w:rsid w:val="002477FB"/>
    <w:rsid w:val="002510EA"/>
    <w:rsid w:val="00255B8F"/>
    <w:rsid w:val="002609E9"/>
    <w:rsid w:val="00261FDE"/>
    <w:rsid w:val="00262B2B"/>
    <w:rsid w:val="002634E3"/>
    <w:rsid w:val="00266B61"/>
    <w:rsid w:val="0026712A"/>
    <w:rsid w:val="002704DB"/>
    <w:rsid w:val="00270824"/>
    <w:rsid w:val="00271CAC"/>
    <w:rsid w:val="00282BA5"/>
    <w:rsid w:val="00285C1B"/>
    <w:rsid w:val="00286265"/>
    <w:rsid w:val="00290C8E"/>
    <w:rsid w:val="00290FC1"/>
    <w:rsid w:val="00293316"/>
    <w:rsid w:val="002938E8"/>
    <w:rsid w:val="00293CF1"/>
    <w:rsid w:val="0029423F"/>
    <w:rsid w:val="002975D5"/>
    <w:rsid w:val="002A0AAE"/>
    <w:rsid w:val="002A32F1"/>
    <w:rsid w:val="002A4D99"/>
    <w:rsid w:val="002A5820"/>
    <w:rsid w:val="002A74BB"/>
    <w:rsid w:val="002B130B"/>
    <w:rsid w:val="002B2294"/>
    <w:rsid w:val="002B3FA8"/>
    <w:rsid w:val="002B6772"/>
    <w:rsid w:val="002C4E33"/>
    <w:rsid w:val="002D0894"/>
    <w:rsid w:val="002D1126"/>
    <w:rsid w:val="002D1C34"/>
    <w:rsid w:val="002D1C5D"/>
    <w:rsid w:val="002D2B26"/>
    <w:rsid w:val="002D41F7"/>
    <w:rsid w:val="002D422B"/>
    <w:rsid w:val="002D656F"/>
    <w:rsid w:val="002D7EA2"/>
    <w:rsid w:val="002E187C"/>
    <w:rsid w:val="002E1949"/>
    <w:rsid w:val="002E5E68"/>
    <w:rsid w:val="002E7875"/>
    <w:rsid w:val="002F10CF"/>
    <w:rsid w:val="002F1FF9"/>
    <w:rsid w:val="002F367B"/>
    <w:rsid w:val="00301842"/>
    <w:rsid w:val="00302733"/>
    <w:rsid w:val="00302918"/>
    <w:rsid w:val="00302C05"/>
    <w:rsid w:val="00304B8F"/>
    <w:rsid w:val="003051C2"/>
    <w:rsid w:val="00305835"/>
    <w:rsid w:val="00305E90"/>
    <w:rsid w:val="00306066"/>
    <w:rsid w:val="00306F33"/>
    <w:rsid w:val="003118A4"/>
    <w:rsid w:val="003126C2"/>
    <w:rsid w:val="00314078"/>
    <w:rsid w:val="003143C7"/>
    <w:rsid w:val="0031535D"/>
    <w:rsid w:val="00316B3E"/>
    <w:rsid w:val="0031749E"/>
    <w:rsid w:val="003213C2"/>
    <w:rsid w:val="003219C8"/>
    <w:rsid w:val="00322FCC"/>
    <w:rsid w:val="003239B8"/>
    <w:rsid w:val="00323B45"/>
    <w:rsid w:val="00325D2A"/>
    <w:rsid w:val="00327178"/>
    <w:rsid w:val="00327F56"/>
    <w:rsid w:val="0033169F"/>
    <w:rsid w:val="00331D77"/>
    <w:rsid w:val="00334D19"/>
    <w:rsid w:val="00335C13"/>
    <w:rsid w:val="003376A4"/>
    <w:rsid w:val="00344977"/>
    <w:rsid w:val="00344E44"/>
    <w:rsid w:val="00344FB2"/>
    <w:rsid w:val="00345E53"/>
    <w:rsid w:val="00346C95"/>
    <w:rsid w:val="00347747"/>
    <w:rsid w:val="00347B18"/>
    <w:rsid w:val="00356185"/>
    <w:rsid w:val="00360380"/>
    <w:rsid w:val="00362A79"/>
    <w:rsid w:val="00362CB3"/>
    <w:rsid w:val="0036356E"/>
    <w:rsid w:val="00364672"/>
    <w:rsid w:val="00365D3C"/>
    <w:rsid w:val="00366593"/>
    <w:rsid w:val="0037046F"/>
    <w:rsid w:val="003727BD"/>
    <w:rsid w:val="00374DF9"/>
    <w:rsid w:val="00374E8F"/>
    <w:rsid w:val="0037519E"/>
    <w:rsid w:val="00377051"/>
    <w:rsid w:val="00380AFE"/>
    <w:rsid w:val="003830F1"/>
    <w:rsid w:val="00384D14"/>
    <w:rsid w:val="00385A02"/>
    <w:rsid w:val="00386CF0"/>
    <w:rsid w:val="0038794A"/>
    <w:rsid w:val="00392446"/>
    <w:rsid w:val="00393E72"/>
    <w:rsid w:val="00394073"/>
    <w:rsid w:val="003951BC"/>
    <w:rsid w:val="00395882"/>
    <w:rsid w:val="00396E51"/>
    <w:rsid w:val="00397DA9"/>
    <w:rsid w:val="003A0A07"/>
    <w:rsid w:val="003A1C7B"/>
    <w:rsid w:val="003A2227"/>
    <w:rsid w:val="003A33DD"/>
    <w:rsid w:val="003A3FB4"/>
    <w:rsid w:val="003A4858"/>
    <w:rsid w:val="003A5C01"/>
    <w:rsid w:val="003B131A"/>
    <w:rsid w:val="003B21E5"/>
    <w:rsid w:val="003B2718"/>
    <w:rsid w:val="003B4443"/>
    <w:rsid w:val="003B70FB"/>
    <w:rsid w:val="003C009E"/>
    <w:rsid w:val="003C1370"/>
    <w:rsid w:val="003C15C7"/>
    <w:rsid w:val="003C24D9"/>
    <w:rsid w:val="003C3AC9"/>
    <w:rsid w:val="003C676B"/>
    <w:rsid w:val="003C774C"/>
    <w:rsid w:val="003C7F47"/>
    <w:rsid w:val="003D0C88"/>
    <w:rsid w:val="003D3BC2"/>
    <w:rsid w:val="003D6417"/>
    <w:rsid w:val="003E0F7C"/>
    <w:rsid w:val="003E4F40"/>
    <w:rsid w:val="003E60E0"/>
    <w:rsid w:val="003E6CA1"/>
    <w:rsid w:val="003E75FD"/>
    <w:rsid w:val="003E76B5"/>
    <w:rsid w:val="003F0829"/>
    <w:rsid w:val="003F0854"/>
    <w:rsid w:val="003F1100"/>
    <w:rsid w:val="003F1B4F"/>
    <w:rsid w:val="003F237C"/>
    <w:rsid w:val="003F2410"/>
    <w:rsid w:val="003F389C"/>
    <w:rsid w:val="003F4432"/>
    <w:rsid w:val="003F5154"/>
    <w:rsid w:val="003F6816"/>
    <w:rsid w:val="004001B1"/>
    <w:rsid w:val="004013C8"/>
    <w:rsid w:val="00402077"/>
    <w:rsid w:val="00404CE3"/>
    <w:rsid w:val="00405F9C"/>
    <w:rsid w:val="004065A8"/>
    <w:rsid w:val="00407A76"/>
    <w:rsid w:val="00407DF9"/>
    <w:rsid w:val="00410FB3"/>
    <w:rsid w:val="004136E6"/>
    <w:rsid w:val="0041491E"/>
    <w:rsid w:val="004165C2"/>
    <w:rsid w:val="00417121"/>
    <w:rsid w:val="00417A53"/>
    <w:rsid w:val="00421AAF"/>
    <w:rsid w:val="004241A0"/>
    <w:rsid w:val="00424D0A"/>
    <w:rsid w:val="004260B0"/>
    <w:rsid w:val="00434548"/>
    <w:rsid w:val="00441ECB"/>
    <w:rsid w:val="00444A55"/>
    <w:rsid w:val="00445073"/>
    <w:rsid w:val="00445193"/>
    <w:rsid w:val="004471BA"/>
    <w:rsid w:val="0044730A"/>
    <w:rsid w:val="004536B2"/>
    <w:rsid w:val="00454030"/>
    <w:rsid w:val="00455D25"/>
    <w:rsid w:val="004562A8"/>
    <w:rsid w:val="004574D0"/>
    <w:rsid w:val="0045750B"/>
    <w:rsid w:val="00457BAE"/>
    <w:rsid w:val="00461780"/>
    <w:rsid w:val="00461A7B"/>
    <w:rsid w:val="00462C1B"/>
    <w:rsid w:val="004663FD"/>
    <w:rsid w:val="00467B7E"/>
    <w:rsid w:val="00467E1E"/>
    <w:rsid w:val="0047222A"/>
    <w:rsid w:val="00473BB4"/>
    <w:rsid w:val="00475287"/>
    <w:rsid w:val="00476BC0"/>
    <w:rsid w:val="00476D4D"/>
    <w:rsid w:val="00477242"/>
    <w:rsid w:val="00477592"/>
    <w:rsid w:val="004779F9"/>
    <w:rsid w:val="00481800"/>
    <w:rsid w:val="00483DE4"/>
    <w:rsid w:val="00484662"/>
    <w:rsid w:val="004864BE"/>
    <w:rsid w:val="00486F1C"/>
    <w:rsid w:val="00487FEF"/>
    <w:rsid w:val="004901F5"/>
    <w:rsid w:val="00491FD9"/>
    <w:rsid w:val="00492007"/>
    <w:rsid w:val="0049419D"/>
    <w:rsid w:val="004A057B"/>
    <w:rsid w:val="004A214C"/>
    <w:rsid w:val="004A3217"/>
    <w:rsid w:val="004A6A54"/>
    <w:rsid w:val="004B10BC"/>
    <w:rsid w:val="004B2ACC"/>
    <w:rsid w:val="004B421C"/>
    <w:rsid w:val="004B5005"/>
    <w:rsid w:val="004B5E9F"/>
    <w:rsid w:val="004B741C"/>
    <w:rsid w:val="004C0F26"/>
    <w:rsid w:val="004C20D2"/>
    <w:rsid w:val="004C2312"/>
    <w:rsid w:val="004C2A11"/>
    <w:rsid w:val="004C4B62"/>
    <w:rsid w:val="004C54C9"/>
    <w:rsid w:val="004C72AD"/>
    <w:rsid w:val="004C7494"/>
    <w:rsid w:val="004D3C97"/>
    <w:rsid w:val="004D4953"/>
    <w:rsid w:val="004D4ABA"/>
    <w:rsid w:val="004D5018"/>
    <w:rsid w:val="004D5130"/>
    <w:rsid w:val="004D5BB8"/>
    <w:rsid w:val="004D6025"/>
    <w:rsid w:val="004D60FD"/>
    <w:rsid w:val="004D7236"/>
    <w:rsid w:val="004D7BA4"/>
    <w:rsid w:val="004E2649"/>
    <w:rsid w:val="004E3B31"/>
    <w:rsid w:val="004E523E"/>
    <w:rsid w:val="004E6A3B"/>
    <w:rsid w:val="004F436E"/>
    <w:rsid w:val="004F4BA7"/>
    <w:rsid w:val="004F4E54"/>
    <w:rsid w:val="004F626F"/>
    <w:rsid w:val="004F6E5E"/>
    <w:rsid w:val="004F71D8"/>
    <w:rsid w:val="004F7748"/>
    <w:rsid w:val="00501399"/>
    <w:rsid w:val="005027D7"/>
    <w:rsid w:val="005047ED"/>
    <w:rsid w:val="00505764"/>
    <w:rsid w:val="0050633D"/>
    <w:rsid w:val="00507BC4"/>
    <w:rsid w:val="005128E4"/>
    <w:rsid w:val="005133DB"/>
    <w:rsid w:val="00513916"/>
    <w:rsid w:val="005140E8"/>
    <w:rsid w:val="00514504"/>
    <w:rsid w:val="00515E92"/>
    <w:rsid w:val="00521535"/>
    <w:rsid w:val="00521E1F"/>
    <w:rsid w:val="005238A6"/>
    <w:rsid w:val="00525560"/>
    <w:rsid w:val="005266DD"/>
    <w:rsid w:val="0053169B"/>
    <w:rsid w:val="00535331"/>
    <w:rsid w:val="00537DDD"/>
    <w:rsid w:val="00540F6D"/>
    <w:rsid w:val="005420B5"/>
    <w:rsid w:val="00542A9E"/>
    <w:rsid w:val="005432FE"/>
    <w:rsid w:val="00544BDA"/>
    <w:rsid w:val="00544C49"/>
    <w:rsid w:val="005453FB"/>
    <w:rsid w:val="0054618B"/>
    <w:rsid w:val="00547290"/>
    <w:rsid w:val="005516A1"/>
    <w:rsid w:val="00552995"/>
    <w:rsid w:val="00553C44"/>
    <w:rsid w:val="00554DFF"/>
    <w:rsid w:val="005559EF"/>
    <w:rsid w:val="00555F4A"/>
    <w:rsid w:val="0055624F"/>
    <w:rsid w:val="0055730C"/>
    <w:rsid w:val="0056099F"/>
    <w:rsid w:val="005611CA"/>
    <w:rsid w:val="005634D9"/>
    <w:rsid w:val="00563513"/>
    <w:rsid w:val="00563557"/>
    <w:rsid w:val="0057402A"/>
    <w:rsid w:val="0057719F"/>
    <w:rsid w:val="005771D0"/>
    <w:rsid w:val="00581201"/>
    <w:rsid w:val="00583F39"/>
    <w:rsid w:val="005845ED"/>
    <w:rsid w:val="00585BEF"/>
    <w:rsid w:val="00585D28"/>
    <w:rsid w:val="005914EA"/>
    <w:rsid w:val="005918DD"/>
    <w:rsid w:val="0059191A"/>
    <w:rsid w:val="005921FF"/>
    <w:rsid w:val="00592814"/>
    <w:rsid w:val="0059443E"/>
    <w:rsid w:val="0059502F"/>
    <w:rsid w:val="00595196"/>
    <w:rsid w:val="005957EF"/>
    <w:rsid w:val="00597DD9"/>
    <w:rsid w:val="005A16B6"/>
    <w:rsid w:val="005A24ED"/>
    <w:rsid w:val="005A47EC"/>
    <w:rsid w:val="005A59AB"/>
    <w:rsid w:val="005A6D0E"/>
    <w:rsid w:val="005A702C"/>
    <w:rsid w:val="005A7DE3"/>
    <w:rsid w:val="005B09C8"/>
    <w:rsid w:val="005B1570"/>
    <w:rsid w:val="005B3B3A"/>
    <w:rsid w:val="005B52B0"/>
    <w:rsid w:val="005B6806"/>
    <w:rsid w:val="005B74EC"/>
    <w:rsid w:val="005B778E"/>
    <w:rsid w:val="005C0E4E"/>
    <w:rsid w:val="005C1318"/>
    <w:rsid w:val="005C20DF"/>
    <w:rsid w:val="005C4225"/>
    <w:rsid w:val="005C4371"/>
    <w:rsid w:val="005C5B6B"/>
    <w:rsid w:val="005C5DD2"/>
    <w:rsid w:val="005C617A"/>
    <w:rsid w:val="005C6CDC"/>
    <w:rsid w:val="005D0473"/>
    <w:rsid w:val="005D04DE"/>
    <w:rsid w:val="005D0DB9"/>
    <w:rsid w:val="005D1D39"/>
    <w:rsid w:val="005D6B5E"/>
    <w:rsid w:val="005E191F"/>
    <w:rsid w:val="005E1EFF"/>
    <w:rsid w:val="005E31AE"/>
    <w:rsid w:val="005E5877"/>
    <w:rsid w:val="005F0278"/>
    <w:rsid w:val="005F0AD6"/>
    <w:rsid w:val="005F0DAD"/>
    <w:rsid w:val="005F0F33"/>
    <w:rsid w:val="005F51BB"/>
    <w:rsid w:val="00600DEB"/>
    <w:rsid w:val="0060149C"/>
    <w:rsid w:val="0060202B"/>
    <w:rsid w:val="00602793"/>
    <w:rsid w:val="00603630"/>
    <w:rsid w:val="006078CD"/>
    <w:rsid w:val="00612255"/>
    <w:rsid w:val="00612F6C"/>
    <w:rsid w:val="006131C9"/>
    <w:rsid w:val="006141D6"/>
    <w:rsid w:val="00614D05"/>
    <w:rsid w:val="006152B6"/>
    <w:rsid w:val="00616669"/>
    <w:rsid w:val="006200DC"/>
    <w:rsid w:val="006246CD"/>
    <w:rsid w:val="00627C9F"/>
    <w:rsid w:val="006311E9"/>
    <w:rsid w:val="00632354"/>
    <w:rsid w:val="00635421"/>
    <w:rsid w:val="0064195B"/>
    <w:rsid w:val="00642810"/>
    <w:rsid w:val="006471CB"/>
    <w:rsid w:val="00652333"/>
    <w:rsid w:val="0065335B"/>
    <w:rsid w:val="0065467D"/>
    <w:rsid w:val="00654A86"/>
    <w:rsid w:val="00654E88"/>
    <w:rsid w:val="00660518"/>
    <w:rsid w:val="00667981"/>
    <w:rsid w:val="00671AFB"/>
    <w:rsid w:val="00672057"/>
    <w:rsid w:val="00672DED"/>
    <w:rsid w:val="00675540"/>
    <w:rsid w:val="00676512"/>
    <w:rsid w:val="00677949"/>
    <w:rsid w:val="0068009E"/>
    <w:rsid w:val="006800C6"/>
    <w:rsid w:val="00680759"/>
    <w:rsid w:val="00680FC2"/>
    <w:rsid w:val="00683CD0"/>
    <w:rsid w:val="00692219"/>
    <w:rsid w:val="006951E1"/>
    <w:rsid w:val="00697A2F"/>
    <w:rsid w:val="006A0BE8"/>
    <w:rsid w:val="006A17D2"/>
    <w:rsid w:val="006A3D6E"/>
    <w:rsid w:val="006A3F75"/>
    <w:rsid w:val="006A5268"/>
    <w:rsid w:val="006A63A8"/>
    <w:rsid w:val="006A6FF1"/>
    <w:rsid w:val="006A73E6"/>
    <w:rsid w:val="006A7992"/>
    <w:rsid w:val="006B0BE4"/>
    <w:rsid w:val="006B2D5C"/>
    <w:rsid w:val="006B435A"/>
    <w:rsid w:val="006B64F9"/>
    <w:rsid w:val="006C0ECF"/>
    <w:rsid w:val="006C4E9B"/>
    <w:rsid w:val="006C4EB1"/>
    <w:rsid w:val="006C7C1D"/>
    <w:rsid w:val="006D6092"/>
    <w:rsid w:val="006E0166"/>
    <w:rsid w:val="006E17A4"/>
    <w:rsid w:val="006E2301"/>
    <w:rsid w:val="006E2A22"/>
    <w:rsid w:val="006E2FFB"/>
    <w:rsid w:val="006E4533"/>
    <w:rsid w:val="006E5181"/>
    <w:rsid w:val="006E5B99"/>
    <w:rsid w:val="006E6205"/>
    <w:rsid w:val="006E7B34"/>
    <w:rsid w:val="006F0918"/>
    <w:rsid w:val="006F1737"/>
    <w:rsid w:val="006F7ACA"/>
    <w:rsid w:val="0070126D"/>
    <w:rsid w:val="007046C4"/>
    <w:rsid w:val="0070697F"/>
    <w:rsid w:val="007102B7"/>
    <w:rsid w:val="007103C4"/>
    <w:rsid w:val="00710F03"/>
    <w:rsid w:val="00711115"/>
    <w:rsid w:val="00714E11"/>
    <w:rsid w:val="0072199C"/>
    <w:rsid w:val="00722C9F"/>
    <w:rsid w:val="00724465"/>
    <w:rsid w:val="007253B8"/>
    <w:rsid w:val="00727F68"/>
    <w:rsid w:val="007318D8"/>
    <w:rsid w:val="0073741F"/>
    <w:rsid w:val="00747486"/>
    <w:rsid w:val="00751346"/>
    <w:rsid w:val="0075337D"/>
    <w:rsid w:val="00753777"/>
    <w:rsid w:val="00753B43"/>
    <w:rsid w:val="00753CE3"/>
    <w:rsid w:val="00754BB3"/>
    <w:rsid w:val="00757DFB"/>
    <w:rsid w:val="00760AD2"/>
    <w:rsid w:val="0076122D"/>
    <w:rsid w:val="00764250"/>
    <w:rsid w:val="0076643F"/>
    <w:rsid w:val="00771041"/>
    <w:rsid w:val="007723A6"/>
    <w:rsid w:val="0077415A"/>
    <w:rsid w:val="007755BA"/>
    <w:rsid w:val="00776F78"/>
    <w:rsid w:val="007772B3"/>
    <w:rsid w:val="00777F63"/>
    <w:rsid w:val="007806D3"/>
    <w:rsid w:val="00782AA7"/>
    <w:rsid w:val="00783FFA"/>
    <w:rsid w:val="00784FD2"/>
    <w:rsid w:val="00792A18"/>
    <w:rsid w:val="00793A69"/>
    <w:rsid w:val="00797964"/>
    <w:rsid w:val="007A082E"/>
    <w:rsid w:val="007A5817"/>
    <w:rsid w:val="007A6AAD"/>
    <w:rsid w:val="007B05C4"/>
    <w:rsid w:val="007B1FA7"/>
    <w:rsid w:val="007B4819"/>
    <w:rsid w:val="007B5E94"/>
    <w:rsid w:val="007B60E9"/>
    <w:rsid w:val="007B6CC3"/>
    <w:rsid w:val="007B76D3"/>
    <w:rsid w:val="007C0BAB"/>
    <w:rsid w:val="007C1263"/>
    <w:rsid w:val="007C2912"/>
    <w:rsid w:val="007C3334"/>
    <w:rsid w:val="007C4185"/>
    <w:rsid w:val="007C515B"/>
    <w:rsid w:val="007C537E"/>
    <w:rsid w:val="007C7E3B"/>
    <w:rsid w:val="007D0AB2"/>
    <w:rsid w:val="007D2B98"/>
    <w:rsid w:val="007D715E"/>
    <w:rsid w:val="007D7FD0"/>
    <w:rsid w:val="007E0075"/>
    <w:rsid w:val="007E21BC"/>
    <w:rsid w:val="007E4E3D"/>
    <w:rsid w:val="007E7C82"/>
    <w:rsid w:val="007F0B55"/>
    <w:rsid w:val="007F2AA1"/>
    <w:rsid w:val="007F3270"/>
    <w:rsid w:val="007F40C5"/>
    <w:rsid w:val="007F588D"/>
    <w:rsid w:val="00803F1C"/>
    <w:rsid w:val="0080600E"/>
    <w:rsid w:val="008062C0"/>
    <w:rsid w:val="0080639A"/>
    <w:rsid w:val="00806FBB"/>
    <w:rsid w:val="00811A8B"/>
    <w:rsid w:val="00812B4B"/>
    <w:rsid w:val="008130C2"/>
    <w:rsid w:val="008138DF"/>
    <w:rsid w:val="00814688"/>
    <w:rsid w:val="00817612"/>
    <w:rsid w:val="008202DC"/>
    <w:rsid w:val="00820813"/>
    <w:rsid w:val="00820AEA"/>
    <w:rsid w:val="008225C7"/>
    <w:rsid w:val="00823DF6"/>
    <w:rsid w:val="00824E6D"/>
    <w:rsid w:val="00826293"/>
    <w:rsid w:val="00833538"/>
    <w:rsid w:val="008338A4"/>
    <w:rsid w:val="00833DBD"/>
    <w:rsid w:val="00834D49"/>
    <w:rsid w:val="00837C45"/>
    <w:rsid w:val="00837E87"/>
    <w:rsid w:val="00844730"/>
    <w:rsid w:val="008457C2"/>
    <w:rsid w:val="008458AC"/>
    <w:rsid w:val="00846E58"/>
    <w:rsid w:val="0085097B"/>
    <w:rsid w:val="00850F2A"/>
    <w:rsid w:val="008567DF"/>
    <w:rsid w:val="00857A82"/>
    <w:rsid w:val="00861126"/>
    <w:rsid w:val="0086133A"/>
    <w:rsid w:val="00865DB7"/>
    <w:rsid w:val="00866C46"/>
    <w:rsid w:val="00872A7C"/>
    <w:rsid w:val="00873836"/>
    <w:rsid w:val="00875E66"/>
    <w:rsid w:val="00882633"/>
    <w:rsid w:val="00885737"/>
    <w:rsid w:val="00886A4B"/>
    <w:rsid w:val="00890650"/>
    <w:rsid w:val="00891D56"/>
    <w:rsid w:val="008944DC"/>
    <w:rsid w:val="00895429"/>
    <w:rsid w:val="00897E12"/>
    <w:rsid w:val="008A1F08"/>
    <w:rsid w:val="008A1F63"/>
    <w:rsid w:val="008A26A9"/>
    <w:rsid w:val="008A3031"/>
    <w:rsid w:val="008A4C9B"/>
    <w:rsid w:val="008A54FE"/>
    <w:rsid w:val="008A7E0F"/>
    <w:rsid w:val="008B12F5"/>
    <w:rsid w:val="008B53A6"/>
    <w:rsid w:val="008B62DB"/>
    <w:rsid w:val="008B71C9"/>
    <w:rsid w:val="008C36AC"/>
    <w:rsid w:val="008C48A1"/>
    <w:rsid w:val="008C52D8"/>
    <w:rsid w:val="008C5E2D"/>
    <w:rsid w:val="008D0194"/>
    <w:rsid w:val="008D1294"/>
    <w:rsid w:val="008D768D"/>
    <w:rsid w:val="008E1D2E"/>
    <w:rsid w:val="008E22F3"/>
    <w:rsid w:val="008E3759"/>
    <w:rsid w:val="008E3BFE"/>
    <w:rsid w:val="008E6C1D"/>
    <w:rsid w:val="008F1912"/>
    <w:rsid w:val="008F1F7C"/>
    <w:rsid w:val="008F3801"/>
    <w:rsid w:val="0090073F"/>
    <w:rsid w:val="00901327"/>
    <w:rsid w:val="00901B99"/>
    <w:rsid w:val="0090270B"/>
    <w:rsid w:val="009041DC"/>
    <w:rsid w:val="00904295"/>
    <w:rsid w:val="00905089"/>
    <w:rsid w:val="009063C5"/>
    <w:rsid w:val="00911F22"/>
    <w:rsid w:val="00912800"/>
    <w:rsid w:val="0091464E"/>
    <w:rsid w:val="00917B5A"/>
    <w:rsid w:val="00920A58"/>
    <w:rsid w:val="00920A8C"/>
    <w:rsid w:val="009250AE"/>
    <w:rsid w:val="009262ED"/>
    <w:rsid w:val="00927716"/>
    <w:rsid w:val="0092793E"/>
    <w:rsid w:val="00927F80"/>
    <w:rsid w:val="00931412"/>
    <w:rsid w:val="00931CBD"/>
    <w:rsid w:val="00934A2C"/>
    <w:rsid w:val="00934AD2"/>
    <w:rsid w:val="00940A3D"/>
    <w:rsid w:val="0094466A"/>
    <w:rsid w:val="0094745F"/>
    <w:rsid w:val="00955B47"/>
    <w:rsid w:val="00957F51"/>
    <w:rsid w:val="00962017"/>
    <w:rsid w:val="00963FF5"/>
    <w:rsid w:val="00964567"/>
    <w:rsid w:val="009667F5"/>
    <w:rsid w:val="00966E8E"/>
    <w:rsid w:val="0096706E"/>
    <w:rsid w:val="00967247"/>
    <w:rsid w:val="00972991"/>
    <w:rsid w:val="00972E8F"/>
    <w:rsid w:val="00973F7A"/>
    <w:rsid w:val="00974491"/>
    <w:rsid w:val="00974492"/>
    <w:rsid w:val="0097493D"/>
    <w:rsid w:val="00975C4E"/>
    <w:rsid w:val="00976955"/>
    <w:rsid w:val="00977DD2"/>
    <w:rsid w:val="00981FBA"/>
    <w:rsid w:val="00984449"/>
    <w:rsid w:val="00985453"/>
    <w:rsid w:val="00990B8B"/>
    <w:rsid w:val="00996407"/>
    <w:rsid w:val="009967A5"/>
    <w:rsid w:val="00997BC5"/>
    <w:rsid w:val="00997D45"/>
    <w:rsid w:val="009A1F84"/>
    <w:rsid w:val="009A4674"/>
    <w:rsid w:val="009A4F41"/>
    <w:rsid w:val="009A56CE"/>
    <w:rsid w:val="009A706A"/>
    <w:rsid w:val="009A7B31"/>
    <w:rsid w:val="009B2C84"/>
    <w:rsid w:val="009B381B"/>
    <w:rsid w:val="009B63EF"/>
    <w:rsid w:val="009C336D"/>
    <w:rsid w:val="009C3BAC"/>
    <w:rsid w:val="009C5D4F"/>
    <w:rsid w:val="009C7CEE"/>
    <w:rsid w:val="009D1753"/>
    <w:rsid w:val="009D31AB"/>
    <w:rsid w:val="009D3DD3"/>
    <w:rsid w:val="009D3E95"/>
    <w:rsid w:val="009D55FD"/>
    <w:rsid w:val="009D608D"/>
    <w:rsid w:val="009D6195"/>
    <w:rsid w:val="009D7611"/>
    <w:rsid w:val="009E0B61"/>
    <w:rsid w:val="009E19E1"/>
    <w:rsid w:val="009E53DE"/>
    <w:rsid w:val="009E7302"/>
    <w:rsid w:val="009F08DD"/>
    <w:rsid w:val="009F1F95"/>
    <w:rsid w:val="009F42DF"/>
    <w:rsid w:val="009F56F2"/>
    <w:rsid w:val="009F6084"/>
    <w:rsid w:val="009F7778"/>
    <w:rsid w:val="00A01F14"/>
    <w:rsid w:val="00A02120"/>
    <w:rsid w:val="00A05BEC"/>
    <w:rsid w:val="00A1076A"/>
    <w:rsid w:val="00A11167"/>
    <w:rsid w:val="00A11212"/>
    <w:rsid w:val="00A11E44"/>
    <w:rsid w:val="00A13DEC"/>
    <w:rsid w:val="00A15562"/>
    <w:rsid w:val="00A155BC"/>
    <w:rsid w:val="00A16968"/>
    <w:rsid w:val="00A20447"/>
    <w:rsid w:val="00A223E8"/>
    <w:rsid w:val="00A227FB"/>
    <w:rsid w:val="00A22A8E"/>
    <w:rsid w:val="00A23E1E"/>
    <w:rsid w:val="00A24AB1"/>
    <w:rsid w:val="00A30100"/>
    <w:rsid w:val="00A30340"/>
    <w:rsid w:val="00A328B3"/>
    <w:rsid w:val="00A41D2D"/>
    <w:rsid w:val="00A42B50"/>
    <w:rsid w:val="00A42E1D"/>
    <w:rsid w:val="00A45013"/>
    <w:rsid w:val="00A451F7"/>
    <w:rsid w:val="00A47D47"/>
    <w:rsid w:val="00A50A59"/>
    <w:rsid w:val="00A50FCF"/>
    <w:rsid w:val="00A518FE"/>
    <w:rsid w:val="00A528D1"/>
    <w:rsid w:val="00A55D30"/>
    <w:rsid w:val="00A56712"/>
    <w:rsid w:val="00A56D06"/>
    <w:rsid w:val="00A600C0"/>
    <w:rsid w:val="00A60AE4"/>
    <w:rsid w:val="00A610CD"/>
    <w:rsid w:val="00A614DF"/>
    <w:rsid w:val="00A67E8A"/>
    <w:rsid w:val="00A70C86"/>
    <w:rsid w:val="00A71AAF"/>
    <w:rsid w:val="00A71F30"/>
    <w:rsid w:val="00A7222D"/>
    <w:rsid w:val="00A73810"/>
    <w:rsid w:val="00A73DBE"/>
    <w:rsid w:val="00A74631"/>
    <w:rsid w:val="00A758AA"/>
    <w:rsid w:val="00A75E2A"/>
    <w:rsid w:val="00A760FB"/>
    <w:rsid w:val="00A7612D"/>
    <w:rsid w:val="00A766C2"/>
    <w:rsid w:val="00A77B6B"/>
    <w:rsid w:val="00A77D7A"/>
    <w:rsid w:val="00A82FE6"/>
    <w:rsid w:val="00A90BD3"/>
    <w:rsid w:val="00A918EC"/>
    <w:rsid w:val="00A97C18"/>
    <w:rsid w:val="00AA0183"/>
    <w:rsid w:val="00AA09A2"/>
    <w:rsid w:val="00AA134B"/>
    <w:rsid w:val="00AA2060"/>
    <w:rsid w:val="00AA2C55"/>
    <w:rsid w:val="00AA2F73"/>
    <w:rsid w:val="00AA66FC"/>
    <w:rsid w:val="00AA6CAB"/>
    <w:rsid w:val="00AA7996"/>
    <w:rsid w:val="00AB4F4D"/>
    <w:rsid w:val="00AB70E4"/>
    <w:rsid w:val="00AC19CB"/>
    <w:rsid w:val="00AC5981"/>
    <w:rsid w:val="00AC5BD3"/>
    <w:rsid w:val="00AD1227"/>
    <w:rsid w:val="00AD4F78"/>
    <w:rsid w:val="00AD50E0"/>
    <w:rsid w:val="00AE3052"/>
    <w:rsid w:val="00AE33B7"/>
    <w:rsid w:val="00AE429E"/>
    <w:rsid w:val="00AE5488"/>
    <w:rsid w:val="00AE6F91"/>
    <w:rsid w:val="00AF1324"/>
    <w:rsid w:val="00AF446A"/>
    <w:rsid w:val="00AF5571"/>
    <w:rsid w:val="00B00C52"/>
    <w:rsid w:val="00B043CE"/>
    <w:rsid w:val="00B047BA"/>
    <w:rsid w:val="00B04818"/>
    <w:rsid w:val="00B07341"/>
    <w:rsid w:val="00B074B3"/>
    <w:rsid w:val="00B1088B"/>
    <w:rsid w:val="00B13DFA"/>
    <w:rsid w:val="00B15C9C"/>
    <w:rsid w:val="00B17684"/>
    <w:rsid w:val="00B211BF"/>
    <w:rsid w:val="00B22868"/>
    <w:rsid w:val="00B30539"/>
    <w:rsid w:val="00B314DB"/>
    <w:rsid w:val="00B3268B"/>
    <w:rsid w:val="00B32E5E"/>
    <w:rsid w:val="00B34F37"/>
    <w:rsid w:val="00B361F2"/>
    <w:rsid w:val="00B3718B"/>
    <w:rsid w:val="00B37346"/>
    <w:rsid w:val="00B3745F"/>
    <w:rsid w:val="00B4425E"/>
    <w:rsid w:val="00B442B7"/>
    <w:rsid w:val="00B4490E"/>
    <w:rsid w:val="00B45BDA"/>
    <w:rsid w:val="00B4632A"/>
    <w:rsid w:val="00B50E39"/>
    <w:rsid w:val="00B50F64"/>
    <w:rsid w:val="00B5164C"/>
    <w:rsid w:val="00B530F1"/>
    <w:rsid w:val="00B53838"/>
    <w:rsid w:val="00B5520E"/>
    <w:rsid w:val="00B56167"/>
    <w:rsid w:val="00B56C56"/>
    <w:rsid w:val="00B60253"/>
    <w:rsid w:val="00B64E33"/>
    <w:rsid w:val="00B64E92"/>
    <w:rsid w:val="00B65810"/>
    <w:rsid w:val="00B65F50"/>
    <w:rsid w:val="00B6654A"/>
    <w:rsid w:val="00B66E2E"/>
    <w:rsid w:val="00B75332"/>
    <w:rsid w:val="00B76E6F"/>
    <w:rsid w:val="00B80F69"/>
    <w:rsid w:val="00B81E37"/>
    <w:rsid w:val="00B86C51"/>
    <w:rsid w:val="00B91112"/>
    <w:rsid w:val="00B93D7F"/>
    <w:rsid w:val="00B9582D"/>
    <w:rsid w:val="00B95F89"/>
    <w:rsid w:val="00B960D4"/>
    <w:rsid w:val="00BA14D5"/>
    <w:rsid w:val="00BA1706"/>
    <w:rsid w:val="00BA1852"/>
    <w:rsid w:val="00BA276C"/>
    <w:rsid w:val="00BA343A"/>
    <w:rsid w:val="00BA3EFA"/>
    <w:rsid w:val="00BB019D"/>
    <w:rsid w:val="00BB306F"/>
    <w:rsid w:val="00BB3CB9"/>
    <w:rsid w:val="00BB5044"/>
    <w:rsid w:val="00BC1E54"/>
    <w:rsid w:val="00BC2D0C"/>
    <w:rsid w:val="00BC722B"/>
    <w:rsid w:val="00BC7790"/>
    <w:rsid w:val="00BD0FF5"/>
    <w:rsid w:val="00BD189D"/>
    <w:rsid w:val="00BD2868"/>
    <w:rsid w:val="00BD457E"/>
    <w:rsid w:val="00BD4B89"/>
    <w:rsid w:val="00BD5922"/>
    <w:rsid w:val="00BD6ACA"/>
    <w:rsid w:val="00BD79BC"/>
    <w:rsid w:val="00BD7FA4"/>
    <w:rsid w:val="00BE1007"/>
    <w:rsid w:val="00BE36D6"/>
    <w:rsid w:val="00BE3D0C"/>
    <w:rsid w:val="00BE438D"/>
    <w:rsid w:val="00BE54E6"/>
    <w:rsid w:val="00BE6D3A"/>
    <w:rsid w:val="00BE7789"/>
    <w:rsid w:val="00BF02CB"/>
    <w:rsid w:val="00BF0D0C"/>
    <w:rsid w:val="00BF0D73"/>
    <w:rsid w:val="00BF2B04"/>
    <w:rsid w:val="00BF3BD1"/>
    <w:rsid w:val="00BF6D86"/>
    <w:rsid w:val="00BF6FD8"/>
    <w:rsid w:val="00C00FCF"/>
    <w:rsid w:val="00C0105C"/>
    <w:rsid w:val="00C03680"/>
    <w:rsid w:val="00C053C0"/>
    <w:rsid w:val="00C054DF"/>
    <w:rsid w:val="00C065E2"/>
    <w:rsid w:val="00C067EB"/>
    <w:rsid w:val="00C108B8"/>
    <w:rsid w:val="00C14616"/>
    <w:rsid w:val="00C16A3D"/>
    <w:rsid w:val="00C21762"/>
    <w:rsid w:val="00C21FEF"/>
    <w:rsid w:val="00C22D33"/>
    <w:rsid w:val="00C23335"/>
    <w:rsid w:val="00C23BA4"/>
    <w:rsid w:val="00C24543"/>
    <w:rsid w:val="00C256A2"/>
    <w:rsid w:val="00C256B8"/>
    <w:rsid w:val="00C25ADB"/>
    <w:rsid w:val="00C30DB3"/>
    <w:rsid w:val="00C3269B"/>
    <w:rsid w:val="00C355F6"/>
    <w:rsid w:val="00C401BC"/>
    <w:rsid w:val="00C40A07"/>
    <w:rsid w:val="00C43F68"/>
    <w:rsid w:val="00C44BD6"/>
    <w:rsid w:val="00C4624A"/>
    <w:rsid w:val="00C46B19"/>
    <w:rsid w:val="00C46F21"/>
    <w:rsid w:val="00C47BB7"/>
    <w:rsid w:val="00C513B2"/>
    <w:rsid w:val="00C51515"/>
    <w:rsid w:val="00C5153E"/>
    <w:rsid w:val="00C54C69"/>
    <w:rsid w:val="00C55BE1"/>
    <w:rsid w:val="00C5660B"/>
    <w:rsid w:val="00C63111"/>
    <w:rsid w:val="00C634C4"/>
    <w:rsid w:val="00C6446E"/>
    <w:rsid w:val="00C649AA"/>
    <w:rsid w:val="00C65950"/>
    <w:rsid w:val="00C6602A"/>
    <w:rsid w:val="00C66B72"/>
    <w:rsid w:val="00C6783D"/>
    <w:rsid w:val="00C6784D"/>
    <w:rsid w:val="00C7158F"/>
    <w:rsid w:val="00C75E0D"/>
    <w:rsid w:val="00C814DF"/>
    <w:rsid w:val="00C820A0"/>
    <w:rsid w:val="00C82989"/>
    <w:rsid w:val="00C85223"/>
    <w:rsid w:val="00C85277"/>
    <w:rsid w:val="00C85762"/>
    <w:rsid w:val="00C87AC4"/>
    <w:rsid w:val="00C91013"/>
    <w:rsid w:val="00C91D71"/>
    <w:rsid w:val="00C93712"/>
    <w:rsid w:val="00C950FF"/>
    <w:rsid w:val="00C9567A"/>
    <w:rsid w:val="00C96781"/>
    <w:rsid w:val="00C96B8A"/>
    <w:rsid w:val="00CA1DC0"/>
    <w:rsid w:val="00CA47F6"/>
    <w:rsid w:val="00CA5CD2"/>
    <w:rsid w:val="00CA6EA4"/>
    <w:rsid w:val="00CA7F87"/>
    <w:rsid w:val="00CB14C1"/>
    <w:rsid w:val="00CB155A"/>
    <w:rsid w:val="00CB15EA"/>
    <w:rsid w:val="00CB212D"/>
    <w:rsid w:val="00CB2660"/>
    <w:rsid w:val="00CB2A2A"/>
    <w:rsid w:val="00CB465D"/>
    <w:rsid w:val="00CB6067"/>
    <w:rsid w:val="00CB63CA"/>
    <w:rsid w:val="00CB663D"/>
    <w:rsid w:val="00CB6E33"/>
    <w:rsid w:val="00CC10AE"/>
    <w:rsid w:val="00CC273D"/>
    <w:rsid w:val="00CC5E90"/>
    <w:rsid w:val="00CC615C"/>
    <w:rsid w:val="00CD035C"/>
    <w:rsid w:val="00CD046C"/>
    <w:rsid w:val="00CD0E96"/>
    <w:rsid w:val="00CD1B96"/>
    <w:rsid w:val="00CD3BE9"/>
    <w:rsid w:val="00CD408D"/>
    <w:rsid w:val="00CD50A7"/>
    <w:rsid w:val="00CE00C0"/>
    <w:rsid w:val="00CE076C"/>
    <w:rsid w:val="00CE5199"/>
    <w:rsid w:val="00CE600D"/>
    <w:rsid w:val="00CE66D5"/>
    <w:rsid w:val="00CE73F6"/>
    <w:rsid w:val="00CE7838"/>
    <w:rsid w:val="00CF0B52"/>
    <w:rsid w:val="00CF2493"/>
    <w:rsid w:val="00CF6028"/>
    <w:rsid w:val="00CF637A"/>
    <w:rsid w:val="00CF759A"/>
    <w:rsid w:val="00D03172"/>
    <w:rsid w:val="00D041D7"/>
    <w:rsid w:val="00D04E8E"/>
    <w:rsid w:val="00D059DE"/>
    <w:rsid w:val="00D05ABD"/>
    <w:rsid w:val="00D06FBA"/>
    <w:rsid w:val="00D072AF"/>
    <w:rsid w:val="00D112A5"/>
    <w:rsid w:val="00D13FCE"/>
    <w:rsid w:val="00D1781A"/>
    <w:rsid w:val="00D17D43"/>
    <w:rsid w:val="00D205C8"/>
    <w:rsid w:val="00D24FAF"/>
    <w:rsid w:val="00D306D1"/>
    <w:rsid w:val="00D30800"/>
    <w:rsid w:val="00D31F1F"/>
    <w:rsid w:val="00D32F0E"/>
    <w:rsid w:val="00D34786"/>
    <w:rsid w:val="00D34A22"/>
    <w:rsid w:val="00D3724F"/>
    <w:rsid w:val="00D37BFC"/>
    <w:rsid w:val="00D40A27"/>
    <w:rsid w:val="00D41E00"/>
    <w:rsid w:val="00D4365F"/>
    <w:rsid w:val="00D448B2"/>
    <w:rsid w:val="00D456D3"/>
    <w:rsid w:val="00D47A8E"/>
    <w:rsid w:val="00D50777"/>
    <w:rsid w:val="00D526E8"/>
    <w:rsid w:val="00D52A2A"/>
    <w:rsid w:val="00D52D14"/>
    <w:rsid w:val="00D5338E"/>
    <w:rsid w:val="00D54847"/>
    <w:rsid w:val="00D559C2"/>
    <w:rsid w:val="00D56434"/>
    <w:rsid w:val="00D56670"/>
    <w:rsid w:val="00D619A4"/>
    <w:rsid w:val="00D63B02"/>
    <w:rsid w:val="00D64DA9"/>
    <w:rsid w:val="00D66CE4"/>
    <w:rsid w:val="00D712D3"/>
    <w:rsid w:val="00D71422"/>
    <w:rsid w:val="00D72DC6"/>
    <w:rsid w:val="00D7558D"/>
    <w:rsid w:val="00D75B8C"/>
    <w:rsid w:val="00D81D92"/>
    <w:rsid w:val="00D82FF9"/>
    <w:rsid w:val="00D8736B"/>
    <w:rsid w:val="00D876F9"/>
    <w:rsid w:val="00D90795"/>
    <w:rsid w:val="00D92FEE"/>
    <w:rsid w:val="00D946FA"/>
    <w:rsid w:val="00D948B1"/>
    <w:rsid w:val="00D949FD"/>
    <w:rsid w:val="00DA1584"/>
    <w:rsid w:val="00DA1823"/>
    <w:rsid w:val="00DA1A60"/>
    <w:rsid w:val="00DA5873"/>
    <w:rsid w:val="00DA5D23"/>
    <w:rsid w:val="00DA6C41"/>
    <w:rsid w:val="00DA7B5F"/>
    <w:rsid w:val="00DB1766"/>
    <w:rsid w:val="00DB1828"/>
    <w:rsid w:val="00DB18FF"/>
    <w:rsid w:val="00DB3C99"/>
    <w:rsid w:val="00DB7296"/>
    <w:rsid w:val="00DC02D4"/>
    <w:rsid w:val="00DC11E7"/>
    <w:rsid w:val="00DC24E3"/>
    <w:rsid w:val="00DC501C"/>
    <w:rsid w:val="00DC5A27"/>
    <w:rsid w:val="00DC5FD8"/>
    <w:rsid w:val="00DC7023"/>
    <w:rsid w:val="00DC769A"/>
    <w:rsid w:val="00DD10CD"/>
    <w:rsid w:val="00DD2F14"/>
    <w:rsid w:val="00DD374A"/>
    <w:rsid w:val="00DD3D86"/>
    <w:rsid w:val="00DD4AD2"/>
    <w:rsid w:val="00DD7E63"/>
    <w:rsid w:val="00DE048C"/>
    <w:rsid w:val="00DE2862"/>
    <w:rsid w:val="00DE320D"/>
    <w:rsid w:val="00DE4AAC"/>
    <w:rsid w:val="00DE573A"/>
    <w:rsid w:val="00DE5F3D"/>
    <w:rsid w:val="00DE7A56"/>
    <w:rsid w:val="00DE7A5B"/>
    <w:rsid w:val="00DF1EC4"/>
    <w:rsid w:val="00DF5C61"/>
    <w:rsid w:val="00DF6455"/>
    <w:rsid w:val="00E002AE"/>
    <w:rsid w:val="00E014B4"/>
    <w:rsid w:val="00E02545"/>
    <w:rsid w:val="00E0340B"/>
    <w:rsid w:val="00E048DD"/>
    <w:rsid w:val="00E04A90"/>
    <w:rsid w:val="00E0551F"/>
    <w:rsid w:val="00E06FC7"/>
    <w:rsid w:val="00E070B4"/>
    <w:rsid w:val="00E114D8"/>
    <w:rsid w:val="00E121C2"/>
    <w:rsid w:val="00E12242"/>
    <w:rsid w:val="00E134B3"/>
    <w:rsid w:val="00E15B27"/>
    <w:rsid w:val="00E20519"/>
    <w:rsid w:val="00E219C7"/>
    <w:rsid w:val="00E22C73"/>
    <w:rsid w:val="00E24AF7"/>
    <w:rsid w:val="00E2513B"/>
    <w:rsid w:val="00E2539C"/>
    <w:rsid w:val="00E320C4"/>
    <w:rsid w:val="00E3290C"/>
    <w:rsid w:val="00E3364B"/>
    <w:rsid w:val="00E34EDD"/>
    <w:rsid w:val="00E359B6"/>
    <w:rsid w:val="00E4118C"/>
    <w:rsid w:val="00E41863"/>
    <w:rsid w:val="00E420FF"/>
    <w:rsid w:val="00E43157"/>
    <w:rsid w:val="00E447DF"/>
    <w:rsid w:val="00E45076"/>
    <w:rsid w:val="00E461CE"/>
    <w:rsid w:val="00E52159"/>
    <w:rsid w:val="00E5307C"/>
    <w:rsid w:val="00E54BCF"/>
    <w:rsid w:val="00E56158"/>
    <w:rsid w:val="00E573E4"/>
    <w:rsid w:val="00E60599"/>
    <w:rsid w:val="00E6262F"/>
    <w:rsid w:val="00E64159"/>
    <w:rsid w:val="00E64C3D"/>
    <w:rsid w:val="00E678E8"/>
    <w:rsid w:val="00E70209"/>
    <w:rsid w:val="00E70A56"/>
    <w:rsid w:val="00E720CA"/>
    <w:rsid w:val="00E72521"/>
    <w:rsid w:val="00E77F92"/>
    <w:rsid w:val="00E81AB0"/>
    <w:rsid w:val="00E84AA1"/>
    <w:rsid w:val="00E84EB5"/>
    <w:rsid w:val="00E85662"/>
    <w:rsid w:val="00E869C8"/>
    <w:rsid w:val="00E86B0E"/>
    <w:rsid w:val="00E8789F"/>
    <w:rsid w:val="00E91DD7"/>
    <w:rsid w:val="00E9525E"/>
    <w:rsid w:val="00E955AB"/>
    <w:rsid w:val="00E95E21"/>
    <w:rsid w:val="00E97B71"/>
    <w:rsid w:val="00EA0679"/>
    <w:rsid w:val="00EA3D34"/>
    <w:rsid w:val="00EA6C36"/>
    <w:rsid w:val="00EB0C40"/>
    <w:rsid w:val="00EB22BE"/>
    <w:rsid w:val="00EB2CEC"/>
    <w:rsid w:val="00EB2D03"/>
    <w:rsid w:val="00EB3423"/>
    <w:rsid w:val="00EB454D"/>
    <w:rsid w:val="00EB6215"/>
    <w:rsid w:val="00EB78FA"/>
    <w:rsid w:val="00EC004C"/>
    <w:rsid w:val="00EC0389"/>
    <w:rsid w:val="00EC353C"/>
    <w:rsid w:val="00EC6E85"/>
    <w:rsid w:val="00EC77B9"/>
    <w:rsid w:val="00ED0CF8"/>
    <w:rsid w:val="00ED2342"/>
    <w:rsid w:val="00ED25DB"/>
    <w:rsid w:val="00ED2629"/>
    <w:rsid w:val="00ED3ABF"/>
    <w:rsid w:val="00ED465C"/>
    <w:rsid w:val="00ED53AA"/>
    <w:rsid w:val="00ED549D"/>
    <w:rsid w:val="00ED5E10"/>
    <w:rsid w:val="00ED6D90"/>
    <w:rsid w:val="00ED7670"/>
    <w:rsid w:val="00ED76BE"/>
    <w:rsid w:val="00EE00E9"/>
    <w:rsid w:val="00EE016F"/>
    <w:rsid w:val="00EE088F"/>
    <w:rsid w:val="00EE3583"/>
    <w:rsid w:val="00EE376F"/>
    <w:rsid w:val="00EE685C"/>
    <w:rsid w:val="00EE77BD"/>
    <w:rsid w:val="00EF1AAA"/>
    <w:rsid w:val="00EF2E3D"/>
    <w:rsid w:val="00EF3986"/>
    <w:rsid w:val="00EF45F1"/>
    <w:rsid w:val="00EF4A23"/>
    <w:rsid w:val="00EF619B"/>
    <w:rsid w:val="00F00AD7"/>
    <w:rsid w:val="00F00B55"/>
    <w:rsid w:val="00F02AD1"/>
    <w:rsid w:val="00F05292"/>
    <w:rsid w:val="00F06EE6"/>
    <w:rsid w:val="00F10453"/>
    <w:rsid w:val="00F13DAB"/>
    <w:rsid w:val="00F140F5"/>
    <w:rsid w:val="00F14704"/>
    <w:rsid w:val="00F16542"/>
    <w:rsid w:val="00F17D1D"/>
    <w:rsid w:val="00F253CC"/>
    <w:rsid w:val="00F31E25"/>
    <w:rsid w:val="00F3336C"/>
    <w:rsid w:val="00F33AA0"/>
    <w:rsid w:val="00F35303"/>
    <w:rsid w:val="00F364D4"/>
    <w:rsid w:val="00F37106"/>
    <w:rsid w:val="00F372EC"/>
    <w:rsid w:val="00F40BAD"/>
    <w:rsid w:val="00F426FD"/>
    <w:rsid w:val="00F44E25"/>
    <w:rsid w:val="00F45E7D"/>
    <w:rsid w:val="00F510FF"/>
    <w:rsid w:val="00F519CF"/>
    <w:rsid w:val="00F51F96"/>
    <w:rsid w:val="00F56BA5"/>
    <w:rsid w:val="00F56BF0"/>
    <w:rsid w:val="00F56ECB"/>
    <w:rsid w:val="00F60E22"/>
    <w:rsid w:val="00F61D58"/>
    <w:rsid w:val="00F72019"/>
    <w:rsid w:val="00F7447D"/>
    <w:rsid w:val="00F74A06"/>
    <w:rsid w:val="00F74FD8"/>
    <w:rsid w:val="00F75B61"/>
    <w:rsid w:val="00F77EF2"/>
    <w:rsid w:val="00F8056F"/>
    <w:rsid w:val="00F810B5"/>
    <w:rsid w:val="00F81395"/>
    <w:rsid w:val="00F81795"/>
    <w:rsid w:val="00F81BB8"/>
    <w:rsid w:val="00F832EB"/>
    <w:rsid w:val="00F857BE"/>
    <w:rsid w:val="00F86F62"/>
    <w:rsid w:val="00F90C64"/>
    <w:rsid w:val="00F9134D"/>
    <w:rsid w:val="00F917D1"/>
    <w:rsid w:val="00F92250"/>
    <w:rsid w:val="00F92F82"/>
    <w:rsid w:val="00F93CD1"/>
    <w:rsid w:val="00F9427B"/>
    <w:rsid w:val="00F9653B"/>
    <w:rsid w:val="00FA2B2A"/>
    <w:rsid w:val="00FA3924"/>
    <w:rsid w:val="00FA467B"/>
    <w:rsid w:val="00FA72BB"/>
    <w:rsid w:val="00FB292A"/>
    <w:rsid w:val="00FB296B"/>
    <w:rsid w:val="00FB2F05"/>
    <w:rsid w:val="00FB3A04"/>
    <w:rsid w:val="00FB4DAF"/>
    <w:rsid w:val="00FB62CF"/>
    <w:rsid w:val="00FB672A"/>
    <w:rsid w:val="00FC01EA"/>
    <w:rsid w:val="00FC392E"/>
    <w:rsid w:val="00FC3A74"/>
    <w:rsid w:val="00FC430D"/>
    <w:rsid w:val="00FC4439"/>
    <w:rsid w:val="00FC4CE8"/>
    <w:rsid w:val="00FD09E6"/>
    <w:rsid w:val="00FD35A4"/>
    <w:rsid w:val="00FD3C3B"/>
    <w:rsid w:val="00FD4505"/>
    <w:rsid w:val="00FE07DD"/>
    <w:rsid w:val="00FE0A96"/>
    <w:rsid w:val="00FE0ADF"/>
    <w:rsid w:val="00FE0E78"/>
    <w:rsid w:val="00FE0EF3"/>
    <w:rsid w:val="00FE2051"/>
    <w:rsid w:val="00FE48BC"/>
    <w:rsid w:val="00FE6614"/>
    <w:rsid w:val="00FE6B45"/>
    <w:rsid w:val="00FF20C1"/>
    <w:rsid w:val="00FF55F3"/>
    <w:rsid w:val="00FF5851"/>
    <w:rsid w:val="00FF6E2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0449F7"/>
    <w:pPr>
      <w:spacing w:after="160" w:line="240" w:lineRule="exact"/>
    </w:pPr>
    <w:rPr>
      <w:rFonts w:eastAsia="Arial Unicode MS"/>
      <w:sz w:val="20"/>
      <w:szCs w:val="20"/>
      <w:bdr w:val="nil"/>
      <w:vertAlign w:val="superscript"/>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051C2"/>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9D6195"/>
    <w:pPr>
      <w:jc w:val="both"/>
    </w:pPr>
    <w:rPr>
      <w:rFonts w:eastAsia="Arial Unicode MS"/>
      <w:sz w:val="20"/>
      <w:szCs w:val="20"/>
      <w:bdr w:val="nil"/>
      <w:vertAlign w:val="superscript"/>
      <w:lang w:eastAsia="es-ES"/>
    </w:rPr>
  </w:style>
  <w:style w:type="paragraph" w:customStyle="1" w:styleId="paragraph">
    <w:name w:val="paragraph"/>
    <w:basedOn w:val="Normal"/>
    <w:rsid w:val="001C24D7"/>
    <w:pPr>
      <w:spacing w:before="100" w:beforeAutospacing="1" w:after="100" w:afterAutospacing="1"/>
    </w:pPr>
    <w:rPr>
      <w:lang w:val="en-US"/>
    </w:rPr>
  </w:style>
  <w:style w:type="character" w:customStyle="1" w:styleId="normaltextrun">
    <w:name w:val="normaltextrun"/>
    <w:basedOn w:val="DefaultParagraphFont"/>
    <w:rsid w:val="001C24D7"/>
  </w:style>
  <w:style w:type="character" w:customStyle="1" w:styleId="eop">
    <w:name w:val="eop"/>
    <w:basedOn w:val="DefaultParagraphFont"/>
    <w:rsid w:val="001C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7333">
      <w:bodyDiv w:val="1"/>
      <w:marLeft w:val="0"/>
      <w:marRight w:val="0"/>
      <w:marTop w:val="0"/>
      <w:marBottom w:val="0"/>
      <w:divBdr>
        <w:top w:val="none" w:sz="0" w:space="0" w:color="auto"/>
        <w:left w:val="none" w:sz="0" w:space="0" w:color="auto"/>
        <w:bottom w:val="none" w:sz="0" w:space="0" w:color="auto"/>
        <w:right w:val="none" w:sz="0" w:space="0" w:color="auto"/>
      </w:divBdr>
    </w:div>
    <w:div w:id="114100732">
      <w:bodyDiv w:val="1"/>
      <w:marLeft w:val="0"/>
      <w:marRight w:val="0"/>
      <w:marTop w:val="0"/>
      <w:marBottom w:val="0"/>
      <w:divBdr>
        <w:top w:val="none" w:sz="0" w:space="0" w:color="auto"/>
        <w:left w:val="none" w:sz="0" w:space="0" w:color="auto"/>
        <w:bottom w:val="none" w:sz="0" w:space="0" w:color="auto"/>
        <w:right w:val="none" w:sz="0" w:space="0" w:color="auto"/>
      </w:divBdr>
    </w:div>
    <w:div w:id="116072783">
      <w:bodyDiv w:val="1"/>
      <w:marLeft w:val="0"/>
      <w:marRight w:val="0"/>
      <w:marTop w:val="0"/>
      <w:marBottom w:val="0"/>
      <w:divBdr>
        <w:top w:val="none" w:sz="0" w:space="0" w:color="auto"/>
        <w:left w:val="none" w:sz="0" w:space="0" w:color="auto"/>
        <w:bottom w:val="none" w:sz="0" w:space="0" w:color="auto"/>
        <w:right w:val="none" w:sz="0" w:space="0" w:color="auto"/>
      </w:divBdr>
    </w:div>
    <w:div w:id="118838843">
      <w:bodyDiv w:val="1"/>
      <w:marLeft w:val="0"/>
      <w:marRight w:val="0"/>
      <w:marTop w:val="0"/>
      <w:marBottom w:val="0"/>
      <w:divBdr>
        <w:top w:val="none" w:sz="0" w:space="0" w:color="auto"/>
        <w:left w:val="none" w:sz="0" w:space="0" w:color="auto"/>
        <w:bottom w:val="none" w:sz="0" w:space="0" w:color="auto"/>
        <w:right w:val="none" w:sz="0" w:space="0" w:color="auto"/>
      </w:divBdr>
    </w:div>
    <w:div w:id="272447701">
      <w:bodyDiv w:val="1"/>
      <w:marLeft w:val="0"/>
      <w:marRight w:val="0"/>
      <w:marTop w:val="0"/>
      <w:marBottom w:val="0"/>
      <w:divBdr>
        <w:top w:val="none" w:sz="0" w:space="0" w:color="auto"/>
        <w:left w:val="none" w:sz="0" w:space="0" w:color="auto"/>
        <w:bottom w:val="none" w:sz="0" w:space="0" w:color="auto"/>
        <w:right w:val="none" w:sz="0" w:space="0" w:color="auto"/>
      </w:divBdr>
    </w:div>
    <w:div w:id="304316081">
      <w:bodyDiv w:val="1"/>
      <w:marLeft w:val="0"/>
      <w:marRight w:val="0"/>
      <w:marTop w:val="0"/>
      <w:marBottom w:val="0"/>
      <w:divBdr>
        <w:top w:val="none" w:sz="0" w:space="0" w:color="auto"/>
        <w:left w:val="none" w:sz="0" w:space="0" w:color="auto"/>
        <w:bottom w:val="none" w:sz="0" w:space="0" w:color="auto"/>
        <w:right w:val="none" w:sz="0" w:space="0" w:color="auto"/>
      </w:divBdr>
    </w:div>
    <w:div w:id="318385821">
      <w:bodyDiv w:val="1"/>
      <w:marLeft w:val="0"/>
      <w:marRight w:val="0"/>
      <w:marTop w:val="0"/>
      <w:marBottom w:val="0"/>
      <w:divBdr>
        <w:top w:val="none" w:sz="0" w:space="0" w:color="auto"/>
        <w:left w:val="none" w:sz="0" w:space="0" w:color="auto"/>
        <w:bottom w:val="none" w:sz="0" w:space="0" w:color="auto"/>
        <w:right w:val="none" w:sz="0" w:space="0" w:color="auto"/>
      </w:divBdr>
    </w:div>
    <w:div w:id="410085703">
      <w:bodyDiv w:val="1"/>
      <w:marLeft w:val="0"/>
      <w:marRight w:val="0"/>
      <w:marTop w:val="0"/>
      <w:marBottom w:val="0"/>
      <w:divBdr>
        <w:top w:val="none" w:sz="0" w:space="0" w:color="auto"/>
        <w:left w:val="none" w:sz="0" w:space="0" w:color="auto"/>
        <w:bottom w:val="none" w:sz="0" w:space="0" w:color="auto"/>
        <w:right w:val="none" w:sz="0" w:space="0" w:color="auto"/>
      </w:divBdr>
    </w:div>
    <w:div w:id="517701593">
      <w:bodyDiv w:val="1"/>
      <w:marLeft w:val="0"/>
      <w:marRight w:val="0"/>
      <w:marTop w:val="0"/>
      <w:marBottom w:val="0"/>
      <w:divBdr>
        <w:top w:val="none" w:sz="0" w:space="0" w:color="auto"/>
        <w:left w:val="none" w:sz="0" w:space="0" w:color="auto"/>
        <w:bottom w:val="none" w:sz="0" w:space="0" w:color="auto"/>
        <w:right w:val="none" w:sz="0" w:space="0" w:color="auto"/>
      </w:divBdr>
    </w:div>
    <w:div w:id="554052519">
      <w:bodyDiv w:val="1"/>
      <w:marLeft w:val="0"/>
      <w:marRight w:val="0"/>
      <w:marTop w:val="0"/>
      <w:marBottom w:val="0"/>
      <w:divBdr>
        <w:top w:val="none" w:sz="0" w:space="0" w:color="auto"/>
        <w:left w:val="none" w:sz="0" w:space="0" w:color="auto"/>
        <w:bottom w:val="none" w:sz="0" w:space="0" w:color="auto"/>
        <w:right w:val="none" w:sz="0" w:space="0" w:color="auto"/>
      </w:divBdr>
    </w:div>
    <w:div w:id="582832724">
      <w:bodyDiv w:val="1"/>
      <w:marLeft w:val="0"/>
      <w:marRight w:val="0"/>
      <w:marTop w:val="0"/>
      <w:marBottom w:val="0"/>
      <w:divBdr>
        <w:top w:val="none" w:sz="0" w:space="0" w:color="auto"/>
        <w:left w:val="none" w:sz="0" w:space="0" w:color="auto"/>
        <w:bottom w:val="none" w:sz="0" w:space="0" w:color="auto"/>
        <w:right w:val="none" w:sz="0" w:space="0" w:color="auto"/>
      </w:divBdr>
    </w:div>
    <w:div w:id="590697155">
      <w:bodyDiv w:val="1"/>
      <w:marLeft w:val="0"/>
      <w:marRight w:val="0"/>
      <w:marTop w:val="0"/>
      <w:marBottom w:val="0"/>
      <w:divBdr>
        <w:top w:val="none" w:sz="0" w:space="0" w:color="auto"/>
        <w:left w:val="none" w:sz="0" w:space="0" w:color="auto"/>
        <w:bottom w:val="none" w:sz="0" w:space="0" w:color="auto"/>
        <w:right w:val="none" w:sz="0" w:space="0" w:color="auto"/>
      </w:divBdr>
    </w:div>
    <w:div w:id="610746982">
      <w:bodyDiv w:val="1"/>
      <w:marLeft w:val="0"/>
      <w:marRight w:val="0"/>
      <w:marTop w:val="0"/>
      <w:marBottom w:val="0"/>
      <w:divBdr>
        <w:top w:val="none" w:sz="0" w:space="0" w:color="auto"/>
        <w:left w:val="none" w:sz="0" w:space="0" w:color="auto"/>
        <w:bottom w:val="none" w:sz="0" w:space="0" w:color="auto"/>
        <w:right w:val="none" w:sz="0" w:space="0" w:color="auto"/>
      </w:divBdr>
    </w:div>
    <w:div w:id="680350530">
      <w:bodyDiv w:val="1"/>
      <w:marLeft w:val="0"/>
      <w:marRight w:val="0"/>
      <w:marTop w:val="0"/>
      <w:marBottom w:val="0"/>
      <w:divBdr>
        <w:top w:val="none" w:sz="0" w:space="0" w:color="auto"/>
        <w:left w:val="none" w:sz="0" w:space="0" w:color="auto"/>
        <w:bottom w:val="none" w:sz="0" w:space="0" w:color="auto"/>
        <w:right w:val="none" w:sz="0" w:space="0" w:color="auto"/>
      </w:divBdr>
    </w:div>
    <w:div w:id="707461540">
      <w:bodyDiv w:val="1"/>
      <w:marLeft w:val="0"/>
      <w:marRight w:val="0"/>
      <w:marTop w:val="0"/>
      <w:marBottom w:val="0"/>
      <w:divBdr>
        <w:top w:val="none" w:sz="0" w:space="0" w:color="auto"/>
        <w:left w:val="none" w:sz="0" w:space="0" w:color="auto"/>
        <w:bottom w:val="none" w:sz="0" w:space="0" w:color="auto"/>
        <w:right w:val="none" w:sz="0" w:space="0" w:color="auto"/>
      </w:divBdr>
    </w:div>
    <w:div w:id="808396868">
      <w:bodyDiv w:val="1"/>
      <w:marLeft w:val="0"/>
      <w:marRight w:val="0"/>
      <w:marTop w:val="0"/>
      <w:marBottom w:val="0"/>
      <w:divBdr>
        <w:top w:val="none" w:sz="0" w:space="0" w:color="auto"/>
        <w:left w:val="none" w:sz="0" w:space="0" w:color="auto"/>
        <w:bottom w:val="none" w:sz="0" w:space="0" w:color="auto"/>
        <w:right w:val="none" w:sz="0" w:space="0" w:color="auto"/>
      </w:divBdr>
    </w:div>
    <w:div w:id="831410443">
      <w:bodyDiv w:val="1"/>
      <w:marLeft w:val="0"/>
      <w:marRight w:val="0"/>
      <w:marTop w:val="0"/>
      <w:marBottom w:val="0"/>
      <w:divBdr>
        <w:top w:val="none" w:sz="0" w:space="0" w:color="auto"/>
        <w:left w:val="none" w:sz="0" w:space="0" w:color="auto"/>
        <w:bottom w:val="none" w:sz="0" w:space="0" w:color="auto"/>
        <w:right w:val="none" w:sz="0" w:space="0" w:color="auto"/>
      </w:divBdr>
    </w:div>
    <w:div w:id="837615923">
      <w:bodyDiv w:val="1"/>
      <w:marLeft w:val="0"/>
      <w:marRight w:val="0"/>
      <w:marTop w:val="0"/>
      <w:marBottom w:val="0"/>
      <w:divBdr>
        <w:top w:val="none" w:sz="0" w:space="0" w:color="auto"/>
        <w:left w:val="none" w:sz="0" w:space="0" w:color="auto"/>
        <w:bottom w:val="none" w:sz="0" w:space="0" w:color="auto"/>
        <w:right w:val="none" w:sz="0" w:space="0" w:color="auto"/>
      </w:divBdr>
    </w:div>
    <w:div w:id="1001466224">
      <w:bodyDiv w:val="1"/>
      <w:marLeft w:val="0"/>
      <w:marRight w:val="0"/>
      <w:marTop w:val="0"/>
      <w:marBottom w:val="0"/>
      <w:divBdr>
        <w:top w:val="none" w:sz="0" w:space="0" w:color="auto"/>
        <w:left w:val="none" w:sz="0" w:space="0" w:color="auto"/>
        <w:bottom w:val="none" w:sz="0" w:space="0" w:color="auto"/>
        <w:right w:val="none" w:sz="0" w:space="0" w:color="auto"/>
      </w:divBdr>
    </w:div>
    <w:div w:id="1082799912">
      <w:bodyDiv w:val="1"/>
      <w:marLeft w:val="0"/>
      <w:marRight w:val="0"/>
      <w:marTop w:val="0"/>
      <w:marBottom w:val="0"/>
      <w:divBdr>
        <w:top w:val="none" w:sz="0" w:space="0" w:color="auto"/>
        <w:left w:val="none" w:sz="0" w:space="0" w:color="auto"/>
        <w:bottom w:val="none" w:sz="0" w:space="0" w:color="auto"/>
        <w:right w:val="none" w:sz="0" w:space="0" w:color="auto"/>
      </w:divBdr>
    </w:div>
    <w:div w:id="1099985022">
      <w:bodyDiv w:val="1"/>
      <w:marLeft w:val="0"/>
      <w:marRight w:val="0"/>
      <w:marTop w:val="0"/>
      <w:marBottom w:val="0"/>
      <w:divBdr>
        <w:top w:val="none" w:sz="0" w:space="0" w:color="auto"/>
        <w:left w:val="none" w:sz="0" w:space="0" w:color="auto"/>
        <w:bottom w:val="none" w:sz="0" w:space="0" w:color="auto"/>
        <w:right w:val="none" w:sz="0" w:space="0" w:color="auto"/>
      </w:divBdr>
    </w:div>
    <w:div w:id="116085449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2641752">
      <w:bodyDiv w:val="1"/>
      <w:marLeft w:val="0"/>
      <w:marRight w:val="0"/>
      <w:marTop w:val="0"/>
      <w:marBottom w:val="0"/>
      <w:divBdr>
        <w:top w:val="none" w:sz="0" w:space="0" w:color="auto"/>
        <w:left w:val="none" w:sz="0" w:space="0" w:color="auto"/>
        <w:bottom w:val="none" w:sz="0" w:space="0" w:color="auto"/>
        <w:right w:val="none" w:sz="0" w:space="0" w:color="auto"/>
      </w:divBdr>
    </w:div>
    <w:div w:id="1339387537">
      <w:bodyDiv w:val="1"/>
      <w:marLeft w:val="0"/>
      <w:marRight w:val="0"/>
      <w:marTop w:val="0"/>
      <w:marBottom w:val="0"/>
      <w:divBdr>
        <w:top w:val="none" w:sz="0" w:space="0" w:color="auto"/>
        <w:left w:val="none" w:sz="0" w:space="0" w:color="auto"/>
        <w:bottom w:val="none" w:sz="0" w:space="0" w:color="auto"/>
        <w:right w:val="none" w:sz="0" w:space="0" w:color="auto"/>
      </w:divBdr>
    </w:div>
    <w:div w:id="1407336662">
      <w:bodyDiv w:val="1"/>
      <w:marLeft w:val="0"/>
      <w:marRight w:val="0"/>
      <w:marTop w:val="0"/>
      <w:marBottom w:val="0"/>
      <w:divBdr>
        <w:top w:val="none" w:sz="0" w:space="0" w:color="auto"/>
        <w:left w:val="none" w:sz="0" w:space="0" w:color="auto"/>
        <w:bottom w:val="none" w:sz="0" w:space="0" w:color="auto"/>
        <w:right w:val="none" w:sz="0" w:space="0" w:color="auto"/>
      </w:divBdr>
    </w:div>
    <w:div w:id="1578588969">
      <w:bodyDiv w:val="1"/>
      <w:marLeft w:val="0"/>
      <w:marRight w:val="0"/>
      <w:marTop w:val="0"/>
      <w:marBottom w:val="0"/>
      <w:divBdr>
        <w:top w:val="none" w:sz="0" w:space="0" w:color="auto"/>
        <w:left w:val="none" w:sz="0" w:space="0" w:color="auto"/>
        <w:bottom w:val="none" w:sz="0" w:space="0" w:color="auto"/>
        <w:right w:val="none" w:sz="0" w:space="0" w:color="auto"/>
      </w:divBdr>
    </w:div>
    <w:div w:id="1677460505">
      <w:bodyDiv w:val="1"/>
      <w:marLeft w:val="0"/>
      <w:marRight w:val="0"/>
      <w:marTop w:val="0"/>
      <w:marBottom w:val="0"/>
      <w:divBdr>
        <w:top w:val="none" w:sz="0" w:space="0" w:color="auto"/>
        <w:left w:val="none" w:sz="0" w:space="0" w:color="auto"/>
        <w:bottom w:val="none" w:sz="0" w:space="0" w:color="auto"/>
        <w:right w:val="none" w:sz="0" w:space="0" w:color="auto"/>
      </w:divBdr>
    </w:div>
    <w:div w:id="1688822366">
      <w:bodyDiv w:val="1"/>
      <w:marLeft w:val="0"/>
      <w:marRight w:val="0"/>
      <w:marTop w:val="0"/>
      <w:marBottom w:val="0"/>
      <w:divBdr>
        <w:top w:val="none" w:sz="0" w:space="0" w:color="auto"/>
        <w:left w:val="none" w:sz="0" w:space="0" w:color="auto"/>
        <w:bottom w:val="none" w:sz="0" w:space="0" w:color="auto"/>
        <w:right w:val="none" w:sz="0" w:space="0" w:color="auto"/>
      </w:divBdr>
    </w:div>
    <w:div w:id="16901755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6673267">
      <w:bodyDiv w:val="1"/>
      <w:marLeft w:val="0"/>
      <w:marRight w:val="0"/>
      <w:marTop w:val="0"/>
      <w:marBottom w:val="0"/>
      <w:divBdr>
        <w:top w:val="none" w:sz="0" w:space="0" w:color="auto"/>
        <w:left w:val="none" w:sz="0" w:space="0" w:color="auto"/>
        <w:bottom w:val="none" w:sz="0" w:space="0" w:color="auto"/>
        <w:right w:val="none" w:sz="0" w:space="0" w:color="auto"/>
      </w:divBdr>
    </w:div>
    <w:div w:id="2049716341">
      <w:bodyDiv w:val="1"/>
      <w:marLeft w:val="0"/>
      <w:marRight w:val="0"/>
      <w:marTop w:val="0"/>
      <w:marBottom w:val="0"/>
      <w:divBdr>
        <w:top w:val="none" w:sz="0" w:space="0" w:color="auto"/>
        <w:left w:val="none" w:sz="0" w:space="0" w:color="auto"/>
        <w:bottom w:val="none" w:sz="0" w:space="0" w:color="auto"/>
        <w:right w:val="none" w:sz="0" w:space="0" w:color="auto"/>
      </w:divBdr>
    </w:div>
    <w:div w:id="2055344677">
      <w:bodyDiv w:val="1"/>
      <w:marLeft w:val="0"/>
      <w:marRight w:val="0"/>
      <w:marTop w:val="0"/>
      <w:marBottom w:val="0"/>
      <w:divBdr>
        <w:top w:val="none" w:sz="0" w:space="0" w:color="auto"/>
        <w:left w:val="none" w:sz="0" w:space="0" w:color="auto"/>
        <w:bottom w:val="none" w:sz="0" w:space="0" w:color="auto"/>
        <w:right w:val="none" w:sz="0" w:space="0" w:color="auto"/>
      </w:divBdr>
    </w:div>
    <w:div w:id="210641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644AF"/>
    <w:rsid w:val="001B232F"/>
    <w:rsid w:val="00200821"/>
    <w:rsid w:val="0025245B"/>
    <w:rsid w:val="002663DB"/>
    <w:rsid w:val="002A1DA2"/>
    <w:rsid w:val="002A3923"/>
    <w:rsid w:val="00394049"/>
    <w:rsid w:val="003B0C71"/>
    <w:rsid w:val="003D4ACA"/>
    <w:rsid w:val="00423185"/>
    <w:rsid w:val="004B5BBB"/>
    <w:rsid w:val="004F2DF8"/>
    <w:rsid w:val="00517E2A"/>
    <w:rsid w:val="00545490"/>
    <w:rsid w:val="005D2327"/>
    <w:rsid w:val="00682142"/>
    <w:rsid w:val="006924E5"/>
    <w:rsid w:val="006D3128"/>
    <w:rsid w:val="006F24A1"/>
    <w:rsid w:val="00826DF4"/>
    <w:rsid w:val="00875B8A"/>
    <w:rsid w:val="00877B64"/>
    <w:rsid w:val="008953BC"/>
    <w:rsid w:val="008D2A72"/>
    <w:rsid w:val="009A261B"/>
    <w:rsid w:val="009A3D6A"/>
    <w:rsid w:val="009C08C4"/>
    <w:rsid w:val="009D4348"/>
    <w:rsid w:val="00A721A7"/>
    <w:rsid w:val="00AA2E17"/>
    <w:rsid w:val="00AC15A4"/>
    <w:rsid w:val="00B0336C"/>
    <w:rsid w:val="00BB6FE6"/>
    <w:rsid w:val="00D241E9"/>
    <w:rsid w:val="00D7750D"/>
    <w:rsid w:val="00F00D2F"/>
    <w:rsid w:val="00F128DF"/>
    <w:rsid w:val="00F34A44"/>
    <w:rsid w:val="00F917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3078</Words>
  <Characters>17547</Characters>
  <Application>Microsoft Office Word</Application>
  <DocSecurity>0</DocSecurity>
  <Lines>146</Lines>
  <Paragraphs>41</Paragraphs>
  <ScaleCrop>false</ScaleCrop>
  <Manager/>
  <Company/>
  <LinksUpToDate>false</LinksUpToDate>
  <CharactersWithSpaces>20584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2023-06-27T18:27:00Z</dcterms:created>
  <dcterms:modified xsi:type="dcterms:W3CDTF">2023-06-27T18:27:00Z</dcterms:modified>
  <cp:category/>
</cp:coreProperties>
</file>