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2229A" w:rsidRDefault="00D306D1" w:rsidP="00627C9F">
      <w:pPr>
        <w:jc w:val="both"/>
        <w:rPr>
          <w:rFonts w:asciiTheme="majorHAnsi" w:hAnsiTheme="majorHAnsi" w:cs="Univers"/>
          <w:b/>
          <w:bCs/>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F266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2229A">
        <w:rPr>
          <w:rFonts w:asciiTheme="majorHAnsi" w:hAnsiTheme="majorHAnsi"/>
          <w:noProof/>
          <w:sz w:val="22"/>
          <w:szCs w:val="22"/>
          <w:lang w:val="es-ES_tradnl"/>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2229A">
        <w:rPr>
          <w:rFonts w:asciiTheme="majorHAnsi" w:hAnsiTheme="majorHAnsi" w:cs="Univers"/>
          <w:b/>
          <w:bCs/>
          <w:sz w:val="22"/>
          <w:szCs w:val="22"/>
          <w:lang w:val="es-ES_tradnl"/>
        </w:rPr>
        <w:t xml:space="preserve"> </w:t>
      </w:r>
    </w:p>
    <w:p w14:paraId="751BC92D"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92229A"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92229A"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2229A"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2229A"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2229A"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2229A" w:rsidRDefault="003D3BC2" w:rsidP="00040C3A">
      <w:pPr>
        <w:tabs>
          <w:tab w:val="center" w:pos="5400"/>
        </w:tabs>
        <w:suppressAutoHyphens/>
        <w:jc w:val="center"/>
        <w:rPr>
          <w:rFonts w:asciiTheme="majorHAnsi" w:hAnsiTheme="majorHAnsi"/>
          <w:sz w:val="22"/>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DADB3DD" w:rsidR="005B52B0" w:rsidRPr="00306C8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306C8B">
                              <w:rPr>
                                <w:rFonts w:asciiTheme="majorHAnsi" w:hAnsiTheme="majorHAnsi" w:cs="Arial"/>
                                <w:b/>
                                <w:bCs/>
                                <w:color w:val="0D0D0D" w:themeColor="text1" w:themeTint="F2"/>
                                <w:sz w:val="36"/>
                                <w:szCs w:val="40"/>
                                <w:lang w:val="es-ES_tradnl"/>
                              </w:rPr>
                              <w:t>No.</w:t>
                            </w:r>
                            <w:r w:rsidR="007B05C4" w:rsidRPr="00306C8B">
                              <w:rPr>
                                <w:rFonts w:asciiTheme="majorHAnsi" w:hAnsiTheme="majorHAnsi" w:cs="Arial"/>
                                <w:b/>
                                <w:bCs/>
                                <w:color w:val="0D0D0D" w:themeColor="text1" w:themeTint="F2"/>
                                <w:sz w:val="36"/>
                                <w:szCs w:val="22"/>
                                <w:lang w:val="es-ES_tradnl"/>
                              </w:rPr>
                              <w:t xml:space="preserve"> </w:t>
                            </w:r>
                            <w:r w:rsidR="00C20B44">
                              <w:rPr>
                                <w:rFonts w:asciiTheme="majorHAnsi" w:hAnsiTheme="majorHAnsi" w:cs="Arial"/>
                                <w:b/>
                                <w:bCs/>
                                <w:color w:val="0D0D0D" w:themeColor="text1" w:themeTint="F2"/>
                                <w:sz w:val="36"/>
                                <w:szCs w:val="22"/>
                                <w:lang w:val="es-ES_tradnl"/>
                              </w:rPr>
                              <w:t>353</w:t>
                            </w:r>
                            <w:r w:rsidR="007B05C4" w:rsidRPr="00306C8B">
                              <w:rPr>
                                <w:rFonts w:asciiTheme="majorHAnsi" w:hAnsiTheme="majorHAnsi" w:cs="Arial"/>
                                <w:b/>
                                <w:bCs/>
                                <w:color w:val="0D0D0D" w:themeColor="text1" w:themeTint="F2"/>
                                <w:sz w:val="36"/>
                                <w:szCs w:val="22"/>
                                <w:lang w:val="es-ES_tradnl"/>
                              </w:rPr>
                              <w:t>/</w:t>
                            </w:r>
                            <w:r w:rsidR="001D57D6" w:rsidRPr="00306C8B">
                              <w:rPr>
                                <w:rFonts w:asciiTheme="majorHAnsi" w:hAnsiTheme="majorHAnsi" w:cs="Arial"/>
                                <w:b/>
                                <w:bCs/>
                                <w:color w:val="0D0D0D" w:themeColor="text1" w:themeTint="F2"/>
                                <w:sz w:val="36"/>
                                <w:szCs w:val="22"/>
                                <w:lang w:val="es-ES_tradnl"/>
                              </w:rPr>
                              <w:t>2</w:t>
                            </w:r>
                            <w:r w:rsidR="00DE6F13" w:rsidRPr="00306C8B">
                              <w:rPr>
                                <w:rFonts w:asciiTheme="majorHAnsi" w:hAnsiTheme="majorHAnsi" w:cs="Arial"/>
                                <w:b/>
                                <w:bCs/>
                                <w:color w:val="0D0D0D" w:themeColor="text1" w:themeTint="F2"/>
                                <w:sz w:val="36"/>
                                <w:szCs w:val="22"/>
                                <w:lang w:val="es-ES_tradnl"/>
                              </w:rPr>
                              <w:t>3</w:t>
                            </w:r>
                          </w:p>
                          <w:p w14:paraId="45F30ECA" w14:textId="1E4B2430" w:rsidR="007B05C4" w:rsidRPr="00306C8B" w:rsidRDefault="005B52B0" w:rsidP="00997BC5">
                            <w:pPr>
                              <w:spacing w:line="276" w:lineRule="auto"/>
                              <w:rPr>
                                <w:rFonts w:asciiTheme="majorHAnsi" w:hAnsiTheme="majorHAnsi" w:cs="Arial"/>
                                <w:b/>
                                <w:color w:val="0D0D0D" w:themeColor="text1" w:themeTint="F2"/>
                                <w:sz w:val="36"/>
                                <w:szCs w:val="22"/>
                                <w:lang w:val="es-ES_tradnl"/>
                              </w:rPr>
                            </w:pPr>
                            <w:r w:rsidRPr="00306C8B">
                              <w:rPr>
                                <w:rFonts w:asciiTheme="majorHAnsi" w:hAnsiTheme="majorHAnsi" w:cs="Arial"/>
                                <w:b/>
                                <w:color w:val="0D0D0D" w:themeColor="text1" w:themeTint="F2"/>
                                <w:sz w:val="36"/>
                                <w:szCs w:val="22"/>
                                <w:lang w:val="es-ES_tradnl"/>
                              </w:rPr>
                              <w:t xml:space="preserve">PETICIÓN </w:t>
                            </w:r>
                            <w:r w:rsidR="00DE6F13" w:rsidRPr="00306C8B">
                              <w:rPr>
                                <w:rFonts w:asciiTheme="majorHAnsi" w:hAnsiTheme="majorHAnsi" w:cs="Arial"/>
                                <w:b/>
                                <w:color w:val="0D0D0D" w:themeColor="text1" w:themeTint="F2"/>
                                <w:sz w:val="36"/>
                                <w:szCs w:val="22"/>
                                <w:lang w:val="es-ES_tradnl"/>
                              </w:rPr>
                              <w:t>1249-18</w:t>
                            </w:r>
                            <w:r w:rsidR="00246D1F" w:rsidRPr="00306C8B">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06C8B">
                              <w:rPr>
                                <w:rFonts w:asciiTheme="majorHAnsi" w:hAnsiTheme="majorHAnsi" w:cs="Arial"/>
                                <w:color w:val="0D0D0D" w:themeColor="text1" w:themeTint="F2"/>
                                <w:szCs w:val="22"/>
                                <w:lang w:val="es-ES_tradnl"/>
                              </w:rPr>
                              <w:t>INFORME DE ADMISIBI</w:t>
                            </w:r>
                            <w:r w:rsidRPr="0010736F">
                              <w:rPr>
                                <w:rFonts w:asciiTheme="majorHAnsi" w:hAnsiTheme="majorHAnsi" w:cs="Arial"/>
                                <w:color w:val="0D0D0D" w:themeColor="text1" w:themeTint="F2"/>
                                <w:szCs w:val="22"/>
                                <w:lang w:val="es-ES_tradnl"/>
                              </w:rPr>
                              <w:t>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714A86F" w:rsidR="005B52B0" w:rsidRPr="0010736F" w:rsidRDefault="000E6E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MARTÍN</w:t>
                            </w:r>
                            <w:r w:rsidR="00DE6F13">
                              <w:rPr>
                                <w:rFonts w:asciiTheme="majorHAnsi" w:hAnsiTheme="majorHAnsi" w:cs="Arial"/>
                                <w:color w:val="0D0D0D" w:themeColor="text1" w:themeTint="F2"/>
                                <w:szCs w:val="22"/>
                                <w:lang w:val="es-ES_tradnl"/>
                              </w:rPr>
                              <w:t xml:space="preserve"> ZAPIL POZ Y </w:t>
                            </w:r>
                            <w:r w:rsidR="004D5ADC">
                              <w:rPr>
                                <w:rFonts w:asciiTheme="majorHAnsi" w:hAnsiTheme="majorHAnsi" w:cs="Arial"/>
                                <w:color w:val="0D0D0D" w:themeColor="text1" w:themeTint="F2"/>
                                <w:szCs w:val="22"/>
                                <w:lang w:val="es-ES_tradnl"/>
                              </w:rPr>
                              <w:t>FAMILIA</w:t>
                            </w:r>
                          </w:p>
                          <w:bookmarkEnd w:id="0"/>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7DADB3DD" w:rsidR="005B52B0" w:rsidRPr="00306C8B"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306C8B">
                        <w:rPr>
                          <w:rFonts w:asciiTheme="majorHAnsi" w:hAnsiTheme="majorHAnsi" w:cs="Arial"/>
                          <w:b/>
                          <w:bCs/>
                          <w:color w:val="0D0D0D" w:themeColor="text1" w:themeTint="F2"/>
                          <w:sz w:val="36"/>
                          <w:szCs w:val="40"/>
                          <w:lang w:val="es-ES_tradnl"/>
                        </w:rPr>
                        <w:t>No.</w:t>
                      </w:r>
                      <w:r w:rsidR="007B05C4" w:rsidRPr="00306C8B">
                        <w:rPr>
                          <w:rFonts w:asciiTheme="majorHAnsi" w:hAnsiTheme="majorHAnsi" w:cs="Arial"/>
                          <w:b/>
                          <w:bCs/>
                          <w:color w:val="0D0D0D" w:themeColor="text1" w:themeTint="F2"/>
                          <w:sz w:val="36"/>
                          <w:szCs w:val="22"/>
                          <w:lang w:val="es-ES_tradnl"/>
                        </w:rPr>
                        <w:t xml:space="preserve"> </w:t>
                      </w:r>
                      <w:r w:rsidR="00C20B44">
                        <w:rPr>
                          <w:rFonts w:asciiTheme="majorHAnsi" w:hAnsiTheme="majorHAnsi" w:cs="Arial"/>
                          <w:b/>
                          <w:bCs/>
                          <w:color w:val="0D0D0D" w:themeColor="text1" w:themeTint="F2"/>
                          <w:sz w:val="36"/>
                          <w:szCs w:val="22"/>
                          <w:lang w:val="es-ES_tradnl"/>
                        </w:rPr>
                        <w:t>353</w:t>
                      </w:r>
                      <w:r w:rsidR="007B05C4" w:rsidRPr="00306C8B">
                        <w:rPr>
                          <w:rFonts w:asciiTheme="majorHAnsi" w:hAnsiTheme="majorHAnsi" w:cs="Arial"/>
                          <w:b/>
                          <w:bCs/>
                          <w:color w:val="0D0D0D" w:themeColor="text1" w:themeTint="F2"/>
                          <w:sz w:val="36"/>
                          <w:szCs w:val="22"/>
                          <w:lang w:val="es-ES_tradnl"/>
                        </w:rPr>
                        <w:t>/</w:t>
                      </w:r>
                      <w:r w:rsidR="001D57D6" w:rsidRPr="00306C8B">
                        <w:rPr>
                          <w:rFonts w:asciiTheme="majorHAnsi" w:hAnsiTheme="majorHAnsi" w:cs="Arial"/>
                          <w:b/>
                          <w:bCs/>
                          <w:color w:val="0D0D0D" w:themeColor="text1" w:themeTint="F2"/>
                          <w:sz w:val="36"/>
                          <w:szCs w:val="22"/>
                          <w:lang w:val="es-ES_tradnl"/>
                        </w:rPr>
                        <w:t>2</w:t>
                      </w:r>
                      <w:r w:rsidR="00DE6F13" w:rsidRPr="00306C8B">
                        <w:rPr>
                          <w:rFonts w:asciiTheme="majorHAnsi" w:hAnsiTheme="majorHAnsi" w:cs="Arial"/>
                          <w:b/>
                          <w:bCs/>
                          <w:color w:val="0D0D0D" w:themeColor="text1" w:themeTint="F2"/>
                          <w:sz w:val="36"/>
                          <w:szCs w:val="22"/>
                          <w:lang w:val="es-ES_tradnl"/>
                        </w:rPr>
                        <w:t>3</w:t>
                      </w:r>
                    </w:p>
                    <w:p w14:paraId="45F30ECA" w14:textId="1E4B2430" w:rsidR="007B05C4" w:rsidRPr="00306C8B" w:rsidRDefault="005B52B0" w:rsidP="00997BC5">
                      <w:pPr>
                        <w:spacing w:line="276" w:lineRule="auto"/>
                        <w:rPr>
                          <w:rFonts w:asciiTheme="majorHAnsi" w:hAnsiTheme="majorHAnsi" w:cs="Arial"/>
                          <w:b/>
                          <w:color w:val="0D0D0D" w:themeColor="text1" w:themeTint="F2"/>
                          <w:sz w:val="36"/>
                          <w:szCs w:val="22"/>
                          <w:lang w:val="es-ES_tradnl"/>
                        </w:rPr>
                      </w:pPr>
                      <w:r w:rsidRPr="00306C8B">
                        <w:rPr>
                          <w:rFonts w:asciiTheme="majorHAnsi" w:hAnsiTheme="majorHAnsi" w:cs="Arial"/>
                          <w:b/>
                          <w:color w:val="0D0D0D" w:themeColor="text1" w:themeTint="F2"/>
                          <w:sz w:val="36"/>
                          <w:szCs w:val="22"/>
                          <w:lang w:val="es-ES_tradnl"/>
                        </w:rPr>
                        <w:t xml:space="preserve">PETICIÓN </w:t>
                      </w:r>
                      <w:r w:rsidR="00DE6F13" w:rsidRPr="00306C8B">
                        <w:rPr>
                          <w:rFonts w:asciiTheme="majorHAnsi" w:hAnsiTheme="majorHAnsi" w:cs="Arial"/>
                          <w:b/>
                          <w:color w:val="0D0D0D" w:themeColor="text1" w:themeTint="F2"/>
                          <w:sz w:val="36"/>
                          <w:szCs w:val="22"/>
                          <w:lang w:val="es-ES_tradnl"/>
                        </w:rPr>
                        <w:t>1249-18</w:t>
                      </w:r>
                      <w:r w:rsidR="00246D1F" w:rsidRPr="00306C8B">
                        <w:rPr>
                          <w:rFonts w:asciiTheme="majorHAnsi" w:hAnsiTheme="majorHAnsi" w:cs="Arial"/>
                          <w:b/>
                          <w:color w:val="0D0D0D" w:themeColor="text1" w:themeTint="F2"/>
                          <w:sz w:val="36"/>
                          <w:szCs w:val="22"/>
                          <w:lang w:val="es-ES_tradnl"/>
                        </w:rPr>
                        <w:t xml:space="preserve"> </w:t>
                      </w:r>
                    </w:p>
                    <w:p w14:paraId="188B4303" w14:textId="1678674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06C8B">
                        <w:rPr>
                          <w:rFonts w:asciiTheme="majorHAnsi" w:hAnsiTheme="majorHAnsi" w:cs="Arial"/>
                          <w:color w:val="0D0D0D" w:themeColor="text1" w:themeTint="F2"/>
                          <w:szCs w:val="22"/>
                          <w:lang w:val="es-ES_tradnl"/>
                        </w:rPr>
                        <w:t>INFORME DE ADMISIBI</w:t>
                      </w:r>
                      <w:r w:rsidRPr="0010736F">
                        <w:rPr>
                          <w:rFonts w:asciiTheme="majorHAnsi" w:hAnsiTheme="majorHAnsi" w:cs="Arial"/>
                          <w:color w:val="0D0D0D" w:themeColor="text1" w:themeTint="F2"/>
                          <w:szCs w:val="22"/>
                          <w:lang w:val="es-ES_tradnl"/>
                        </w:rPr>
                        <w:t>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714A86F" w:rsidR="005B52B0" w:rsidRPr="0010736F" w:rsidRDefault="000E6E3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MARTÍN</w:t>
                      </w:r>
                      <w:r w:rsidR="00DE6F13">
                        <w:rPr>
                          <w:rFonts w:asciiTheme="majorHAnsi" w:hAnsiTheme="majorHAnsi" w:cs="Arial"/>
                          <w:color w:val="0D0D0D" w:themeColor="text1" w:themeTint="F2"/>
                          <w:szCs w:val="22"/>
                          <w:lang w:val="es-ES_tradnl"/>
                        </w:rPr>
                        <w:t xml:space="preserve"> ZAPIL POZ Y </w:t>
                      </w:r>
                      <w:r w:rsidR="004D5ADC">
                        <w:rPr>
                          <w:rFonts w:asciiTheme="majorHAnsi" w:hAnsiTheme="majorHAnsi" w:cs="Arial"/>
                          <w:color w:val="0D0D0D" w:themeColor="text1" w:themeTint="F2"/>
                          <w:szCs w:val="22"/>
                          <w:lang w:val="es-ES_tradnl"/>
                        </w:rPr>
                        <w:t>FAMILIA</w:t>
                      </w:r>
                    </w:p>
                    <w:bookmarkEnd w:id="1"/>
                    <w:p w14:paraId="0B9F7D22" w14:textId="265E6614" w:rsidR="005B52B0" w:rsidRPr="00F56ECB" w:rsidRDefault="000F52E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txbxContent>
                </v:textbox>
              </v:shape>
            </w:pict>
          </mc:Fallback>
        </mc:AlternateContent>
      </w:r>
      <w:r w:rsidR="004E2649" w:rsidRPr="0092229A">
        <w:rPr>
          <w:rFonts w:asciiTheme="majorHAnsi" w:hAnsiTheme="majorHAnsi"/>
          <w:noProof/>
          <w:sz w:val="22"/>
          <w:szCs w:val="22"/>
          <w:lang w:val="es-ES_tradnl"/>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DBBEAE7" w:rsidR="00627C9F" w:rsidRPr="00137C8E" w:rsidRDefault="00834D49" w:rsidP="007A5817">
                            <w:pPr>
                              <w:spacing w:line="276" w:lineRule="auto"/>
                              <w:jc w:val="right"/>
                              <w:rPr>
                                <w:rFonts w:asciiTheme="minorHAnsi" w:hAnsiTheme="minorHAnsi"/>
                                <w:color w:val="FFFFFF" w:themeColor="background1"/>
                                <w:sz w:val="22"/>
                                <w:lang w:val="es-ES"/>
                              </w:rPr>
                            </w:pPr>
                            <w:r w:rsidRPr="00137C8E">
                              <w:rPr>
                                <w:rFonts w:asciiTheme="minorHAnsi" w:hAnsiTheme="minorHAnsi"/>
                                <w:color w:val="FFFFFF" w:themeColor="background1"/>
                                <w:sz w:val="22"/>
                                <w:lang w:val="es-ES"/>
                              </w:rPr>
                              <w:t>OEA/Ser.L/V/II</w:t>
                            </w:r>
                          </w:p>
                          <w:p w14:paraId="71D2D5D2" w14:textId="18311252" w:rsidR="00627C9F" w:rsidRPr="00137C8E" w:rsidRDefault="00627C9F" w:rsidP="007A5817">
                            <w:pPr>
                              <w:spacing w:line="276" w:lineRule="auto"/>
                              <w:jc w:val="right"/>
                              <w:rPr>
                                <w:rFonts w:asciiTheme="minorHAnsi" w:hAnsiTheme="minorHAnsi"/>
                                <w:color w:val="FFFFFF" w:themeColor="background1"/>
                                <w:sz w:val="22"/>
                                <w:lang w:val="es-ES"/>
                              </w:rPr>
                            </w:pPr>
                            <w:r w:rsidRPr="00137C8E">
                              <w:rPr>
                                <w:rFonts w:asciiTheme="minorHAnsi" w:hAnsiTheme="minorHAnsi"/>
                                <w:color w:val="FFFFFF" w:themeColor="background1"/>
                                <w:sz w:val="22"/>
                                <w:lang w:val="es-ES"/>
                              </w:rPr>
                              <w:t xml:space="preserve">Doc. </w:t>
                            </w:r>
                            <w:r w:rsidR="00137C8E" w:rsidRPr="00137C8E">
                              <w:rPr>
                                <w:rFonts w:asciiTheme="minorHAnsi" w:hAnsiTheme="minorHAnsi"/>
                                <w:color w:val="FFFFFF" w:themeColor="background1"/>
                                <w:sz w:val="22"/>
                                <w:lang w:val="es-ES"/>
                              </w:rPr>
                              <w:t>380</w:t>
                            </w:r>
                          </w:p>
                          <w:p w14:paraId="4061DBBD" w14:textId="64E941CE" w:rsidR="00627C9F" w:rsidRPr="00306C8B" w:rsidRDefault="00137C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diciembre</w:t>
                            </w:r>
                            <w:r w:rsidR="00627C9F" w:rsidRPr="00306C8B">
                              <w:rPr>
                                <w:rFonts w:asciiTheme="minorHAnsi" w:hAnsiTheme="minorHAnsi"/>
                                <w:color w:val="FFFFFF" w:themeColor="background1"/>
                                <w:sz w:val="22"/>
                                <w:lang w:val="es-PA"/>
                              </w:rPr>
                              <w:t xml:space="preserve"> 20</w:t>
                            </w:r>
                            <w:r w:rsidR="00C23BA4" w:rsidRPr="00306C8B">
                              <w:rPr>
                                <w:rFonts w:asciiTheme="minorHAnsi" w:hAnsiTheme="minorHAnsi"/>
                                <w:color w:val="FFFFFF" w:themeColor="background1"/>
                                <w:sz w:val="22"/>
                                <w:lang w:val="es-PA"/>
                              </w:rPr>
                              <w:t>2</w:t>
                            </w:r>
                            <w:r w:rsidR="00DE6F13" w:rsidRPr="00306C8B">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06C8B">
                              <w:rPr>
                                <w:rFonts w:asciiTheme="minorHAnsi" w:hAnsiTheme="minorHAnsi"/>
                                <w:color w:val="FFFFFF" w:themeColor="background1"/>
                                <w:sz w:val="22"/>
                                <w:lang w:val="es-PA"/>
                              </w:rPr>
                              <w:t xml:space="preserve">Original: </w:t>
                            </w:r>
                            <w:r w:rsidR="008B12F5" w:rsidRPr="00306C8B">
                              <w:rPr>
                                <w:rFonts w:asciiTheme="minorHAnsi" w:hAnsiTheme="minorHAnsi"/>
                                <w:color w:val="FFFFFF" w:themeColor="background1"/>
                                <w:sz w:val="22"/>
                                <w:lang w:val="es-PA"/>
                              </w:rPr>
                              <w:t>e</w:t>
                            </w:r>
                            <w:r w:rsidR="00627C9F" w:rsidRPr="00306C8B">
                              <w:rPr>
                                <w:rFonts w:asciiTheme="minorHAnsi" w:hAnsiTheme="minorHAnsi"/>
                                <w:color w:val="FFFFFF" w:themeColor="background1"/>
                                <w:sz w:val="22"/>
                                <w:lang w:val="es-PA"/>
                              </w:rPr>
                              <w:t>spa</w:t>
                            </w:r>
                            <w:r w:rsidR="00627C9F" w:rsidRPr="00C25ADB">
                              <w:rPr>
                                <w:rFonts w:asciiTheme="minorHAnsi" w:hAnsiTheme="minorHAnsi"/>
                                <w:color w:val="FFFFFF" w:themeColor="background1"/>
                                <w:sz w:val="22"/>
                                <w:lang w:val="es-PA"/>
                              </w:rPr>
                              <w:t>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DBBEAE7" w:rsidR="00627C9F" w:rsidRPr="00137C8E" w:rsidRDefault="00834D49" w:rsidP="007A5817">
                      <w:pPr>
                        <w:spacing w:line="276" w:lineRule="auto"/>
                        <w:jc w:val="right"/>
                        <w:rPr>
                          <w:rFonts w:asciiTheme="minorHAnsi" w:hAnsiTheme="minorHAnsi"/>
                          <w:color w:val="FFFFFF" w:themeColor="background1"/>
                          <w:sz w:val="22"/>
                          <w:lang w:val="es-ES"/>
                        </w:rPr>
                      </w:pPr>
                      <w:r w:rsidRPr="00137C8E">
                        <w:rPr>
                          <w:rFonts w:asciiTheme="minorHAnsi" w:hAnsiTheme="minorHAnsi"/>
                          <w:color w:val="FFFFFF" w:themeColor="background1"/>
                          <w:sz w:val="22"/>
                          <w:lang w:val="es-ES"/>
                        </w:rPr>
                        <w:t>OEA/Ser.L/V/II</w:t>
                      </w:r>
                    </w:p>
                    <w:p w14:paraId="71D2D5D2" w14:textId="18311252" w:rsidR="00627C9F" w:rsidRPr="00137C8E" w:rsidRDefault="00627C9F" w:rsidP="007A5817">
                      <w:pPr>
                        <w:spacing w:line="276" w:lineRule="auto"/>
                        <w:jc w:val="right"/>
                        <w:rPr>
                          <w:rFonts w:asciiTheme="minorHAnsi" w:hAnsiTheme="minorHAnsi"/>
                          <w:color w:val="FFFFFF" w:themeColor="background1"/>
                          <w:sz w:val="22"/>
                          <w:lang w:val="es-ES"/>
                        </w:rPr>
                      </w:pPr>
                      <w:r w:rsidRPr="00137C8E">
                        <w:rPr>
                          <w:rFonts w:asciiTheme="minorHAnsi" w:hAnsiTheme="minorHAnsi"/>
                          <w:color w:val="FFFFFF" w:themeColor="background1"/>
                          <w:sz w:val="22"/>
                          <w:lang w:val="es-ES"/>
                        </w:rPr>
                        <w:t xml:space="preserve">Doc. </w:t>
                      </w:r>
                      <w:r w:rsidR="00137C8E" w:rsidRPr="00137C8E">
                        <w:rPr>
                          <w:rFonts w:asciiTheme="minorHAnsi" w:hAnsiTheme="minorHAnsi"/>
                          <w:color w:val="FFFFFF" w:themeColor="background1"/>
                          <w:sz w:val="22"/>
                          <w:lang w:val="es-ES"/>
                        </w:rPr>
                        <w:t>380</w:t>
                      </w:r>
                    </w:p>
                    <w:p w14:paraId="4061DBBD" w14:textId="64E941CE" w:rsidR="00627C9F" w:rsidRPr="00306C8B" w:rsidRDefault="00137C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diciembre</w:t>
                      </w:r>
                      <w:r w:rsidR="00627C9F" w:rsidRPr="00306C8B">
                        <w:rPr>
                          <w:rFonts w:asciiTheme="minorHAnsi" w:hAnsiTheme="minorHAnsi"/>
                          <w:color w:val="FFFFFF" w:themeColor="background1"/>
                          <w:sz w:val="22"/>
                          <w:lang w:val="es-PA"/>
                        </w:rPr>
                        <w:t xml:space="preserve"> 20</w:t>
                      </w:r>
                      <w:r w:rsidR="00C23BA4" w:rsidRPr="00306C8B">
                        <w:rPr>
                          <w:rFonts w:asciiTheme="minorHAnsi" w:hAnsiTheme="minorHAnsi"/>
                          <w:color w:val="FFFFFF" w:themeColor="background1"/>
                          <w:sz w:val="22"/>
                          <w:lang w:val="es-PA"/>
                        </w:rPr>
                        <w:t>2</w:t>
                      </w:r>
                      <w:r w:rsidR="00DE6F13" w:rsidRPr="00306C8B">
                        <w:rPr>
                          <w:rFonts w:asciiTheme="minorHAnsi" w:hAnsiTheme="minorHAnsi"/>
                          <w:color w:val="FFFFFF" w:themeColor="background1"/>
                          <w:sz w:val="22"/>
                          <w:lang w:val="es-PA"/>
                        </w:rPr>
                        <w:t>3</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06C8B">
                        <w:rPr>
                          <w:rFonts w:asciiTheme="minorHAnsi" w:hAnsiTheme="minorHAnsi"/>
                          <w:color w:val="FFFFFF" w:themeColor="background1"/>
                          <w:sz w:val="22"/>
                          <w:lang w:val="es-PA"/>
                        </w:rPr>
                        <w:t xml:space="preserve">Original: </w:t>
                      </w:r>
                      <w:r w:rsidR="008B12F5" w:rsidRPr="00306C8B">
                        <w:rPr>
                          <w:rFonts w:asciiTheme="minorHAnsi" w:hAnsiTheme="minorHAnsi"/>
                          <w:color w:val="FFFFFF" w:themeColor="background1"/>
                          <w:sz w:val="22"/>
                          <w:lang w:val="es-PA"/>
                        </w:rPr>
                        <w:t>e</w:t>
                      </w:r>
                      <w:r w:rsidR="00627C9F" w:rsidRPr="00306C8B">
                        <w:rPr>
                          <w:rFonts w:asciiTheme="minorHAnsi" w:hAnsiTheme="minorHAnsi"/>
                          <w:color w:val="FFFFFF" w:themeColor="background1"/>
                          <w:sz w:val="22"/>
                          <w:lang w:val="es-PA"/>
                        </w:rPr>
                        <w:t>spa</w:t>
                      </w:r>
                      <w:r w:rsidR="00627C9F" w:rsidRPr="00C25ADB">
                        <w:rPr>
                          <w:rFonts w:asciiTheme="minorHAnsi" w:hAnsiTheme="minorHAnsi"/>
                          <w:color w:val="FFFFFF" w:themeColor="background1"/>
                          <w:sz w:val="22"/>
                          <w:lang w:val="es-PA"/>
                        </w:rPr>
                        <w:t>ñol</w:t>
                      </w:r>
                    </w:p>
                  </w:txbxContent>
                </v:textbox>
              </v:shape>
            </w:pict>
          </mc:Fallback>
        </mc:AlternateContent>
      </w:r>
    </w:p>
    <w:p w14:paraId="05E2386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2229A"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2229A"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2229A"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22"/>
          <w:szCs w:val="22"/>
          <w:lang w:val="es-ES_tradnl"/>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2F59B8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w:t>
                            </w:r>
                            <w:r w:rsidRPr="00306C8B">
                              <w:rPr>
                                <w:rFonts w:asciiTheme="majorHAnsi" w:hAnsiTheme="majorHAnsi"/>
                                <w:color w:val="0D0D0D" w:themeColor="text1" w:themeTint="F2"/>
                                <w:sz w:val="18"/>
                                <w:szCs w:val="22"/>
                                <w:lang w:val="es-ES"/>
                              </w:rPr>
                              <w:t xml:space="preserve">ón el </w:t>
                            </w:r>
                            <w:r w:rsidR="007B5869">
                              <w:rPr>
                                <w:rFonts w:asciiTheme="majorHAnsi" w:hAnsiTheme="majorHAnsi"/>
                                <w:color w:val="0D0D0D" w:themeColor="text1" w:themeTint="F2"/>
                                <w:sz w:val="18"/>
                                <w:szCs w:val="22"/>
                                <w:lang w:val="es-ES"/>
                              </w:rPr>
                              <w:t>16</w:t>
                            </w:r>
                            <w:r w:rsidRPr="00306C8B">
                              <w:rPr>
                                <w:rFonts w:asciiTheme="majorHAnsi" w:hAnsiTheme="majorHAnsi"/>
                                <w:color w:val="0D0D0D" w:themeColor="text1" w:themeTint="F2"/>
                                <w:sz w:val="18"/>
                                <w:szCs w:val="22"/>
                                <w:lang w:val="es-ES"/>
                              </w:rPr>
                              <w:t xml:space="preserve"> de </w:t>
                            </w:r>
                            <w:r w:rsidR="007B5869">
                              <w:rPr>
                                <w:rFonts w:asciiTheme="majorHAnsi" w:hAnsiTheme="majorHAnsi"/>
                                <w:color w:val="0D0D0D" w:themeColor="text1" w:themeTint="F2"/>
                                <w:sz w:val="18"/>
                                <w:szCs w:val="22"/>
                                <w:lang w:val="es-ES"/>
                              </w:rPr>
                              <w:t>diciembre</w:t>
                            </w:r>
                            <w:r w:rsidR="00F81BB8" w:rsidRPr="00306C8B">
                              <w:rPr>
                                <w:rFonts w:asciiTheme="majorHAnsi" w:hAnsiTheme="majorHAnsi"/>
                                <w:color w:val="0D0D0D" w:themeColor="text1" w:themeTint="F2"/>
                                <w:sz w:val="18"/>
                                <w:szCs w:val="22"/>
                                <w:lang w:val="es-ES"/>
                              </w:rPr>
                              <w:t xml:space="preserve"> </w:t>
                            </w:r>
                            <w:r w:rsidRPr="00306C8B">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e 20</w:t>
                            </w:r>
                            <w:r w:rsidR="00C23BA4">
                              <w:rPr>
                                <w:rFonts w:asciiTheme="majorHAnsi" w:hAnsiTheme="majorHAnsi"/>
                                <w:color w:val="0D0D0D" w:themeColor="text1" w:themeTint="F2"/>
                                <w:sz w:val="18"/>
                                <w:szCs w:val="22"/>
                                <w:lang w:val="es-ES"/>
                              </w:rPr>
                              <w:t>2</w:t>
                            </w:r>
                            <w:r w:rsidR="00DE6F13">
                              <w:rPr>
                                <w:rFonts w:asciiTheme="majorHAnsi" w:hAnsiTheme="majorHAnsi"/>
                                <w:color w:val="0D0D0D" w:themeColor="text1" w:themeTint="F2"/>
                                <w:sz w:val="18"/>
                                <w:szCs w:val="22"/>
                                <w:lang w:val="es-ES"/>
                              </w:rPr>
                              <w:t>3</w:t>
                            </w:r>
                            <w:r w:rsidR="00306C8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2F59B8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w:t>
                      </w:r>
                      <w:r w:rsidRPr="00306C8B">
                        <w:rPr>
                          <w:rFonts w:asciiTheme="majorHAnsi" w:hAnsiTheme="majorHAnsi"/>
                          <w:color w:val="0D0D0D" w:themeColor="text1" w:themeTint="F2"/>
                          <w:sz w:val="18"/>
                          <w:szCs w:val="22"/>
                          <w:lang w:val="es-ES"/>
                        </w:rPr>
                        <w:t xml:space="preserve">ón el </w:t>
                      </w:r>
                      <w:r w:rsidR="007B5869">
                        <w:rPr>
                          <w:rFonts w:asciiTheme="majorHAnsi" w:hAnsiTheme="majorHAnsi"/>
                          <w:color w:val="0D0D0D" w:themeColor="text1" w:themeTint="F2"/>
                          <w:sz w:val="18"/>
                          <w:szCs w:val="22"/>
                          <w:lang w:val="es-ES"/>
                        </w:rPr>
                        <w:t>16</w:t>
                      </w:r>
                      <w:r w:rsidRPr="00306C8B">
                        <w:rPr>
                          <w:rFonts w:asciiTheme="majorHAnsi" w:hAnsiTheme="majorHAnsi"/>
                          <w:color w:val="0D0D0D" w:themeColor="text1" w:themeTint="F2"/>
                          <w:sz w:val="18"/>
                          <w:szCs w:val="22"/>
                          <w:lang w:val="es-ES"/>
                        </w:rPr>
                        <w:t xml:space="preserve"> de </w:t>
                      </w:r>
                      <w:r w:rsidR="007B5869">
                        <w:rPr>
                          <w:rFonts w:asciiTheme="majorHAnsi" w:hAnsiTheme="majorHAnsi"/>
                          <w:color w:val="0D0D0D" w:themeColor="text1" w:themeTint="F2"/>
                          <w:sz w:val="18"/>
                          <w:szCs w:val="22"/>
                          <w:lang w:val="es-ES"/>
                        </w:rPr>
                        <w:t>diciembre</w:t>
                      </w:r>
                      <w:r w:rsidR="00F81BB8" w:rsidRPr="00306C8B">
                        <w:rPr>
                          <w:rFonts w:asciiTheme="majorHAnsi" w:hAnsiTheme="majorHAnsi"/>
                          <w:color w:val="0D0D0D" w:themeColor="text1" w:themeTint="F2"/>
                          <w:sz w:val="18"/>
                          <w:szCs w:val="22"/>
                          <w:lang w:val="es-ES"/>
                        </w:rPr>
                        <w:t xml:space="preserve"> </w:t>
                      </w:r>
                      <w:r w:rsidRPr="00306C8B">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e 20</w:t>
                      </w:r>
                      <w:r w:rsidR="00C23BA4">
                        <w:rPr>
                          <w:rFonts w:asciiTheme="majorHAnsi" w:hAnsiTheme="majorHAnsi"/>
                          <w:color w:val="0D0D0D" w:themeColor="text1" w:themeTint="F2"/>
                          <w:sz w:val="18"/>
                          <w:szCs w:val="22"/>
                          <w:lang w:val="es-ES"/>
                        </w:rPr>
                        <w:t>2</w:t>
                      </w:r>
                      <w:r w:rsidR="00DE6F13">
                        <w:rPr>
                          <w:rFonts w:asciiTheme="majorHAnsi" w:hAnsiTheme="majorHAnsi"/>
                          <w:color w:val="0D0D0D" w:themeColor="text1" w:themeTint="F2"/>
                          <w:sz w:val="18"/>
                          <w:szCs w:val="22"/>
                          <w:lang w:val="es-ES"/>
                        </w:rPr>
                        <w:t>3</w:t>
                      </w:r>
                      <w:r w:rsidR="00306C8B">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2229A" w:rsidRDefault="0090270B" w:rsidP="00040C3A">
      <w:pPr>
        <w:tabs>
          <w:tab w:val="center" w:pos="5400"/>
        </w:tabs>
        <w:suppressAutoHyphens/>
        <w:jc w:val="center"/>
        <w:rPr>
          <w:rFonts w:asciiTheme="majorHAnsi" w:hAnsiTheme="majorHAnsi"/>
          <w:sz w:val="18"/>
          <w:szCs w:val="22"/>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851CB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w:t>
                            </w:r>
                            <w:r w:rsidRPr="00306C8B">
                              <w:rPr>
                                <w:rFonts w:asciiTheme="majorHAnsi" w:hAnsiTheme="majorHAnsi"/>
                                <w:color w:val="595959" w:themeColor="text1" w:themeTint="A6"/>
                                <w:sz w:val="18"/>
                                <w:szCs w:val="18"/>
                                <w:lang w:val="pt-BR"/>
                              </w:rPr>
                              <w:t xml:space="preserve">rme No. </w:t>
                            </w:r>
                            <w:r w:rsidR="00C20B44" w:rsidRPr="00C20B44">
                              <w:rPr>
                                <w:rFonts w:asciiTheme="majorHAnsi" w:hAnsiTheme="majorHAnsi"/>
                                <w:color w:val="595959" w:themeColor="text1" w:themeTint="A6"/>
                                <w:sz w:val="18"/>
                                <w:szCs w:val="18"/>
                                <w:lang w:val="pt-BR"/>
                              </w:rPr>
                              <w:t>353</w:t>
                            </w:r>
                            <w:r w:rsidR="007B05C4" w:rsidRPr="00C20B44">
                              <w:rPr>
                                <w:rFonts w:asciiTheme="majorHAnsi" w:hAnsiTheme="majorHAnsi"/>
                                <w:color w:val="595959" w:themeColor="text1" w:themeTint="A6"/>
                                <w:sz w:val="18"/>
                                <w:szCs w:val="18"/>
                                <w:lang w:val="pt-BR"/>
                              </w:rPr>
                              <w:t>/</w:t>
                            </w:r>
                            <w:r w:rsidR="00C20B44" w:rsidRPr="00C20B44">
                              <w:rPr>
                                <w:rFonts w:asciiTheme="majorHAnsi" w:hAnsiTheme="majorHAnsi"/>
                                <w:color w:val="595959" w:themeColor="text1" w:themeTint="A6"/>
                                <w:sz w:val="18"/>
                                <w:szCs w:val="18"/>
                                <w:lang w:val="pt-BR"/>
                              </w:rPr>
                              <w:t>23</w:t>
                            </w:r>
                            <w:r w:rsidRPr="00C20B44">
                              <w:rPr>
                                <w:rFonts w:asciiTheme="majorHAnsi" w:hAnsiTheme="majorHAnsi"/>
                                <w:color w:val="595959" w:themeColor="text1" w:themeTint="A6"/>
                                <w:sz w:val="18"/>
                                <w:szCs w:val="18"/>
                                <w:lang w:val="pt-BR"/>
                              </w:rPr>
                              <w:t xml:space="preserve">. </w:t>
                            </w:r>
                            <w:r w:rsidR="000433C9" w:rsidRPr="00306C8B">
                              <w:rPr>
                                <w:rFonts w:asciiTheme="majorHAnsi" w:hAnsiTheme="majorHAnsi"/>
                                <w:color w:val="595959" w:themeColor="text1" w:themeTint="A6"/>
                                <w:sz w:val="18"/>
                                <w:szCs w:val="18"/>
                                <w:lang w:val="es-ES_tradnl"/>
                              </w:rPr>
                              <w:t>Petici</w:t>
                            </w:r>
                            <w:r w:rsidR="000433C9" w:rsidRPr="00306C8B">
                              <w:rPr>
                                <w:rFonts w:asciiTheme="majorHAnsi" w:hAnsiTheme="majorHAnsi"/>
                                <w:color w:val="595959" w:themeColor="text1" w:themeTint="A6"/>
                                <w:sz w:val="18"/>
                                <w:szCs w:val="18"/>
                                <w:lang w:val="es-ES"/>
                              </w:rPr>
                              <w:t xml:space="preserve">ón </w:t>
                            </w:r>
                            <w:r w:rsidR="00DE6F13" w:rsidRPr="00306C8B">
                              <w:rPr>
                                <w:rFonts w:asciiTheme="majorHAnsi" w:hAnsiTheme="majorHAnsi"/>
                                <w:color w:val="595959" w:themeColor="text1" w:themeTint="A6"/>
                                <w:sz w:val="18"/>
                                <w:szCs w:val="18"/>
                                <w:lang w:val="es-ES"/>
                              </w:rPr>
                              <w:t>1249-18</w:t>
                            </w:r>
                            <w:r w:rsidR="000433C9" w:rsidRPr="00306C8B">
                              <w:rPr>
                                <w:rFonts w:asciiTheme="majorHAnsi" w:hAnsiTheme="majorHAnsi"/>
                                <w:color w:val="595959" w:themeColor="text1" w:themeTint="A6"/>
                                <w:sz w:val="18"/>
                                <w:szCs w:val="18"/>
                                <w:lang w:val="es-ES"/>
                              </w:rPr>
                              <w:t xml:space="preserve">. </w:t>
                            </w:r>
                            <w:r w:rsidRPr="00306C8B">
                              <w:rPr>
                                <w:rFonts w:asciiTheme="majorHAnsi" w:hAnsiTheme="majorHAnsi"/>
                                <w:color w:val="595959" w:themeColor="text1" w:themeTint="A6"/>
                                <w:sz w:val="18"/>
                                <w:szCs w:val="18"/>
                                <w:lang w:val="es-ES_tradnl"/>
                              </w:rPr>
                              <w:t>Admisibilidad.</w:t>
                            </w:r>
                            <w:r w:rsidR="009935AC" w:rsidRPr="00306C8B">
                              <w:rPr>
                                <w:rFonts w:asciiTheme="majorHAnsi" w:hAnsiTheme="majorHAnsi"/>
                                <w:color w:val="595959" w:themeColor="text1" w:themeTint="A6"/>
                                <w:sz w:val="18"/>
                                <w:szCs w:val="18"/>
                                <w:lang w:val="es-ES_tradnl"/>
                              </w:rPr>
                              <w:t xml:space="preserve"> </w:t>
                            </w:r>
                            <w:r w:rsidR="000E6E3B" w:rsidRPr="00306C8B">
                              <w:rPr>
                                <w:rFonts w:asciiTheme="majorHAnsi" w:hAnsiTheme="majorHAnsi"/>
                                <w:color w:val="595959" w:themeColor="text1" w:themeTint="A6"/>
                                <w:sz w:val="18"/>
                                <w:szCs w:val="18"/>
                                <w:lang w:val="es-ES_tradnl"/>
                              </w:rPr>
                              <w:t>Martín</w:t>
                            </w:r>
                            <w:r w:rsidR="00DE6F13" w:rsidRPr="00306C8B">
                              <w:rPr>
                                <w:rFonts w:asciiTheme="majorHAnsi" w:hAnsiTheme="majorHAnsi"/>
                                <w:color w:val="595959" w:themeColor="text1" w:themeTint="A6"/>
                                <w:sz w:val="18"/>
                                <w:szCs w:val="18"/>
                                <w:lang w:val="es-ES_tradnl"/>
                              </w:rPr>
                              <w:t xml:space="preserve"> Zapil Poz y </w:t>
                            </w:r>
                            <w:r w:rsidR="004D5ADC" w:rsidRPr="00306C8B">
                              <w:rPr>
                                <w:rFonts w:asciiTheme="majorHAnsi" w:hAnsiTheme="majorHAnsi"/>
                                <w:color w:val="595959" w:themeColor="text1" w:themeTint="A6"/>
                                <w:sz w:val="18"/>
                                <w:szCs w:val="18"/>
                                <w:lang w:val="es-ES_tradnl"/>
                              </w:rPr>
                              <w:t>familia</w:t>
                            </w:r>
                            <w:r w:rsidR="00137C8E">
                              <w:rPr>
                                <w:rFonts w:asciiTheme="majorHAnsi" w:hAnsiTheme="majorHAnsi"/>
                                <w:color w:val="595959" w:themeColor="text1" w:themeTint="A6"/>
                                <w:sz w:val="18"/>
                                <w:szCs w:val="18"/>
                                <w:lang w:val="es-ES_tradnl"/>
                              </w:rPr>
                              <w:t>.</w:t>
                            </w:r>
                            <w:r w:rsidR="009935AC" w:rsidRPr="00306C8B">
                              <w:rPr>
                                <w:rFonts w:asciiTheme="majorHAnsi" w:hAnsiTheme="majorHAnsi"/>
                                <w:color w:val="595959" w:themeColor="text1" w:themeTint="A6"/>
                                <w:sz w:val="18"/>
                                <w:szCs w:val="18"/>
                                <w:lang w:val="es-ES_tradnl"/>
                              </w:rPr>
                              <w:t xml:space="preserve"> </w:t>
                            </w:r>
                            <w:r w:rsidR="00967C75" w:rsidRPr="00306C8B">
                              <w:rPr>
                                <w:rFonts w:asciiTheme="majorHAnsi" w:hAnsiTheme="majorHAnsi"/>
                                <w:color w:val="595959" w:themeColor="text1" w:themeTint="A6"/>
                                <w:sz w:val="18"/>
                                <w:szCs w:val="18"/>
                                <w:lang w:val="es-ES_tradnl"/>
                              </w:rPr>
                              <w:t>Guatemala</w:t>
                            </w:r>
                            <w:r w:rsidRPr="00306C8B">
                              <w:rPr>
                                <w:rFonts w:asciiTheme="majorHAnsi" w:hAnsiTheme="majorHAnsi"/>
                                <w:color w:val="595959" w:themeColor="text1" w:themeTint="A6"/>
                                <w:sz w:val="18"/>
                                <w:szCs w:val="18"/>
                                <w:lang w:val="es-ES_tradnl"/>
                              </w:rPr>
                              <w:t xml:space="preserve">. </w:t>
                            </w:r>
                            <w:r w:rsidR="00C20B44">
                              <w:rPr>
                                <w:rFonts w:asciiTheme="majorHAnsi" w:hAnsiTheme="majorHAnsi"/>
                                <w:color w:val="595959" w:themeColor="text1" w:themeTint="A6"/>
                                <w:sz w:val="18"/>
                                <w:szCs w:val="18"/>
                                <w:lang w:val="es-ES"/>
                              </w:rPr>
                              <w:t>16 de diciembre de 2023</w:t>
                            </w:r>
                            <w:r w:rsidRPr="00306C8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851CB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w:t>
                      </w:r>
                      <w:r w:rsidRPr="00306C8B">
                        <w:rPr>
                          <w:rFonts w:asciiTheme="majorHAnsi" w:hAnsiTheme="majorHAnsi"/>
                          <w:color w:val="595959" w:themeColor="text1" w:themeTint="A6"/>
                          <w:sz w:val="18"/>
                          <w:szCs w:val="18"/>
                          <w:lang w:val="pt-BR"/>
                        </w:rPr>
                        <w:t xml:space="preserve">rme No. </w:t>
                      </w:r>
                      <w:r w:rsidR="00C20B44" w:rsidRPr="00C20B44">
                        <w:rPr>
                          <w:rFonts w:asciiTheme="majorHAnsi" w:hAnsiTheme="majorHAnsi"/>
                          <w:color w:val="595959" w:themeColor="text1" w:themeTint="A6"/>
                          <w:sz w:val="18"/>
                          <w:szCs w:val="18"/>
                          <w:lang w:val="pt-BR"/>
                        </w:rPr>
                        <w:t>353</w:t>
                      </w:r>
                      <w:r w:rsidR="007B05C4" w:rsidRPr="00C20B44">
                        <w:rPr>
                          <w:rFonts w:asciiTheme="majorHAnsi" w:hAnsiTheme="majorHAnsi"/>
                          <w:color w:val="595959" w:themeColor="text1" w:themeTint="A6"/>
                          <w:sz w:val="18"/>
                          <w:szCs w:val="18"/>
                          <w:lang w:val="pt-BR"/>
                        </w:rPr>
                        <w:t>/</w:t>
                      </w:r>
                      <w:r w:rsidR="00C20B44" w:rsidRPr="00C20B44">
                        <w:rPr>
                          <w:rFonts w:asciiTheme="majorHAnsi" w:hAnsiTheme="majorHAnsi"/>
                          <w:color w:val="595959" w:themeColor="text1" w:themeTint="A6"/>
                          <w:sz w:val="18"/>
                          <w:szCs w:val="18"/>
                          <w:lang w:val="pt-BR"/>
                        </w:rPr>
                        <w:t>23</w:t>
                      </w:r>
                      <w:r w:rsidRPr="00C20B44">
                        <w:rPr>
                          <w:rFonts w:asciiTheme="majorHAnsi" w:hAnsiTheme="majorHAnsi"/>
                          <w:color w:val="595959" w:themeColor="text1" w:themeTint="A6"/>
                          <w:sz w:val="18"/>
                          <w:szCs w:val="18"/>
                          <w:lang w:val="pt-BR"/>
                        </w:rPr>
                        <w:t xml:space="preserve">. </w:t>
                      </w:r>
                      <w:r w:rsidR="000433C9" w:rsidRPr="00306C8B">
                        <w:rPr>
                          <w:rFonts w:asciiTheme="majorHAnsi" w:hAnsiTheme="majorHAnsi"/>
                          <w:color w:val="595959" w:themeColor="text1" w:themeTint="A6"/>
                          <w:sz w:val="18"/>
                          <w:szCs w:val="18"/>
                          <w:lang w:val="es-ES_tradnl"/>
                        </w:rPr>
                        <w:t>Petici</w:t>
                      </w:r>
                      <w:r w:rsidR="000433C9" w:rsidRPr="00306C8B">
                        <w:rPr>
                          <w:rFonts w:asciiTheme="majorHAnsi" w:hAnsiTheme="majorHAnsi"/>
                          <w:color w:val="595959" w:themeColor="text1" w:themeTint="A6"/>
                          <w:sz w:val="18"/>
                          <w:szCs w:val="18"/>
                          <w:lang w:val="es-ES"/>
                        </w:rPr>
                        <w:t xml:space="preserve">ón </w:t>
                      </w:r>
                      <w:r w:rsidR="00DE6F13" w:rsidRPr="00306C8B">
                        <w:rPr>
                          <w:rFonts w:asciiTheme="majorHAnsi" w:hAnsiTheme="majorHAnsi"/>
                          <w:color w:val="595959" w:themeColor="text1" w:themeTint="A6"/>
                          <w:sz w:val="18"/>
                          <w:szCs w:val="18"/>
                          <w:lang w:val="es-ES"/>
                        </w:rPr>
                        <w:t>1249-18</w:t>
                      </w:r>
                      <w:r w:rsidR="000433C9" w:rsidRPr="00306C8B">
                        <w:rPr>
                          <w:rFonts w:asciiTheme="majorHAnsi" w:hAnsiTheme="majorHAnsi"/>
                          <w:color w:val="595959" w:themeColor="text1" w:themeTint="A6"/>
                          <w:sz w:val="18"/>
                          <w:szCs w:val="18"/>
                          <w:lang w:val="es-ES"/>
                        </w:rPr>
                        <w:t xml:space="preserve">. </w:t>
                      </w:r>
                      <w:r w:rsidRPr="00306C8B">
                        <w:rPr>
                          <w:rFonts w:asciiTheme="majorHAnsi" w:hAnsiTheme="majorHAnsi"/>
                          <w:color w:val="595959" w:themeColor="text1" w:themeTint="A6"/>
                          <w:sz w:val="18"/>
                          <w:szCs w:val="18"/>
                          <w:lang w:val="es-ES_tradnl"/>
                        </w:rPr>
                        <w:t>Admisibilidad.</w:t>
                      </w:r>
                      <w:r w:rsidR="009935AC" w:rsidRPr="00306C8B">
                        <w:rPr>
                          <w:rFonts w:asciiTheme="majorHAnsi" w:hAnsiTheme="majorHAnsi"/>
                          <w:color w:val="595959" w:themeColor="text1" w:themeTint="A6"/>
                          <w:sz w:val="18"/>
                          <w:szCs w:val="18"/>
                          <w:lang w:val="es-ES_tradnl"/>
                        </w:rPr>
                        <w:t xml:space="preserve"> </w:t>
                      </w:r>
                      <w:r w:rsidR="000E6E3B" w:rsidRPr="00306C8B">
                        <w:rPr>
                          <w:rFonts w:asciiTheme="majorHAnsi" w:hAnsiTheme="majorHAnsi"/>
                          <w:color w:val="595959" w:themeColor="text1" w:themeTint="A6"/>
                          <w:sz w:val="18"/>
                          <w:szCs w:val="18"/>
                          <w:lang w:val="es-ES_tradnl"/>
                        </w:rPr>
                        <w:t>Martín</w:t>
                      </w:r>
                      <w:r w:rsidR="00DE6F13" w:rsidRPr="00306C8B">
                        <w:rPr>
                          <w:rFonts w:asciiTheme="majorHAnsi" w:hAnsiTheme="majorHAnsi"/>
                          <w:color w:val="595959" w:themeColor="text1" w:themeTint="A6"/>
                          <w:sz w:val="18"/>
                          <w:szCs w:val="18"/>
                          <w:lang w:val="es-ES_tradnl"/>
                        </w:rPr>
                        <w:t xml:space="preserve"> Zapil Poz y </w:t>
                      </w:r>
                      <w:r w:rsidR="004D5ADC" w:rsidRPr="00306C8B">
                        <w:rPr>
                          <w:rFonts w:asciiTheme="majorHAnsi" w:hAnsiTheme="majorHAnsi"/>
                          <w:color w:val="595959" w:themeColor="text1" w:themeTint="A6"/>
                          <w:sz w:val="18"/>
                          <w:szCs w:val="18"/>
                          <w:lang w:val="es-ES_tradnl"/>
                        </w:rPr>
                        <w:t>familia</w:t>
                      </w:r>
                      <w:r w:rsidR="00137C8E">
                        <w:rPr>
                          <w:rFonts w:asciiTheme="majorHAnsi" w:hAnsiTheme="majorHAnsi"/>
                          <w:color w:val="595959" w:themeColor="text1" w:themeTint="A6"/>
                          <w:sz w:val="18"/>
                          <w:szCs w:val="18"/>
                          <w:lang w:val="es-ES_tradnl"/>
                        </w:rPr>
                        <w:t>.</w:t>
                      </w:r>
                      <w:r w:rsidR="009935AC" w:rsidRPr="00306C8B">
                        <w:rPr>
                          <w:rFonts w:asciiTheme="majorHAnsi" w:hAnsiTheme="majorHAnsi"/>
                          <w:color w:val="595959" w:themeColor="text1" w:themeTint="A6"/>
                          <w:sz w:val="18"/>
                          <w:szCs w:val="18"/>
                          <w:lang w:val="es-ES_tradnl"/>
                        </w:rPr>
                        <w:t xml:space="preserve"> </w:t>
                      </w:r>
                      <w:r w:rsidR="00967C75" w:rsidRPr="00306C8B">
                        <w:rPr>
                          <w:rFonts w:asciiTheme="majorHAnsi" w:hAnsiTheme="majorHAnsi"/>
                          <w:color w:val="595959" w:themeColor="text1" w:themeTint="A6"/>
                          <w:sz w:val="18"/>
                          <w:szCs w:val="18"/>
                          <w:lang w:val="es-ES_tradnl"/>
                        </w:rPr>
                        <w:t>Guatemala</w:t>
                      </w:r>
                      <w:r w:rsidRPr="00306C8B">
                        <w:rPr>
                          <w:rFonts w:asciiTheme="majorHAnsi" w:hAnsiTheme="majorHAnsi"/>
                          <w:color w:val="595959" w:themeColor="text1" w:themeTint="A6"/>
                          <w:sz w:val="18"/>
                          <w:szCs w:val="18"/>
                          <w:lang w:val="es-ES_tradnl"/>
                        </w:rPr>
                        <w:t xml:space="preserve">. </w:t>
                      </w:r>
                      <w:r w:rsidR="00C20B44">
                        <w:rPr>
                          <w:rFonts w:asciiTheme="majorHAnsi" w:hAnsiTheme="majorHAnsi"/>
                          <w:color w:val="595959" w:themeColor="text1" w:themeTint="A6"/>
                          <w:sz w:val="18"/>
                          <w:szCs w:val="18"/>
                          <w:lang w:val="es-ES"/>
                        </w:rPr>
                        <w:t>16 de diciembre de 2023</w:t>
                      </w:r>
                      <w:r w:rsidRPr="00306C8B">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2229A"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92229A" w:rsidRDefault="00D306D1" w:rsidP="005516A1">
      <w:pPr>
        <w:tabs>
          <w:tab w:val="center" w:pos="5400"/>
        </w:tabs>
        <w:suppressAutoHyphens/>
        <w:jc w:val="center"/>
        <w:rPr>
          <w:rFonts w:asciiTheme="majorHAnsi" w:hAnsiTheme="majorHAnsi"/>
          <w:b/>
          <w:sz w:val="20"/>
          <w:lang w:val="es-ES_tradnl"/>
        </w:rPr>
      </w:pPr>
      <w:r w:rsidRPr="0092229A">
        <w:rPr>
          <w:rFonts w:asciiTheme="majorHAnsi" w:hAnsiTheme="majorHAnsi"/>
          <w:noProof/>
          <w:sz w:val="18"/>
          <w:szCs w:val="22"/>
          <w:lang w:val="es-ES_tradnl"/>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92229A">
        <w:rPr>
          <w:rFonts w:asciiTheme="majorHAnsi" w:hAnsiTheme="majorHAnsi"/>
          <w:noProof/>
          <w:sz w:val="22"/>
          <w:szCs w:val="22"/>
          <w:lang w:val="es-ES_tradnl"/>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92229A" w:rsidRDefault="004A6A54" w:rsidP="005516A1">
      <w:pPr>
        <w:tabs>
          <w:tab w:val="center" w:pos="5400"/>
        </w:tabs>
        <w:suppressAutoHyphens/>
        <w:jc w:val="center"/>
        <w:rPr>
          <w:rFonts w:asciiTheme="majorHAnsi" w:hAnsiTheme="majorHAnsi"/>
          <w:b/>
          <w:sz w:val="20"/>
          <w:lang w:val="es-ES_tradnl"/>
        </w:rPr>
        <w:sectPr w:rsidR="0070697F" w:rsidRPr="0092229A" w:rsidSect="00AC57D2">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2229A">
        <w:rPr>
          <w:rFonts w:asciiTheme="majorHAnsi" w:hAnsiTheme="majorHAnsi"/>
          <w:b/>
          <w:sz w:val="20"/>
          <w:lang w:val="es-ES_tradnl"/>
        </w:rPr>
        <w:tab/>
      </w:r>
    </w:p>
    <w:p w14:paraId="2786EE58" w14:textId="77777777" w:rsidR="003239B8" w:rsidRPr="0092229A" w:rsidRDefault="003239B8" w:rsidP="004A6A54">
      <w:pPr>
        <w:spacing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lastRenderedPageBreak/>
        <w:t>I.</w:t>
      </w:r>
      <w:r w:rsidRPr="0092229A">
        <w:rPr>
          <w:rFonts w:asciiTheme="majorHAnsi" w:hAnsiTheme="majorHAnsi"/>
          <w:b/>
          <w:bCs/>
          <w:sz w:val="20"/>
          <w:szCs w:val="20"/>
          <w:lang w:val="es-ES_tradnl"/>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D37D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Parte peticionaria:</w:t>
            </w:r>
          </w:p>
        </w:tc>
        <w:tc>
          <w:tcPr>
            <w:tcW w:w="5647" w:type="dxa"/>
            <w:vAlign w:val="center"/>
          </w:tcPr>
          <w:p w14:paraId="07DAAE2E" w14:textId="451D4B8E" w:rsidR="003239B8" w:rsidRPr="0092229A" w:rsidRDefault="007D37D7" w:rsidP="008D2290">
            <w:pPr>
              <w:jc w:val="both"/>
              <w:rPr>
                <w:rFonts w:ascii="Cambria" w:hAnsi="Cambria"/>
                <w:bCs/>
                <w:sz w:val="20"/>
                <w:szCs w:val="20"/>
                <w:lang w:val="es-ES_tradnl"/>
              </w:rPr>
            </w:pPr>
            <w:r w:rsidRPr="007D37D7">
              <w:rPr>
                <w:rFonts w:ascii="Cambria" w:hAnsi="Cambria"/>
                <w:bCs/>
                <w:sz w:val="20"/>
                <w:szCs w:val="20"/>
                <w:lang w:val="es-ES_tradnl"/>
              </w:rPr>
              <w:t>Allan Amilkar Estrada Morales</w:t>
            </w:r>
          </w:p>
        </w:tc>
      </w:tr>
      <w:tr w:rsidR="003239B8" w:rsidRPr="002A73EC"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92229A" w:rsidRDefault="00A646C5"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2229A">
                  <w:rPr>
                    <w:rFonts w:ascii="Cambria" w:hAnsi="Cambria"/>
                    <w:b/>
                    <w:bCs/>
                    <w:color w:val="FFFFFF" w:themeColor="background1"/>
                    <w:sz w:val="20"/>
                    <w:szCs w:val="20"/>
                    <w:lang w:val="es-ES_tradnl"/>
                  </w:rPr>
                  <w:t>Presunta víctima</w:t>
                </w:r>
              </w:sdtContent>
            </w:sdt>
            <w:r w:rsidR="003239B8" w:rsidRPr="0092229A">
              <w:rPr>
                <w:rFonts w:ascii="Cambria" w:hAnsi="Cambria"/>
                <w:b/>
                <w:bCs/>
                <w:color w:val="FFFFFF" w:themeColor="background1"/>
                <w:sz w:val="20"/>
                <w:szCs w:val="20"/>
                <w:lang w:val="es-ES_tradnl"/>
              </w:rPr>
              <w:t>:</w:t>
            </w:r>
          </w:p>
        </w:tc>
        <w:tc>
          <w:tcPr>
            <w:tcW w:w="5647" w:type="dxa"/>
            <w:vAlign w:val="center"/>
          </w:tcPr>
          <w:p w14:paraId="143D44A8" w14:textId="44B4D187" w:rsidR="004D5ADC" w:rsidRPr="0092229A" w:rsidRDefault="00D71063" w:rsidP="008D2290">
            <w:pPr>
              <w:jc w:val="both"/>
              <w:rPr>
                <w:rFonts w:ascii="Cambria" w:hAnsi="Cambria"/>
                <w:bCs/>
                <w:sz w:val="20"/>
                <w:szCs w:val="20"/>
                <w:lang w:val="es-ES_tradnl"/>
              </w:rPr>
            </w:pPr>
            <w:r w:rsidRPr="0092229A">
              <w:rPr>
                <w:rFonts w:ascii="Cambria" w:hAnsi="Cambria"/>
                <w:bCs/>
                <w:sz w:val="20"/>
                <w:szCs w:val="20"/>
                <w:lang w:val="es-ES_tradnl"/>
              </w:rPr>
              <w:t>M</w:t>
            </w:r>
            <w:r w:rsidR="00A650CD">
              <w:rPr>
                <w:rFonts w:ascii="Cambria" w:hAnsi="Cambria"/>
                <w:bCs/>
                <w:sz w:val="20"/>
                <w:szCs w:val="20"/>
                <w:lang w:val="es-ES_tradnl"/>
              </w:rPr>
              <w:t>artín Zapil Poz</w:t>
            </w:r>
            <w:r w:rsidR="007D37D7">
              <w:rPr>
                <w:rStyle w:val="FootnoteReference"/>
                <w:rFonts w:ascii="Cambria" w:hAnsi="Cambria"/>
                <w:bCs/>
                <w:sz w:val="20"/>
                <w:szCs w:val="20"/>
                <w:lang w:val="es-ES_tradnl"/>
              </w:rPr>
              <w:footnoteReference w:id="2"/>
            </w:r>
            <w:r w:rsidR="000E6E3B" w:rsidRPr="000E6E3B">
              <w:rPr>
                <w:rFonts w:ascii="Cambria" w:hAnsi="Cambria"/>
                <w:bCs/>
                <w:sz w:val="20"/>
                <w:szCs w:val="20"/>
                <w:lang w:val="es-ES_tradnl"/>
              </w:rPr>
              <w:t>,</w:t>
            </w:r>
            <w:r w:rsidR="007D37D7">
              <w:rPr>
                <w:rFonts w:ascii="Cambria" w:hAnsi="Cambria"/>
                <w:bCs/>
                <w:sz w:val="20"/>
                <w:szCs w:val="20"/>
                <w:lang w:val="es-ES_tradnl"/>
              </w:rPr>
              <w:t xml:space="preserve"> </w:t>
            </w:r>
            <w:r w:rsidR="000E6E3B" w:rsidRPr="000E6E3B">
              <w:rPr>
                <w:rFonts w:ascii="Cambria" w:hAnsi="Cambria"/>
                <w:bCs/>
                <w:sz w:val="20"/>
                <w:szCs w:val="20"/>
                <w:lang w:val="es-ES_tradnl"/>
              </w:rPr>
              <w:t>Cristobal Zapil Poz, José Cleto Zapil Poz</w:t>
            </w:r>
            <w:r w:rsidR="004D5ADC">
              <w:rPr>
                <w:rFonts w:ascii="Cambria" w:hAnsi="Cambria"/>
                <w:bCs/>
                <w:sz w:val="20"/>
                <w:szCs w:val="20"/>
                <w:lang w:val="es-ES_tradnl"/>
              </w:rPr>
              <w:t>,</w:t>
            </w:r>
            <w:r w:rsidR="000E6E3B" w:rsidRPr="000E6E3B">
              <w:rPr>
                <w:rFonts w:ascii="Cambria" w:hAnsi="Cambria"/>
                <w:bCs/>
                <w:sz w:val="20"/>
                <w:szCs w:val="20"/>
                <w:lang w:val="es-ES_tradnl"/>
              </w:rPr>
              <w:t xml:space="preserve"> Santos Zapil Poz</w:t>
            </w:r>
            <w:r w:rsidR="004D5ADC">
              <w:rPr>
                <w:rFonts w:ascii="Cambria" w:hAnsi="Cambria"/>
                <w:bCs/>
                <w:sz w:val="20"/>
                <w:szCs w:val="20"/>
                <w:lang w:val="es-ES_tradnl"/>
              </w:rPr>
              <w:t xml:space="preserve">, </w:t>
            </w:r>
            <w:r w:rsidR="004D5ADC" w:rsidRPr="004D5ADC">
              <w:rPr>
                <w:rFonts w:ascii="Cambria" w:hAnsi="Cambria"/>
                <w:bCs/>
                <w:sz w:val="20"/>
                <w:szCs w:val="20"/>
                <w:lang w:val="es-ES_tradnl"/>
              </w:rPr>
              <w:t>Bartolo Zapil Quiej, Tom</w:t>
            </w:r>
            <w:r w:rsidR="004D5ADC">
              <w:rPr>
                <w:rFonts w:ascii="Cambria" w:hAnsi="Cambria"/>
                <w:bCs/>
                <w:sz w:val="20"/>
                <w:szCs w:val="20"/>
                <w:lang w:val="es-ES_tradnl"/>
              </w:rPr>
              <w:t>á</w:t>
            </w:r>
            <w:r w:rsidR="004D5ADC" w:rsidRPr="004D5ADC">
              <w:rPr>
                <w:rFonts w:ascii="Cambria" w:hAnsi="Cambria"/>
                <w:bCs/>
                <w:sz w:val="20"/>
                <w:szCs w:val="20"/>
                <w:lang w:val="es-ES_tradnl"/>
              </w:rPr>
              <w:t>s Antonio Zapil Quiej y Ventura Zapil Quiej</w:t>
            </w:r>
          </w:p>
        </w:tc>
      </w:tr>
      <w:tr w:rsidR="003239B8" w:rsidRPr="0092229A"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Estado denunciado:</w:t>
            </w:r>
          </w:p>
        </w:tc>
        <w:tc>
          <w:tcPr>
            <w:tcW w:w="5647" w:type="dxa"/>
            <w:vAlign w:val="center"/>
          </w:tcPr>
          <w:p w14:paraId="5D0EC05D" w14:textId="40ED8CEB" w:rsidR="003239B8" w:rsidRPr="0092229A" w:rsidRDefault="00967C75" w:rsidP="008D2290">
            <w:pPr>
              <w:jc w:val="both"/>
              <w:rPr>
                <w:rFonts w:ascii="Cambria" w:hAnsi="Cambria"/>
                <w:bCs/>
                <w:sz w:val="20"/>
                <w:szCs w:val="20"/>
                <w:lang w:val="es-ES_tradnl"/>
              </w:rPr>
            </w:pPr>
            <w:r w:rsidRPr="0092229A">
              <w:rPr>
                <w:rFonts w:ascii="Cambria" w:hAnsi="Cambria"/>
                <w:bCs/>
                <w:sz w:val="20"/>
                <w:szCs w:val="20"/>
                <w:lang w:val="es-ES_tradnl"/>
              </w:rPr>
              <w:t>Guatemala</w:t>
            </w:r>
            <w:r w:rsidR="0017681E" w:rsidRPr="0092229A">
              <w:rPr>
                <w:rStyle w:val="FootnoteReference"/>
                <w:rFonts w:ascii="Cambria" w:hAnsi="Cambria"/>
                <w:bCs/>
                <w:sz w:val="20"/>
                <w:szCs w:val="20"/>
                <w:lang w:val="es-ES_tradnl"/>
              </w:rPr>
              <w:footnoteReference w:id="3"/>
            </w:r>
          </w:p>
        </w:tc>
      </w:tr>
      <w:tr w:rsidR="00223A29" w:rsidRPr="002A73EC"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2229A" w:rsidRDefault="001B3A00" w:rsidP="00E4118C">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 xml:space="preserve">Derechos </w:t>
            </w:r>
            <w:r w:rsidR="00E4118C" w:rsidRPr="0092229A">
              <w:rPr>
                <w:rFonts w:ascii="Cambria" w:hAnsi="Cambria"/>
                <w:b/>
                <w:bCs/>
                <w:color w:val="FFFFFF" w:themeColor="background1"/>
                <w:sz w:val="20"/>
                <w:szCs w:val="20"/>
                <w:lang w:val="es-ES_tradnl"/>
              </w:rPr>
              <w:t>invocados</w:t>
            </w:r>
            <w:r w:rsidRPr="0092229A">
              <w:rPr>
                <w:rFonts w:ascii="Cambria" w:hAnsi="Cambria"/>
                <w:b/>
                <w:bCs/>
                <w:color w:val="FFFFFF" w:themeColor="background1"/>
                <w:sz w:val="20"/>
                <w:szCs w:val="20"/>
                <w:lang w:val="es-ES_tradnl"/>
              </w:rPr>
              <w:t>:</w:t>
            </w:r>
          </w:p>
        </w:tc>
        <w:tc>
          <w:tcPr>
            <w:tcW w:w="5647" w:type="dxa"/>
            <w:vAlign w:val="center"/>
          </w:tcPr>
          <w:p w14:paraId="52B28392" w14:textId="4A0913E7" w:rsidR="00223A29" w:rsidRPr="0092229A" w:rsidRDefault="003A6268" w:rsidP="008D2290">
            <w:pPr>
              <w:jc w:val="both"/>
              <w:rPr>
                <w:rFonts w:ascii="Cambria" w:hAnsi="Cambria"/>
                <w:bCs/>
                <w:sz w:val="20"/>
                <w:szCs w:val="20"/>
                <w:lang w:val="es-ES_tradnl"/>
              </w:rPr>
            </w:pPr>
            <w:r w:rsidRPr="0092229A">
              <w:rPr>
                <w:rFonts w:asciiTheme="majorHAnsi" w:hAnsiTheme="majorHAnsi"/>
                <w:bCs/>
                <w:sz w:val="20"/>
                <w:szCs w:val="20"/>
                <w:lang w:val="es-ES_tradnl"/>
              </w:rPr>
              <w:t>Artículos 8</w:t>
            </w:r>
            <w:r w:rsidR="00243044" w:rsidRPr="0092229A">
              <w:rPr>
                <w:rFonts w:asciiTheme="majorHAnsi" w:hAnsiTheme="majorHAnsi"/>
                <w:bCs/>
                <w:sz w:val="20"/>
                <w:szCs w:val="20"/>
                <w:lang w:val="es-ES_tradnl"/>
              </w:rPr>
              <w:t xml:space="preserve"> (garantías judiciales), </w:t>
            </w:r>
            <w:r w:rsidR="009B53CC" w:rsidRPr="0092229A">
              <w:rPr>
                <w:rFonts w:asciiTheme="majorHAnsi" w:hAnsiTheme="majorHAnsi"/>
                <w:bCs/>
                <w:sz w:val="20"/>
                <w:szCs w:val="20"/>
                <w:lang w:val="es-ES_tradnl"/>
              </w:rPr>
              <w:t>21 (derecho a la propiedad privada)</w:t>
            </w:r>
            <w:r w:rsidR="00243044" w:rsidRPr="0092229A">
              <w:rPr>
                <w:rFonts w:asciiTheme="majorHAnsi" w:hAnsiTheme="majorHAnsi"/>
                <w:bCs/>
                <w:sz w:val="20"/>
                <w:szCs w:val="20"/>
                <w:lang w:val="es-ES_tradnl"/>
              </w:rPr>
              <w:t xml:space="preserve">, </w:t>
            </w:r>
            <w:r w:rsidR="00383298" w:rsidRPr="0092229A">
              <w:rPr>
                <w:rFonts w:asciiTheme="majorHAnsi" w:hAnsiTheme="majorHAnsi"/>
                <w:bCs/>
                <w:sz w:val="20"/>
                <w:szCs w:val="20"/>
                <w:lang w:val="es-ES_tradnl"/>
              </w:rPr>
              <w:t>y 25 (protección judicial) de la Convención Americana sobre Derechos Humano</w:t>
            </w:r>
            <w:r w:rsidR="00DE6F13">
              <w:rPr>
                <w:rFonts w:asciiTheme="majorHAnsi" w:hAnsiTheme="majorHAnsi"/>
                <w:bCs/>
                <w:sz w:val="20"/>
                <w:szCs w:val="20"/>
                <w:lang w:val="es-ES_tradnl"/>
              </w:rPr>
              <w:t>s</w:t>
            </w:r>
            <w:r w:rsidR="00383298" w:rsidRPr="0092229A">
              <w:rPr>
                <w:rStyle w:val="FootnoteReference"/>
                <w:rFonts w:asciiTheme="majorHAnsi" w:hAnsiTheme="majorHAnsi"/>
                <w:bCs/>
                <w:sz w:val="20"/>
                <w:szCs w:val="20"/>
                <w:lang w:val="es-ES_tradnl"/>
              </w:rPr>
              <w:footnoteReference w:id="4"/>
            </w:r>
            <w:r w:rsidR="00383298" w:rsidRPr="0092229A">
              <w:rPr>
                <w:rFonts w:asciiTheme="majorHAnsi" w:hAnsiTheme="majorHAnsi"/>
                <w:bCs/>
                <w:sz w:val="20"/>
                <w:szCs w:val="20"/>
                <w:lang w:val="es-ES_tradnl"/>
              </w:rPr>
              <w:t>, en relación con su</w:t>
            </w:r>
            <w:r w:rsidR="00DE6F13">
              <w:rPr>
                <w:rFonts w:asciiTheme="majorHAnsi" w:hAnsiTheme="majorHAnsi"/>
                <w:bCs/>
                <w:sz w:val="20"/>
                <w:szCs w:val="20"/>
                <w:lang w:val="es-ES_tradnl"/>
              </w:rPr>
              <w:t>s</w:t>
            </w:r>
            <w:r w:rsidR="00383298" w:rsidRPr="0092229A">
              <w:rPr>
                <w:rFonts w:asciiTheme="majorHAnsi" w:hAnsiTheme="majorHAnsi"/>
                <w:bCs/>
                <w:sz w:val="20"/>
                <w:szCs w:val="20"/>
                <w:lang w:val="es-ES_tradnl"/>
              </w:rPr>
              <w:t xml:space="preserve"> artículo</w:t>
            </w:r>
            <w:r w:rsidR="00DE6F13">
              <w:rPr>
                <w:rFonts w:asciiTheme="majorHAnsi" w:hAnsiTheme="majorHAnsi"/>
                <w:bCs/>
                <w:sz w:val="20"/>
                <w:szCs w:val="20"/>
                <w:lang w:val="es-ES_tradnl"/>
              </w:rPr>
              <w:t>s</w:t>
            </w:r>
            <w:r w:rsidR="00383298" w:rsidRPr="0092229A">
              <w:rPr>
                <w:rFonts w:asciiTheme="majorHAnsi" w:hAnsiTheme="majorHAnsi"/>
                <w:bCs/>
                <w:sz w:val="20"/>
                <w:szCs w:val="20"/>
                <w:lang w:val="es-ES_tradnl"/>
              </w:rPr>
              <w:t xml:space="preserve"> 1.1 (obligación de respetar los derechos)</w:t>
            </w:r>
            <w:r w:rsidR="00DE6F13">
              <w:rPr>
                <w:rFonts w:asciiTheme="majorHAnsi" w:hAnsiTheme="majorHAnsi"/>
                <w:bCs/>
                <w:sz w:val="20"/>
                <w:szCs w:val="20"/>
                <w:lang w:val="es-ES_tradnl"/>
              </w:rPr>
              <w:t xml:space="preserve"> y </w:t>
            </w:r>
            <w:r w:rsidR="000E6E3B" w:rsidRPr="000E6E3B">
              <w:rPr>
                <w:rFonts w:asciiTheme="majorHAnsi" w:hAnsiTheme="majorHAnsi"/>
                <w:bCs/>
                <w:sz w:val="20"/>
                <w:szCs w:val="20"/>
                <w:lang w:val="es-ES_tradnl"/>
              </w:rPr>
              <w:t>2 (</w:t>
            </w:r>
            <w:r w:rsidR="000E6E3B" w:rsidRPr="000E6E3B">
              <w:rPr>
                <w:rFonts w:asciiTheme="majorHAnsi" w:hAnsiTheme="majorHAnsi"/>
                <w:bCs/>
                <w:sz w:val="20"/>
                <w:szCs w:val="20"/>
                <w:lang w:val="es-ES"/>
              </w:rPr>
              <w:t>deber de adoptar disposiciones de derecho interno</w:t>
            </w:r>
            <w:r w:rsidR="000E6E3B" w:rsidRPr="000E6E3B">
              <w:rPr>
                <w:rFonts w:asciiTheme="majorHAnsi" w:hAnsiTheme="majorHAnsi"/>
                <w:bCs/>
                <w:sz w:val="20"/>
                <w:szCs w:val="20"/>
                <w:lang w:val="es-ES_tradnl"/>
              </w:rPr>
              <w:t>)</w:t>
            </w:r>
          </w:p>
        </w:tc>
      </w:tr>
    </w:tbl>
    <w:p w14:paraId="176FB213"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II.</w:t>
      </w:r>
      <w:r w:rsidRPr="0092229A">
        <w:rPr>
          <w:rFonts w:asciiTheme="majorHAnsi" w:hAnsiTheme="majorHAnsi"/>
          <w:b/>
          <w:bCs/>
          <w:sz w:val="20"/>
          <w:szCs w:val="20"/>
          <w:lang w:val="es-ES_tradnl"/>
        </w:rPr>
        <w:tab/>
        <w:t>TRÁMITE ANTE LA CIDH</w:t>
      </w:r>
      <w:r w:rsidR="008E3BFE" w:rsidRPr="0092229A">
        <w:rPr>
          <w:rStyle w:val="FootnoteReference"/>
          <w:rFonts w:ascii="Cambria" w:hAnsi="Cambria"/>
          <w:b/>
          <w:sz w:val="20"/>
          <w:szCs w:val="20"/>
          <w:lang w:val="es-ES_tradnl"/>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2229A"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w:t>
            </w:r>
            <w:r w:rsidR="004C2312" w:rsidRPr="0092229A">
              <w:rPr>
                <w:rFonts w:ascii="Cambria" w:hAnsi="Cambria"/>
                <w:b/>
                <w:bCs/>
                <w:color w:val="FFFFFF" w:themeColor="background1"/>
                <w:sz w:val="20"/>
                <w:szCs w:val="20"/>
                <w:lang w:val="es-ES_tradnl"/>
              </w:rPr>
              <w:t>resentación de la petición:</w:t>
            </w:r>
          </w:p>
        </w:tc>
        <w:tc>
          <w:tcPr>
            <w:tcW w:w="5647" w:type="dxa"/>
            <w:vAlign w:val="center"/>
          </w:tcPr>
          <w:p w14:paraId="6883A5F8" w14:textId="7CDF4263" w:rsidR="004C2312" w:rsidRPr="0092229A" w:rsidRDefault="00214CD6" w:rsidP="002625EA">
            <w:pPr>
              <w:jc w:val="both"/>
              <w:rPr>
                <w:rFonts w:ascii="Cambria" w:hAnsi="Cambria"/>
                <w:bCs/>
                <w:sz w:val="20"/>
                <w:szCs w:val="20"/>
                <w:lang w:val="es-ES_tradnl"/>
              </w:rPr>
            </w:pPr>
            <w:r>
              <w:rPr>
                <w:rFonts w:ascii="Cambria" w:hAnsi="Cambria"/>
                <w:bCs/>
                <w:sz w:val="20"/>
                <w:szCs w:val="20"/>
                <w:lang w:val="es-ES_tradnl"/>
              </w:rPr>
              <w:t>28 de junio de 2018</w:t>
            </w:r>
          </w:p>
        </w:tc>
      </w:tr>
      <w:tr w:rsidR="004C2312" w:rsidRPr="0092229A"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N</w:t>
            </w:r>
            <w:r w:rsidR="004C2312" w:rsidRPr="0092229A">
              <w:rPr>
                <w:rFonts w:ascii="Cambria" w:hAnsi="Cambria"/>
                <w:b/>
                <w:color w:val="FFFFFF" w:themeColor="background1"/>
                <w:sz w:val="20"/>
                <w:szCs w:val="20"/>
                <w:lang w:val="es-ES_tradnl"/>
              </w:rPr>
              <w:t>otificación de la petición al Estado:</w:t>
            </w:r>
          </w:p>
        </w:tc>
        <w:tc>
          <w:tcPr>
            <w:tcW w:w="5647" w:type="dxa"/>
            <w:vAlign w:val="center"/>
          </w:tcPr>
          <w:p w14:paraId="58485921" w14:textId="1417317E" w:rsidR="004C2312" w:rsidRPr="0092229A" w:rsidRDefault="00A65D06" w:rsidP="008D2290">
            <w:pPr>
              <w:jc w:val="both"/>
              <w:rPr>
                <w:rFonts w:ascii="Cambria" w:hAnsi="Cambria"/>
                <w:bCs/>
                <w:sz w:val="20"/>
                <w:szCs w:val="20"/>
                <w:lang w:val="es-ES_tradnl"/>
              </w:rPr>
            </w:pPr>
            <w:r w:rsidRPr="0092229A">
              <w:rPr>
                <w:rFonts w:ascii="Cambria" w:hAnsi="Cambria"/>
                <w:bCs/>
                <w:sz w:val="20"/>
                <w:szCs w:val="20"/>
                <w:lang w:val="es-ES_tradnl"/>
              </w:rPr>
              <w:t>1</w:t>
            </w:r>
            <w:r w:rsidR="00214CD6">
              <w:rPr>
                <w:rFonts w:ascii="Cambria" w:hAnsi="Cambria"/>
                <w:bCs/>
                <w:sz w:val="20"/>
                <w:szCs w:val="20"/>
                <w:lang w:val="es-ES_tradnl"/>
              </w:rPr>
              <w:t>5 de septiembre de 2021</w:t>
            </w:r>
          </w:p>
        </w:tc>
      </w:tr>
      <w:tr w:rsidR="004C2312" w:rsidRPr="00B76A62"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color w:val="FFFFFF" w:themeColor="background1"/>
                <w:sz w:val="20"/>
                <w:szCs w:val="20"/>
                <w:lang w:val="es-ES_tradnl"/>
              </w:rPr>
              <w:t>P</w:t>
            </w:r>
            <w:r w:rsidR="004C2312" w:rsidRPr="0092229A">
              <w:rPr>
                <w:rFonts w:ascii="Cambria" w:hAnsi="Cambria"/>
                <w:b/>
                <w:color w:val="FFFFFF" w:themeColor="background1"/>
                <w:sz w:val="20"/>
                <w:szCs w:val="20"/>
                <w:lang w:val="es-ES_tradnl"/>
              </w:rPr>
              <w:t>rimera respuesta del Estado:</w:t>
            </w:r>
          </w:p>
        </w:tc>
        <w:tc>
          <w:tcPr>
            <w:tcW w:w="5647" w:type="dxa"/>
            <w:vAlign w:val="center"/>
          </w:tcPr>
          <w:p w14:paraId="6B47064C" w14:textId="40DFEA0B" w:rsidR="004C2312" w:rsidRPr="0092229A" w:rsidRDefault="00B76A62" w:rsidP="008D2290">
            <w:pPr>
              <w:jc w:val="both"/>
              <w:rPr>
                <w:rFonts w:ascii="Cambria" w:hAnsi="Cambria"/>
                <w:bCs/>
                <w:sz w:val="20"/>
                <w:szCs w:val="20"/>
                <w:lang w:val="es-ES_tradnl"/>
              </w:rPr>
            </w:pPr>
            <w:r>
              <w:rPr>
                <w:rFonts w:ascii="Cambria" w:hAnsi="Cambria"/>
                <w:bCs/>
                <w:sz w:val="20"/>
                <w:szCs w:val="20"/>
                <w:lang w:val="es-ES_tradnl"/>
              </w:rPr>
              <w:t>14 de enero de 2022</w:t>
            </w:r>
            <w:r>
              <w:rPr>
                <w:rStyle w:val="FootnoteReference"/>
                <w:rFonts w:ascii="Cambria" w:hAnsi="Cambria"/>
                <w:bCs/>
                <w:sz w:val="20"/>
                <w:szCs w:val="20"/>
                <w:lang w:val="es-ES_tradnl"/>
              </w:rPr>
              <w:footnoteReference w:id="6"/>
            </w:r>
          </w:p>
        </w:tc>
      </w:tr>
      <w:tr w:rsidR="0027630B" w:rsidRPr="00B76A62" w14:paraId="5604236A" w14:textId="77777777" w:rsidTr="00394073">
        <w:tc>
          <w:tcPr>
            <w:tcW w:w="3600" w:type="dxa"/>
            <w:tcBorders>
              <w:top w:val="single" w:sz="6" w:space="0" w:color="auto"/>
              <w:bottom w:val="single" w:sz="6" w:space="0" w:color="auto"/>
            </w:tcBorders>
            <w:shd w:val="clear" w:color="auto" w:fill="386294"/>
            <w:vAlign w:val="center"/>
          </w:tcPr>
          <w:p w14:paraId="4C8EE666" w14:textId="77CF8FAB" w:rsidR="0027630B" w:rsidRPr="0092229A" w:rsidRDefault="0027630B" w:rsidP="004A6A54">
            <w:pPr>
              <w:jc w:val="center"/>
              <w:rPr>
                <w:rFonts w:ascii="Cambria" w:hAnsi="Cambria"/>
                <w:b/>
                <w:color w:val="FFFFFF" w:themeColor="background1"/>
                <w:sz w:val="20"/>
                <w:szCs w:val="20"/>
                <w:lang w:val="es-ES_tradnl"/>
              </w:rPr>
            </w:pPr>
            <w:r w:rsidRPr="00BF38F4">
              <w:rPr>
                <w:rFonts w:ascii="Cambria" w:hAnsi="Cambria"/>
                <w:b/>
                <w:color w:val="FFFFFF" w:themeColor="background1"/>
                <w:sz w:val="20"/>
                <w:szCs w:val="20"/>
                <w:lang w:val="es-ES_tradnl"/>
              </w:rPr>
              <w:t>Observaciones adicionales de la parte peticionaria:</w:t>
            </w:r>
          </w:p>
        </w:tc>
        <w:tc>
          <w:tcPr>
            <w:tcW w:w="5647" w:type="dxa"/>
            <w:vAlign w:val="center"/>
          </w:tcPr>
          <w:p w14:paraId="2129A74E" w14:textId="257AAB2F" w:rsidR="0027630B" w:rsidRDefault="0027630B" w:rsidP="008D2290">
            <w:pPr>
              <w:jc w:val="both"/>
              <w:rPr>
                <w:rFonts w:ascii="Cambria" w:hAnsi="Cambria"/>
                <w:bCs/>
                <w:sz w:val="20"/>
                <w:szCs w:val="20"/>
                <w:lang w:val="es-ES_tradnl"/>
              </w:rPr>
            </w:pPr>
            <w:r>
              <w:rPr>
                <w:rFonts w:ascii="Cambria" w:hAnsi="Cambria"/>
                <w:bCs/>
                <w:sz w:val="20"/>
                <w:szCs w:val="20"/>
                <w:lang w:val="es-ES_tradnl"/>
              </w:rPr>
              <w:t>28 de noviembre de 2022</w:t>
            </w:r>
          </w:p>
        </w:tc>
      </w:tr>
      <w:tr w:rsidR="00D1781A" w:rsidRPr="00D1781A" w14:paraId="1B1E093C" w14:textId="77777777" w:rsidTr="00394073">
        <w:tc>
          <w:tcPr>
            <w:tcW w:w="3600" w:type="dxa"/>
            <w:tcBorders>
              <w:top w:val="single" w:sz="6" w:space="0" w:color="auto"/>
              <w:bottom w:val="single" w:sz="6" w:space="0" w:color="auto"/>
            </w:tcBorders>
            <w:shd w:val="clear" w:color="auto" w:fill="386294"/>
            <w:vAlign w:val="center"/>
          </w:tcPr>
          <w:p w14:paraId="0B550A06" w14:textId="3EA3D1C7" w:rsidR="00D1781A" w:rsidRPr="00BF38F4" w:rsidRDefault="00D1781A" w:rsidP="004A6A54">
            <w:pPr>
              <w:jc w:val="center"/>
              <w:rPr>
                <w:rFonts w:ascii="Cambria" w:hAnsi="Cambria"/>
                <w:b/>
                <w:color w:val="FFFFFF" w:themeColor="background1"/>
                <w:sz w:val="20"/>
                <w:szCs w:val="20"/>
                <w:lang w:val="es-ES_tradnl"/>
              </w:rPr>
            </w:pPr>
            <w:r w:rsidRPr="00BF38F4">
              <w:rPr>
                <w:rFonts w:ascii="Cambria" w:hAnsi="Cambria"/>
                <w:b/>
                <w:color w:val="FFFFFF" w:themeColor="background1"/>
                <w:sz w:val="20"/>
                <w:szCs w:val="20"/>
                <w:lang w:val="es-ES_tradnl"/>
              </w:rPr>
              <w:t>Observaciones adicionales de</w:t>
            </w:r>
            <w:r>
              <w:rPr>
                <w:rFonts w:ascii="Cambria" w:hAnsi="Cambria"/>
                <w:b/>
                <w:color w:val="FFFFFF" w:themeColor="background1"/>
                <w:sz w:val="20"/>
                <w:szCs w:val="20"/>
                <w:lang w:val="es-ES_tradnl"/>
              </w:rPr>
              <w:t>l Estado</w:t>
            </w:r>
            <w:r w:rsidRPr="00BF38F4">
              <w:rPr>
                <w:rFonts w:ascii="Cambria" w:hAnsi="Cambria"/>
                <w:b/>
                <w:color w:val="FFFFFF" w:themeColor="background1"/>
                <w:sz w:val="20"/>
                <w:szCs w:val="20"/>
                <w:lang w:val="es-ES_tradnl"/>
              </w:rPr>
              <w:t>:</w:t>
            </w:r>
          </w:p>
        </w:tc>
        <w:tc>
          <w:tcPr>
            <w:tcW w:w="5647" w:type="dxa"/>
            <w:vAlign w:val="center"/>
          </w:tcPr>
          <w:p w14:paraId="586E50C9" w14:textId="635EF91F" w:rsidR="00D1781A" w:rsidRDefault="00D1781A" w:rsidP="008D2290">
            <w:pPr>
              <w:jc w:val="both"/>
              <w:rPr>
                <w:rFonts w:ascii="Cambria" w:hAnsi="Cambria"/>
                <w:bCs/>
                <w:sz w:val="20"/>
                <w:szCs w:val="20"/>
                <w:lang w:val="es-ES_tradnl"/>
              </w:rPr>
            </w:pPr>
            <w:r>
              <w:rPr>
                <w:rFonts w:ascii="Cambria" w:hAnsi="Cambria"/>
                <w:bCs/>
                <w:sz w:val="20"/>
                <w:szCs w:val="20"/>
                <w:lang w:val="es-ES_tradnl"/>
              </w:rPr>
              <w:t>5 de agosto de 2022</w:t>
            </w:r>
          </w:p>
        </w:tc>
      </w:tr>
      <w:tr w:rsidR="001E49E7" w:rsidRPr="0092229A"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92229A" w:rsidRDefault="004A6A54" w:rsidP="00DD4AD2">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A</w:t>
            </w:r>
            <w:r w:rsidR="001E49E7" w:rsidRPr="0092229A">
              <w:rPr>
                <w:rFonts w:ascii="Cambria" w:hAnsi="Cambria"/>
                <w:b/>
                <w:bCs/>
                <w:color w:val="FFFFFF" w:themeColor="background1"/>
                <w:sz w:val="20"/>
                <w:szCs w:val="20"/>
                <w:lang w:val="es-ES_tradnl"/>
              </w:rPr>
              <w:t>dvertencia sobre posible archivo:</w:t>
            </w:r>
          </w:p>
        </w:tc>
        <w:tc>
          <w:tcPr>
            <w:tcW w:w="5647" w:type="dxa"/>
            <w:vAlign w:val="center"/>
          </w:tcPr>
          <w:p w14:paraId="48CA2CFB" w14:textId="2DEEB3D0" w:rsidR="001E49E7" w:rsidRPr="0092229A" w:rsidRDefault="00DE6F13" w:rsidP="002625EA">
            <w:pPr>
              <w:jc w:val="both"/>
              <w:rPr>
                <w:rFonts w:ascii="Cambria" w:hAnsi="Cambria"/>
                <w:bCs/>
                <w:sz w:val="20"/>
                <w:szCs w:val="20"/>
                <w:lang w:val="es-ES_tradnl"/>
              </w:rPr>
            </w:pPr>
            <w:r>
              <w:rPr>
                <w:rFonts w:ascii="Cambria" w:hAnsi="Cambria"/>
                <w:bCs/>
                <w:sz w:val="20"/>
                <w:szCs w:val="20"/>
                <w:lang w:val="es-ES_tradnl"/>
              </w:rPr>
              <w:t>2</w:t>
            </w:r>
            <w:r w:rsidR="00325638">
              <w:rPr>
                <w:rFonts w:ascii="Cambria" w:hAnsi="Cambria"/>
                <w:bCs/>
                <w:sz w:val="20"/>
                <w:szCs w:val="20"/>
                <w:lang w:val="es-ES_tradnl"/>
              </w:rPr>
              <w:t>5 de mayo de 2022</w:t>
            </w:r>
          </w:p>
        </w:tc>
      </w:tr>
      <w:tr w:rsidR="001E49E7" w:rsidRPr="0092229A"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92229A" w:rsidRDefault="004A6A54" w:rsidP="004A6A54">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R</w:t>
            </w:r>
            <w:r w:rsidR="001E49E7" w:rsidRPr="0092229A">
              <w:rPr>
                <w:rFonts w:ascii="Cambria" w:hAnsi="Cambria"/>
                <w:b/>
                <w:bCs/>
                <w:color w:val="FFFFFF" w:themeColor="background1"/>
                <w:sz w:val="20"/>
                <w:szCs w:val="20"/>
                <w:lang w:val="es-ES_tradnl"/>
              </w:rPr>
              <w:t xml:space="preserve">espuesta de la parte peticionaria ante advertencia </w:t>
            </w:r>
            <w:r w:rsidR="00DD4AD2" w:rsidRPr="0092229A">
              <w:rPr>
                <w:rFonts w:ascii="Cambria" w:hAnsi="Cambria"/>
                <w:b/>
                <w:bCs/>
                <w:color w:val="FFFFFF" w:themeColor="background1"/>
                <w:sz w:val="20"/>
                <w:szCs w:val="20"/>
                <w:lang w:val="es-ES_tradnl"/>
              </w:rPr>
              <w:t xml:space="preserve">de </w:t>
            </w:r>
            <w:r w:rsidR="001E49E7" w:rsidRPr="0092229A">
              <w:rPr>
                <w:rFonts w:ascii="Cambria" w:hAnsi="Cambria"/>
                <w:b/>
                <w:bCs/>
                <w:color w:val="FFFFFF" w:themeColor="background1"/>
                <w:sz w:val="20"/>
                <w:szCs w:val="20"/>
                <w:lang w:val="es-ES_tradnl"/>
              </w:rPr>
              <w:t>posible archivo:</w:t>
            </w:r>
          </w:p>
        </w:tc>
        <w:tc>
          <w:tcPr>
            <w:tcW w:w="5647" w:type="dxa"/>
            <w:vAlign w:val="center"/>
          </w:tcPr>
          <w:p w14:paraId="6E85D194" w14:textId="0DC50AD7" w:rsidR="001E49E7" w:rsidRPr="0092229A" w:rsidRDefault="00325638" w:rsidP="002625EA">
            <w:pPr>
              <w:jc w:val="both"/>
              <w:rPr>
                <w:rFonts w:ascii="Cambria" w:hAnsi="Cambria"/>
                <w:bCs/>
                <w:sz w:val="20"/>
                <w:szCs w:val="20"/>
                <w:lang w:val="es-ES_tradnl"/>
              </w:rPr>
            </w:pPr>
            <w:r>
              <w:rPr>
                <w:rFonts w:ascii="Cambria" w:hAnsi="Cambria"/>
                <w:bCs/>
                <w:sz w:val="20"/>
                <w:szCs w:val="20"/>
                <w:lang w:val="es-ES_tradnl"/>
              </w:rPr>
              <w:t>31 de mayo de 2022</w:t>
            </w:r>
          </w:p>
        </w:tc>
      </w:tr>
    </w:tbl>
    <w:p w14:paraId="0FC6E9E8" w14:textId="77777777"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III. </w:t>
      </w:r>
      <w:r w:rsidRPr="0092229A">
        <w:rPr>
          <w:rFonts w:asciiTheme="majorHAnsi" w:hAnsiTheme="majorHAnsi"/>
          <w:b/>
          <w:bCs/>
          <w:sz w:val="20"/>
          <w:szCs w:val="20"/>
          <w:lang w:val="es-ES_tradnl"/>
        </w:rPr>
        <w:tab/>
        <w:t>COMPETENCIA</w:t>
      </w:r>
      <w:r w:rsidR="00EE00E9" w:rsidRPr="0092229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2229A"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personae:</w:t>
            </w:r>
          </w:p>
        </w:tc>
        <w:tc>
          <w:tcPr>
            <w:tcW w:w="5760" w:type="dxa"/>
            <w:vAlign w:val="center"/>
          </w:tcPr>
          <w:p w14:paraId="1E494D5D" w14:textId="51929C9B"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Sí</w:t>
            </w:r>
          </w:p>
        </w:tc>
      </w:tr>
      <w:tr w:rsidR="003239B8" w:rsidRPr="0092229A"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loci</w:t>
            </w:r>
            <w:r w:rsidRPr="0092229A">
              <w:rPr>
                <w:rFonts w:ascii="Cambria" w:hAnsi="Cambria"/>
                <w:b/>
                <w:bCs/>
                <w:color w:val="FFFFFF" w:themeColor="background1"/>
                <w:sz w:val="20"/>
                <w:szCs w:val="20"/>
                <w:lang w:val="es-ES_tradnl"/>
              </w:rPr>
              <w:t>:</w:t>
            </w:r>
          </w:p>
        </w:tc>
        <w:tc>
          <w:tcPr>
            <w:tcW w:w="5760" w:type="dxa"/>
            <w:vAlign w:val="center"/>
          </w:tcPr>
          <w:p w14:paraId="77C8256A" w14:textId="386AB900"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92229A"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temporis</w:t>
            </w:r>
            <w:r w:rsidRPr="0092229A">
              <w:rPr>
                <w:rFonts w:ascii="Cambria" w:hAnsi="Cambria"/>
                <w:b/>
                <w:bCs/>
                <w:color w:val="FFFFFF" w:themeColor="background1"/>
                <w:sz w:val="20"/>
                <w:szCs w:val="20"/>
                <w:lang w:val="es-ES_tradnl"/>
              </w:rPr>
              <w:t>:</w:t>
            </w:r>
          </w:p>
        </w:tc>
        <w:tc>
          <w:tcPr>
            <w:tcW w:w="5760" w:type="dxa"/>
            <w:vAlign w:val="center"/>
          </w:tcPr>
          <w:p w14:paraId="523F6BD6" w14:textId="6964933A" w:rsidR="003239B8" w:rsidRPr="0092229A" w:rsidRDefault="007C715A" w:rsidP="008D2290">
            <w:pPr>
              <w:rPr>
                <w:rFonts w:ascii="Cambria" w:hAnsi="Cambria"/>
                <w:bCs/>
                <w:sz w:val="20"/>
                <w:szCs w:val="20"/>
                <w:lang w:val="es-ES_tradnl"/>
              </w:rPr>
            </w:pPr>
            <w:r w:rsidRPr="0092229A">
              <w:rPr>
                <w:rFonts w:ascii="Cambria" w:hAnsi="Cambria"/>
                <w:bCs/>
                <w:sz w:val="20"/>
                <w:szCs w:val="20"/>
                <w:lang w:val="es-ES_tradnl"/>
              </w:rPr>
              <w:t xml:space="preserve">Sí </w:t>
            </w:r>
          </w:p>
        </w:tc>
      </w:tr>
      <w:tr w:rsidR="003239B8" w:rsidRPr="002A73EC"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Competencia</w:t>
            </w:r>
            <w:r w:rsidRPr="0092229A">
              <w:rPr>
                <w:rFonts w:ascii="Cambria" w:hAnsi="Cambria"/>
                <w:b/>
                <w:bCs/>
                <w:i/>
                <w:color w:val="FFFFFF" w:themeColor="background1"/>
                <w:sz w:val="20"/>
                <w:szCs w:val="20"/>
                <w:lang w:val="es-ES_tradnl"/>
              </w:rPr>
              <w:t xml:space="preserve"> Ratione materia</w:t>
            </w:r>
            <w:r w:rsidR="00EE00E9" w:rsidRPr="0092229A">
              <w:rPr>
                <w:rFonts w:ascii="Cambria" w:hAnsi="Cambria"/>
                <w:b/>
                <w:bCs/>
                <w:i/>
                <w:color w:val="FFFFFF" w:themeColor="background1"/>
                <w:sz w:val="20"/>
                <w:szCs w:val="20"/>
                <w:lang w:val="es-ES_tradnl"/>
              </w:rPr>
              <w:t>e</w:t>
            </w:r>
            <w:r w:rsidRPr="0092229A">
              <w:rPr>
                <w:rFonts w:ascii="Cambria" w:hAnsi="Cambria"/>
                <w:b/>
                <w:bCs/>
                <w:color w:val="FFFFFF" w:themeColor="background1"/>
                <w:sz w:val="20"/>
                <w:szCs w:val="20"/>
                <w:lang w:val="es-ES_tradnl"/>
              </w:rPr>
              <w:t>:</w:t>
            </w:r>
          </w:p>
        </w:tc>
        <w:tc>
          <w:tcPr>
            <w:tcW w:w="5760" w:type="dxa"/>
            <w:vAlign w:val="center"/>
          </w:tcPr>
          <w:p w14:paraId="257C8337" w14:textId="12D4B9F7" w:rsidR="003239B8" w:rsidRPr="0092229A" w:rsidRDefault="007C715A" w:rsidP="008D2290">
            <w:pPr>
              <w:jc w:val="both"/>
              <w:rPr>
                <w:rFonts w:asciiTheme="majorHAnsi" w:hAnsiTheme="majorHAnsi"/>
                <w:bCs/>
                <w:sz w:val="20"/>
                <w:szCs w:val="20"/>
                <w:lang w:val="es-ES_tradnl"/>
              </w:rPr>
            </w:pPr>
            <w:r w:rsidRPr="0092229A">
              <w:rPr>
                <w:rFonts w:asciiTheme="majorHAnsi" w:hAnsiTheme="majorHAnsi"/>
                <w:bCs/>
                <w:sz w:val="20"/>
                <w:szCs w:val="20"/>
                <w:lang w:val="es-ES_tradnl"/>
              </w:rPr>
              <w:t xml:space="preserve">Sí, </w:t>
            </w:r>
            <w:r w:rsidR="00FA3AEF" w:rsidRPr="0092229A">
              <w:rPr>
                <w:rFonts w:asciiTheme="majorHAnsi" w:hAnsiTheme="majorHAnsi"/>
                <w:bCs/>
                <w:sz w:val="20"/>
                <w:szCs w:val="20"/>
                <w:lang w:val="es-ES_tradnl"/>
              </w:rPr>
              <w:t xml:space="preserve">Convención Americana (instrumento de ratificación depositado el </w:t>
            </w:r>
            <w:r w:rsidR="00D71063" w:rsidRPr="0092229A">
              <w:rPr>
                <w:rFonts w:asciiTheme="majorHAnsi" w:hAnsiTheme="majorHAnsi"/>
                <w:bCs/>
                <w:sz w:val="20"/>
                <w:szCs w:val="20"/>
                <w:lang w:val="es-ES_tradnl"/>
              </w:rPr>
              <w:t>25 de mayo de 1978</w:t>
            </w:r>
            <w:r w:rsidR="00FA3AEF" w:rsidRPr="0092229A">
              <w:rPr>
                <w:rFonts w:asciiTheme="majorHAnsi" w:hAnsiTheme="majorHAnsi"/>
                <w:bCs/>
                <w:sz w:val="20"/>
                <w:szCs w:val="20"/>
                <w:lang w:val="es-ES_tradnl"/>
              </w:rPr>
              <w:t>)</w:t>
            </w:r>
          </w:p>
        </w:tc>
      </w:tr>
    </w:tbl>
    <w:p w14:paraId="299A3868" w14:textId="6B2FCAEA" w:rsidR="003239B8" w:rsidRPr="0092229A" w:rsidRDefault="003239B8" w:rsidP="003239B8">
      <w:pPr>
        <w:spacing w:before="240" w:after="240"/>
        <w:ind w:firstLine="720"/>
        <w:jc w:val="both"/>
        <w:rPr>
          <w:rFonts w:asciiTheme="majorHAnsi" w:hAnsiTheme="majorHAnsi"/>
          <w:b/>
          <w:bCs/>
          <w:sz w:val="20"/>
          <w:szCs w:val="20"/>
          <w:lang w:val="es-ES_tradnl"/>
        </w:rPr>
      </w:pPr>
      <w:r w:rsidRPr="0092229A">
        <w:rPr>
          <w:rFonts w:asciiTheme="majorHAnsi" w:hAnsiTheme="majorHAnsi"/>
          <w:b/>
          <w:bCs/>
          <w:sz w:val="20"/>
          <w:szCs w:val="20"/>
          <w:lang w:val="es-ES_tradnl"/>
        </w:rPr>
        <w:t xml:space="preserve">IV. </w:t>
      </w:r>
      <w:r w:rsidRPr="0092229A">
        <w:rPr>
          <w:rFonts w:asciiTheme="majorHAnsi" w:hAnsiTheme="majorHAnsi"/>
          <w:b/>
          <w:bCs/>
          <w:sz w:val="20"/>
          <w:szCs w:val="20"/>
          <w:lang w:val="es-ES_tradnl"/>
        </w:rPr>
        <w:tab/>
      </w:r>
      <w:r w:rsidR="00EE00E9" w:rsidRPr="0092229A">
        <w:rPr>
          <w:rFonts w:asciiTheme="majorHAnsi" w:hAnsiTheme="majorHAnsi"/>
          <w:b/>
          <w:bCs/>
          <w:sz w:val="20"/>
          <w:szCs w:val="20"/>
          <w:lang w:val="es-ES_tradnl"/>
        </w:rPr>
        <w:t>DUPLICACIÓN</w:t>
      </w:r>
      <w:r w:rsidR="00EE00E9" w:rsidRPr="0092229A">
        <w:rPr>
          <w:rFonts w:asciiTheme="majorHAnsi" w:hAnsiTheme="majorHAnsi"/>
          <w:b/>
          <w:bCs/>
          <w:color w:val="FFFFFF" w:themeColor="background1"/>
          <w:sz w:val="20"/>
          <w:szCs w:val="20"/>
          <w:lang w:val="es-ES_tradnl"/>
        </w:rPr>
        <w:t xml:space="preserve"> </w:t>
      </w:r>
      <w:r w:rsidR="00EE00E9" w:rsidRPr="0092229A">
        <w:rPr>
          <w:rFonts w:asciiTheme="majorHAnsi" w:hAnsiTheme="majorHAnsi"/>
          <w:b/>
          <w:bCs/>
          <w:sz w:val="20"/>
          <w:szCs w:val="20"/>
          <w:lang w:val="es-ES_tradnl"/>
        </w:rPr>
        <w:t>DE PROCEDIMIENTOS Y COSA JUZGADA</w:t>
      </w:r>
      <w:r w:rsidR="00EE00E9" w:rsidRPr="0092229A">
        <w:rPr>
          <w:rFonts w:asciiTheme="majorHAnsi" w:hAnsiTheme="majorHAnsi"/>
          <w:b/>
          <w:bCs/>
          <w:i/>
          <w:sz w:val="20"/>
          <w:szCs w:val="20"/>
          <w:lang w:val="es-ES_tradnl"/>
        </w:rPr>
        <w:t xml:space="preserve"> </w:t>
      </w:r>
      <w:r w:rsidR="001D57D6" w:rsidRPr="0092229A">
        <w:rPr>
          <w:rFonts w:asciiTheme="majorHAnsi" w:hAnsiTheme="majorHAnsi"/>
          <w:b/>
          <w:bCs/>
          <w:sz w:val="20"/>
          <w:szCs w:val="20"/>
          <w:lang w:val="es-ES_tradnl"/>
        </w:rPr>
        <w:t>INTERNACIONAL, CARACTERIZACIÓN</w:t>
      </w:r>
      <w:r w:rsidRPr="0092229A">
        <w:rPr>
          <w:rFonts w:asciiTheme="majorHAnsi" w:hAnsiTheme="majorHAnsi"/>
          <w:b/>
          <w:bCs/>
          <w:sz w:val="20"/>
          <w:szCs w:val="20"/>
          <w:lang w:val="es-ES_tradnl"/>
        </w:rPr>
        <w:t xml:space="preserve">, </w:t>
      </w:r>
      <w:r w:rsidRPr="0092229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2229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92229A" w:rsidRDefault="00EE00E9"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764D7F60" w14:textId="6158FB47" w:rsidR="00EE00E9" w:rsidRPr="0092229A" w:rsidRDefault="00BD01F0" w:rsidP="008D2290">
            <w:pPr>
              <w:jc w:val="both"/>
              <w:rPr>
                <w:rFonts w:ascii="Cambria" w:hAnsi="Cambria"/>
                <w:bCs/>
                <w:sz w:val="20"/>
                <w:szCs w:val="20"/>
                <w:lang w:val="es-ES_tradnl"/>
              </w:rPr>
            </w:pPr>
            <w:r w:rsidRPr="0092229A">
              <w:rPr>
                <w:rFonts w:ascii="Cambria" w:hAnsi="Cambria"/>
                <w:bCs/>
                <w:sz w:val="20"/>
                <w:szCs w:val="20"/>
                <w:lang w:val="es-ES_tradnl"/>
              </w:rPr>
              <w:t>No</w:t>
            </w:r>
          </w:p>
        </w:tc>
      </w:tr>
      <w:tr w:rsidR="003239B8" w:rsidRPr="002A73EC"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92229A" w:rsidRDefault="003239B8" w:rsidP="008D2290">
            <w:pPr>
              <w:jc w:val="center"/>
              <w:rPr>
                <w:rFonts w:ascii="Cambria" w:hAnsi="Cambria"/>
                <w:b/>
                <w:bCs/>
                <w:i/>
                <w:color w:val="FFFFFF" w:themeColor="background1"/>
                <w:sz w:val="20"/>
                <w:szCs w:val="20"/>
                <w:lang w:val="es-ES_tradnl"/>
              </w:rPr>
            </w:pPr>
            <w:r w:rsidRPr="0092229A">
              <w:rPr>
                <w:rFonts w:ascii="Cambria" w:hAnsi="Cambria"/>
                <w:b/>
                <w:bCs/>
                <w:color w:val="FFFFFF" w:themeColor="background1"/>
                <w:sz w:val="20"/>
                <w:szCs w:val="20"/>
                <w:lang w:val="es-ES_tradnl"/>
              </w:rPr>
              <w:t>Derechos declarados admisibles</w:t>
            </w:r>
            <w:r w:rsidRPr="0092229A">
              <w:rPr>
                <w:rFonts w:ascii="Cambria" w:hAnsi="Cambria"/>
                <w:b/>
                <w:bCs/>
                <w:i/>
                <w:color w:val="FFFFFF" w:themeColor="background1"/>
                <w:sz w:val="20"/>
                <w:szCs w:val="20"/>
                <w:lang w:val="es-ES_tradnl"/>
              </w:rPr>
              <w:t>:</w:t>
            </w:r>
          </w:p>
        </w:tc>
        <w:tc>
          <w:tcPr>
            <w:tcW w:w="5760" w:type="dxa"/>
            <w:vAlign w:val="center"/>
          </w:tcPr>
          <w:p w14:paraId="4DAE9D4D" w14:textId="5461D0FA" w:rsidR="00FF6087" w:rsidRPr="0092229A" w:rsidRDefault="00BD01F0" w:rsidP="00E53400">
            <w:pPr>
              <w:jc w:val="both"/>
              <w:rPr>
                <w:rFonts w:ascii="Cambria" w:hAnsi="Cambria"/>
                <w:bCs/>
                <w:sz w:val="20"/>
                <w:szCs w:val="20"/>
                <w:lang w:val="es-ES_tradnl"/>
              </w:rPr>
            </w:pPr>
            <w:r w:rsidRPr="0092229A">
              <w:rPr>
                <w:rFonts w:asciiTheme="majorHAnsi" w:hAnsiTheme="majorHAnsi"/>
                <w:bCs/>
                <w:sz w:val="20"/>
                <w:szCs w:val="20"/>
                <w:lang w:val="es-ES_tradnl"/>
              </w:rPr>
              <w:t>Artículos</w:t>
            </w:r>
            <w:r w:rsidR="00E53400" w:rsidRPr="0092229A">
              <w:rPr>
                <w:rFonts w:asciiTheme="majorHAnsi" w:hAnsiTheme="majorHAnsi"/>
                <w:bCs/>
                <w:sz w:val="20"/>
                <w:szCs w:val="20"/>
                <w:lang w:val="es-ES_tradnl"/>
              </w:rPr>
              <w:t xml:space="preserve"> </w:t>
            </w:r>
            <w:r w:rsidR="000E6E3B" w:rsidRPr="0018120B">
              <w:rPr>
                <w:rFonts w:asciiTheme="majorHAnsi" w:hAnsiTheme="majorHAnsi" w:cstheme="majorHAnsi"/>
                <w:bCs/>
                <w:sz w:val="20"/>
                <w:szCs w:val="20"/>
                <w:lang w:val="es-ES_tradnl"/>
              </w:rPr>
              <w:t xml:space="preserve">8 (garantías judiciales), </w:t>
            </w:r>
            <w:r w:rsidR="000E6E3B" w:rsidRPr="005143B2">
              <w:rPr>
                <w:rFonts w:asciiTheme="majorHAnsi" w:hAnsiTheme="majorHAnsi" w:cstheme="majorHAnsi"/>
                <w:bCs/>
                <w:sz w:val="20"/>
                <w:szCs w:val="20"/>
                <w:lang w:val="es-ES"/>
              </w:rPr>
              <w:t>21 (derecho a la propiedad)</w:t>
            </w:r>
            <w:r w:rsidR="000E6E3B" w:rsidRPr="0018120B">
              <w:rPr>
                <w:rFonts w:asciiTheme="majorHAnsi" w:hAnsiTheme="majorHAnsi" w:cstheme="majorHAnsi"/>
                <w:bCs/>
                <w:sz w:val="20"/>
                <w:szCs w:val="20"/>
                <w:lang w:val="es-ES_tradnl"/>
              </w:rPr>
              <w:t>, 25 (protección judicial), y 26 (derechos económicos, sociales y culturales) de la Convención Americana, en relación con sus artículos 1.1 (obligación de respetar los derechos) y 2 (</w:t>
            </w:r>
            <w:r w:rsidR="000E6E3B" w:rsidRPr="0018120B">
              <w:rPr>
                <w:rFonts w:asciiTheme="majorHAnsi" w:hAnsiTheme="majorHAnsi" w:cstheme="majorHAnsi"/>
                <w:bCs/>
                <w:sz w:val="20"/>
                <w:szCs w:val="20"/>
                <w:lang w:val="es-ES"/>
              </w:rPr>
              <w:t>deber de adoptar disposiciones de derecho interno</w:t>
            </w:r>
            <w:r w:rsidR="000E6E3B" w:rsidRPr="0018120B">
              <w:rPr>
                <w:rFonts w:asciiTheme="majorHAnsi" w:hAnsiTheme="majorHAnsi" w:cstheme="majorHAnsi"/>
                <w:bCs/>
                <w:sz w:val="20"/>
                <w:szCs w:val="20"/>
                <w:lang w:val="es-ES_tradnl"/>
              </w:rPr>
              <w:t>)</w:t>
            </w:r>
          </w:p>
        </w:tc>
      </w:tr>
      <w:tr w:rsidR="003239B8" w:rsidRPr="002A73EC"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Agotamiento de recursos internos</w:t>
            </w:r>
            <w:r w:rsidR="00EE00E9" w:rsidRPr="0092229A">
              <w:rPr>
                <w:rFonts w:ascii="Cambria" w:hAnsi="Cambria"/>
                <w:b/>
                <w:bCs/>
                <w:color w:val="FFFFFF" w:themeColor="background1"/>
                <w:sz w:val="20"/>
                <w:szCs w:val="20"/>
                <w:lang w:val="es-ES_tradnl"/>
              </w:rPr>
              <w:t xml:space="preserve"> o procedencia de una excepción</w:t>
            </w:r>
            <w:r w:rsidRPr="0092229A">
              <w:rPr>
                <w:rFonts w:ascii="Cambria" w:hAnsi="Cambria"/>
                <w:b/>
                <w:bCs/>
                <w:color w:val="FFFFFF" w:themeColor="background1"/>
                <w:sz w:val="20"/>
                <w:szCs w:val="20"/>
                <w:lang w:val="es-ES_tradnl"/>
              </w:rPr>
              <w:t>:</w:t>
            </w:r>
          </w:p>
        </w:tc>
        <w:tc>
          <w:tcPr>
            <w:tcW w:w="5760" w:type="dxa"/>
            <w:vAlign w:val="center"/>
          </w:tcPr>
          <w:p w14:paraId="7F7C1A19" w14:textId="6A02E998" w:rsidR="003239B8" w:rsidRPr="0092229A" w:rsidRDefault="00620C6F" w:rsidP="000E6E3B">
            <w:pPr>
              <w:rPr>
                <w:rFonts w:ascii="Cambria" w:hAnsi="Cambria"/>
                <w:bCs/>
                <w:sz w:val="20"/>
                <w:szCs w:val="20"/>
                <w:lang w:val="es-ES_tradnl"/>
              </w:rPr>
            </w:pPr>
            <w:r w:rsidRPr="00620C6F">
              <w:rPr>
                <w:rFonts w:asciiTheme="majorHAnsi" w:hAnsiTheme="majorHAnsi"/>
                <w:bCs/>
                <w:sz w:val="20"/>
                <w:szCs w:val="20"/>
                <w:lang w:val="es-ES_tradnl"/>
              </w:rPr>
              <w:t xml:space="preserve">Sí, </w:t>
            </w:r>
            <w:r w:rsidR="000E6E3B">
              <w:rPr>
                <w:rFonts w:asciiTheme="majorHAnsi" w:hAnsiTheme="majorHAnsi"/>
                <w:bCs/>
                <w:sz w:val="20"/>
                <w:szCs w:val="20"/>
                <w:lang w:val="es-ES_tradnl"/>
              </w:rPr>
              <w:t xml:space="preserve">el </w:t>
            </w:r>
            <w:r w:rsidR="000E6E3B" w:rsidRPr="004808D5">
              <w:rPr>
                <w:rFonts w:asciiTheme="majorHAnsi" w:hAnsiTheme="majorHAnsi" w:cs="Calibri"/>
                <w:sz w:val="20"/>
                <w:szCs w:val="20"/>
                <w:lang w:val="es-ES_tradnl"/>
              </w:rPr>
              <w:t>14 de diciembre de 2018</w:t>
            </w:r>
          </w:p>
        </w:tc>
      </w:tr>
      <w:tr w:rsidR="003239B8" w:rsidRPr="002A73EC"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92229A" w:rsidRDefault="003239B8" w:rsidP="008D2290">
            <w:pPr>
              <w:jc w:val="center"/>
              <w:rPr>
                <w:rFonts w:ascii="Cambria" w:hAnsi="Cambria"/>
                <w:b/>
                <w:bCs/>
                <w:color w:val="FFFFFF" w:themeColor="background1"/>
                <w:sz w:val="20"/>
                <w:szCs w:val="20"/>
                <w:lang w:val="es-ES_tradnl"/>
              </w:rPr>
            </w:pPr>
            <w:r w:rsidRPr="0092229A">
              <w:rPr>
                <w:rFonts w:ascii="Cambria" w:hAnsi="Cambria"/>
                <w:b/>
                <w:bCs/>
                <w:color w:val="FFFFFF" w:themeColor="background1"/>
                <w:sz w:val="20"/>
                <w:szCs w:val="20"/>
                <w:lang w:val="es-ES_tradnl"/>
              </w:rPr>
              <w:t>Presentación dentro de plazo:</w:t>
            </w:r>
          </w:p>
        </w:tc>
        <w:tc>
          <w:tcPr>
            <w:tcW w:w="5760" w:type="dxa"/>
            <w:vAlign w:val="center"/>
          </w:tcPr>
          <w:p w14:paraId="2AF0FC69" w14:textId="0F3FEB27" w:rsidR="003239B8" w:rsidRPr="0092229A" w:rsidRDefault="00BD01F0" w:rsidP="008D2290">
            <w:pPr>
              <w:rPr>
                <w:rFonts w:ascii="Cambria" w:hAnsi="Cambria"/>
                <w:bCs/>
                <w:sz w:val="20"/>
                <w:szCs w:val="20"/>
                <w:lang w:val="es-ES_tradnl"/>
              </w:rPr>
            </w:pPr>
            <w:r w:rsidRPr="0092229A">
              <w:rPr>
                <w:rFonts w:asciiTheme="majorHAnsi" w:hAnsiTheme="majorHAnsi"/>
                <w:bCs/>
                <w:sz w:val="20"/>
                <w:szCs w:val="20"/>
                <w:lang w:val="es-ES_tradnl"/>
              </w:rPr>
              <w:t>Sí, en los términos de la Sección VI</w:t>
            </w:r>
            <w:r w:rsidR="00454C1E">
              <w:rPr>
                <w:rFonts w:asciiTheme="majorHAnsi" w:hAnsiTheme="majorHAnsi"/>
                <w:bCs/>
                <w:sz w:val="20"/>
                <w:szCs w:val="20"/>
                <w:lang w:val="es-ES_tradnl"/>
              </w:rPr>
              <w:t>I</w:t>
            </w:r>
          </w:p>
        </w:tc>
      </w:tr>
    </w:tbl>
    <w:p w14:paraId="56FD5D57" w14:textId="53AF6FDA" w:rsidR="003239B8" w:rsidRPr="001B130F" w:rsidRDefault="00223A29" w:rsidP="0020170C">
      <w:pPr>
        <w:spacing w:before="240" w:after="240"/>
        <w:ind w:firstLine="720"/>
        <w:jc w:val="both"/>
        <w:rPr>
          <w:rFonts w:asciiTheme="majorHAnsi" w:hAnsiTheme="majorHAnsi"/>
          <w:b/>
          <w:sz w:val="20"/>
          <w:szCs w:val="20"/>
          <w:lang w:val="es-ES_tradnl"/>
        </w:rPr>
      </w:pPr>
      <w:r w:rsidRPr="00375E07">
        <w:rPr>
          <w:rFonts w:ascii="Cambria" w:hAnsi="Cambria"/>
          <w:b/>
          <w:sz w:val="20"/>
          <w:szCs w:val="20"/>
          <w:lang w:val="es-ES_tradnl"/>
        </w:rPr>
        <w:lastRenderedPageBreak/>
        <w:t xml:space="preserve">V. </w:t>
      </w:r>
      <w:r w:rsidRPr="00375E07">
        <w:rPr>
          <w:rFonts w:ascii="Cambria" w:hAnsi="Cambria"/>
          <w:b/>
          <w:sz w:val="20"/>
          <w:szCs w:val="20"/>
          <w:lang w:val="es-ES_tradnl"/>
        </w:rPr>
        <w:tab/>
      </w:r>
      <w:r w:rsidR="004241A0" w:rsidRPr="001B130F">
        <w:rPr>
          <w:rFonts w:asciiTheme="majorHAnsi" w:hAnsiTheme="majorHAnsi"/>
          <w:b/>
          <w:sz w:val="20"/>
          <w:szCs w:val="20"/>
          <w:lang w:val="es-ES_tradnl"/>
        </w:rPr>
        <w:t>POSICIÓN DE LAS PARTES</w:t>
      </w:r>
      <w:r w:rsidR="003239B8" w:rsidRPr="001B130F">
        <w:rPr>
          <w:rFonts w:asciiTheme="majorHAnsi" w:hAnsiTheme="majorHAnsi"/>
          <w:b/>
          <w:sz w:val="20"/>
          <w:szCs w:val="20"/>
          <w:lang w:val="es-ES_tradnl"/>
        </w:rPr>
        <w:t xml:space="preserve"> </w:t>
      </w:r>
    </w:p>
    <w:p w14:paraId="3DB7BCDD" w14:textId="05EAA365" w:rsidR="009B4E99" w:rsidRPr="001B130F" w:rsidRDefault="007D37D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La </w:t>
      </w:r>
      <w:r w:rsidR="004D5ADC" w:rsidRPr="001B130F">
        <w:rPr>
          <w:rFonts w:asciiTheme="majorHAnsi" w:hAnsiTheme="majorHAnsi" w:cstheme="majorHAnsi"/>
          <w:sz w:val="20"/>
          <w:szCs w:val="20"/>
          <w:lang w:val="es-ES_tradnl"/>
        </w:rPr>
        <w:t xml:space="preserve">familia </w:t>
      </w:r>
      <w:r w:rsidR="009B4E99" w:rsidRPr="001B130F">
        <w:rPr>
          <w:rFonts w:asciiTheme="majorHAnsi" w:hAnsiTheme="majorHAnsi" w:cstheme="majorHAnsi"/>
          <w:sz w:val="20"/>
          <w:szCs w:val="20"/>
          <w:lang w:val="es-ES_tradnl"/>
        </w:rPr>
        <w:t>Zapil Poz</w:t>
      </w:r>
      <w:r w:rsidR="00B44C24" w:rsidRPr="001B130F">
        <w:rPr>
          <w:rFonts w:asciiTheme="majorHAnsi" w:hAnsiTheme="majorHAnsi" w:cstheme="majorHAnsi"/>
          <w:sz w:val="20"/>
          <w:szCs w:val="20"/>
          <w:lang w:val="es-ES_tradnl"/>
        </w:rPr>
        <w:t>, perteneciente a la comunidad indígena Quiché</w:t>
      </w:r>
      <w:r w:rsidR="009B4E99" w:rsidRPr="001B130F">
        <w:rPr>
          <w:rFonts w:asciiTheme="majorHAnsi" w:hAnsiTheme="majorHAnsi" w:cstheme="majorHAnsi"/>
          <w:sz w:val="20"/>
          <w:szCs w:val="20"/>
          <w:lang w:val="es-ES_tradnl"/>
        </w:rPr>
        <w:t xml:space="preserve"> (en adelante “presuntas víctimas”), alegan la violación al derecho de</w:t>
      </w:r>
      <w:r w:rsidR="00BB386B" w:rsidRPr="001B130F">
        <w:rPr>
          <w:rFonts w:asciiTheme="majorHAnsi" w:hAnsiTheme="majorHAnsi" w:cstheme="majorHAnsi"/>
          <w:sz w:val="20"/>
          <w:szCs w:val="20"/>
          <w:lang w:val="es-ES_tradnl"/>
        </w:rPr>
        <w:t xml:space="preserve"> propiedad</w:t>
      </w:r>
      <w:r w:rsidR="00B44C24" w:rsidRPr="001B130F">
        <w:rPr>
          <w:rFonts w:asciiTheme="majorHAnsi" w:hAnsiTheme="majorHAnsi" w:cstheme="majorHAnsi"/>
          <w:sz w:val="20"/>
          <w:szCs w:val="20"/>
          <w:lang w:val="es-ES_tradnl"/>
        </w:rPr>
        <w:t xml:space="preserve">, garantías y protección judiciales, a raíz de que un juzgado cancelara el registro de sus tierras </w:t>
      </w:r>
      <w:r w:rsidR="00206E97" w:rsidRPr="001B130F">
        <w:rPr>
          <w:rFonts w:asciiTheme="majorHAnsi" w:hAnsiTheme="majorHAnsi" w:cstheme="majorHAnsi"/>
          <w:sz w:val="20"/>
          <w:szCs w:val="20"/>
          <w:lang w:val="es-ES_tradnl"/>
        </w:rPr>
        <w:t>a</w:t>
      </w:r>
      <w:r w:rsidR="00B44C24" w:rsidRPr="001B130F">
        <w:rPr>
          <w:rFonts w:asciiTheme="majorHAnsi" w:hAnsiTheme="majorHAnsi" w:cstheme="majorHAnsi"/>
          <w:sz w:val="20"/>
          <w:szCs w:val="20"/>
          <w:lang w:val="es-ES_tradnl"/>
        </w:rPr>
        <w:t xml:space="preserve"> petición de un tercero. Las presuntas víctimas consideran que la decisión se </w:t>
      </w:r>
      <w:r w:rsidR="00206E97" w:rsidRPr="001B130F">
        <w:rPr>
          <w:rFonts w:asciiTheme="majorHAnsi" w:hAnsiTheme="majorHAnsi" w:cstheme="majorHAnsi"/>
          <w:sz w:val="20"/>
          <w:szCs w:val="20"/>
          <w:lang w:val="es-ES_tradnl"/>
        </w:rPr>
        <w:t>dio</w:t>
      </w:r>
      <w:r w:rsidR="00B44C24" w:rsidRPr="001B130F">
        <w:rPr>
          <w:rFonts w:asciiTheme="majorHAnsi" w:hAnsiTheme="majorHAnsi" w:cstheme="majorHAnsi"/>
          <w:sz w:val="20"/>
          <w:szCs w:val="20"/>
          <w:lang w:val="es-ES_tradnl"/>
        </w:rPr>
        <w:t xml:space="preserve"> dentro de un contexto de </w:t>
      </w:r>
      <w:r w:rsidR="00206E97" w:rsidRPr="001B130F">
        <w:rPr>
          <w:rFonts w:asciiTheme="majorHAnsi" w:hAnsiTheme="majorHAnsi" w:cstheme="majorHAnsi"/>
          <w:sz w:val="20"/>
          <w:szCs w:val="20"/>
          <w:lang w:val="es-ES_tradnl"/>
        </w:rPr>
        <w:t xml:space="preserve">desigualdad contra comunidades indígenas e </w:t>
      </w:r>
      <w:r w:rsidR="00B44C24" w:rsidRPr="001B130F">
        <w:rPr>
          <w:rFonts w:asciiTheme="majorHAnsi" w:hAnsiTheme="majorHAnsi" w:cstheme="majorHAnsi"/>
          <w:sz w:val="20"/>
          <w:szCs w:val="20"/>
          <w:lang w:val="es-ES_tradnl"/>
        </w:rPr>
        <w:t xml:space="preserve">incertidumbre jurídica </w:t>
      </w:r>
      <w:r w:rsidR="00206E97" w:rsidRPr="001B130F">
        <w:rPr>
          <w:rFonts w:asciiTheme="majorHAnsi" w:hAnsiTheme="majorHAnsi" w:cstheme="majorHAnsi"/>
          <w:sz w:val="20"/>
          <w:szCs w:val="20"/>
          <w:lang w:val="es-ES_tradnl"/>
        </w:rPr>
        <w:t>en lo relativo a</w:t>
      </w:r>
      <w:r w:rsidR="003F3069" w:rsidRPr="001B130F">
        <w:rPr>
          <w:rFonts w:asciiTheme="majorHAnsi" w:hAnsiTheme="majorHAnsi" w:cstheme="majorHAnsi"/>
          <w:sz w:val="20"/>
          <w:szCs w:val="20"/>
          <w:lang w:val="es-ES_tradnl"/>
        </w:rPr>
        <w:t>l</w:t>
      </w:r>
      <w:r w:rsidR="00206E97" w:rsidRPr="001B130F">
        <w:rPr>
          <w:rFonts w:asciiTheme="majorHAnsi" w:hAnsiTheme="majorHAnsi" w:cstheme="majorHAnsi"/>
          <w:sz w:val="20"/>
          <w:szCs w:val="20"/>
          <w:lang w:val="es-ES_tradnl"/>
        </w:rPr>
        <w:t xml:space="preserve"> registro de tierras. Por otro lado, denuncian un retardo injustificado en las decisiones internas</w:t>
      </w:r>
      <w:r w:rsidR="00D25701" w:rsidRPr="001B130F">
        <w:rPr>
          <w:rFonts w:asciiTheme="majorHAnsi" w:hAnsiTheme="majorHAnsi" w:cstheme="majorHAnsi"/>
          <w:sz w:val="20"/>
          <w:szCs w:val="20"/>
          <w:lang w:val="es-ES_tradnl"/>
        </w:rPr>
        <w:t>,</w:t>
      </w:r>
      <w:r w:rsidR="00206E97" w:rsidRPr="001B130F">
        <w:rPr>
          <w:rFonts w:asciiTheme="majorHAnsi" w:hAnsiTheme="majorHAnsi" w:cstheme="majorHAnsi"/>
          <w:sz w:val="20"/>
          <w:szCs w:val="20"/>
          <w:lang w:val="es-ES_tradnl"/>
        </w:rPr>
        <w:t xml:space="preserve"> y afirman que las decisiones judiciales no tomaron en consideración la organización propia de la comunidad Quiché. </w:t>
      </w:r>
    </w:p>
    <w:p w14:paraId="489FF78A" w14:textId="77777777" w:rsidR="009B4E99" w:rsidRPr="001B130F" w:rsidRDefault="009B4E99" w:rsidP="0020170C">
      <w:pPr>
        <w:spacing w:before="240" w:after="240"/>
        <w:ind w:firstLine="709"/>
        <w:jc w:val="both"/>
        <w:rPr>
          <w:rFonts w:asciiTheme="majorHAnsi" w:hAnsiTheme="majorHAnsi"/>
          <w:bCs/>
          <w:sz w:val="20"/>
          <w:szCs w:val="20"/>
          <w:lang w:val="es-ES_tradnl"/>
        </w:rPr>
      </w:pPr>
      <w:r w:rsidRPr="001B130F">
        <w:rPr>
          <w:rFonts w:asciiTheme="majorHAnsi" w:hAnsiTheme="majorHAnsi"/>
          <w:i/>
          <w:iCs/>
          <w:sz w:val="20"/>
          <w:szCs w:val="20"/>
          <w:lang w:val="es-ES_tradnl"/>
        </w:rPr>
        <w:t>Planteamientos generales</w:t>
      </w:r>
    </w:p>
    <w:p w14:paraId="4BA7221C" w14:textId="4FF97D65"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 xml:space="preserve">Las presuntas víctimas, pertenecientes a </w:t>
      </w:r>
      <w:r w:rsidRPr="001B130F">
        <w:rPr>
          <w:rFonts w:asciiTheme="majorHAnsi" w:hAnsiTheme="majorHAnsi" w:cstheme="majorHAnsi"/>
          <w:sz w:val="20"/>
          <w:szCs w:val="20"/>
          <w:lang w:val="es-ES"/>
        </w:rPr>
        <w:t xml:space="preserve">la etnia maya </w:t>
      </w:r>
      <w:r w:rsidRPr="001B130F">
        <w:rPr>
          <w:rFonts w:asciiTheme="majorHAnsi" w:hAnsiTheme="majorHAnsi" w:cstheme="majorHAnsi"/>
          <w:sz w:val="20"/>
          <w:szCs w:val="20"/>
          <w:lang w:val="es-ES_tradnl"/>
        </w:rPr>
        <w:t>Q</w:t>
      </w:r>
      <w:r w:rsidRPr="001B130F">
        <w:rPr>
          <w:rFonts w:asciiTheme="majorHAnsi" w:hAnsiTheme="majorHAnsi" w:cstheme="majorHAnsi"/>
          <w:sz w:val="20"/>
          <w:szCs w:val="20"/>
          <w:lang w:val="es-ES"/>
        </w:rPr>
        <w:t>uiché</w:t>
      </w:r>
      <w:r w:rsidRPr="001B130F">
        <w:rPr>
          <w:rFonts w:asciiTheme="majorHAnsi" w:hAnsiTheme="majorHAnsi" w:cstheme="majorHAnsi"/>
          <w:sz w:val="20"/>
          <w:szCs w:val="20"/>
          <w:lang w:val="es-ES_tradnl"/>
        </w:rPr>
        <w:t xml:space="preserve">, </w:t>
      </w:r>
      <w:r w:rsidR="00BB386B" w:rsidRPr="001B130F">
        <w:rPr>
          <w:rFonts w:asciiTheme="majorHAnsi" w:hAnsiTheme="majorHAnsi" w:cstheme="majorHAnsi"/>
          <w:sz w:val="20"/>
          <w:szCs w:val="20"/>
          <w:lang w:val="es-ES_tradnl"/>
        </w:rPr>
        <w:t>eran propietari</w:t>
      </w:r>
      <w:r w:rsidR="006C29F1" w:rsidRPr="001B130F">
        <w:rPr>
          <w:rFonts w:asciiTheme="majorHAnsi" w:hAnsiTheme="majorHAnsi" w:cstheme="majorHAnsi"/>
          <w:sz w:val="20"/>
          <w:szCs w:val="20"/>
          <w:lang w:val="es-ES_tradnl"/>
        </w:rPr>
        <w:t>o</w:t>
      </w:r>
      <w:r w:rsidR="00BB386B" w:rsidRPr="001B130F">
        <w:rPr>
          <w:rFonts w:asciiTheme="majorHAnsi" w:hAnsiTheme="majorHAnsi" w:cstheme="majorHAnsi"/>
          <w:sz w:val="20"/>
          <w:szCs w:val="20"/>
          <w:lang w:val="es-ES_tradnl"/>
        </w:rPr>
        <w:t>s</w:t>
      </w:r>
      <w:r w:rsidR="003F3069" w:rsidRPr="001B130F">
        <w:rPr>
          <w:rFonts w:asciiTheme="majorHAnsi" w:hAnsiTheme="majorHAnsi" w:cstheme="majorHAnsi"/>
          <w:sz w:val="20"/>
          <w:szCs w:val="20"/>
          <w:lang w:val="es-ES_tradnl"/>
        </w:rPr>
        <w:t xml:space="preserve"> de</w:t>
      </w:r>
      <w:r w:rsidRPr="001B130F">
        <w:rPr>
          <w:rFonts w:asciiTheme="majorHAnsi" w:hAnsiTheme="majorHAnsi" w:cstheme="majorHAnsi"/>
          <w:sz w:val="20"/>
          <w:szCs w:val="20"/>
          <w:lang w:val="es-ES_tradnl"/>
        </w:rPr>
        <w:t xml:space="preserve"> un inmueble en</w:t>
      </w:r>
      <w:r w:rsidRPr="001B130F">
        <w:rPr>
          <w:rFonts w:asciiTheme="majorHAnsi" w:hAnsiTheme="majorHAnsi" w:cstheme="majorHAnsi"/>
          <w:sz w:val="20"/>
          <w:szCs w:val="20"/>
          <w:lang w:val="es-ES"/>
        </w:rPr>
        <w:t xml:space="preserve"> el municipio de Zunil, departamento de Quetzaltenango, específicamente en un lugar denominado </w:t>
      </w:r>
      <w:r w:rsidRPr="001B130F">
        <w:rPr>
          <w:rFonts w:asciiTheme="majorHAnsi" w:hAnsiTheme="majorHAnsi" w:cstheme="majorHAnsi"/>
          <w:i/>
          <w:iCs/>
          <w:sz w:val="20"/>
          <w:szCs w:val="20"/>
          <w:lang w:val="es-ES"/>
        </w:rPr>
        <w:t>Xe-Q ́alibal</w:t>
      </w:r>
      <w:r w:rsidRPr="001B130F">
        <w:rPr>
          <w:rFonts w:asciiTheme="majorHAnsi" w:hAnsiTheme="majorHAnsi" w:cstheme="majorHAnsi"/>
          <w:sz w:val="20"/>
          <w:szCs w:val="20"/>
          <w:lang w:val="es-ES_tradnl"/>
        </w:rPr>
        <w:t xml:space="preserve">, el cual fue registrado a su favor en 2012. </w:t>
      </w:r>
      <w:r w:rsidR="003F3069" w:rsidRPr="001B130F">
        <w:rPr>
          <w:rFonts w:asciiTheme="majorHAnsi" w:hAnsiTheme="majorHAnsi" w:cstheme="majorHAnsi"/>
          <w:sz w:val="20"/>
          <w:szCs w:val="20"/>
          <w:lang w:val="es-ES_tradnl"/>
        </w:rPr>
        <w:t>L</w:t>
      </w:r>
      <w:r w:rsidRPr="001B130F">
        <w:rPr>
          <w:rFonts w:asciiTheme="majorHAnsi" w:hAnsiTheme="majorHAnsi" w:cstheme="majorHAnsi"/>
          <w:sz w:val="20"/>
          <w:szCs w:val="20"/>
          <w:lang w:val="es-ES_tradnl"/>
        </w:rPr>
        <w:t xml:space="preserve">a controversia motivo de la petición inicia cuando un tercero presentó en 2013 una demanda de nulidad absoluta contra el registro de las presuntas víctimas, argumentando que su inmueble, denominado como </w:t>
      </w:r>
      <w:r w:rsidRPr="001B130F">
        <w:rPr>
          <w:rFonts w:asciiTheme="majorHAnsi" w:hAnsiTheme="majorHAnsi" w:cstheme="majorHAnsi"/>
          <w:i/>
          <w:iCs/>
          <w:sz w:val="20"/>
          <w:szCs w:val="20"/>
          <w:lang w:val="es-ES_tradnl"/>
        </w:rPr>
        <w:t>Xe Sac Atzam</w:t>
      </w:r>
      <w:r w:rsidRPr="001B130F">
        <w:rPr>
          <w:rFonts w:asciiTheme="majorHAnsi" w:hAnsiTheme="majorHAnsi" w:cstheme="majorHAnsi"/>
          <w:sz w:val="20"/>
          <w:szCs w:val="20"/>
          <w:lang w:val="es-ES_tradnl"/>
        </w:rPr>
        <w:t xml:space="preserve">, estaba previamente registrado en el terreno de las presuntas víctimas.  A continuación, con apoyo de la narración y anexos proporcionados por ambas partes se describen los puntos clave en el proceso interno. </w:t>
      </w:r>
    </w:p>
    <w:p w14:paraId="2CA466E9" w14:textId="17363B6A"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En 2010 –sin que las partes indiquen la fecha exacta– las presuntas víctimas</w:t>
      </w:r>
      <w:r w:rsidR="003F3069" w:rsidRPr="001B130F">
        <w:rPr>
          <w:rFonts w:asciiTheme="majorHAnsi" w:hAnsiTheme="majorHAnsi" w:cstheme="majorHAnsi"/>
          <w:sz w:val="20"/>
          <w:szCs w:val="20"/>
          <w:lang w:val="es-ES_tradnl"/>
        </w:rPr>
        <w:t xml:space="preserve">, específicamente cuatro hermanos de la familia Zapil Poz, </w:t>
      </w:r>
      <w:r w:rsidRPr="001B130F">
        <w:rPr>
          <w:rFonts w:asciiTheme="majorHAnsi" w:hAnsiTheme="majorHAnsi" w:cstheme="majorHAnsi"/>
          <w:sz w:val="20"/>
          <w:szCs w:val="20"/>
          <w:lang w:val="es-ES_tradnl"/>
        </w:rPr>
        <w:t xml:space="preserve">promovieron diligencias voluntarias de titulación supletoria ante el </w:t>
      </w:r>
      <w:r w:rsidRPr="001B130F">
        <w:rPr>
          <w:rFonts w:asciiTheme="majorHAnsi" w:hAnsiTheme="majorHAnsi" w:cstheme="majorHAnsi"/>
          <w:sz w:val="20"/>
          <w:szCs w:val="20"/>
          <w:lang w:val="es-ES"/>
        </w:rPr>
        <w:t>Juzgado Segundo de Primera Instancia del Ramo Civil del Municipio y departamento de Quetzaltenango</w:t>
      </w:r>
      <w:r w:rsidRPr="001B130F">
        <w:rPr>
          <w:rFonts w:asciiTheme="majorHAnsi" w:hAnsiTheme="majorHAnsi" w:cstheme="majorHAnsi"/>
          <w:sz w:val="20"/>
          <w:szCs w:val="20"/>
          <w:lang w:val="es-ES_tradnl"/>
        </w:rPr>
        <w:t xml:space="preserve">, (expediente 09049-2010-00764). El juzgado otorgó el registro el 26 de marzo de 2012 y fue asentado en el </w:t>
      </w:r>
      <w:r w:rsidRPr="001B130F">
        <w:rPr>
          <w:rFonts w:asciiTheme="majorHAnsi" w:hAnsiTheme="majorHAnsi" w:cstheme="majorHAnsi"/>
          <w:sz w:val="20"/>
          <w:szCs w:val="20"/>
          <w:lang w:val="es-ES"/>
        </w:rPr>
        <w:t xml:space="preserve">Registro de la Propiedad de Quetzaltenango. </w:t>
      </w:r>
    </w:p>
    <w:p w14:paraId="4F57B304" w14:textId="400CDB2F" w:rsidR="009B4E99" w:rsidRPr="001B130F" w:rsidRDefault="007D37D7"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Las presuntas víctimas</w:t>
      </w:r>
      <w:r w:rsidR="009B4E99" w:rsidRPr="001B130F">
        <w:rPr>
          <w:rFonts w:asciiTheme="majorHAnsi" w:hAnsiTheme="majorHAnsi" w:cstheme="majorHAnsi"/>
          <w:sz w:val="20"/>
          <w:szCs w:val="20"/>
          <w:lang w:val="es-ES_tradnl"/>
        </w:rPr>
        <w:t xml:space="preserve"> informan que a partir de una tormenta tropical en mayo de 2010</w:t>
      </w:r>
      <w:r w:rsidR="009B4E99" w:rsidRPr="001B130F">
        <w:rPr>
          <w:rFonts w:asciiTheme="majorHAnsi" w:hAnsiTheme="majorHAnsi"/>
          <w:sz w:val="20"/>
          <w:szCs w:val="20"/>
          <w:vertAlign w:val="superscript"/>
          <w:lang w:val="es-ES_tradnl"/>
        </w:rPr>
        <w:footnoteReference w:id="7"/>
      </w:r>
      <w:r w:rsidR="009B4E99" w:rsidRPr="001B130F">
        <w:rPr>
          <w:rFonts w:asciiTheme="majorHAnsi" w:hAnsiTheme="majorHAnsi" w:cstheme="majorHAnsi"/>
          <w:sz w:val="20"/>
          <w:szCs w:val="20"/>
          <w:lang w:val="es-ES_tradnl"/>
        </w:rPr>
        <w:t xml:space="preserve"> se abrieron ojos de agua en su inmueble, por lo que un tercero colocó tubos para aprovecharse del agua, invadiendo la propiedad de las presuntas víctimas “</w:t>
      </w:r>
      <w:r w:rsidR="009B4E99" w:rsidRPr="001B130F">
        <w:rPr>
          <w:rFonts w:asciiTheme="majorHAnsi" w:hAnsiTheme="majorHAnsi" w:cstheme="majorHAnsi"/>
          <w:i/>
          <w:iCs/>
          <w:sz w:val="20"/>
          <w:szCs w:val="20"/>
          <w:lang w:val="es-ES_tradnl"/>
        </w:rPr>
        <w:t xml:space="preserve">y </w:t>
      </w:r>
      <w:r w:rsidR="009B4E99" w:rsidRPr="001B130F">
        <w:rPr>
          <w:rFonts w:asciiTheme="majorHAnsi" w:hAnsiTheme="majorHAnsi" w:cstheme="majorHAnsi"/>
          <w:i/>
          <w:iCs/>
          <w:sz w:val="20"/>
          <w:szCs w:val="20"/>
          <w:lang w:val="es-ES"/>
        </w:rPr>
        <w:t>haciendo uso del agua para su beneficio, sin permitir que la comunidad disfrutara del vital líquido</w:t>
      </w:r>
      <w:r w:rsidR="009B4E99" w:rsidRPr="001B130F">
        <w:rPr>
          <w:rFonts w:asciiTheme="majorHAnsi" w:hAnsiTheme="majorHAnsi" w:cstheme="majorHAnsi"/>
          <w:i/>
          <w:iCs/>
          <w:sz w:val="20"/>
          <w:szCs w:val="20"/>
          <w:lang w:val="es-ES_tradnl"/>
        </w:rPr>
        <w:t>”.</w:t>
      </w:r>
    </w:p>
    <w:p w14:paraId="54E85A5A" w14:textId="092123AA" w:rsidR="00B64DD4" w:rsidRPr="001B130F" w:rsidRDefault="00B64DD4" w:rsidP="00B64DD4">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El 25 de junio de 2013, dicho tercero presentó una demanda ordinaria de nulidad absoluta ante el Juzgado Primero de Primera Instancia Civil del departamento de Quetzaltenango. La demanda se dirigió contra las diligencias voluntarias de titulación supletoria llevadas a cabo por los hermanos Zapil Poz, con el objetivo de lograr la cancelación de la inscripción registral. El demandante alegó ser el legítimo propietario del inmueble, adquirido mediante una compraventa</w:t>
      </w:r>
      <w:r w:rsidRPr="001B130F">
        <w:rPr>
          <w:rStyle w:val="FootnoteReference"/>
          <w:rFonts w:asciiTheme="majorHAnsi" w:hAnsiTheme="majorHAnsi" w:cstheme="majorHAnsi"/>
          <w:sz w:val="20"/>
          <w:szCs w:val="20"/>
          <w:lang w:val="es-ES_tradnl"/>
        </w:rPr>
        <w:footnoteReference w:id="8"/>
      </w:r>
      <w:r w:rsidRPr="001B130F">
        <w:rPr>
          <w:rFonts w:asciiTheme="majorHAnsi" w:hAnsiTheme="majorHAnsi" w:cstheme="majorHAnsi"/>
          <w:sz w:val="20"/>
          <w:szCs w:val="20"/>
          <w:lang w:val="es-ES_tradnl"/>
        </w:rPr>
        <w:t xml:space="preserve"> y registrado en el Segundo Registro de la Propiedad en Quetzaltenango bajo la finca número 210761, folio 79, libro 424. En respuesta, el juzgado admitió la demanda el 10 de julio de 2013.</w:t>
      </w:r>
    </w:p>
    <w:p w14:paraId="5C549909" w14:textId="1197BB7B"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 xml:space="preserve">El 6 de agosto de 2013 </w:t>
      </w:r>
      <w:r w:rsidR="003F3069" w:rsidRPr="001B130F">
        <w:rPr>
          <w:rFonts w:asciiTheme="majorHAnsi" w:hAnsiTheme="majorHAnsi" w:cstheme="majorHAnsi"/>
          <w:sz w:val="20"/>
          <w:szCs w:val="20"/>
          <w:lang w:val="es-ES_tradnl"/>
        </w:rPr>
        <w:t xml:space="preserve">una de las presuntas víctimas, </w:t>
      </w:r>
      <w:r w:rsidRPr="001B130F">
        <w:rPr>
          <w:rFonts w:asciiTheme="majorHAnsi" w:hAnsiTheme="majorHAnsi" w:cstheme="majorHAnsi"/>
          <w:sz w:val="20"/>
          <w:szCs w:val="20"/>
          <w:lang w:val="es-ES_tradnl"/>
        </w:rPr>
        <w:t>el señor Martín Zapil</w:t>
      </w:r>
      <w:r w:rsidR="003F3069"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compareció de forma personal, sin sus hermanos, y planteó excepción perentoria de falta de identidad del inmueble. La excepción fue resuelta el 31 de octubre de 2013 por el Juez Primero de Primera Instancia Civil de Quetzaltenango, rechazándola.</w:t>
      </w:r>
    </w:p>
    <w:p w14:paraId="736C03EE" w14:textId="59BE5FDB"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El 9 de mayo de 2014 el señor Martín Zapil interpuso su contestación a la demanda, no obstante, el 4 de julio de 2014, el juzgado consideró que la contestación no se ajustaba a los requerimientos del Código Procesal Civil y Mercantil; así la presunta víctima volvió a presentarla el 21 de julio de 2014</w:t>
      </w:r>
      <w:r w:rsidR="00647E55"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y planteó nuevamente excepción perentoria de falta de identidad del inmueble. Además, el 30 de julio de 2014, el Juez Primero declaró la rebeldía de </w:t>
      </w:r>
      <w:r w:rsidR="003F3069" w:rsidRPr="001B130F">
        <w:rPr>
          <w:rFonts w:asciiTheme="majorHAnsi" w:hAnsiTheme="majorHAnsi" w:cstheme="majorHAnsi"/>
          <w:sz w:val="20"/>
          <w:szCs w:val="20"/>
          <w:lang w:val="es-ES_tradnl"/>
        </w:rPr>
        <w:t xml:space="preserve">los tres hermanos que no se pronunciaron y no comparecieron a juicio, </w:t>
      </w:r>
      <w:r w:rsidR="006B5B2A" w:rsidRPr="001B130F">
        <w:rPr>
          <w:rFonts w:asciiTheme="majorHAnsi" w:hAnsiTheme="majorHAnsi" w:cstheme="majorHAnsi"/>
          <w:sz w:val="20"/>
          <w:szCs w:val="20"/>
          <w:lang w:val="es-ES_tradnl"/>
        </w:rPr>
        <w:t xml:space="preserve">los </w:t>
      </w:r>
      <w:r w:rsidR="003F3069" w:rsidRPr="001B130F">
        <w:rPr>
          <w:rFonts w:asciiTheme="majorHAnsi" w:hAnsiTheme="majorHAnsi" w:cstheme="majorHAnsi"/>
          <w:sz w:val="20"/>
          <w:szCs w:val="20"/>
          <w:lang w:val="es-ES_tradnl"/>
        </w:rPr>
        <w:t xml:space="preserve">señores </w:t>
      </w:r>
      <w:r w:rsidRPr="001B130F">
        <w:rPr>
          <w:rFonts w:asciiTheme="majorHAnsi" w:hAnsiTheme="majorHAnsi" w:cstheme="majorHAnsi"/>
          <w:sz w:val="20"/>
          <w:szCs w:val="20"/>
          <w:lang w:val="es-ES_tradnl"/>
        </w:rPr>
        <w:t>José Cleto Zapil Poz, Cristobal Zapil Poz y Santos Zapil Poz</w:t>
      </w:r>
      <w:r w:rsidR="003F3069" w:rsidRPr="001B130F">
        <w:rPr>
          <w:rFonts w:asciiTheme="majorHAnsi" w:hAnsiTheme="majorHAnsi" w:cstheme="majorHAnsi"/>
          <w:sz w:val="20"/>
          <w:szCs w:val="20"/>
          <w:lang w:val="es-ES_tradnl"/>
        </w:rPr>
        <w:t>.</w:t>
      </w:r>
    </w:p>
    <w:p w14:paraId="48DE4EC2" w14:textId="25C2F841"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lastRenderedPageBreak/>
        <w:t>A petición de las partes litigantes, el 11 de junio de 2015 se llevó a cabo un reconocimiento judicial</w:t>
      </w:r>
      <w:r w:rsidR="006B5B2A"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en </w:t>
      </w:r>
      <w:r w:rsidR="006B5B2A" w:rsidRPr="001B130F">
        <w:rPr>
          <w:rFonts w:asciiTheme="majorHAnsi" w:hAnsiTheme="majorHAnsi" w:cstheme="majorHAnsi"/>
          <w:sz w:val="20"/>
          <w:szCs w:val="20"/>
          <w:lang w:val="es-ES_tradnl"/>
        </w:rPr>
        <w:t>el que</w:t>
      </w:r>
      <w:r w:rsidRPr="001B130F">
        <w:rPr>
          <w:rFonts w:asciiTheme="majorHAnsi" w:hAnsiTheme="majorHAnsi" w:cstheme="majorHAnsi"/>
          <w:sz w:val="20"/>
          <w:szCs w:val="20"/>
          <w:lang w:val="es-ES_tradnl"/>
        </w:rPr>
        <w:t xml:space="preserve">, según el Juzgado Primero, se pudo ubicar cuatro nacimientos de agua dentro del inmueble y determinar que </w:t>
      </w:r>
      <w:r w:rsidR="00BA4F2F" w:rsidRPr="001B130F">
        <w:rPr>
          <w:rFonts w:asciiTheme="majorHAnsi" w:hAnsiTheme="majorHAnsi" w:cstheme="majorHAnsi"/>
          <w:sz w:val="20"/>
          <w:szCs w:val="20"/>
          <w:lang w:val="es-ES_tradnl"/>
        </w:rPr>
        <w:t>se creó</w:t>
      </w:r>
      <w:r w:rsidRPr="001B130F">
        <w:rPr>
          <w:rFonts w:asciiTheme="majorHAnsi" w:hAnsiTheme="majorHAnsi" w:cstheme="majorHAnsi"/>
          <w:sz w:val="20"/>
          <w:szCs w:val="20"/>
          <w:lang w:val="es-ES_tradnl"/>
        </w:rPr>
        <w:t xml:space="preserve"> un nuevo lindero dentro del inmueble del </w:t>
      </w:r>
      <w:r w:rsidR="00BA4F2F" w:rsidRPr="001B130F">
        <w:rPr>
          <w:rFonts w:asciiTheme="majorHAnsi" w:hAnsiTheme="majorHAnsi" w:cstheme="majorHAnsi"/>
          <w:sz w:val="20"/>
          <w:szCs w:val="20"/>
          <w:lang w:val="es-ES_tradnl"/>
        </w:rPr>
        <w:t>tercero</w:t>
      </w:r>
      <w:r w:rsidRPr="001B130F">
        <w:rPr>
          <w:rFonts w:asciiTheme="majorHAnsi" w:hAnsiTheme="majorHAnsi" w:cstheme="majorHAnsi"/>
          <w:sz w:val="20"/>
          <w:szCs w:val="20"/>
          <w:lang w:val="es-ES_tradnl"/>
        </w:rPr>
        <w:t xml:space="preserve"> que presentó la demanda, </w:t>
      </w:r>
      <w:r w:rsidRPr="001B130F">
        <w:rPr>
          <w:rFonts w:asciiTheme="majorHAnsi" w:hAnsiTheme="majorHAnsi" w:cstheme="majorHAnsi"/>
          <w:i/>
          <w:iCs/>
          <w:sz w:val="20"/>
          <w:szCs w:val="20"/>
          <w:lang w:val="es-ES_tradnl"/>
        </w:rPr>
        <w:t>“consistente en una brecha abierto con machete entre los arbustos del inmueble”.</w:t>
      </w:r>
    </w:p>
    <w:p w14:paraId="5ED070C9" w14:textId="174C754E"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 xml:space="preserve">La sentencia de primera instancia se emitió el 19 de agosto de 2015 </w:t>
      </w:r>
      <w:r w:rsidR="00FB6C69" w:rsidRPr="001B130F">
        <w:rPr>
          <w:rFonts w:asciiTheme="majorHAnsi" w:hAnsiTheme="majorHAnsi" w:cstheme="majorHAnsi"/>
          <w:sz w:val="20"/>
          <w:szCs w:val="20"/>
          <w:lang w:val="es-ES_tradnl"/>
        </w:rPr>
        <w:t>en la que</w:t>
      </w:r>
      <w:r w:rsidRPr="001B130F">
        <w:rPr>
          <w:rFonts w:asciiTheme="majorHAnsi" w:hAnsiTheme="majorHAnsi" w:cstheme="majorHAnsi"/>
          <w:sz w:val="20"/>
          <w:szCs w:val="20"/>
          <w:lang w:val="es-ES_tradnl"/>
        </w:rPr>
        <w:t xml:space="preserve"> se negó la excepción interpuesta por el señor Martín Zapil</w:t>
      </w:r>
      <w:r w:rsidR="00FB6C69"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w:t>
      </w:r>
      <w:r w:rsidR="00BA4F2F" w:rsidRPr="001B130F">
        <w:rPr>
          <w:rFonts w:asciiTheme="majorHAnsi" w:hAnsiTheme="majorHAnsi" w:cstheme="majorHAnsi"/>
          <w:sz w:val="20"/>
          <w:szCs w:val="20"/>
          <w:lang w:val="es-ES_tradnl"/>
        </w:rPr>
        <w:t xml:space="preserve">se </w:t>
      </w:r>
      <w:r w:rsidRPr="001B130F">
        <w:rPr>
          <w:rFonts w:asciiTheme="majorHAnsi" w:hAnsiTheme="majorHAnsi" w:cstheme="majorHAnsi"/>
          <w:sz w:val="20"/>
          <w:szCs w:val="20"/>
          <w:lang w:val="es-ES_tradnl"/>
        </w:rPr>
        <w:t>declaró la nulidad de las diligencias de titulación supletoria</w:t>
      </w:r>
      <w:r w:rsidR="00FB6C69"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y </w:t>
      </w:r>
      <w:r w:rsidR="00BA4F2F" w:rsidRPr="001B130F">
        <w:rPr>
          <w:rFonts w:asciiTheme="majorHAnsi" w:hAnsiTheme="majorHAnsi" w:cstheme="majorHAnsi"/>
          <w:sz w:val="20"/>
          <w:szCs w:val="20"/>
          <w:lang w:val="es-ES_tradnl"/>
        </w:rPr>
        <w:t xml:space="preserve">se </w:t>
      </w:r>
      <w:r w:rsidRPr="001B130F">
        <w:rPr>
          <w:rFonts w:asciiTheme="majorHAnsi" w:hAnsiTheme="majorHAnsi" w:cstheme="majorHAnsi"/>
          <w:sz w:val="20"/>
          <w:szCs w:val="20"/>
          <w:lang w:val="es-ES_tradnl"/>
        </w:rPr>
        <w:t>canceló la inscripción registral de la finca</w:t>
      </w:r>
      <w:r w:rsidR="00BA4F2F" w:rsidRPr="001B130F">
        <w:rPr>
          <w:rFonts w:asciiTheme="majorHAnsi" w:hAnsiTheme="majorHAnsi" w:cstheme="majorHAnsi"/>
          <w:sz w:val="20"/>
          <w:szCs w:val="20"/>
          <w:lang w:val="es-ES_tradnl"/>
        </w:rPr>
        <w:t xml:space="preserve"> hecha por los hermanos Zapil Poz en 2012</w:t>
      </w:r>
      <w:r w:rsidRPr="001B130F">
        <w:rPr>
          <w:rFonts w:asciiTheme="majorHAnsi" w:hAnsiTheme="majorHAnsi" w:cstheme="majorHAnsi"/>
          <w:sz w:val="20"/>
          <w:szCs w:val="20"/>
          <w:lang w:val="es-ES_tradnl"/>
        </w:rPr>
        <w:t xml:space="preserve">. El Estado indica que el Juez Primero determinó que las propiedades denominadas como </w:t>
      </w:r>
      <w:r w:rsidRPr="001B130F">
        <w:rPr>
          <w:rFonts w:asciiTheme="majorHAnsi" w:hAnsiTheme="majorHAnsi" w:cstheme="majorHAnsi"/>
          <w:i/>
          <w:iCs/>
          <w:sz w:val="20"/>
          <w:szCs w:val="20"/>
          <w:lang w:val="es-ES_tradnl"/>
        </w:rPr>
        <w:t xml:space="preserve">Xe-Q’alibal </w:t>
      </w:r>
      <w:r w:rsidRPr="001B130F">
        <w:rPr>
          <w:rFonts w:asciiTheme="majorHAnsi" w:hAnsiTheme="majorHAnsi" w:cstheme="majorHAnsi"/>
          <w:sz w:val="20"/>
          <w:szCs w:val="20"/>
          <w:lang w:val="es-ES_tradnl"/>
        </w:rPr>
        <w:t xml:space="preserve">y </w:t>
      </w:r>
      <w:r w:rsidRPr="001B130F">
        <w:rPr>
          <w:rFonts w:asciiTheme="majorHAnsi" w:hAnsiTheme="majorHAnsi" w:cstheme="majorHAnsi"/>
          <w:i/>
          <w:iCs/>
          <w:sz w:val="20"/>
          <w:szCs w:val="20"/>
          <w:lang w:val="es-ES_tradnl"/>
        </w:rPr>
        <w:t>Xe Sac Atzam “se encontraban sobrepuestas</w:t>
      </w:r>
      <w:r w:rsidRPr="001B130F">
        <w:rPr>
          <w:rFonts w:asciiTheme="majorHAnsi" w:hAnsiTheme="majorHAnsi" w:cstheme="majorHAnsi"/>
          <w:sz w:val="20"/>
          <w:szCs w:val="20"/>
          <w:lang w:val="es-ES_tradnl"/>
        </w:rPr>
        <w:t>”</w:t>
      </w:r>
      <w:r w:rsidR="001E1A38"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y que, en consecuencia, las presuntas víctimas realizaron las diligencias de titulación supletoria sobre una fracción del bien inmueble propiedad del tercero.</w:t>
      </w:r>
    </w:p>
    <w:p w14:paraId="4DE5EC97" w14:textId="5C0E80F4"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Entonces, el 1 de febrero de 2016, el señor Martín Zapil presentó apelación que fue admitida un día después ante la Sala Cuarta de la Corte de Apelaciones del Ramo Civil, Mercantil y Familia de Quetzaltenango. El señor Martín Zapil argumentó que los reconocimientos judiciales fueron practicados en el inmueble de su propiedad, más no en la propiedad del tercero; también, que existió un error en la apreciación de la prueba</w:t>
      </w:r>
      <w:r w:rsidR="00FA4A48"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puesto que los reconocimientos judiciales practicados fueron llevados por un juez menor, ocasionando que el juez que decidió no tuviera elementos suficientes para emitir un juicio.</w:t>
      </w:r>
    </w:p>
    <w:p w14:paraId="329CF510" w14:textId="64BC8CBF" w:rsidR="009B4E99" w:rsidRPr="001B130F" w:rsidRDefault="009B4E99" w:rsidP="00D809C9">
      <w:pPr>
        <w:pStyle w:val="ListParagraph"/>
        <w:numPr>
          <w:ilvl w:val="0"/>
          <w:numId w:val="56"/>
        </w:numPr>
        <w:spacing w:before="240" w:after="240"/>
        <w:ind w:left="142" w:firstLine="567"/>
        <w:jc w:val="both"/>
        <w:rPr>
          <w:rFonts w:asciiTheme="majorHAnsi" w:hAnsiTheme="majorHAnsi" w:cstheme="majorHAnsi"/>
          <w:i/>
          <w:iCs/>
          <w:sz w:val="20"/>
          <w:szCs w:val="20"/>
          <w:lang w:val="es-ES_tradnl"/>
        </w:rPr>
      </w:pPr>
      <w:r w:rsidRPr="001B130F">
        <w:rPr>
          <w:rFonts w:asciiTheme="majorHAnsi" w:hAnsiTheme="majorHAnsi" w:cstheme="majorHAnsi"/>
          <w:sz w:val="20"/>
          <w:szCs w:val="20"/>
          <w:lang w:val="es-ES_tradnl"/>
        </w:rPr>
        <w:t xml:space="preserve">El 6 de mayo de 2016 </w:t>
      </w:r>
      <w:r w:rsidR="00C057FE" w:rsidRPr="001B130F">
        <w:rPr>
          <w:rFonts w:asciiTheme="majorHAnsi" w:hAnsiTheme="majorHAnsi" w:cstheme="majorHAnsi"/>
          <w:sz w:val="20"/>
          <w:szCs w:val="20"/>
          <w:lang w:val="es-ES_tradnl"/>
        </w:rPr>
        <w:t xml:space="preserve">la Sala Cuarta </w:t>
      </w:r>
      <w:r w:rsidRPr="001B130F">
        <w:rPr>
          <w:rFonts w:asciiTheme="majorHAnsi" w:hAnsiTheme="majorHAnsi" w:cstheme="majorHAnsi"/>
          <w:sz w:val="20"/>
          <w:szCs w:val="20"/>
          <w:lang w:val="es-ES_tradnl"/>
        </w:rPr>
        <w:t>negó el recurso y confirmó la decisión de primera instancia. La sala consideró que los medios de prueba aportados en el proceso fueron valorados correctamente</w:t>
      </w:r>
      <w:r w:rsidR="000642F3" w:rsidRPr="001B130F">
        <w:rPr>
          <w:rFonts w:asciiTheme="majorHAnsi" w:hAnsiTheme="majorHAnsi" w:cstheme="majorHAnsi"/>
          <w:sz w:val="20"/>
          <w:szCs w:val="20"/>
          <w:lang w:val="es-ES_tradnl"/>
        </w:rPr>
        <w:t>, evidenciando</w:t>
      </w:r>
      <w:r w:rsidRPr="001B130F">
        <w:rPr>
          <w:rFonts w:asciiTheme="majorHAnsi" w:hAnsiTheme="majorHAnsi" w:cstheme="majorHAnsi"/>
          <w:sz w:val="20"/>
          <w:szCs w:val="20"/>
          <w:lang w:val="es-ES_tradnl"/>
        </w:rPr>
        <w:t xml:space="preserve"> </w:t>
      </w:r>
      <w:r w:rsidR="000642F3" w:rsidRPr="001B130F">
        <w:rPr>
          <w:rFonts w:asciiTheme="majorHAnsi" w:hAnsiTheme="majorHAnsi" w:cstheme="majorHAnsi"/>
          <w:sz w:val="20"/>
          <w:szCs w:val="20"/>
          <w:lang w:val="es-ES_tradnl"/>
        </w:rPr>
        <w:t>que tanto</w:t>
      </w:r>
      <w:r w:rsidRPr="001B130F">
        <w:rPr>
          <w:rFonts w:asciiTheme="majorHAnsi" w:hAnsiTheme="majorHAnsi" w:cstheme="majorHAnsi"/>
          <w:sz w:val="20"/>
          <w:szCs w:val="20"/>
          <w:lang w:val="es-ES_tradnl"/>
        </w:rPr>
        <w:t xml:space="preserve"> las presuntas víctimas</w:t>
      </w:r>
      <w:r w:rsidR="000642F3" w:rsidRPr="001B130F">
        <w:rPr>
          <w:rFonts w:asciiTheme="majorHAnsi" w:hAnsiTheme="majorHAnsi" w:cstheme="majorHAnsi"/>
          <w:sz w:val="20"/>
          <w:szCs w:val="20"/>
          <w:lang w:val="es-ES_tradnl"/>
        </w:rPr>
        <w:t xml:space="preserve"> como</w:t>
      </w:r>
      <w:r w:rsidRPr="001B130F">
        <w:rPr>
          <w:rFonts w:asciiTheme="majorHAnsi" w:hAnsiTheme="majorHAnsi" w:cstheme="majorHAnsi"/>
          <w:sz w:val="20"/>
          <w:szCs w:val="20"/>
          <w:lang w:val="es-ES_tradnl"/>
        </w:rPr>
        <w:t xml:space="preserve"> el tercero promovieron diligencias voluntarias de titulación supletori</w:t>
      </w:r>
      <w:r w:rsidR="00D809C9" w:rsidRPr="001B130F">
        <w:rPr>
          <w:rFonts w:asciiTheme="majorHAnsi" w:hAnsiTheme="majorHAnsi" w:cstheme="majorHAnsi"/>
          <w:sz w:val="20"/>
          <w:szCs w:val="20"/>
          <w:lang w:val="es-ES_tradnl"/>
        </w:rPr>
        <w:t xml:space="preserve">a </w:t>
      </w:r>
      <w:r w:rsidRPr="001B130F">
        <w:rPr>
          <w:rFonts w:asciiTheme="majorHAnsi" w:hAnsiTheme="majorHAnsi" w:cstheme="majorHAnsi"/>
          <w:sz w:val="20"/>
          <w:szCs w:val="20"/>
          <w:lang w:val="es-ES_tradnl"/>
        </w:rPr>
        <w:t>sobre el mismo inmueble</w:t>
      </w:r>
      <w:r w:rsidR="00D809C9" w:rsidRPr="001B130F">
        <w:rPr>
          <w:rFonts w:asciiTheme="majorHAnsi" w:hAnsiTheme="majorHAnsi" w:cstheme="majorHAnsi"/>
          <w:sz w:val="20"/>
          <w:szCs w:val="20"/>
          <w:lang w:val="es-ES_tradnl"/>
        </w:rPr>
        <w:t xml:space="preserve"> –</w:t>
      </w:r>
      <w:r w:rsidRPr="001B130F">
        <w:rPr>
          <w:rFonts w:asciiTheme="majorHAnsi" w:hAnsiTheme="majorHAnsi" w:cstheme="majorHAnsi"/>
          <w:sz w:val="20"/>
          <w:szCs w:val="20"/>
          <w:lang w:val="es-ES_tradnl"/>
        </w:rPr>
        <w:t xml:space="preserve">aunque con características </w:t>
      </w:r>
      <w:r w:rsidR="004E58B6" w:rsidRPr="001B130F">
        <w:rPr>
          <w:rFonts w:asciiTheme="majorHAnsi" w:hAnsiTheme="majorHAnsi" w:cstheme="majorHAnsi"/>
          <w:sz w:val="20"/>
          <w:szCs w:val="20"/>
          <w:lang w:val="es-ES_tradnl"/>
        </w:rPr>
        <w:t>diferentes</w:t>
      </w:r>
      <w:r w:rsidRPr="001B130F">
        <w:rPr>
          <w:rStyle w:val="FootnoteReference"/>
          <w:rFonts w:asciiTheme="majorHAnsi" w:hAnsiTheme="majorHAnsi" w:cstheme="majorHAnsi"/>
          <w:sz w:val="20"/>
          <w:szCs w:val="20"/>
          <w:lang w:val="es-ES_tradnl"/>
        </w:rPr>
        <w:footnoteReference w:id="9"/>
      </w:r>
      <w:r w:rsidR="00D809C9" w:rsidRPr="001B130F">
        <w:rPr>
          <w:rFonts w:asciiTheme="majorHAnsi" w:hAnsiTheme="majorHAnsi" w:cstheme="majorHAnsi"/>
          <w:sz w:val="20"/>
          <w:szCs w:val="20"/>
          <w:lang w:val="es-ES_tradnl"/>
        </w:rPr>
        <w:t xml:space="preserve">–, </w:t>
      </w:r>
      <w:r w:rsidR="000642F3" w:rsidRPr="001B130F">
        <w:rPr>
          <w:rFonts w:asciiTheme="majorHAnsi" w:hAnsiTheme="majorHAnsi" w:cstheme="majorHAnsi"/>
          <w:sz w:val="20"/>
          <w:szCs w:val="20"/>
          <w:lang w:val="es-ES_tradnl"/>
        </w:rPr>
        <w:t xml:space="preserve">y con una brecha de </w:t>
      </w:r>
      <w:r w:rsidRPr="001B130F">
        <w:rPr>
          <w:rFonts w:asciiTheme="majorHAnsi" w:hAnsiTheme="majorHAnsi" w:cstheme="majorHAnsi"/>
          <w:sz w:val="20"/>
          <w:szCs w:val="20"/>
          <w:lang w:val="es-ES_tradnl"/>
        </w:rPr>
        <w:t xml:space="preserve">veinte años </w:t>
      </w:r>
      <w:r w:rsidR="000642F3" w:rsidRPr="001B130F">
        <w:rPr>
          <w:rFonts w:asciiTheme="majorHAnsi" w:hAnsiTheme="majorHAnsi" w:cstheme="majorHAnsi"/>
          <w:sz w:val="20"/>
          <w:szCs w:val="20"/>
          <w:lang w:val="es-ES_tradnl"/>
        </w:rPr>
        <w:t>entre ellos</w:t>
      </w:r>
      <w:r w:rsidR="00D809C9" w:rsidRPr="001B130F">
        <w:rPr>
          <w:rFonts w:asciiTheme="majorHAnsi" w:hAnsiTheme="majorHAnsi" w:cstheme="majorHAnsi"/>
          <w:sz w:val="20"/>
          <w:szCs w:val="20"/>
          <w:lang w:val="es-ES_tradnl"/>
        </w:rPr>
        <w:t xml:space="preserve"> –</w:t>
      </w:r>
      <w:r w:rsidRPr="001B130F">
        <w:rPr>
          <w:rFonts w:asciiTheme="majorHAnsi" w:hAnsiTheme="majorHAnsi" w:cstheme="majorHAnsi"/>
          <w:sz w:val="20"/>
          <w:szCs w:val="20"/>
          <w:lang w:val="es-ES_tradnl"/>
        </w:rPr>
        <w:t>siendo las presuntas víctimas las segundas en registrar</w:t>
      </w:r>
      <w:r w:rsidR="00D809C9"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w:t>
      </w:r>
      <w:r w:rsidR="000642F3" w:rsidRPr="001B130F">
        <w:rPr>
          <w:rFonts w:asciiTheme="majorHAnsi" w:hAnsiTheme="majorHAnsi" w:cstheme="majorHAnsi"/>
          <w:sz w:val="20"/>
          <w:szCs w:val="20"/>
          <w:lang w:val="es-ES_tradnl"/>
        </w:rPr>
        <w:t xml:space="preserve">Además, la sala destacó que el juez </w:t>
      </w:r>
      <w:r w:rsidR="00D809C9" w:rsidRPr="001B130F">
        <w:rPr>
          <w:rFonts w:asciiTheme="majorHAnsi" w:hAnsiTheme="majorHAnsi" w:cstheme="majorHAnsi"/>
          <w:sz w:val="20"/>
          <w:szCs w:val="20"/>
          <w:lang w:val="es-ES_tradnl"/>
        </w:rPr>
        <w:t xml:space="preserve">de primera instancia consideró la ubicación </w:t>
      </w:r>
      <w:r w:rsidR="00D85D87" w:rsidRPr="001B130F">
        <w:rPr>
          <w:rFonts w:asciiTheme="majorHAnsi" w:hAnsiTheme="majorHAnsi" w:cstheme="majorHAnsi"/>
          <w:sz w:val="20"/>
          <w:szCs w:val="20"/>
          <w:lang w:val="es-ES_tradnl"/>
        </w:rPr>
        <w:t xml:space="preserve">y características </w:t>
      </w:r>
      <w:r w:rsidR="00D809C9" w:rsidRPr="001B130F">
        <w:rPr>
          <w:rFonts w:asciiTheme="majorHAnsi" w:hAnsiTheme="majorHAnsi" w:cstheme="majorHAnsi"/>
          <w:sz w:val="20"/>
          <w:szCs w:val="20"/>
          <w:lang w:val="es-ES_tradnl"/>
        </w:rPr>
        <w:t xml:space="preserve">de </w:t>
      </w:r>
      <w:r w:rsidR="00D04F93" w:rsidRPr="001B130F">
        <w:rPr>
          <w:rFonts w:asciiTheme="majorHAnsi" w:hAnsiTheme="majorHAnsi" w:cstheme="majorHAnsi"/>
          <w:sz w:val="20"/>
          <w:szCs w:val="20"/>
          <w:lang w:val="es-ES_tradnl"/>
        </w:rPr>
        <w:t>ambas</w:t>
      </w:r>
      <w:r w:rsidR="00D809C9" w:rsidRPr="001B130F">
        <w:rPr>
          <w:rFonts w:asciiTheme="majorHAnsi" w:hAnsiTheme="majorHAnsi" w:cstheme="majorHAnsi"/>
          <w:sz w:val="20"/>
          <w:szCs w:val="20"/>
          <w:lang w:val="es-ES_tradnl"/>
        </w:rPr>
        <w:t xml:space="preserve"> fincas</w:t>
      </w:r>
      <w:r w:rsidR="00D04F93" w:rsidRPr="001B130F">
        <w:rPr>
          <w:rFonts w:asciiTheme="majorHAnsi" w:hAnsiTheme="majorHAnsi" w:cstheme="majorHAnsi"/>
          <w:sz w:val="20"/>
          <w:szCs w:val="20"/>
          <w:lang w:val="es-ES_tradnl"/>
        </w:rPr>
        <w:t>, ya que</w:t>
      </w:r>
      <w:r w:rsidRPr="001B130F">
        <w:rPr>
          <w:rFonts w:asciiTheme="majorHAnsi" w:hAnsiTheme="majorHAnsi" w:cstheme="majorHAnsi"/>
          <w:i/>
          <w:iCs/>
          <w:sz w:val="20"/>
          <w:szCs w:val="20"/>
          <w:lang w:val="es-ES_tradnl"/>
        </w:rPr>
        <w:t xml:space="preserve"> </w:t>
      </w:r>
      <w:r w:rsidR="00D809C9" w:rsidRPr="001B130F">
        <w:rPr>
          <w:rFonts w:asciiTheme="majorHAnsi" w:hAnsiTheme="majorHAnsi" w:cstheme="majorHAnsi"/>
          <w:i/>
          <w:iCs/>
          <w:sz w:val="20"/>
          <w:szCs w:val="20"/>
          <w:lang w:val="es-ES_tradnl"/>
        </w:rPr>
        <w:t>“</w:t>
      </w:r>
      <w:r w:rsidRPr="001B130F">
        <w:rPr>
          <w:rFonts w:asciiTheme="majorHAnsi" w:hAnsiTheme="majorHAnsi" w:cstheme="majorHAnsi"/>
          <w:i/>
          <w:iCs/>
          <w:sz w:val="20"/>
          <w:szCs w:val="20"/>
          <w:lang w:val="es-ES_tradnl"/>
        </w:rPr>
        <w:t>los reconocimientos fueron practicados tanto en el bien inmueble [del tercero] como en el inmueble de los demandados</w:t>
      </w:r>
      <w:r w:rsidRPr="001B130F">
        <w:rPr>
          <w:rFonts w:asciiTheme="majorHAnsi" w:hAnsiTheme="majorHAnsi" w:cstheme="majorHAnsi"/>
          <w:sz w:val="20"/>
          <w:szCs w:val="20"/>
          <w:lang w:val="es-ES_tradnl"/>
        </w:rPr>
        <w:t>”</w:t>
      </w:r>
      <w:r w:rsidRPr="001B130F">
        <w:rPr>
          <w:rStyle w:val="FootnoteReference"/>
          <w:rFonts w:asciiTheme="majorHAnsi" w:hAnsiTheme="majorHAnsi" w:cstheme="majorHAnsi"/>
          <w:sz w:val="20"/>
          <w:szCs w:val="20"/>
          <w:lang w:val="es-ES_tradnl"/>
        </w:rPr>
        <w:t xml:space="preserve"> </w:t>
      </w:r>
      <w:r w:rsidRPr="001B130F">
        <w:rPr>
          <w:rStyle w:val="FootnoteReference"/>
          <w:rFonts w:asciiTheme="majorHAnsi" w:hAnsiTheme="majorHAnsi" w:cstheme="majorHAnsi"/>
          <w:sz w:val="20"/>
          <w:szCs w:val="20"/>
          <w:lang w:val="es-ES_tradnl"/>
        </w:rPr>
        <w:footnoteReference w:id="10"/>
      </w:r>
      <w:r w:rsidRPr="001B130F">
        <w:rPr>
          <w:rFonts w:asciiTheme="majorHAnsi" w:hAnsiTheme="majorHAnsi" w:cstheme="majorHAnsi"/>
          <w:sz w:val="20"/>
          <w:szCs w:val="20"/>
          <w:lang w:val="es-ES_tradnl"/>
        </w:rPr>
        <w:t xml:space="preserve">. </w:t>
      </w:r>
    </w:p>
    <w:p w14:paraId="56021BE0" w14:textId="0507EC3F" w:rsidR="009B4E99" w:rsidRPr="001B130F" w:rsidRDefault="00D04F93"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Ante esto, el</w:t>
      </w:r>
      <w:r w:rsidR="009B4E99" w:rsidRPr="001B130F">
        <w:rPr>
          <w:rFonts w:asciiTheme="majorHAnsi" w:hAnsiTheme="majorHAnsi" w:cstheme="majorHAnsi"/>
          <w:sz w:val="20"/>
          <w:szCs w:val="20"/>
          <w:lang w:val="es-ES_tradnl"/>
        </w:rPr>
        <w:t xml:space="preserve"> señor Martín Zapil </w:t>
      </w:r>
      <w:r w:rsidR="000642F3" w:rsidRPr="001B130F">
        <w:rPr>
          <w:rFonts w:asciiTheme="majorHAnsi" w:hAnsiTheme="majorHAnsi" w:cstheme="majorHAnsi"/>
          <w:sz w:val="20"/>
          <w:szCs w:val="20"/>
          <w:lang w:val="es-ES_tradnl"/>
        </w:rPr>
        <w:t>interpuso</w:t>
      </w:r>
      <w:r w:rsidR="009B4E99" w:rsidRPr="001B130F">
        <w:rPr>
          <w:rFonts w:asciiTheme="majorHAnsi" w:hAnsiTheme="majorHAnsi" w:cstheme="majorHAnsi"/>
          <w:sz w:val="20"/>
          <w:szCs w:val="20"/>
          <w:lang w:val="es-ES_tradnl"/>
        </w:rPr>
        <w:t xml:space="preserve"> un recurso de casación el 7 de julio de 2016</w:t>
      </w:r>
      <w:r w:rsidRPr="001B130F">
        <w:rPr>
          <w:rFonts w:asciiTheme="majorHAnsi" w:hAnsiTheme="majorHAnsi" w:cstheme="majorHAnsi"/>
          <w:sz w:val="20"/>
          <w:szCs w:val="20"/>
          <w:lang w:val="es-ES_tradnl"/>
        </w:rPr>
        <w:t xml:space="preserve">; </w:t>
      </w:r>
      <w:r w:rsidR="000642F3" w:rsidRPr="001B130F">
        <w:rPr>
          <w:rFonts w:asciiTheme="majorHAnsi" w:hAnsiTheme="majorHAnsi" w:cstheme="majorHAnsi"/>
          <w:sz w:val="20"/>
          <w:szCs w:val="20"/>
          <w:lang w:val="es-ES_tradnl"/>
        </w:rPr>
        <w:t>sin embargo,</w:t>
      </w:r>
      <w:r w:rsidRPr="001B130F">
        <w:rPr>
          <w:rFonts w:asciiTheme="majorHAnsi" w:hAnsiTheme="majorHAnsi" w:cstheme="majorHAnsi"/>
          <w:sz w:val="20"/>
          <w:szCs w:val="20"/>
          <w:lang w:val="es-ES_tradnl"/>
        </w:rPr>
        <w:t xml:space="preserve"> </w:t>
      </w:r>
      <w:r w:rsidR="009B4E99" w:rsidRPr="001B130F">
        <w:rPr>
          <w:rFonts w:asciiTheme="majorHAnsi" w:hAnsiTheme="majorHAnsi" w:cstheme="majorHAnsi"/>
          <w:sz w:val="20"/>
          <w:szCs w:val="20"/>
          <w:lang w:val="es-ES_tradnl"/>
        </w:rPr>
        <w:t>el 22 de febrero de 2017</w:t>
      </w:r>
      <w:r w:rsidR="000642F3" w:rsidRPr="001B130F">
        <w:rPr>
          <w:rFonts w:asciiTheme="majorHAnsi" w:hAnsiTheme="majorHAnsi" w:cstheme="majorHAnsi"/>
          <w:sz w:val="20"/>
          <w:szCs w:val="20"/>
          <w:lang w:val="es-ES_tradnl"/>
        </w:rPr>
        <w:t>,</w:t>
      </w:r>
      <w:r w:rsidRPr="001B130F">
        <w:rPr>
          <w:rFonts w:asciiTheme="majorHAnsi" w:hAnsiTheme="majorHAnsi" w:cstheme="majorHAnsi"/>
          <w:sz w:val="20"/>
          <w:szCs w:val="20"/>
          <w:lang w:val="es-ES_tradnl"/>
        </w:rPr>
        <w:t xml:space="preserve"> la Cámara Civil de la Corte Suprema de Justicia</w:t>
      </w:r>
      <w:r w:rsidR="009B4E99" w:rsidRPr="001B130F">
        <w:rPr>
          <w:rFonts w:asciiTheme="majorHAnsi" w:hAnsiTheme="majorHAnsi" w:cstheme="majorHAnsi"/>
          <w:sz w:val="20"/>
          <w:szCs w:val="20"/>
          <w:lang w:val="es-ES_tradnl"/>
        </w:rPr>
        <w:t xml:space="preserve"> desestimó el recurso por </w:t>
      </w:r>
      <w:r w:rsidRPr="001B130F">
        <w:rPr>
          <w:rFonts w:asciiTheme="majorHAnsi" w:hAnsiTheme="majorHAnsi" w:cstheme="majorHAnsi"/>
          <w:sz w:val="20"/>
          <w:szCs w:val="20"/>
          <w:lang w:val="es-ES_tradnl"/>
        </w:rPr>
        <w:t xml:space="preserve">no cumplir con </w:t>
      </w:r>
      <w:r w:rsidR="009B4E99" w:rsidRPr="001B130F">
        <w:rPr>
          <w:rFonts w:asciiTheme="majorHAnsi" w:hAnsiTheme="majorHAnsi" w:cstheme="majorHAnsi"/>
          <w:sz w:val="20"/>
          <w:szCs w:val="20"/>
          <w:lang w:val="es-ES_tradnl"/>
        </w:rPr>
        <w:t xml:space="preserve">los requisitos </w:t>
      </w:r>
      <w:r w:rsidRPr="001B130F">
        <w:rPr>
          <w:rFonts w:asciiTheme="majorHAnsi" w:hAnsiTheme="majorHAnsi" w:cstheme="majorHAnsi"/>
          <w:sz w:val="20"/>
          <w:szCs w:val="20"/>
          <w:lang w:val="es-ES_tradnl"/>
        </w:rPr>
        <w:t xml:space="preserve">formales </w:t>
      </w:r>
      <w:r w:rsidR="009B4E99" w:rsidRPr="001B130F">
        <w:rPr>
          <w:rFonts w:asciiTheme="majorHAnsi" w:hAnsiTheme="majorHAnsi" w:cstheme="majorHAnsi"/>
          <w:sz w:val="20"/>
          <w:szCs w:val="20"/>
          <w:lang w:val="es-ES_tradnl"/>
        </w:rPr>
        <w:t>indispensables para conocer el fondo del asunto</w:t>
      </w:r>
      <w:r w:rsidRPr="001B130F">
        <w:rPr>
          <w:rFonts w:asciiTheme="majorHAnsi" w:hAnsiTheme="majorHAnsi" w:cstheme="majorHAnsi"/>
          <w:sz w:val="20"/>
          <w:szCs w:val="20"/>
          <w:lang w:val="es-ES_tradnl"/>
        </w:rPr>
        <w:t xml:space="preserve">. </w:t>
      </w:r>
      <w:r w:rsidR="000642F3" w:rsidRPr="001B130F">
        <w:rPr>
          <w:rFonts w:asciiTheme="majorHAnsi" w:hAnsiTheme="majorHAnsi" w:cstheme="majorHAnsi"/>
          <w:sz w:val="20"/>
          <w:szCs w:val="20"/>
          <w:lang w:val="es-ES_tradnl"/>
        </w:rPr>
        <w:t>Específicamente</w:t>
      </w:r>
      <w:r w:rsidRPr="001B130F">
        <w:rPr>
          <w:rFonts w:asciiTheme="majorHAnsi" w:hAnsiTheme="majorHAnsi" w:cstheme="majorHAnsi"/>
          <w:sz w:val="20"/>
          <w:szCs w:val="20"/>
          <w:lang w:val="es-ES_tradnl"/>
        </w:rPr>
        <w:t xml:space="preserve"> l</w:t>
      </w:r>
      <w:r w:rsidR="009B4E99" w:rsidRPr="001B130F">
        <w:rPr>
          <w:rFonts w:asciiTheme="majorHAnsi" w:hAnsiTheme="majorHAnsi" w:cstheme="majorHAnsi"/>
          <w:sz w:val="20"/>
          <w:szCs w:val="20"/>
          <w:lang w:val="es-ES_tradnl"/>
        </w:rPr>
        <w:t xml:space="preserve">a cámara aseveró que el señor Martín Zapil compareció como parte demandada pero no señaló quienes </w:t>
      </w:r>
      <w:r w:rsidR="004E58B6" w:rsidRPr="001B130F">
        <w:rPr>
          <w:rFonts w:asciiTheme="majorHAnsi" w:hAnsiTheme="majorHAnsi" w:cstheme="majorHAnsi"/>
          <w:sz w:val="20"/>
          <w:szCs w:val="20"/>
          <w:lang w:val="es-ES_tradnl"/>
        </w:rPr>
        <w:t>eran</w:t>
      </w:r>
      <w:r w:rsidR="009B4E99" w:rsidRPr="001B130F">
        <w:rPr>
          <w:rFonts w:asciiTheme="majorHAnsi" w:hAnsiTheme="majorHAnsi" w:cstheme="majorHAnsi"/>
          <w:sz w:val="20"/>
          <w:szCs w:val="20"/>
          <w:lang w:val="es-ES_tradnl"/>
        </w:rPr>
        <w:t xml:space="preserve"> las otras partes que intervinieron en el proceso “</w:t>
      </w:r>
      <w:r w:rsidR="009B4E99" w:rsidRPr="001B130F">
        <w:rPr>
          <w:rFonts w:asciiTheme="majorHAnsi" w:hAnsiTheme="majorHAnsi" w:cstheme="majorHAnsi"/>
          <w:i/>
          <w:iCs/>
          <w:sz w:val="20"/>
          <w:szCs w:val="20"/>
          <w:lang w:val="es-ES_tradnl"/>
        </w:rPr>
        <w:t>lo cual constituye un requisito específico”</w:t>
      </w:r>
      <w:r w:rsidR="009B4E99" w:rsidRPr="001B130F">
        <w:rPr>
          <w:rStyle w:val="FootnoteReference"/>
          <w:rFonts w:asciiTheme="majorHAnsi" w:hAnsiTheme="majorHAnsi" w:cstheme="majorHAnsi"/>
          <w:i/>
          <w:iCs/>
          <w:sz w:val="20"/>
          <w:szCs w:val="20"/>
          <w:lang w:val="es-ES_tradnl"/>
        </w:rPr>
        <w:footnoteReference w:id="11"/>
      </w:r>
      <w:r w:rsidR="009B4E99" w:rsidRPr="001B130F">
        <w:rPr>
          <w:rFonts w:asciiTheme="majorHAnsi" w:hAnsiTheme="majorHAnsi" w:cstheme="majorHAnsi"/>
          <w:sz w:val="20"/>
          <w:szCs w:val="20"/>
          <w:lang w:val="es-ES_tradnl"/>
        </w:rPr>
        <w:t xml:space="preserve">. </w:t>
      </w:r>
    </w:p>
    <w:p w14:paraId="69983B52" w14:textId="19194B7E" w:rsidR="000642F3" w:rsidRPr="001B130F" w:rsidRDefault="009B4E99" w:rsidP="000642F3">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Inconforme con la decisión, el señor Martín Zapil promovió el 4 de abril de 2017</w:t>
      </w:r>
      <w:r w:rsidRPr="001B130F">
        <w:rPr>
          <w:rStyle w:val="FootnoteReference"/>
          <w:rFonts w:asciiTheme="majorHAnsi" w:hAnsiTheme="majorHAnsi" w:cstheme="majorHAnsi"/>
          <w:sz w:val="20"/>
          <w:szCs w:val="20"/>
          <w:lang w:val="es-ES_tradnl"/>
        </w:rPr>
        <w:footnoteReference w:id="12"/>
      </w:r>
      <w:r w:rsidRPr="001B130F">
        <w:rPr>
          <w:rFonts w:asciiTheme="majorHAnsi" w:hAnsiTheme="majorHAnsi" w:cstheme="majorHAnsi"/>
          <w:sz w:val="20"/>
          <w:szCs w:val="20"/>
          <w:lang w:val="es-ES_tradnl"/>
        </w:rPr>
        <w:t xml:space="preserve"> una acción de amparo ante la Corte de Constitucionalidad</w:t>
      </w:r>
      <w:r w:rsidR="004E58B6" w:rsidRPr="001B130F">
        <w:rPr>
          <w:rFonts w:asciiTheme="majorHAnsi" w:hAnsiTheme="majorHAnsi" w:cstheme="majorHAnsi"/>
          <w:sz w:val="20"/>
          <w:szCs w:val="20"/>
          <w:lang w:val="es-ES_tradnl"/>
        </w:rPr>
        <w:t xml:space="preserve">, </w:t>
      </w:r>
      <w:r w:rsidR="00D04F93" w:rsidRPr="001B130F">
        <w:rPr>
          <w:rFonts w:asciiTheme="majorHAnsi" w:hAnsiTheme="majorHAnsi" w:cstheme="majorHAnsi"/>
          <w:sz w:val="20"/>
          <w:szCs w:val="20"/>
          <w:lang w:val="es-ES_tradnl"/>
        </w:rPr>
        <w:t>que fue admitida el</w:t>
      </w:r>
      <w:r w:rsidRPr="001B130F">
        <w:rPr>
          <w:rFonts w:asciiTheme="majorHAnsi" w:hAnsiTheme="majorHAnsi" w:cstheme="majorHAnsi"/>
          <w:sz w:val="20"/>
          <w:szCs w:val="20"/>
          <w:lang w:val="es-ES_tradnl"/>
        </w:rPr>
        <w:t xml:space="preserve"> 3 de mayo de 2017</w:t>
      </w:r>
      <w:r w:rsidR="004E58B6" w:rsidRPr="001B130F">
        <w:rPr>
          <w:rFonts w:asciiTheme="majorHAnsi" w:hAnsiTheme="majorHAnsi" w:cstheme="majorHAnsi"/>
          <w:sz w:val="20"/>
          <w:szCs w:val="20"/>
          <w:lang w:val="es-ES_tradnl"/>
        </w:rPr>
        <w:t xml:space="preserve"> con el número 1638-2017</w:t>
      </w:r>
      <w:r w:rsidR="00727802" w:rsidRPr="001B130F">
        <w:rPr>
          <w:rFonts w:asciiTheme="majorHAnsi" w:hAnsiTheme="majorHAnsi" w:cstheme="majorHAnsi"/>
          <w:sz w:val="20"/>
          <w:szCs w:val="20"/>
          <w:lang w:val="es-ES_tradnl"/>
        </w:rPr>
        <w:t>.</w:t>
      </w:r>
      <w:r w:rsidR="003F6181" w:rsidRPr="001B130F">
        <w:rPr>
          <w:rFonts w:asciiTheme="majorHAnsi" w:hAnsiTheme="majorHAnsi" w:cstheme="majorHAnsi"/>
          <w:sz w:val="20"/>
          <w:szCs w:val="20"/>
          <w:lang w:val="es-ES_tradnl"/>
        </w:rPr>
        <w:t xml:space="preserve"> No obstante</w:t>
      </w:r>
      <w:r w:rsidR="00BB386B" w:rsidRPr="001B130F">
        <w:rPr>
          <w:rFonts w:asciiTheme="majorHAnsi" w:hAnsiTheme="majorHAnsi" w:cstheme="majorHAnsi"/>
          <w:sz w:val="20"/>
          <w:szCs w:val="20"/>
          <w:lang w:val="es-ES_tradnl"/>
        </w:rPr>
        <w:t xml:space="preserve">, </w:t>
      </w:r>
      <w:r w:rsidR="00D04F93" w:rsidRPr="001B130F">
        <w:rPr>
          <w:rFonts w:asciiTheme="majorHAnsi" w:hAnsiTheme="majorHAnsi" w:cstheme="majorHAnsi"/>
          <w:sz w:val="20"/>
          <w:szCs w:val="20"/>
          <w:lang w:val="es-ES_tradnl"/>
        </w:rPr>
        <w:t>la corte</w:t>
      </w:r>
      <w:r w:rsidR="00D85D87" w:rsidRPr="001B130F">
        <w:rPr>
          <w:rFonts w:asciiTheme="majorHAnsi" w:hAnsiTheme="majorHAnsi" w:cstheme="majorHAnsi"/>
          <w:sz w:val="20"/>
          <w:szCs w:val="20"/>
          <w:lang w:val="es-ES_tradnl"/>
        </w:rPr>
        <w:t xml:space="preserve"> emitió su </w:t>
      </w:r>
      <w:r w:rsidR="000642F3" w:rsidRPr="001B130F">
        <w:rPr>
          <w:rFonts w:asciiTheme="majorHAnsi" w:hAnsiTheme="majorHAnsi" w:cstheme="majorHAnsi"/>
          <w:sz w:val="20"/>
          <w:szCs w:val="20"/>
          <w:lang w:val="es-ES_tradnl"/>
        </w:rPr>
        <w:t>fallo</w:t>
      </w:r>
      <w:r w:rsidR="00D85D87" w:rsidRPr="001B130F">
        <w:rPr>
          <w:rFonts w:asciiTheme="majorHAnsi" w:hAnsiTheme="majorHAnsi" w:cstheme="majorHAnsi"/>
          <w:sz w:val="20"/>
          <w:szCs w:val="20"/>
          <w:lang w:val="es-ES_tradnl"/>
        </w:rPr>
        <w:t xml:space="preserve"> tras</w:t>
      </w:r>
      <w:r w:rsidR="00D04F93" w:rsidRPr="001B130F">
        <w:rPr>
          <w:rFonts w:asciiTheme="majorHAnsi" w:hAnsiTheme="majorHAnsi" w:cstheme="majorHAnsi"/>
          <w:sz w:val="20"/>
          <w:szCs w:val="20"/>
          <w:lang w:val="es-ES_tradnl"/>
        </w:rPr>
        <w:t xml:space="preserve"> un año y medio, por lo que </w:t>
      </w:r>
      <w:r w:rsidR="003F6181" w:rsidRPr="001B130F">
        <w:rPr>
          <w:rFonts w:asciiTheme="majorHAnsi" w:hAnsiTheme="majorHAnsi" w:cstheme="majorHAnsi"/>
          <w:sz w:val="20"/>
          <w:szCs w:val="20"/>
          <w:lang w:val="es-ES_tradnl"/>
        </w:rPr>
        <w:t>los peticionarios denuncian un retardo injustificado</w:t>
      </w:r>
      <w:r w:rsidR="000642F3" w:rsidRPr="001B130F">
        <w:rPr>
          <w:rFonts w:asciiTheme="majorHAnsi" w:hAnsiTheme="majorHAnsi" w:cstheme="majorHAnsi"/>
          <w:sz w:val="20"/>
          <w:szCs w:val="20"/>
          <w:lang w:val="es-ES_tradnl"/>
        </w:rPr>
        <w:t>. D</w:t>
      </w:r>
      <w:r w:rsidR="00D04F93" w:rsidRPr="001B130F">
        <w:rPr>
          <w:rFonts w:asciiTheme="majorHAnsi" w:hAnsiTheme="majorHAnsi" w:cstheme="majorHAnsi"/>
          <w:sz w:val="20"/>
          <w:szCs w:val="20"/>
          <w:lang w:val="es-ES_tradnl"/>
        </w:rPr>
        <w:t>urante el</w:t>
      </w:r>
      <w:r w:rsidR="000642F3" w:rsidRPr="001B130F">
        <w:rPr>
          <w:rFonts w:asciiTheme="majorHAnsi" w:hAnsiTheme="majorHAnsi" w:cstheme="majorHAnsi"/>
          <w:sz w:val="20"/>
          <w:szCs w:val="20"/>
          <w:lang w:val="es-ES_tradnl"/>
        </w:rPr>
        <w:t xml:space="preserve"> periodo de</w:t>
      </w:r>
      <w:r w:rsidR="00D04F93" w:rsidRPr="001B130F">
        <w:rPr>
          <w:rFonts w:asciiTheme="majorHAnsi" w:hAnsiTheme="majorHAnsi" w:cstheme="majorHAnsi"/>
          <w:sz w:val="20"/>
          <w:szCs w:val="20"/>
          <w:lang w:val="es-ES_tradnl"/>
        </w:rPr>
        <w:t xml:space="preserve"> espera de la decisión de amparo, </w:t>
      </w:r>
      <w:r w:rsidR="003F6181" w:rsidRPr="001B130F">
        <w:rPr>
          <w:rFonts w:asciiTheme="majorHAnsi" w:hAnsiTheme="majorHAnsi" w:cstheme="majorHAnsi"/>
          <w:sz w:val="20"/>
          <w:szCs w:val="20"/>
          <w:lang w:val="es-ES_tradnl"/>
        </w:rPr>
        <w:t>el señor Martín Zapil falleció el 20 de marzo de 2018</w:t>
      </w:r>
      <w:r w:rsidR="00BB386B" w:rsidRPr="001B130F">
        <w:rPr>
          <w:rFonts w:asciiTheme="majorHAnsi" w:hAnsiTheme="majorHAnsi" w:cstheme="majorHAnsi"/>
          <w:sz w:val="20"/>
          <w:szCs w:val="20"/>
          <w:lang w:val="es-ES_tradnl"/>
        </w:rPr>
        <w:t xml:space="preserve">. </w:t>
      </w:r>
    </w:p>
    <w:p w14:paraId="3650B036" w14:textId="36F4C65A" w:rsidR="009B4E99" w:rsidRPr="001B130F" w:rsidRDefault="00D04F93"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El 8 de noviembre de 2018</w:t>
      </w:r>
      <w:r w:rsidR="00727802" w:rsidRPr="001B130F">
        <w:rPr>
          <w:rFonts w:asciiTheme="majorHAnsi" w:hAnsiTheme="majorHAnsi" w:cstheme="majorHAnsi"/>
          <w:sz w:val="20"/>
          <w:szCs w:val="20"/>
          <w:lang w:val="es-ES_tradnl"/>
        </w:rPr>
        <w:t>,</w:t>
      </w:r>
      <w:r w:rsidR="009B4E99" w:rsidRPr="001B130F">
        <w:rPr>
          <w:rFonts w:asciiTheme="majorHAnsi" w:hAnsiTheme="majorHAnsi" w:cstheme="majorHAnsi"/>
          <w:sz w:val="20"/>
          <w:szCs w:val="20"/>
          <w:lang w:val="es-ES_tradnl"/>
        </w:rPr>
        <w:t xml:space="preserve"> </w:t>
      </w:r>
      <w:r w:rsidR="00AA06F2" w:rsidRPr="001B130F">
        <w:rPr>
          <w:rFonts w:asciiTheme="majorHAnsi" w:hAnsiTheme="majorHAnsi" w:cstheme="majorHAnsi"/>
          <w:sz w:val="20"/>
          <w:szCs w:val="20"/>
          <w:lang w:val="es-ES_tradnl"/>
        </w:rPr>
        <w:t>la Corte de Constitucionalidad</w:t>
      </w:r>
      <w:r w:rsidR="009B4E99" w:rsidRPr="001B130F">
        <w:rPr>
          <w:rFonts w:asciiTheme="majorHAnsi" w:hAnsiTheme="majorHAnsi" w:cstheme="majorHAnsi"/>
          <w:sz w:val="20"/>
          <w:szCs w:val="20"/>
          <w:lang w:val="es-ES_tradnl"/>
        </w:rPr>
        <w:t xml:space="preserve"> resolvió </w:t>
      </w:r>
      <w:r w:rsidR="00727802" w:rsidRPr="001B130F">
        <w:rPr>
          <w:rFonts w:asciiTheme="majorHAnsi" w:hAnsiTheme="majorHAnsi" w:cstheme="majorHAnsi"/>
          <w:sz w:val="20"/>
          <w:szCs w:val="20"/>
          <w:lang w:val="es-ES_tradnl"/>
        </w:rPr>
        <w:t>el amparo</w:t>
      </w:r>
      <w:r w:rsidR="00AA06F2" w:rsidRPr="001B130F">
        <w:rPr>
          <w:rFonts w:asciiTheme="majorHAnsi" w:hAnsiTheme="majorHAnsi" w:cstheme="majorHAnsi"/>
          <w:sz w:val="20"/>
          <w:szCs w:val="20"/>
          <w:lang w:val="es-ES_tradnl"/>
        </w:rPr>
        <w:t xml:space="preserve"> </w:t>
      </w:r>
      <w:r w:rsidR="009B4E99" w:rsidRPr="001B130F">
        <w:rPr>
          <w:rFonts w:asciiTheme="majorHAnsi" w:hAnsiTheme="majorHAnsi" w:cstheme="majorHAnsi"/>
          <w:sz w:val="20"/>
          <w:szCs w:val="20"/>
          <w:lang w:val="es-ES_tradnl"/>
        </w:rPr>
        <w:t xml:space="preserve">ordenando a la Cámara Civil </w:t>
      </w:r>
      <w:r w:rsidR="00B02D2D" w:rsidRPr="001B130F">
        <w:rPr>
          <w:rFonts w:asciiTheme="majorHAnsi" w:hAnsiTheme="majorHAnsi" w:cstheme="majorHAnsi"/>
          <w:sz w:val="20"/>
          <w:szCs w:val="20"/>
          <w:lang w:val="es-ES_tradnl"/>
        </w:rPr>
        <w:t xml:space="preserve">de la Corte Suprema de Justicia a </w:t>
      </w:r>
      <w:r w:rsidR="009B4E99" w:rsidRPr="001B130F">
        <w:rPr>
          <w:rFonts w:asciiTheme="majorHAnsi" w:hAnsiTheme="majorHAnsi" w:cstheme="majorHAnsi"/>
          <w:sz w:val="20"/>
          <w:szCs w:val="20"/>
          <w:lang w:val="es-ES_tradnl"/>
        </w:rPr>
        <w:t>emitir un nuevo pronunciamiento al recurso de casación. Dentro de la sentencia de amparo, la Corte de Constitucionalidad subrayó que “</w:t>
      </w:r>
      <w:r w:rsidR="009B4E99" w:rsidRPr="001B130F">
        <w:rPr>
          <w:rFonts w:asciiTheme="majorHAnsi" w:hAnsiTheme="majorHAnsi" w:cstheme="majorHAnsi"/>
          <w:i/>
          <w:iCs/>
          <w:sz w:val="20"/>
          <w:szCs w:val="20"/>
          <w:lang w:val="es-ES_tradnl"/>
        </w:rPr>
        <w:t>existe agravio susceptible de ser reparado en amparo cuando la autoridad cuestionada actúa con excesivo rigorismo al desestimar el recurso de casación, aun cuando el planteamiento de ese medio de impugnación cumple con las formalidades que se requieren”.</w:t>
      </w:r>
    </w:p>
    <w:p w14:paraId="66D9C65F" w14:textId="25ED1597" w:rsidR="00D85D87" w:rsidRPr="001B130F" w:rsidRDefault="00D85D87"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lastRenderedPageBreak/>
        <w:t>Entonces</w:t>
      </w:r>
      <w:r w:rsidR="009B4E99" w:rsidRPr="001B130F">
        <w:rPr>
          <w:rFonts w:asciiTheme="majorHAnsi" w:hAnsiTheme="majorHAnsi" w:cstheme="majorHAnsi"/>
          <w:sz w:val="20"/>
          <w:szCs w:val="20"/>
          <w:lang w:val="es-ES_tradnl"/>
        </w:rPr>
        <w:t xml:space="preserve">, </w:t>
      </w:r>
      <w:r w:rsidRPr="001B130F">
        <w:rPr>
          <w:rFonts w:asciiTheme="majorHAnsi" w:hAnsiTheme="majorHAnsi" w:cstheme="majorHAnsi"/>
          <w:sz w:val="20"/>
          <w:szCs w:val="20"/>
          <w:lang w:val="es-ES_tradnl"/>
        </w:rPr>
        <w:t xml:space="preserve">la Cámara Civil de la Corte Suprema de Justicia </w:t>
      </w:r>
      <w:r w:rsidR="009B4E99" w:rsidRPr="001B130F">
        <w:rPr>
          <w:rFonts w:asciiTheme="majorHAnsi" w:hAnsiTheme="majorHAnsi" w:cstheme="majorHAnsi"/>
          <w:sz w:val="20"/>
          <w:szCs w:val="20"/>
          <w:lang w:val="es-ES_tradnl"/>
        </w:rPr>
        <w:t>el 14 de diciembre de 2018</w:t>
      </w:r>
      <w:r w:rsidR="00C5061B" w:rsidRPr="001B130F">
        <w:rPr>
          <w:rFonts w:asciiTheme="majorHAnsi" w:hAnsiTheme="majorHAnsi" w:cstheme="majorHAnsi"/>
          <w:sz w:val="20"/>
          <w:szCs w:val="20"/>
          <w:lang w:val="es-ES_tradnl"/>
        </w:rPr>
        <w:t xml:space="preserve"> </w:t>
      </w:r>
      <w:r w:rsidR="009B4E99" w:rsidRPr="001B130F">
        <w:rPr>
          <w:rFonts w:asciiTheme="majorHAnsi" w:hAnsiTheme="majorHAnsi" w:cstheme="majorHAnsi"/>
          <w:sz w:val="20"/>
          <w:szCs w:val="20"/>
          <w:lang w:val="es-ES_tradnl"/>
        </w:rPr>
        <w:t>declaró improcedente el recurso de casación</w:t>
      </w:r>
      <w:r w:rsidR="001B130F" w:rsidRPr="001B130F">
        <w:rPr>
          <w:rFonts w:asciiTheme="majorHAnsi" w:hAnsiTheme="majorHAnsi" w:cstheme="majorHAnsi"/>
          <w:sz w:val="20"/>
          <w:szCs w:val="20"/>
          <w:lang w:val="es-ES_tradnl"/>
        </w:rPr>
        <w:t>,</w:t>
      </w:r>
      <w:r w:rsidR="00DE55FF" w:rsidRPr="001B130F">
        <w:rPr>
          <w:rFonts w:asciiTheme="majorHAnsi" w:hAnsiTheme="majorHAnsi" w:cstheme="majorHAnsi"/>
          <w:sz w:val="20"/>
          <w:szCs w:val="20"/>
          <w:lang w:val="es-ES_tradnl"/>
        </w:rPr>
        <w:t xml:space="preserve"> por</w:t>
      </w:r>
      <w:r w:rsidR="009B4E99" w:rsidRPr="001B130F">
        <w:rPr>
          <w:rFonts w:asciiTheme="majorHAnsi" w:hAnsiTheme="majorHAnsi" w:cstheme="majorHAnsi"/>
          <w:sz w:val="20"/>
          <w:szCs w:val="20"/>
          <w:lang w:val="es-ES_tradnl"/>
        </w:rPr>
        <w:t xml:space="preserve">que </w:t>
      </w:r>
      <w:r w:rsidR="00DE55FF" w:rsidRPr="001B130F">
        <w:rPr>
          <w:rFonts w:asciiTheme="majorHAnsi" w:hAnsiTheme="majorHAnsi" w:cstheme="majorHAnsi"/>
          <w:sz w:val="20"/>
          <w:szCs w:val="20"/>
          <w:lang w:val="es-ES_tradnl"/>
        </w:rPr>
        <w:t xml:space="preserve">consideró que </w:t>
      </w:r>
      <w:r w:rsidR="009B4E99" w:rsidRPr="001B130F">
        <w:rPr>
          <w:rFonts w:asciiTheme="majorHAnsi" w:hAnsiTheme="majorHAnsi" w:cstheme="majorHAnsi"/>
          <w:sz w:val="20"/>
          <w:szCs w:val="20"/>
          <w:lang w:val="es-ES_tradnl"/>
        </w:rPr>
        <w:t xml:space="preserve">el señor Martín Zapil incurrió en un </w:t>
      </w:r>
      <w:r w:rsidR="009B4E99" w:rsidRPr="001B130F">
        <w:rPr>
          <w:rFonts w:asciiTheme="majorHAnsi" w:hAnsiTheme="majorHAnsi" w:cstheme="majorHAnsi"/>
          <w:i/>
          <w:iCs/>
          <w:sz w:val="20"/>
          <w:szCs w:val="20"/>
          <w:lang w:val="es-ES_tradnl"/>
        </w:rPr>
        <w:t xml:space="preserve">“planteamiento defectuoso” </w:t>
      </w:r>
      <w:r w:rsidR="009B4E99" w:rsidRPr="001B130F">
        <w:rPr>
          <w:rFonts w:asciiTheme="majorHAnsi" w:hAnsiTheme="majorHAnsi" w:cstheme="majorHAnsi"/>
          <w:sz w:val="20"/>
          <w:szCs w:val="20"/>
          <w:lang w:val="es-ES_tradnl"/>
        </w:rPr>
        <w:t xml:space="preserve">con deficiencias técnicas que no podían suplirse de oficio. Especificó que el señor Martín Zapil </w:t>
      </w:r>
      <w:r w:rsidR="00B02D2D" w:rsidRPr="001B130F">
        <w:rPr>
          <w:rFonts w:asciiTheme="majorHAnsi" w:hAnsiTheme="majorHAnsi" w:cstheme="majorHAnsi"/>
          <w:sz w:val="20"/>
          <w:szCs w:val="20"/>
          <w:lang w:val="es-ES_tradnl"/>
        </w:rPr>
        <w:t>argumentó</w:t>
      </w:r>
      <w:r w:rsidR="009B4E99" w:rsidRPr="001B130F">
        <w:rPr>
          <w:rFonts w:asciiTheme="majorHAnsi" w:hAnsiTheme="majorHAnsi" w:cstheme="majorHAnsi"/>
          <w:sz w:val="20"/>
          <w:szCs w:val="20"/>
          <w:lang w:val="es-ES_tradnl"/>
        </w:rPr>
        <w:t xml:space="preserve"> la aplicación indebida del artículo 13 de la Ley de Titulación Supletoria </w:t>
      </w:r>
      <w:r w:rsidR="00B02D2D" w:rsidRPr="001B130F">
        <w:rPr>
          <w:rFonts w:asciiTheme="majorHAnsi" w:hAnsiTheme="majorHAnsi" w:cstheme="majorHAnsi"/>
          <w:sz w:val="20"/>
          <w:szCs w:val="20"/>
          <w:lang w:val="es-ES_tradnl"/>
        </w:rPr>
        <w:t>considerando que</w:t>
      </w:r>
      <w:r w:rsidR="009B4E99" w:rsidRPr="001B130F">
        <w:rPr>
          <w:rFonts w:asciiTheme="majorHAnsi" w:hAnsiTheme="majorHAnsi" w:cstheme="majorHAnsi"/>
          <w:sz w:val="20"/>
          <w:szCs w:val="20"/>
          <w:lang w:val="es-ES_tradnl"/>
        </w:rPr>
        <w:t xml:space="preserve"> la nulidad de la titulación supletoria sólo se puede dar bajo ciertos supuestos</w:t>
      </w:r>
      <w:r w:rsidRPr="001B130F">
        <w:rPr>
          <w:rFonts w:asciiTheme="majorHAnsi" w:hAnsiTheme="majorHAnsi" w:cstheme="majorHAnsi"/>
          <w:sz w:val="20"/>
          <w:szCs w:val="20"/>
          <w:lang w:val="es-ES_tradnl"/>
        </w:rPr>
        <w:t xml:space="preserve"> que no le </w:t>
      </w:r>
      <w:r w:rsidR="001D2238" w:rsidRPr="001B130F">
        <w:rPr>
          <w:rFonts w:asciiTheme="majorHAnsi" w:hAnsiTheme="majorHAnsi" w:cstheme="majorHAnsi"/>
          <w:sz w:val="20"/>
          <w:szCs w:val="20"/>
          <w:lang w:val="es-ES_tradnl"/>
        </w:rPr>
        <w:t>correspondían</w:t>
      </w:r>
      <w:r w:rsidR="00C5061B" w:rsidRPr="001B130F">
        <w:rPr>
          <w:rFonts w:asciiTheme="majorHAnsi" w:hAnsiTheme="majorHAnsi" w:cstheme="majorHAnsi"/>
          <w:sz w:val="20"/>
          <w:szCs w:val="20"/>
          <w:lang w:val="es-ES_tradnl"/>
        </w:rPr>
        <w:t xml:space="preserve">; </w:t>
      </w:r>
      <w:r w:rsidR="00B02D2D" w:rsidRPr="001B130F">
        <w:rPr>
          <w:rFonts w:asciiTheme="majorHAnsi" w:hAnsiTheme="majorHAnsi" w:cstheme="majorHAnsi"/>
          <w:sz w:val="20"/>
          <w:szCs w:val="20"/>
          <w:lang w:val="es-ES_tradnl"/>
        </w:rPr>
        <w:t>sin embargo,</w:t>
      </w:r>
      <w:r w:rsidRPr="001B130F">
        <w:rPr>
          <w:rFonts w:asciiTheme="majorHAnsi" w:hAnsiTheme="majorHAnsi" w:cstheme="majorHAnsi"/>
          <w:sz w:val="20"/>
          <w:szCs w:val="20"/>
          <w:lang w:val="es-ES_tradnl"/>
        </w:rPr>
        <w:t xml:space="preserve"> la </w:t>
      </w:r>
      <w:r w:rsidR="001D2238" w:rsidRPr="001B130F">
        <w:rPr>
          <w:rFonts w:asciiTheme="majorHAnsi" w:hAnsiTheme="majorHAnsi" w:cstheme="majorHAnsi"/>
          <w:sz w:val="20"/>
          <w:szCs w:val="20"/>
          <w:lang w:val="es-ES_tradnl"/>
        </w:rPr>
        <w:t>Cámara Civil</w:t>
      </w:r>
      <w:r w:rsidRPr="001B130F">
        <w:rPr>
          <w:rFonts w:asciiTheme="majorHAnsi" w:hAnsiTheme="majorHAnsi" w:cstheme="majorHAnsi"/>
          <w:sz w:val="20"/>
          <w:szCs w:val="20"/>
          <w:lang w:val="es-ES_tradnl"/>
        </w:rPr>
        <w:t xml:space="preserve"> no </w:t>
      </w:r>
      <w:r w:rsidR="00B02D2D" w:rsidRPr="001B130F">
        <w:rPr>
          <w:rFonts w:asciiTheme="majorHAnsi" w:hAnsiTheme="majorHAnsi" w:cstheme="majorHAnsi"/>
          <w:sz w:val="20"/>
          <w:szCs w:val="20"/>
          <w:lang w:val="es-ES_tradnl"/>
        </w:rPr>
        <w:t>advirtió</w:t>
      </w:r>
      <w:r w:rsidRPr="001B130F">
        <w:rPr>
          <w:rFonts w:asciiTheme="majorHAnsi" w:hAnsiTheme="majorHAnsi" w:cstheme="majorHAnsi"/>
          <w:sz w:val="20"/>
          <w:szCs w:val="20"/>
          <w:lang w:val="es-ES_tradnl"/>
        </w:rPr>
        <w:t xml:space="preserve"> que se</w:t>
      </w:r>
      <w:r w:rsidR="00C5061B" w:rsidRPr="001B130F">
        <w:rPr>
          <w:rFonts w:asciiTheme="majorHAnsi" w:hAnsiTheme="majorHAnsi" w:cstheme="majorHAnsi"/>
          <w:sz w:val="20"/>
          <w:szCs w:val="20"/>
          <w:lang w:val="es-ES_tradnl"/>
        </w:rPr>
        <w:t xml:space="preserve"> le</w:t>
      </w:r>
      <w:r w:rsidRPr="001B130F">
        <w:rPr>
          <w:rFonts w:asciiTheme="majorHAnsi" w:hAnsiTheme="majorHAnsi" w:cstheme="majorHAnsi"/>
          <w:sz w:val="20"/>
          <w:szCs w:val="20"/>
          <w:lang w:val="es-ES_tradnl"/>
        </w:rPr>
        <w:t xml:space="preserve"> hubiera aplicado </w:t>
      </w:r>
      <w:r w:rsidR="00C5061B" w:rsidRPr="001B130F">
        <w:rPr>
          <w:rFonts w:asciiTheme="majorHAnsi" w:hAnsiTheme="majorHAnsi" w:cstheme="majorHAnsi"/>
          <w:sz w:val="20"/>
          <w:szCs w:val="20"/>
          <w:lang w:val="es-ES_tradnl"/>
        </w:rPr>
        <w:t>dicho</w:t>
      </w:r>
      <w:r w:rsidRPr="001B130F">
        <w:rPr>
          <w:rFonts w:asciiTheme="majorHAnsi" w:hAnsiTheme="majorHAnsi" w:cstheme="majorHAnsi"/>
          <w:sz w:val="20"/>
          <w:szCs w:val="20"/>
          <w:lang w:val="es-ES_tradnl"/>
        </w:rPr>
        <w:t xml:space="preserve"> artículo</w:t>
      </w:r>
      <w:r w:rsidR="00C5061B" w:rsidRPr="001B130F">
        <w:rPr>
          <w:rFonts w:asciiTheme="majorHAnsi" w:hAnsiTheme="majorHAnsi" w:cstheme="majorHAnsi"/>
          <w:sz w:val="20"/>
          <w:szCs w:val="20"/>
          <w:lang w:val="es-ES_tradnl"/>
        </w:rPr>
        <w:t xml:space="preserve"> en la decisión</w:t>
      </w:r>
      <w:r w:rsidR="00B02D2D" w:rsidRPr="001B130F">
        <w:rPr>
          <w:rFonts w:asciiTheme="majorHAnsi" w:hAnsiTheme="majorHAnsi" w:cstheme="majorHAnsi"/>
          <w:sz w:val="20"/>
          <w:szCs w:val="20"/>
          <w:lang w:val="es-ES_tradnl"/>
        </w:rPr>
        <w:t xml:space="preserve"> que desestimaba la casación</w:t>
      </w:r>
      <w:r w:rsidRPr="001B130F">
        <w:rPr>
          <w:rFonts w:asciiTheme="majorHAnsi" w:hAnsiTheme="majorHAnsi" w:cstheme="majorHAnsi"/>
          <w:sz w:val="20"/>
          <w:szCs w:val="20"/>
          <w:lang w:val="es-ES_tradnl"/>
        </w:rPr>
        <w:t xml:space="preserve">. </w:t>
      </w:r>
    </w:p>
    <w:p w14:paraId="39B0D589" w14:textId="7EF41F78" w:rsidR="009B4E99" w:rsidRPr="001B130F" w:rsidRDefault="009B4E99" w:rsidP="0020170C">
      <w:pPr>
        <w:pStyle w:val="ListParagraph"/>
        <w:numPr>
          <w:ilvl w:val="0"/>
          <w:numId w:val="56"/>
        </w:numPr>
        <w:spacing w:before="240" w:after="240"/>
        <w:ind w:left="142" w:firstLine="567"/>
        <w:jc w:val="both"/>
        <w:rPr>
          <w:rFonts w:asciiTheme="majorHAnsi" w:hAnsiTheme="majorHAnsi" w:cstheme="majorHAnsi"/>
          <w:sz w:val="20"/>
          <w:szCs w:val="20"/>
          <w:lang w:val="es-ES_tradnl"/>
        </w:rPr>
      </w:pPr>
      <w:r w:rsidRPr="001B130F">
        <w:rPr>
          <w:rFonts w:asciiTheme="majorHAnsi" w:hAnsiTheme="majorHAnsi" w:cstheme="majorHAnsi"/>
          <w:sz w:val="20"/>
          <w:szCs w:val="20"/>
          <w:lang w:val="es-ES_tradnl"/>
        </w:rPr>
        <w:t xml:space="preserve">Por otro lado, la </w:t>
      </w:r>
      <w:r w:rsidR="00D85D87" w:rsidRPr="001B130F">
        <w:rPr>
          <w:rFonts w:asciiTheme="majorHAnsi" w:hAnsiTheme="majorHAnsi" w:cstheme="majorHAnsi"/>
          <w:sz w:val="20"/>
          <w:szCs w:val="20"/>
          <w:lang w:val="es-ES_tradnl"/>
        </w:rPr>
        <w:t>C</w:t>
      </w:r>
      <w:r w:rsidRPr="001B130F">
        <w:rPr>
          <w:rFonts w:asciiTheme="majorHAnsi" w:hAnsiTheme="majorHAnsi" w:cstheme="majorHAnsi"/>
          <w:sz w:val="20"/>
          <w:szCs w:val="20"/>
          <w:lang w:val="es-ES_tradnl"/>
        </w:rPr>
        <w:t xml:space="preserve">ámara </w:t>
      </w:r>
      <w:r w:rsidR="00D85D87" w:rsidRPr="001B130F">
        <w:rPr>
          <w:rFonts w:asciiTheme="majorHAnsi" w:hAnsiTheme="majorHAnsi" w:cstheme="majorHAnsi"/>
          <w:sz w:val="20"/>
          <w:szCs w:val="20"/>
          <w:lang w:val="es-ES_tradnl"/>
        </w:rPr>
        <w:t>Civil</w:t>
      </w:r>
      <w:r w:rsidRPr="001B130F">
        <w:rPr>
          <w:rFonts w:asciiTheme="majorHAnsi" w:hAnsiTheme="majorHAnsi" w:cstheme="majorHAnsi"/>
          <w:sz w:val="20"/>
          <w:szCs w:val="20"/>
          <w:lang w:val="es-ES_tradnl"/>
        </w:rPr>
        <w:t xml:space="preserve"> consideró que la valoración de los hechos y las pruebas </w:t>
      </w:r>
      <w:r w:rsidRPr="001B130F">
        <w:rPr>
          <w:rFonts w:asciiTheme="majorHAnsi" w:hAnsiTheme="majorHAnsi" w:cstheme="majorHAnsi"/>
          <w:i/>
          <w:iCs/>
          <w:sz w:val="20"/>
          <w:szCs w:val="20"/>
          <w:lang w:val="es-ES_tradnl"/>
        </w:rPr>
        <w:t>“se encontraba ajustada a derecho”</w:t>
      </w:r>
      <w:r w:rsidR="00D85D87" w:rsidRPr="001B130F">
        <w:rPr>
          <w:rFonts w:asciiTheme="majorHAnsi" w:hAnsiTheme="majorHAnsi" w:cstheme="majorHAnsi"/>
          <w:sz w:val="20"/>
          <w:szCs w:val="20"/>
          <w:lang w:val="es-ES_tradnl"/>
        </w:rPr>
        <w:t>; y, e</w:t>
      </w:r>
      <w:r w:rsidRPr="001B130F">
        <w:rPr>
          <w:rFonts w:asciiTheme="majorHAnsi" w:hAnsiTheme="majorHAnsi" w:cstheme="majorHAnsi"/>
          <w:sz w:val="20"/>
          <w:szCs w:val="20"/>
          <w:lang w:val="es-ES_tradnl"/>
        </w:rPr>
        <w:t>n cuanto a los argumentos de la presunta víctima de la omisión de los tribunales de aplicar garantías relacionadas a su pertenencia a una población indígena,</w:t>
      </w:r>
      <w:r w:rsidR="00D85D87" w:rsidRPr="001B130F">
        <w:rPr>
          <w:rFonts w:asciiTheme="majorHAnsi" w:hAnsiTheme="majorHAnsi" w:cstheme="majorHAnsi"/>
          <w:sz w:val="20"/>
          <w:szCs w:val="20"/>
          <w:lang w:val="es-ES_tradnl"/>
        </w:rPr>
        <w:t xml:space="preserve"> </w:t>
      </w:r>
      <w:r w:rsidR="0062775A" w:rsidRPr="001B130F">
        <w:rPr>
          <w:rFonts w:asciiTheme="majorHAnsi" w:hAnsiTheme="majorHAnsi" w:cstheme="majorHAnsi"/>
          <w:sz w:val="20"/>
          <w:szCs w:val="20"/>
          <w:lang w:val="es-ES_tradnl"/>
        </w:rPr>
        <w:t>razonó</w:t>
      </w:r>
      <w:r w:rsidR="00DE55FF" w:rsidRPr="001B130F">
        <w:rPr>
          <w:rFonts w:asciiTheme="majorHAnsi" w:hAnsiTheme="majorHAnsi" w:cstheme="majorHAnsi"/>
          <w:sz w:val="20"/>
          <w:szCs w:val="20"/>
          <w:lang w:val="es-ES_tradnl"/>
        </w:rPr>
        <w:t xml:space="preserve"> que </w:t>
      </w:r>
      <w:r w:rsidR="00D85D87" w:rsidRPr="001B130F">
        <w:rPr>
          <w:rFonts w:asciiTheme="majorHAnsi" w:hAnsiTheme="majorHAnsi" w:cstheme="majorHAnsi"/>
          <w:sz w:val="20"/>
          <w:szCs w:val="20"/>
          <w:lang w:val="es-ES_tradnl"/>
        </w:rPr>
        <w:t xml:space="preserve">no aplicaba </w:t>
      </w:r>
      <w:r w:rsidR="00DE55FF" w:rsidRPr="001B130F">
        <w:rPr>
          <w:rFonts w:asciiTheme="majorHAnsi" w:hAnsiTheme="majorHAnsi" w:cstheme="majorHAnsi"/>
          <w:sz w:val="20"/>
          <w:szCs w:val="20"/>
          <w:lang w:val="es-ES_tradnl"/>
        </w:rPr>
        <w:t>la distinción</w:t>
      </w:r>
      <w:r w:rsidR="00D85D87" w:rsidRPr="001B130F">
        <w:rPr>
          <w:rFonts w:asciiTheme="majorHAnsi" w:hAnsiTheme="majorHAnsi" w:cstheme="majorHAnsi"/>
          <w:sz w:val="20"/>
          <w:szCs w:val="20"/>
          <w:lang w:val="es-ES_tradnl"/>
        </w:rPr>
        <w:t xml:space="preserve"> ya que se trata de un asunto entre particulares</w:t>
      </w:r>
      <w:r w:rsidR="00DE55FF" w:rsidRPr="001B130F">
        <w:rPr>
          <w:rFonts w:asciiTheme="majorHAnsi" w:hAnsiTheme="majorHAnsi" w:cstheme="majorHAnsi"/>
          <w:sz w:val="20"/>
          <w:szCs w:val="20"/>
          <w:lang w:val="es-ES_tradnl"/>
        </w:rPr>
        <w:t>; indicó que:</w:t>
      </w:r>
      <w:r w:rsidR="00D85D87" w:rsidRPr="001B130F">
        <w:rPr>
          <w:rFonts w:asciiTheme="majorHAnsi" w:hAnsiTheme="majorHAnsi" w:cstheme="majorHAnsi"/>
          <w:sz w:val="20"/>
          <w:szCs w:val="20"/>
          <w:lang w:val="es-ES_tradnl"/>
        </w:rPr>
        <w:t xml:space="preserve"> </w:t>
      </w:r>
      <w:r w:rsidRPr="001B130F">
        <w:rPr>
          <w:rFonts w:asciiTheme="majorHAnsi" w:hAnsiTheme="majorHAnsi" w:cstheme="majorHAnsi"/>
          <w:sz w:val="20"/>
          <w:szCs w:val="20"/>
          <w:lang w:val="es-ES_tradnl"/>
        </w:rPr>
        <w:t>“</w:t>
      </w:r>
      <w:r w:rsidRPr="001B130F">
        <w:rPr>
          <w:rFonts w:asciiTheme="majorHAnsi" w:hAnsiTheme="majorHAnsi" w:cstheme="majorHAnsi"/>
          <w:i/>
          <w:iCs/>
          <w:sz w:val="20"/>
          <w:szCs w:val="20"/>
          <w:lang w:val="es-ES_tradnl"/>
        </w:rPr>
        <w:t>el asunto en discusión tuvo su origen en el juicio ordinario de acción de nulidad absoluta de diligencias voluntarias de titulación supletoria, entre particulares, por lo que las normas cuestionadas, no guardan relación con la litis,[…] no eran aplicables al caso</w:t>
      </w:r>
      <w:r w:rsidRPr="001B130F">
        <w:rPr>
          <w:rFonts w:asciiTheme="majorHAnsi" w:hAnsiTheme="majorHAnsi" w:cstheme="majorHAnsi"/>
          <w:sz w:val="20"/>
          <w:szCs w:val="20"/>
          <w:vertAlign w:val="superscript"/>
          <w:lang w:val="es-ES_tradnl"/>
        </w:rPr>
        <w:t>”</w:t>
      </w:r>
      <w:r w:rsidRPr="001B130F">
        <w:rPr>
          <w:rFonts w:asciiTheme="majorHAnsi" w:hAnsiTheme="majorHAnsi"/>
          <w:sz w:val="20"/>
          <w:szCs w:val="20"/>
          <w:vertAlign w:val="superscript"/>
          <w:lang w:val="es-ES_tradnl"/>
        </w:rPr>
        <w:footnoteReference w:id="13"/>
      </w:r>
      <w:r w:rsidRPr="001B130F">
        <w:rPr>
          <w:rFonts w:asciiTheme="majorHAnsi" w:hAnsiTheme="majorHAnsi" w:cstheme="majorHAnsi"/>
          <w:sz w:val="20"/>
          <w:szCs w:val="20"/>
          <w:lang w:val="es-ES_tradnl"/>
        </w:rPr>
        <w:t xml:space="preserve">.  </w:t>
      </w:r>
    </w:p>
    <w:p w14:paraId="4FFCC109" w14:textId="77777777" w:rsidR="009B4E99" w:rsidRPr="001B130F" w:rsidRDefault="009B4E99" w:rsidP="0020170C">
      <w:pPr>
        <w:pStyle w:val="NormalWeb"/>
        <w:spacing w:before="240" w:beforeAutospacing="0" w:after="240" w:afterAutospacing="0"/>
        <w:ind w:left="709"/>
        <w:jc w:val="both"/>
        <w:rPr>
          <w:rFonts w:asciiTheme="majorHAnsi" w:hAnsiTheme="majorHAnsi"/>
          <w:sz w:val="20"/>
          <w:szCs w:val="20"/>
          <w:lang w:val="es-ES_tradnl"/>
        </w:rPr>
      </w:pPr>
      <w:r w:rsidRPr="001B130F">
        <w:rPr>
          <w:rFonts w:asciiTheme="majorHAnsi" w:hAnsiTheme="majorHAnsi"/>
          <w:i/>
          <w:iCs/>
          <w:sz w:val="20"/>
          <w:szCs w:val="20"/>
          <w:lang w:val="es-ES_tradnl"/>
        </w:rPr>
        <w:t>Argumentos de la parte peticionaria</w:t>
      </w:r>
    </w:p>
    <w:p w14:paraId="7B894B88" w14:textId="170777D3" w:rsidR="001B7057"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L</w:t>
      </w:r>
      <w:r w:rsidR="007D37D7" w:rsidRPr="001B130F">
        <w:rPr>
          <w:rFonts w:asciiTheme="majorHAnsi" w:hAnsiTheme="majorHAnsi"/>
          <w:bCs/>
          <w:sz w:val="20"/>
          <w:szCs w:val="20"/>
          <w:lang w:val="es-ES_tradnl"/>
        </w:rPr>
        <w:t>as presuntas víctimas</w:t>
      </w:r>
      <w:r w:rsidRPr="001B130F">
        <w:rPr>
          <w:rFonts w:asciiTheme="majorHAnsi" w:hAnsiTheme="majorHAnsi"/>
          <w:bCs/>
          <w:sz w:val="20"/>
          <w:szCs w:val="20"/>
          <w:lang w:val="es-ES_tradnl"/>
        </w:rPr>
        <w:t xml:space="preserve"> consideran que el Estado es responsable por la violación a su derecho de propiedad sobre sus tierras</w:t>
      </w:r>
      <w:r w:rsidRPr="001B130F">
        <w:rPr>
          <w:rFonts w:asciiTheme="majorHAnsi" w:hAnsiTheme="majorHAnsi"/>
          <w:sz w:val="20"/>
          <w:szCs w:val="20"/>
          <w:vertAlign w:val="superscript"/>
          <w:lang w:val="es-ES_tradnl"/>
        </w:rPr>
        <w:footnoteReference w:id="14"/>
      </w:r>
      <w:r w:rsidRPr="001B130F">
        <w:rPr>
          <w:rFonts w:asciiTheme="majorHAnsi" w:hAnsiTheme="majorHAnsi"/>
          <w:bCs/>
          <w:sz w:val="20"/>
          <w:szCs w:val="20"/>
          <w:lang w:val="es-ES_tradnl"/>
        </w:rPr>
        <w:t xml:space="preserve">, las que forman parte de su comunidad indígena y en las que hay nacimientos de agua a los que tampoco tienen acceso. Así, resaltan que las presuntas víctimas son originarias </w:t>
      </w:r>
      <w:r w:rsidRPr="001B130F">
        <w:rPr>
          <w:rFonts w:asciiTheme="majorHAnsi" w:hAnsiTheme="majorHAnsi"/>
          <w:bCs/>
          <w:sz w:val="20"/>
          <w:szCs w:val="20"/>
          <w:lang w:val="es-ES"/>
        </w:rPr>
        <w:t xml:space="preserve">del municipio de Zunil, </w:t>
      </w:r>
      <w:r w:rsidRPr="001B130F">
        <w:rPr>
          <w:rFonts w:asciiTheme="majorHAnsi" w:hAnsiTheme="majorHAnsi"/>
          <w:bCs/>
          <w:sz w:val="20"/>
          <w:szCs w:val="20"/>
          <w:lang w:val="es-ES_tradnl"/>
        </w:rPr>
        <w:t xml:space="preserve">pertenecientes </w:t>
      </w:r>
      <w:r w:rsidRPr="001B130F">
        <w:rPr>
          <w:rFonts w:asciiTheme="majorHAnsi" w:hAnsiTheme="majorHAnsi"/>
          <w:bCs/>
          <w:sz w:val="20"/>
          <w:szCs w:val="20"/>
          <w:lang w:val="es-ES"/>
        </w:rPr>
        <w:t xml:space="preserve">a </w:t>
      </w:r>
      <w:r w:rsidRPr="001B130F">
        <w:rPr>
          <w:rFonts w:asciiTheme="majorHAnsi" w:hAnsiTheme="majorHAnsi"/>
          <w:bCs/>
          <w:sz w:val="20"/>
          <w:szCs w:val="20"/>
          <w:lang w:val="es-ES_tradnl"/>
        </w:rPr>
        <w:t xml:space="preserve">la </w:t>
      </w:r>
      <w:r w:rsidRPr="001B130F">
        <w:rPr>
          <w:rFonts w:asciiTheme="majorHAnsi" w:hAnsiTheme="majorHAnsi"/>
          <w:bCs/>
          <w:sz w:val="20"/>
          <w:szCs w:val="20"/>
          <w:lang w:val="es-ES"/>
        </w:rPr>
        <w:t xml:space="preserve">etnia Quiché, </w:t>
      </w:r>
      <w:r w:rsidRPr="001B130F">
        <w:rPr>
          <w:rFonts w:asciiTheme="majorHAnsi" w:hAnsiTheme="majorHAnsi"/>
          <w:bCs/>
          <w:sz w:val="20"/>
          <w:szCs w:val="20"/>
          <w:lang w:val="es-ES_tradnl"/>
        </w:rPr>
        <w:t xml:space="preserve">y que han </w:t>
      </w:r>
      <w:r w:rsidRPr="001B130F">
        <w:rPr>
          <w:rFonts w:asciiTheme="majorHAnsi" w:hAnsiTheme="majorHAnsi"/>
          <w:bCs/>
          <w:sz w:val="20"/>
          <w:szCs w:val="20"/>
          <w:lang w:val="es-ES"/>
        </w:rPr>
        <w:t xml:space="preserve">utilizado </w:t>
      </w:r>
      <w:r w:rsidRPr="001B130F">
        <w:rPr>
          <w:rFonts w:asciiTheme="majorHAnsi" w:hAnsiTheme="majorHAnsi"/>
          <w:bCs/>
          <w:sz w:val="20"/>
          <w:szCs w:val="20"/>
          <w:lang w:val="es-ES_tradnl"/>
        </w:rPr>
        <w:t>tradiciones ancestrales</w:t>
      </w:r>
      <w:r w:rsidRPr="001B130F">
        <w:rPr>
          <w:rFonts w:asciiTheme="majorHAnsi" w:hAnsiTheme="majorHAnsi"/>
          <w:bCs/>
          <w:sz w:val="20"/>
          <w:szCs w:val="20"/>
          <w:lang w:val="es-ES"/>
        </w:rPr>
        <w:t xml:space="preserve"> </w:t>
      </w:r>
      <w:r w:rsidRPr="001B130F">
        <w:rPr>
          <w:rFonts w:asciiTheme="majorHAnsi" w:hAnsiTheme="majorHAnsi"/>
          <w:bCs/>
          <w:i/>
          <w:iCs/>
          <w:sz w:val="20"/>
          <w:szCs w:val="20"/>
          <w:lang w:val="es-ES_tradnl"/>
        </w:rPr>
        <w:t>“</w:t>
      </w:r>
      <w:r w:rsidRPr="001B130F">
        <w:rPr>
          <w:rFonts w:asciiTheme="majorHAnsi" w:hAnsiTheme="majorHAnsi"/>
          <w:bCs/>
          <w:i/>
          <w:iCs/>
          <w:sz w:val="20"/>
          <w:szCs w:val="20"/>
          <w:lang w:val="es-ES"/>
        </w:rPr>
        <w:t xml:space="preserve">como traje indígena, lenguaje y formas de organización comunal hemos hecho uso de nuestras tierras las cuales hemos poseído </w:t>
      </w:r>
      <w:r w:rsidRPr="001B130F">
        <w:rPr>
          <w:rFonts w:asciiTheme="majorHAnsi" w:hAnsiTheme="majorHAnsi"/>
          <w:bCs/>
          <w:i/>
          <w:iCs/>
          <w:sz w:val="20"/>
          <w:szCs w:val="20"/>
          <w:lang w:val="es-ES_tradnl"/>
        </w:rPr>
        <w:t>[…]</w:t>
      </w:r>
      <w:r w:rsidRPr="001B130F">
        <w:rPr>
          <w:rFonts w:asciiTheme="majorHAnsi" w:hAnsiTheme="majorHAnsi"/>
          <w:bCs/>
          <w:i/>
          <w:iCs/>
          <w:sz w:val="20"/>
          <w:szCs w:val="20"/>
          <w:lang w:val="es-ES"/>
        </w:rPr>
        <w:t xml:space="preserve"> por lo que pertenecemos a este grupo cultural considerado como indígena a la luz de los Convenios Internacionales en materia de Derechos Humanos</w:t>
      </w:r>
      <w:r w:rsidRPr="001B130F">
        <w:rPr>
          <w:rFonts w:asciiTheme="majorHAnsi" w:hAnsiTheme="majorHAnsi"/>
          <w:bCs/>
          <w:sz w:val="20"/>
          <w:szCs w:val="20"/>
          <w:lang w:val="es-ES_tradnl"/>
        </w:rPr>
        <w:t>”.</w:t>
      </w:r>
      <w:r w:rsidR="00325638" w:rsidRPr="001B130F">
        <w:rPr>
          <w:rFonts w:asciiTheme="majorHAnsi" w:hAnsiTheme="majorHAnsi"/>
          <w:bCs/>
          <w:sz w:val="20"/>
          <w:szCs w:val="20"/>
          <w:lang w:val="es-ES_tradnl"/>
        </w:rPr>
        <w:t xml:space="preserve"> Afirman que la decisión del Estado sobre la anulación de su registro de propiedad sobre las </w:t>
      </w:r>
      <w:r w:rsidR="0062775A" w:rsidRPr="001B130F">
        <w:rPr>
          <w:rFonts w:asciiTheme="majorHAnsi" w:hAnsiTheme="majorHAnsi"/>
          <w:bCs/>
          <w:sz w:val="20"/>
          <w:szCs w:val="20"/>
          <w:lang w:val="es-ES_tradnl"/>
        </w:rPr>
        <w:t>tierras</w:t>
      </w:r>
      <w:r w:rsidR="00325638" w:rsidRPr="001B130F">
        <w:rPr>
          <w:rFonts w:asciiTheme="majorHAnsi" w:hAnsiTheme="majorHAnsi"/>
          <w:bCs/>
          <w:sz w:val="20"/>
          <w:szCs w:val="20"/>
          <w:lang w:val="es-ES_tradnl"/>
        </w:rPr>
        <w:t xml:space="preserve"> también afect</w:t>
      </w:r>
      <w:r w:rsidR="00FD6FA4" w:rsidRPr="001B130F">
        <w:rPr>
          <w:rFonts w:asciiTheme="majorHAnsi" w:hAnsiTheme="majorHAnsi"/>
          <w:bCs/>
          <w:sz w:val="20"/>
          <w:szCs w:val="20"/>
          <w:lang w:val="es-ES_tradnl"/>
        </w:rPr>
        <w:t>a</w:t>
      </w:r>
      <w:r w:rsidR="00325638" w:rsidRPr="001B130F">
        <w:rPr>
          <w:rFonts w:asciiTheme="majorHAnsi" w:hAnsiTheme="majorHAnsi"/>
          <w:bCs/>
          <w:sz w:val="20"/>
          <w:szCs w:val="20"/>
          <w:lang w:val="es-ES_tradnl"/>
        </w:rPr>
        <w:t xml:space="preserve"> su acceso al agua, e indican en actualización de 2022 que la situación subsiste y que </w:t>
      </w:r>
      <w:r w:rsidR="00325638" w:rsidRPr="001B130F">
        <w:rPr>
          <w:rFonts w:asciiTheme="majorHAnsi" w:hAnsiTheme="majorHAnsi"/>
          <w:bCs/>
          <w:i/>
          <w:iCs/>
          <w:sz w:val="20"/>
          <w:szCs w:val="20"/>
          <w:lang w:val="es-ES_tradnl"/>
        </w:rPr>
        <w:t>“el agua sigue siendo desviada por parte de [el tercero], en perjuicio de la comunidad indígena del municipio de Zunil</w:t>
      </w:r>
      <w:r w:rsidR="00325638" w:rsidRPr="001B130F">
        <w:rPr>
          <w:rFonts w:asciiTheme="majorHAnsi" w:hAnsiTheme="majorHAnsi"/>
          <w:bCs/>
          <w:sz w:val="20"/>
          <w:szCs w:val="20"/>
          <w:lang w:val="es-ES_tradnl"/>
        </w:rPr>
        <w:t>”.</w:t>
      </w:r>
    </w:p>
    <w:p w14:paraId="77CF8F84" w14:textId="2620972F" w:rsidR="001B7057"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También denuncian un retardo en las decisiones internas</w:t>
      </w:r>
      <w:r w:rsidR="005F6CA8" w:rsidRPr="001B130F">
        <w:rPr>
          <w:rFonts w:asciiTheme="majorHAnsi" w:hAnsiTheme="majorHAnsi"/>
          <w:bCs/>
          <w:sz w:val="20"/>
          <w:szCs w:val="20"/>
          <w:lang w:val="es-ES_tradnl"/>
        </w:rPr>
        <w:t>,</w:t>
      </w:r>
      <w:r w:rsidRPr="001B130F">
        <w:rPr>
          <w:rFonts w:asciiTheme="majorHAnsi" w:hAnsiTheme="majorHAnsi"/>
          <w:bCs/>
          <w:sz w:val="20"/>
          <w:szCs w:val="20"/>
          <w:lang w:val="es-ES_tradnl"/>
        </w:rPr>
        <w:t xml:space="preserve"> puesto que presentaron un amparo el 4 de abril de 2017 ante la Corte de Constitucionalidad, y pese a que la</w:t>
      </w:r>
      <w:r w:rsidRPr="001B130F">
        <w:rPr>
          <w:rFonts w:asciiTheme="majorHAnsi" w:hAnsiTheme="majorHAnsi"/>
          <w:bCs/>
          <w:sz w:val="20"/>
          <w:szCs w:val="20"/>
          <w:lang w:val="es-ES"/>
        </w:rPr>
        <w:t xml:space="preserve"> decisión final en materia de amparo debió emitirse en un término máximo de dos meses</w:t>
      </w:r>
      <w:r w:rsidR="00FD6FA4" w:rsidRPr="001B130F">
        <w:rPr>
          <w:rFonts w:asciiTheme="majorHAnsi" w:hAnsiTheme="majorHAnsi"/>
          <w:bCs/>
          <w:sz w:val="20"/>
          <w:szCs w:val="20"/>
          <w:lang w:val="es-ES_tradnl"/>
        </w:rPr>
        <w:t>,</w:t>
      </w:r>
      <w:r w:rsidRPr="001B130F">
        <w:rPr>
          <w:rFonts w:asciiTheme="majorHAnsi" w:hAnsiTheme="majorHAnsi"/>
          <w:bCs/>
          <w:sz w:val="20"/>
          <w:szCs w:val="20"/>
          <w:lang w:val="es-ES"/>
        </w:rPr>
        <w:t xml:space="preserve"> según los plazos que constan en la Ley de Amparo Exhibición Personal y de Constitucionalidad, </w:t>
      </w:r>
      <w:r w:rsidRPr="001B130F">
        <w:rPr>
          <w:rFonts w:asciiTheme="majorHAnsi" w:hAnsiTheme="majorHAnsi"/>
          <w:bCs/>
          <w:sz w:val="20"/>
          <w:szCs w:val="20"/>
          <w:lang w:val="es-ES_tradnl"/>
        </w:rPr>
        <w:t>la Corte decidió hasta el 8 de noviembre de 2018, más de un año y medio después. Manifiestan que incluso, durante ese retardo,</w:t>
      </w:r>
      <w:r w:rsidRPr="001B130F">
        <w:rPr>
          <w:rFonts w:asciiTheme="majorHAnsi" w:hAnsiTheme="majorHAnsi"/>
          <w:bCs/>
          <w:sz w:val="20"/>
          <w:szCs w:val="20"/>
          <w:lang w:val="es-ES"/>
        </w:rPr>
        <w:t xml:space="preserve"> </w:t>
      </w:r>
      <w:r w:rsidRPr="001B130F">
        <w:rPr>
          <w:rFonts w:asciiTheme="majorHAnsi" w:hAnsiTheme="majorHAnsi"/>
          <w:bCs/>
          <w:i/>
          <w:iCs/>
          <w:sz w:val="20"/>
          <w:szCs w:val="20"/>
          <w:lang w:val="es-ES_tradnl"/>
        </w:rPr>
        <w:t>“</w:t>
      </w:r>
      <w:r w:rsidRPr="001B130F">
        <w:rPr>
          <w:rFonts w:asciiTheme="majorHAnsi" w:hAnsiTheme="majorHAnsi"/>
          <w:bCs/>
          <w:i/>
          <w:iCs/>
          <w:sz w:val="20"/>
          <w:szCs w:val="20"/>
          <w:lang w:val="es-ES"/>
        </w:rPr>
        <w:t>el promotor de todas estas acciones Mart</w:t>
      </w:r>
      <w:r w:rsidR="00FD6FA4" w:rsidRPr="001B130F">
        <w:rPr>
          <w:rFonts w:asciiTheme="majorHAnsi" w:hAnsiTheme="majorHAnsi"/>
          <w:bCs/>
          <w:i/>
          <w:iCs/>
          <w:sz w:val="20"/>
          <w:szCs w:val="20"/>
          <w:lang w:val="es-ES"/>
        </w:rPr>
        <w:t>í</w:t>
      </w:r>
      <w:r w:rsidRPr="001B130F">
        <w:rPr>
          <w:rFonts w:asciiTheme="majorHAnsi" w:hAnsiTheme="majorHAnsi"/>
          <w:bCs/>
          <w:i/>
          <w:iCs/>
          <w:sz w:val="20"/>
          <w:szCs w:val="20"/>
          <w:lang w:val="es-ES"/>
        </w:rPr>
        <w:t>n Zapil Poz falleció el 20 de marzo del año 2018, once meses después de la promoción del ampa</w:t>
      </w:r>
      <w:r w:rsidRPr="001B130F">
        <w:rPr>
          <w:rFonts w:asciiTheme="majorHAnsi" w:hAnsiTheme="majorHAnsi"/>
          <w:bCs/>
          <w:i/>
          <w:iCs/>
          <w:sz w:val="20"/>
          <w:szCs w:val="20"/>
          <w:lang w:val="es-ES_tradnl"/>
        </w:rPr>
        <w:t>ro</w:t>
      </w:r>
      <w:r w:rsidRPr="001B130F">
        <w:rPr>
          <w:rFonts w:asciiTheme="majorHAnsi" w:hAnsiTheme="majorHAnsi"/>
          <w:bCs/>
          <w:sz w:val="20"/>
          <w:szCs w:val="20"/>
          <w:lang w:val="es-ES_tradnl"/>
        </w:rPr>
        <w:t>”.</w:t>
      </w:r>
    </w:p>
    <w:p w14:paraId="7E5C3EA3" w14:textId="77777777" w:rsidR="001B7057"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Aunado a esto, los peticionarios esgrimen que durante los procesos internos se aportaron medios de prueba adecuados y que incluso los mismos litigantes solicitaron la realización de un reconocimiento judicial dentro de los terrenos. No obstante, el juez que terminó dictando la sentencia no es el mismo que acudió al reconocimiento judicial, por lo que únicamente resolvió el asunto con los alegatos de las partes, </w:t>
      </w:r>
      <w:r w:rsidRPr="001B130F">
        <w:rPr>
          <w:rFonts w:asciiTheme="majorHAnsi" w:hAnsiTheme="majorHAnsi"/>
          <w:bCs/>
          <w:i/>
          <w:iCs/>
          <w:sz w:val="20"/>
          <w:szCs w:val="20"/>
          <w:lang w:val="es-ES_tradnl"/>
        </w:rPr>
        <w:t>“</w:t>
      </w:r>
      <w:r w:rsidRPr="001B130F">
        <w:rPr>
          <w:rFonts w:asciiTheme="majorHAnsi" w:hAnsiTheme="majorHAnsi"/>
          <w:bCs/>
          <w:i/>
          <w:iCs/>
          <w:sz w:val="20"/>
          <w:szCs w:val="20"/>
          <w:lang w:val="es-ES"/>
        </w:rPr>
        <w:t>sin auxiliarse de autoridad municipal alguna, ni tomó en cuenta la participación de ancianos de la comunidad para establec</w:t>
      </w:r>
      <w:r w:rsidRPr="001B130F">
        <w:rPr>
          <w:rFonts w:asciiTheme="majorHAnsi" w:hAnsiTheme="majorHAnsi"/>
          <w:bCs/>
          <w:i/>
          <w:iCs/>
          <w:sz w:val="20"/>
          <w:szCs w:val="20"/>
          <w:lang w:val="es-ES_tradnl"/>
        </w:rPr>
        <w:t>er la denominación y la ubicación de las tierras”</w:t>
      </w:r>
      <w:r w:rsidRPr="001B130F">
        <w:rPr>
          <w:rFonts w:asciiTheme="majorHAnsi" w:hAnsiTheme="majorHAnsi"/>
          <w:bCs/>
          <w:sz w:val="20"/>
          <w:szCs w:val="20"/>
          <w:lang w:val="es-ES_tradnl"/>
        </w:rPr>
        <w:t>.</w:t>
      </w:r>
    </w:p>
    <w:p w14:paraId="186A424A" w14:textId="138F89E0" w:rsidR="001B7057"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Piden que se considere que en Guatemala existe un problema de identificación de los bienes inmuebles inscritos en el Registro de la Propiedad, ya que la ubicación, medidas y colindancias de los inmuebles </w:t>
      </w:r>
      <w:r w:rsidRPr="001B130F">
        <w:rPr>
          <w:rFonts w:asciiTheme="majorHAnsi" w:hAnsiTheme="majorHAnsi"/>
          <w:bCs/>
          <w:i/>
          <w:iCs/>
          <w:sz w:val="20"/>
          <w:szCs w:val="20"/>
          <w:lang w:val="es-ES_tradnl"/>
        </w:rPr>
        <w:t>“se determinan según lo establece el que estime tiene derecho posesorio sobre un bien, y en base a ello la autoridad municipal es el único revisor de que los datos que proporciona la persona solicitante son reales”</w:t>
      </w:r>
      <w:r w:rsidRPr="001B130F">
        <w:rPr>
          <w:rFonts w:asciiTheme="majorHAnsi" w:hAnsiTheme="majorHAnsi"/>
          <w:bCs/>
          <w:sz w:val="20"/>
          <w:szCs w:val="20"/>
          <w:lang w:val="es-ES_tradnl"/>
        </w:rPr>
        <w:t xml:space="preserve">.  En consecuencia, </w:t>
      </w:r>
      <w:r w:rsidR="00FC1F06" w:rsidRPr="001B130F">
        <w:rPr>
          <w:rFonts w:asciiTheme="majorHAnsi" w:hAnsiTheme="majorHAnsi"/>
          <w:bCs/>
          <w:sz w:val="20"/>
          <w:szCs w:val="20"/>
          <w:lang w:val="es-ES_tradnl"/>
        </w:rPr>
        <w:t>alegan</w:t>
      </w:r>
      <w:r w:rsidRPr="001B130F">
        <w:rPr>
          <w:rFonts w:asciiTheme="majorHAnsi" w:hAnsiTheme="majorHAnsi"/>
          <w:bCs/>
          <w:sz w:val="20"/>
          <w:szCs w:val="20"/>
          <w:lang w:val="es-ES_tradnl"/>
        </w:rPr>
        <w:t xml:space="preserve"> que el sistema de registro de la propiedad </w:t>
      </w:r>
      <w:r w:rsidRPr="001B130F">
        <w:rPr>
          <w:rFonts w:asciiTheme="majorHAnsi" w:hAnsiTheme="majorHAnsi"/>
          <w:bCs/>
          <w:i/>
          <w:iCs/>
          <w:sz w:val="20"/>
          <w:szCs w:val="20"/>
          <w:lang w:val="es-ES_tradnl"/>
        </w:rPr>
        <w:t>“está basado en la rigidez absoluta del principio ‘primero en tiempo, prim</w:t>
      </w:r>
      <w:r w:rsidR="00FD6FA4" w:rsidRPr="001B130F">
        <w:rPr>
          <w:rFonts w:asciiTheme="majorHAnsi" w:hAnsiTheme="majorHAnsi"/>
          <w:bCs/>
          <w:i/>
          <w:iCs/>
          <w:sz w:val="20"/>
          <w:szCs w:val="20"/>
          <w:lang w:val="es-ES_tradnl"/>
        </w:rPr>
        <w:t>er</w:t>
      </w:r>
      <w:r w:rsidRPr="001B130F">
        <w:rPr>
          <w:rFonts w:asciiTheme="majorHAnsi" w:hAnsiTheme="majorHAnsi"/>
          <w:bCs/>
          <w:i/>
          <w:iCs/>
          <w:sz w:val="20"/>
          <w:szCs w:val="20"/>
          <w:lang w:val="es-ES_tradnl"/>
        </w:rPr>
        <w:t>o en derecho’”</w:t>
      </w:r>
      <w:r w:rsidR="00D60DBF" w:rsidRPr="001B130F">
        <w:rPr>
          <w:rFonts w:asciiTheme="majorHAnsi" w:hAnsiTheme="majorHAnsi"/>
          <w:bCs/>
          <w:i/>
          <w:iCs/>
          <w:sz w:val="20"/>
          <w:szCs w:val="20"/>
          <w:lang w:val="es-ES_tradnl"/>
        </w:rPr>
        <w:t>,</w:t>
      </w:r>
      <w:r w:rsidRPr="001B130F">
        <w:rPr>
          <w:rFonts w:asciiTheme="majorHAnsi" w:hAnsiTheme="majorHAnsi"/>
          <w:bCs/>
          <w:i/>
          <w:iCs/>
          <w:sz w:val="20"/>
          <w:szCs w:val="20"/>
          <w:lang w:val="es-ES_tradnl"/>
        </w:rPr>
        <w:t xml:space="preserve"> </w:t>
      </w:r>
      <w:r w:rsidRPr="001B130F">
        <w:rPr>
          <w:rFonts w:asciiTheme="majorHAnsi" w:hAnsiTheme="majorHAnsi"/>
          <w:bCs/>
          <w:sz w:val="20"/>
          <w:szCs w:val="20"/>
          <w:lang w:val="es-ES_tradnl"/>
        </w:rPr>
        <w:t xml:space="preserve">lo que genera obstáculos para las comunidades indígenas, </w:t>
      </w:r>
      <w:r w:rsidRPr="001B130F">
        <w:rPr>
          <w:rFonts w:asciiTheme="majorHAnsi" w:hAnsiTheme="majorHAnsi"/>
          <w:bCs/>
          <w:sz w:val="20"/>
          <w:szCs w:val="20"/>
          <w:lang w:val="es-ES_tradnl"/>
        </w:rPr>
        <w:lastRenderedPageBreak/>
        <w:t xml:space="preserve">puesto que no pueden defender legítimamente sus derechos sobre su </w:t>
      </w:r>
      <w:r w:rsidR="00FD6FA4" w:rsidRPr="001B130F">
        <w:rPr>
          <w:rFonts w:asciiTheme="majorHAnsi" w:hAnsiTheme="majorHAnsi"/>
          <w:bCs/>
          <w:sz w:val="20"/>
          <w:szCs w:val="20"/>
          <w:lang w:val="es-ES_tradnl"/>
        </w:rPr>
        <w:t>propio territorio</w:t>
      </w:r>
      <w:r w:rsidRPr="001B130F">
        <w:rPr>
          <w:rFonts w:asciiTheme="majorHAnsi" w:hAnsiTheme="majorHAnsi"/>
          <w:bCs/>
          <w:sz w:val="20"/>
          <w:szCs w:val="20"/>
          <w:lang w:val="es-ES_tradnl"/>
        </w:rPr>
        <w:t>, particularmente ante la inscripción irregular o ilícita de propiedades, traslape de registros o el desconocimiento de linderos.</w:t>
      </w:r>
    </w:p>
    <w:p w14:paraId="11805A3A" w14:textId="202B3DC6" w:rsidR="001B7057"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En este mismo sentido, los peticionarios consideran que hay problemas estructurales e históricos en Guatemala en cuanto a la posesión de tierras para las personas indígenas, quienes sufren de desigualdad en la distribución y acceso a la propiedad privada, dejándolos en una situación de vulnerabilidad. Advierten que, en la actualidad, existen comunidades indígenas que tienen títulos de propiedad</w:t>
      </w:r>
      <w:r w:rsidR="00FD6FA4" w:rsidRPr="001B130F">
        <w:rPr>
          <w:rFonts w:asciiTheme="majorHAnsi" w:hAnsiTheme="majorHAnsi"/>
          <w:bCs/>
          <w:sz w:val="20"/>
          <w:szCs w:val="20"/>
          <w:lang w:val="es-ES_tradnl"/>
        </w:rPr>
        <w:t xml:space="preserve"> </w:t>
      </w:r>
      <w:r w:rsidRPr="001B130F">
        <w:rPr>
          <w:rFonts w:asciiTheme="majorHAnsi" w:hAnsiTheme="majorHAnsi"/>
          <w:bCs/>
          <w:sz w:val="20"/>
          <w:szCs w:val="20"/>
          <w:lang w:val="es-ES_tradnl"/>
        </w:rPr>
        <w:t xml:space="preserve">pero donde terceros se han adueñado de las tierras de manera ilícita o con complicidad de las autoridades en el Registro de la Propiedad. Igualmente, otro factor que contribuye con la falta de certeza en los registros, son los desplazamientos forzados que ocurrieron por el conflicto armado, puesto que, una vez que las personas regresaron a sus comunidades las tierras habían sido desmembradas o estaban siendo ocupadas por terceros. </w:t>
      </w:r>
    </w:p>
    <w:p w14:paraId="4F5FC07C" w14:textId="77777777" w:rsidR="001B7057"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Asimismo, señalan que, si bien la Constitución Política sienta bases de reconocimiento de las tierras comunales, aún no existe en Guatemala una ley específica de comunidades indígenas; lo cual se ve reflejado en que sólo está regulado el concepto de </w:t>
      </w:r>
      <w:r w:rsidRPr="001B130F">
        <w:rPr>
          <w:rFonts w:asciiTheme="majorHAnsi" w:hAnsiTheme="majorHAnsi"/>
          <w:bCs/>
          <w:i/>
          <w:iCs/>
          <w:sz w:val="20"/>
          <w:szCs w:val="20"/>
          <w:lang w:val="es-ES_tradnl"/>
        </w:rPr>
        <w:t>“tierras</w:t>
      </w:r>
      <w:r w:rsidRPr="001B130F">
        <w:rPr>
          <w:rFonts w:asciiTheme="majorHAnsi" w:hAnsiTheme="majorHAnsi"/>
          <w:bCs/>
          <w:sz w:val="20"/>
          <w:szCs w:val="20"/>
          <w:lang w:val="es-ES_tradnl"/>
        </w:rPr>
        <w:t>” y no de “</w:t>
      </w:r>
      <w:r w:rsidRPr="001B130F">
        <w:rPr>
          <w:rFonts w:asciiTheme="majorHAnsi" w:hAnsiTheme="majorHAnsi"/>
          <w:bCs/>
          <w:i/>
          <w:iCs/>
          <w:sz w:val="20"/>
          <w:szCs w:val="20"/>
          <w:lang w:val="es-ES_tradnl"/>
        </w:rPr>
        <w:t>territorio”</w:t>
      </w:r>
      <w:r w:rsidRPr="001B130F">
        <w:rPr>
          <w:rFonts w:asciiTheme="majorHAnsi" w:hAnsiTheme="majorHAnsi"/>
          <w:bCs/>
          <w:sz w:val="20"/>
          <w:szCs w:val="20"/>
          <w:lang w:val="es-ES_tradnl"/>
        </w:rPr>
        <w:t>, no reconociendo la relación</w:t>
      </w:r>
      <w:r w:rsidRPr="001B130F">
        <w:rPr>
          <w:rFonts w:asciiTheme="majorHAnsi" w:hAnsiTheme="majorHAnsi"/>
          <w:bCs/>
          <w:sz w:val="20"/>
          <w:szCs w:val="20"/>
          <w:lang w:val="es-ES"/>
        </w:rPr>
        <w:t xml:space="preserve"> especial que tienen los pueblos indígenas </w:t>
      </w:r>
      <w:r w:rsidRPr="001B130F">
        <w:rPr>
          <w:rFonts w:asciiTheme="majorHAnsi" w:hAnsiTheme="majorHAnsi"/>
          <w:bCs/>
          <w:sz w:val="20"/>
          <w:szCs w:val="20"/>
          <w:lang w:val="es-ES_tradnl"/>
        </w:rPr>
        <w:t>con el</w:t>
      </w:r>
      <w:r w:rsidRPr="001B130F">
        <w:rPr>
          <w:rFonts w:asciiTheme="majorHAnsi" w:hAnsiTheme="majorHAnsi"/>
          <w:bCs/>
          <w:sz w:val="20"/>
          <w:szCs w:val="20"/>
          <w:lang w:val="es-ES"/>
        </w:rPr>
        <w:t xml:space="preserve"> territorio, así como su relación material y espiritual con </w:t>
      </w:r>
      <w:r w:rsidRPr="001B130F">
        <w:rPr>
          <w:rFonts w:asciiTheme="majorHAnsi" w:hAnsiTheme="majorHAnsi"/>
          <w:bCs/>
          <w:sz w:val="20"/>
          <w:szCs w:val="20"/>
          <w:lang w:val="es-ES_tradnl"/>
        </w:rPr>
        <w:t>sus tierras</w:t>
      </w:r>
      <w:r w:rsidRPr="001B130F">
        <w:rPr>
          <w:rFonts w:asciiTheme="majorHAnsi" w:hAnsiTheme="majorHAnsi"/>
          <w:bCs/>
          <w:sz w:val="20"/>
          <w:szCs w:val="20"/>
          <w:lang w:val="es-ES"/>
        </w:rPr>
        <w:t xml:space="preserve"> y con el ambiente</w:t>
      </w:r>
      <w:r w:rsidRPr="001B130F">
        <w:rPr>
          <w:rFonts w:asciiTheme="majorHAnsi" w:hAnsiTheme="majorHAnsi"/>
          <w:bCs/>
          <w:sz w:val="20"/>
          <w:szCs w:val="20"/>
          <w:lang w:val="es-ES_tradnl"/>
        </w:rPr>
        <w:t xml:space="preserve">. </w:t>
      </w:r>
    </w:p>
    <w:p w14:paraId="7193D5A7" w14:textId="5D939E0E" w:rsidR="009B4E99" w:rsidRPr="001B130F" w:rsidRDefault="001B7057"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Finalmente, los peticionarios manifiestan que existe una ausencia de legislación y tribunales agrarios, lo que incrementa la inseguridad jurídica de la tierra, forzando a que se use el Código Civil y el Código Penal, para buscar criminalizar a lideres y comunidades indígenas.</w:t>
      </w:r>
    </w:p>
    <w:p w14:paraId="4F785463" w14:textId="77777777" w:rsidR="009B4E99" w:rsidRPr="001B130F" w:rsidRDefault="009B4E99" w:rsidP="0020170C">
      <w:pPr>
        <w:pStyle w:val="ListParagraph"/>
        <w:spacing w:before="240" w:after="240"/>
        <w:ind w:left="709"/>
        <w:jc w:val="both"/>
        <w:rPr>
          <w:rFonts w:asciiTheme="majorHAnsi" w:hAnsiTheme="majorHAnsi"/>
          <w:bCs/>
          <w:sz w:val="20"/>
          <w:szCs w:val="20"/>
          <w:lang w:val="es-ES_tradnl"/>
        </w:rPr>
      </w:pPr>
      <w:r w:rsidRPr="001B130F">
        <w:rPr>
          <w:rFonts w:asciiTheme="majorHAnsi" w:hAnsiTheme="majorHAnsi"/>
          <w:i/>
          <w:iCs/>
          <w:sz w:val="20"/>
          <w:szCs w:val="20"/>
          <w:lang w:val="es-ES_tradnl"/>
        </w:rPr>
        <w:t>Argumentos del Estado guatemalteco</w:t>
      </w:r>
    </w:p>
    <w:p w14:paraId="20BD5438" w14:textId="592439F7"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Por su parte, el Estado guatemalteco considera que la petición no cumple con los requisitos de admisibilidad previstos por la Convención Americana y el Reglamento de la Comisión, por los siguientes motivos:  (i) falta de competencia personal; (ii) falta de agotamiento de los recursos internos; y (iii) una falta de caracterización por cuarta instancia. </w:t>
      </w:r>
    </w:p>
    <w:p w14:paraId="181D7A16" w14:textId="77777777"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El Estado, como contexto, indica que la propiedad y derechos reales están desarrollados dentro del Código Civil, Decreto Ley Número 106, y asegura que Guatemala garantiza el derecho fundamental de la propiedad y cuenta con los mecanismos legales para efectivizar el derecho de uso y goce. Indica que el Registro de la Propiedad es un instrumento jurídico que da efectividad y seguridad jurídica sobre las titularidades sobre los inmuebles registrados. </w:t>
      </w:r>
    </w:p>
    <w:p w14:paraId="68E06F73" w14:textId="28D45F2A"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Además, el Estado </w:t>
      </w:r>
      <w:r w:rsidR="006568A5" w:rsidRPr="001B130F">
        <w:rPr>
          <w:rFonts w:asciiTheme="majorHAnsi" w:hAnsiTheme="majorHAnsi"/>
          <w:bCs/>
          <w:sz w:val="20"/>
          <w:szCs w:val="20"/>
          <w:lang w:val="es-ES_tradnl"/>
        </w:rPr>
        <w:t>informa</w:t>
      </w:r>
      <w:r w:rsidRPr="001B130F">
        <w:rPr>
          <w:rFonts w:asciiTheme="majorHAnsi" w:hAnsiTheme="majorHAnsi"/>
          <w:bCs/>
          <w:sz w:val="20"/>
          <w:szCs w:val="20"/>
          <w:lang w:val="es-ES_tradnl"/>
        </w:rPr>
        <w:t xml:space="preserve"> que el procedimiento de titulación supletoria se puede pedir cuando han transcurrido diez años de que una persona ha ejercido posesión de un inmueble y carezca de un título inscribible; la persona deberá demostrar que la posesión es legítima, continua, pacífica, pública y de buena fe, y a nombre propio, obteniendo de esta manera el dominio del bien por usucapión</w:t>
      </w:r>
      <w:r w:rsidRPr="001B130F">
        <w:rPr>
          <w:rFonts w:asciiTheme="majorHAnsi" w:hAnsiTheme="majorHAnsi"/>
          <w:sz w:val="20"/>
          <w:szCs w:val="20"/>
          <w:vertAlign w:val="superscript"/>
          <w:lang w:val="es-ES_tradnl"/>
        </w:rPr>
        <w:footnoteReference w:id="15"/>
      </w:r>
      <w:r w:rsidRPr="001B130F">
        <w:rPr>
          <w:rFonts w:asciiTheme="majorHAnsi" w:hAnsiTheme="majorHAnsi"/>
          <w:bCs/>
          <w:sz w:val="20"/>
          <w:szCs w:val="20"/>
          <w:lang w:val="es-ES_tradnl"/>
        </w:rPr>
        <w:t xml:space="preserve">. </w:t>
      </w:r>
    </w:p>
    <w:p w14:paraId="46CA7E4D" w14:textId="05E46080"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También resalta que en Guatemala se reconoce y garantiza plenamente el derecho de propiedad a la población </w:t>
      </w:r>
      <w:r w:rsidR="006568A5" w:rsidRPr="001B130F">
        <w:rPr>
          <w:rFonts w:asciiTheme="majorHAnsi" w:hAnsiTheme="majorHAnsi"/>
          <w:bCs/>
          <w:sz w:val="20"/>
          <w:szCs w:val="20"/>
          <w:lang w:val="es-ES_tradnl"/>
        </w:rPr>
        <w:t xml:space="preserve">en </w:t>
      </w:r>
      <w:r w:rsidRPr="001B130F">
        <w:rPr>
          <w:rFonts w:asciiTheme="majorHAnsi" w:hAnsiTheme="majorHAnsi"/>
          <w:bCs/>
          <w:sz w:val="20"/>
          <w:szCs w:val="20"/>
          <w:lang w:val="es-ES_tradnl"/>
        </w:rPr>
        <w:t>general, sin exclusión de los pueblos indígenas, puesto que les otorga una protección especial con la finalidad de proteger sus costumbres y tradiciones sobre las tierras.</w:t>
      </w:r>
    </w:p>
    <w:p w14:paraId="1DE4743F" w14:textId="46DB5E33"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Sobre el punto (i) de la falta de competencia personal, el Estado presenta dos situaciones</w:t>
      </w:r>
      <w:r w:rsidR="002E04D5" w:rsidRPr="001B130F">
        <w:rPr>
          <w:rFonts w:asciiTheme="majorHAnsi" w:hAnsiTheme="majorHAnsi"/>
          <w:bCs/>
          <w:sz w:val="20"/>
          <w:szCs w:val="20"/>
          <w:lang w:val="es-ES_tradnl"/>
        </w:rPr>
        <w:t>. L</w:t>
      </w:r>
      <w:r w:rsidRPr="001B130F">
        <w:rPr>
          <w:rFonts w:asciiTheme="majorHAnsi" w:hAnsiTheme="majorHAnsi"/>
          <w:bCs/>
          <w:sz w:val="20"/>
          <w:szCs w:val="20"/>
          <w:lang w:val="es-ES_tradnl"/>
        </w:rPr>
        <w:t xml:space="preserve">a primera es que no considera que los peticionarios están justificando ni demostrando legitimación activa de todas las presuntas víctimas en la petición. Advierte que, en la identificación de las presuntas víctimas, se señaló a Ventura Zapil Quiej, mujer, como familiar del señor Martín Zapil, pero nunca se acreditó su parentesco. En este mismo sentido, se </w:t>
      </w:r>
      <w:r w:rsidR="002E04D5" w:rsidRPr="001B130F">
        <w:rPr>
          <w:rFonts w:asciiTheme="majorHAnsi" w:hAnsiTheme="majorHAnsi"/>
          <w:bCs/>
          <w:sz w:val="20"/>
          <w:szCs w:val="20"/>
          <w:lang w:val="es-ES_tradnl"/>
        </w:rPr>
        <w:t>identificó</w:t>
      </w:r>
      <w:r w:rsidRPr="001B130F">
        <w:rPr>
          <w:rFonts w:asciiTheme="majorHAnsi" w:hAnsiTheme="majorHAnsi"/>
          <w:bCs/>
          <w:sz w:val="20"/>
          <w:szCs w:val="20"/>
          <w:lang w:val="es-ES_tradnl"/>
        </w:rPr>
        <w:t xml:space="preserve"> a Ventura Zapil Quiej,  hombre, junto con Tomás Antonio Zapil Quiej y Bartolo Zapil Quiej; no obstante, de ninguno de ellos se establece la legitimación activa con la </w:t>
      </w:r>
      <w:r w:rsidRPr="001B130F">
        <w:rPr>
          <w:rFonts w:asciiTheme="majorHAnsi" w:hAnsiTheme="majorHAnsi"/>
          <w:bCs/>
          <w:sz w:val="20"/>
          <w:szCs w:val="20"/>
          <w:lang w:val="es-ES_tradnl"/>
        </w:rPr>
        <w:lastRenderedPageBreak/>
        <w:t>cual actúan “</w:t>
      </w:r>
      <w:r w:rsidRPr="001B130F">
        <w:rPr>
          <w:rFonts w:asciiTheme="majorHAnsi" w:hAnsiTheme="majorHAnsi"/>
          <w:bCs/>
          <w:i/>
          <w:iCs/>
          <w:sz w:val="20"/>
          <w:szCs w:val="20"/>
          <w:lang w:val="es-ES_tradnl"/>
        </w:rPr>
        <w:t>en representación de una presunta víctima, o bien, si acuden como presuntas víctimas en relación directa a los hechos</w:t>
      </w:r>
      <w:r w:rsidRPr="001B130F">
        <w:rPr>
          <w:rFonts w:asciiTheme="majorHAnsi" w:hAnsiTheme="majorHAnsi"/>
          <w:bCs/>
          <w:sz w:val="20"/>
          <w:szCs w:val="20"/>
          <w:lang w:val="es-ES_tradnl"/>
        </w:rPr>
        <w:t>”.</w:t>
      </w:r>
    </w:p>
    <w:p w14:paraId="3CF26821" w14:textId="62DCD1F2"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La segunda situación es la falta de </w:t>
      </w:r>
      <w:r w:rsidR="002E04D5" w:rsidRPr="001B130F">
        <w:rPr>
          <w:rFonts w:asciiTheme="majorHAnsi" w:hAnsiTheme="majorHAnsi"/>
          <w:bCs/>
          <w:sz w:val="20"/>
          <w:szCs w:val="20"/>
          <w:lang w:val="es-ES_tradnl"/>
        </w:rPr>
        <w:t>un vínculo</w:t>
      </w:r>
      <w:r w:rsidRPr="001B130F">
        <w:rPr>
          <w:rFonts w:asciiTheme="majorHAnsi" w:hAnsiTheme="majorHAnsi"/>
          <w:bCs/>
          <w:sz w:val="20"/>
          <w:szCs w:val="20"/>
          <w:lang w:val="es-ES_tradnl"/>
        </w:rPr>
        <w:t xml:space="preserve"> entre la pertenencia de las presuntas víctimas a la etnia maya Quiché y las reclamaciones presentadas; el Estado advierte que el motivo de la petición se desencadenó por situaciones entre particulares y no de comunidades indígenas como tal, porque “</w:t>
      </w:r>
      <w:r w:rsidRPr="001B130F">
        <w:rPr>
          <w:rFonts w:asciiTheme="majorHAnsi" w:hAnsiTheme="majorHAnsi"/>
          <w:bCs/>
          <w:i/>
          <w:iCs/>
          <w:sz w:val="20"/>
          <w:szCs w:val="20"/>
          <w:lang w:val="es-ES_tradnl"/>
        </w:rPr>
        <w:t>no existe reclamación del ejercicio colectivo de derechos referente a comunidades indígenas”</w:t>
      </w:r>
      <w:r w:rsidRPr="001B130F">
        <w:rPr>
          <w:rFonts w:asciiTheme="majorHAnsi" w:hAnsiTheme="majorHAnsi"/>
          <w:bCs/>
          <w:sz w:val="20"/>
          <w:szCs w:val="20"/>
          <w:lang w:val="es-ES_tradnl"/>
        </w:rPr>
        <w:t>.</w:t>
      </w:r>
    </w:p>
    <w:p w14:paraId="1F628088" w14:textId="1B7FE182"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Asimismo, referente al punto (ii) de falta de agotamiento de los recursos internos, el Estado advierte que la parte peticionaria </w:t>
      </w:r>
      <w:r w:rsidR="00103D69" w:rsidRPr="001B130F">
        <w:rPr>
          <w:rFonts w:asciiTheme="majorHAnsi" w:hAnsiTheme="majorHAnsi"/>
          <w:bCs/>
          <w:sz w:val="20"/>
          <w:szCs w:val="20"/>
          <w:lang w:val="es-ES_tradnl"/>
        </w:rPr>
        <w:t>refiere</w:t>
      </w:r>
      <w:r w:rsidR="002E04D5" w:rsidRPr="001B130F">
        <w:rPr>
          <w:rFonts w:asciiTheme="majorHAnsi" w:hAnsiTheme="majorHAnsi"/>
          <w:bCs/>
          <w:sz w:val="20"/>
          <w:szCs w:val="20"/>
          <w:lang w:val="es-ES_tradnl"/>
        </w:rPr>
        <w:t xml:space="preserve"> </w:t>
      </w:r>
      <w:r w:rsidRPr="001B130F">
        <w:rPr>
          <w:rFonts w:asciiTheme="majorHAnsi" w:hAnsiTheme="majorHAnsi"/>
          <w:bCs/>
          <w:sz w:val="20"/>
          <w:szCs w:val="20"/>
          <w:lang w:val="es-ES_tradnl"/>
        </w:rPr>
        <w:t xml:space="preserve">un supuesto retardo injustificado en el amparo. Sin embargo, el Estado encuentra que la acción constitucional de amparo se derivó de la reclamación a la resolución emitida por la Cámara Civil que rechazó el recurso de casación, y no derivó de la reclamación de los derechos de propiedad de </w:t>
      </w:r>
      <w:r w:rsidR="007D37D7" w:rsidRPr="001B130F">
        <w:rPr>
          <w:rFonts w:asciiTheme="majorHAnsi" w:hAnsiTheme="majorHAnsi"/>
          <w:bCs/>
          <w:sz w:val="20"/>
          <w:szCs w:val="20"/>
          <w:lang w:val="es-ES_tradnl"/>
        </w:rPr>
        <w:t>las presuntas víctimas</w:t>
      </w:r>
      <w:r w:rsidRPr="001B130F">
        <w:rPr>
          <w:rFonts w:asciiTheme="majorHAnsi" w:hAnsiTheme="majorHAnsi"/>
          <w:bCs/>
          <w:sz w:val="20"/>
          <w:szCs w:val="20"/>
          <w:lang w:val="es-ES_tradnl"/>
        </w:rPr>
        <w:t xml:space="preserve"> </w:t>
      </w:r>
      <w:r w:rsidRPr="001B130F">
        <w:rPr>
          <w:rFonts w:asciiTheme="majorHAnsi" w:hAnsiTheme="majorHAnsi"/>
          <w:bCs/>
          <w:i/>
          <w:iCs/>
          <w:sz w:val="20"/>
          <w:szCs w:val="20"/>
          <w:lang w:val="es-ES_tradnl"/>
        </w:rPr>
        <w:t>“pues en dicho amparo no se realizó el análisis respecto a tal derecho, por no ser un acto reclamado en el amparo”</w:t>
      </w:r>
      <w:r w:rsidRPr="001B130F">
        <w:rPr>
          <w:rFonts w:asciiTheme="majorHAnsi" w:hAnsiTheme="majorHAnsi"/>
          <w:bCs/>
          <w:sz w:val="20"/>
          <w:szCs w:val="20"/>
          <w:lang w:val="es-ES_tradnl"/>
        </w:rPr>
        <w:t xml:space="preserve">. </w:t>
      </w:r>
      <w:r w:rsidR="002E04D5" w:rsidRPr="001B130F">
        <w:rPr>
          <w:rFonts w:asciiTheme="majorHAnsi" w:hAnsiTheme="majorHAnsi"/>
          <w:bCs/>
          <w:sz w:val="20"/>
          <w:szCs w:val="20"/>
          <w:lang w:val="es-ES_tradnl"/>
        </w:rPr>
        <w:t xml:space="preserve">Igualmente, el Estado considera que el fallo fue emitido en un tiempo prudencial y en sentido favorable para las presuntas víctimas. </w:t>
      </w:r>
    </w:p>
    <w:p w14:paraId="6383FC59" w14:textId="77777777"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Agrega que en la jurisdicción guatemalteca existen mecanismos internos como el amparo mediante el cual los peticionarios podrían someter el reclamo de vulneración a su derecho de propiedad, que sería el medio idóneo para obtener una protección constitucional respecto al derecho de tierras pertenecientes a pueblos indígenas. </w:t>
      </w:r>
    </w:p>
    <w:p w14:paraId="5861337F" w14:textId="254993A4"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Sobre este punto, también resalta que los recursos agotados sólo se refieren al señor Martín Zapil, puesto que las demás presuntas víctimas –José Cleto Zapil Poz, Cristobal Zapil Poz y Santos Zapil Poz–, nunca intervinieron en el proceso de juicio ordinario de nulidad </w:t>
      </w:r>
      <w:r w:rsidRPr="001B130F">
        <w:rPr>
          <w:rFonts w:asciiTheme="majorHAnsi" w:hAnsiTheme="majorHAnsi"/>
          <w:bCs/>
          <w:i/>
          <w:iCs/>
          <w:sz w:val="20"/>
          <w:szCs w:val="20"/>
          <w:lang w:val="es-ES_tradnl"/>
        </w:rPr>
        <w:t>“y no hicieron valer su oposición en la jurisdicción interna del Estado, y no justifican la razón por la cual acuden ahora al Sistema Interamericano</w:t>
      </w:r>
      <w:r w:rsidRPr="001B130F">
        <w:rPr>
          <w:rFonts w:asciiTheme="majorHAnsi" w:hAnsiTheme="majorHAnsi"/>
          <w:bCs/>
          <w:sz w:val="20"/>
          <w:szCs w:val="20"/>
          <w:lang w:val="es-ES_tradnl"/>
        </w:rPr>
        <w:t xml:space="preserve">”, por lo que no </w:t>
      </w:r>
      <w:r w:rsidR="007F059B" w:rsidRPr="001B130F">
        <w:rPr>
          <w:rFonts w:asciiTheme="majorHAnsi" w:hAnsiTheme="majorHAnsi"/>
          <w:bCs/>
          <w:sz w:val="20"/>
          <w:szCs w:val="20"/>
          <w:lang w:val="es-ES_tradnl"/>
        </w:rPr>
        <w:t>cumplirían</w:t>
      </w:r>
      <w:r w:rsidRPr="001B130F">
        <w:rPr>
          <w:rFonts w:asciiTheme="majorHAnsi" w:hAnsiTheme="majorHAnsi"/>
          <w:bCs/>
          <w:sz w:val="20"/>
          <w:szCs w:val="20"/>
          <w:lang w:val="es-ES_tradnl"/>
        </w:rPr>
        <w:t xml:space="preserve"> con los requisitos de admisibilidad</w:t>
      </w:r>
      <w:r w:rsidR="007F059B" w:rsidRPr="001B130F">
        <w:rPr>
          <w:rFonts w:asciiTheme="majorHAnsi" w:hAnsiTheme="majorHAnsi"/>
          <w:bCs/>
          <w:sz w:val="20"/>
          <w:szCs w:val="20"/>
          <w:lang w:val="es-ES_tradnl"/>
        </w:rPr>
        <w:t>,</w:t>
      </w:r>
      <w:r w:rsidRPr="001B130F">
        <w:rPr>
          <w:rFonts w:asciiTheme="majorHAnsi" w:hAnsiTheme="majorHAnsi"/>
          <w:bCs/>
          <w:sz w:val="20"/>
          <w:szCs w:val="20"/>
          <w:lang w:val="es-ES_tradnl"/>
        </w:rPr>
        <w:t xml:space="preserve"> ya que nunca interpusieron ni agotaron recursos de jurisdicción interna. </w:t>
      </w:r>
    </w:p>
    <w:p w14:paraId="72333BC1" w14:textId="10A8827F"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En cuanto al punto (iii) sobre una falta de caracterización en la presente petición, el Estado asevera que la petición va en contra del principio de complementariedad, cuando los peticionarios buscan que la CIDH se constituya como un tribunal de alzada para revisar las actuaciones en el proceso y las pruebas valoradas por los órganos jurisdiccionales. Específicamente se refiere al reclamo de los peticionarios sobre la forma en la que se practicó el reconocimiento judicial, por parte de un juez que no era el juez mayor; lo que el Estado afirma que está hecho conforme a la legislación nacional. Indica que el 29 de enero de 2015 las partes</w:t>
      </w:r>
      <w:r w:rsidR="002E04D5" w:rsidRPr="001B130F">
        <w:rPr>
          <w:rFonts w:asciiTheme="majorHAnsi" w:hAnsiTheme="majorHAnsi"/>
          <w:bCs/>
          <w:sz w:val="20"/>
          <w:szCs w:val="20"/>
          <w:lang w:val="es-ES_tradnl"/>
        </w:rPr>
        <w:t xml:space="preserve"> tuvieron la posibilidad de</w:t>
      </w:r>
      <w:r w:rsidRPr="001B130F">
        <w:rPr>
          <w:rFonts w:asciiTheme="majorHAnsi" w:hAnsiTheme="majorHAnsi"/>
          <w:bCs/>
          <w:sz w:val="20"/>
          <w:szCs w:val="20"/>
          <w:lang w:val="es-ES_tradnl"/>
        </w:rPr>
        <w:t xml:space="preserve"> presentar sus medios de prueba </w:t>
      </w:r>
      <w:r w:rsidR="002E04D5" w:rsidRPr="001B130F">
        <w:rPr>
          <w:rFonts w:asciiTheme="majorHAnsi" w:hAnsiTheme="majorHAnsi"/>
          <w:bCs/>
          <w:sz w:val="20"/>
          <w:szCs w:val="20"/>
          <w:lang w:val="es-ES_tradnl"/>
        </w:rPr>
        <w:t xml:space="preserve">para que </w:t>
      </w:r>
      <w:r w:rsidRPr="001B130F">
        <w:rPr>
          <w:rFonts w:asciiTheme="majorHAnsi" w:hAnsiTheme="majorHAnsi"/>
          <w:bCs/>
          <w:sz w:val="20"/>
          <w:szCs w:val="20"/>
          <w:lang w:val="es-ES_tradnl"/>
        </w:rPr>
        <w:t xml:space="preserve">un juez de paz realizara el reconocimiento judicial, aunque quien realizó la diligencia fue un juez de menor, pero lo anterior se realizó por motivos de eficiencia procesal. Añade que el juez de primera instancia decidió valorando los medios de prueba ofrecidos y aportados por las partes en el juicio. </w:t>
      </w:r>
    </w:p>
    <w:p w14:paraId="50968157" w14:textId="6FC9D949"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También, manifiesta que Guatemala ha respetado las garantías judiciales de </w:t>
      </w:r>
      <w:r w:rsidR="007D37D7" w:rsidRPr="001B130F">
        <w:rPr>
          <w:rFonts w:asciiTheme="majorHAnsi" w:hAnsiTheme="majorHAnsi"/>
          <w:bCs/>
          <w:sz w:val="20"/>
          <w:szCs w:val="20"/>
          <w:lang w:val="es-ES_tradnl"/>
        </w:rPr>
        <w:t>las presuntas víctimas</w:t>
      </w:r>
      <w:r w:rsidRPr="001B130F">
        <w:rPr>
          <w:rFonts w:asciiTheme="majorHAnsi" w:hAnsiTheme="majorHAnsi"/>
          <w:bCs/>
          <w:sz w:val="20"/>
          <w:szCs w:val="20"/>
          <w:lang w:val="es-ES_tradnl"/>
        </w:rPr>
        <w:t xml:space="preserve"> y que los jueces que conocieron del asunto emitieron sus fallos de forma imparcial y conforme a derecho, pero, afirman</w:t>
      </w:r>
      <w:r w:rsidR="002E04D5" w:rsidRPr="001B130F">
        <w:rPr>
          <w:rFonts w:asciiTheme="majorHAnsi" w:hAnsiTheme="majorHAnsi"/>
          <w:bCs/>
          <w:sz w:val="20"/>
          <w:szCs w:val="20"/>
          <w:lang w:val="es-ES_tradnl"/>
        </w:rPr>
        <w:t xml:space="preserve"> que</w:t>
      </w:r>
      <w:r w:rsidRPr="001B130F">
        <w:rPr>
          <w:rFonts w:asciiTheme="majorHAnsi" w:hAnsiTheme="majorHAnsi"/>
          <w:bCs/>
          <w:sz w:val="20"/>
          <w:szCs w:val="20"/>
          <w:lang w:val="es-ES_tradnl"/>
        </w:rPr>
        <w:t xml:space="preserve"> </w:t>
      </w:r>
      <w:r w:rsidRPr="001B130F">
        <w:rPr>
          <w:rFonts w:asciiTheme="majorHAnsi" w:hAnsiTheme="majorHAnsi"/>
          <w:bCs/>
          <w:i/>
          <w:iCs/>
          <w:sz w:val="20"/>
          <w:szCs w:val="20"/>
          <w:lang w:val="es-ES_tradnl"/>
        </w:rPr>
        <w:t>“los peticionarios no hicieron mención que pertenecían a la etnia Quiché, ni mucho menos que el bien inmueble que poseían era por su condición de miembros de algún pueblo indígena, o bien, derivado de tierras comunales</w:t>
      </w:r>
      <w:r w:rsidRPr="001B130F">
        <w:rPr>
          <w:rFonts w:asciiTheme="majorHAnsi" w:hAnsiTheme="majorHAnsi"/>
          <w:bCs/>
          <w:sz w:val="20"/>
          <w:szCs w:val="20"/>
          <w:lang w:val="es-ES_tradnl"/>
        </w:rPr>
        <w:t xml:space="preserve">”. Además, que dentro de los alegatos ante los tribunales internos, </w:t>
      </w:r>
      <w:r w:rsidR="007D37D7" w:rsidRPr="001B130F">
        <w:rPr>
          <w:rFonts w:asciiTheme="majorHAnsi" w:hAnsiTheme="majorHAnsi"/>
          <w:bCs/>
          <w:sz w:val="20"/>
          <w:szCs w:val="20"/>
          <w:lang w:val="es-ES_tradnl"/>
        </w:rPr>
        <w:t xml:space="preserve">los peticionarios </w:t>
      </w:r>
      <w:r w:rsidRPr="001B130F">
        <w:rPr>
          <w:rFonts w:asciiTheme="majorHAnsi" w:hAnsiTheme="majorHAnsi"/>
          <w:bCs/>
          <w:sz w:val="20"/>
          <w:szCs w:val="20"/>
          <w:lang w:val="es-ES_tradnl"/>
        </w:rPr>
        <w:t xml:space="preserve">nunca se refirieron a que el inmueble en cuestión se encontraba en posesión de </w:t>
      </w:r>
      <w:r w:rsidR="007D37D7" w:rsidRPr="001B130F">
        <w:rPr>
          <w:rFonts w:asciiTheme="majorHAnsi" w:hAnsiTheme="majorHAnsi"/>
          <w:bCs/>
          <w:sz w:val="20"/>
          <w:szCs w:val="20"/>
          <w:lang w:val="es-ES_tradnl"/>
        </w:rPr>
        <w:t xml:space="preserve">las presuntas víctimas </w:t>
      </w:r>
      <w:r w:rsidRPr="001B130F">
        <w:rPr>
          <w:rFonts w:asciiTheme="majorHAnsi" w:hAnsiTheme="majorHAnsi"/>
          <w:bCs/>
          <w:sz w:val="20"/>
          <w:szCs w:val="20"/>
          <w:lang w:val="es-ES_tradnl"/>
        </w:rPr>
        <w:t>por tradición o costumbre.</w:t>
      </w:r>
    </w:p>
    <w:p w14:paraId="36EC77BD" w14:textId="3261B993" w:rsidR="009B4E99"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El Estado subraya que el inmueble reclamado </w:t>
      </w:r>
      <w:r w:rsidRPr="001B130F">
        <w:rPr>
          <w:rFonts w:asciiTheme="majorHAnsi" w:hAnsiTheme="majorHAnsi"/>
          <w:bCs/>
          <w:i/>
          <w:iCs/>
          <w:sz w:val="20"/>
          <w:szCs w:val="20"/>
          <w:lang w:val="es-ES_tradnl"/>
        </w:rPr>
        <w:t>“no proviene de una propiedad comunal, puesto que el señalar la pertenecía a un grupo étnico de pueblos indígenas no se traduce en que verdaderamente un territorio sea poseído por facultad de tierras comunales”,</w:t>
      </w:r>
      <w:r w:rsidRPr="001B130F">
        <w:rPr>
          <w:rFonts w:asciiTheme="majorHAnsi" w:hAnsiTheme="majorHAnsi"/>
          <w:bCs/>
          <w:sz w:val="20"/>
          <w:szCs w:val="20"/>
          <w:lang w:val="es-ES_tradnl"/>
        </w:rPr>
        <w:t xml:space="preserve"> además que considera que hay una inexactitud del área que les corresponde a </w:t>
      </w:r>
      <w:r w:rsidR="007D37D7" w:rsidRPr="001B130F">
        <w:rPr>
          <w:rFonts w:asciiTheme="majorHAnsi" w:hAnsiTheme="majorHAnsi"/>
          <w:bCs/>
          <w:sz w:val="20"/>
          <w:szCs w:val="20"/>
          <w:lang w:val="es-ES_tradnl"/>
        </w:rPr>
        <w:t>las presuntas víctimas</w:t>
      </w:r>
      <w:r w:rsidRPr="001B130F">
        <w:rPr>
          <w:rFonts w:asciiTheme="majorHAnsi" w:hAnsiTheme="majorHAnsi"/>
          <w:bCs/>
          <w:sz w:val="20"/>
          <w:szCs w:val="20"/>
          <w:lang w:val="es-ES_tradnl"/>
        </w:rPr>
        <w:t>, y que parte de estas tierras en realidad pertenecen a una tercera persona, según datan documentos registrales de 1983.</w:t>
      </w:r>
    </w:p>
    <w:p w14:paraId="1CDC65B1" w14:textId="77777777" w:rsidR="002E04D5" w:rsidRPr="001B130F" w:rsidRDefault="009B4E99"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 xml:space="preserve">En este mismo sentido, sobre el alegato de la parte peticionaria en donde afirma que en Guatemala </w:t>
      </w:r>
      <w:r w:rsidRPr="001B130F">
        <w:rPr>
          <w:rFonts w:asciiTheme="majorHAnsi" w:hAnsiTheme="majorHAnsi"/>
          <w:bCs/>
          <w:i/>
          <w:iCs/>
          <w:sz w:val="20"/>
          <w:szCs w:val="20"/>
          <w:lang w:val="es-ES_tradnl"/>
        </w:rPr>
        <w:t xml:space="preserve">“[no] se reconocen las formas tradicionales de tenencia con la tierra y territorio, así como su relación </w:t>
      </w:r>
      <w:r w:rsidRPr="001B130F">
        <w:rPr>
          <w:rFonts w:asciiTheme="majorHAnsi" w:hAnsiTheme="majorHAnsi"/>
          <w:bCs/>
          <w:i/>
          <w:iCs/>
          <w:sz w:val="20"/>
          <w:szCs w:val="20"/>
          <w:lang w:val="es-ES_tradnl"/>
        </w:rPr>
        <w:lastRenderedPageBreak/>
        <w:t>material y espiritual con ella y con el ambiente”,</w:t>
      </w:r>
      <w:r w:rsidRPr="001B130F">
        <w:rPr>
          <w:rFonts w:asciiTheme="majorHAnsi" w:hAnsiTheme="majorHAnsi"/>
          <w:bCs/>
          <w:sz w:val="20"/>
          <w:szCs w:val="20"/>
          <w:lang w:val="es-ES_tradnl"/>
        </w:rPr>
        <w:t xml:space="preserve"> el Estado subraya que no ha existido vulneración alguna al medio ambiente, y que, además, este derecho no se encuentra regulado por el Sistema Interamericano, por lo que no corresponde su admisibilidad. </w:t>
      </w:r>
    </w:p>
    <w:p w14:paraId="7FFF4885" w14:textId="341C2EF6" w:rsidR="002E04D5" w:rsidRPr="001B130F" w:rsidRDefault="002E04D5"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bCs/>
          <w:sz w:val="20"/>
          <w:szCs w:val="20"/>
          <w:lang w:val="es-ES_tradnl"/>
        </w:rPr>
        <w:t>Finalmente, esta Comisión resalta que en comunicación del 31 de mayo de 2022, la parte peticionaria pidió una solución amistosa, por lo que el 27 de junio de 2022 la CIDH trasladó al Estado la voluntad de los peticionarios de iniciar un proceso de solución amistosa. No obstante, el 5 de agosto del 2022 el Estado a través de la Comisión Presidencial por la Paz y los Derechos Humanos (COPADEH) consideró inviable iniciar el proceso, en congruencia con la postura de la Procuraduría General de la Nación, en la que señala que el Estado de Guatemala no es responsable por las violaciones a los derechos humanos de las presuntas víctimas.</w:t>
      </w:r>
    </w:p>
    <w:p w14:paraId="152AEBF4" w14:textId="18218662" w:rsidR="008F6BCA" w:rsidRPr="001B130F" w:rsidRDefault="008F6BCA" w:rsidP="008F6BCA">
      <w:pPr>
        <w:spacing w:before="240" w:after="240"/>
        <w:ind w:firstLine="720"/>
        <w:jc w:val="both"/>
        <w:rPr>
          <w:rFonts w:ascii="Cambria" w:eastAsia="Cambria" w:hAnsi="Cambria" w:cs="Cambria"/>
          <w:b/>
          <w:bCs/>
          <w:color w:val="000000"/>
          <w:sz w:val="20"/>
          <w:szCs w:val="20"/>
          <w:u w:color="000000"/>
          <w:lang w:val="es-ES_tradnl" w:eastAsia="es-ES"/>
        </w:rPr>
      </w:pPr>
      <w:r w:rsidRPr="001B130F">
        <w:rPr>
          <w:rFonts w:ascii="Cambria" w:eastAsia="Cambria" w:hAnsi="Cambria" w:cs="Cambria"/>
          <w:b/>
          <w:bCs/>
          <w:color w:val="000000"/>
          <w:sz w:val="20"/>
          <w:szCs w:val="20"/>
          <w:u w:color="000000"/>
          <w:lang w:val="es-ES_tradnl" w:eastAsia="es-ES"/>
        </w:rPr>
        <w:t>VI.</w:t>
      </w:r>
      <w:r w:rsidRPr="001B130F">
        <w:rPr>
          <w:rFonts w:ascii="Cambria" w:eastAsia="Cambria" w:hAnsi="Cambria" w:cs="Cambria"/>
          <w:b/>
          <w:bCs/>
          <w:color w:val="000000"/>
          <w:sz w:val="20"/>
          <w:szCs w:val="20"/>
          <w:u w:color="000000"/>
          <w:lang w:val="es-ES_tradnl" w:eastAsia="es-ES"/>
        </w:rPr>
        <w:tab/>
      </w:r>
      <w:r w:rsidRPr="001B130F">
        <w:rPr>
          <w:rFonts w:ascii="Cambria" w:hAnsi="Cambria"/>
          <w:b/>
          <w:bCs/>
          <w:sz w:val="20"/>
          <w:szCs w:val="20"/>
          <w:lang w:val="es-ES_tradnl"/>
        </w:rPr>
        <w:t xml:space="preserve">CONSIDERACIÓN PREVIA SOBRE </w:t>
      </w:r>
      <w:r w:rsidRPr="001B130F">
        <w:rPr>
          <w:rFonts w:ascii="Cambria" w:eastAsia="Cambria" w:hAnsi="Cambria" w:cs="Cambria"/>
          <w:b/>
          <w:bCs/>
          <w:color w:val="000000"/>
          <w:sz w:val="20"/>
          <w:szCs w:val="20"/>
          <w:u w:color="000000"/>
          <w:lang w:val="es-ES_tradnl" w:eastAsia="es-ES"/>
        </w:rPr>
        <w:t>LAS PRESUNTAS VÍCTIMAS</w:t>
      </w:r>
    </w:p>
    <w:p w14:paraId="4072F559" w14:textId="376FA371" w:rsidR="00454C1E" w:rsidRPr="001B130F" w:rsidRDefault="008F6BCA" w:rsidP="00454C1E">
      <w:pPr>
        <w:pStyle w:val="ListParagraph"/>
        <w:numPr>
          <w:ilvl w:val="0"/>
          <w:numId w:val="56"/>
        </w:numPr>
        <w:spacing w:before="240" w:after="240"/>
        <w:ind w:left="142" w:firstLine="567"/>
        <w:jc w:val="both"/>
        <w:rPr>
          <w:rFonts w:asciiTheme="majorHAnsi" w:hAnsiTheme="majorHAnsi" w:cs="Calibri"/>
          <w:sz w:val="20"/>
          <w:szCs w:val="20"/>
          <w:lang w:val="es-ES_tradnl"/>
        </w:rPr>
      </w:pPr>
      <w:r w:rsidRPr="001B130F">
        <w:rPr>
          <w:bCs/>
          <w:sz w:val="20"/>
          <w:szCs w:val="20"/>
          <w:lang w:val="es-ES_tradnl"/>
        </w:rPr>
        <w:t xml:space="preserve">En el presente caso existe una controversia presentada por el Estado en torno a la competencia </w:t>
      </w:r>
      <w:r w:rsidR="00454C1E" w:rsidRPr="001B130F">
        <w:rPr>
          <w:bCs/>
          <w:sz w:val="20"/>
          <w:szCs w:val="20"/>
          <w:lang w:val="es-ES_tradnl"/>
        </w:rPr>
        <w:t xml:space="preserve">de la Comisión para emitir un informe relativo a todas las presuntas víctimas que el peticionario presenta. Así, dentro de sus observaciones, el Estado cuestiona la falta de especificación de cómo todas las presuntas víctimas resultaron afectadas por los hechos alegados, considerando que, dentro de los recursos internos agotados, únicamente se apersonó el señor Martín Zapil. </w:t>
      </w:r>
      <w:r w:rsidR="00454C1E" w:rsidRPr="001B130F">
        <w:rPr>
          <w:rFonts w:asciiTheme="majorHAnsi" w:hAnsiTheme="majorHAnsi" w:cs="Calibri"/>
          <w:bCs/>
          <w:sz w:val="20"/>
          <w:szCs w:val="20"/>
          <w:lang w:val="es-ES_tradnl"/>
        </w:rPr>
        <w:t xml:space="preserve">Especifica que los señores José Cleto Zapil Poz, Cristobal Zapil Poz y Santos Zapil Poz, no presentaron recurso alguno ni participaron dentro del proceso interno controvertido. </w:t>
      </w:r>
    </w:p>
    <w:p w14:paraId="23BE033F" w14:textId="50DDEDE8" w:rsidR="008F6BCA" w:rsidRPr="001B130F" w:rsidRDefault="008F6BCA" w:rsidP="00454C1E">
      <w:pPr>
        <w:pStyle w:val="ListParagraph"/>
        <w:numPr>
          <w:ilvl w:val="0"/>
          <w:numId w:val="56"/>
        </w:numPr>
        <w:spacing w:before="240" w:after="240"/>
        <w:ind w:left="142" w:firstLine="567"/>
        <w:jc w:val="both"/>
        <w:rPr>
          <w:rFonts w:asciiTheme="majorHAnsi" w:hAnsiTheme="majorHAnsi" w:cs="Calibri"/>
          <w:sz w:val="20"/>
          <w:szCs w:val="20"/>
          <w:lang w:val="es-ES_tradnl"/>
        </w:rPr>
      </w:pPr>
      <w:r w:rsidRPr="001B130F">
        <w:rPr>
          <w:bCs/>
          <w:sz w:val="20"/>
          <w:szCs w:val="20"/>
          <w:lang w:val="es-ES_tradnl"/>
        </w:rPr>
        <w:t xml:space="preserve">A este respecto, la Comisión </w:t>
      </w:r>
      <w:r w:rsidR="00454C1E" w:rsidRPr="001B130F">
        <w:rPr>
          <w:rFonts w:asciiTheme="majorHAnsi" w:hAnsiTheme="majorHAnsi" w:cs="Calibri"/>
          <w:bCs/>
          <w:sz w:val="20"/>
          <w:szCs w:val="20"/>
          <w:lang w:val="es-ES_tradnl"/>
        </w:rPr>
        <w:t>resalta que e</w:t>
      </w:r>
      <w:r w:rsidR="00454C1E" w:rsidRPr="001B130F">
        <w:rPr>
          <w:rFonts w:asciiTheme="majorHAnsi" w:hAnsiTheme="majorHAnsi" w:cs="Calibri"/>
          <w:sz w:val="20"/>
          <w:szCs w:val="20"/>
          <w:lang w:val="es-ES_tradnl"/>
        </w:rPr>
        <w:t xml:space="preserve">l texto del artículo 44 de la Convención no contiene limitaciones de competencia en términos de la identificación </w:t>
      </w:r>
      <w:r w:rsidR="00454C1E" w:rsidRPr="001B130F">
        <w:rPr>
          <w:rFonts w:asciiTheme="majorHAnsi" w:hAnsiTheme="majorHAnsi" w:cs="Calibri"/>
          <w:i/>
          <w:iCs/>
          <w:sz w:val="20"/>
          <w:szCs w:val="20"/>
          <w:lang w:val="es-ES_tradnl"/>
        </w:rPr>
        <w:t>“plena y total”</w:t>
      </w:r>
      <w:r w:rsidR="00454C1E" w:rsidRPr="001B130F">
        <w:rPr>
          <w:rFonts w:asciiTheme="majorHAnsi" w:hAnsiTheme="majorHAnsi" w:cs="Calibri"/>
          <w:sz w:val="20"/>
          <w:szCs w:val="20"/>
          <w:lang w:val="es-ES_tradnl"/>
        </w:rPr>
        <w:t xml:space="preserve"> de las personas afectadas por la violación, sino que permite el examen de violaciones a los derechos humanos que –por sus características– pueden afectar a una persona o grupo de personas determinadas, pero que no necesariamente se encuentran plenamente identificadas. Por lo que el criterio de identificación de las víctimas puede ser flexible, y la identificación plena de la totalidad de víctimas será determinada con la prueba aportada por las partes en la etapa de fondo</w:t>
      </w:r>
      <w:r w:rsidR="00454C1E" w:rsidRPr="001B130F">
        <w:rPr>
          <w:rFonts w:asciiTheme="majorHAnsi" w:hAnsiTheme="majorHAnsi"/>
          <w:sz w:val="20"/>
          <w:szCs w:val="20"/>
          <w:vertAlign w:val="superscript"/>
          <w:lang w:val="es-ES_tradnl"/>
        </w:rPr>
        <w:footnoteReference w:id="16"/>
      </w:r>
      <w:r w:rsidR="00454C1E" w:rsidRPr="001B130F">
        <w:rPr>
          <w:rFonts w:asciiTheme="majorHAnsi" w:hAnsiTheme="majorHAnsi" w:cs="Calibri"/>
          <w:sz w:val="20"/>
          <w:szCs w:val="20"/>
          <w:lang w:val="es-ES_tradnl"/>
        </w:rPr>
        <w:t>.</w:t>
      </w:r>
      <w:r w:rsidRPr="001B130F">
        <w:rPr>
          <w:rFonts w:asciiTheme="majorHAnsi" w:hAnsiTheme="majorHAnsi" w:cs="Calibri"/>
          <w:bCs/>
          <w:sz w:val="20"/>
          <w:szCs w:val="20"/>
          <w:lang w:val="es-ES_tradnl"/>
        </w:rPr>
        <w:t xml:space="preserve"> </w:t>
      </w:r>
    </w:p>
    <w:p w14:paraId="51F68C92" w14:textId="5BCE2A76" w:rsidR="003239B8" w:rsidRPr="001B130F" w:rsidRDefault="003239B8" w:rsidP="0020170C">
      <w:pPr>
        <w:spacing w:before="240" w:after="240"/>
        <w:ind w:firstLine="720"/>
        <w:jc w:val="both"/>
        <w:rPr>
          <w:rFonts w:asciiTheme="majorHAnsi" w:hAnsiTheme="majorHAnsi"/>
          <w:sz w:val="20"/>
          <w:szCs w:val="20"/>
          <w:lang w:val="es-ES_tradnl"/>
        </w:rPr>
      </w:pPr>
      <w:r w:rsidRPr="001B130F">
        <w:rPr>
          <w:rFonts w:asciiTheme="majorHAnsi" w:eastAsia="Cambria" w:hAnsiTheme="majorHAnsi" w:cs="Cambria"/>
          <w:b/>
          <w:bCs/>
          <w:color w:val="000000"/>
          <w:sz w:val="20"/>
          <w:szCs w:val="20"/>
          <w:u w:color="000000"/>
          <w:lang w:val="es-ES_tradnl" w:eastAsia="es-ES"/>
        </w:rPr>
        <w:t>V</w:t>
      </w:r>
      <w:r w:rsidR="00454C1E" w:rsidRPr="001B130F">
        <w:rPr>
          <w:rFonts w:asciiTheme="majorHAnsi" w:eastAsia="Cambria" w:hAnsiTheme="majorHAnsi" w:cs="Cambria"/>
          <w:b/>
          <w:bCs/>
          <w:color w:val="000000"/>
          <w:sz w:val="20"/>
          <w:szCs w:val="20"/>
          <w:u w:color="000000"/>
          <w:lang w:val="es-ES_tradnl" w:eastAsia="es-ES"/>
        </w:rPr>
        <w:t>II</w:t>
      </w:r>
      <w:r w:rsidRPr="001B130F">
        <w:rPr>
          <w:rFonts w:asciiTheme="majorHAnsi" w:eastAsia="Cambria" w:hAnsiTheme="majorHAnsi" w:cs="Cambria"/>
          <w:b/>
          <w:bCs/>
          <w:color w:val="000000"/>
          <w:sz w:val="20"/>
          <w:szCs w:val="20"/>
          <w:u w:color="000000"/>
          <w:lang w:val="es-ES_tradnl" w:eastAsia="es-ES"/>
        </w:rPr>
        <w:t>.</w:t>
      </w:r>
      <w:r w:rsidRPr="001B130F">
        <w:rPr>
          <w:rFonts w:asciiTheme="majorHAnsi" w:eastAsia="Cambria" w:hAnsiTheme="majorHAnsi" w:cs="Cambria"/>
          <w:b/>
          <w:bCs/>
          <w:color w:val="000000"/>
          <w:sz w:val="20"/>
          <w:szCs w:val="20"/>
          <w:u w:color="000000"/>
          <w:lang w:val="es-ES_tradnl" w:eastAsia="es-ES"/>
        </w:rPr>
        <w:tab/>
      </w:r>
      <w:r w:rsidR="004A6A54" w:rsidRPr="001B130F">
        <w:rPr>
          <w:rFonts w:asciiTheme="majorHAnsi" w:hAnsiTheme="majorHAnsi"/>
          <w:b/>
          <w:bCs/>
          <w:sz w:val="20"/>
          <w:szCs w:val="20"/>
          <w:lang w:val="es-ES_tradnl"/>
        </w:rPr>
        <w:t xml:space="preserve">ANÁLISIS DE </w:t>
      </w:r>
      <w:r w:rsidR="00C21FEF" w:rsidRPr="001B130F">
        <w:rPr>
          <w:rFonts w:asciiTheme="majorHAnsi" w:hAnsiTheme="majorHAnsi"/>
          <w:b/>
          <w:sz w:val="20"/>
          <w:szCs w:val="20"/>
          <w:lang w:val="es-ES_tradnl"/>
        </w:rPr>
        <w:t>AGOTAMIENTO DE LOS RECURSOS INTERNOS Y PLAZO DE PRESENTACIÓN</w:t>
      </w:r>
      <w:r w:rsidR="00C21FEF" w:rsidRPr="001B130F">
        <w:rPr>
          <w:rFonts w:asciiTheme="majorHAnsi" w:eastAsia="Cambria" w:hAnsiTheme="majorHAnsi" w:cs="Cambria"/>
          <w:b/>
          <w:bCs/>
          <w:color w:val="000000"/>
          <w:sz w:val="20"/>
          <w:szCs w:val="20"/>
          <w:u w:color="000000"/>
          <w:lang w:val="es-ES_tradnl" w:eastAsia="es-ES"/>
        </w:rPr>
        <w:t xml:space="preserve"> </w:t>
      </w:r>
    </w:p>
    <w:p w14:paraId="423B90F3" w14:textId="681CC626" w:rsidR="00EE5C19" w:rsidRPr="001B130F" w:rsidRDefault="004808D5" w:rsidP="0020170C">
      <w:pPr>
        <w:pStyle w:val="ListParagraph"/>
        <w:numPr>
          <w:ilvl w:val="0"/>
          <w:numId w:val="56"/>
        </w:numPr>
        <w:spacing w:before="240" w:after="240"/>
        <w:ind w:left="142" w:firstLine="567"/>
        <w:jc w:val="both"/>
        <w:rPr>
          <w:rFonts w:asciiTheme="majorHAnsi" w:hAnsiTheme="majorHAnsi"/>
          <w:bCs/>
          <w:sz w:val="20"/>
          <w:szCs w:val="20"/>
          <w:lang w:val="es-ES_tradnl"/>
        </w:rPr>
      </w:pPr>
      <w:r w:rsidRPr="001B130F">
        <w:rPr>
          <w:rFonts w:asciiTheme="majorHAnsi" w:hAnsiTheme="majorHAnsi"/>
          <w:sz w:val="20"/>
          <w:szCs w:val="20"/>
          <w:lang w:val="es-ES_tradnl"/>
        </w:rPr>
        <w:t xml:space="preserve">Para </w:t>
      </w:r>
      <w:r w:rsidRPr="001B130F">
        <w:rPr>
          <w:rFonts w:asciiTheme="majorHAnsi" w:hAnsiTheme="majorHAnsi" w:cs="Calibri"/>
          <w:bCs/>
          <w:sz w:val="20"/>
          <w:szCs w:val="20"/>
          <w:lang w:val="es-ES_tradnl"/>
        </w:rPr>
        <w:t>el análisis del agotamiento de los recursos internos en el presente asunto, la Comisión recuerda que, según su práctica sostenida, debe encontrar el objeto de la petición presentada e identificar la vía procesal adecuada que debía ser agotada a nivel doméstico por la parte peticionaria antes de recurrir al Sistema Interamericano y dar cumplimiento al requisito de agotamiento de los recursos internos</w:t>
      </w:r>
      <w:r w:rsidRPr="001B130F">
        <w:rPr>
          <w:rFonts w:asciiTheme="majorHAnsi" w:hAnsiTheme="majorHAnsi"/>
          <w:sz w:val="20"/>
          <w:szCs w:val="20"/>
          <w:vertAlign w:val="superscript"/>
          <w:lang w:val="es-ES_tradnl"/>
        </w:rPr>
        <w:footnoteReference w:id="17"/>
      </w:r>
      <w:r w:rsidRPr="001B130F">
        <w:rPr>
          <w:rFonts w:asciiTheme="majorHAnsi" w:hAnsiTheme="majorHAnsi" w:cs="Calibri"/>
          <w:sz w:val="20"/>
          <w:szCs w:val="20"/>
          <w:lang w:val="es-ES_tradnl"/>
        </w:rPr>
        <w:t xml:space="preserve">. </w:t>
      </w:r>
      <w:r w:rsidRPr="001B130F">
        <w:rPr>
          <w:rFonts w:asciiTheme="majorHAnsi" w:hAnsiTheme="majorHAnsi" w:cs="Calibri"/>
          <w:bCs/>
          <w:sz w:val="20"/>
          <w:szCs w:val="20"/>
          <w:lang w:val="es-ES_tradnl"/>
        </w:rPr>
        <w:t xml:space="preserve">En la presente petición </w:t>
      </w:r>
      <w:r w:rsidR="001B7057" w:rsidRPr="001B130F">
        <w:rPr>
          <w:rFonts w:asciiTheme="majorHAnsi" w:hAnsiTheme="majorHAnsi" w:cs="Calibri"/>
          <w:bCs/>
          <w:sz w:val="20"/>
          <w:szCs w:val="20"/>
          <w:lang w:val="es-ES_tradnl"/>
        </w:rPr>
        <w:t xml:space="preserve">se advierte </w:t>
      </w:r>
      <w:r w:rsidR="00103D69" w:rsidRPr="001B130F">
        <w:rPr>
          <w:rFonts w:asciiTheme="majorHAnsi" w:hAnsiTheme="majorHAnsi" w:cs="Calibri"/>
          <w:bCs/>
          <w:sz w:val="20"/>
          <w:szCs w:val="20"/>
          <w:lang w:val="es-ES_tradnl"/>
        </w:rPr>
        <w:t xml:space="preserve">que </w:t>
      </w:r>
      <w:r w:rsidR="007D37D7" w:rsidRPr="001B130F">
        <w:rPr>
          <w:rFonts w:asciiTheme="majorHAnsi" w:hAnsiTheme="majorHAnsi"/>
          <w:bCs/>
          <w:sz w:val="20"/>
          <w:szCs w:val="20"/>
          <w:lang w:val="es-ES_tradnl"/>
        </w:rPr>
        <w:t>las presuntas víctimas</w:t>
      </w:r>
      <w:r w:rsidR="007D37D7" w:rsidRPr="001B130F">
        <w:rPr>
          <w:rFonts w:asciiTheme="majorHAnsi" w:hAnsiTheme="majorHAnsi" w:cs="Calibri"/>
          <w:bCs/>
          <w:sz w:val="20"/>
          <w:szCs w:val="20"/>
          <w:lang w:val="es-ES_tradnl"/>
        </w:rPr>
        <w:t xml:space="preserve"> </w:t>
      </w:r>
      <w:r w:rsidR="00103D69" w:rsidRPr="001B130F">
        <w:rPr>
          <w:rFonts w:asciiTheme="majorHAnsi" w:hAnsiTheme="majorHAnsi" w:cs="Calibri"/>
          <w:bCs/>
          <w:sz w:val="20"/>
          <w:szCs w:val="20"/>
          <w:lang w:val="es-ES_tradnl"/>
        </w:rPr>
        <w:t xml:space="preserve">reclaman una supuesta </w:t>
      </w:r>
      <w:r w:rsidR="00103D69" w:rsidRPr="001B130F">
        <w:rPr>
          <w:rFonts w:asciiTheme="majorHAnsi" w:hAnsiTheme="majorHAnsi" w:cstheme="minorBidi"/>
          <w:bCs/>
          <w:sz w:val="20"/>
          <w:szCs w:val="20"/>
          <w:lang w:val="es-ES_tradnl"/>
        </w:rPr>
        <w:t xml:space="preserve">violación a su derecho de propiedad, por tierras que tenían registradas desde el </w:t>
      </w:r>
      <w:r w:rsidR="00103D69" w:rsidRPr="001B130F">
        <w:rPr>
          <w:rFonts w:asciiTheme="majorHAnsi" w:hAnsiTheme="majorHAnsi" w:cstheme="majorHAnsi"/>
          <w:sz w:val="20"/>
          <w:szCs w:val="20"/>
          <w:lang w:val="es-ES_tradnl"/>
        </w:rPr>
        <w:t xml:space="preserve">26 de marzo de 2012 en el </w:t>
      </w:r>
      <w:r w:rsidR="00103D69" w:rsidRPr="001B130F">
        <w:rPr>
          <w:rFonts w:asciiTheme="majorHAnsi" w:hAnsiTheme="majorHAnsi" w:cstheme="majorHAnsi"/>
          <w:sz w:val="20"/>
          <w:szCs w:val="20"/>
          <w:lang w:val="es-ES"/>
        </w:rPr>
        <w:t>Registro de la Propiedad de Quetzaltenango</w:t>
      </w:r>
      <w:r w:rsidR="00103D69" w:rsidRPr="001B130F">
        <w:rPr>
          <w:rFonts w:asciiTheme="majorHAnsi" w:hAnsiTheme="majorHAnsi" w:cstheme="majorHAnsi"/>
          <w:sz w:val="20"/>
          <w:szCs w:val="20"/>
          <w:lang w:val="es-ES_tradnl"/>
        </w:rPr>
        <w:t xml:space="preserve">, y sobre el cual un tercero, el 25 de junio de 2013, pidió que se les cancelara la inscripción registral. Lo anterior se concedió con la sentencia del 15 de agosto de 2015 por el Juzgado Primero de Primera Instancia Civil del departamento de Quetzaltenango. A raíz de esto, denuncian violaciones procesales por un retardo injustificado en la decisión de amparo, y porque las presuntas víctimas aducen que los tribunales nacionales no están considerando en sus decisiones que pertenecen a una comunidad indígena, ni que la falta de acceso a sus tierras también limita el acceso al agua. Asimismo, los peticionarios indican que en Guatemala hay deficiencias en el registro de tierras, siendo los más afectados las comunidades indígenas, y que no existe una ley específica para comunidades indígenas que brinde seguridad y certeza jurídica en lo relativo a la división de sus territorios. </w:t>
      </w:r>
    </w:p>
    <w:p w14:paraId="01F650D2" w14:textId="32B670A5" w:rsidR="004808D5" w:rsidRPr="001B130F" w:rsidRDefault="004808D5" w:rsidP="0020170C">
      <w:pPr>
        <w:pStyle w:val="ListParagraph"/>
        <w:numPr>
          <w:ilvl w:val="0"/>
          <w:numId w:val="56"/>
        </w:numPr>
        <w:spacing w:before="240" w:after="240"/>
        <w:ind w:left="142" w:firstLine="567"/>
        <w:jc w:val="both"/>
        <w:rPr>
          <w:rFonts w:asciiTheme="majorHAnsi" w:hAnsiTheme="majorHAnsi" w:cs="Calibri"/>
          <w:sz w:val="20"/>
          <w:szCs w:val="20"/>
          <w:lang w:val="es-ES_tradnl"/>
        </w:rPr>
      </w:pPr>
      <w:r w:rsidRPr="001B130F">
        <w:rPr>
          <w:rFonts w:asciiTheme="majorHAnsi" w:hAnsiTheme="majorHAnsi" w:cs="Calibri"/>
          <w:sz w:val="20"/>
          <w:szCs w:val="20"/>
          <w:lang w:val="es-ES_tradnl"/>
        </w:rPr>
        <w:t xml:space="preserve">Por su parte, el Estado </w:t>
      </w:r>
      <w:r w:rsidRPr="001B130F">
        <w:rPr>
          <w:rFonts w:asciiTheme="majorHAnsi" w:hAnsiTheme="majorHAnsi" w:cs="Calibri"/>
          <w:bCs/>
          <w:sz w:val="20"/>
          <w:szCs w:val="20"/>
          <w:lang w:val="es-ES_tradnl"/>
        </w:rPr>
        <w:t xml:space="preserve">advierte una falta de agotamiento de los recursos internos, puesto que el amparo estaba pendiente de resolverse cuando la parte peticionaria acudió ante la Comisión; </w:t>
      </w:r>
      <w:r w:rsidR="00103D69" w:rsidRPr="001B130F">
        <w:rPr>
          <w:rFonts w:asciiTheme="majorHAnsi" w:hAnsiTheme="majorHAnsi" w:cs="Calibri"/>
          <w:bCs/>
          <w:sz w:val="20"/>
          <w:szCs w:val="20"/>
          <w:lang w:val="es-ES_tradnl"/>
        </w:rPr>
        <w:t>además</w:t>
      </w:r>
      <w:r w:rsidRPr="001B130F">
        <w:rPr>
          <w:rFonts w:asciiTheme="majorHAnsi" w:hAnsiTheme="majorHAnsi" w:cs="Calibri"/>
          <w:bCs/>
          <w:sz w:val="20"/>
          <w:szCs w:val="20"/>
          <w:lang w:val="es-ES_tradnl"/>
        </w:rPr>
        <w:t xml:space="preserve">, </w:t>
      </w:r>
      <w:r w:rsidRPr="001B130F">
        <w:rPr>
          <w:rFonts w:asciiTheme="majorHAnsi" w:hAnsiTheme="majorHAnsi" w:cs="Calibri"/>
          <w:bCs/>
          <w:sz w:val="20"/>
          <w:szCs w:val="20"/>
          <w:lang w:val="es-ES_tradnl"/>
        </w:rPr>
        <w:lastRenderedPageBreak/>
        <w:t xml:space="preserve">porque considera que </w:t>
      </w:r>
      <w:r w:rsidR="007D37D7" w:rsidRPr="001B130F">
        <w:rPr>
          <w:rFonts w:asciiTheme="majorHAnsi" w:hAnsiTheme="majorHAnsi"/>
          <w:bCs/>
          <w:sz w:val="20"/>
          <w:szCs w:val="20"/>
          <w:lang w:val="es-ES_tradnl"/>
        </w:rPr>
        <w:t>las presuntas víctimas</w:t>
      </w:r>
      <w:r w:rsidR="007D37D7" w:rsidRPr="001B130F">
        <w:rPr>
          <w:rFonts w:asciiTheme="majorHAnsi" w:hAnsiTheme="majorHAnsi" w:cs="Calibri"/>
          <w:bCs/>
          <w:sz w:val="20"/>
          <w:szCs w:val="20"/>
          <w:lang w:val="es-ES_tradnl"/>
        </w:rPr>
        <w:t xml:space="preserve"> </w:t>
      </w:r>
      <w:r w:rsidRPr="001B130F">
        <w:rPr>
          <w:rFonts w:asciiTheme="majorHAnsi" w:hAnsiTheme="majorHAnsi" w:cs="Calibri"/>
          <w:bCs/>
          <w:sz w:val="20"/>
          <w:szCs w:val="20"/>
          <w:lang w:val="es-ES_tradnl"/>
        </w:rPr>
        <w:t xml:space="preserve">contaban con otros medios para el reclamo de vulneración a su derecho de propiedad. </w:t>
      </w:r>
    </w:p>
    <w:p w14:paraId="0FE62DB8" w14:textId="3611D94F" w:rsidR="004808D5" w:rsidRPr="001B130F" w:rsidRDefault="004808D5" w:rsidP="0020170C">
      <w:pPr>
        <w:pStyle w:val="ListParagraph"/>
        <w:numPr>
          <w:ilvl w:val="0"/>
          <w:numId w:val="56"/>
        </w:numPr>
        <w:spacing w:before="240" w:after="240"/>
        <w:ind w:left="142" w:firstLine="567"/>
        <w:jc w:val="both"/>
        <w:rPr>
          <w:rFonts w:asciiTheme="majorHAnsi" w:hAnsiTheme="majorHAnsi" w:cs="Calibri"/>
          <w:sz w:val="20"/>
          <w:szCs w:val="20"/>
          <w:lang w:val="es-ES_tradnl"/>
        </w:rPr>
      </w:pPr>
      <w:r w:rsidRPr="001B130F">
        <w:rPr>
          <w:rFonts w:asciiTheme="majorHAnsi" w:hAnsiTheme="majorHAnsi" w:cs="Calibri"/>
          <w:sz w:val="20"/>
          <w:szCs w:val="20"/>
          <w:lang w:val="es-ES"/>
        </w:rPr>
        <w:t xml:space="preserve">Por </w:t>
      </w:r>
      <w:r w:rsidR="00271774" w:rsidRPr="001B130F">
        <w:rPr>
          <w:rFonts w:asciiTheme="majorHAnsi" w:hAnsiTheme="majorHAnsi" w:cs="Calibri"/>
          <w:sz w:val="20"/>
          <w:szCs w:val="20"/>
          <w:lang w:val="es-ES"/>
        </w:rPr>
        <w:t>un lado,</w:t>
      </w:r>
      <w:r w:rsidRPr="001B130F">
        <w:rPr>
          <w:rFonts w:asciiTheme="majorHAnsi" w:hAnsiTheme="majorHAnsi" w:cs="Calibri"/>
          <w:sz w:val="20"/>
          <w:szCs w:val="20"/>
          <w:lang w:val="es-ES"/>
        </w:rPr>
        <w:t xml:space="preserve"> en cuanto a lo señalado por el Estado de que no se había resuelto el amparo interpuesto por </w:t>
      </w:r>
      <w:r w:rsidRPr="001B130F">
        <w:rPr>
          <w:rFonts w:asciiTheme="majorHAnsi" w:hAnsiTheme="majorHAnsi" w:cs="Calibri"/>
          <w:sz w:val="20"/>
          <w:szCs w:val="20"/>
          <w:lang w:val="es-ES_tradnl"/>
        </w:rPr>
        <w:t>el señor Martín Zapil el 4 de abril de 2017, al momento de la presentación de la petición el 28 de junio de 2018, esta Comisión recuerda que</w:t>
      </w:r>
      <w:r w:rsidRPr="001B130F">
        <w:rPr>
          <w:rFonts w:asciiTheme="majorHAnsi" w:hAnsiTheme="majorHAnsi" w:cs="Calibri"/>
          <w:sz w:val="20"/>
          <w:szCs w:val="20"/>
          <w:lang w:val="es-ES"/>
        </w:rPr>
        <w:t xml:space="preserve"> el </w:t>
      </w:r>
      <w:r w:rsidRPr="001B130F">
        <w:rPr>
          <w:rFonts w:asciiTheme="majorHAnsi" w:hAnsiTheme="majorHAnsi" w:cs="Calibri"/>
          <w:sz w:val="20"/>
          <w:szCs w:val="20"/>
          <w:lang w:val="es-UY"/>
        </w:rPr>
        <w:t>análisis sobre los requisitos previstos en los artículos 46 y 47 de la Convención debe hacerse a la luz de la situación vigente al momento en que se pronuncia sobre la admisibilidad o inadmisibilidad del reclamo, dado que es muy frecuente que, durante la tramitación, haya cambios en el estado de agotamiento de los recursos internos</w:t>
      </w:r>
      <w:r w:rsidRPr="001B130F">
        <w:rPr>
          <w:rFonts w:asciiTheme="majorHAnsi" w:hAnsiTheme="majorHAnsi" w:cs="Calibri"/>
          <w:sz w:val="20"/>
          <w:szCs w:val="20"/>
          <w:vertAlign w:val="superscript"/>
          <w:lang w:val="es-UY"/>
        </w:rPr>
        <w:t>26</w:t>
      </w:r>
      <w:r w:rsidRPr="001B130F">
        <w:rPr>
          <w:rFonts w:asciiTheme="majorHAnsi" w:hAnsiTheme="majorHAnsi" w:cs="Calibri"/>
          <w:sz w:val="20"/>
          <w:szCs w:val="20"/>
          <w:lang w:val="es-UY"/>
        </w:rPr>
        <w:t xml:space="preserve">. En este sentido, </w:t>
      </w:r>
      <w:r w:rsidRPr="001B130F">
        <w:rPr>
          <w:rFonts w:asciiTheme="majorHAnsi" w:hAnsiTheme="majorHAnsi" w:cs="Calibri"/>
          <w:sz w:val="20"/>
          <w:szCs w:val="20"/>
          <w:lang w:val="es-ES"/>
        </w:rPr>
        <w:t>la CIDH ha sido consistente en señalar que “</w:t>
      </w:r>
      <w:r w:rsidRPr="001B130F">
        <w:rPr>
          <w:rFonts w:asciiTheme="majorHAnsi" w:hAnsiTheme="majorHAnsi" w:cs="Calibri"/>
          <w:i/>
          <w:iCs/>
          <w:sz w:val="20"/>
          <w:szCs w:val="20"/>
          <w:lang w:val="es-ES"/>
        </w:rPr>
        <w:t>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1B130F">
        <w:rPr>
          <w:rFonts w:asciiTheme="majorHAnsi" w:hAnsiTheme="majorHAnsi" w:cs="Calibri"/>
          <w:sz w:val="20"/>
          <w:szCs w:val="20"/>
          <w:lang w:val="es-ES"/>
        </w:rPr>
        <w:t>”</w:t>
      </w:r>
      <w:r w:rsidRPr="001B130F">
        <w:rPr>
          <w:rFonts w:asciiTheme="majorHAnsi" w:hAnsiTheme="majorHAnsi" w:cs="Calibri"/>
          <w:sz w:val="20"/>
          <w:szCs w:val="20"/>
          <w:vertAlign w:val="superscript"/>
          <w:lang w:val="es-MX"/>
        </w:rPr>
        <w:t>27</w:t>
      </w:r>
      <w:r w:rsidRPr="001B130F">
        <w:rPr>
          <w:rFonts w:asciiTheme="majorHAnsi" w:hAnsiTheme="majorHAnsi" w:cs="Calibri"/>
          <w:sz w:val="20"/>
          <w:szCs w:val="20"/>
          <w:lang w:val="es-ES"/>
        </w:rPr>
        <w:t>. </w:t>
      </w:r>
      <w:r w:rsidR="00015E4A" w:rsidRPr="001B130F">
        <w:rPr>
          <w:rFonts w:asciiTheme="majorHAnsi" w:hAnsiTheme="majorHAnsi" w:cs="Calibri"/>
          <w:sz w:val="20"/>
          <w:szCs w:val="20"/>
          <w:lang w:val="es-ES"/>
        </w:rPr>
        <w:t>Así</w:t>
      </w:r>
      <w:r w:rsidRPr="001B130F">
        <w:rPr>
          <w:rFonts w:asciiTheme="majorHAnsi" w:hAnsiTheme="majorHAnsi" w:cs="Calibri"/>
          <w:sz w:val="20"/>
          <w:szCs w:val="20"/>
          <w:lang w:val="es-ES"/>
        </w:rPr>
        <w:t xml:space="preserve">, el último recurso fue resuelto </w:t>
      </w:r>
      <w:r w:rsidRPr="001B130F">
        <w:rPr>
          <w:rFonts w:asciiTheme="majorHAnsi" w:hAnsiTheme="majorHAnsi" w:cs="Calibri"/>
          <w:sz w:val="20"/>
          <w:szCs w:val="20"/>
          <w:lang w:val="es-ES_tradnl"/>
        </w:rPr>
        <w:t xml:space="preserve">el 14 de diciembre de 2018 por la Cámara Civil de la Corte Suprema de Justicia. </w:t>
      </w:r>
    </w:p>
    <w:p w14:paraId="42F5C20B" w14:textId="0B0D1D73" w:rsidR="004808D5" w:rsidRPr="001B130F" w:rsidRDefault="00271774" w:rsidP="0020170C">
      <w:pPr>
        <w:pStyle w:val="ListParagraph"/>
        <w:numPr>
          <w:ilvl w:val="0"/>
          <w:numId w:val="56"/>
        </w:numPr>
        <w:spacing w:before="240" w:after="240"/>
        <w:ind w:left="142" w:firstLine="567"/>
        <w:jc w:val="both"/>
        <w:rPr>
          <w:rFonts w:asciiTheme="majorHAnsi" w:hAnsiTheme="majorHAnsi" w:cs="Calibri"/>
          <w:sz w:val="20"/>
          <w:szCs w:val="20"/>
          <w:lang w:val="es-ES_tradnl"/>
        </w:rPr>
      </w:pPr>
      <w:r w:rsidRPr="001B130F">
        <w:rPr>
          <w:rFonts w:asciiTheme="majorHAnsi" w:hAnsiTheme="majorHAnsi" w:cs="Calibri"/>
          <w:sz w:val="20"/>
          <w:szCs w:val="20"/>
          <w:lang w:val="es-ES_tradnl"/>
        </w:rPr>
        <w:t xml:space="preserve">Por otro lado, respecto a </w:t>
      </w:r>
      <w:r w:rsidR="004808D5" w:rsidRPr="001B130F">
        <w:rPr>
          <w:rFonts w:asciiTheme="majorHAnsi" w:hAnsiTheme="majorHAnsi" w:cs="Calibri"/>
          <w:sz w:val="20"/>
          <w:szCs w:val="20"/>
          <w:lang w:val="es-ES_tradnl"/>
        </w:rPr>
        <w:t>lo indicado por el Estado de que los peticionarios contaban con otros medios para el reclamo de la vulneración de la propiedad, la CIDH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4808D5" w:rsidRPr="001B130F">
        <w:rPr>
          <w:rFonts w:asciiTheme="majorHAnsi" w:hAnsiTheme="majorHAnsi"/>
          <w:sz w:val="20"/>
          <w:szCs w:val="20"/>
          <w:vertAlign w:val="superscript"/>
          <w:lang w:val="es-ES_tradnl"/>
        </w:rPr>
        <w:footnoteReference w:id="18"/>
      </w:r>
      <w:r w:rsidR="004808D5" w:rsidRPr="001B130F">
        <w:rPr>
          <w:rFonts w:asciiTheme="majorHAnsi" w:hAnsiTheme="majorHAnsi" w:cs="Calibri"/>
          <w:sz w:val="20"/>
          <w:szCs w:val="20"/>
          <w:lang w:val="es-ES_tradnl"/>
        </w:rPr>
        <w:t>. En el mismo sentido, la Corte IDH ha establecido que “</w:t>
      </w:r>
      <w:r w:rsidR="004808D5" w:rsidRPr="001B130F">
        <w:rPr>
          <w:rFonts w:asciiTheme="majorHAnsi" w:hAnsiTheme="majorHAnsi" w:cs="Calibri"/>
          <w:i/>
          <w:iCs/>
          <w:sz w:val="20"/>
          <w:szCs w:val="20"/>
          <w:lang w:val="es-ES_tradnl"/>
        </w:rPr>
        <w:t>no es necesario el agotamiento de la vía interna respecto de todos o cualquiera de los recursos disponibles sino que […] los recursos que deben ser agotados son aquellos que resultan adecuados en la situación particular de la violación de derechos humanos alegada</w:t>
      </w:r>
      <w:r w:rsidR="004808D5" w:rsidRPr="001B130F">
        <w:rPr>
          <w:rFonts w:asciiTheme="majorHAnsi" w:hAnsiTheme="majorHAnsi" w:cs="Calibri"/>
          <w:sz w:val="20"/>
          <w:szCs w:val="20"/>
          <w:lang w:val="es-ES_tradnl"/>
        </w:rPr>
        <w:t>”</w:t>
      </w:r>
      <w:r w:rsidR="004808D5" w:rsidRPr="001B130F">
        <w:rPr>
          <w:rFonts w:asciiTheme="majorHAnsi" w:hAnsiTheme="majorHAnsi"/>
          <w:sz w:val="20"/>
          <w:szCs w:val="20"/>
          <w:vertAlign w:val="superscript"/>
          <w:lang w:val="es-ES_tradnl"/>
        </w:rPr>
        <w:footnoteReference w:id="19"/>
      </w:r>
      <w:r w:rsidR="004808D5" w:rsidRPr="001B130F">
        <w:rPr>
          <w:rFonts w:asciiTheme="majorHAnsi" w:hAnsiTheme="majorHAnsi" w:cs="Calibri"/>
          <w:sz w:val="20"/>
          <w:szCs w:val="20"/>
          <w:lang w:val="es-ES_tradnl"/>
        </w:rPr>
        <w:t xml:space="preserve">. </w:t>
      </w:r>
    </w:p>
    <w:p w14:paraId="73FDBDF1" w14:textId="30A9705A" w:rsidR="004808D5" w:rsidRPr="001B130F" w:rsidRDefault="004808D5" w:rsidP="0020170C">
      <w:pPr>
        <w:pStyle w:val="ListParagraph"/>
        <w:numPr>
          <w:ilvl w:val="0"/>
          <w:numId w:val="56"/>
        </w:numPr>
        <w:spacing w:before="240" w:after="240"/>
        <w:ind w:left="142" w:firstLine="567"/>
        <w:jc w:val="both"/>
        <w:rPr>
          <w:rFonts w:asciiTheme="majorHAnsi" w:hAnsiTheme="majorHAnsi" w:cs="Calibri"/>
          <w:sz w:val="20"/>
          <w:szCs w:val="20"/>
          <w:lang w:val="es-ES_tradnl"/>
        </w:rPr>
      </w:pPr>
      <w:r w:rsidRPr="001B130F">
        <w:rPr>
          <w:rFonts w:asciiTheme="majorHAnsi" w:hAnsiTheme="majorHAnsi" w:cs="Calibri"/>
          <w:sz w:val="20"/>
          <w:szCs w:val="20"/>
          <w:lang w:val="es-ES_tradnl"/>
        </w:rPr>
        <w:t xml:space="preserve">En esa línea, la Comisión concluye que la petición cumple con el requisito previsto en el artículo 46.1.a) de la Convención Americana, puesto que los peticionarios agotaron los recursos internos, siendo el último emitido el 14 de diciembre de 2018 por la Cámara Civil de la Corte Suprema de Justicia que declaró improcedente el recurso de casación. </w:t>
      </w:r>
      <w:r w:rsidR="008165F0" w:rsidRPr="001B130F">
        <w:rPr>
          <w:rFonts w:asciiTheme="majorHAnsi" w:hAnsiTheme="majorHAnsi" w:cs="Calibri"/>
          <w:sz w:val="20"/>
          <w:szCs w:val="20"/>
          <w:lang w:val="es-ES_tradnl"/>
        </w:rPr>
        <w:t>T</w:t>
      </w:r>
      <w:r w:rsidRPr="001B130F">
        <w:rPr>
          <w:rFonts w:asciiTheme="majorHAnsi" w:hAnsiTheme="majorHAnsi" w:cs="Calibri"/>
          <w:sz w:val="20"/>
          <w:szCs w:val="20"/>
          <w:lang w:val="es-ES_tradnl"/>
        </w:rPr>
        <w:t>ambién cumple el requisito de plazo de presentación previsto en el artículo 46.1.b) de la Convención Americana, ya que la petición se presentó el 28 de junio de 2018.</w:t>
      </w:r>
    </w:p>
    <w:p w14:paraId="673598AF" w14:textId="112F6B38" w:rsidR="003239B8" w:rsidRPr="001B130F" w:rsidRDefault="003239B8" w:rsidP="0020170C">
      <w:pPr>
        <w:pStyle w:val="ListParagraph"/>
        <w:spacing w:before="240" w:after="240"/>
        <w:jc w:val="both"/>
        <w:rPr>
          <w:rFonts w:asciiTheme="majorHAnsi" w:hAnsiTheme="majorHAnsi"/>
          <w:b/>
          <w:sz w:val="20"/>
          <w:szCs w:val="20"/>
          <w:lang w:val="es-ES_tradnl"/>
        </w:rPr>
      </w:pPr>
      <w:r w:rsidRPr="001B130F">
        <w:rPr>
          <w:rFonts w:asciiTheme="majorHAnsi" w:hAnsiTheme="majorHAnsi"/>
          <w:b/>
          <w:bCs/>
          <w:sz w:val="20"/>
          <w:szCs w:val="20"/>
          <w:lang w:val="es-ES_tradnl"/>
        </w:rPr>
        <w:t>VII</w:t>
      </w:r>
      <w:r w:rsidR="00271774" w:rsidRPr="001B130F">
        <w:rPr>
          <w:rFonts w:asciiTheme="majorHAnsi" w:hAnsiTheme="majorHAnsi"/>
          <w:b/>
          <w:bCs/>
          <w:sz w:val="20"/>
          <w:szCs w:val="20"/>
          <w:lang w:val="es-ES_tradnl"/>
        </w:rPr>
        <w:t>I</w:t>
      </w:r>
      <w:r w:rsidRPr="001B130F">
        <w:rPr>
          <w:rFonts w:asciiTheme="majorHAnsi" w:hAnsiTheme="majorHAnsi"/>
          <w:b/>
          <w:bCs/>
          <w:sz w:val="20"/>
          <w:szCs w:val="20"/>
          <w:lang w:val="es-ES_tradnl"/>
        </w:rPr>
        <w:t>.</w:t>
      </w:r>
      <w:r w:rsidRPr="001B130F">
        <w:rPr>
          <w:rFonts w:asciiTheme="majorHAnsi" w:hAnsiTheme="majorHAnsi"/>
          <w:b/>
          <w:bCs/>
          <w:sz w:val="20"/>
          <w:szCs w:val="20"/>
          <w:lang w:val="es-ES_tradnl"/>
        </w:rPr>
        <w:tab/>
      </w:r>
      <w:r w:rsidR="004A6A54" w:rsidRPr="001B130F">
        <w:rPr>
          <w:rFonts w:asciiTheme="majorHAnsi" w:hAnsiTheme="majorHAnsi"/>
          <w:b/>
          <w:bCs/>
          <w:sz w:val="20"/>
          <w:szCs w:val="20"/>
          <w:lang w:val="es-ES_tradnl"/>
        </w:rPr>
        <w:t xml:space="preserve">ANÁLISIS DE </w:t>
      </w:r>
      <w:r w:rsidR="00C21FEF" w:rsidRPr="001B130F">
        <w:rPr>
          <w:rFonts w:asciiTheme="majorHAnsi" w:hAnsiTheme="majorHAnsi"/>
          <w:b/>
          <w:bCs/>
          <w:sz w:val="20"/>
          <w:szCs w:val="20"/>
          <w:lang w:val="es-ES_tradnl"/>
        </w:rPr>
        <w:t>CARACTERIZACIÓN DE LOS HECHOS ALEGADOS</w:t>
      </w:r>
    </w:p>
    <w:p w14:paraId="71A5EE5F" w14:textId="7612EC66" w:rsidR="00E05FA4" w:rsidRPr="001B130F" w:rsidRDefault="00E05FA4" w:rsidP="002017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hAnsiTheme="majorHAnsi" w:cstheme="minorBidi"/>
          <w:bCs/>
          <w:sz w:val="20"/>
          <w:szCs w:val="20"/>
          <w:lang w:val="es-ES_tradnl"/>
        </w:rPr>
        <w:t>Los peticionarios</w:t>
      </w:r>
      <w:r w:rsidR="00015E4A" w:rsidRPr="001B130F">
        <w:rPr>
          <w:rFonts w:asciiTheme="majorHAnsi" w:hAnsiTheme="majorHAnsi" w:cstheme="minorBidi"/>
          <w:bCs/>
          <w:sz w:val="20"/>
          <w:szCs w:val="20"/>
          <w:lang w:val="es-ES_tradnl"/>
        </w:rPr>
        <w:t xml:space="preserve"> presentan alegatos relativos</w:t>
      </w:r>
      <w:r w:rsidR="00707FA1" w:rsidRPr="001B130F">
        <w:rPr>
          <w:rFonts w:asciiTheme="majorHAnsi" w:hAnsiTheme="majorHAnsi" w:cstheme="minorBidi"/>
          <w:bCs/>
          <w:sz w:val="20"/>
          <w:szCs w:val="20"/>
          <w:lang w:val="es-ES_tradnl"/>
        </w:rPr>
        <w:t xml:space="preserve"> </w:t>
      </w:r>
      <w:r w:rsidR="00707FA1" w:rsidRPr="001B130F">
        <w:rPr>
          <w:rFonts w:asciiTheme="majorHAnsi" w:hAnsiTheme="majorHAnsi" w:cstheme="majorHAnsi"/>
          <w:sz w:val="20"/>
          <w:szCs w:val="20"/>
          <w:lang w:val="es-ES_tradnl"/>
        </w:rPr>
        <w:t xml:space="preserve">a </w:t>
      </w:r>
      <w:r w:rsidR="00103D69" w:rsidRPr="001B130F">
        <w:rPr>
          <w:rFonts w:asciiTheme="majorHAnsi" w:hAnsiTheme="majorHAnsi" w:cs="Calibri"/>
          <w:bCs/>
          <w:sz w:val="20"/>
          <w:szCs w:val="20"/>
          <w:lang w:val="es-ES_tradnl"/>
        </w:rPr>
        <w:t xml:space="preserve">violaciones </w:t>
      </w:r>
      <w:r w:rsidR="00707FA1" w:rsidRPr="001B130F">
        <w:rPr>
          <w:rFonts w:asciiTheme="majorHAnsi" w:hAnsiTheme="majorHAnsi" w:cs="Calibri"/>
          <w:bCs/>
          <w:sz w:val="20"/>
          <w:szCs w:val="20"/>
          <w:lang w:val="es-ES_tradnl"/>
        </w:rPr>
        <w:t>de</w:t>
      </w:r>
      <w:r w:rsidR="00103D69" w:rsidRPr="001B130F">
        <w:rPr>
          <w:rFonts w:asciiTheme="majorHAnsi" w:hAnsiTheme="majorHAnsi" w:cs="Calibri"/>
          <w:bCs/>
          <w:sz w:val="20"/>
          <w:szCs w:val="20"/>
          <w:lang w:val="es-ES_tradnl"/>
        </w:rPr>
        <w:t xml:space="preserve"> la propiedad de las presuntas víctimas, quienes pertenecen a una comunidad indígena, lo que conllevó a la falta de acceso al agua de dichas tierras. Igualmente,</w:t>
      </w:r>
      <w:r w:rsidR="00707FA1" w:rsidRPr="001B130F">
        <w:rPr>
          <w:rFonts w:asciiTheme="majorHAnsi" w:hAnsiTheme="majorHAnsi" w:cs="Calibri"/>
          <w:bCs/>
          <w:sz w:val="20"/>
          <w:szCs w:val="20"/>
          <w:lang w:val="es-ES_tradnl"/>
        </w:rPr>
        <w:t xml:space="preserve"> denuncian</w:t>
      </w:r>
      <w:r w:rsidR="00103D69" w:rsidRPr="001B130F">
        <w:rPr>
          <w:rFonts w:asciiTheme="majorHAnsi" w:hAnsiTheme="majorHAnsi" w:cs="Calibri"/>
          <w:bCs/>
          <w:sz w:val="20"/>
          <w:szCs w:val="20"/>
          <w:lang w:val="es-ES_tradnl"/>
        </w:rPr>
        <w:t xml:space="preserve"> retardo injustificado en el proceso</w:t>
      </w:r>
      <w:r w:rsidR="00707FA1" w:rsidRPr="001B130F">
        <w:rPr>
          <w:rFonts w:asciiTheme="majorHAnsi" w:hAnsiTheme="majorHAnsi" w:cs="Calibri"/>
          <w:bCs/>
          <w:sz w:val="20"/>
          <w:szCs w:val="20"/>
          <w:lang w:val="es-ES_tradnl"/>
        </w:rPr>
        <w:t xml:space="preserve"> interno</w:t>
      </w:r>
      <w:r w:rsidR="00103D69" w:rsidRPr="001B130F">
        <w:rPr>
          <w:rFonts w:asciiTheme="majorHAnsi" w:hAnsiTheme="majorHAnsi" w:cs="Calibri"/>
          <w:bCs/>
          <w:sz w:val="20"/>
          <w:szCs w:val="20"/>
          <w:lang w:val="es-ES_tradnl"/>
        </w:rPr>
        <w:t xml:space="preserve">, pues un amparo que interpusieron tardó más de un año y medio en resolverse. </w:t>
      </w:r>
      <w:r w:rsidR="00103D69" w:rsidRPr="001B130F">
        <w:rPr>
          <w:rFonts w:asciiTheme="majorHAnsi" w:hAnsiTheme="majorHAnsi"/>
          <w:bCs/>
          <w:sz w:val="20"/>
          <w:szCs w:val="20"/>
          <w:lang w:val="es-ES_tradnl"/>
        </w:rPr>
        <w:t>Denuncian también violaciones a las garantías procesales en cuanto a que en las decisiones internas no se consideró más que los alegatos de las partes y no se tomó en cuenta la participación de la comunidad indígena ni del municipio. Finalmente, reclaman que no hay certeza jurídica para las comunidades indígenas en cuanto a la división de sus territorios, alegando que no existe en Guatemala una ley específica de comunidades indígenas</w:t>
      </w:r>
      <w:r w:rsidR="00707FA1" w:rsidRPr="001B130F">
        <w:rPr>
          <w:rFonts w:asciiTheme="majorHAnsi" w:eastAsia="Arial Unicode MS" w:hAnsiTheme="majorHAnsi" w:cs="Calibri"/>
          <w:bCs/>
          <w:color w:val="auto"/>
          <w:sz w:val="20"/>
          <w:szCs w:val="20"/>
          <w:lang w:val="es-ES_tradnl" w:eastAsia="en-US"/>
        </w:rPr>
        <w:t xml:space="preserve">. Finalmente, </w:t>
      </w:r>
      <w:r w:rsidR="00707FA1" w:rsidRPr="001B130F">
        <w:rPr>
          <w:rFonts w:asciiTheme="majorHAnsi" w:hAnsiTheme="majorHAnsi"/>
          <w:bCs/>
          <w:sz w:val="20"/>
          <w:szCs w:val="20"/>
          <w:lang w:val="es-ES_tradnl"/>
        </w:rPr>
        <w:t xml:space="preserve">los peticionarios piden que se haga un análisis de la situación bajo el contexto de violaciones constantes en Guatemala en contra de territorios indígenas y las deficiencias en el registro de tierras y respeto de territorios. </w:t>
      </w:r>
    </w:p>
    <w:p w14:paraId="6CE27207" w14:textId="4698DEBE" w:rsidR="0018120B" w:rsidRPr="001B130F" w:rsidRDefault="0018120B" w:rsidP="002017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hAnsiTheme="majorHAnsi"/>
          <w:bCs/>
          <w:sz w:val="20"/>
          <w:szCs w:val="20"/>
          <w:lang w:val="es-ES_tradnl"/>
        </w:rPr>
        <w:t>Se observa que el Estado, ha invocado la falta de caracterización, considerando que la parte peticionaria busca usar a la CIDH como tribunal de alzada</w:t>
      </w:r>
      <w:r w:rsidRPr="001B130F">
        <w:rPr>
          <w:rFonts w:asciiTheme="majorHAnsi" w:hAnsiTheme="majorHAnsi" w:cstheme="majorHAnsi"/>
          <w:bCs/>
          <w:sz w:val="20"/>
          <w:szCs w:val="20"/>
          <w:lang w:val="es-ES_tradnl"/>
        </w:rPr>
        <w:t xml:space="preserve">; específicamente, esgrima que lo controvertido se dio entre particulares y no tiene relación a tierras comunales de la etnia Quiché. Igualmente, el Estado </w:t>
      </w:r>
      <w:r w:rsidRPr="001B130F">
        <w:rPr>
          <w:rFonts w:asciiTheme="majorHAnsi" w:hAnsiTheme="majorHAnsi" w:cstheme="majorHAnsi"/>
          <w:sz w:val="20"/>
          <w:szCs w:val="20"/>
          <w:lang w:val="es-ES_tradnl"/>
        </w:rPr>
        <w:t xml:space="preserve">asegura </w:t>
      </w:r>
      <w:r w:rsidRPr="001B130F">
        <w:rPr>
          <w:rFonts w:asciiTheme="majorHAnsi" w:hAnsiTheme="majorHAnsi" w:cstheme="majorHAnsi"/>
          <w:sz w:val="20"/>
          <w:szCs w:val="20"/>
          <w:lang w:val="es-ES_tradnl"/>
        </w:rPr>
        <w:lastRenderedPageBreak/>
        <w:t>que cuenta con los mecanismos en la jurisdicción interna para garantizar el respeto a los pueblos indígenas, y que las presuntas víctimas tuvieron acceso a interponer los recursos nacionales.</w:t>
      </w:r>
    </w:p>
    <w:p w14:paraId="37114634" w14:textId="0ACC6AC0" w:rsidR="0099711F" w:rsidRPr="001B130F" w:rsidRDefault="0018120B" w:rsidP="0099711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Calibri"/>
          <w:bCs/>
          <w:sz w:val="20"/>
          <w:szCs w:val="20"/>
          <w:lang w:val="es-ES_tradnl"/>
        </w:rPr>
      </w:pPr>
      <w:r w:rsidRPr="001B130F">
        <w:rPr>
          <w:rFonts w:asciiTheme="majorHAnsi" w:hAnsiTheme="majorHAnsi"/>
          <w:bCs/>
          <w:sz w:val="20"/>
          <w:szCs w:val="20"/>
          <w:lang w:val="es-ES_tradnl"/>
        </w:rPr>
        <w:t>En este</w:t>
      </w:r>
      <w:r w:rsidR="00164412" w:rsidRPr="001B130F">
        <w:rPr>
          <w:rFonts w:asciiTheme="majorHAnsi" w:hAnsiTheme="majorHAnsi"/>
          <w:bCs/>
          <w:sz w:val="20"/>
          <w:szCs w:val="20"/>
          <w:lang w:val="es-ES_tradnl"/>
        </w:rPr>
        <w:t xml:space="preserve"> aspecto</w:t>
      </w:r>
      <w:r w:rsidRPr="001B130F">
        <w:rPr>
          <w:rFonts w:asciiTheme="majorHAnsi" w:hAnsiTheme="majorHAnsi"/>
          <w:bCs/>
          <w:sz w:val="20"/>
          <w:szCs w:val="20"/>
          <w:lang w:val="es-ES_tradnl"/>
        </w:rPr>
        <w:t>, la Comisión Interamericana ha adoptado una postura uniforme y consistente</w:t>
      </w:r>
      <w:r w:rsidR="00F73AA8" w:rsidRPr="001B130F">
        <w:rPr>
          <w:rFonts w:asciiTheme="majorHAnsi" w:hAnsiTheme="majorHAnsi"/>
          <w:sz w:val="20"/>
          <w:szCs w:val="20"/>
          <w:vertAlign w:val="superscript"/>
        </w:rPr>
        <w:footnoteReference w:id="20"/>
      </w:r>
      <w:r w:rsidRPr="001B130F">
        <w:rPr>
          <w:rFonts w:asciiTheme="majorHAnsi" w:hAnsiTheme="majorHAnsi"/>
          <w:bCs/>
          <w:sz w:val="20"/>
          <w:szCs w:val="20"/>
          <w:lang w:val="es-ES_tradnl"/>
        </w:rPr>
        <w:t xml:space="preserve">, en el sentido de que sí es competente para declarar admisible una petición y decidir sobre su materia de fondo en los casos relacionados con procesos internos que puedan violar los derechos amparados por la Convención Americana. </w:t>
      </w:r>
      <w:r w:rsidRPr="001B130F">
        <w:rPr>
          <w:rFonts w:asciiTheme="majorHAnsi" w:hAnsiTheme="majorHAnsi"/>
          <w:bCs/>
          <w:i/>
          <w:iCs/>
          <w:sz w:val="20"/>
          <w:szCs w:val="20"/>
          <w:lang w:val="es-ES_tradnl"/>
        </w:rPr>
        <w:t>Contrario sensu</w:t>
      </w:r>
      <w:r w:rsidRPr="001B130F">
        <w:rPr>
          <w:rFonts w:asciiTheme="majorHAnsi" w:hAnsiTheme="majorHAnsi"/>
          <w:bCs/>
          <w:sz w:val="20"/>
          <w:szCs w:val="20"/>
          <w:lang w:val="es-ES_tradnl"/>
        </w:rPr>
        <w:t xml:space="preserve">, </w:t>
      </w:r>
      <w:r w:rsidR="00BD43CA" w:rsidRPr="001B130F">
        <w:rPr>
          <w:rFonts w:asciiTheme="majorHAnsi" w:hAnsiTheme="majorHAnsi" w:cstheme="minorBidi"/>
          <w:bCs/>
          <w:sz w:val="20"/>
          <w:szCs w:val="20"/>
          <w:lang w:val="es-ES"/>
        </w:rPr>
        <w:t xml:space="preserve">cuando una petición se dirige contra el contenido, la valoración probatoria o el razonamiento judicial plasmados en una sentencia en firme, adoptada con respeto por el debido proceso y las demás garantías plasmadas en la Convención, la CIDH carece de competencia, pues no está llamada a efectuar un nuevo examen, en sede interamericana, de lo resuelto a nivel doméstico por los jueces nacionales en ejercicio de sus atribuciones legítimas y dentro de la esfera de su propia jurisdicción. En el caso bajo revisión, la Comisión observa que la petición no busca como tal que la CIDH revise o reconstituya el razonamiento judicial encontrado en los fallos internos, sino que denuncia </w:t>
      </w:r>
      <w:r w:rsidR="0099711F" w:rsidRPr="001B130F">
        <w:rPr>
          <w:rFonts w:asciiTheme="majorHAnsi" w:hAnsiTheme="majorHAnsi" w:cstheme="minorBidi"/>
          <w:bCs/>
          <w:sz w:val="20"/>
          <w:szCs w:val="20"/>
          <w:lang w:val="es-ES"/>
        </w:rPr>
        <w:t xml:space="preserve">puntualmente </w:t>
      </w:r>
      <w:r w:rsidR="00BD43CA" w:rsidRPr="001B130F">
        <w:rPr>
          <w:rFonts w:asciiTheme="majorHAnsi" w:hAnsiTheme="majorHAnsi" w:cstheme="minorBidi"/>
          <w:bCs/>
          <w:sz w:val="20"/>
          <w:szCs w:val="20"/>
          <w:lang w:val="es-ES"/>
        </w:rPr>
        <w:t>posibles violaciones de la Convención Americana</w:t>
      </w:r>
      <w:r w:rsidR="0099711F" w:rsidRPr="001B130F">
        <w:rPr>
          <w:rFonts w:asciiTheme="majorHAnsi" w:hAnsiTheme="majorHAnsi" w:cstheme="minorBidi"/>
          <w:bCs/>
          <w:sz w:val="20"/>
          <w:szCs w:val="20"/>
          <w:lang w:val="es-ES"/>
        </w:rPr>
        <w:t>:</w:t>
      </w:r>
      <w:r w:rsidR="0099711F" w:rsidRPr="001B130F">
        <w:rPr>
          <w:rFonts w:asciiTheme="majorHAnsi" w:hAnsiTheme="majorHAnsi" w:cstheme="majorHAnsi"/>
          <w:sz w:val="20"/>
          <w:szCs w:val="20"/>
          <w:lang w:val="es-ES_tradnl"/>
        </w:rPr>
        <w:t xml:space="preserve"> decisiones de los tribunales internos que no toman en cuenta la pertenencia de las presuntas víctimas a una comunidad indígena y las características particulares que conlleva; falta de acceso al agua encontrada en las tierras que reclaman; </w:t>
      </w:r>
      <w:r w:rsidR="0099711F" w:rsidRPr="001B130F">
        <w:rPr>
          <w:rFonts w:asciiTheme="majorHAnsi" w:hAnsiTheme="majorHAnsi" w:cstheme="minorBidi"/>
          <w:bCs/>
          <w:sz w:val="20"/>
          <w:szCs w:val="20"/>
          <w:lang w:val="es-ES"/>
        </w:rPr>
        <w:t xml:space="preserve">supuestas </w:t>
      </w:r>
      <w:r w:rsidR="0099711F" w:rsidRPr="001B130F">
        <w:rPr>
          <w:rFonts w:asciiTheme="majorHAnsi" w:hAnsiTheme="majorHAnsi" w:cs="Calibri"/>
          <w:bCs/>
          <w:sz w:val="20"/>
          <w:szCs w:val="20"/>
          <w:lang w:val="es-ES_tradnl"/>
        </w:rPr>
        <w:t>violaciones procesales consistentes en</w:t>
      </w:r>
      <w:r w:rsidR="0099711F" w:rsidRPr="001B130F">
        <w:rPr>
          <w:rFonts w:asciiTheme="majorHAnsi" w:hAnsiTheme="majorHAnsi" w:cstheme="majorHAnsi"/>
          <w:sz w:val="20"/>
          <w:szCs w:val="20"/>
          <w:lang w:val="es-ES_tradnl"/>
        </w:rPr>
        <w:t xml:space="preserve"> un retardo injustificado en la decisión de amparo; y, alegadas deficiencias en el Estado dentro del registro de tierras, </w:t>
      </w:r>
      <w:r w:rsidR="003D72C7" w:rsidRPr="001B130F">
        <w:rPr>
          <w:rFonts w:asciiTheme="majorHAnsi" w:hAnsiTheme="majorHAnsi" w:cstheme="majorHAnsi"/>
          <w:sz w:val="20"/>
          <w:szCs w:val="20"/>
          <w:lang w:val="es-ES_tradnl"/>
        </w:rPr>
        <w:t>especialmente</w:t>
      </w:r>
      <w:r w:rsidR="0099711F" w:rsidRPr="001B130F">
        <w:rPr>
          <w:rFonts w:asciiTheme="majorHAnsi" w:hAnsiTheme="majorHAnsi" w:cstheme="majorHAnsi"/>
          <w:sz w:val="20"/>
          <w:szCs w:val="20"/>
          <w:lang w:val="es-ES_tradnl"/>
        </w:rPr>
        <w:t xml:space="preserve"> para las comunidades indígenas.</w:t>
      </w:r>
    </w:p>
    <w:p w14:paraId="2BD4391B" w14:textId="77777777" w:rsidR="0018120B" w:rsidRPr="001B130F" w:rsidRDefault="0018120B" w:rsidP="002017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hAnsiTheme="majorHAnsi" w:cstheme="majorHAnsi"/>
          <w:sz w:val="20"/>
          <w:szCs w:val="20"/>
          <w:lang w:val="es-ES_tradnl"/>
        </w:rPr>
        <w:t>Ante lo señalado y considerando los temas denunciados en la petición, la Comisión recuerda que, a través de informes y de sus distintos mecanismos</w:t>
      </w:r>
      <w:r w:rsidRPr="001B130F">
        <w:rPr>
          <w:rFonts w:asciiTheme="majorHAnsi" w:hAnsiTheme="majorHAnsi"/>
          <w:sz w:val="20"/>
          <w:szCs w:val="20"/>
          <w:vertAlign w:val="superscript"/>
          <w:lang w:val="es-ES_tradnl"/>
        </w:rPr>
        <w:footnoteReference w:id="21"/>
      </w:r>
      <w:r w:rsidRPr="001B130F">
        <w:rPr>
          <w:rFonts w:asciiTheme="majorHAnsi" w:hAnsiTheme="majorHAnsi" w:cstheme="majorHAnsi"/>
          <w:sz w:val="20"/>
          <w:szCs w:val="20"/>
          <w:lang w:val="es-ES_tradnl"/>
        </w:rPr>
        <w:t xml:space="preserve">, se ha advertido en repetidas ocasiones que los pueblos indígenas en Guatemala enfrentan los más altos índices de exclusión social y ha notado inseguridad jurídica en cuanto a la situación de la propiedad en Guatemala en relación con el respeto de los derechos históricos de los pueblos y comunidades indígenas sobre sus tierras y territorios. </w:t>
      </w:r>
    </w:p>
    <w:p w14:paraId="2243CC1B" w14:textId="77777777" w:rsidR="0018120B" w:rsidRPr="001B130F" w:rsidRDefault="0018120B" w:rsidP="002017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hAnsiTheme="majorHAnsi" w:cstheme="majorHAnsi"/>
          <w:sz w:val="20"/>
          <w:szCs w:val="20"/>
          <w:lang w:val="es-ES_tradnl"/>
        </w:rPr>
        <w:t>Por lo tanto, la CIDH subraya que el respeto y goce del derecho a la propiedad es uno de los desafíos fundamentales que enfrentan los pueblos y comunidades indígenas en Guatemala. En particular, la situación de la propiedad indígena se caracteriza por la falta de reconocimiento jurídico de las tierras y territorios históricamente ocupados; la extrema desigualdad en la distribución de la tierra; la inseguridad jurídica sobre su tenencia; la falta de un sistema catastral que reconozca el territorio ancestral y permita proteger las tierras pertenecientes a los pueblos indígenas; la titulación y registro de tierras comunitarias por terceros en forma anómala e ilegal; el hecho que el Estado considere que los recursos naturales son de su propiedad, entre otros</w:t>
      </w:r>
      <w:r w:rsidRPr="001B130F">
        <w:rPr>
          <w:rStyle w:val="FootnoteReference"/>
          <w:rFonts w:asciiTheme="majorHAnsi" w:hAnsiTheme="majorHAnsi" w:cstheme="majorHAnsi"/>
          <w:sz w:val="20"/>
          <w:szCs w:val="20"/>
        </w:rPr>
        <w:footnoteReference w:id="22"/>
      </w:r>
      <w:r w:rsidRPr="001B130F">
        <w:rPr>
          <w:rFonts w:asciiTheme="majorHAnsi" w:hAnsiTheme="majorHAnsi" w:cstheme="majorHAnsi"/>
          <w:sz w:val="20"/>
          <w:szCs w:val="20"/>
          <w:lang w:val="es-ES_tradnl"/>
        </w:rPr>
        <w:t>.</w:t>
      </w:r>
    </w:p>
    <w:p w14:paraId="101D331B" w14:textId="1F3ABE0F" w:rsidR="0018120B" w:rsidRPr="001B130F" w:rsidRDefault="0018120B" w:rsidP="002017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eastAsia="Arial Unicode MS" w:hAnsiTheme="majorHAnsi" w:cstheme="majorHAnsi"/>
          <w:sz w:val="20"/>
          <w:szCs w:val="20"/>
          <w:lang w:val="es-ES"/>
        </w:rPr>
        <w:t xml:space="preserve">Asimismo, </w:t>
      </w:r>
      <w:r w:rsidR="004808D5" w:rsidRPr="001B130F">
        <w:rPr>
          <w:rFonts w:asciiTheme="majorHAnsi" w:eastAsia="Arial Unicode MS" w:hAnsiTheme="majorHAnsi" w:cstheme="majorHAnsi"/>
          <w:sz w:val="20"/>
          <w:szCs w:val="20"/>
          <w:lang w:val="es-ES"/>
        </w:rPr>
        <w:t xml:space="preserve">y considerando lo señalado por el Estado de que </w:t>
      </w:r>
      <w:r w:rsidR="004808D5" w:rsidRPr="001B130F">
        <w:rPr>
          <w:rFonts w:asciiTheme="majorHAnsi" w:hAnsiTheme="majorHAnsi" w:cstheme="majorHAnsi"/>
          <w:bCs/>
          <w:sz w:val="20"/>
          <w:szCs w:val="20"/>
          <w:lang w:val="es-ES_tradnl"/>
        </w:rPr>
        <w:t xml:space="preserve">hay una falta de vínculo entre los hechos denunciados y que las presuntas víctimas pertenezcan a la etnia maya Quiché, </w:t>
      </w:r>
      <w:r w:rsidRPr="001B130F">
        <w:rPr>
          <w:rFonts w:asciiTheme="majorHAnsi" w:hAnsiTheme="majorHAnsi" w:cstheme="majorHAnsi"/>
          <w:sz w:val="20"/>
          <w:szCs w:val="20"/>
          <w:lang w:val="es-ES"/>
        </w:rPr>
        <w:t>la Comisión reitera la necesidad dentro del derecho internacional en general, y en el derecho interamericano específicamente, de protección especial para que los pueblos indígenas, a fin de que puedan ejercer sus derechos plena y equitativamente con el resto de la población.</w:t>
      </w:r>
      <w:bookmarkStart w:id="3" w:name="_ftnref19"/>
      <w:r w:rsidRPr="001B130F">
        <w:rPr>
          <w:rFonts w:asciiTheme="majorHAnsi" w:hAnsiTheme="majorHAnsi" w:cstheme="majorHAnsi"/>
          <w:sz w:val="20"/>
          <w:szCs w:val="20"/>
          <w:lang w:val="es-ES"/>
        </w:rPr>
        <w:fldChar w:fldCharType="begin"/>
      </w:r>
      <w:r w:rsidRPr="001B130F">
        <w:rPr>
          <w:rFonts w:asciiTheme="majorHAnsi" w:hAnsiTheme="majorHAnsi" w:cstheme="majorHAnsi"/>
          <w:sz w:val="20"/>
          <w:szCs w:val="20"/>
          <w:lang w:val="es-ES"/>
        </w:rPr>
        <w:instrText xml:space="preserve"> HYPERLINK "http://www.cidh.oas.org/annualrep/2007sp/Honduras1118.03sp.htm" \l "_ftn19" \o "" </w:instrText>
      </w:r>
      <w:r w:rsidRPr="001B130F">
        <w:rPr>
          <w:rFonts w:asciiTheme="majorHAnsi" w:hAnsiTheme="majorHAnsi" w:cstheme="majorHAnsi"/>
          <w:sz w:val="20"/>
          <w:szCs w:val="20"/>
          <w:lang w:val="es-ES"/>
        </w:rPr>
      </w:r>
      <w:r w:rsidRPr="001B130F">
        <w:rPr>
          <w:rFonts w:asciiTheme="majorHAnsi" w:hAnsiTheme="majorHAnsi" w:cstheme="majorHAnsi"/>
          <w:sz w:val="20"/>
          <w:szCs w:val="20"/>
          <w:lang w:val="es-ES"/>
        </w:rPr>
        <w:fldChar w:fldCharType="end"/>
      </w:r>
      <w:bookmarkEnd w:id="3"/>
      <w:r w:rsidRPr="001B130F">
        <w:rPr>
          <w:rFonts w:asciiTheme="majorHAnsi" w:hAnsiTheme="majorHAnsi" w:cstheme="majorHAnsi"/>
          <w:sz w:val="20"/>
          <w:szCs w:val="20"/>
          <w:lang w:val="es-ES"/>
        </w:rPr>
        <w:t xml:space="preserve"> Particularmente, en lo que respecta a pueblos indígenas, de acuerdo con lo establecido en el Convenio 169 de la OIT y en la Convención Americana de Derechos Humanos, es indispensable que los Estados otorguen una protección efectiva que tome en cuenta sus particularidades </w:t>
      </w:r>
      <w:r w:rsidRPr="001B130F">
        <w:rPr>
          <w:rFonts w:asciiTheme="majorHAnsi" w:hAnsiTheme="majorHAnsi" w:cstheme="majorHAnsi"/>
          <w:sz w:val="20"/>
          <w:szCs w:val="20"/>
          <w:lang w:val="es-ES"/>
        </w:rPr>
        <w:lastRenderedPageBreak/>
        <w:t>propias, sus características económicas y sociales, así como su situación de especial vulnerabilidad, su derecho consuetudinario, valores, usos y costumbres</w:t>
      </w:r>
      <w:r w:rsidRPr="001B130F">
        <w:rPr>
          <w:rStyle w:val="FootnoteReference"/>
          <w:rFonts w:asciiTheme="majorHAnsi" w:hAnsiTheme="majorHAnsi" w:cstheme="majorHAnsi"/>
          <w:color w:val="auto"/>
          <w:sz w:val="20"/>
          <w:szCs w:val="20"/>
          <w:lang w:val="es-ES"/>
        </w:rPr>
        <w:footnoteReference w:id="23"/>
      </w:r>
      <w:r w:rsidRPr="001B130F">
        <w:rPr>
          <w:rFonts w:asciiTheme="majorHAnsi" w:hAnsiTheme="majorHAnsi" w:cstheme="majorHAnsi"/>
          <w:sz w:val="20"/>
          <w:szCs w:val="20"/>
          <w:lang w:val="es-ES"/>
        </w:rPr>
        <w:t xml:space="preserve">. </w:t>
      </w:r>
    </w:p>
    <w:p w14:paraId="037D5FCA" w14:textId="77777777" w:rsidR="006A0AF3" w:rsidRPr="001B130F" w:rsidRDefault="0018120B" w:rsidP="006A0A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hAnsiTheme="majorHAnsi" w:cstheme="majorHAnsi"/>
          <w:sz w:val="20"/>
          <w:szCs w:val="20"/>
          <w:lang w:val="es-ES_tradnl"/>
        </w:rPr>
        <w:t>Finalmente, tomando en consideración que l</w:t>
      </w:r>
      <w:r w:rsidRPr="001B130F">
        <w:rPr>
          <w:rFonts w:asciiTheme="majorHAnsi" w:hAnsiTheme="majorHAnsi" w:cstheme="majorHAnsi"/>
          <w:sz w:val="20"/>
          <w:szCs w:val="20"/>
          <w:lang w:val="es-ES"/>
        </w:rPr>
        <w:t>as distintas fuentes al alcance de la CIDH indican que en Guatemala la alta inseguridad jurídica es uno de los principales problemas de la propiedad, en general, y de la propiedad indígena, en particular</w:t>
      </w:r>
      <w:r w:rsidRPr="001B130F">
        <w:rPr>
          <w:rFonts w:asciiTheme="majorHAnsi" w:hAnsiTheme="majorHAnsi" w:cstheme="majorHAnsi"/>
          <w:sz w:val="20"/>
          <w:szCs w:val="20"/>
          <w:lang w:val="es-ES_tradnl"/>
        </w:rPr>
        <w:t>; que G</w:t>
      </w:r>
      <w:r w:rsidRPr="001B130F">
        <w:rPr>
          <w:rFonts w:asciiTheme="majorHAnsi" w:hAnsiTheme="majorHAnsi" w:cstheme="majorHAnsi"/>
          <w:sz w:val="20"/>
          <w:szCs w:val="20"/>
          <w:lang w:val="es-ES"/>
        </w:rPr>
        <w:t>uatemala tiene además una alta tasa de falta de registro de la tierra y los espacios no se encuentran demarcados o delimitados</w:t>
      </w:r>
      <w:r w:rsidRPr="001B130F">
        <w:rPr>
          <w:rStyle w:val="FootnoteReference"/>
          <w:rFonts w:asciiTheme="majorHAnsi" w:hAnsiTheme="majorHAnsi" w:cstheme="majorHAnsi"/>
          <w:sz w:val="20"/>
          <w:szCs w:val="20"/>
        </w:rPr>
        <w:footnoteReference w:id="24"/>
      </w:r>
      <w:r w:rsidRPr="001B130F">
        <w:rPr>
          <w:rFonts w:asciiTheme="majorHAnsi" w:hAnsiTheme="majorHAnsi" w:cstheme="majorHAnsi"/>
          <w:sz w:val="20"/>
          <w:szCs w:val="20"/>
          <w:lang w:val="es-ES_tradnl"/>
        </w:rPr>
        <w:t xml:space="preserve">; y tras examinar los elementos de hecho y de derecho expuestos por las partes, esta Comisión estima que los alegatos de la parte peticionaria no resultan manifiestamente infundados y requieren un estudio de fondo, </w:t>
      </w:r>
      <w:r w:rsidRPr="001B130F">
        <w:rPr>
          <w:rFonts w:asciiTheme="majorHAnsi" w:hAnsiTheme="majorHAnsi" w:cstheme="majorHAnsi"/>
          <w:sz w:val="20"/>
          <w:szCs w:val="20"/>
          <w:lang w:val="es-ES"/>
        </w:rPr>
        <w:t>pues los hechos alegados, de corroborarse como ciertos podrían caracterizar violaciones a los</w:t>
      </w:r>
      <w:r w:rsidRPr="001B130F">
        <w:rPr>
          <w:rFonts w:asciiTheme="majorHAnsi" w:hAnsiTheme="majorHAnsi" w:cstheme="majorHAnsi"/>
          <w:sz w:val="20"/>
          <w:szCs w:val="20"/>
          <w:lang w:val="es-ES_tradnl"/>
        </w:rPr>
        <w:t xml:space="preserve"> artículos </w:t>
      </w:r>
      <w:r w:rsidRPr="001B130F">
        <w:rPr>
          <w:rFonts w:asciiTheme="majorHAnsi" w:hAnsiTheme="majorHAnsi" w:cstheme="majorHAnsi"/>
          <w:bCs/>
          <w:sz w:val="20"/>
          <w:szCs w:val="20"/>
          <w:lang w:val="es-ES_tradnl"/>
        </w:rPr>
        <w:t xml:space="preserve">8 (garantías judiciales), </w:t>
      </w:r>
      <w:r w:rsidRPr="001B130F">
        <w:rPr>
          <w:rFonts w:asciiTheme="majorHAnsi" w:hAnsiTheme="majorHAnsi" w:cstheme="majorHAnsi"/>
          <w:bCs/>
          <w:sz w:val="20"/>
          <w:szCs w:val="20"/>
          <w:lang w:val="es-ES"/>
        </w:rPr>
        <w:t>21 (derecho a la propiedad)</w:t>
      </w:r>
      <w:r w:rsidRPr="001B130F">
        <w:rPr>
          <w:rFonts w:asciiTheme="majorHAnsi" w:hAnsiTheme="majorHAnsi" w:cstheme="majorHAnsi"/>
          <w:bCs/>
          <w:sz w:val="20"/>
          <w:szCs w:val="20"/>
          <w:lang w:val="es-ES_tradnl"/>
        </w:rPr>
        <w:t>, 25 (protección judicial), y 26 (derechos económicos, sociales y culturales) de la Convención Americana, en relación con sus artículos 1.1 (obligación de respetar los derechos) y 2 (</w:t>
      </w:r>
      <w:r w:rsidRPr="001B130F">
        <w:rPr>
          <w:rFonts w:asciiTheme="majorHAnsi" w:hAnsiTheme="majorHAnsi" w:cstheme="majorHAnsi"/>
          <w:bCs/>
          <w:sz w:val="20"/>
          <w:szCs w:val="20"/>
          <w:lang w:val="es-ES"/>
        </w:rPr>
        <w:t>deber de adoptar disposiciones de derecho interno</w:t>
      </w:r>
      <w:r w:rsidRPr="001B130F">
        <w:rPr>
          <w:rFonts w:asciiTheme="majorHAnsi" w:hAnsiTheme="majorHAnsi" w:cstheme="majorHAnsi"/>
          <w:bCs/>
          <w:sz w:val="20"/>
          <w:szCs w:val="20"/>
          <w:lang w:val="es-ES_tradnl"/>
        </w:rPr>
        <w:t xml:space="preserve">) en perjuicio de las presuntas víctimas, pertenecientes a la etnia maya Quiché. </w:t>
      </w:r>
    </w:p>
    <w:p w14:paraId="69CB58C7" w14:textId="5BCDD7D1" w:rsidR="006A0AF3" w:rsidRPr="001B130F" w:rsidRDefault="006A0AF3" w:rsidP="006A0A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142" w:firstLine="567"/>
        <w:jc w:val="both"/>
        <w:rPr>
          <w:rFonts w:asciiTheme="majorHAnsi" w:hAnsiTheme="majorHAnsi" w:cstheme="minorBidi"/>
          <w:bCs/>
          <w:sz w:val="20"/>
          <w:szCs w:val="20"/>
          <w:lang w:val="es-ES_tradnl"/>
        </w:rPr>
      </w:pPr>
      <w:r w:rsidRPr="001B130F">
        <w:rPr>
          <w:rFonts w:asciiTheme="majorHAnsi" w:hAnsiTheme="majorHAnsi" w:cstheme="majorHAnsi"/>
          <w:bCs/>
          <w:sz w:val="20"/>
          <w:szCs w:val="20"/>
          <w:lang w:val="es-ES_tradnl"/>
        </w:rPr>
        <w:t>Respecto al artículo 26 de la Convención Americana, est</w:t>
      </w:r>
      <w:r w:rsidRPr="001B130F">
        <w:rPr>
          <w:sz w:val="20"/>
          <w:szCs w:val="20"/>
          <w:lang w:val="es-ES_tradnl"/>
        </w:rPr>
        <w:t>a Comisión recalca que los instrumentos jurídicos correspondientes no exigen a la parte peticionaria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1B130F">
        <w:rPr>
          <w:bCs/>
          <w:vertAlign w:val="superscript"/>
          <w:lang w:val="es-ES_tradnl"/>
        </w:rPr>
        <w:footnoteReference w:id="25"/>
      </w:r>
      <w:r w:rsidRPr="001B130F">
        <w:rPr>
          <w:sz w:val="20"/>
          <w:szCs w:val="20"/>
          <w:lang w:val="es-ES_tradnl"/>
        </w:rPr>
        <w:t>.</w:t>
      </w:r>
    </w:p>
    <w:p w14:paraId="445BF42E" w14:textId="30E59D92" w:rsidR="003239B8" w:rsidRPr="001B130F" w:rsidRDefault="003239B8" w:rsidP="0020170C">
      <w:pPr>
        <w:pStyle w:val="ListParagraph"/>
        <w:spacing w:before="240" w:after="240"/>
        <w:jc w:val="both"/>
        <w:rPr>
          <w:rFonts w:asciiTheme="majorHAnsi" w:hAnsiTheme="majorHAnsi"/>
          <w:b/>
          <w:bCs/>
          <w:sz w:val="20"/>
          <w:szCs w:val="20"/>
          <w:lang w:val="es-ES_tradnl"/>
        </w:rPr>
      </w:pPr>
      <w:r w:rsidRPr="001B130F">
        <w:rPr>
          <w:rFonts w:asciiTheme="majorHAnsi" w:hAnsiTheme="majorHAnsi"/>
          <w:b/>
          <w:bCs/>
          <w:sz w:val="20"/>
          <w:szCs w:val="20"/>
          <w:lang w:val="es-ES_tradnl"/>
        </w:rPr>
        <w:t>I</w:t>
      </w:r>
      <w:r w:rsidR="00B86D05">
        <w:rPr>
          <w:rFonts w:asciiTheme="majorHAnsi" w:hAnsiTheme="majorHAnsi"/>
          <w:b/>
          <w:bCs/>
          <w:sz w:val="20"/>
          <w:szCs w:val="20"/>
          <w:lang w:val="es-ES_tradnl"/>
        </w:rPr>
        <w:t>X</w:t>
      </w:r>
      <w:r w:rsidRPr="001B130F">
        <w:rPr>
          <w:rFonts w:asciiTheme="majorHAnsi" w:hAnsiTheme="majorHAnsi"/>
          <w:b/>
          <w:bCs/>
          <w:sz w:val="20"/>
          <w:szCs w:val="20"/>
          <w:lang w:val="es-ES_tradnl"/>
        </w:rPr>
        <w:t xml:space="preserve">. </w:t>
      </w:r>
      <w:r w:rsidRPr="001B130F">
        <w:rPr>
          <w:rFonts w:asciiTheme="majorHAnsi" w:hAnsiTheme="majorHAnsi"/>
          <w:b/>
          <w:bCs/>
          <w:sz w:val="20"/>
          <w:szCs w:val="20"/>
          <w:lang w:val="es-ES_tradnl"/>
        </w:rPr>
        <w:tab/>
        <w:t>DECISIÓN</w:t>
      </w:r>
    </w:p>
    <w:p w14:paraId="1517B660" w14:textId="3DCEB158" w:rsidR="003A6268" w:rsidRPr="001B130F" w:rsidRDefault="003239B8" w:rsidP="002017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B130F">
        <w:rPr>
          <w:rFonts w:asciiTheme="majorHAnsi" w:hAnsiTheme="majorHAnsi"/>
          <w:sz w:val="20"/>
          <w:szCs w:val="20"/>
          <w:lang w:val="es-ES_tradnl"/>
        </w:rPr>
        <w:t>Declarar admisible la presente petición en relación con</w:t>
      </w:r>
      <w:r w:rsidR="001D7F96" w:rsidRPr="001B130F">
        <w:rPr>
          <w:rFonts w:asciiTheme="majorHAnsi" w:hAnsiTheme="majorHAnsi"/>
          <w:sz w:val="20"/>
          <w:szCs w:val="20"/>
          <w:lang w:val="es-ES_tradnl"/>
        </w:rPr>
        <w:t xml:space="preserve"> </w:t>
      </w:r>
      <w:r w:rsidR="003A6268" w:rsidRPr="001B130F">
        <w:rPr>
          <w:rFonts w:asciiTheme="majorHAnsi" w:hAnsiTheme="majorHAnsi"/>
          <w:sz w:val="20"/>
          <w:szCs w:val="20"/>
          <w:lang w:val="es-ES_tradnl"/>
        </w:rPr>
        <w:t>los artículos</w:t>
      </w:r>
      <w:r w:rsidR="007B0A06" w:rsidRPr="001B130F">
        <w:rPr>
          <w:rFonts w:asciiTheme="majorHAnsi" w:hAnsiTheme="majorHAnsi"/>
          <w:sz w:val="20"/>
          <w:szCs w:val="20"/>
          <w:lang w:val="es-ES_tradnl"/>
        </w:rPr>
        <w:t xml:space="preserve"> 8</w:t>
      </w:r>
      <w:r w:rsidR="0018120B" w:rsidRPr="001B130F">
        <w:rPr>
          <w:rFonts w:asciiTheme="majorHAnsi" w:hAnsiTheme="majorHAnsi"/>
          <w:sz w:val="20"/>
          <w:szCs w:val="20"/>
          <w:lang w:val="es-ES_tradnl"/>
        </w:rPr>
        <w:t>, 21</w:t>
      </w:r>
      <w:r w:rsidR="00E05FA4" w:rsidRPr="001B130F">
        <w:rPr>
          <w:rFonts w:asciiTheme="majorHAnsi" w:hAnsiTheme="majorHAnsi"/>
          <w:sz w:val="20"/>
          <w:szCs w:val="20"/>
          <w:lang w:val="es-ES_tradnl"/>
        </w:rPr>
        <w:t>,</w:t>
      </w:r>
      <w:r w:rsidR="00BB01DC" w:rsidRPr="001B130F">
        <w:rPr>
          <w:rFonts w:asciiTheme="majorHAnsi" w:hAnsiTheme="majorHAnsi"/>
          <w:sz w:val="20"/>
          <w:szCs w:val="20"/>
          <w:lang w:val="es-ES_tradnl"/>
        </w:rPr>
        <w:t xml:space="preserve"> </w:t>
      </w:r>
      <w:r w:rsidR="007B0A06" w:rsidRPr="001B130F">
        <w:rPr>
          <w:rFonts w:asciiTheme="majorHAnsi" w:hAnsiTheme="majorHAnsi"/>
          <w:sz w:val="20"/>
          <w:szCs w:val="20"/>
          <w:lang w:val="es-ES_tradnl"/>
        </w:rPr>
        <w:t>2</w:t>
      </w:r>
      <w:r w:rsidR="00493BC9" w:rsidRPr="001B130F">
        <w:rPr>
          <w:rFonts w:asciiTheme="majorHAnsi" w:hAnsiTheme="majorHAnsi"/>
          <w:sz w:val="20"/>
          <w:szCs w:val="20"/>
          <w:lang w:val="es-ES_tradnl"/>
        </w:rPr>
        <w:t>5</w:t>
      </w:r>
      <w:r w:rsidR="00E05FA4" w:rsidRPr="001B130F">
        <w:rPr>
          <w:rFonts w:asciiTheme="majorHAnsi" w:hAnsiTheme="majorHAnsi"/>
          <w:sz w:val="20"/>
          <w:szCs w:val="20"/>
          <w:lang w:val="es-ES_tradnl"/>
        </w:rPr>
        <w:t xml:space="preserve"> y 26 </w:t>
      </w:r>
      <w:r w:rsidR="00450066" w:rsidRPr="001B130F">
        <w:rPr>
          <w:rFonts w:asciiTheme="majorHAnsi" w:hAnsiTheme="majorHAnsi"/>
          <w:sz w:val="20"/>
          <w:szCs w:val="20"/>
          <w:lang w:val="es-ES_tradnl"/>
        </w:rPr>
        <w:t xml:space="preserve">en relación con </w:t>
      </w:r>
      <w:r w:rsidR="00E05FA4" w:rsidRPr="001B130F">
        <w:rPr>
          <w:rFonts w:asciiTheme="majorHAnsi" w:hAnsiTheme="majorHAnsi"/>
          <w:sz w:val="20"/>
          <w:szCs w:val="20"/>
          <w:lang w:val="es-ES_tradnl"/>
        </w:rPr>
        <w:t>sus</w:t>
      </w:r>
      <w:r w:rsidR="00450066" w:rsidRPr="001B130F">
        <w:rPr>
          <w:rFonts w:asciiTheme="majorHAnsi" w:hAnsiTheme="majorHAnsi"/>
          <w:sz w:val="20"/>
          <w:szCs w:val="20"/>
          <w:lang w:val="es-ES_tradnl"/>
        </w:rPr>
        <w:t xml:space="preserve"> artículo</w:t>
      </w:r>
      <w:r w:rsidR="00E05FA4" w:rsidRPr="001B130F">
        <w:rPr>
          <w:rFonts w:asciiTheme="majorHAnsi" w:hAnsiTheme="majorHAnsi"/>
          <w:sz w:val="20"/>
          <w:szCs w:val="20"/>
          <w:lang w:val="es-ES_tradnl"/>
        </w:rPr>
        <w:t>s</w:t>
      </w:r>
      <w:r w:rsidR="00450066" w:rsidRPr="001B130F">
        <w:rPr>
          <w:rFonts w:asciiTheme="majorHAnsi" w:hAnsiTheme="majorHAnsi"/>
          <w:sz w:val="20"/>
          <w:szCs w:val="20"/>
          <w:lang w:val="es-ES_tradnl"/>
        </w:rPr>
        <w:t xml:space="preserve"> 1</w:t>
      </w:r>
      <w:r w:rsidR="00493BC9" w:rsidRPr="001B130F">
        <w:rPr>
          <w:rFonts w:asciiTheme="majorHAnsi" w:hAnsiTheme="majorHAnsi"/>
          <w:sz w:val="20"/>
          <w:szCs w:val="20"/>
          <w:lang w:val="es-ES_tradnl"/>
        </w:rPr>
        <w:t>.1</w:t>
      </w:r>
      <w:r w:rsidR="00E05FA4" w:rsidRPr="001B130F">
        <w:rPr>
          <w:rFonts w:asciiTheme="majorHAnsi" w:hAnsiTheme="majorHAnsi"/>
          <w:sz w:val="20"/>
          <w:szCs w:val="20"/>
          <w:lang w:val="es-ES_tradnl"/>
        </w:rPr>
        <w:t xml:space="preserve"> y 2</w:t>
      </w:r>
      <w:r w:rsidR="00A758AA" w:rsidRPr="001B130F">
        <w:rPr>
          <w:rFonts w:asciiTheme="majorHAnsi" w:hAnsiTheme="majorHAnsi"/>
          <w:sz w:val="20"/>
          <w:szCs w:val="20"/>
          <w:lang w:val="es-ES_tradnl"/>
        </w:rPr>
        <w:t>;</w:t>
      </w:r>
      <w:r w:rsidR="007B76D3" w:rsidRPr="001B130F">
        <w:rPr>
          <w:rFonts w:asciiTheme="majorHAnsi" w:hAnsiTheme="majorHAnsi"/>
          <w:sz w:val="20"/>
          <w:szCs w:val="20"/>
          <w:lang w:val="es-ES_tradnl"/>
        </w:rPr>
        <w:t xml:space="preserve"> </w:t>
      </w:r>
      <w:r w:rsidR="00B86D05">
        <w:rPr>
          <w:rFonts w:asciiTheme="majorHAnsi" w:hAnsiTheme="majorHAnsi"/>
          <w:sz w:val="20"/>
          <w:szCs w:val="20"/>
          <w:lang w:val="es-ES_tradnl"/>
        </w:rPr>
        <w:t>y</w:t>
      </w:r>
    </w:p>
    <w:p w14:paraId="02C904B2" w14:textId="4D287E41" w:rsidR="009A56CE" w:rsidRDefault="004A6A54" w:rsidP="002017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1B130F">
        <w:rPr>
          <w:rFonts w:asciiTheme="majorHAnsi" w:hAnsiTheme="majorHAnsi"/>
          <w:sz w:val="20"/>
          <w:szCs w:val="20"/>
          <w:lang w:val="es-ES_tradnl"/>
        </w:rPr>
        <w:t>Notificar a las partes la presente decisión; continuar con el análisis del fondo de la cuestión</w:t>
      </w:r>
      <w:r w:rsidR="00394073" w:rsidRPr="001B130F">
        <w:rPr>
          <w:rFonts w:asciiTheme="majorHAnsi" w:hAnsiTheme="majorHAnsi"/>
          <w:sz w:val="20"/>
          <w:szCs w:val="20"/>
          <w:lang w:val="es-ES_tradnl"/>
        </w:rPr>
        <w:t xml:space="preserve"> </w:t>
      </w:r>
      <w:r w:rsidRPr="001B130F">
        <w:rPr>
          <w:rFonts w:asciiTheme="majorHAnsi" w:hAnsiTheme="majorHAnsi"/>
          <w:sz w:val="20"/>
          <w:szCs w:val="20"/>
          <w:lang w:val="es-ES_tradnl"/>
        </w:rPr>
        <w:t>y publicar esta decisión e incluirla en su Informe Anual a la Asamblea General de la Organización de los Estados Americanos.</w:t>
      </w:r>
    </w:p>
    <w:p w14:paraId="57913B6A" w14:textId="6809CCB1" w:rsidR="00055389" w:rsidRPr="002A73EC" w:rsidRDefault="00055389" w:rsidP="002A73EC">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11162E">
        <w:rPr>
          <w:rStyle w:val="normaltextrun"/>
          <w:rFonts w:ascii="Cambria" w:hAnsi="Cambria" w:cs="Segoe UI"/>
          <w:sz w:val="20"/>
          <w:szCs w:val="20"/>
          <w:lang w:val="es-CL"/>
        </w:rPr>
        <w:t>16</w:t>
      </w:r>
      <w:r>
        <w:rPr>
          <w:rStyle w:val="normaltextrun"/>
          <w:rFonts w:ascii="Cambria" w:hAnsi="Cambria" w:cs="Segoe UI"/>
          <w:sz w:val="20"/>
          <w:szCs w:val="20"/>
          <w:lang w:val="es-CL"/>
        </w:rPr>
        <w:t xml:space="preserve"> días del mes de </w:t>
      </w:r>
      <w:r w:rsidR="0011162E">
        <w:rPr>
          <w:rStyle w:val="normaltextrun"/>
          <w:rFonts w:ascii="Cambria" w:hAnsi="Cambria" w:cs="Segoe UI"/>
          <w:sz w:val="20"/>
          <w:szCs w:val="20"/>
          <w:lang w:val="es-CL"/>
        </w:rPr>
        <w:t>diciembre</w:t>
      </w:r>
      <w:r>
        <w:rPr>
          <w:rStyle w:val="normaltextrun"/>
          <w:rFonts w:ascii="Cambria" w:hAnsi="Cambria" w:cs="Segoe UI"/>
          <w:sz w:val="20"/>
          <w:szCs w:val="20"/>
          <w:lang w:val="es-CL"/>
        </w:rPr>
        <w:t xml:space="preserve"> de 2023.  (Firmado): Esmeralda Arosemena de Troitiño, Primera Vicepresidenta; Julissa Mantilla Falcón,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w:t>
      </w:r>
      <w:r w:rsidR="002A73E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055389" w:rsidRPr="002A73EC" w:rsidSect="00AC57D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6FFE" w14:textId="77777777" w:rsidR="00AC57D2" w:rsidRDefault="00AC57D2">
      <w:r>
        <w:separator/>
      </w:r>
    </w:p>
  </w:endnote>
  <w:endnote w:type="continuationSeparator" w:id="0">
    <w:p w14:paraId="40713840" w14:textId="77777777" w:rsidR="00AC57D2" w:rsidRDefault="00AC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4343" w14:textId="77777777" w:rsidR="00AC57D2" w:rsidRPr="000F35ED" w:rsidRDefault="00AC57D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39EF96" w14:textId="77777777" w:rsidR="00AC57D2" w:rsidRPr="000F35ED" w:rsidRDefault="00AC57D2" w:rsidP="000F35ED">
      <w:pPr>
        <w:rPr>
          <w:rFonts w:asciiTheme="majorHAnsi" w:hAnsiTheme="majorHAnsi"/>
          <w:sz w:val="16"/>
          <w:szCs w:val="16"/>
        </w:rPr>
      </w:pPr>
      <w:r w:rsidRPr="000F35ED">
        <w:rPr>
          <w:rFonts w:asciiTheme="majorHAnsi" w:hAnsiTheme="majorHAnsi"/>
          <w:sz w:val="16"/>
          <w:szCs w:val="16"/>
        </w:rPr>
        <w:separator/>
      </w:r>
    </w:p>
    <w:p w14:paraId="48A90C82" w14:textId="77777777" w:rsidR="00AC57D2" w:rsidRPr="000F35ED" w:rsidRDefault="00AC57D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FA11AC2" w14:textId="77777777" w:rsidR="00AC57D2" w:rsidRPr="000F35ED" w:rsidRDefault="00AC57D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5C06DC7" w14:textId="77777777" w:rsidR="007D37D7" w:rsidRPr="001B130F" w:rsidRDefault="007D37D7" w:rsidP="000D106B">
      <w:pPr>
        <w:pStyle w:val="FootnoteText"/>
        <w:ind w:firstLine="709"/>
        <w:jc w:val="both"/>
        <w:rPr>
          <w:rFonts w:asciiTheme="majorHAnsi" w:hAnsiTheme="majorHAnsi"/>
          <w:sz w:val="16"/>
          <w:szCs w:val="16"/>
          <w:lang w:val="es-ES_tradnl"/>
        </w:rPr>
      </w:pPr>
      <w:r w:rsidRPr="001B130F">
        <w:rPr>
          <w:rStyle w:val="FootnoteReference"/>
          <w:rFonts w:asciiTheme="majorHAnsi" w:hAnsiTheme="majorHAnsi"/>
          <w:sz w:val="16"/>
          <w:szCs w:val="16"/>
        </w:rPr>
        <w:footnoteRef/>
      </w:r>
      <w:r w:rsidRPr="001B130F">
        <w:rPr>
          <w:rFonts w:asciiTheme="majorHAnsi" w:hAnsiTheme="majorHAnsi"/>
          <w:sz w:val="16"/>
          <w:szCs w:val="16"/>
          <w:lang w:val="es-ES"/>
        </w:rPr>
        <w:t xml:space="preserve"> La parte peticionaria informa que el señor Martín Zapil Poz falleció el 20 de marzo de 2018. </w:t>
      </w:r>
    </w:p>
  </w:footnote>
  <w:footnote w:id="3">
    <w:p w14:paraId="7443EF75" w14:textId="78D5CEB9" w:rsidR="0017681E" w:rsidRPr="001B130F" w:rsidRDefault="0017681E" w:rsidP="000D106B">
      <w:pPr>
        <w:pStyle w:val="FootnoteText"/>
        <w:ind w:firstLine="709"/>
        <w:jc w:val="both"/>
        <w:rPr>
          <w:rFonts w:asciiTheme="majorHAnsi" w:hAnsiTheme="majorHAnsi"/>
          <w:sz w:val="16"/>
          <w:szCs w:val="16"/>
          <w:lang w:val="es-ES_tradnl"/>
        </w:rPr>
      </w:pPr>
      <w:r w:rsidRPr="001B130F">
        <w:rPr>
          <w:rStyle w:val="FootnoteReference"/>
          <w:rFonts w:asciiTheme="majorHAnsi" w:hAnsiTheme="majorHAnsi"/>
          <w:sz w:val="16"/>
          <w:szCs w:val="16"/>
        </w:rPr>
        <w:footnoteRef/>
      </w:r>
      <w:r w:rsidRPr="001B130F">
        <w:rPr>
          <w:rFonts w:asciiTheme="majorHAnsi" w:hAnsiTheme="majorHAnsi"/>
          <w:sz w:val="16"/>
          <w:szCs w:val="16"/>
          <w:lang w:val="es-ES"/>
        </w:rPr>
        <w:t xml:space="preserve"> Conforme a lo dispuesto en el artículo 17.2.a del Reglamento de la Comisión, el Comisionado Edgar Stuardo Ralón Orellana, de nacionalidad guatemalteca, no participó en el debate ni en la decisión del presente asunto.</w:t>
      </w:r>
    </w:p>
  </w:footnote>
  <w:footnote w:id="4">
    <w:p w14:paraId="5680E637" w14:textId="77777777" w:rsidR="00383298" w:rsidRPr="001B130F" w:rsidRDefault="00383298" w:rsidP="000D106B">
      <w:pPr>
        <w:pStyle w:val="FootnoteText"/>
        <w:ind w:firstLine="720"/>
        <w:jc w:val="both"/>
        <w:rPr>
          <w:rFonts w:asciiTheme="majorHAnsi" w:hAnsiTheme="majorHAnsi"/>
          <w:sz w:val="16"/>
          <w:szCs w:val="16"/>
          <w:lang w:val="es-CO"/>
        </w:rPr>
      </w:pPr>
      <w:r w:rsidRPr="001B130F">
        <w:rPr>
          <w:rStyle w:val="FootnoteReference"/>
          <w:rFonts w:asciiTheme="majorHAnsi" w:hAnsiTheme="majorHAnsi"/>
          <w:sz w:val="16"/>
          <w:szCs w:val="16"/>
        </w:rPr>
        <w:footnoteRef/>
      </w:r>
      <w:r w:rsidRPr="001B130F">
        <w:rPr>
          <w:rFonts w:asciiTheme="majorHAnsi" w:hAnsiTheme="majorHAnsi"/>
          <w:sz w:val="16"/>
          <w:szCs w:val="16"/>
          <w:lang w:val="es-CO"/>
        </w:rPr>
        <w:t xml:space="preserve"> En adelante, “la Convención Americana” o “la Convención”.</w:t>
      </w:r>
    </w:p>
  </w:footnote>
  <w:footnote w:id="5">
    <w:p w14:paraId="1AFEF3B0" w14:textId="269FCD1B" w:rsidR="008E3BFE" w:rsidRPr="001B130F" w:rsidRDefault="008E3BFE" w:rsidP="000D106B">
      <w:pPr>
        <w:pStyle w:val="FootnoteText"/>
        <w:ind w:firstLine="720"/>
        <w:jc w:val="both"/>
        <w:rPr>
          <w:rFonts w:asciiTheme="majorHAnsi" w:hAnsiTheme="majorHAnsi"/>
          <w:sz w:val="16"/>
          <w:szCs w:val="16"/>
          <w:lang w:val="es-ES"/>
        </w:rPr>
      </w:pPr>
      <w:r w:rsidRPr="001B130F">
        <w:rPr>
          <w:rStyle w:val="FootnoteReference"/>
          <w:rFonts w:asciiTheme="majorHAnsi" w:hAnsiTheme="majorHAnsi"/>
          <w:sz w:val="16"/>
          <w:szCs w:val="16"/>
        </w:rPr>
        <w:footnoteRef/>
      </w:r>
      <w:r w:rsidRPr="001B130F">
        <w:rPr>
          <w:rFonts w:asciiTheme="majorHAnsi" w:hAnsiTheme="majorHAnsi"/>
          <w:sz w:val="16"/>
          <w:szCs w:val="16"/>
          <w:lang w:val="es-ES"/>
        </w:rPr>
        <w:t xml:space="preserve"> Las observaciones de cada parte fueron debidamente trasladadas a la parte contraria.</w:t>
      </w:r>
      <w:r w:rsidR="009A56CE" w:rsidRPr="001B130F">
        <w:rPr>
          <w:rFonts w:asciiTheme="majorHAnsi" w:hAnsiTheme="majorHAnsi"/>
          <w:sz w:val="16"/>
          <w:szCs w:val="16"/>
          <w:lang w:val="es-ES"/>
        </w:rPr>
        <w:t xml:space="preserve"> </w:t>
      </w:r>
    </w:p>
  </w:footnote>
  <w:footnote w:id="6">
    <w:p w14:paraId="69228967" w14:textId="2AF8206C" w:rsidR="00B76A62" w:rsidRPr="001B130F" w:rsidRDefault="00B76A62" w:rsidP="000D106B">
      <w:pPr>
        <w:pStyle w:val="FootnoteText"/>
        <w:ind w:firstLine="709"/>
        <w:jc w:val="both"/>
        <w:rPr>
          <w:rFonts w:asciiTheme="majorHAnsi" w:hAnsiTheme="majorHAnsi"/>
          <w:sz w:val="16"/>
          <w:szCs w:val="16"/>
          <w:lang w:val="es-ES"/>
        </w:rPr>
      </w:pPr>
      <w:r w:rsidRPr="001B130F">
        <w:rPr>
          <w:rStyle w:val="FootnoteReference"/>
          <w:rFonts w:asciiTheme="majorHAnsi" w:hAnsiTheme="majorHAnsi"/>
          <w:sz w:val="16"/>
          <w:szCs w:val="16"/>
        </w:rPr>
        <w:footnoteRef/>
      </w:r>
      <w:r w:rsidRPr="001B130F">
        <w:rPr>
          <w:rFonts w:asciiTheme="majorHAnsi" w:hAnsiTheme="majorHAnsi"/>
          <w:sz w:val="16"/>
          <w:szCs w:val="16"/>
          <w:lang w:val="es-ES"/>
        </w:rPr>
        <w:t xml:space="preserve"> </w:t>
      </w:r>
      <w:r w:rsidRPr="001B130F">
        <w:rPr>
          <w:rFonts w:asciiTheme="majorHAnsi" w:hAnsiTheme="majorHAnsi"/>
          <w:bCs/>
          <w:sz w:val="16"/>
          <w:szCs w:val="16"/>
          <w:lang w:val="es-ES_tradnl"/>
        </w:rPr>
        <w:t>El 14 de diciembre de 2021 el Estado pidió una prórroga de un mes para la presentación de sus observaciones.</w:t>
      </w:r>
    </w:p>
  </w:footnote>
  <w:footnote w:id="7">
    <w:p w14:paraId="356E0BD4" w14:textId="77777777" w:rsidR="009B4E99" w:rsidRPr="001B130F" w:rsidRDefault="009B4E99" w:rsidP="000D106B">
      <w:pPr>
        <w:pStyle w:val="FootnoteText"/>
        <w:ind w:firstLine="709"/>
        <w:jc w:val="both"/>
        <w:rPr>
          <w:rFonts w:asciiTheme="majorHAnsi" w:hAnsiTheme="majorHAnsi" w:cstheme="majorHAnsi"/>
          <w:sz w:val="16"/>
          <w:szCs w:val="16"/>
          <w:lang w:val="es-ES_tradnl"/>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w:t>
      </w:r>
      <w:r w:rsidRPr="001B130F">
        <w:rPr>
          <w:rFonts w:asciiTheme="majorHAnsi" w:hAnsiTheme="majorHAnsi" w:cstheme="majorHAnsi"/>
          <w:sz w:val="16"/>
          <w:szCs w:val="16"/>
          <w:lang w:val="es-ES_tradnl"/>
        </w:rPr>
        <w:t xml:space="preserve">Los peticionarios se refieren a la tormenta tropical </w:t>
      </w:r>
      <w:r w:rsidRPr="001B130F">
        <w:rPr>
          <w:rFonts w:asciiTheme="majorHAnsi" w:hAnsiTheme="majorHAnsi" w:cstheme="majorHAnsi"/>
          <w:i/>
          <w:iCs/>
          <w:sz w:val="16"/>
          <w:szCs w:val="16"/>
          <w:lang w:val="es-ES_tradnl"/>
        </w:rPr>
        <w:t>Agatha</w:t>
      </w:r>
      <w:r w:rsidRPr="001B130F">
        <w:rPr>
          <w:rFonts w:asciiTheme="majorHAnsi" w:hAnsiTheme="majorHAnsi" w:cstheme="majorHAnsi"/>
          <w:sz w:val="16"/>
          <w:szCs w:val="16"/>
          <w:lang w:val="es-ES_tradnl"/>
        </w:rPr>
        <w:t xml:space="preserve"> del 29 de mayo de 2010. </w:t>
      </w:r>
    </w:p>
  </w:footnote>
  <w:footnote w:id="8">
    <w:p w14:paraId="51C9D90F" w14:textId="77777777" w:rsidR="00B64DD4" w:rsidRPr="001B130F" w:rsidRDefault="00B64DD4" w:rsidP="00B64DD4">
      <w:pPr>
        <w:pStyle w:val="FootnoteText"/>
        <w:ind w:firstLine="709"/>
        <w:jc w:val="both"/>
        <w:rPr>
          <w:rFonts w:asciiTheme="majorHAnsi" w:hAnsiTheme="majorHAnsi"/>
          <w:sz w:val="16"/>
          <w:szCs w:val="16"/>
          <w:lang w:val="es-ES"/>
        </w:rPr>
      </w:pPr>
      <w:r w:rsidRPr="001B130F">
        <w:rPr>
          <w:rStyle w:val="FootnoteReference"/>
          <w:rFonts w:asciiTheme="majorHAnsi" w:hAnsiTheme="majorHAnsi"/>
          <w:sz w:val="16"/>
          <w:szCs w:val="16"/>
        </w:rPr>
        <w:footnoteRef/>
      </w:r>
      <w:r w:rsidRPr="001B130F">
        <w:rPr>
          <w:rFonts w:asciiTheme="majorHAnsi" w:hAnsiTheme="majorHAnsi"/>
          <w:sz w:val="16"/>
          <w:szCs w:val="16"/>
          <w:lang w:val="es-ES"/>
        </w:rPr>
        <w:t xml:space="preserve"> El tercero en su presentación de demanda del 25 de junio de 2013 ante el Juzgado de Primera Instancia del Ramo Civil de Quetzaltenango, indicó que adquirió la propiedad por compraventa de un título hecho en 1983 ante el Segundo Registro de la Propiedad (Asiento 398 del folio 359 del diario 287 general), y vendido en dos ocasiones anteriores, hasta llegar a su posesión. </w:t>
      </w:r>
    </w:p>
  </w:footnote>
  <w:footnote w:id="9">
    <w:p w14:paraId="59C8A32C" w14:textId="77777777" w:rsidR="009B4E99" w:rsidRPr="001B130F" w:rsidRDefault="009B4E99" w:rsidP="000D106B">
      <w:pPr>
        <w:ind w:firstLine="709"/>
        <w:jc w:val="both"/>
        <w:rPr>
          <w:rFonts w:asciiTheme="majorHAnsi" w:hAnsiTheme="majorHAnsi" w:cstheme="majorHAnsi"/>
          <w:sz w:val="16"/>
          <w:szCs w:val="16"/>
          <w:lang w:val="es-ES_tradnl"/>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w:t>
      </w:r>
      <w:r w:rsidRPr="001B130F">
        <w:rPr>
          <w:rFonts w:asciiTheme="majorHAnsi" w:eastAsia="Calibri" w:hAnsiTheme="majorHAnsi" w:cstheme="majorHAnsi"/>
          <w:color w:val="000000"/>
          <w:sz w:val="16"/>
          <w:szCs w:val="16"/>
          <w:u w:color="000000"/>
          <w:lang w:val="es-ES_tradnl" w:eastAsia="es-ES"/>
        </w:rPr>
        <w:t xml:space="preserve">Indicó la Sala Cuarta que conforme a los documentos aportados por los litigantes </w:t>
      </w:r>
      <w:r w:rsidRPr="001B130F">
        <w:rPr>
          <w:rFonts w:asciiTheme="majorHAnsi" w:eastAsia="Calibri" w:hAnsiTheme="majorHAnsi" w:cstheme="majorHAnsi"/>
          <w:i/>
          <w:iCs/>
          <w:color w:val="000000"/>
          <w:sz w:val="16"/>
          <w:szCs w:val="16"/>
          <w:u w:color="000000"/>
          <w:lang w:val="es-ES_tradnl" w:eastAsia="es-ES"/>
        </w:rPr>
        <w:t>“no existe coincidencia total entre las características de ambos inmuebles, ello es entendible en virtud de que el actor en ningún momento afirmó que lo titulado por los demandados coincida exactamente con la totalidad del bien inmueble que les pertenece, sino que solamente corresponde a una parte</w:t>
      </w:r>
      <w:r w:rsidRPr="001B130F">
        <w:rPr>
          <w:rFonts w:asciiTheme="majorHAnsi" w:eastAsia="Calibri" w:hAnsiTheme="majorHAnsi" w:cstheme="majorHAnsi"/>
          <w:color w:val="000000"/>
          <w:sz w:val="16"/>
          <w:szCs w:val="16"/>
          <w:u w:color="000000"/>
          <w:lang w:val="es-ES_tradnl" w:eastAsia="es-ES"/>
        </w:rPr>
        <w:t>”.</w:t>
      </w:r>
      <w:r w:rsidRPr="001B130F">
        <w:rPr>
          <w:rFonts w:asciiTheme="majorHAnsi" w:hAnsiTheme="majorHAnsi" w:cstheme="majorHAnsi"/>
          <w:i/>
          <w:iCs/>
          <w:sz w:val="16"/>
          <w:szCs w:val="16"/>
          <w:lang w:val="es-ES_tradnl"/>
        </w:rPr>
        <w:t xml:space="preserve"> </w:t>
      </w:r>
    </w:p>
  </w:footnote>
  <w:footnote w:id="10">
    <w:p w14:paraId="0128C30D" w14:textId="77777777" w:rsidR="009B4E99" w:rsidRPr="001B130F" w:rsidRDefault="009B4E99" w:rsidP="000D106B">
      <w:pPr>
        <w:pStyle w:val="FootnoteText"/>
        <w:ind w:firstLine="709"/>
        <w:jc w:val="both"/>
        <w:rPr>
          <w:rFonts w:asciiTheme="majorHAnsi" w:hAnsiTheme="majorHAnsi" w:cstheme="majorHAnsi"/>
          <w:sz w:val="16"/>
          <w:szCs w:val="16"/>
          <w:lang w:val="es-ES"/>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w:t>
      </w:r>
      <w:r w:rsidRPr="001B130F">
        <w:rPr>
          <w:rFonts w:asciiTheme="majorHAnsi" w:hAnsiTheme="majorHAnsi" w:cstheme="majorHAnsi"/>
          <w:sz w:val="16"/>
          <w:szCs w:val="16"/>
          <w:lang w:val="es-ES_tradnl"/>
        </w:rPr>
        <w:t>Conforme a documento anexo de la sentencia del 6 de mayo de 2016 de la Sala Cuarta de la Corte de Apelaciones del Ramo Civil, Mercantil y Familia de Quetzaltenango, expediente 09006-2013-00613-3 Oficial 1a.</w:t>
      </w:r>
    </w:p>
  </w:footnote>
  <w:footnote w:id="11">
    <w:p w14:paraId="13CF8B10" w14:textId="77777777" w:rsidR="009B4E99" w:rsidRPr="001B130F" w:rsidRDefault="009B4E99" w:rsidP="000D106B">
      <w:pPr>
        <w:pStyle w:val="FootnoteText"/>
        <w:ind w:firstLine="709"/>
        <w:jc w:val="both"/>
        <w:rPr>
          <w:rFonts w:asciiTheme="majorHAnsi" w:hAnsiTheme="majorHAnsi" w:cstheme="majorHAnsi"/>
          <w:sz w:val="16"/>
          <w:szCs w:val="16"/>
          <w:lang w:val="es-ES_tradnl"/>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w:t>
      </w:r>
      <w:r w:rsidRPr="001B130F">
        <w:rPr>
          <w:rFonts w:asciiTheme="majorHAnsi" w:hAnsiTheme="majorHAnsi" w:cstheme="majorHAnsi"/>
          <w:sz w:val="16"/>
          <w:szCs w:val="16"/>
          <w:lang w:val="es-ES_tradnl"/>
        </w:rPr>
        <w:t xml:space="preserve">Según documento anexo de la decisión emitida por la Corte Suprema de Justicia decidiendo sobre el recurso de casación No. 01002-2016-00375, el 22 de febrero de 2017.  </w:t>
      </w:r>
    </w:p>
  </w:footnote>
  <w:footnote w:id="12">
    <w:p w14:paraId="1C16A747" w14:textId="77777777" w:rsidR="009B4E99" w:rsidRPr="001B130F" w:rsidRDefault="009B4E99" w:rsidP="000D106B">
      <w:pPr>
        <w:pStyle w:val="FootnoteText"/>
        <w:ind w:firstLine="709"/>
        <w:jc w:val="both"/>
        <w:rPr>
          <w:rFonts w:asciiTheme="majorHAnsi" w:hAnsiTheme="majorHAnsi" w:cstheme="majorHAnsi"/>
          <w:sz w:val="16"/>
          <w:szCs w:val="16"/>
          <w:lang w:val="es-ES"/>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El Estado difiere con esta fecha y señala que en realidad se interpuso el 6 de abril de 2017.</w:t>
      </w:r>
    </w:p>
  </w:footnote>
  <w:footnote w:id="13">
    <w:p w14:paraId="2C1C1231" w14:textId="77777777" w:rsidR="009B4E99" w:rsidRPr="001B130F" w:rsidRDefault="009B4E99" w:rsidP="000D106B">
      <w:pPr>
        <w:pStyle w:val="FootnoteText"/>
        <w:ind w:firstLine="709"/>
        <w:jc w:val="both"/>
        <w:rPr>
          <w:rFonts w:asciiTheme="majorHAnsi" w:hAnsiTheme="majorHAnsi" w:cstheme="majorHAnsi"/>
          <w:sz w:val="16"/>
          <w:szCs w:val="16"/>
          <w:lang w:val="es-ES_tradnl"/>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w:t>
      </w:r>
      <w:r w:rsidRPr="001B130F">
        <w:rPr>
          <w:rFonts w:asciiTheme="majorHAnsi" w:hAnsiTheme="majorHAnsi" w:cstheme="majorHAnsi"/>
          <w:sz w:val="16"/>
          <w:szCs w:val="16"/>
          <w:lang w:val="es-ES_tradnl"/>
        </w:rPr>
        <w:t xml:space="preserve">Conforme al copia anexa de la sentencia del recurso de casación No. 01002-2016-00375, emitido el 14 de diciembre de 2018 por la Cámara Civil de la Corte Suprema de Justicia. </w:t>
      </w:r>
    </w:p>
  </w:footnote>
  <w:footnote w:id="14">
    <w:p w14:paraId="48DF184A" w14:textId="2A7FECCD" w:rsidR="001B7057" w:rsidRPr="001B130F" w:rsidRDefault="001B7057" w:rsidP="000D106B">
      <w:pPr>
        <w:pStyle w:val="FootnoteText"/>
        <w:ind w:firstLine="709"/>
        <w:jc w:val="both"/>
        <w:rPr>
          <w:rFonts w:ascii="Cambria" w:hAnsi="Cambria"/>
          <w:i/>
          <w:iCs/>
          <w:sz w:val="16"/>
          <w:szCs w:val="16"/>
          <w:lang w:val="es-ES_tradnl"/>
        </w:rPr>
      </w:pPr>
      <w:r w:rsidRPr="001B130F">
        <w:rPr>
          <w:rStyle w:val="FootnoteReference"/>
          <w:rFonts w:ascii="Cambria" w:hAnsi="Cambria"/>
          <w:sz w:val="16"/>
          <w:szCs w:val="16"/>
        </w:rPr>
        <w:footnoteRef/>
      </w:r>
      <w:r w:rsidRPr="001B130F">
        <w:rPr>
          <w:rFonts w:ascii="Cambria" w:hAnsi="Cambria"/>
          <w:i/>
          <w:iCs/>
          <w:sz w:val="16"/>
          <w:szCs w:val="16"/>
          <w:lang w:val="es-ES"/>
        </w:rPr>
        <w:t xml:space="preserve"> </w:t>
      </w:r>
      <w:r w:rsidRPr="001B130F">
        <w:rPr>
          <w:rFonts w:asciiTheme="majorHAnsi" w:hAnsiTheme="majorHAnsi" w:cstheme="majorHAnsi"/>
          <w:sz w:val="16"/>
          <w:szCs w:val="16"/>
          <w:lang w:val="es-ES_tradnl"/>
        </w:rPr>
        <w:t xml:space="preserve">Las presuntas víctimas narran: </w:t>
      </w:r>
      <w:r w:rsidRPr="001B130F">
        <w:rPr>
          <w:rFonts w:asciiTheme="majorHAnsi" w:hAnsiTheme="majorHAnsi" w:cstheme="majorHAnsi"/>
          <w:i/>
          <w:iCs/>
          <w:sz w:val="16"/>
          <w:szCs w:val="16"/>
          <w:lang w:val="es-ES_tradnl"/>
        </w:rPr>
        <w:t>“[c]omo parte de nuestras tradiciones juntamente con mi familia hemos tenido en posesión un inmueble ubicado en el municipio de Zunil, departamento de Quetzaltenango, específicamente en un lugar denominado Xe-Q ́alibal, el cual desde pequeño hemos visitado y tenemos pleno conocimiento de las características del inmueble según se ha manifestado durante los trámites procesales que se han desarrollado dentro del presente caso”</w:t>
      </w:r>
      <w:r w:rsidRPr="001B130F">
        <w:rPr>
          <w:rFonts w:asciiTheme="majorHAnsi" w:hAnsiTheme="majorHAnsi" w:cstheme="majorHAnsi"/>
          <w:sz w:val="16"/>
          <w:szCs w:val="16"/>
          <w:lang w:val="es-ES_tradnl"/>
        </w:rPr>
        <w:t>.</w:t>
      </w:r>
    </w:p>
  </w:footnote>
  <w:footnote w:id="15">
    <w:p w14:paraId="4BF2B742" w14:textId="77777777" w:rsidR="009B4E99" w:rsidRPr="001B130F" w:rsidRDefault="009B4E99" w:rsidP="000D106B">
      <w:pPr>
        <w:ind w:firstLine="709"/>
        <w:jc w:val="both"/>
        <w:rPr>
          <w:rFonts w:asciiTheme="majorHAnsi" w:hAnsiTheme="majorHAnsi" w:cstheme="majorHAnsi"/>
          <w:bCs/>
          <w:sz w:val="16"/>
          <w:szCs w:val="16"/>
          <w:lang w:val="es-ES_tradnl"/>
        </w:rPr>
      </w:pPr>
      <w:r w:rsidRPr="001B130F">
        <w:rPr>
          <w:rStyle w:val="FootnoteReference"/>
          <w:rFonts w:asciiTheme="majorHAnsi" w:hAnsiTheme="majorHAnsi" w:cstheme="majorHAnsi"/>
          <w:sz w:val="16"/>
          <w:szCs w:val="16"/>
        </w:rPr>
        <w:footnoteRef/>
      </w:r>
      <w:r w:rsidRPr="001B130F">
        <w:rPr>
          <w:rFonts w:asciiTheme="majorHAnsi" w:hAnsiTheme="majorHAnsi" w:cstheme="majorHAnsi"/>
          <w:sz w:val="16"/>
          <w:szCs w:val="16"/>
          <w:lang w:val="es-ES"/>
        </w:rPr>
        <w:t xml:space="preserve"> </w:t>
      </w:r>
      <w:r w:rsidRPr="001B130F">
        <w:rPr>
          <w:rFonts w:asciiTheme="majorHAnsi" w:hAnsiTheme="majorHAnsi" w:cstheme="majorHAnsi"/>
          <w:bCs/>
          <w:sz w:val="16"/>
          <w:szCs w:val="16"/>
          <w:lang w:val="es-ES_tradnl"/>
        </w:rPr>
        <w:t xml:space="preserve">El Estado refiere al artículo 633 del Código Civil, Decreto Número 106 que indica que, </w:t>
      </w:r>
      <w:r w:rsidRPr="001B130F">
        <w:rPr>
          <w:rFonts w:asciiTheme="majorHAnsi" w:hAnsiTheme="majorHAnsi" w:cstheme="majorHAnsi"/>
          <w:bCs/>
          <w:i/>
          <w:iCs/>
          <w:sz w:val="16"/>
          <w:szCs w:val="16"/>
          <w:lang w:val="es-ES_tradnl"/>
        </w:rPr>
        <w:t>“tratándose de bienes inmuebles, la posesión por diez años […] da derecho al poseedor para solicitar su titulación supletoria a fin de ser inscrita en el Registro de la propiedad”</w:t>
      </w:r>
      <w:r w:rsidRPr="001B130F">
        <w:rPr>
          <w:rFonts w:asciiTheme="majorHAnsi" w:hAnsiTheme="majorHAnsi" w:cstheme="majorHAnsi"/>
          <w:bCs/>
          <w:sz w:val="16"/>
          <w:szCs w:val="16"/>
          <w:lang w:val="es-ES_tradnl"/>
        </w:rPr>
        <w:t xml:space="preserve">. Y que el procedimiento de titulación supletoria de bienes inmuebles está regulado en la Ley de Titulación Supletoria, Decreto Número 49-79 del Congreso de la República. </w:t>
      </w:r>
    </w:p>
  </w:footnote>
  <w:footnote w:id="16">
    <w:p w14:paraId="45EDA323" w14:textId="77777777" w:rsidR="00454C1E" w:rsidRPr="001B130F" w:rsidRDefault="00454C1E" w:rsidP="00454C1E">
      <w:pPr>
        <w:pStyle w:val="FootnoteText"/>
        <w:jc w:val="both"/>
        <w:rPr>
          <w:rFonts w:ascii="Cambria" w:hAnsi="Cambria"/>
          <w:sz w:val="16"/>
          <w:szCs w:val="16"/>
          <w:lang w:val="es-ES"/>
        </w:rPr>
      </w:pPr>
      <w:r w:rsidRPr="001B130F">
        <w:rPr>
          <w:rFonts w:ascii="Cambria" w:hAnsi="Cambria"/>
          <w:sz w:val="16"/>
          <w:szCs w:val="16"/>
          <w:lang w:val="es-ES"/>
        </w:rPr>
        <w:tab/>
      </w:r>
      <w:r w:rsidRPr="001B130F">
        <w:rPr>
          <w:rStyle w:val="FootnoteReference"/>
          <w:rFonts w:ascii="Cambria" w:hAnsi="Cambria"/>
          <w:sz w:val="16"/>
          <w:szCs w:val="16"/>
        </w:rPr>
        <w:footnoteRef/>
      </w:r>
      <w:r w:rsidRPr="001B130F">
        <w:rPr>
          <w:rFonts w:ascii="Cambria" w:hAnsi="Cambria"/>
          <w:sz w:val="16"/>
          <w:szCs w:val="16"/>
          <w:lang w:val="es-ES"/>
        </w:rPr>
        <w:t xml:space="preserve"> CIDH, Informe No. 61/16, Petición 12.325. Admisibilidad. Comunidad de Paz San José de Apartadó. Colombia. 6 de diciembre de 2016, párr. 62.</w:t>
      </w:r>
    </w:p>
  </w:footnote>
  <w:footnote w:id="17">
    <w:p w14:paraId="30EF01D4" w14:textId="756FA44C" w:rsidR="004808D5" w:rsidRPr="001B130F" w:rsidRDefault="004808D5" w:rsidP="000D106B">
      <w:pPr>
        <w:ind w:firstLine="720"/>
        <w:contextualSpacing/>
        <w:jc w:val="both"/>
        <w:rPr>
          <w:rFonts w:asciiTheme="majorHAnsi" w:hAnsiTheme="majorHAnsi" w:cs="Calibri"/>
          <w:sz w:val="16"/>
          <w:szCs w:val="16"/>
          <w:lang w:val="es-ES_tradnl"/>
        </w:rPr>
      </w:pPr>
      <w:r w:rsidRPr="001B130F">
        <w:rPr>
          <w:rStyle w:val="FootnoteReference"/>
          <w:rFonts w:asciiTheme="majorHAnsi" w:hAnsiTheme="majorHAnsi" w:cs="Calibri"/>
          <w:sz w:val="16"/>
          <w:szCs w:val="16"/>
        </w:rPr>
        <w:footnoteRef/>
      </w:r>
      <w:r w:rsidRPr="001B130F">
        <w:rPr>
          <w:rFonts w:asciiTheme="majorHAnsi" w:hAnsiTheme="majorHAnsi" w:cs="Calibri"/>
          <w:sz w:val="16"/>
          <w:szCs w:val="16"/>
          <w:lang w:val="es-ES"/>
        </w:rPr>
        <w:t xml:space="preserve"> </w:t>
      </w:r>
      <w:r w:rsidRPr="001B130F">
        <w:rPr>
          <w:rFonts w:asciiTheme="majorHAnsi" w:hAnsiTheme="majorHAnsi" w:cs="Calibri"/>
          <w:sz w:val="16"/>
          <w:szCs w:val="16"/>
          <w:lang w:val="es-ES_tradnl"/>
        </w:rPr>
        <w:t>CIDH, Informe No. 56/08, Petición 11.602. Admisibilidad. Trabajadores despedidos de Petróleos Del Perú (Petroperú) Zona Noroeste – Talara. Perú. 24 de julio de 2008, párr. 58.</w:t>
      </w:r>
    </w:p>
  </w:footnote>
  <w:footnote w:id="18">
    <w:p w14:paraId="369B04FC" w14:textId="77777777" w:rsidR="004808D5" w:rsidRPr="001B130F" w:rsidRDefault="004808D5" w:rsidP="000D106B">
      <w:pPr>
        <w:pStyle w:val="FootnoteText"/>
        <w:jc w:val="both"/>
        <w:rPr>
          <w:rFonts w:asciiTheme="majorHAnsi" w:hAnsiTheme="majorHAnsi"/>
          <w:color w:val="auto"/>
          <w:sz w:val="16"/>
          <w:szCs w:val="16"/>
          <w:lang w:val="es-ES"/>
        </w:rPr>
      </w:pPr>
      <w:r w:rsidRPr="001B130F">
        <w:rPr>
          <w:rFonts w:asciiTheme="majorHAnsi" w:hAnsiTheme="majorHAnsi"/>
          <w:sz w:val="16"/>
          <w:szCs w:val="16"/>
          <w:lang w:val="es-ES"/>
        </w:rPr>
        <w:tab/>
      </w:r>
      <w:r w:rsidRPr="001B130F">
        <w:rPr>
          <w:rStyle w:val="FootnoteReference"/>
          <w:rFonts w:asciiTheme="majorHAnsi" w:hAnsiTheme="majorHAnsi"/>
          <w:color w:val="auto"/>
          <w:sz w:val="16"/>
          <w:szCs w:val="16"/>
        </w:rPr>
        <w:footnoteRef/>
      </w:r>
      <w:r w:rsidRPr="001B130F">
        <w:rPr>
          <w:rFonts w:asciiTheme="majorHAnsi" w:hAnsiTheme="majorHAnsi"/>
          <w:color w:val="auto"/>
          <w:sz w:val="16"/>
          <w:szCs w:val="16"/>
          <w:lang w:val="es-ES"/>
        </w:rPr>
        <w:t xml:space="preserve"> CIDH, Informe No. 16/18, Petición 884-07. Admisibilidad. Victoria Piedad Palacios Tejada de Saavedra. Perú. 24 de febrero de 2018, párr. 12.</w:t>
      </w:r>
    </w:p>
  </w:footnote>
  <w:footnote w:id="19">
    <w:p w14:paraId="741B00AD" w14:textId="77777777" w:rsidR="004808D5" w:rsidRPr="001B130F" w:rsidRDefault="004808D5" w:rsidP="000D106B">
      <w:pPr>
        <w:pStyle w:val="FootnoteText"/>
        <w:ind w:firstLine="720"/>
        <w:jc w:val="both"/>
        <w:rPr>
          <w:rFonts w:asciiTheme="majorHAnsi" w:hAnsiTheme="majorHAnsi"/>
          <w:sz w:val="16"/>
          <w:szCs w:val="16"/>
          <w:lang w:val="es-ES"/>
        </w:rPr>
      </w:pPr>
      <w:r w:rsidRPr="001B130F">
        <w:rPr>
          <w:rStyle w:val="FootnoteReference"/>
          <w:rFonts w:asciiTheme="majorHAnsi" w:hAnsiTheme="majorHAnsi"/>
          <w:color w:val="auto"/>
          <w:sz w:val="16"/>
          <w:szCs w:val="16"/>
        </w:rPr>
        <w:footnoteRef/>
      </w:r>
      <w:r w:rsidRPr="001B130F">
        <w:rPr>
          <w:rFonts w:asciiTheme="majorHAnsi" w:hAnsiTheme="majorHAnsi"/>
          <w:color w:val="auto"/>
          <w:sz w:val="16"/>
          <w:szCs w:val="16"/>
          <w:lang w:val="es-ES"/>
        </w:rPr>
        <w:t xml:space="preserve"> Corte IDH. Caso Olivera Fuentes Vs. Perú. Excepciones Preliminares, Fondo, Reparaciones y Costas. Sentencia de 4 de febrero de 2023. Serie C No. 484, párr. 25; </w:t>
      </w:r>
      <w:r w:rsidRPr="001B130F">
        <w:rPr>
          <w:rFonts w:asciiTheme="majorHAnsi" w:hAnsiTheme="majorHAnsi" w:cs="Open Sans"/>
          <w:color w:val="auto"/>
          <w:sz w:val="16"/>
          <w:szCs w:val="16"/>
          <w:shd w:val="clear" w:color="auto" w:fill="FFFFFF"/>
          <w:lang w:val="es-ES"/>
        </w:rPr>
        <w:t>Corte IDH. Caso Cortez Espinoza Vs. Ecuador. Excepciones Preliminares, Fondo, Reparaciones y Costas. Sentencia de 18 de octubre de 2022. Serie C No. 468, párr. 24; y</w:t>
      </w:r>
      <w:r w:rsidRPr="001B130F">
        <w:rPr>
          <w:rFonts w:asciiTheme="majorHAnsi" w:hAnsiTheme="majorHAnsi"/>
          <w:color w:val="auto"/>
          <w:sz w:val="16"/>
          <w:szCs w:val="16"/>
          <w:lang w:val="es-ES"/>
        </w:rPr>
        <w:t xml:space="preserve"> Corte IDH. Caso Escher y otros Vs. Brasil. Excepciones Preliminares, Fondo, Reparaciones y Costas. Sentencia de 6 de julio de 2009. Serie C No. 200, párr. 38.</w:t>
      </w:r>
    </w:p>
  </w:footnote>
  <w:footnote w:id="20">
    <w:p w14:paraId="5053CFD8" w14:textId="258DD982" w:rsidR="00F73AA8" w:rsidRPr="001B130F" w:rsidRDefault="00F73AA8" w:rsidP="00F73AA8">
      <w:pPr>
        <w:pStyle w:val="FootnoteText"/>
        <w:ind w:firstLine="720"/>
        <w:jc w:val="both"/>
        <w:rPr>
          <w:rFonts w:asciiTheme="majorHAnsi" w:hAnsiTheme="majorHAnsi"/>
          <w:sz w:val="16"/>
          <w:szCs w:val="16"/>
          <w:lang w:val="es-CO"/>
        </w:rPr>
      </w:pPr>
      <w:r w:rsidRPr="001B130F">
        <w:rPr>
          <w:rStyle w:val="FootnoteReference"/>
          <w:rFonts w:asciiTheme="majorHAnsi" w:hAnsiTheme="majorHAnsi"/>
          <w:sz w:val="16"/>
          <w:szCs w:val="16"/>
        </w:rPr>
        <w:footnoteRef/>
      </w:r>
      <w:r w:rsidRPr="001B130F">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1B130F">
        <w:rPr>
          <w:rFonts w:asciiTheme="majorHAnsi" w:hAnsiTheme="majorHAnsi"/>
          <w:sz w:val="16"/>
          <w:szCs w:val="16"/>
          <w:lang w:val="es-US"/>
        </w:rPr>
        <w:t xml:space="preserve">Argentina. 7 de junio de 2019, párr. </w:t>
      </w:r>
      <w:r w:rsidRPr="001B130F">
        <w:rPr>
          <w:rFonts w:asciiTheme="majorHAnsi" w:hAnsiTheme="majorHAnsi"/>
          <w:sz w:val="16"/>
          <w:szCs w:val="16"/>
          <w:lang w:val="es-CO"/>
        </w:rPr>
        <w:t>13</w:t>
      </w:r>
      <w:r w:rsidR="00BD43CA" w:rsidRPr="001B130F">
        <w:rPr>
          <w:rFonts w:asciiTheme="majorHAnsi" w:hAnsiTheme="majorHAnsi"/>
          <w:sz w:val="16"/>
          <w:szCs w:val="16"/>
          <w:lang w:val="es-CO"/>
        </w:rPr>
        <w:t>; CIDH, Informe No. 65/21. Petición 354-12. Admisibilidad. Evgeny Konstantinovich Otto. Costa Rica. 31 de marzo de 2021, párr. 53.</w:t>
      </w:r>
    </w:p>
  </w:footnote>
  <w:footnote w:id="21">
    <w:p w14:paraId="4D6850B6" w14:textId="77777777" w:rsidR="0018120B" w:rsidRPr="001B130F" w:rsidRDefault="0018120B" w:rsidP="000D106B">
      <w:pPr>
        <w:pStyle w:val="FootnoteText"/>
        <w:ind w:firstLine="720"/>
        <w:jc w:val="both"/>
        <w:rPr>
          <w:rFonts w:asciiTheme="majorHAnsi" w:hAnsiTheme="majorHAnsi"/>
          <w:sz w:val="16"/>
          <w:szCs w:val="16"/>
          <w:lang w:val="es-VE"/>
        </w:rPr>
      </w:pPr>
      <w:r w:rsidRPr="001B130F">
        <w:rPr>
          <w:rStyle w:val="FootnoteReference"/>
          <w:rFonts w:asciiTheme="majorHAnsi" w:hAnsiTheme="majorHAnsi"/>
          <w:sz w:val="16"/>
          <w:szCs w:val="16"/>
        </w:rPr>
        <w:footnoteRef/>
      </w:r>
      <w:r w:rsidRPr="001B130F">
        <w:rPr>
          <w:rFonts w:asciiTheme="majorHAnsi" w:hAnsiTheme="majorHAnsi"/>
          <w:sz w:val="16"/>
          <w:szCs w:val="16"/>
          <w:lang w:val="es-ES"/>
        </w:rPr>
        <w:t xml:space="preserve"> </w:t>
      </w:r>
      <w:bookmarkStart w:id="2" w:name="_Hlk117984138"/>
      <w:r w:rsidRPr="001B130F">
        <w:rPr>
          <w:rFonts w:asciiTheme="majorHAnsi" w:hAnsiTheme="majorHAnsi"/>
          <w:sz w:val="16"/>
          <w:szCs w:val="16"/>
          <w:lang w:val="es-ES"/>
        </w:rPr>
        <w:t xml:space="preserve">CIDH. </w:t>
      </w:r>
      <w:r w:rsidRPr="001B130F">
        <w:rPr>
          <w:rFonts w:asciiTheme="majorHAnsi" w:hAnsiTheme="majorHAnsi"/>
          <w:sz w:val="16"/>
          <w:szCs w:val="16"/>
          <w:lang w:val="es-SV"/>
        </w:rPr>
        <w:t xml:space="preserve">Justicia e Inclusión Social: Los desafíos de la democracia en Guatemala. </w:t>
      </w:r>
      <w:r w:rsidRPr="001B130F">
        <w:rPr>
          <w:rFonts w:asciiTheme="majorHAnsi" w:hAnsiTheme="majorHAnsi"/>
          <w:sz w:val="16"/>
          <w:szCs w:val="16"/>
          <w:lang w:val="es-CO"/>
        </w:rPr>
        <w:t>Capítulo IV “</w:t>
      </w:r>
      <w:r w:rsidRPr="001B130F">
        <w:rPr>
          <w:rFonts w:asciiTheme="majorHAnsi" w:hAnsiTheme="majorHAnsi"/>
          <w:i/>
          <w:iCs/>
          <w:sz w:val="16"/>
          <w:szCs w:val="16"/>
          <w:lang w:val="es-CO"/>
        </w:rPr>
        <w:t>La Situación de los Pueblos Indígenas</w:t>
      </w:r>
      <w:r w:rsidRPr="001B130F">
        <w:rPr>
          <w:rFonts w:asciiTheme="majorHAnsi" w:hAnsiTheme="majorHAnsi"/>
          <w:sz w:val="16"/>
          <w:szCs w:val="16"/>
          <w:lang w:val="es-CO"/>
        </w:rPr>
        <w:t>”, apartado E “</w:t>
      </w:r>
      <w:r w:rsidRPr="001B130F">
        <w:rPr>
          <w:rFonts w:asciiTheme="majorHAnsi" w:hAnsiTheme="majorHAnsi"/>
          <w:i/>
          <w:iCs/>
          <w:sz w:val="16"/>
          <w:szCs w:val="16"/>
          <w:lang w:val="es-CO"/>
        </w:rPr>
        <w:t>Situación de la Tierra”</w:t>
      </w:r>
      <w:r w:rsidRPr="001B130F">
        <w:rPr>
          <w:rFonts w:asciiTheme="majorHAnsi" w:hAnsiTheme="majorHAnsi"/>
          <w:sz w:val="16"/>
          <w:szCs w:val="16"/>
          <w:lang w:val="es-CO"/>
        </w:rPr>
        <w:t xml:space="preserve">. </w:t>
      </w:r>
      <w:r w:rsidRPr="001B130F">
        <w:rPr>
          <w:rFonts w:asciiTheme="majorHAnsi" w:hAnsiTheme="majorHAnsi"/>
          <w:sz w:val="16"/>
          <w:szCs w:val="16"/>
          <w:lang w:val="es-MX"/>
        </w:rPr>
        <w:t xml:space="preserve">OEA/Ser.L/V/II.118 </w:t>
      </w:r>
      <w:r w:rsidRPr="001B130F">
        <w:rPr>
          <w:rFonts w:asciiTheme="majorHAnsi" w:hAnsiTheme="majorHAnsi" w:cstheme="majorHAnsi"/>
          <w:sz w:val="16"/>
          <w:szCs w:val="16"/>
          <w:lang w:val="es-VE"/>
        </w:rPr>
        <w:t>Doc. 5 rev. 1,</w:t>
      </w:r>
      <w:r w:rsidRPr="001B130F">
        <w:rPr>
          <w:rFonts w:asciiTheme="majorHAnsi" w:hAnsiTheme="majorHAnsi"/>
          <w:sz w:val="16"/>
          <w:szCs w:val="16"/>
          <w:lang w:val="es-MX"/>
        </w:rPr>
        <w:t xml:space="preserve"> </w:t>
      </w:r>
      <w:r w:rsidRPr="001B130F">
        <w:rPr>
          <w:rFonts w:asciiTheme="majorHAnsi" w:hAnsiTheme="majorHAnsi"/>
          <w:sz w:val="16"/>
          <w:szCs w:val="16"/>
          <w:lang w:val="es-CO"/>
        </w:rPr>
        <w:t xml:space="preserve">29 diciembre 2003. párrs. </w:t>
      </w:r>
      <w:bookmarkEnd w:id="2"/>
      <w:r w:rsidRPr="001B130F">
        <w:rPr>
          <w:rFonts w:asciiTheme="majorHAnsi" w:hAnsiTheme="majorHAnsi"/>
          <w:sz w:val="16"/>
          <w:szCs w:val="16"/>
          <w:lang w:val="es-CO"/>
        </w:rPr>
        <w:t>258-262; C</w:t>
      </w:r>
      <w:r w:rsidRPr="001B130F">
        <w:rPr>
          <w:rFonts w:asciiTheme="majorHAnsi" w:hAnsiTheme="majorHAnsi"/>
          <w:sz w:val="16"/>
          <w:szCs w:val="16"/>
          <w:lang w:val="es-VE"/>
        </w:rPr>
        <w:t xml:space="preserve">IDH. Situación de los derechos humanos en Guatemala: Diversidad, desigualdad y exclusión, Capítulo 6 </w:t>
      </w:r>
      <w:r w:rsidRPr="001B130F">
        <w:rPr>
          <w:rFonts w:asciiTheme="majorHAnsi" w:hAnsiTheme="majorHAnsi"/>
          <w:i/>
          <w:iCs/>
          <w:sz w:val="16"/>
          <w:szCs w:val="16"/>
          <w:lang w:val="es-VE"/>
        </w:rPr>
        <w:t>"Derecho de Propiedad y de Consulta de los Pueblos Indígenas</w:t>
      </w:r>
      <w:r w:rsidRPr="001B130F">
        <w:rPr>
          <w:rFonts w:asciiTheme="majorHAnsi" w:hAnsiTheme="majorHAnsi"/>
          <w:sz w:val="16"/>
          <w:szCs w:val="16"/>
          <w:lang w:val="es-VE"/>
        </w:rPr>
        <w:t>", Sección A "</w:t>
      </w:r>
      <w:r w:rsidRPr="001B130F">
        <w:rPr>
          <w:rFonts w:asciiTheme="majorHAnsi" w:hAnsiTheme="majorHAnsi"/>
          <w:i/>
          <w:iCs/>
          <w:sz w:val="16"/>
          <w:szCs w:val="16"/>
          <w:lang w:val="es-VE"/>
        </w:rPr>
        <w:t>Derecho de Propiedad”</w:t>
      </w:r>
      <w:r w:rsidRPr="001B130F">
        <w:rPr>
          <w:rFonts w:asciiTheme="majorHAnsi" w:hAnsiTheme="majorHAnsi"/>
          <w:sz w:val="16"/>
          <w:szCs w:val="16"/>
          <w:lang w:val="es-VE"/>
        </w:rPr>
        <w:t xml:space="preserve">. OEA/Ser.L/V/II.Doc.43/15. 31 de diciembre de 2015, párrs. 452-487; y CIDH, Situación de los derechos humanos en Guatemala. Capítulo 2: </w:t>
      </w:r>
      <w:r w:rsidRPr="001B130F">
        <w:rPr>
          <w:rFonts w:asciiTheme="majorHAnsi" w:hAnsiTheme="majorHAnsi"/>
          <w:i/>
          <w:iCs/>
          <w:sz w:val="16"/>
          <w:szCs w:val="16"/>
          <w:lang w:val="es-VE"/>
        </w:rPr>
        <w:t>“Administración de Justicia</w:t>
      </w:r>
      <w:r w:rsidRPr="001B130F">
        <w:rPr>
          <w:rFonts w:asciiTheme="majorHAnsi" w:hAnsiTheme="majorHAnsi"/>
          <w:sz w:val="16"/>
          <w:szCs w:val="16"/>
          <w:lang w:val="es-VE"/>
        </w:rPr>
        <w:t>”, apartado 2 “</w:t>
      </w:r>
      <w:r w:rsidRPr="001B130F">
        <w:rPr>
          <w:rFonts w:asciiTheme="majorHAnsi" w:hAnsiTheme="majorHAnsi"/>
          <w:i/>
          <w:iCs/>
          <w:sz w:val="16"/>
          <w:szCs w:val="16"/>
          <w:lang w:val="es-VE"/>
        </w:rPr>
        <w:t>Pueblos Indígenas</w:t>
      </w:r>
      <w:r w:rsidRPr="001B130F">
        <w:rPr>
          <w:rFonts w:asciiTheme="majorHAnsi" w:hAnsiTheme="majorHAnsi"/>
          <w:sz w:val="16"/>
          <w:szCs w:val="16"/>
          <w:lang w:val="es-VE"/>
        </w:rPr>
        <w:t>”. OEA/Ser.L/V/II. Doc. 208/17. 31 diciembre 2017, párrs. 103-112.</w:t>
      </w:r>
    </w:p>
  </w:footnote>
  <w:footnote w:id="22">
    <w:p w14:paraId="35ED3EDE" w14:textId="77777777" w:rsidR="0018120B" w:rsidRPr="001B130F" w:rsidRDefault="0018120B" w:rsidP="000D106B">
      <w:pPr>
        <w:pStyle w:val="FootnoteText"/>
        <w:ind w:firstLine="720"/>
        <w:jc w:val="both"/>
        <w:rPr>
          <w:rFonts w:asciiTheme="majorHAnsi" w:hAnsiTheme="majorHAnsi"/>
          <w:sz w:val="16"/>
          <w:szCs w:val="16"/>
          <w:lang w:val="es-CO"/>
        </w:rPr>
      </w:pPr>
      <w:r w:rsidRPr="001B130F">
        <w:rPr>
          <w:rFonts w:asciiTheme="majorHAnsi" w:hAnsiTheme="majorHAnsi"/>
          <w:sz w:val="16"/>
          <w:szCs w:val="16"/>
          <w:vertAlign w:val="superscript"/>
          <w:lang w:val="es-CO"/>
        </w:rPr>
        <w:footnoteRef/>
      </w:r>
      <w:r w:rsidRPr="001B130F">
        <w:rPr>
          <w:rFonts w:asciiTheme="majorHAnsi" w:hAnsiTheme="majorHAnsi"/>
          <w:sz w:val="16"/>
          <w:szCs w:val="16"/>
          <w:vertAlign w:val="superscript"/>
          <w:lang w:val="es-CO"/>
        </w:rPr>
        <w:t xml:space="preserve"> </w:t>
      </w:r>
      <w:r w:rsidRPr="001B130F">
        <w:rPr>
          <w:rFonts w:asciiTheme="majorHAnsi" w:hAnsiTheme="majorHAnsi"/>
          <w:sz w:val="16"/>
          <w:szCs w:val="16"/>
          <w:lang w:val="es-CO"/>
        </w:rPr>
        <w:t>CIDH, Situación de los derechos humanos en Guatemala: Diversidad, desigualdad y exclusión. OEA/Ser.L/V/II.Doc. 43/15, 31 de diciembre de 2015, párr. 452.</w:t>
      </w:r>
    </w:p>
  </w:footnote>
  <w:footnote w:id="23">
    <w:p w14:paraId="6991A1F0" w14:textId="77777777" w:rsidR="0018120B" w:rsidRPr="001B130F" w:rsidRDefault="0018120B" w:rsidP="000D106B">
      <w:pPr>
        <w:pStyle w:val="FootnoteText"/>
        <w:ind w:firstLine="720"/>
        <w:jc w:val="both"/>
        <w:rPr>
          <w:rFonts w:asciiTheme="majorHAnsi" w:hAnsiTheme="majorHAnsi"/>
          <w:sz w:val="16"/>
          <w:szCs w:val="16"/>
          <w:lang w:val="es-CO"/>
        </w:rPr>
      </w:pPr>
      <w:r w:rsidRPr="001B130F">
        <w:rPr>
          <w:rFonts w:asciiTheme="majorHAnsi" w:hAnsiTheme="majorHAnsi"/>
          <w:sz w:val="16"/>
          <w:szCs w:val="16"/>
          <w:vertAlign w:val="superscript"/>
          <w:lang w:val="es-CO"/>
        </w:rPr>
        <w:footnoteRef/>
      </w:r>
      <w:r w:rsidRPr="001B130F">
        <w:rPr>
          <w:rFonts w:asciiTheme="majorHAnsi" w:hAnsiTheme="majorHAnsi"/>
          <w:sz w:val="16"/>
          <w:szCs w:val="16"/>
          <w:vertAlign w:val="superscript"/>
          <w:lang w:val="es-CO"/>
        </w:rPr>
        <w:t xml:space="preserve"> </w:t>
      </w:r>
      <w:r w:rsidRPr="001B130F">
        <w:rPr>
          <w:rFonts w:asciiTheme="majorHAnsi" w:hAnsiTheme="majorHAnsi"/>
          <w:sz w:val="16"/>
          <w:szCs w:val="16"/>
          <w:lang w:val="es-CO"/>
        </w:rPr>
        <w:t xml:space="preserve">CIDH, Informe No. 47/23. Petición 1880-11. Admisibilidad. Integrantes de la Comunidad Mapuche. Chile. 18 de abril de 2023, párr. 14. </w:t>
      </w:r>
    </w:p>
  </w:footnote>
  <w:footnote w:id="24">
    <w:p w14:paraId="12FE657B" w14:textId="77777777" w:rsidR="0018120B" w:rsidRPr="001B130F" w:rsidRDefault="0018120B" w:rsidP="000D106B">
      <w:pPr>
        <w:pStyle w:val="FootnoteText"/>
        <w:ind w:firstLine="720"/>
        <w:jc w:val="both"/>
        <w:rPr>
          <w:lang w:val="es-ES_tradnl"/>
        </w:rPr>
      </w:pPr>
      <w:r w:rsidRPr="001B130F">
        <w:rPr>
          <w:rFonts w:asciiTheme="majorHAnsi" w:hAnsiTheme="majorHAnsi"/>
          <w:sz w:val="16"/>
          <w:szCs w:val="16"/>
          <w:lang w:val="es-CO"/>
        </w:rPr>
        <w:footnoteRef/>
      </w:r>
      <w:r w:rsidRPr="001B130F">
        <w:rPr>
          <w:rFonts w:asciiTheme="majorHAnsi" w:hAnsiTheme="majorHAnsi"/>
          <w:sz w:val="16"/>
          <w:szCs w:val="16"/>
          <w:lang w:val="es-CO"/>
        </w:rPr>
        <w:t xml:space="preserve"> CIDH, Situación de los derechos humanos en Guatemala. OEA/Ser.L/V/II. Doc. 43/15 31 diciembre 2015. párr, 469.</w:t>
      </w:r>
    </w:p>
  </w:footnote>
  <w:footnote w:id="25">
    <w:p w14:paraId="79950606" w14:textId="77777777" w:rsidR="006A0AF3" w:rsidRPr="00A11B3B" w:rsidRDefault="006A0AF3" w:rsidP="006A0AF3">
      <w:pPr>
        <w:pStyle w:val="FootnoteText"/>
        <w:ind w:firstLine="720"/>
        <w:jc w:val="both"/>
        <w:rPr>
          <w:rFonts w:ascii="Cambria" w:hAnsi="Cambria"/>
          <w:sz w:val="16"/>
          <w:szCs w:val="16"/>
          <w:lang w:val="es-ES"/>
        </w:rPr>
      </w:pPr>
      <w:r w:rsidRPr="001B130F">
        <w:rPr>
          <w:rStyle w:val="FootnoteReference"/>
          <w:rFonts w:ascii="Cambria" w:hAnsi="Cambria"/>
          <w:sz w:val="16"/>
          <w:szCs w:val="16"/>
        </w:rPr>
        <w:footnoteRef/>
      </w:r>
      <w:r w:rsidRPr="001B130F">
        <w:rPr>
          <w:rFonts w:ascii="Cambria" w:hAnsi="Cambria"/>
          <w:sz w:val="16"/>
          <w:szCs w:val="16"/>
          <w:lang w:val="es-ES"/>
        </w:rPr>
        <w:t xml:space="preserve"> Véase por ejemplo: CIDH, Informe No. 143/22. Petición 1350-13. Admisibilidad. Luis Guillermo Catalán Arriagada. Chile. 27 de junio de 2022, párrafo 18; </w:t>
      </w:r>
      <w:r w:rsidRPr="001B130F">
        <w:rPr>
          <w:rFonts w:ascii="Cambria" w:hAnsi="Cambria"/>
          <w:sz w:val="16"/>
          <w:szCs w:val="16"/>
          <w:lang w:val="es-US"/>
        </w:rPr>
        <w:t xml:space="preserve">CIDH, Informe No. 27/16, Petición 30-04. Inadmisibilidad. Luis Alexsander Santillán Hermoza. Perú. 15 de abril de 2016, párr. 29; </w:t>
      </w:r>
      <w:r w:rsidRPr="001B130F">
        <w:rPr>
          <w:rFonts w:ascii="Cambria" w:hAnsi="Cambria"/>
          <w:sz w:val="16"/>
          <w:szCs w:val="16"/>
          <w:lang w:val="es-ES"/>
        </w:rPr>
        <w:t xml:space="preserve">y CIDH, Informe No. 7/12. Petición 609-98. Admisibilidad. Guillermo Armando Capó. Argentina. 19 de marzo de 2012, párr. 26. En el mismo sentido, véase </w:t>
      </w:r>
      <w:r w:rsidRPr="001B130F">
        <w:rPr>
          <w:rFonts w:ascii="Cambria" w:hAnsi="Cambria"/>
          <w:i/>
          <w:iCs/>
          <w:sz w:val="16"/>
          <w:szCs w:val="16"/>
          <w:lang w:val="es-ES"/>
        </w:rPr>
        <w:t>mutatis mutandis</w:t>
      </w:r>
      <w:r w:rsidRPr="001B130F">
        <w:rPr>
          <w:rFonts w:ascii="Cambria" w:hAnsi="Cambria"/>
          <w:sz w:val="16"/>
          <w:szCs w:val="16"/>
          <w:lang w:val="es-ES"/>
        </w:rPr>
        <w:t>: Corte IDH. Caso Hilaire Vs. Trinidad y Tobago. Excepciones Preliminares. Sentencia de 1 de septiembre de 2001. Serie C No. 80, párrs. 40 al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646C5" w:rsidP="00A50FCF">
    <w:pPr>
      <w:pStyle w:val="Header"/>
      <w:tabs>
        <w:tab w:val="clear" w:pos="4320"/>
        <w:tab w:val="clear" w:pos="8640"/>
      </w:tabs>
      <w:jc w:val="center"/>
      <w:rPr>
        <w:sz w:val="22"/>
        <w:szCs w:val="22"/>
      </w:rPr>
    </w:pPr>
    <w:r>
      <w:rPr>
        <w:noProof/>
        <w:sz w:val="22"/>
        <w:szCs w:val="22"/>
        <w:bdr w:val="nil"/>
      </w:rPr>
      <w:pict w14:anchorId="2902CDE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93"/>
    <w:multiLevelType w:val="hybridMultilevel"/>
    <w:tmpl w:val="E02CA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ABE2237"/>
    <w:multiLevelType w:val="hybridMultilevel"/>
    <w:tmpl w:val="93EAFF1A"/>
    <w:lvl w:ilvl="0" w:tplc="257C5188">
      <w:start w:val="1"/>
      <w:numFmt w:val="lowerRoman"/>
      <w:lvlText w:val="%1)"/>
      <w:lvlJc w:val="left"/>
      <w:pPr>
        <w:ind w:left="862" w:hanging="720"/>
      </w:pPr>
      <w:rPr>
        <w:rFonts w:hint="default"/>
        <w:i/>
        <w:i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BFB76A0"/>
    <w:multiLevelType w:val="hybridMultilevel"/>
    <w:tmpl w:val="238047EE"/>
    <w:lvl w:ilvl="0" w:tplc="0A0A6966">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D0467A5"/>
    <w:multiLevelType w:val="hybridMultilevel"/>
    <w:tmpl w:val="A0E05AAA"/>
    <w:lvl w:ilvl="0" w:tplc="C864427C">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87416453">
    <w:abstractNumId w:val="4"/>
  </w:num>
  <w:num w:numId="2" w16cid:durableId="1596745527">
    <w:abstractNumId w:val="5"/>
  </w:num>
  <w:num w:numId="3" w16cid:durableId="1249846251">
    <w:abstractNumId w:val="53"/>
  </w:num>
  <w:num w:numId="4" w16cid:durableId="1217740037">
    <w:abstractNumId w:val="21"/>
  </w:num>
  <w:num w:numId="5" w16cid:durableId="534738279">
    <w:abstractNumId w:val="47"/>
  </w:num>
  <w:num w:numId="6" w16cid:durableId="712146770">
    <w:abstractNumId w:val="26"/>
  </w:num>
  <w:num w:numId="7" w16cid:durableId="964580196">
    <w:abstractNumId w:val="7"/>
  </w:num>
  <w:num w:numId="8" w16cid:durableId="1291091728">
    <w:abstractNumId w:val="17"/>
  </w:num>
  <w:num w:numId="9" w16cid:durableId="1582907718">
    <w:abstractNumId w:val="41"/>
  </w:num>
  <w:num w:numId="10" w16cid:durableId="180827105">
    <w:abstractNumId w:val="1"/>
  </w:num>
  <w:num w:numId="11" w16cid:durableId="915632011">
    <w:abstractNumId w:val="36"/>
  </w:num>
  <w:num w:numId="12" w16cid:durableId="1779257503">
    <w:abstractNumId w:val="37"/>
  </w:num>
  <w:num w:numId="13" w16cid:durableId="1058354948">
    <w:abstractNumId w:val="43"/>
  </w:num>
  <w:num w:numId="14" w16cid:durableId="1238590959">
    <w:abstractNumId w:val="2"/>
  </w:num>
  <w:num w:numId="15" w16cid:durableId="1092437831">
    <w:abstractNumId w:val="3"/>
  </w:num>
  <w:num w:numId="16" w16cid:durableId="1759907390">
    <w:abstractNumId w:val="8"/>
  </w:num>
  <w:num w:numId="17" w16cid:durableId="263618110">
    <w:abstractNumId w:val="9"/>
  </w:num>
  <w:num w:numId="18" w16cid:durableId="950628371">
    <w:abstractNumId w:val="10"/>
  </w:num>
  <w:num w:numId="19" w16cid:durableId="295599152">
    <w:abstractNumId w:val="11"/>
  </w:num>
  <w:num w:numId="20" w16cid:durableId="1979913706">
    <w:abstractNumId w:val="12"/>
  </w:num>
  <w:num w:numId="21" w16cid:durableId="138108825">
    <w:abstractNumId w:val="13"/>
  </w:num>
  <w:num w:numId="22" w16cid:durableId="1783069909">
    <w:abstractNumId w:val="14"/>
  </w:num>
  <w:num w:numId="23" w16cid:durableId="684088741">
    <w:abstractNumId w:val="15"/>
  </w:num>
  <w:num w:numId="24" w16cid:durableId="1185024746">
    <w:abstractNumId w:val="16"/>
  </w:num>
  <w:num w:numId="25" w16cid:durableId="613251542">
    <w:abstractNumId w:val="18"/>
  </w:num>
  <w:num w:numId="26" w16cid:durableId="1409965196">
    <w:abstractNumId w:val="19"/>
  </w:num>
  <w:num w:numId="27" w16cid:durableId="378288473">
    <w:abstractNumId w:val="22"/>
  </w:num>
  <w:num w:numId="28" w16cid:durableId="1864174115">
    <w:abstractNumId w:val="23"/>
  </w:num>
  <w:num w:numId="29" w16cid:durableId="1286698905">
    <w:abstractNumId w:val="24"/>
  </w:num>
  <w:num w:numId="30" w16cid:durableId="1806041225">
    <w:abstractNumId w:val="25"/>
  </w:num>
  <w:num w:numId="31" w16cid:durableId="1104806719">
    <w:abstractNumId w:val="27"/>
  </w:num>
  <w:num w:numId="32" w16cid:durableId="1258976245">
    <w:abstractNumId w:val="28"/>
  </w:num>
  <w:num w:numId="33" w16cid:durableId="1604340222">
    <w:abstractNumId w:val="29"/>
  </w:num>
  <w:num w:numId="34" w16cid:durableId="29647916">
    <w:abstractNumId w:val="30"/>
  </w:num>
  <w:num w:numId="35" w16cid:durableId="637491403">
    <w:abstractNumId w:val="31"/>
  </w:num>
  <w:num w:numId="36" w16cid:durableId="1056513010">
    <w:abstractNumId w:val="32"/>
  </w:num>
  <w:num w:numId="37" w16cid:durableId="1405420384">
    <w:abstractNumId w:val="34"/>
  </w:num>
  <w:num w:numId="38" w16cid:durableId="1134060475">
    <w:abstractNumId w:val="35"/>
  </w:num>
  <w:num w:numId="39" w16cid:durableId="728722240">
    <w:abstractNumId w:val="38"/>
  </w:num>
  <w:num w:numId="40" w16cid:durableId="359668647">
    <w:abstractNumId w:val="39"/>
  </w:num>
  <w:num w:numId="41" w16cid:durableId="490293589">
    <w:abstractNumId w:val="46"/>
  </w:num>
  <w:num w:numId="42" w16cid:durableId="726875089">
    <w:abstractNumId w:val="48"/>
  </w:num>
  <w:num w:numId="43" w16cid:durableId="508758833">
    <w:abstractNumId w:val="49"/>
  </w:num>
  <w:num w:numId="44" w16cid:durableId="1795444677">
    <w:abstractNumId w:val="51"/>
  </w:num>
  <w:num w:numId="45" w16cid:durableId="215776511">
    <w:abstractNumId w:val="52"/>
  </w:num>
  <w:num w:numId="46" w16cid:durableId="1316645355">
    <w:abstractNumId w:val="54"/>
  </w:num>
  <w:num w:numId="47" w16cid:durableId="1313363408">
    <w:abstractNumId w:val="55"/>
  </w:num>
  <w:num w:numId="48" w16cid:durableId="2109809111">
    <w:abstractNumId w:val="56"/>
  </w:num>
  <w:num w:numId="49" w16cid:durableId="1584337260">
    <w:abstractNumId w:val="58"/>
  </w:num>
  <w:num w:numId="50" w16cid:durableId="780807808">
    <w:abstractNumId w:val="59"/>
  </w:num>
  <w:num w:numId="51" w16cid:durableId="462313843">
    <w:abstractNumId w:val="20"/>
  </w:num>
  <w:num w:numId="52" w16cid:durableId="1786659210">
    <w:abstractNumId w:val="40"/>
  </w:num>
  <w:num w:numId="53" w16cid:durableId="653023681">
    <w:abstractNumId w:val="50"/>
  </w:num>
  <w:num w:numId="54" w16cid:durableId="2071341605">
    <w:abstractNumId w:val="44"/>
  </w:num>
  <w:num w:numId="55" w16cid:durableId="508644348">
    <w:abstractNumId w:val="42"/>
  </w:num>
  <w:num w:numId="56" w16cid:durableId="1590966623">
    <w:abstractNumId w:val="57"/>
  </w:num>
  <w:num w:numId="57" w16cid:durableId="12926748">
    <w:abstractNumId w:val="45"/>
  </w:num>
  <w:num w:numId="58" w16cid:durableId="1018654889">
    <w:abstractNumId w:val="0"/>
  </w:num>
  <w:num w:numId="59" w16cid:durableId="846869748">
    <w:abstractNumId w:val="6"/>
  </w:num>
  <w:num w:numId="60" w16cid:durableId="773018376">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A3D"/>
    <w:rsid w:val="00006E1F"/>
    <w:rsid w:val="000070D7"/>
    <w:rsid w:val="00007AAC"/>
    <w:rsid w:val="000102B3"/>
    <w:rsid w:val="00015E4A"/>
    <w:rsid w:val="0001788C"/>
    <w:rsid w:val="00021D9E"/>
    <w:rsid w:val="00031FD4"/>
    <w:rsid w:val="00032575"/>
    <w:rsid w:val="0003273F"/>
    <w:rsid w:val="000337EF"/>
    <w:rsid w:val="00033C85"/>
    <w:rsid w:val="00034431"/>
    <w:rsid w:val="00040C3A"/>
    <w:rsid w:val="000419AD"/>
    <w:rsid w:val="00041B1C"/>
    <w:rsid w:val="000433C9"/>
    <w:rsid w:val="00044BE5"/>
    <w:rsid w:val="00045CF4"/>
    <w:rsid w:val="00052001"/>
    <w:rsid w:val="0005333D"/>
    <w:rsid w:val="00055389"/>
    <w:rsid w:val="000558BC"/>
    <w:rsid w:val="000572E5"/>
    <w:rsid w:val="000642F3"/>
    <w:rsid w:val="000651D7"/>
    <w:rsid w:val="00071174"/>
    <w:rsid w:val="000716C5"/>
    <w:rsid w:val="00072B47"/>
    <w:rsid w:val="00075E23"/>
    <w:rsid w:val="0008509C"/>
    <w:rsid w:val="00090D25"/>
    <w:rsid w:val="000915B0"/>
    <w:rsid w:val="0009344A"/>
    <w:rsid w:val="000967DB"/>
    <w:rsid w:val="00097FCB"/>
    <w:rsid w:val="000A2F1C"/>
    <w:rsid w:val="000A392E"/>
    <w:rsid w:val="000A575F"/>
    <w:rsid w:val="000A58AC"/>
    <w:rsid w:val="000A7843"/>
    <w:rsid w:val="000B2608"/>
    <w:rsid w:val="000B7342"/>
    <w:rsid w:val="000C2ADD"/>
    <w:rsid w:val="000C6F53"/>
    <w:rsid w:val="000C7279"/>
    <w:rsid w:val="000D05CB"/>
    <w:rsid w:val="000D106B"/>
    <w:rsid w:val="000D10DB"/>
    <w:rsid w:val="000D5F8F"/>
    <w:rsid w:val="000E253F"/>
    <w:rsid w:val="000E3A2F"/>
    <w:rsid w:val="000E5EB5"/>
    <w:rsid w:val="000E6736"/>
    <w:rsid w:val="000E6E3B"/>
    <w:rsid w:val="000F27D7"/>
    <w:rsid w:val="000F2B5D"/>
    <w:rsid w:val="000F35ED"/>
    <w:rsid w:val="000F52EC"/>
    <w:rsid w:val="000F6B9A"/>
    <w:rsid w:val="000F6E4A"/>
    <w:rsid w:val="000F7556"/>
    <w:rsid w:val="001004FE"/>
    <w:rsid w:val="00100EB9"/>
    <w:rsid w:val="00101129"/>
    <w:rsid w:val="00103D69"/>
    <w:rsid w:val="00103E76"/>
    <w:rsid w:val="0010565D"/>
    <w:rsid w:val="00106BB7"/>
    <w:rsid w:val="00107131"/>
    <w:rsid w:val="0010736F"/>
    <w:rsid w:val="0011162E"/>
    <w:rsid w:val="0011172F"/>
    <w:rsid w:val="00112D66"/>
    <w:rsid w:val="00113F73"/>
    <w:rsid w:val="001156CF"/>
    <w:rsid w:val="00121342"/>
    <w:rsid w:val="00121CC2"/>
    <w:rsid w:val="00123BA6"/>
    <w:rsid w:val="001272F9"/>
    <w:rsid w:val="00131425"/>
    <w:rsid w:val="00132955"/>
    <w:rsid w:val="00133EE5"/>
    <w:rsid w:val="00137C8E"/>
    <w:rsid w:val="00141E60"/>
    <w:rsid w:val="00143F50"/>
    <w:rsid w:val="00144311"/>
    <w:rsid w:val="00150FBB"/>
    <w:rsid w:val="001542ED"/>
    <w:rsid w:val="00157077"/>
    <w:rsid w:val="0016026F"/>
    <w:rsid w:val="00160AF0"/>
    <w:rsid w:val="00164412"/>
    <w:rsid w:val="00167A34"/>
    <w:rsid w:val="0017442C"/>
    <w:rsid w:val="0017450A"/>
    <w:rsid w:val="0017681E"/>
    <w:rsid w:val="00176BC1"/>
    <w:rsid w:val="0018120B"/>
    <w:rsid w:val="00181E8D"/>
    <w:rsid w:val="00193027"/>
    <w:rsid w:val="001978D9"/>
    <w:rsid w:val="001A520D"/>
    <w:rsid w:val="001A7870"/>
    <w:rsid w:val="001B130F"/>
    <w:rsid w:val="001B20BC"/>
    <w:rsid w:val="001B21D8"/>
    <w:rsid w:val="001B3A00"/>
    <w:rsid w:val="001B478B"/>
    <w:rsid w:val="001B55A3"/>
    <w:rsid w:val="001B7057"/>
    <w:rsid w:val="001C1B41"/>
    <w:rsid w:val="001C1D8F"/>
    <w:rsid w:val="001C702C"/>
    <w:rsid w:val="001D03F1"/>
    <w:rsid w:val="001D2238"/>
    <w:rsid w:val="001D2E1D"/>
    <w:rsid w:val="001D57D6"/>
    <w:rsid w:val="001D5E78"/>
    <w:rsid w:val="001D65EF"/>
    <w:rsid w:val="001D6FBD"/>
    <w:rsid w:val="001D775D"/>
    <w:rsid w:val="001D7F96"/>
    <w:rsid w:val="001E1A38"/>
    <w:rsid w:val="001E24D6"/>
    <w:rsid w:val="001E49E7"/>
    <w:rsid w:val="001E574D"/>
    <w:rsid w:val="001E73E1"/>
    <w:rsid w:val="001F7201"/>
    <w:rsid w:val="0020170C"/>
    <w:rsid w:val="002030C1"/>
    <w:rsid w:val="00203172"/>
    <w:rsid w:val="0020437A"/>
    <w:rsid w:val="00206E97"/>
    <w:rsid w:val="00207AC3"/>
    <w:rsid w:val="00212FF2"/>
    <w:rsid w:val="00214CD6"/>
    <w:rsid w:val="002176A4"/>
    <w:rsid w:val="00223984"/>
    <w:rsid w:val="00223A29"/>
    <w:rsid w:val="002250A3"/>
    <w:rsid w:val="0023259B"/>
    <w:rsid w:val="00235217"/>
    <w:rsid w:val="002359E2"/>
    <w:rsid w:val="00243044"/>
    <w:rsid w:val="00244208"/>
    <w:rsid w:val="00246D1F"/>
    <w:rsid w:val="00247403"/>
    <w:rsid w:val="00247542"/>
    <w:rsid w:val="00266B61"/>
    <w:rsid w:val="0026712A"/>
    <w:rsid w:val="002704DB"/>
    <w:rsid w:val="00271774"/>
    <w:rsid w:val="0027630B"/>
    <w:rsid w:val="00286DBE"/>
    <w:rsid w:val="00292C94"/>
    <w:rsid w:val="00293936"/>
    <w:rsid w:val="00296988"/>
    <w:rsid w:val="002A0AAE"/>
    <w:rsid w:val="002A56C9"/>
    <w:rsid w:val="002A5820"/>
    <w:rsid w:val="002A5B74"/>
    <w:rsid w:val="002A73EC"/>
    <w:rsid w:val="002B029A"/>
    <w:rsid w:val="002B25D9"/>
    <w:rsid w:val="002B4246"/>
    <w:rsid w:val="002B5AA7"/>
    <w:rsid w:val="002B6FEE"/>
    <w:rsid w:val="002B7E19"/>
    <w:rsid w:val="002D2B26"/>
    <w:rsid w:val="002D394B"/>
    <w:rsid w:val="002D6CC4"/>
    <w:rsid w:val="002D6E65"/>
    <w:rsid w:val="002D7EA2"/>
    <w:rsid w:val="002E04D5"/>
    <w:rsid w:val="002E187C"/>
    <w:rsid w:val="002E4FC2"/>
    <w:rsid w:val="002E7AD8"/>
    <w:rsid w:val="002F02E6"/>
    <w:rsid w:val="002F23E1"/>
    <w:rsid w:val="00301AAD"/>
    <w:rsid w:val="00302733"/>
    <w:rsid w:val="0030292F"/>
    <w:rsid w:val="003044FA"/>
    <w:rsid w:val="00305835"/>
    <w:rsid w:val="003065B8"/>
    <w:rsid w:val="00306A07"/>
    <w:rsid w:val="00306C8B"/>
    <w:rsid w:val="00306F33"/>
    <w:rsid w:val="0031243C"/>
    <w:rsid w:val="00314078"/>
    <w:rsid w:val="0031535D"/>
    <w:rsid w:val="00317A9F"/>
    <w:rsid w:val="003239B8"/>
    <w:rsid w:val="003243B5"/>
    <w:rsid w:val="00325638"/>
    <w:rsid w:val="00327EF0"/>
    <w:rsid w:val="0033169F"/>
    <w:rsid w:val="00340773"/>
    <w:rsid w:val="0034126B"/>
    <w:rsid w:val="00344977"/>
    <w:rsid w:val="00344D54"/>
    <w:rsid w:val="00346C95"/>
    <w:rsid w:val="00347F52"/>
    <w:rsid w:val="00351868"/>
    <w:rsid w:val="00352C96"/>
    <w:rsid w:val="00356185"/>
    <w:rsid w:val="00356E40"/>
    <w:rsid w:val="003576D7"/>
    <w:rsid w:val="00360380"/>
    <w:rsid w:val="0037519E"/>
    <w:rsid w:val="00375E07"/>
    <w:rsid w:val="00377C05"/>
    <w:rsid w:val="003804F2"/>
    <w:rsid w:val="003806B6"/>
    <w:rsid w:val="00383298"/>
    <w:rsid w:val="00384353"/>
    <w:rsid w:val="00386CF0"/>
    <w:rsid w:val="003878C8"/>
    <w:rsid w:val="00390D8D"/>
    <w:rsid w:val="00394073"/>
    <w:rsid w:val="003942D7"/>
    <w:rsid w:val="00397AA5"/>
    <w:rsid w:val="003A6268"/>
    <w:rsid w:val="003B3299"/>
    <w:rsid w:val="003B4FC8"/>
    <w:rsid w:val="003B70FB"/>
    <w:rsid w:val="003C2E8A"/>
    <w:rsid w:val="003C52D9"/>
    <w:rsid w:val="003C5D09"/>
    <w:rsid w:val="003C676B"/>
    <w:rsid w:val="003D3BC2"/>
    <w:rsid w:val="003D72C7"/>
    <w:rsid w:val="003D767F"/>
    <w:rsid w:val="003E119F"/>
    <w:rsid w:val="003E4BEF"/>
    <w:rsid w:val="003E66E0"/>
    <w:rsid w:val="003E6CA1"/>
    <w:rsid w:val="003F3069"/>
    <w:rsid w:val="003F5154"/>
    <w:rsid w:val="003F5F70"/>
    <w:rsid w:val="003F6181"/>
    <w:rsid w:val="004008D3"/>
    <w:rsid w:val="00403E93"/>
    <w:rsid w:val="00404800"/>
    <w:rsid w:val="00405F9C"/>
    <w:rsid w:val="004065A8"/>
    <w:rsid w:val="0040758F"/>
    <w:rsid w:val="00407C76"/>
    <w:rsid w:val="00411549"/>
    <w:rsid w:val="00415771"/>
    <w:rsid w:val="00415801"/>
    <w:rsid w:val="00415E06"/>
    <w:rsid w:val="004165C2"/>
    <w:rsid w:val="00416920"/>
    <w:rsid w:val="00417667"/>
    <w:rsid w:val="00423C4D"/>
    <w:rsid w:val="004241A0"/>
    <w:rsid w:val="00437E52"/>
    <w:rsid w:val="004409FC"/>
    <w:rsid w:val="00441ECB"/>
    <w:rsid w:val="00443073"/>
    <w:rsid w:val="00445193"/>
    <w:rsid w:val="00446492"/>
    <w:rsid w:val="00450066"/>
    <w:rsid w:val="00454AA5"/>
    <w:rsid w:val="00454C1E"/>
    <w:rsid w:val="00455183"/>
    <w:rsid w:val="00460CED"/>
    <w:rsid w:val="004612F0"/>
    <w:rsid w:val="00462C1B"/>
    <w:rsid w:val="00462EC8"/>
    <w:rsid w:val="00462F22"/>
    <w:rsid w:val="00465FDF"/>
    <w:rsid w:val="00467B7E"/>
    <w:rsid w:val="004732EF"/>
    <w:rsid w:val="00473BB4"/>
    <w:rsid w:val="004752F8"/>
    <w:rsid w:val="00477592"/>
    <w:rsid w:val="00480795"/>
    <w:rsid w:val="004808D5"/>
    <w:rsid w:val="00483151"/>
    <w:rsid w:val="00486F1C"/>
    <w:rsid w:val="00490D18"/>
    <w:rsid w:val="004911A9"/>
    <w:rsid w:val="00491FE9"/>
    <w:rsid w:val="00493BC9"/>
    <w:rsid w:val="0049419D"/>
    <w:rsid w:val="004A057B"/>
    <w:rsid w:val="004A0BDC"/>
    <w:rsid w:val="004A1FEA"/>
    <w:rsid w:val="004A5A52"/>
    <w:rsid w:val="004A6A54"/>
    <w:rsid w:val="004B3885"/>
    <w:rsid w:val="004B421C"/>
    <w:rsid w:val="004B4BEC"/>
    <w:rsid w:val="004B5208"/>
    <w:rsid w:val="004C20D2"/>
    <w:rsid w:val="004C2312"/>
    <w:rsid w:val="004C3669"/>
    <w:rsid w:val="004C4B62"/>
    <w:rsid w:val="004C54C9"/>
    <w:rsid w:val="004D2DA0"/>
    <w:rsid w:val="004D4ABA"/>
    <w:rsid w:val="004D5034"/>
    <w:rsid w:val="004D5ADC"/>
    <w:rsid w:val="004D6025"/>
    <w:rsid w:val="004E2649"/>
    <w:rsid w:val="004E329A"/>
    <w:rsid w:val="004E58B6"/>
    <w:rsid w:val="004F04FA"/>
    <w:rsid w:val="004F2F4C"/>
    <w:rsid w:val="004F3018"/>
    <w:rsid w:val="004F305D"/>
    <w:rsid w:val="004F626F"/>
    <w:rsid w:val="004F7C62"/>
    <w:rsid w:val="00501399"/>
    <w:rsid w:val="00501E47"/>
    <w:rsid w:val="00503717"/>
    <w:rsid w:val="005047ED"/>
    <w:rsid w:val="0050633D"/>
    <w:rsid w:val="00507BC4"/>
    <w:rsid w:val="005128E4"/>
    <w:rsid w:val="005133DB"/>
    <w:rsid w:val="005143B2"/>
    <w:rsid w:val="00514504"/>
    <w:rsid w:val="00520ACC"/>
    <w:rsid w:val="00521E1F"/>
    <w:rsid w:val="00525560"/>
    <w:rsid w:val="0053366B"/>
    <w:rsid w:val="005340A2"/>
    <w:rsid w:val="00535CE2"/>
    <w:rsid w:val="00540715"/>
    <w:rsid w:val="00543B95"/>
    <w:rsid w:val="00544C49"/>
    <w:rsid w:val="005516A1"/>
    <w:rsid w:val="005559EF"/>
    <w:rsid w:val="005569A2"/>
    <w:rsid w:val="005575C0"/>
    <w:rsid w:val="00563557"/>
    <w:rsid w:val="00564B7E"/>
    <w:rsid w:val="00567290"/>
    <w:rsid w:val="0057402A"/>
    <w:rsid w:val="00574ED4"/>
    <w:rsid w:val="005750D5"/>
    <w:rsid w:val="005771D0"/>
    <w:rsid w:val="0059191A"/>
    <w:rsid w:val="005921FF"/>
    <w:rsid w:val="005A24ED"/>
    <w:rsid w:val="005A6D0E"/>
    <w:rsid w:val="005B4603"/>
    <w:rsid w:val="005B4F6F"/>
    <w:rsid w:val="005B52B0"/>
    <w:rsid w:val="005B6656"/>
    <w:rsid w:val="005B6806"/>
    <w:rsid w:val="005C026D"/>
    <w:rsid w:val="005C1208"/>
    <w:rsid w:val="005C188C"/>
    <w:rsid w:val="005C4225"/>
    <w:rsid w:val="005C573A"/>
    <w:rsid w:val="005C763D"/>
    <w:rsid w:val="005D3DE1"/>
    <w:rsid w:val="005D5138"/>
    <w:rsid w:val="005D72C7"/>
    <w:rsid w:val="005E1DD4"/>
    <w:rsid w:val="005F0DAD"/>
    <w:rsid w:val="005F0F33"/>
    <w:rsid w:val="005F3476"/>
    <w:rsid w:val="005F36E8"/>
    <w:rsid w:val="005F53C0"/>
    <w:rsid w:val="005F6CA8"/>
    <w:rsid w:val="00600DEB"/>
    <w:rsid w:val="00604D6F"/>
    <w:rsid w:val="00606701"/>
    <w:rsid w:val="00606831"/>
    <w:rsid w:val="006102B2"/>
    <w:rsid w:val="00612A0A"/>
    <w:rsid w:val="00613D63"/>
    <w:rsid w:val="00614362"/>
    <w:rsid w:val="00614BDA"/>
    <w:rsid w:val="00615363"/>
    <w:rsid w:val="006164D2"/>
    <w:rsid w:val="00620C6F"/>
    <w:rsid w:val="00621F7A"/>
    <w:rsid w:val="00622B9E"/>
    <w:rsid w:val="00626E5D"/>
    <w:rsid w:val="0062775A"/>
    <w:rsid w:val="00627C9F"/>
    <w:rsid w:val="006311E9"/>
    <w:rsid w:val="00632354"/>
    <w:rsid w:val="00632C85"/>
    <w:rsid w:val="00635421"/>
    <w:rsid w:val="00635507"/>
    <w:rsid w:val="00637154"/>
    <w:rsid w:val="00641AA8"/>
    <w:rsid w:val="00641AAA"/>
    <w:rsid w:val="00641FED"/>
    <w:rsid w:val="00642810"/>
    <w:rsid w:val="00642B15"/>
    <w:rsid w:val="0064359E"/>
    <w:rsid w:val="00645171"/>
    <w:rsid w:val="00647E55"/>
    <w:rsid w:val="006508E0"/>
    <w:rsid w:val="0065198A"/>
    <w:rsid w:val="00652333"/>
    <w:rsid w:val="006532B5"/>
    <w:rsid w:val="006563B7"/>
    <w:rsid w:val="006568A5"/>
    <w:rsid w:val="00670809"/>
    <w:rsid w:val="006708AE"/>
    <w:rsid w:val="00674878"/>
    <w:rsid w:val="0068009E"/>
    <w:rsid w:val="00680EAD"/>
    <w:rsid w:val="00690DEA"/>
    <w:rsid w:val="00692219"/>
    <w:rsid w:val="006A08C4"/>
    <w:rsid w:val="006A0AF3"/>
    <w:rsid w:val="006A0CE8"/>
    <w:rsid w:val="006A17D2"/>
    <w:rsid w:val="006A5F70"/>
    <w:rsid w:val="006A68DD"/>
    <w:rsid w:val="006A73E6"/>
    <w:rsid w:val="006B20E3"/>
    <w:rsid w:val="006B275F"/>
    <w:rsid w:val="006B2D5C"/>
    <w:rsid w:val="006B3A1B"/>
    <w:rsid w:val="006B5B2A"/>
    <w:rsid w:val="006B5C86"/>
    <w:rsid w:val="006C0ECF"/>
    <w:rsid w:val="006C29F1"/>
    <w:rsid w:val="006C3654"/>
    <w:rsid w:val="006C4EB1"/>
    <w:rsid w:val="006C4EF6"/>
    <w:rsid w:val="006D76FF"/>
    <w:rsid w:val="006D7F02"/>
    <w:rsid w:val="006E0166"/>
    <w:rsid w:val="006E0834"/>
    <w:rsid w:val="006E2FFB"/>
    <w:rsid w:val="006E7B34"/>
    <w:rsid w:val="006F6BED"/>
    <w:rsid w:val="007021BC"/>
    <w:rsid w:val="0070697F"/>
    <w:rsid w:val="00707D78"/>
    <w:rsid w:val="00707FA1"/>
    <w:rsid w:val="007103C4"/>
    <w:rsid w:val="00712208"/>
    <w:rsid w:val="00717A6F"/>
    <w:rsid w:val="00720FA3"/>
    <w:rsid w:val="0072199C"/>
    <w:rsid w:val="00722C9F"/>
    <w:rsid w:val="007253B8"/>
    <w:rsid w:val="007265F1"/>
    <w:rsid w:val="00727802"/>
    <w:rsid w:val="0073709A"/>
    <w:rsid w:val="0073741F"/>
    <w:rsid w:val="00737E5A"/>
    <w:rsid w:val="00740E71"/>
    <w:rsid w:val="007461AD"/>
    <w:rsid w:val="007504E8"/>
    <w:rsid w:val="00750E86"/>
    <w:rsid w:val="00752CB4"/>
    <w:rsid w:val="00760CF2"/>
    <w:rsid w:val="00762207"/>
    <w:rsid w:val="00762B4F"/>
    <w:rsid w:val="0076413F"/>
    <w:rsid w:val="00766268"/>
    <w:rsid w:val="0076641D"/>
    <w:rsid w:val="0076643F"/>
    <w:rsid w:val="00767486"/>
    <w:rsid w:val="00767B01"/>
    <w:rsid w:val="007723E0"/>
    <w:rsid w:val="00774065"/>
    <w:rsid w:val="007744B6"/>
    <w:rsid w:val="00774A3D"/>
    <w:rsid w:val="00777F63"/>
    <w:rsid w:val="0078046C"/>
    <w:rsid w:val="00780956"/>
    <w:rsid w:val="0078095F"/>
    <w:rsid w:val="0078256C"/>
    <w:rsid w:val="00797C15"/>
    <w:rsid w:val="007A5769"/>
    <w:rsid w:val="007A5817"/>
    <w:rsid w:val="007B05C4"/>
    <w:rsid w:val="007B0A06"/>
    <w:rsid w:val="007B2EBB"/>
    <w:rsid w:val="007B5869"/>
    <w:rsid w:val="007B60E9"/>
    <w:rsid w:val="007B6CC3"/>
    <w:rsid w:val="007B76D3"/>
    <w:rsid w:val="007C3334"/>
    <w:rsid w:val="007C715A"/>
    <w:rsid w:val="007D08D7"/>
    <w:rsid w:val="007D2B98"/>
    <w:rsid w:val="007D37D7"/>
    <w:rsid w:val="007D60F5"/>
    <w:rsid w:val="007E21BC"/>
    <w:rsid w:val="007E563E"/>
    <w:rsid w:val="007E7C82"/>
    <w:rsid w:val="007F059B"/>
    <w:rsid w:val="007F2AA1"/>
    <w:rsid w:val="007F2BA5"/>
    <w:rsid w:val="007F588D"/>
    <w:rsid w:val="007F74EE"/>
    <w:rsid w:val="008013AE"/>
    <w:rsid w:val="00803F1C"/>
    <w:rsid w:val="0080600E"/>
    <w:rsid w:val="00810C95"/>
    <w:rsid w:val="00811C8F"/>
    <w:rsid w:val="00814688"/>
    <w:rsid w:val="008165F0"/>
    <w:rsid w:val="00817612"/>
    <w:rsid w:val="008261C9"/>
    <w:rsid w:val="00830070"/>
    <w:rsid w:val="00830AAC"/>
    <w:rsid w:val="008338A4"/>
    <w:rsid w:val="00834D49"/>
    <w:rsid w:val="00837C45"/>
    <w:rsid w:val="0084046B"/>
    <w:rsid w:val="00842DB1"/>
    <w:rsid w:val="00844730"/>
    <w:rsid w:val="008457C2"/>
    <w:rsid w:val="00857A82"/>
    <w:rsid w:val="008646F3"/>
    <w:rsid w:val="00865C99"/>
    <w:rsid w:val="00872630"/>
    <w:rsid w:val="00873836"/>
    <w:rsid w:val="008748FB"/>
    <w:rsid w:val="0088043E"/>
    <w:rsid w:val="00881258"/>
    <w:rsid w:val="00882D28"/>
    <w:rsid w:val="00883319"/>
    <w:rsid w:val="00885737"/>
    <w:rsid w:val="00890650"/>
    <w:rsid w:val="008944DC"/>
    <w:rsid w:val="00895E24"/>
    <w:rsid w:val="00897E12"/>
    <w:rsid w:val="008A48C8"/>
    <w:rsid w:val="008A5913"/>
    <w:rsid w:val="008A7E0F"/>
    <w:rsid w:val="008B12F5"/>
    <w:rsid w:val="008B382D"/>
    <w:rsid w:val="008B75EB"/>
    <w:rsid w:val="008C1F6E"/>
    <w:rsid w:val="008C4DEE"/>
    <w:rsid w:val="008C5E2D"/>
    <w:rsid w:val="008D3A3B"/>
    <w:rsid w:val="008D3F77"/>
    <w:rsid w:val="008D768D"/>
    <w:rsid w:val="008E3759"/>
    <w:rsid w:val="008E3BFE"/>
    <w:rsid w:val="008F1912"/>
    <w:rsid w:val="008F6BCA"/>
    <w:rsid w:val="0090270B"/>
    <w:rsid w:val="009036AD"/>
    <w:rsid w:val="009041DC"/>
    <w:rsid w:val="00913E68"/>
    <w:rsid w:val="00917B5A"/>
    <w:rsid w:val="0092044D"/>
    <w:rsid w:val="00920A58"/>
    <w:rsid w:val="00920A8C"/>
    <w:rsid w:val="0092229A"/>
    <w:rsid w:val="009242B0"/>
    <w:rsid w:val="00924C32"/>
    <w:rsid w:val="00926258"/>
    <w:rsid w:val="00926566"/>
    <w:rsid w:val="00926E4C"/>
    <w:rsid w:val="00930D3E"/>
    <w:rsid w:val="0093321C"/>
    <w:rsid w:val="00934A2C"/>
    <w:rsid w:val="00944F3F"/>
    <w:rsid w:val="00960EDD"/>
    <w:rsid w:val="009624F7"/>
    <w:rsid w:val="009627FF"/>
    <w:rsid w:val="0096706E"/>
    <w:rsid w:val="00967C75"/>
    <w:rsid w:val="009735E7"/>
    <w:rsid w:val="00974491"/>
    <w:rsid w:val="00975C4E"/>
    <w:rsid w:val="0097776C"/>
    <w:rsid w:val="00981FBA"/>
    <w:rsid w:val="009847C6"/>
    <w:rsid w:val="00986466"/>
    <w:rsid w:val="009935AC"/>
    <w:rsid w:val="0099711F"/>
    <w:rsid w:val="00997BC5"/>
    <w:rsid w:val="009A4F41"/>
    <w:rsid w:val="009A56CE"/>
    <w:rsid w:val="009A7E67"/>
    <w:rsid w:val="009B381B"/>
    <w:rsid w:val="009B3A68"/>
    <w:rsid w:val="009B418D"/>
    <w:rsid w:val="009B4E99"/>
    <w:rsid w:val="009B53CC"/>
    <w:rsid w:val="009B7814"/>
    <w:rsid w:val="009C0A2D"/>
    <w:rsid w:val="009C1847"/>
    <w:rsid w:val="009C1F97"/>
    <w:rsid w:val="009D1753"/>
    <w:rsid w:val="009D2C17"/>
    <w:rsid w:val="009D7611"/>
    <w:rsid w:val="009E0B61"/>
    <w:rsid w:val="009E53DE"/>
    <w:rsid w:val="009E5564"/>
    <w:rsid w:val="009F1577"/>
    <w:rsid w:val="009F1A8A"/>
    <w:rsid w:val="009F223F"/>
    <w:rsid w:val="009F265B"/>
    <w:rsid w:val="00A0092A"/>
    <w:rsid w:val="00A04E5F"/>
    <w:rsid w:val="00A11212"/>
    <w:rsid w:val="00A1151B"/>
    <w:rsid w:val="00A11E44"/>
    <w:rsid w:val="00A15562"/>
    <w:rsid w:val="00A20646"/>
    <w:rsid w:val="00A2546C"/>
    <w:rsid w:val="00A30100"/>
    <w:rsid w:val="00A31134"/>
    <w:rsid w:val="00A328B3"/>
    <w:rsid w:val="00A341F1"/>
    <w:rsid w:val="00A34824"/>
    <w:rsid w:val="00A4670B"/>
    <w:rsid w:val="00A46F73"/>
    <w:rsid w:val="00A472ED"/>
    <w:rsid w:val="00A50FCF"/>
    <w:rsid w:val="00A512D5"/>
    <w:rsid w:val="00A528D1"/>
    <w:rsid w:val="00A54452"/>
    <w:rsid w:val="00A60FC7"/>
    <w:rsid w:val="00A610CD"/>
    <w:rsid w:val="00A646C5"/>
    <w:rsid w:val="00A650CD"/>
    <w:rsid w:val="00A65D06"/>
    <w:rsid w:val="00A674F4"/>
    <w:rsid w:val="00A71259"/>
    <w:rsid w:val="00A72F3B"/>
    <w:rsid w:val="00A758AA"/>
    <w:rsid w:val="00A90A48"/>
    <w:rsid w:val="00A94644"/>
    <w:rsid w:val="00A955A9"/>
    <w:rsid w:val="00AA06F2"/>
    <w:rsid w:val="00AA09A2"/>
    <w:rsid w:val="00AA4254"/>
    <w:rsid w:val="00AA43DE"/>
    <w:rsid w:val="00AA4767"/>
    <w:rsid w:val="00AA4F86"/>
    <w:rsid w:val="00AA5638"/>
    <w:rsid w:val="00AA678C"/>
    <w:rsid w:val="00AA7996"/>
    <w:rsid w:val="00AB08C2"/>
    <w:rsid w:val="00AB62B1"/>
    <w:rsid w:val="00AC19CB"/>
    <w:rsid w:val="00AC57D2"/>
    <w:rsid w:val="00AC604A"/>
    <w:rsid w:val="00AE32A9"/>
    <w:rsid w:val="00AE5488"/>
    <w:rsid w:val="00AE63D9"/>
    <w:rsid w:val="00AE68D1"/>
    <w:rsid w:val="00AE6F91"/>
    <w:rsid w:val="00AF0E1A"/>
    <w:rsid w:val="00AF3176"/>
    <w:rsid w:val="00AF5571"/>
    <w:rsid w:val="00B013E9"/>
    <w:rsid w:val="00B02C08"/>
    <w:rsid w:val="00B02D2D"/>
    <w:rsid w:val="00B04818"/>
    <w:rsid w:val="00B0643A"/>
    <w:rsid w:val="00B07341"/>
    <w:rsid w:val="00B07981"/>
    <w:rsid w:val="00B110D2"/>
    <w:rsid w:val="00B11D5E"/>
    <w:rsid w:val="00B13667"/>
    <w:rsid w:val="00B2600B"/>
    <w:rsid w:val="00B2793E"/>
    <w:rsid w:val="00B27B65"/>
    <w:rsid w:val="00B303F7"/>
    <w:rsid w:val="00B30539"/>
    <w:rsid w:val="00B314DB"/>
    <w:rsid w:val="00B33BDC"/>
    <w:rsid w:val="00B361F2"/>
    <w:rsid w:val="00B3718B"/>
    <w:rsid w:val="00B3745F"/>
    <w:rsid w:val="00B42152"/>
    <w:rsid w:val="00B4297F"/>
    <w:rsid w:val="00B43E96"/>
    <w:rsid w:val="00B443C7"/>
    <w:rsid w:val="00B44C24"/>
    <w:rsid w:val="00B46084"/>
    <w:rsid w:val="00B4632A"/>
    <w:rsid w:val="00B4793C"/>
    <w:rsid w:val="00B530F1"/>
    <w:rsid w:val="00B542C6"/>
    <w:rsid w:val="00B64DD4"/>
    <w:rsid w:val="00B65EB4"/>
    <w:rsid w:val="00B662AC"/>
    <w:rsid w:val="00B66DD0"/>
    <w:rsid w:val="00B7111B"/>
    <w:rsid w:val="00B7186E"/>
    <w:rsid w:val="00B71F04"/>
    <w:rsid w:val="00B73754"/>
    <w:rsid w:val="00B74E47"/>
    <w:rsid w:val="00B76A62"/>
    <w:rsid w:val="00B774D8"/>
    <w:rsid w:val="00B84DAA"/>
    <w:rsid w:val="00B84FCE"/>
    <w:rsid w:val="00B8526F"/>
    <w:rsid w:val="00B86D05"/>
    <w:rsid w:val="00B93D7F"/>
    <w:rsid w:val="00B9501A"/>
    <w:rsid w:val="00B961CF"/>
    <w:rsid w:val="00BA1187"/>
    <w:rsid w:val="00BA276C"/>
    <w:rsid w:val="00BA456A"/>
    <w:rsid w:val="00BA4F2F"/>
    <w:rsid w:val="00BB019D"/>
    <w:rsid w:val="00BB01DC"/>
    <w:rsid w:val="00BB306F"/>
    <w:rsid w:val="00BB386B"/>
    <w:rsid w:val="00BB4EDC"/>
    <w:rsid w:val="00BB6523"/>
    <w:rsid w:val="00BC1458"/>
    <w:rsid w:val="00BD01F0"/>
    <w:rsid w:val="00BD0FF5"/>
    <w:rsid w:val="00BD34E9"/>
    <w:rsid w:val="00BD43CA"/>
    <w:rsid w:val="00BD4B89"/>
    <w:rsid w:val="00BD5922"/>
    <w:rsid w:val="00BE29B8"/>
    <w:rsid w:val="00BE3CD0"/>
    <w:rsid w:val="00BE5E6F"/>
    <w:rsid w:val="00BF02CB"/>
    <w:rsid w:val="00BF47EB"/>
    <w:rsid w:val="00BF6FD8"/>
    <w:rsid w:val="00C03680"/>
    <w:rsid w:val="00C054DF"/>
    <w:rsid w:val="00C056CD"/>
    <w:rsid w:val="00C057FE"/>
    <w:rsid w:val="00C05B7F"/>
    <w:rsid w:val="00C06DDD"/>
    <w:rsid w:val="00C06E9D"/>
    <w:rsid w:val="00C128BE"/>
    <w:rsid w:val="00C20B44"/>
    <w:rsid w:val="00C21762"/>
    <w:rsid w:val="00C21FEF"/>
    <w:rsid w:val="00C23BA4"/>
    <w:rsid w:val="00C24543"/>
    <w:rsid w:val="00C256A2"/>
    <w:rsid w:val="00C25ADB"/>
    <w:rsid w:val="00C2767A"/>
    <w:rsid w:val="00C33714"/>
    <w:rsid w:val="00C355CE"/>
    <w:rsid w:val="00C37DE2"/>
    <w:rsid w:val="00C41D8A"/>
    <w:rsid w:val="00C4275E"/>
    <w:rsid w:val="00C466BD"/>
    <w:rsid w:val="00C47401"/>
    <w:rsid w:val="00C477EC"/>
    <w:rsid w:val="00C5061B"/>
    <w:rsid w:val="00C51515"/>
    <w:rsid w:val="00C5660B"/>
    <w:rsid w:val="00C56BA3"/>
    <w:rsid w:val="00C6183C"/>
    <w:rsid w:val="00C642D2"/>
    <w:rsid w:val="00C66B72"/>
    <w:rsid w:val="00C71BEE"/>
    <w:rsid w:val="00C72196"/>
    <w:rsid w:val="00C7310B"/>
    <w:rsid w:val="00C74157"/>
    <w:rsid w:val="00C76484"/>
    <w:rsid w:val="00C76FA2"/>
    <w:rsid w:val="00C847E9"/>
    <w:rsid w:val="00C85A0A"/>
    <w:rsid w:val="00C87AC4"/>
    <w:rsid w:val="00C90453"/>
    <w:rsid w:val="00C922AE"/>
    <w:rsid w:val="00C9567A"/>
    <w:rsid w:val="00CA5EDC"/>
    <w:rsid w:val="00CA757F"/>
    <w:rsid w:val="00CB212D"/>
    <w:rsid w:val="00CB2310"/>
    <w:rsid w:val="00CB2660"/>
    <w:rsid w:val="00CB7E3D"/>
    <w:rsid w:val="00CC5B6F"/>
    <w:rsid w:val="00CC5E90"/>
    <w:rsid w:val="00CC743E"/>
    <w:rsid w:val="00CC75E3"/>
    <w:rsid w:val="00CD046C"/>
    <w:rsid w:val="00CD2140"/>
    <w:rsid w:val="00CD2F33"/>
    <w:rsid w:val="00CD4CEB"/>
    <w:rsid w:val="00CD6B06"/>
    <w:rsid w:val="00CE076C"/>
    <w:rsid w:val="00CE5199"/>
    <w:rsid w:val="00CE66D5"/>
    <w:rsid w:val="00CE7F73"/>
    <w:rsid w:val="00CF2564"/>
    <w:rsid w:val="00CF288C"/>
    <w:rsid w:val="00CF4B7D"/>
    <w:rsid w:val="00CF637A"/>
    <w:rsid w:val="00CF652C"/>
    <w:rsid w:val="00D04DCC"/>
    <w:rsid w:val="00D04F93"/>
    <w:rsid w:val="00D059DE"/>
    <w:rsid w:val="00D05ABD"/>
    <w:rsid w:val="00D067A0"/>
    <w:rsid w:val="00D11074"/>
    <w:rsid w:val="00D1193C"/>
    <w:rsid w:val="00D12435"/>
    <w:rsid w:val="00D12BAD"/>
    <w:rsid w:val="00D12C1F"/>
    <w:rsid w:val="00D13FCE"/>
    <w:rsid w:val="00D1781A"/>
    <w:rsid w:val="00D17EA2"/>
    <w:rsid w:val="00D213B5"/>
    <w:rsid w:val="00D2414C"/>
    <w:rsid w:val="00D25290"/>
    <w:rsid w:val="00D25701"/>
    <w:rsid w:val="00D306D1"/>
    <w:rsid w:val="00D30800"/>
    <w:rsid w:val="00D34477"/>
    <w:rsid w:val="00D34786"/>
    <w:rsid w:val="00D3509C"/>
    <w:rsid w:val="00D37BFC"/>
    <w:rsid w:val="00D4366E"/>
    <w:rsid w:val="00D442AA"/>
    <w:rsid w:val="00D47A8E"/>
    <w:rsid w:val="00D47F3A"/>
    <w:rsid w:val="00D52D14"/>
    <w:rsid w:val="00D567C2"/>
    <w:rsid w:val="00D570B9"/>
    <w:rsid w:val="00D60DBF"/>
    <w:rsid w:val="00D621DC"/>
    <w:rsid w:val="00D70A4C"/>
    <w:rsid w:val="00D71063"/>
    <w:rsid w:val="00D712D3"/>
    <w:rsid w:val="00D71422"/>
    <w:rsid w:val="00D719BA"/>
    <w:rsid w:val="00D71CF6"/>
    <w:rsid w:val="00D72100"/>
    <w:rsid w:val="00D72DC6"/>
    <w:rsid w:val="00D74650"/>
    <w:rsid w:val="00D7558D"/>
    <w:rsid w:val="00D763F3"/>
    <w:rsid w:val="00D76850"/>
    <w:rsid w:val="00D76E0A"/>
    <w:rsid w:val="00D77782"/>
    <w:rsid w:val="00D809C9"/>
    <w:rsid w:val="00D80DE9"/>
    <w:rsid w:val="00D81D92"/>
    <w:rsid w:val="00D85D87"/>
    <w:rsid w:val="00D876F9"/>
    <w:rsid w:val="00DA1036"/>
    <w:rsid w:val="00DA1CC2"/>
    <w:rsid w:val="00DA5360"/>
    <w:rsid w:val="00DA7B5F"/>
    <w:rsid w:val="00DB5261"/>
    <w:rsid w:val="00DC006E"/>
    <w:rsid w:val="00DC11E7"/>
    <w:rsid w:val="00DC24A4"/>
    <w:rsid w:val="00DC24E3"/>
    <w:rsid w:val="00DC3047"/>
    <w:rsid w:val="00DC4A5F"/>
    <w:rsid w:val="00DC520C"/>
    <w:rsid w:val="00DC7023"/>
    <w:rsid w:val="00DC769A"/>
    <w:rsid w:val="00DD3D86"/>
    <w:rsid w:val="00DD4AD2"/>
    <w:rsid w:val="00DE2862"/>
    <w:rsid w:val="00DE2B2F"/>
    <w:rsid w:val="00DE55FF"/>
    <w:rsid w:val="00DE6F13"/>
    <w:rsid w:val="00DF1EC4"/>
    <w:rsid w:val="00DF221F"/>
    <w:rsid w:val="00DF725A"/>
    <w:rsid w:val="00E02224"/>
    <w:rsid w:val="00E0340B"/>
    <w:rsid w:val="00E043E2"/>
    <w:rsid w:val="00E04A90"/>
    <w:rsid w:val="00E0551F"/>
    <w:rsid w:val="00E05FA4"/>
    <w:rsid w:val="00E11650"/>
    <w:rsid w:val="00E122AF"/>
    <w:rsid w:val="00E16043"/>
    <w:rsid w:val="00E219C7"/>
    <w:rsid w:val="00E22609"/>
    <w:rsid w:val="00E24C5A"/>
    <w:rsid w:val="00E269F1"/>
    <w:rsid w:val="00E33B8B"/>
    <w:rsid w:val="00E4118C"/>
    <w:rsid w:val="00E43157"/>
    <w:rsid w:val="00E461CE"/>
    <w:rsid w:val="00E473D7"/>
    <w:rsid w:val="00E53400"/>
    <w:rsid w:val="00E53FB0"/>
    <w:rsid w:val="00E55E92"/>
    <w:rsid w:val="00E566BE"/>
    <w:rsid w:val="00E573E4"/>
    <w:rsid w:val="00E64C3D"/>
    <w:rsid w:val="00E66DCD"/>
    <w:rsid w:val="00E720CA"/>
    <w:rsid w:val="00E768F6"/>
    <w:rsid w:val="00E76E06"/>
    <w:rsid w:val="00E800BD"/>
    <w:rsid w:val="00E812D0"/>
    <w:rsid w:val="00E81E3B"/>
    <w:rsid w:val="00E83697"/>
    <w:rsid w:val="00E83EEA"/>
    <w:rsid w:val="00E84EB5"/>
    <w:rsid w:val="00E85662"/>
    <w:rsid w:val="00E8789F"/>
    <w:rsid w:val="00E96261"/>
    <w:rsid w:val="00E97B71"/>
    <w:rsid w:val="00EA1847"/>
    <w:rsid w:val="00EA3C33"/>
    <w:rsid w:val="00EA3D34"/>
    <w:rsid w:val="00EA5A0A"/>
    <w:rsid w:val="00EB1DBE"/>
    <w:rsid w:val="00EB454D"/>
    <w:rsid w:val="00EB4EC7"/>
    <w:rsid w:val="00EB7D79"/>
    <w:rsid w:val="00EB7E86"/>
    <w:rsid w:val="00EC20E5"/>
    <w:rsid w:val="00EC671C"/>
    <w:rsid w:val="00ED549D"/>
    <w:rsid w:val="00ED5E10"/>
    <w:rsid w:val="00ED76BE"/>
    <w:rsid w:val="00ED7A66"/>
    <w:rsid w:val="00EE00E9"/>
    <w:rsid w:val="00EE16E6"/>
    <w:rsid w:val="00EE1A19"/>
    <w:rsid w:val="00EE3C26"/>
    <w:rsid w:val="00EE527A"/>
    <w:rsid w:val="00EE5C19"/>
    <w:rsid w:val="00EF0A32"/>
    <w:rsid w:val="00EF1AAA"/>
    <w:rsid w:val="00EF1BBD"/>
    <w:rsid w:val="00EF326A"/>
    <w:rsid w:val="00EF5DAD"/>
    <w:rsid w:val="00EF619B"/>
    <w:rsid w:val="00F00B55"/>
    <w:rsid w:val="00F01BCD"/>
    <w:rsid w:val="00F02AD1"/>
    <w:rsid w:val="00F1223E"/>
    <w:rsid w:val="00F12A17"/>
    <w:rsid w:val="00F13AD0"/>
    <w:rsid w:val="00F15B64"/>
    <w:rsid w:val="00F240F7"/>
    <w:rsid w:val="00F250B6"/>
    <w:rsid w:val="00F253CC"/>
    <w:rsid w:val="00F27ED9"/>
    <w:rsid w:val="00F30A9D"/>
    <w:rsid w:val="00F310CE"/>
    <w:rsid w:val="00F3118F"/>
    <w:rsid w:val="00F33C62"/>
    <w:rsid w:val="00F35D13"/>
    <w:rsid w:val="00F37106"/>
    <w:rsid w:val="00F435AC"/>
    <w:rsid w:val="00F44E25"/>
    <w:rsid w:val="00F454EE"/>
    <w:rsid w:val="00F519CF"/>
    <w:rsid w:val="00F51D72"/>
    <w:rsid w:val="00F558A6"/>
    <w:rsid w:val="00F56BA5"/>
    <w:rsid w:val="00F56ECB"/>
    <w:rsid w:val="00F572F6"/>
    <w:rsid w:val="00F60E22"/>
    <w:rsid w:val="00F677EC"/>
    <w:rsid w:val="00F7295D"/>
    <w:rsid w:val="00F7324E"/>
    <w:rsid w:val="00F73AA8"/>
    <w:rsid w:val="00F76F7C"/>
    <w:rsid w:val="00F80297"/>
    <w:rsid w:val="00F81395"/>
    <w:rsid w:val="00F813CB"/>
    <w:rsid w:val="00F81BB8"/>
    <w:rsid w:val="00F84394"/>
    <w:rsid w:val="00F90100"/>
    <w:rsid w:val="00F90C64"/>
    <w:rsid w:val="00F911DB"/>
    <w:rsid w:val="00F917D1"/>
    <w:rsid w:val="00F94E18"/>
    <w:rsid w:val="00F9653B"/>
    <w:rsid w:val="00F967B0"/>
    <w:rsid w:val="00FA3AEF"/>
    <w:rsid w:val="00FA4A48"/>
    <w:rsid w:val="00FA7252"/>
    <w:rsid w:val="00FB1A00"/>
    <w:rsid w:val="00FB3EC4"/>
    <w:rsid w:val="00FB62CF"/>
    <w:rsid w:val="00FB6C69"/>
    <w:rsid w:val="00FB7CC1"/>
    <w:rsid w:val="00FC1F06"/>
    <w:rsid w:val="00FC57E7"/>
    <w:rsid w:val="00FC6CDC"/>
    <w:rsid w:val="00FD14AE"/>
    <w:rsid w:val="00FD3C3B"/>
    <w:rsid w:val="00FD481F"/>
    <w:rsid w:val="00FD6FA4"/>
    <w:rsid w:val="00FE07DD"/>
    <w:rsid w:val="00FE6B45"/>
    <w:rsid w:val="00FF4347"/>
    <w:rsid w:val="00FF559D"/>
    <w:rsid w:val="00FF55F3"/>
    <w:rsid w:val="00FF5851"/>
    <w:rsid w:val="00FF608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1978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1978D9"/>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8329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5B4F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5Char">
    <w:name w:val="Heading 5 Char"/>
    <w:basedOn w:val="DefaultParagraphFont"/>
    <w:link w:val="Heading5"/>
    <w:uiPriority w:val="9"/>
    <w:rsid w:val="001978D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1978D9"/>
    <w:rPr>
      <w:rFonts w:asciiTheme="majorHAnsi" w:eastAsiaTheme="majorEastAsia" w:hAnsiTheme="majorHAnsi" w:cstheme="majorBidi"/>
      <w:i/>
      <w:iCs/>
      <w:color w:val="365F91" w:themeColor="accent1" w:themeShade="BF"/>
      <w:sz w:val="24"/>
      <w:szCs w:val="24"/>
      <w:lang w:val="en-US" w:eastAsia="en-US"/>
    </w:rPr>
  </w:style>
  <w:style w:type="paragraph" w:styleId="Revision">
    <w:name w:val="Revision"/>
    <w:hidden/>
    <w:uiPriority w:val="99"/>
    <w:semiHidden/>
    <w:rsid w:val="00543B9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DA5360"/>
    <w:rPr>
      <w:sz w:val="16"/>
      <w:szCs w:val="16"/>
    </w:rPr>
  </w:style>
  <w:style w:type="paragraph" w:styleId="CommentText">
    <w:name w:val="annotation text"/>
    <w:basedOn w:val="Normal"/>
    <w:link w:val="CommentTextChar"/>
    <w:uiPriority w:val="99"/>
    <w:semiHidden/>
    <w:unhideWhenUsed/>
    <w:rsid w:val="00DA5360"/>
    <w:rPr>
      <w:sz w:val="20"/>
      <w:szCs w:val="20"/>
    </w:rPr>
  </w:style>
  <w:style w:type="character" w:customStyle="1" w:styleId="CommentTextChar">
    <w:name w:val="Comment Text Char"/>
    <w:basedOn w:val="DefaultParagraphFont"/>
    <w:link w:val="CommentText"/>
    <w:uiPriority w:val="99"/>
    <w:semiHidden/>
    <w:rsid w:val="00DA5360"/>
    <w:rPr>
      <w:lang w:val="en-US" w:eastAsia="en-US"/>
    </w:rPr>
  </w:style>
  <w:style w:type="paragraph" w:styleId="CommentSubject">
    <w:name w:val="annotation subject"/>
    <w:basedOn w:val="CommentText"/>
    <w:next w:val="CommentText"/>
    <w:link w:val="CommentSubjectChar"/>
    <w:uiPriority w:val="99"/>
    <w:semiHidden/>
    <w:unhideWhenUsed/>
    <w:rsid w:val="00DA5360"/>
    <w:rPr>
      <w:b/>
      <w:bCs/>
    </w:rPr>
  </w:style>
  <w:style w:type="character" w:customStyle="1" w:styleId="CommentSubjectChar">
    <w:name w:val="Comment Subject Char"/>
    <w:basedOn w:val="CommentTextChar"/>
    <w:link w:val="CommentSubject"/>
    <w:uiPriority w:val="99"/>
    <w:semiHidden/>
    <w:rsid w:val="00DA5360"/>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6A0AF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0553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55389"/>
  </w:style>
  <w:style w:type="character" w:customStyle="1" w:styleId="eop">
    <w:name w:val="eop"/>
    <w:basedOn w:val="DefaultParagraphFont"/>
    <w:rsid w:val="0005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1845">
      <w:bodyDiv w:val="1"/>
      <w:marLeft w:val="0"/>
      <w:marRight w:val="0"/>
      <w:marTop w:val="0"/>
      <w:marBottom w:val="0"/>
      <w:divBdr>
        <w:top w:val="none" w:sz="0" w:space="0" w:color="auto"/>
        <w:left w:val="none" w:sz="0" w:space="0" w:color="auto"/>
        <w:bottom w:val="none" w:sz="0" w:space="0" w:color="auto"/>
        <w:right w:val="none" w:sz="0" w:space="0" w:color="auto"/>
      </w:divBdr>
      <w:divsChild>
        <w:div w:id="1488471729">
          <w:marLeft w:val="0"/>
          <w:marRight w:val="0"/>
          <w:marTop w:val="0"/>
          <w:marBottom w:val="0"/>
          <w:divBdr>
            <w:top w:val="none" w:sz="0" w:space="0" w:color="auto"/>
            <w:left w:val="none" w:sz="0" w:space="0" w:color="auto"/>
            <w:bottom w:val="none" w:sz="0" w:space="0" w:color="auto"/>
            <w:right w:val="none" w:sz="0" w:space="0" w:color="auto"/>
          </w:divBdr>
          <w:divsChild>
            <w:div w:id="698509688">
              <w:marLeft w:val="0"/>
              <w:marRight w:val="0"/>
              <w:marTop w:val="0"/>
              <w:marBottom w:val="0"/>
              <w:divBdr>
                <w:top w:val="none" w:sz="0" w:space="0" w:color="auto"/>
                <w:left w:val="none" w:sz="0" w:space="0" w:color="auto"/>
                <w:bottom w:val="none" w:sz="0" w:space="0" w:color="auto"/>
                <w:right w:val="none" w:sz="0" w:space="0" w:color="auto"/>
              </w:divBdr>
              <w:divsChild>
                <w:div w:id="215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122">
      <w:bodyDiv w:val="1"/>
      <w:marLeft w:val="0"/>
      <w:marRight w:val="0"/>
      <w:marTop w:val="0"/>
      <w:marBottom w:val="0"/>
      <w:divBdr>
        <w:top w:val="none" w:sz="0" w:space="0" w:color="auto"/>
        <w:left w:val="none" w:sz="0" w:space="0" w:color="auto"/>
        <w:bottom w:val="none" w:sz="0" w:space="0" w:color="auto"/>
        <w:right w:val="none" w:sz="0" w:space="0" w:color="auto"/>
      </w:divBdr>
    </w:div>
    <w:div w:id="150609377">
      <w:bodyDiv w:val="1"/>
      <w:marLeft w:val="0"/>
      <w:marRight w:val="0"/>
      <w:marTop w:val="0"/>
      <w:marBottom w:val="0"/>
      <w:divBdr>
        <w:top w:val="none" w:sz="0" w:space="0" w:color="auto"/>
        <w:left w:val="none" w:sz="0" w:space="0" w:color="auto"/>
        <w:bottom w:val="none" w:sz="0" w:space="0" w:color="auto"/>
        <w:right w:val="none" w:sz="0" w:space="0" w:color="auto"/>
      </w:divBdr>
    </w:div>
    <w:div w:id="196816351">
      <w:bodyDiv w:val="1"/>
      <w:marLeft w:val="0"/>
      <w:marRight w:val="0"/>
      <w:marTop w:val="0"/>
      <w:marBottom w:val="0"/>
      <w:divBdr>
        <w:top w:val="none" w:sz="0" w:space="0" w:color="auto"/>
        <w:left w:val="none" w:sz="0" w:space="0" w:color="auto"/>
        <w:bottom w:val="none" w:sz="0" w:space="0" w:color="auto"/>
        <w:right w:val="none" w:sz="0" w:space="0" w:color="auto"/>
      </w:divBdr>
      <w:divsChild>
        <w:div w:id="2038894300">
          <w:marLeft w:val="0"/>
          <w:marRight w:val="0"/>
          <w:marTop w:val="0"/>
          <w:marBottom w:val="0"/>
          <w:divBdr>
            <w:top w:val="none" w:sz="0" w:space="0" w:color="auto"/>
            <w:left w:val="none" w:sz="0" w:space="0" w:color="auto"/>
            <w:bottom w:val="none" w:sz="0" w:space="0" w:color="auto"/>
            <w:right w:val="none" w:sz="0" w:space="0" w:color="auto"/>
          </w:divBdr>
          <w:divsChild>
            <w:div w:id="153111740">
              <w:marLeft w:val="0"/>
              <w:marRight w:val="0"/>
              <w:marTop w:val="0"/>
              <w:marBottom w:val="0"/>
              <w:divBdr>
                <w:top w:val="none" w:sz="0" w:space="0" w:color="auto"/>
                <w:left w:val="none" w:sz="0" w:space="0" w:color="auto"/>
                <w:bottom w:val="none" w:sz="0" w:space="0" w:color="auto"/>
                <w:right w:val="none" w:sz="0" w:space="0" w:color="auto"/>
              </w:divBdr>
              <w:divsChild>
                <w:div w:id="16521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576">
      <w:bodyDiv w:val="1"/>
      <w:marLeft w:val="0"/>
      <w:marRight w:val="0"/>
      <w:marTop w:val="0"/>
      <w:marBottom w:val="0"/>
      <w:divBdr>
        <w:top w:val="none" w:sz="0" w:space="0" w:color="auto"/>
        <w:left w:val="none" w:sz="0" w:space="0" w:color="auto"/>
        <w:bottom w:val="none" w:sz="0" w:space="0" w:color="auto"/>
        <w:right w:val="none" w:sz="0" w:space="0" w:color="auto"/>
      </w:divBdr>
    </w:div>
    <w:div w:id="394592769">
      <w:bodyDiv w:val="1"/>
      <w:marLeft w:val="0"/>
      <w:marRight w:val="0"/>
      <w:marTop w:val="0"/>
      <w:marBottom w:val="0"/>
      <w:divBdr>
        <w:top w:val="none" w:sz="0" w:space="0" w:color="auto"/>
        <w:left w:val="none" w:sz="0" w:space="0" w:color="auto"/>
        <w:bottom w:val="none" w:sz="0" w:space="0" w:color="auto"/>
        <w:right w:val="none" w:sz="0" w:space="0" w:color="auto"/>
      </w:divBdr>
      <w:divsChild>
        <w:div w:id="696085258">
          <w:marLeft w:val="0"/>
          <w:marRight w:val="0"/>
          <w:marTop w:val="0"/>
          <w:marBottom w:val="0"/>
          <w:divBdr>
            <w:top w:val="none" w:sz="0" w:space="0" w:color="auto"/>
            <w:left w:val="none" w:sz="0" w:space="0" w:color="auto"/>
            <w:bottom w:val="none" w:sz="0" w:space="0" w:color="auto"/>
            <w:right w:val="none" w:sz="0" w:space="0" w:color="auto"/>
          </w:divBdr>
          <w:divsChild>
            <w:div w:id="2146116978">
              <w:marLeft w:val="0"/>
              <w:marRight w:val="0"/>
              <w:marTop w:val="0"/>
              <w:marBottom w:val="0"/>
              <w:divBdr>
                <w:top w:val="none" w:sz="0" w:space="0" w:color="auto"/>
                <w:left w:val="none" w:sz="0" w:space="0" w:color="auto"/>
                <w:bottom w:val="none" w:sz="0" w:space="0" w:color="auto"/>
                <w:right w:val="none" w:sz="0" w:space="0" w:color="auto"/>
              </w:divBdr>
              <w:divsChild>
                <w:div w:id="1196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981">
      <w:bodyDiv w:val="1"/>
      <w:marLeft w:val="0"/>
      <w:marRight w:val="0"/>
      <w:marTop w:val="0"/>
      <w:marBottom w:val="0"/>
      <w:divBdr>
        <w:top w:val="none" w:sz="0" w:space="0" w:color="auto"/>
        <w:left w:val="none" w:sz="0" w:space="0" w:color="auto"/>
        <w:bottom w:val="none" w:sz="0" w:space="0" w:color="auto"/>
        <w:right w:val="none" w:sz="0" w:space="0" w:color="auto"/>
      </w:divBdr>
      <w:divsChild>
        <w:div w:id="1906450558">
          <w:marLeft w:val="0"/>
          <w:marRight w:val="0"/>
          <w:marTop w:val="0"/>
          <w:marBottom w:val="0"/>
          <w:divBdr>
            <w:top w:val="none" w:sz="0" w:space="0" w:color="auto"/>
            <w:left w:val="none" w:sz="0" w:space="0" w:color="auto"/>
            <w:bottom w:val="none" w:sz="0" w:space="0" w:color="auto"/>
            <w:right w:val="none" w:sz="0" w:space="0" w:color="auto"/>
          </w:divBdr>
          <w:divsChild>
            <w:div w:id="1946692537">
              <w:marLeft w:val="0"/>
              <w:marRight w:val="0"/>
              <w:marTop w:val="0"/>
              <w:marBottom w:val="0"/>
              <w:divBdr>
                <w:top w:val="none" w:sz="0" w:space="0" w:color="auto"/>
                <w:left w:val="none" w:sz="0" w:space="0" w:color="auto"/>
                <w:bottom w:val="none" w:sz="0" w:space="0" w:color="auto"/>
                <w:right w:val="none" w:sz="0" w:space="0" w:color="auto"/>
              </w:divBdr>
              <w:divsChild>
                <w:div w:id="1883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5307">
      <w:bodyDiv w:val="1"/>
      <w:marLeft w:val="0"/>
      <w:marRight w:val="0"/>
      <w:marTop w:val="0"/>
      <w:marBottom w:val="0"/>
      <w:divBdr>
        <w:top w:val="none" w:sz="0" w:space="0" w:color="auto"/>
        <w:left w:val="none" w:sz="0" w:space="0" w:color="auto"/>
        <w:bottom w:val="none" w:sz="0" w:space="0" w:color="auto"/>
        <w:right w:val="none" w:sz="0" w:space="0" w:color="auto"/>
      </w:divBdr>
    </w:div>
    <w:div w:id="428089941">
      <w:bodyDiv w:val="1"/>
      <w:marLeft w:val="0"/>
      <w:marRight w:val="0"/>
      <w:marTop w:val="0"/>
      <w:marBottom w:val="0"/>
      <w:divBdr>
        <w:top w:val="none" w:sz="0" w:space="0" w:color="auto"/>
        <w:left w:val="none" w:sz="0" w:space="0" w:color="auto"/>
        <w:bottom w:val="none" w:sz="0" w:space="0" w:color="auto"/>
        <w:right w:val="none" w:sz="0" w:space="0" w:color="auto"/>
      </w:divBdr>
    </w:div>
    <w:div w:id="436142309">
      <w:bodyDiv w:val="1"/>
      <w:marLeft w:val="0"/>
      <w:marRight w:val="0"/>
      <w:marTop w:val="0"/>
      <w:marBottom w:val="0"/>
      <w:divBdr>
        <w:top w:val="none" w:sz="0" w:space="0" w:color="auto"/>
        <w:left w:val="none" w:sz="0" w:space="0" w:color="auto"/>
        <w:bottom w:val="none" w:sz="0" w:space="0" w:color="auto"/>
        <w:right w:val="none" w:sz="0" w:space="0" w:color="auto"/>
      </w:divBdr>
    </w:div>
    <w:div w:id="461653812">
      <w:bodyDiv w:val="1"/>
      <w:marLeft w:val="0"/>
      <w:marRight w:val="0"/>
      <w:marTop w:val="0"/>
      <w:marBottom w:val="0"/>
      <w:divBdr>
        <w:top w:val="none" w:sz="0" w:space="0" w:color="auto"/>
        <w:left w:val="none" w:sz="0" w:space="0" w:color="auto"/>
        <w:bottom w:val="none" w:sz="0" w:space="0" w:color="auto"/>
        <w:right w:val="none" w:sz="0" w:space="0" w:color="auto"/>
      </w:divBdr>
    </w:div>
    <w:div w:id="556401350">
      <w:bodyDiv w:val="1"/>
      <w:marLeft w:val="0"/>
      <w:marRight w:val="0"/>
      <w:marTop w:val="0"/>
      <w:marBottom w:val="0"/>
      <w:divBdr>
        <w:top w:val="none" w:sz="0" w:space="0" w:color="auto"/>
        <w:left w:val="none" w:sz="0" w:space="0" w:color="auto"/>
        <w:bottom w:val="none" w:sz="0" w:space="0" w:color="auto"/>
        <w:right w:val="none" w:sz="0" w:space="0" w:color="auto"/>
      </w:divBdr>
      <w:divsChild>
        <w:div w:id="2130467964">
          <w:marLeft w:val="0"/>
          <w:marRight w:val="0"/>
          <w:marTop w:val="0"/>
          <w:marBottom w:val="0"/>
          <w:divBdr>
            <w:top w:val="none" w:sz="0" w:space="0" w:color="auto"/>
            <w:left w:val="none" w:sz="0" w:space="0" w:color="auto"/>
            <w:bottom w:val="none" w:sz="0" w:space="0" w:color="auto"/>
            <w:right w:val="none" w:sz="0" w:space="0" w:color="auto"/>
          </w:divBdr>
          <w:divsChild>
            <w:div w:id="1756783606">
              <w:marLeft w:val="0"/>
              <w:marRight w:val="0"/>
              <w:marTop w:val="0"/>
              <w:marBottom w:val="0"/>
              <w:divBdr>
                <w:top w:val="none" w:sz="0" w:space="0" w:color="auto"/>
                <w:left w:val="none" w:sz="0" w:space="0" w:color="auto"/>
                <w:bottom w:val="none" w:sz="0" w:space="0" w:color="auto"/>
                <w:right w:val="none" w:sz="0" w:space="0" w:color="auto"/>
              </w:divBdr>
              <w:divsChild>
                <w:div w:id="809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0322">
      <w:bodyDiv w:val="1"/>
      <w:marLeft w:val="0"/>
      <w:marRight w:val="0"/>
      <w:marTop w:val="0"/>
      <w:marBottom w:val="0"/>
      <w:divBdr>
        <w:top w:val="none" w:sz="0" w:space="0" w:color="auto"/>
        <w:left w:val="none" w:sz="0" w:space="0" w:color="auto"/>
        <w:bottom w:val="none" w:sz="0" w:space="0" w:color="auto"/>
        <w:right w:val="none" w:sz="0" w:space="0" w:color="auto"/>
      </w:divBdr>
    </w:div>
    <w:div w:id="692803682">
      <w:bodyDiv w:val="1"/>
      <w:marLeft w:val="0"/>
      <w:marRight w:val="0"/>
      <w:marTop w:val="0"/>
      <w:marBottom w:val="0"/>
      <w:divBdr>
        <w:top w:val="none" w:sz="0" w:space="0" w:color="auto"/>
        <w:left w:val="none" w:sz="0" w:space="0" w:color="auto"/>
        <w:bottom w:val="none" w:sz="0" w:space="0" w:color="auto"/>
        <w:right w:val="none" w:sz="0" w:space="0" w:color="auto"/>
      </w:divBdr>
    </w:div>
    <w:div w:id="700715105">
      <w:bodyDiv w:val="1"/>
      <w:marLeft w:val="0"/>
      <w:marRight w:val="0"/>
      <w:marTop w:val="0"/>
      <w:marBottom w:val="0"/>
      <w:divBdr>
        <w:top w:val="none" w:sz="0" w:space="0" w:color="auto"/>
        <w:left w:val="none" w:sz="0" w:space="0" w:color="auto"/>
        <w:bottom w:val="none" w:sz="0" w:space="0" w:color="auto"/>
        <w:right w:val="none" w:sz="0" w:space="0" w:color="auto"/>
      </w:divBdr>
    </w:div>
    <w:div w:id="742290786">
      <w:bodyDiv w:val="1"/>
      <w:marLeft w:val="0"/>
      <w:marRight w:val="0"/>
      <w:marTop w:val="0"/>
      <w:marBottom w:val="0"/>
      <w:divBdr>
        <w:top w:val="none" w:sz="0" w:space="0" w:color="auto"/>
        <w:left w:val="none" w:sz="0" w:space="0" w:color="auto"/>
        <w:bottom w:val="none" w:sz="0" w:space="0" w:color="auto"/>
        <w:right w:val="none" w:sz="0" w:space="0" w:color="auto"/>
      </w:divBdr>
    </w:div>
    <w:div w:id="742680567">
      <w:bodyDiv w:val="1"/>
      <w:marLeft w:val="0"/>
      <w:marRight w:val="0"/>
      <w:marTop w:val="0"/>
      <w:marBottom w:val="0"/>
      <w:divBdr>
        <w:top w:val="none" w:sz="0" w:space="0" w:color="auto"/>
        <w:left w:val="none" w:sz="0" w:space="0" w:color="auto"/>
        <w:bottom w:val="none" w:sz="0" w:space="0" w:color="auto"/>
        <w:right w:val="none" w:sz="0" w:space="0" w:color="auto"/>
      </w:divBdr>
      <w:divsChild>
        <w:div w:id="1499887125">
          <w:marLeft w:val="0"/>
          <w:marRight w:val="0"/>
          <w:marTop w:val="0"/>
          <w:marBottom w:val="0"/>
          <w:divBdr>
            <w:top w:val="none" w:sz="0" w:space="0" w:color="auto"/>
            <w:left w:val="none" w:sz="0" w:space="0" w:color="auto"/>
            <w:bottom w:val="none" w:sz="0" w:space="0" w:color="auto"/>
            <w:right w:val="none" w:sz="0" w:space="0" w:color="auto"/>
          </w:divBdr>
          <w:divsChild>
            <w:div w:id="1267424168">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216">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sChild>
            <w:div w:id="1853497411">
              <w:marLeft w:val="0"/>
              <w:marRight w:val="0"/>
              <w:marTop w:val="0"/>
              <w:marBottom w:val="0"/>
              <w:divBdr>
                <w:top w:val="none" w:sz="0" w:space="0" w:color="auto"/>
                <w:left w:val="none" w:sz="0" w:space="0" w:color="auto"/>
                <w:bottom w:val="none" w:sz="0" w:space="0" w:color="auto"/>
                <w:right w:val="none" w:sz="0" w:space="0" w:color="auto"/>
              </w:divBdr>
              <w:divsChild>
                <w:div w:id="589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468">
      <w:bodyDiv w:val="1"/>
      <w:marLeft w:val="0"/>
      <w:marRight w:val="0"/>
      <w:marTop w:val="0"/>
      <w:marBottom w:val="0"/>
      <w:divBdr>
        <w:top w:val="none" w:sz="0" w:space="0" w:color="auto"/>
        <w:left w:val="none" w:sz="0" w:space="0" w:color="auto"/>
        <w:bottom w:val="none" w:sz="0" w:space="0" w:color="auto"/>
        <w:right w:val="none" w:sz="0" w:space="0" w:color="auto"/>
      </w:divBdr>
      <w:divsChild>
        <w:div w:id="1255437605">
          <w:marLeft w:val="0"/>
          <w:marRight w:val="0"/>
          <w:marTop w:val="0"/>
          <w:marBottom w:val="0"/>
          <w:divBdr>
            <w:top w:val="none" w:sz="0" w:space="0" w:color="auto"/>
            <w:left w:val="none" w:sz="0" w:space="0" w:color="auto"/>
            <w:bottom w:val="none" w:sz="0" w:space="0" w:color="auto"/>
            <w:right w:val="none" w:sz="0" w:space="0" w:color="auto"/>
          </w:divBdr>
          <w:divsChild>
            <w:div w:id="1836996963">
              <w:marLeft w:val="0"/>
              <w:marRight w:val="0"/>
              <w:marTop w:val="0"/>
              <w:marBottom w:val="0"/>
              <w:divBdr>
                <w:top w:val="none" w:sz="0" w:space="0" w:color="auto"/>
                <w:left w:val="none" w:sz="0" w:space="0" w:color="auto"/>
                <w:bottom w:val="none" w:sz="0" w:space="0" w:color="auto"/>
                <w:right w:val="none" w:sz="0" w:space="0" w:color="auto"/>
              </w:divBdr>
              <w:divsChild>
                <w:div w:id="20749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8224">
      <w:bodyDiv w:val="1"/>
      <w:marLeft w:val="0"/>
      <w:marRight w:val="0"/>
      <w:marTop w:val="0"/>
      <w:marBottom w:val="0"/>
      <w:divBdr>
        <w:top w:val="none" w:sz="0" w:space="0" w:color="auto"/>
        <w:left w:val="none" w:sz="0" w:space="0" w:color="auto"/>
        <w:bottom w:val="none" w:sz="0" w:space="0" w:color="auto"/>
        <w:right w:val="none" w:sz="0" w:space="0" w:color="auto"/>
      </w:divBdr>
    </w:div>
    <w:div w:id="799808645">
      <w:bodyDiv w:val="1"/>
      <w:marLeft w:val="0"/>
      <w:marRight w:val="0"/>
      <w:marTop w:val="0"/>
      <w:marBottom w:val="0"/>
      <w:divBdr>
        <w:top w:val="none" w:sz="0" w:space="0" w:color="auto"/>
        <w:left w:val="none" w:sz="0" w:space="0" w:color="auto"/>
        <w:bottom w:val="none" w:sz="0" w:space="0" w:color="auto"/>
        <w:right w:val="none" w:sz="0" w:space="0" w:color="auto"/>
      </w:divBdr>
      <w:divsChild>
        <w:div w:id="932015096">
          <w:marLeft w:val="0"/>
          <w:marRight w:val="0"/>
          <w:marTop w:val="0"/>
          <w:marBottom w:val="0"/>
          <w:divBdr>
            <w:top w:val="none" w:sz="0" w:space="0" w:color="auto"/>
            <w:left w:val="none" w:sz="0" w:space="0" w:color="auto"/>
            <w:bottom w:val="none" w:sz="0" w:space="0" w:color="auto"/>
            <w:right w:val="none" w:sz="0" w:space="0" w:color="auto"/>
          </w:divBdr>
          <w:divsChild>
            <w:div w:id="798180565">
              <w:marLeft w:val="0"/>
              <w:marRight w:val="0"/>
              <w:marTop w:val="0"/>
              <w:marBottom w:val="0"/>
              <w:divBdr>
                <w:top w:val="none" w:sz="0" w:space="0" w:color="auto"/>
                <w:left w:val="none" w:sz="0" w:space="0" w:color="auto"/>
                <w:bottom w:val="none" w:sz="0" w:space="0" w:color="auto"/>
                <w:right w:val="none" w:sz="0" w:space="0" w:color="auto"/>
              </w:divBdr>
              <w:divsChild>
                <w:div w:id="1310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5238">
      <w:bodyDiv w:val="1"/>
      <w:marLeft w:val="0"/>
      <w:marRight w:val="0"/>
      <w:marTop w:val="0"/>
      <w:marBottom w:val="0"/>
      <w:divBdr>
        <w:top w:val="none" w:sz="0" w:space="0" w:color="auto"/>
        <w:left w:val="none" w:sz="0" w:space="0" w:color="auto"/>
        <w:bottom w:val="none" w:sz="0" w:space="0" w:color="auto"/>
        <w:right w:val="none" w:sz="0" w:space="0" w:color="auto"/>
      </w:divBdr>
      <w:divsChild>
        <w:div w:id="862521853">
          <w:marLeft w:val="0"/>
          <w:marRight w:val="0"/>
          <w:marTop w:val="0"/>
          <w:marBottom w:val="0"/>
          <w:divBdr>
            <w:top w:val="none" w:sz="0" w:space="0" w:color="auto"/>
            <w:left w:val="none" w:sz="0" w:space="0" w:color="auto"/>
            <w:bottom w:val="none" w:sz="0" w:space="0" w:color="auto"/>
            <w:right w:val="none" w:sz="0" w:space="0" w:color="auto"/>
          </w:divBdr>
          <w:divsChild>
            <w:div w:id="1202205944">
              <w:marLeft w:val="0"/>
              <w:marRight w:val="0"/>
              <w:marTop w:val="0"/>
              <w:marBottom w:val="0"/>
              <w:divBdr>
                <w:top w:val="none" w:sz="0" w:space="0" w:color="auto"/>
                <w:left w:val="none" w:sz="0" w:space="0" w:color="auto"/>
                <w:bottom w:val="none" w:sz="0" w:space="0" w:color="auto"/>
                <w:right w:val="none" w:sz="0" w:space="0" w:color="auto"/>
              </w:divBdr>
              <w:divsChild>
                <w:div w:id="983006499">
                  <w:marLeft w:val="0"/>
                  <w:marRight w:val="0"/>
                  <w:marTop w:val="0"/>
                  <w:marBottom w:val="0"/>
                  <w:divBdr>
                    <w:top w:val="none" w:sz="0" w:space="0" w:color="auto"/>
                    <w:left w:val="none" w:sz="0" w:space="0" w:color="auto"/>
                    <w:bottom w:val="none" w:sz="0" w:space="0" w:color="auto"/>
                    <w:right w:val="none" w:sz="0" w:space="0" w:color="auto"/>
                  </w:divBdr>
                  <w:divsChild>
                    <w:div w:id="11516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1420">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915044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4401">
          <w:marLeft w:val="0"/>
          <w:marRight w:val="0"/>
          <w:marTop w:val="0"/>
          <w:marBottom w:val="0"/>
          <w:divBdr>
            <w:top w:val="none" w:sz="0" w:space="0" w:color="auto"/>
            <w:left w:val="none" w:sz="0" w:space="0" w:color="auto"/>
            <w:bottom w:val="none" w:sz="0" w:space="0" w:color="auto"/>
            <w:right w:val="none" w:sz="0" w:space="0" w:color="auto"/>
          </w:divBdr>
          <w:divsChild>
            <w:div w:id="848448790">
              <w:marLeft w:val="0"/>
              <w:marRight w:val="0"/>
              <w:marTop w:val="0"/>
              <w:marBottom w:val="0"/>
              <w:divBdr>
                <w:top w:val="none" w:sz="0" w:space="0" w:color="auto"/>
                <w:left w:val="none" w:sz="0" w:space="0" w:color="auto"/>
                <w:bottom w:val="none" w:sz="0" w:space="0" w:color="auto"/>
                <w:right w:val="none" w:sz="0" w:space="0" w:color="auto"/>
              </w:divBdr>
              <w:divsChild>
                <w:div w:id="1034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538">
      <w:bodyDiv w:val="1"/>
      <w:marLeft w:val="0"/>
      <w:marRight w:val="0"/>
      <w:marTop w:val="0"/>
      <w:marBottom w:val="0"/>
      <w:divBdr>
        <w:top w:val="none" w:sz="0" w:space="0" w:color="auto"/>
        <w:left w:val="none" w:sz="0" w:space="0" w:color="auto"/>
        <w:bottom w:val="none" w:sz="0" w:space="0" w:color="auto"/>
        <w:right w:val="none" w:sz="0" w:space="0" w:color="auto"/>
      </w:divBdr>
      <w:divsChild>
        <w:div w:id="878661939">
          <w:marLeft w:val="0"/>
          <w:marRight w:val="0"/>
          <w:marTop w:val="0"/>
          <w:marBottom w:val="0"/>
          <w:divBdr>
            <w:top w:val="none" w:sz="0" w:space="0" w:color="auto"/>
            <w:left w:val="none" w:sz="0" w:space="0" w:color="auto"/>
            <w:bottom w:val="none" w:sz="0" w:space="0" w:color="auto"/>
            <w:right w:val="none" w:sz="0" w:space="0" w:color="auto"/>
          </w:divBdr>
          <w:divsChild>
            <w:div w:id="1931348794">
              <w:marLeft w:val="0"/>
              <w:marRight w:val="0"/>
              <w:marTop w:val="0"/>
              <w:marBottom w:val="0"/>
              <w:divBdr>
                <w:top w:val="none" w:sz="0" w:space="0" w:color="auto"/>
                <w:left w:val="none" w:sz="0" w:space="0" w:color="auto"/>
                <w:bottom w:val="none" w:sz="0" w:space="0" w:color="auto"/>
                <w:right w:val="none" w:sz="0" w:space="0" w:color="auto"/>
              </w:divBdr>
              <w:divsChild>
                <w:div w:id="1987733190">
                  <w:marLeft w:val="0"/>
                  <w:marRight w:val="0"/>
                  <w:marTop w:val="0"/>
                  <w:marBottom w:val="0"/>
                  <w:divBdr>
                    <w:top w:val="none" w:sz="0" w:space="0" w:color="auto"/>
                    <w:left w:val="none" w:sz="0" w:space="0" w:color="auto"/>
                    <w:bottom w:val="none" w:sz="0" w:space="0" w:color="auto"/>
                    <w:right w:val="none" w:sz="0" w:space="0" w:color="auto"/>
                  </w:divBdr>
                  <w:divsChild>
                    <w:div w:id="166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3864">
      <w:bodyDiv w:val="1"/>
      <w:marLeft w:val="0"/>
      <w:marRight w:val="0"/>
      <w:marTop w:val="0"/>
      <w:marBottom w:val="0"/>
      <w:divBdr>
        <w:top w:val="none" w:sz="0" w:space="0" w:color="auto"/>
        <w:left w:val="none" w:sz="0" w:space="0" w:color="auto"/>
        <w:bottom w:val="none" w:sz="0" w:space="0" w:color="auto"/>
        <w:right w:val="none" w:sz="0" w:space="0" w:color="auto"/>
      </w:divBdr>
    </w:div>
    <w:div w:id="1013187246">
      <w:bodyDiv w:val="1"/>
      <w:marLeft w:val="0"/>
      <w:marRight w:val="0"/>
      <w:marTop w:val="0"/>
      <w:marBottom w:val="0"/>
      <w:divBdr>
        <w:top w:val="none" w:sz="0" w:space="0" w:color="auto"/>
        <w:left w:val="none" w:sz="0" w:space="0" w:color="auto"/>
        <w:bottom w:val="none" w:sz="0" w:space="0" w:color="auto"/>
        <w:right w:val="none" w:sz="0" w:space="0" w:color="auto"/>
      </w:divBdr>
      <w:divsChild>
        <w:div w:id="1318729513">
          <w:marLeft w:val="0"/>
          <w:marRight w:val="0"/>
          <w:marTop w:val="0"/>
          <w:marBottom w:val="0"/>
          <w:divBdr>
            <w:top w:val="none" w:sz="0" w:space="0" w:color="auto"/>
            <w:left w:val="none" w:sz="0" w:space="0" w:color="auto"/>
            <w:bottom w:val="none" w:sz="0" w:space="0" w:color="auto"/>
            <w:right w:val="none" w:sz="0" w:space="0" w:color="auto"/>
          </w:divBdr>
          <w:divsChild>
            <w:div w:id="1549100752">
              <w:marLeft w:val="0"/>
              <w:marRight w:val="0"/>
              <w:marTop w:val="0"/>
              <w:marBottom w:val="0"/>
              <w:divBdr>
                <w:top w:val="none" w:sz="0" w:space="0" w:color="auto"/>
                <w:left w:val="none" w:sz="0" w:space="0" w:color="auto"/>
                <w:bottom w:val="none" w:sz="0" w:space="0" w:color="auto"/>
                <w:right w:val="none" w:sz="0" w:space="0" w:color="auto"/>
              </w:divBdr>
              <w:divsChild>
                <w:div w:id="8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256">
      <w:bodyDiv w:val="1"/>
      <w:marLeft w:val="0"/>
      <w:marRight w:val="0"/>
      <w:marTop w:val="0"/>
      <w:marBottom w:val="0"/>
      <w:divBdr>
        <w:top w:val="none" w:sz="0" w:space="0" w:color="auto"/>
        <w:left w:val="none" w:sz="0" w:space="0" w:color="auto"/>
        <w:bottom w:val="none" w:sz="0" w:space="0" w:color="auto"/>
        <w:right w:val="none" w:sz="0" w:space="0" w:color="auto"/>
      </w:divBdr>
    </w:div>
    <w:div w:id="1068647143">
      <w:bodyDiv w:val="1"/>
      <w:marLeft w:val="0"/>
      <w:marRight w:val="0"/>
      <w:marTop w:val="0"/>
      <w:marBottom w:val="0"/>
      <w:divBdr>
        <w:top w:val="none" w:sz="0" w:space="0" w:color="auto"/>
        <w:left w:val="none" w:sz="0" w:space="0" w:color="auto"/>
        <w:bottom w:val="none" w:sz="0" w:space="0" w:color="auto"/>
        <w:right w:val="none" w:sz="0" w:space="0" w:color="auto"/>
      </w:divBdr>
    </w:div>
    <w:div w:id="1069424724">
      <w:bodyDiv w:val="1"/>
      <w:marLeft w:val="0"/>
      <w:marRight w:val="0"/>
      <w:marTop w:val="0"/>
      <w:marBottom w:val="0"/>
      <w:divBdr>
        <w:top w:val="none" w:sz="0" w:space="0" w:color="auto"/>
        <w:left w:val="none" w:sz="0" w:space="0" w:color="auto"/>
        <w:bottom w:val="none" w:sz="0" w:space="0" w:color="auto"/>
        <w:right w:val="none" w:sz="0" w:space="0" w:color="auto"/>
      </w:divBdr>
      <w:divsChild>
        <w:div w:id="1212427776">
          <w:marLeft w:val="0"/>
          <w:marRight w:val="0"/>
          <w:marTop w:val="0"/>
          <w:marBottom w:val="0"/>
          <w:divBdr>
            <w:top w:val="none" w:sz="0" w:space="0" w:color="auto"/>
            <w:left w:val="none" w:sz="0" w:space="0" w:color="auto"/>
            <w:bottom w:val="none" w:sz="0" w:space="0" w:color="auto"/>
            <w:right w:val="none" w:sz="0" w:space="0" w:color="auto"/>
          </w:divBdr>
          <w:divsChild>
            <w:div w:id="2007593874">
              <w:marLeft w:val="0"/>
              <w:marRight w:val="0"/>
              <w:marTop w:val="0"/>
              <w:marBottom w:val="0"/>
              <w:divBdr>
                <w:top w:val="none" w:sz="0" w:space="0" w:color="auto"/>
                <w:left w:val="none" w:sz="0" w:space="0" w:color="auto"/>
                <w:bottom w:val="none" w:sz="0" w:space="0" w:color="auto"/>
                <w:right w:val="none" w:sz="0" w:space="0" w:color="auto"/>
              </w:divBdr>
              <w:divsChild>
                <w:div w:id="21216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1149">
      <w:bodyDiv w:val="1"/>
      <w:marLeft w:val="0"/>
      <w:marRight w:val="0"/>
      <w:marTop w:val="0"/>
      <w:marBottom w:val="0"/>
      <w:divBdr>
        <w:top w:val="none" w:sz="0" w:space="0" w:color="auto"/>
        <w:left w:val="none" w:sz="0" w:space="0" w:color="auto"/>
        <w:bottom w:val="none" w:sz="0" w:space="0" w:color="auto"/>
        <w:right w:val="none" w:sz="0" w:space="0" w:color="auto"/>
      </w:divBdr>
    </w:div>
    <w:div w:id="1110902035">
      <w:bodyDiv w:val="1"/>
      <w:marLeft w:val="0"/>
      <w:marRight w:val="0"/>
      <w:marTop w:val="0"/>
      <w:marBottom w:val="0"/>
      <w:divBdr>
        <w:top w:val="none" w:sz="0" w:space="0" w:color="auto"/>
        <w:left w:val="none" w:sz="0" w:space="0" w:color="auto"/>
        <w:bottom w:val="none" w:sz="0" w:space="0" w:color="auto"/>
        <w:right w:val="none" w:sz="0" w:space="0" w:color="auto"/>
      </w:divBdr>
    </w:div>
    <w:div w:id="122429438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111941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905">
          <w:marLeft w:val="0"/>
          <w:marRight w:val="0"/>
          <w:marTop w:val="0"/>
          <w:marBottom w:val="0"/>
          <w:divBdr>
            <w:top w:val="none" w:sz="0" w:space="0" w:color="auto"/>
            <w:left w:val="none" w:sz="0" w:space="0" w:color="auto"/>
            <w:bottom w:val="none" w:sz="0" w:space="0" w:color="auto"/>
            <w:right w:val="none" w:sz="0" w:space="0" w:color="auto"/>
          </w:divBdr>
          <w:divsChild>
            <w:div w:id="933322066">
              <w:marLeft w:val="0"/>
              <w:marRight w:val="0"/>
              <w:marTop w:val="0"/>
              <w:marBottom w:val="0"/>
              <w:divBdr>
                <w:top w:val="none" w:sz="0" w:space="0" w:color="auto"/>
                <w:left w:val="none" w:sz="0" w:space="0" w:color="auto"/>
                <w:bottom w:val="none" w:sz="0" w:space="0" w:color="auto"/>
                <w:right w:val="none" w:sz="0" w:space="0" w:color="auto"/>
              </w:divBdr>
              <w:divsChild>
                <w:div w:id="15388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8015">
      <w:bodyDiv w:val="1"/>
      <w:marLeft w:val="0"/>
      <w:marRight w:val="0"/>
      <w:marTop w:val="0"/>
      <w:marBottom w:val="0"/>
      <w:divBdr>
        <w:top w:val="none" w:sz="0" w:space="0" w:color="auto"/>
        <w:left w:val="none" w:sz="0" w:space="0" w:color="auto"/>
        <w:bottom w:val="none" w:sz="0" w:space="0" w:color="auto"/>
        <w:right w:val="none" w:sz="0" w:space="0" w:color="auto"/>
      </w:divBdr>
      <w:divsChild>
        <w:div w:id="1205559448">
          <w:marLeft w:val="0"/>
          <w:marRight w:val="0"/>
          <w:marTop w:val="0"/>
          <w:marBottom w:val="0"/>
          <w:divBdr>
            <w:top w:val="single" w:sz="2" w:space="0" w:color="D9D9E3"/>
            <w:left w:val="single" w:sz="2" w:space="0" w:color="D9D9E3"/>
            <w:bottom w:val="single" w:sz="2" w:space="0" w:color="D9D9E3"/>
            <w:right w:val="single" w:sz="2" w:space="0" w:color="D9D9E3"/>
          </w:divBdr>
          <w:divsChild>
            <w:div w:id="30956425">
              <w:marLeft w:val="0"/>
              <w:marRight w:val="0"/>
              <w:marTop w:val="0"/>
              <w:marBottom w:val="0"/>
              <w:divBdr>
                <w:top w:val="single" w:sz="2" w:space="0" w:color="D9D9E3"/>
                <w:left w:val="single" w:sz="2" w:space="0" w:color="D9D9E3"/>
                <w:bottom w:val="single" w:sz="2" w:space="0" w:color="D9D9E3"/>
                <w:right w:val="single" w:sz="2" w:space="0" w:color="D9D9E3"/>
              </w:divBdr>
              <w:divsChild>
                <w:div w:id="1795564533">
                  <w:marLeft w:val="0"/>
                  <w:marRight w:val="0"/>
                  <w:marTop w:val="0"/>
                  <w:marBottom w:val="0"/>
                  <w:divBdr>
                    <w:top w:val="single" w:sz="2" w:space="0" w:color="D9D9E3"/>
                    <w:left w:val="single" w:sz="2" w:space="0" w:color="D9D9E3"/>
                    <w:bottom w:val="single" w:sz="2" w:space="0" w:color="D9D9E3"/>
                    <w:right w:val="single" w:sz="2" w:space="0" w:color="D9D9E3"/>
                  </w:divBdr>
                  <w:divsChild>
                    <w:div w:id="2066836237">
                      <w:marLeft w:val="0"/>
                      <w:marRight w:val="0"/>
                      <w:marTop w:val="0"/>
                      <w:marBottom w:val="0"/>
                      <w:divBdr>
                        <w:top w:val="single" w:sz="2" w:space="0" w:color="D9D9E3"/>
                        <w:left w:val="single" w:sz="2" w:space="0" w:color="D9D9E3"/>
                        <w:bottom w:val="single" w:sz="2" w:space="0" w:color="D9D9E3"/>
                        <w:right w:val="single" w:sz="2" w:space="0" w:color="D9D9E3"/>
                      </w:divBdr>
                      <w:divsChild>
                        <w:div w:id="1863744887">
                          <w:marLeft w:val="0"/>
                          <w:marRight w:val="0"/>
                          <w:marTop w:val="0"/>
                          <w:marBottom w:val="0"/>
                          <w:divBdr>
                            <w:top w:val="single" w:sz="2" w:space="0" w:color="D9D9E3"/>
                            <w:left w:val="single" w:sz="2" w:space="0" w:color="D9D9E3"/>
                            <w:bottom w:val="single" w:sz="2" w:space="0" w:color="D9D9E3"/>
                            <w:right w:val="single" w:sz="2" w:space="0" w:color="D9D9E3"/>
                          </w:divBdr>
                          <w:divsChild>
                            <w:div w:id="5523038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445185">
                                  <w:marLeft w:val="0"/>
                                  <w:marRight w:val="0"/>
                                  <w:marTop w:val="0"/>
                                  <w:marBottom w:val="0"/>
                                  <w:divBdr>
                                    <w:top w:val="single" w:sz="2" w:space="0" w:color="D9D9E3"/>
                                    <w:left w:val="single" w:sz="2" w:space="0" w:color="D9D9E3"/>
                                    <w:bottom w:val="single" w:sz="2" w:space="0" w:color="D9D9E3"/>
                                    <w:right w:val="single" w:sz="2" w:space="0" w:color="D9D9E3"/>
                                  </w:divBdr>
                                  <w:divsChild>
                                    <w:div w:id="521936236">
                                      <w:marLeft w:val="0"/>
                                      <w:marRight w:val="0"/>
                                      <w:marTop w:val="0"/>
                                      <w:marBottom w:val="0"/>
                                      <w:divBdr>
                                        <w:top w:val="single" w:sz="2" w:space="0" w:color="D9D9E3"/>
                                        <w:left w:val="single" w:sz="2" w:space="0" w:color="D9D9E3"/>
                                        <w:bottom w:val="single" w:sz="2" w:space="0" w:color="D9D9E3"/>
                                        <w:right w:val="single" w:sz="2" w:space="0" w:color="D9D9E3"/>
                                      </w:divBdr>
                                      <w:divsChild>
                                        <w:div w:id="837621412">
                                          <w:marLeft w:val="0"/>
                                          <w:marRight w:val="0"/>
                                          <w:marTop w:val="0"/>
                                          <w:marBottom w:val="0"/>
                                          <w:divBdr>
                                            <w:top w:val="single" w:sz="2" w:space="0" w:color="D9D9E3"/>
                                            <w:left w:val="single" w:sz="2" w:space="0" w:color="D9D9E3"/>
                                            <w:bottom w:val="single" w:sz="2" w:space="0" w:color="D9D9E3"/>
                                            <w:right w:val="single" w:sz="2" w:space="0" w:color="D9D9E3"/>
                                          </w:divBdr>
                                          <w:divsChild>
                                            <w:div w:id="534345898">
                                              <w:marLeft w:val="0"/>
                                              <w:marRight w:val="0"/>
                                              <w:marTop w:val="0"/>
                                              <w:marBottom w:val="0"/>
                                              <w:divBdr>
                                                <w:top w:val="single" w:sz="2" w:space="0" w:color="D9D9E3"/>
                                                <w:left w:val="single" w:sz="2" w:space="0" w:color="D9D9E3"/>
                                                <w:bottom w:val="single" w:sz="2" w:space="0" w:color="D9D9E3"/>
                                                <w:right w:val="single" w:sz="2" w:space="0" w:color="D9D9E3"/>
                                              </w:divBdr>
                                              <w:divsChild>
                                                <w:div w:id="573979736">
                                                  <w:marLeft w:val="0"/>
                                                  <w:marRight w:val="0"/>
                                                  <w:marTop w:val="0"/>
                                                  <w:marBottom w:val="0"/>
                                                  <w:divBdr>
                                                    <w:top w:val="single" w:sz="2" w:space="0" w:color="D9D9E3"/>
                                                    <w:left w:val="single" w:sz="2" w:space="0" w:color="D9D9E3"/>
                                                    <w:bottom w:val="single" w:sz="2" w:space="0" w:color="D9D9E3"/>
                                                    <w:right w:val="single" w:sz="2" w:space="0" w:color="D9D9E3"/>
                                                  </w:divBdr>
                                                  <w:divsChild>
                                                    <w:div w:id="1136222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7729302">
          <w:marLeft w:val="0"/>
          <w:marRight w:val="0"/>
          <w:marTop w:val="0"/>
          <w:marBottom w:val="0"/>
          <w:divBdr>
            <w:top w:val="none" w:sz="0" w:space="0" w:color="auto"/>
            <w:left w:val="none" w:sz="0" w:space="0" w:color="auto"/>
            <w:bottom w:val="none" w:sz="0" w:space="0" w:color="auto"/>
            <w:right w:val="none" w:sz="0" w:space="0" w:color="auto"/>
          </w:divBdr>
          <w:divsChild>
            <w:div w:id="1535580957">
              <w:marLeft w:val="0"/>
              <w:marRight w:val="0"/>
              <w:marTop w:val="0"/>
              <w:marBottom w:val="0"/>
              <w:divBdr>
                <w:top w:val="single" w:sz="2" w:space="0" w:color="D9D9E3"/>
                <w:left w:val="single" w:sz="2" w:space="0" w:color="D9D9E3"/>
                <w:bottom w:val="single" w:sz="2" w:space="0" w:color="D9D9E3"/>
                <w:right w:val="single" w:sz="2" w:space="0" w:color="D9D9E3"/>
              </w:divBdr>
              <w:divsChild>
                <w:div w:id="1285039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92990885">
      <w:bodyDiv w:val="1"/>
      <w:marLeft w:val="0"/>
      <w:marRight w:val="0"/>
      <w:marTop w:val="0"/>
      <w:marBottom w:val="0"/>
      <w:divBdr>
        <w:top w:val="none" w:sz="0" w:space="0" w:color="auto"/>
        <w:left w:val="none" w:sz="0" w:space="0" w:color="auto"/>
        <w:bottom w:val="none" w:sz="0" w:space="0" w:color="auto"/>
        <w:right w:val="none" w:sz="0" w:space="0" w:color="auto"/>
      </w:divBdr>
      <w:divsChild>
        <w:div w:id="730733226">
          <w:marLeft w:val="0"/>
          <w:marRight w:val="0"/>
          <w:marTop w:val="0"/>
          <w:marBottom w:val="0"/>
          <w:divBdr>
            <w:top w:val="single" w:sz="2" w:space="0" w:color="D9D9E3"/>
            <w:left w:val="single" w:sz="2" w:space="0" w:color="D9D9E3"/>
            <w:bottom w:val="single" w:sz="2" w:space="0" w:color="D9D9E3"/>
            <w:right w:val="single" w:sz="2" w:space="0" w:color="D9D9E3"/>
          </w:divBdr>
          <w:divsChild>
            <w:div w:id="733087045">
              <w:marLeft w:val="0"/>
              <w:marRight w:val="0"/>
              <w:marTop w:val="0"/>
              <w:marBottom w:val="0"/>
              <w:divBdr>
                <w:top w:val="single" w:sz="2" w:space="0" w:color="D9D9E3"/>
                <w:left w:val="single" w:sz="2" w:space="0" w:color="D9D9E3"/>
                <w:bottom w:val="single" w:sz="2" w:space="0" w:color="D9D9E3"/>
                <w:right w:val="single" w:sz="2" w:space="0" w:color="D9D9E3"/>
              </w:divBdr>
              <w:divsChild>
                <w:div w:id="268436281">
                  <w:marLeft w:val="0"/>
                  <w:marRight w:val="0"/>
                  <w:marTop w:val="0"/>
                  <w:marBottom w:val="0"/>
                  <w:divBdr>
                    <w:top w:val="single" w:sz="2" w:space="0" w:color="D9D9E3"/>
                    <w:left w:val="single" w:sz="2" w:space="0" w:color="D9D9E3"/>
                    <w:bottom w:val="single" w:sz="2" w:space="0" w:color="D9D9E3"/>
                    <w:right w:val="single" w:sz="2" w:space="0" w:color="D9D9E3"/>
                  </w:divBdr>
                  <w:divsChild>
                    <w:div w:id="2078894171">
                      <w:marLeft w:val="0"/>
                      <w:marRight w:val="0"/>
                      <w:marTop w:val="0"/>
                      <w:marBottom w:val="0"/>
                      <w:divBdr>
                        <w:top w:val="single" w:sz="2" w:space="0" w:color="D9D9E3"/>
                        <w:left w:val="single" w:sz="2" w:space="0" w:color="D9D9E3"/>
                        <w:bottom w:val="single" w:sz="2" w:space="0" w:color="D9D9E3"/>
                        <w:right w:val="single" w:sz="2" w:space="0" w:color="D9D9E3"/>
                      </w:divBdr>
                      <w:divsChild>
                        <w:div w:id="1288272107">
                          <w:marLeft w:val="0"/>
                          <w:marRight w:val="0"/>
                          <w:marTop w:val="0"/>
                          <w:marBottom w:val="0"/>
                          <w:divBdr>
                            <w:top w:val="single" w:sz="2" w:space="0" w:color="D9D9E3"/>
                            <w:left w:val="single" w:sz="2" w:space="0" w:color="D9D9E3"/>
                            <w:bottom w:val="single" w:sz="2" w:space="0" w:color="D9D9E3"/>
                            <w:right w:val="single" w:sz="2" w:space="0" w:color="D9D9E3"/>
                          </w:divBdr>
                          <w:divsChild>
                            <w:div w:id="21472404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496455">
                                  <w:marLeft w:val="0"/>
                                  <w:marRight w:val="0"/>
                                  <w:marTop w:val="0"/>
                                  <w:marBottom w:val="0"/>
                                  <w:divBdr>
                                    <w:top w:val="single" w:sz="2" w:space="0" w:color="D9D9E3"/>
                                    <w:left w:val="single" w:sz="2" w:space="0" w:color="D9D9E3"/>
                                    <w:bottom w:val="single" w:sz="2" w:space="0" w:color="D9D9E3"/>
                                    <w:right w:val="single" w:sz="2" w:space="0" w:color="D9D9E3"/>
                                  </w:divBdr>
                                  <w:divsChild>
                                    <w:div w:id="795023727">
                                      <w:marLeft w:val="0"/>
                                      <w:marRight w:val="0"/>
                                      <w:marTop w:val="0"/>
                                      <w:marBottom w:val="0"/>
                                      <w:divBdr>
                                        <w:top w:val="single" w:sz="2" w:space="0" w:color="D9D9E3"/>
                                        <w:left w:val="single" w:sz="2" w:space="0" w:color="D9D9E3"/>
                                        <w:bottom w:val="single" w:sz="2" w:space="0" w:color="D9D9E3"/>
                                        <w:right w:val="single" w:sz="2" w:space="0" w:color="D9D9E3"/>
                                      </w:divBdr>
                                      <w:divsChild>
                                        <w:div w:id="793673331">
                                          <w:marLeft w:val="0"/>
                                          <w:marRight w:val="0"/>
                                          <w:marTop w:val="0"/>
                                          <w:marBottom w:val="0"/>
                                          <w:divBdr>
                                            <w:top w:val="single" w:sz="2" w:space="0" w:color="D9D9E3"/>
                                            <w:left w:val="single" w:sz="2" w:space="0" w:color="D9D9E3"/>
                                            <w:bottom w:val="single" w:sz="2" w:space="0" w:color="D9D9E3"/>
                                            <w:right w:val="single" w:sz="2" w:space="0" w:color="D9D9E3"/>
                                          </w:divBdr>
                                          <w:divsChild>
                                            <w:div w:id="98838222">
                                              <w:marLeft w:val="0"/>
                                              <w:marRight w:val="0"/>
                                              <w:marTop w:val="0"/>
                                              <w:marBottom w:val="0"/>
                                              <w:divBdr>
                                                <w:top w:val="single" w:sz="2" w:space="0" w:color="D9D9E3"/>
                                                <w:left w:val="single" w:sz="2" w:space="0" w:color="D9D9E3"/>
                                                <w:bottom w:val="single" w:sz="2" w:space="0" w:color="D9D9E3"/>
                                                <w:right w:val="single" w:sz="2" w:space="0" w:color="D9D9E3"/>
                                              </w:divBdr>
                                              <w:divsChild>
                                                <w:div w:id="403182970">
                                                  <w:marLeft w:val="0"/>
                                                  <w:marRight w:val="0"/>
                                                  <w:marTop w:val="0"/>
                                                  <w:marBottom w:val="0"/>
                                                  <w:divBdr>
                                                    <w:top w:val="single" w:sz="2" w:space="0" w:color="D9D9E3"/>
                                                    <w:left w:val="single" w:sz="2" w:space="0" w:color="D9D9E3"/>
                                                    <w:bottom w:val="single" w:sz="2" w:space="0" w:color="D9D9E3"/>
                                                    <w:right w:val="single" w:sz="2" w:space="0" w:color="D9D9E3"/>
                                                  </w:divBdr>
                                                  <w:divsChild>
                                                    <w:div w:id="815144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2040559">
          <w:marLeft w:val="0"/>
          <w:marRight w:val="0"/>
          <w:marTop w:val="0"/>
          <w:marBottom w:val="0"/>
          <w:divBdr>
            <w:top w:val="none" w:sz="0" w:space="0" w:color="auto"/>
            <w:left w:val="none" w:sz="0" w:space="0" w:color="auto"/>
            <w:bottom w:val="none" w:sz="0" w:space="0" w:color="auto"/>
            <w:right w:val="none" w:sz="0" w:space="0" w:color="auto"/>
          </w:divBdr>
          <w:divsChild>
            <w:div w:id="1834100016">
              <w:marLeft w:val="0"/>
              <w:marRight w:val="0"/>
              <w:marTop w:val="0"/>
              <w:marBottom w:val="0"/>
              <w:divBdr>
                <w:top w:val="single" w:sz="2" w:space="0" w:color="D9D9E3"/>
                <w:left w:val="single" w:sz="2" w:space="0" w:color="D9D9E3"/>
                <w:bottom w:val="single" w:sz="2" w:space="0" w:color="D9D9E3"/>
                <w:right w:val="single" w:sz="2" w:space="0" w:color="D9D9E3"/>
              </w:divBdr>
              <w:divsChild>
                <w:div w:id="156460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5681412">
      <w:bodyDiv w:val="1"/>
      <w:marLeft w:val="0"/>
      <w:marRight w:val="0"/>
      <w:marTop w:val="0"/>
      <w:marBottom w:val="0"/>
      <w:divBdr>
        <w:top w:val="none" w:sz="0" w:space="0" w:color="auto"/>
        <w:left w:val="none" w:sz="0" w:space="0" w:color="auto"/>
        <w:bottom w:val="none" w:sz="0" w:space="0" w:color="auto"/>
        <w:right w:val="none" w:sz="0" w:space="0" w:color="auto"/>
      </w:divBdr>
    </w:div>
    <w:div w:id="1579823497">
      <w:bodyDiv w:val="1"/>
      <w:marLeft w:val="0"/>
      <w:marRight w:val="0"/>
      <w:marTop w:val="0"/>
      <w:marBottom w:val="0"/>
      <w:divBdr>
        <w:top w:val="none" w:sz="0" w:space="0" w:color="auto"/>
        <w:left w:val="none" w:sz="0" w:space="0" w:color="auto"/>
        <w:bottom w:val="none" w:sz="0" w:space="0" w:color="auto"/>
        <w:right w:val="none" w:sz="0" w:space="0" w:color="auto"/>
      </w:divBdr>
    </w:div>
    <w:div w:id="1603293621">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700352942">
      <w:bodyDiv w:val="1"/>
      <w:marLeft w:val="0"/>
      <w:marRight w:val="0"/>
      <w:marTop w:val="0"/>
      <w:marBottom w:val="0"/>
      <w:divBdr>
        <w:top w:val="none" w:sz="0" w:space="0" w:color="auto"/>
        <w:left w:val="none" w:sz="0" w:space="0" w:color="auto"/>
        <w:bottom w:val="none" w:sz="0" w:space="0" w:color="auto"/>
        <w:right w:val="none" w:sz="0" w:space="0" w:color="auto"/>
      </w:divBdr>
    </w:div>
    <w:div w:id="1769231223">
      <w:bodyDiv w:val="1"/>
      <w:marLeft w:val="0"/>
      <w:marRight w:val="0"/>
      <w:marTop w:val="0"/>
      <w:marBottom w:val="0"/>
      <w:divBdr>
        <w:top w:val="none" w:sz="0" w:space="0" w:color="auto"/>
        <w:left w:val="none" w:sz="0" w:space="0" w:color="auto"/>
        <w:bottom w:val="none" w:sz="0" w:space="0" w:color="auto"/>
        <w:right w:val="none" w:sz="0" w:space="0" w:color="auto"/>
      </w:divBdr>
      <w:divsChild>
        <w:div w:id="602028783">
          <w:marLeft w:val="0"/>
          <w:marRight w:val="0"/>
          <w:marTop w:val="0"/>
          <w:marBottom w:val="0"/>
          <w:divBdr>
            <w:top w:val="none" w:sz="0" w:space="0" w:color="auto"/>
            <w:left w:val="none" w:sz="0" w:space="0" w:color="auto"/>
            <w:bottom w:val="none" w:sz="0" w:space="0" w:color="auto"/>
            <w:right w:val="none" w:sz="0" w:space="0" w:color="auto"/>
          </w:divBdr>
          <w:divsChild>
            <w:div w:id="205221293">
              <w:marLeft w:val="0"/>
              <w:marRight w:val="0"/>
              <w:marTop w:val="0"/>
              <w:marBottom w:val="0"/>
              <w:divBdr>
                <w:top w:val="none" w:sz="0" w:space="0" w:color="auto"/>
                <w:left w:val="none" w:sz="0" w:space="0" w:color="auto"/>
                <w:bottom w:val="none" w:sz="0" w:space="0" w:color="auto"/>
                <w:right w:val="none" w:sz="0" w:space="0" w:color="auto"/>
              </w:divBdr>
              <w:divsChild>
                <w:div w:id="10183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330966">
      <w:bodyDiv w:val="1"/>
      <w:marLeft w:val="0"/>
      <w:marRight w:val="0"/>
      <w:marTop w:val="0"/>
      <w:marBottom w:val="0"/>
      <w:divBdr>
        <w:top w:val="none" w:sz="0" w:space="0" w:color="auto"/>
        <w:left w:val="none" w:sz="0" w:space="0" w:color="auto"/>
        <w:bottom w:val="none" w:sz="0" w:space="0" w:color="auto"/>
        <w:right w:val="none" w:sz="0" w:space="0" w:color="auto"/>
      </w:divBdr>
    </w:div>
    <w:div w:id="1852646056">
      <w:bodyDiv w:val="1"/>
      <w:marLeft w:val="0"/>
      <w:marRight w:val="0"/>
      <w:marTop w:val="0"/>
      <w:marBottom w:val="0"/>
      <w:divBdr>
        <w:top w:val="none" w:sz="0" w:space="0" w:color="auto"/>
        <w:left w:val="none" w:sz="0" w:space="0" w:color="auto"/>
        <w:bottom w:val="none" w:sz="0" w:space="0" w:color="auto"/>
        <w:right w:val="none" w:sz="0" w:space="0" w:color="auto"/>
      </w:divBdr>
      <w:divsChild>
        <w:div w:id="1685087732">
          <w:marLeft w:val="0"/>
          <w:marRight w:val="0"/>
          <w:marTop w:val="0"/>
          <w:marBottom w:val="0"/>
          <w:divBdr>
            <w:top w:val="none" w:sz="0" w:space="0" w:color="auto"/>
            <w:left w:val="none" w:sz="0" w:space="0" w:color="auto"/>
            <w:bottom w:val="none" w:sz="0" w:space="0" w:color="auto"/>
            <w:right w:val="none" w:sz="0" w:space="0" w:color="auto"/>
          </w:divBdr>
          <w:divsChild>
            <w:div w:id="117649547">
              <w:marLeft w:val="0"/>
              <w:marRight w:val="0"/>
              <w:marTop w:val="0"/>
              <w:marBottom w:val="0"/>
              <w:divBdr>
                <w:top w:val="none" w:sz="0" w:space="0" w:color="auto"/>
                <w:left w:val="none" w:sz="0" w:space="0" w:color="auto"/>
                <w:bottom w:val="none" w:sz="0" w:space="0" w:color="auto"/>
                <w:right w:val="none" w:sz="0" w:space="0" w:color="auto"/>
              </w:divBdr>
              <w:divsChild>
                <w:div w:id="639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8930">
      <w:bodyDiv w:val="1"/>
      <w:marLeft w:val="0"/>
      <w:marRight w:val="0"/>
      <w:marTop w:val="0"/>
      <w:marBottom w:val="0"/>
      <w:divBdr>
        <w:top w:val="none" w:sz="0" w:space="0" w:color="auto"/>
        <w:left w:val="none" w:sz="0" w:space="0" w:color="auto"/>
        <w:bottom w:val="none" w:sz="0" w:space="0" w:color="auto"/>
        <w:right w:val="none" w:sz="0" w:space="0" w:color="auto"/>
      </w:divBdr>
    </w:div>
    <w:div w:id="1894807128">
      <w:bodyDiv w:val="1"/>
      <w:marLeft w:val="0"/>
      <w:marRight w:val="0"/>
      <w:marTop w:val="0"/>
      <w:marBottom w:val="0"/>
      <w:divBdr>
        <w:top w:val="none" w:sz="0" w:space="0" w:color="auto"/>
        <w:left w:val="none" w:sz="0" w:space="0" w:color="auto"/>
        <w:bottom w:val="none" w:sz="0" w:space="0" w:color="auto"/>
        <w:right w:val="none" w:sz="0" w:space="0" w:color="auto"/>
      </w:divBdr>
      <w:divsChild>
        <w:div w:id="815026254">
          <w:marLeft w:val="0"/>
          <w:marRight w:val="0"/>
          <w:marTop w:val="0"/>
          <w:marBottom w:val="0"/>
          <w:divBdr>
            <w:top w:val="none" w:sz="0" w:space="0" w:color="auto"/>
            <w:left w:val="none" w:sz="0" w:space="0" w:color="auto"/>
            <w:bottom w:val="none" w:sz="0" w:space="0" w:color="auto"/>
            <w:right w:val="none" w:sz="0" w:space="0" w:color="auto"/>
          </w:divBdr>
          <w:divsChild>
            <w:div w:id="2019574550">
              <w:marLeft w:val="0"/>
              <w:marRight w:val="0"/>
              <w:marTop w:val="0"/>
              <w:marBottom w:val="0"/>
              <w:divBdr>
                <w:top w:val="none" w:sz="0" w:space="0" w:color="auto"/>
                <w:left w:val="none" w:sz="0" w:space="0" w:color="auto"/>
                <w:bottom w:val="none" w:sz="0" w:space="0" w:color="auto"/>
                <w:right w:val="none" w:sz="0" w:space="0" w:color="auto"/>
              </w:divBdr>
              <w:divsChild>
                <w:div w:id="1987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085">
      <w:bodyDiv w:val="1"/>
      <w:marLeft w:val="0"/>
      <w:marRight w:val="0"/>
      <w:marTop w:val="0"/>
      <w:marBottom w:val="0"/>
      <w:divBdr>
        <w:top w:val="none" w:sz="0" w:space="0" w:color="auto"/>
        <w:left w:val="none" w:sz="0" w:space="0" w:color="auto"/>
        <w:bottom w:val="none" w:sz="0" w:space="0" w:color="auto"/>
        <w:right w:val="none" w:sz="0" w:space="0" w:color="auto"/>
      </w:divBdr>
      <w:divsChild>
        <w:div w:id="2005357266">
          <w:marLeft w:val="0"/>
          <w:marRight w:val="0"/>
          <w:marTop w:val="0"/>
          <w:marBottom w:val="0"/>
          <w:divBdr>
            <w:top w:val="none" w:sz="0" w:space="0" w:color="auto"/>
            <w:left w:val="none" w:sz="0" w:space="0" w:color="auto"/>
            <w:bottom w:val="none" w:sz="0" w:space="0" w:color="auto"/>
            <w:right w:val="none" w:sz="0" w:space="0" w:color="auto"/>
          </w:divBdr>
          <w:divsChild>
            <w:div w:id="2114662803">
              <w:marLeft w:val="0"/>
              <w:marRight w:val="0"/>
              <w:marTop w:val="0"/>
              <w:marBottom w:val="0"/>
              <w:divBdr>
                <w:top w:val="none" w:sz="0" w:space="0" w:color="auto"/>
                <w:left w:val="none" w:sz="0" w:space="0" w:color="auto"/>
                <w:bottom w:val="none" w:sz="0" w:space="0" w:color="auto"/>
                <w:right w:val="none" w:sz="0" w:space="0" w:color="auto"/>
              </w:divBdr>
              <w:divsChild>
                <w:div w:id="18964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9191393">
      <w:bodyDiv w:val="1"/>
      <w:marLeft w:val="0"/>
      <w:marRight w:val="0"/>
      <w:marTop w:val="0"/>
      <w:marBottom w:val="0"/>
      <w:divBdr>
        <w:top w:val="none" w:sz="0" w:space="0" w:color="auto"/>
        <w:left w:val="none" w:sz="0" w:space="0" w:color="auto"/>
        <w:bottom w:val="none" w:sz="0" w:space="0" w:color="auto"/>
        <w:right w:val="none" w:sz="0" w:space="0" w:color="auto"/>
      </w:divBdr>
    </w:div>
    <w:div w:id="20478267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669">
          <w:marLeft w:val="0"/>
          <w:marRight w:val="0"/>
          <w:marTop w:val="0"/>
          <w:marBottom w:val="0"/>
          <w:divBdr>
            <w:top w:val="none" w:sz="0" w:space="0" w:color="auto"/>
            <w:left w:val="none" w:sz="0" w:space="0" w:color="auto"/>
            <w:bottom w:val="none" w:sz="0" w:space="0" w:color="auto"/>
            <w:right w:val="none" w:sz="0" w:space="0" w:color="auto"/>
          </w:divBdr>
          <w:divsChild>
            <w:div w:id="417018408">
              <w:marLeft w:val="0"/>
              <w:marRight w:val="0"/>
              <w:marTop w:val="0"/>
              <w:marBottom w:val="0"/>
              <w:divBdr>
                <w:top w:val="none" w:sz="0" w:space="0" w:color="auto"/>
                <w:left w:val="none" w:sz="0" w:space="0" w:color="auto"/>
                <w:bottom w:val="none" w:sz="0" w:space="0" w:color="auto"/>
                <w:right w:val="none" w:sz="0" w:space="0" w:color="auto"/>
              </w:divBdr>
              <w:divsChild>
                <w:div w:id="1773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8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3A85"/>
    <w:rsid w:val="000055C4"/>
    <w:rsid w:val="0007176C"/>
    <w:rsid w:val="00193049"/>
    <w:rsid w:val="001F1EF7"/>
    <w:rsid w:val="00200821"/>
    <w:rsid w:val="0025245B"/>
    <w:rsid w:val="002A3923"/>
    <w:rsid w:val="00381F99"/>
    <w:rsid w:val="00394049"/>
    <w:rsid w:val="003B0C71"/>
    <w:rsid w:val="003E765B"/>
    <w:rsid w:val="004B5BBB"/>
    <w:rsid w:val="004F2DF8"/>
    <w:rsid w:val="004F5B44"/>
    <w:rsid w:val="00517E2A"/>
    <w:rsid w:val="005455E0"/>
    <w:rsid w:val="005C57CF"/>
    <w:rsid w:val="0063288B"/>
    <w:rsid w:val="006D3128"/>
    <w:rsid w:val="006F24A1"/>
    <w:rsid w:val="00721933"/>
    <w:rsid w:val="00755702"/>
    <w:rsid w:val="00761C02"/>
    <w:rsid w:val="007D1EA3"/>
    <w:rsid w:val="00875B8A"/>
    <w:rsid w:val="008953BC"/>
    <w:rsid w:val="00952047"/>
    <w:rsid w:val="009A261B"/>
    <w:rsid w:val="009A3D90"/>
    <w:rsid w:val="00A814C7"/>
    <w:rsid w:val="00AA01CA"/>
    <w:rsid w:val="00AA2E17"/>
    <w:rsid w:val="00AC15A4"/>
    <w:rsid w:val="00AD34C4"/>
    <w:rsid w:val="00B01EDA"/>
    <w:rsid w:val="00B0336C"/>
    <w:rsid w:val="00B61AF4"/>
    <w:rsid w:val="00B877F5"/>
    <w:rsid w:val="00B95975"/>
    <w:rsid w:val="00BD3108"/>
    <w:rsid w:val="00BF7790"/>
    <w:rsid w:val="00C40B32"/>
    <w:rsid w:val="00CD3750"/>
    <w:rsid w:val="00CE20E9"/>
    <w:rsid w:val="00D241E9"/>
    <w:rsid w:val="00D7750D"/>
    <w:rsid w:val="00D8352C"/>
    <w:rsid w:val="00DA44F5"/>
    <w:rsid w:val="00E51DA5"/>
    <w:rsid w:val="00E86A65"/>
    <w:rsid w:val="00EC4E34"/>
    <w:rsid w:val="00ED667F"/>
    <w:rsid w:val="00ED7830"/>
    <w:rsid w:val="00F00D2F"/>
    <w:rsid w:val="00F128DF"/>
    <w:rsid w:val="00F74FBD"/>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5460</Words>
  <Characters>31127</Characters>
  <Application>Microsoft Office Word</Application>
  <DocSecurity>0</DocSecurity>
  <Lines>259</Lines>
  <Paragraphs>73</Paragraphs>
  <ScaleCrop>false</ScaleCrop>
  <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2024-01-26T18:00:00Z</dcterms:created>
  <dcterms:modified xsi:type="dcterms:W3CDTF">2024-01-26T18:00:00Z</dcterms:modified>
</cp:coreProperties>
</file>