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2229A" w:rsidRDefault="00D306D1" w:rsidP="00627C9F">
      <w:pPr>
        <w:jc w:val="both"/>
        <w:rPr>
          <w:rFonts w:asciiTheme="majorHAnsi" w:hAnsiTheme="majorHAnsi" w:cs="Univers"/>
          <w:b/>
          <w:bCs/>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01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2229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2229A">
        <w:rPr>
          <w:rFonts w:asciiTheme="majorHAnsi" w:hAnsiTheme="majorHAnsi" w:cs="Univers"/>
          <w:b/>
          <w:bCs/>
          <w:sz w:val="22"/>
          <w:szCs w:val="22"/>
          <w:lang w:val="es-ES_tradnl"/>
        </w:rPr>
        <w:t xml:space="preserve"> </w:t>
      </w:r>
    </w:p>
    <w:p w14:paraId="751BC92D"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92229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2229A" w:rsidRDefault="003D3BC2" w:rsidP="00040C3A">
      <w:pPr>
        <w:tabs>
          <w:tab w:val="center" w:pos="5400"/>
        </w:tabs>
        <w:suppressAutoHyphens/>
        <w:jc w:val="center"/>
        <w:rPr>
          <w:rFonts w:asciiTheme="majorHAnsi" w:hAnsiTheme="majorHAnsi"/>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7CBF3C" w:rsidR="005B52B0" w:rsidRPr="003019D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019D1">
                              <w:rPr>
                                <w:rFonts w:asciiTheme="majorHAnsi" w:hAnsiTheme="majorHAnsi" w:cs="Arial"/>
                                <w:b/>
                                <w:bCs/>
                                <w:color w:val="0D0D0D" w:themeColor="text1" w:themeTint="F2"/>
                                <w:sz w:val="36"/>
                                <w:szCs w:val="40"/>
                                <w:lang w:val="es-ES_tradnl"/>
                              </w:rPr>
                              <w:t>No.</w:t>
                            </w:r>
                            <w:r w:rsidR="007B05C4" w:rsidRPr="003019D1">
                              <w:rPr>
                                <w:rFonts w:asciiTheme="majorHAnsi" w:hAnsiTheme="majorHAnsi" w:cs="Arial"/>
                                <w:b/>
                                <w:bCs/>
                                <w:color w:val="0D0D0D" w:themeColor="text1" w:themeTint="F2"/>
                                <w:sz w:val="36"/>
                                <w:szCs w:val="22"/>
                                <w:lang w:val="es-ES_tradnl"/>
                              </w:rPr>
                              <w:t xml:space="preserve"> </w:t>
                            </w:r>
                            <w:r w:rsidR="00977A9A">
                              <w:rPr>
                                <w:rFonts w:asciiTheme="majorHAnsi" w:hAnsiTheme="majorHAnsi" w:cs="Arial"/>
                                <w:b/>
                                <w:bCs/>
                                <w:color w:val="0D0D0D" w:themeColor="text1" w:themeTint="F2"/>
                                <w:sz w:val="36"/>
                                <w:szCs w:val="22"/>
                                <w:lang w:val="es-ES_tradnl"/>
                              </w:rPr>
                              <w:t>67</w:t>
                            </w:r>
                            <w:r w:rsidR="007B05C4" w:rsidRPr="003019D1">
                              <w:rPr>
                                <w:rFonts w:asciiTheme="majorHAnsi" w:hAnsiTheme="majorHAnsi" w:cs="Arial"/>
                                <w:b/>
                                <w:bCs/>
                                <w:color w:val="0D0D0D" w:themeColor="text1" w:themeTint="F2"/>
                                <w:sz w:val="36"/>
                                <w:szCs w:val="22"/>
                                <w:lang w:val="es-ES_tradnl"/>
                              </w:rPr>
                              <w:t>/</w:t>
                            </w:r>
                            <w:r w:rsidR="006F4690" w:rsidRPr="003019D1">
                              <w:rPr>
                                <w:rFonts w:asciiTheme="majorHAnsi" w:hAnsiTheme="majorHAnsi" w:cs="Arial"/>
                                <w:b/>
                                <w:bCs/>
                                <w:color w:val="0D0D0D" w:themeColor="text1" w:themeTint="F2"/>
                                <w:sz w:val="36"/>
                                <w:szCs w:val="22"/>
                                <w:lang w:val="es-ES_tradnl"/>
                              </w:rPr>
                              <w:t>23</w:t>
                            </w:r>
                          </w:p>
                          <w:p w14:paraId="45F30ECA" w14:textId="19AC24B1" w:rsidR="007B05C4" w:rsidRDefault="005B52B0" w:rsidP="00997BC5">
                            <w:pPr>
                              <w:spacing w:line="276" w:lineRule="auto"/>
                              <w:rPr>
                                <w:rFonts w:asciiTheme="majorHAnsi" w:hAnsiTheme="majorHAnsi" w:cs="Arial"/>
                                <w:b/>
                                <w:color w:val="0D0D0D" w:themeColor="text1" w:themeTint="F2"/>
                                <w:sz w:val="36"/>
                                <w:szCs w:val="22"/>
                                <w:lang w:val="es-ES_tradnl"/>
                              </w:rPr>
                            </w:pPr>
                            <w:r w:rsidRPr="003019D1">
                              <w:rPr>
                                <w:rFonts w:asciiTheme="majorHAnsi" w:hAnsiTheme="majorHAnsi" w:cs="Arial"/>
                                <w:b/>
                                <w:color w:val="0D0D0D" w:themeColor="text1" w:themeTint="F2"/>
                                <w:sz w:val="36"/>
                                <w:szCs w:val="22"/>
                                <w:lang w:val="es-ES_tradnl"/>
                              </w:rPr>
                              <w:t xml:space="preserve">PETICIÓN </w:t>
                            </w:r>
                            <w:r w:rsidR="000D7B6C" w:rsidRPr="003019D1">
                              <w:rPr>
                                <w:rFonts w:asciiTheme="majorHAnsi" w:hAnsiTheme="majorHAnsi" w:cs="Arial"/>
                                <w:b/>
                                <w:color w:val="0D0D0D" w:themeColor="text1" w:themeTint="F2"/>
                                <w:sz w:val="36"/>
                                <w:szCs w:val="22"/>
                                <w:lang w:val="es-ES_tradnl"/>
                              </w:rPr>
                              <w:t>1503-11</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33F6D10" w:rsidR="005B52B0" w:rsidRPr="0010736F" w:rsidRDefault="00CC22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VECINOS DE LA COMUNIDAD EL TRIUNFO</w:t>
                            </w:r>
                          </w:p>
                          <w:bookmarkEnd w:id="0"/>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7CBF3C" w:rsidR="005B52B0" w:rsidRPr="003019D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019D1">
                        <w:rPr>
                          <w:rFonts w:asciiTheme="majorHAnsi" w:hAnsiTheme="majorHAnsi" w:cs="Arial"/>
                          <w:b/>
                          <w:bCs/>
                          <w:color w:val="0D0D0D" w:themeColor="text1" w:themeTint="F2"/>
                          <w:sz w:val="36"/>
                          <w:szCs w:val="40"/>
                          <w:lang w:val="es-ES_tradnl"/>
                        </w:rPr>
                        <w:t>No.</w:t>
                      </w:r>
                      <w:r w:rsidR="007B05C4" w:rsidRPr="003019D1">
                        <w:rPr>
                          <w:rFonts w:asciiTheme="majorHAnsi" w:hAnsiTheme="majorHAnsi" w:cs="Arial"/>
                          <w:b/>
                          <w:bCs/>
                          <w:color w:val="0D0D0D" w:themeColor="text1" w:themeTint="F2"/>
                          <w:sz w:val="36"/>
                          <w:szCs w:val="22"/>
                          <w:lang w:val="es-ES_tradnl"/>
                        </w:rPr>
                        <w:t xml:space="preserve"> </w:t>
                      </w:r>
                      <w:r w:rsidR="00977A9A">
                        <w:rPr>
                          <w:rFonts w:asciiTheme="majorHAnsi" w:hAnsiTheme="majorHAnsi" w:cs="Arial"/>
                          <w:b/>
                          <w:bCs/>
                          <w:color w:val="0D0D0D" w:themeColor="text1" w:themeTint="F2"/>
                          <w:sz w:val="36"/>
                          <w:szCs w:val="22"/>
                          <w:lang w:val="es-ES_tradnl"/>
                        </w:rPr>
                        <w:t>67</w:t>
                      </w:r>
                      <w:r w:rsidR="007B05C4" w:rsidRPr="003019D1">
                        <w:rPr>
                          <w:rFonts w:asciiTheme="majorHAnsi" w:hAnsiTheme="majorHAnsi" w:cs="Arial"/>
                          <w:b/>
                          <w:bCs/>
                          <w:color w:val="0D0D0D" w:themeColor="text1" w:themeTint="F2"/>
                          <w:sz w:val="36"/>
                          <w:szCs w:val="22"/>
                          <w:lang w:val="es-ES_tradnl"/>
                        </w:rPr>
                        <w:t>/</w:t>
                      </w:r>
                      <w:r w:rsidR="006F4690" w:rsidRPr="003019D1">
                        <w:rPr>
                          <w:rFonts w:asciiTheme="majorHAnsi" w:hAnsiTheme="majorHAnsi" w:cs="Arial"/>
                          <w:b/>
                          <w:bCs/>
                          <w:color w:val="0D0D0D" w:themeColor="text1" w:themeTint="F2"/>
                          <w:sz w:val="36"/>
                          <w:szCs w:val="22"/>
                          <w:lang w:val="es-ES_tradnl"/>
                        </w:rPr>
                        <w:t>23</w:t>
                      </w:r>
                    </w:p>
                    <w:p w14:paraId="45F30ECA" w14:textId="19AC24B1" w:rsidR="007B05C4" w:rsidRDefault="005B52B0" w:rsidP="00997BC5">
                      <w:pPr>
                        <w:spacing w:line="276" w:lineRule="auto"/>
                        <w:rPr>
                          <w:rFonts w:asciiTheme="majorHAnsi" w:hAnsiTheme="majorHAnsi" w:cs="Arial"/>
                          <w:b/>
                          <w:color w:val="0D0D0D" w:themeColor="text1" w:themeTint="F2"/>
                          <w:sz w:val="36"/>
                          <w:szCs w:val="22"/>
                          <w:lang w:val="es-ES_tradnl"/>
                        </w:rPr>
                      </w:pPr>
                      <w:r w:rsidRPr="003019D1">
                        <w:rPr>
                          <w:rFonts w:asciiTheme="majorHAnsi" w:hAnsiTheme="majorHAnsi" w:cs="Arial"/>
                          <w:b/>
                          <w:color w:val="0D0D0D" w:themeColor="text1" w:themeTint="F2"/>
                          <w:sz w:val="36"/>
                          <w:szCs w:val="22"/>
                          <w:lang w:val="es-ES_tradnl"/>
                        </w:rPr>
                        <w:t xml:space="preserve">PETICIÓN </w:t>
                      </w:r>
                      <w:r w:rsidR="000D7B6C" w:rsidRPr="003019D1">
                        <w:rPr>
                          <w:rFonts w:asciiTheme="majorHAnsi" w:hAnsiTheme="majorHAnsi" w:cs="Arial"/>
                          <w:b/>
                          <w:color w:val="0D0D0D" w:themeColor="text1" w:themeTint="F2"/>
                          <w:sz w:val="36"/>
                          <w:szCs w:val="22"/>
                          <w:lang w:val="es-ES_tradnl"/>
                        </w:rPr>
                        <w:t>1503-11</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33F6D10" w:rsidR="005B52B0" w:rsidRPr="0010736F" w:rsidRDefault="00CC22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VECINOS DE LA COMUNIDAD EL TRIUNFO</w:t>
                      </w:r>
                    </w:p>
                    <w:bookmarkEnd w:id="1"/>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92229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5437C2" w:rsidR="00627C9F" w:rsidRPr="00914D42" w:rsidRDefault="00834D49" w:rsidP="007A5817">
                            <w:pPr>
                              <w:spacing w:line="276" w:lineRule="auto"/>
                              <w:jc w:val="right"/>
                              <w:rPr>
                                <w:rFonts w:asciiTheme="minorHAnsi" w:hAnsiTheme="minorHAnsi"/>
                                <w:color w:val="FFFFFF" w:themeColor="background1"/>
                                <w:sz w:val="22"/>
                                <w:lang w:val="es-AR"/>
                              </w:rPr>
                            </w:pPr>
                            <w:r w:rsidRPr="00914D42">
                              <w:rPr>
                                <w:rFonts w:asciiTheme="minorHAnsi" w:hAnsiTheme="minorHAnsi"/>
                                <w:color w:val="FFFFFF" w:themeColor="background1"/>
                                <w:sz w:val="22"/>
                                <w:lang w:val="es-AR"/>
                              </w:rPr>
                              <w:t>OEA/Ser.L/V/II</w:t>
                            </w:r>
                          </w:p>
                          <w:p w14:paraId="71D2D5D2" w14:textId="0477646C" w:rsidR="00627C9F" w:rsidRPr="00914D42" w:rsidRDefault="00627C9F" w:rsidP="007A5817">
                            <w:pPr>
                              <w:spacing w:line="276" w:lineRule="auto"/>
                              <w:jc w:val="right"/>
                              <w:rPr>
                                <w:rFonts w:asciiTheme="minorHAnsi" w:hAnsiTheme="minorHAnsi"/>
                                <w:color w:val="FFFFFF" w:themeColor="background1"/>
                                <w:sz w:val="22"/>
                                <w:lang w:val="es-AR"/>
                              </w:rPr>
                            </w:pPr>
                            <w:r w:rsidRPr="00914D42">
                              <w:rPr>
                                <w:rFonts w:asciiTheme="minorHAnsi" w:hAnsiTheme="minorHAnsi"/>
                                <w:color w:val="FFFFFF" w:themeColor="background1"/>
                                <w:sz w:val="22"/>
                                <w:lang w:val="es-AR"/>
                              </w:rPr>
                              <w:t xml:space="preserve">Doc. </w:t>
                            </w:r>
                            <w:r w:rsidR="00977A9A" w:rsidRPr="00914D42">
                              <w:rPr>
                                <w:rFonts w:asciiTheme="minorHAnsi" w:hAnsiTheme="minorHAnsi"/>
                                <w:color w:val="FFFFFF" w:themeColor="background1"/>
                                <w:sz w:val="22"/>
                                <w:lang w:val="es-AR"/>
                              </w:rPr>
                              <w:t>75</w:t>
                            </w:r>
                          </w:p>
                          <w:p w14:paraId="4061DBBD" w14:textId="6546DCE1" w:rsidR="00627C9F" w:rsidRPr="003019D1" w:rsidRDefault="00977A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mayo</w:t>
                            </w:r>
                            <w:r w:rsidR="00627C9F" w:rsidRPr="003019D1">
                              <w:rPr>
                                <w:rFonts w:asciiTheme="minorHAnsi" w:hAnsiTheme="minorHAnsi"/>
                                <w:color w:val="FFFFFF" w:themeColor="background1"/>
                                <w:sz w:val="22"/>
                                <w:lang w:val="es-PA"/>
                              </w:rPr>
                              <w:t xml:space="preserve"> 20</w:t>
                            </w:r>
                            <w:r w:rsidR="00C23BA4" w:rsidRPr="003019D1">
                              <w:rPr>
                                <w:rFonts w:asciiTheme="minorHAnsi" w:hAnsiTheme="minorHAnsi"/>
                                <w:color w:val="FFFFFF" w:themeColor="background1"/>
                                <w:sz w:val="22"/>
                                <w:lang w:val="es-PA"/>
                              </w:rPr>
                              <w:t>2</w:t>
                            </w:r>
                            <w:r w:rsidR="00215578" w:rsidRPr="003019D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019D1">
                              <w:rPr>
                                <w:rFonts w:asciiTheme="minorHAnsi" w:hAnsiTheme="minorHAnsi"/>
                                <w:color w:val="FFFFFF" w:themeColor="background1"/>
                                <w:sz w:val="22"/>
                                <w:lang w:val="es-PA"/>
                              </w:rPr>
                              <w:t xml:space="preserve">Original: </w:t>
                            </w:r>
                            <w:r w:rsidR="008B12F5" w:rsidRPr="003019D1">
                              <w:rPr>
                                <w:rFonts w:asciiTheme="minorHAnsi" w:hAnsiTheme="minorHAnsi"/>
                                <w:color w:val="FFFFFF" w:themeColor="background1"/>
                                <w:sz w:val="22"/>
                                <w:lang w:val="es-PA"/>
                              </w:rPr>
                              <w:t>e</w:t>
                            </w:r>
                            <w:r w:rsidR="00627C9F" w:rsidRPr="003019D1">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35437C2" w:rsidR="00627C9F" w:rsidRPr="00914D42" w:rsidRDefault="00834D49" w:rsidP="007A5817">
                      <w:pPr>
                        <w:spacing w:line="276" w:lineRule="auto"/>
                        <w:jc w:val="right"/>
                        <w:rPr>
                          <w:rFonts w:asciiTheme="minorHAnsi" w:hAnsiTheme="minorHAnsi"/>
                          <w:color w:val="FFFFFF" w:themeColor="background1"/>
                          <w:sz w:val="22"/>
                          <w:lang w:val="es-AR"/>
                        </w:rPr>
                      </w:pPr>
                      <w:r w:rsidRPr="00914D42">
                        <w:rPr>
                          <w:rFonts w:asciiTheme="minorHAnsi" w:hAnsiTheme="minorHAnsi"/>
                          <w:color w:val="FFFFFF" w:themeColor="background1"/>
                          <w:sz w:val="22"/>
                          <w:lang w:val="es-AR"/>
                        </w:rPr>
                        <w:t>OEA/Ser.L/V/II</w:t>
                      </w:r>
                    </w:p>
                    <w:p w14:paraId="71D2D5D2" w14:textId="0477646C" w:rsidR="00627C9F" w:rsidRPr="00914D42" w:rsidRDefault="00627C9F" w:rsidP="007A5817">
                      <w:pPr>
                        <w:spacing w:line="276" w:lineRule="auto"/>
                        <w:jc w:val="right"/>
                        <w:rPr>
                          <w:rFonts w:asciiTheme="minorHAnsi" w:hAnsiTheme="minorHAnsi"/>
                          <w:color w:val="FFFFFF" w:themeColor="background1"/>
                          <w:sz w:val="22"/>
                          <w:lang w:val="es-AR"/>
                        </w:rPr>
                      </w:pPr>
                      <w:r w:rsidRPr="00914D42">
                        <w:rPr>
                          <w:rFonts w:asciiTheme="minorHAnsi" w:hAnsiTheme="minorHAnsi"/>
                          <w:color w:val="FFFFFF" w:themeColor="background1"/>
                          <w:sz w:val="22"/>
                          <w:lang w:val="es-AR"/>
                        </w:rPr>
                        <w:t xml:space="preserve">Doc. </w:t>
                      </w:r>
                      <w:r w:rsidR="00977A9A" w:rsidRPr="00914D42">
                        <w:rPr>
                          <w:rFonts w:asciiTheme="minorHAnsi" w:hAnsiTheme="minorHAnsi"/>
                          <w:color w:val="FFFFFF" w:themeColor="background1"/>
                          <w:sz w:val="22"/>
                          <w:lang w:val="es-AR"/>
                        </w:rPr>
                        <w:t>75</w:t>
                      </w:r>
                    </w:p>
                    <w:p w14:paraId="4061DBBD" w14:textId="6546DCE1" w:rsidR="00627C9F" w:rsidRPr="003019D1" w:rsidRDefault="00977A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mayo</w:t>
                      </w:r>
                      <w:r w:rsidR="00627C9F" w:rsidRPr="003019D1">
                        <w:rPr>
                          <w:rFonts w:asciiTheme="minorHAnsi" w:hAnsiTheme="minorHAnsi"/>
                          <w:color w:val="FFFFFF" w:themeColor="background1"/>
                          <w:sz w:val="22"/>
                          <w:lang w:val="es-PA"/>
                        </w:rPr>
                        <w:t xml:space="preserve"> 20</w:t>
                      </w:r>
                      <w:r w:rsidR="00C23BA4" w:rsidRPr="003019D1">
                        <w:rPr>
                          <w:rFonts w:asciiTheme="minorHAnsi" w:hAnsiTheme="minorHAnsi"/>
                          <w:color w:val="FFFFFF" w:themeColor="background1"/>
                          <w:sz w:val="22"/>
                          <w:lang w:val="es-PA"/>
                        </w:rPr>
                        <w:t>2</w:t>
                      </w:r>
                      <w:r w:rsidR="00215578" w:rsidRPr="003019D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019D1">
                        <w:rPr>
                          <w:rFonts w:asciiTheme="minorHAnsi" w:hAnsiTheme="minorHAnsi"/>
                          <w:color w:val="FFFFFF" w:themeColor="background1"/>
                          <w:sz w:val="22"/>
                          <w:lang w:val="es-PA"/>
                        </w:rPr>
                        <w:t xml:space="preserve">Original: </w:t>
                      </w:r>
                      <w:r w:rsidR="008B12F5" w:rsidRPr="003019D1">
                        <w:rPr>
                          <w:rFonts w:asciiTheme="minorHAnsi" w:hAnsiTheme="minorHAnsi"/>
                          <w:color w:val="FFFFFF" w:themeColor="background1"/>
                          <w:sz w:val="22"/>
                          <w:lang w:val="es-PA"/>
                        </w:rPr>
                        <w:t>e</w:t>
                      </w:r>
                      <w:r w:rsidR="00627C9F" w:rsidRPr="003019D1">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2229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26BCE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019D1">
                              <w:rPr>
                                <w:rFonts w:asciiTheme="majorHAnsi" w:hAnsiTheme="majorHAnsi"/>
                                <w:color w:val="0D0D0D" w:themeColor="text1" w:themeTint="F2"/>
                                <w:sz w:val="18"/>
                                <w:szCs w:val="22"/>
                                <w:lang w:val="es-ES"/>
                              </w:rPr>
                              <w:t>Aprobado electr</w:t>
                            </w:r>
                            <w:r w:rsidRPr="003019D1">
                              <w:rPr>
                                <w:rFonts w:asciiTheme="majorHAnsi" w:hAnsiTheme="majorHAnsi"/>
                                <w:color w:val="0D0D0D" w:themeColor="text1" w:themeTint="F2"/>
                                <w:sz w:val="18"/>
                                <w:szCs w:val="22"/>
                                <w:lang w:val="es-ES_tradnl"/>
                              </w:rPr>
                              <w:t>ónicamente</w:t>
                            </w:r>
                            <w:r w:rsidRPr="003019D1">
                              <w:rPr>
                                <w:rFonts w:asciiTheme="majorHAnsi" w:hAnsiTheme="majorHAnsi"/>
                                <w:color w:val="0D0D0D" w:themeColor="text1" w:themeTint="F2"/>
                                <w:sz w:val="18"/>
                                <w:szCs w:val="22"/>
                                <w:lang w:val="es-ES"/>
                              </w:rPr>
                              <w:t xml:space="preserve"> por la Comisión el </w:t>
                            </w:r>
                            <w:r w:rsidR="00977A9A">
                              <w:rPr>
                                <w:rFonts w:asciiTheme="majorHAnsi" w:hAnsiTheme="majorHAnsi"/>
                                <w:color w:val="0D0D0D" w:themeColor="text1" w:themeTint="F2"/>
                                <w:sz w:val="18"/>
                                <w:szCs w:val="22"/>
                                <w:lang w:val="es-ES"/>
                              </w:rPr>
                              <w:t>30</w:t>
                            </w:r>
                            <w:r w:rsidRPr="003019D1">
                              <w:rPr>
                                <w:rFonts w:asciiTheme="majorHAnsi" w:hAnsiTheme="majorHAnsi"/>
                                <w:color w:val="0D0D0D" w:themeColor="text1" w:themeTint="F2"/>
                                <w:sz w:val="18"/>
                                <w:szCs w:val="22"/>
                                <w:lang w:val="es-ES"/>
                              </w:rPr>
                              <w:t xml:space="preserve"> de </w:t>
                            </w:r>
                            <w:r w:rsidR="00977A9A">
                              <w:rPr>
                                <w:rFonts w:asciiTheme="majorHAnsi" w:hAnsiTheme="majorHAnsi"/>
                                <w:color w:val="0D0D0D" w:themeColor="text1" w:themeTint="F2"/>
                                <w:sz w:val="18"/>
                                <w:szCs w:val="22"/>
                                <w:lang w:val="es-ES"/>
                              </w:rPr>
                              <w:t>mayo</w:t>
                            </w:r>
                            <w:r w:rsidR="00F81BB8" w:rsidRPr="003019D1">
                              <w:rPr>
                                <w:rFonts w:asciiTheme="majorHAnsi" w:hAnsiTheme="majorHAnsi"/>
                                <w:color w:val="0D0D0D" w:themeColor="text1" w:themeTint="F2"/>
                                <w:sz w:val="18"/>
                                <w:szCs w:val="22"/>
                                <w:lang w:val="es-ES"/>
                              </w:rPr>
                              <w:t xml:space="preserve"> </w:t>
                            </w:r>
                            <w:r w:rsidRPr="003019D1">
                              <w:rPr>
                                <w:rFonts w:asciiTheme="majorHAnsi" w:hAnsiTheme="majorHAnsi"/>
                                <w:color w:val="0D0D0D" w:themeColor="text1" w:themeTint="F2"/>
                                <w:sz w:val="18"/>
                                <w:szCs w:val="22"/>
                                <w:lang w:val="es-ES"/>
                              </w:rPr>
                              <w:t>de 20</w:t>
                            </w:r>
                            <w:r w:rsidR="00C23BA4" w:rsidRPr="003019D1">
                              <w:rPr>
                                <w:rFonts w:asciiTheme="majorHAnsi" w:hAnsiTheme="majorHAnsi"/>
                                <w:color w:val="0D0D0D" w:themeColor="text1" w:themeTint="F2"/>
                                <w:sz w:val="18"/>
                                <w:szCs w:val="22"/>
                                <w:lang w:val="es-ES"/>
                              </w:rPr>
                              <w:t>2</w:t>
                            </w:r>
                            <w:r w:rsidR="00F26B27" w:rsidRPr="003019D1">
                              <w:rPr>
                                <w:rFonts w:asciiTheme="majorHAnsi" w:hAnsiTheme="majorHAnsi"/>
                                <w:color w:val="0D0D0D" w:themeColor="text1" w:themeTint="F2"/>
                                <w:sz w:val="18"/>
                                <w:szCs w:val="22"/>
                                <w:lang w:val="es-ES"/>
                              </w:rPr>
                              <w:t>3</w:t>
                            </w:r>
                            <w:r w:rsidR="00977A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26BCE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019D1">
                        <w:rPr>
                          <w:rFonts w:asciiTheme="majorHAnsi" w:hAnsiTheme="majorHAnsi"/>
                          <w:color w:val="0D0D0D" w:themeColor="text1" w:themeTint="F2"/>
                          <w:sz w:val="18"/>
                          <w:szCs w:val="22"/>
                          <w:lang w:val="es-ES"/>
                        </w:rPr>
                        <w:t>Aprobado electr</w:t>
                      </w:r>
                      <w:r w:rsidRPr="003019D1">
                        <w:rPr>
                          <w:rFonts w:asciiTheme="majorHAnsi" w:hAnsiTheme="majorHAnsi"/>
                          <w:color w:val="0D0D0D" w:themeColor="text1" w:themeTint="F2"/>
                          <w:sz w:val="18"/>
                          <w:szCs w:val="22"/>
                          <w:lang w:val="es-ES_tradnl"/>
                        </w:rPr>
                        <w:t>ónicamente</w:t>
                      </w:r>
                      <w:r w:rsidRPr="003019D1">
                        <w:rPr>
                          <w:rFonts w:asciiTheme="majorHAnsi" w:hAnsiTheme="majorHAnsi"/>
                          <w:color w:val="0D0D0D" w:themeColor="text1" w:themeTint="F2"/>
                          <w:sz w:val="18"/>
                          <w:szCs w:val="22"/>
                          <w:lang w:val="es-ES"/>
                        </w:rPr>
                        <w:t xml:space="preserve"> por la Comisión el </w:t>
                      </w:r>
                      <w:r w:rsidR="00977A9A">
                        <w:rPr>
                          <w:rFonts w:asciiTheme="majorHAnsi" w:hAnsiTheme="majorHAnsi"/>
                          <w:color w:val="0D0D0D" w:themeColor="text1" w:themeTint="F2"/>
                          <w:sz w:val="18"/>
                          <w:szCs w:val="22"/>
                          <w:lang w:val="es-ES"/>
                        </w:rPr>
                        <w:t>30</w:t>
                      </w:r>
                      <w:r w:rsidRPr="003019D1">
                        <w:rPr>
                          <w:rFonts w:asciiTheme="majorHAnsi" w:hAnsiTheme="majorHAnsi"/>
                          <w:color w:val="0D0D0D" w:themeColor="text1" w:themeTint="F2"/>
                          <w:sz w:val="18"/>
                          <w:szCs w:val="22"/>
                          <w:lang w:val="es-ES"/>
                        </w:rPr>
                        <w:t xml:space="preserve"> de </w:t>
                      </w:r>
                      <w:r w:rsidR="00977A9A">
                        <w:rPr>
                          <w:rFonts w:asciiTheme="majorHAnsi" w:hAnsiTheme="majorHAnsi"/>
                          <w:color w:val="0D0D0D" w:themeColor="text1" w:themeTint="F2"/>
                          <w:sz w:val="18"/>
                          <w:szCs w:val="22"/>
                          <w:lang w:val="es-ES"/>
                        </w:rPr>
                        <w:t>mayo</w:t>
                      </w:r>
                      <w:r w:rsidR="00F81BB8" w:rsidRPr="003019D1">
                        <w:rPr>
                          <w:rFonts w:asciiTheme="majorHAnsi" w:hAnsiTheme="majorHAnsi"/>
                          <w:color w:val="0D0D0D" w:themeColor="text1" w:themeTint="F2"/>
                          <w:sz w:val="18"/>
                          <w:szCs w:val="22"/>
                          <w:lang w:val="es-ES"/>
                        </w:rPr>
                        <w:t xml:space="preserve"> </w:t>
                      </w:r>
                      <w:r w:rsidRPr="003019D1">
                        <w:rPr>
                          <w:rFonts w:asciiTheme="majorHAnsi" w:hAnsiTheme="majorHAnsi"/>
                          <w:color w:val="0D0D0D" w:themeColor="text1" w:themeTint="F2"/>
                          <w:sz w:val="18"/>
                          <w:szCs w:val="22"/>
                          <w:lang w:val="es-ES"/>
                        </w:rPr>
                        <w:t>de 20</w:t>
                      </w:r>
                      <w:r w:rsidR="00C23BA4" w:rsidRPr="003019D1">
                        <w:rPr>
                          <w:rFonts w:asciiTheme="majorHAnsi" w:hAnsiTheme="majorHAnsi"/>
                          <w:color w:val="0D0D0D" w:themeColor="text1" w:themeTint="F2"/>
                          <w:sz w:val="18"/>
                          <w:szCs w:val="22"/>
                          <w:lang w:val="es-ES"/>
                        </w:rPr>
                        <w:t>2</w:t>
                      </w:r>
                      <w:r w:rsidR="00F26B27" w:rsidRPr="003019D1">
                        <w:rPr>
                          <w:rFonts w:asciiTheme="majorHAnsi" w:hAnsiTheme="majorHAnsi"/>
                          <w:color w:val="0D0D0D" w:themeColor="text1" w:themeTint="F2"/>
                          <w:sz w:val="18"/>
                          <w:szCs w:val="22"/>
                          <w:lang w:val="es-ES"/>
                        </w:rPr>
                        <w:t>3</w:t>
                      </w:r>
                      <w:r w:rsidR="00977A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E590E" w14:textId="77777777" w:rsidR="00B20C4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3019D1">
                              <w:rPr>
                                <w:rFonts w:asciiTheme="majorHAnsi" w:hAnsiTheme="majorHAnsi"/>
                                <w:color w:val="595959" w:themeColor="text1" w:themeTint="A6"/>
                                <w:sz w:val="18"/>
                                <w:szCs w:val="18"/>
                                <w:lang w:val="pt-BR"/>
                              </w:rPr>
                              <w:t xml:space="preserve">Informe No. </w:t>
                            </w:r>
                            <w:r w:rsidR="00B20C47" w:rsidRPr="00B20C47">
                              <w:rPr>
                                <w:rFonts w:asciiTheme="majorHAnsi" w:hAnsiTheme="majorHAnsi"/>
                                <w:color w:val="595959" w:themeColor="text1" w:themeTint="A6"/>
                                <w:sz w:val="18"/>
                                <w:szCs w:val="18"/>
                                <w:lang w:val="pt-BR"/>
                              </w:rPr>
                              <w:t>67</w:t>
                            </w:r>
                            <w:r w:rsidR="007B05C4" w:rsidRPr="00B20C47">
                              <w:rPr>
                                <w:rFonts w:asciiTheme="majorHAnsi" w:hAnsiTheme="majorHAnsi"/>
                                <w:color w:val="595959" w:themeColor="text1" w:themeTint="A6"/>
                                <w:sz w:val="18"/>
                                <w:szCs w:val="18"/>
                                <w:lang w:val="pt-BR"/>
                              </w:rPr>
                              <w:t>/</w:t>
                            </w:r>
                            <w:r w:rsidR="00B20C47" w:rsidRPr="00B20C47">
                              <w:rPr>
                                <w:rFonts w:asciiTheme="majorHAnsi" w:hAnsiTheme="majorHAnsi"/>
                                <w:color w:val="595959" w:themeColor="text1" w:themeTint="A6"/>
                                <w:sz w:val="18"/>
                                <w:szCs w:val="18"/>
                                <w:lang w:val="pt-BR"/>
                              </w:rPr>
                              <w:t>23</w:t>
                            </w:r>
                            <w:r w:rsidRPr="00B20C47">
                              <w:rPr>
                                <w:rFonts w:asciiTheme="majorHAnsi" w:hAnsiTheme="majorHAnsi"/>
                                <w:color w:val="595959" w:themeColor="text1" w:themeTint="A6"/>
                                <w:sz w:val="18"/>
                                <w:szCs w:val="18"/>
                                <w:lang w:val="pt-BR"/>
                              </w:rPr>
                              <w:t xml:space="preserve">. </w:t>
                            </w:r>
                            <w:r w:rsidR="000433C9" w:rsidRPr="003019D1">
                              <w:rPr>
                                <w:rFonts w:asciiTheme="majorHAnsi" w:hAnsiTheme="majorHAnsi"/>
                                <w:color w:val="595959" w:themeColor="text1" w:themeTint="A6"/>
                                <w:sz w:val="18"/>
                                <w:szCs w:val="18"/>
                                <w:lang w:val="es-ES_tradnl"/>
                              </w:rPr>
                              <w:t>Petici</w:t>
                            </w:r>
                            <w:r w:rsidR="000433C9" w:rsidRPr="003019D1">
                              <w:rPr>
                                <w:rFonts w:asciiTheme="majorHAnsi" w:hAnsiTheme="majorHAnsi"/>
                                <w:color w:val="595959" w:themeColor="text1" w:themeTint="A6"/>
                                <w:sz w:val="18"/>
                                <w:szCs w:val="18"/>
                                <w:lang w:val="es-ES"/>
                              </w:rPr>
                              <w:t xml:space="preserve">ón </w:t>
                            </w:r>
                            <w:r w:rsidR="000D7B6C" w:rsidRPr="003019D1">
                              <w:rPr>
                                <w:rFonts w:asciiTheme="majorHAnsi" w:hAnsiTheme="majorHAnsi"/>
                                <w:color w:val="595959" w:themeColor="text1" w:themeTint="A6"/>
                                <w:sz w:val="18"/>
                                <w:szCs w:val="18"/>
                                <w:lang w:val="es-ES"/>
                              </w:rPr>
                              <w:t>1503-11</w:t>
                            </w:r>
                            <w:r w:rsidR="000433C9" w:rsidRPr="003019D1">
                              <w:rPr>
                                <w:rFonts w:asciiTheme="majorHAnsi" w:hAnsiTheme="majorHAnsi"/>
                                <w:color w:val="595959" w:themeColor="text1" w:themeTint="A6"/>
                                <w:sz w:val="18"/>
                                <w:szCs w:val="18"/>
                                <w:lang w:val="es-ES"/>
                              </w:rPr>
                              <w:t xml:space="preserve">. </w:t>
                            </w:r>
                            <w:r w:rsidRPr="003019D1">
                              <w:rPr>
                                <w:rFonts w:asciiTheme="majorHAnsi" w:hAnsiTheme="majorHAnsi"/>
                                <w:color w:val="595959" w:themeColor="text1" w:themeTint="A6"/>
                                <w:sz w:val="18"/>
                                <w:szCs w:val="18"/>
                                <w:lang w:val="es-ES_tradnl"/>
                              </w:rPr>
                              <w:t>Admisibilidad.</w:t>
                            </w:r>
                            <w:r w:rsidR="009935AC" w:rsidRPr="003019D1">
                              <w:rPr>
                                <w:rFonts w:asciiTheme="majorHAnsi" w:hAnsiTheme="majorHAnsi"/>
                                <w:color w:val="595959" w:themeColor="text1" w:themeTint="A6"/>
                                <w:sz w:val="18"/>
                                <w:szCs w:val="18"/>
                                <w:lang w:val="es-ES_tradnl"/>
                              </w:rPr>
                              <w:t xml:space="preserve"> </w:t>
                            </w:r>
                          </w:p>
                          <w:p w14:paraId="7FD77785" w14:textId="102A48CA" w:rsidR="00113F73" w:rsidRPr="007B05C4" w:rsidRDefault="00F26B27" w:rsidP="00113F73">
                            <w:pPr>
                              <w:spacing w:line="276" w:lineRule="auto"/>
                              <w:rPr>
                                <w:rFonts w:asciiTheme="majorHAnsi" w:hAnsiTheme="majorHAnsi"/>
                                <w:color w:val="595959" w:themeColor="text1" w:themeTint="A6"/>
                                <w:sz w:val="18"/>
                                <w:szCs w:val="18"/>
                                <w:lang w:val="es-ES"/>
                              </w:rPr>
                            </w:pPr>
                            <w:r w:rsidRPr="003019D1">
                              <w:rPr>
                                <w:rFonts w:asciiTheme="majorHAnsi" w:hAnsiTheme="majorHAnsi"/>
                                <w:color w:val="595959" w:themeColor="text1" w:themeTint="A6"/>
                                <w:sz w:val="18"/>
                                <w:szCs w:val="18"/>
                                <w:lang w:val="es-ES_tradnl"/>
                              </w:rPr>
                              <w:t>Vecinos de la c</w:t>
                            </w:r>
                            <w:r w:rsidR="00215578" w:rsidRPr="003019D1">
                              <w:rPr>
                                <w:rFonts w:asciiTheme="majorHAnsi" w:hAnsiTheme="majorHAnsi"/>
                                <w:color w:val="595959" w:themeColor="text1" w:themeTint="A6"/>
                                <w:sz w:val="18"/>
                                <w:szCs w:val="18"/>
                                <w:lang w:val="es-ES_tradnl"/>
                              </w:rPr>
                              <w:t xml:space="preserve">omunidad </w:t>
                            </w:r>
                            <w:r w:rsidRPr="003019D1">
                              <w:rPr>
                                <w:rFonts w:asciiTheme="majorHAnsi" w:hAnsiTheme="majorHAnsi"/>
                                <w:color w:val="595959" w:themeColor="text1" w:themeTint="A6"/>
                                <w:sz w:val="18"/>
                                <w:szCs w:val="18"/>
                                <w:lang w:val="es-ES_tradnl"/>
                              </w:rPr>
                              <w:t>E</w:t>
                            </w:r>
                            <w:r w:rsidR="00215578" w:rsidRPr="003019D1">
                              <w:rPr>
                                <w:rFonts w:asciiTheme="majorHAnsi" w:hAnsiTheme="majorHAnsi"/>
                                <w:color w:val="595959" w:themeColor="text1" w:themeTint="A6"/>
                                <w:sz w:val="18"/>
                                <w:szCs w:val="18"/>
                                <w:lang w:val="es-ES_tradnl"/>
                              </w:rPr>
                              <w:t>l Triunfo</w:t>
                            </w:r>
                            <w:r w:rsidR="009935AC" w:rsidRPr="003019D1">
                              <w:rPr>
                                <w:rFonts w:asciiTheme="majorHAnsi" w:hAnsiTheme="majorHAnsi"/>
                                <w:color w:val="595959" w:themeColor="text1" w:themeTint="A6"/>
                                <w:sz w:val="18"/>
                                <w:szCs w:val="18"/>
                                <w:lang w:val="es-ES_tradnl"/>
                              </w:rPr>
                              <w:t xml:space="preserve">. </w:t>
                            </w:r>
                            <w:r w:rsidR="00967C75" w:rsidRPr="003019D1">
                              <w:rPr>
                                <w:rFonts w:asciiTheme="majorHAnsi" w:hAnsiTheme="majorHAnsi"/>
                                <w:color w:val="595959" w:themeColor="text1" w:themeTint="A6"/>
                                <w:sz w:val="18"/>
                                <w:szCs w:val="18"/>
                                <w:lang w:val="es-ES_tradnl"/>
                              </w:rPr>
                              <w:t>Guatemala</w:t>
                            </w:r>
                            <w:r w:rsidR="00113F73" w:rsidRPr="003019D1">
                              <w:rPr>
                                <w:rFonts w:asciiTheme="majorHAnsi" w:hAnsiTheme="majorHAnsi"/>
                                <w:color w:val="595959" w:themeColor="text1" w:themeTint="A6"/>
                                <w:sz w:val="18"/>
                                <w:szCs w:val="18"/>
                                <w:lang w:val="es-ES_tradnl"/>
                              </w:rPr>
                              <w:t xml:space="preserve">. </w:t>
                            </w:r>
                            <w:r w:rsidR="00B20C47">
                              <w:rPr>
                                <w:rFonts w:asciiTheme="majorHAnsi" w:hAnsiTheme="majorHAnsi"/>
                                <w:color w:val="595959" w:themeColor="text1" w:themeTint="A6"/>
                                <w:sz w:val="18"/>
                                <w:szCs w:val="18"/>
                                <w:lang w:val="es-ES"/>
                              </w:rPr>
                              <w:t>30 de mayo de 2023</w:t>
                            </w:r>
                            <w:r w:rsidR="00113F73" w:rsidRPr="003019D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9FE590E" w14:textId="77777777" w:rsidR="00B20C4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3019D1">
                        <w:rPr>
                          <w:rFonts w:asciiTheme="majorHAnsi" w:hAnsiTheme="majorHAnsi"/>
                          <w:color w:val="595959" w:themeColor="text1" w:themeTint="A6"/>
                          <w:sz w:val="18"/>
                          <w:szCs w:val="18"/>
                          <w:lang w:val="pt-BR"/>
                        </w:rPr>
                        <w:t xml:space="preserve">Informe No. </w:t>
                      </w:r>
                      <w:r w:rsidR="00B20C47" w:rsidRPr="00B20C47">
                        <w:rPr>
                          <w:rFonts w:asciiTheme="majorHAnsi" w:hAnsiTheme="majorHAnsi"/>
                          <w:color w:val="595959" w:themeColor="text1" w:themeTint="A6"/>
                          <w:sz w:val="18"/>
                          <w:szCs w:val="18"/>
                          <w:lang w:val="pt-BR"/>
                        </w:rPr>
                        <w:t>67</w:t>
                      </w:r>
                      <w:r w:rsidR="007B05C4" w:rsidRPr="00B20C47">
                        <w:rPr>
                          <w:rFonts w:asciiTheme="majorHAnsi" w:hAnsiTheme="majorHAnsi"/>
                          <w:color w:val="595959" w:themeColor="text1" w:themeTint="A6"/>
                          <w:sz w:val="18"/>
                          <w:szCs w:val="18"/>
                          <w:lang w:val="pt-BR"/>
                        </w:rPr>
                        <w:t>/</w:t>
                      </w:r>
                      <w:r w:rsidR="00B20C47" w:rsidRPr="00B20C47">
                        <w:rPr>
                          <w:rFonts w:asciiTheme="majorHAnsi" w:hAnsiTheme="majorHAnsi"/>
                          <w:color w:val="595959" w:themeColor="text1" w:themeTint="A6"/>
                          <w:sz w:val="18"/>
                          <w:szCs w:val="18"/>
                          <w:lang w:val="pt-BR"/>
                        </w:rPr>
                        <w:t>23</w:t>
                      </w:r>
                      <w:r w:rsidRPr="00B20C47">
                        <w:rPr>
                          <w:rFonts w:asciiTheme="majorHAnsi" w:hAnsiTheme="majorHAnsi"/>
                          <w:color w:val="595959" w:themeColor="text1" w:themeTint="A6"/>
                          <w:sz w:val="18"/>
                          <w:szCs w:val="18"/>
                          <w:lang w:val="pt-BR"/>
                        </w:rPr>
                        <w:t xml:space="preserve">. </w:t>
                      </w:r>
                      <w:r w:rsidR="000433C9" w:rsidRPr="003019D1">
                        <w:rPr>
                          <w:rFonts w:asciiTheme="majorHAnsi" w:hAnsiTheme="majorHAnsi"/>
                          <w:color w:val="595959" w:themeColor="text1" w:themeTint="A6"/>
                          <w:sz w:val="18"/>
                          <w:szCs w:val="18"/>
                          <w:lang w:val="es-ES_tradnl"/>
                        </w:rPr>
                        <w:t>Petici</w:t>
                      </w:r>
                      <w:r w:rsidR="000433C9" w:rsidRPr="003019D1">
                        <w:rPr>
                          <w:rFonts w:asciiTheme="majorHAnsi" w:hAnsiTheme="majorHAnsi"/>
                          <w:color w:val="595959" w:themeColor="text1" w:themeTint="A6"/>
                          <w:sz w:val="18"/>
                          <w:szCs w:val="18"/>
                          <w:lang w:val="es-ES"/>
                        </w:rPr>
                        <w:t xml:space="preserve">ón </w:t>
                      </w:r>
                      <w:r w:rsidR="000D7B6C" w:rsidRPr="003019D1">
                        <w:rPr>
                          <w:rFonts w:asciiTheme="majorHAnsi" w:hAnsiTheme="majorHAnsi"/>
                          <w:color w:val="595959" w:themeColor="text1" w:themeTint="A6"/>
                          <w:sz w:val="18"/>
                          <w:szCs w:val="18"/>
                          <w:lang w:val="es-ES"/>
                        </w:rPr>
                        <w:t>1503-11</w:t>
                      </w:r>
                      <w:r w:rsidR="000433C9" w:rsidRPr="003019D1">
                        <w:rPr>
                          <w:rFonts w:asciiTheme="majorHAnsi" w:hAnsiTheme="majorHAnsi"/>
                          <w:color w:val="595959" w:themeColor="text1" w:themeTint="A6"/>
                          <w:sz w:val="18"/>
                          <w:szCs w:val="18"/>
                          <w:lang w:val="es-ES"/>
                        </w:rPr>
                        <w:t xml:space="preserve">. </w:t>
                      </w:r>
                      <w:r w:rsidRPr="003019D1">
                        <w:rPr>
                          <w:rFonts w:asciiTheme="majorHAnsi" w:hAnsiTheme="majorHAnsi"/>
                          <w:color w:val="595959" w:themeColor="text1" w:themeTint="A6"/>
                          <w:sz w:val="18"/>
                          <w:szCs w:val="18"/>
                          <w:lang w:val="es-ES_tradnl"/>
                        </w:rPr>
                        <w:t>Admisibilidad.</w:t>
                      </w:r>
                      <w:r w:rsidR="009935AC" w:rsidRPr="003019D1">
                        <w:rPr>
                          <w:rFonts w:asciiTheme="majorHAnsi" w:hAnsiTheme="majorHAnsi"/>
                          <w:color w:val="595959" w:themeColor="text1" w:themeTint="A6"/>
                          <w:sz w:val="18"/>
                          <w:szCs w:val="18"/>
                          <w:lang w:val="es-ES_tradnl"/>
                        </w:rPr>
                        <w:t xml:space="preserve"> </w:t>
                      </w:r>
                    </w:p>
                    <w:p w14:paraId="7FD77785" w14:textId="102A48CA" w:rsidR="00113F73" w:rsidRPr="007B05C4" w:rsidRDefault="00F26B27" w:rsidP="00113F73">
                      <w:pPr>
                        <w:spacing w:line="276" w:lineRule="auto"/>
                        <w:rPr>
                          <w:rFonts w:asciiTheme="majorHAnsi" w:hAnsiTheme="majorHAnsi"/>
                          <w:color w:val="595959" w:themeColor="text1" w:themeTint="A6"/>
                          <w:sz w:val="18"/>
                          <w:szCs w:val="18"/>
                          <w:lang w:val="es-ES"/>
                        </w:rPr>
                      </w:pPr>
                      <w:r w:rsidRPr="003019D1">
                        <w:rPr>
                          <w:rFonts w:asciiTheme="majorHAnsi" w:hAnsiTheme="majorHAnsi"/>
                          <w:color w:val="595959" w:themeColor="text1" w:themeTint="A6"/>
                          <w:sz w:val="18"/>
                          <w:szCs w:val="18"/>
                          <w:lang w:val="es-ES_tradnl"/>
                        </w:rPr>
                        <w:t>Vecinos de la c</w:t>
                      </w:r>
                      <w:r w:rsidR="00215578" w:rsidRPr="003019D1">
                        <w:rPr>
                          <w:rFonts w:asciiTheme="majorHAnsi" w:hAnsiTheme="majorHAnsi"/>
                          <w:color w:val="595959" w:themeColor="text1" w:themeTint="A6"/>
                          <w:sz w:val="18"/>
                          <w:szCs w:val="18"/>
                          <w:lang w:val="es-ES_tradnl"/>
                        </w:rPr>
                        <w:t xml:space="preserve">omunidad </w:t>
                      </w:r>
                      <w:r w:rsidRPr="003019D1">
                        <w:rPr>
                          <w:rFonts w:asciiTheme="majorHAnsi" w:hAnsiTheme="majorHAnsi"/>
                          <w:color w:val="595959" w:themeColor="text1" w:themeTint="A6"/>
                          <w:sz w:val="18"/>
                          <w:szCs w:val="18"/>
                          <w:lang w:val="es-ES_tradnl"/>
                        </w:rPr>
                        <w:t>E</w:t>
                      </w:r>
                      <w:r w:rsidR="00215578" w:rsidRPr="003019D1">
                        <w:rPr>
                          <w:rFonts w:asciiTheme="majorHAnsi" w:hAnsiTheme="majorHAnsi"/>
                          <w:color w:val="595959" w:themeColor="text1" w:themeTint="A6"/>
                          <w:sz w:val="18"/>
                          <w:szCs w:val="18"/>
                          <w:lang w:val="es-ES_tradnl"/>
                        </w:rPr>
                        <w:t>l Triunfo</w:t>
                      </w:r>
                      <w:r w:rsidR="009935AC" w:rsidRPr="003019D1">
                        <w:rPr>
                          <w:rFonts w:asciiTheme="majorHAnsi" w:hAnsiTheme="majorHAnsi"/>
                          <w:color w:val="595959" w:themeColor="text1" w:themeTint="A6"/>
                          <w:sz w:val="18"/>
                          <w:szCs w:val="18"/>
                          <w:lang w:val="es-ES_tradnl"/>
                        </w:rPr>
                        <w:t xml:space="preserve">. </w:t>
                      </w:r>
                      <w:r w:rsidR="00967C75" w:rsidRPr="003019D1">
                        <w:rPr>
                          <w:rFonts w:asciiTheme="majorHAnsi" w:hAnsiTheme="majorHAnsi"/>
                          <w:color w:val="595959" w:themeColor="text1" w:themeTint="A6"/>
                          <w:sz w:val="18"/>
                          <w:szCs w:val="18"/>
                          <w:lang w:val="es-ES_tradnl"/>
                        </w:rPr>
                        <w:t>Guatemala</w:t>
                      </w:r>
                      <w:r w:rsidR="00113F73" w:rsidRPr="003019D1">
                        <w:rPr>
                          <w:rFonts w:asciiTheme="majorHAnsi" w:hAnsiTheme="majorHAnsi"/>
                          <w:color w:val="595959" w:themeColor="text1" w:themeTint="A6"/>
                          <w:sz w:val="18"/>
                          <w:szCs w:val="18"/>
                          <w:lang w:val="es-ES_tradnl"/>
                        </w:rPr>
                        <w:t xml:space="preserve">. </w:t>
                      </w:r>
                      <w:r w:rsidR="00B20C47">
                        <w:rPr>
                          <w:rFonts w:asciiTheme="majorHAnsi" w:hAnsiTheme="majorHAnsi"/>
                          <w:color w:val="595959" w:themeColor="text1" w:themeTint="A6"/>
                          <w:sz w:val="18"/>
                          <w:szCs w:val="18"/>
                          <w:lang w:val="es-ES"/>
                        </w:rPr>
                        <w:t>30 de mayo de 2023</w:t>
                      </w:r>
                      <w:r w:rsidR="00113F73" w:rsidRPr="003019D1">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92229A" w:rsidRDefault="00D306D1" w:rsidP="005516A1">
      <w:pPr>
        <w:tabs>
          <w:tab w:val="center" w:pos="5400"/>
        </w:tabs>
        <w:suppressAutoHyphens/>
        <w:jc w:val="center"/>
        <w:rPr>
          <w:rFonts w:asciiTheme="majorHAnsi" w:hAnsiTheme="majorHAnsi"/>
          <w:b/>
          <w:sz w:val="20"/>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2229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92229A" w:rsidRDefault="004A6A54" w:rsidP="005516A1">
      <w:pPr>
        <w:tabs>
          <w:tab w:val="center" w:pos="5400"/>
        </w:tabs>
        <w:suppressAutoHyphens/>
        <w:jc w:val="center"/>
        <w:rPr>
          <w:rFonts w:asciiTheme="majorHAnsi" w:hAnsiTheme="majorHAnsi"/>
          <w:b/>
          <w:sz w:val="20"/>
          <w:lang w:val="es-ES_tradnl"/>
        </w:rPr>
        <w:sectPr w:rsidR="0070697F" w:rsidRPr="0092229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2229A">
        <w:rPr>
          <w:rFonts w:asciiTheme="majorHAnsi" w:hAnsiTheme="majorHAnsi"/>
          <w:b/>
          <w:sz w:val="20"/>
          <w:lang w:val="es-ES_tradnl"/>
        </w:rPr>
        <w:tab/>
      </w:r>
    </w:p>
    <w:p w14:paraId="2786EE58" w14:textId="77777777" w:rsidR="003239B8" w:rsidRPr="0092229A" w:rsidRDefault="003239B8" w:rsidP="004A6A54">
      <w:pPr>
        <w:spacing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lastRenderedPageBreak/>
        <w:t>I.</w:t>
      </w:r>
      <w:r w:rsidRPr="0092229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14D4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Parte peticionaria:</w:t>
            </w:r>
          </w:p>
        </w:tc>
        <w:tc>
          <w:tcPr>
            <w:tcW w:w="5647" w:type="dxa"/>
            <w:vAlign w:val="center"/>
          </w:tcPr>
          <w:p w14:paraId="07DAAE2E" w14:textId="2BC6EACC" w:rsidR="003239B8" w:rsidRPr="0092229A" w:rsidRDefault="004F0B13" w:rsidP="008D2290">
            <w:pPr>
              <w:jc w:val="both"/>
              <w:rPr>
                <w:rFonts w:ascii="Cambria" w:hAnsi="Cambria"/>
                <w:bCs/>
                <w:sz w:val="20"/>
                <w:szCs w:val="20"/>
                <w:lang w:val="es-ES_tradnl"/>
              </w:rPr>
            </w:pPr>
            <w:r w:rsidRPr="004F0B13">
              <w:rPr>
                <w:rFonts w:ascii="Cambria" w:hAnsi="Cambria"/>
                <w:bCs/>
                <w:sz w:val="20"/>
                <w:szCs w:val="20"/>
                <w:lang w:val="es-ES_tradnl"/>
              </w:rPr>
              <w:t xml:space="preserve">Comité de </w:t>
            </w:r>
            <w:r w:rsidR="000272A7">
              <w:rPr>
                <w:rFonts w:ascii="Cambria" w:hAnsi="Cambria"/>
                <w:bCs/>
                <w:sz w:val="20"/>
                <w:szCs w:val="20"/>
                <w:lang w:val="es-ES_tradnl"/>
              </w:rPr>
              <w:t>v</w:t>
            </w:r>
            <w:r w:rsidRPr="004F0B13">
              <w:rPr>
                <w:rFonts w:ascii="Cambria" w:hAnsi="Cambria"/>
                <w:bCs/>
                <w:sz w:val="20"/>
                <w:szCs w:val="20"/>
                <w:lang w:val="es-ES_tradnl"/>
              </w:rPr>
              <w:t>íctimas Comunidad El Triunfo</w:t>
            </w:r>
            <w:r w:rsidR="002753F4">
              <w:rPr>
                <w:rFonts w:ascii="Cambria" w:hAnsi="Cambria"/>
                <w:bCs/>
                <w:sz w:val="20"/>
                <w:szCs w:val="20"/>
                <w:lang w:val="es-ES_tradnl"/>
              </w:rPr>
              <w:t>,</w:t>
            </w:r>
            <w:r w:rsidR="00AD3003">
              <w:rPr>
                <w:rFonts w:ascii="Cambria" w:hAnsi="Cambria"/>
                <w:bCs/>
                <w:sz w:val="20"/>
                <w:szCs w:val="20"/>
                <w:lang w:val="es-ES_tradnl"/>
              </w:rPr>
              <w:t xml:space="preserve"> </w:t>
            </w:r>
            <w:r w:rsidR="00AD3003" w:rsidRPr="00AD3003">
              <w:rPr>
                <w:rFonts w:ascii="Cambria" w:hAnsi="Cambria"/>
                <w:bCs/>
                <w:sz w:val="20"/>
                <w:szCs w:val="20"/>
                <w:lang w:val="es-ES_tradnl"/>
              </w:rPr>
              <w:t>Centro de Análisis Forense y Ciencias Aplicadas (CAFCA) y Bufete Jurídico de Derechos Humanos</w:t>
            </w:r>
          </w:p>
        </w:tc>
      </w:tr>
      <w:tr w:rsidR="003239B8" w:rsidRPr="00914D4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2229A" w:rsidRDefault="005F7524"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2229A">
                  <w:rPr>
                    <w:rFonts w:ascii="Cambria" w:hAnsi="Cambria"/>
                    <w:b/>
                    <w:bCs/>
                    <w:color w:val="FFFFFF" w:themeColor="background1"/>
                    <w:sz w:val="20"/>
                    <w:szCs w:val="20"/>
                    <w:lang w:val="es-ES_tradnl"/>
                  </w:rPr>
                  <w:t>Presunta víctima</w:t>
                </w:r>
              </w:sdtContent>
            </w:sdt>
            <w:r w:rsidR="003239B8" w:rsidRPr="0092229A">
              <w:rPr>
                <w:rFonts w:ascii="Cambria" w:hAnsi="Cambria"/>
                <w:b/>
                <w:bCs/>
                <w:color w:val="FFFFFF" w:themeColor="background1"/>
                <w:sz w:val="20"/>
                <w:szCs w:val="20"/>
                <w:lang w:val="es-ES_tradnl"/>
              </w:rPr>
              <w:t>:</w:t>
            </w:r>
          </w:p>
        </w:tc>
        <w:tc>
          <w:tcPr>
            <w:tcW w:w="5647" w:type="dxa"/>
            <w:vAlign w:val="center"/>
          </w:tcPr>
          <w:p w14:paraId="143D44A8" w14:textId="70163917" w:rsidR="003239B8" w:rsidRPr="0092229A" w:rsidRDefault="00CC22F0" w:rsidP="008D2290">
            <w:pPr>
              <w:jc w:val="both"/>
              <w:rPr>
                <w:rFonts w:ascii="Cambria" w:hAnsi="Cambria"/>
                <w:bCs/>
                <w:sz w:val="20"/>
                <w:szCs w:val="20"/>
                <w:lang w:val="es-ES_tradnl"/>
              </w:rPr>
            </w:pPr>
            <w:r>
              <w:rPr>
                <w:rFonts w:ascii="Cambria" w:hAnsi="Cambria"/>
                <w:bCs/>
                <w:sz w:val="20"/>
                <w:szCs w:val="20"/>
                <w:lang w:val="es-ES_tradnl"/>
              </w:rPr>
              <w:t>Vecinos de la c</w:t>
            </w:r>
            <w:r w:rsidR="00215578">
              <w:rPr>
                <w:rFonts w:ascii="Cambria" w:hAnsi="Cambria"/>
                <w:bCs/>
                <w:sz w:val="20"/>
                <w:szCs w:val="20"/>
                <w:lang w:val="es-ES_tradnl"/>
              </w:rPr>
              <w:t xml:space="preserve">omunidad </w:t>
            </w:r>
            <w:r>
              <w:rPr>
                <w:rFonts w:ascii="Cambria" w:hAnsi="Cambria"/>
                <w:bCs/>
                <w:sz w:val="20"/>
                <w:szCs w:val="20"/>
                <w:lang w:val="es-ES_tradnl"/>
              </w:rPr>
              <w:t>E</w:t>
            </w:r>
            <w:r w:rsidR="00215578">
              <w:rPr>
                <w:rFonts w:ascii="Cambria" w:hAnsi="Cambria"/>
                <w:bCs/>
                <w:sz w:val="20"/>
                <w:szCs w:val="20"/>
                <w:lang w:val="es-ES_tradnl"/>
              </w:rPr>
              <w:t>l Triunfo</w:t>
            </w:r>
            <w:r w:rsidR="00B365D1">
              <w:rPr>
                <w:rStyle w:val="FootnoteReference"/>
                <w:rFonts w:ascii="Cambria" w:hAnsi="Cambria"/>
                <w:bCs/>
                <w:sz w:val="20"/>
                <w:szCs w:val="20"/>
                <w:lang w:val="es-ES_tradnl"/>
              </w:rPr>
              <w:footnoteReference w:id="2"/>
            </w:r>
          </w:p>
        </w:tc>
      </w:tr>
      <w:tr w:rsidR="003239B8" w:rsidRPr="0092229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92229A" w:rsidRDefault="00967C75" w:rsidP="008D2290">
            <w:pPr>
              <w:jc w:val="both"/>
              <w:rPr>
                <w:rFonts w:ascii="Cambria" w:hAnsi="Cambria"/>
                <w:bCs/>
                <w:sz w:val="20"/>
                <w:szCs w:val="20"/>
                <w:lang w:val="es-ES_tradnl"/>
              </w:rPr>
            </w:pPr>
            <w:r w:rsidRPr="0092229A">
              <w:rPr>
                <w:rFonts w:ascii="Cambria" w:hAnsi="Cambria"/>
                <w:bCs/>
                <w:sz w:val="20"/>
                <w:szCs w:val="20"/>
                <w:lang w:val="es-ES_tradnl"/>
              </w:rPr>
              <w:t>Guatemala</w:t>
            </w:r>
            <w:r w:rsidR="0017681E" w:rsidRPr="0092229A">
              <w:rPr>
                <w:rStyle w:val="FootnoteReference"/>
                <w:rFonts w:ascii="Cambria" w:hAnsi="Cambria"/>
                <w:bCs/>
                <w:sz w:val="20"/>
                <w:szCs w:val="20"/>
                <w:lang w:val="es-ES_tradnl"/>
              </w:rPr>
              <w:footnoteReference w:id="3"/>
            </w:r>
          </w:p>
        </w:tc>
      </w:tr>
      <w:tr w:rsidR="00223A29" w:rsidRPr="00914D4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2229A" w:rsidRDefault="001B3A00" w:rsidP="00E4118C">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 xml:space="preserve">Derechos </w:t>
            </w:r>
            <w:r w:rsidR="00E4118C" w:rsidRPr="0092229A">
              <w:rPr>
                <w:rFonts w:ascii="Cambria" w:hAnsi="Cambria"/>
                <w:b/>
                <w:bCs/>
                <w:color w:val="FFFFFF" w:themeColor="background1"/>
                <w:sz w:val="20"/>
                <w:szCs w:val="20"/>
                <w:lang w:val="es-ES_tradnl"/>
              </w:rPr>
              <w:t>invocados</w:t>
            </w:r>
            <w:r w:rsidRPr="0092229A">
              <w:rPr>
                <w:rFonts w:ascii="Cambria" w:hAnsi="Cambria"/>
                <w:b/>
                <w:bCs/>
                <w:color w:val="FFFFFF" w:themeColor="background1"/>
                <w:sz w:val="20"/>
                <w:szCs w:val="20"/>
                <w:lang w:val="es-ES_tradnl"/>
              </w:rPr>
              <w:t>:</w:t>
            </w:r>
          </w:p>
        </w:tc>
        <w:tc>
          <w:tcPr>
            <w:tcW w:w="5647" w:type="dxa"/>
            <w:vAlign w:val="center"/>
          </w:tcPr>
          <w:p w14:paraId="52B28392" w14:textId="3D93E2F4" w:rsidR="00223A29" w:rsidRPr="00A32A2D" w:rsidRDefault="003A6268" w:rsidP="0086342B">
            <w:pPr>
              <w:jc w:val="both"/>
              <w:rPr>
                <w:rFonts w:asciiTheme="majorHAnsi" w:hAnsiTheme="majorHAnsi"/>
                <w:bCs/>
                <w:sz w:val="20"/>
                <w:szCs w:val="20"/>
                <w:lang w:val="es-ES_tradnl"/>
              </w:rPr>
            </w:pPr>
            <w:r w:rsidRPr="0092229A">
              <w:rPr>
                <w:rFonts w:asciiTheme="majorHAnsi" w:hAnsiTheme="majorHAnsi"/>
                <w:bCs/>
                <w:sz w:val="20"/>
                <w:szCs w:val="20"/>
                <w:lang w:val="es-ES_tradnl"/>
              </w:rPr>
              <w:t xml:space="preserve">Artículos </w:t>
            </w:r>
            <w:r w:rsidR="00C44EB1">
              <w:rPr>
                <w:rFonts w:asciiTheme="majorHAnsi" w:hAnsiTheme="majorHAnsi"/>
                <w:bCs/>
                <w:sz w:val="20"/>
                <w:szCs w:val="20"/>
                <w:lang w:val="es-ES_tradnl"/>
              </w:rPr>
              <w:t>4 (vida), 5 (</w:t>
            </w:r>
            <w:r w:rsidR="00AF115D" w:rsidRPr="00B649C4">
              <w:rPr>
                <w:rFonts w:asciiTheme="majorHAnsi" w:hAnsiTheme="majorHAnsi"/>
                <w:sz w:val="20"/>
                <w:szCs w:val="20"/>
                <w:lang w:val="es-ES"/>
              </w:rPr>
              <w:t>integridad personal</w:t>
            </w:r>
            <w:r w:rsidR="00AF115D">
              <w:rPr>
                <w:rFonts w:asciiTheme="majorHAnsi" w:hAnsiTheme="majorHAnsi"/>
                <w:bCs/>
                <w:sz w:val="20"/>
                <w:szCs w:val="20"/>
                <w:lang w:val="es-ES_tradnl"/>
              </w:rPr>
              <w:t xml:space="preserve">), </w:t>
            </w:r>
            <w:r w:rsidR="00AF115D" w:rsidRPr="0092229A">
              <w:rPr>
                <w:rFonts w:asciiTheme="majorHAnsi" w:hAnsiTheme="majorHAnsi"/>
                <w:bCs/>
                <w:sz w:val="20"/>
                <w:szCs w:val="20"/>
                <w:lang w:val="es-ES_tradnl"/>
              </w:rPr>
              <w:t xml:space="preserve">8 (garantías judiciales), </w:t>
            </w:r>
            <w:r w:rsidR="00AF115D">
              <w:rPr>
                <w:rFonts w:asciiTheme="majorHAnsi" w:hAnsiTheme="majorHAnsi"/>
                <w:bCs/>
                <w:sz w:val="20"/>
                <w:szCs w:val="20"/>
                <w:lang w:val="es-ES_tradnl"/>
              </w:rPr>
              <w:t>11 (</w:t>
            </w:r>
            <w:r w:rsidR="00AF115D" w:rsidRPr="00C44EB1">
              <w:rPr>
                <w:rFonts w:asciiTheme="majorHAnsi" w:hAnsiTheme="majorHAnsi"/>
                <w:bCs/>
                <w:sz w:val="20"/>
                <w:szCs w:val="20"/>
                <w:lang w:val="es-ES_tradnl"/>
              </w:rPr>
              <w:t>protección de la honra y de la dignidad</w:t>
            </w:r>
            <w:r w:rsidR="00AF115D">
              <w:rPr>
                <w:rFonts w:asciiTheme="majorHAnsi" w:hAnsiTheme="majorHAnsi"/>
                <w:bCs/>
                <w:sz w:val="20"/>
                <w:szCs w:val="20"/>
                <w:lang w:val="es-ES_tradnl"/>
              </w:rPr>
              <w:t>), 17 (</w:t>
            </w:r>
            <w:r w:rsidR="00AF115D" w:rsidRPr="00C44EB1">
              <w:rPr>
                <w:rFonts w:asciiTheme="majorHAnsi" w:hAnsiTheme="majorHAnsi"/>
                <w:bCs/>
                <w:sz w:val="20"/>
                <w:szCs w:val="20"/>
                <w:lang w:val="es-ES_tradnl"/>
              </w:rPr>
              <w:t>protección a la familia</w:t>
            </w:r>
            <w:r w:rsidR="00AF115D">
              <w:rPr>
                <w:rFonts w:asciiTheme="majorHAnsi" w:hAnsiTheme="majorHAnsi"/>
                <w:bCs/>
                <w:sz w:val="20"/>
                <w:szCs w:val="20"/>
                <w:lang w:val="es-ES_tradnl"/>
              </w:rPr>
              <w:t>), 19 (</w:t>
            </w:r>
            <w:r w:rsidR="00AF115D" w:rsidRPr="00C44EB1">
              <w:rPr>
                <w:rFonts w:asciiTheme="majorHAnsi" w:hAnsiTheme="majorHAnsi"/>
                <w:bCs/>
                <w:sz w:val="20"/>
                <w:szCs w:val="20"/>
                <w:lang w:val="es-ES_tradnl"/>
              </w:rPr>
              <w:t>derechos del niño</w:t>
            </w:r>
            <w:r w:rsidR="00AF115D">
              <w:rPr>
                <w:rFonts w:asciiTheme="majorHAnsi" w:hAnsiTheme="majorHAnsi"/>
                <w:bCs/>
                <w:sz w:val="20"/>
                <w:szCs w:val="20"/>
                <w:lang w:val="es-ES_tradnl"/>
              </w:rPr>
              <w:t xml:space="preserve">),  </w:t>
            </w:r>
            <w:r w:rsidR="00AF115D" w:rsidRPr="0092229A">
              <w:rPr>
                <w:rFonts w:asciiTheme="majorHAnsi" w:hAnsiTheme="majorHAnsi"/>
                <w:bCs/>
                <w:sz w:val="20"/>
                <w:szCs w:val="20"/>
                <w:lang w:val="es-ES_tradnl"/>
              </w:rPr>
              <w:t>21 (propiedad priva</w:t>
            </w:r>
            <w:r w:rsidR="009B53CC" w:rsidRPr="0092229A">
              <w:rPr>
                <w:rFonts w:asciiTheme="majorHAnsi" w:hAnsiTheme="majorHAnsi"/>
                <w:bCs/>
                <w:sz w:val="20"/>
                <w:szCs w:val="20"/>
                <w:lang w:val="es-ES_tradnl"/>
              </w:rPr>
              <w:t>da)</w:t>
            </w:r>
            <w:r w:rsidR="00243044" w:rsidRPr="0092229A">
              <w:rPr>
                <w:rFonts w:asciiTheme="majorHAnsi" w:hAnsiTheme="majorHAnsi"/>
                <w:bCs/>
                <w:sz w:val="20"/>
                <w:szCs w:val="20"/>
                <w:lang w:val="es-ES_tradnl"/>
              </w:rPr>
              <w:t xml:space="preserve">, </w:t>
            </w:r>
            <w:r w:rsidR="00AF115D">
              <w:rPr>
                <w:rFonts w:asciiTheme="majorHAnsi" w:hAnsiTheme="majorHAnsi"/>
                <w:bCs/>
                <w:sz w:val="20"/>
                <w:szCs w:val="20"/>
                <w:lang w:val="es-ES_tradnl"/>
              </w:rPr>
              <w:t>24 (</w:t>
            </w:r>
            <w:r w:rsidR="00AF115D" w:rsidRPr="00AF115D">
              <w:rPr>
                <w:rFonts w:asciiTheme="majorHAnsi" w:hAnsiTheme="majorHAnsi"/>
                <w:bCs/>
                <w:sz w:val="20"/>
                <w:szCs w:val="20"/>
                <w:lang w:val="es-ES_tradnl"/>
              </w:rPr>
              <w:t>igualdad ante la ley</w:t>
            </w:r>
            <w:r w:rsidR="00AF115D">
              <w:rPr>
                <w:rFonts w:asciiTheme="majorHAnsi" w:hAnsiTheme="majorHAnsi"/>
                <w:bCs/>
                <w:sz w:val="20"/>
                <w:szCs w:val="20"/>
                <w:lang w:val="es-ES_tradnl"/>
              </w:rPr>
              <w:t xml:space="preserve">), </w:t>
            </w:r>
            <w:r w:rsidR="00383298" w:rsidRPr="0092229A">
              <w:rPr>
                <w:rFonts w:asciiTheme="majorHAnsi" w:hAnsiTheme="majorHAnsi"/>
                <w:bCs/>
                <w:sz w:val="20"/>
                <w:szCs w:val="20"/>
                <w:lang w:val="es-ES_tradnl"/>
              </w:rPr>
              <w:t>y 25 (protección judicial) de la Convención Americana sobre Derechos Humano</w:t>
            </w:r>
            <w:r w:rsidR="00493BC9" w:rsidRPr="0092229A">
              <w:rPr>
                <w:rFonts w:asciiTheme="majorHAnsi" w:hAnsiTheme="majorHAnsi"/>
                <w:bCs/>
                <w:sz w:val="20"/>
                <w:szCs w:val="20"/>
                <w:lang w:val="es-ES_tradnl"/>
              </w:rPr>
              <w:t>s</w:t>
            </w:r>
            <w:r w:rsidR="00383298" w:rsidRPr="0092229A">
              <w:rPr>
                <w:rStyle w:val="FootnoteReference"/>
                <w:rFonts w:asciiTheme="majorHAnsi" w:hAnsiTheme="majorHAnsi"/>
                <w:bCs/>
                <w:sz w:val="20"/>
                <w:szCs w:val="20"/>
                <w:lang w:val="es-ES_tradnl"/>
              </w:rPr>
              <w:footnoteReference w:id="4"/>
            </w:r>
            <w:r w:rsidR="00383298" w:rsidRPr="0092229A">
              <w:rPr>
                <w:rFonts w:asciiTheme="majorHAnsi" w:hAnsiTheme="majorHAnsi"/>
                <w:bCs/>
                <w:sz w:val="20"/>
                <w:szCs w:val="20"/>
                <w:lang w:val="es-ES_tradnl"/>
              </w:rPr>
              <w:t>, en relación con su artículo 1.1 (obligación de respetar los derechos)</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 xml:space="preserve"> artículos</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3 (no discriminación),</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6</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(trabajo)</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7 (condiciones justas, equitativas y satisfactorias de</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trabajo)</w:t>
            </w:r>
            <w:r w:rsidR="0086342B">
              <w:rPr>
                <w:rFonts w:asciiTheme="majorHAnsi" w:hAnsiTheme="majorHAnsi"/>
                <w:bCs/>
                <w:sz w:val="20"/>
                <w:szCs w:val="20"/>
                <w:lang w:val="es-ES_tradnl"/>
              </w:rPr>
              <w:t xml:space="preserve">, 10 (salud), </w:t>
            </w:r>
            <w:r w:rsidR="0086342B" w:rsidRPr="0086342B">
              <w:rPr>
                <w:rFonts w:asciiTheme="majorHAnsi" w:hAnsiTheme="majorHAnsi"/>
                <w:bCs/>
                <w:sz w:val="20"/>
                <w:szCs w:val="20"/>
                <w:lang w:val="es-ES_tradnl"/>
              </w:rPr>
              <w:t>11 (medio ambiente sano), 12 (alimentación), 13 (educación), 14 (beneficios de la cultura), 15 (constitución y protección de la familia), 16 (niñez), 17 (protección a los ancianos) y 19 (medios de protección) del Protocolo Adicional a la Convención Americana</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Sobre Derechos Humanos en Materia de Derechos Económicos,</w:t>
            </w:r>
            <w:r w:rsidR="0086342B">
              <w:rPr>
                <w:rFonts w:asciiTheme="majorHAnsi" w:hAnsiTheme="majorHAnsi"/>
                <w:bCs/>
                <w:sz w:val="20"/>
                <w:szCs w:val="20"/>
                <w:lang w:val="es-ES_tradnl"/>
              </w:rPr>
              <w:t xml:space="preserve"> </w:t>
            </w:r>
            <w:r w:rsidR="0086342B" w:rsidRPr="0086342B">
              <w:rPr>
                <w:rFonts w:asciiTheme="majorHAnsi" w:hAnsiTheme="majorHAnsi"/>
                <w:bCs/>
                <w:sz w:val="20"/>
                <w:szCs w:val="20"/>
                <w:lang w:val="es-ES_tradnl"/>
              </w:rPr>
              <w:t>Sociales y Culturales (</w:t>
            </w:r>
            <w:r w:rsidR="00FF3F46">
              <w:rPr>
                <w:rFonts w:asciiTheme="majorHAnsi" w:hAnsiTheme="majorHAnsi"/>
                <w:bCs/>
                <w:sz w:val="20"/>
                <w:szCs w:val="20"/>
                <w:lang w:val="es-ES_tradnl"/>
              </w:rPr>
              <w:t>“</w:t>
            </w:r>
            <w:r w:rsidR="0086342B" w:rsidRPr="0086342B">
              <w:rPr>
                <w:rFonts w:asciiTheme="majorHAnsi" w:hAnsiTheme="majorHAnsi"/>
                <w:bCs/>
                <w:sz w:val="20"/>
                <w:szCs w:val="20"/>
                <w:lang w:val="es-ES_tradnl"/>
              </w:rPr>
              <w:t>Protocolo de San Salvador</w:t>
            </w:r>
            <w:r w:rsidR="00FF3F46">
              <w:rPr>
                <w:rFonts w:asciiTheme="majorHAnsi" w:hAnsiTheme="majorHAnsi"/>
                <w:bCs/>
                <w:sz w:val="20"/>
                <w:szCs w:val="20"/>
                <w:lang w:val="es-ES_tradnl"/>
              </w:rPr>
              <w:t>”</w:t>
            </w:r>
            <w:r w:rsidR="0086342B" w:rsidRPr="0086342B">
              <w:rPr>
                <w:rFonts w:asciiTheme="majorHAnsi" w:hAnsiTheme="majorHAnsi"/>
                <w:bCs/>
                <w:sz w:val="20"/>
                <w:szCs w:val="20"/>
                <w:lang w:val="es-ES_tradnl"/>
              </w:rPr>
              <w:t>)</w:t>
            </w:r>
            <w:r w:rsidR="00A32A2D" w:rsidRPr="006F4690">
              <w:rPr>
                <w:rFonts w:asciiTheme="majorHAnsi" w:hAnsiTheme="majorHAnsi"/>
                <w:bCs/>
                <w:sz w:val="20"/>
                <w:szCs w:val="20"/>
                <w:lang w:val="es-ES"/>
              </w:rPr>
              <w:t xml:space="preserve">; y </w:t>
            </w:r>
            <w:r w:rsidR="00A32A2D">
              <w:rPr>
                <w:rFonts w:asciiTheme="majorHAnsi" w:hAnsiTheme="majorHAnsi"/>
                <w:bCs/>
                <w:sz w:val="20"/>
                <w:szCs w:val="20"/>
                <w:lang w:val="es-ES_tradnl"/>
              </w:rPr>
              <w:t xml:space="preserve">la </w:t>
            </w:r>
            <w:r w:rsidR="00A32A2D" w:rsidRPr="00A32A2D">
              <w:rPr>
                <w:rFonts w:asciiTheme="majorHAnsi" w:hAnsiTheme="majorHAnsi"/>
                <w:bCs/>
                <w:sz w:val="20"/>
                <w:szCs w:val="20"/>
                <w:lang w:val="es-ES_tradnl"/>
              </w:rPr>
              <w:t>Declaración de Derechos del Hombre de las Naciones Unidas</w:t>
            </w:r>
          </w:p>
        </w:tc>
      </w:tr>
    </w:tbl>
    <w:p w14:paraId="176FB213"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II.</w:t>
      </w:r>
      <w:r w:rsidRPr="0092229A">
        <w:rPr>
          <w:rFonts w:asciiTheme="majorHAnsi" w:hAnsiTheme="majorHAnsi"/>
          <w:b/>
          <w:bCs/>
          <w:sz w:val="20"/>
          <w:szCs w:val="20"/>
          <w:lang w:val="es-ES_tradnl"/>
        </w:rPr>
        <w:tab/>
        <w:t>TRÁMITE ANTE LA CIDH</w:t>
      </w:r>
      <w:r w:rsidR="008E3BFE" w:rsidRPr="0092229A">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2229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w:t>
            </w:r>
            <w:r w:rsidR="004C2312" w:rsidRPr="0092229A">
              <w:rPr>
                <w:rFonts w:ascii="Cambria" w:hAnsi="Cambria"/>
                <w:b/>
                <w:bCs/>
                <w:color w:val="FFFFFF" w:themeColor="background1"/>
                <w:sz w:val="20"/>
                <w:szCs w:val="20"/>
                <w:lang w:val="es-ES_tradnl"/>
              </w:rPr>
              <w:t>resentación de la petición:</w:t>
            </w:r>
          </w:p>
        </w:tc>
        <w:tc>
          <w:tcPr>
            <w:tcW w:w="5647" w:type="dxa"/>
            <w:vAlign w:val="center"/>
          </w:tcPr>
          <w:p w14:paraId="6883A5F8" w14:textId="551C12B3" w:rsidR="004C2312" w:rsidRPr="0092229A" w:rsidRDefault="000D7B6C" w:rsidP="002625EA">
            <w:pPr>
              <w:jc w:val="both"/>
              <w:rPr>
                <w:rFonts w:ascii="Cambria" w:hAnsi="Cambria"/>
                <w:bCs/>
                <w:sz w:val="20"/>
                <w:szCs w:val="20"/>
                <w:lang w:val="es-ES_tradnl"/>
              </w:rPr>
            </w:pPr>
            <w:r>
              <w:rPr>
                <w:rFonts w:ascii="Cambria" w:hAnsi="Cambria"/>
                <w:bCs/>
                <w:sz w:val="20"/>
                <w:szCs w:val="20"/>
                <w:lang w:val="es-ES_tradnl"/>
              </w:rPr>
              <w:t>24 de octubre de 2011</w:t>
            </w:r>
          </w:p>
        </w:tc>
      </w:tr>
      <w:tr w:rsidR="00131425" w:rsidRPr="00914D42"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92229A" w:rsidRDefault="00131425"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1E3C003E" w:rsidR="00131425" w:rsidRPr="0092229A" w:rsidRDefault="00AD3003" w:rsidP="002625EA">
            <w:pPr>
              <w:jc w:val="both"/>
              <w:rPr>
                <w:rFonts w:ascii="Cambria" w:hAnsi="Cambria"/>
                <w:bCs/>
                <w:sz w:val="20"/>
                <w:szCs w:val="20"/>
                <w:lang w:val="es-ES_tradnl"/>
              </w:rPr>
            </w:pPr>
            <w:r>
              <w:rPr>
                <w:rFonts w:ascii="Cambria" w:hAnsi="Cambria"/>
                <w:bCs/>
                <w:sz w:val="20"/>
                <w:szCs w:val="20"/>
                <w:lang w:val="es-ES_tradnl"/>
              </w:rPr>
              <w:t>12 de junio de 2017</w:t>
            </w:r>
            <w:r w:rsidR="002753F4" w:rsidRPr="00193059">
              <w:rPr>
                <w:rStyle w:val="FootnoteReference"/>
                <w:rFonts w:asciiTheme="majorHAnsi" w:hAnsiTheme="majorHAnsi"/>
                <w:bCs/>
                <w:sz w:val="20"/>
                <w:szCs w:val="20"/>
                <w:lang w:val="es-ES_tradnl"/>
              </w:rPr>
              <w:footnoteReference w:id="6"/>
            </w:r>
            <w:r w:rsidR="00BD71F3">
              <w:rPr>
                <w:rFonts w:ascii="Cambria" w:hAnsi="Cambria"/>
                <w:bCs/>
                <w:sz w:val="20"/>
                <w:szCs w:val="20"/>
                <w:lang w:val="es-ES_tradnl"/>
              </w:rPr>
              <w:t xml:space="preserve"> y 28 de septiembre de 2017</w:t>
            </w:r>
          </w:p>
        </w:tc>
      </w:tr>
      <w:tr w:rsidR="004C2312" w:rsidRPr="0092229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N</w:t>
            </w:r>
            <w:r w:rsidR="004C2312" w:rsidRPr="0092229A">
              <w:rPr>
                <w:rFonts w:ascii="Cambria" w:hAnsi="Cambria"/>
                <w:b/>
                <w:color w:val="FFFFFF" w:themeColor="background1"/>
                <w:sz w:val="20"/>
                <w:szCs w:val="20"/>
                <w:lang w:val="es-ES_tradnl"/>
              </w:rPr>
              <w:t>otificación de la petición al Estado:</w:t>
            </w:r>
          </w:p>
        </w:tc>
        <w:tc>
          <w:tcPr>
            <w:tcW w:w="5647" w:type="dxa"/>
            <w:vAlign w:val="center"/>
          </w:tcPr>
          <w:p w14:paraId="58485921" w14:textId="2131D36F" w:rsidR="004C2312" w:rsidRPr="0092229A" w:rsidRDefault="00A65D06" w:rsidP="008D2290">
            <w:pPr>
              <w:jc w:val="both"/>
              <w:rPr>
                <w:rFonts w:ascii="Cambria" w:hAnsi="Cambria"/>
                <w:bCs/>
                <w:sz w:val="20"/>
                <w:szCs w:val="20"/>
                <w:lang w:val="es-ES_tradnl"/>
              </w:rPr>
            </w:pPr>
            <w:r w:rsidRPr="0092229A">
              <w:rPr>
                <w:rFonts w:ascii="Cambria" w:hAnsi="Cambria"/>
                <w:bCs/>
                <w:sz w:val="20"/>
                <w:szCs w:val="20"/>
                <w:lang w:val="es-ES_tradnl"/>
              </w:rPr>
              <w:t>1</w:t>
            </w:r>
            <w:r w:rsidR="002753F4">
              <w:rPr>
                <w:rFonts w:ascii="Cambria" w:hAnsi="Cambria"/>
                <w:bCs/>
                <w:sz w:val="20"/>
                <w:szCs w:val="20"/>
                <w:lang w:val="es-ES_tradnl"/>
              </w:rPr>
              <w:t>0 de octubre de 2017</w:t>
            </w:r>
          </w:p>
        </w:tc>
      </w:tr>
      <w:tr w:rsidR="004C2312" w:rsidRPr="0092229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P</w:t>
            </w:r>
            <w:r w:rsidR="004C2312" w:rsidRPr="0092229A">
              <w:rPr>
                <w:rFonts w:ascii="Cambria" w:hAnsi="Cambria"/>
                <w:b/>
                <w:color w:val="FFFFFF" w:themeColor="background1"/>
                <w:sz w:val="20"/>
                <w:szCs w:val="20"/>
                <w:lang w:val="es-ES_tradnl"/>
              </w:rPr>
              <w:t>rimera respuesta del Estado:</w:t>
            </w:r>
          </w:p>
        </w:tc>
        <w:tc>
          <w:tcPr>
            <w:tcW w:w="5647" w:type="dxa"/>
            <w:vAlign w:val="center"/>
          </w:tcPr>
          <w:p w14:paraId="6B47064C" w14:textId="79D26E2B" w:rsidR="004C2312" w:rsidRPr="0092229A" w:rsidRDefault="00940DEB" w:rsidP="008D2290">
            <w:pPr>
              <w:jc w:val="both"/>
              <w:rPr>
                <w:rFonts w:ascii="Cambria" w:hAnsi="Cambria"/>
                <w:bCs/>
                <w:sz w:val="20"/>
                <w:szCs w:val="20"/>
                <w:lang w:val="es-ES_tradnl"/>
              </w:rPr>
            </w:pPr>
            <w:r>
              <w:rPr>
                <w:rFonts w:ascii="Cambria" w:hAnsi="Cambria"/>
                <w:bCs/>
                <w:sz w:val="20"/>
                <w:szCs w:val="20"/>
                <w:lang w:val="es-ES_tradnl"/>
              </w:rPr>
              <w:t>30 de junio de 2022</w:t>
            </w:r>
            <w:r w:rsidR="00DE70FF">
              <w:rPr>
                <w:rStyle w:val="FootnoteReference"/>
                <w:rFonts w:ascii="Cambria" w:hAnsi="Cambria"/>
                <w:bCs/>
                <w:sz w:val="20"/>
                <w:szCs w:val="20"/>
                <w:lang w:val="es-ES_tradnl"/>
              </w:rPr>
              <w:footnoteReference w:id="7"/>
            </w:r>
          </w:p>
        </w:tc>
      </w:tr>
      <w:tr w:rsidR="00940DEB" w:rsidRPr="00914D42" w14:paraId="4409CE27" w14:textId="77777777" w:rsidTr="00394073">
        <w:tc>
          <w:tcPr>
            <w:tcW w:w="3600" w:type="dxa"/>
            <w:tcBorders>
              <w:top w:val="single" w:sz="6" w:space="0" w:color="auto"/>
              <w:bottom w:val="single" w:sz="6" w:space="0" w:color="auto"/>
            </w:tcBorders>
            <w:shd w:val="clear" w:color="auto" w:fill="386294"/>
            <w:vAlign w:val="center"/>
          </w:tcPr>
          <w:p w14:paraId="6C553C60" w14:textId="181F0E78" w:rsidR="00940DEB" w:rsidRPr="0092229A" w:rsidRDefault="00940DEB" w:rsidP="004A6A5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Observaciones adicionales de la parte peticionaria:</w:t>
            </w:r>
          </w:p>
        </w:tc>
        <w:tc>
          <w:tcPr>
            <w:tcW w:w="5647" w:type="dxa"/>
            <w:vAlign w:val="center"/>
          </w:tcPr>
          <w:p w14:paraId="1CFA2929" w14:textId="758A82EA" w:rsidR="00940DEB" w:rsidRDefault="00DE70FF" w:rsidP="008D2290">
            <w:pPr>
              <w:jc w:val="both"/>
              <w:rPr>
                <w:rFonts w:ascii="Cambria" w:hAnsi="Cambria"/>
                <w:bCs/>
                <w:sz w:val="20"/>
                <w:szCs w:val="20"/>
                <w:lang w:val="es-ES_tradnl"/>
              </w:rPr>
            </w:pPr>
            <w:r>
              <w:rPr>
                <w:rFonts w:ascii="Cambria" w:hAnsi="Cambria"/>
                <w:bCs/>
                <w:sz w:val="20"/>
                <w:szCs w:val="20"/>
                <w:lang w:val="es-ES_tradnl"/>
              </w:rPr>
              <w:t>2 de agosto de 2018, 13 de enero de 2021</w:t>
            </w:r>
            <w:r>
              <w:rPr>
                <w:rStyle w:val="FootnoteReference"/>
                <w:rFonts w:ascii="Cambria" w:hAnsi="Cambria"/>
                <w:bCs/>
                <w:sz w:val="20"/>
                <w:szCs w:val="20"/>
                <w:lang w:val="es-ES_tradnl"/>
              </w:rPr>
              <w:footnoteReference w:id="8"/>
            </w:r>
            <w:r>
              <w:rPr>
                <w:rFonts w:ascii="Cambria" w:hAnsi="Cambria"/>
                <w:bCs/>
                <w:sz w:val="20"/>
                <w:szCs w:val="20"/>
                <w:lang w:val="es-ES_tradnl"/>
              </w:rPr>
              <w:t>, 30 de julio de 2021,</w:t>
            </w:r>
            <w:r w:rsidR="00EB65E8">
              <w:rPr>
                <w:rFonts w:ascii="Cambria" w:hAnsi="Cambria"/>
                <w:bCs/>
                <w:sz w:val="20"/>
                <w:szCs w:val="20"/>
                <w:lang w:val="es-ES_tradnl"/>
              </w:rPr>
              <w:t xml:space="preserve"> 1 de agosto de 2022 </w:t>
            </w:r>
            <w:r w:rsidR="0034021C">
              <w:rPr>
                <w:rFonts w:ascii="Cambria" w:hAnsi="Cambria"/>
                <w:bCs/>
                <w:sz w:val="20"/>
                <w:szCs w:val="20"/>
                <w:lang w:val="es-ES_tradnl"/>
              </w:rPr>
              <w:t>y 1 de marzo de 2023</w:t>
            </w:r>
          </w:p>
        </w:tc>
      </w:tr>
      <w:tr w:rsidR="00940DEB" w:rsidRPr="00022461" w14:paraId="07812008" w14:textId="77777777" w:rsidTr="00394073">
        <w:tc>
          <w:tcPr>
            <w:tcW w:w="3600" w:type="dxa"/>
            <w:tcBorders>
              <w:top w:val="single" w:sz="6" w:space="0" w:color="auto"/>
              <w:bottom w:val="single" w:sz="6" w:space="0" w:color="auto"/>
            </w:tcBorders>
            <w:shd w:val="clear" w:color="auto" w:fill="386294"/>
            <w:vAlign w:val="center"/>
          </w:tcPr>
          <w:p w14:paraId="0BDA3E5A" w14:textId="786A4528" w:rsidR="00940DEB" w:rsidRDefault="00940DEB" w:rsidP="004A6A5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Observaciones adicionales del Estado:</w:t>
            </w:r>
          </w:p>
        </w:tc>
        <w:tc>
          <w:tcPr>
            <w:tcW w:w="5647" w:type="dxa"/>
            <w:vAlign w:val="center"/>
          </w:tcPr>
          <w:p w14:paraId="4E96BA97" w14:textId="22220338" w:rsidR="00940DEB" w:rsidRDefault="00022461" w:rsidP="008D2290">
            <w:pPr>
              <w:jc w:val="both"/>
              <w:rPr>
                <w:rFonts w:ascii="Cambria" w:hAnsi="Cambria"/>
                <w:bCs/>
                <w:sz w:val="20"/>
                <w:szCs w:val="20"/>
                <w:lang w:val="es-ES_tradnl"/>
              </w:rPr>
            </w:pPr>
            <w:r>
              <w:rPr>
                <w:rFonts w:ascii="Cambria" w:hAnsi="Cambria"/>
                <w:bCs/>
                <w:sz w:val="20"/>
                <w:szCs w:val="20"/>
                <w:lang w:val="es-ES_tradnl"/>
              </w:rPr>
              <w:t>11 de noviembre de 2022</w:t>
            </w:r>
          </w:p>
        </w:tc>
      </w:tr>
    </w:tbl>
    <w:p w14:paraId="0FC6E9E8"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III. </w:t>
      </w:r>
      <w:r w:rsidRPr="0092229A">
        <w:rPr>
          <w:rFonts w:asciiTheme="majorHAnsi" w:hAnsiTheme="majorHAnsi"/>
          <w:b/>
          <w:bCs/>
          <w:sz w:val="20"/>
          <w:szCs w:val="20"/>
          <w:lang w:val="es-ES_tradnl"/>
        </w:rPr>
        <w:tab/>
        <w:t>COMPETENCIA</w:t>
      </w:r>
      <w:r w:rsidR="00EE00E9" w:rsidRPr="0092229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2229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Sí</w:t>
            </w:r>
          </w:p>
        </w:tc>
      </w:tr>
      <w:tr w:rsidR="003239B8" w:rsidRPr="0092229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loci</w:t>
            </w:r>
            <w:r w:rsidRPr="0092229A">
              <w:rPr>
                <w:rFonts w:ascii="Cambria" w:hAnsi="Cambria"/>
                <w:b/>
                <w:bCs/>
                <w:color w:val="FFFFFF" w:themeColor="background1"/>
                <w:sz w:val="20"/>
                <w:szCs w:val="20"/>
                <w:lang w:val="es-ES_tradnl"/>
              </w:rPr>
              <w:t>:</w:t>
            </w:r>
          </w:p>
        </w:tc>
        <w:tc>
          <w:tcPr>
            <w:tcW w:w="5760" w:type="dxa"/>
            <w:vAlign w:val="center"/>
          </w:tcPr>
          <w:p w14:paraId="77C8256A" w14:textId="386AB900"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92229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temporis</w:t>
            </w:r>
            <w:r w:rsidRPr="0092229A">
              <w:rPr>
                <w:rFonts w:ascii="Cambria" w:hAnsi="Cambria"/>
                <w:b/>
                <w:bCs/>
                <w:color w:val="FFFFFF" w:themeColor="background1"/>
                <w:sz w:val="20"/>
                <w:szCs w:val="20"/>
                <w:lang w:val="es-ES_tradnl"/>
              </w:rPr>
              <w:t>:</w:t>
            </w:r>
          </w:p>
        </w:tc>
        <w:tc>
          <w:tcPr>
            <w:tcW w:w="5760" w:type="dxa"/>
            <w:vAlign w:val="center"/>
          </w:tcPr>
          <w:p w14:paraId="523F6BD6" w14:textId="6964933A"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914D4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materia</w:t>
            </w:r>
            <w:r w:rsidR="00EE00E9" w:rsidRPr="0092229A">
              <w:rPr>
                <w:rFonts w:ascii="Cambria" w:hAnsi="Cambria"/>
                <w:b/>
                <w:bCs/>
                <w:i/>
                <w:color w:val="FFFFFF" w:themeColor="background1"/>
                <w:sz w:val="20"/>
                <w:szCs w:val="20"/>
                <w:lang w:val="es-ES_tradnl"/>
              </w:rPr>
              <w:t>e</w:t>
            </w:r>
            <w:r w:rsidRPr="0092229A">
              <w:rPr>
                <w:rFonts w:ascii="Cambria" w:hAnsi="Cambria"/>
                <w:b/>
                <w:bCs/>
                <w:color w:val="FFFFFF" w:themeColor="background1"/>
                <w:sz w:val="20"/>
                <w:szCs w:val="20"/>
                <w:lang w:val="es-ES_tradnl"/>
              </w:rPr>
              <w:t>:</w:t>
            </w:r>
          </w:p>
        </w:tc>
        <w:tc>
          <w:tcPr>
            <w:tcW w:w="5760" w:type="dxa"/>
            <w:vAlign w:val="center"/>
          </w:tcPr>
          <w:p w14:paraId="257C8337" w14:textId="456C2B9B" w:rsidR="003239B8" w:rsidRPr="0092229A" w:rsidRDefault="007C715A" w:rsidP="008D2290">
            <w:pPr>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Sí, </w:t>
            </w:r>
            <w:r w:rsidR="00FA3AEF" w:rsidRPr="00D21AF3">
              <w:rPr>
                <w:rFonts w:asciiTheme="majorHAnsi" w:hAnsiTheme="majorHAnsi"/>
                <w:bCs/>
                <w:sz w:val="20"/>
                <w:szCs w:val="20"/>
                <w:lang w:val="es-ES_tradnl"/>
              </w:rPr>
              <w:t xml:space="preserve">Convención Americana (instrumento de ratificación depositado el </w:t>
            </w:r>
            <w:r w:rsidR="00D71063" w:rsidRPr="00D21AF3">
              <w:rPr>
                <w:rFonts w:asciiTheme="majorHAnsi" w:hAnsiTheme="majorHAnsi"/>
                <w:bCs/>
                <w:sz w:val="20"/>
                <w:szCs w:val="20"/>
                <w:lang w:val="es-ES_tradnl"/>
              </w:rPr>
              <w:t>25 de mayo de 1978</w:t>
            </w:r>
            <w:r w:rsidR="00FA3AEF" w:rsidRPr="00D21AF3">
              <w:rPr>
                <w:rFonts w:asciiTheme="majorHAnsi" w:hAnsiTheme="majorHAnsi"/>
                <w:bCs/>
                <w:sz w:val="20"/>
                <w:szCs w:val="20"/>
                <w:lang w:val="es-ES_tradnl"/>
              </w:rPr>
              <w:t>)</w:t>
            </w:r>
            <w:r w:rsidR="00226B3F" w:rsidRPr="00D21AF3">
              <w:rPr>
                <w:rFonts w:asciiTheme="majorHAnsi" w:hAnsiTheme="majorHAnsi"/>
                <w:bCs/>
                <w:sz w:val="20"/>
                <w:szCs w:val="20"/>
                <w:lang w:val="es-ES_tradnl"/>
              </w:rPr>
              <w:t>;</w:t>
            </w:r>
            <w:r w:rsidR="007C7029" w:rsidRPr="00D21AF3">
              <w:rPr>
                <w:rFonts w:asciiTheme="majorHAnsi" w:hAnsiTheme="majorHAnsi"/>
                <w:bCs/>
                <w:sz w:val="20"/>
                <w:szCs w:val="20"/>
                <w:lang w:val="es-ES_tradnl"/>
              </w:rPr>
              <w:t xml:space="preserve"> y </w:t>
            </w:r>
            <w:r w:rsidR="007C7029" w:rsidRPr="00D21AF3">
              <w:rPr>
                <w:rFonts w:asciiTheme="majorHAnsi" w:hAnsiTheme="majorHAnsi" w:cs="Calibri"/>
                <w:sz w:val="20"/>
                <w:szCs w:val="20"/>
                <w:lang w:val="es-ES_tradnl"/>
              </w:rPr>
              <w:t>el Protocolo de San Salvador (instrumento de ratificación depositado el 5 de octubre de 2000)</w:t>
            </w:r>
          </w:p>
        </w:tc>
      </w:tr>
    </w:tbl>
    <w:p w14:paraId="299A3868" w14:textId="0A94F54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lastRenderedPageBreak/>
        <w:t xml:space="preserve">IV. </w:t>
      </w:r>
      <w:r w:rsidRPr="0092229A">
        <w:rPr>
          <w:rFonts w:asciiTheme="majorHAnsi" w:hAnsiTheme="majorHAnsi"/>
          <w:b/>
          <w:bCs/>
          <w:sz w:val="20"/>
          <w:szCs w:val="20"/>
          <w:lang w:val="es-ES_tradnl"/>
        </w:rPr>
        <w:tab/>
      </w:r>
      <w:r w:rsidR="00EE00E9" w:rsidRPr="0092229A">
        <w:rPr>
          <w:rFonts w:asciiTheme="majorHAnsi" w:hAnsiTheme="majorHAnsi"/>
          <w:b/>
          <w:bCs/>
          <w:sz w:val="20"/>
          <w:szCs w:val="20"/>
          <w:lang w:val="es-ES_tradnl"/>
        </w:rPr>
        <w:t>DUPLICACIÓN</w:t>
      </w:r>
      <w:r w:rsidR="00EE00E9" w:rsidRPr="0092229A">
        <w:rPr>
          <w:rFonts w:asciiTheme="majorHAnsi" w:hAnsiTheme="majorHAnsi"/>
          <w:b/>
          <w:bCs/>
          <w:color w:val="FFFFFF" w:themeColor="background1"/>
          <w:sz w:val="20"/>
          <w:szCs w:val="20"/>
          <w:lang w:val="es-ES_tradnl"/>
        </w:rPr>
        <w:t xml:space="preserve"> </w:t>
      </w:r>
      <w:r w:rsidR="00EE00E9" w:rsidRPr="0092229A">
        <w:rPr>
          <w:rFonts w:asciiTheme="majorHAnsi" w:hAnsiTheme="majorHAnsi"/>
          <w:b/>
          <w:bCs/>
          <w:sz w:val="20"/>
          <w:szCs w:val="20"/>
          <w:lang w:val="es-ES_tradnl"/>
        </w:rPr>
        <w:t>DE PROCEDIMIENTOS Y COSA JUZGADA</w:t>
      </w:r>
      <w:r w:rsidR="00EE00E9" w:rsidRPr="0092229A">
        <w:rPr>
          <w:rFonts w:asciiTheme="majorHAnsi" w:hAnsiTheme="majorHAnsi"/>
          <w:b/>
          <w:bCs/>
          <w:i/>
          <w:sz w:val="20"/>
          <w:szCs w:val="20"/>
          <w:lang w:val="es-ES_tradnl"/>
        </w:rPr>
        <w:t xml:space="preserve"> </w:t>
      </w:r>
      <w:r w:rsidR="00FF3F46" w:rsidRPr="0092229A">
        <w:rPr>
          <w:rFonts w:asciiTheme="majorHAnsi" w:hAnsiTheme="majorHAnsi"/>
          <w:b/>
          <w:bCs/>
          <w:sz w:val="20"/>
          <w:szCs w:val="20"/>
          <w:lang w:val="es-ES_tradnl"/>
        </w:rPr>
        <w:t>INTERNACIONAL, CARACTERIZACIÓN</w:t>
      </w:r>
      <w:r w:rsidRPr="0092229A">
        <w:rPr>
          <w:rFonts w:asciiTheme="majorHAnsi" w:hAnsiTheme="majorHAnsi"/>
          <w:b/>
          <w:bCs/>
          <w:sz w:val="20"/>
          <w:szCs w:val="20"/>
          <w:lang w:val="es-ES_tradnl"/>
        </w:rPr>
        <w:t xml:space="preserve">, </w:t>
      </w:r>
      <w:r w:rsidRPr="0092229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2229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2229A" w:rsidRDefault="00EE00E9"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92229A" w:rsidRDefault="00BD01F0" w:rsidP="008D2290">
            <w:pPr>
              <w:jc w:val="both"/>
              <w:rPr>
                <w:rFonts w:ascii="Cambria" w:hAnsi="Cambria"/>
                <w:bCs/>
                <w:sz w:val="20"/>
                <w:szCs w:val="20"/>
                <w:lang w:val="es-ES_tradnl"/>
              </w:rPr>
            </w:pPr>
            <w:r w:rsidRPr="0092229A">
              <w:rPr>
                <w:rFonts w:ascii="Cambria" w:hAnsi="Cambria"/>
                <w:bCs/>
                <w:sz w:val="20"/>
                <w:szCs w:val="20"/>
                <w:lang w:val="es-ES_tradnl"/>
              </w:rPr>
              <w:t>No</w:t>
            </w:r>
          </w:p>
        </w:tc>
      </w:tr>
      <w:tr w:rsidR="003239B8" w:rsidRPr="00914D4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54973631"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Derechos declarados admisibles</w:t>
            </w:r>
            <w:r w:rsidR="00B649C4">
              <w:rPr>
                <w:rStyle w:val="FootnoteReference"/>
                <w:rFonts w:ascii="Cambria" w:hAnsi="Cambria"/>
                <w:b/>
                <w:bCs/>
                <w:color w:val="FFFFFF" w:themeColor="background1"/>
                <w:sz w:val="20"/>
                <w:szCs w:val="20"/>
                <w:lang w:val="es-ES_tradnl"/>
              </w:rPr>
              <w:footnoteReference w:id="9"/>
            </w:r>
            <w:r w:rsidRPr="0092229A">
              <w:rPr>
                <w:rFonts w:ascii="Cambria" w:hAnsi="Cambria"/>
                <w:b/>
                <w:bCs/>
                <w:i/>
                <w:color w:val="FFFFFF" w:themeColor="background1"/>
                <w:sz w:val="20"/>
                <w:szCs w:val="20"/>
                <w:lang w:val="es-ES_tradnl"/>
              </w:rPr>
              <w:t>:</w:t>
            </w:r>
          </w:p>
        </w:tc>
        <w:tc>
          <w:tcPr>
            <w:tcW w:w="5760" w:type="dxa"/>
            <w:vAlign w:val="center"/>
          </w:tcPr>
          <w:p w14:paraId="4DAE9D4D" w14:textId="728BD40E" w:rsidR="00FF6087" w:rsidRPr="0092229A" w:rsidRDefault="00BD01F0" w:rsidP="00E53400">
            <w:pPr>
              <w:jc w:val="both"/>
              <w:rPr>
                <w:rFonts w:ascii="Cambria" w:hAnsi="Cambria"/>
                <w:bCs/>
                <w:sz w:val="20"/>
                <w:szCs w:val="20"/>
                <w:lang w:val="es-ES_tradnl"/>
              </w:rPr>
            </w:pPr>
            <w:r w:rsidRPr="0092229A">
              <w:rPr>
                <w:rFonts w:asciiTheme="majorHAnsi" w:hAnsiTheme="majorHAnsi"/>
                <w:bCs/>
                <w:sz w:val="20"/>
                <w:szCs w:val="20"/>
                <w:lang w:val="es-ES_tradnl"/>
              </w:rPr>
              <w:t>Artículos</w:t>
            </w:r>
            <w:r w:rsidR="00E53400" w:rsidRPr="0092229A">
              <w:rPr>
                <w:rFonts w:asciiTheme="majorHAnsi" w:hAnsiTheme="majorHAnsi"/>
                <w:bCs/>
                <w:sz w:val="20"/>
                <w:szCs w:val="20"/>
                <w:lang w:val="es-ES_tradnl"/>
              </w:rPr>
              <w:t xml:space="preserve"> </w:t>
            </w:r>
            <w:r w:rsidR="00F26B27">
              <w:rPr>
                <w:rFonts w:asciiTheme="majorHAnsi" w:hAnsiTheme="majorHAnsi"/>
                <w:bCs/>
                <w:sz w:val="20"/>
                <w:szCs w:val="20"/>
                <w:lang w:val="es-ES_tradnl"/>
              </w:rPr>
              <w:t>5 (</w:t>
            </w:r>
            <w:r w:rsidR="00F26B27" w:rsidRPr="00B649C4">
              <w:rPr>
                <w:rFonts w:asciiTheme="majorHAnsi" w:hAnsiTheme="majorHAnsi"/>
                <w:sz w:val="20"/>
                <w:szCs w:val="20"/>
                <w:lang w:val="es-ES"/>
              </w:rPr>
              <w:t>integridad personal</w:t>
            </w:r>
            <w:r w:rsidR="00F26B27">
              <w:rPr>
                <w:rFonts w:asciiTheme="majorHAnsi" w:hAnsiTheme="majorHAnsi"/>
                <w:bCs/>
                <w:sz w:val="20"/>
                <w:szCs w:val="20"/>
                <w:lang w:val="es-ES_tradnl"/>
              </w:rPr>
              <w:t xml:space="preserve">), </w:t>
            </w:r>
            <w:r w:rsidR="00FF6087" w:rsidRPr="0092229A">
              <w:rPr>
                <w:rFonts w:asciiTheme="majorHAnsi" w:hAnsiTheme="majorHAnsi"/>
                <w:bCs/>
                <w:sz w:val="20"/>
                <w:szCs w:val="20"/>
                <w:lang w:val="es-ES_tradnl"/>
              </w:rPr>
              <w:t>8 (garantías judiciales</w:t>
            </w:r>
            <w:r w:rsidR="008A48C8" w:rsidRPr="0092229A">
              <w:rPr>
                <w:rFonts w:asciiTheme="majorHAnsi" w:hAnsiTheme="majorHAnsi"/>
                <w:bCs/>
                <w:sz w:val="20"/>
                <w:szCs w:val="20"/>
                <w:lang w:val="es-ES_tradnl"/>
              </w:rPr>
              <w:t>)</w:t>
            </w:r>
            <w:r w:rsidR="00F26B27">
              <w:rPr>
                <w:rFonts w:asciiTheme="majorHAnsi" w:hAnsiTheme="majorHAnsi"/>
                <w:bCs/>
                <w:sz w:val="20"/>
                <w:szCs w:val="20"/>
                <w:lang w:val="es-ES_tradnl"/>
              </w:rPr>
              <w:t>, 24 (</w:t>
            </w:r>
            <w:r w:rsidR="00F26B27" w:rsidRPr="00AF115D">
              <w:rPr>
                <w:rFonts w:asciiTheme="majorHAnsi" w:hAnsiTheme="majorHAnsi"/>
                <w:bCs/>
                <w:sz w:val="20"/>
                <w:szCs w:val="20"/>
                <w:lang w:val="es-ES_tradnl"/>
              </w:rPr>
              <w:t>igualdad ante la ley</w:t>
            </w:r>
            <w:r w:rsidR="00F26B27">
              <w:rPr>
                <w:rFonts w:asciiTheme="majorHAnsi" w:hAnsiTheme="majorHAnsi"/>
                <w:bCs/>
                <w:sz w:val="20"/>
                <w:szCs w:val="20"/>
                <w:lang w:val="es-ES_tradnl"/>
              </w:rPr>
              <w:t>)</w:t>
            </w:r>
            <w:r w:rsidR="002E66A7">
              <w:rPr>
                <w:rFonts w:asciiTheme="majorHAnsi" w:hAnsiTheme="majorHAnsi"/>
                <w:bCs/>
                <w:sz w:val="20"/>
                <w:szCs w:val="20"/>
                <w:lang w:val="es-ES_tradnl"/>
              </w:rPr>
              <w:t xml:space="preserve"> y</w:t>
            </w:r>
            <w:r w:rsidR="00F15B64">
              <w:rPr>
                <w:rFonts w:asciiTheme="majorHAnsi" w:hAnsiTheme="majorHAnsi"/>
                <w:bCs/>
                <w:sz w:val="20"/>
                <w:szCs w:val="20"/>
                <w:lang w:val="es-ES_tradnl"/>
              </w:rPr>
              <w:t xml:space="preserve"> </w:t>
            </w:r>
            <w:r w:rsidR="00FF6087" w:rsidRPr="0092229A">
              <w:rPr>
                <w:rFonts w:asciiTheme="majorHAnsi" w:hAnsiTheme="majorHAnsi"/>
                <w:bCs/>
                <w:sz w:val="20"/>
                <w:szCs w:val="20"/>
                <w:lang w:val="es-ES_tradnl"/>
              </w:rPr>
              <w:t>25 (protección judicial)</w:t>
            </w:r>
            <w:r w:rsidR="00330C45">
              <w:rPr>
                <w:rFonts w:asciiTheme="majorHAnsi" w:hAnsiTheme="majorHAnsi"/>
                <w:bCs/>
                <w:sz w:val="20"/>
                <w:szCs w:val="20"/>
                <w:lang w:val="es-ES_tradnl"/>
              </w:rPr>
              <w:t xml:space="preserve"> de la Convención Americana </w:t>
            </w:r>
            <w:r w:rsidR="00E53400" w:rsidRPr="0092229A">
              <w:rPr>
                <w:rFonts w:asciiTheme="majorHAnsi" w:hAnsiTheme="majorHAnsi"/>
                <w:bCs/>
                <w:sz w:val="20"/>
                <w:szCs w:val="20"/>
                <w:lang w:val="es-ES_tradnl"/>
              </w:rPr>
              <w:t>en relación con su</w:t>
            </w:r>
            <w:r w:rsidR="00E5723C">
              <w:rPr>
                <w:rFonts w:asciiTheme="majorHAnsi" w:hAnsiTheme="majorHAnsi"/>
                <w:bCs/>
                <w:sz w:val="20"/>
                <w:szCs w:val="20"/>
                <w:lang w:val="es-ES_tradnl"/>
              </w:rPr>
              <w:t>s</w:t>
            </w:r>
            <w:r w:rsidR="00E53400" w:rsidRPr="0092229A">
              <w:rPr>
                <w:rFonts w:asciiTheme="majorHAnsi" w:hAnsiTheme="majorHAnsi"/>
                <w:bCs/>
                <w:sz w:val="20"/>
                <w:szCs w:val="20"/>
                <w:lang w:val="es-ES_tradnl"/>
              </w:rPr>
              <w:t xml:space="preserve"> artículo</w:t>
            </w:r>
            <w:r w:rsidR="00E5723C">
              <w:rPr>
                <w:rFonts w:asciiTheme="majorHAnsi" w:hAnsiTheme="majorHAnsi"/>
                <w:bCs/>
                <w:sz w:val="20"/>
                <w:szCs w:val="20"/>
                <w:lang w:val="es-ES_tradnl"/>
              </w:rPr>
              <w:t>s</w:t>
            </w:r>
            <w:r w:rsidR="00E53400" w:rsidRPr="0092229A">
              <w:rPr>
                <w:rFonts w:asciiTheme="majorHAnsi" w:hAnsiTheme="majorHAnsi"/>
                <w:bCs/>
                <w:sz w:val="20"/>
                <w:szCs w:val="20"/>
                <w:lang w:val="es-ES_tradnl"/>
              </w:rPr>
              <w:t xml:space="preserve"> 1.1 (obligación de respetar los derechos)</w:t>
            </w:r>
            <w:r w:rsidR="00F26B27">
              <w:rPr>
                <w:rFonts w:asciiTheme="majorHAnsi" w:hAnsiTheme="majorHAnsi"/>
                <w:bCs/>
                <w:sz w:val="20"/>
                <w:szCs w:val="20"/>
                <w:lang w:val="es-ES_tradnl"/>
              </w:rPr>
              <w:t xml:space="preserve"> </w:t>
            </w:r>
            <w:r w:rsidR="00F26B27" w:rsidRPr="00F26B27">
              <w:rPr>
                <w:rFonts w:asciiTheme="majorHAnsi" w:hAnsiTheme="majorHAnsi"/>
                <w:bCs/>
                <w:sz w:val="20"/>
                <w:szCs w:val="20"/>
                <w:lang w:val="es-ES_tradnl"/>
              </w:rPr>
              <w:t>y 2 (deber de adoptar disposiciones de derecho interno)</w:t>
            </w:r>
          </w:p>
        </w:tc>
      </w:tr>
      <w:tr w:rsidR="003239B8" w:rsidRPr="00914D4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Agotamiento de recursos internos</w:t>
            </w:r>
            <w:r w:rsidR="00EE00E9" w:rsidRPr="0092229A">
              <w:rPr>
                <w:rFonts w:ascii="Cambria" w:hAnsi="Cambria"/>
                <w:b/>
                <w:bCs/>
                <w:color w:val="FFFFFF" w:themeColor="background1"/>
                <w:sz w:val="20"/>
                <w:szCs w:val="20"/>
                <w:lang w:val="es-ES_tradnl"/>
              </w:rPr>
              <w:t xml:space="preserve"> o procedencia de una excepción</w:t>
            </w:r>
            <w:r w:rsidRPr="0092229A">
              <w:rPr>
                <w:rFonts w:ascii="Cambria" w:hAnsi="Cambria"/>
                <w:b/>
                <w:bCs/>
                <w:color w:val="FFFFFF" w:themeColor="background1"/>
                <w:sz w:val="20"/>
                <w:szCs w:val="20"/>
                <w:lang w:val="es-ES_tradnl"/>
              </w:rPr>
              <w:t>:</w:t>
            </w:r>
          </w:p>
        </w:tc>
        <w:tc>
          <w:tcPr>
            <w:tcW w:w="5760" w:type="dxa"/>
            <w:vAlign w:val="center"/>
          </w:tcPr>
          <w:p w14:paraId="2C760D66" w14:textId="78AAFE7F" w:rsidR="00620C6F" w:rsidRPr="00620C6F" w:rsidRDefault="00620C6F" w:rsidP="00620C6F">
            <w:pPr>
              <w:rPr>
                <w:rFonts w:asciiTheme="majorHAnsi" w:hAnsiTheme="majorHAnsi"/>
                <w:bCs/>
                <w:sz w:val="20"/>
                <w:szCs w:val="20"/>
                <w:lang w:val="es-ES_tradnl"/>
              </w:rPr>
            </w:pPr>
            <w:r w:rsidRPr="00620C6F">
              <w:rPr>
                <w:rFonts w:asciiTheme="majorHAnsi" w:hAnsiTheme="majorHAnsi"/>
                <w:bCs/>
                <w:sz w:val="20"/>
                <w:szCs w:val="20"/>
                <w:lang w:val="es-ES_tradnl"/>
              </w:rPr>
              <w:t>Sí, aplica la excepción del Artículo 46.2.</w:t>
            </w:r>
            <w:r w:rsidR="00A32A2D">
              <w:rPr>
                <w:rFonts w:asciiTheme="majorHAnsi" w:hAnsiTheme="majorHAnsi"/>
                <w:bCs/>
                <w:sz w:val="20"/>
                <w:szCs w:val="20"/>
                <w:lang w:val="es-ES_tradnl"/>
              </w:rPr>
              <w:t>a</w:t>
            </w:r>
            <w:r w:rsidRPr="00620C6F">
              <w:rPr>
                <w:rFonts w:asciiTheme="majorHAnsi" w:hAnsiTheme="majorHAnsi"/>
                <w:bCs/>
                <w:sz w:val="20"/>
                <w:szCs w:val="20"/>
                <w:lang w:val="es-ES_tradnl"/>
              </w:rPr>
              <w:t>) de la Convención</w:t>
            </w:r>
          </w:p>
          <w:p w14:paraId="7F7C1A19" w14:textId="47ECDD04" w:rsidR="003239B8" w:rsidRPr="0092229A" w:rsidRDefault="00620C6F" w:rsidP="00620C6F">
            <w:pPr>
              <w:rPr>
                <w:rFonts w:ascii="Cambria" w:hAnsi="Cambria"/>
                <w:bCs/>
                <w:sz w:val="20"/>
                <w:szCs w:val="20"/>
                <w:lang w:val="es-ES_tradnl"/>
              </w:rPr>
            </w:pPr>
            <w:r w:rsidRPr="00620C6F">
              <w:rPr>
                <w:rFonts w:asciiTheme="majorHAnsi" w:hAnsiTheme="majorHAnsi"/>
                <w:bCs/>
                <w:sz w:val="20"/>
                <w:szCs w:val="20"/>
                <w:lang w:val="es-ES_tradnl"/>
              </w:rPr>
              <w:t>Americana, en los términos de la Sección VI</w:t>
            </w:r>
          </w:p>
        </w:tc>
      </w:tr>
      <w:tr w:rsidR="003239B8" w:rsidRPr="00914D4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92229A" w:rsidRDefault="00BD01F0" w:rsidP="008D2290">
            <w:pPr>
              <w:rPr>
                <w:rFonts w:ascii="Cambria" w:hAnsi="Cambria"/>
                <w:bCs/>
                <w:sz w:val="20"/>
                <w:szCs w:val="20"/>
                <w:lang w:val="es-ES_tradnl"/>
              </w:rPr>
            </w:pPr>
            <w:r w:rsidRPr="0092229A">
              <w:rPr>
                <w:rFonts w:asciiTheme="majorHAnsi" w:hAnsiTheme="majorHAnsi"/>
                <w:bCs/>
                <w:sz w:val="20"/>
                <w:szCs w:val="20"/>
                <w:lang w:val="es-ES_tradnl"/>
              </w:rPr>
              <w:t>Sí, en los términos de la Sección VI</w:t>
            </w:r>
          </w:p>
        </w:tc>
      </w:tr>
    </w:tbl>
    <w:p w14:paraId="56FD5D57" w14:textId="252B1FD5" w:rsidR="003239B8" w:rsidRPr="00592159" w:rsidRDefault="00223A29" w:rsidP="007D4AD6">
      <w:pPr>
        <w:spacing w:before="240" w:after="240"/>
        <w:ind w:firstLine="720"/>
        <w:jc w:val="both"/>
        <w:rPr>
          <w:rFonts w:asciiTheme="majorHAnsi" w:hAnsiTheme="majorHAnsi"/>
          <w:b/>
          <w:sz w:val="20"/>
          <w:szCs w:val="20"/>
          <w:lang w:val="es-ES_tradnl"/>
        </w:rPr>
      </w:pPr>
      <w:r w:rsidRPr="007D4AD6">
        <w:rPr>
          <w:rFonts w:asciiTheme="majorHAnsi" w:hAnsiTheme="majorHAnsi"/>
          <w:b/>
          <w:sz w:val="20"/>
          <w:szCs w:val="20"/>
          <w:lang w:val="es-ES_tradnl"/>
        </w:rPr>
        <w:t xml:space="preserve">V. </w:t>
      </w:r>
      <w:r w:rsidRPr="007D4AD6">
        <w:rPr>
          <w:rFonts w:asciiTheme="majorHAnsi" w:hAnsiTheme="majorHAnsi"/>
          <w:b/>
          <w:sz w:val="20"/>
          <w:szCs w:val="20"/>
          <w:lang w:val="es-ES_tradnl"/>
        </w:rPr>
        <w:tab/>
      </w:r>
      <w:r w:rsidR="004241A0" w:rsidRPr="00592159">
        <w:rPr>
          <w:rFonts w:asciiTheme="majorHAnsi" w:hAnsiTheme="majorHAnsi"/>
          <w:b/>
          <w:sz w:val="20"/>
          <w:szCs w:val="20"/>
          <w:lang w:val="es-ES_tradnl"/>
        </w:rPr>
        <w:t>POSICIÓN DE LAS PARTES</w:t>
      </w:r>
      <w:r w:rsidR="003239B8" w:rsidRPr="00592159">
        <w:rPr>
          <w:rFonts w:asciiTheme="majorHAnsi" w:hAnsiTheme="majorHAnsi"/>
          <w:b/>
          <w:sz w:val="20"/>
          <w:szCs w:val="20"/>
          <w:lang w:val="es-ES_tradnl"/>
        </w:rPr>
        <w:t xml:space="preserve"> </w:t>
      </w:r>
    </w:p>
    <w:p w14:paraId="511C7D81" w14:textId="1ABEA4EB" w:rsidR="00FB3F23" w:rsidRPr="00592159" w:rsidRDefault="00FB3F23" w:rsidP="007D4AD6">
      <w:pPr>
        <w:pStyle w:val="ListParagraph"/>
        <w:spacing w:before="240" w:after="240"/>
        <w:ind w:left="709"/>
        <w:jc w:val="both"/>
        <w:rPr>
          <w:rFonts w:asciiTheme="majorHAnsi" w:hAnsiTheme="majorHAnsi"/>
          <w:bCs/>
          <w:sz w:val="20"/>
          <w:szCs w:val="20"/>
          <w:lang w:val="es-ES_tradnl"/>
        </w:rPr>
      </w:pPr>
      <w:r w:rsidRPr="00592159">
        <w:rPr>
          <w:rFonts w:asciiTheme="majorHAnsi" w:hAnsiTheme="majorHAnsi"/>
          <w:bCs/>
          <w:i/>
          <w:iCs/>
          <w:sz w:val="20"/>
          <w:szCs w:val="20"/>
          <w:lang w:val="es-ES_tradnl"/>
        </w:rPr>
        <w:t xml:space="preserve">Argumentos de los peticionarios </w:t>
      </w:r>
    </w:p>
    <w:p w14:paraId="0A6077D1" w14:textId="75EDEBF9" w:rsidR="001A01C1" w:rsidRPr="00D21AF3" w:rsidRDefault="00620C6F"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Los peticionarios alegan la responsabilidad internacional de Guatemala por la </w:t>
      </w:r>
      <w:r w:rsidR="000D610F" w:rsidRPr="00D21AF3">
        <w:rPr>
          <w:rFonts w:asciiTheme="majorHAnsi" w:hAnsiTheme="majorHAnsi"/>
          <w:bCs/>
          <w:sz w:val="20"/>
          <w:szCs w:val="20"/>
          <w:lang w:val="es-ES_tradnl"/>
        </w:rPr>
        <w:t>falta de acceso a una reparación integral</w:t>
      </w:r>
      <w:r w:rsidR="00BB3E60" w:rsidRPr="00D21AF3">
        <w:rPr>
          <w:rFonts w:asciiTheme="majorHAnsi" w:hAnsiTheme="majorHAnsi"/>
          <w:bCs/>
          <w:sz w:val="20"/>
          <w:szCs w:val="20"/>
          <w:lang w:val="es-ES_tradnl"/>
        </w:rPr>
        <w:t xml:space="preserve"> y colectiva</w:t>
      </w:r>
      <w:r w:rsidR="000D610F" w:rsidRPr="00D21AF3">
        <w:rPr>
          <w:rFonts w:asciiTheme="majorHAnsi" w:hAnsiTheme="majorHAnsi"/>
          <w:bCs/>
          <w:sz w:val="20"/>
          <w:szCs w:val="20"/>
          <w:lang w:val="es-ES_tradnl"/>
        </w:rPr>
        <w:t xml:space="preserve"> a través del </w:t>
      </w:r>
      <w:r w:rsidR="000D610F" w:rsidRPr="00D21AF3">
        <w:rPr>
          <w:rFonts w:asciiTheme="majorHAnsi" w:hAnsiTheme="majorHAnsi"/>
          <w:sz w:val="20"/>
          <w:szCs w:val="20"/>
          <w:lang w:val="es-ES_tradnl"/>
        </w:rPr>
        <w:t xml:space="preserve">Programa Nacional de Resarcimiento (en adelante “PNR”), </w:t>
      </w:r>
      <w:r w:rsidR="001E525C" w:rsidRPr="00D21AF3">
        <w:rPr>
          <w:rFonts w:asciiTheme="majorHAnsi" w:hAnsiTheme="majorHAnsi"/>
          <w:sz w:val="20"/>
          <w:szCs w:val="20"/>
          <w:lang w:val="es-ES_tradnl"/>
        </w:rPr>
        <w:t xml:space="preserve">por las graves violaciones ocurridas en el marco del conflicto armado interno en perjuicio de </w:t>
      </w:r>
      <w:r w:rsidR="001C1B15" w:rsidRPr="00D21AF3">
        <w:rPr>
          <w:rFonts w:asciiTheme="majorHAnsi" w:hAnsiTheme="majorHAnsi"/>
          <w:sz w:val="20"/>
          <w:szCs w:val="20"/>
          <w:lang w:val="es-ES_tradnl"/>
        </w:rPr>
        <w:t>vecinos de la</w:t>
      </w:r>
      <w:r w:rsidR="001E525C" w:rsidRPr="00D21AF3">
        <w:rPr>
          <w:rFonts w:asciiTheme="majorHAnsi" w:hAnsiTheme="majorHAnsi"/>
          <w:sz w:val="20"/>
          <w:szCs w:val="20"/>
          <w:lang w:val="es-ES_tradnl"/>
        </w:rPr>
        <w:t xml:space="preserve"> comunidad </w:t>
      </w:r>
      <w:r w:rsidR="001E525C" w:rsidRPr="00D21AF3">
        <w:rPr>
          <w:rFonts w:asciiTheme="majorHAnsi" w:hAnsiTheme="majorHAnsi"/>
          <w:i/>
          <w:iCs/>
          <w:sz w:val="20"/>
          <w:szCs w:val="20"/>
          <w:lang w:val="es-ES_tradnl"/>
        </w:rPr>
        <w:t>El Triunfo</w:t>
      </w:r>
      <w:r w:rsidR="001E525C" w:rsidRPr="00D21AF3">
        <w:rPr>
          <w:rFonts w:asciiTheme="majorHAnsi" w:hAnsiTheme="majorHAnsi"/>
          <w:sz w:val="20"/>
          <w:szCs w:val="20"/>
          <w:lang w:val="es-ES_tradnl"/>
        </w:rPr>
        <w:t>, que incluyeron masacres, persecución, amenazas,</w:t>
      </w:r>
      <w:r w:rsidR="00B62B90" w:rsidRPr="00D21AF3">
        <w:rPr>
          <w:rFonts w:asciiTheme="majorHAnsi" w:hAnsiTheme="majorHAnsi"/>
          <w:sz w:val="20"/>
          <w:szCs w:val="20"/>
          <w:lang w:val="es-ES_tradnl"/>
        </w:rPr>
        <w:t xml:space="preserve"> tortura,</w:t>
      </w:r>
      <w:r w:rsidR="001E525C" w:rsidRPr="00D21AF3">
        <w:rPr>
          <w:rFonts w:asciiTheme="majorHAnsi" w:hAnsiTheme="majorHAnsi"/>
          <w:sz w:val="20"/>
          <w:szCs w:val="20"/>
          <w:lang w:val="es-ES_tradnl"/>
        </w:rPr>
        <w:t xml:space="preserve"> reclutamiento forzoso y desplazamiento interno</w:t>
      </w:r>
      <w:r w:rsidR="00706825" w:rsidRPr="00D21AF3">
        <w:rPr>
          <w:rFonts w:asciiTheme="majorHAnsi" w:hAnsiTheme="majorHAnsi"/>
          <w:sz w:val="20"/>
          <w:szCs w:val="20"/>
          <w:lang w:val="es-ES_tradnl"/>
        </w:rPr>
        <w:t xml:space="preserve">; </w:t>
      </w:r>
      <w:r w:rsidR="007C7029" w:rsidRPr="00D21AF3">
        <w:rPr>
          <w:rFonts w:asciiTheme="majorHAnsi" w:hAnsiTheme="majorHAnsi"/>
          <w:sz w:val="20"/>
          <w:szCs w:val="20"/>
          <w:lang w:val="es-ES_tradnl"/>
        </w:rPr>
        <w:t xml:space="preserve">hechos presuntamente </w:t>
      </w:r>
      <w:r w:rsidR="00706825" w:rsidRPr="00D21AF3">
        <w:rPr>
          <w:rFonts w:asciiTheme="majorHAnsi" w:hAnsiTheme="majorHAnsi"/>
          <w:sz w:val="20"/>
          <w:szCs w:val="20"/>
          <w:lang w:val="es-ES_tradnl"/>
        </w:rPr>
        <w:t>perpetrados</w:t>
      </w:r>
      <w:r w:rsidR="001E525C" w:rsidRPr="00D21AF3">
        <w:rPr>
          <w:rFonts w:asciiTheme="majorHAnsi" w:hAnsiTheme="majorHAnsi"/>
          <w:sz w:val="20"/>
          <w:szCs w:val="20"/>
          <w:lang w:val="es-ES_tradnl"/>
        </w:rPr>
        <w:t xml:space="preserve"> por el Ejército de Guatemala. </w:t>
      </w:r>
    </w:p>
    <w:p w14:paraId="64331527" w14:textId="28B7ED7D" w:rsidR="00A76756" w:rsidRPr="00D21AF3" w:rsidRDefault="004F0B13" w:rsidP="004F0B13">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La parte peticionaria</w:t>
      </w:r>
      <w:r w:rsidR="001A01C1" w:rsidRPr="00D21AF3">
        <w:rPr>
          <w:rFonts w:asciiTheme="majorHAnsi" w:hAnsiTheme="majorHAnsi"/>
          <w:bCs/>
          <w:sz w:val="20"/>
          <w:szCs w:val="20"/>
          <w:lang w:val="es-ES_tradnl"/>
        </w:rPr>
        <w:t xml:space="preserve"> </w:t>
      </w:r>
      <w:r w:rsidR="00B25CD0" w:rsidRPr="00D21AF3">
        <w:rPr>
          <w:rFonts w:asciiTheme="majorHAnsi" w:hAnsiTheme="majorHAnsi"/>
          <w:bCs/>
          <w:sz w:val="20"/>
          <w:szCs w:val="20"/>
          <w:lang w:val="es-ES_tradnl"/>
        </w:rPr>
        <w:t>i</w:t>
      </w:r>
      <w:r w:rsidR="001A01C1" w:rsidRPr="00D21AF3">
        <w:rPr>
          <w:rFonts w:asciiTheme="majorHAnsi" w:hAnsiTheme="majorHAnsi"/>
          <w:bCs/>
          <w:sz w:val="20"/>
          <w:szCs w:val="20"/>
          <w:lang w:val="es-ES_tradnl"/>
        </w:rPr>
        <w:t xml:space="preserve">ndica que la comunidad </w:t>
      </w:r>
      <w:r w:rsidRPr="00D21AF3">
        <w:rPr>
          <w:rFonts w:asciiTheme="majorHAnsi" w:hAnsiTheme="majorHAnsi"/>
          <w:i/>
          <w:iCs/>
          <w:sz w:val="20"/>
          <w:szCs w:val="20"/>
          <w:lang w:val="es-ES_tradnl"/>
        </w:rPr>
        <w:t>El Triunfo</w:t>
      </w:r>
      <w:r w:rsidRPr="00D21AF3">
        <w:rPr>
          <w:rFonts w:asciiTheme="majorHAnsi" w:hAnsiTheme="majorHAnsi"/>
          <w:sz w:val="20"/>
          <w:szCs w:val="20"/>
          <w:lang w:val="es-ES_tradnl"/>
        </w:rPr>
        <w:t xml:space="preserve"> </w:t>
      </w:r>
      <w:r w:rsidR="001A01C1" w:rsidRPr="00D21AF3">
        <w:rPr>
          <w:rFonts w:asciiTheme="majorHAnsi" w:hAnsiTheme="majorHAnsi"/>
          <w:bCs/>
          <w:sz w:val="20"/>
          <w:szCs w:val="20"/>
          <w:lang w:val="es-ES_tradnl"/>
        </w:rPr>
        <w:t xml:space="preserve">está compuesta </w:t>
      </w:r>
      <w:r w:rsidR="00B25CD0" w:rsidRPr="00D21AF3">
        <w:rPr>
          <w:rFonts w:asciiTheme="majorHAnsi" w:hAnsiTheme="majorHAnsi"/>
          <w:bCs/>
          <w:sz w:val="20"/>
          <w:szCs w:val="20"/>
          <w:lang w:val="es-ES_tradnl"/>
        </w:rPr>
        <w:t>por</w:t>
      </w:r>
      <w:r w:rsidR="001A01C1" w:rsidRPr="00D21AF3">
        <w:rPr>
          <w:rFonts w:asciiTheme="majorHAnsi" w:hAnsiTheme="majorHAnsi"/>
          <w:bCs/>
          <w:sz w:val="20"/>
          <w:szCs w:val="20"/>
          <w:lang w:val="es-ES_tradnl"/>
        </w:rPr>
        <w:t xml:space="preserve"> familias ixiles, k’ichés, q’anjob’ales y mestizas campesinas, que vivían en diferentes municipios durante el conflicto armado</w:t>
      </w:r>
      <w:r w:rsidR="001A01C1" w:rsidRPr="00D21AF3">
        <w:rPr>
          <w:rFonts w:asciiTheme="majorHAnsi" w:hAnsiTheme="majorHAnsi"/>
          <w:sz w:val="20"/>
          <w:szCs w:val="20"/>
          <w:vertAlign w:val="superscript"/>
          <w:lang w:val="es-ES_tradnl"/>
        </w:rPr>
        <w:footnoteReference w:id="10"/>
      </w:r>
      <w:r w:rsidR="001A01C1"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w:t>
      </w:r>
      <w:r w:rsidR="001A01C1" w:rsidRPr="00D21AF3">
        <w:rPr>
          <w:rFonts w:asciiTheme="majorHAnsi" w:hAnsiTheme="majorHAnsi"/>
          <w:bCs/>
          <w:sz w:val="20"/>
          <w:szCs w:val="20"/>
          <w:lang w:val="es-ES_tradnl"/>
        </w:rPr>
        <w:t>Relata</w:t>
      </w:r>
      <w:r w:rsidRPr="00D21AF3">
        <w:rPr>
          <w:rFonts w:asciiTheme="majorHAnsi" w:hAnsiTheme="majorHAnsi"/>
          <w:bCs/>
          <w:sz w:val="20"/>
          <w:szCs w:val="20"/>
          <w:lang w:val="es-ES_tradnl"/>
        </w:rPr>
        <w:t>n</w:t>
      </w:r>
      <w:r w:rsidR="001A01C1" w:rsidRPr="00D21AF3">
        <w:rPr>
          <w:rFonts w:asciiTheme="majorHAnsi" w:hAnsiTheme="majorHAnsi"/>
          <w:bCs/>
          <w:sz w:val="20"/>
          <w:szCs w:val="20"/>
          <w:lang w:val="es-ES_tradnl"/>
        </w:rPr>
        <w:t xml:space="preserve"> que sus aldeas fueron atacadas por militares</w:t>
      </w:r>
      <w:r w:rsidR="009C64FD" w:rsidRPr="00D21AF3">
        <w:rPr>
          <w:rFonts w:asciiTheme="majorHAnsi" w:hAnsiTheme="majorHAnsi"/>
          <w:bCs/>
          <w:sz w:val="20"/>
          <w:szCs w:val="20"/>
          <w:lang w:val="es-ES_tradnl"/>
        </w:rPr>
        <w:t xml:space="preserve"> que quemaron</w:t>
      </w:r>
      <w:r w:rsidR="001A01C1" w:rsidRPr="00D21AF3">
        <w:rPr>
          <w:rFonts w:asciiTheme="majorHAnsi" w:hAnsiTheme="majorHAnsi"/>
          <w:bCs/>
          <w:sz w:val="20"/>
          <w:szCs w:val="20"/>
          <w:lang w:val="es-ES_tradnl"/>
        </w:rPr>
        <w:t xml:space="preserve"> sus casas y destruye</w:t>
      </w:r>
      <w:r w:rsidR="00A260A2" w:rsidRPr="00D21AF3">
        <w:rPr>
          <w:rFonts w:asciiTheme="majorHAnsi" w:hAnsiTheme="majorHAnsi"/>
          <w:bCs/>
          <w:sz w:val="20"/>
          <w:szCs w:val="20"/>
          <w:lang w:val="es-ES_tradnl"/>
        </w:rPr>
        <w:t>ron</w:t>
      </w:r>
      <w:r w:rsidR="001A01C1" w:rsidRPr="00D21AF3">
        <w:rPr>
          <w:rFonts w:asciiTheme="majorHAnsi" w:hAnsiTheme="majorHAnsi"/>
          <w:bCs/>
          <w:sz w:val="20"/>
          <w:szCs w:val="20"/>
          <w:lang w:val="es-ES_tradnl"/>
        </w:rPr>
        <w:t xml:space="preserve"> sus cultivos. En 1983 la situación </w:t>
      </w:r>
      <w:r w:rsidR="00B62B90" w:rsidRPr="00D21AF3">
        <w:rPr>
          <w:rFonts w:asciiTheme="majorHAnsi" w:hAnsiTheme="majorHAnsi"/>
          <w:bCs/>
          <w:sz w:val="20"/>
          <w:szCs w:val="20"/>
          <w:lang w:val="es-ES_tradnl"/>
        </w:rPr>
        <w:t>se volvió</w:t>
      </w:r>
      <w:r w:rsidR="001A01C1" w:rsidRPr="00D21AF3">
        <w:rPr>
          <w:rFonts w:asciiTheme="majorHAnsi" w:hAnsiTheme="majorHAnsi"/>
          <w:bCs/>
          <w:sz w:val="20"/>
          <w:szCs w:val="20"/>
          <w:lang w:val="es-ES_tradnl"/>
        </w:rPr>
        <w:t xml:space="preserve"> insostenible</w:t>
      </w:r>
      <w:r w:rsidR="00B62B90" w:rsidRPr="00D21AF3">
        <w:rPr>
          <w:rFonts w:asciiTheme="majorHAnsi" w:hAnsiTheme="majorHAnsi"/>
          <w:bCs/>
          <w:sz w:val="20"/>
          <w:szCs w:val="20"/>
          <w:lang w:val="es-ES_tradnl"/>
        </w:rPr>
        <w:t>,</w:t>
      </w:r>
      <w:r w:rsidR="001A01C1" w:rsidRPr="00D21AF3">
        <w:rPr>
          <w:rFonts w:asciiTheme="majorHAnsi" w:hAnsiTheme="majorHAnsi"/>
          <w:bCs/>
          <w:sz w:val="20"/>
          <w:szCs w:val="20"/>
          <w:lang w:val="es-ES_tradnl"/>
        </w:rPr>
        <w:t xml:space="preserve"> por lo que </w:t>
      </w:r>
      <w:r w:rsidR="00B62B90" w:rsidRPr="00D21AF3">
        <w:rPr>
          <w:rFonts w:asciiTheme="majorHAnsi" w:hAnsiTheme="majorHAnsi"/>
          <w:bCs/>
          <w:sz w:val="20"/>
          <w:szCs w:val="20"/>
          <w:lang w:val="es-ES_tradnl"/>
        </w:rPr>
        <w:t>buscaron</w:t>
      </w:r>
      <w:r w:rsidR="001A01C1" w:rsidRPr="00D21AF3">
        <w:rPr>
          <w:rFonts w:asciiTheme="majorHAnsi" w:hAnsiTheme="majorHAnsi"/>
          <w:bCs/>
          <w:sz w:val="20"/>
          <w:szCs w:val="20"/>
          <w:lang w:val="es-ES_tradnl"/>
        </w:rPr>
        <w:t xml:space="preserve"> refugio en las montañas, </w:t>
      </w:r>
      <w:r w:rsidR="00B62B90" w:rsidRPr="00D21AF3">
        <w:rPr>
          <w:rFonts w:asciiTheme="majorHAnsi" w:hAnsiTheme="majorHAnsi"/>
          <w:bCs/>
          <w:sz w:val="20"/>
          <w:szCs w:val="20"/>
          <w:lang w:val="es-ES_tradnl"/>
        </w:rPr>
        <w:t>desplazándose continuamente</w:t>
      </w:r>
      <w:r w:rsidR="00A76756" w:rsidRPr="00D21AF3">
        <w:rPr>
          <w:rFonts w:asciiTheme="majorHAnsi" w:hAnsiTheme="majorHAnsi"/>
          <w:bCs/>
          <w:sz w:val="20"/>
          <w:szCs w:val="20"/>
          <w:lang w:val="es-ES_tradnl"/>
        </w:rPr>
        <w:t xml:space="preserve"> dentro </w:t>
      </w:r>
      <w:r w:rsidR="001A01C1" w:rsidRPr="00D21AF3">
        <w:rPr>
          <w:rFonts w:asciiTheme="majorHAnsi" w:hAnsiTheme="majorHAnsi"/>
          <w:bCs/>
          <w:sz w:val="20"/>
          <w:szCs w:val="20"/>
          <w:lang w:val="es-ES_tradnl"/>
        </w:rPr>
        <w:t>de la región Ixil. Sin embargo, en noviembre de 1987 el Ejército</w:t>
      </w:r>
      <w:r w:rsidR="00B62B90" w:rsidRPr="00D21AF3">
        <w:rPr>
          <w:rFonts w:asciiTheme="majorHAnsi" w:hAnsiTheme="majorHAnsi"/>
          <w:bCs/>
          <w:sz w:val="20"/>
          <w:szCs w:val="20"/>
          <w:lang w:val="es-ES_tradnl"/>
        </w:rPr>
        <w:t xml:space="preserve"> guatemalteco</w:t>
      </w:r>
      <w:r w:rsidR="001A01C1" w:rsidRPr="00D21AF3">
        <w:rPr>
          <w:rFonts w:asciiTheme="majorHAnsi" w:hAnsiTheme="majorHAnsi"/>
          <w:bCs/>
          <w:sz w:val="20"/>
          <w:szCs w:val="20"/>
          <w:lang w:val="es-ES_tradnl"/>
        </w:rPr>
        <w:t xml:space="preserve"> –aproximadamente cinco mil soldados– implementó la llamada </w:t>
      </w:r>
      <w:r w:rsidR="001A01C1" w:rsidRPr="00D21AF3">
        <w:rPr>
          <w:rFonts w:asciiTheme="majorHAnsi" w:hAnsiTheme="majorHAnsi"/>
          <w:bCs/>
          <w:i/>
          <w:iCs/>
          <w:sz w:val="20"/>
          <w:szCs w:val="20"/>
          <w:lang w:val="es-ES_tradnl"/>
        </w:rPr>
        <w:t>“Ofensiva fin de año”</w:t>
      </w:r>
      <w:r w:rsidR="00A76756" w:rsidRPr="00D21AF3">
        <w:rPr>
          <w:rFonts w:asciiTheme="majorHAnsi" w:hAnsiTheme="majorHAnsi"/>
          <w:bCs/>
          <w:i/>
          <w:iCs/>
          <w:sz w:val="20"/>
          <w:szCs w:val="20"/>
          <w:lang w:val="es-ES_tradnl"/>
        </w:rPr>
        <w:t>,</w:t>
      </w:r>
      <w:r w:rsidR="001A01C1" w:rsidRPr="00D21AF3">
        <w:rPr>
          <w:rFonts w:asciiTheme="majorHAnsi" w:hAnsiTheme="majorHAnsi"/>
          <w:bCs/>
          <w:sz w:val="20"/>
          <w:szCs w:val="20"/>
          <w:lang w:val="es-ES_tradnl"/>
        </w:rPr>
        <w:t xml:space="preserve"> </w:t>
      </w:r>
      <w:r w:rsidR="00B62B90" w:rsidRPr="00D21AF3">
        <w:rPr>
          <w:rFonts w:asciiTheme="majorHAnsi" w:hAnsiTheme="majorHAnsi"/>
          <w:bCs/>
          <w:sz w:val="20"/>
          <w:szCs w:val="20"/>
          <w:lang w:val="es-ES_tradnl"/>
        </w:rPr>
        <w:t xml:space="preserve">en complicidad </w:t>
      </w:r>
      <w:r w:rsidR="007743B6" w:rsidRPr="00D21AF3">
        <w:rPr>
          <w:rFonts w:asciiTheme="majorHAnsi" w:hAnsiTheme="majorHAnsi"/>
          <w:bCs/>
          <w:sz w:val="20"/>
          <w:szCs w:val="20"/>
          <w:lang w:val="es-ES_tradnl"/>
        </w:rPr>
        <w:t>con</w:t>
      </w:r>
      <w:r w:rsidR="001A01C1" w:rsidRPr="00D21AF3">
        <w:rPr>
          <w:rFonts w:asciiTheme="majorHAnsi" w:hAnsiTheme="majorHAnsi"/>
          <w:bCs/>
          <w:sz w:val="20"/>
          <w:szCs w:val="20"/>
          <w:lang w:val="es-ES_tradnl"/>
        </w:rPr>
        <w:t xml:space="preserve"> patrulleros de </w:t>
      </w:r>
      <w:r w:rsidR="007743B6" w:rsidRPr="00D21AF3">
        <w:rPr>
          <w:rFonts w:asciiTheme="majorHAnsi" w:hAnsiTheme="majorHAnsi"/>
          <w:bCs/>
          <w:sz w:val="20"/>
          <w:szCs w:val="20"/>
          <w:lang w:val="es-ES_tradnl"/>
        </w:rPr>
        <w:t xml:space="preserve">la </w:t>
      </w:r>
      <w:r w:rsidR="001A01C1" w:rsidRPr="00D21AF3">
        <w:rPr>
          <w:rFonts w:asciiTheme="majorHAnsi" w:hAnsiTheme="majorHAnsi"/>
          <w:bCs/>
          <w:sz w:val="20"/>
          <w:szCs w:val="20"/>
          <w:lang w:val="es-ES_tradnl"/>
        </w:rPr>
        <w:t>autodefensa civil –alrededor de dos mil–, llegando al lugar en donde estaban asentados en ese momento</w:t>
      </w:r>
      <w:r w:rsidR="00B62B90" w:rsidRPr="00D21AF3">
        <w:rPr>
          <w:rFonts w:asciiTheme="majorHAnsi" w:hAnsiTheme="majorHAnsi"/>
          <w:bCs/>
          <w:sz w:val="20"/>
          <w:szCs w:val="20"/>
          <w:lang w:val="es-ES_tradnl"/>
        </w:rPr>
        <w:t xml:space="preserve"> y</w:t>
      </w:r>
      <w:r w:rsidR="00F30D33" w:rsidRPr="00D21AF3">
        <w:rPr>
          <w:rFonts w:asciiTheme="majorHAnsi" w:hAnsiTheme="majorHAnsi"/>
          <w:bCs/>
          <w:sz w:val="20"/>
          <w:szCs w:val="20"/>
          <w:lang w:val="es-ES_tradnl"/>
        </w:rPr>
        <w:t xml:space="preserve"> sus</w:t>
      </w:r>
      <w:r w:rsidR="00B62B90" w:rsidRPr="00D21AF3">
        <w:rPr>
          <w:rFonts w:asciiTheme="majorHAnsi" w:hAnsiTheme="majorHAnsi"/>
          <w:bCs/>
          <w:sz w:val="20"/>
          <w:szCs w:val="20"/>
          <w:lang w:val="es-ES_tradnl"/>
        </w:rPr>
        <w:t xml:space="preserve"> alrededores</w:t>
      </w:r>
      <w:r w:rsidR="001A01C1" w:rsidRPr="00D21AF3">
        <w:rPr>
          <w:rFonts w:asciiTheme="majorHAnsi" w:hAnsiTheme="majorHAnsi"/>
          <w:bCs/>
          <w:sz w:val="20"/>
          <w:szCs w:val="20"/>
          <w:lang w:val="es-ES_tradnl"/>
        </w:rPr>
        <w:t xml:space="preserve">; </w:t>
      </w:r>
      <w:r w:rsidR="00F30D33" w:rsidRPr="00D21AF3">
        <w:rPr>
          <w:rFonts w:asciiTheme="majorHAnsi" w:hAnsiTheme="majorHAnsi"/>
          <w:bCs/>
          <w:sz w:val="20"/>
          <w:szCs w:val="20"/>
          <w:lang w:val="es-ES_tradnl"/>
        </w:rPr>
        <w:t>y nuevamente</w:t>
      </w:r>
      <w:r w:rsidR="001A01C1" w:rsidRPr="00D21AF3">
        <w:rPr>
          <w:rFonts w:asciiTheme="majorHAnsi" w:hAnsiTheme="majorHAnsi"/>
          <w:bCs/>
          <w:sz w:val="20"/>
          <w:szCs w:val="20"/>
          <w:lang w:val="es-ES_tradnl"/>
        </w:rPr>
        <w:t xml:space="preserve"> quemaron </w:t>
      </w:r>
      <w:r w:rsidR="00F30D33" w:rsidRPr="00D21AF3">
        <w:rPr>
          <w:rFonts w:asciiTheme="majorHAnsi" w:hAnsiTheme="majorHAnsi"/>
          <w:bCs/>
          <w:sz w:val="20"/>
          <w:szCs w:val="20"/>
          <w:lang w:val="es-ES_tradnl"/>
        </w:rPr>
        <w:t xml:space="preserve">sus </w:t>
      </w:r>
      <w:r w:rsidR="001A01C1" w:rsidRPr="00D21AF3">
        <w:rPr>
          <w:rFonts w:asciiTheme="majorHAnsi" w:hAnsiTheme="majorHAnsi"/>
          <w:bCs/>
          <w:sz w:val="20"/>
          <w:szCs w:val="20"/>
          <w:lang w:val="es-ES_tradnl"/>
        </w:rPr>
        <w:t xml:space="preserve">viviendas, destruyeron </w:t>
      </w:r>
      <w:r w:rsidR="00F30D33" w:rsidRPr="00D21AF3">
        <w:rPr>
          <w:rFonts w:asciiTheme="majorHAnsi" w:hAnsiTheme="majorHAnsi"/>
          <w:bCs/>
          <w:sz w:val="20"/>
          <w:szCs w:val="20"/>
          <w:lang w:val="es-ES_tradnl"/>
        </w:rPr>
        <w:t xml:space="preserve">los </w:t>
      </w:r>
      <w:r w:rsidR="001A01C1" w:rsidRPr="00D21AF3">
        <w:rPr>
          <w:rFonts w:asciiTheme="majorHAnsi" w:hAnsiTheme="majorHAnsi"/>
          <w:bCs/>
          <w:sz w:val="20"/>
          <w:szCs w:val="20"/>
          <w:lang w:val="es-ES_tradnl"/>
        </w:rPr>
        <w:t>cultivos, mataron a animales y captura</w:t>
      </w:r>
      <w:r w:rsidR="00B62B90" w:rsidRPr="00D21AF3">
        <w:rPr>
          <w:rFonts w:asciiTheme="majorHAnsi" w:hAnsiTheme="majorHAnsi"/>
          <w:bCs/>
          <w:sz w:val="20"/>
          <w:szCs w:val="20"/>
          <w:lang w:val="es-ES_tradnl"/>
        </w:rPr>
        <w:t>ron</w:t>
      </w:r>
      <w:r w:rsidR="001A01C1" w:rsidRPr="00D21AF3">
        <w:rPr>
          <w:rFonts w:asciiTheme="majorHAnsi" w:hAnsiTheme="majorHAnsi"/>
          <w:bCs/>
          <w:sz w:val="20"/>
          <w:szCs w:val="20"/>
          <w:lang w:val="es-ES_tradnl"/>
        </w:rPr>
        <w:t xml:space="preserve"> a personas</w:t>
      </w:r>
      <w:r w:rsidR="00A76756" w:rsidRPr="00D21AF3">
        <w:rPr>
          <w:rFonts w:asciiTheme="majorHAnsi" w:hAnsiTheme="majorHAnsi"/>
          <w:bCs/>
          <w:sz w:val="20"/>
          <w:szCs w:val="20"/>
          <w:lang w:val="es-ES_tradnl"/>
        </w:rPr>
        <w:t>.</w:t>
      </w:r>
    </w:p>
    <w:p w14:paraId="586EDF2B" w14:textId="603B70DB" w:rsidR="008E1605" w:rsidRPr="00D21AF3" w:rsidRDefault="00A76756"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Así, l</w:t>
      </w:r>
      <w:r w:rsidR="001A01C1" w:rsidRPr="00D21AF3">
        <w:rPr>
          <w:rFonts w:asciiTheme="majorHAnsi" w:hAnsiTheme="majorHAnsi"/>
          <w:bCs/>
          <w:sz w:val="20"/>
          <w:szCs w:val="20"/>
          <w:lang w:val="es-ES_tradnl"/>
        </w:rPr>
        <w:t xml:space="preserve">as presuntas víctimas </w:t>
      </w:r>
      <w:r w:rsidR="004A1A74" w:rsidRPr="00D21AF3">
        <w:rPr>
          <w:rFonts w:asciiTheme="majorHAnsi" w:hAnsiTheme="majorHAnsi"/>
          <w:bCs/>
          <w:sz w:val="20"/>
          <w:szCs w:val="20"/>
          <w:lang w:val="es-ES_tradnl"/>
        </w:rPr>
        <w:t>escaparon</w:t>
      </w:r>
      <w:r w:rsidR="001A01C1" w:rsidRPr="00D21AF3">
        <w:rPr>
          <w:rFonts w:asciiTheme="majorHAnsi" w:hAnsiTheme="majorHAnsi"/>
          <w:bCs/>
          <w:sz w:val="20"/>
          <w:szCs w:val="20"/>
          <w:lang w:val="es-ES_tradnl"/>
        </w:rPr>
        <w:t xml:space="preserve"> a </w:t>
      </w:r>
      <w:r w:rsidR="004A1A74" w:rsidRPr="00D21AF3">
        <w:rPr>
          <w:rFonts w:asciiTheme="majorHAnsi" w:hAnsiTheme="majorHAnsi"/>
          <w:bCs/>
          <w:sz w:val="20"/>
          <w:szCs w:val="20"/>
          <w:lang w:val="es-ES_tradnl"/>
        </w:rPr>
        <w:t>distintas</w:t>
      </w:r>
      <w:r w:rsidRPr="00D21AF3">
        <w:rPr>
          <w:rFonts w:asciiTheme="majorHAnsi" w:hAnsiTheme="majorHAnsi"/>
          <w:bCs/>
          <w:sz w:val="20"/>
          <w:szCs w:val="20"/>
          <w:lang w:val="es-ES_tradnl"/>
        </w:rPr>
        <w:t xml:space="preserve"> ubicaciones de</w:t>
      </w:r>
      <w:r w:rsidR="001A01C1" w:rsidRPr="00D21AF3">
        <w:rPr>
          <w:rFonts w:asciiTheme="majorHAnsi" w:hAnsiTheme="majorHAnsi"/>
          <w:bCs/>
          <w:sz w:val="20"/>
          <w:szCs w:val="20"/>
          <w:lang w:val="es-ES_tradnl"/>
        </w:rPr>
        <w:t xml:space="preserve"> las montañas, viviendo bajo árboles</w:t>
      </w:r>
      <w:r w:rsidRPr="00D21AF3">
        <w:rPr>
          <w:rFonts w:asciiTheme="majorHAnsi" w:hAnsiTheme="majorHAnsi"/>
          <w:bCs/>
          <w:sz w:val="20"/>
          <w:szCs w:val="20"/>
          <w:lang w:val="es-ES_tradnl"/>
        </w:rPr>
        <w:t xml:space="preserve"> </w:t>
      </w:r>
      <w:r w:rsidR="001A01C1" w:rsidRPr="00D21AF3">
        <w:rPr>
          <w:rFonts w:asciiTheme="majorHAnsi" w:hAnsiTheme="majorHAnsi"/>
          <w:bCs/>
          <w:sz w:val="20"/>
          <w:szCs w:val="20"/>
          <w:lang w:val="es-ES_tradnl"/>
        </w:rPr>
        <w:t xml:space="preserve">o pequeñas casas sin paredes. </w:t>
      </w:r>
      <w:r w:rsidRPr="00D21AF3">
        <w:rPr>
          <w:rFonts w:asciiTheme="majorHAnsi" w:hAnsiTheme="majorHAnsi"/>
          <w:bCs/>
          <w:sz w:val="20"/>
          <w:szCs w:val="20"/>
          <w:lang w:val="es-ES_tradnl"/>
        </w:rPr>
        <w:t>Refieren que había</w:t>
      </w:r>
      <w:r w:rsidR="001A01C1" w:rsidRPr="00D21AF3">
        <w:rPr>
          <w:rFonts w:asciiTheme="majorHAnsi" w:hAnsiTheme="majorHAnsi"/>
          <w:bCs/>
          <w:sz w:val="20"/>
          <w:szCs w:val="20"/>
          <w:lang w:val="es-ES_tradnl"/>
        </w:rPr>
        <w:t xml:space="preserve"> un cerco militar que encerraba la zona</w:t>
      </w:r>
      <w:r w:rsidRPr="00D21AF3">
        <w:rPr>
          <w:rFonts w:asciiTheme="majorHAnsi" w:hAnsiTheme="majorHAnsi"/>
          <w:bCs/>
          <w:sz w:val="20"/>
          <w:szCs w:val="20"/>
          <w:lang w:val="es-ES_tradnl"/>
        </w:rPr>
        <w:t xml:space="preserve">, aislándolos del resto de la población lo que los afectó económicamente. Además, </w:t>
      </w:r>
      <w:r w:rsidR="007C7029" w:rsidRPr="00D21AF3">
        <w:rPr>
          <w:rFonts w:asciiTheme="majorHAnsi" w:hAnsiTheme="majorHAnsi"/>
          <w:bCs/>
          <w:sz w:val="20"/>
          <w:szCs w:val="20"/>
          <w:lang w:val="es-ES_tradnl"/>
        </w:rPr>
        <w:t xml:space="preserve">exponen </w:t>
      </w:r>
      <w:r w:rsidRPr="00D21AF3">
        <w:rPr>
          <w:rFonts w:asciiTheme="majorHAnsi" w:hAnsiTheme="majorHAnsi"/>
          <w:bCs/>
          <w:sz w:val="20"/>
          <w:szCs w:val="20"/>
          <w:lang w:val="es-ES_tradnl"/>
        </w:rPr>
        <w:t>que</w:t>
      </w:r>
      <w:r w:rsidR="001A01C1" w:rsidRPr="00D21AF3">
        <w:rPr>
          <w:rFonts w:asciiTheme="majorHAnsi" w:hAnsiTheme="majorHAnsi"/>
          <w:bCs/>
          <w:sz w:val="20"/>
          <w:szCs w:val="20"/>
          <w:lang w:val="es-ES_tradnl"/>
        </w:rPr>
        <w:t xml:space="preserve"> sufrían de bombardeos y ataques </w:t>
      </w:r>
      <w:r w:rsidRPr="00D21AF3">
        <w:rPr>
          <w:rFonts w:asciiTheme="majorHAnsi" w:hAnsiTheme="majorHAnsi"/>
          <w:bCs/>
          <w:sz w:val="20"/>
          <w:szCs w:val="20"/>
          <w:lang w:val="es-ES_tradnl"/>
        </w:rPr>
        <w:t xml:space="preserve">físicos y </w:t>
      </w:r>
      <w:r w:rsidR="001A01C1" w:rsidRPr="00D21AF3">
        <w:rPr>
          <w:rFonts w:asciiTheme="majorHAnsi" w:hAnsiTheme="majorHAnsi"/>
          <w:bCs/>
          <w:sz w:val="20"/>
          <w:szCs w:val="20"/>
          <w:lang w:val="es-ES_tradnl"/>
        </w:rPr>
        <w:t>psicológicos</w:t>
      </w:r>
      <w:r w:rsidRPr="00D21AF3">
        <w:rPr>
          <w:rFonts w:asciiTheme="majorHAnsi" w:hAnsiTheme="majorHAnsi"/>
          <w:bCs/>
          <w:sz w:val="20"/>
          <w:szCs w:val="20"/>
          <w:lang w:val="es-ES_tradnl"/>
        </w:rPr>
        <w:t>:</w:t>
      </w:r>
      <w:r w:rsidR="001A01C1"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 xml:space="preserve">los soldados los perseguían e interrogaban y torturaban a quienes capturaban, incluyendo a mujeres, personas mayores y menores de edad. </w:t>
      </w:r>
      <w:r w:rsidR="001A01C1" w:rsidRPr="00D21AF3">
        <w:rPr>
          <w:rFonts w:asciiTheme="majorHAnsi" w:hAnsiTheme="majorHAnsi"/>
          <w:bCs/>
          <w:sz w:val="20"/>
          <w:szCs w:val="20"/>
          <w:lang w:val="es-ES_tradnl"/>
        </w:rPr>
        <w:t>Apuntan</w:t>
      </w:r>
      <w:r w:rsidRPr="00D21AF3">
        <w:rPr>
          <w:rFonts w:asciiTheme="majorHAnsi" w:hAnsiTheme="majorHAnsi"/>
          <w:bCs/>
          <w:sz w:val="20"/>
          <w:szCs w:val="20"/>
          <w:lang w:val="es-ES_tradnl"/>
        </w:rPr>
        <w:t xml:space="preserve"> que reclutaron forzosamente a varios pobladores, forzándolos a realizar patrullajes</w:t>
      </w:r>
      <w:r w:rsidR="00E124BF"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w:t>
      </w:r>
      <w:r w:rsidR="00E124BF" w:rsidRPr="00D21AF3">
        <w:rPr>
          <w:rFonts w:asciiTheme="majorHAnsi" w:hAnsiTheme="majorHAnsi"/>
          <w:bCs/>
          <w:sz w:val="20"/>
          <w:szCs w:val="20"/>
          <w:lang w:val="es-ES_tradnl"/>
        </w:rPr>
        <w:t>y</w:t>
      </w:r>
      <w:r w:rsidRPr="00D21AF3">
        <w:rPr>
          <w:rFonts w:asciiTheme="majorHAnsi" w:hAnsiTheme="majorHAnsi"/>
          <w:bCs/>
          <w:sz w:val="20"/>
          <w:szCs w:val="20"/>
          <w:lang w:val="es-ES_tradnl"/>
        </w:rPr>
        <w:t xml:space="preserve"> que</w:t>
      </w:r>
      <w:r w:rsidR="004A1A74" w:rsidRPr="00D21AF3">
        <w:rPr>
          <w:rFonts w:asciiTheme="majorHAnsi" w:hAnsiTheme="majorHAnsi"/>
          <w:bCs/>
          <w:sz w:val="20"/>
          <w:szCs w:val="20"/>
          <w:lang w:val="es-ES_tradnl"/>
        </w:rPr>
        <w:t xml:space="preserve"> varias</w:t>
      </w:r>
      <w:r w:rsidRPr="00D21AF3">
        <w:rPr>
          <w:rFonts w:asciiTheme="majorHAnsi" w:hAnsiTheme="majorHAnsi"/>
          <w:bCs/>
          <w:sz w:val="20"/>
          <w:szCs w:val="20"/>
          <w:lang w:val="es-ES_tradnl"/>
        </w:rPr>
        <w:t xml:space="preserve"> personas desaparecieron</w:t>
      </w:r>
      <w:r w:rsidR="001A01C1" w:rsidRPr="00D21AF3">
        <w:rPr>
          <w:rFonts w:asciiTheme="majorHAnsi" w:hAnsiTheme="majorHAnsi"/>
          <w:bCs/>
          <w:sz w:val="20"/>
          <w:szCs w:val="20"/>
          <w:lang w:val="es-ES_tradnl"/>
        </w:rPr>
        <w:t xml:space="preserve">. </w:t>
      </w:r>
    </w:p>
    <w:p w14:paraId="421C4317" w14:textId="7226D063" w:rsidR="002243B7" w:rsidRPr="00D21AF3" w:rsidRDefault="008E1605"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Narra</w:t>
      </w:r>
      <w:r w:rsidR="004F0B13" w:rsidRPr="00D21AF3">
        <w:rPr>
          <w:rFonts w:asciiTheme="majorHAnsi" w:hAnsiTheme="majorHAnsi"/>
          <w:bCs/>
          <w:sz w:val="20"/>
          <w:szCs w:val="20"/>
          <w:lang w:val="es-ES_tradnl"/>
        </w:rPr>
        <w:t>n</w:t>
      </w:r>
      <w:r w:rsidRPr="00D21AF3">
        <w:rPr>
          <w:rFonts w:asciiTheme="majorHAnsi" w:hAnsiTheme="majorHAnsi"/>
          <w:bCs/>
          <w:sz w:val="20"/>
          <w:szCs w:val="20"/>
          <w:lang w:val="es-ES_tradnl"/>
        </w:rPr>
        <w:t xml:space="preserve"> que </w:t>
      </w:r>
      <w:r w:rsidR="004F0B13" w:rsidRPr="00D21AF3">
        <w:rPr>
          <w:rFonts w:asciiTheme="majorHAnsi" w:hAnsiTheme="majorHAnsi"/>
          <w:bCs/>
          <w:sz w:val="20"/>
          <w:szCs w:val="20"/>
          <w:lang w:val="es-ES_tradnl"/>
        </w:rPr>
        <w:t xml:space="preserve">en </w:t>
      </w:r>
      <w:r w:rsidRPr="00D21AF3">
        <w:rPr>
          <w:rFonts w:asciiTheme="majorHAnsi" w:hAnsiTheme="majorHAnsi"/>
          <w:bCs/>
          <w:sz w:val="20"/>
          <w:szCs w:val="20"/>
          <w:lang w:val="es-ES_tradnl"/>
        </w:rPr>
        <w:t xml:space="preserve">1990 </w:t>
      </w:r>
      <w:r w:rsidR="004F0B13" w:rsidRPr="00D21AF3">
        <w:rPr>
          <w:rFonts w:asciiTheme="majorHAnsi" w:hAnsiTheme="majorHAnsi"/>
          <w:bCs/>
          <w:sz w:val="20"/>
          <w:szCs w:val="20"/>
          <w:lang w:val="es-ES_tradnl"/>
        </w:rPr>
        <w:t xml:space="preserve">las presuntas víctimas </w:t>
      </w:r>
      <w:r w:rsidRPr="00D21AF3">
        <w:rPr>
          <w:rFonts w:asciiTheme="majorHAnsi" w:hAnsiTheme="majorHAnsi"/>
          <w:bCs/>
          <w:sz w:val="20"/>
          <w:szCs w:val="20"/>
          <w:lang w:val="es-ES_tradnl"/>
        </w:rPr>
        <w:t>realizaron su primera Asamblea General como Comunidades de Población en Resistencia de la Sierra, dándose a conocer como una población civil no combatiente. Pese a que denunciaron los hechos que les acontecieron, el Estado negaba su existencia y los acusaba de guerrilleros, manteniendo los ataques hasta 1994, cuando comenzaron un proceso de negociación con el gobierno. Así, en 1996 el Fondo de Tierras y el Fondo Nacional para la Paz (en adelante “FONAPAZ”)</w:t>
      </w:r>
      <w:r w:rsidR="002243B7"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les ofrecieron adquirir fincas fuera de la región Ixil. Sobre este punto, la parte peticionaria aclara que </w:t>
      </w:r>
      <w:r w:rsidR="002243B7" w:rsidRPr="00D21AF3">
        <w:rPr>
          <w:rFonts w:asciiTheme="majorHAnsi" w:hAnsiTheme="majorHAnsi"/>
          <w:bCs/>
          <w:sz w:val="20"/>
          <w:szCs w:val="20"/>
          <w:lang w:val="es-ES_tradnl"/>
        </w:rPr>
        <w:t xml:space="preserve">el lugar </w:t>
      </w:r>
      <w:r w:rsidR="002243B7" w:rsidRPr="00D21AF3">
        <w:rPr>
          <w:rFonts w:asciiTheme="majorHAnsi" w:hAnsiTheme="majorHAnsi"/>
          <w:bCs/>
          <w:sz w:val="20"/>
          <w:szCs w:val="20"/>
          <w:lang w:val="es-ES_tradnl"/>
        </w:rPr>
        <w:lastRenderedPageBreak/>
        <w:t xml:space="preserve">donde </w:t>
      </w:r>
      <w:r w:rsidRPr="00D21AF3">
        <w:rPr>
          <w:rFonts w:asciiTheme="majorHAnsi" w:hAnsiTheme="majorHAnsi"/>
          <w:bCs/>
          <w:sz w:val="20"/>
          <w:szCs w:val="20"/>
          <w:lang w:val="es-ES_tradnl"/>
        </w:rPr>
        <w:t>actualmente se encuentran asentados, fue adquirid</w:t>
      </w:r>
      <w:r w:rsidR="002243B7" w:rsidRPr="00D21AF3">
        <w:rPr>
          <w:rFonts w:asciiTheme="majorHAnsi" w:hAnsiTheme="majorHAnsi"/>
          <w:bCs/>
          <w:sz w:val="20"/>
          <w:szCs w:val="20"/>
          <w:lang w:val="es-ES_tradnl"/>
        </w:rPr>
        <w:t>o</w:t>
      </w:r>
      <w:r w:rsidRPr="00D21AF3">
        <w:rPr>
          <w:rFonts w:asciiTheme="majorHAnsi" w:hAnsiTheme="majorHAnsi"/>
          <w:bCs/>
          <w:sz w:val="20"/>
          <w:szCs w:val="20"/>
          <w:lang w:val="es-ES_tradnl"/>
        </w:rPr>
        <w:t xml:space="preserve"> con fondos de cooperación internacional y </w:t>
      </w:r>
      <w:r w:rsidR="002243B7" w:rsidRPr="00D21AF3">
        <w:rPr>
          <w:rFonts w:asciiTheme="majorHAnsi" w:hAnsiTheme="majorHAnsi"/>
          <w:bCs/>
          <w:sz w:val="20"/>
          <w:szCs w:val="20"/>
          <w:lang w:val="es-ES_tradnl"/>
        </w:rPr>
        <w:t>gestionado</w:t>
      </w:r>
      <w:r w:rsidRPr="00D21AF3">
        <w:rPr>
          <w:rFonts w:asciiTheme="majorHAnsi" w:hAnsiTheme="majorHAnsi"/>
          <w:bCs/>
          <w:sz w:val="20"/>
          <w:szCs w:val="20"/>
          <w:lang w:val="es-ES_tradnl"/>
        </w:rPr>
        <w:t xml:space="preserve"> por el FONAPAZ que fue constituido en 1991, previo al PNR; por lo que considera que dicha</w:t>
      </w:r>
      <w:r w:rsidR="004A1A74"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finca</w:t>
      </w:r>
      <w:r w:rsidR="004A1A74"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no debe</w:t>
      </w:r>
      <w:r w:rsidR="004A1A74" w:rsidRPr="00D21AF3">
        <w:rPr>
          <w:rFonts w:asciiTheme="majorHAnsi" w:hAnsiTheme="majorHAnsi"/>
          <w:bCs/>
          <w:sz w:val="20"/>
          <w:szCs w:val="20"/>
          <w:lang w:val="es-ES_tradnl"/>
        </w:rPr>
        <w:t>n</w:t>
      </w:r>
      <w:r w:rsidRPr="00D21AF3">
        <w:rPr>
          <w:rFonts w:asciiTheme="majorHAnsi" w:hAnsiTheme="majorHAnsi"/>
          <w:bCs/>
          <w:sz w:val="20"/>
          <w:szCs w:val="20"/>
          <w:lang w:val="es-ES_tradnl"/>
        </w:rPr>
        <w:t xml:space="preserve"> ser considerada</w:t>
      </w:r>
      <w:r w:rsidR="004A1A74"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como un resarcimiento a las víctimas del conflicto armado interno.</w:t>
      </w:r>
    </w:p>
    <w:p w14:paraId="3D524D43" w14:textId="1DC1A3DC" w:rsidR="00F62D49" w:rsidRPr="00D21AF3" w:rsidRDefault="002243B7"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De esta manera, el </w:t>
      </w:r>
      <w:r w:rsidR="008E1605" w:rsidRPr="00D21AF3">
        <w:rPr>
          <w:rFonts w:asciiTheme="majorHAnsi" w:hAnsiTheme="majorHAnsi"/>
          <w:bCs/>
          <w:sz w:val="20"/>
          <w:szCs w:val="20"/>
          <w:lang w:val="es-ES_tradnl"/>
        </w:rPr>
        <w:t xml:space="preserve">25 de septiembre de 1998 </w:t>
      </w:r>
      <w:r w:rsidR="004F0B13" w:rsidRPr="00D21AF3">
        <w:rPr>
          <w:rFonts w:asciiTheme="majorHAnsi" w:hAnsiTheme="majorHAnsi"/>
          <w:bCs/>
          <w:sz w:val="20"/>
          <w:szCs w:val="20"/>
          <w:lang w:val="es-ES_tradnl"/>
        </w:rPr>
        <w:t xml:space="preserve">las presuntas víctimas </w:t>
      </w:r>
      <w:r w:rsidR="008E1605" w:rsidRPr="00D21AF3">
        <w:rPr>
          <w:rFonts w:asciiTheme="majorHAnsi" w:hAnsiTheme="majorHAnsi"/>
          <w:bCs/>
          <w:sz w:val="20"/>
          <w:szCs w:val="20"/>
          <w:lang w:val="es-ES_tradnl"/>
        </w:rPr>
        <w:t xml:space="preserve">llegaron a las fincas </w:t>
      </w:r>
      <w:r w:rsidR="008E1605" w:rsidRPr="00D21AF3">
        <w:rPr>
          <w:rFonts w:asciiTheme="majorHAnsi" w:hAnsiTheme="majorHAnsi"/>
          <w:bCs/>
          <w:i/>
          <w:iCs/>
          <w:sz w:val="20"/>
          <w:szCs w:val="20"/>
          <w:lang w:val="es-ES_tradnl"/>
        </w:rPr>
        <w:t>El Triunfo</w:t>
      </w:r>
      <w:r w:rsidR="008E1605" w:rsidRPr="00D21AF3">
        <w:rPr>
          <w:rFonts w:asciiTheme="majorHAnsi" w:hAnsiTheme="majorHAnsi"/>
          <w:bCs/>
          <w:sz w:val="20"/>
          <w:szCs w:val="20"/>
          <w:lang w:val="es-ES_tradnl"/>
        </w:rPr>
        <w:t xml:space="preserve"> y </w:t>
      </w:r>
      <w:r w:rsidR="008E1605" w:rsidRPr="00D21AF3">
        <w:rPr>
          <w:rFonts w:asciiTheme="majorHAnsi" w:hAnsiTheme="majorHAnsi"/>
          <w:bCs/>
          <w:i/>
          <w:iCs/>
          <w:sz w:val="20"/>
          <w:szCs w:val="20"/>
          <w:lang w:val="es-ES_tradnl"/>
        </w:rPr>
        <w:t>El Mar</w:t>
      </w:r>
      <w:r w:rsidR="008E1605" w:rsidRPr="00D21AF3">
        <w:rPr>
          <w:rFonts w:asciiTheme="majorHAnsi" w:hAnsiTheme="majorHAnsi"/>
          <w:bCs/>
          <w:sz w:val="20"/>
          <w:szCs w:val="20"/>
          <w:lang w:val="es-ES_tradnl"/>
        </w:rPr>
        <w:t xml:space="preserve"> en el municipio de Champerico en el departamento de Retalhuleu. </w:t>
      </w:r>
      <w:r w:rsidRPr="00D21AF3">
        <w:rPr>
          <w:rFonts w:asciiTheme="majorHAnsi" w:hAnsiTheme="majorHAnsi"/>
          <w:bCs/>
          <w:sz w:val="20"/>
          <w:szCs w:val="20"/>
          <w:lang w:val="es-ES_tradnl"/>
        </w:rPr>
        <w:t>Notaron, sin embargo, que</w:t>
      </w:r>
      <w:r w:rsidR="008E1605" w:rsidRPr="00D21AF3">
        <w:rPr>
          <w:rFonts w:asciiTheme="majorHAnsi" w:hAnsiTheme="majorHAnsi"/>
          <w:bCs/>
          <w:sz w:val="20"/>
          <w:szCs w:val="20"/>
          <w:lang w:val="es-ES_tradnl"/>
        </w:rPr>
        <w:t xml:space="preserve"> las tierras ya no eran adecuadas para </w:t>
      </w:r>
      <w:r w:rsidRPr="00D21AF3">
        <w:rPr>
          <w:rFonts w:asciiTheme="majorHAnsi" w:hAnsiTheme="majorHAnsi"/>
          <w:bCs/>
          <w:sz w:val="20"/>
          <w:szCs w:val="20"/>
          <w:lang w:val="es-ES_tradnl"/>
        </w:rPr>
        <w:t>sembrar</w:t>
      </w:r>
      <w:r w:rsidR="008E1605"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incurriendo</w:t>
      </w:r>
      <w:r w:rsidR="008E1605" w:rsidRPr="00D21AF3">
        <w:rPr>
          <w:rFonts w:asciiTheme="majorHAnsi" w:hAnsiTheme="majorHAnsi"/>
          <w:bCs/>
          <w:sz w:val="20"/>
          <w:szCs w:val="20"/>
          <w:lang w:val="es-ES_tradnl"/>
        </w:rPr>
        <w:t xml:space="preserve"> en gastos </w:t>
      </w:r>
      <w:r w:rsidRPr="00D21AF3">
        <w:rPr>
          <w:rFonts w:asciiTheme="majorHAnsi" w:hAnsiTheme="majorHAnsi"/>
          <w:bCs/>
          <w:sz w:val="20"/>
          <w:szCs w:val="20"/>
          <w:lang w:val="es-ES_tradnl"/>
        </w:rPr>
        <w:t xml:space="preserve">personales </w:t>
      </w:r>
      <w:r w:rsidR="008E1605" w:rsidRPr="00D21AF3">
        <w:rPr>
          <w:rFonts w:asciiTheme="majorHAnsi" w:hAnsiTheme="majorHAnsi"/>
          <w:bCs/>
          <w:sz w:val="20"/>
          <w:szCs w:val="20"/>
          <w:lang w:val="es-ES_tradnl"/>
        </w:rPr>
        <w:t>para poder cosechar</w:t>
      </w:r>
      <w:r w:rsidRPr="00D21AF3">
        <w:rPr>
          <w:rFonts w:asciiTheme="majorHAnsi" w:hAnsiTheme="majorHAnsi"/>
          <w:bCs/>
          <w:sz w:val="20"/>
          <w:szCs w:val="20"/>
          <w:lang w:val="es-ES_tradnl"/>
        </w:rPr>
        <w:t>; d</w:t>
      </w:r>
      <w:r w:rsidR="008E1605" w:rsidRPr="00D21AF3">
        <w:rPr>
          <w:rFonts w:asciiTheme="majorHAnsi" w:hAnsiTheme="majorHAnsi"/>
          <w:bCs/>
          <w:sz w:val="20"/>
          <w:szCs w:val="20"/>
          <w:lang w:val="es-ES_tradnl"/>
        </w:rPr>
        <w:t xml:space="preserve">enuncian que el gobierno nunca les brindó apoyo técnico ni económico para su desarrollo agrícola. </w:t>
      </w:r>
      <w:r w:rsidRPr="00D21AF3">
        <w:rPr>
          <w:rFonts w:asciiTheme="majorHAnsi" w:hAnsiTheme="majorHAnsi"/>
          <w:bCs/>
          <w:sz w:val="20"/>
          <w:szCs w:val="20"/>
          <w:lang w:val="es-ES_tradnl"/>
        </w:rPr>
        <w:t>Del mismo modo</w:t>
      </w:r>
      <w:r w:rsidR="008E1605" w:rsidRPr="00D21AF3">
        <w:rPr>
          <w:rFonts w:asciiTheme="majorHAnsi" w:hAnsiTheme="majorHAnsi"/>
          <w:bCs/>
          <w:sz w:val="20"/>
          <w:szCs w:val="20"/>
          <w:lang w:val="es-ES_tradnl"/>
        </w:rPr>
        <w:t xml:space="preserve">, no contaban con servicios adecuados de salud ni de educación, incluso señalan que la primera escuela se construyó hasta 2003. </w:t>
      </w:r>
    </w:p>
    <w:p w14:paraId="4BB5119B" w14:textId="6804DE24" w:rsidR="006A014C" w:rsidRPr="00D21AF3" w:rsidRDefault="008E1605"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cuanto a la falta de una reparación integral y colectiva </w:t>
      </w:r>
      <w:r w:rsidR="00885465" w:rsidRPr="00D21AF3">
        <w:rPr>
          <w:rFonts w:asciiTheme="majorHAnsi" w:hAnsiTheme="majorHAnsi"/>
          <w:bCs/>
          <w:sz w:val="20"/>
          <w:szCs w:val="20"/>
          <w:lang w:val="es-ES_tradnl"/>
        </w:rPr>
        <w:t xml:space="preserve">–objeto central de </w:t>
      </w:r>
      <w:r w:rsidR="00C900FE" w:rsidRPr="00D21AF3">
        <w:rPr>
          <w:rFonts w:asciiTheme="majorHAnsi" w:hAnsiTheme="majorHAnsi"/>
          <w:bCs/>
          <w:sz w:val="20"/>
          <w:szCs w:val="20"/>
          <w:lang w:val="es-ES_tradnl"/>
        </w:rPr>
        <w:t>la</w:t>
      </w:r>
      <w:r w:rsidR="00885465" w:rsidRPr="00D21AF3">
        <w:rPr>
          <w:rFonts w:asciiTheme="majorHAnsi" w:hAnsiTheme="majorHAnsi"/>
          <w:bCs/>
          <w:sz w:val="20"/>
          <w:szCs w:val="20"/>
          <w:lang w:val="es-ES_tradnl"/>
        </w:rPr>
        <w:t xml:space="preserve"> petición</w:t>
      </w:r>
      <w:r w:rsidR="00C900FE" w:rsidRPr="00D21AF3">
        <w:rPr>
          <w:rFonts w:asciiTheme="majorHAnsi" w:hAnsiTheme="majorHAnsi"/>
          <w:bCs/>
          <w:sz w:val="20"/>
          <w:szCs w:val="20"/>
          <w:lang w:val="es-ES_tradnl"/>
        </w:rPr>
        <w:t xml:space="preserve">–, </w:t>
      </w:r>
      <w:r w:rsidR="00132C46" w:rsidRPr="00D21AF3">
        <w:rPr>
          <w:rFonts w:asciiTheme="majorHAnsi" w:hAnsiTheme="majorHAnsi"/>
          <w:bCs/>
          <w:sz w:val="20"/>
          <w:szCs w:val="20"/>
          <w:lang w:val="es-ES_tradnl"/>
        </w:rPr>
        <w:t>los peticionarios</w:t>
      </w:r>
      <w:r w:rsidRPr="00D21AF3">
        <w:rPr>
          <w:rFonts w:asciiTheme="majorHAnsi" w:hAnsiTheme="majorHAnsi"/>
          <w:bCs/>
          <w:sz w:val="20"/>
          <w:szCs w:val="20"/>
          <w:lang w:val="es-ES_tradnl"/>
        </w:rPr>
        <w:t xml:space="preserve"> </w:t>
      </w:r>
      <w:r w:rsidR="00C900FE" w:rsidRPr="00D21AF3">
        <w:rPr>
          <w:rFonts w:asciiTheme="majorHAnsi" w:hAnsiTheme="majorHAnsi"/>
          <w:bCs/>
          <w:sz w:val="20"/>
          <w:szCs w:val="20"/>
          <w:lang w:val="es-ES_tradnl"/>
        </w:rPr>
        <w:t>sostienen</w:t>
      </w:r>
      <w:r w:rsidRPr="00D21AF3">
        <w:rPr>
          <w:rFonts w:asciiTheme="majorHAnsi" w:hAnsiTheme="majorHAnsi"/>
          <w:bCs/>
          <w:sz w:val="20"/>
          <w:szCs w:val="20"/>
          <w:lang w:val="es-ES_tradnl"/>
        </w:rPr>
        <w:t xml:space="preserve"> que </w:t>
      </w:r>
      <w:r w:rsidR="00E844D2" w:rsidRPr="00D21AF3">
        <w:rPr>
          <w:rFonts w:asciiTheme="majorHAnsi" w:hAnsiTheme="majorHAnsi"/>
          <w:bCs/>
          <w:sz w:val="20"/>
          <w:szCs w:val="20"/>
          <w:lang w:val="es-ES_tradnl"/>
        </w:rPr>
        <w:t>e</w:t>
      </w:r>
      <w:r w:rsidR="005A194C" w:rsidRPr="00D21AF3">
        <w:rPr>
          <w:rFonts w:asciiTheme="majorHAnsi" w:hAnsiTheme="majorHAnsi"/>
          <w:bCs/>
          <w:sz w:val="20"/>
          <w:szCs w:val="20"/>
          <w:lang w:val="es-ES_tradnl"/>
        </w:rPr>
        <w:t xml:space="preserve">n </w:t>
      </w:r>
      <w:r w:rsidR="00E844D2" w:rsidRPr="00D21AF3">
        <w:rPr>
          <w:rFonts w:asciiTheme="majorHAnsi" w:hAnsiTheme="majorHAnsi"/>
          <w:bCs/>
          <w:sz w:val="20"/>
          <w:szCs w:val="20"/>
          <w:lang w:val="es-ES_tradnl"/>
        </w:rPr>
        <w:t xml:space="preserve">2004 </w:t>
      </w:r>
      <w:r w:rsidRPr="00D21AF3">
        <w:rPr>
          <w:rFonts w:asciiTheme="majorHAnsi" w:hAnsiTheme="majorHAnsi"/>
          <w:bCs/>
          <w:sz w:val="20"/>
          <w:szCs w:val="20"/>
          <w:lang w:val="es-ES_tradnl"/>
        </w:rPr>
        <w:t xml:space="preserve">la comunidad </w:t>
      </w:r>
      <w:r w:rsidRPr="00D21AF3">
        <w:rPr>
          <w:rFonts w:asciiTheme="majorHAnsi" w:hAnsiTheme="majorHAnsi"/>
          <w:bCs/>
          <w:i/>
          <w:iCs/>
          <w:sz w:val="20"/>
          <w:szCs w:val="20"/>
          <w:lang w:val="es-ES_tradnl"/>
        </w:rPr>
        <w:t>El Triunfo</w:t>
      </w:r>
      <w:r w:rsidRPr="00D21AF3">
        <w:rPr>
          <w:rFonts w:asciiTheme="majorHAnsi" w:hAnsiTheme="majorHAnsi"/>
          <w:bCs/>
          <w:sz w:val="20"/>
          <w:szCs w:val="20"/>
          <w:lang w:val="es-ES_tradnl"/>
        </w:rPr>
        <w:t xml:space="preserve"> inició un</w:t>
      </w:r>
      <w:r w:rsidR="00E844D2" w:rsidRPr="00D21AF3">
        <w:rPr>
          <w:rFonts w:asciiTheme="majorHAnsi" w:hAnsiTheme="majorHAnsi"/>
          <w:bCs/>
          <w:sz w:val="20"/>
          <w:szCs w:val="20"/>
          <w:lang w:val="es-ES_tradnl"/>
        </w:rPr>
        <w:t xml:space="preserve"> proceso</w:t>
      </w:r>
      <w:r w:rsidRPr="00D21AF3">
        <w:rPr>
          <w:rFonts w:asciiTheme="majorHAnsi" w:hAnsiTheme="majorHAnsi"/>
          <w:bCs/>
          <w:sz w:val="20"/>
          <w:szCs w:val="20"/>
          <w:lang w:val="es-ES_tradnl"/>
        </w:rPr>
        <w:t xml:space="preserve"> </w:t>
      </w:r>
      <w:r w:rsidR="00E844D2" w:rsidRPr="00D21AF3">
        <w:rPr>
          <w:rFonts w:asciiTheme="majorHAnsi" w:hAnsiTheme="majorHAnsi"/>
          <w:bCs/>
          <w:sz w:val="20"/>
          <w:szCs w:val="20"/>
          <w:lang w:val="es-ES_tradnl"/>
        </w:rPr>
        <w:t>para solicitar viviendas</w:t>
      </w:r>
      <w:r w:rsidRPr="00D21AF3">
        <w:rPr>
          <w:rFonts w:asciiTheme="majorHAnsi" w:hAnsiTheme="majorHAnsi"/>
          <w:bCs/>
          <w:sz w:val="20"/>
          <w:szCs w:val="20"/>
          <w:lang w:val="es-ES_tradnl"/>
        </w:rPr>
        <w:t xml:space="preserve"> digna</w:t>
      </w:r>
      <w:r w:rsidR="00E844D2"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w:t>
      </w:r>
      <w:r w:rsidR="005A194C" w:rsidRPr="00D21AF3">
        <w:rPr>
          <w:rFonts w:asciiTheme="majorHAnsi" w:hAnsiTheme="majorHAnsi"/>
          <w:bCs/>
          <w:sz w:val="20"/>
          <w:szCs w:val="20"/>
          <w:lang w:val="es-ES_tradnl"/>
        </w:rPr>
        <w:t xml:space="preserve">para 279 familias </w:t>
      </w:r>
      <w:r w:rsidRPr="00D21AF3">
        <w:rPr>
          <w:rFonts w:asciiTheme="majorHAnsi" w:hAnsiTheme="majorHAnsi"/>
          <w:bCs/>
          <w:sz w:val="20"/>
          <w:szCs w:val="20"/>
          <w:lang w:val="es-ES_tradnl"/>
        </w:rPr>
        <w:t>ante el Fondo Guatemalteco para la Vivienda</w:t>
      </w:r>
      <w:r w:rsidR="005A194C" w:rsidRPr="00D21AF3">
        <w:rPr>
          <w:rStyle w:val="FootnoteReference"/>
          <w:rFonts w:asciiTheme="majorHAnsi" w:hAnsiTheme="majorHAnsi"/>
          <w:bCs/>
          <w:sz w:val="20"/>
          <w:szCs w:val="20"/>
          <w:lang w:val="es-ES_tradnl"/>
        </w:rPr>
        <w:footnoteReference w:id="11"/>
      </w:r>
      <w:r w:rsidRPr="00D21AF3">
        <w:rPr>
          <w:rFonts w:asciiTheme="majorHAnsi" w:hAnsiTheme="majorHAnsi"/>
          <w:bCs/>
          <w:sz w:val="20"/>
          <w:szCs w:val="20"/>
          <w:lang w:val="es-ES_tradnl"/>
        </w:rPr>
        <w:t xml:space="preserve"> (en adelante “FOGUAVI”)</w:t>
      </w:r>
      <w:r w:rsidR="005A194C" w:rsidRPr="00D21AF3">
        <w:rPr>
          <w:rFonts w:asciiTheme="majorHAnsi" w:hAnsiTheme="majorHAnsi"/>
          <w:bCs/>
          <w:sz w:val="20"/>
          <w:szCs w:val="20"/>
          <w:lang w:val="es-ES_tradnl"/>
        </w:rPr>
        <w:t>, no obstante</w:t>
      </w:r>
      <w:r w:rsidR="00E844D2"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su solicitud fue negada</w:t>
      </w:r>
      <w:r w:rsidR="005A194C" w:rsidRPr="00D21AF3">
        <w:rPr>
          <w:rFonts w:asciiTheme="majorHAnsi" w:hAnsiTheme="majorHAnsi"/>
          <w:bCs/>
          <w:sz w:val="20"/>
          <w:szCs w:val="20"/>
          <w:lang w:val="es-ES_tradnl"/>
        </w:rPr>
        <w:t>; también, informa que el fondo extravió la documentación que presentaron</w:t>
      </w:r>
      <w:r w:rsidRPr="00D21AF3">
        <w:rPr>
          <w:rFonts w:asciiTheme="majorHAnsi" w:hAnsiTheme="majorHAnsi"/>
          <w:bCs/>
          <w:sz w:val="20"/>
          <w:szCs w:val="20"/>
          <w:lang w:val="es-ES_tradnl"/>
        </w:rPr>
        <w:t>.</w:t>
      </w:r>
      <w:r w:rsidR="005A194C"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Subsiguientemente,</w:t>
      </w:r>
      <w:r w:rsidR="005A194C" w:rsidRPr="00D21AF3">
        <w:rPr>
          <w:rFonts w:asciiTheme="majorHAnsi" w:hAnsiTheme="majorHAnsi"/>
          <w:bCs/>
          <w:sz w:val="20"/>
          <w:szCs w:val="20"/>
          <w:lang w:val="es-ES_tradnl"/>
        </w:rPr>
        <w:t xml:space="preserve"> en 2005</w:t>
      </w:r>
      <w:r w:rsidRPr="00D21AF3">
        <w:rPr>
          <w:rFonts w:asciiTheme="majorHAnsi" w:hAnsiTheme="majorHAnsi"/>
          <w:bCs/>
          <w:sz w:val="20"/>
          <w:szCs w:val="20"/>
          <w:lang w:val="es-ES_tradnl"/>
        </w:rPr>
        <w:t xml:space="preserve"> presentaron una nueva gestió</w:t>
      </w:r>
      <w:r w:rsidR="00F62D49" w:rsidRPr="00D21AF3">
        <w:rPr>
          <w:rFonts w:asciiTheme="majorHAnsi" w:hAnsiTheme="majorHAnsi"/>
          <w:bCs/>
          <w:sz w:val="20"/>
          <w:szCs w:val="20"/>
          <w:lang w:val="es-ES_tradnl"/>
        </w:rPr>
        <w:t xml:space="preserve">n, </w:t>
      </w:r>
      <w:r w:rsidR="005A194C" w:rsidRPr="00D21AF3">
        <w:rPr>
          <w:rFonts w:asciiTheme="majorHAnsi" w:hAnsiTheme="majorHAnsi"/>
          <w:bCs/>
          <w:sz w:val="20"/>
          <w:szCs w:val="20"/>
          <w:lang w:val="es-ES_tradnl"/>
        </w:rPr>
        <w:t>en esta ocasión</w:t>
      </w:r>
      <w:r w:rsidRPr="00D21AF3">
        <w:rPr>
          <w:rFonts w:asciiTheme="majorHAnsi" w:hAnsiTheme="majorHAnsi"/>
          <w:bCs/>
          <w:sz w:val="20"/>
          <w:szCs w:val="20"/>
          <w:lang w:val="es-ES_tradnl"/>
        </w:rPr>
        <w:t xml:space="preserve"> FOGUAVI aprobó la construcción de cien viviendas con la condición de que cada familia beneficiada aportara el equivalente a 5,400 quetzales</w:t>
      </w:r>
      <w:r w:rsidRPr="00D21AF3">
        <w:rPr>
          <w:rFonts w:asciiTheme="majorHAnsi" w:hAnsiTheme="majorHAnsi"/>
          <w:sz w:val="20"/>
          <w:szCs w:val="20"/>
          <w:vertAlign w:val="superscript"/>
          <w:lang w:val="es-ES_tradnl"/>
        </w:rPr>
        <w:footnoteReference w:id="12"/>
      </w:r>
      <w:r w:rsidRPr="00D21AF3">
        <w:rPr>
          <w:rFonts w:asciiTheme="majorHAnsi" w:hAnsiTheme="majorHAnsi"/>
          <w:bCs/>
          <w:sz w:val="20"/>
          <w:szCs w:val="20"/>
          <w:lang w:val="es-ES_tradnl"/>
        </w:rPr>
        <w:t xml:space="preserve"> </w:t>
      </w:r>
      <w:r w:rsidR="00BD69A4" w:rsidRPr="00D21AF3">
        <w:rPr>
          <w:rFonts w:asciiTheme="majorHAnsi" w:hAnsiTheme="majorHAnsi"/>
          <w:bCs/>
          <w:sz w:val="20"/>
          <w:szCs w:val="20"/>
          <w:lang w:val="es-ES_tradnl"/>
        </w:rPr>
        <w:t>(</w:t>
      </w:r>
      <w:r w:rsidRPr="00D21AF3">
        <w:rPr>
          <w:rFonts w:asciiTheme="majorHAnsi" w:hAnsiTheme="majorHAnsi"/>
          <w:bCs/>
          <w:sz w:val="20"/>
          <w:szCs w:val="20"/>
          <w:lang w:val="es-ES_tradnl"/>
        </w:rPr>
        <w:t>aproximadamente 710 USD</w:t>
      </w:r>
      <w:r w:rsidRPr="00D21AF3">
        <w:rPr>
          <w:rFonts w:asciiTheme="majorHAnsi" w:hAnsiTheme="majorHAnsi"/>
          <w:sz w:val="20"/>
          <w:szCs w:val="20"/>
          <w:vertAlign w:val="superscript"/>
          <w:lang w:val="es-ES_tradnl"/>
        </w:rPr>
        <w:footnoteReference w:id="13"/>
      </w:r>
      <w:r w:rsidR="00BD69A4" w:rsidRPr="00D21AF3">
        <w:rPr>
          <w:rFonts w:asciiTheme="majorHAnsi" w:hAnsiTheme="majorHAnsi"/>
          <w:bCs/>
          <w:sz w:val="20"/>
          <w:szCs w:val="20"/>
          <w:lang w:val="es-ES_tradnl"/>
        </w:rPr>
        <w:t>)</w:t>
      </w:r>
      <w:r w:rsidRPr="00D21AF3">
        <w:rPr>
          <w:rFonts w:asciiTheme="majorHAnsi" w:hAnsiTheme="majorHAnsi"/>
          <w:bCs/>
          <w:sz w:val="20"/>
          <w:szCs w:val="20"/>
          <w:lang w:val="es-ES_tradnl"/>
        </w:rPr>
        <w:t>.  Así, en 2006 iniciaron la construcción de las viviendas, pero todas quedaron incompletas con un avance del 40 al 60% únicamente. Denuncian que FOGUAVI no se ha hecho responsable de finalizar el proyecto</w:t>
      </w:r>
      <w:r w:rsidR="00431DF5"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y que</w:t>
      </w:r>
      <w:r w:rsidR="006A014C" w:rsidRPr="00D21AF3">
        <w:rPr>
          <w:rFonts w:asciiTheme="majorHAnsi" w:hAnsiTheme="majorHAnsi"/>
          <w:bCs/>
          <w:sz w:val="20"/>
          <w:szCs w:val="20"/>
          <w:lang w:val="es-ES_tradnl"/>
        </w:rPr>
        <w:t>, por su parte,</w:t>
      </w:r>
      <w:r w:rsidRPr="00D21AF3">
        <w:rPr>
          <w:rFonts w:asciiTheme="majorHAnsi" w:hAnsiTheme="majorHAnsi"/>
          <w:bCs/>
          <w:sz w:val="20"/>
          <w:szCs w:val="20"/>
          <w:lang w:val="es-ES_tradnl"/>
        </w:rPr>
        <w:t xml:space="preserve"> el PNR argumenta que no les puede asignar viviendas como forma de reparación porque ya fueron beneficiados por</w:t>
      </w:r>
      <w:r w:rsidR="005A194C" w:rsidRPr="00D21AF3">
        <w:rPr>
          <w:rFonts w:asciiTheme="majorHAnsi" w:hAnsiTheme="majorHAnsi"/>
          <w:bCs/>
          <w:sz w:val="20"/>
          <w:szCs w:val="20"/>
          <w:lang w:val="es-ES_tradnl"/>
        </w:rPr>
        <w:t xml:space="preserve"> el fondo</w:t>
      </w:r>
      <w:r w:rsidRPr="00D21AF3">
        <w:rPr>
          <w:rFonts w:asciiTheme="majorHAnsi" w:hAnsiTheme="majorHAnsi"/>
          <w:bCs/>
          <w:sz w:val="20"/>
          <w:szCs w:val="20"/>
          <w:lang w:val="es-ES_tradnl"/>
        </w:rPr>
        <w:t xml:space="preserve">. </w:t>
      </w:r>
    </w:p>
    <w:p w14:paraId="16AE80C3" w14:textId="4E53AAAF" w:rsidR="006A014C" w:rsidRPr="00D21AF3" w:rsidRDefault="008E1605"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2006 </w:t>
      </w:r>
      <w:r w:rsidR="005A194C" w:rsidRPr="00D21AF3">
        <w:rPr>
          <w:rFonts w:asciiTheme="majorHAnsi" w:hAnsiTheme="majorHAnsi"/>
          <w:bCs/>
          <w:sz w:val="20"/>
          <w:szCs w:val="20"/>
          <w:lang w:val="es-ES_tradnl"/>
        </w:rPr>
        <w:t>las presuntas víctimas formaron</w:t>
      </w:r>
      <w:r w:rsidRPr="00D21AF3">
        <w:rPr>
          <w:rFonts w:asciiTheme="majorHAnsi" w:hAnsiTheme="majorHAnsi"/>
          <w:bCs/>
          <w:sz w:val="20"/>
          <w:szCs w:val="20"/>
          <w:lang w:val="es-ES_tradnl"/>
        </w:rPr>
        <w:t xml:space="preserve"> el Comité de Víctimas de la Comunidad </w:t>
      </w:r>
      <w:r w:rsidRPr="00D21AF3">
        <w:rPr>
          <w:rFonts w:asciiTheme="majorHAnsi" w:hAnsiTheme="majorHAnsi"/>
          <w:bCs/>
          <w:i/>
          <w:iCs/>
          <w:sz w:val="20"/>
          <w:szCs w:val="20"/>
          <w:lang w:val="es-ES_tradnl"/>
        </w:rPr>
        <w:t>El Triunfo</w:t>
      </w:r>
      <w:r w:rsidR="00431DF5"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y el </w:t>
      </w:r>
      <w:r w:rsidR="00087602" w:rsidRPr="00D21AF3">
        <w:rPr>
          <w:rFonts w:asciiTheme="majorHAnsi" w:hAnsiTheme="majorHAnsi"/>
          <w:bCs/>
          <w:sz w:val="20"/>
          <w:szCs w:val="20"/>
          <w:lang w:val="es-ES_tradnl"/>
        </w:rPr>
        <w:t>9</w:t>
      </w:r>
      <w:r w:rsidRPr="00D21AF3">
        <w:rPr>
          <w:rFonts w:asciiTheme="majorHAnsi" w:hAnsiTheme="majorHAnsi"/>
          <w:bCs/>
          <w:sz w:val="20"/>
          <w:szCs w:val="20"/>
          <w:lang w:val="es-ES_tradnl"/>
        </w:rPr>
        <w:t xml:space="preserve"> de diciembre de 2008 entregaron un </w:t>
      </w:r>
      <w:r w:rsidR="006A014C" w:rsidRPr="00D21AF3">
        <w:rPr>
          <w:rFonts w:asciiTheme="majorHAnsi" w:hAnsiTheme="majorHAnsi"/>
          <w:bCs/>
          <w:sz w:val="20"/>
          <w:szCs w:val="20"/>
          <w:lang w:val="es-ES_tradnl"/>
        </w:rPr>
        <w:t>memorial de agravios ante el PNR,</w:t>
      </w:r>
      <w:r w:rsidRPr="00D21AF3">
        <w:rPr>
          <w:rFonts w:asciiTheme="majorHAnsi" w:hAnsiTheme="majorHAnsi"/>
          <w:bCs/>
          <w:sz w:val="20"/>
          <w:szCs w:val="20"/>
          <w:lang w:val="es-ES_tradnl"/>
        </w:rPr>
        <w:t xml:space="preserve"> </w:t>
      </w:r>
      <w:r w:rsidR="006A014C" w:rsidRPr="00D21AF3">
        <w:rPr>
          <w:rFonts w:asciiTheme="majorHAnsi" w:hAnsiTheme="majorHAnsi"/>
          <w:bCs/>
          <w:sz w:val="20"/>
          <w:szCs w:val="20"/>
          <w:lang w:val="es-ES_tradnl"/>
        </w:rPr>
        <w:t xml:space="preserve">narrando lo vivido </w:t>
      </w:r>
      <w:r w:rsidRPr="00D21AF3">
        <w:rPr>
          <w:rFonts w:asciiTheme="majorHAnsi" w:hAnsiTheme="majorHAnsi"/>
          <w:bCs/>
          <w:sz w:val="20"/>
          <w:szCs w:val="20"/>
          <w:lang w:val="es-ES_tradnl"/>
        </w:rPr>
        <w:t>durante el conflicto armado, así como una petición de reparación</w:t>
      </w:r>
      <w:r w:rsidR="006A014C" w:rsidRPr="00D21AF3">
        <w:rPr>
          <w:rFonts w:asciiTheme="majorHAnsi" w:hAnsiTheme="majorHAnsi"/>
          <w:bCs/>
          <w:sz w:val="20"/>
          <w:szCs w:val="20"/>
          <w:lang w:val="es-ES_tradnl"/>
        </w:rPr>
        <w:t xml:space="preserve">. </w:t>
      </w:r>
      <w:r w:rsidR="005A194C" w:rsidRPr="00D21AF3">
        <w:rPr>
          <w:rFonts w:asciiTheme="majorHAnsi" w:hAnsiTheme="majorHAnsi"/>
          <w:bCs/>
          <w:sz w:val="20"/>
          <w:szCs w:val="20"/>
          <w:lang w:val="es-ES_tradnl"/>
        </w:rPr>
        <w:t>Sin embargo</w:t>
      </w:r>
      <w:r w:rsidR="006A014C"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no recibieron notificación o novedad alguna</w:t>
      </w:r>
      <w:r w:rsidR="00CD0E9F" w:rsidRPr="00D21AF3">
        <w:rPr>
          <w:rFonts w:asciiTheme="majorHAnsi" w:hAnsiTheme="majorHAnsi"/>
          <w:bCs/>
          <w:sz w:val="20"/>
          <w:szCs w:val="20"/>
          <w:lang w:val="es-ES_tradnl"/>
        </w:rPr>
        <w:t xml:space="preserve">, </w:t>
      </w:r>
      <w:r w:rsidR="005A194C" w:rsidRPr="00D21AF3">
        <w:rPr>
          <w:rFonts w:asciiTheme="majorHAnsi" w:hAnsiTheme="majorHAnsi"/>
          <w:bCs/>
          <w:sz w:val="20"/>
          <w:szCs w:val="20"/>
          <w:lang w:val="es-ES_tradnl"/>
        </w:rPr>
        <w:t>por lo que</w:t>
      </w:r>
      <w:r w:rsidR="006A014C" w:rsidRPr="00D21AF3">
        <w:rPr>
          <w:rFonts w:asciiTheme="majorHAnsi" w:hAnsiTheme="majorHAnsi"/>
          <w:bCs/>
          <w:sz w:val="20"/>
          <w:szCs w:val="20"/>
          <w:lang w:val="es-ES_tradnl"/>
        </w:rPr>
        <w:t xml:space="preserve"> d</w:t>
      </w:r>
      <w:r w:rsidRPr="00D21AF3">
        <w:rPr>
          <w:rFonts w:asciiTheme="majorHAnsi" w:hAnsiTheme="majorHAnsi"/>
          <w:bCs/>
          <w:sz w:val="20"/>
          <w:szCs w:val="20"/>
          <w:lang w:val="es-ES_tradnl"/>
        </w:rPr>
        <w:t>enunciaron</w:t>
      </w:r>
      <w:r w:rsidR="00EB65E8" w:rsidRPr="00D21AF3">
        <w:rPr>
          <w:rFonts w:asciiTheme="majorHAnsi" w:hAnsiTheme="majorHAnsi"/>
          <w:bCs/>
          <w:sz w:val="20"/>
          <w:szCs w:val="20"/>
          <w:lang w:val="es-ES_tradnl"/>
        </w:rPr>
        <w:t xml:space="preserve"> – sin que </w:t>
      </w:r>
      <w:r w:rsidR="00132C46" w:rsidRPr="00D21AF3">
        <w:rPr>
          <w:rFonts w:asciiTheme="majorHAnsi" w:hAnsiTheme="majorHAnsi"/>
          <w:bCs/>
          <w:sz w:val="20"/>
          <w:szCs w:val="20"/>
          <w:lang w:val="es-ES_tradnl"/>
        </w:rPr>
        <w:t>los</w:t>
      </w:r>
      <w:r w:rsidR="00EB65E8" w:rsidRPr="00D21AF3">
        <w:rPr>
          <w:rFonts w:asciiTheme="majorHAnsi" w:hAnsiTheme="majorHAnsi"/>
          <w:bCs/>
          <w:sz w:val="20"/>
          <w:szCs w:val="20"/>
          <w:lang w:val="es-ES_tradnl"/>
        </w:rPr>
        <w:t xml:space="preserve"> peticionario</w:t>
      </w:r>
      <w:r w:rsidR="00132C46" w:rsidRPr="00D21AF3">
        <w:rPr>
          <w:rFonts w:asciiTheme="majorHAnsi" w:hAnsiTheme="majorHAnsi"/>
          <w:bCs/>
          <w:sz w:val="20"/>
          <w:szCs w:val="20"/>
          <w:lang w:val="es-ES_tradnl"/>
        </w:rPr>
        <w:t>s</w:t>
      </w:r>
      <w:r w:rsidR="00EB65E8" w:rsidRPr="00D21AF3">
        <w:rPr>
          <w:rFonts w:asciiTheme="majorHAnsi" w:hAnsiTheme="majorHAnsi"/>
          <w:bCs/>
          <w:sz w:val="20"/>
          <w:szCs w:val="20"/>
          <w:lang w:val="es-ES_tradnl"/>
        </w:rPr>
        <w:t xml:space="preserve"> precise</w:t>
      </w:r>
      <w:r w:rsidR="00132C46" w:rsidRPr="00D21AF3">
        <w:rPr>
          <w:rFonts w:asciiTheme="majorHAnsi" w:hAnsiTheme="majorHAnsi"/>
          <w:bCs/>
          <w:sz w:val="20"/>
          <w:szCs w:val="20"/>
          <w:lang w:val="es-ES_tradnl"/>
        </w:rPr>
        <w:t>n</w:t>
      </w:r>
      <w:r w:rsidR="00EB65E8" w:rsidRPr="00D21AF3">
        <w:rPr>
          <w:rFonts w:asciiTheme="majorHAnsi" w:hAnsiTheme="majorHAnsi"/>
          <w:bCs/>
          <w:sz w:val="20"/>
          <w:szCs w:val="20"/>
          <w:lang w:val="es-ES_tradnl"/>
        </w:rPr>
        <w:t xml:space="preserve"> la fecha– </w:t>
      </w:r>
      <w:r w:rsidRPr="00D21AF3">
        <w:rPr>
          <w:rFonts w:asciiTheme="majorHAnsi" w:hAnsiTheme="majorHAnsi"/>
          <w:bCs/>
          <w:sz w:val="20"/>
          <w:szCs w:val="20"/>
          <w:lang w:val="es-ES_tradnl"/>
        </w:rPr>
        <w:t>ante la Procuraduría de Derechos Humanos y el Congreso de la República el incumplimiento y abandono de</w:t>
      </w:r>
      <w:r w:rsidR="000A3EE2" w:rsidRPr="00D21AF3">
        <w:rPr>
          <w:rFonts w:asciiTheme="majorHAnsi" w:hAnsiTheme="majorHAnsi"/>
          <w:bCs/>
          <w:sz w:val="20"/>
          <w:szCs w:val="20"/>
          <w:lang w:val="es-ES_tradnl"/>
        </w:rPr>
        <w:t xml:space="preserve">l </w:t>
      </w:r>
      <w:r w:rsidRPr="00D21AF3">
        <w:rPr>
          <w:rFonts w:asciiTheme="majorHAnsi" w:hAnsiTheme="majorHAnsi"/>
          <w:bCs/>
          <w:sz w:val="20"/>
          <w:szCs w:val="20"/>
          <w:lang w:val="es-ES_tradnl"/>
        </w:rPr>
        <w:t>PNR</w:t>
      </w:r>
      <w:r w:rsidR="006A014C" w:rsidRPr="00D21AF3">
        <w:rPr>
          <w:rFonts w:asciiTheme="majorHAnsi" w:hAnsiTheme="majorHAnsi"/>
          <w:bCs/>
          <w:sz w:val="20"/>
          <w:szCs w:val="20"/>
          <w:lang w:val="es-ES_tradnl"/>
        </w:rPr>
        <w:t>. D</w:t>
      </w:r>
      <w:r w:rsidRPr="00D21AF3">
        <w:rPr>
          <w:rFonts w:asciiTheme="majorHAnsi" w:hAnsiTheme="majorHAnsi"/>
          <w:bCs/>
          <w:sz w:val="20"/>
          <w:szCs w:val="20"/>
          <w:lang w:val="es-ES_tradnl"/>
        </w:rPr>
        <w:t>ichas instituciones lograron que se instalara una mesa de negociación, acordando la visita de funcionarios del PNR</w:t>
      </w:r>
      <w:r w:rsidR="009633C6" w:rsidRPr="00D21AF3">
        <w:rPr>
          <w:rFonts w:asciiTheme="majorHAnsi" w:hAnsiTheme="majorHAnsi"/>
          <w:bCs/>
          <w:sz w:val="20"/>
          <w:szCs w:val="20"/>
          <w:lang w:val="es-ES_tradnl"/>
        </w:rPr>
        <w:t xml:space="preserve"> –</w:t>
      </w:r>
      <w:r w:rsidR="00132C46" w:rsidRPr="00D21AF3">
        <w:rPr>
          <w:rFonts w:asciiTheme="majorHAnsi" w:hAnsiTheme="majorHAnsi"/>
          <w:bCs/>
          <w:sz w:val="20"/>
          <w:szCs w:val="20"/>
          <w:lang w:val="es-ES_tradnl"/>
        </w:rPr>
        <w:t xml:space="preserve">los peticionarios </w:t>
      </w:r>
      <w:r w:rsidR="009633C6" w:rsidRPr="00D21AF3">
        <w:rPr>
          <w:rFonts w:asciiTheme="majorHAnsi" w:hAnsiTheme="majorHAnsi"/>
          <w:bCs/>
          <w:sz w:val="20"/>
          <w:szCs w:val="20"/>
          <w:lang w:val="es-ES_tradnl"/>
        </w:rPr>
        <w:t>no indica</w:t>
      </w:r>
      <w:r w:rsidR="00132C46" w:rsidRPr="00D21AF3">
        <w:rPr>
          <w:rFonts w:asciiTheme="majorHAnsi" w:hAnsiTheme="majorHAnsi"/>
          <w:bCs/>
          <w:sz w:val="20"/>
          <w:szCs w:val="20"/>
          <w:lang w:val="es-ES_tradnl"/>
        </w:rPr>
        <w:t>n</w:t>
      </w:r>
      <w:r w:rsidR="009633C6" w:rsidRPr="00D21AF3">
        <w:rPr>
          <w:rFonts w:asciiTheme="majorHAnsi" w:hAnsiTheme="majorHAnsi"/>
          <w:bCs/>
          <w:sz w:val="20"/>
          <w:szCs w:val="20"/>
          <w:lang w:val="es-ES_tradnl"/>
        </w:rPr>
        <w:t xml:space="preserve"> </w:t>
      </w:r>
      <w:r w:rsidR="00A3376C" w:rsidRPr="00D21AF3">
        <w:rPr>
          <w:rFonts w:asciiTheme="majorHAnsi" w:hAnsiTheme="majorHAnsi"/>
          <w:bCs/>
          <w:sz w:val="20"/>
          <w:szCs w:val="20"/>
          <w:lang w:val="es-ES_tradnl"/>
        </w:rPr>
        <w:t>si llegaron a otros acuerdos</w:t>
      </w:r>
      <w:r w:rsidR="009633C6" w:rsidRPr="00D21AF3">
        <w:rPr>
          <w:rFonts w:asciiTheme="majorHAnsi" w:hAnsiTheme="majorHAnsi"/>
          <w:bCs/>
          <w:sz w:val="20"/>
          <w:szCs w:val="20"/>
          <w:lang w:val="es-ES_tradnl"/>
        </w:rPr>
        <w:t xml:space="preserve">–. </w:t>
      </w:r>
    </w:p>
    <w:p w14:paraId="6962B7AB" w14:textId="3C295734" w:rsidR="006A014C" w:rsidRPr="00D21AF3" w:rsidRDefault="00D12106"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La parte peticionaria a</w:t>
      </w:r>
      <w:r w:rsidR="008E1605" w:rsidRPr="00D21AF3">
        <w:rPr>
          <w:rFonts w:asciiTheme="majorHAnsi" w:hAnsiTheme="majorHAnsi"/>
          <w:bCs/>
          <w:sz w:val="20"/>
          <w:szCs w:val="20"/>
          <w:lang w:val="es-ES_tradnl"/>
        </w:rPr>
        <w:t xml:space="preserve">segura también que el Estado se ha negado a exhumar los cuerpos de sus familiares que fallecieron a causa del conflicto interno, sin poder darles una sepultura digna. Particularmente, mencionan que los niños que nacieron en las montañas no pudieron ser registrados por el cerco militar que existía; pese a ello, cuando piden la exhumación de sus cuerpos, no se los permiten al no contar con actas de nacimiento de sus familiares. </w:t>
      </w:r>
    </w:p>
    <w:p w14:paraId="1833574A" w14:textId="727F20CB" w:rsidR="00AC0106" w:rsidRPr="00D21AF3" w:rsidRDefault="008E1605"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La parte peticionaria no considera que existan otros procesos legales que puedan presentar, puesto que el proceso de reparación no está regido por una ley, por lo que no pueden acudir ante tribunales. Aunado a esto, indican que las presuntas víctimas no forman parte del Movimiento Nacional de Víctimas que es una organización que, por motivos políticos, </w:t>
      </w:r>
      <w:r w:rsidR="00680B4E" w:rsidRPr="00D21AF3">
        <w:rPr>
          <w:rFonts w:asciiTheme="majorHAnsi" w:hAnsiTheme="majorHAnsi"/>
          <w:bCs/>
          <w:sz w:val="20"/>
          <w:szCs w:val="20"/>
          <w:lang w:val="es-ES_tradnl"/>
        </w:rPr>
        <w:t xml:space="preserve">según alegan, </w:t>
      </w:r>
      <w:r w:rsidRPr="00D21AF3">
        <w:rPr>
          <w:rFonts w:asciiTheme="majorHAnsi" w:hAnsiTheme="majorHAnsi"/>
          <w:bCs/>
          <w:sz w:val="20"/>
          <w:szCs w:val="20"/>
          <w:lang w:val="es-ES_tradnl"/>
        </w:rPr>
        <w:t>tiene gran poder dentro del PNR</w:t>
      </w:r>
      <w:r w:rsidR="00A3376C" w:rsidRPr="00D21AF3">
        <w:rPr>
          <w:rFonts w:asciiTheme="majorHAnsi" w:hAnsiTheme="majorHAnsi"/>
          <w:bCs/>
          <w:sz w:val="20"/>
          <w:szCs w:val="20"/>
          <w:lang w:val="es-ES_tradnl"/>
        </w:rPr>
        <w:t>; e</w:t>
      </w:r>
      <w:r w:rsidRPr="00D21AF3">
        <w:rPr>
          <w:rFonts w:asciiTheme="majorHAnsi" w:hAnsiTheme="majorHAnsi"/>
          <w:bCs/>
          <w:sz w:val="20"/>
          <w:szCs w:val="20"/>
          <w:lang w:val="es-ES_tradnl"/>
        </w:rPr>
        <w:t xml:space="preserve">n consecuencia, no se les atiende con celeridad como a otros grupos, generando un trato desigual. Asimismo, </w:t>
      </w:r>
      <w:r w:rsidR="00613ACD" w:rsidRPr="00D21AF3">
        <w:rPr>
          <w:rFonts w:asciiTheme="majorHAnsi" w:hAnsiTheme="majorHAnsi"/>
          <w:bCs/>
          <w:sz w:val="20"/>
          <w:szCs w:val="20"/>
          <w:lang w:val="es-ES_tradnl"/>
        </w:rPr>
        <w:t>denuncian</w:t>
      </w:r>
      <w:r w:rsidRPr="00D21AF3">
        <w:rPr>
          <w:rFonts w:asciiTheme="majorHAnsi" w:hAnsiTheme="majorHAnsi"/>
          <w:bCs/>
          <w:sz w:val="20"/>
          <w:szCs w:val="20"/>
          <w:lang w:val="es-ES_tradnl"/>
        </w:rPr>
        <w:t xml:space="preserve"> una constante revictimización por haber participado en los patrullajes dentro del conflicto armado</w:t>
      </w:r>
      <w:r w:rsidR="00A3376C" w:rsidRPr="00D21AF3">
        <w:rPr>
          <w:rFonts w:asciiTheme="majorHAnsi" w:hAnsiTheme="majorHAnsi"/>
          <w:bCs/>
          <w:sz w:val="20"/>
          <w:szCs w:val="20"/>
          <w:lang w:val="es-ES_tradnl"/>
        </w:rPr>
        <w:t>, pese a que</w:t>
      </w:r>
      <w:r w:rsidRPr="00D21AF3">
        <w:rPr>
          <w:rFonts w:asciiTheme="majorHAnsi" w:hAnsiTheme="majorHAnsi"/>
          <w:bCs/>
          <w:sz w:val="20"/>
          <w:szCs w:val="20"/>
          <w:lang w:val="es-ES_tradnl"/>
        </w:rPr>
        <w:t xml:space="preserve"> estaban reclutados de manera forzada. </w:t>
      </w:r>
    </w:p>
    <w:p w14:paraId="68DE25A5" w14:textId="374FA5CD" w:rsidR="00AC0106" w:rsidRPr="00D21AF3" w:rsidRDefault="00AC0106"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cuanto al funcionamiento del PNR, </w:t>
      </w:r>
      <w:r w:rsidR="00132C46" w:rsidRPr="00D21AF3">
        <w:rPr>
          <w:rFonts w:asciiTheme="majorHAnsi" w:hAnsiTheme="majorHAnsi"/>
          <w:bCs/>
          <w:sz w:val="20"/>
          <w:szCs w:val="20"/>
          <w:lang w:val="es-ES_tradnl"/>
        </w:rPr>
        <w:t>los</w:t>
      </w:r>
      <w:r w:rsidRPr="00D21AF3">
        <w:rPr>
          <w:rFonts w:asciiTheme="majorHAnsi" w:hAnsiTheme="majorHAnsi"/>
          <w:bCs/>
          <w:sz w:val="20"/>
          <w:szCs w:val="20"/>
          <w:lang w:val="es-ES_tradnl"/>
        </w:rPr>
        <w:t xml:space="preserve"> peticionario</w:t>
      </w:r>
      <w:r w:rsidR="00132C46"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asegura</w:t>
      </w:r>
      <w:r w:rsidR="00132C46" w:rsidRPr="00D21AF3">
        <w:rPr>
          <w:rFonts w:asciiTheme="majorHAnsi" w:hAnsiTheme="majorHAnsi"/>
          <w:bCs/>
          <w:sz w:val="20"/>
          <w:szCs w:val="20"/>
          <w:lang w:val="es-ES_tradnl"/>
        </w:rPr>
        <w:t>n</w:t>
      </w:r>
      <w:r w:rsidRPr="00D21AF3">
        <w:rPr>
          <w:rFonts w:asciiTheme="majorHAnsi" w:hAnsiTheme="majorHAnsi"/>
          <w:bCs/>
          <w:sz w:val="20"/>
          <w:szCs w:val="20"/>
          <w:lang w:val="es-ES_tradnl"/>
        </w:rPr>
        <w:t xml:space="preserve"> que, pese a que surgió como un compromiso medular de los Acuerdos de Paz asumidos por el Estado en 1996, el programa tiene limitaciones de varios tipos: como la falta de presupuesto, de cobertura, y anomalías e irregularidades en el </w:t>
      </w:r>
      <w:r w:rsidRPr="00D21AF3">
        <w:rPr>
          <w:rFonts w:asciiTheme="majorHAnsi" w:hAnsiTheme="majorHAnsi"/>
          <w:bCs/>
          <w:sz w:val="20"/>
          <w:szCs w:val="20"/>
          <w:lang w:val="es-ES_tradnl"/>
        </w:rPr>
        <w:lastRenderedPageBreak/>
        <w:t xml:space="preserve">cumplimiento de sus funciones. Apoyan su argumento indicando que frente a las falencias del PNR la misma </w:t>
      </w:r>
      <w:r w:rsidR="00132C46" w:rsidRPr="00D21AF3">
        <w:rPr>
          <w:rFonts w:asciiTheme="majorHAnsi" w:hAnsiTheme="majorHAnsi"/>
          <w:bCs/>
          <w:sz w:val="20"/>
          <w:szCs w:val="20"/>
          <w:lang w:val="es-ES_tradnl"/>
        </w:rPr>
        <w:t>Procuraduría</w:t>
      </w:r>
      <w:r w:rsidRPr="00D21AF3">
        <w:rPr>
          <w:rFonts w:asciiTheme="majorHAnsi" w:hAnsiTheme="majorHAnsi"/>
          <w:bCs/>
          <w:sz w:val="20"/>
          <w:szCs w:val="20"/>
          <w:lang w:val="es-ES_tradnl"/>
        </w:rPr>
        <w:t xml:space="preserve"> de Derechos Humanos ha monitoreado la </w:t>
      </w:r>
      <w:r w:rsidR="00132C46" w:rsidRPr="00D21AF3">
        <w:rPr>
          <w:rFonts w:asciiTheme="majorHAnsi" w:hAnsiTheme="majorHAnsi"/>
          <w:bCs/>
          <w:sz w:val="20"/>
          <w:szCs w:val="20"/>
          <w:lang w:val="es-ES_tradnl"/>
        </w:rPr>
        <w:t>situación</w:t>
      </w:r>
      <w:r w:rsidRPr="00D21AF3">
        <w:rPr>
          <w:rFonts w:asciiTheme="majorHAnsi" w:hAnsiTheme="majorHAnsi"/>
          <w:bCs/>
          <w:sz w:val="20"/>
          <w:szCs w:val="20"/>
          <w:lang w:val="es-ES_tradnl"/>
        </w:rPr>
        <w:t xml:space="preserve"> del PNR e incluso presentó un amparo contra </w:t>
      </w:r>
      <w:r w:rsidR="00DE70FF" w:rsidRPr="00D21AF3">
        <w:rPr>
          <w:rFonts w:asciiTheme="majorHAnsi" w:hAnsiTheme="majorHAnsi"/>
          <w:bCs/>
          <w:sz w:val="20"/>
          <w:szCs w:val="20"/>
          <w:lang w:val="es-ES_tradnl"/>
        </w:rPr>
        <w:t xml:space="preserve">el Delegado del Presidente de la República ante la Comisión Nacional de Resarcimiento del PNR. </w:t>
      </w:r>
      <w:r w:rsidR="001C5397" w:rsidRPr="00D21AF3">
        <w:rPr>
          <w:rFonts w:asciiTheme="majorHAnsi" w:hAnsiTheme="majorHAnsi"/>
          <w:bCs/>
          <w:sz w:val="20"/>
          <w:szCs w:val="20"/>
          <w:lang w:val="es-ES_tradnl"/>
        </w:rPr>
        <w:t xml:space="preserve">Así, el </w:t>
      </w:r>
      <w:r w:rsidR="00A3376C" w:rsidRPr="00D21AF3">
        <w:rPr>
          <w:rFonts w:asciiTheme="majorHAnsi" w:hAnsiTheme="majorHAnsi"/>
          <w:bCs/>
          <w:sz w:val="20"/>
          <w:szCs w:val="20"/>
          <w:lang w:val="es-ES_tradnl"/>
        </w:rPr>
        <w:t>Juez Cuarto de primera instancia civil del departamento de Guatemala</w:t>
      </w:r>
      <w:r w:rsidR="001C5397" w:rsidRPr="00D21AF3">
        <w:rPr>
          <w:rFonts w:asciiTheme="majorHAnsi" w:hAnsiTheme="majorHAnsi"/>
          <w:bCs/>
          <w:sz w:val="20"/>
          <w:szCs w:val="20"/>
          <w:lang w:val="es-ES_tradnl"/>
        </w:rPr>
        <w:t xml:space="preserve">, </w:t>
      </w:r>
      <w:r w:rsidR="00A3376C" w:rsidRPr="00D21AF3">
        <w:rPr>
          <w:rFonts w:asciiTheme="majorHAnsi" w:hAnsiTheme="majorHAnsi"/>
          <w:bCs/>
          <w:sz w:val="20"/>
          <w:szCs w:val="20"/>
          <w:lang w:val="es-ES_tradnl"/>
        </w:rPr>
        <w:t>el</w:t>
      </w:r>
      <w:r w:rsidRPr="00D21AF3">
        <w:rPr>
          <w:rFonts w:asciiTheme="majorHAnsi" w:hAnsiTheme="majorHAnsi"/>
          <w:bCs/>
          <w:sz w:val="20"/>
          <w:szCs w:val="20"/>
          <w:lang w:val="es-ES_tradnl"/>
        </w:rPr>
        <w:t xml:space="preserve"> 23 de noviembre de 2016</w:t>
      </w:r>
      <w:r w:rsidR="00A3376C" w:rsidRPr="00D21AF3">
        <w:rPr>
          <w:rFonts w:asciiTheme="majorHAnsi" w:hAnsiTheme="majorHAnsi"/>
          <w:bCs/>
          <w:sz w:val="20"/>
          <w:szCs w:val="20"/>
          <w:lang w:val="es-ES_tradnl"/>
        </w:rPr>
        <w:t xml:space="preserve">, otorgó el </w:t>
      </w:r>
      <w:r w:rsidRPr="00D21AF3">
        <w:rPr>
          <w:rFonts w:asciiTheme="majorHAnsi" w:hAnsiTheme="majorHAnsi"/>
          <w:bCs/>
          <w:sz w:val="20"/>
          <w:szCs w:val="20"/>
          <w:lang w:val="es-ES_tradnl"/>
        </w:rPr>
        <w:t xml:space="preserve">amparo </w:t>
      </w:r>
      <w:r w:rsidR="00A3376C" w:rsidRPr="00D21AF3">
        <w:rPr>
          <w:rFonts w:asciiTheme="majorHAnsi" w:hAnsiTheme="majorHAnsi"/>
          <w:bCs/>
          <w:sz w:val="20"/>
          <w:szCs w:val="20"/>
          <w:lang w:val="es-ES_tradnl"/>
        </w:rPr>
        <w:t xml:space="preserve">No. </w:t>
      </w:r>
      <w:r w:rsidRPr="00D21AF3">
        <w:rPr>
          <w:rFonts w:asciiTheme="majorHAnsi" w:hAnsiTheme="majorHAnsi"/>
          <w:bCs/>
          <w:sz w:val="20"/>
          <w:szCs w:val="20"/>
          <w:lang w:val="es-ES_tradnl"/>
        </w:rPr>
        <w:t xml:space="preserve">1050-2016-589, ordenando a las autoridades a realizar las gestiones administrativas y financieras necesarias para la </w:t>
      </w:r>
      <w:r w:rsidR="00A67A70" w:rsidRPr="00D21AF3">
        <w:rPr>
          <w:rFonts w:asciiTheme="majorHAnsi" w:hAnsiTheme="majorHAnsi"/>
          <w:bCs/>
          <w:sz w:val="20"/>
          <w:szCs w:val="20"/>
          <w:lang w:val="es-ES_tradnl"/>
        </w:rPr>
        <w:t>implementación</w:t>
      </w:r>
      <w:r w:rsidRPr="00D21AF3">
        <w:rPr>
          <w:rFonts w:asciiTheme="majorHAnsi" w:hAnsiTheme="majorHAnsi"/>
          <w:bCs/>
          <w:sz w:val="20"/>
          <w:szCs w:val="20"/>
          <w:lang w:val="es-ES_tradnl"/>
        </w:rPr>
        <w:t xml:space="preserve"> de todos y cada uno de los fines del PNR, </w:t>
      </w:r>
      <w:r w:rsidR="00B11A0F" w:rsidRPr="00D21AF3">
        <w:rPr>
          <w:rFonts w:asciiTheme="majorHAnsi" w:hAnsiTheme="majorHAnsi"/>
          <w:bCs/>
          <w:sz w:val="20"/>
          <w:szCs w:val="20"/>
          <w:lang w:val="es-ES_tradnl"/>
        </w:rPr>
        <w:t>para</w:t>
      </w:r>
      <w:r w:rsidRPr="00D21AF3">
        <w:rPr>
          <w:rFonts w:asciiTheme="majorHAnsi" w:hAnsiTheme="majorHAnsi"/>
          <w:bCs/>
          <w:sz w:val="20"/>
          <w:szCs w:val="20"/>
          <w:lang w:val="es-ES_tradnl"/>
        </w:rPr>
        <w:t xml:space="preserve"> que siga funcionando en </w:t>
      </w:r>
      <w:r w:rsidR="006649FC" w:rsidRPr="00D21AF3">
        <w:rPr>
          <w:rFonts w:asciiTheme="majorHAnsi" w:hAnsiTheme="majorHAnsi"/>
          <w:bCs/>
          <w:sz w:val="20"/>
          <w:szCs w:val="20"/>
          <w:lang w:val="es-ES_tradnl"/>
        </w:rPr>
        <w:t xml:space="preserve">la </w:t>
      </w:r>
      <w:r w:rsidR="00A67A70" w:rsidRPr="00D21AF3">
        <w:rPr>
          <w:rFonts w:asciiTheme="majorHAnsi" w:hAnsiTheme="majorHAnsi"/>
          <w:bCs/>
          <w:sz w:val="20"/>
          <w:szCs w:val="20"/>
          <w:lang w:val="es-ES_tradnl"/>
        </w:rPr>
        <w:t>atención</w:t>
      </w:r>
      <w:r w:rsidRPr="00D21AF3">
        <w:rPr>
          <w:rFonts w:asciiTheme="majorHAnsi" w:hAnsiTheme="majorHAnsi"/>
          <w:bCs/>
          <w:sz w:val="20"/>
          <w:szCs w:val="20"/>
          <w:lang w:val="es-ES_tradnl"/>
        </w:rPr>
        <w:t xml:space="preserve"> a las </w:t>
      </w:r>
      <w:r w:rsidR="00A67A70" w:rsidRPr="00D21AF3">
        <w:rPr>
          <w:rFonts w:asciiTheme="majorHAnsi" w:hAnsiTheme="majorHAnsi"/>
          <w:bCs/>
          <w:sz w:val="20"/>
          <w:szCs w:val="20"/>
          <w:lang w:val="es-ES_tradnl"/>
        </w:rPr>
        <w:t>víctimas</w:t>
      </w:r>
      <w:r w:rsidRPr="00D21AF3">
        <w:rPr>
          <w:rFonts w:asciiTheme="majorHAnsi" w:hAnsiTheme="majorHAnsi"/>
          <w:bCs/>
          <w:sz w:val="20"/>
          <w:szCs w:val="20"/>
          <w:lang w:val="es-ES_tradnl"/>
        </w:rPr>
        <w:t xml:space="preserve"> del </w:t>
      </w:r>
      <w:r w:rsidR="00A46383" w:rsidRPr="00D21AF3">
        <w:rPr>
          <w:rFonts w:asciiTheme="majorHAnsi" w:hAnsiTheme="majorHAnsi"/>
          <w:bCs/>
          <w:sz w:val="20"/>
          <w:szCs w:val="20"/>
          <w:lang w:val="es-ES_tradnl"/>
        </w:rPr>
        <w:t>conflicto</w:t>
      </w:r>
      <w:r w:rsidRPr="00D21AF3">
        <w:rPr>
          <w:rFonts w:asciiTheme="majorHAnsi" w:hAnsiTheme="majorHAnsi"/>
          <w:bCs/>
          <w:sz w:val="20"/>
          <w:szCs w:val="20"/>
          <w:lang w:val="es-ES_tradnl"/>
        </w:rPr>
        <w:t xml:space="preserve"> armado. Dicha sentencia fue confirmada por la Corte de Constitucionalidad de Guatemala</w:t>
      </w:r>
      <w:r w:rsidR="001C5397" w:rsidRPr="00D21AF3">
        <w:rPr>
          <w:rFonts w:asciiTheme="majorHAnsi" w:hAnsiTheme="majorHAnsi"/>
          <w:bCs/>
          <w:sz w:val="20"/>
          <w:szCs w:val="20"/>
          <w:lang w:val="es-ES_tradnl"/>
        </w:rPr>
        <w:t xml:space="preserve"> el 17 de enero de 2019</w:t>
      </w:r>
      <w:r w:rsidRPr="00D21AF3">
        <w:rPr>
          <w:rFonts w:asciiTheme="majorHAnsi" w:hAnsiTheme="majorHAnsi"/>
          <w:bCs/>
          <w:sz w:val="20"/>
          <w:szCs w:val="20"/>
          <w:lang w:val="es-ES_tradnl"/>
        </w:rPr>
        <w:t>.</w:t>
      </w:r>
    </w:p>
    <w:p w14:paraId="1FF06871" w14:textId="547D5628" w:rsidR="00AC0106" w:rsidRPr="00D21AF3" w:rsidRDefault="00AC0106"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Arguyen que la “</w:t>
      </w:r>
      <w:r w:rsidRPr="00D21AF3">
        <w:rPr>
          <w:rFonts w:asciiTheme="majorHAnsi" w:hAnsiTheme="majorHAnsi"/>
          <w:bCs/>
          <w:i/>
          <w:iCs/>
          <w:sz w:val="20"/>
          <w:szCs w:val="20"/>
          <w:lang w:val="es-ES_tradnl"/>
        </w:rPr>
        <w:t xml:space="preserve">conocida profunda debilidad” </w:t>
      </w:r>
      <w:r w:rsidRPr="00D21AF3">
        <w:rPr>
          <w:rFonts w:asciiTheme="majorHAnsi" w:hAnsiTheme="majorHAnsi"/>
          <w:bCs/>
          <w:sz w:val="20"/>
          <w:szCs w:val="20"/>
          <w:lang w:val="es-ES_tradnl"/>
        </w:rPr>
        <w:t xml:space="preserve">del PNR se acrecentó en 2020 cuando el Poder Ejecutivo emitió una serie de decretos gubernativos </w:t>
      </w:r>
      <w:r w:rsidR="00B11A0F" w:rsidRPr="00D21AF3">
        <w:rPr>
          <w:rFonts w:asciiTheme="majorHAnsi" w:hAnsiTheme="majorHAnsi"/>
          <w:bCs/>
          <w:sz w:val="20"/>
          <w:szCs w:val="20"/>
          <w:lang w:val="es-ES_tradnl"/>
        </w:rPr>
        <w:t>y</w:t>
      </w:r>
      <w:r w:rsidRPr="00D21AF3">
        <w:rPr>
          <w:rFonts w:asciiTheme="majorHAnsi" w:hAnsiTheme="majorHAnsi"/>
          <w:bCs/>
          <w:sz w:val="20"/>
          <w:szCs w:val="20"/>
          <w:lang w:val="es-ES_tradnl"/>
        </w:rPr>
        <w:t xml:space="preserve"> desmanteló a la Secretaría de la Paz, de la cual dependía el PNR, quedando adscrito al Ministerio de Desarrollo Social. Dicho cambio, modificó el abordaje del derecho a reparación, transformándola en una mera </w:t>
      </w:r>
      <w:r w:rsidR="00A67A70" w:rsidRPr="00D21AF3">
        <w:rPr>
          <w:rFonts w:asciiTheme="majorHAnsi" w:hAnsiTheme="majorHAnsi"/>
          <w:bCs/>
          <w:sz w:val="20"/>
          <w:szCs w:val="20"/>
          <w:lang w:val="es-ES_tradnl"/>
        </w:rPr>
        <w:t>política</w:t>
      </w:r>
      <w:r w:rsidRPr="00D21AF3">
        <w:rPr>
          <w:rFonts w:asciiTheme="majorHAnsi" w:hAnsiTheme="majorHAnsi"/>
          <w:bCs/>
          <w:sz w:val="20"/>
          <w:szCs w:val="20"/>
          <w:lang w:val="es-ES_tradnl"/>
        </w:rPr>
        <w:t xml:space="preserve"> de desarrollo social, asistencialista y sin una perspectiva de derechos humanos. </w:t>
      </w:r>
      <w:r w:rsidR="00132C46" w:rsidRPr="00D21AF3">
        <w:rPr>
          <w:rFonts w:asciiTheme="majorHAnsi" w:hAnsiTheme="majorHAnsi"/>
          <w:bCs/>
          <w:sz w:val="20"/>
          <w:szCs w:val="20"/>
          <w:lang w:val="es-ES_tradnl"/>
        </w:rPr>
        <w:t>Los</w:t>
      </w:r>
      <w:r w:rsidR="00075081" w:rsidRPr="00D21AF3">
        <w:rPr>
          <w:rFonts w:asciiTheme="majorHAnsi" w:hAnsiTheme="majorHAnsi"/>
          <w:bCs/>
          <w:sz w:val="20"/>
          <w:szCs w:val="20"/>
          <w:lang w:val="es-ES_tradnl"/>
        </w:rPr>
        <w:t xml:space="preserve"> peticionario</w:t>
      </w:r>
      <w:r w:rsidR="00132C46" w:rsidRPr="00D21AF3">
        <w:rPr>
          <w:rFonts w:asciiTheme="majorHAnsi" w:hAnsiTheme="majorHAnsi"/>
          <w:bCs/>
          <w:sz w:val="20"/>
          <w:szCs w:val="20"/>
          <w:lang w:val="es-ES_tradnl"/>
        </w:rPr>
        <w:t>s</w:t>
      </w:r>
      <w:r w:rsidR="00075081" w:rsidRPr="00D21AF3">
        <w:rPr>
          <w:rFonts w:asciiTheme="majorHAnsi" w:hAnsiTheme="majorHAnsi"/>
          <w:bCs/>
          <w:sz w:val="20"/>
          <w:szCs w:val="20"/>
          <w:lang w:val="es-ES_tradnl"/>
        </w:rPr>
        <w:t xml:space="preserve"> pide</w:t>
      </w:r>
      <w:r w:rsidR="00132C46" w:rsidRPr="00D21AF3">
        <w:rPr>
          <w:rFonts w:asciiTheme="majorHAnsi" w:hAnsiTheme="majorHAnsi"/>
          <w:bCs/>
          <w:sz w:val="20"/>
          <w:szCs w:val="20"/>
          <w:lang w:val="es-ES_tradnl"/>
        </w:rPr>
        <w:t>n</w:t>
      </w:r>
      <w:r w:rsidR="00075081" w:rsidRPr="00D21AF3">
        <w:rPr>
          <w:rFonts w:asciiTheme="majorHAnsi" w:hAnsiTheme="majorHAnsi"/>
          <w:bCs/>
          <w:sz w:val="20"/>
          <w:szCs w:val="20"/>
          <w:lang w:val="es-ES_tradnl"/>
        </w:rPr>
        <w:t xml:space="preserve"> pues que la CIDH analice la situación </w:t>
      </w:r>
      <w:r w:rsidR="00B11A0F" w:rsidRPr="00D21AF3">
        <w:rPr>
          <w:rFonts w:asciiTheme="majorHAnsi" w:hAnsiTheme="majorHAnsi"/>
          <w:bCs/>
          <w:sz w:val="20"/>
          <w:szCs w:val="20"/>
          <w:lang w:val="es-ES_tradnl"/>
        </w:rPr>
        <w:t>tomando en consideración</w:t>
      </w:r>
      <w:r w:rsidR="00075081" w:rsidRPr="00D21AF3">
        <w:rPr>
          <w:rFonts w:asciiTheme="majorHAnsi" w:hAnsiTheme="majorHAnsi"/>
          <w:bCs/>
          <w:sz w:val="20"/>
          <w:szCs w:val="20"/>
          <w:lang w:val="es-ES_tradnl"/>
        </w:rPr>
        <w:t xml:space="preserve"> los </w:t>
      </w:r>
      <w:r w:rsidR="00A67A70" w:rsidRPr="00D21AF3">
        <w:rPr>
          <w:rFonts w:asciiTheme="majorHAnsi" w:hAnsiTheme="majorHAnsi"/>
          <w:bCs/>
          <w:sz w:val="20"/>
          <w:szCs w:val="20"/>
          <w:lang w:val="es-ES_tradnl"/>
        </w:rPr>
        <w:t>obstáculos</w:t>
      </w:r>
      <w:r w:rsidR="00075081" w:rsidRPr="00D21AF3">
        <w:rPr>
          <w:rFonts w:asciiTheme="majorHAnsi" w:hAnsiTheme="majorHAnsi"/>
          <w:bCs/>
          <w:sz w:val="20"/>
          <w:szCs w:val="20"/>
          <w:lang w:val="es-ES_tradnl"/>
        </w:rPr>
        <w:t xml:space="preserve"> estructurales del PNR.</w:t>
      </w:r>
    </w:p>
    <w:p w14:paraId="004F1FB4" w14:textId="23AB7043" w:rsidR="00AC0106" w:rsidRPr="00D21AF3" w:rsidRDefault="00AC0106"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Respecto al argumento del Estado </w:t>
      </w:r>
      <w:r w:rsidR="00A70F02" w:rsidRPr="00D21AF3">
        <w:rPr>
          <w:rFonts w:asciiTheme="majorHAnsi" w:hAnsiTheme="majorHAnsi"/>
          <w:bCs/>
          <w:sz w:val="20"/>
          <w:szCs w:val="20"/>
          <w:lang w:val="es-ES_tradnl"/>
        </w:rPr>
        <w:t xml:space="preserve">de </w:t>
      </w:r>
      <w:r w:rsidRPr="00D21AF3">
        <w:rPr>
          <w:rFonts w:asciiTheme="majorHAnsi" w:hAnsiTheme="majorHAnsi"/>
          <w:bCs/>
          <w:sz w:val="20"/>
          <w:szCs w:val="20"/>
          <w:lang w:val="es-ES_tradnl"/>
        </w:rPr>
        <w:t xml:space="preserve">que el PNR ya otorgó un resarcimiento económico a algunas presuntas víctimas, la parte peticionaria </w:t>
      </w:r>
      <w:r w:rsidR="00075081" w:rsidRPr="00D21AF3">
        <w:rPr>
          <w:rFonts w:asciiTheme="majorHAnsi" w:hAnsiTheme="majorHAnsi"/>
          <w:bCs/>
          <w:sz w:val="20"/>
          <w:szCs w:val="20"/>
          <w:lang w:val="es-ES_tradnl"/>
        </w:rPr>
        <w:t>aduce</w:t>
      </w:r>
      <w:r w:rsidRPr="00D21AF3">
        <w:rPr>
          <w:rFonts w:asciiTheme="majorHAnsi" w:hAnsiTheme="majorHAnsi"/>
          <w:bCs/>
          <w:sz w:val="20"/>
          <w:szCs w:val="20"/>
          <w:lang w:val="es-ES_tradnl"/>
        </w:rPr>
        <w:t xml:space="preserve"> que</w:t>
      </w:r>
      <w:r w:rsidR="00075081" w:rsidRPr="00D21AF3">
        <w:rPr>
          <w:rFonts w:asciiTheme="majorHAnsi" w:hAnsiTheme="majorHAnsi"/>
          <w:bCs/>
          <w:sz w:val="20"/>
          <w:szCs w:val="20"/>
          <w:lang w:val="es-ES_tradnl"/>
        </w:rPr>
        <w:t xml:space="preserve"> nunca se abarcó a</w:t>
      </w:r>
      <w:r w:rsidRPr="00D21AF3">
        <w:rPr>
          <w:rFonts w:asciiTheme="majorHAnsi" w:hAnsiTheme="majorHAnsi"/>
          <w:bCs/>
          <w:sz w:val="20"/>
          <w:szCs w:val="20"/>
          <w:lang w:val="es-ES_tradnl"/>
        </w:rPr>
        <w:t xml:space="preserve"> la totalidad de la comunidad </w:t>
      </w:r>
      <w:r w:rsidRPr="00D21AF3">
        <w:rPr>
          <w:rFonts w:asciiTheme="majorHAnsi" w:hAnsiTheme="majorHAnsi"/>
          <w:bCs/>
          <w:i/>
          <w:iCs/>
          <w:sz w:val="20"/>
          <w:szCs w:val="20"/>
          <w:lang w:val="es-ES_tradnl"/>
        </w:rPr>
        <w:t>El Triunfo</w:t>
      </w:r>
      <w:r w:rsidRPr="00D21AF3">
        <w:rPr>
          <w:rFonts w:asciiTheme="majorHAnsi" w:hAnsiTheme="majorHAnsi"/>
          <w:bCs/>
          <w:sz w:val="20"/>
          <w:szCs w:val="20"/>
          <w:lang w:val="es-ES_tradnl"/>
        </w:rPr>
        <w:t xml:space="preserve"> y que únicamente se limitó a </w:t>
      </w:r>
      <w:r w:rsidR="00075081" w:rsidRPr="00D21AF3">
        <w:rPr>
          <w:rFonts w:asciiTheme="majorHAnsi" w:hAnsiTheme="majorHAnsi"/>
          <w:bCs/>
          <w:sz w:val="20"/>
          <w:szCs w:val="20"/>
          <w:lang w:val="es-ES_tradnl"/>
        </w:rPr>
        <w:t xml:space="preserve">brindar </w:t>
      </w:r>
      <w:r w:rsidRPr="00D21AF3">
        <w:rPr>
          <w:rFonts w:asciiTheme="majorHAnsi" w:hAnsiTheme="majorHAnsi"/>
          <w:bCs/>
          <w:sz w:val="20"/>
          <w:szCs w:val="20"/>
          <w:lang w:val="es-ES_tradnl"/>
        </w:rPr>
        <w:t>un</w:t>
      </w:r>
      <w:r w:rsidR="00075081" w:rsidRPr="00D21AF3">
        <w:rPr>
          <w:rFonts w:asciiTheme="majorHAnsi" w:hAnsiTheme="majorHAnsi"/>
          <w:bCs/>
          <w:sz w:val="20"/>
          <w:szCs w:val="20"/>
          <w:lang w:val="es-ES_tradnl"/>
        </w:rPr>
        <w:t xml:space="preserve"> apoyo </w:t>
      </w:r>
      <w:r w:rsidRPr="00D21AF3">
        <w:rPr>
          <w:rFonts w:asciiTheme="majorHAnsi" w:hAnsiTheme="majorHAnsi"/>
          <w:bCs/>
          <w:sz w:val="20"/>
          <w:szCs w:val="20"/>
          <w:lang w:val="es-ES_tradnl"/>
        </w:rPr>
        <w:t>monetari</w:t>
      </w:r>
      <w:r w:rsidR="00075081" w:rsidRPr="00D21AF3">
        <w:rPr>
          <w:rFonts w:asciiTheme="majorHAnsi" w:hAnsiTheme="majorHAnsi"/>
          <w:bCs/>
          <w:sz w:val="20"/>
          <w:szCs w:val="20"/>
          <w:lang w:val="es-ES_tradnl"/>
        </w:rPr>
        <w:t>o</w:t>
      </w:r>
      <w:r w:rsidRPr="00D21AF3">
        <w:rPr>
          <w:rFonts w:asciiTheme="majorHAnsi" w:hAnsiTheme="majorHAnsi"/>
          <w:bCs/>
          <w:sz w:val="20"/>
          <w:szCs w:val="20"/>
          <w:lang w:val="es-ES_tradnl"/>
        </w:rPr>
        <w:t xml:space="preserve"> a ciertas familias afectadas, la construcción de una casa de memoria histórica y de nichos para la inhumación de personas que perdieron la vida en el conflicto armado. </w:t>
      </w:r>
    </w:p>
    <w:p w14:paraId="2FDA3C8D" w14:textId="562F3C31" w:rsidR="00A81D35" w:rsidRPr="00D21AF3" w:rsidRDefault="00AC0106" w:rsidP="00116F2C">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Igualmente, </w:t>
      </w:r>
      <w:r w:rsidR="00132C46" w:rsidRPr="00D21AF3">
        <w:rPr>
          <w:rFonts w:asciiTheme="majorHAnsi" w:hAnsiTheme="majorHAnsi"/>
          <w:bCs/>
          <w:sz w:val="20"/>
          <w:szCs w:val="20"/>
          <w:lang w:val="es-ES_tradnl"/>
        </w:rPr>
        <w:t>los</w:t>
      </w:r>
      <w:r w:rsidR="00075081" w:rsidRPr="00D21AF3">
        <w:rPr>
          <w:rFonts w:asciiTheme="majorHAnsi" w:hAnsiTheme="majorHAnsi"/>
          <w:bCs/>
          <w:sz w:val="20"/>
          <w:szCs w:val="20"/>
          <w:lang w:val="es-ES_tradnl"/>
        </w:rPr>
        <w:t xml:space="preserve"> peticionario</w:t>
      </w:r>
      <w:r w:rsidR="00132C46" w:rsidRPr="00D21AF3">
        <w:rPr>
          <w:rFonts w:asciiTheme="majorHAnsi" w:hAnsiTheme="majorHAnsi"/>
          <w:bCs/>
          <w:sz w:val="20"/>
          <w:szCs w:val="20"/>
          <w:lang w:val="es-ES_tradnl"/>
        </w:rPr>
        <w:t>s</w:t>
      </w:r>
      <w:r w:rsidRPr="00D21AF3">
        <w:rPr>
          <w:rFonts w:asciiTheme="majorHAnsi" w:hAnsiTheme="majorHAnsi"/>
          <w:bCs/>
          <w:sz w:val="20"/>
          <w:szCs w:val="20"/>
          <w:lang w:val="es-ES_tradnl"/>
        </w:rPr>
        <w:t xml:space="preserve"> </w:t>
      </w:r>
      <w:r w:rsidR="00EC0142" w:rsidRPr="00D21AF3">
        <w:rPr>
          <w:rFonts w:asciiTheme="majorHAnsi" w:hAnsiTheme="majorHAnsi"/>
          <w:bCs/>
          <w:sz w:val="20"/>
          <w:szCs w:val="20"/>
          <w:lang w:val="es-ES_tradnl"/>
        </w:rPr>
        <w:t>plantean en términos generales</w:t>
      </w:r>
      <w:r w:rsidRPr="00D21AF3">
        <w:rPr>
          <w:rFonts w:asciiTheme="majorHAnsi" w:hAnsiTheme="majorHAnsi"/>
          <w:bCs/>
          <w:sz w:val="20"/>
          <w:szCs w:val="20"/>
          <w:lang w:val="es-ES_tradnl"/>
        </w:rPr>
        <w:t xml:space="preserve"> la </w:t>
      </w:r>
      <w:r w:rsidR="00075081" w:rsidRPr="00D21AF3">
        <w:rPr>
          <w:rFonts w:asciiTheme="majorHAnsi" w:hAnsiTheme="majorHAnsi"/>
          <w:bCs/>
          <w:sz w:val="20"/>
          <w:szCs w:val="20"/>
          <w:lang w:val="es-ES_tradnl"/>
        </w:rPr>
        <w:t xml:space="preserve">efectiva </w:t>
      </w:r>
      <w:r w:rsidRPr="00D21AF3">
        <w:rPr>
          <w:rFonts w:asciiTheme="majorHAnsi" w:hAnsiTheme="majorHAnsi"/>
          <w:bCs/>
          <w:sz w:val="20"/>
          <w:szCs w:val="20"/>
          <w:lang w:val="es-ES_tradnl"/>
        </w:rPr>
        <w:t xml:space="preserve">falta de investigación </w:t>
      </w:r>
      <w:r w:rsidR="00075081" w:rsidRPr="00D21AF3">
        <w:rPr>
          <w:rFonts w:asciiTheme="majorHAnsi" w:hAnsiTheme="majorHAnsi"/>
          <w:bCs/>
          <w:sz w:val="20"/>
          <w:szCs w:val="20"/>
          <w:lang w:val="es-ES_tradnl"/>
        </w:rPr>
        <w:t xml:space="preserve">penal </w:t>
      </w:r>
      <w:r w:rsidRPr="00D21AF3">
        <w:rPr>
          <w:rFonts w:asciiTheme="majorHAnsi" w:hAnsiTheme="majorHAnsi"/>
          <w:bCs/>
          <w:sz w:val="20"/>
          <w:szCs w:val="20"/>
          <w:lang w:val="es-ES_tradnl"/>
        </w:rPr>
        <w:t xml:space="preserve">por lo </w:t>
      </w:r>
      <w:r w:rsidR="00075081" w:rsidRPr="00D21AF3">
        <w:rPr>
          <w:rFonts w:asciiTheme="majorHAnsi" w:hAnsiTheme="majorHAnsi"/>
          <w:bCs/>
          <w:sz w:val="20"/>
          <w:szCs w:val="20"/>
          <w:lang w:val="es-ES_tradnl"/>
        </w:rPr>
        <w:t>sufrido</w:t>
      </w:r>
      <w:r w:rsidRPr="00D21AF3">
        <w:rPr>
          <w:rFonts w:asciiTheme="majorHAnsi" w:hAnsiTheme="majorHAnsi"/>
          <w:bCs/>
          <w:sz w:val="20"/>
          <w:szCs w:val="20"/>
          <w:lang w:val="es-ES_tradnl"/>
        </w:rPr>
        <w:t xml:space="preserve"> </w:t>
      </w:r>
      <w:r w:rsidR="00075081" w:rsidRPr="00D21AF3">
        <w:rPr>
          <w:rFonts w:asciiTheme="majorHAnsi" w:hAnsiTheme="majorHAnsi"/>
          <w:bCs/>
          <w:sz w:val="20"/>
          <w:szCs w:val="20"/>
          <w:lang w:val="es-ES_tradnl"/>
        </w:rPr>
        <w:t>en</w:t>
      </w:r>
      <w:r w:rsidRPr="00D21AF3">
        <w:rPr>
          <w:rFonts w:asciiTheme="majorHAnsi" w:hAnsiTheme="majorHAnsi"/>
          <w:bCs/>
          <w:sz w:val="20"/>
          <w:szCs w:val="20"/>
          <w:lang w:val="es-ES_tradnl"/>
        </w:rPr>
        <w:t xml:space="preserve"> el conflicto armado: masacre de miembros de su comunidad, rompimiento de sus familias y comunidades, reclutamiento forzoso (incluyendo a menores de edad), </w:t>
      </w:r>
      <w:r w:rsidR="00075081" w:rsidRPr="00D21AF3">
        <w:rPr>
          <w:rFonts w:asciiTheme="majorHAnsi" w:hAnsiTheme="majorHAnsi"/>
          <w:bCs/>
          <w:sz w:val="20"/>
          <w:szCs w:val="20"/>
          <w:lang w:val="es-ES_tradnl"/>
        </w:rPr>
        <w:t xml:space="preserve">tortura y </w:t>
      </w:r>
      <w:r w:rsidRPr="00D21AF3">
        <w:rPr>
          <w:rFonts w:asciiTheme="majorHAnsi" w:hAnsiTheme="majorHAnsi"/>
          <w:bCs/>
          <w:sz w:val="20"/>
          <w:szCs w:val="20"/>
          <w:lang w:val="es-ES_tradnl"/>
        </w:rPr>
        <w:t xml:space="preserve">desplazamiento interno. </w:t>
      </w:r>
      <w:r w:rsidR="001D42F2" w:rsidRPr="00D21AF3">
        <w:rPr>
          <w:rFonts w:asciiTheme="majorHAnsi" w:hAnsiTheme="majorHAnsi"/>
          <w:bCs/>
          <w:sz w:val="20"/>
          <w:szCs w:val="20"/>
          <w:lang w:val="es-ES_tradnl"/>
        </w:rPr>
        <w:t>Alega</w:t>
      </w:r>
      <w:r w:rsidRPr="00D21AF3">
        <w:rPr>
          <w:rFonts w:asciiTheme="majorHAnsi" w:hAnsiTheme="majorHAnsi"/>
          <w:bCs/>
          <w:sz w:val="20"/>
          <w:szCs w:val="20"/>
          <w:lang w:val="es-ES_tradnl"/>
        </w:rPr>
        <w:t xml:space="preserve"> que el sistema de justicia guatemalteco ha sido lento y no ha investigado los hechos, ni encontrado a los responsables</w:t>
      </w:r>
      <w:r w:rsidR="00075081"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hasta la fecha</w:t>
      </w:r>
      <w:r w:rsidR="00C73798" w:rsidRPr="00D21AF3">
        <w:rPr>
          <w:rFonts w:asciiTheme="majorHAnsi" w:hAnsiTheme="majorHAnsi"/>
          <w:bCs/>
          <w:sz w:val="20"/>
          <w:szCs w:val="20"/>
          <w:lang w:val="es-ES_tradnl"/>
        </w:rPr>
        <w:t>,</w:t>
      </w:r>
      <w:r w:rsidR="00075081" w:rsidRPr="00D21AF3">
        <w:rPr>
          <w:rFonts w:asciiTheme="majorHAnsi" w:hAnsiTheme="majorHAnsi"/>
          <w:bCs/>
          <w:sz w:val="20"/>
          <w:szCs w:val="20"/>
          <w:lang w:val="es-ES_tradnl"/>
        </w:rPr>
        <w:t xml:space="preserve"> </w:t>
      </w:r>
      <w:r w:rsidR="00C73798" w:rsidRPr="00D21AF3">
        <w:rPr>
          <w:rFonts w:asciiTheme="majorHAnsi" w:hAnsiTheme="majorHAnsi"/>
          <w:bCs/>
          <w:sz w:val="20"/>
          <w:szCs w:val="20"/>
          <w:lang w:val="es-ES_tradnl"/>
        </w:rPr>
        <w:t xml:space="preserve">y </w:t>
      </w:r>
      <w:r w:rsidRPr="00D21AF3">
        <w:rPr>
          <w:rFonts w:asciiTheme="majorHAnsi" w:hAnsiTheme="majorHAnsi"/>
          <w:bCs/>
          <w:sz w:val="20"/>
          <w:szCs w:val="20"/>
          <w:lang w:val="es-ES_tradnl"/>
        </w:rPr>
        <w:t xml:space="preserve">que el gobierno bloquea sus intentos de buscar justicia. </w:t>
      </w:r>
      <w:r w:rsidR="00C70ACC"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No obstante, los peticionarios no elaboran más </w:t>
      </w:r>
      <w:r w:rsidR="00075081" w:rsidRPr="00D21AF3">
        <w:rPr>
          <w:rFonts w:asciiTheme="majorHAnsi" w:hAnsiTheme="majorHAnsi"/>
          <w:bCs/>
          <w:sz w:val="20"/>
          <w:szCs w:val="20"/>
          <w:lang w:val="es-ES_tradnl"/>
        </w:rPr>
        <w:t>sobre</w:t>
      </w:r>
      <w:r w:rsidRPr="00D21AF3">
        <w:rPr>
          <w:rFonts w:asciiTheme="majorHAnsi" w:hAnsiTheme="majorHAnsi"/>
          <w:bCs/>
          <w:sz w:val="20"/>
          <w:szCs w:val="20"/>
          <w:lang w:val="es-ES_tradnl"/>
        </w:rPr>
        <w:t xml:space="preserve"> </w:t>
      </w:r>
      <w:r w:rsidR="00596362" w:rsidRPr="00D21AF3">
        <w:rPr>
          <w:rFonts w:asciiTheme="majorHAnsi" w:hAnsiTheme="majorHAnsi"/>
          <w:bCs/>
          <w:sz w:val="20"/>
          <w:szCs w:val="20"/>
          <w:lang w:val="es-ES_tradnl"/>
        </w:rPr>
        <w:t>este</w:t>
      </w:r>
      <w:r w:rsidRPr="00D21AF3">
        <w:rPr>
          <w:rFonts w:asciiTheme="majorHAnsi" w:hAnsiTheme="majorHAnsi"/>
          <w:bCs/>
          <w:sz w:val="20"/>
          <w:szCs w:val="20"/>
          <w:lang w:val="es-ES_tradnl"/>
        </w:rPr>
        <w:t xml:space="preserve"> tema</w:t>
      </w:r>
      <w:r w:rsidR="00596362" w:rsidRPr="00D21AF3">
        <w:rPr>
          <w:rFonts w:asciiTheme="majorHAnsi" w:hAnsiTheme="majorHAnsi"/>
          <w:bCs/>
          <w:sz w:val="20"/>
          <w:szCs w:val="20"/>
          <w:lang w:val="es-ES_tradnl"/>
        </w:rPr>
        <w:t xml:space="preserve">, no aportan mayores </w:t>
      </w:r>
      <w:r w:rsidR="00907F57" w:rsidRPr="00D21AF3">
        <w:rPr>
          <w:rFonts w:asciiTheme="majorHAnsi" w:hAnsiTheme="majorHAnsi"/>
          <w:bCs/>
          <w:sz w:val="20"/>
          <w:szCs w:val="20"/>
          <w:lang w:val="es-ES_tradnl"/>
        </w:rPr>
        <w:t>alegatos</w:t>
      </w:r>
      <w:r w:rsidR="00596362" w:rsidRPr="00D21AF3">
        <w:rPr>
          <w:rFonts w:asciiTheme="majorHAnsi" w:hAnsiTheme="majorHAnsi"/>
          <w:bCs/>
          <w:sz w:val="20"/>
          <w:szCs w:val="20"/>
          <w:lang w:val="es-ES_tradnl"/>
        </w:rPr>
        <w:t xml:space="preserve"> o información</w:t>
      </w:r>
      <w:r w:rsidRPr="00D21AF3">
        <w:rPr>
          <w:rFonts w:asciiTheme="majorHAnsi" w:hAnsiTheme="majorHAnsi"/>
          <w:bCs/>
          <w:sz w:val="20"/>
          <w:szCs w:val="20"/>
          <w:lang w:val="es-ES_tradnl"/>
        </w:rPr>
        <w:t>.</w:t>
      </w:r>
      <w:r w:rsidR="00116F2C" w:rsidRPr="00D21AF3">
        <w:rPr>
          <w:rFonts w:asciiTheme="majorHAnsi" w:hAnsiTheme="majorHAnsi"/>
          <w:bCs/>
          <w:sz w:val="20"/>
          <w:szCs w:val="20"/>
          <w:lang w:val="es-ES_tradnl"/>
        </w:rPr>
        <w:t xml:space="preserve"> Incluso, frente a lo argumentado por el Estado sobr</w:t>
      </w:r>
      <w:r w:rsidR="00B11A0F" w:rsidRPr="00D21AF3">
        <w:rPr>
          <w:rFonts w:asciiTheme="majorHAnsi" w:hAnsiTheme="majorHAnsi"/>
          <w:bCs/>
          <w:sz w:val="20"/>
          <w:szCs w:val="20"/>
          <w:lang w:val="es-ES_tradnl"/>
        </w:rPr>
        <w:t>e</w:t>
      </w:r>
      <w:r w:rsidR="00116F2C" w:rsidRPr="00D21AF3">
        <w:rPr>
          <w:rFonts w:asciiTheme="majorHAnsi" w:hAnsiTheme="majorHAnsi"/>
          <w:bCs/>
          <w:sz w:val="20"/>
          <w:szCs w:val="20"/>
          <w:lang w:val="es-ES_tradnl"/>
        </w:rPr>
        <w:t xml:space="preserve"> la falta de agotamiento en la vía penal, los peticionarios señalan que no existía obligación de las </w:t>
      </w:r>
      <w:r w:rsidR="00B11A0F" w:rsidRPr="00D21AF3">
        <w:rPr>
          <w:rFonts w:asciiTheme="majorHAnsi" w:hAnsiTheme="majorHAnsi"/>
          <w:bCs/>
          <w:sz w:val="20"/>
          <w:szCs w:val="20"/>
          <w:lang w:val="es-ES_tradnl"/>
        </w:rPr>
        <w:t>presuntas víctimas</w:t>
      </w:r>
      <w:r w:rsidR="00116F2C" w:rsidRPr="00D21AF3">
        <w:rPr>
          <w:rFonts w:asciiTheme="majorHAnsi" w:hAnsiTheme="majorHAnsi"/>
          <w:bCs/>
          <w:sz w:val="20"/>
          <w:szCs w:val="20"/>
          <w:lang w:val="es-ES_tradnl"/>
        </w:rPr>
        <w:t xml:space="preserve"> de acudir a un proceso penal para poder acceder a su derecho a la reparación integral y que este requerimiento, desnaturalizaría al PNR como instancia administrativa</w:t>
      </w:r>
      <w:r w:rsidR="00505F87" w:rsidRPr="00D21AF3">
        <w:rPr>
          <w:rFonts w:asciiTheme="majorHAnsi" w:hAnsiTheme="majorHAnsi"/>
          <w:bCs/>
          <w:sz w:val="20"/>
          <w:szCs w:val="20"/>
          <w:lang w:val="es-ES_tradnl"/>
        </w:rPr>
        <w:t>–</w:t>
      </w:r>
      <w:r w:rsidR="00116F2C" w:rsidRPr="00D21AF3">
        <w:rPr>
          <w:rFonts w:asciiTheme="majorHAnsi" w:hAnsiTheme="majorHAnsi"/>
          <w:bCs/>
          <w:sz w:val="20"/>
          <w:szCs w:val="20"/>
          <w:lang w:val="es-ES_tradnl"/>
        </w:rPr>
        <w:t xml:space="preserve">. </w:t>
      </w:r>
    </w:p>
    <w:p w14:paraId="6E6F6594" w14:textId="0B93F4C8" w:rsidR="00FB3F23" w:rsidRPr="00D21AF3" w:rsidRDefault="00FB3F23" w:rsidP="007D4AD6">
      <w:pPr>
        <w:pStyle w:val="NormalWeb"/>
        <w:ind w:left="709"/>
        <w:jc w:val="both"/>
        <w:rPr>
          <w:rFonts w:asciiTheme="majorHAnsi" w:hAnsiTheme="majorHAnsi"/>
          <w:sz w:val="20"/>
          <w:szCs w:val="20"/>
          <w:lang w:val="es-ES_tradnl"/>
        </w:rPr>
      </w:pPr>
      <w:r w:rsidRPr="00D21AF3">
        <w:rPr>
          <w:rFonts w:asciiTheme="majorHAnsi" w:hAnsiTheme="majorHAnsi"/>
          <w:i/>
          <w:iCs/>
          <w:sz w:val="20"/>
          <w:szCs w:val="20"/>
          <w:lang w:val="es-ES_tradnl"/>
        </w:rPr>
        <w:t>Argumentos del Estado guatemalteco</w:t>
      </w:r>
    </w:p>
    <w:p w14:paraId="5A6980AD" w14:textId="7E75E1E7" w:rsidR="006F647A" w:rsidRPr="00D21AF3" w:rsidRDefault="006F647A"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Por su parte, el Estado guatemalteco argumenta que la presente </w:t>
      </w:r>
      <w:r w:rsidR="00116F2C" w:rsidRPr="00D21AF3">
        <w:rPr>
          <w:rFonts w:asciiTheme="majorHAnsi" w:hAnsiTheme="majorHAnsi"/>
          <w:bCs/>
          <w:sz w:val="20"/>
          <w:szCs w:val="20"/>
          <w:lang w:val="es-ES_tradnl"/>
        </w:rPr>
        <w:t>petición</w:t>
      </w:r>
      <w:r w:rsidRPr="00D21AF3">
        <w:rPr>
          <w:rFonts w:asciiTheme="majorHAnsi" w:hAnsiTheme="majorHAnsi"/>
          <w:bCs/>
          <w:sz w:val="20"/>
          <w:szCs w:val="20"/>
          <w:lang w:val="es-ES_tradnl"/>
        </w:rPr>
        <w:t xml:space="preserve"> no cumple con los requisitos de admisibilidad previstos por la </w:t>
      </w:r>
      <w:r w:rsidR="00116F2C" w:rsidRPr="00D21AF3">
        <w:rPr>
          <w:rFonts w:asciiTheme="majorHAnsi" w:hAnsiTheme="majorHAnsi"/>
          <w:bCs/>
          <w:sz w:val="20"/>
          <w:szCs w:val="20"/>
          <w:lang w:val="es-ES_tradnl"/>
        </w:rPr>
        <w:t>Convención</w:t>
      </w:r>
      <w:r w:rsidRPr="00D21AF3">
        <w:rPr>
          <w:rFonts w:asciiTheme="majorHAnsi" w:hAnsiTheme="majorHAnsi"/>
          <w:bCs/>
          <w:sz w:val="20"/>
          <w:szCs w:val="20"/>
          <w:lang w:val="es-ES_tradnl"/>
        </w:rPr>
        <w:t xml:space="preserve"> Americana y el Reglamento de la Comisión. Particularmente, considera que existe una falta de competencia (personal, temporal y material), falta de agotamiento de recursos internos y </w:t>
      </w:r>
      <w:r w:rsidR="00075081" w:rsidRPr="00D21AF3">
        <w:rPr>
          <w:rFonts w:asciiTheme="majorHAnsi" w:hAnsiTheme="majorHAnsi"/>
          <w:bCs/>
          <w:sz w:val="20"/>
          <w:szCs w:val="20"/>
          <w:lang w:val="es-ES_tradnl"/>
        </w:rPr>
        <w:t>extemporaneidad</w:t>
      </w:r>
      <w:r w:rsidRPr="00D21AF3">
        <w:rPr>
          <w:rFonts w:asciiTheme="majorHAnsi" w:hAnsiTheme="majorHAnsi"/>
          <w:bCs/>
          <w:sz w:val="20"/>
          <w:szCs w:val="20"/>
          <w:lang w:val="es-ES_tradnl"/>
        </w:rPr>
        <w:t xml:space="preserve">. </w:t>
      </w:r>
    </w:p>
    <w:p w14:paraId="2D1D8217" w14:textId="0AD04259" w:rsidR="006F647A" w:rsidRPr="00D21AF3" w:rsidRDefault="006F647A"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cuanto a la falta de competencia personal manifiesta que las presuntas víctimas no fueron debidamente identificadas por </w:t>
      </w:r>
      <w:r w:rsidR="00132C46" w:rsidRPr="00D21AF3">
        <w:rPr>
          <w:rFonts w:asciiTheme="majorHAnsi" w:hAnsiTheme="majorHAnsi"/>
          <w:bCs/>
          <w:sz w:val="20"/>
          <w:szCs w:val="20"/>
          <w:lang w:val="es-ES_tradnl"/>
        </w:rPr>
        <w:t>la parte peticionaria</w:t>
      </w:r>
      <w:r w:rsidR="00CD0E9F"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quien simplemente se limita a anexar un censo de 1,401 habitantes de la comunidad </w:t>
      </w:r>
      <w:r w:rsidR="001C1B15" w:rsidRPr="00D21AF3">
        <w:rPr>
          <w:rFonts w:asciiTheme="majorHAnsi" w:hAnsiTheme="majorHAnsi"/>
          <w:bCs/>
          <w:i/>
          <w:iCs/>
          <w:sz w:val="20"/>
          <w:szCs w:val="20"/>
          <w:lang w:val="es-ES_tradnl"/>
        </w:rPr>
        <w:t>El Triunfo</w:t>
      </w:r>
      <w:r w:rsidRPr="00D21AF3">
        <w:rPr>
          <w:rFonts w:asciiTheme="majorHAnsi" w:hAnsiTheme="majorHAnsi"/>
          <w:bCs/>
          <w:sz w:val="20"/>
          <w:szCs w:val="20"/>
          <w:lang w:val="es-ES_tradnl"/>
        </w:rPr>
        <w:t>, pero no acredita su existencia con documentación adecuada</w:t>
      </w:r>
      <w:r w:rsidRPr="00D21AF3">
        <w:rPr>
          <w:rFonts w:asciiTheme="majorHAnsi" w:hAnsiTheme="majorHAnsi"/>
          <w:sz w:val="20"/>
          <w:szCs w:val="20"/>
          <w:vertAlign w:val="superscript"/>
          <w:lang w:val="es-ES_tradnl"/>
        </w:rPr>
        <w:footnoteReference w:id="14"/>
      </w:r>
      <w:r w:rsidRPr="00D21AF3">
        <w:rPr>
          <w:rFonts w:asciiTheme="majorHAnsi" w:hAnsiTheme="majorHAnsi"/>
          <w:bCs/>
          <w:sz w:val="20"/>
          <w:szCs w:val="20"/>
          <w:lang w:val="es-ES_tradnl"/>
        </w:rPr>
        <w:t>; igualmente, apunta que son originarias de comunidades diferentes lo que hace imposible su individualización.</w:t>
      </w:r>
    </w:p>
    <w:p w14:paraId="1A4BF217" w14:textId="2F631A58" w:rsidR="00E50EC9" w:rsidRPr="00D21AF3" w:rsidRDefault="006F647A"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Alude a la falta de competencia material y temporal respecto al Protocolo de San Salvador, evocando que el instrumento únicamente circunscribe determinados derechos sindicales y </w:t>
      </w:r>
      <w:r w:rsidR="0017479E" w:rsidRPr="00D21AF3">
        <w:rPr>
          <w:rFonts w:asciiTheme="majorHAnsi" w:hAnsiTheme="majorHAnsi"/>
          <w:bCs/>
          <w:sz w:val="20"/>
          <w:szCs w:val="20"/>
          <w:lang w:val="es-ES_tradnl"/>
        </w:rPr>
        <w:t>a la</w:t>
      </w:r>
      <w:r w:rsidRPr="00D21AF3">
        <w:rPr>
          <w:rFonts w:asciiTheme="majorHAnsi" w:hAnsiTheme="majorHAnsi"/>
          <w:bCs/>
          <w:sz w:val="20"/>
          <w:szCs w:val="20"/>
          <w:lang w:val="es-ES_tradnl"/>
        </w:rPr>
        <w:t xml:space="preserve"> educación. </w:t>
      </w:r>
      <w:r w:rsidR="00E50EC9" w:rsidRPr="00D21AF3">
        <w:rPr>
          <w:rFonts w:asciiTheme="majorHAnsi" w:hAnsiTheme="majorHAnsi"/>
          <w:bCs/>
          <w:sz w:val="20"/>
          <w:szCs w:val="20"/>
          <w:lang w:val="es-ES_tradnl"/>
        </w:rPr>
        <w:t>Aún más, que</w:t>
      </w:r>
      <w:r w:rsidRPr="00D21AF3">
        <w:rPr>
          <w:rFonts w:asciiTheme="majorHAnsi" w:hAnsiTheme="majorHAnsi"/>
          <w:bCs/>
          <w:sz w:val="20"/>
          <w:szCs w:val="20"/>
          <w:lang w:val="es-ES_tradnl"/>
        </w:rPr>
        <w:t xml:space="preserve"> fue ratificado </w:t>
      </w:r>
      <w:r w:rsidR="00E10DA7" w:rsidRPr="00D21AF3">
        <w:rPr>
          <w:rFonts w:asciiTheme="majorHAnsi" w:hAnsiTheme="majorHAnsi"/>
          <w:bCs/>
          <w:sz w:val="20"/>
          <w:szCs w:val="20"/>
          <w:lang w:val="es-ES_tradnl"/>
        </w:rPr>
        <w:t xml:space="preserve">por Guatemala </w:t>
      </w:r>
      <w:r w:rsidRPr="00D21AF3">
        <w:rPr>
          <w:rFonts w:asciiTheme="majorHAnsi" w:hAnsiTheme="majorHAnsi"/>
          <w:bCs/>
          <w:sz w:val="20"/>
          <w:szCs w:val="20"/>
          <w:lang w:val="es-ES_tradnl"/>
        </w:rPr>
        <w:t xml:space="preserve">el 30 de mayo de 2000 </w:t>
      </w:r>
      <w:r w:rsidR="00E10DA7" w:rsidRPr="00D21AF3">
        <w:rPr>
          <w:rFonts w:asciiTheme="majorHAnsi" w:hAnsiTheme="majorHAnsi"/>
          <w:bCs/>
          <w:sz w:val="20"/>
          <w:szCs w:val="20"/>
          <w:lang w:val="es-ES_tradnl"/>
        </w:rPr>
        <w:t xml:space="preserve">por Guatemala, </w:t>
      </w:r>
      <w:r w:rsidRPr="00D21AF3">
        <w:rPr>
          <w:rFonts w:asciiTheme="majorHAnsi" w:hAnsiTheme="majorHAnsi"/>
          <w:bCs/>
          <w:sz w:val="20"/>
          <w:szCs w:val="20"/>
          <w:lang w:val="es-ES_tradnl"/>
        </w:rPr>
        <w:t xml:space="preserve">y </w:t>
      </w:r>
      <w:r w:rsidR="00E10DA7" w:rsidRPr="00D21AF3">
        <w:rPr>
          <w:rFonts w:asciiTheme="majorHAnsi" w:hAnsiTheme="majorHAnsi"/>
          <w:bCs/>
          <w:sz w:val="20"/>
          <w:szCs w:val="20"/>
          <w:lang w:val="es-ES_tradnl"/>
        </w:rPr>
        <w:t xml:space="preserve">su instrumento </w:t>
      </w:r>
      <w:r w:rsidR="00FC06F8" w:rsidRPr="00D21AF3">
        <w:rPr>
          <w:rFonts w:asciiTheme="majorHAnsi" w:hAnsiTheme="majorHAnsi"/>
          <w:bCs/>
          <w:sz w:val="20"/>
          <w:szCs w:val="20"/>
          <w:lang w:val="es-ES_tradnl"/>
        </w:rPr>
        <w:t xml:space="preserve">de ratificación </w:t>
      </w:r>
      <w:r w:rsidRPr="00D21AF3">
        <w:rPr>
          <w:rFonts w:asciiTheme="majorHAnsi" w:hAnsiTheme="majorHAnsi"/>
          <w:bCs/>
          <w:sz w:val="20"/>
          <w:szCs w:val="20"/>
          <w:lang w:val="es-ES_tradnl"/>
        </w:rPr>
        <w:t xml:space="preserve">depositado el 5 de octubre de 2000, por lo que los hechos denunciados no serían parte </w:t>
      </w:r>
      <w:r w:rsidR="00870DD9" w:rsidRPr="00D21AF3">
        <w:rPr>
          <w:rFonts w:asciiTheme="majorHAnsi" w:hAnsiTheme="majorHAnsi"/>
          <w:bCs/>
          <w:sz w:val="20"/>
          <w:szCs w:val="20"/>
          <w:lang w:val="es-ES_tradnl"/>
        </w:rPr>
        <w:t>del ámbito de</w:t>
      </w:r>
      <w:r w:rsidRPr="00D21AF3">
        <w:rPr>
          <w:rFonts w:asciiTheme="majorHAnsi" w:hAnsiTheme="majorHAnsi"/>
          <w:bCs/>
          <w:sz w:val="20"/>
          <w:szCs w:val="20"/>
          <w:lang w:val="es-ES_tradnl"/>
        </w:rPr>
        <w:t xml:space="preserve"> protección </w:t>
      </w:r>
      <w:r w:rsidR="004F095F" w:rsidRPr="00D21AF3">
        <w:rPr>
          <w:rFonts w:asciiTheme="majorHAnsi" w:hAnsiTheme="majorHAnsi"/>
          <w:bCs/>
          <w:sz w:val="20"/>
          <w:szCs w:val="20"/>
          <w:lang w:val="es-ES_tradnl"/>
        </w:rPr>
        <w:t>de este instrumento</w:t>
      </w:r>
      <w:r w:rsidRPr="00D21AF3">
        <w:rPr>
          <w:rFonts w:asciiTheme="majorHAnsi" w:hAnsiTheme="majorHAnsi"/>
          <w:bCs/>
          <w:sz w:val="20"/>
          <w:szCs w:val="20"/>
          <w:lang w:val="es-ES_tradnl"/>
        </w:rPr>
        <w:t xml:space="preserve">. En este mismo sentido, considera falta de competencia material frente a </w:t>
      </w:r>
      <w:r w:rsidR="00B11A0F" w:rsidRPr="00D21AF3">
        <w:rPr>
          <w:rFonts w:asciiTheme="majorHAnsi" w:hAnsiTheme="majorHAnsi"/>
          <w:bCs/>
          <w:sz w:val="20"/>
          <w:szCs w:val="20"/>
          <w:lang w:val="es-ES_tradnl"/>
        </w:rPr>
        <w:lastRenderedPageBreak/>
        <w:t xml:space="preserve">las alegadas </w:t>
      </w:r>
      <w:r w:rsidRPr="00D21AF3">
        <w:rPr>
          <w:rFonts w:asciiTheme="majorHAnsi" w:hAnsiTheme="majorHAnsi"/>
          <w:bCs/>
          <w:sz w:val="20"/>
          <w:szCs w:val="20"/>
          <w:lang w:val="es-ES_tradnl"/>
        </w:rPr>
        <w:t xml:space="preserve">violaciones a la </w:t>
      </w:r>
      <w:r w:rsidR="00C046D2" w:rsidRPr="00D21AF3">
        <w:rPr>
          <w:rFonts w:asciiTheme="majorHAnsi" w:hAnsiTheme="majorHAnsi"/>
          <w:bCs/>
          <w:sz w:val="20"/>
          <w:szCs w:val="20"/>
          <w:lang w:val="es-ES_tradnl"/>
        </w:rPr>
        <w:t>D</w:t>
      </w:r>
      <w:r w:rsidRPr="00D21AF3">
        <w:rPr>
          <w:rFonts w:asciiTheme="majorHAnsi" w:hAnsiTheme="majorHAnsi"/>
          <w:bCs/>
          <w:sz w:val="20"/>
          <w:szCs w:val="20"/>
          <w:lang w:val="es-ES_tradnl"/>
        </w:rPr>
        <w:t>eclaración de los Derechos del Hombre de las Naciones Unidas</w:t>
      </w:r>
      <w:r w:rsidR="00C046D2"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al ser un tratado que no pertenece al Sistema Interamericano. </w:t>
      </w:r>
    </w:p>
    <w:p w14:paraId="618B292E" w14:textId="4A1FC549" w:rsidR="00FB5FDA" w:rsidRPr="00D21AF3" w:rsidRDefault="006F647A"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Por otro lado, el Estado aduce la falta de agotamiento de los recursos internos dentro de los procesos penales, </w:t>
      </w:r>
      <w:r w:rsidR="00E50EC9" w:rsidRPr="00D21AF3">
        <w:rPr>
          <w:rFonts w:asciiTheme="majorHAnsi" w:hAnsiTheme="majorHAnsi"/>
          <w:bCs/>
          <w:sz w:val="20"/>
          <w:szCs w:val="20"/>
          <w:lang w:val="es-ES_tradnl"/>
        </w:rPr>
        <w:t>los que</w:t>
      </w:r>
      <w:r w:rsidRPr="00D21AF3">
        <w:rPr>
          <w:rFonts w:asciiTheme="majorHAnsi" w:hAnsiTheme="majorHAnsi"/>
          <w:bCs/>
          <w:sz w:val="20"/>
          <w:szCs w:val="20"/>
          <w:lang w:val="es-ES_tradnl"/>
        </w:rPr>
        <w:t xml:space="preserve"> permiten juzgar y sancionar</w:t>
      </w:r>
      <w:r w:rsidR="00E50EC9" w:rsidRPr="00D21AF3">
        <w:rPr>
          <w:rFonts w:asciiTheme="majorHAnsi" w:hAnsiTheme="majorHAnsi"/>
          <w:bCs/>
          <w:sz w:val="20"/>
          <w:szCs w:val="20"/>
          <w:lang w:val="es-ES_tradnl"/>
        </w:rPr>
        <w:t xml:space="preserve"> efectivamente</w:t>
      </w:r>
      <w:r w:rsidRPr="00D21AF3">
        <w:rPr>
          <w:rFonts w:asciiTheme="majorHAnsi" w:hAnsiTheme="majorHAnsi"/>
          <w:bCs/>
          <w:sz w:val="20"/>
          <w:szCs w:val="20"/>
          <w:lang w:val="es-ES_tradnl"/>
        </w:rPr>
        <w:t xml:space="preserve"> a los responsables de las ofensas contra las presuntas víctimas </w:t>
      </w:r>
      <w:r w:rsidR="00E50EC9" w:rsidRPr="00D21AF3">
        <w:rPr>
          <w:rFonts w:asciiTheme="majorHAnsi" w:hAnsiTheme="majorHAnsi"/>
          <w:bCs/>
          <w:sz w:val="20"/>
          <w:szCs w:val="20"/>
          <w:lang w:val="es-ES_tradnl"/>
        </w:rPr>
        <w:t>por lo ocurrido en el</w:t>
      </w:r>
      <w:r w:rsidRPr="00D21AF3">
        <w:rPr>
          <w:rFonts w:asciiTheme="majorHAnsi" w:hAnsiTheme="majorHAnsi"/>
          <w:bCs/>
          <w:sz w:val="20"/>
          <w:szCs w:val="20"/>
          <w:lang w:val="es-ES_tradnl"/>
        </w:rPr>
        <w:t xml:space="preserve"> conflicto armado. </w:t>
      </w:r>
      <w:r w:rsidR="00705CEB" w:rsidRPr="00D21AF3">
        <w:rPr>
          <w:rFonts w:asciiTheme="majorHAnsi" w:hAnsiTheme="majorHAnsi"/>
          <w:bCs/>
          <w:sz w:val="20"/>
          <w:szCs w:val="20"/>
          <w:lang w:val="es-ES_tradnl"/>
        </w:rPr>
        <w:t>Plantea</w:t>
      </w:r>
      <w:r w:rsidRPr="00D21AF3">
        <w:rPr>
          <w:rFonts w:asciiTheme="majorHAnsi" w:hAnsiTheme="majorHAnsi"/>
          <w:bCs/>
          <w:sz w:val="20"/>
          <w:szCs w:val="20"/>
          <w:lang w:val="es-ES_tradnl"/>
        </w:rPr>
        <w:t xml:space="preserve"> </w:t>
      </w:r>
      <w:r w:rsidR="00E50EC9" w:rsidRPr="00D21AF3">
        <w:rPr>
          <w:rFonts w:asciiTheme="majorHAnsi" w:hAnsiTheme="majorHAnsi"/>
          <w:bCs/>
          <w:sz w:val="20"/>
          <w:szCs w:val="20"/>
          <w:lang w:val="es-ES_tradnl"/>
        </w:rPr>
        <w:t>que</w:t>
      </w:r>
      <w:r w:rsidRPr="00D21AF3">
        <w:rPr>
          <w:rFonts w:asciiTheme="majorHAnsi" w:hAnsiTheme="majorHAnsi"/>
          <w:bCs/>
          <w:sz w:val="20"/>
          <w:szCs w:val="20"/>
          <w:lang w:val="es-ES_tradnl"/>
        </w:rPr>
        <w:t xml:space="preserve"> por la misma complejidad de los hechos la dificultad de las investigaciones aumenta</w:t>
      </w:r>
      <w:r w:rsidRPr="00D21AF3">
        <w:rPr>
          <w:rFonts w:asciiTheme="majorHAnsi" w:hAnsiTheme="majorHAnsi"/>
          <w:sz w:val="20"/>
          <w:szCs w:val="20"/>
          <w:vertAlign w:val="superscript"/>
          <w:lang w:val="es-ES_tradnl"/>
        </w:rPr>
        <w:footnoteReference w:id="15"/>
      </w:r>
      <w:r w:rsidR="00705CEB" w:rsidRPr="00D21AF3">
        <w:rPr>
          <w:rFonts w:asciiTheme="majorHAnsi" w:hAnsiTheme="majorHAnsi"/>
          <w:bCs/>
          <w:sz w:val="20"/>
          <w:szCs w:val="20"/>
          <w:lang w:val="es-ES_tradnl"/>
        </w:rPr>
        <w:t>,</w:t>
      </w:r>
      <w:r w:rsidR="00E50EC9" w:rsidRPr="00D21AF3">
        <w:rPr>
          <w:rFonts w:asciiTheme="majorHAnsi" w:hAnsiTheme="majorHAnsi"/>
          <w:bCs/>
          <w:sz w:val="20"/>
          <w:szCs w:val="20"/>
          <w:lang w:val="es-ES_tradnl"/>
        </w:rPr>
        <w:t xml:space="preserve"> por lo que considera</w:t>
      </w:r>
      <w:r w:rsidRPr="00D21AF3">
        <w:rPr>
          <w:rFonts w:asciiTheme="majorHAnsi" w:hAnsiTheme="majorHAnsi"/>
          <w:bCs/>
          <w:sz w:val="20"/>
          <w:szCs w:val="20"/>
          <w:lang w:val="es-ES_tradnl"/>
        </w:rPr>
        <w:t xml:space="preserve"> </w:t>
      </w:r>
      <w:r w:rsidR="00E50EC9" w:rsidRPr="00D21AF3">
        <w:rPr>
          <w:rFonts w:asciiTheme="majorHAnsi" w:hAnsiTheme="majorHAnsi"/>
          <w:bCs/>
          <w:sz w:val="20"/>
          <w:szCs w:val="20"/>
          <w:lang w:val="es-ES_tradnl"/>
        </w:rPr>
        <w:t xml:space="preserve">han </w:t>
      </w:r>
      <w:r w:rsidRPr="00D21AF3">
        <w:rPr>
          <w:rFonts w:asciiTheme="majorHAnsi" w:hAnsiTheme="majorHAnsi"/>
          <w:bCs/>
          <w:sz w:val="20"/>
          <w:szCs w:val="20"/>
          <w:lang w:val="es-ES_tradnl"/>
        </w:rPr>
        <w:t xml:space="preserve">cumplido con una temporalidad razonable para </w:t>
      </w:r>
      <w:r w:rsidR="00705CEB" w:rsidRPr="00D21AF3">
        <w:rPr>
          <w:rFonts w:asciiTheme="majorHAnsi" w:hAnsiTheme="majorHAnsi"/>
          <w:bCs/>
          <w:sz w:val="20"/>
          <w:szCs w:val="20"/>
          <w:lang w:val="es-ES_tradnl"/>
        </w:rPr>
        <w:t>investigar</w:t>
      </w:r>
      <w:r w:rsidRPr="00D21AF3">
        <w:rPr>
          <w:rFonts w:asciiTheme="majorHAnsi" w:hAnsiTheme="majorHAnsi"/>
          <w:bCs/>
          <w:sz w:val="20"/>
          <w:szCs w:val="20"/>
          <w:lang w:val="es-ES_tradnl"/>
        </w:rPr>
        <w:t xml:space="preserve"> </w:t>
      </w:r>
      <w:r w:rsidR="00705CEB" w:rsidRPr="00D21AF3">
        <w:rPr>
          <w:rFonts w:asciiTheme="majorHAnsi" w:hAnsiTheme="majorHAnsi"/>
          <w:bCs/>
          <w:sz w:val="20"/>
          <w:szCs w:val="20"/>
          <w:lang w:val="es-ES_tradnl"/>
        </w:rPr>
        <w:t>los hechos</w:t>
      </w:r>
      <w:r w:rsidRPr="00D21AF3">
        <w:rPr>
          <w:rFonts w:asciiTheme="majorHAnsi" w:hAnsiTheme="majorHAnsi"/>
          <w:bCs/>
          <w:sz w:val="20"/>
          <w:szCs w:val="20"/>
          <w:lang w:val="es-ES_tradnl"/>
        </w:rPr>
        <w:t>.</w:t>
      </w:r>
    </w:p>
    <w:p w14:paraId="5793CC8C" w14:textId="19017400" w:rsidR="00FB5FDA" w:rsidRPr="00D21AF3" w:rsidRDefault="00FB5FDA"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De igual manera</w:t>
      </w:r>
      <w:r w:rsidR="00705CEB" w:rsidRPr="00D21AF3">
        <w:rPr>
          <w:rFonts w:asciiTheme="majorHAnsi" w:hAnsiTheme="majorHAnsi"/>
          <w:bCs/>
          <w:sz w:val="20"/>
          <w:szCs w:val="20"/>
          <w:lang w:val="es-ES_tradnl"/>
        </w:rPr>
        <w:t>,</w:t>
      </w:r>
      <w:r w:rsidRPr="00D21AF3">
        <w:rPr>
          <w:rFonts w:asciiTheme="majorHAnsi" w:hAnsiTheme="majorHAnsi"/>
          <w:bCs/>
          <w:sz w:val="20"/>
          <w:szCs w:val="20"/>
          <w:lang w:val="es-ES_tradnl"/>
        </w:rPr>
        <w:t xml:space="preserve"> afirma que no se agotaron los recursos internos en</w:t>
      </w:r>
      <w:r w:rsidR="00E50EC9" w:rsidRPr="00D21AF3">
        <w:rPr>
          <w:rFonts w:asciiTheme="majorHAnsi" w:hAnsiTheme="majorHAnsi"/>
          <w:bCs/>
          <w:sz w:val="20"/>
          <w:szCs w:val="20"/>
          <w:lang w:val="es-ES_tradnl"/>
        </w:rPr>
        <w:t xml:space="preserve"> cuanto a la reparación</w:t>
      </w:r>
      <w:r w:rsidRPr="00D21AF3">
        <w:rPr>
          <w:rFonts w:asciiTheme="majorHAnsi" w:hAnsiTheme="majorHAnsi"/>
          <w:bCs/>
          <w:sz w:val="20"/>
          <w:szCs w:val="20"/>
          <w:lang w:val="es-ES_tradnl"/>
        </w:rPr>
        <w:t xml:space="preserve"> integral y colectiva</w:t>
      </w:r>
      <w:r w:rsidR="00E50EC9" w:rsidRPr="00D21AF3">
        <w:rPr>
          <w:rFonts w:asciiTheme="majorHAnsi" w:hAnsiTheme="majorHAnsi"/>
          <w:bCs/>
          <w:sz w:val="20"/>
          <w:szCs w:val="20"/>
          <w:lang w:val="es-ES_tradnl"/>
        </w:rPr>
        <w:t xml:space="preserve"> que reclaman </w:t>
      </w:r>
      <w:r w:rsidR="006F647A" w:rsidRPr="00D21AF3">
        <w:rPr>
          <w:rFonts w:asciiTheme="majorHAnsi" w:hAnsiTheme="majorHAnsi"/>
          <w:bCs/>
          <w:sz w:val="20"/>
          <w:szCs w:val="20"/>
          <w:lang w:val="es-ES_tradnl"/>
        </w:rPr>
        <w:t>las presuntas víctimas</w:t>
      </w:r>
      <w:r w:rsidR="00CA0BBD" w:rsidRPr="00D21AF3">
        <w:rPr>
          <w:rFonts w:asciiTheme="majorHAnsi" w:hAnsiTheme="majorHAnsi"/>
          <w:bCs/>
          <w:sz w:val="20"/>
          <w:szCs w:val="20"/>
          <w:lang w:val="es-ES_tradnl"/>
        </w:rPr>
        <w:t>,</w:t>
      </w:r>
      <w:r w:rsidR="00E50EC9" w:rsidRPr="00D21AF3">
        <w:rPr>
          <w:rFonts w:asciiTheme="majorHAnsi" w:hAnsiTheme="majorHAnsi"/>
          <w:bCs/>
          <w:sz w:val="20"/>
          <w:szCs w:val="20"/>
          <w:lang w:val="es-ES_tradnl"/>
        </w:rPr>
        <w:t xml:space="preserve"> porque</w:t>
      </w:r>
      <w:r w:rsidR="006F647A" w:rsidRPr="00D21AF3">
        <w:rPr>
          <w:rFonts w:asciiTheme="majorHAnsi" w:hAnsiTheme="majorHAnsi"/>
          <w:bCs/>
          <w:sz w:val="20"/>
          <w:szCs w:val="20"/>
          <w:lang w:val="es-ES_tradnl"/>
        </w:rPr>
        <w:t xml:space="preserve"> no interpusieron amparo alguno, siento éste el recurso </w:t>
      </w:r>
      <w:r w:rsidR="00132C46" w:rsidRPr="00D21AF3">
        <w:rPr>
          <w:rFonts w:asciiTheme="majorHAnsi" w:hAnsiTheme="majorHAnsi"/>
          <w:bCs/>
          <w:sz w:val="20"/>
          <w:szCs w:val="20"/>
          <w:lang w:val="es-ES_tradnl"/>
        </w:rPr>
        <w:t>idóneo</w:t>
      </w:r>
      <w:r w:rsidR="006F647A" w:rsidRPr="00D21AF3">
        <w:rPr>
          <w:rFonts w:asciiTheme="majorHAnsi" w:hAnsiTheme="majorHAnsi"/>
          <w:bCs/>
          <w:sz w:val="20"/>
          <w:szCs w:val="20"/>
          <w:lang w:val="es-ES_tradnl"/>
        </w:rPr>
        <w:t xml:space="preserve"> para que un tribunal requiriera al PNR resolver las pretensiones </w:t>
      </w:r>
      <w:r w:rsidR="00E50EC9" w:rsidRPr="00D21AF3">
        <w:rPr>
          <w:rFonts w:asciiTheme="majorHAnsi" w:hAnsiTheme="majorHAnsi"/>
          <w:bCs/>
          <w:sz w:val="20"/>
          <w:szCs w:val="20"/>
          <w:lang w:val="es-ES_tradnl"/>
        </w:rPr>
        <w:t>de la comunidad</w:t>
      </w:r>
      <w:r w:rsidR="006F647A" w:rsidRPr="00D21AF3">
        <w:rPr>
          <w:rFonts w:asciiTheme="majorHAnsi" w:hAnsiTheme="majorHAnsi"/>
          <w:bCs/>
          <w:sz w:val="20"/>
          <w:szCs w:val="20"/>
          <w:lang w:val="es-ES_tradnl"/>
        </w:rPr>
        <w:t xml:space="preserve">. El Estado </w:t>
      </w:r>
      <w:r w:rsidR="00A45329" w:rsidRPr="00D21AF3">
        <w:rPr>
          <w:rFonts w:asciiTheme="majorHAnsi" w:hAnsiTheme="majorHAnsi"/>
          <w:bCs/>
          <w:sz w:val="20"/>
          <w:szCs w:val="20"/>
          <w:lang w:val="es-ES_tradnl"/>
        </w:rPr>
        <w:t>indica</w:t>
      </w:r>
      <w:r w:rsidR="006F647A" w:rsidRPr="00D21AF3">
        <w:rPr>
          <w:rFonts w:asciiTheme="majorHAnsi" w:hAnsiTheme="majorHAnsi"/>
          <w:bCs/>
          <w:sz w:val="20"/>
          <w:szCs w:val="20"/>
          <w:lang w:val="es-ES_tradnl"/>
        </w:rPr>
        <w:t xml:space="preserve"> que </w:t>
      </w:r>
      <w:r w:rsidR="00132C46" w:rsidRPr="00D21AF3">
        <w:rPr>
          <w:rFonts w:asciiTheme="majorHAnsi" w:hAnsiTheme="majorHAnsi"/>
          <w:bCs/>
          <w:sz w:val="20"/>
          <w:szCs w:val="20"/>
          <w:lang w:val="es-ES_tradnl"/>
        </w:rPr>
        <w:t>la parte peticionaria</w:t>
      </w:r>
      <w:r w:rsidR="006F647A" w:rsidRPr="00D21AF3">
        <w:rPr>
          <w:rFonts w:asciiTheme="majorHAnsi" w:hAnsiTheme="majorHAnsi"/>
          <w:bCs/>
          <w:sz w:val="20"/>
          <w:szCs w:val="20"/>
          <w:lang w:val="es-ES_tradnl"/>
        </w:rPr>
        <w:t xml:space="preserve"> presentó un memorial de agravios el 9 de diciembre de 2008 y el 4 de febrero del 2009 ante la Oficina Regional de Quetzaltenango</w:t>
      </w:r>
      <w:r w:rsidR="00E50EC9" w:rsidRPr="00D21AF3">
        <w:rPr>
          <w:rFonts w:asciiTheme="majorHAnsi" w:hAnsiTheme="majorHAnsi"/>
          <w:bCs/>
          <w:sz w:val="20"/>
          <w:szCs w:val="20"/>
          <w:lang w:val="es-ES_tradnl"/>
        </w:rPr>
        <w:t xml:space="preserve"> del PNR</w:t>
      </w:r>
      <w:r w:rsidR="006F647A" w:rsidRPr="00D21AF3">
        <w:rPr>
          <w:rFonts w:asciiTheme="majorHAnsi" w:hAnsiTheme="majorHAnsi"/>
          <w:bCs/>
          <w:sz w:val="20"/>
          <w:szCs w:val="20"/>
          <w:lang w:val="es-ES_tradnl"/>
        </w:rPr>
        <w:t xml:space="preserve">, ejerciendo así su derecho de petición. A partir de </w:t>
      </w:r>
      <w:r w:rsidR="00E50EC9" w:rsidRPr="00D21AF3">
        <w:rPr>
          <w:rFonts w:asciiTheme="majorHAnsi" w:hAnsiTheme="majorHAnsi"/>
          <w:bCs/>
          <w:sz w:val="20"/>
          <w:szCs w:val="20"/>
          <w:lang w:val="es-ES_tradnl"/>
        </w:rPr>
        <w:t>esas</w:t>
      </w:r>
      <w:r w:rsidR="006F647A" w:rsidRPr="00D21AF3">
        <w:rPr>
          <w:rFonts w:asciiTheme="majorHAnsi" w:hAnsiTheme="majorHAnsi"/>
          <w:bCs/>
          <w:sz w:val="20"/>
          <w:szCs w:val="20"/>
          <w:lang w:val="es-ES_tradnl"/>
        </w:rPr>
        <w:t xml:space="preserve"> fechas la autoridad </w:t>
      </w:r>
      <w:r w:rsidR="00B11A0F" w:rsidRPr="00D21AF3">
        <w:rPr>
          <w:rFonts w:asciiTheme="majorHAnsi" w:hAnsiTheme="majorHAnsi"/>
          <w:bCs/>
          <w:sz w:val="20"/>
          <w:szCs w:val="20"/>
          <w:lang w:val="es-ES_tradnl"/>
        </w:rPr>
        <w:t>tenía</w:t>
      </w:r>
      <w:r w:rsidR="006F647A" w:rsidRPr="00D21AF3">
        <w:rPr>
          <w:rFonts w:asciiTheme="majorHAnsi" w:hAnsiTheme="majorHAnsi"/>
          <w:bCs/>
          <w:sz w:val="20"/>
          <w:szCs w:val="20"/>
          <w:lang w:val="es-ES_tradnl"/>
        </w:rPr>
        <w:t xml:space="preserve"> treinta días para resolver la petición, y al no responder, incurrió en silencio administrativo. Los peticionarios contaban</w:t>
      </w:r>
      <w:r w:rsidR="00E50EC9" w:rsidRPr="00D21AF3">
        <w:rPr>
          <w:rFonts w:asciiTheme="majorHAnsi" w:hAnsiTheme="majorHAnsi"/>
          <w:bCs/>
          <w:sz w:val="20"/>
          <w:szCs w:val="20"/>
          <w:lang w:val="es-ES_tradnl"/>
        </w:rPr>
        <w:t xml:space="preserve"> entonces</w:t>
      </w:r>
      <w:r w:rsidR="006F647A" w:rsidRPr="00D21AF3">
        <w:rPr>
          <w:rFonts w:asciiTheme="majorHAnsi" w:hAnsiTheme="majorHAnsi"/>
          <w:bCs/>
          <w:sz w:val="20"/>
          <w:szCs w:val="20"/>
          <w:lang w:val="es-ES_tradnl"/>
        </w:rPr>
        <w:t xml:space="preserve"> </w:t>
      </w:r>
      <w:r w:rsidR="00E50EC9" w:rsidRPr="00D21AF3">
        <w:rPr>
          <w:rFonts w:asciiTheme="majorHAnsi" w:hAnsiTheme="majorHAnsi"/>
          <w:bCs/>
          <w:sz w:val="20"/>
          <w:szCs w:val="20"/>
          <w:lang w:val="es-ES_tradnl"/>
        </w:rPr>
        <w:t xml:space="preserve">con </w:t>
      </w:r>
      <w:r w:rsidRPr="00D21AF3">
        <w:rPr>
          <w:rFonts w:asciiTheme="majorHAnsi" w:hAnsiTheme="majorHAnsi"/>
          <w:bCs/>
          <w:sz w:val="20"/>
          <w:szCs w:val="20"/>
          <w:lang w:val="es-ES_tradnl"/>
        </w:rPr>
        <w:t>la</w:t>
      </w:r>
      <w:r w:rsidR="006F647A" w:rsidRPr="00D21AF3">
        <w:rPr>
          <w:rFonts w:asciiTheme="majorHAnsi" w:hAnsiTheme="majorHAnsi"/>
          <w:bCs/>
          <w:sz w:val="20"/>
          <w:szCs w:val="20"/>
          <w:lang w:val="es-ES_tradnl"/>
        </w:rPr>
        <w:t xml:space="preserve"> acción constitucional de amparo</w:t>
      </w:r>
      <w:r w:rsidR="00B11A0F"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que establecería</w:t>
      </w:r>
      <w:r w:rsidR="006F647A" w:rsidRPr="00D21AF3">
        <w:rPr>
          <w:rFonts w:asciiTheme="majorHAnsi" w:hAnsiTheme="majorHAnsi"/>
          <w:bCs/>
          <w:sz w:val="20"/>
          <w:szCs w:val="20"/>
          <w:lang w:val="es-ES_tradnl"/>
        </w:rPr>
        <w:t xml:space="preserve"> un plazo razonable para que la autoridad se pronunciara</w:t>
      </w:r>
      <w:r w:rsidR="00E50EC9" w:rsidRPr="00D21AF3">
        <w:rPr>
          <w:rFonts w:asciiTheme="majorHAnsi" w:hAnsiTheme="majorHAnsi"/>
          <w:bCs/>
          <w:sz w:val="20"/>
          <w:szCs w:val="20"/>
          <w:lang w:val="es-ES_tradnl"/>
        </w:rPr>
        <w:t>. Pero, a</w:t>
      </w:r>
      <w:r w:rsidR="006F647A" w:rsidRPr="00D21AF3">
        <w:rPr>
          <w:rFonts w:asciiTheme="majorHAnsi" w:hAnsiTheme="majorHAnsi"/>
          <w:bCs/>
          <w:sz w:val="20"/>
          <w:szCs w:val="20"/>
          <w:lang w:val="es-ES_tradnl"/>
        </w:rPr>
        <w:t xml:space="preserve">l no presentar recurso alguno imposibilitaron al Estado </w:t>
      </w:r>
      <w:r w:rsidR="00AA746B" w:rsidRPr="00D21AF3">
        <w:rPr>
          <w:rFonts w:asciiTheme="majorHAnsi" w:hAnsiTheme="majorHAnsi"/>
          <w:bCs/>
          <w:sz w:val="20"/>
          <w:szCs w:val="20"/>
          <w:lang w:val="es-ES_tradnl"/>
        </w:rPr>
        <w:t>resolver</w:t>
      </w:r>
      <w:r w:rsidR="006F647A" w:rsidRPr="00D21AF3">
        <w:rPr>
          <w:rFonts w:asciiTheme="majorHAnsi" w:hAnsiTheme="majorHAnsi"/>
          <w:bCs/>
          <w:sz w:val="20"/>
          <w:szCs w:val="20"/>
          <w:lang w:val="es-ES_tradnl"/>
        </w:rPr>
        <w:t xml:space="preserve"> la situación en el ámbito nacional. </w:t>
      </w:r>
      <w:r w:rsidR="00E50EC9" w:rsidRPr="00D21AF3">
        <w:rPr>
          <w:rFonts w:asciiTheme="majorHAnsi" w:hAnsiTheme="majorHAnsi"/>
          <w:bCs/>
          <w:sz w:val="20"/>
          <w:szCs w:val="20"/>
          <w:lang w:val="es-ES_tradnl"/>
        </w:rPr>
        <w:t>Más aún</w:t>
      </w:r>
      <w:r w:rsidR="006F647A" w:rsidRPr="00D21AF3">
        <w:rPr>
          <w:rFonts w:asciiTheme="majorHAnsi" w:hAnsiTheme="majorHAnsi"/>
          <w:bCs/>
          <w:sz w:val="20"/>
          <w:szCs w:val="20"/>
          <w:lang w:val="es-ES_tradnl"/>
        </w:rPr>
        <w:t xml:space="preserve">, </w:t>
      </w:r>
      <w:r w:rsidR="00E50EC9" w:rsidRPr="00D21AF3">
        <w:rPr>
          <w:rFonts w:asciiTheme="majorHAnsi" w:hAnsiTheme="majorHAnsi"/>
          <w:bCs/>
          <w:sz w:val="20"/>
          <w:szCs w:val="20"/>
          <w:lang w:val="es-ES_tradnl"/>
        </w:rPr>
        <w:t xml:space="preserve">informan </w:t>
      </w:r>
      <w:r w:rsidR="00914D42" w:rsidRPr="00D21AF3">
        <w:rPr>
          <w:rFonts w:asciiTheme="majorHAnsi" w:hAnsiTheme="majorHAnsi"/>
          <w:bCs/>
          <w:sz w:val="20"/>
          <w:szCs w:val="20"/>
          <w:lang w:val="es-ES_tradnl"/>
        </w:rPr>
        <w:t>que,</w:t>
      </w:r>
      <w:r w:rsidR="00E50EC9" w:rsidRPr="00D21AF3">
        <w:rPr>
          <w:rFonts w:asciiTheme="majorHAnsi" w:hAnsiTheme="majorHAnsi"/>
          <w:bCs/>
          <w:sz w:val="20"/>
          <w:szCs w:val="20"/>
          <w:lang w:val="es-ES_tradnl"/>
        </w:rPr>
        <w:t xml:space="preserve"> </w:t>
      </w:r>
      <w:r w:rsidR="006F647A" w:rsidRPr="00D21AF3">
        <w:rPr>
          <w:rFonts w:asciiTheme="majorHAnsi" w:hAnsiTheme="majorHAnsi"/>
          <w:bCs/>
          <w:sz w:val="20"/>
          <w:szCs w:val="20"/>
          <w:lang w:val="es-ES_tradnl"/>
        </w:rPr>
        <w:t xml:space="preserve">si la parte peticionaria no estuviera conforme con la decisión del amparo, tenía a su disposición el recurso de revocatoria y el de reposición. </w:t>
      </w:r>
    </w:p>
    <w:p w14:paraId="23D81823" w14:textId="3DC8B66B" w:rsidR="009055C0" w:rsidRPr="00D21AF3" w:rsidRDefault="00A67A70"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Igualmente</w:t>
      </w:r>
      <w:r w:rsidR="00E50EC9" w:rsidRPr="00D21AF3">
        <w:rPr>
          <w:rFonts w:asciiTheme="majorHAnsi" w:hAnsiTheme="majorHAnsi"/>
          <w:bCs/>
          <w:sz w:val="20"/>
          <w:szCs w:val="20"/>
          <w:lang w:val="es-ES_tradnl"/>
        </w:rPr>
        <w:t>, el Estado argumenta que</w:t>
      </w:r>
      <w:r w:rsidR="00FB5FDA" w:rsidRPr="00D21AF3">
        <w:rPr>
          <w:rFonts w:asciiTheme="majorHAnsi" w:hAnsiTheme="majorHAnsi"/>
          <w:bCs/>
          <w:sz w:val="20"/>
          <w:szCs w:val="20"/>
          <w:lang w:val="es-ES_tradnl"/>
        </w:rPr>
        <w:t xml:space="preserve"> la parte peticionaria </w:t>
      </w:r>
      <w:r w:rsidR="002A5DD7" w:rsidRPr="00D21AF3">
        <w:rPr>
          <w:rFonts w:asciiTheme="majorHAnsi" w:hAnsiTheme="majorHAnsi"/>
          <w:bCs/>
          <w:sz w:val="20"/>
          <w:szCs w:val="20"/>
          <w:lang w:val="es-ES_tradnl"/>
        </w:rPr>
        <w:t xml:space="preserve">incumplió con la temporalidad al presentar tardíamente </w:t>
      </w:r>
      <w:r w:rsidR="00FB5FDA" w:rsidRPr="00D21AF3">
        <w:rPr>
          <w:rFonts w:asciiTheme="majorHAnsi" w:hAnsiTheme="majorHAnsi"/>
          <w:bCs/>
          <w:sz w:val="20"/>
          <w:szCs w:val="20"/>
          <w:lang w:val="es-ES_tradnl"/>
        </w:rPr>
        <w:t>la petición ante la CIDH</w:t>
      </w:r>
      <w:r w:rsidR="00B45A70" w:rsidRPr="00D21AF3">
        <w:rPr>
          <w:rFonts w:asciiTheme="majorHAnsi" w:hAnsiTheme="majorHAnsi"/>
          <w:bCs/>
          <w:sz w:val="20"/>
          <w:szCs w:val="20"/>
          <w:lang w:val="es-ES_tradnl"/>
        </w:rPr>
        <w:t>;</w:t>
      </w:r>
      <w:r w:rsidR="00FB5FDA" w:rsidRPr="00D21AF3">
        <w:rPr>
          <w:rFonts w:asciiTheme="majorHAnsi" w:hAnsiTheme="majorHAnsi"/>
          <w:bCs/>
          <w:sz w:val="20"/>
          <w:szCs w:val="20"/>
          <w:lang w:val="es-ES_tradnl"/>
        </w:rPr>
        <w:t xml:space="preserve"> </w:t>
      </w:r>
      <w:r w:rsidR="00E50EC9" w:rsidRPr="00D21AF3">
        <w:rPr>
          <w:rFonts w:asciiTheme="majorHAnsi" w:hAnsiTheme="majorHAnsi"/>
          <w:bCs/>
          <w:sz w:val="20"/>
          <w:szCs w:val="20"/>
          <w:lang w:val="es-ES_tradnl"/>
        </w:rPr>
        <w:t>y que por ningún motivo puede considerarse razonable una excepción al plazo establecido</w:t>
      </w:r>
      <w:r w:rsidR="00FB5FDA" w:rsidRPr="00D21AF3">
        <w:rPr>
          <w:rFonts w:asciiTheme="majorHAnsi" w:hAnsiTheme="majorHAnsi"/>
          <w:bCs/>
          <w:sz w:val="20"/>
          <w:szCs w:val="20"/>
          <w:lang w:val="es-ES_tradnl"/>
        </w:rPr>
        <w:t xml:space="preserve"> en el artículo 32 del Reglamento de la CIDH</w:t>
      </w:r>
      <w:r w:rsidR="00E50EC9" w:rsidRPr="00D21AF3">
        <w:rPr>
          <w:rFonts w:asciiTheme="majorHAnsi" w:hAnsiTheme="majorHAnsi"/>
          <w:bCs/>
          <w:sz w:val="20"/>
          <w:szCs w:val="20"/>
          <w:lang w:val="es-ES_tradnl"/>
        </w:rPr>
        <w:t xml:space="preserve">, toda vez que existían recursos internos idóneos que las presuntas víctimas no utilizaron. </w:t>
      </w:r>
    </w:p>
    <w:p w14:paraId="7A833558" w14:textId="3C3B096A" w:rsidR="009055C0" w:rsidRPr="00D21AF3" w:rsidRDefault="009055C0"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E</w:t>
      </w:r>
      <w:r w:rsidR="00E50EC9" w:rsidRPr="00D21AF3">
        <w:rPr>
          <w:rFonts w:asciiTheme="majorHAnsi" w:hAnsiTheme="majorHAnsi"/>
          <w:bCs/>
          <w:sz w:val="20"/>
          <w:szCs w:val="20"/>
          <w:lang w:val="es-ES_tradnl"/>
        </w:rPr>
        <w:t xml:space="preserve">l Estado guatemalteco sostiene que la comunidad en ningún momento ha sido abandonada y no considera que haya </w:t>
      </w:r>
      <w:r w:rsidR="00CD0E9F" w:rsidRPr="00D21AF3">
        <w:rPr>
          <w:rFonts w:asciiTheme="majorHAnsi" w:hAnsiTheme="majorHAnsi"/>
          <w:bCs/>
          <w:sz w:val="20"/>
          <w:szCs w:val="20"/>
          <w:lang w:val="es-ES_tradnl"/>
        </w:rPr>
        <w:t>menoscabado</w:t>
      </w:r>
      <w:r w:rsidR="00E50EC9" w:rsidRPr="00D21AF3">
        <w:rPr>
          <w:rFonts w:asciiTheme="majorHAnsi" w:hAnsiTheme="majorHAnsi"/>
          <w:bCs/>
          <w:sz w:val="20"/>
          <w:szCs w:val="20"/>
          <w:lang w:val="es-ES_tradnl"/>
        </w:rPr>
        <w:t xml:space="preserve"> sus derechos humanos. </w:t>
      </w:r>
      <w:r w:rsidR="009B1CFC" w:rsidRPr="00D21AF3">
        <w:rPr>
          <w:rFonts w:asciiTheme="majorHAnsi" w:hAnsiTheme="majorHAnsi"/>
          <w:bCs/>
          <w:sz w:val="20"/>
          <w:szCs w:val="20"/>
          <w:lang w:val="es-ES_tradnl"/>
        </w:rPr>
        <w:t>A este respecto informa</w:t>
      </w:r>
      <w:r w:rsidR="00E50EC9" w:rsidRPr="00D21AF3">
        <w:rPr>
          <w:rFonts w:asciiTheme="majorHAnsi" w:hAnsiTheme="majorHAnsi"/>
          <w:bCs/>
          <w:sz w:val="20"/>
          <w:szCs w:val="20"/>
          <w:lang w:val="es-ES_tradnl"/>
        </w:rPr>
        <w:t xml:space="preserve"> sobre acciones encaminadas a brindar apoyo y asistencia a las presuntas víctimas, como la dotación de tierras (otorgándoles las fincas en donde habitan actualmente</w:t>
      </w:r>
      <w:r w:rsidR="00E50EC9" w:rsidRPr="00D21AF3">
        <w:rPr>
          <w:rFonts w:asciiTheme="majorHAnsi" w:hAnsiTheme="majorHAnsi"/>
          <w:sz w:val="20"/>
          <w:szCs w:val="20"/>
          <w:vertAlign w:val="superscript"/>
          <w:lang w:val="es-ES_tradnl"/>
        </w:rPr>
        <w:footnoteReference w:id="16"/>
      </w:r>
      <w:r w:rsidR="00E50EC9" w:rsidRPr="00D21AF3">
        <w:rPr>
          <w:rFonts w:asciiTheme="majorHAnsi" w:hAnsiTheme="majorHAnsi"/>
          <w:bCs/>
          <w:sz w:val="20"/>
          <w:szCs w:val="20"/>
          <w:lang w:val="es-ES_tradnl"/>
        </w:rPr>
        <w:t xml:space="preserve">), asistencia en temas de producción agrícola y alimentarios, </w:t>
      </w:r>
      <w:r w:rsidRPr="00D21AF3">
        <w:rPr>
          <w:rFonts w:asciiTheme="majorHAnsi" w:hAnsiTheme="majorHAnsi"/>
          <w:bCs/>
          <w:sz w:val="20"/>
          <w:szCs w:val="20"/>
          <w:lang w:val="es-ES_tradnl"/>
        </w:rPr>
        <w:t>atención médica</w:t>
      </w:r>
      <w:r w:rsidR="00E50EC9" w:rsidRPr="00D21AF3">
        <w:rPr>
          <w:rFonts w:asciiTheme="majorHAnsi" w:hAnsiTheme="majorHAnsi"/>
          <w:bCs/>
          <w:sz w:val="20"/>
          <w:szCs w:val="20"/>
          <w:lang w:val="es-ES_tradnl"/>
        </w:rPr>
        <w:t xml:space="preserve"> en la </w:t>
      </w:r>
      <w:r w:rsidRPr="00D21AF3">
        <w:rPr>
          <w:rFonts w:asciiTheme="majorHAnsi" w:hAnsiTheme="majorHAnsi"/>
          <w:bCs/>
          <w:sz w:val="20"/>
          <w:szCs w:val="20"/>
          <w:lang w:val="es-ES_tradnl"/>
        </w:rPr>
        <w:t>c</w:t>
      </w:r>
      <w:r w:rsidR="00E50EC9" w:rsidRPr="00D21AF3">
        <w:rPr>
          <w:rFonts w:asciiTheme="majorHAnsi" w:hAnsiTheme="majorHAnsi"/>
          <w:bCs/>
          <w:sz w:val="20"/>
          <w:szCs w:val="20"/>
          <w:lang w:val="es-ES_tradnl"/>
        </w:rPr>
        <w:t xml:space="preserve">omunidad y </w:t>
      </w:r>
      <w:r w:rsidRPr="00D21AF3">
        <w:rPr>
          <w:rFonts w:asciiTheme="majorHAnsi" w:hAnsiTheme="majorHAnsi"/>
          <w:bCs/>
          <w:sz w:val="20"/>
          <w:szCs w:val="20"/>
          <w:lang w:val="es-ES_tradnl"/>
        </w:rPr>
        <w:t>educación</w:t>
      </w:r>
      <w:r w:rsidR="00E50EC9" w:rsidRPr="00D21AF3">
        <w:rPr>
          <w:rFonts w:asciiTheme="majorHAnsi" w:hAnsiTheme="majorHAnsi"/>
          <w:bCs/>
          <w:sz w:val="20"/>
          <w:szCs w:val="20"/>
          <w:lang w:val="es-ES_tradnl"/>
        </w:rPr>
        <w:t xml:space="preserve">. </w:t>
      </w:r>
      <w:r w:rsidRPr="00D21AF3">
        <w:rPr>
          <w:rFonts w:asciiTheme="majorHAnsi" w:hAnsiTheme="majorHAnsi"/>
          <w:bCs/>
          <w:sz w:val="20"/>
          <w:szCs w:val="20"/>
          <w:lang w:val="es-ES_tradnl"/>
        </w:rPr>
        <w:t>Sobre este último,</w:t>
      </w:r>
      <w:r w:rsidR="00E50EC9" w:rsidRPr="00D21AF3">
        <w:rPr>
          <w:rFonts w:asciiTheme="majorHAnsi" w:hAnsiTheme="majorHAnsi"/>
          <w:bCs/>
          <w:sz w:val="20"/>
          <w:szCs w:val="20"/>
          <w:lang w:val="es-ES_tradnl"/>
        </w:rPr>
        <w:t xml:space="preserve"> aclara que en la </w:t>
      </w:r>
      <w:r w:rsidRPr="00D21AF3">
        <w:rPr>
          <w:rFonts w:asciiTheme="majorHAnsi" w:hAnsiTheme="majorHAnsi"/>
          <w:bCs/>
          <w:sz w:val="20"/>
          <w:szCs w:val="20"/>
          <w:lang w:val="es-ES_tradnl"/>
        </w:rPr>
        <w:t>c</w:t>
      </w:r>
      <w:r w:rsidR="00E50EC9" w:rsidRPr="00D21AF3">
        <w:rPr>
          <w:rFonts w:asciiTheme="majorHAnsi" w:hAnsiTheme="majorHAnsi"/>
          <w:bCs/>
          <w:sz w:val="20"/>
          <w:szCs w:val="20"/>
          <w:lang w:val="es-ES_tradnl"/>
        </w:rPr>
        <w:t xml:space="preserve">omunidad </w:t>
      </w:r>
      <w:r w:rsidRPr="00D21AF3">
        <w:rPr>
          <w:rFonts w:asciiTheme="majorHAnsi" w:hAnsiTheme="majorHAnsi"/>
          <w:bCs/>
          <w:i/>
          <w:iCs/>
          <w:sz w:val="20"/>
          <w:szCs w:val="20"/>
          <w:lang w:val="es-ES_tradnl"/>
        </w:rPr>
        <w:t>E</w:t>
      </w:r>
      <w:r w:rsidR="00E50EC9" w:rsidRPr="00D21AF3">
        <w:rPr>
          <w:rFonts w:asciiTheme="majorHAnsi" w:hAnsiTheme="majorHAnsi"/>
          <w:bCs/>
          <w:i/>
          <w:iCs/>
          <w:sz w:val="20"/>
          <w:szCs w:val="20"/>
          <w:lang w:val="es-ES_tradnl"/>
        </w:rPr>
        <w:t>l Triunfo</w:t>
      </w:r>
      <w:r w:rsidR="00E50EC9" w:rsidRPr="00D21AF3">
        <w:rPr>
          <w:rFonts w:asciiTheme="majorHAnsi" w:hAnsiTheme="majorHAnsi"/>
          <w:bCs/>
          <w:sz w:val="20"/>
          <w:szCs w:val="20"/>
          <w:lang w:val="es-ES_tradnl"/>
        </w:rPr>
        <w:t xml:space="preserve"> se imparte educación pública a </w:t>
      </w:r>
      <w:r w:rsidR="00E50EC9" w:rsidRPr="00D21AF3">
        <w:rPr>
          <w:rFonts w:asciiTheme="majorHAnsi" w:hAnsiTheme="majorHAnsi"/>
          <w:bCs/>
          <w:i/>
          <w:iCs/>
          <w:sz w:val="20"/>
          <w:szCs w:val="20"/>
          <w:lang w:val="es-ES_tradnl"/>
        </w:rPr>
        <w:t>“nivel pre-primario, primario y básico, con un total de 30 docentes, los centros educativos se conforma</w:t>
      </w:r>
      <w:r w:rsidR="00CD0E9F" w:rsidRPr="00D21AF3">
        <w:rPr>
          <w:rFonts w:asciiTheme="majorHAnsi" w:hAnsiTheme="majorHAnsi"/>
          <w:bCs/>
          <w:i/>
          <w:iCs/>
          <w:sz w:val="20"/>
          <w:szCs w:val="20"/>
          <w:lang w:val="es-ES_tradnl"/>
        </w:rPr>
        <w:t>n</w:t>
      </w:r>
      <w:r w:rsidR="00E50EC9" w:rsidRPr="00D21AF3">
        <w:rPr>
          <w:rFonts w:asciiTheme="majorHAnsi" w:hAnsiTheme="majorHAnsi"/>
          <w:bCs/>
          <w:i/>
          <w:iCs/>
          <w:sz w:val="20"/>
          <w:szCs w:val="20"/>
          <w:lang w:val="es-ES_tradnl"/>
        </w:rPr>
        <w:t xml:space="preserve"> de: 12 aulas y 1 módulo de servicios sanitarios […] y una cocina improvisada"</w:t>
      </w:r>
      <w:r w:rsidR="00E50EC9" w:rsidRPr="00D21AF3">
        <w:rPr>
          <w:rFonts w:asciiTheme="majorHAnsi" w:hAnsiTheme="majorHAnsi"/>
          <w:bCs/>
          <w:sz w:val="20"/>
          <w:szCs w:val="20"/>
          <w:lang w:val="es-ES_tradnl"/>
        </w:rPr>
        <w:t xml:space="preserve"> de la cual los estudiantes son beneficiarios de un programa de alimentación escolar. </w:t>
      </w:r>
    </w:p>
    <w:p w14:paraId="576C7A84" w14:textId="61440472" w:rsidR="00D51F12" w:rsidRPr="00D21AF3" w:rsidRDefault="00E50EC9"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lo referente a reparaciones a través de construcción de vivienda, </w:t>
      </w:r>
      <w:r w:rsidR="004D0BF4" w:rsidRPr="00D21AF3">
        <w:rPr>
          <w:rFonts w:asciiTheme="majorHAnsi" w:hAnsiTheme="majorHAnsi"/>
          <w:bCs/>
          <w:sz w:val="20"/>
          <w:szCs w:val="20"/>
          <w:lang w:val="es-ES_tradnl"/>
        </w:rPr>
        <w:t>indica</w:t>
      </w:r>
      <w:r w:rsidRPr="00D21AF3">
        <w:rPr>
          <w:rFonts w:asciiTheme="majorHAnsi" w:hAnsiTheme="majorHAnsi"/>
          <w:bCs/>
          <w:sz w:val="20"/>
          <w:szCs w:val="20"/>
          <w:lang w:val="es-ES_tradnl"/>
        </w:rPr>
        <w:t xml:space="preserve"> que el aporte que les pidieron a las presuntas víctimas está establecido en el Manual Operativo del Sistema Financiero Integrado del FOGUAVI. Además, que sí debe ser considerado como una forma de reparación porque las viviendas se construyeron dentro de</w:t>
      </w:r>
      <w:r w:rsidR="009055C0" w:rsidRPr="00D21AF3">
        <w:rPr>
          <w:rFonts w:asciiTheme="majorHAnsi" w:hAnsiTheme="majorHAnsi"/>
          <w:bCs/>
          <w:sz w:val="20"/>
          <w:szCs w:val="20"/>
          <w:lang w:val="es-ES_tradnl"/>
        </w:rPr>
        <w:t xml:space="preserve"> un</w:t>
      </w:r>
      <w:r w:rsidRPr="00D21AF3">
        <w:rPr>
          <w:rFonts w:asciiTheme="majorHAnsi" w:hAnsiTheme="majorHAnsi"/>
          <w:bCs/>
          <w:sz w:val="20"/>
          <w:szCs w:val="20"/>
          <w:lang w:val="es-ES_tradnl"/>
        </w:rPr>
        <w:t xml:space="preserve"> programa de viviendas para los desarraigados y desmovilizados del enfrentamiento armado interno; así</w:t>
      </w:r>
      <w:r w:rsidR="009055C0" w:rsidRPr="00D21AF3">
        <w:rPr>
          <w:rFonts w:asciiTheme="majorHAnsi" w:hAnsiTheme="majorHAnsi"/>
          <w:bCs/>
          <w:sz w:val="20"/>
          <w:szCs w:val="20"/>
          <w:lang w:val="es-ES_tradnl"/>
        </w:rPr>
        <w:t xml:space="preserve"> que</w:t>
      </w:r>
      <w:r w:rsidRPr="00D21AF3">
        <w:rPr>
          <w:rFonts w:asciiTheme="majorHAnsi" w:hAnsiTheme="majorHAnsi"/>
          <w:bCs/>
          <w:sz w:val="20"/>
          <w:szCs w:val="20"/>
          <w:lang w:val="es-ES_tradnl"/>
        </w:rPr>
        <w:t xml:space="preserve">, si bien </w:t>
      </w:r>
      <w:r w:rsidR="00B11A0F" w:rsidRPr="00D21AF3">
        <w:rPr>
          <w:rFonts w:asciiTheme="majorHAnsi" w:hAnsiTheme="majorHAnsi"/>
          <w:bCs/>
          <w:sz w:val="20"/>
          <w:szCs w:val="20"/>
          <w:lang w:val="es-ES_tradnl"/>
        </w:rPr>
        <w:t xml:space="preserve">no </w:t>
      </w:r>
      <w:r w:rsidR="009055C0" w:rsidRPr="00D21AF3">
        <w:rPr>
          <w:rFonts w:asciiTheme="majorHAnsi" w:hAnsiTheme="majorHAnsi"/>
          <w:bCs/>
          <w:sz w:val="20"/>
          <w:szCs w:val="20"/>
          <w:lang w:val="es-ES_tradnl"/>
        </w:rPr>
        <w:t>es un</w:t>
      </w:r>
      <w:r w:rsidRPr="00D21AF3">
        <w:rPr>
          <w:rFonts w:asciiTheme="majorHAnsi" w:hAnsiTheme="majorHAnsi"/>
          <w:bCs/>
          <w:sz w:val="20"/>
          <w:szCs w:val="20"/>
          <w:lang w:val="es-ES_tradnl"/>
        </w:rPr>
        <w:t xml:space="preserve"> programa propio del PNR, sí estaba dirigido a víctimas del conflicto armado interno. </w:t>
      </w:r>
    </w:p>
    <w:p w14:paraId="4F229076" w14:textId="70B1AACC" w:rsidR="00D51F12" w:rsidRPr="00D21AF3" w:rsidRDefault="00E50EC9"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En cuanto al PNR, el Estado contextualiza que se formó con el Acuerdo Gubernativo 258-2003 buscando el resarcimiento de las víctimas de violaciones cometidas durante el enfrentamiento armado interno; no obstante, la atención que brinda se prioriza dependiendo de las circunstancias particulares de casa caso. Consideran que las presuntas víctimas no presentan un análisis adecuado que explique por qué el </w:t>
      </w:r>
      <w:r w:rsidRPr="00D21AF3">
        <w:rPr>
          <w:rFonts w:asciiTheme="majorHAnsi" w:hAnsiTheme="majorHAnsi"/>
          <w:bCs/>
          <w:sz w:val="20"/>
          <w:szCs w:val="20"/>
          <w:lang w:val="es-ES_tradnl"/>
        </w:rPr>
        <w:lastRenderedPageBreak/>
        <w:t>mencionado acuerdo trasgrede sus derechos fundamentales</w:t>
      </w:r>
      <w:r w:rsidR="00D51F12" w:rsidRPr="00D21AF3">
        <w:rPr>
          <w:rFonts w:asciiTheme="majorHAnsi" w:hAnsiTheme="majorHAnsi"/>
          <w:bCs/>
          <w:sz w:val="20"/>
          <w:szCs w:val="20"/>
          <w:lang w:val="es-ES_tradnl"/>
        </w:rPr>
        <w:t xml:space="preserve"> y</w:t>
      </w:r>
      <w:r w:rsidRPr="00D21AF3">
        <w:rPr>
          <w:rFonts w:asciiTheme="majorHAnsi" w:hAnsiTheme="majorHAnsi"/>
          <w:bCs/>
          <w:sz w:val="20"/>
          <w:szCs w:val="20"/>
          <w:lang w:val="es-ES_tradnl"/>
        </w:rPr>
        <w:t xml:space="preserve"> que la falta de respuesta por parte del PNR ante la solicitud de los peticionarios no configura una violación </w:t>
      </w:r>
      <w:r w:rsidR="002A5DD7" w:rsidRPr="00D21AF3">
        <w:rPr>
          <w:rFonts w:asciiTheme="majorHAnsi" w:hAnsiTheme="majorHAnsi"/>
          <w:bCs/>
          <w:sz w:val="20"/>
          <w:szCs w:val="20"/>
          <w:lang w:val="es-ES_tradnl"/>
        </w:rPr>
        <w:t>a sus derechos</w:t>
      </w:r>
      <w:r w:rsidRPr="00D21AF3">
        <w:rPr>
          <w:rFonts w:asciiTheme="majorHAnsi" w:hAnsiTheme="majorHAnsi"/>
          <w:bCs/>
          <w:sz w:val="20"/>
          <w:szCs w:val="20"/>
          <w:lang w:val="es-ES_tradnl"/>
        </w:rPr>
        <w:t xml:space="preserve">. Aún más, el Estado arguye que varias presuntas víctimas ya han tenido respuesta y resarcimiento por parte del PNR. Frente a los argumentos de un trato preferencial hacia otras comunidades por motivos políticos, el Estado </w:t>
      </w:r>
      <w:r w:rsidR="00D51F12" w:rsidRPr="00D21AF3">
        <w:rPr>
          <w:rFonts w:asciiTheme="majorHAnsi" w:hAnsiTheme="majorHAnsi"/>
          <w:bCs/>
          <w:sz w:val="20"/>
          <w:szCs w:val="20"/>
          <w:lang w:val="es-ES_tradnl"/>
        </w:rPr>
        <w:t>rebate</w:t>
      </w:r>
      <w:r w:rsidRPr="00D21AF3">
        <w:rPr>
          <w:rFonts w:asciiTheme="majorHAnsi" w:hAnsiTheme="majorHAnsi"/>
          <w:bCs/>
          <w:sz w:val="20"/>
          <w:szCs w:val="20"/>
          <w:lang w:val="es-ES_tradnl"/>
        </w:rPr>
        <w:t xml:space="preserve"> que no hay evidencias que respalden dicha afirmación y que</w:t>
      </w:r>
      <w:r w:rsidR="002A5DD7" w:rsidRPr="00D21AF3">
        <w:rPr>
          <w:rFonts w:asciiTheme="majorHAnsi" w:hAnsiTheme="majorHAnsi"/>
          <w:bCs/>
          <w:sz w:val="20"/>
          <w:szCs w:val="20"/>
          <w:lang w:val="es-ES_tradnl"/>
        </w:rPr>
        <w:t xml:space="preserve">, en realidad, </w:t>
      </w:r>
      <w:r w:rsidRPr="00D21AF3">
        <w:rPr>
          <w:rFonts w:asciiTheme="majorHAnsi" w:hAnsiTheme="majorHAnsi"/>
          <w:bCs/>
          <w:sz w:val="20"/>
          <w:szCs w:val="20"/>
          <w:lang w:val="es-ES_tradnl"/>
        </w:rPr>
        <w:t>la parte peticionaria no demuestra que su petición ante el PNR cumplió con los criterios de priorización</w:t>
      </w:r>
      <w:r w:rsidR="00D51F12" w:rsidRPr="00D21AF3">
        <w:rPr>
          <w:rFonts w:asciiTheme="majorHAnsi" w:hAnsiTheme="majorHAnsi"/>
          <w:bCs/>
          <w:sz w:val="20"/>
          <w:szCs w:val="20"/>
          <w:lang w:val="es-ES_tradnl"/>
        </w:rPr>
        <w:t xml:space="preserve"> contemplados en la legislación interna. </w:t>
      </w:r>
    </w:p>
    <w:p w14:paraId="501F8DAD" w14:textId="6E51F94F" w:rsidR="00D51F12" w:rsidRPr="00D21AF3" w:rsidRDefault="00D51F12"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Finalmente, el Estado considera que ha cumplido con sus obligaciones frente a lo ocurrido a las presuntas víctimas durante el conflicto armado, resguardando su integridad, garantizando la no repetición de los hechos e investigando lo sucedido. </w:t>
      </w:r>
    </w:p>
    <w:p w14:paraId="18E88080" w14:textId="70ACEAE1" w:rsidR="00D51F12" w:rsidRPr="00D21AF3" w:rsidRDefault="00D51F12" w:rsidP="007D4AD6">
      <w:pPr>
        <w:pStyle w:val="ListParagraph"/>
        <w:numPr>
          <w:ilvl w:val="0"/>
          <w:numId w:val="56"/>
        </w:numPr>
        <w:spacing w:before="240" w:after="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Cabe señalar que tanto el Estado como la parte peticionaria, manifestaron su voluntad para realizar un procedimiento de solución amistosa</w:t>
      </w:r>
      <w:r w:rsidR="00022461" w:rsidRPr="00D21AF3">
        <w:rPr>
          <w:rStyle w:val="FootnoteReference"/>
          <w:rFonts w:asciiTheme="majorHAnsi" w:hAnsiTheme="majorHAnsi"/>
          <w:bCs/>
          <w:sz w:val="20"/>
          <w:szCs w:val="20"/>
          <w:lang w:val="es-ES_tradnl"/>
        </w:rPr>
        <w:footnoteReference w:id="17"/>
      </w:r>
      <w:r w:rsidRPr="00D21AF3">
        <w:rPr>
          <w:rFonts w:asciiTheme="majorHAnsi" w:hAnsiTheme="majorHAnsi"/>
          <w:bCs/>
          <w:sz w:val="20"/>
          <w:szCs w:val="20"/>
          <w:lang w:val="es-ES_tradnl"/>
        </w:rPr>
        <w:t xml:space="preserve">. Sin embargo, la CIDH determinó la inviabilidad de facilitar un proceso de negociación para el presente asunto por considerar que </w:t>
      </w:r>
      <w:r w:rsidR="00071DED" w:rsidRPr="00D21AF3">
        <w:rPr>
          <w:rFonts w:asciiTheme="majorHAnsi" w:hAnsiTheme="majorHAnsi"/>
          <w:bCs/>
          <w:sz w:val="20"/>
          <w:szCs w:val="20"/>
          <w:lang w:val="es-ES_tradnl"/>
        </w:rPr>
        <w:t xml:space="preserve">a la fecha </w:t>
      </w:r>
      <w:r w:rsidRPr="00D21AF3">
        <w:rPr>
          <w:rFonts w:asciiTheme="majorHAnsi" w:hAnsiTheme="majorHAnsi"/>
          <w:bCs/>
          <w:sz w:val="20"/>
          <w:szCs w:val="20"/>
          <w:lang w:val="es-ES_tradnl"/>
        </w:rPr>
        <w:t>no es susceptible de ser resuelto por la vía de la solución amistosa, en los términos previstos en el artículo 40.4 del Reglamento de la Comisión. Concretamente se observó que, a la fecha, no existen las condiciones establecidas en el artículo 40.5 del mencionado Reglamento para avanzar con una eventual aprobación del acuerdo en los términos establecidos en el artículo 49 de la Convención Americana.</w:t>
      </w:r>
      <w:r w:rsidR="00867921" w:rsidRPr="00D21AF3">
        <w:rPr>
          <w:rFonts w:asciiTheme="majorHAnsi" w:hAnsiTheme="majorHAnsi"/>
          <w:bCs/>
          <w:sz w:val="20"/>
          <w:szCs w:val="20"/>
          <w:lang w:val="es-ES_tradnl"/>
        </w:rPr>
        <w:t xml:space="preserve"> Por lo tanto, en atención </w:t>
      </w:r>
      <w:r w:rsidR="00D0215C" w:rsidRPr="00D21AF3">
        <w:rPr>
          <w:rFonts w:asciiTheme="majorHAnsi" w:hAnsiTheme="majorHAnsi"/>
          <w:bCs/>
          <w:sz w:val="20"/>
          <w:szCs w:val="20"/>
          <w:lang w:val="es-ES_tradnl"/>
        </w:rPr>
        <w:t xml:space="preserve">al objetivo fundamental del Sistema Interamericano que es la protección de las víctimas, la Comisión </w:t>
      </w:r>
      <w:r w:rsidR="007E1589" w:rsidRPr="00D21AF3">
        <w:rPr>
          <w:rFonts w:asciiTheme="majorHAnsi" w:hAnsiTheme="majorHAnsi"/>
          <w:bCs/>
          <w:sz w:val="20"/>
          <w:szCs w:val="20"/>
          <w:lang w:val="es-ES_tradnl"/>
        </w:rPr>
        <w:t>procede a la emisión de la presente decisión, sin que esto obste para el eventual arribo a una solución amis</w:t>
      </w:r>
      <w:r w:rsidR="0010587D" w:rsidRPr="00D21AF3">
        <w:rPr>
          <w:rFonts w:asciiTheme="majorHAnsi" w:hAnsiTheme="majorHAnsi"/>
          <w:bCs/>
          <w:sz w:val="20"/>
          <w:szCs w:val="20"/>
          <w:lang w:val="es-ES_tradnl"/>
        </w:rPr>
        <w:t>tosa, durante la etapa de fondo del presente asunto.</w:t>
      </w:r>
      <w:r w:rsidR="003F6387" w:rsidRPr="00D21AF3">
        <w:rPr>
          <w:rFonts w:asciiTheme="majorHAnsi" w:hAnsiTheme="majorHAnsi"/>
          <w:bCs/>
          <w:sz w:val="20"/>
          <w:szCs w:val="20"/>
          <w:lang w:val="es-ES_tradnl"/>
        </w:rPr>
        <w:t xml:space="preserve"> </w:t>
      </w:r>
    </w:p>
    <w:p w14:paraId="51F68C92" w14:textId="77777777" w:rsidR="003239B8" w:rsidRPr="00D21AF3" w:rsidRDefault="003239B8" w:rsidP="007D4AD6">
      <w:pPr>
        <w:spacing w:before="240" w:after="240"/>
        <w:ind w:firstLine="720"/>
        <w:jc w:val="both"/>
        <w:rPr>
          <w:rFonts w:asciiTheme="majorHAnsi" w:hAnsiTheme="majorHAnsi"/>
          <w:sz w:val="20"/>
          <w:szCs w:val="20"/>
          <w:lang w:val="es-ES_tradnl"/>
        </w:rPr>
      </w:pPr>
      <w:r w:rsidRPr="00D21AF3">
        <w:rPr>
          <w:rFonts w:asciiTheme="majorHAnsi" w:eastAsia="Cambria" w:hAnsiTheme="majorHAnsi" w:cs="Cambria"/>
          <w:b/>
          <w:bCs/>
          <w:color w:val="000000"/>
          <w:sz w:val="20"/>
          <w:szCs w:val="20"/>
          <w:u w:color="000000"/>
          <w:lang w:val="es-ES_tradnl" w:eastAsia="es-ES"/>
        </w:rPr>
        <w:t>VI.</w:t>
      </w:r>
      <w:r w:rsidRPr="00D21AF3">
        <w:rPr>
          <w:rFonts w:asciiTheme="majorHAnsi" w:eastAsia="Cambria" w:hAnsiTheme="majorHAnsi" w:cs="Cambria"/>
          <w:b/>
          <w:bCs/>
          <w:color w:val="000000"/>
          <w:sz w:val="20"/>
          <w:szCs w:val="20"/>
          <w:u w:color="000000"/>
          <w:lang w:val="es-ES_tradnl" w:eastAsia="es-ES"/>
        </w:rPr>
        <w:tab/>
      </w:r>
      <w:r w:rsidR="004A6A54" w:rsidRPr="00D21AF3">
        <w:rPr>
          <w:rFonts w:asciiTheme="majorHAnsi" w:hAnsiTheme="majorHAnsi"/>
          <w:b/>
          <w:bCs/>
          <w:sz w:val="20"/>
          <w:szCs w:val="20"/>
          <w:lang w:val="es-ES_tradnl"/>
        </w:rPr>
        <w:t xml:space="preserve">ANÁLISIS DE </w:t>
      </w:r>
      <w:r w:rsidR="00C21FEF" w:rsidRPr="00D21AF3">
        <w:rPr>
          <w:rFonts w:asciiTheme="majorHAnsi" w:hAnsiTheme="majorHAnsi"/>
          <w:b/>
          <w:sz w:val="20"/>
          <w:szCs w:val="20"/>
          <w:lang w:val="es-ES_tradnl"/>
        </w:rPr>
        <w:t>AGOTAMIENTO DE LOS RECURSOS INTERNOS Y PLAZO DE PRESENTACIÓN</w:t>
      </w:r>
      <w:r w:rsidR="00C21FEF" w:rsidRPr="00D21AF3">
        <w:rPr>
          <w:rFonts w:asciiTheme="majorHAnsi" w:eastAsia="Cambria" w:hAnsiTheme="majorHAnsi" w:cs="Cambria"/>
          <w:b/>
          <w:bCs/>
          <w:color w:val="000000"/>
          <w:sz w:val="20"/>
          <w:szCs w:val="20"/>
          <w:u w:color="000000"/>
          <w:lang w:val="es-ES_tradnl" w:eastAsia="es-ES"/>
        </w:rPr>
        <w:t xml:space="preserve"> </w:t>
      </w:r>
    </w:p>
    <w:p w14:paraId="70972493" w14:textId="62C821ED" w:rsidR="007C7029" w:rsidRPr="00D21AF3" w:rsidRDefault="007C7029" w:rsidP="00CB6407">
      <w:pPr>
        <w:pStyle w:val="ListParagraph"/>
        <w:numPr>
          <w:ilvl w:val="0"/>
          <w:numId w:val="56"/>
        </w:numPr>
        <w:spacing w:before="240" w:after="240"/>
        <w:ind w:left="142" w:firstLine="567"/>
        <w:jc w:val="both"/>
        <w:rPr>
          <w:rFonts w:asciiTheme="majorHAnsi" w:hAnsiTheme="majorHAnsi"/>
          <w:sz w:val="20"/>
          <w:szCs w:val="20"/>
          <w:lang w:val="es-ES_tradnl"/>
        </w:rPr>
      </w:pPr>
      <w:bookmarkStart w:id="2" w:name="_Hlk117983198"/>
      <w:bookmarkStart w:id="3" w:name="_Hlk114822629"/>
      <w:r w:rsidRPr="00D21AF3">
        <w:rPr>
          <w:rFonts w:asciiTheme="majorHAnsi" w:hAnsiTheme="majorHAnsi"/>
          <w:sz w:val="20"/>
          <w:szCs w:val="20"/>
          <w:lang w:val="es-ES_tradnl"/>
        </w:rPr>
        <w:t xml:space="preserve">Los peticionarios narran violaciones ocurridas contra su comunidad </w:t>
      </w:r>
      <w:r w:rsidR="00226B3F" w:rsidRPr="00D21AF3">
        <w:rPr>
          <w:rFonts w:asciiTheme="majorHAnsi" w:hAnsiTheme="majorHAnsi"/>
          <w:sz w:val="20"/>
          <w:szCs w:val="20"/>
          <w:lang w:val="es-ES_tradnl"/>
        </w:rPr>
        <w:t>en el</w:t>
      </w:r>
      <w:r w:rsidRPr="00D21AF3">
        <w:rPr>
          <w:rFonts w:asciiTheme="majorHAnsi" w:hAnsiTheme="majorHAnsi"/>
          <w:sz w:val="20"/>
          <w:szCs w:val="20"/>
          <w:lang w:val="es-ES_tradnl"/>
        </w:rPr>
        <w:t xml:space="preserve"> conflicto armado, cometidas presuntamente por miembros del </w:t>
      </w:r>
      <w:r w:rsidR="00226B3F" w:rsidRPr="00D21AF3">
        <w:rPr>
          <w:rFonts w:asciiTheme="majorHAnsi" w:hAnsiTheme="majorHAnsi"/>
          <w:sz w:val="20"/>
          <w:szCs w:val="20"/>
          <w:lang w:val="es-ES_tradnl"/>
        </w:rPr>
        <w:t>e</w:t>
      </w:r>
      <w:r w:rsidRPr="00D21AF3">
        <w:rPr>
          <w:rFonts w:asciiTheme="majorHAnsi" w:hAnsiTheme="majorHAnsi"/>
          <w:sz w:val="20"/>
          <w:szCs w:val="20"/>
          <w:lang w:val="es-ES_tradnl"/>
        </w:rPr>
        <w:t xml:space="preserve">jército, desde 1981 y hasta 1994. Aluden a la falta de reparación integral a la comunidad </w:t>
      </w:r>
      <w:r w:rsidRPr="00D21AF3">
        <w:rPr>
          <w:rFonts w:asciiTheme="majorHAnsi" w:hAnsiTheme="majorHAnsi"/>
          <w:i/>
          <w:iCs/>
          <w:sz w:val="20"/>
          <w:szCs w:val="20"/>
          <w:lang w:val="es-ES_tradnl"/>
        </w:rPr>
        <w:t>El Triunfo</w:t>
      </w:r>
      <w:r w:rsidRPr="00D21AF3">
        <w:rPr>
          <w:rFonts w:asciiTheme="majorHAnsi" w:hAnsiTheme="majorHAnsi"/>
          <w:sz w:val="20"/>
          <w:szCs w:val="20"/>
          <w:lang w:val="es-ES_tradnl"/>
        </w:rPr>
        <w:t xml:space="preserve"> </w:t>
      </w:r>
      <w:r w:rsidR="00CB6407" w:rsidRPr="00D21AF3">
        <w:rPr>
          <w:rFonts w:asciiTheme="majorHAnsi" w:hAnsiTheme="majorHAnsi"/>
          <w:sz w:val="20"/>
          <w:szCs w:val="20"/>
          <w:lang w:val="es-ES_tradnl"/>
        </w:rPr>
        <w:t>a través</w:t>
      </w:r>
      <w:r w:rsidRPr="00D21AF3">
        <w:rPr>
          <w:rFonts w:asciiTheme="majorHAnsi" w:hAnsiTheme="majorHAnsi"/>
          <w:sz w:val="20"/>
          <w:szCs w:val="20"/>
          <w:lang w:val="es-ES_tradnl"/>
        </w:rPr>
        <w:t xml:space="preserve"> del PNR, y a la falta de investigación y sanción efectiva de los hechos. Sobre este último reclamo, sin embargo, la parte peticionaria no presenta suficientes elementos para su estudio y más bien se centra en la falta de reparaciones a las presuntas víctimas por los hechos referidos. En este mismo sentido, </w:t>
      </w:r>
      <w:r w:rsidRPr="00D21AF3">
        <w:rPr>
          <w:rFonts w:asciiTheme="majorHAnsi" w:hAnsiTheme="majorHAnsi"/>
          <w:sz w:val="20"/>
          <w:szCs w:val="20"/>
          <w:lang w:val="es-ES"/>
        </w:rPr>
        <w:t xml:space="preserve">los alegatos relativos a la falta de apoyo técnico y económico para </w:t>
      </w:r>
      <w:r w:rsidR="00CB6407" w:rsidRPr="00D21AF3">
        <w:rPr>
          <w:rFonts w:asciiTheme="majorHAnsi" w:hAnsiTheme="majorHAnsi"/>
          <w:sz w:val="20"/>
          <w:szCs w:val="20"/>
          <w:lang w:val="es-ES"/>
        </w:rPr>
        <w:t>el</w:t>
      </w:r>
      <w:r w:rsidRPr="00D21AF3">
        <w:rPr>
          <w:rFonts w:asciiTheme="majorHAnsi" w:hAnsiTheme="majorHAnsi"/>
          <w:sz w:val="20"/>
          <w:szCs w:val="20"/>
          <w:lang w:val="es-ES"/>
        </w:rPr>
        <w:t xml:space="preserve"> desarrollo agrícola y la falta de servicios</w:t>
      </w:r>
      <w:r w:rsidR="00CB6407" w:rsidRPr="00D21AF3">
        <w:rPr>
          <w:rFonts w:asciiTheme="majorHAnsi" w:hAnsiTheme="majorHAnsi"/>
          <w:sz w:val="20"/>
          <w:szCs w:val="20"/>
          <w:lang w:val="es-ES"/>
        </w:rPr>
        <w:t xml:space="preserve"> adecuados</w:t>
      </w:r>
      <w:r w:rsidRPr="00D21AF3">
        <w:rPr>
          <w:rFonts w:asciiTheme="majorHAnsi" w:hAnsiTheme="majorHAnsi"/>
          <w:sz w:val="20"/>
          <w:szCs w:val="20"/>
          <w:lang w:val="es-ES"/>
        </w:rPr>
        <w:t xml:space="preserve"> de salud y </w:t>
      </w:r>
      <w:r w:rsidR="00226B3F" w:rsidRPr="00D21AF3">
        <w:rPr>
          <w:rFonts w:asciiTheme="majorHAnsi" w:hAnsiTheme="majorHAnsi"/>
          <w:sz w:val="20"/>
          <w:szCs w:val="20"/>
          <w:lang w:val="es-ES"/>
        </w:rPr>
        <w:t>educación</w:t>
      </w:r>
      <w:r w:rsidR="00CB6407" w:rsidRPr="00D21AF3">
        <w:rPr>
          <w:rFonts w:asciiTheme="majorHAnsi" w:hAnsiTheme="majorHAnsi"/>
          <w:sz w:val="20"/>
          <w:szCs w:val="20"/>
          <w:lang w:val="es-ES"/>
        </w:rPr>
        <w:t xml:space="preserve"> </w:t>
      </w:r>
      <w:r w:rsidRPr="00D21AF3">
        <w:rPr>
          <w:rFonts w:asciiTheme="majorHAnsi" w:hAnsiTheme="majorHAnsi"/>
          <w:sz w:val="20"/>
          <w:szCs w:val="20"/>
          <w:lang w:val="es-ES"/>
        </w:rPr>
        <w:t xml:space="preserve">tampoco </w:t>
      </w:r>
      <w:r w:rsidR="00CB6407" w:rsidRPr="00D21AF3">
        <w:rPr>
          <w:rFonts w:asciiTheme="majorHAnsi" w:hAnsiTheme="majorHAnsi"/>
          <w:sz w:val="20"/>
          <w:szCs w:val="20"/>
          <w:lang w:val="es-ES"/>
        </w:rPr>
        <w:t>tienen</w:t>
      </w:r>
      <w:r w:rsidRPr="00D21AF3">
        <w:rPr>
          <w:rFonts w:asciiTheme="majorHAnsi" w:hAnsiTheme="majorHAnsi"/>
          <w:sz w:val="20"/>
          <w:szCs w:val="20"/>
          <w:lang w:val="es-ES"/>
        </w:rPr>
        <w:t xml:space="preserve"> suficientes elementos para considerar que se agotaron </w:t>
      </w:r>
      <w:r w:rsidR="00226B3F" w:rsidRPr="00D21AF3">
        <w:rPr>
          <w:rFonts w:asciiTheme="majorHAnsi" w:hAnsiTheme="majorHAnsi"/>
          <w:sz w:val="20"/>
          <w:szCs w:val="20"/>
          <w:lang w:val="es-ES"/>
        </w:rPr>
        <w:t xml:space="preserve">los </w:t>
      </w:r>
      <w:r w:rsidRPr="00D21AF3">
        <w:rPr>
          <w:rFonts w:asciiTheme="majorHAnsi" w:hAnsiTheme="majorHAnsi"/>
          <w:sz w:val="20"/>
          <w:szCs w:val="20"/>
          <w:lang w:val="es-ES"/>
        </w:rPr>
        <w:t xml:space="preserve">recursos internos, por lo que no forman parte del </w:t>
      </w:r>
      <w:r w:rsidR="00226B3F" w:rsidRPr="00D21AF3">
        <w:rPr>
          <w:rFonts w:asciiTheme="majorHAnsi" w:hAnsiTheme="majorHAnsi"/>
          <w:sz w:val="20"/>
          <w:szCs w:val="20"/>
          <w:lang w:val="es-ES"/>
        </w:rPr>
        <w:t xml:space="preserve">marco fáctico </w:t>
      </w:r>
      <w:r w:rsidRPr="00D21AF3">
        <w:rPr>
          <w:rFonts w:asciiTheme="majorHAnsi" w:hAnsiTheme="majorHAnsi"/>
          <w:sz w:val="20"/>
          <w:szCs w:val="20"/>
          <w:lang w:val="es-ES"/>
        </w:rPr>
        <w:t>de este informe.</w:t>
      </w:r>
      <w:r w:rsidR="00CB6407" w:rsidRPr="00D21AF3">
        <w:rPr>
          <w:rFonts w:asciiTheme="majorHAnsi" w:hAnsiTheme="majorHAnsi"/>
          <w:sz w:val="20"/>
          <w:szCs w:val="20"/>
          <w:lang w:val="es-ES"/>
        </w:rPr>
        <w:t xml:space="preserve"> </w:t>
      </w:r>
      <w:r w:rsidR="00CB6407" w:rsidRPr="00D21AF3">
        <w:rPr>
          <w:rFonts w:asciiTheme="majorHAnsi" w:hAnsiTheme="majorHAnsi"/>
          <w:sz w:val="20"/>
          <w:szCs w:val="20"/>
          <w:lang w:val="es-ES_tradnl"/>
        </w:rPr>
        <w:t xml:space="preserve">Así, la Comisión encuentra que el objeto de la presente petición se refiere únicamente a la falta de reparación integral a la comunidad </w:t>
      </w:r>
      <w:r w:rsidR="00CB6407" w:rsidRPr="00D21AF3">
        <w:rPr>
          <w:rFonts w:asciiTheme="majorHAnsi" w:hAnsiTheme="majorHAnsi"/>
          <w:i/>
          <w:iCs/>
          <w:sz w:val="20"/>
          <w:szCs w:val="20"/>
          <w:lang w:val="es-ES_tradnl"/>
        </w:rPr>
        <w:t>El Triunfo</w:t>
      </w:r>
      <w:r w:rsidR="00CB6407" w:rsidRPr="00D21AF3">
        <w:rPr>
          <w:rFonts w:asciiTheme="majorHAnsi" w:hAnsiTheme="majorHAnsi"/>
          <w:sz w:val="20"/>
          <w:szCs w:val="20"/>
          <w:lang w:val="es-ES_tradnl"/>
        </w:rPr>
        <w:t xml:space="preserve"> mediante del PNR.</w:t>
      </w:r>
    </w:p>
    <w:p w14:paraId="4FCF9FA7" w14:textId="2B4C001B" w:rsidR="00E25AC1" w:rsidRPr="00D21AF3" w:rsidRDefault="00275185"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Con respecto a la alegada falta de reparación integral, l</w:t>
      </w:r>
      <w:r w:rsidR="00132C46" w:rsidRPr="00D21AF3">
        <w:rPr>
          <w:rFonts w:asciiTheme="majorHAnsi" w:hAnsiTheme="majorHAnsi"/>
          <w:sz w:val="20"/>
          <w:szCs w:val="20"/>
          <w:lang w:val="es-ES_tradnl"/>
        </w:rPr>
        <w:t>os</w:t>
      </w:r>
      <w:r w:rsidR="00E6177A" w:rsidRPr="00D21AF3">
        <w:rPr>
          <w:rFonts w:asciiTheme="majorHAnsi" w:hAnsiTheme="majorHAnsi"/>
          <w:sz w:val="20"/>
          <w:szCs w:val="20"/>
          <w:lang w:val="es-ES_tradnl"/>
        </w:rPr>
        <w:t xml:space="preserve"> peticionario</w:t>
      </w:r>
      <w:r w:rsidR="00132C46" w:rsidRPr="00D21AF3">
        <w:rPr>
          <w:rFonts w:asciiTheme="majorHAnsi" w:hAnsiTheme="majorHAnsi"/>
          <w:sz w:val="20"/>
          <w:szCs w:val="20"/>
          <w:lang w:val="es-ES_tradnl"/>
        </w:rPr>
        <w:t>s</w:t>
      </w:r>
      <w:r w:rsidR="00E6177A" w:rsidRPr="00D21AF3">
        <w:rPr>
          <w:rFonts w:asciiTheme="majorHAnsi" w:hAnsiTheme="majorHAnsi"/>
          <w:sz w:val="20"/>
          <w:szCs w:val="20"/>
          <w:lang w:val="es-ES_tradnl"/>
        </w:rPr>
        <w:t xml:space="preserve"> </w:t>
      </w:r>
      <w:r w:rsidR="00BE0DC4" w:rsidRPr="00D21AF3">
        <w:rPr>
          <w:rFonts w:asciiTheme="majorHAnsi" w:hAnsiTheme="majorHAnsi"/>
          <w:sz w:val="20"/>
          <w:szCs w:val="20"/>
          <w:lang w:val="es-ES_tradnl"/>
        </w:rPr>
        <w:t>indican</w:t>
      </w:r>
      <w:r w:rsidR="00E6177A" w:rsidRPr="00D21AF3">
        <w:rPr>
          <w:rFonts w:asciiTheme="majorHAnsi" w:hAnsiTheme="majorHAnsi"/>
          <w:sz w:val="20"/>
          <w:szCs w:val="20"/>
          <w:lang w:val="es-ES_tradnl"/>
        </w:rPr>
        <w:t xml:space="preserve"> que presentaron un memorial de agravios ante el PNR el </w:t>
      </w:r>
      <w:r w:rsidR="004762CD" w:rsidRPr="00D21AF3">
        <w:rPr>
          <w:rFonts w:asciiTheme="majorHAnsi" w:hAnsiTheme="majorHAnsi"/>
          <w:sz w:val="20"/>
          <w:szCs w:val="20"/>
          <w:lang w:val="es-ES_tradnl"/>
        </w:rPr>
        <w:t>9</w:t>
      </w:r>
      <w:r w:rsidR="00E6177A" w:rsidRPr="00D21AF3">
        <w:rPr>
          <w:rFonts w:asciiTheme="majorHAnsi" w:hAnsiTheme="majorHAnsi"/>
          <w:sz w:val="20"/>
          <w:szCs w:val="20"/>
          <w:lang w:val="es-ES_tradnl"/>
        </w:rPr>
        <w:t xml:space="preserve"> de diciembre de 2008 que nunca fue respondido. El Estado confirmó dicha información, agregando que las presuntas víctimas presentaron </w:t>
      </w:r>
      <w:r w:rsidR="004762CD" w:rsidRPr="00D21AF3">
        <w:rPr>
          <w:rFonts w:asciiTheme="majorHAnsi" w:hAnsiTheme="majorHAnsi"/>
          <w:sz w:val="20"/>
          <w:szCs w:val="20"/>
          <w:lang w:val="es-ES_tradnl"/>
        </w:rPr>
        <w:t>también el</w:t>
      </w:r>
      <w:r w:rsidR="00E6177A" w:rsidRPr="00D21AF3">
        <w:rPr>
          <w:rFonts w:asciiTheme="majorHAnsi" w:hAnsiTheme="majorHAnsi"/>
          <w:sz w:val="20"/>
          <w:szCs w:val="20"/>
          <w:lang w:val="es-ES_tradnl"/>
        </w:rPr>
        <w:t xml:space="preserve"> memorial el 4 de febrero de 2009</w:t>
      </w:r>
      <w:r w:rsidR="004762CD" w:rsidRPr="00D21AF3">
        <w:rPr>
          <w:rFonts w:asciiTheme="majorHAnsi" w:hAnsiTheme="majorHAnsi"/>
          <w:sz w:val="20"/>
          <w:szCs w:val="20"/>
          <w:lang w:val="es-ES_tradnl"/>
        </w:rPr>
        <w:t xml:space="preserve"> ante una oficina regional del PNR</w:t>
      </w:r>
      <w:r w:rsidR="00E6177A" w:rsidRPr="00D21AF3">
        <w:rPr>
          <w:rFonts w:asciiTheme="majorHAnsi" w:hAnsiTheme="majorHAnsi"/>
          <w:sz w:val="20"/>
          <w:szCs w:val="20"/>
          <w:lang w:val="es-ES_tradnl"/>
        </w:rPr>
        <w:t xml:space="preserve">; la autoridad tenía treinta días para contestar y, al no hacerlo, incurrió en silencio administrativo. Así, el Estado arguye que no se agotaron los recursos internos puesto que las presuntas víctimas contaban con una acción constitucional de amparo con la finalidad de establecer un plazo para que la autoridad se pronunciara. </w:t>
      </w:r>
      <w:bookmarkEnd w:id="2"/>
      <w:bookmarkEnd w:id="3"/>
    </w:p>
    <w:p w14:paraId="777E0D79" w14:textId="3FD1B0ED" w:rsidR="00E25AC1" w:rsidRPr="00D21AF3" w:rsidRDefault="00E25AC1"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No obstante, l</w:t>
      </w:r>
      <w:r w:rsidR="00E6177A" w:rsidRPr="00D21AF3">
        <w:rPr>
          <w:rFonts w:asciiTheme="majorHAnsi" w:hAnsiTheme="majorHAnsi"/>
          <w:sz w:val="20"/>
          <w:szCs w:val="20"/>
          <w:lang w:val="es-ES_tradnl"/>
        </w:rPr>
        <w:t xml:space="preserve">a CIDH observa que los peticionarios </w:t>
      </w:r>
      <w:r w:rsidR="00C83D45" w:rsidRPr="00D21AF3">
        <w:rPr>
          <w:rFonts w:asciiTheme="majorHAnsi" w:hAnsiTheme="majorHAnsi"/>
          <w:sz w:val="20"/>
          <w:szCs w:val="20"/>
          <w:lang w:val="es-ES_tradnl"/>
        </w:rPr>
        <w:t>sostienen</w:t>
      </w:r>
      <w:r w:rsidR="00E6177A" w:rsidRPr="00D21AF3">
        <w:rPr>
          <w:rFonts w:asciiTheme="majorHAnsi" w:hAnsiTheme="majorHAnsi"/>
          <w:sz w:val="20"/>
          <w:szCs w:val="20"/>
          <w:lang w:val="es-ES_tradnl"/>
        </w:rPr>
        <w:t xml:space="preserve"> que </w:t>
      </w:r>
      <w:r w:rsidRPr="00D21AF3">
        <w:rPr>
          <w:rFonts w:asciiTheme="majorHAnsi" w:hAnsiTheme="majorHAnsi"/>
          <w:sz w:val="20"/>
          <w:szCs w:val="20"/>
          <w:lang w:val="es-ES_tradnl"/>
        </w:rPr>
        <w:t xml:space="preserve">tras la falta de respuesta del PNR, </w:t>
      </w:r>
      <w:r w:rsidR="00E6177A" w:rsidRPr="00D21AF3">
        <w:rPr>
          <w:rFonts w:asciiTheme="majorHAnsi" w:hAnsiTheme="majorHAnsi"/>
          <w:sz w:val="20"/>
          <w:szCs w:val="20"/>
          <w:lang w:val="es-ES_tradnl"/>
        </w:rPr>
        <w:t>acudieron ante la Procuraduría de Derechos Humanos y el Congreso de la República, logrando que se instalara una mesa de negociación</w:t>
      </w:r>
      <w:r w:rsidRPr="00D21AF3">
        <w:rPr>
          <w:rFonts w:asciiTheme="majorHAnsi" w:hAnsiTheme="majorHAnsi"/>
          <w:sz w:val="20"/>
          <w:szCs w:val="20"/>
          <w:lang w:val="es-ES_tradnl"/>
        </w:rPr>
        <w:t xml:space="preserve"> que dio como resultado la visita de miembros del PNR a la comunidad de </w:t>
      </w:r>
      <w:r w:rsidRPr="00D21AF3">
        <w:rPr>
          <w:rFonts w:asciiTheme="majorHAnsi" w:hAnsiTheme="majorHAnsi"/>
          <w:i/>
          <w:iCs/>
          <w:sz w:val="20"/>
          <w:szCs w:val="20"/>
          <w:lang w:val="es-ES_tradnl"/>
        </w:rPr>
        <w:t>El Truinfo</w:t>
      </w:r>
      <w:r w:rsidR="00D63F67" w:rsidRPr="00D21AF3">
        <w:rPr>
          <w:rFonts w:asciiTheme="majorHAnsi" w:hAnsiTheme="majorHAnsi"/>
          <w:sz w:val="20"/>
          <w:szCs w:val="20"/>
          <w:lang w:val="es-ES_tradnl"/>
        </w:rPr>
        <w:t xml:space="preserve">, </w:t>
      </w:r>
      <w:r w:rsidR="007C7029" w:rsidRPr="00D21AF3">
        <w:rPr>
          <w:rFonts w:asciiTheme="majorHAnsi" w:hAnsiTheme="majorHAnsi"/>
          <w:sz w:val="20"/>
          <w:szCs w:val="20"/>
          <w:lang w:val="es-ES_tradnl"/>
        </w:rPr>
        <w:t>por lo que se infiere que el Estado conocía de la situación</w:t>
      </w:r>
      <w:r w:rsidR="00D63F67" w:rsidRPr="00D21AF3">
        <w:rPr>
          <w:rFonts w:asciiTheme="majorHAnsi" w:hAnsiTheme="majorHAnsi"/>
          <w:sz w:val="20"/>
          <w:szCs w:val="20"/>
          <w:lang w:val="es-ES_tradnl"/>
        </w:rPr>
        <w:t>.</w:t>
      </w:r>
      <w:r w:rsidR="00E6177A" w:rsidRPr="00D21AF3">
        <w:rPr>
          <w:rFonts w:asciiTheme="majorHAnsi" w:hAnsiTheme="majorHAnsi"/>
          <w:sz w:val="20"/>
          <w:szCs w:val="20"/>
          <w:lang w:val="es-ES_tradnl"/>
        </w:rPr>
        <w:t xml:space="preserve"> De igual manera, se toma nota </w:t>
      </w:r>
      <w:r w:rsidR="00D63F67" w:rsidRPr="00D21AF3">
        <w:rPr>
          <w:rFonts w:asciiTheme="majorHAnsi" w:hAnsiTheme="majorHAnsi"/>
          <w:sz w:val="20"/>
          <w:szCs w:val="20"/>
          <w:lang w:val="es-ES_tradnl"/>
        </w:rPr>
        <w:t>sobre el amparo presentado por</w:t>
      </w:r>
      <w:r w:rsidR="00E6177A" w:rsidRPr="00D21AF3">
        <w:rPr>
          <w:rFonts w:asciiTheme="majorHAnsi" w:hAnsiTheme="majorHAnsi"/>
          <w:sz w:val="20"/>
          <w:szCs w:val="20"/>
          <w:lang w:val="es-ES_tradnl"/>
        </w:rPr>
        <w:t xml:space="preserve"> la Procuraduría de Derechos Humanos </w:t>
      </w:r>
      <w:r w:rsidR="00D63F67" w:rsidRPr="00D21AF3">
        <w:rPr>
          <w:rFonts w:asciiTheme="majorHAnsi" w:hAnsiTheme="majorHAnsi"/>
          <w:sz w:val="20"/>
          <w:szCs w:val="20"/>
          <w:lang w:val="es-ES_tradnl"/>
        </w:rPr>
        <w:t xml:space="preserve">ante el Juez Cuarto de primera instancia civil del departamento de Guatemala, en </w:t>
      </w:r>
      <w:r w:rsidR="00E6177A" w:rsidRPr="00D21AF3">
        <w:rPr>
          <w:rFonts w:asciiTheme="majorHAnsi" w:hAnsiTheme="majorHAnsi"/>
          <w:sz w:val="20"/>
          <w:szCs w:val="20"/>
          <w:lang w:val="es-ES_tradnl"/>
        </w:rPr>
        <w:t>contra el PNR</w:t>
      </w:r>
      <w:r w:rsidR="00D63F67" w:rsidRPr="00D21AF3">
        <w:rPr>
          <w:rFonts w:asciiTheme="majorHAnsi" w:hAnsiTheme="majorHAnsi"/>
          <w:sz w:val="20"/>
          <w:szCs w:val="20"/>
          <w:lang w:val="es-ES_tradnl"/>
        </w:rPr>
        <w:t>, arguyendo incumplimiento del programa de reparaciones. E</w:t>
      </w:r>
      <w:r w:rsidR="00E6177A" w:rsidRPr="00D21AF3">
        <w:rPr>
          <w:rFonts w:asciiTheme="majorHAnsi" w:hAnsiTheme="majorHAnsi"/>
          <w:sz w:val="20"/>
          <w:szCs w:val="20"/>
          <w:lang w:val="es-ES_tradnl"/>
        </w:rPr>
        <w:t xml:space="preserve">l 23 de noviembre de 2016 </w:t>
      </w:r>
      <w:r w:rsidR="00D63F67" w:rsidRPr="00D21AF3">
        <w:rPr>
          <w:rFonts w:asciiTheme="majorHAnsi" w:hAnsiTheme="majorHAnsi"/>
          <w:sz w:val="20"/>
          <w:szCs w:val="20"/>
          <w:lang w:val="es-ES_tradnl"/>
        </w:rPr>
        <w:t xml:space="preserve">se otorgó el amparo y se </w:t>
      </w:r>
      <w:r w:rsidR="00E6177A" w:rsidRPr="00D21AF3">
        <w:rPr>
          <w:rFonts w:asciiTheme="majorHAnsi" w:hAnsiTheme="majorHAnsi"/>
          <w:sz w:val="20"/>
          <w:szCs w:val="20"/>
          <w:lang w:val="es-ES_tradnl"/>
        </w:rPr>
        <w:t xml:space="preserve">ordenó a las autoridades a realizar las gestiones </w:t>
      </w:r>
      <w:r w:rsidR="00E6177A" w:rsidRPr="00D21AF3">
        <w:rPr>
          <w:rFonts w:asciiTheme="majorHAnsi" w:hAnsiTheme="majorHAnsi"/>
          <w:sz w:val="20"/>
          <w:szCs w:val="20"/>
          <w:lang w:val="es-ES_tradnl"/>
        </w:rPr>
        <w:lastRenderedPageBreak/>
        <w:t xml:space="preserve">necesarias para la implementación de los fines del PNR, </w:t>
      </w:r>
      <w:r w:rsidR="00D63F67" w:rsidRPr="00D21AF3">
        <w:rPr>
          <w:rFonts w:asciiTheme="majorHAnsi" w:hAnsiTheme="majorHAnsi"/>
          <w:sz w:val="20"/>
          <w:szCs w:val="20"/>
          <w:lang w:val="es-ES_tradnl"/>
        </w:rPr>
        <w:t>buscando</w:t>
      </w:r>
      <w:r w:rsidR="00E6177A" w:rsidRPr="00D21AF3">
        <w:rPr>
          <w:rFonts w:asciiTheme="majorHAnsi" w:hAnsiTheme="majorHAnsi"/>
          <w:sz w:val="20"/>
          <w:szCs w:val="20"/>
          <w:lang w:val="es-ES_tradnl"/>
        </w:rPr>
        <w:t xml:space="preserve"> </w:t>
      </w:r>
      <w:r w:rsidR="00D63F67" w:rsidRPr="00D21AF3">
        <w:rPr>
          <w:rFonts w:asciiTheme="majorHAnsi" w:hAnsiTheme="majorHAnsi"/>
          <w:sz w:val="20"/>
          <w:szCs w:val="20"/>
          <w:lang w:val="es-ES_tradnl"/>
        </w:rPr>
        <w:t>su funcionalidad</w:t>
      </w:r>
      <w:r w:rsidR="00E6177A" w:rsidRPr="00D21AF3">
        <w:rPr>
          <w:rFonts w:asciiTheme="majorHAnsi" w:hAnsiTheme="majorHAnsi"/>
          <w:sz w:val="20"/>
          <w:szCs w:val="20"/>
          <w:lang w:val="es-ES_tradnl"/>
        </w:rPr>
        <w:t xml:space="preserve"> en atención a las víctimas del enfrentamiento armado interno. </w:t>
      </w:r>
    </w:p>
    <w:p w14:paraId="10809E66" w14:textId="4639FAB8" w:rsidR="007C7029" w:rsidRPr="00D21AF3" w:rsidRDefault="007C7029"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Por lo cual, ante el argumento del Estado que se debió agotar el recurso de amparo y</w:t>
      </w:r>
      <w:r w:rsidR="00CB6407" w:rsidRPr="00D21AF3">
        <w:rPr>
          <w:rFonts w:asciiTheme="majorHAnsi" w:hAnsiTheme="majorHAnsi"/>
          <w:sz w:val="20"/>
          <w:szCs w:val="20"/>
          <w:lang w:val="es-ES_tradnl"/>
        </w:rPr>
        <w:t xml:space="preserve">, </w:t>
      </w:r>
      <w:r w:rsidRPr="00D21AF3">
        <w:rPr>
          <w:rFonts w:asciiTheme="majorHAnsi" w:hAnsiTheme="majorHAnsi"/>
          <w:sz w:val="20"/>
          <w:szCs w:val="20"/>
          <w:lang w:val="es-ES_tradnl"/>
        </w:rPr>
        <w:t xml:space="preserve">en dado caso, </w:t>
      </w:r>
      <w:r w:rsidR="00CB6407" w:rsidRPr="00D21AF3">
        <w:rPr>
          <w:rFonts w:asciiTheme="majorHAnsi" w:hAnsiTheme="majorHAnsi"/>
          <w:sz w:val="20"/>
          <w:szCs w:val="20"/>
          <w:lang w:val="es-ES_tradnl"/>
        </w:rPr>
        <w:t xml:space="preserve">el </w:t>
      </w:r>
      <w:r w:rsidRPr="00D21AF3">
        <w:rPr>
          <w:rFonts w:asciiTheme="majorHAnsi" w:hAnsiTheme="majorHAnsi"/>
          <w:bCs/>
          <w:sz w:val="20"/>
          <w:szCs w:val="20"/>
          <w:lang w:val="es-ES_tradnl"/>
        </w:rPr>
        <w:t>recurso de revocatoria y de reposición</w:t>
      </w:r>
      <w:r w:rsidRPr="00D21AF3">
        <w:rPr>
          <w:rFonts w:asciiTheme="majorHAnsi" w:hAnsiTheme="majorHAnsi"/>
          <w:sz w:val="20"/>
          <w:szCs w:val="20"/>
          <w:lang w:val="es-ES_tradnl"/>
        </w:rPr>
        <w:t>, la Comisión observa que los peticionarios presentaron memorial de agravios en 2008 y 2009 ante las oficinas del PNR, que es una institución del Estado de Guatemala. Así, la Comisión recuerda que, como norma general, los únicos recursos que son necesarios agotar son aquellos cuyas funciones, dentro del sistema jurídico, son apropiados para brindar protección tendiente a remediar una infracción de determinado derecho legal</w:t>
      </w:r>
      <w:r w:rsidRPr="00D21AF3">
        <w:rPr>
          <w:rFonts w:asciiTheme="majorHAnsi" w:hAnsiTheme="majorHAnsi"/>
          <w:sz w:val="20"/>
          <w:szCs w:val="20"/>
          <w:vertAlign w:val="superscript"/>
          <w:lang w:val="es-ES_tradnl"/>
        </w:rPr>
        <w:footnoteReference w:id="18"/>
      </w:r>
      <w:r w:rsidRPr="00D21AF3">
        <w:rPr>
          <w:rFonts w:asciiTheme="majorHAnsi" w:hAnsiTheme="majorHAnsi"/>
          <w:sz w:val="20"/>
          <w:szCs w:val="20"/>
          <w:lang w:val="es-ES_tradnl"/>
        </w:rPr>
        <w:t>.</w:t>
      </w:r>
      <w:r w:rsidR="00226B3F" w:rsidRPr="00D21AF3">
        <w:rPr>
          <w:rFonts w:asciiTheme="majorHAnsi" w:hAnsiTheme="majorHAnsi"/>
          <w:sz w:val="20"/>
          <w:szCs w:val="20"/>
          <w:lang w:val="es-ES_tradnl"/>
        </w:rPr>
        <w:t xml:space="preserve"> Es decir, los peticionarios pusieron sus reclamos en conocimiento de las autoridades competentes.</w:t>
      </w:r>
    </w:p>
    <w:p w14:paraId="1D14A830" w14:textId="03E260F3" w:rsidR="00E25AC1" w:rsidRPr="00D21AF3" w:rsidRDefault="00E6177A"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Lo anterior resulta relevante en tanto la Comisión ha realizado desde el 2003 un seguimiento a la implementación del PNR y ha observado con preocupación las medidas adoptadas por el Estado que habrían resultado en un alcance limitado del PNR</w:t>
      </w:r>
      <w:r w:rsidRPr="00D21AF3">
        <w:rPr>
          <w:rFonts w:asciiTheme="majorHAnsi" w:hAnsiTheme="majorHAnsi"/>
          <w:sz w:val="20"/>
          <w:szCs w:val="20"/>
          <w:vertAlign w:val="superscript"/>
          <w:lang w:val="es-ES_tradnl"/>
        </w:rPr>
        <w:footnoteReference w:id="19"/>
      </w:r>
      <w:r w:rsidRPr="00D21AF3">
        <w:rPr>
          <w:rFonts w:asciiTheme="majorHAnsi" w:hAnsiTheme="majorHAnsi"/>
          <w:sz w:val="20"/>
          <w:szCs w:val="20"/>
          <w:lang w:val="es-ES_tradnl"/>
        </w:rPr>
        <w:t>; así como, el largo tiempo transcurrido desde la firma de los Acuerdos de Paz sin que a la fecha se haya resarcido efectiva, individual y colectivamente a las víctimas del conflicto armado, en especial los miembros de los pueblos indígenas</w:t>
      </w:r>
      <w:r w:rsidRPr="00D21AF3">
        <w:rPr>
          <w:rFonts w:asciiTheme="majorHAnsi" w:hAnsiTheme="majorHAnsi"/>
          <w:sz w:val="20"/>
          <w:szCs w:val="20"/>
          <w:vertAlign w:val="superscript"/>
          <w:lang w:val="es-ES_tradnl"/>
        </w:rPr>
        <w:footnoteReference w:id="20"/>
      </w:r>
      <w:r w:rsidRPr="00D21AF3">
        <w:rPr>
          <w:rFonts w:asciiTheme="majorHAnsi" w:hAnsiTheme="majorHAnsi"/>
          <w:sz w:val="20"/>
          <w:szCs w:val="20"/>
          <w:lang w:val="es-ES_tradnl"/>
        </w:rPr>
        <w:t>. Es así entonces, que la Comisión ha hecho llamados reiterados al Estado guatemalteco para que dé operatividad plena al PNR</w:t>
      </w:r>
      <w:r w:rsidR="00E25AC1" w:rsidRPr="00D21AF3">
        <w:rPr>
          <w:rFonts w:asciiTheme="majorHAnsi" w:hAnsiTheme="majorHAnsi"/>
          <w:sz w:val="20"/>
          <w:szCs w:val="20"/>
          <w:vertAlign w:val="superscript"/>
          <w:lang w:val="es-ES_tradnl"/>
        </w:rPr>
        <w:footnoteReference w:id="21"/>
      </w:r>
      <w:r w:rsidRPr="00D21AF3">
        <w:rPr>
          <w:rFonts w:asciiTheme="majorHAnsi" w:hAnsiTheme="majorHAnsi"/>
          <w:sz w:val="20"/>
          <w:szCs w:val="20"/>
          <w:lang w:val="es-ES_tradnl"/>
        </w:rPr>
        <w:t>, dotándolo de recursos materiales y personales suficientes para cumplir con su mandato, de conformidad tanto con los Acuerdos de Paz como con el derecho interno e internacional</w:t>
      </w:r>
      <w:r w:rsidR="00E25AC1" w:rsidRPr="00D21AF3">
        <w:rPr>
          <w:rStyle w:val="FootnoteReference"/>
          <w:rFonts w:asciiTheme="majorHAnsi" w:hAnsiTheme="majorHAnsi"/>
          <w:sz w:val="20"/>
          <w:szCs w:val="20"/>
          <w:lang w:val="es-ES_tradnl"/>
        </w:rPr>
        <w:footnoteReference w:id="22"/>
      </w:r>
      <w:r w:rsidRPr="00D21AF3">
        <w:rPr>
          <w:rFonts w:asciiTheme="majorHAnsi" w:hAnsiTheme="majorHAnsi"/>
          <w:sz w:val="20"/>
          <w:szCs w:val="20"/>
          <w:lang w:val="es-ES_tradnl"/>
        </w:rPr>
        <w:t>.</w:t>
      </w:r>
      <w:r w:rsidR="00E25AC1" w:rsidRPr="00D21AF3">
        <w:rPr>
          <w:rFonts w:asciiTheme="majorHAnsi" w:hAnsiTheme="majorHAnsi"/>
          <w:sz w:val="20"/>
          <w:szCs w:val="20"/>
          <w:lang w:val="es-ES_tradnl"/>
        </w:rPr>
        <w:t xml:space="preserve"> </w:t>
      </w:r>
    </w:p>
    <w:p w14:paraId="358CE5D3" w14:textId="77777777" w:rsidR="00AF3FBD" w:rsidRPr="00D21AF3" w:rsidRDefault="00E6177A"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Por lo tanto, sin entrar en conclusiones de fondo, la Comisión observa que el Estado no habría adoptado las medidas razonablemente necesarias para garantizar que el proceso ante el PNR fuese en términos reales un mecanismo adecuado y efectivo para los reclamos de las presuntas víctimas. Dicha convicción se ve reforzada por el hecho mismo de que tanto el Ombudsman de Guatemala reclamó ante los tribunales competentes la inoperancia del PNR para cumplir sus fines, reclamos que consistieron precisamente en lo que constituye el objeto central de lo que reclaman los peticionarios ante la CIDH. Recursos todos estos que además no tuvieron ningún éxito en términos de lograr que las autoridades internas hicieran operativo el PNR, a pesar incluso de las decisiones judiciales que así lo disponían</w:t>
      </w:r>
      <w:r w:rsidRPr="00D21AF3">
        <w:rPr>
          <w:rFonts w:asciiTheme="majorHAnsi" w:hAnsiTheme="majorHAnsi"/>
          <w:sz w:val="20"/>
          <w:szCs w:val="20"/>
          <w:vertAlign w:val="superscript"/>
          <w:lang w:val="es-ES_tradnl"/>
        </w:rPr>
        <w:footnoteReference w:id="23"/>
      </w:r>
      <w:r w:rsidRPr="00D21AF3">
        <w:rPr>
          <w:rFonts w:asciiTheme="majorHAnsi" w:hAnsiTheme="majorHAnsi"/>
          <w:sz w:val="20"/>
          <w:szCs w:val="20"/>
          <w:lang w:val="es-ES_tradnl"/>
        </w:rPr>
        <w:t xml:space="preserve">. </w:t>
      </w:r>
    </w:p>
    <w:p w14:paraId="7C32DA29" w14:textId="5A289E46" w:rsidR="00AF3FBD" w:rsidRPr="00D21AF3" w:rsidRDefault="00E6177A"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 xml:space="preserve">Por lo expuesto, la Comisión concluye que, </w:t>
      </w:r>
      <w:r w:rsidRPr="00D21AF3">
        <w:rPr>
          <w:rFonts w:asciiTheme="majorHAnsi" w:hAnsiTheme="majorHAnsi"/>
          <w:i/>
          <w:sz w:val="20"/>
          <w:szCs w:val="20"/>
          <w:lang w:val="es-ES_tradnl"/>
        </w:rPr>
        <w:t>prima facie</w:t>
      </w:r>
      <w:r w:rsidRPr="00D21AF3">
        <w:rPr>
          <w:rFonts w:asciiTheme="majorHAnsi" w:hAnsiTheme="majorHAnsi"/>
          <w:sz w:val="20"/>
          <w:szCs w:val="20"/>
          <w:lang w:val="es-ES_tradnl"/>
        </w:rPr>
        <w:t xml:space="preserve">, pareciera que no existía </w:t>
      </w:r>
      <w:r w:rsidR="00AF3FBD" w:rsidRPr="00D21AF3">
        <w:rPr>
          <w:rFonts w:asciiTheme="majorHAnsi" w:hAnsiTheme="majorHAnsi"/>
          <w:sz w:val="20"/>
          <w:szCs w:val="20"/>
          <w:lang w:val="es-ES_tradnl"/>
        </w:rPr>
        <w:t>una vía o mecanismo legal efectivo dentro del ordenamiento jurídico interno para atender el reclamo de la parte peticionaria</w:t>
      </w:r>
      <w:r w:rsidRPr="00D21AF3">
        <w:rPr>
          <w:rFonts w:asciiTheme="majorHAnsi" w:hAnsiTheme="majorHAnsi"/>
          <w:sz w:val="20"/>
          <w:szCs w:val="20"/>
          <w:lang w:val="es-ES_tradnl"/>
        </w:rPr>
        <w:t>, motivo por el cual procede la excepción al agotamiento contemplada en el artículo 46.2.a</w:t>
      </w:r>
      <w:r w:rsidR="00E97AEB" w:rsidRPr="00D21AF3">
        <w:rPr>
          <w:rFonts w:asciiTheme="majorHAnsi" w:hAnsiTheme="majorHAnsi"/>
          <w:sz w:val="20"/>
          <w:szCs w:val="20"/>
          <w:lang w:val="es-ES_tradnl"/>
        </w:rPr>
        <w:t>)</w:t>
      </w:r>
      <w:r w:rsidRPr="00D21AF3">
        <w:rPr>
          <w:rFonts w:asciiTheme="majorHAnsi" w:hAnsiTheme="majorHAnsi"/>
          <w:sz w:val="20"/>
          <w:szCs w:val="20"/>
          <w:lang w:val="es-ES_tradnl"/>
        </w:rPr>
        <w:t xml:space="preserve"> de la Convención Americana.</w:t>
      </w:r>
      <w:r w:rsidR="00AF3FBD" w:rsidRPr="00D21AF3">
        <w:rPr>
          <w:rFonts w:asciiTheme="majorHAnsi" w:hAnsiTheme="majorHAnsi"/>
          <w:sz w:val="20"/>
          <w:szCs w:val="20"/>
          <w:lang w:val="es-ES_tradnl"/>
        </w:rPr>
        <w:t xml:space="preserve"> </w:t>
      </w:r>
    </w:p>
    <w:p w14:paraId="4D0F816A" w14:textId="7B7DF2C5" w:rsidR="00E6177A" w:rsidRPr="00D21AF3" w:rsidRDefault="00E6177A" w:rsidP="007D4AD6">
      <w:pPr>
        <w:pStyle w:val="ListParagraph"/>
        <w:numPr>
          <w:ilvl w:val="0"/>
          <w:numId w:val="56"/>
        </w:numPr>
        <w:spacing w:before="240" w:after="240"/>
        <w:ind w:left="142" w:firstLine="567"/>
        <w:jc w:val="both"/>
        <w:rPr>
          <w:rFonts w:asciiTheme="majorHAnsi" w:hAnsiTheme="majorHAnsi"/>
          <w:sz w:val="20"/>
          <w:szCs w:val="20"/>
          <w:lang w:val="es-ES_tradnl"/>
        </w:rPr>
      </w:pPr>
      <w:r w:rsidRPr="00D21AF3">
        <w:rPr>
          <w:rFonts w:asciiTheme="majorHAnsi" w:hAnsiTheme="majorHAnsi"/>
          <w:sz w:val="20"/>
          <w:szCs w:val="20"/>
          <w:lang w:val="es-ES_tradnl"/>
        </w:rPr>
        <w:t xml:space="preserve">La CIDH observa que la comunidad </w:t>
      </w:r>
      <w:r w:rsidRPr="00D21AF3">
        <w:rPr>
          <w:rFonts w:asciiTheme="majorHAnsi" w:hAnsiTheme="majorHAnsi"/>
          <w:i/>
          <w:iCs/>
          <w:sz w:val="20"/>
          <w:szCs w:val="20"/>
          <w:lang w:val="es-ES_tradnl"/>
        </w:rPr>
        <w:t>El Triunfo</w:t>
      </w:r>
      <w:r w:rsidRPr="00D21AF3">
        <w:rPr>
          <w:rFonts w:asciiTheme="majorHAnsi" w:hAnsiTheme="majorHAnsi"/>
          <w:sz w:val="20"/>
          <w:szCs w:val="20"/>
          <w:lang w:val="es-ES_tradnl"/>
        </w:rPr>
        <w:t xml:space="preserve"> presentó memorial de agravios ante el PNR el </w:t>
      </w:r>
      <w:r w:rsidR="00BD71F3" w:rsidRPr="00D21AF3">
        <w:rPr>
          <w:rFonts w:asciiTheme="majorHAnsi" w:hAnsiTheme="majorHAnsi"/>
          <w:sz w:val="20"/>
          <w:szCs w:val="20"/>
          <w:lang w:val="es-ES_tradnl"/>
        </w:rPr>
        <w:t>9</w:t>
      </w:r>
      <w:r w:rsidRPr="00D21AF3">
        <w:rPr>
          <w:rFonts w:asciiTheme="majorHAnsi" w:hAnsiTheme="majorHAnsi"/>
          <w:sz w:val="20"/>
          <w:szCs w:val="20"/>
          <w:lang w:val="es-ES_tradnl"/>
        </w:rPr>
        <w:t xml:space="preserve"> de diciembre de 2008 </w:t>
      </w:r>
      <w:r w:rsidR="00BD71F3" w:rsidRPr="00D21AF3">
        <w:rPr>
          <w:rFonts w:asciiTheme="majorHAnsi" w:hAnsiTheme="majorHAnsi"/>
          <w:sz w:val="20"/>
          <w:szCs w:val="20"/>
          <w:lang w:val="es-ES_tradnl"/>
        </w:rPr>
        <w:t xml:space="preserve">y el 4 de febrero de 2009 </w:t>
      </w:r>
      <w:r w:rsidRPr="00D21AF3">
        <w:rPr>
          <w:rFonts w:asciiTheme="majorHAnsi" w:hAnsiTheme="majorHAnsi"/>
          <w:sz w:val="20"/>
          <w:szCs w:val="20"/>
          <w:lang w:val="es-ES_tradnl"/>
        </w:rPr>
        <w:t xml:space="preserve">y los efectos en cuanto a la falta de reparación integral se </w:t>
      </w:r>
      <w:r w:rsidR="009C20C0" w:rsidRPr="00D21AF3">
        <w:rPr>
          <w:rFonts w:asciiTheme="majorHAnsi" w:hAnsiTheme="majorHAnsi"/>
          <w:sz w:val="20"/>
          <w:szCs w:val="20"/>
          <w:lang w:val="es-ES_tradnl"/>
        </w:rPr>
        <w:t>extenderían</w:t>
      </w:r>
      <w:r w:rsidRPr="00D21AF3">
        <w:rPr>
          <w:rFonts w:asciiTheme="majorHAnsi" w:hAnsiTheme="majorHAnsi"/>
          <w:sz w:val="20"/>
          <w:szCs w:val="20"/>
          <w:lang w:val="es-ES_tradnl"/>
        </w:rPr>
        <w:t xml:space="preserve"> hasta el presente. </w:t>
      </w:r>
      <w:r w:rsidR="009C20C0" w:rsidRPr="00D21AF3">
        <w:rPr>
          <w:rFonts w:asciiTheme="majorHAnsi" w:hAnsiTheme="majorHAnsi"/>
          <w:sz w:val="20"/>
          <w:szCs w:val="20"/>
          <w:lang w:val="es-ES_tradnl"/>
        </w:rPr>
        <w:t xml:space="preserve">Por </w:t>
      </w:r>
      <w:r w:rsidRPr="00D21AF3">
        <w:rPr>
          <w:rFonts w:asciiTheme="majorHAnsi" w:hAnsiTheme="majorHAnsi"/>
          <w:sz w:val="20"/>
          <w:szCs w:val="20"/>
          <w:lang w:val="es-ES_tradnl"/>
        </w:rPr>
        <w:t xml:space="preserve">lo tanto, en </w:t>
      </w:r>
      <w:r w:rsidR="009C20C0" w:rsidRPr="00D21AF3">
        <w:rPr>
          <w:rFonts w:asciiTheme="majorHAnsi" w:hAnsiTheme="majorHAnsi"/>
          <w:sz w:val="20"/>
          <w:szCs w:val="20"/>
          <w:lang w:val="es-ES_tradnl"/>
        </w:rPr>
        <w:t>vista</w:t>
      </w:r>
      <w:r w:rsidRPr="00D21AF3">
        <w:rPr>
          <w:rFonts w:asciiTheme="majorHAnsi" w:hAnsiTheme="majorHAnsi"/>
          <w:sz w:val="20"/>
          <w:szCs w:val="20"/>
          <w:lang w:val="es-ES_tradnl"/>
        </w:rPr>
        <w:t xml:space="preserve"> del contexto y las </w:t>
      </w:r>
      <w:r w:rsidR="009C20C0" w:rsidRPr="00D21AF3">
        <w:rPr>
          <w:rFonts w:asciiTheme="majorHAnsi" w:hAnsiTheme="majorHAnsi"/>
          <w:sz w:val="20"/>
          <w:szCs w:val="20"/>
          <w:lang w:val="es-ES_tradnl"/>
        </w:rPr>
        <w:t>características</w:t>
      </w:r>
      <w:r w:rsidRPr="00D21AF3">
        <w:rPr>
          <w:rFonts w:asciiTheme="majorHAnsi" w:hAnsiTheme="majorHAnsi"/>
          <w:sz w:val="20"/>
          <w:szCs w:val="20"/>
          <w:lang w:val="es-ES_tradnl"/>
        </w:rPr>
        <w:t xml:space="preserve"> del presente asunto y tomando en cuenta que la petición fue </w:t>
      </w:r>
      <w:r w:rsidR="00D63F67" w:rsidRPr="00D21AF3">
        <w:rPr>
          <w:rFonts w:asciiTheme="majorHAnsi" w:hAnsiTheme="majorHAnsi"/>
          <w:sz w:val="20"/>
          <w:szCs w:val="20"/>
          <w:lang w:val="es-ES_tradnl"/>
        </w:rPr>
        <w:t>recibida</w:t>
      </w:r>
      <w:r w:rsidRPr="00D21AF3">
        <w:rPr>
          <w:rFonts w:asciiTheme="majorHAnsi" w:hAnsiTheme="majorHAnsi"/>
          <w:sz w:val="20"/>
          <w:szCs w:val="20"/>
          <w:lang w:val="es-ES_tradnl"/>
        </w:rPr>
        <w:t xml:space="preserve"> </w:t>
      </w:r>
      <w:r w:rsidR="00AF3FBD" w:rsidRPr="00D21AF3">
        <w:rPr>
          <w:rFonts w:asciiTheme="majorHAnsi" w:hAnsiTheme="majorHAnsi"/>
          <w:sz w:val="20"/>
          <w:szCs w:val="20"/>
          <w:lang w:val="es-ES_tradnl"/>
        </w:rPr>
        <w:t>el 24</w:t>
      </w:r>
      <w:r w:rsidRPr="00D21AF3">
        <w:rPr>
          <w:rFonts w:asciiTheme="majorHAnsi" w:hAnsiTheme="majorHAnsi"/>
          <w:bCs/>
          <w:sz w:val="20"/>
          <w:szCs w:val="20"/>
          <w:lang w:val="es-ES_tradnl"/>
        </w:rPr>
        <w:t xml:space="preserve"> de octubre de 2011</w:t>
      </w:r>
      <w:r w:rsidRPr="00D21AF3">
        <w:rPr>
          <w:rFonts w:asciiTheme="majorHAnsi" w:hAnsiTheme="majorHAnsi"/>
          <w:sz w:val="20"/>
          <w:szCs w:val="20"/>
          <w:lang w:val="es-ES_tradnl"/>
        </w:rPr>
        <w:t xml:space="preserve">, </w:t>
      </w:r>
      <w:r w:rsidR="00D63F67" w:rsidRPr="00D21AF3">
        <w:rPr>
          <w:rFonts w:asciiTheme="majorHAnsi" w:hAnsiTheme="majorHAnsi"/>
          <w:sz w:val="20"/>
          <w:szCs w:val="20"/>
          <w:lang w:val="es-ES_tradnl"/>
        </w:rPr>
        <w:t>la</w:t>
      </w:r>
      <w:r w:rsidRPr="00D21AF3">
        <w:rPr>
          <w:rFonts w:asciiTheme="majorHAnsi" w:hAnsiTheme="majorHAnsi"/>
          <w:sz w:val="20"/>
          <w:szCs w:val="20"/>
          <w:lang w:val="es-ES_tradnl"/>
        </w:rPr>
        <w:t xml:space="preserve"> </w:t>
      </w:r>
      <w:r w:rsidR="009C20C0" w:rsidRPr="00D21AF3">
        <w:rPr>
          <w:rFonts w:asciiTheme="majorHAnsi" w:hAnsiTheme="majorHAnsi"/>
          <w:sz w:val="20"/>
          <w:szCs w:val="20"/>
          <w:lang w:val="es-ES_tradnl"/>
        </w:rPr>
        <w:t>Comisión</w:t>
      </w:r>
      <w:r w:rsidRPr="00D21AF3">
        <w:rPr>
          <w:rFonts w:asciiTheme="majorHAnsi" w:hAnsiTheme="majorHAnsi"/>
          <w:sz w:val="20"/>
          <w:szCs w:val="20"/>
          <w:lang w:val="es-ES_tradnl"/>
        </w:rPr>
        <w:t xml:space="preserve"> Interamericana considera que la </w:t>
      </w:r>
      <w:r w:rsidR="009C20C0" w:rsidRPr="00D21AF3">
        <w:rPr>
          <w:rFonts w:asciiTheme="majorHAnsi" w:hAnsiTheme="majorHAnsi"/>
          <w:sz w:val="20"/>
          <w:szCs w:val="20"/>
          <w:lang w:val="es-ES_tradnl"/>
        </w:rPr>
        <w:t>petición</w:t>
      </w:r>
      <w:r w:rsidRPr="00D21AF3">
        <w:rPr>
          <w:rFonts w:asciiTheme="majorHAnsi" w:hAnsiTheme="majorHAnsi"/>
          <w:sz w:val="20"/>
          <w:szCs w:val="20"/>
          <w:lang w:val="es-ES_tradnl"/>
        </w:rPr>
        <w:t xml:space="preserve"> fue presentada dentro de un plazo razonable y que debe darse por satisfecho el requisito de admisibilidad referente al plazo de </w:t>
      </w:r>
      <w:r w:rsidR="009C20C0" w:rsidRPr="00D21AF3">
        <w:rPr>
          <w:rFonts w:asciiTheme="majorHAnsi" w:hAnsiTheme="majorHAnsi"/>
          <w:sz w:val="20"/>
          <w:szCs w:val="20"/>
          <w:lang w:val="es-ES_tradnl"/>
        </w:rPr>
        <w:t>presentación</w:t>
      </w:r>
      <w:r w:rsidRPr="00D21AF3">
        <w:rPr>
          <w:rFonts w:asciiTheme="majorHAnsi" w:hAnsiTheme="majorHAnsi"/>
          <w:sz w:val="20"/>
          <w:szCs w:val="20"/>
          <w:lang w:val="es-ES_tradnl"/>
        </w:rPr>
        <w:t xml:space="preserve"> en los términos del artículo 32.2 de su Reglamento. </w:t>
      </w:r>
    </w:p>
    <w:p w14:paraId="673598AF" w14:textId="77777777" w:rsidR="003239B8" w:rsidRPr="00D21AF3" w:rsidRDefault="003239B8" w:rsidP="007D4AD6">
      <w:pPr>
        <w:pStyle w:val="ListParagraph"/>
        <w:spacing w:before="240" w:after="240"/>
        <w:jc w:val="both"/>
        <w:rPr>
          <w:rFonts w:asciiTheme="majorHAnsi" w:hAnsiTheme="majorHAnsi"/>
          <w:b/>
          <w:sz w:val="20"/>
          <w:szCs w:val="20"/>
          <w:lang w:val="es-ES_tradnl"/>
        </w:rPr>
      </w:pPr>
      <w:r w:rsidRPr="00D21AF3">
        <w:rPr>
          <w:rFonts w:asciiTheme="majorHAnsi" w:hAnsiTheme="majorHAnsi"/>
          <w:b/>
          <w:bCs/>
          <w:sz w:val="20"/>
          <w:szCs w:val="20"/>
          <w:lang w:val="es-ES_tradnl"/>
        </w:rPr>
        <w:lastRenderedPageBreak/>
        <w:t>VII.</w:t>
      </w:r>
      <w:r w:rsidRPr="00D21AF3">
        <w:rPr>
          <w:rFonts w:asciiTheme="majorHAnsi" w:hAnsiTheme="majorHAnsi"/>
          <w:b/>
          <w:bCs/>
          <w:sz w:val="20"/>
          <w:szCs w:val="20"/>
          <w:lang w:val="es-ES_tradnl"/>
        </w:rPr>
        <w:tab/>
      </w:r>
      <w:r w:rsidR="004A6A54" w:rsidRPr="00D21AF3">
        <w:rPr>
          <w:rFonts w:asciiTheme="majorHAnsi" w:hAnsiTheme="majorHAnsi"/>
          <w:b/>
          <w:bCs/>
          <w:sz w:val="20"/>
          <w:szCs w:val="20"/>
          <w:lang w:val="es-ES_tradnl"/>
        </w:rPr>
        <w:t xml:space="preserve">ANÁLISIS DE </w:t>
      </w:r>
      <w:r w:rsidR="00C21FEF" w:rsidRPr="00D21AF3">
        <w:rPr>
          <w:rFonts w:asciiTheme="majorHAnsi" w:hAnsiTheme="majorHAnsi"/>
          <w:b/>
          <w:bCs/>
          <w:sz w:val="20"/>
          <w:szCs w:val="20"/>
          <w:lang w:val="es-ES_tradnl"/>
        </w:rPr>
        <w:t>CARACTERIZACIÓN DE LOS HECHOS ALEGADOS</w:t>
      </w:r>
    </w:p>
    <w:p w14:paraId="163B7191" w14:textId="59A9926B" w:rsidR="00672468" w:rsidRPr="00D21AF3" w:rsidRDefault="00672468" w:rsidP="007D4A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Frente al argumento del Estado sobre la falta de individualización de las presuntas víctimas, se recuerda que la Comisión ha seguido el criterio de interpretación del artículo 44 de la Convención Americana requiriendo que para que una petición sea admisible deben existir víctimas concretas, individualizadas y determinadas, o se refieran a un grupo de víctimas específico y definido compuesto de individuos determinables</w:t>
      </w:r>
      <w:r w:rsidRPr="00D21AF3">
        <w:rPr>
          <w:rFonts w:asciiTheme="majorHAnsi" w:hAnsiTheme="majorHAnsi"/>
          <w:bCs/>
          <w:sz w:val="20"/>
          <w:szCs w:val="20"/>
          <w:vertAlign w:val="superscript"/>
          <w:lang w:val="es-ES_tradnl"/>
        </w:rPr>
        <w:footnoteReference w:id="24"/>
      </w:r>
      <w:r w:rsidRPr="00D21AF3">
        <w:rPr>
          <w:rFonts w:asciiTheme="majorHAnsi" w:hAnsiTheme="majorHAnsi"/>
          <w:bCs/>
          <w:sz w:val="20"/>
          <w:szCs w:val="20"/>
          <w:lang w:val="es-ES_tradnl"/>
        </w:rPr>
        <w:t>. Asimismo, la Comisión ha valorado que el texto del mencionado artículo de la Convención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w:t>
      </w:r>
      <w:r w:rsidRPr="00D21AF3">
        <w:rPr>
          <w:rFonts w:asciiTheme="majorHAnsi" w:hAnsiTheme="majorHAnsi"/>
          <w:bCs/>
          <w:sz w:val="20"/>
          <w:szCs w:val="20"/>
          <w:vertAlign w:val="superscript"/>
          <w:lang w:val="es-ES_tradnl"/>
        </w:rPr>
        <w:footnoteReference w:id="25"/>
      </w:r>
      <w:r w:rsidRPr="00D21AF3">
        <w:rPr>
          <w:rFonts w:asciiTheme="majorHAnsi" w:hAnsiTheme="majorHAnsi"/>
          <w:bCs/>
          <w:sz w:val="20"/>
          <w:szCs w:val="20"/>
          <w:lang w:val="es-ES_tradnl"/>
        </w:rPr>
        <w:t xml:space="preserve">. En la presente situación se ha identificado a las presuntas víctimas como los habitantes de la comunidad </w:t>
      </w:r>
      <w:r w:rsidRPr="00D21AF3">
        <w:rPr>
          <w:rFonts w:asciiTheme="majorHAnsi" w:hAnsiTheme="majorHAnsi"/>
          <w:bCs/>
          <w:i/>
          <w:iCs/>
          <w:sz w:val="20"/>
          <w:szCs w:val="20"/>
          <w:lang w:val="es-ES_tradnl"/>
        </w:rPr>
        <w:t>El Triunfo</w:t>
      </w:r>
      <w:r w:rsidRPr="00D21AF3">
        <w:rPr>
          <w:rFonts w:asciiTheme="majorHAnsi" w:hAnsiTheme="majorHAnsi"/>
          <w:bCs/>
          <w:sz w:val="20"/>
          <w:szCs w:val="20"/>
          <w:lang w:val="es-ES_tradnl"/>
        </w:rPr>
        <w:t xml:space="preserve">, presentando un censo con </w:t>
      </w:r>
      <w:r w:rsidR="00087602" w:rsidRPr="00D21AF3">
        <w:rPr>
          <w:rFonts w:asciiTheme="majorHAnsi" w:hAnsiTheme="majorHAnsi"/>
          <w:bCs/>
          <w:sz w:val="20"/>
          <w:szCs w:val="20"/>
          <w:lang w:val="es-ES_tradnl"/>
        </w:rPr>
        <w:t>275 familias, con sus integrantes individualizados</w:t>
      </w:r>
      <w:r w:rsidRPr="00D21AF3">
        <w:rPr>
          <w:rFonts w:asciiTheme="majorHAnsi" w:hAnsiTheme="majorHAnsi"/>
          <w:bCs/>
          <w:sz w:val="20"/>
          <w:szCs w:val="20"/>
          <w:lang w:val="es-ES_tradnl"/>
        </w:rPr>
        <w:t>. En tal sentido, como ha aclarado la Corte IDH, en el procedimiento de casos contenciosos ante el Sistema Interamericano la individualización final de las presuntas víctimas debe realizarse en la etapa de fondo ante la CIDH, lo cual debe establecerse en el informe que esta emita en los términos del artículo 50 de la Convención Americana</w:t>
      </w:r>
      <w:r w:rsidRPr="00D21AF3">
        <w:rPr>
          <w:rFonts w:asciiTheme="majorHAnsi" w:hAnsiTheme="majorHAnsi"/>
          <w:bCs/>
          <w:sz w:val="20"/>
          <w:szCs w:val="20"/>
          <w:vertAlign w:val="superscript"/>
          <w:lang w:val="es-ES_tradnl"/>
        </w:rPr>
        <w:footnoteReference w:id="26"/>
      </w:r>
      <w:r w:rsidRPr="00D21AF3">
        <w:rPr>
          <w:rFonts w:asciiTheme="majorHAnsi" w:hAnsiTheme="majorHAnsi"/>
          <w:bCs/>
          <w:sz w:val="20"/>
          <w:szCs w:val="20"/>
          <w:lang w:val="es-ES_tradnl"/>
        </w:rPr>
        <w:t xml:space="preserve">. </w:t>
      </w:r>
    </w:p>
    <w:p w14:paraId="39A8EA06" w14:textId="567461E2" w:rsidR="00672468" w:rsidRPr="00D21AF3" w:rsidRDefault="00672468" w:rsidP="007D4AD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142" w:firstLine="567"/>
        <w:jc w:val="both"/>
        <w:rPr>
          <w:rFonts w:asciiTheme="majorHAnsi" w:hAnsiTheme="majorHAnsi"/>
          <w:bCs/>
          <w:sz w:val="20"/>
          <w:szCs w:val="20"/>
          <w:lang w:val="es-ES_tradnl"/>
        </w:rPr>
      </w:pPr>
      <w:r w:rsidRPr="00D21AF3">
        <w:rPr>
          <w:rFonts w:asciiTheme="majorHAnsi" w:hAnsiTheme="majorHAnsi"/>
          <w:sz w:val="20"/>
          <w:szCs w:val="20"/>
          <w:lang w:val="es-ES_tradnl"/>
        </w:rPr>
        <w:t>La petición contiene alegatos con respecto la falta de reparación integral a las presuntas víctimas en el marco del PNR. Al respecto, la Comisión resalta</w:t>
      </w:r>
      <w:r w:rsidR="00CC22F0" w:rsidRPr="00D21AF3">
        <w:rPr>
          <w:rFonts w:asciiTheme="majorHAnsi" w:hAnsiTheme="majorHAnsi"/>
          <w:sz w:val="20"/>
          <w:szCs w:val="20"/>
          <w:lang w:val="es-ES_tradnl"/>
        </w:rPr>
        <w:t xml:space="preserve"> </w:t>
      </w:r>
      <w:r w:rsidRPr="00D21AF3">
        <w:rPr>
          <w:rFonts w:asciiTheme="majorHAnsi" w:hAnsiTheme="majorHAnsi"/>
          <w:sz w:val="20"/>
          <w:szCs w:val="20"/>
          <w:lang w:val="es-ES_tradnl"/>
        </w:rPr>
        <w:t>que, a través de</w:t>
      </w:r>
      <w:r w:rsidR="00CC22F0" w:rsidRPr="00D21AF3">
        <w:rPr>
          <w:rFonts w:asciiTheme="majorHAnsi" w:hAnsiTheme="majorHAnsi"/>
          <w:sz w:val="20"/>
          <w:szCs w:val="20"/>
          <w:lang w:val="es-ES_tradnl"/>
        </w:rPr>
        <w:t xml:space="preserve"> informes y de</w:t>
      </w:r>
      <w:r w:rsidRPr="00D21AF3">
        <w:rPr>
          <w:rFonts w:asciiTheme="majorHAnsi" w:hAnsiTheme="majorHAnsi"/>
          <w:sz w:val="20"/>
          <w:szCs w:val="20"/>
          <w:lang w:val="es-ES_tradnl"/>
        </w:rPr>
        <w:t xml:space="preserve"> sus distintos mecanismos, particularmente en sus labores de monitoreo, ha prestado especial atención a la implementación del PNR desde el 2003</w:t>
      </w:r>
      <w:r w:rsidRPr="00D21AF3">
        <w:rPr>
          <w:rStyle w:val="FootnoteReference"/>
          <w:rFonts w:asciiTheme="majorHAnsi" w:hAnsiTheme="majorHAnsi"/>
          <w:sz w:val="20"/>
          <w:szCs w:val="20"/>
          <w:lang w:val="es-ES_tradnl"/>
        </w:rPr>
        <w:footnoteReference w:id="27"/>
      </w:r>
      <w:r w:rsidRPr="00D21AF3">
        <w:rPr>
          <w:rFonts w:asciiTheme="majorHAnsi" w:hAnsiTheme="majorHAnsi"/>
          <w:sz w:val="20"/>
          <w:szCs w:val="20"/>
          <w:lang w:val="es-ES_tradnl"/>
        </w:rPr>
        <w:t>. En dicho marco, la Comisión ha recibido información sobre el cumplimiento escaso del PNR, “</w:t>
      </w:r>
      <w:r w:rsidRPr="00D21AF3">
        <w:rPr>
          <w:rFonts w:asciiTheme="majorHAnsi" w:hAnsiTheme="majorHAnsi"/>
          <w:i/>
          <w:iCs/>
          <w:sz w:val="20"/>
          <w:szCs w:val="20"/>
          <w:lang w:val="es-ES_tradnl"/>
        </w:rPr>
        <w:t>limitado en cobertura, y atrasado por parte del Estado guatemalteco</w:t>
      </w:r>
      <w:r w:rsidRPr="00D21AF3">
        <w:rPr>
          <w:rFonts w:asciiTheme="majorHAnsi" w:hAnsiTheme="majorHAnsi"/>
          <w:sz w:val="20"/>
          <w:szCs w:val="20"/>
          <w:lang w:val="es-ES_tradnl"/>
        </w:rPr>
        <w:t>”</w:t>
      </w:r>
      <w:r w:rsidRPr="00D21AF3">
        <w:rPr>
          <w:rStyle w:val="FootnoteReference"/>
          <w:rFonts w:asciiTheme="majorHAnsi" w:hAnsiTheme="majorHAnsi"/>
          <w:sz w:val="20"/>
          <w:szCs w:val="20"/>
          <w:lang w:val="es-ES_tradnl"/>
        </w:rPr>
        <w:footnoteReference w:id="28"/>
      </w:r>
      <w:r w:rsidRPr="00D21AF3">
        <w:rPr>
          <w:rFonts w:asciiTheme="majorHAnsi" w:hAnsiTheme="majorHAnsi"/>
          <w:sz w:val="20"/>
          <w:szCs w:val="20"/>
          <w:lang w:val="es-ES_tradnl"/>
        </w:rPr>
        <w:t>; y ha evidenciado la falta de certeza sobre los criterios de selección de este, las demoras de hasta siete años en los requerimientos de resarcimiento, las frecuentes rotaciones de personal, así como la falta de medidas que garanticen una reparación integral a las víctimas</w:t>
      </w:r>
      <w:r w:rsidRPr="00D21AF3">
        <w:rPr>
          <w:rStyle w:val="FootnoteReference"/>
          <w:rFonts w:asciiTheme="majorHAnsi" w:hAnsiTheme="majorHAnsi"/>
          <w:sz w:val="20"/>
          <w:szCs w:val="20"/>
          <w:lang w:val="es-ES_tradnl"/>
        </w:rPr>
        <w:footnoteReference w:id="29"/>
      </w:r>
      <w:r w:rsidRPr="00D21AF3">
        <w:rPr>
          <w:rFonts w:asciiTheme="majorHAnsi" w:hAnsiTheme="majorHAnsi"/>
          <w:sz w:val="20"/>
          <w:szCs w:val="20"/>
          <w:lang w:val="es-ES_tradnl"/>
        </w:rPr>
        <w:t>. Asimismo, la Comisión ha expresado su especial preocupación frente a la reducción del presupuesto del PNR en el 2016, lo cual habría disminuido la capacidad de ejecución de medidas de reparación</w:t>
      </w:r>
      <w:r w:rsidRPr="00D21AF3">
        <w:rPr>
          <w:rStyle w:val="FootnoteReference"/>
          <w:rFonts w:asciiTheme="majorHAnsi" w:hAnsiTheme="majorHAnsi"/>
          <w:sz w:val="20"/>
          <w:szCs w:val="20"/>
          <w:lang w:val="es-ES_tradnl"/>
        </w:rPr>
        <w:footnoteReference w:id="30"/>
      </w:r>
      <w:r w:rsidRPr="00D21AF3">
        <w:rPr>
          <w:rFonts w:asciiTheme="majorHAnsi" w:hAnsiTheme="majorHAnsi"/>
          <w:sz w:val="20"/>
          <w:szCs w:val="20"/>
          <w:lang w:val="es-ES_tradnl"/>
        </w:rPr>
        <w:t>; instando al Estado a dotar al PNR de “</w:t>
      </w:r>
      <w:r w:rsidRPr="00D21AF3">
        <w:rPr>
          <w:rFonts w:asciiTheme="majorHAnsi" w:hAnsiTheme="majorHAnsi"/>
          <w:i/>
          <w:iCs/>
          <w:sz w:val="20"/>
          <w:szCs w:val="20"/>
          <w:lang w:val="es-ES_tradnl"/>
        </w:rPr>
        <w:t>suficientes recursos para que pueda, por primera vez desde su creación, contar con la asignación presupuestaria establecida en su acuerdo de creación y, así, brindar a las víctimas y sus familiares los servicios para los cuales fue creado</w:t>
      </w:r>
      <w:r w:rsidRPr="00D21AF3">
        <w:rPr>
          <w:rFonts w:asciiTheme="majorHAnsi" w:hAnsiTheme="majorHAnsi"/>
          <w:sz w:val="20"/>
          <w:szCs w:val="20"/>
          <w:lang w:val="es-ES_tradnl"/>
        </w:rPr>
        <w:t>”</w:t>
      </w:r>
      <w:r w:rsidRPr="00D21AF3">
        <w:rPr>
          <w:rStyle w:val="FootnoteReference"/>
          <w:rFonts w:asciiTheme="majorHAnsi" w:hAnsiTheme="majorHAnsi"/>
          <w:sz w:val="20"/>
          <w:szCs w:val="20"/>
          <w:lang w:val="es-ES_tradnl"/>
        </w:rPr>
        <w:footnoteReference w:id="31"/>
      </w:r>
      <w:r w:rsidRPr="00D21AF3">
        <w:rPr>
          <w:rFonts w:asciiTheme="majorHAnsi" w:hAnsiTheme="majorHAnsi"/>
          <w:sz w:val="20"/>
          <w:szCs w:val="20"/>
          <w:lang w:val="es-ES_tradnl"/>
        </w:rPr>
        <w:t xml:space="preserve">. </w:t>
      </w:r>
      <w:r w:rsidR="00CC22F0" w:rsidRPr="00D21AF3">
        <w:rPr>
          <w:rFonts w:asciiTheme="majorHAnsi" w:hAnsiTheme="majorHAnsi"/>
          <w:sz w:val="20"/>
          <w:szCs w:val="20"/>
          <w:lang w:val="es-ES_tradnl"/>
        </w:rPr>
        <w:t>Igualmente, prevalece la coherencia con informes de admisibilidad previamente decididos que incl</w:t>
      </w:r>
      <w:r w:rsidR="00E16086" w:rsidRPr="00D21AF3">
        <w:rPr>
          <w:rFonts w:asciiTheme="majorHAnsi" w:hAnsiTheme="majorHAnsi"/>
          <w:sz w:val="20"/>
          <w:szCs w:val="20"/>
          <w:lang w:val="es-ES_tradnl"/>
        </w:rPr>
        <w:t>uyen</w:t>
      </w:r>
      <w:r w:rsidR="00CC22F0" w:rsidRPr="00D21AF3">
        <w:rPr>
          <w:rFonts w:asciiTheme="majorHAnsi" w:hAnsiTheme="majorHAnsi"/>
          <w:sz w:val="20"/>
          <w:szCs w:val="20"/>
          <w:lang w:val="es-ES_tradnl"/>
        </w:rPr>
        <w:t xml:space="preserve"> temas de reparaciones y gestiones </w:t>
      </w:r>
      <w:r w:rsidR="00E16086" w:rsidRPr="00D21AF3">
        <w:rPr>
          <w:rFonts w:asciiTheme="majorHAnsi" w:hAnsiTheme="majorHAnsi"/>
          <w:sz w:val="20"/>
          <w:szCs w:val="20"/>
          <w:lang w:val="es-ES_tradnl"/>
        </w:rPr>
        <w:t xml:space="preserve">ante </w:t>
      </w:r>
      <w:r w:rsidR="00CC22F0" w:rsidRPr="00D21AF3">
        <w:rPr>
          <w:rFonts w:asciiTheme="majorHAnsi" w:hAnsiTheme="majorHAnsi"/>
          <w:sz w:val="20"/>
          <w:szCs w:val="20"/>
          <w:lang w:val="es-ES_tradnl"/>
        </w:rPr>
        <w:t>el PNR</w:t>
      </w:r>
      <w:r w:rsidR="00CC22F0" w:rsidRPr="00D21AF3">
        <w:rPr>
          <w:rStyle w:val="FootnoteReference"/>
          <w:rFonts w:asciiTheme="majorHAnsi" w:hAnsiTheme="majorHAnsi"/>
          <w:sz w:val="20"/>
          <w:szCs w:val="20"/>
          <w:lang w:val="es-ES_tradnl"/>
        </w:rPr>
        <w:footnoteReference w:id="32"/>
      </w:r>
      <w:r w:rsidR="00CC22F0" w:rsidRPr="00D21AF3">
        <w:rPr>
          <w:rFonts w:asciiTheme="majorHAnsi" w:hAnsiTheme="majorHAnsi"/>
          <w:sz w:val="20"/>
          <w:szCs w:val="20"/>
          <w:lang w:val="es-ES_tradnl"/>
        </w:rPr>
        <w:t xml:space="preserve">. </w:t>
      </w:r>
    </w:p>
    <w:p w14:paraId="2B69F352" w14:textId="7C9DC792" w:rsidR="00F26B27" w:rsidRPr="00D21AF3" w:rsidRDefault="00672468" w:rsidP="00226B3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142" w:firstLine="567"/>
        <w:jc w:val="both"/>
        <w:rPr>
          <w:rFonts w:asciiTheme="majorHAnsi" w:hAnsiTheme="majorHAnsi"/>
          <w:bCs/>
          <w:sz w:val="20"/>
          <w:szCs w:val="20"/>
          <w:lang w:val="es-ES_tradnl"/>
        </w:rPr>
      </w:pPr>
      <w:r w:rsidRPr="00D21AF3">
        <w:rPr>
          <w:rFonts w:asciiTheme="majorHAnsi" w:hAnsiTheme="majorHAnsi"/>
          <w:sz w:val="20"/>
          <w:szCs w:val="20"/>
          <w:lang w:val="es-ES_tradnl"/>
        </w:rPr>
        <w:lastRenderedPageBreak/>
        <w:t>Por tanto,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de los derechos reconocidos en los artículos 5 (integridad personal), 8 (garantías judiciales)</w:t>
      </w:r>
      <w:r w:rsidR="00572AB1" w:rsidRPr="00D21AF3">
        <w:rPr>
          <w:rFonts w:asciiTheme="majorHAnsi" w:hAnsiTheme="majorHAnsi"/>
          <w:sz w:val="20"/>
          <w:szCs w:val="20"/>
          <w:lang w:val="es-ES_tradnl"/>
        </w:rPr>
        <w:t xml:space="preserve">, 24 (igualdad ante la ley) </w:t>
      </w:r>
      <w:r w:rsidRPr="00D21AF3">
        <w:rPr>
          <w:rFonts w:asciiTheme="majorHAnsi" w:hAnsiTheme="majorHAnsi"/>
          <w:sz w:val="20"/>
          <w:szCs w:val="20"/>
          <w:lang w:val="es-ES_tradnl"/>
        </w:rPr>
        <w:t>y 25 (protección judicial) de la Convención Americana en relación con su artículo 1.1 (obligación de respetar los derechos)</w:t>
      </w:r>
      <w:r w:rsidR="00940DEB" w:rsidRPr="00D21AF3">
        <w:rPr>
          <w:rFonts w:asciiTheme="majorHAnsi" w:hAnsiTheme="majorHAnsi"/>
          <w:sz w:val="20"/>
          <w:szCs w:val="20"/>
          <w:lang w:val="es-ES_tradnl"/>
        </w:rPr>
        <w:t xml:space="preserve"> y</w:t>
      </w:r>
      <w:r w:rsidR="00940DEB" w:rsidRPr="00D21AF3">
        <w:rPr>
          <w:rFonts w:asciiTheme="majorHAnsi" w:hAnsiTheme="majorHAnsi"/>
          <w:bCs/>
          <w:sz w:val="20"/>
          <w:szCs w:val="20"/>
          <w:lang w:val="es-ES_tradnl"/>
        </w:rPr>
        <w:t xml:space="preserve"> 2 (deber de adoptar disposiciones de derecho interno),</w:t>
      </w:r>
      <w:r w:rsidRPr="00D21AF3">
        <w:rPr>
          <w:rFonts w:asciiTheme="majorHAnsi" w:hAnsiTheme="majorHAnsi"/>
          <w:sz w:val="20"/>
          <w:szCs w:val="20"/>
          <w:lang w:val="es-ES_tradnl"/>
        </w:rPr>
        <w:t xml:space="preserve"> en perjuicio de los </w:t>
      </w:r>
      <w:r w:rsidR="00572AB1" w:rsidRPr="00D21AF3">
        <w:rPr>
          <w:rFonts w:asciiTheme="majorHAnsi" w:hAnsiTheme="majorHAnsi"/>
          <w:sz w:val="20"/>
          <w:szCs w:val="20"/>
          <w:lang w:val="es-ES_tradnl"/>
        </w:rPr>
        <w:t>vecinos</w:t>
      </w:r>
      <w:r w:rsidRPr="00D21AF3">
        <w:rPr>
          <w:rFonts w:asciiTheme="majorHAnsi" w:hAnsiTheme="majorHAnsi"/>
          <w:sz w:val="20"/>
          <w:szCs w:val="20"/>
          <w:lang w:val="es-ES_tradnl"/>
        </w:rPr>
        <w:t xml:space="preserve"> de la </w:t>
      </w:r>
      <w:r w:rsidR="004C17B3" w:rsidRPr="00D21AF3">
        <w:rPr>
          <w:rFonts w:asciiTheme="majorHAnsi" w:hAnsiTheme="majorHAnsi"/>
          <w:sz w:val="20"/>
          <w:szCs w:val="20"/>
          <w:lang w:val="es-ES_tradnl"/>
        </w:rPr>
        <w:t>c</w:t>
      </w:r>
      <w:r w:rsidRPr="00D21AF3">
        <w:rPr>
          <w:rFonts w:asciiTheme="majorHAnsi" w:hAnsiTheme="majorHAnsi"/>
          <w:sz w:val="20"/>
          <w:szCs w:val="20"/>
          <w:lang w:val="es-ES_tradnl"/>
        </w:rPr>
        <w:t xml:space="preserve">omunidad </w:t>
      </w:r>
      <w:r w:rsidRPr="00D21AF3">
        <w:rPr>
          <w:rFonts w:asciiTheme="majorHAnsi" w:hAnsiTheme="majorHAnsi"/>
          <w:i/>
          <w:iCs/>
          <w:sz w:val="20"/>
          <w:szCs w:val="20"/>
          <w:lang w:val="es-ES_tradnl"/>
        </w:rPr>
        <w:t>El Triunfo</w:t>
      </w:r>
      <w:r w:rsidRPr="00D21AF3">
        <w:rPr>
          <w:rFonts w:asciiTheme="majorHAnsi" w:hAnsiTheme="majorHAnsi"/>
          <w:sz w:val="20"/>
          <w:szCs w:val="20"/>
          <w:lang w:val="es-ES_tradnl"/>
        </w:rPr>
        <w:t>.</w:t>
      </w:r>
      <w:r w:rsidR="007C7029" w:rsidRPr="00D21AF3">
        <w:rPr>
          <w:rFonts w:asciiTheme="majorHAnsi" w:hAnsiTheme="majorHAnsi"/>
          <w:sz w:val="20"/>
          <w:szCs w:val="20"/>
          <w:lang w:val="es-ES_tradnl"/>
        </w:rPr>
        <w:t xml:space="preserve"> </w:t>
      </w:r>
      <w:r w:rsidR="00226B3F" w:rsidRPr="00D21AF3">
        <w:rPr>
          <w:rFonts w:asciiTheme="majorHAnsi" w:hAnsiTheme="majorHAnsi"/>
          <w:sz w:val="20"/>
          <w:szCs w:val="20"/>
          <w:lang w:val="es-ES_tradnl"/>
        </w:rPr>
        <w:t>L</w:t>
      </w:r>
      <w:r w:rsidR="007C7029" w:rsidRPr="00D21AF3">
        <w:rPr>
          <w:rFonts w:asciiTheme="majorHAnsi" w:hAnsiTheme="majorHAnsi"/>
          <w:sz w:val="20"/>
          <w:szCs w:val="20"/>
          <w:lang w:val="es-ES_tradnl"/>
        </w:rPr>
        <w:t xml:space="preserve">a decisión de admisibilidad de los artículos 5 y 24 </w:t>
      </w:r>
      <w:r w:rsidR="007C7029" w:rsidRPr="00D21AF3">
        <w:rPr>
          <w:rFonts w:asciiTheme="majorHAnsi" w:hAnsiTheme="majorHAnsi"/>
          <w:bCs/>
          <w:sz w:val="20"/>
          <w:szCs w:val="20"/>
          <w:lang w:val="es-ES"/>
        </w:rPr>
        <w:t>es consistente con lo decidido en casos ya estudiados por la CIDH que tienen un objeto sustancialmente similar a la presente petición</w:t>
      </w:r>
      <w:r w:rsidR="007C7029" w:rsidRPr="00D21AF3">
        <w:rPr>
          <w:rStyle w:val="FootnoteReference"/>
          <w:rFonts w:asciiTheme="majorHAnsi" w:hAnsiTheme="majorHAnsi"/>
          <w:sz w:val="20"/>
          <w:szCs w:val="20"/>
          <w:lang w:val="es-ES_tradnl"/>
        </w:rPr>
        <w:footnoteReference w:id="33"/>
      </w:r>
      <w:r w:rsidR="007C7029" w:rsidRPr="00D21AF3">
        <w:rPr>
          <w:rFonts w:asciiTheme="majorHAnsi" w:hAnsiTheme="majorHAnsi"/>
          <w:bCs/>
          <w:sz w:val="20"/>
          <w:szCs w:val="20"/>
          <w:lang w:val="es-ES"/>
        </w:rPr>
        <w:t xml:space="preserve">. </w:t>
      </w:r>
    </w:p>
    <w:p w14:paraId="67AA6C6B" w14:textId="502C5802" w:rsidR="00E16086" w:rsidRPr="00D21AF3" w:rsidRDefault="00572AB1" w:rsidP="00E160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142" w:firstLine="567"/>
        <w:jc w:val="both"/>
        <w:rPr>
          <w:rFonts w:asciiTheme="majorHAnsi" w:hAnsiTheme="majorHAnsi"/>
          <w:bCs/>
          <w:sz w:val="20"/>
          <w:szCs w:val="20"/>
          <w:lang w:val="es-ES_tradnl"/>
        </w:rPr>
      </w:pPr>
      <w:r w:rsidRPr="00D21AF3">
        <w:rPr>
          <w:rFonts w:asciiTheme="majorHAnsi" w:hAnsiTheme="majorHAnsi"/>
          <w:bCs/>
          <w:sz w:val="20"/>
          <w:szCs w:val="20"/>
          <w:lang w:val="es-ES_tradnl"/>
        </w:rPr>
        <w:t xml:space="preserve">Respecto al reclamo sobre la presunta </w:t>
      </w:r>
      <w:r w:rsidR="00CA10AD" w:rsidRPr="00D21AF3">
        <w:rPr>
          <w:rFonts w:asciiTheme="majorHAnsi" w:hAnsiTheme="majorHAnsi"/>
          <w:bCs/>
          <w:sz w:val="20"/>
          <w:szCs w:val="20"/>
          <w:lang w:val="es-ES_tradnl"/>
        </w:rPr>
        <w:t>violación</w:t>
      </w:r>
      <w:r w:rsidRPr="00D21AF3">
        <w:rPr>
          <w:rFonts w:asciiTheme="majorHAnsi" w:hAnsiTheme="majorHAnsi"/>
          <w:bCs/>
          <w:sz w:val="20"/>
          <w:szCs w:val="20"/>
          <w:lang w:val="es-ES_tradnl"/>
        </w:rPr>
        <w:t xml:space="preserve"> de los </w:t>
      </w:r>
      <w:r w:rsidR="00CA10AD" w:rsidRPr="00D21AF3">
        <w:rPr>
          <w:rFonts w:asciiTheme="majorHAnsi" w:hAnsiTheme="majorHAnsi"/>
          <w:bCs/>
          <w:sz w:val="20"/>
          <w:szCs w:val="20"/>
          <w:lang w:val="es-ES_tradnl"/>
        </w:rPr>
        <w:t>artículos</w:t>
      </w:r>
      <w:r w:rsidRPr="00D21AF3">
        <w:rPr>
          <w:rFonts w:asciiTheme="majorHAnsi" w:hAnsiTheme="majorHAnsi"/>
          <w:bCs/>
          <w:sz w:val="20"/>
          <w:szCs w:val="20"/>
          <w:lang w:val="es-ES_tradnl"/>
        </w:rPr>
        <w:t xml:space="preserve"> 4 (derecho a la vida), 11 (protección de la honra y de la dignidad), 17 (protección a la familia), 19 (derechos del niño) y  21 (derecho a la propiedad privada) de la </w:t>
      </w:r>
      <w:r w:rsidR="00CA10AD" w:rsidRPr="00D21AF3">
        <w:rPr>
          <w:rFonts w:asciiTheme="majorHAnsi" w:hAnsiTheme="majorHAnsi"/>
          <w:bCs/>
          <w:sz w:val="20"/>
          <w:szCs w:val="20"/>
          <w:lang w:val="es-ES_tradnl"/>
        </w:rPr>
        <w:t>Convención</w:t>
      </w:r>
      <w:r w:rsidRPr="00D21AF3">
        <w:rPr>
          <w:rFonts w:asciiTheme="majorHAnsi" w:hAnsiTheme="majorHAnsi"/>
          <w:bCs/>
          <w:sz w:val="20"/>
          <w:szCs w:val="20"/>
          <w:lang w:val="es-ES_tradnl"/>
        </w:rPr>
        <w:t xml:space="preserve"> Americana, la </w:t>
      </w:r>
      <w:r w:rsidR="00CA10AD" w:rsidRPr="00D21AF3">
        <w:rPr>
          <w:rFonts w:asciiTheme="majorHAnsi" w:hAnsiTheme="majorHAnsi"/>
          <w:bCs/>
          <w:sz w:val="20"/>
          <w:szCs w:val="20"/>
          <w:lang w:val="es-ES_tradnl"/>
        </w:rPr>
        <w:t>Comisión</w:t>
      </w:r>
      <w:r w:rsidRPr="00D21AF3">
        <w:rPr>
          <w:rFonts w:asciiTheme="majorHAnsi" w:hAnsiTheme="majorHAnsi"/>
          <w:bCs/>
          <w:sz w:val="20"/>
          <w:szCs w:val="20"/>
          <w:lang w:val="es-ES_tradnl"/>
        </w:rPr>
        <w:t xml:space="preserve"> </w:t>
      </w:r>
      <w:r w:rsidR="004C17B3" w:rsidRPr="00D21AF3">
        <w:rPr>
          <w:rFonts w:asciiTheme="majorHAnsi" w:hAnsiTheme="majorHAnsi"/>
          <w:bCs/>
          <w:sz w:val="20"/>
          <w:szCs w:val="20"/>
          <w:lang w:val="es-ES_tradnl"/>
        </w:rPr>
        <w:t>razona</w:t>
      </w:r>
      <w:r w:rsidRPr="00D21AF3">
        <w:rPr>
          <w:rFonts w:asciiTheme="majorHAnsi" w:hAnsiTheme="majorHAnsi"/>
          <w:bCs/>
          <w:sz w:val="20"/>
          <w:szCs w:val="20"/>
          <w:lang w:val="es-ES_tradnl"/>
        </w:rPr>
        <w:t xml:space="preserve"> que, conforme a lo expresado </w:t>
      </w:r>
      <w:r w:rsidR="004C17B3" w:rsidRPr="00D21AF3">
        <w:rPr>
          <w:rFonts w:asciiTheme="majorHAnsi" w:hAnsiTheme="majorHAnsi"/>
          <w:bCs/>
          <w:sz w:val="20"/>
          <w:szCs w:val="20"/>
          <w:lang w:val="es-ES_tradnl"/>
        </w:rPr>
        <w:t xml:space="preserve">previamente </w:t>
      </w:r>
      <w:r w:rsidRPr="00D21AF3">
        <w:rPr>
          <w:rFonts w:asciiTheme="majorHAnsi" w:hAnsiTheme="majorHAnsi"/>
          <w:bCs/>
          <w:sz w:val="20"/>
          <w:szCs w:val="20"/>
          <w:lang w:val="es-ES_tradnl"/>
        </w:rPr>
        <w:t xml:space="preserve">en este informe, el objeto de la </w:t>
      </w:r>
      <w:r w:rsidR="004C17B3" w:rsidRPr="00D21AF3">
        <w:rPr>
          <w:rFonts w:asciiTheme="majorHAnsi" w:hAnsiTheme="majorHAnsi"/>
          <w:bCs/>
          <w:sz w:val="20"/>
          <w:szCs w:val="20"/>
          <w:lang w:val="es-ES_tradnl"/>
        </w:rPr>
        <w:t>petición</w:t>
      </w:r>
      <w:r w:rsidRPr="00D21AF3">
        <w:rPr>
          <w:rFonts w:asciiTheme="majorHAnsi" w:hAnsiTheme="majorHAnsi"/>
          <w:bCs/>
          <w:sz w:val="20"/>
          <w:szCs w:val="20"/>
          <w:lang w:val="es-ES_tradnl"/>
        </w:rPr>
        <w:t xml:space="preserve"> se refiere a la falta de una reparación integral y colectiva por </w:t>
      </w:r>
      <w:r w:rsidR="00F26B27" w:rsidRPr="00D21AF3">
        <w:rPr>
          <w:rFonts w:asciiTheme="majorHAnsi" w:hAnsiTheme="majorHAnsi"/>
          <w:bCs/>
          <w:sz w:val="20"/>
          <w:szCs w:val="20"/>
          <w:lang w:val="es-ES_tradnl"/>
        </w:rPr>
        <w:t>las graves violaciones a los derechos humanos de las presuntas víctimas</w:t>
      </w:r>
      <w:r w:rsidRPr="00D21AF3">
        <w:rPr>
          <w:rFonts w:asciiTheme="majorHAnsi" w:hAnsiTheme="majorHAnsi"/>
          <w:bCs/>
          <w:sz w:val="20"/>
          <w:szCs w:val="20"/>
          <w:lang w:val="es-ES_tradnl"/>
        </w:rPr>
        <w:t xml:space="preserve"> ocurrid</w:t>
      </w:r>
      <w:r w:rsidR="00F26B27" w:rsidRPr="00D21AF3">
        <w:rPr>
          <w:rFonts w:asciiTheme="majorHAnsi" w:hAnsiTheme="majorHAnsi"/>
          <w:bCs/>
          <w:sz w:val="20"/>
          <w:szCs w:val="20"/>
          <w:lang w:val="es-ES_tradnl"/>
        </w:rPr>
        <w:t>as</w:t>
      </w:r>
      <w:r w:rsidRPr="00D21AF3">
        <w:rPr>
          <w:rFonts w:asciiTheme="majorHAnsi" w:hAnsiTheme="majorHAnsi"/>
          <w:bCs/>
          <w:sz w:val="20"/>
          <w:szCs w:val="20"/>
          <w:lang w:val="es-ES_tradnl"/>
        </w:rPr>
        <w:t xml:space="preserve"> a raíz del conflicto </w:t>
      </w:r>
      <w:r w:rsidR="00E16086" w:rsidRPr="00D21AF3">
        <w:rPr>
          <w:rFonts w:asciiTheme="majorHAnsi" w:hAnsiTheme="majorHAnsi"/>
          <w:bCs/>
          <w:sz w:val="20"/>
          <w:szCs w:val="20"/>
          <w:lang w:val="es-ES_tradnl"/>
        </w:rPr>
        <w:t xml:space="preserve">armado </w:t>
      </w:r>
      <w:r w:rsidRPr="00D21AF3">
        <w:rPr>
          <w:rFonts w:asciiTheme="majorHAnsi" w:hAnsiTheme="majorHAnsi"/>
          <w:bCs/>
          <w:sz w:val="20"/>
          <w:szCs w:val="20"/>
          <w:lang w:val="es-ES_tradnl"/>
        </w:rPr>
        <w:t>interno</w:t>
      </w:r>
      <w:r w:rsidR="00E16086" w:rsidRPr="00D21AF3">
        <w:rPr>
          <w:rFonts w:asciiTheme="majorHAnsi" w:hAnsiTheme="majorHAnsi"/>
          <w:bCs/>
          <w:sz w:val="20"/>
          <w:szCs w:val="20"/>
          <w:lang w:val="es-ES_tradnl"/>
        </w:rPr>
        <w:t xml:space="preserve">; más no se refiere a las violaciones iniciales, las cuales no son objeto de pronunciamiento en el presente informe. </w:t>
      </w:r>
    </w:p>
    <w:p w14:paraId="000498AB" w14:textId="159E64D1" w:rsidR="00863ECE" w:rsidRPr="00D21AF3" w:rsidRDefault="00046DD9" w:rsidP="00046DD9">
      <w:pPr>
        <w:pStyle w:val="ListParagraph"/>
        <w:numPr>
          <w:ilvl w:val="0"/>
          <w:numId w:val="56"/>
        </w:numPr>
        <w:spacing w:before="240"/>
        <w:ind w:left="142" w:firstLine="567"/>
        <w:jc w:val="both"/>
        <w:rPr>
          <w:rFonts w:asciiTheme="majorHAnsi" w:hAnsiTheme="majorHAnsi" w:cs="Calibri"/>
          <w:sz w:val="20"/>
          <w:szCs w:val="20"/>
          <w:lang w:val="es-ES_tradnl"/>
        </w:rPr>
      </w:pPr>
      <w:r w:rsidRPr="00D21AF3">
        <w:rPr>
          <w:rFonts w:asciiTheme="majorHAnsi" w:hAnsiTheme="majorHAnsi" w:cs="Calibri"/>
          <w:sz w:val="20"/>
          <w:szCs w:val="20"/>
          <w:lang w:val="es-ES_tradnl"/>
        </w:rPr>
        <w:t xml:space="preserve">En cuanto </w:t>
      </w:r>
      <w:r w:rsidR="007C7029" w:rsidRPr="00D21AF3">
        <w:rPr>
          <w:rFonts w:asciiTheme="majorHAnsi" w:hAnsiTheme="majorHAnsi" w:cs="Calibri"/>
          <w:sz w:val="20"/>
          <w:szCs w:val="20"/>
          <w:lang w:val="es-ES_tradnl"/>
        </w:rPr>
        <w:t xml:space="preserve">a los alegatos sobre violaciones a los artículos 3, 6, 7, 10, 11, 12, 13, 14, 15, 16, 17 y 19 del Protocolo de San Salvador, </w:t>
      </w:r>
      <w:r w:rsidR="007C7029" w:rsidRPr="00D21AF3">
        <w:rPr>
          <w:rFonts w:asciiTheme="majorHAnsi" w:hAnsiTheme="majorHAnsi"/>
          <w:bCs/>
          <w:sz w:val="20"/>
          <w:szCs w:val="20"/>
          <w:lang w:val="es-ES"/>
        </w:rPr>
        <w:t xml:space="preserve">la Comisión </w:t>
      </w:r>
      <w:r w:rsidR="007C7029" w:rsidRPr="00D21AF3">
        <w:rPr>
          <w:rFonts w:asciiTheme="majorHAnsi" w:hAnsiTheme="majorHAnsi"/>
          <w:bCs/>
          <w:sz w:val="20"/>
          <w:szCs w:val="20"/>
          <w:lang w:val="es-ES_tradnl"/>
        </w:rPr>
        <w:t>nota que la competencia prevista en los términos del artículo 19.6 de dicho tratado para establecer violaciones en el contexto de un caso individual se limita a los artículos 8.1.a y 13. Respecto a los demás artículos, de conformidad con el artículo 29 de la Convención Americana, la Comisión los puede tomar en cuenta para interpretar y aplicar la Convención Americana y otros instrumentos aplicables”</w:t>
      </w:r>
      <w:r w:rsidR="007C7029" w:rsidRPr="00D21AF3">
        <w:rPr>
          <w:rFonts w:asciiTheme="majorHAnsi" w:hAnsiTheme="majorHAnsi"/>
          <w:bCs/>
          <w:sz w:val="20"/>
          <w:szCs w:val="20"/>
          <w:vertAlign w:val="superscript"/>
          <w:lang w:val="es-ES_tradnl"/>
        </w:rPr>
        <w:footnoteReference w:id="34"/>
      </w:r>
      <w:r w:rsidR="007C7029" w:rsidRPr="00D21AF3">
        <w:rPr>
          <w:rFonts w:asciiTheme="majorHAnsi" w:hAnsiTheme="majorHAnsi"/>
          <w:bCs/>
          <w:sz w:val="20"/>
          <w:szCs w:val="20"/>
          <w:lang w:val="es-ES_tradnl"/>
        </w:rPr>
        <w:t>.</w:t>
      </w:r>
      <w:r w:rsidR="007C7029" w:rsidRPr="00D21AF3">
        <w:rPr>
          <w:rFonts w:asciiTheme="majorHAnsi" w:hAnsiTheme="majorHAnsi" w:cs="Calibri"/>
          <w:sz w:val="20"/>
          <w:szCs w:val="20"/>
          <w:lang w:val="es-ES_tradnl"/>
        </w:rPr>
        <w:t xml:space="preserve"> Así, la CIDH tiene competencia respecto de aquellos hechos cuya materialización o efectos se prolongaron con posterioridad a la entrada en vigor para el Estado de este instrumento. En efecto, Guatemala ratificó y depositó el Protocolo de San Salvador el 30 de mayo de 2000 y el 5 de octubre de 2000, respectivamente; por lo que, en la etapa de fondo, la CIDH valorará la aplicación del protocolo de San Salvador debido a aquellos hechos que tienen una naturaleza continuada, a partir de la entrada en vigor del mencionado protocolo</w:t>
      </w:r>
      <w:r w:rsidR="007C7029" w:rsidRPr="00D21AF3">
        <w:rPr>
          <w:rFonts w:asciiTheme="majorHAnsi" w:hAnsiTheme="majorHAnsi"/>
          <w:bCs/>
          <w:sz w:val="20"/>
          <w:szCs w:val="20"/>
          <w:lang w:val="es-ES"/>
        </w:rPr>
        <w:t>, siempre que tales determinaciones jurídicas se refieran a los hechos constitutivos del marco fáctico del presente informe</w:t>
      </w:r>
      <w:r w:rsidR="00CA10AD" w:rsidRPr="00D21AF3">
        <w:rPr>
          <w:rFonts w:asciiTheme="majorHAnsi" w:hAnsiTheme="majorHAnsi" w:cs="Calibri"/>
          <w:sz w:val="20"/>
          <w:szCs w:val="20"/>
          <w:lang w:val="es-ES_tradnl"/>
        </w:rPr>
        <w:t xml:space="preserve">. </w:t>
      </w:r>
    </w:p>
    <w:p w14:paraId="063F19DC" w14:textId="75750D38" w:rsidR="00401745" w:rsidRPr="00D21AF3" w:rsidRDefault="00401745" w:rsidP="007D4AD6">
      <w:pPr>
        <w:pStyle w:val="ListParagraph"/>
        <w:numPr>
          <w:ilvl w:val="0"/>
          <w:numId w:val="56"/>
        </w:numPr>
        <w:spacing w:before="240"/>
        <w:ind w:left="142" w:firstLine="567"/>
        <w:jc w:val="both"/>
        <w:rPr>
          <w:rFonts w:asciiTheme="majorHAnsi" w:hAnsiTheme="majorHAnsi"/>
          <w:bCs/>
          <w:sz w:val="20"/>
          <w:szCs w:val="20"/>
          <w:lang w:val="es-ES_tradnl"/>
        </w:rPr>
      </w:pPr>
      <w:r w:rsidRPr="00D21AF3">
        <w:rPr>
          <w:rFonts w:asciiTheme="majorHAnsi" w:hAnsiTheme="majorHAnsi"/>
          <w:sz w:val="20"/>
          <w:szCs w:val="20"/>
          <w:lang w:val="es-ES_tradnl"/>
        </w:rPr>
        <w:t>En relación con</w:t>
      </w:r>
      <w:r w:rsidR="00D03E6C" w:rsidRPr="00D21AF3">
        <w:rPr>
          <w:rFonts w:asciiTheme="majorHAnsi" w:hAnsiTheme="majorHAnsi"/>
          <w:sz w:val="20"/>
          <w:szCs w:val="20"/>
          <w:lang w:val="es-ES_tradnl"/>
        </w:rPr>
        <w:t xml:space="preserve"> las alegadas violaciones a la Declaración de Derechos del Hombre de las Naciones Unidas</w:t>
      </w:r>
      <w:r w:rsidRPr="00D21AF3">
        <w:rPr>
          <w:rFonts w:asciiTheme="majorHAnsi" w:hAnsiTheme="majorHAnsi"/>
          <w:sz w:val="20"/>
          <w:szCs w:val="20"/>
          <w:lang w:val="es-ES_tradnl"/>
        </w:rPr>
        <w:t xml:space="preserve">, la Comisión carece de competencia para establecer violaciones a las normas de </w:t>
      </w:r>
      <w:r w:rsidR="00D03E6C" w:rsidRPr="00D21AF3">
        <w:rPr>
          <w:rFonts w:asciiTheme="majorHAnsi" w:hAnsiTheme="majorHAnsi"/>
          <w:sz w:val="20"/>
          <w:szCs w:val="20"/>
          <w:lang w:val="es-ES_tradnl"/>
        </w:rPr>
        <w:t>este instrumento</w:t>
      </w:r>
      <w:r w:rsidRPr="00D21AF3">
        <w:rPr>
          <w:rFonts w:asciiTheme="majorHAnsi" w:hAnsiTheme="majorHAnsi"/>
          <w:sz w:val="20"/>
          <w:szCs w:val="20"/>
          <w:lang w:val="es-ES_tradnl"/>
        </w:rPr>
        <w:t>, sin perjuicio de lo cual podrá tomarlo en cuenta como parte de su ejercicio interpretativo de las normas de la Convención Americana en la etapa de fondo del presente caso, en los términos del artículo 29 de la Convención Americana</w:t>
      </w:r>
      <w:r w:rsidRPr="00D21AF3">
        <w:rPr>
          <w:rFonts w:asciiTheme="majorHAnsi" w:hAnsiTheme="majorHAnsi"/>
          <w:sz w:val="20"/>
          <w:szCs w:val="20"/>
          <w:vertAlign w:val="superscript"/>
          <w:lang w:val="es-ES_tradnl"/>
        </w:rPr>
        <w:footnoteReference w:id="35"/>
      </w:r>
      <w:r w:rsidRPr="00D21AF3">
        <w:rPr>
          <w:rFonts w:asciiTheme="majorHAnsi" w:hAnsiTheme="majorHAnsi"/>
          <w:sz w:val="20"/>
          <w:szCs w:val="20"/>
          <w:lang w:val="es-ES_tradnl"/>
        </w:rPr>
        <w:t>.</w:t>
      </w:r>
    </w:p>
    <w:p w14:paraId="445BF42E" w14:textId="77777777" w:rsidR="003239B8" w:rsidRPr="00D21AF3" w:rsidRDefault="003239B8" w:rsidP="007D4AD6">
      <w:pPr>
        <w:pStyle w:val="ListParagraph"/>
        <w:spacing w:before="240" w:after="240"/>
        <w:jc w:val="both"/>
        <w:rPr>
          <w:rFonts w:asciiTheme="majorHAnsi" w:hAnsiTheme="majorHAnsi"/>
          <w:b/>
          <w:bCs/>
          <w:sz w:val="20"/>
          <w:szCs w:val="20"/>
          <w:lang w:val="es-ES_tradnl"/>
        </w:rPr>
      </w:pPr>
      <w:r w:rsidRPr="00D21AF3">
        <w:rPr>
          <w:rFonts w:asciiTheme="majorHAnsi" w:hAnsiTheme="majorHAnsi"/>
          <w:b/>
          <w:bCs/>
          <w:sz w:val="20"/>
          <w:szCs w:val="20"/>
          <w:lang w:val="es-ES_tradnl"/>
        </w:rPr>
        <w:t xml:space="preserve">VIII. </w:t>
      </w:r>
      <w:r w:rsidRPr="00D21AF3">
        <w:rPr>
          <w:rFonts w:asciiTheme="majorHAnsi" w:hAnsiTheme="majorHAnsi"/>
          <w:b/>
          <w:bCs/>
          <w:sz w:val="20"/>
          <w:szCs w:val="20"/>
          <w:lang w:val="es-ES_tradnl"/>
        </w:rPr>
        <w:tab/>
        <w:t>DECISIÓN</w:t>
      </w:r>
    </w:p>
    <w:p w14:paraId="1517B660" w14:textId="471FCB5E" w:rsidR="003A6268" w:rsidRPr="00D21AF3" w:rsidRDefault="003239B8" w:rsidP="007D4A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1AF3">
        <w:rPr>
          <w:rFonts w:asciiTheme="majorHAnsi" w:hAnsiTheme="majorHAnsi"/>
          <w:sz w:val="20"/>
          <w:szCs w:val="20"/>
          <w:lang w:val="es-ES_tradnl"/>
        </w:rPr>
        <w:t>Declarar admisible la presente petición en relación con</w:t>
      </w:r>
      <w:r w:rsidR="001D7F96" w:rsidRPr="00D21AF3">
        <w:rPr>
          <w:rFonts w:asciiTheme="majorHAnsi" w:hAnsiTheme="majorHAnsi"/>
          <w:sz w:val="20"/>
          <w:szCs w:val="20"/>
          <w:lang w:val="es-ES_tradnl"/>
        </w:rPr>
        <w:t xml:space="preserve"> </w:t>
      </w:r>
      <w:r w:rsidR="003A6268" w:rsidRPr="00D21AF3">
        <w:rPr>
          <w:rFonts w:asciiTheme="majorHAnsi" w:hAnsiTheme="majorHAnsi"/>
          <w:sz w:val="20"/>
          <w:szCs w:val="20"/>
          <w:lang w:val="es-ES_tradnl"/>
        </w:rPr>
        <w:t>los artículos</w:t>
      </w:r>
      <w:r w:rsidR="007B0A06" w:rsidRPr="00D21AF3">
        <w:rPr>
          <w:rFonts w:asciiTheme="majorHAnsi" w:hAnsiTheme="majorHAnsi"/>
          <w:sz w:val="20"/>
          <w:szCs w:val="20"/>
          <w:lang w:val="es-ES_tradnl"/>
        </w:rPr>
        <w:t xml:space="preserve"> </w:t>
      </w:r>
      <w:r w:rsidR="00672468" w:rsidRPr="00D21AF3">
        <w:rPr>
          <w:rFonts w:asciiTheme="majorHAnsi" w:hAnsiTheme="majorHAnsi"/>
          <w:sz w:val="20"/>
          <w:szCs w:val="20"/>
          <w:lang w:val="es-ES_tradnl"/>
        </w:rPr>
        <w:t>5, 8,</w:t>
      </w:r>
      <w:r w:rsidR="00572AB1" w:rsidRPr="00D21AF3">
        <w:rPr>
          <w:rFonts w:asciiTheme="majorHAnsi" w:hAnsiTheme="majorHAnsi"/>
          <w:sz w:val="20"/>
          <w:szCs w:val="20"/>
          <w:lang w:val="es-ES_tradnl"/>
        </w:rPr>
        <w:t xml:space="preserve"> 24</w:t>
      </w:r>
      <w:r w:rsidR="00330C45" w:rsidRPr="00D21AF3">
        <w:rPr>
          <w:rFonts w:asciiTheme="majorHAnsi" w:hAnsiTheme="majorHAnsi"/>
          <w:sz w:val="20"/>
          <w:szCs w:val="20"/>
          <w:lang w:val="es-ES_tradnl"/>
        </w:rPr>
        <w:t>,</w:t>
      </w:r>
      <w:r w:rsidR="00672468" w:rsidRPr="00D21AF3">
        <w:rPr>
          <w:rFonts w:asciiTheme="majorHAnsi" w:hAnsiTheme="majorHAnsi"/>
          <w:sz w:val="20"/>
          <w:szCs w:val="20"/>
          <w:lang w:val="es-ES_tradnl"/>
        </w:rPr>
        <w:t xml:space="preserve"> </w:t>
      </w:r>
      <w:r w:rsidR="00F75CC5" w:rsidRPr="00D21AF3">
        <w:rPr>
          <w:rFonts w:asciiTheme="majorHAnsi" w:hAnsiTheme="majorHAnsi"/>
          <w:sz w:val="20"/>
          <w:szCs w:val="20"/>
          <w:lang w:val="es-ES_tradnl"/>
        </w:rPr>
        <w:t>y 25</w:t>
      </w:r>
      <w:r w:rsidR="00330C45" w:rsidRPr="00D21AF3">
        <w:rPr>
          <w:rFonts w:asciiTheme="majorHAnsi" w:hAnsiTheme="majorHAnsi"/>
          <w:sz w:val="20"/>
          <w:szCs w:val="20"/>
          <w:lang w:val="es-ES_tradnl"/>
        </w:rPr>
        <w:t xml:space="preserve"> </w:t>
      </w:r>
      <w:r w:rsidR="00940DEB" w:rsidRPr="00D21AF3">
        <w:rPr>
          <w:rFonts w:asciiTheme="majorHAnsi" w:hAnsiTheme="majorHAnsi"/>
          <w:sz w:val="20"/>
          <w:szCs w:val="20"/>
          <w:lang w:val="es-ES_tradnl"/>
        </w:rPr>
        <w:t xml:space="preserve">de la Convención Americana, </w:t>
      </w:r>
      <w:r w:rsidR="00450066" w:rsidRPr="00D21AF3">
        <w:rPr>
          <w:rFonts w:asciiTheme="majorHAnsi" w:hAnsiTheme="majorHAnsi"/>
          <w:sz w:val="20"/>
          <w:szCs w:val="20"/>
          <w:lang w:val="es-ES_tradnl"/>
        </w:rPr>
        <w:t>en relación con el artículo 1</w:t>
      </w:r>
      <w:r w:rsidR="00493BC9" w:rsidRPr="00D21AF3">
        <w:rPr>
          <w:rFonts w:asciiTheme="majorHAnsi" w:hAnsiTheme="majorHAnsi"/>
          <w:sz w:val="20"/>
          <w:szCs w:val="20"/>
          <w:lang w:val="es-ES_tradnl"/>
        </w:rPr>
        <w:t>.1</w:t>
      </w:r>
      <w:r w:rsidR="00F26B27" w:rsidRPr="00D21AF3">
        <w:rPr>
          <w:rFonts w:asciiTheme="majorHAnsi" w:hAnsiTheme="majorHAnsi"/>
          <w:sz w:val="20"/>
          <w:szCs w:val="20"/>
          <w:lang w:val="es-ES_tradnl"/>
        </w:rPr>
        <w:t xml:space="preserve"> y 2</w:t>
      </w:r>
      <w:r w:rsidR="00940DEB" w:rsidRPr="00D21AF3">
        <w:rPr>
          <w:rFonts w:asciiTheme="majorHAnsi" w:hAnsiTheme="majorHAnsi"/>
          <w:sz w:val="20"/>
          <w:szCs w:val="20"/>
          <w:lang w:val="es-ES_tradnl"/>
        </w:rPr>
        <w:t xml:space="preserve"> de dicho instrumento</w:t>
      </w:r>
      <w:r w:rsidR="00A758AA" w:rsidRPr="00D21AF3">
        <w:rPr>
          <w:rFonts w:asciiTheme="majorHAnsi" w:hAnsiTheme="majorHAnsi"/>
          <w:sz w:val="20"/>
          <w:szCs w:val="20"/>
          <w:lang w:val="es-ES_tradnl"/>
        </w:rPr>
        <w:t>;</w:t>
      </w:r>
      <w:r w:rsidR="007B76D3" w:rsidRPr="00D21AF3">
        <w:rPr>
          <w:rFonts w:asciiTheme="majorHAnsi" w:hAnsiTheme="majorHAnsi"/>
          <w:sz w:val="20"/>
          <w:szCs w:val="20"/>
          <w:lang w:val="es-ES_tradnl"/>
        </w:rPr>
        <w:t xml:space="preserve"> </w:t>
      </w:r>
      <w:r w:rsidR="00480462">
        <w:rPr>
          <w:rFonts w:asciiTheme="majorHAnsi" w:hAnsiTheme="majorHAnsi"/>
          <w:sz w:val="20"/>
          <w:szCs w:val="20"/>
          <w:lang w:val="es-ES_tradnl"/>
        </w:rPr>
        <w:t>y</w:t>
      </w:r>
    </w:p>
    <w:p w14:paraId="38597C72" w14:textId="78FB1A42" w:rsidR="00480462" w:rsidRPr="00914D42" w:rsidRDefault="004A6A54" w:rsidP="004804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1AF3">
        <w:rPr>
          <w:rFonts w:asciiTheme="majorHAnsi" w:hAnsiTheme="majorHAnsi"/>
          <w:sz w:val="20"/>
          <w:szCs w:val="20"/>
          <w:lang w:val="es-ES_tradnl"/>
        </w:rPr>
        <w:t>Notificar a las partes la presente decisión; continuar con el análisis del fondo de la cuestión</w:t>
      </w:r>
      <w:r w:rsidR="00394073" w:rsidRPr="00D21AF3">
        <w:rPr>
          <w:rFonts w:asciiTheme="majorHAnsi" w:hAnsiTheme="majorHAnsi"/>
          <w:sz w:val="20"/>
          <w:szCs w:val="20"/>
          <w:lang w:val="es-ES_tradnl"/>
        </w:rPr>
        <w:t xml:space="preserve"> </w:t>
      </w:r>
      <w:r w:rsidRPr="00D21AF3">
        <w:rPr>
          <w:rFonts w:asciiTheme="majorHAnsi" w:hAnsiTheme="majorHAnsi"/>
          <w:sz w:val="20"/>
          <w:szCs w:val="20"/>
          <w:lang w:val="es-ES_tradnl"/>
        </w:rPr>
        <w:t>y publicar esta decisión e incluirla en su Informe Anual a la Asamblea General de la Organización de los Estados Americanos.</w:t>
      </w:r>
    </w:p>
    <w:p w14:paraId="394FFD83" w14:textId="000941D3" w:rsidR="00480462" w:rsidRPr="00914D42" w:rsidRDefault="00D24580" w:rsidP="00914D4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30 días del mes de mayo de 2023.  (Firmado): Esmeralda Arosemena de Troitiño, Primer</w:t>
      </w:r>
      <w:r w:rsidR="00914D4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914D4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Carlos Bernal Pulido, </w:t>
      </w:r>
      <w:r w:rsidR="00914D4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480462" w:rsidRPr="00914D4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0A50" w14:textId="77777777" w:rsidR="00C55AFB" w:rsidRDefault="00C55AFB">
      <w:r>
        <w:separator/>
      </w:r>
    </w:p>
  </w:endnote>
  <w:endnote w:type="continuationSeparator" w:id="0">
    <w:p w14:paraId="069C0FD0" w14:textId="77777777" w:rsidR="00C55AFB" w:rsidRDefault="00C5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406E" w14:textId="77777777" w:rsidR="00C55AFB" w:rsidRPr="000F35ED" w:rsidRDefault="00C55A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07D275" w14:textId="77777777" w:rsidR="00C55AFB" w:rsidRPr="000F35ED" w:rsidRDefault="00C55AFB" w:rsidP="000F35ED">
      <w:pPr>
        <w:rPr>
          <w:rFonts w:asciiTheme="majorHAnsi" w:hAnsiTheme="majorHAnsi"/>
          <w:sz w:val="16"/>
          <w:szCs w:val="16"/>
        </w:rPr>
      </w:pPr>
      <w:r w:rsidRPr="000F35ED">
        <w:rPr>
          <w:rFonts w:asciiTheme="majorHAnsi" w:hAnsiTheme="majorHAnsi"/>
          <w:sz w:val="16"/>
          <w:szCs w:val="16"/>
        </w:rPr>
        <w:separator/>
      </w:r>
    </w:p>
    <w:p w14:paraId="1121C513" w14:textId="77777777" w:rsidR="00C55AFB" w:rsidRPr="000F35ED" w:rsidRDefault="00C55A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EE55E4" w14:textId="77777777" w:rsidR="00C55AFB" w:rsidRPr="000F35ED" w:rsidRDefault="00C55A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803C369" w14:textId="759959EF" w:rsidR="00B365D1" w:rsidRPr="00B365D1" w:rsidRDefault="00B365D1" w:rsidP="00B365D1">
      <w:pPr>
        <w:pStyle w:val="FootnoteText"/>
        <w:ind w:firstLine="709"/>
        <w:rPr>
          <w:rFonts w:ascii="Cambria" w:hAnsi="Cambria"/>
          <w:sz w:val="16"/>
          <w:szCs w:val="16"/>
          <w:lang w:val="es-ES"/>
        </w:rPr>
      </w:pPr>
      <w:r w:rsidRPr="00CC22F0">
        <w:rPr>
          <w:rStyle w:val="FootnoteReference"/>
          <w:rFonts w:ascii="Cambria" w:hAnsi="Cambria"/>
          <w:sz w:val="16"/>
          <w:szCs w:val="16"/>
        </w:rPr>
        <w:footnoteRef/>
      </w:r>
      <w:r w:rsidRPr="00CC22F0">
        <w:rPr>
          <w:rFonts w:ascii="Cambria" w:hAnsi="Cambria"/>
          <w:sz w:val="16"/>
          <w:szCs w:val="16"/>
          <w:lang w:val="es-ES"/>
        </w:rPr>
        <w:t xml:space="preserve"> La parte peticionaria envía un censo de</w:t>
      </w:r>
      <w:r w:rsidR="00087602">
        <w:rPr>
          <w:rFonts w:ascii="Cambria" w:hAnsi="Cambria"/>
          <w:sz w:val="16"/>
          <w:szCs w:val="16"/>
          <w:lang w:val="es-ES"/>
        </w:rPr>
        <w:t xml:space="preserve"> 275 familias con alrededor de</w:t>
      </w:r>
      <w:r w:rsidRPr="00CC22F0">
        <w:rPr>
          <w:rFonts w:ascii="Cambria" w:hAnsi="Cambria"/>
          <w:sz w:val="16"/>
          <w:szCs w:val="16"/>
          <w:lang w:val="es-ES"/>
        </w:rPr>
        <w:t xml:space="preserve"> 1,401 personas, habitantes de la comunidad </w:t>
      </w:r>
      <w:r w:rsidR="00CC22F0" w:rsidRPr="00CC22F0">
        <w:rPr>
          <w:rFonts w:ascii="Cambria" w:hAnsi="Cambria"/>
          <w:i/>
          <w:iCs/>
          <w:sz w:val="16"/>
          <w:szCs w:val="16"/>
          <w:lang w:val="es-ES"/>
        </w:rPr>
        <w:t>E</w:t>
      </w:r>
      <w:r w:rsidRPr="00CC22F0">
        <w:rPr>
          <w:rFonts w:ascii="Cambria" w:hAnsi="Cambria"/>
          <w:i/>
          <w:iCs/>
          <w:sz w:val="16"/>
          <w:szCs w:val="16"/>
          <w:lang w:val="es-ES"/>
        </w:rPr>
        <w:t>l Triunfo</w:t>
      </w:r>
      <w:r w:rsidRPr="00CC22F0">
        <w:rPr>
          <w:rFonts w:ascii="Cambria" w:hAnsi="Cambria"/>
          <w:sz w:val="16"/>
          <w:szCs w:val="16"/>
          <w:lang w:val="es-ES"/>
        </w:rPr>
        <w:t>.</w:t>
      </w:r>
    </w:p>
  </w:footnote>
  <w:footnote w:id="3">
    <w:p w14:paraId="7443EF75" w14:textId="78D5CEB9" w:rsidR="0017681E" w:rsidRPr="0017681E" w:rsidRDefault="0017681E" w:rsidP="0017681E">
      <w:pPr>
        <w:pStyle w:val="FootnoteText"/>
        <w:ind w:firstLine="709"/>
        <w:jc w:val="both"/>
        <w:rPr>
          <w:rFonts w:asciiTheme="majorHAnsi" w:hAnsiTheme="majorHAnsi"/>
          <w:sz w:val="16"/>
          <w:szCs w:val="16"/>
          <w:lang w:val="es-ES_tradnl"/>
        </w:rPr>
      </w:pPr>
      <w:r w:rsidRPr="0017681E">
        <w:rPr>
          <w:rStyle w:val="FootnoteReference"/>
          <w:rFonts w:asciiTheme="majorHAnsi" w:hAnsiTheme="majorHAnsi"/>
          <w:sz w:val="16"/>
          <w:szCs w:val="16"/>
        </w:rPr>
        <w:footnoteRef/>
      </w:r>
      <w:r w:rsidRPr="0017681E">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4">
    <w:p w14:paraId="5680E637" w14:textId="77777777" w:rsidR="00383298" w:rsidRPr="006E49D3" w:rsidRDefault="00383298" w:rsidP="00383298">
      <w:pPr>
        <w:pStyle w:val="FootnoteText"/>
        <w:ind w:firstLine="720"/>
        <w:jc w:val="both"/>
        <w:rPr>
          <w:rFonts w:asciiTheme="majorHAnsi" w:hAnsiTheme="majorHAnsi"/>
          <w:sz w:val="16"/>
          <w:szCs w:val="16"/>
          <w:lang w:val="es-CO"/>
        </w:rPr>
      </w:pPr>
      <w:r w:rsidRPr="006E49D3">
        <w:rPr>
          <w:rStyle w:val="FootnoteReference"/>
          <w:rFonts w:asciiTheme="majorHAnsi" w:hAnsiTheme="majorHAnsi"/>
          <w:sz w:val="16"/>
          <w:szCs w:val="16"/>
        </w:rPr>
        <w:footnoteRef/>
      </w:r>
      <w:r w:rsidRPr="006E49D3">
        <w:rPr>
          <w:rFonts w:asciiTheme="majorHAnsi" w:hAnsiTheme="majorHAnsi"/>
          <w:sz w:val="16"/>
          <w:szCs w:val="16"/>
          <w:lang w:val="es-CO"/>
        </w:rPr>
        <w:t xml:space="preserve"> En adelante, “la Convención Americana” o “la Convención”.</w:t>
      </w:r>
    </w:p>
  </w:footnote>
  <w:footnote w:id="5">
    <w:p w14:paraId="1AFEF3B0" w14:textId="269FCD1B"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450066">
        <w:rPr>
          <w:rFonts w:asciiTheme="majorHAnsi" w:hAnsiTheme="majorHAnsi"/>
          <w:sz w:val="16"/>
          <w:szCs w:val="16"/>
          <w:lang w:val="es-ES"/>
        </w:rPr>
        <w:t>Las observaciones de cada parte fueron debidamente trasladadas a la parte contraria.</w:t>
      </w:r>
      <w:r w:rsidR="009A56CE" w:rsidRPr="00450066">
        <w:rPr>
          <w:rFonts w:asciiTheme="majorHAnsi" w:hAnsiTheme="majorHAnsi"/>
          <w:sz w:val="16"/>
          <w:szCs w:val="16"/>
          <w:lang w:val="es-ES"/>
        </w:rPr>
        <w:t xml:space="preserve"> </w:t>
      </w:r>
    </w:p>
  </w:footnote>
  <w:footnote w:id="6">
    <w:p w14:paraId="5825C0CA" w14:textId="77777777" w:rsidR="002753F4" w:rsidRPr="00306F33" w:rsidRDefault="002753F4" w:rsidP="002753F4">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Pr>
          <w:rFonts w:asciiTheme="majorHAnsi" w:hAnsiTheme="majorHAnsi"/>
          <w:sz w:val="16"/>
          <w:szCs w:val="16"/>
          <w:lang w:val="es-ES"/>
        </w:rPr>
        <w:t xml:space="preserve"> </w:t>
      </w:r>
      <w:r w:rsidRPr="0085122C">
        <w:rPr>
          <w:rFonts w:asciiTheme="majorHAnsi" w:hAnsiTheme="majorHAnsi"/>
          <w:sz w:val="16"/>
          <w:szCs w:val="16"/>
          <w:lang w:val="es-ES"/>
        </w:rPr>
        <w:t xml:space="preserve">El </w:t>
      </w:r>
      <w:r>
        <w:rPr>
          <w:rFonts w:asciiTheme="majorHAnsi" w:hAnsiTheme="majorHAnsi"/>
          <w:sz w:val="16"/>
          <w:szCs w:val="16"/>
          <w:lang w:val="es-ES"/>
        </w:rPr>
        <w:t>13 de abril de 2017</w:t>
      </w:r>
      <w:r w:rsidRPr="0085122C">
        <w:rPr>
          <w:rFonts w:asciiTheme="majorHAnsi" w:hAnsiTheme="majorHAnsi"/>
          <w:sz w:val="16"/>
          <w:szCs w:val="16"/>
          <w:lang w:val="es-ES"/>
        </w:rPr>
        <w:t xml:space="preserve"> la CIDH mandó comunicación por correo electrónico a la parte peticionaria para saber si continuaba el interés de </w:t>
      </w:r>
      <w:r>
        <w:rPr>
          <w:rFonts w:asciiTheme="majorHAnsi" w:hAnsiTheme="majorHAnsi"/>
          <w:sz w:val="16"/>
          <w:szCs w:val="16"/>
          <w:lang w:val="es-ES"/>
        </w:rPr>
        <w:t>tramitar</w:t>
      </w:r>
      <w:r w:rsidRPr="0085122C">
        <w:rPr>
          <w:rFonts w:asciiTheme="majorHAnsi" w:hAnsiTheme="majorHAnsi"/>
          <w:sz w:val="16"/>
          <w:szCs w:val="16"/>
          <w:lang w:val="es-ES"/>
        </w:rPr>
        <w:t xml:space="preserve"> la presente petición</w:t>
      </w:r>
      <w:r>
        <w:rPr>
          <w:rFonts w:asciiTheme="majorHAnsi" w:hAnsiTheme="majorHAnsi"/>
          <w:sz w:val="16"/>
          <w:szCs w:val="16"/>
          <w:lang w:val="es-ES"/>
        </w:rPr>
        <w:t xml:space="preserve">. </w:t>
      </w:r>
      <w:r w:rsidRPr="002753F4">
        <w:rPr>
          <w:rFonts w:asciiTheme="majorHAnsi" w:hAnsiTheme="majorHAnsi"/>
          <w:sz w:val="16"/>
          <w:szCs w:val="16"/>
          <w:lang w:val="es-ES"/>
        </w:rPr>
        <w:t>Consecuentemente, el 12 de junio de 2017 la parte peticionaria manifestó su interés de continuar con la petición y envió información adicional respecto a esta y otras peticiones</w:t>
      </w:r>
      <w:r w:rsidRPr="0085122C">
        <w:rPr>
          <w:rFonts w:asciiTheme="majorHAnsi" w:hAnsiTheme="majorHAnsi"/>
          <w:sz w:val="16"/>
          <w:szCs w:val="16"/>
          <w:lang w:val="es-ES"/>
        </w:rPr>
        <w:t>.</w:t>
      </w:r>
    </w:p>
  </w:footnote>
  <w:footnote w:id="7">
    <w:p w14:paraId="18D96833" w14:textId="0BD91595" w:rsidR="00DE70FF" w:rsidRPr="00DE70FF" w:rsidRDefault="00DE70FF" w:rsidP="00DE70FF">
      <w:pPr>
        <w:pStyle w:val="FootnoteText"/>
        <w:ind w:firstLine="709"/>
        <w:rPr>
          <w:rFonts w:ascii="Cambria" w:hAnsi="Cambria"/>
          <w:sz w:val="16"/>
          <w:szCs w:val="16"/>
          <w:lang w:val="es-ES"/>
        </w:rPr>
      </w:pPr>
      <w:r w:rsidRPr="00DE70FF">
        <w:rPr>
          <w:rStyle w:val="FootnoteReference"/>
          <w:rFonts w:ascii="Cambria" w:hAnsi="Cambria"/>
          <w:sz w:val="16"/>
          <w:szCs w:val="16"/>
        </w:rPr>
        <w:footnoteRef/>
      </w:r>
      <w:r w:rsidRPr="00DE70FF">
        <w:rPr>
          <w:rFonts w:ascii="Cambria" w:hAnsi="Cambria"/>
          <w:sz w:val="16"/>
          <w:szCs w:val="16"/>
          <w:lang w:val="es-ES"/>
        </w:rPr>
        <w:t xml:space="preserve"> La CIDH reiteró al Estado la solicitud de información el </w:t>
      </w:r>
      <w:r w:rsidRPr="00DE70FF">
        <w:rPr>
          <w:rFonts w:ascii="Cambria" w:hAnsi="Cambria"/>
          <w:bCs/>
          <w:sz w:val="16"/>
          <w:szCs w:val="16"/>
          <w:lang w:val="es-ES_tradnl"/>
        </w:rPr>
        <w:t>2 de agosto de 2018</w:t>
      </w:r>
      <w:r>
        <w:rPr>
          <w:rFonts w:ascii="Cambria" w:hAnsi="Cambria"/>
          <w:bCs/>
          <w:sz w:val="16"/>
          <w:szCs w:val="16"/>
          <w:lang w:val="es-ES_tradnl"/>
        </w:rPr>
        <w:t xml:space="preserve"> y el 16 de febrero de 2021. </w:t>
      </w:r>
    </w:p>
  </w:footnote>
  <w:footnote w:id="8">
    <w:p w14:paraId="6B56304C" w14:textId="62FA8E0B" w:rsidR="00DE70FF" w:rsidRPr="00DE70FF" w:rsidRDefault="00DE70FF" w:rsidP="00DE70FF">
      <w:pPr>
        <w:pStyle w:val="FootnoteText"/>
        <w:ind w:firstLine="709"/>
        <w:rPr>
          <w:rFonts w:ascii="Cambria" w:hAnsi="Cambria"/>
          <w:sz w:val="16"/>
          <w:szCs w:val="16"/>
          <w:lang w:val="es-ES"/>
        </w:rPr>
      </w:pPr>
      <w:r w:rsidRPr="00DE70FF">
        <w:rPr>
          <w:rStyle w:val="FootnoteReference"/>
          <w:rFonts w:ascii="Cambria" w:hAnsi="Cambria"/>
          <w:sz w:val="16"/>
          <w:szCs w:val="16"/>
        </w:rPr>
        <w:footnoteRef/>
      </w:r>
      <w:r w:rsidRPr="00DE70FF">
        <w:rPr>
          <w:rFonts w:ascii="Cambria" w:hAnsi="Cambria"/>
          <w:sz w:val="16"/>
          <w:szCs w:val="16"/>
          <w:lang w:val="es-ES"/>
        </w:rPr>
        <w:t xml:space="preserve"> En dicha comunicación los peticionarios manifiestan su interés de continuar con el estudio de la petición.</w:t>
      </w:r>
    </w:p>
  </w:footnote>
  <w:footnote w:id="9">
    <w:p w14:paraId="4806C839" w14:textId="4E1E19AA" w:rsidR="00B649C4" w:rsidRPr="00B235A3" w:rsidRDefault="00B649C4" w:rsidP="00315A2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Cambria" w:hAnsi="Cambria"/>
          <w:sz w:val="16"/>
          <w:szCs w:val="16"/>
          <w:lang w:val="es-ES_tradnl"/>
        </w:rPr>
      </w:pPr>
      <w:r w:rsidRPr="00B235A3">
        <w:rPr>
          <w:rStyle w:val="FootnoteReference"/>
          <w:rFonts w:ascii="Cambria" w:hAnsi="Cambria"/>
          <w:sz w:val="16"/>
          <w:szCs w:val="16"/>
        </w:rPr>
        <w:footnoteRef/>
      </w:r>
      <w:r w:rsidRPr="00B235A3">
        <w:rPr>
          <w:rFonts w:ascii="Cambria" w:hAnsi="Cambria"/>
          <w:sz w:val="16"/>
          <w:szCs w:val="16"/>
          <w:lang w:val="es-ES"/>
        </w:rPr>
        <w:t xml:space="preserve"> </w:t>
      </w:r>
      <w:r w:rsidR="00315A2A" w:rsidRPr="00B235A3">
        <w:rPr>
          <w:rFonts w:ascii="Cambria" w:hAnsi="Cambria"/>
          <w:sz w:val="16"/>
          <w:szCs w:val="16"/>
          <w:lang w:val="es-ES_tradnl"/>
        </w:rPr>
        <w:t xml:space="preserve">En la etapa de fondo, la CIDH valorará la aplicación del Protocolo de San Salvador en cuanto a las violaciones con carácter continuado o con efectos prolongados, con posterioridad a la entrada en vigor para Guatemala de dicho protocolo. </w:t>
      </w:r>
    </w:p>
  </w:footnote>
  <w:footnote w:id="10">
    <w:p w14:paraId="2E10A1EC" w14:textId="39BDAE55" w:rsidR="001A01C1" w:rsidRPr="002243B7" w:rsidRDefault="001A01C1" w:rsidP="00315A2A">
      <w:pPr>
        <w:ind w:firstLine="709"/>
        <w:jc w:val="both"/>
        <w:rPr>
          <w:rFonts w:ascii="Cambria" w:hAnsi="Cambria"/>
          <w:sz w:val="16"/>
          <w:szCs w:val="16"/>
          <w:lang w:val="es-ES_tradnl"/>
        </w:rPr>
      </w:pPr>
      <w:r w:rsidRPr="00A76756">
        <w:rPr>
          <w:rStyle w:val="FootnoteReference"/>
          <w:rFonts w:ascii="Cambria" w:hAnsi="Cambria"/>
          <w:sz w:val="16"/>
          <w:szCs w:val="16"/>
        </w:rPr>
        <w:footnoteRef/>
      </w:r>
      <w:r w:rsidRPr="00A76756">
        <w:rPr>
          <w:rFonts w:ascii="Cambria" w:hAnsi="Cambria"/>
          <w:sz w:val="16"/>
          <w:szCs w:val="16"/>
          <w:lang w:val="es-ES"/>
        </w:rPr>
        <w:t xml:space="preserve"> </w:t>
      </w:r>
      <w:r w:rsidR="00B62B90">
        <w:rPr>
          <w:rFonts w:ascii="Cambria" w:hAnsi="Cambria"/>
          <w:sz w:val="16"/>
          <w:szCs w:val="16"/>
          <w:lang w:val="es-ES_tradnl"/>
        </w:rPr>
        <w:t>Informa</w:t>
      </w:r>
      <w:r w:rsidRPr="00A76756">
        <w:rPr>
          <w:rFonts w:ascii="Cambria" w:hAnsi="Cambria"/>
          <w:sz w:val="16"/>
          <w:szCs w:val="16"/>
          <w:lang w:val="es-ES_tradnl"/>
        </w:rPr>
        <w:t xml:space="preserve"> que vivían en los </w:t>
      </w:r>
      <w:r w:rsidR="00A76756">
        <w:rPr>
          <w:rFonts w:ascii="Cambria" w:hAnsi="Cambria"/>
          <w:sz w:val="16"/>
          <w:szCs w:val="16"/>
          <w:lang w:val="es-ES_tradnl"/>
        </w:rPr>
        <w:t xml:space="preserve">siguientes </w:t>
      </w:r>
      <w:r w:rsidRPr="00A76756">
        <w:rPr>
          <w:rFonts w:ascii="Cambria" w:hAnsi="Cambria"/>
          <w:sz w:val="16"/>
          <w:szCs w:val="16"/>
          <w:lang w:val="es-ES_tradnl"/>
        </w:rPr>
        <w:t xml:space="preserve">municipios y </w:t>
      </w:r>
      <w:r w:rsidR="00A76756">
        <w:rPr>
          <w:rFonts w:ascii="Cambria" w:hAnsi="Cambria"/>
          <w:sz w:val="16"/>
          <w:szCs w:val="16"/>
          <w:lang w:val="es-ES_tradnl"/>
        </w:rPr>
        <w:t>aldeas</w:t>
      </w:r>
      <w:r w:rsidRPr="00A76756">
        <w:rPr>
          <w:rFonts w:ascii="Cambria" w:hAnsi="Cambria"/>
          <w:sz w:val="16"/>
          <w:szCs w:val="16"/>
          <w:lang w:val="es-ES_tradnl"/>
        </w:rPr>
        <w:t xml:space="preserve">: </w:t>
      </w:r>
      <w:r w:rsidRPr="00A76756">
        <w:rPr>
          <w:rFonts w:ascii="Cambria" w:hAnsi="Cambria"/>
          <w:b/>
          <w:bCs/>
          <w:sz w:val="16"/>
          <w:szCs w:val="16"/>
          <w:lang w:val="es-ES_tradnl"/>
        </w:rPr>
        <w:t>Chajul:</w:t>
      </w:r>
      <w:r w:rsidRPr="00A76756">
        <w:rPr>
          <w:rFonts w:ascii="Cambria" w:hAnsi="Cambria"/>
          <w:sz w:val="16"/>
          <w:szCs w:val="16"/>
          <w:lang w:val="es-ES_tradnl"/>
        </w:rPr>
        <w:t xml:space="preserve"> Estrella Polar, Xeputul, Santa Clara, Santa Marta, Santa Rosa, Cabá, Xax Maxan, Xix, Amackchel, Chel.</w:t>
      </w:r>
      <w:r w:rsidR="00A76756">
        <w:rPr>
          <w:rFonts w:ascii="Cambria" w:hAnsi="Cambria"/>
          <w:sz w:val="16"/>
          <w:szCs w:val="16"/>
          <w:lang w:val="es-ES_tradnl"/>
        </w:rPr>
        <w:t xml:space="preserve"> </w:t>
      </w:r>
      <w:r w:rsidRPr="00A76756">
        <w:rPr>
          <w:rFonts w:ascii="Cambria" w:hAnsi="Cambria"/>
          <w:b/>
          <w:bCs/>
          <w:sz w:val="16"/>
          <w:szCs w:val="16"/>
          <w:lang w:val="es-ES_tradnl"/>
        </w:rPr>
        <w:t>Nebaj:</w:t>
      </w:r>
      <w:r w:rsidRPr="00A76756">
        <w:rPr>
          <w:rFonts w:ascii="Cambria" w:hAnsi="Cambria"/>
          <w:sz w:val="16"/>
          <w:szCs w:val="16"/>
          <w:lang w:val="es-ES_tradnl"/>
        </w:rPr>
        <w:t xml:space="preserve"> Xeucalvitz,Batzuchil, Xepulm, Xecax, Chavuk, La Pista, Xexocom, Cocop, Chortiz, Sajsiban, Ixtupil, Basumal, Vicampana Vitz, Bicotz, Vijalbinte, Xonca, Acul, Palop, Sumal Grande, Salquil Grande, Salquilito, Vicalama, Vijolom, Chuatuj, Tzalbal, Xejalbinte, Paramos, Río Azul y Pexla. </w:t>
      </w:r>
      <w:r w:rsidRPr="00A76756">
        <w:rPr>
          <w:rFonts w:ascii="Cambria" w:hAnsi="Cambria"/>
          <w:b/>
          <w:bCs/>
          <w:sz w:val="16"/>
          <w:szCs w:val="16"/>
          <w:lang w:val="es-ES_tradnl"/>
        </w:rPr>
        <w:t>Cotzal:</w:t>
      </w:r>
      <w:r w:rsidRPr="00A76756">
        <w:rPr>
          <w:rFonts w:ascii="Cambria" w:hAnsi="Cambria"/>
          <w:sz w:val="16"/>
          <w:szCs w:val="16"/>
          <w:lang w:val="es-ES_tradnl"/>
        </w:rPr>
        <w:t xml:space="preserve"> Chisis</w:t>
      </w:r>
      <w:r w:rsidR="00A76756">
        <w:rPr>
          <w:rFonts w:ascii="Cambria" w:hAnsi="Cambria"/>
          <w:sz w:val="16"/>
          <w:szCs w:val="16"/>
          <w:lang w:val="es-ES_tradnl"/>
        </w:rPr>
        <w:t xml:space="preserve">. </w:t>
      </w:r>
      <w:r w:rsidRPr="00A76756">
        <w:rPr>
          <w:rFonts w:ascii="Cambria" w:hAnsi="Cambria"/>
          <w:b/>
          <w:bCs/>
          <w:sz w:val="16"/>
          <w:szCs w:val="16"/>
          <w:lang w:val="es-ES_tradnl"/>
        </w:rPr>
        <w:t>Sacapulas:</w:t>
      </w:r>
      <w:r w:rsidRPr="00A76756">
        <w:rPr>
          <w:rFonts w:ascii="Cambria" w:hAnsi="Cambria"/>
          <w:sz w:val="16"/>
          <w:szCs w:val="16"/>
          <w:lang w:val="es-ES_tradnl"/>
        </w:rPr>
        <w:t xml:space="preserve"> Tierra Blanca, Salina Magdalena, Guanta Jau, Chimatzatz</w:t>
      </w:r>
      <w:r w:rsidR="00A76756">
        <w:rPr>
          <w:rFonts w:ascii="Cambria" w:hAnsi="Cambria"/>
          <w:sz w:val="16"/>
          <w:szCs w:val="16"/>
          <w:lang w:val="es-ES_tradnl"/>
        </w:rPr>
        <w:t xml:space="preserve">. </w:t>
      </w:r>
      <w:r w:rsidRPr="00A76756">
        <w:rPr>
          <w:rFonts w:ascii="Cambria" w:hAnsi="Cambria"/>
          <w:b/>
          <w:bCs/>
          <w:sz w:val="16"/>
          <w:szCs w:val="16"/>
          <w:lang w:val="es-ES_tradnl"/>
        </w:rPr>
        <w:t>Ixcán:</w:t>
      </w:r>
      <w:r w:rsidRPr="00A76756">
        <w:rPr>
          <w:rFonts w:ascii="Cambria" w:hAnsi="Cambria"/>
          <w:sz w:val="16"/>
          <w:szCs w:val="16"/>
          <w:lang w:val="es-ES_tradnl"/>
        </w:rPr>
        <w:t xml:space="preserve"> Nueva Esperanza</w:t>
      </w:r>
      <w:r w:rsidR="00A76756">
        <w:rPr>
          <w:rFonts w:ascii="Cambria" w:hAnsi="Cambria"/>
          <w:sz w:val="16"/>
          <w:szCs w:val="16"/>
          <w:lang w:val="es-ES_tradnl"/>
        </w:rPr>
        <w:t xml:space="preserve">. </w:t>
      </w:r>
      <w:r w:rsidRPr="00A76756">
        <w:rPr>
          <w:rFonts w:ascii="Cambria" w:hAnsi="Cambria"/>
          <w:b/>
          <w:bCs/>
          <w:sz w:val="16"/>
          <w:szCs w:val="16"/>
          <w:lang w:val="es-ES_tradnl"/>
        </w:rPr>
        <w:t>Chichicastenango:</w:t>
      </w:r>
      <w:r w:rsidRPr="00A76756">
        <w:rPr>
          <w:rFonts w:ascii="Cambria" w:hAnsi="Cambria"/>
          <w:sz w:val="16"/>
          <w:szCs w:val="16"/>
          <w:lang w:val="es-ES_tradnl"/>
        </w:rPr>
        <w:t xml:space="preserve"> Tzanimacabaj</w:t>
      </w:r>
      <w:r w:rsidR="00A76756">
        <w:rPr>
          <w:rFonts w:ascii="Cambria" w:hAnsi="Cambria"/>
          <w:sz w:val="16"/>
          <w:szCs w:val="16"/>
          <w:lang w:val="es-ES_tradnl"/>
        </w:rPr>
        <w:t xml:space="preserve">. </w:t>
      </w:r>
      <w:r w:rsidRPr="00A76756">
        <w:rPr>
          <w:rFonts w:ascii="Cambria" w:hAnsi="Cambria"/>
          <w:b/>
          <w:bCs/>
          <w:sz w:val="16"/>
          <w:szCs w:val="16"/>
          <w:lang w:val="es-ES_tradnl"/>
        </w:rPr>
        <w:t>Zacualpa</w:t>
      </w:r>
      <w:r w:rsidR="00A76756">
        <w:rPr>
          <w:rFonts w:ascii="Cambria" w:hAnsi="Cambria"/>
          <w:sz w:val="16"/>
          <w:szCs w:val="16"/>
          <w:lang w:val="es-ES_tradnl"/>
        </w:rPr>
        <w:t xml:space="preserve">. </w:t>
      </w:r>
      <w:r w:rsidRPr="00A76756">
        <w:rPr>
          <w:rFonts w:ascii="Cambria" w:hAnsi="Cambria"/>
          <w:b/>
          <w:bCs/>
          <w:sz w:val="16"/>
          <w:szCs w:val="16"/>
          <w:lang w:val="es-ES_tradnl"/>
        </w:rPr>
        <w:t>Aguacatan:</w:t>
      </w:r>
      <w:r w:rsidRPr="00A76756">
        <w:rPr>
          <w:rFonts w:ascii="Cambria" w:hAnsi="Cambria"/>
          <w:sz w:val="16"/>
          <w:szCs w:val="16"/>
          <w:lang w:val="es-ES_tradnl"/>
        </w:rPr>
        <w:t xml:space="preserve"> Las Majadas, Parraxtut, Chex</w:t>
      </w:r>
      <w:r w:rsidR="00A76756">
        <w:rPr>
          <w:rFonts w:ascii="Cambria" w:hAnsi="Cambria"/>
          <w:sz w:val="16"/>
          <w:szCs w:val="16"/>
          <w:lang w:val="es-ES_tradnl"/>
        </w:rPr>
        <w:t xml:space="preserve">. </w:t>
      </w:r>
      <w:r w:rsidRPr="00A76756">
        <w:rPr>
          <w:rFonts w:ascii="Cambria" w:hAnsi="Cambria"/>
          <w:b/>
          <w:bCs/>
          <w:sz w:val="16"/>
          <w:szCs w:val="16"/>
          <w:lang w:val="es-ES_tradnl"/>
        </w:rPr>
        <w:t>Chimaltenango:</w:t>
      </w:r>
      <w:r w:rsidRPr="00A76756">
        <w:rPr>
          <w:rFonts w:ascii="Cambria" w:hAnsi="Cambria"/>
          <w:sz w:val="16"/>
          <w:szCs w:val="16"/>
          <w:lang w:val="es-ES_tradnl"/>
        </w:rPr>
        <w:t xml:space="preserve"> San Juan Comalapa</w:t>
      </w:r>
      <w:r w:rsidR="00A76756">
        <w:rPr>
          <w:rFonts w:ascii="Cambria" w:hAnsi="Cambria"/>
          <w:sz w:val="16"/>
          <w:szCs w:val="16"/>
          <w:lang w:val="es-ES_tradnl"/>
        </w:rPr>
        <w:t xml:space="preserve">. </w:t>
      </w:r>
      <w:r w:rsidRPr="00A76756">
        <w:rPr>
          <w:rFonts w:ascii="Cambria" w:hAnsi="Cambria"/>
          <w:b/>
          <w:bCs/>
          <w:sz w:val="16"/>
          <w:szCs w:val="16"/>
          <w:lang w:val="es-ES_tradnl"/>
        </w:rPr>
        <w:t>Solola:</w:t>
      </w:r>
      <w:r w:rsidRPr="00A76756">
        <w:rPr>
          <w:rFonts w:ascii="Cambria" w:hAnsi="Cambria"/>
          <w:sz w:val="16"/>
          <w:szCs w:val="16"/>
          <w:lang w:val="es-ES_tradnl"/>
        </w:rPr>
        <w:t xml:space="preserve"> Chaquilla</w:t>
      </w:r>
      <w:r w:rsidR="00A76756">
        <w:rPr>
          <w:rFonts w:ascii="Cambria" w:hAnsi="Cambria"/>
          <w:sz w:val="16"/>
          <w:szCs w:val="16"/>
          <w:lang w:val="es-ES_tradnl"/>
        </w:rPr>
        <w:t xml:space="preserve"> y </w:t>
      </w:r>
      <w:r w:rsidRPr="00A76756">
        <w:rPr>
          <w:rFonts w:ascii="Cambria" w:hAnsi="Cambria"/>
          <w:b/>
          <w:bCs/>
          <w:sz w:val="16"/>
          <w:szCs w:val="16"/>
          <w:lang w:val="es-ES_tradnl"/>
        </w:rPr>
        <w:t>Huehuetenango:</w:t>
      </w:r>
      <w:r w:rsidRPr="00A76756">
        <w:rPr>
          <w:rFonts w:ascii="Cambria" w:hAnsi="Cambria"/>
          <w:sz w:val="16"/>
          <w:szCs w:val="16"/>
          <w:lang w:val="es-ES_tradnl"/>
        </w:rPr>
        <w:t xml:space="preserve"> Mixla Chiantla</w:t>
      </w:r>
      <w:r w:rsidR="00A76756">
        <w:rPr>
          <w:rFonts w:ascii="Cambria" w:hAnsi="Cambria"/>
          <w:sz w:val="16"/>
          <w:szCs w:val="16"/>
          <w:lang w:val="es-ES_tradnl"/>
        </w:rPr>
        <w:t>.</w:t>
      </w:r>
    </w:p>
  </w:footnote>
  <w:footnote w:id="11">
    <w:p w14:paraId="44003099" w14:textId="4ACAC149" w:rsidR="005A194C" w:rsidRDefault="005A194C" w:rsidP="005A194C">
      <w:pPr>
        <w:pStyle w:val="FootnoteText"/>
        <w:ind w:firstLine="709"/>
        <w:jc w:val="both"/>
        <w:rPr>
          <w:rFonts w:ascii="Cambria" w:hAnsi="Cambria"/>
          <w:bCs/>
          <w:sz w:val="16"/>
          <w:szCs w:val="16"/>
          <w:lang w:val="es-ES_tradnl"/>
        </w:rPr>
      </w:pPr>
      <w:r w:rsidRPr="00E844D2">
        <w:rPr>
          <w:rStyle w:val="FootnoteReference"/>
          <w:rFonts w:ascii="Cambria" w:hAnsi="Cambria"/>
          <w:sz w:val="16"/>
          <w:szCs w:val="16"/>
        </w:rPr>
        <w:footnoteRef/>
      </w:r>
      <w:r w:rsidRPr="00E844D2">
        <w:rPr>
          <w:rFonts w:ascii="Cambria" w:hAnsi="Cambria"/>
          <w:sz w:val="16"/>
          <w:szCs w:val="16"/>
          <w:lang w:val="es-ES"/>
        </w:rPr>
        <w:t xml:space="preserve"> </w:t>
      </w:r>
      <w:r w:rsidR="00132C46">
        <w:rPr>
          <w:rFonts w:ascii="Cambria" w:hAnsi="Cambria"/>
          <w:sz w:val="16"/>
          <w:szCs w:val="16"/>
          <w:lang w:val="es-ES"/>
        </w:rPr>
        <w:t>Los</w:t>
      </w:r>
      <w:r w:rsidRPr="00E844D2">
        <w:rPr>
          <w:rFonts w:ascii="Cambria" w:hAnsi="Cambria"/>
          <w:sz w:val="16"/>
          <w:szCs w:val="16"/>
          <w:lang w:val="es-ES"/>
        </w:rPr>
        <w:t xml:space="preserve"> peticionario</w:t>
      </w:r>
      <w:r w:rsidR="00132C46">
        <w:rPr>
          <w:rFonts w:ascii="Cambria" w:hAnsi="Cambria"/>
          <w:sz w:val="16"/>
          <w:szCs w:val="16"/>
          <w:lang w:val="es-ES"/>
        </w:rPr>
        <w:t>s</w:t>
      </w:r>
      <w:r w:rsidRPr="00E844D2">
        <w:rPr>
          <w:rFonts w:ascii="Cambria" w:hAnsi="Cambria"/>
          <w:sz w:val="16"/>
          <w:szCs w:val="16"/>
          <w:lang w:val="es-ES"/>
        </w:rPr>
        <w:t xml:space="preserve"> y el Estado se refieren tanto al </w:t>
      </w:r>
      <w:r w:rsidRPr="00E844D2">
        <w:rPr>
          <w:rFonts w:ascii="Cambria" w:hAnsi="Cambria"/>
          <w:bCs/>
          <w:sz w:val="16"/>
          <w:szCs w:val="16"/>
          <w:lang w:val="es-ES_tradnl"/>
        </w:rPr>
        <w:t xml:space="preserve">Fondo Guatemalteco para la Vivienda (FOGUAVI) como al Fondo para la Vivienda (FOPAVI). Lo anterior es porque el segundo sustituyo al primero en 2012, conforme al gobierno de Guatemala: </w:t>
      </w:r>
      <w:r w:rsidRPr="00E844D2">
        <w:rPr>
          <w:rFonts w:ascii="Cambria" w:hAnsi="Cambria"/>
          <w:bCs/>
          <w:i/>
          <w:iCs/>
          <w:sz w:val="16"/>
          <w:szCs w:val="16"/>
          <w:lang w:val="es-ES_tradnl"/>
        </w:rPr>
        <w:t>“</w:t>
      </w:r>
      <w:r w:rsidRPr="00E844D2">
        <w:rPr>
          <w:rFonts w:ascii="Cambria" w:hAnsi="Cambria"/>
          <w:bCs/>
          <w:i/>
          <w:iCs/>
          <w:sz w:val="16"/>
          <w:szCs w:val="16"/>
          <w:lang w:val="es-ES"/>
        </w:rPr>
        <w:t>El Fondo para la Vivienda, fue creado mediante el Decreto Ley 9-2012, emitido por el Congreso de la República en el año 2012. Sustituyó al entonces Fondo Guatemalteco para la Vivienda FOGUAVI</w:t>
      </w:r>
      <w:r w:rsidRPr="00E844D2">
        <w:rPr>
          <w:rFonts w:ascii="Cambria" w:hAnsi="Cambria"/>
          <w:bCs/>
          <w:i/>
          <w:iCs/>
          <w:sz w:val="16"/>
          <w:szCs w:val="16"/>
          <w:lang w:val="es-ES_tradnl"/>
        </w:rPr>
        <w:t xml:space="preserve">”, </w:t>
      </w:r>
      <w:r w:rsidRPr="00E844D2">
        <w:rPr>
          <w:rFonts w:ascii="Cambria" w:hAnsi="Cambria"/>
          <w:bCs/>
          <w:sz w:val="16"/>
          <w:szCs w:val="16"/>
          <w:lang w:val="es-ES_tradnl"/>
        </w:rPr>
        <w:t xml:space="preserve">encontrado en: </w:t>
      </w:r>
    </w:p>
    <w:p w14:paraId="56553C37" w14:textId="77777777" w:rsidR="005A194C" w:rsidRPr="00E844D2" w:rsidRDefault="005F7524" w:rsidP="005A194C">
      <w:pPr>
        <w:pStyle w:val="FootnoteText"/>
        <w:rPr>
          <w:rFonts w:ascii="Cambria" w:hAnsi="Cambria"/>
          <w:sz w:val="16"/>
          <w:szCs w:val="16"/>
          <w:lang w:val="es-ES"/>
        </w:rPr>
      </w:pPr>
      <w:hyperlink r:id="rId1" w:history="1">
        <w:r w:rsidR="005A194C" w:rsidRPr="00AB53C0">
          <w:rPr>
            <w:rStyle w:val="Hyperlink"/>
            <w:rFonts w:ascii="Cambria" w:hAnsi="Cambria"/>
            <w:bCs/>
            <w:sz w:val="16"/>
            <w:szCs w:val="16"/>
            <w:lang w:val="es-ES_tradnl"/>
          </w:rPr>
          <w:t>http://www.fopavi.gob.gt/Documentos_en_Index/Documento%20Memoria%20de%20Labores%20-%20FOPAVI%202016_2.pdf</w:t>
        </w:r>
      </w:hyperlink>
      <w:r w:rsidR="005A194C" w:rsidRPr="00E844D2">
        <w:rPr>
          <w:rFonts w:ascii="Cambria" w:hAnsi="Cambria"/>
          <w:bCs/>
          <w:sz w:val="16"/>
          <w:szCs w:val="16"/>
          <w:lang w:val="es-ES_tradnl"/>
        </w:rPr>
        <w:t xml:space="preserve"> </w:t>
      </w:r>
    </w:p>
  </w:footnote>
  <w:footnote w:id="12">
    <w:p w14:paraId="71C6D0B2" w14:textId="10BEA16E" w:rsidR="008E1605" w:rsidRPr="00F62D49" w:rsidRDefault="008E1605" w:rsidP="00F62D49">
      <w:pPr>
        <w:pStyle w:val="FootnoteText"/>
        <w:ind w:firstLine="709"/>
        <w:jc w:val="both"/>
        <w:rPr>
          <w:rFonts w:ascii="Cambria" w:hAnsi="Cambria"/>
          <w:sz w:val="16"/>
          <w:szCs w:val="16"/>
          <w:lang w:val="es-ES_tradnl"/>
        </w:rPr>
      </w:pPr>
      <w:r w:rsidRPr="00F62D49">
        <w:rPr>
          <w:rStyle w:val="FootnoteReference"/>
          <w:rFonts w:ascii="Cambria" w:hAnsi="Cambria"/>
          <w:sz w:val="16"/>
          <w:szCs w:val="16"/>
        </w:rPr>
        <w:footnoteRef/>
      </w:r>
      <w:r w:rsidRPr="00F62D49">
        <w:rPr>
          <w:rFonts w:ascii="Cambria" w:hAnsi="Cambria"/>
          <w:sz w:val="16"/>
          <w:szCs w:val="16"/>
          <w:lang w:val="es-ES"/>
        </w:rPr>
        <w:t xml:space="preserve"> </w:t>
      </w:r>
      <w:r w:rsidR="006C2910">
        <w:rPr>
          <w:rFonts w:ascii="Cambria" w:hAnsi="Cambria"/>
          <w:sz w:val="16"/>
          <w:szCs w:val="16"/>
          <w:lang w:val="es-ES"/>
        </w:rPr>
        <w:t>Los</w:t>
      </w:r>
      <w:r w:rsidR="006C2910" w:rsidRPr="00F62D49">
        <w:rPr>
          <w:rFonts w:ascii="Cambria" w:hAnsi="Cambria"/>
          <w:sz w:val="16"/>
          <w:szCs w:val="16"/>
          <w:lang w:val="es-ES_tradnl"/>
        </w:rPr>
        <w:t xml:space="preserve"> peticionario</w:t>
      </w:r>
      <w:r w:rsidR="006C2910">
        <w:rPr>
          <w:rFonts w:ascii="Cambria" w:hAnsi="Cambria"/>
          <w:sz w:val="16"/>
          <w:szCs w:val="16"/>
          <w:lang w:val="es-ES_tradnl"/>
        </w:rPr>
        <w:t>s</w:t>
      </w:r>
      <w:r w:rsidR="006C2910" w:rsidRPr="00F62D49">
        <w:rPr>
          <w:rFonts w:ascii="Cambria" w:hAnsi="Cambria"/>
          <w:sz w:val="16"/>
          <w:szCs w:val="16"/>
          <w:lang w:val="es-ES_tradnl"/>
        </w:rPr>
        <w:t xml:space="preserve"> señalan</w:t>
      </w:r>
      <w:r w:rsidRPr="00F62D49">
        <w:rPr>
          <w:rFonts w:ascii="Cambria" w:hAnsi="Cambria"/>
          <w:sz w:val="16"/>
          <w:szCs w:val="16"/>
          <w:lang w:val="es-ES_tradnl"/>
        </w:rPr>
        <w:t xml:space="preserve"> que</w:t>
      </w:r>
      <w:r w:rsidR="00F62D49">
        <w:rPr>
          <w:rFonts w:ascii="Cambria" w:hAnsi="Cambria"/>
          <w:sz w:val="16"/>
          <w:szCs w:val="16"/>
          <w:lang w:val="es-ES_tradnl"/>
        </w:rPr>
        <w:t xml:space="preserve"> cada</w:t>
      </w:r>
      <w:r w:rsidRPr="00F62D49">
        <w:rPr>
          <w:rFonts w:ascii="Cambria" w:hAnsi="Cambria"/>
          <w:sz w:val="16"/>
          <w:szCs w:val="16"/>
          <w:lang w:val="es-ES"/>
        </w:rPr>
        <w:t xml:space="preserve"> familia de la comunidad aportó </w:t>
      </w:r>
      <w:r w:rsidRPr="00F62D49">
        <w:rPr>
          <w:rFonts w:ascii="Cambria" w:hAnsi="Cambria"/>
          <w:sz w:val="16"/>
          <w:szCs w:val="16"/>
          <w:lang w:val="es-ES_tradnl"/>
        </w:rPr>
        <w:t>la cantidad</w:t>
      </w:r>
      <w:r w:rsidR="00F62D49" w:rsidRPr="00F62D49">
        <w:rPr>
          <w:rFonts w:ascii="Cambria" w:hAnsi="Cambria"/>
          <w:sz w:val="16"/>
          <w:szCs w:val="16"/>
          <w:lang w:val="es-ES"/>
        </w:rPr>
        <w:t xml:space="preserve">, </w:t>
      </w:r>
      <w:r w:rsidRPr="00F62D49">
        <w:rPr>
          <w:rFonts w:ascii="Cambria" w:hAnsi="Cambria"/>
          <w:sz w:val="16"/>
          <w:szCs w:val="16"/>
          <w:lang w:val="es-ES"/>
        </w:rPr>
        <w:t xml:space="preserve">para la compra de materiales, </w:t>
      </w:r>
      <w:r w:rsidRPr="00F62D49">
        <w:rPr>
          <w:rFonts w:ascii="Cambria" w:hAnsi="Cambria"/>
          <w:i/>
          <w:iCs/>
          <w:sz w:val="16"/>
          <w:szCs w:val="16"/>
          <w:lang w:val="es-ES_tradnl"/>
        </w:rPr>
        <w:t>“</w:t>
      </w:r>
      <w:r w:rsidRPr="00F62D49">
        <w:rPr>
          <w:rFonts w:ascii="Cambria" w:hAnsi="Cambria"/>
          <w:i/>
          <w:iCs/>
          <w:sz w:val="16"/>
          <w:szCs w:val="16"/>
          <w:lang w:val="es-ES"/>
        </w:rPr>
        <w:t>tales como arena, piedrín, pago de ayudantes de albañil y alimentación de los albañiles</w:t>
      </w:r>
      <w:r w:rsidR="00F62D49">
        <w:rPr>
          <w:rFonts w:ascii="Cambria" w:hAnsi="Cambria"/>
          <w:i/>
          <w:iCs/>
          <w:sz w:val="16"/>
          <w:szCs w:val="16"/>
          <w:lang w:val="es-ES"/>
        </w:rPr>
        <w:t>”</w:t>
      </w:r>
      <w:r w:rsidRPr="00F62D49">
        <w:rPr>
          <w:rFonts w:ascii="Cambria" w:hAnsi="Cambria"/>
          <w:i/>
          <w:iCs/>
          <w:sz w:val="16"/>
          <w:szCs w:val="16"/>
          <w:lang w:val="es-ES_tradnl"/>
        </w:rPr>
        <w:t>.</w:t>
      </w:r>
    </w:p>
  </w:footnote>
  <w:footnote w:id="13">
    <w:p w14:paraId="734135D2" w14:textId="77777777" w:rsidR="008E1605" w:rsidRPr="004D16BF" w:rsidRDefault="008E1605" w:rsidP="00F62D49">
      <w:pPr>
        <w:pStyle w:val="FootnoteText"/>
        <w:ind w:firstLine="709"/>
        <w:jc w:val="both"/>
        <w:rPr>
          <w:lang w:val="es-ES_tradnl"/>
        </w:rPr>
      </w:pPr>
      <w:r w:rsidRPr="00F62D49">
        <w:rPr>
          <w:rStyle w:val="FootnoteReference"/>
          <w:rFonts w:ascii="Cambria" w:hAnsi="Cambria"/>
          <w:sz w:val="16"/>
          <w:szCs w:val="16"/>
        </w:rPr>
        <w:footnoteRef/>
      </w:r>
      <w:r w:rsidRPr="00F62D49">
        <w:rPr>
          <w:rFonts w:ascii="Cambria" w:hAnsi="Cambria"/>
          <w:sz w:val="16"/>
          <w:szCs w:val="16"/>
          <w:lang w:val="es-ES"/>
        </w:rPr>
        <w:t xml:space="preserve"> </w:t>
      </w:r>
      <w:r w:rsidRPr="00F62D49">
        <w:rPr>
          <w:rFonts w:ascii="Cambria" w:hAnsi="Cambria"/>
          <w:sz w:val="16"/>
          <w:szCs w:val="16"/>
          <w:lang w:val="es-ES_tradnl"/>
        </w:rPr>
        <w:t>Tipo de cambio promedio de 2006 encontrado en la página: del Banco de Guatemala. Tipo de Cambio, años 1980 - 2022, Quetzales por US dólares. http://www.banguat.gob.gt/page/tipo-de-cambio</w:t>
      </w:r>
    </w:p>
  </w:footnote>
  <w:footnote w:id="14">
    <w:p w14:paraId="63B0E769" w14:textId="7C723A26" w:rsidR="006F647A" w:rsidRPr="006F647A" w:rsidRDefault="006F647A" w:rsidP="006F647A">
      <w:pPr>
        <w:ind w:firstLine="709"/>
        <w:jc w:val="both"/>
        <w:rPr>
          <w:rFonts w:ascii="Cambria" w:hAnsi="Cambria"/>
          <w:sz w:val="16"/>
          <w:szCs w:val="16"/>
          <w:lang w:val="es-ES_tradnl"/>
        </w:rPr>
      </w:pPr>
      <w:r w:rsidRPr="006F647A">
        <w:rPr>
          <w:rStyle w:val="FootnoteReference"/>
          <w:rFonts w:ascii="Cambria" w:hAnsi="Cambria"/>
          <w:sz w:val="16"/>
          <w:szCs w:val="16"/>
        </w:rPr>
        <w:footnoteRef/>
      </w:r>
      <w:r w:rsidRPr="006F647A">
        <w:rPr>
          <w:rFonts w:ascii="Cambria" w:hAnsi="Cambria"/>
          <w:sz w:val="16"/>
          <w:szCs w:val="16"/>
          <w:lang w:val="es-ES"/>
        </w:rPr>
        <w:t xml:space="preserve"> </w:t>
      </w:r>
      <w:r w:rsidRPr="006F647A">
        <w:rPr>
          <w:rFonts w:ascii="Cambria" w:hAnsi="Cambria"/>
          <w:sz w:val="16"/>
          <w:szCs w:val="16"/>
          <w:lang w:val="es-ES_tradnl"/>
        </w:rPr>
        <w:t xml:space="preserve">El Estado manifiesta que la identificación de las presuntas víctimas debería ser acompañada de un documento que ampare su identidad, y </w:t>
      </w:r>
      <w:r w:rsidRPr="006F647A">
        <w:rPr>
          <w:rFonts w:ascii="Cambria" w:hAnsi="Cambria"/>
          <w:i/>
          <w:iCs/>
          <w:sz w:val="16"/>
          <w:szCs w:val="16"/>
          <w:lang w:val="es-ES_tradnl"/>
        </w:rPr>
        <w:t>“conforme al censo remitido por el representante, únicamente 612 de las 1401 personas fueron identificadas con número de cédula de vecindad, documento que como ya fue abordado no tiene vigencia ni validez en el ordenamiento jurídico guatemalteco, lo que equivale al 43.68%”.</w:t>
      </w:r>
      <w:r w:rsidRPr="006F647A">
        <w:rPr>
          <w:rFonts w:ascii="Cambria" w:hAnsi="Cambria"/>
          <w:sz w:val="16"/>
          <w:szCs w:val="16"/>
          <w:lang w:val="es-ES_tradnl"/>
        </w:rPr>
        <w:t xml:space="preserve"> </w:t>
      </w:r>
    </w:p>
  </w:footnote>
  <w:footnote w:id="15">
    <w:p w14:paraId="44888AB7" w14:textId="06A72844" w:rsidR="006F647A" w:rsidRPr="009C039E" w:rsidRDefault="006F647A" w:rsidP="009C039E">
      <w:pPr>
        <w:pStyle w:val="FootnoteText"/>
        <w:ind w:firstLine="709"/>
        <w:jc w:val="both"/>
        <w:rPr>
          <w:rFonts w:ascii="Cambria" w:hAnsi="Cambria"/>
          <w:sz w:val="16"/>
          <w:szCs w:val="16"/>
          <w:lang w:val="es-ES_tradnl"/>
        </w:rPr>
      </w:pPr>
      <w:r w:rsidRPr="006F647A">
        <w:rPr>
          <w:rStyle w:val="FootnoteReference"/>
          <w:rFonts w:ascii="Cambria" w:hAnsi="Cambria"/>
          <w:sz w:val="16"/>
          <w:szCs w:val="16"/>
        </w:rPr>
        <w:footnoteRef/>
      </w:r>
      <w:r w:rsidRPr="006F647A">
        <w:rPr>
          <w:rFonts w:ascii="Cambria" w:hAnsi="Cambria"/>
          <w:sz w:val="16"/>
          <w:szCs w:val="16"/>
          <w:lang w:val="es-ES"/>
        </w:rPr>
        <w:t xml:space="preserve"> </w:t>
      </w:r>
      <w:r w:rsidRPr="006F647A">
        <w:rPr>
          <w:rFonts w:ascii="Cambria" w:hAnsi="Cambria"/>
          <w:sz w:val="16"/>
          <w:szCs w:val="16"/>
          <w:lang w:val="es-ES_tradnl"/>
        </w:rPr>
        <w:t xml:space="preserve">El Estado indica que </w:t>
      </w:r>
      <w:r w:rsidR="00B11A0F">
        <w:rPr>
          <w:rFonts w:ascii="Cambria" w:hAnsi="Cambria"/>
          <w:sz w:val="16"/>
          <w:szCs w:val="16"/>
          <w:lang w:val="es-ES_tradnl"/>
        </w:rPr>
        <w:t>a</w:t>
      </w:r>
      <w:r w:rsidRPr="006F647A">
        <w:rPr>
          <w:rFonts w:ascii="Cambria" w:hAnsi="Cambria"/>
          <w:sz w:val="16"/>
          <w:szCs w:val="16"/>
          <w:lang w:val="es-ES_tradnl"/>
        </w:rPr>
        <w:t xml:space="preserve">ctualmente el Ministerio Público se encuentra investigando los siguientes casos: </w:t>
      </w:r>
      <w:r w:rsidRPr="00994AFD">
        <w:rPr>
          <w:rFonts w:ascii="Cambria" w:hAnsi="Cambria"/>
          <w:sz w:val="16"/>
          <w:szCs w:val="16"/>
          <w:lang w:val="es-ES_tradnl"/>
        </w:rPr>
        <w:t>a)"Genocidio Ixil" identificado con el expediente MP001-2009-81416, por los supuestos crímenes ocurridos en los municipios de Santa María Nebaj, San Juan Cotzal y San Gaspar Chajul, departamento de El Quiché; b) expediente MP001-2010-23251, con número de Causa C-01076-</w:t>
      </w:r>
      <w:r w:rsidRPr="00B649C4">
        <w:rPr>
          <w:rFonts w:ascii="Cambria" w:hAnsi="Cambria"/>
          <w:sz w:val="16"/>
          <w:szCs w:val="16"/>
          <w:lang w:val="es-ES"/>
        </w:rPr>
        <w:t xml:space="preserve"> </w:t>
      </w:r>
      <w:r w:rsidRPr="00994AFD">
        <w:rPr>
          <w:rFonts w:ascii="Cambria" w:hAnsi="Cambria"/>
          <w:sz w:val="16"/>
          <w:szCs w:val="16"/>
          <w:lang w:val="es-ES_tradnl"/>
        </w:rPr>
        <w:t xml:space="preserve">2011-00015, por los delitos de Genocidio y Delitos contra los Deberes de Humanidad; c) MP001- 2008-66558 con número de causa C-0403-2009-01331, referente a las investigaciones por los hechos de graves violaciones a los derechos humanos cometidos por el Ejército de Guatemala en contra del pueblo maya Kaqchikel del departamento de Chimaltenango durante el Conflicto Armado Interno, d) expediente MP001-38237-201663; e) </w:t>
      </w:r>
      <w:r>
        <w:rPr>
          <w:rFonts w:ascii="Cambria" w:hAnsi="Cambria"/>
          <w:sz w:val="16"/>
          <w:szCs w:val="16"/>
          <w:lang w:val="es-ES_tradnl"/>
        </w:rPr>
        <w:t xml:space="preserve">expediente </w:t>
      </w:r>
      <w:r w:rsidRPr="00994AFD">
        <w:rPr>
          <w:rFonts w:ascii="Cambria" w:hAnsi="Cambria"/>
          <w:sz w:val="16"/>
          <w:szCs w:val="16"/>
          <w:lang w:val="es-ES_tradnl"/>
        </w:rPr>
        <w:t>MP001-2016-3823764</w:t>
      </w:r>
    </w:p>
  </w:footnote>
  <w:footnote w:id="16">
    <w:p w14:paraId="2E6BF2A1" w14:textId="530B667C" w:rsidR="00E50EC9" w:rsidRPr="00D51F12" w:rsidRDefault="00E50EC9" w:rsidP="00D51F12">
      <w:pPr>
        <w:pStyle w:val="FootnoteText"/>
        <w:ind w:firstLine="709"/>
        <w:jc w:val="both"/>
        <w:rPr>
          <w:rFonts w:ascii="Cambria" w:hAnsi="Cambria"/>
          <w:sz w:val="16"/>
          <w:szCs w:val="16"/>
          <w:lang w:val="es-ES_tradnl"/>
        </w:rPr>
      </w:pPr>
      <w:r w:rsidRPr="00D51F12">
        <w:rPr>
          <w:rStyle w:val="FootnoteReference"/>
          <w:rFonts w:ascii="Cambria" w:hAnsi="Cambria"/>
          <w:sz w:val="16"/>
          <w:szCs w:val="16"/>
        </w:rPr>
        <w:footnoteRef/>
      </w:r>
      <w:r w:rsidRPr="00D51F12">
        <w:rPr>
          <w:rFonts w:ascii="Cambria" w:hAnsi="Cambria"/>
          <w:sz w:val="16"/>
          <w:szCs w:val="16"/>
          <w:lang w:val="es-ES"/>
        </w:rPr>
        <w:t xml:space="preserve"> </w:t>
      </w:r>
      <w:r w:rsidRPr="00D51F12">
        <w:rPr>
          <w:rFonts w:ascii="Cambria" w:hAnsi="Cambria"/>
          <w:sz w:val="16"/>
          <w:szCs w:val="16"/>
          <w:lang w:val="es-ES_tradnl"/>
        </w:rPr>
        <w:t xml:space="preserve">El Estado informa que las propiedades que se les asignó fueron: i) Finca número 45972, folio 72 del libro 19 de Retalhuleu y Finca número 12355, folio 216, del libro 59 de Retalhuleu, ambas denominadas "El Triunfo"; y, ii) </w:t>
      </w:r>
      <w:r w:rsidR="00B11A0F">
        <w:rPr>
          <w:rFonts w:ascii="Cambria" w:hAnsi="Cambria"/>
          <w:sz w:val="16"/>
          <w:szCs w:val="16"/>
          <w:lang w:val="es-ES_tradnl"/>
        </w:rPr>
        <w:t>F</w:t>
      </w:r>
      <w:r w:rsidRPr="00D51F12">
        <w:rPr>
          <w:rFonts w:ascii="Cambria" w:hAnsi="Cambria"/>
          <w:sz w:val="16"/>
          <w:szCs w:val="16"/>
          <w:lang w:val="es-ES_tradnl"/>
        </w:rPr>
        <w:t>inca número 16739, folio 13, del libro 64 de Retalhuleu, denominada "El Mar".</w:t>
      </w:r>
    </w:p>
  </w:footnote>
  <w:footnote w:id="17">
    <w:p w14:paraId="03C93CFA" w14:textId="06595A4E" w:rsidR="00022461" w:rsidRPr="00022461" w:rsidRDefault="00022461" w:rsidP="00022461">
      <w:pPr>
        <w:pStyle w:val="FootnoteText"/>
        <w:ind w:firstLine="709"/>
        <w:jc w:val="both"/>
        <w:rPr>
          <w:rFonts w:ascii="Cambria" w:hAnsi="Cambria"/>
          <w:sz w:val="16"/>
          <w:szCs w:val="16"/>
          <w:lang w:val="es-ES_tradnl"/>
        </w:rPr>
      </w:pPr>
      <w:r w:rsidRPr="00022461">
        <w:rPr>
          <w:rStyle w:val="FootnoteReference"/>
          <w:rFonts w:ascii="Cambria" w:hAnsi="Cambria"/>
          <w:sz w:val="16"/>
          <w:szCs w:val="16"/>
        </w:rPr>
        <w:footnoteRef/>
      </w:r>
      <w:r w:rsidRPr="00022461">
        <w:rPr>
          <w:rFonts w:ascii="Cambria" w:hAnsi="Cambria"/>
          <w:sz w:val="16"/>
          <w:szCs w:val="16"/>
          <w:lang w:val="es-ES"/>
        </w:rPr>
        <w:t xml:space="preserve"> El Estado envió escrito a esta Comisión el 7 de junio de 2021 pidiendo que se suspendiera el proceso contencioso y se trasladara a la parte peticionaria la voluntad de resolver con un proceso de solución amistosa, además, señaló que ya había </w:t>
      </w:r>
      <w:r>
        <w:rPr>
          <w:rFonts w:ascii="Cambria" w:hAnsi="Cambria"/>
          <w:sz w:val="16"/>
          <w:szCs w:val="16"/>
          <w:lang w:val="es-ES"/>
        </w:rPr>
        <w:t xml:space="preserve">expresado </w:t>
      </w:r>
      <w:r w:rsidRPr="00022461">
        <w:rPr>
          <w:rFonts w:ascii="Cambria" w:hAnsi="Cambria"/>
          <w:sz w:val="16"/>
          <w:szCs w:val="16"/>
          <w:lang w:val="es-ES"/>
        </w:rPr>
        <w:t xml:space="preserve">dicha voluntad previamente. Asimismo, en la primera respuesta del Estado del 30 de junio de 2022 y en su comunicación del 11 de noviembre de 2022, el Estado </w:t>
      </w:r>
      <w:r>
        <w:rPr>
          <w:rFonts w:ascii="Cambria" w:hAnsi="Cambria"/>
          <w:sz w:val="16"/>
          <w:szCs w:val="16"/>
          <w:lang w:val="es-ES"/>
        </w:rPr>
        <w:t>iniste en</w:t>
      </w:r>
      <w:r w:rsidRPr="00022461">
        <w:rPr>
          <w:rFonts w:ascii="Cambria" w:hAnsi="Cambria"/>
          <w:sz w:val="16"/>
          <w:szCs w:val="16"/>
          <w:lang w:val="es-ES"/>
        </w:rPr>
        <w:t xml:space="preserve"> la voluntad de continuar con una solución amistosa. Por su parte, la parte peticionaria manifestó el </w:t>
      </w:r>
      <w:r w:rsidR="00EB65E8">
        <w:rPr>
          <w:rFonts w:ascii="Cambria" w:hAnsi="Cambria"/>
          <w:sz w:val="16"/>
          <w:szCs w:val="16"/>
          <w:lang w:val="es-ES"/>
        </w:rPr>
        <w:t>1</w:t>
      </w:r>
      <w:r w:rsidRPr="00022461">
        <w:rPr>
          <w:rFonts w:ascii="Cambria" w:hAnsi="Cambria"/>
          <w:sz w:val="16"/>
          <w:szCs w:val="16"/>
          <w:lang w:val="es-ES"/>
        </w:rPr>
        <w:t xml:space="preserve"> de agosto de 2022 la posibilidad de iniciar un acuerdo de solución amistosa.</w:t>
      </w:r>
    </w:p>
  </w:footnote>
  <w:footnote w:id="18">
    <w:p w14:paraId="6A98EED7" w14:textId="77777777" w:rsidR="007C7029" w:rsidRPr="00F752CD" w:rsidRDefault="007C7029" w:rsidP="007C7029">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226B3F">
        <w:rPr>
          <w:rFonts w:ascii="Cambria" w:hAnsi="Cambria"/>
          <w:sz w:val="16"/>
          <w:szCs w:val="16"/>
        </w:rPr>
        <w:t xml:space="preserve">Andy Williams Garcés Suárez y familia. </w:t>
      </w:r>
      <w:r w:rsidRPr="00F752CD">
        <w:rPr>
          <w:rFonts w:ascii="Cambria" w:hAnsi="Cambria"/>
          <w:sz w:val="16"/>
          <w:szCs w:val="16"/>
          <w:lang w:val="es-ES"/>
        </w:rPr>
        <w:t>Perú. 30 de noviembre de 2017, párr. 12.</w:t>
      </w:r>
    </w:p>
  </w:footnote>
  <w:footnote w:id="19">
    <w:p w14:paraId="4C2D7435" w14:textId="77777777" w:rsidR="00E6177A" w:rsidRPr="00EB0F43" w:rsidRDefault="00E6177A" w:rsidP="00E6177A">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Pr="00EB0F43">
        <w:rPr>
          <w:rFonts w:asciiTheme="majorHAnsi" w:hAnsiTheme="majorHAnsi"/>
          <w:sz w:val="16"/>
          <w:szCs w:val="16"/>
          <w:lang w:val="es-CO"/>
        </w:rPr>
        <w:t>C</w:t>
      </w:r>
      <w:r w:rsidRPr="00EB0F43">
        <w:rPr>
          <w:rFonts w:asciiTheme="majorHAnsi" w:hAnsiTheme="majorHAnsi"/>
          <w:sz w:val="16"/>
          <w:szCs w:val="16"/>
          <w:lang w:val="es-VE"/>
        </w:rPr>
        <w:t>IDH. Situación de los derechos humanos en Guatemala: Diversidad, desigualdad y exclusión. OEA/Ser.L/V/II.Doc. 43/15. 31 de diciembre de 2015, párr. 451.</w:t>
      </w:r>
    </w:p>
  </w:footnote>
  <w:footnote w:id="20">
    <w:p w14:paraId="06D00281" w14:textId="77777777" w:rsidR="00E6177A" w:rsidRPr="00EB0F43" w:rsidRDefault="00E6177A" w:rsidP="00E6177A">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Pr="00EB0F43">
        <w:rPr>
          <w:rFonts w:asciiTheme="majorHAnsi" w:hAnsiTheme="majorHAnsi"/>
          <w:sz w:val="16"/>
          <w:szCs w:val="16"/>
          <w:lang w:val="es-SV"/>
        </w:rPr>
        <w:t xml:space="preserve">CIDH. Justicia e Inclusión Social: Los desafíos de la democracia en Guatemala. </w:t>
      </w:r>
      <w:r w:rsidRPr="00EB0F43">
        <w:rPr>
          <w:rFonts w:asciiTheme="majorHAnsi" w:hAnsiTheme="majorHAnsi"/>
          <w:sz w:val="16"/>
          <w:szCs w:val="16"/>
          <w:lang w:val="es-MX"/>
        </w:rPr>
        <w:t xml:space="preserve">OEA/Ser.L/V/II.118 Doc. 5 rev. 1. </w:t>
      </w:r>
      <w:r w:rsidRPr="00EB0F43">
        <w:rPr>
          <w:rFonts w:asciiTheme="majorHAnsi" w:hAnsiTheme="majorHAnsi"/>
          <w:sz w:val="16"/>
          <w:szCs w:val="16"/>
          <w:lang w:val="es-CO"/>
        </w:rPr>
        <w:t>29 diciembre 2003. Capítulo IV, párr. 451.</w:t>
      </w:r>
    </w:p>
  </w:footnote>
  <w:footnote w:id="21">
    <w:p w14:paraId="512141B3" w14:textId="77777777" w:rsidR="00E25AC1" w:rsidRPr="00EB0F43" w:rsidRDefault="00E25AC1" w:rsidP="00E25AC1">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914D42">
        <w:rPr>
          <w:rFonts w:asciiTheme="majorHAnsi" w:hAnsiTheme="majorHAnsi"/>
          <w:sz w:val="16"/>
          <w:szCs w:val="16"/>
          <w:lang w:val="pt-BR"/>
        </w:rPr>
        <w:t xml:space="preserve">OEA/Ser.L/V/II. Doc. 208/17. </w:t>
      </w:r>
      <w:r w:rsidRPr="00EB0F43">
        <w:rPr>
          <w:rFonts w:asciiTheme="majorHAnsi" w:hAnsiTheme="majorHAnsi"/>
          <w:sz w:val="16"/>
          <w:szCs w:val="16"/>
          <w:lang w:val="es-VE"/>
        </w:rPr>
        <w:t>31 diciembre 2017, párr, 143; y CIDH, Situación de los derechos humanos en Guatemala: Diversidad, desigualdad y exclusión, OEA/Ser.L/V/II.Doc. 43/15, 30 de diciembre de 2015, párr. 445-451.</w:t>
      </w:r>
    </w:p>
  </w:footnote>
  <w:footnote w:id="22">
    <w:p w14:paraId="1EADF37E" w14:textId="0EB17846" w:rsidR="00E25AC1" w:rsidRPr="00E25AC1" w:rsidRDefault="00E25AC1" w:rsidP="00E25AC1">
      <w:pPr>
        <w:pStyle w:val="FootnoteText"/>
        <w:ind w:firstLine="709"/>
        <w:rPr>
          <w:rFonts w:ascii="Cambria" w:hAnsi="Cambria"/>
          <w:sz w:val="16"/>
          <w:szCs w:val="16"/>
          <w:lang w:val="es-ES_tradnl"/>
        </w:rPr>
      </w:pPr>
      <w:r w:rsidRPr="00E25AC1">
        <w:rPr>
          <w:rStyle w:val="FootnoteReference"/>
          <w:rFonts w:ascii="Cambria" w:hAnsi="Cambria"/>
          <w:sz w:val="16"/>
          <w:szCs w:val="16"/>
        </w:rPr>
        <w:footnoteRef/>
      </w:r>
      <w:r w:rsidRPr="00E25AC1">
        <w:rPr>
          <w:rFonts w:ascii="Cambria" w:hAnsi="Cambria"/>
          <w:sz w:val="16"/>
          <w:szCs w:val="16"/>
          <w:lang w:val="es-ES"/>
        </w:rPr>
        <w:t xml:space="preserve"> </w:t>
      </w:r>
      <w:r w:rsidRPr="00E25AC1">
        <w:rPr>
          <w:rFonts w:ascii="Cambria" w:hAnsi="Cambria"/>
          <w:sz w:val="16"/>
          <w:szCs w:val="16"/>
          <w:lang w:val="es-VE"/>
        </w:rPr>
        <w:t xml:space="preserve">CIDH, Informe No. 355/22, Petición 1918-11. Admisibilidad. Vecinos de la Aldea Sesajal. Guatemala. 12 de agosto de 2022, párr. </w:t>
      </w:r>
      <w:r>
        <w:rPr>
          <w:rFonts w:ascii="Cambria" w:hAnsi="Cambria"/>
          <w:sz w:val="16"/>
          <w:szCs w:val="16"/>
          <w:lang w:val="es-VE"/>
        </w:rPr>
        <w:t>18</w:t>
      </w:r>
      <w:r w:rsidRPr="00E25AC1">
        <w:rPr>
          <w:rFonts w:ascii="Cambria" w:hAnsi="Cambria"/>
          <w:sz w:val="16"/>
          <w:szCs w:val="16"/>
          <w:lang w:val="es-VE"/>
        </w:rPr>
        <w:t>.</w:t>
      </w:r>
    </w:p>
  </w:footnote>
  <w:footnote w:id="23">
    <w:p w14:paraId="1EC12067" w14:textId="77777777" w:rsidR="00E6177A" w:rsidRPr="001953DD" w:rsidRDefault="00E6177A" w:rsidP="00E6177A">
      <w:pPr>
        <w:pStyle w:val="FootnoteText"/>
        <w:ind w:firstLine="709"/>
        <w:rPr>
          <w:lang w:val="es-ES_tradnl"/>
        </w:rPr>
      </w:pPr>
      <w:r w:rsidRPr="001953DD">
        <w:rPr>
          <w:rStyle w:val="FootnoteReference"/>
          <w:rFonts w:asciiTheme="majorHAnsi" w:hAnsiTheme="majorHAnsi"/>
          <w:sz w:val="16"/>
          <w:szCs w:val="16"/>
        </w:rPr>
        <w:footnoteRef/>
      </w:r>
      <w:r w:rsidRPr="00E6177A">
        <w:rPr>
          <w:rStyle w:val="FootnoteReference"/>
          <w:rFonts w:asciiTheme="majorHAnsi" w:hAnsiTheme="majorHAnsi"/>
          <w:sz w:val="16"/>
          <w:szCs w:val="16"/>
          <w:lang w:val="es-ES"/>
        </w:rPr>
        <w:t xml:space="preserve"> </w:t>
      </w:r>
      <w:r w:rsidRPr="001953DD">
        <w:rPr>
          <w:rFonts w:asciiTheme="majorHAnsi" w:hAnsiTheme="majorHAnsi"/>
          <w:sz w:val="16"/>
          <w:szCs w:val="16"/>
          <w:lang w:val="es-VE"/>
        </w:rPr>
        <w:t>CIDH, Informe No. 355/22, Petición 1918-11. Admisibilidad. Vecinos de la Aldea Sesajal. Guatemala. 12 de agosto de 2022, párr. 20.</w:t>
      </w:r>
    </w:p>
  </w:footnote>
  <w:footnote w:id="24">
    <w:p w14:paraId="1225FE55" w14:textId="77777777" w:rsidR="00672468" w:rsidRPr="00EB0F43" w:rsidRDefault="00672468" w:rsidP="00672468">
      <w:pPr>
        <w:pStyle w:val="FootnoteText"/>
        <w:ind w:firstLine="720"/>
        <w:jc w:val="both"/>
        <w:rPr>
          <w:rFonts w:asciiTheme="majorHAnsi" w:hAnsiTheme="majorHAnsi"/>
          <w:sz w:val="16"/>
          <w:szCs w:val="16"/>
          <w:lang w:val="es-ES_tradnl"/>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57/08, Petición 283-06. Inadmisibilidad. </w:t>
      </w:r>
      <w:r w:rsidRPr="00914D42">
        <w:rPr>
          <w:rFonts w:asciiTheme="majorHAnsi" w:hAnsiTheme="majorHAnsi"/>
          <w:sz w:val="16"/>
          <w:szCs w:val="16"/>
          <w:lang w:val="pt-BR"/>
        </w:rPr>
        <w:t xml:space="preserve">Mario Roberto Chang Bravo. Guatemala. </w:t>
      </w:r>
      <w:r w:rsidRPr="00EB0F43">
        <w:rPr>
          <w:rFonts w:asciiTheme="majorHAnsi" w:hAnsiTheme="majorHAnsi"/>
          <w:sz w:val="16"/>
          <w:szCs w:val="16"/>
          <w:lang w:val="es-ES"/>
        </w:rPr>
        <w:t>24 de julio de 2008, párr. 38.</w:t>
      </w:r>
    </w:p>
  </w:footnote>
  <w:footnote w:id="25">
    <w:p w14:paraId="569AC411" w14:textId="77777777" w:rsidR="00672468" w:rsidRPr="00EB0F43" w:rsidRDefault="00672468" w:rsidP="00672468">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61/16, Petición 12.325. Admisibilidad. Comunidad de Paz San José de Apartadó. Colombia. 6 de diciembre de 2016, párr. 62.</w:t>
      </w:r>
    </w:p>
  </w:footnote>
  <w:footnote w:id="26">
    <w:p w14:paraId="0A609B11" w14:textId="77777777" w:rsidR="00672468" w:rsidRPr="00EB0F43" w:rsidRDefault="00672468" w:rsidP="00672468">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Corte IDH, Caso Habbal y otros vs. Argentina. Excepciones Preliminares y Fondo. Sentencia de 31 de agosto de 2022. Serie C No. 463, párr. 23; Corte IDH. Caso Vereda La Esperanza Vs. Colombia. Interpretación de la Sentencia de Excepción Preliminar, Fondo, Reparaciones y Costas. Sentencia de 21 de noviembre de 2018. Serie C No. 367, párr 32. </w:t>
      </w:r>
    </w:p>
  </w:footnote>
  <w:footnote w:id="27">
    <w:p w14:paraId="390C24C9" w14:textId="77777777" w:rsidR="00672468" w:rsidRPr="00EB0F43" w:rsidRDefault="00672468" w:rsidP="0067246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w:t>
      </w:r>
      <w:bookmarkStart w:id="4" w:name="_Hlk117984138"/>
      <w:r w:rsidRPr="00EB0F43">
        <w:rPr>
          <w:rFonts w:asciiTheme="majorHAnsi" w:hAnsiTheme="majorHAnsi"/>
          <w:sz w:val="16"/>
          <w:szCs w:val="16"/>
          <w:lang w:val="es-ES"/>
        </w:rPr>
        <w:t xml:space="preserve">CIDH. </w:t>
      </w:r>
      <w:r w:rsidRPr="00EB0F43">
        <w:rPr>
          <w:rFonts w:asciiTheme="majorHAnsi" w:hAnsiTheme="majorHAnsi"/>
          <w:sz w:val="16"/>
          <w:szCs w:val="16"/>
          <w:lang w:val="es-SV"/>
        </w:rPr>
        <w:t xml:space="preserve">Justicia e Inclusión Social: Los desafíos de la democracia en Guatemala. </w:t>
      </w:r>
      <w:r w:rsidRPr="00EB0F43">
        <w:rPr>
          <w:rFonts w:asciiTheme="majorHAnsi" w:hAnsiTheme="majorHAnsi"/>
          <w:sz w:val="16"/>
          <w:szCs w:val="16"/>
          <w:lang w:val="es-MX"/>
        </w:rPr>
        <w:t xml:space="preserve">OEA/Ser.L/V/II.118 Doc. 5 rev. 1. </w:t>
      </w:r>
      <w:r w:rsidRPr="00EB0F43">
        <w:rPr>
          <w:rFonts w:asciiTheme="majorHAnsi" w:hAnsiTheme="majorHAnsi"/>
          <w:sz w:val="16"/>
          <w:szCs w:val="16"/>
          <w:lang w:val="es-CO"/>
        </w:rPr>
        <w:t xml:space="preserve">29 diciembre 2003. Capítulo IV, párrs. </w:t>
      </w:r>
      <w:bookmarkEnd w:id="4"/>
      <w:r w:rsidRPr="00EB0F43">
        <w:rPr>
          <w:rFonts w:asciiTheme="majorHAnsi" w:hAnsiTheme="majorHAnsi"/>
          <w:sz w:val="16"/>
          <w:szCs w:val="16"/>
          <w:lang w:val="es-CO"/>
        </w:rPr>
        <w:t>248-253; C</w:t>
      </w:r>
      <w:r w:rsidRPr="00EB0F43">
        <w:rPr>
          <w:rFonts w:asciiTheme="majorHAnsi" w:hAnsiTheme="majorHAnsi"/>
          <w:sz w:val="16"/>
          <w:szCs w:val="16"/>
          <w:lang w:val="es-VE"/>
        </w:rPr>
        <w:t>IDH. Situación de los derechos humanos en Guatemala: Diversidad, desigualdad y exclusión. OEA/Ser.L/V/II.Doc. 43/15. 31 de diciembre de 2015, párrs. 450-451; y CIDH, Situación de los derechos humanos en Guatemala. OEA/Ser.L/V/II. Doc. 208/17. 31 diciembre 2017, párrs. 138-143. Asimismo, la CIDH ha realizado varias audiencias públicas sobre el Programa Nacional de Resarcimiento (PNR), como, por ejemplo, CIDH, 159 período de sesiones, Audiencia Pública “Derecho a la reparación integral para las víctimas del conflicto armado en Guatemala”, Panamá, 6 de diciembre de 2016. CIDH, 156º Período de Sesiones, Audiencia Pública “Derechos humanos y justicia transicional en Guatemala”, 22 de octubre de 2015. CIDH, 153º Período de Sesiones, Audiencia Pública “Acceso a la justicia y el legado del conflicto armado interno en Guatemala”, 28 de octubre de 2014. CIDH, 150º Período de Sesiones, Audiencia Pública “Programa Nacional de Resarcimiento en Guatemala”, 25 de marzo de 2014. CIDH, 144º Período de Sesiones, Audiencia Pública, “Situación de las mujeres víctimas de violaciones de derechos humanos durante el conflicto armado interno en Guatemala”, 27 de marzo de 2012. CIDH, 138º Período de Sesiones, Audiencia Pública “Política pública sobre reparaciones en Guatemala”, 19 de marzo de 2010.</w:t>
      </w:r>
    </w:p>
  </w:footnote>
  <w:footnote w:id="28">
    <w:p w14:paraId="21EBF662" w14:textId="77777777" w:rsidR="00672468" w:rsidRPr="00EB0F43" w:rsidRDefault="00672468" w:rsidP="0067246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EB0F43">
        <w:rPr>
          <w:rFonts w:asciiTheme="majorHAnsi" w:hAnsiTheme="majorHAnsi"/>
          <w:sz w:val="16"/>
          <w:szCs w:val="16"/>
          <w:lang w:val="pt-BR"/>
        </w:rPr>
        <w:t xml:space="preserve">OEA/Ser.L/V/II. Doc. 208/17. </w:t>
      </w:r>
      <w:r w:rsidRPr="00EB0F43">
        <w:rPr>
          <w:rFonts w:asciiTheme="majorHAnsi" w:hAnsiTheme="majorHAnsi"/>
          <w:sz w:val="16"/>
          <w:szCs w:val="16"/>
          <w:lang w:val="es-VE"/>
        </w:rPr>
        <w:t xml:space="preserve">31 diciembre 2017, párr, 138. </w:t>
      </w:r>
    </w:p>
  </w:footnote>
  <w:footnote w:id="29">
    <w:p w14:paraId="7457CC63" w14:textId="77777777" w:rsidR="00672468" w:rsidRPr="00EB0F43" w:rsidRDefault="00672468" w:rsidP="0067246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Pr="00EB0F43">
        <w:rPr>
          <w:rFonts w:asciiTheme="majorHAnsi" w:hAnsiTheme="majorHAnsi"/>
          <w:sz w:val="16"/>
          <w:szCs w:val="16"/>
          <w:lang w:val="es-CO"/>
        </w:rPr>
        <w:t>C</w:t>
      </w:r>
      <w:r w:rsidRPr="00EB0F43">
        <w:rPr>
          <w:rFonts w:asciiTheme="majorHAnsi" w:hAnsiTheme="majorHAnsi"/>
          <w:sz w:val="16"/>
          <w:szCs w:val="16"/>
          <w:lang w:val="es-VE"/>
        </w:rPr>
        <w:t xml:space="preserve">IDH. Situación de los derechos humanos en Guatemala: Diversidad, desigualdad y exclusión. OEA/Ser.L/V/II.Doc. 43/15. 31 de diciembre de 2015, párr. 450. </w:t>
      </w:r>
    </w:p>
  </w:footnote>
  <w:footnote w:id="30">
    <w:p w14:paraId="6748FA68" w14:textId="77777777" w:rsidR="00672468" w:rsidRPr="00EB0F43" w:rsidRDefault="00672468" w:rsidP="0067246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914D42">
        <w:rPr>
          <w:rFonts w:asciiTheme="majorHAnsi" w:hAnsiTheme="majorHAnsi"/>
          <w:sz w:val="16"/>
          <w:szCs w:val="16"/>
          <w:lang w:val="pt-BR"/>
        </w:rPr>
        <w:t xml:space="preserve">OEA/Ser.L/V/II. Doc. 208/17. </w:t>
      </w:r>
      <w:r w:rsidRPr="00EB0F43">
        <w:rPr>
          <w:rFonts w:asciiTheme="majorHAnsi" w:hAnsiTheme="majorHAnsi"/>
          <w:sz w:val="16"/>
          <w:szCs w:val="16"/>
          <w:lang w:val="es-VE"/>
        </w:rPr>
        <w:t>31 diciembre 2017, párr, 139.</w:t>
      </w:r>
    </w:p>
  </w:footnote>
  <w:footnote w:id="31">
    <w:p w14:paraId="75BB5F24" w14:textId="77777777" w:rsidR="00672468" w:rsidRPr="00EB0F43" w:rsidRDefault="00672468" w:rsidP="0067246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EB0F43">
        <w:rPr>
          <w:rFonts w:asciiTheme="majorHAnsi" w:hAnsiTheme="majorHAnsi"/>
          <w:sz w:val="16"/>
          <w:szCs w:val="16"/>
          <w:lang w:val="pt-BR"/>
        </w:rPr>
        <w:t xml:space="preserve">OEA/Ser.L/V/II. Doc. 208/17. </w:t>
      </w:r>
      <w:r w:rsidRPr="00EB0F43">
        <w:rPr>
          <w:rFonts w:asciiTheme="majorHAnsi" w:hAnsiTheme="majorHAnsi"/>
          <w:sz w:val="16"/>
          <w:szCs w:val="16"/>
          <w:lang w:val="es-VE"/>
        </w:rPr>
        <w:t>31 diciembre 2017, párr, 139.</w:t>
      </w:r>
    </w:p>
  </w:footnote>
  <w:footnote w:id="32">
    <w:p w14:paraId="6AA3A525" w14:textId="2B2DCBC9" w:rsidR="00CC22F0" w:rsidRPr="00CC22F0" w:rsidRDefault="00CC22F0" w:rsidP="00CC22F0">
      <w:pPr>
        <w:pStyle w:val="FootnoteText"/>
        <w:ind w:firstLine="709"/>
        <w:rPr>
          <w:rFonts w:ascii="Cambria" w:hAnsi="Cambria"/>
          <w:sz w:val="16"/>
          <w:szCs w:val="16"/>
          <w:lang w:val="es-ES_tradnl"/>
        </w:rPr>
      </w:pPr>
      <w:r w:rsidRPr="00CC22F0">
        <w:rPr>
          <w:rStyle w:val="FootnoteReference"/>
          <w:rFonts w:ascii="Cambria" w:hAnsi="Cambria"/>
          <w:sz w:val="16"/>
          <w:szCs w:val="16"/>
        </w:rPr>
        <w:footnoteRef/>
      </w:r>
      <w:r w:rsidRPr="00CC22F0">
        <w:rPr>
          <w:rFonts w:ascii="Cambria" w:hAnsi="Cambria"/>
          <w:sz w:val="16"/>
          <w:szCs w:val="16"/>
          <w:lang w:val="es-ES"/>
        </w:rPr>
        <w:t xml:space="preserve"> CIDH, Informe No. 435/21, Petición 1-09. Admisibilidad. Vecinos de las comunidades del pueblo maya Achi en el municipio El Rabinal. Guatemala. 31 de diciembre de 2021, párr. 16; y </w:t>
      </w:r>
      <w:r w:rsidRPr="00CC22F0">
        <w:rPr>
          <w:rFonts w:ascii="Cambria" w:hAnsi="Cambria"/>
          <w:sz w:val="16"/>
          <w:szCs w:val="16"/>
          <w:lang w:val="es-VE"/>
        </w:rPr>
        <w:t>CIDH, Informe No. 355/22, Petición 1918-11. Admisibilidad. Vecinos de la Aldea Sesajal. Guatemala. 12 de agosto de 2022, párr. 18.</w:t>
      </w:r>
    </w:p>
  </w:footnote>
  <w:footnote w:id="33">
    <w:p w14:paraId="25BD5032" w14:textId="77777777" w:rsidR="007C7029" w:rsidRPr="0066153A" w:rsidRDefault="007C7029" w:rsidP="00226B3F">
      <w:pPr>
        <w:pStyle w:val="FootnoteText"/>
        <w:ind w:firstLine="709"/>
        <w:rPr>
          <w:lang w:val="es-ES_tradnl"/>
        </w:rPr>
      </w:pPr>
      <w:r w:rsidRPr="0066153A">
        <w:rPr>
          <w:rFonts w:asciiTheme="majorHAnsi" w:hAnsiTheme="majorHAnsi"/>
          <w:sz w:val="16"/>
          <w:szCs w:val="16"/>
          <w:vertAlign w:val="superscript"/>
          <w:lang w:val="es-VE"/>
        </w:rPr>
        <w:footnoteRef/>
      </w:r>
      <w:r w:rsidRPr="0066153A">
        <w:rPr>
          <w:rFonts w:asciiTheme="majorHAnsi" w:hAnsiTheme="majorHAnsi"/>
          <w:sz w:val="16"/>
          <w:szCs w:val="16"/>
          <w:lang w:val="es-VE"/>
        </w:rPr>
        <w:t xml:space="preserve"> CIDH, Informe No. 435/21, Petición 1-09. Admisibilidad. Vecinos de las comunidades del pueblo maya Achi en el municipio El Rabinal. Guatemala. 31 de diciembre de 2021, párr. 16; y, </w:t>
      </w:r>
      <w:r w:rsidRPr="001953DD">
        <w:rPr>
          <w:rFonts w:asciiTheme="majorHAnsi" w:hAnsiTheme="majorHAnsi"/>
          <w:sz w:val="16"/>
          <w:szCs w:val="16"/>
          <w:lang w:val="es-VE"/>
        </w:rPr>
        <w:t>CIDH, Informe No. 355/22, Petición 1918-11. Admisibilidad. Vecinos de la Aldea Sesajal. Guatemala. 12 de agosto de 2022</w:t>
      </w:r>
      <w:r>
        <w:rPr>
          <w:rFonts w:asciiTheme="majorHAnsi" w:hAnsiTheme="majorHAnsi"/>
          <w:sz w:val="16"/>
          <w:szCs w:val="16"/>
          <w:lang w:val="es-VE"/>
        </w:rPr>
        <w:t>.</w:t>
      </w:r>
    </w:p>
  </w:footnote>
  <w:footnote w:id="34">
    <w:p w14:paraId="788E501B" w14:textId="77777777" w:rsidR="007C7029" w:rsidRPr="00F752CD" w:rsidRDefault="007C7029" w:rsidP="007C7029">
      <w:pPr>
        <w:pStyle w:val="FootnoteText"/>
        <w:jc w:val="both"/>
        <w:rPr>
          <w:rFonts w:ascii="Cambria" w:hAnsi="Cambria"/>
          <w:sz w:val="16"/>
          <w:szCs w:val="16"/>
          <w:lang w:val="es-ES"/>
        </w:rPr>
      </w:pPr>
      <w:r w:rsidRPr="00714350">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76/19. Admisibilidad. Hugo Eduardo Ibarbuden. Argentina. 21 de mayo de 2019, párr. 12.</w:t>
      </w:r>
    </w:p>
  </w:footnote>
  <w:footnote w:id="35">
    <w:p w14:paraId="39322A7F" w14:textId="77777777" w:rsidR="00401745" w:rsidRPr="00EB0F43" w:rsidRDefault="00401745" w:rsidP="00401745">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lang w:val="es-VE"/>
        </w:rPr>
        <w:footnoteRef/>
      </w:r>
      <w:r w:rsidRPr="00EB0F43">
        <w:rPr>
          <w:rFonts w:asciiTheme="majorHAnsi" w:hAnsiTheme="majorHAnsi"/>
          <w:sz w:val="16"/>
          <w:szCs w:val="16"/>
          <w:lang w:val="es-VE"/>
        </w:rPr>
        <w:t xml:space="preserve"> CIDH, Informe No. 26/17, Petición 1208-08. Admisibilidad. William Olaya Moreno y familia. Colombia. 18 de marzo de 2017, párr. 9.</w:t>
      </w:r>
      <w:r w:rsidRPr="00EB0F43">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F7524" w:rsidP="00A50FCF">
    <w:pPr>
      <w:pStyle w:val="Header"/>
      <w:tabs>
        <w:tab w:val="clear" w:pos="4320"/>
        <w:tab w:val="clear" w:pos="8640"/>
      </w:tabs>
      <w:jc w:val="center"/>
      <w:rPr>
        <w:sz w:val="22"/>
        <w:szCs w:val="22"/>
      </w:rPr>
    </w:pPr>
    <w:r>
      <w:rPr>
        <w:noProof/>
        <w:sz w:val="22"/>
        <w:szCs w:val="22"/>
        <w:bdr w:val="nil"/>
      </w:rPr>
      <w:pict w14:anchorId="3F914AB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1C6275E"/>
    <w:lvl w:ilvl="0" w:tplc="A1D280C0">
      <w:start w:val="1"/>
      <w:numFmt w:val="decimal"/>
      <w:lvlText w:val="%1."/>
      <w:lvlJc w:val="left"/>
      <w:pPr>
        <w:tabs>
          <w:tab w:val="num" w:pos="720"/>
        </w:tabs>
        <w:ind w:left="0" w:firstLine="720"/>
      </w:pPr>
      <w:rPr>
        <w:rFonts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4"/>
  </w:num>
  <w:num w:numId="4" w16cid:durableId="2018339747">
    <w:abstractNumId w:val="22"/>
  </w:num>
  <w:num w:numId="5" w16cid:durableId="368341374">
    <w:abstractNumId w:val="48"/>
  </w:num>
  <w:num w:numId="6" w16cid:durableId="1074009954">
    <w:abstractNumId w:val="27"/>
  </w:num>
  <w:num w:numId="7" w16cid:durableId="1545016965">
    <w:abstractNumId w:val="8"/>
  </w:num>
  <w:num w:numId="8" w16cid:durableId="1165165820">
    <w:abstractNumId w:val="18"/>
  </w:num>
  <w:num w:numId="9" w16cid:durableId="751703382">
    <w:abstractNumId w:val="42"/>
  </w:num>
  <w:num w:numId="10" w16cid:durableId="1010065578">
    <w:abstractNumId w:val="1"/>
  </w:num>
  <w:num w:numId="11" w16cid:durableId="599265313">
    <w:abstractNumId w:val="37"/>
  </w:num>
  <w:num w:numId="12" w16cid:durableId="1094203649">
    <w:abstractNumId w:val="38"/>
  </w:num>
  <w:num w:numId="13" w16cid:durableId="393090155">
    <w:abstractNumId w:val="44"/>
  </w:num>
  <w:num w:numId="14" w16cid:durableId="1198931784">
    <w:abstractNumId w:val="2"/>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6"/>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5"/>
  </w:num>
  <w:num w:numId="38" w16cid:durableId="949702590">
    <w:abstractNumId w:val="36"/>
  </w:num>
  <w:num w:numId="39" w16cid:durableId="115605940">
    <w:abstractNumId w:val="39"/>
  </w:num>
  <w:num w:numId="40" w16cid:durableId="2008750670">
    <w:abstractNumId w:val="40"/>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9"/>
  </w:num>
  <w:num w:numId="50" w16cid:durableId="2025083079">
    <w:abstractNumId w:val="60"/>
  </w:num>
  <w:num w:numId="51" w16cid:durableId="530342504">
    <w:abstractNumId w:val="21"/>
  </w:num>
  <w:num w:numId="52" w16cid:durableId="955454438">
    <w:abstractNumId w:val="41"/>
  </w:num>
  <w:num w:numId="53" w16cid:durableId="586957926">
    <w:abstractNumId w:val="51"/>
  </w:num>
  <w:num w:numId="54" w16cid:durableId="1498381482">
    <w:abstractNumId w:val="45"/>
  </w:num>
  <w:num w:numId="55" w16cid:durableId="1930308158">
    <w:abstractNumId w:val="43"/>
  </w:num>
  <w:num w:numId="56" w16cid:durableId="1035233343">
    <w:abstractNumId w:val="58"/>
  </w:num>
  <w:num w:numId="57" w16cid:durableId="2014913427">
    <w:abstractNumId w:val="46"/>
  </w:num>
  <w:num w:numId="58" w16cid:durableId="58094602">
    <w:abstractNumId w:val="0"/>
  </w:num>
  <w:num w:numId="59" w16cid:durableId="1645771480">
    <w:abstractNumId w:val="7"/>
  </w:num>
  <w:num w:numId="60" w16cid:durableId="811404258">
    <w:abstractNumId w:val="34"/>
  </w:num>
  <w:num w:numId="61" w16cid:durableId="1568688256">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788C"/>
    <w:rsid w:val="00021D9E"/>
    <w:rsid w:val="00022461"/>
    <w:rsid w:val="000272A7"/>
    <w:rsid w:val="00031FD4"/>
    <w:rsid w:val="00032575"/>
    <w:rsid w:val="0003273F"/>
    <w:rsid w:val="000337EF"/>
    <w:rsid w:val="00033C85"/>
    <w:rsid w:val="00034431"/>
    <w:rsid w:val="00040C3A"/>
    <w:rsid w:val="000419AD"/>
    <w:rsid w:val="00041B1C"/>
    <w:rsid w:val="000433C9"/>
    <w:rsid w:val="00044BE5"/>
    <w:rsid w:val="00045CF4"/>
    <w:rsid w:val="00046DD9"/>
    <w:rsid w:val="00052001"/>
    <w:rsid w:val="0005333D"/>
    <w:rsid w:val="000572E5"/>
    <w:rsid w:val="00060358"/>
    <w:rsid w:val="000651D7"/>
    <w:rsid w:val="0006754E"/>
    <w:rsid w:val="00071174"/>
    <w:rsid w:val="000716C5"/>
    <w:rsid w:val="00071DED"/>
    <w:rsid w:val="00072B47"/>
    <w:rsid w:val="00075081"/>
    <w:rsid w:val="00075E23"/>
    <w:rsid w:val="00087602"/>
    <w:rsid w:val="00090D25"/>
    <w:rsid w:val="000915B0"/>
    <w:rsid w:val="0009344A"/>
    <w:rsid w:val="000967DB"/>
    <w:rsid w:val="00097FCB"/>
    <w:rsid w:val="000A14BA"/>
    <w:rsid w:val="000A2F1C"/>
    <w:rsid w:val="000A392E"/>
    <w:rsid w:val="000A3EE2"/>
    <w:rsid w:val="000A575F"/>
    <w:rsid w:val="000A58AC"/>
    <w:rsid w:val="000A7843"/>
    <w:rsid w:val="000B2608"/>
    <w:rsid w:val="000B7342"/>
    <w:rsid w:val="000C2ADD"/>
    <w:rsid w:val="000C6F53"/>
    <w:rsid w:val="000D05CB"/>
    <w:rsid w:val="000D10DB"/>
    <w:rsid w:val="000D34D6"/>
    <w:rsid w:val="000D5F8F"/>
    <w:rsid w:val="000D610F"/>
    <w:rsid w:val="000D7B6C"/>
    <w:rsid w:val="000E253F"/>
    <w:rsid w:val="000E3785"/>
    <w:rsid w:val="000E3A2F"/>
    <w:rsid w:val="000E5EB5"/>
    <w:rsid w:val="000E6736"/>
    <w:rsid w:val="000F27D7"/>
    <w:rsid w:val="000F2B5D"/>
    <w:rsid w:val="000F35ED"/>
    <w:rsid w:val="000F52EC"/>
    <w:rsid w:val="000F7556"/>
    <w:rsid w:val="001004FE"/>
    <w:rsid w:val="00101129"/>
    <w:rsid w:val="00103E76"/>
    <w:rsid w:val="0010565D"/>
    <w:rsid w:val="0010587D"/>
    <w:rsid w:val="00107131"/>
    <w:rsid w:val="0010736F"/>
    <w:rsid w:val="00112D66"/>
    <w:rsid w:val="00113F73"/>
    <w:rsid w:val="001156CF"/>
    <w:rsid w:val="00116F2C"/>
    <w:rsid w:val="00121CC2"/>
    <w:rsid w:val="00123BA6"/>
    <w:rsid w:val="001272F9"/>
    <w:rsid w:val="00131425"/>
    <w:rsid w:val="00132C46"/>
    <w:rsid w:val="00133EE5"/>
    <w:rsid w:val="00141E60"/>
    <w:rsid w:val="00143F50"/>
    <w:rsid w:val="00144311"/>
    <w:rsid w:val="001542ED"/>
    <w:rsid w:val="00155202"/>
    <w:rsid w:val="00157077"/>
    <w:rsid w:val="0016026F"/>
    <w:rsid w:val="00160AF0"/>
    <w:rsid w:val="00167A34"/>
    <w:rsid w:val="0017479E"/>
    <w:rsid w:val="0017681E"/>
    <w:rsid w:val="00193027"/>
    <w:rsid w:val="001978D9"/>
    <w:rsid w:val="001A01C1"/>
    <w:rsid w:val="001A520D"/>
    <w:rsid w:val="001A7870"/>
    <w:rsid w:val="001B20BC"/>
    <w:rsid w:val="001B21D8"/>
    <w:rsid w:val="001B3A00"/>
    <w:rsid w:val="001B478B"/>
    <w:rsid w:val="001B55A3"/>
    <w:rsid w:val="001C1B15"/>
    <w:rsid w:val="001C1B41"/>
    <w:rsid w:val="001C5397"/>
    <w:rsid w:val="001C702C"/>
    <w:rsid w:val="001D03F1"/>
    <w:rsid w:val="001D42F2"/>
    <w:rsid w:val="001D5E78"/>
    <w:rsid w:val="001D65EF"/>
    <w:rsid w:val="001D6FBD"/>
    <w:rsid w:val="001D775D"/>
    <w:rsid w:val="001D7F96"/>
    <w:rsid w:val="001E1EA1"/>
    <w:rsid w:val="001E24D6"/>
    <w:rsid w:val="001E49E7"/>
    <w:rsid w:val="001E525C"/>
    <w:rsid w:val="001E574D"/>
    <w:rsid w:val="001E73E1"/>
    <w:rsid w:val="001F7201"/>
    <w:rsid w:val="002030C1"/>
    <w:rsid w:val="0020437A"/>
    <w:rsid w:val="0020714C"/>
    <w:rsid w:val="00207AC3"/>
    <w:rsid w:val="00210065"/>
    <w:rsid w:val="00215578"/>
    <w:rsid w:val="002176A4"/>
    <w:rsid w:val="00223984"/>
    <w:rsid w:val="00223A29"/>
    <w:rsid w:val="002243B7"/>
    <w:rsid w:val="002250A3"/>
    <w:rsid w:val="00226B3F"/>
    <w:rsid w:val="00235217"/>
    <w:rsid w:val="002359E2"/>
    <w:rsid w:val="00243044"/>
    <w:rsid w:val="00244208"/>
    <w:rsid w:val="00246D1F"/>
    <w:rsid w:val="00247403"/>
    <w:rsid w:val="00247542"/>
    <w:rsid w:val="00266B61"/>
    <w:rsid w:val="0026712A"/>
    <w:rsid w:val="002704DB"/>
    <w:rsid w:val="00275185"/>
    <w:rsid w:val="002753F4"/>
    <w:rsid w:val="00292C94"/>
    <w:rsid w:val="00293936"/>
    <w:rsid w:val="00296988"/>
    <w:rsid w:val="002A0AAE"/>
    <w:rsid w:val="002A5820"/>
    <w:rsid w:val="002A5DD7"/>
    <w:rsid w:val="002B029A"/>
    <w:rsid w:val="002B25D9"/>
    <w:rsid w:val="002B4246"/>
    <w:rsid w:val="002B6FEE"/>
    <w:rsid w:val="002B7E19"/>
    <w:rsid w:val="002D2B26"/>
    <w:rsid w:val="002D394B"/>
    <w:rsid w:val="002D6E65"/>
    <w:rsid w:val="002D7EA2"/>
    <w:rsid w:val="002E187C"/>
    <w:rsid w:val="002E4FC2"/>
    <w:rsid w:val="002E66A7"/>
    <w:rsid w:val="002E7AD8"/>
    <w:rsid w:val="002F02E6"/>
    <w:rsid w:val="002F23E1"/>
    <w:rsid w:val="003019D1"/>
    <w:rsid w:val="00302733"/>
    <w:rsid w:val="0030292F"/>
    <w:rsid w:val="003044FA"/>
    <w:rsid w:val="00305835"/>
    <w:rsid w:val="003065B8"/>
    <w:rsid w:val="00306A07"/>
    <w:rsid w:val="00306F33"/>
    <w:rsid w:val="0031243C"/>
    <w:rsid w:val="00314078"/>
    <w:rsid w:val="0031535D"/>
    <w:rsid w:val="00315A2A"/>
    <w:rsid w:val="00317A9F"/>
    <w:rsid w:val="003239B8"/>
    <w:rsid w:val="003243B5"/>
    <w:rsid w:val="00330C45"/>
    <w:rsid w:val="0033169F"/>
    <w:rsid w:val="003325E7"/>
    <w:rsid w:val="003370C4"/>
    <w:rsid w:val="0034021C"/>
    <w:rsid w:val="00340773"/>
    <w:rsid w:val="0034126B"/>
    <w:rsid w:val="00344977"/>
    <w:rsid w:val="00344D54"/>
    <w:rsid w:val="00346C95"/>
    <w:rsid w:val="00351868"/>
    <w:rsid w:val="00356185"/>
    <w:rsid w:val="003576D7"/>
    <w:rsid w:val="00360380"/>
    <w:rsid w:val="0037519E"/>
    <w:rsid w:val="00377C05"/>
    <w:rsid w:val="00383298"/>
    <w:rsid w:val="00386CF0"/>
    <w:rsid w:val="003878C8"/>
    <w:rsid w:val="00390D8D"/>
    <w:rsid w:val="00391406"/>
    <w:rsid w:val="00394073"/>
    <w:rsid w:val="003942D7"/>
    <w:rsid w:val="00397AA5"/>
    <w:rsid w:val="003A6268"/>
    <w:rsid w:val="003B3299"/>
    <w:rsid w:val="003B4FC8"/>
    <w:rsid w:val="003B70FB"/>
    <w:rsid w:val="003C2E8A"/>
    <w:rsid w:val="003C4201"/>
    <w:rsid w:val="003C52D9"/>
    <w:rsid w:val="003C5D09"/>
    <w:rsid w:val="003C676B"/>
    <w:rsid w:val="003D3BC2"/>
    <w:rsid w:val="003D767F"/>
    <w:rsid w:val="003E119F"/>
    <w:rsid w:val="003E4BEF"/>
    <w:rsid w:val="003E66E0"/>
    <w:rsid w:val="003E6CA1"/>
    <w:rsid w:val="003F5154"/>
    <w:rsid w:val="003F5F70"/>
    <w:rsid w:val="003F6387"/>
    <w:rsid w:val="004008D3"/>
    <w:rsid w:val="00401745"/>
    <w:rsid w:val="00403E93"/>
    <w:rsid w:val="00404800"/>
    <w:rsid w:val="00405F9C"/>
    <w:rsid w:val="004065A8"/>
    <w:rsid w:val="00407C76"/>
    <w:rsid w:val="00411549"/>
    <w:rsid w:val="00415771"/>
    <w:rsid w:val="00415E06"/>
    <w:rsid w:val="004165C2"/>
    <w:rsid w:val="00417667"/>
    <w:rsid w:val="00421422"/>
    <w:rsid w:val="00423C4D"/>
    <w:rsid w:val="004241A0"/>
    <w:rsid w:val="00431DF5"/>
    <w:rsid w:val="004409FC"/>
    <w:rsid w:val="00441ECB"/>
    <w:rsid w:val="00443073"/>
    <w:rsid w:val="00445193"/>
    <w:rsid w:val="00450066"/>
    <w:rsid w:val="00454AA5"/>
    <w:rsid w:val="00455183"/>
    <w:rsid w:val="00460CED"/>
    <w:rsid w:val="004612F0"/>
    <w:rsid w:val="00462C1B"/>
    <w:rsid w:val="00462F22"/>
    <w:rsid w:val="00467B7E"/>
    <w:rsid w:val="004732EF"/>
    <w:rsid w:val="00473BB4"/>
    <w:rsid w:val="004752F8"/>
    <w:rsid w:val="004762CD"/>
    <w:rsid w:val="00477592"/>
    <w:rsid w:val="00480462"/>
    <w:rsid w:val="00483151"/>
    <w:rsid w:val="00484D79"/>
    <w:rsid w:val="00486F1C"/>
    <w:rsid w:val="00491FE9"/>
    <w:rsid w:val="00493BC9"/>
    <w:rsid w:val="0049419D"/>
    <w:rsid w:val="004A057B"/>
    <w:rsid w:val="004A1A74"/>
    <w:rsid w:val="004A1FEA"/>
    <w:rsid w:val="004A5A52"/>
    <w:rsid w:val="004A65CC"/>
    <w:rsid w:val="004A6A54"/>
    <w:rsid w:val="004B3885"/>
    <w:rsid w:val="004B421C"/>
    <w:rsid w:val="004B4BEC"/>
    <w:rsid w:val="004B5208"/>
    <w:rsid w:val="004C17B3"/>
    <w:rsid w:val="004C20D2"/>
    <w:rsid w:val="004C2312"/>
    <w:rsid w:val="004C3669"/>
    <w:rsid w:val="004C4B62"/>
    <w:rsid w:val="004C54C9"/>
    <w:rsid w:val="004D0BF4"/>
    <w:rsid w:val="004D4ABA"/>
    <w:rsid w:val="004D5034"/>
    <w:rsid w:val="004D6025"/>
    <w:rsid w:val="004E2649"/>
    <w:rsid w:val="004E329A"/>
    <w:rsid w:val="004F04FA"/>
    <w:rsid w:val="004F095F"/>
    <w:rsid w:val="004F0B13"/>
    <w:rsid w:val="004F2F4C"/>
    <w:rsid w:val="004F3018"/>
    <w:rsid w:val="004F626F"/>
    <w:rsid w:val="004F7C62"/>
    <w:rsid w:val="00500028"/>
    <w:rsid w:val="00501399"/>
    <w:rsid w:val="00501E47"/>
    <w:rsid w:val="005047ED"/>
    <w:rsid w:val="00505F87"/>
    <w:rsid w:val="0050633D"/>
    <w:rsid w:val="00507BC4"/>
    <w:rsid w:val="005124F6"/>
    <w:rsid w:val="005128E4"/>
    <w:rsid w:val="005133DB"/>
    <w:rsid w:val="00514504"/>
    <w:rsid w:val="00521E1F"/>
    <w:rsid w:val="00525560"/>
    <w:rsid w:val="0053366B"/>
    <w:rsid w:val="00540715"/>
    <w:rsid w:val="00543B95"/>
    <w:rsid w:val="00544C49"/>
    <w:rsid w:val="005516A1"/>
    <w:rsid w:val="005559EF"/>
    <w:rsid w:val="005569A2"/>
    <w:rsid w:val="005575C0"/>
    <w:rsid w:val="00561984"/>
    <w:rsid w:val="00563557"/>
    <w:rsid w:val="00567290"/>
    <w:rsid w:val="00572AB1"/>
    <w:rsid w:val="0057402A"/>
    <w:rsid w:val="00574ED4"/>
    <w:rsid w:val="005750D5"/>
    <w:rsid w:val="005771D0"/>
    <w:rsid w:val="0059191A"/>
    <w:rsid w:val="00592159"/>
    <w:rsid w:val="005921FF"/>
    <w:rsid w:val="00596362"/>
    <w:rsid w:val="005A194C"/>
    <w:rsid w:val="005A24ED"/>
    <w:rsid w:val="005A6D0E"/>
    <w:rsid w:val="005B4603"/>
    <w:rsid w:val="005B4F6F"/>
    <w:rsid w:val="005B52B0"/>
    <w:rsid w:val="005B6656"/>
    <w:rsid w:val="005B6806"/>
    <w:rsid w:val="005C026D"/>
    <w:rsid w:val="005C188C"/>
    <w:rsid w:val="005C4225"/>
    <w:rsid w:val="005C573A"/>
    <w:rsid w:val="005D3DE1"/>
    <w:rsid w:val="005D5138"/>
    <w:rsid w:val="005D72C7"/>
    <w:rsid w:val="005E1DD4"/>
    <w:rsid w:val="005F0C81"/>
    <w:rsid w:val="005F0DAD"/>
    <w:rsid w:val="005F0F33"/>
    <w:rsid w:val="005F36E8"/>
    <w:rsid w:val="005F7524"/>
    <w:rsid w:val="00600DEB"/>
    <w:rsid w:val="00604D6F"/>
    <w:rsid w:val="00606831"/>
    <w:rsid w:val="006102B2"/>
    <w:rsid w:val="00612A0A"/>
    <w:rsid w:val="00613ACD"/>
    <w:rsid w:val="00613D63"/>
    <w:rsid w:val="00614BDA"/>
    <w:rsid w:val="00615363"/>
    <w:rsid w:val="006164D2"/>
    <w:rsid w:val="00620C6F"/>
    <w:rsid w:val="00622B9E"/>
    <w:rsid w:val="00626E5D"/>
    <w:rsid w:val="00627C9F"/>
    <w:rsid w:val="006311E9"/>
    <w:rsid w:val="00632354"/>
    <w:rsid w:val="00632C85"/>
    <w:rsid w:val="006342FD"/>
    <w:rsid w:val="00635421"/>
    <w:rsid w:val="00635507"/>
    <w:rsid w:val="00637154"/>
    <w:rsid w:val="00641AA8"/>
    <w:rsid w:val="00641AAA"/>
    <w:rsid w:val="00641FED"/>
    <w:rsid w:val="00642810"/>
    <w:rsid w:val="00642B15"/>
    <w:rsid w:val="0064359E"/>
    <w:rsid w:val="006502B2"/>
    <w:rsid w:val="006508E0"/>
    <w:rsid w:val="00652333"/>
    <w:rsid w:val="006532B5"/>
    <w:rsid w:val="006563B7"/>
    <w:rsid w:val="006649FC"/>
    <w:rsid w:val="006708AE"/>
    <w:rsid w:val="00672468"/>
    <w:rsid w:val="00675E14"/>
    <w:rsid w:val="0068009E"/>
    <w:rsid w:val="00680B4E"/>
    <w:rsid w:val="00680EAD"/>
    <w:rsid w:val="00690DEA"/>
    <w:rsid w:val="00692219"/>
    <w:rsid w:val="006A014C"/>
    <w:rsid w:val="006A17D2"/>
    <w:rsid w:val="006A5F70"/>
    <w:rsid w:val="006A68DD"/>
    <w:rsid w:val="006A73E6"/>
    <w:rsid w:val="006B20E3"/>
    <w:rsid w:val="006B2D5C"/>
    <w:rsid w:val="006B3A1B"/>
    <w:rsid w:val="006C0ECF"/>
    <w:rsid w:val="006C2910"/>
    <w:rsid w:val="006C3654"/>
    <w:rsid w:val="006C4EB1"/>
    <w:rsid w:val="006C4EF6"/>
    <w:rsid w:val="006D76FF"/>
    <w:rsid w:val="006E0166"/>
    <w:rsid w:val="006E2FFB"/>
    <w:rsid w:val="006E7B34"/>
    <w:rsid w:val="006F4690"/>
    <w:rsid w:val="006F647A"/>
    <w:rsid w:val="006F6BED"/>
    <w:rsid w:val="006F6F38"/>
    <w:rsid w:val="007021BC"/>
    <w:rsid w:val="00705CEB"/>
    <w:rsid w:val="00706825"/>
    <w:rsid w:val="0070697F"/>
    <w:rsid w:val="00707D78"/>
    <w:rsid w:val="007103C4"/>
    <w:rsid w:val="00712208"/>
    <w:rsid w:val="00717A6F"/>
    <w:rsid w:val="00720FA3"/>
    <w:rsid w:val="0072199C"/>
    <w:rsid w:val="00722C9F"/>
    <w:rsid w:val="007253B8"/>
    <w:rsid w:val="007265F1"/>
    <w:rsid w:val="0073709A"/>
    <w:rsid w:val="0073741F"/>
    <w:rsid w:val="00740E71"/>
    <w:rsid w:val="007461AD"/>
    <w:rsid w:val="0074667D"/>
    <w:rsid w:val="007504E8"/>
    <w:rsid w:val="00752CB4"/>
    <w:rsid w:val="00760CF2"/>
    <w:rsid w:val="00762207"/>
    <w:rsid w:val="00762B4F"/>
    <w:rsid w:val="00766268"/>
    <w:rsid w:val="0076641D"/>
    <w:rsid w:val="0076643F"/>
    <w:rsid w:val="00767B01"/>
    <w:rsid w:val="007723E0"/>
    <w:rsid w:val="00774065"/>
    <w:rsid w:val="007743B6"/>
    <w:rsid w:val="007744B6"/>
    <w:rsid w:val="00774A3D"/>
    <w:rsid w:val="00777F63"/>
    <w:rsid w:val="0078046C"/>
    <w:rsid w:val="00780956"/>
    <w:rsid w:val="0078256C"/>
    <w:rsid w:val="007873B6"/>
    <w:rsid w:val="00797C15"/>
    <w:rsid w:val="007A5817"/>
    <w:rsid w:val="007B05C4"/>
    <w:rsid w:val="007B0A06"/>
    <w:rsid w:val="007B2EBB"/>
    <w:rsid w:val="007B60E9"/>
    <w:rsid w:val="007B6CC3"/>
    <w:rsid w:val="007B76D3"/>
    <w:rsid w:val="007C1D05"/>
    <w:rsid w:val="007C3334"/>
    <w:rsid w:val="007C7029"/>
    <w:rsid w:val="007C715A"/>
    <w:rsid w:val="007D08D7"/>
    <w:rsid w:val="007D2B98"/>
    <w:rsid w:val="007D4AD6"/>
    <w:rsid w:val="007D60F5"/>
    <w:rsid w:val="007E1589"/>
    <w:rsid w:val="007E21BC"/>
    <w:rsid w:val="007E563E"/>
    <w:rsid w:val="007E72C5"/>
    <w:rsid w:val="007E7C82"/>
    <w:rsid w:val="007F2AA1"/>
    <w:rsid w:val="007F2BA5"/>
    <w:rsid w:val="007F588D"/>
    <w:rsid w:val="007F74EE"/>
    <w:rsid w:val="00803F1C"/>
    <w:rsid w:val="0080600E"/>
    <w:rsid w:val="00810C95"/>
    <w:rsid w:val="00811C8F"/>
    <w:rsid w:val="00814688"/>
    <w:rsid w:val="00817612"/>
    <w:rsid w:val="008261C9"/>
    <w:rsid w:val="00830070"/>
    <w:rsid w:val="008338A4"/>
    <w:rsid w:val="00834D49"/>
    <w:rsid w:val="00837C45"/>
    <w:rsid w:val="0084046B"/>
    <w:rsid w:val="00842DB1"/>
    <w:rsid w:val="00844730"/>
    <w:rsid w:val="008457C2"/>
    <w:rsid w:val="00857A82"/>
    <w:rsid w:val="0086342B"/>
    <w:rsid w:val="00863ECE"/>
    <w:rsid w:val="008646F3"/>
    <w:rsid w:val="00865C99"/>
    <w:rsid w:val="00867921"/>
    <w:rsid w:val="00870DD9"/>
    <w:rsid w:val="00872630"/>
    <w:rsid w:val="00873836"/>
    <w:rsid w:val="008748FB"/>
    <w:rsid w:val="0088043E"/>
    <w:rsid w:val="00881258"/>
    <w:rsid w:val="00882D28"/>
    <w:rsid w:val="008830D0"/>
    <w:rsid w:val="00885465"/>
    <w:rsid w:val="00885737"/>
    <w:rsid w:val="00890650"/>
    <w:rsid w:val="008944DC"/>
    <w:rsid w:val="00897E12"/>
    <w:rsid w:val="008A48C8"/>
    <w:rsid w:val="008A731B"/>
    <w:rsid w:val="008A7E0F"/>
    <w:rsid w:val="008B12F5"/>
    <w:rsid w:val="008B382D"/>
    <w:rsid w:val="008B75EB"/>
    <w:rsid w:val="008C4DEE"/>
    <w:rsid w:val="008C5E2D"/>
    <w:rsid w:val="008D0594"/>
    <w:rsid w:val="008D768D"/>
    <w:rsid w:val="008E1605"/>
    <w:rsid w:val="008E3759"/>
    <w:rsid w:val="008E3BFE"/>
    <w:rsid w:val="008E47AC"/>
    <w:rsid w:val="008F1912"/>
    <w:rsid w:val="0090270B"/>
    <w:rsid w:val="009036AD"/>
    <w:rsid w:val="009041DC"/>
    <w:rsid w:val="009055C0"/>
    <w:rsid w:val="00907F57"/>
    <w:rsid w:val="00913E68"/>
    <w:rsid w:val="00914D42"/>
    <w:rsid w:val="00917B5A"/>
    <w:rsid w:val="0092044D"/>
    <w:rsid w:val="00920A58"/>
    <w:rsid w:val="00920A8C"/>
    <w:rsid w:val="0092229A"/>
    <w:rsid w:val="00924C32"/>
    <w:rsid w:val="00926258"/>
    <w:rsid w:val="00926566"/>
    <w:rsid w:val="00926E4C"/>
    <w:rsid w:val="00930D3E"/>
    <w:rsid w:val="0093321C"/>
    <w:rsid w:val="00934A2C"/>
    <w:rsid w:val="00940DEB"/>
    <w:rsid w:val="00943FC2"/>
    <w:rsid w:val="00944F3F"/>
    <w:rsid w:val="009570DB"/>
    <w:rsid w:val="00960EDD"/>
    <w:rsid w:val="009624F7"/>
    <w:rsid w:val="009627FF"/>
    <w:rsid w:val="009633C6"/>
    <w:rsid w:val="0096706E"/>
    <w:rsid w:val="00967C75"/>
    <w:rsid w:val="009735E7"/>
    <w:rsid w:val="00974491"/>
    <w:rsid w:val="00975C4E"/>
    <w:rsid w:val="00977A9A"/>
    <w:rsid w:val="00981FBA"/>
    <w:rsid w:val="009935AC"/>
    <w:rsid w:val="00997BC5"/>
    <w:rsid w:val="009A4F41"/>
    <w:rsid w:val="009A56CE"/>
    <w:rsid w:val="009B1CFC"/>
    <w:rsid w:val="009B381B"/>
    <w:rsid w:val="009B3A68"/>
    <w:rsid w:val="009B418D"/>
    <w:rsid w:val="009B53CC"/>
    <w:rsid w:val="009B7814"/>
    <w:rsid w:val="009C039E"/>
    <w:rsid w:val="009C0A2D"/>
    <w:rsid w:val="009C1847"/>
    <w:rsid w:val="009C20C0"/>
    <w:rsid w:val="009C64FD"/>
    <w:rsid w:val="009D1753"/>
    <w:rsid w:val="009D2C17"/>
    <w:rsid w:val="009D7611"/>
    <w:rsid w:val="009E0B61"/>
    <w:rsid w:val="009E3E7A"/>
    <w:rsid w:val="009E53DE"/>
    <w:rsid w:val="009F1577"/>
    <w:rsid w:val="009F21D3"/>
    <w:rsid w:val="009F223F"/>
    <w:rsid w:val="009F265B"/>
    <w:rsid w:val="009F34F0"/>
    <w:rsid w:val="00A04E5F"/>
    <w:rsid w:val="00A11212"/>
    <w:rsid w:val="00A1151B"/>
    <w:rsid w:val="00A11E44"/>
    <w:rsid w:val="00A15562"/>
    <w:rsid w:val="00A260A2"/>
    <w:rsid w:val="00A30100"/>
    <w:rsid w:val="00A31134"/>
    <w:rsid w:val="00A328B3"/>
    <w:rsid w:val="00A32A2D"/>
    <w:rsid w:val="00A3376C"/>
    <w:rsid w:val="00A34824"/>
    <w:rsid w:val="00A42715"/>
    <w:rsid w:val="00A45329"/>
    <w:rsid w:val="00A46383"/>
    <w:rsid w:val="00A46F73"/>
    <w:rsid w:val="00A50FCF"/>
    <w:rsid w:val="00A512D5"/>
    <w:rsid w:val="00A528D1"/>
    <w:rsid w:val="00A54452"/>
    <w:rsid w:val="00A60FC7"/>
    <w:rsid w:val="00A610CD"/>
    <w:rsid w:val="00A65D06"/>
    <w:rsid w:val="00A674F4"/>
    <w:rsid w:val="00A67A70"/>
    <w:rsid w:val="00A70F02"/>
    <w:rsid w:val="00A758AA"/>
    <w:rsid w:val="00A76756"/>
    <w:rsid w:val="00A81D35"/>
    <w:rsid w:val="00A90A48"/>
    <w:rsid w:val="00A94644"/>
    <w:rsid w:val="00A955A9"/>
    <w:rsid w:val="00AA09A2"/>
    <w:rsid w:val="00AA43DE"/>
    <w:rsid w:val="00AA4767"/>
    <w:rsid w:val="00AA4F86"/>
    <w:rsid w:val="00AA5638"/>
    <w:rsid w:val="00AA5BDD"/>
    <w:rsid w:val="00AA678C"/>
    <w:rsid w:val="00AA746B"/>
    <w:rsid w:val="00AA7996"/>
    <w:rsid w:val="00AB08C2"/>
    <w:rsid w:val="00AB36A2"/>
    <w:rsid w:val="00AB62B1"/>
    <w:rsid w:val="00AC0106"/>
    <w:rsid w:val="00AC19CB"/>
    <w:rsid w:val="00AC604A"/>
    <w:rsid w:val="00AD3003"/>
    <w:rsid w:val="00AE32A9"/>
    <w:rsid w:val="00AE5488"/>
    <w:rsid w:val="00AE63D9"/>
    <w:rsid w:val="00AE68D1"/>
    <w:rsid w:val="00AE6F91"/>
    <w:rsid w:val="00AF115D"/>
    <w:rsid w:val="00AF3FBD"/>
    <w:rsid w:val="00AF5571"/>
    <w:rsid w:val="00B013E9"/>
    <w:rsid w:val="00B02C08"/>
    <w:rsid w:val="00B04818"/>
    <w:rsid w:val="00B0643A"/>
    <w:rsid w:val="00B07341"/>
    <w:rsid w:val="00B110D2"/>
    <w:rsid w:val="00B11A0F"/>
    <w:rsid w:val="00B11D5E"/>
    <w:rsid w:val="00B12CDA"/>
    <w:rsid w:val="00B13667"/>
    <w:rsid w:val="00B14932"/>
    <w:rsid w:val="00B20C47"/>
    <w:rsid w:val="00B235A3"/>
    <w:rsid w:val="00B25CD0"/>
    <w:rsid w:val="00B2600B"/>
    <w:rsid w:val="00B27B65"/>
    <w:rsid w:val="00B303F7"/>
    <w:rsid w:val="00B30539"/>
    <w:rsid w:val="00B314DB"/>
    <w:rsid w:val="00B3180C"/>
    <w:rsid w:val="00B361F2"/>
    <w:rsid w:val="00B365D1"/>
    <w:rsid w:val="00B3718B"/>
    <w:rsid w:val="00B3745F"/>
    <w:rsid w:val="00B42152"/>
    <w:rsid w:val="00B4297F"/>
    <w:rsid w:val="00B43E96"/>
    <w:rsid w:val="00B443C7"/>
    <w:rsid w:val="00B45A70"/>
    <w:rsid w:val="00B46084"/>
    <w:rsid w:val="00B4632A"/>
    <w:rsid w:val="00B530F1"/>
    <w:rsid w:val="00B542C6"/>
    <w:rsid w:val="00B62B90"/>
    <w:rsid w:val="00B649C4"/>
    <w:rsid w:val="00B65EB4"/>
    <w:rsid w:val="00B662AC"/>
    <w:rsid w:val="00B66DD0"/>
    <w:rsid w:val="00B73754"/>
    <w:rsid w:val="00B74E47"/>
    <w:rsid w:val="00B774D8"/>
    <w:rsid w:val="00B84FCE"/>
    <w:rsid w:val="00B8526F"/>
    <w:rsid w:val="00B93D7F"/>
    <w:rsid w:val="00B9501A"/>
    <w:rsid w:val="00B961CF"/>
    <w:rsid w:val="00BA1187"/>
    <w:rsid w:val="00BA276C"/>
    <w:rsid w:val="00BA456A"/>
    <w:rsid w:val="00BB019D"/>
    <w:rsid w:val="00BB01DC"/>
    <w:rsid w:val="00BB306F"/>
    <w:rsid w:val="00BB3E60"/>
    <w:rsid w:val="00BB4EDC"/>
    <w:rsid w:val="00BB4FF3"/>
    <w:rsid w:val="00BB6523"/>
    <w:rsid w:val="00BD01F0"/>
    <w:rsid w:val="00BD0FF5"/>
    <w:rsid w:val="00BD34E9"/>
    <w:rsid w:val="00BD4B89"/>
    <w:rsid w:val="00BD5922"/>
    <w:rsid w:val="00BD69A4"/>
    <w:rsid w:val="00BD71F3"/>
    <w:rsid w:val="00BE0DC4"/>
    <w:rsid w:val="00BE3CD0"/>
    <w:rsid w:val="00BE5E6F"/>
    <w:rsid w:val="00BF02CB"/>
    <w:rsid w:val="00BF47EB"/>
    <w:rsid w:val="00BF6FD8"/>
    <w:rsid w:val="00C03680"/>
    <w:rsid w:val="00C046D2"/>
    <w:rsid w:val="00C054DF"/>
    <w:rsid w:val="00C056CD"/>
    <w:rsid w:val="00C05B7F"/>
    <w:rsid w:val="00C06DDD"/>
    <w:rsid w:val="00C21762"/>
    <w:rsid w:val="00C21FEF"/>
    <w:rsid w:val="00C23BA4"/>
    <w:rsid w:val="00C24543"/>
    <w:rsid w:val="00C256A2"/>
    <w:rsid w:val="00C25ADB"/>
    <w:rsid w:val="00C26AE6"/>
    <w:rsid w:val="00C2767A"/>
    <w:rsid w:val="00C31268"/>
    <w:rsid w:val="00C37DE2"/>
    <w:rsid w:val="00C41D8A"/>
    <w:rsid w:val="00C4275E"/>
    <w:rsid w:val="00C44EB1"/>
    <w:rsid w:val="00C466BD"/>
    <w:rsid w:val="00C47401"/>
    <w:rsid w:val="00C51515"/>
    <w:rsid w:val="00C55AFB"/>
    <w:rsid w:val="00C5660B"/>
    <w:rsid w:val="00C6183C"/>
    <w:rsid w:val="00C642D2"/>
    <w:rsid w:val="00C66B72"/>
    <w:rsid w:val="00C70ACC"/>
    <w:rsid w:val="00C71BEE"/>
    <w:rsid w:val="00C72196"/>
    <w:rsid w:val="00C7310B"/>
    <w:rsid w:val="00C73798"/>
    <w:rsid w:val="00C74157"/>
    <w:rsid w:val="00C83D45"/>
    <w:rsid w:val="00C847E9"/>
    <w:rsid w:val="00C85A0A"/>
    <w:rsid w:val="00C87AC4"/>
    <w:rsid w:val="00C900FE"/>
    <w:rsid w:val="00C922AE"/>
    <w:rsid w:val="00C9567A"/>
    <w:rsid w:val="00C96A1B"/>
    <w:rsid w:val="00CA0BBD"/>
    <w:rsid w:val="00CA10AD"/>
    <w:rsid w:val="00CA5EDC"/>
    <w:rsid w:val="00CB212D"/>
    <w:rsid w:val="00CB2310"/>
    <w:rsid w:val="00CB2660"/>
    <w:rsid w:val="00CB6407"/>
    <w:rsid w:val="00CB7E3D"/>
    <w:rsid w:val="00CC22F0"/>
    <w:rsid w:val="00CC5E90"/>
    <w:rsid w:val="00CC75E3"/>
    <w:rsid w:val="00CD046C"/>
    <w:rsid w:val="00CD0E9F"/>
    <w:rsid w:val="00CD2F33"/>
    <w:rsid w:val="00CD4CEB"/>
    <w:rsid w:val="00CD6B06"/>
    <w:rsid w:val="00CE076C"/>
    <w:rsid w:val="00CE1686"/>
    <w:rsid w:val="00CE5199"/>
    <w:rsid w:val="00CE51C6"/>
    <w:rsid w:val="00CE66D5"/>
    <w:rsid w:val="00CF1989"/>
    <w:rsid w:val="00CF288C"/>
    <w:rsid w:val="00CF637A"/>
    <w:rsid w:val="00CF652C"/>
    <w:rsid w:val="00D0215C"/>
    <w:rsid w:val="00D03E6C"/>
    <w:rsid w:val="00D04DCC"/>
    <w:rsid w:val="00D059DE"/>
    <w:rsid w:val="00D05ABD"/>
    <w:rsid w:val="00D067A0"/>
    <w:rsid w:val="00D11074"/>
    <w:rsid w:val="00D1193C"/>
    <w:rsid w:val="00D12106"/>
    <w:rsid w:val="00D12BAD"/>
    <w:rsid w:val="00D12C1F"/>
    <w:rsid w:val="00D13FCE"/>
    <w:rsid w:val="00D17EA2"/>
    <w:rsid w:val="00D21AF3"/>
    <w:rsid w:val="00D2414C"/>
    <w:rsid w:val="00D24580"/>
    <w:rsid w:val="00D25290"/>
    <w:rsid w:val="00D2732F"/>
    <w:rsid w:val="00D306D1"/>
    <w:rsid w:val="00D30800"/>
    <w:rsid w:val="00D34477"/>
    <w:rsid w:val="00D34786"/>
    <w:rsid w:val="00D3509C"/>
    <w:rsid w:val="00D37BFC"/>
    <w:rsid w:val="00D4366E"/>
    <w:rsid w:val="00D442AA"/>
    <w:rsid w:val="00D47A8E"/>
    <w:rsid w:val="00D47F3A"/>
    <w:rsid w:val="00D51F12"/>
    <w:rsid w:val="00D52D14"/>
    <w:rsid w:val="00D570B9"/>
    <w:rsid w:val="00D63F67"/>
    <w:rsid w:val="00D71063"/>
    <w:rsid w:val="00D712D3"/>
    <w:rsid w:val="00D71422"/>
    <w:rsid w:val="00D72100"/>
    <w:rsid w:val="00D72DC6"/>
    <w:rsid w:val="00D74650"/>
    <w:rsid w:val="00D7558D"/>
    <w:rsid w:val="00D763F3"/>
    <w:rsid w:val="00D76E0A"/>
    <w:rsid w:val="00D77782"/>
    <w:rsid w:val="00D80DE9"/>
    <w:rsid w:val="00D81D92"/>
    <w:rsid w:val="00D876F9"/>
    <w:rsid w:val="00DA1036"/>
    <w:rsid w:val="00DA1CC2"/>
    <w:rsid w:val="00DA5360"/>
    <w:rsid w:val="00DA7B5F"/>
    <w:rsid w:val="00DB5261"/>
    <w:rsid w:val="00DC006E"/>
    <w:rsid w:val="00DC11E7"/>
    <w:rsid w:val="00DC24E3"/>
    <w:rsid w:val="00DC3047"/>
    <w:rsid w:val="00DC520C"/>
    <w:rsid w:val="00DC7023"/>
    <w:rsid w:val="00DC769A"/>
    <w:rsid w:val="00DD3D86"/>
    <w:rsid w:val="00DD4AD2"/>
    <w:rsid w:val="00DE2862"/>
    <w:rsid w:val="00DE2B2F"/>
    <w:rsid w:val="00DE70FF"/>
    <w:rsid w:val="00DF1EC4"/>
    <w:rsid w:val="00DF221F"/>
    <w:rsid w:val="00E02224"/>
    <w:rsid w:val="00E0340B"/>
    <w:rsid w:val="00E043E2"/>
    <w:rsid w:val="00E04A90"/>
    <w:rsid w:val="00E0551F"/>
    <w:rsid w:val="00E10DA7"/>
    <w:rsid w:val="00E11650"/>
    <w:rsid w:val="00E122AF"/>
    <w:rsid w:val="00E124BF"/>
    <w:rsid w:val="00E16043"/>
    <w:rsid w:val="00E16086"/>
    <w:rsid w:val="00E219C7"/>
    <w:rsid w:val="00E22609"/>
    <w:rsid w:val="00E24C5A"/>
    <w:rsid w:val="00E25AC1"/>
    <w:rsid w:val="00E269F1"/>
    <w:rsid w:val="00E33B8B"/>
    <w:rsid w:val="00E4118C"/>
    <w:rsid w:val="00E43157"/>
    <w:rsid w:val="00E461CE"/>
    <w:rsid w:val="00E473D7"/>
    <w:rsid w:val="00E50EC9"/>
    <w:rsid w:val="00E53400"/>
    <w:rsid w:val="00E53FB0"/>
    <w:rsid w:val="00E55E92"/>
    <w:rsid w:val="00E5723C"/>
    <w:rsid w:val="00E573E4"/>
    <w:rsid w:val="00E6177A"/>
    <w:rsid w:val="00E64C3D"/>
    <w:rsid w:val="00E66DCD"/>
    <w:rsid w:val="00E720CA"/>
    <w:rsid w:val="00E768F6"/>
    <w:rsid w:val="00E76E06"/>
    <w:rsid w:val="00E800BD"/>
    <w:rsid w:val="00E812D0"/>
    <w:rsid w:val="00E81E3B"/>
    <w:rsid w:val="00E83EEA"/>
    <w:rsid w:val="00E844D2"/>
    <w:rsid w:val="00E84EB5"/>
    <w:rsid w:val="00E85662"/>
    <w:rsid w:val="00E8789F"/>
    <w:rsid w:val="00E97AEB"/>
    <w:rsid w:val="00E97B71"/>
    <w:rsid w:val="00EA1847"/>
    <w:rsid w:val="00EA3332"/>
    <w:rsid w:val="00EA3C33"/>
    <w:rsid w:val="00EA3D34"/>
    <w:rsid w:val="00EB454D"/>
    <w:rsid w:val="00EB4EC7"/>
    <w:rsid w:val="00EB65E8"/>
    <w:rsid w:val="00EB7D79"/>
    <w:rsid w:val="00EB7E86"/>
    <w:rsid w:val="00EC0142"/>
    <w:rsid w:val="00EC20E5"/>
    <w:rsid w:val="00EC671C"/>
    <w:rsid w:val="00ED549D"/>
    <w:rsid w:val="00ED5E10"/>
    <w:rsid w:val="00ED76BE"/>
    <w:rsid w:val="00EE00E9"/>
    <w:rsid w:val="00EE16E6"/>
    <w:rsid w:val="00EE1A19"/>
    <w:rsid w:val="00EE527A"/>
    <w:rsid w:val="00EF0A32"/>
    <w:rsid w:val="00EF1AAA"/>
    <w:rsid w:val="00EF1BBD"/>
    <w:rsid w:val="00EF5DAD"/>
    <w:rsid w:val="00EF619B"/>
    <w:rsid w:val="00F00B55"/>
    <w:rsid w:val="00F01BCD"/>
    <w:rsid w:val="00F02AD1"/>
    <w:rsid w:val="00F1223E"/>
    <w:rsid w:val="00F12A17"/>
    <w:rsid w:val="00F13AD0"/>
    <w:rsid w:val="00F15B64"/>
    <w:rsid w:val="00F240F7"/>
    <w:rsid w:val="00F253CC"/>
    <w:rsid w:val="00F26B27"/>
    <w:rsid w:val="00F30A9D"/>
    <w:rsid w:val="00F30D33"/>
    <w:rsid w:val="00F33C62"/>
    <w:rsid w:val="00F35D13"/>
    <w:rsid w:val="00F37106"/>
    <w:rsid w:val="00F435AC"/>
    <w:rsid w:val="00F44E25"/>
    <w:rsid w:val="00F454EE"/>
    <w:rsid w:val="00F519CF"/>
    <w:rsid w:val="00F51D72"/>
    <w:rsid w:val="00F56BA5"/>
    <w:rsid w:val="00F56ECB"/>
    <w:rsid w:val="00F572F6"/>
    <w:rsid w:val="00F60E22"/>
    <w:rsid w:val="00F62D49"/>
    <w:rsid w:val="00F7295D"/>
    <w:rsid w:val="00F7324E"/>
    <w:rsid w:val="00F75CC5"/>
    <w:rsid w:val="00F76F7C"/>
    <w:rsid w:val="00F81395"/>
    <w:rsid w:val="00F81BB8"/>
    <w:rsid w:val="00F90100"/>
    <w:rsid w:val="00F90C64"/>
    <w:rsid w:val="00F911DB"/>
    <w:rsid w:val="00F917D1"/>
    <w:rsid w:val="00F94E18"/>
    <w:rsid w:val="00F9653B"/>
    <w:rsid w:val="00F967B0"/>
    <w:rsid w:val="00FA3AEF"/>
    <w:rsid w:val="00FA7252"/>
    <w:rsid w:val="00FB1A00"/>
    <w:rsid w:val="00FB3EC4"/>
    <w:rsid w:val="00FB3F23"/>
    <w:rsid w:val="00FB5FDA"/>
    <w:rsid w:val="00FB62CF"/>
    <w:rsid w:val="00FC06F8"/>
    <w:rsid w:val="00FC57E7"/>
    <w:rsid w:val="00FC6CDC"/>
    <w:rsid w:val="00FD3C3B"/>
    <w:rsid w:val="00FD481F"/>
    <w:rsid w:val="00FE07DD"/>
    <w:rsid w:val="00FE6B45"/>
    <w:rsid w:val="00FF3F46"/>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semiHidden/>
    <w:unhideWhenUsed/>
    <w:rsid w:val="00DA5360"/>
    <w:rPr>
      <w:sz w:val="20"/>
      <w:szCs w:val="20"/>
    </w:rPr>
  </w:style>
  <w:style w:type="character" w:customStyle="1" w:styleId="CommentTextChar">
    <w:name w:val="Comment Text Char"/>
    <w:basedOn w:val="DefaultParagraphFont"/>
    <w:link w:val="CommentText"/>
    <w:uiPriority w:val="99"/>
    <w:semiHidden/>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styleId="UnresolvedMention">
    <w:name w:val="Unresolved Mention"/>
    <w:basedOn w:val="DefaultParagraphFont"/>
    <w:uiPriority w:val="99"/>
    <w:semiHidden/>
    <w:unhideWhenUsed/>
    <w:rsid w:val="00E844D2"/>
    <w:rPr>
      <w:color w:val="605E5C"/>
      <w:shd w:val="clear" w:color="auto" w:fill="E1DFDD"/>
    </w:rPr>
  </w:style>
  <w:style w:type="character" w:styleId="FollowedHyperlink">
    <w:name w:val="FollowedHyperlink"/>
    <w:basedOn w:val="DefaultParagraphFont"/>
    <w:uiPriority w:val="99"/>
    <w:semiHidden/>
    <w:unhideWhenUsed/>
    <w:rsid w:val="00E844D2"/>
    <w:rPr>
      <w:color w:val="800080" w:themeColor="followedHyperlink"/>
      <w:u w:val="single"/>
    </w:rPr>
  </w:style>
  <w:style w:type="paragraph" w:customStyle="1" w:styleId="paragraph">
    <w:name w:val="paragraph"/>
    <w:basedOn w:val="Normal"/>
    <w:rsid w:val="00D245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24580"/>
  </w:style>
  <w:style w:type="character" w:customStyle="1" w:styleId="eop">
    <w:name w:val="eop"/>
    <w:basedOn w:val="DefaultParagraphFont"/>
    <w:rsid w:val="00D2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37840977">
      <w:bodyDiv w:val="1"/>
      <w:marLeft w:val="0"/>
      <w:marRight w:val="0"/>
      <w:marTop w:val="0"/>
      <w:marBottom w:val="0"/>
      <w:divBdr>
        <w:top w:val="none" w:sz="0" w:space="0" w:color="auto"/>
        <w:left w:val="none" w:sz="0" w:space="0" w:color="auto"/>
        <w:bottom w:val="none" w:sz="0" w:space="0" w:color="auto"/>
        <w:right w:val="none" w:sz="0" w:space="0" w:color="auto"/>
      </w:divBdr>
      <w:divsChild>
        <w:div w:id="1976711909">
          <w:marLeft w:val="0"/>
          <w:marRight w:val="0"/>
          <w:marTop w:val="0"/>
          <w:marBottom w:val="0"/>
          <w:divBdr>
            <w:top w:val="none" w:sz="0" w:space="0" w:color="auto"/>
            <w:left w:val="none" w:sz="0" w:space="0" w:color="auto"/>
            <w:bottom w:val="none" w:sz="0" w:space="0" w:color="auto"/>
            <w:right w:val="none" w:sz="0" w:space="0" w:color="auto"/>
          </w:divBdr>
          <w:divsChild>
            <w:div w:id="2108646967">
              <w:marLeft w:val="0"/>
              <w:marRight w:val="0"/>
              <w:marTop w:val="0"/>
              <w:marBottom w:val="0"/>
              <w:divBdr>
                <w:top w:val="none" w:sz="0" w:space="0" w:color="auto"/>
                <w:left w:val="none" w:sz="0" w:space="0" w:color="auto"/>
                <w:bottom w:val="none" w:sz="0" w:space="0" w:color="auto"/>
                <w:right w:val="none" w:sz="0" w:space="0" w:color="auto"/>
              </w:divBdr>
              <w:divsChild>
                <w:div w:id="1687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8148">
      <w:bodyDiv w:val="1"/>
      <w:marLeft w:val="0"/>
      <w:marRight w:val="0"/>
      <w:marTop w:val="0"/>
      <w:marBottom w:val="0"/>
      <w:divBdr>
        <w:top w:val="none" w:sz="0" w:space="0" w:color="auto"/>
        <w:left w:val="none" w:sz="0" w:space="0" w:color="auto"/>
        <w:bottom w:val="none" w:sz="0" w:space="0" w:color="auto"/>
        <w:right w:val="none" w:sz="0" w:space="0" w:color="auto"/>
      </w:divBdr>
      <w:divsChild>
        <w:div w:id="1801722138">
          <w:marLeft w:val="0"/>
          <w:marRight w:val="0"/>
          <w:marTop w:val="0"/>
          <w:marBottom w:val="0"/>
          <w:divBdr>
            <w:top w:val="none" w:sz="0" w:space="0" w:color="auto"/>
            <w:left w:val="none" w:sz="0" w:space="0" w:color="auto"/>
            <w:bottom w:val="none" w:sz="0" w:space="0" w:color="auto"/>
            <w:right w:val="none" w:sz="0" w:space="0" w:color="auto"/>
          </w:divBdr>
          <w:divsChild>
            <w:div w:id="310256985">
              <w:marLeft w:val="0"/>
              <w:marRight w:val="0"/>
              <w:marTop w:val="0"/>
              <w:marBottom w:val="0"/>
              <w:divBdr>
                <w:top w:val="none" w:sz="0" w:space="0" w:color="auto"/>
                <w:left w:val="none" w:sz="0" w:space="0" w:color="auto"/>
                <w:bottom w:val="none" w:sz="0" w:space="0" w:color="auto"/>
                <w:right w:val="none" w:sz="0" w:space="0" w:color="auto"/>
              </w:divBdr>
              <w:divsChild>
                <w:div w:id="19831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3193">
      <w:bodyDiv w:val="1"/>
      <w:marLeft w:val="0"/>
      <w:marRight w:val="0"/>
      <w:marTop w:val="0"/>
      <w:marBottom w:val="0"/>
      <w:divBdr>
        <w:top w:val="none" w:sz="0" w:space="0" w:color="auto"/>
        <w:left w:val="none" w:sz="0" w:space="0" w:color="auto"/>
        <w:bottom w:val="none" w:sz="0" w:space="0" w:color="auto"/>
        <w:right w:val="none" w:sz="0" w:space="0" w:color="auto"/>
      </w:divBdr>
      <w:divsChild>
        <w:div w:id="502018152">
          <w:marLeft w:val="0"/>
          <w:marRight w:val="0"/>
          <w:marTop w:val="0"/>
          <w:marBottom w:val="0"/>
          <w:divBdr>
            <w:top w:val="none" w:sz="0" w:space="0" w:color="auto"/>
            <w:left w:val="none" w:sz="0" w:space="0" w:color="auto"/>
            <w:bottom w:val="none" w:sz="0" w:space="0" w:color="auto"/>
            <w:right w:val="none" w:sz="0" w:space="0" w:color="auto"/>
          </w:divBdr>
          <w:divsChild>
            <w:div w:id="2021353727">
              <w:marLeft w:val="0"/>
              <w:marRight w:val="0"/>
              <w:marTop w:val="0"/>
              <w:marBottom w:val="0"/>
              <w:divBdr>
                <w:top w:val="none" w:sz="0" w:space="0" w:color="auto"/>
                <w:left w:val="none" w:sz="0" w:space="0" w:color="auto"/>
                <w:bottom w:val="none" w:sz="0" w:space="0" w:color="auto"/>
                <w:right w:val="none" w:sz="0" w:space="0" w:color="auto"/>
              </w:divBdr>
              <w:divsChild>
                <w:div w:id="8928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5637">
      <w:bodyDiv w:val="1"/>
      <w:marLeft w:val="0"/>
      <w:marRight w:val="0"/>
      <w:marTop w:val="0"/>
      <w:marBottom w:val="0"/>
      <w:divBdr>
        <w:top w:val="none" w:sz="0" w:space="0" w:color="auto"/>
        <w:left w:val="none" w:sz="0" w:space="0" w:color="auto"/>
        <w:bottom w:val="none" w:sz="0" w:space="0" w:color="auto"/>
        <w:right w:val="none" w:sz="0" w:space="0" w:color="auto"/>
      </w:divBdr>
      <w:divsChild>
        <w:div w:id="741678459">
          <w:marLeft w:val="0"/>
          <w:marRight w:val="0"/>
          <w:marTop w:val="0"/>
          <w:marBottom w:val="0"/>
          <w:divBdr>
            <w:top w:val="none" w:sz="0" w:space="0" w:color="auto"/>
            <w:left w:val="none" w:sz="0" w:space="0" w:color="auto"/>
            <w:bottom w:val="none" w:sz="0" w:space="0" w:color="auto"/>
            <w:right w:val="none" w:sz="0" w:space="0" w:color="auto"/>
          </w:divBdr>
          <w:divsChild>
            <w:div w:id="716049647">
              <w:marLeft w:val="0"/>
              <w:marRight w:val="0"/>
              <w:marTop w:val="0"/>
              <w:marBottom w:val="0"/>
              <w:divBdr>
                <w:top w:val="none" w:sz="0" w:space="0" w:color="auto"/>
                <w:left w:val="none" w:sz="0" w:space="0" w:color="auto"/>
                <w:bottom w:val="none" w:sz="0" w:space="0" w:color="auto"/>
                <w:right w:val="none" w:sz="0" w:space="0" w:color="auto"/>
              </w:divBdr>
              <w:divsChild>
                <w:div w:id="1531336124">
                  <w:marLeft w:val="0"/>
                  <w:marRight w:val="0"/>
                  <w:marTop w:val="0"/>
                  <w:marBottom w:val="0"/>
                  <w:divBdr>
                    <w:top w:val="none" w:sz="0" w:space="0" w:color="auto"/>
                    <w:left w:val="none" w:sz="0" w:space="0" w:color="auto"/>
                    <w:bottom w:val="none" w:sz="0" w:space="0" w:color="auto"/>
                    <w:right w:val="none" w:sz="0" w:space="0" w:color="auto"/>
                  </w:divBdr>
                  <w:divsChild>
                    <w:div w:id="989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87850623">
      <w:bodyDiv w:val="1"/>
      <w:marLeft w:val="0"/>
      <w:marRight w:val="0"/>
      <w:marTop w:val="0"/>
      <w:marBottom w:val="0"/>
      <w:divBdr>
        <w:top w:val="none" w:sz="0" w:space="0" w:color="auto"/>
        <w:left w:val="none" w:sz="0" w:space="0" w:color="auto"/>
        <w:bottom w:val="none" w:sz="0" w:space="0" w:color="auto"/>
        <w:right w:val="none" w:sz="0" w:space="0" w:color="auto"/>
      </w:divBdr>
      <w:divsChild>
        <w:div w:id="139734764">
          <w:marLeft w:val="0"/>
          <w:marRight w:val="0"/>
          <w:marTop w:val="0"/>
          <w:marBottom w:val="0"/>
          <w:divBdr>
            <w:top w:val="none" w:sz="0" w:space="0" w:color="auto"/>
            <w:left w:val="none" w:sz="0" w:space="0" w:color="auto"/>
            <w:bottom w:val="none" w:sz="0" w:space="0" w:color="auto"/>
            <w:right w:val="none" w:sz="0" w:space="0" w:color="auto"/>
          </w:divBdr>
          <w:divsChild>
            <w:div w:id="2105177623">
              <w:marLeft w:val="0"/>
              <w:marRight w:val="0"/>
              <w:marTop w:val="0"/>
              <w:marBottom w:val="0"/>
              <w:divBdr>
                <w:top w:val="none" w:sz="0" w:space="0" w:color="auto"/>
                <w:left w:val="none" w:sz="0" w:space="0" w:color="auto"/>
                <w:bottom w:val="none" w:sz="0" w:space="0" w:color="auto"/>
                <w:right w:val="none" w:sz="0" w:space="0" w:color="auto"/>
              </w:divBdr>
              <w:divsChild>
                <w:div w:id="33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35502679">
      <w:bodyDiv w:val="1"/>
      <w:marLeft w:val="0"/>
      <w:marRight w:val="0"/>
      <w:marTop w:val="0"/>
      <w:marBottom w:val="0"/>
      <w:divBdr>
        <w:top w:val="none" w:sz="0" w:space="0" w:color="auto"/>
        <w:left w:val="none" w:sz="0" w:space="0" w:color="auto"/>
        <w:bottom w:val="none" w:sz="0" w:space="0" w:color="auto"/>
        <w:right w:val="none" w:sz="0" w:space="0" w:color="auto"/>
      </w:divBdr>
      <w:divsChild>
        <w:div w:id="590433183">
          <w:marLeft w:val="0"/>
          <w:marRight w:val="0"/>
          <w:marTop w:val="0"/>
          <w:marBottom w:val="0"/>
          <w:divBdr>
            <w:top w:val="none" w:sz="0" w:space="0" w:color="auto"/>
            <w:left w:val="none" w:sz="0" w:space="0" w:color="auto"/>
            <w:bottom w:val="none" w:sz="0" w:space="0" w:color="auto"/>
            <w:right w:val="none" w:sz="0" w:space="0" w:color="auto"/>
          </w:divBdr>
          <w:divsChild>
            <w:div w:id="320736127">
              <w:marLeft w:val="0"/>
              <w:marRight w:val="0"/>
              <w:marTop w:val="0"/>
              <w:marBottom w:val="0"/>
              <w:divBdr>
                <w:top w:val="none" w:sz="0" w:space="0" w:color="auto"/>
                <w:left w:val="none" w:sz="0" w:space="0" w:color="auto"/>
                <w:bottom w:val="none" w:sz="0" w:space="0" w:color="auto"/>
                <w:right w:val="none" w:sz="0" w:space="0" w:color="auto"/>
              </w:divBdr>
              <w:divsChild>
                <w:div w:id="128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55231564">
      <w:bodyDiv w:val="1"/>
      <w:marLeft w:val="0"/>
      <w:marRight w:val="0"/>
      <w:marTop w:val="0"/>
      <w:marBottom w:val="0"/>
      <w:divBdr>
        <w:top w:val="none" w:sz="0" w:space="0" w:color="auto"/>
        <w:left w:val="none" w:sz="0" w:space="0" w:color="auto"/>
        <w:bottom w:val="none" w:sz="0" w:space="0" w:color="auto"/>
        <w:right w:val="none" w:sz="0" w:space="0" w:color="auto"/>
      </w:divBdr>
      <w:divsChild>
        <w:div w:id="705562962">
          <w:marLeft w:val="0"/>
          <w:marRight w:val="0"/>
          <w:marTop w:val="0"/>
          <w:marBottom w:val="0"/>
          <w:divBdr>
            <w:top w:val="none" w:sz="0" w:space="0" w:color="auto"/>
            <w:left w:val="none" w:sz="0" w:space="0" w:color="auto"/>
            <w:bottom w:val="none" w:sz="0" w:space="0" w:color="auto"/>
            <w:right w:val="none" w:sz="0" w:space="0" w:color="auto"/>
          </w:divBdr>
          <w:divsChild>
            <w:div w:id="1059205034">
              <w:marLeft w:val="0"/>
              <w:marRight w:val="0"/>
              <w:marTop w:val="0"/>
              <w:marBottom w:val="0"/>
              <w:divBdr>
                <w:top w:val="none" w:sz="0" w:space="0" w:color="auto"/>
                <w:left w:val="none" w:sz="0" w:space="0" w:color="auto"/>
                <w:bottom w:val="none" w:sz="0" w:space="0" w:color="auto"/>
                <w:right w:val="none" w:sz="0" w:space="0" w:color="auto"/>
              </w:divBdr>
              <w:divsChild>
                <w:div w:id="1411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1595">
      <w:bodyDiv w:val="1"/>
      <w:marLeft w:val="0"/>
      <w:marRight w:val="0"/>
      <w:marTop w:val="0"/>
      <w:marBottom w:val="0"/>
      <w:divBdr>
        <w:top w:val="none" w:sz="0" w:space="0" w:color="auto"/>
        <w:left w:val="none" w:sz="0" w:space="0" w:color="auto"/>
        <w:bottom w:val="none" w:sz="0" w:space="0" w:color="auto"/>
        <w:right w:val="none" w:sz="0" w:space="0" w:color="auto"/>
      </w:divBdr>
      <w:divsChild>
        <w:div w:id="1730961416">
          <w:marLeft w:val="0"/>
          <w:marRight w:val="0"/>
          <w:marTop w:val="0"/>
          <w:marBottom w:val="0"/>
          <w:divBdr>
            <w:top w:val="none" w:sz="0" w:space="0" w:color="auto"/>
            <w:left w:val="none" w:sz="0" w:space="0" w:color="auto"/>
            <w:bottom w:val="none" w:sz="0" w:space="0" w:color="auto"/>
            <w:right w:val="none" w:sz="0" w:space="0" w:color="auto"/>
          </w:divBdr>
          <w:divsChild>
            <w:div w:id="1862934950">
              <w:marLeft w:val="0"/>
              <w:marRight w:val="0"/>
              <w:marTop w:val="0"/>
              <w:marBottom w:val="0"/>
              <w:divBdr>
                <w:top w:val="none" w:sz="0" w:space="0" w:color="auto"/>
                <w:left w:val="none" w:sz="0" w:space="0" w:color="auto"/>
                <w:bottom w:val="none" w:sz="0" w:space="0" w:color="auto"/>
                <w:right w:val="none" w:sz="0" w:space="0" w:color="auto"/>
              </w:divBdr>
              <w:divsChild>
                <w:div w:id="11415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04414211">
      <w:bodyDiv w:val="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735320189">
              <w:marLeft w:val="0"/>
              <w:marRight w:val="0"/>
              <w:marTop w:val="0"/>
              <w:marBottom w:val="0"/>
              <w:divBdr>
                <w:top w:val="none" w:sz="0" w:space="0" w:color="auto"/>
                <w:left w:val="none" w:sz="0" w:space="0" w:color="auto"/>
                <w:bottom w:val="none" w:sz="0" w:space="0" w:color="auto"/>
                <w:right w:val="none" w:sz="0" w:space="0" w:color="auto"/>
              </w:divBdr>
              <w:divsChild>
                <w:div w:id="387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3456">
      <w:bodyDiv w:val="1"/>
      <w:marLeft w:val="0"/>
      <w:marRight w:val="0"/>
      <w:marTop w:val="0"/>
      <w:marBottom w:val="0"/>
      <w:divBdr>
        <w:top w:val="none" w:sz="0" w:space="0" w:color="auto"/>
        <w:left w:val="none" w:sz="0" w:space="0" w:color="auto"/>
        <w:bottom w:val="none" w:sz="0" w:space="0" w:color="auto"/>
        <w:right w:val="none" w:sz="0" w:space="0" w:color="auto"/>
      </w:divBdr>
      <w:divsChild>
        <w:div w:id="768042226">
          <w:marLeft w:val="0"/>
          <w:marRight w:val="0"/>
          <w:marTop w:val="0"/>
          <w:marBottom w:val="0"/>
          <w:divBdr>
            <w:top w:val="none" w:sz="0" w:space="0" w:color="auto"/>
            <w:left w:val="none" w:sz="0" w:space="0" w:color="auto"/>
            <w:bottom w:val="none" w:sz="0" w:space="0" w:color="auto"/>
            <w:right w:val="none" w:sz="0" w:space="0" w:color="auto"/>
          </w:divBdr>
          <w:divsChild>
            <w:div w:id="254095481">
              <w:marLeft w:val="0"/>
              <w:marRight w:val="0"/>
              <w:marTop w:val="0"/>
              <w:marBottom w:val="0"/>
              <w:divBdr>
                <w:top w:val="none" w:sz="0" w:space="0" w:color="auto"/>
                <w:left w:val="none" w:sz="0" w:space="0" w:color="auto"/>
                <w:bottom w:val="none" w:sz="0" w:space="0" w:color="auto"/>
                <w:right w:val="none" w:sz="0" w:space="0" w:color="auto"/>
              </w:divBdr>
              <w:divsChild>
                <w:div w:id="1115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9922">
      <w:bodyDiv w:val="1"/>
      <w:marLeft w:val="0"/>
      <w:marRight w:val="0"/>
      <w:marTop w:val="0"/>
      <w:marBottom w:val="0"/>
      <w:divBdr>
        <w:top w:val="none" w:sz="0" w:space="0" w:color="auto"/>
        <w:left w:val="none" w:sz="0" w:space="0" w:color="auto"/>
        <w:bottom w:val="none" w:sz="0" w:space="0" w:color="auto"/>
        <w:right w:val="none" w:sz="0" w:space="0" w:color="auto"/>
      </w:divBdr>
      <w:divsChild>
        <w:div w:id="1798833170">
          <w:marLeft w:val="0"/>
          <w:marRight w:val="0"/>
          <w:marTop w:val="0"/>
          <w:marBottom w:val="0"/>
          <w:divBdr>
            <w:top w:val="none" w:sz="0" w:space="0" w:color="auto"/>
            <w:left w:val="none" w:sz="0" w:space="0" w:color="auto"/>
            <w:bottom w:val="none" w:sz="0" w:space="0" w:color="auto"/>
            <w:right w:val="none" w:sz="0" w:space="0" w:color="auto"/>
          </w:divBdr>
          <w:divsChild>
            <w:div w:id="33694658">
              <w:marLeft w:val="0"/>
              <w:marRight w:val="0"/>
              <w:marTop w:val="0"/>
              <w:marBottom w:val="0"/>
              <w:divBdr>
                <w:top w:val="none" w:sz="0" w:space="0" w:color="auto"/>
                <w:left w:val="none" w:sz="0" w:space="0" w:color="auto"/>
                <w:bottom w:val="none" w:sz="0" w:space="0" w:color="auto"/>
                <w:right w:val="none" w:sz="0" w:space="0" w:color="auto"/>
              </w:divBdr>
              <w:divsChild>
                <w:div w:id="2465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5872">
      <w:bodyDiv w:val="1"/>
      <w:marLeft w:val="0"/>
      <w:marRight w:val="0"/>
      <w:marTop w:val="0"/>
      <w:marBottom w:val="0"/>
      <w:divBdr>
        <w:top w:val="none" w:sz="0" w:space="0" w:color="auto"/>
        <w:left w:val="none" w:sz="0" w:space="0" w:color="auto"/>
        <w:bottom w:val="none" w:sz="0" w:space="0" w:color="auto"/>
        <w:right w:val="none" w:sz="0" w:space="0" w:color="auto"/>
      </w:divBdr>
      <w:divsChild>
        <w:div w:id="125902902">
          <w:marLeft w:val="0"/>
          <w:marRight w:val="0"/>
          <w:marTop w:val="0"/>
          <w:marBottom w:val="0"/>
          <w:divBdr>
            <w:top w:val="none" w:sz="0" w:space="0" w:color="auto"/>
            <w:left w:val="none" w:sz="0" w:space="0" w:color="auto"/>
            <w:bottom w:val="none" w:sz="0" w:space="0" w:color="auto"/>
            <w:right w:val="none" w:sz="0" w:space="0" w:color="auto"/>
          </w:divBdr>
          <w:divsChild>
            <w:div w:id="1433160209">
              <w:marLeft w:val="0"/>
              <w:marRight w:val="0"/>
              <w:marTop w:val="0"/>
              <w:marBottom w:val="0"/>
              <w:divBdr>
                <w:top w:val="none" w:sz="0" w:space="0" w:color="auto"/>
                <w:left w:val="none" w:sz="0" w:space="0" w:color="auto"/>
                <w:bottom w:val="none" w:sz="0" w:space="0" w:color="auto"/>
                <w:right w:val="none" w:sz="0" w:space="0" w:color="auto"/>
              </w:divBdr>
              <w:divsChild>
                <w:div w:id="15161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156650494">
      <w:bodyDiv w:val="1"/>
      <w:marLeft w:val="0"/>
      <w:marRight w:val="0"/>
      <w:marTop w:val="0"/>
      <w:marBottom w:val="0"/>
      <w:divBdr>
        <w:top w:val="none" w:sz="0" w:space="0" w:color="auto"/>
        <w:left w:val="none" w:sz="0" w:space="0" w:color="auto"/>
        <w:bottom w:val="none" w:sz="0" w:space="0" w:color="auto"/>
        <w:right w:val="none" w:sz="0" w:space="0" w:color="auto"/>
      </w:divBdr>
      <w:divsChild>
        <w:div w:id="1685790410">
          <w:marLeft w:val="0"/>
          <w:marRight w:val="0"/>
          <w:marTop w:val="0"/>
          <w:marBottom w:val="0"/>
          <w:divBdr>
            <w:top w:val="none" w:sz="0" w:space="0" w:color="auto"/>
            <w:left w:val="none" w:sz="0" w:space="0" w:color="auto"/>
            <w:bottom w:val="none" w:sz="0" w:space="0" w:color="auto"/>
            <w:right w:val="none" w:sz="0" w:space="0" w:color="auto"/>
          </w:divBdr>
          <w:divsChild>
            <w:div w:id="1904096082">
              <w:marLeft w:val="0"/>
              <w:marRight w:val="0"/>
              <w:marTop w:val="0"/>
              <w:marBottom w:val="0"/>
              <w:divBdr>
                <w:top w:val="none" w:sz="0" w:space="0" w:color="auto"/>
                <w:left w:val="none" w:sz="0" w:space="0" w:color="auto"/>
                <w:bottom w:val="none" w:sz="0" w:space="0" w:color="auto"/>
                <w:right w:val="none" w:sz="0" w:space="0" w:color="auto"/>
              </w:divBdr>
              <w:divsChild>
                <w:div w:id="19962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2217">
      <w:bodyDiv w:val="1"/>
      <w:marLeft w:val="0"/>
      <w:marRight w:val="0"/>
      <w:marTop w:val="0"/>
      <w:marBottom w:val="0"/>
      <w:divBdr>
        <w:top w:val="none" w:sz="0" w:space="0" w:color="auto"/>
        <w:left w:val="none" w:sz="0" w:space="0" w:color="auto"/>
        <w:bottom w:val="none" w:sz="0" w:space="0" w:color="auto"/>
        <w:right w:val="none" w:sz="0" w:space="0" w:color="auto"/>
      </w:divBdr>
      <w:divsChild>
        <w:div w:id="78599736">
          <w:marLeft w:val="0"/>
          <w:marRight w:val="0"/>
          <w:marTop w:val="0"/>
          <w:marBottom w:val="0"/>
          <w:divBdr>
            <w:top w:val="none" w:sz="0" w:space="0" w:color="auto"/>
            <w:left w:val="none" w:sz="0" w:space="0" w:color="auto"/>
            <w:bottom w:val="none" w:sz="0" w:space="0" w:color="auto"/>
            <w:right w:val="none" w:sz="0" w:space="0" w:color="auto"/>
          </w:divBdr>
          <w:divsChild>
            <w:div w:id="897521826">
              <w:marLeft w:val="0"/>
              <w:marRight w:val="0"/>
              <w:marTop w:val="0"/>
              <w:marBottom w:val="0"/>
              <w:divBdr>
                <w:top w:val="none" w:sz="0" w:space="0" w:color="auto"/>
                <w:left w:val="none" w:sz="0" w:space="0" w:color="auto"/>
                <w:bottom w:val="none" w:sz="0" w:space="0" w:color="auto"/>
                <w:right w:val="none" w:sz="0" w:space="0" w:color="auto"/>
              </w:divBdr>
              <w:divsChild>
                <w:div w:id="8038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49348309">
      <w:bodyDiv w:val="1"/>
      <w:marLeft w:val="0"/>
      <w:marRight w:val="0"/>
      <w:marTop w:val="0"/>
      <w:marBottom w:val="0"/>
      <w:divBdr>
        <w:top w:val="none" w:sz="0" w:space="0" w:color="auto"/>
        <w:left w:val="none" w:sz="0" w:space="0" w:color="auto"/>
        <w:bottom w:val="none" w:sz="0" w:space="0" w:color="auto"/>
        <w:right w:val="none" w:sz="0" w:space="0" w:color="auto"/>
      </w:divBdr>
      <w:divsChild>
        <w:div w:id="47844081">
          <w:marLeft w:val="0"/>
          <w:marRight w:val="0"/>
          <w:marTop w:val="0"/>
          <w:marBottom w:val="0"/>
          <w:divBdr>
            <w:top w:val="none" w:sz="0" w:space="0" w:color="auto"/>
            <w:left w:val="none" w:sz="0" w:space="0" w:color="auto"/>
            <w:bottom w:val="none" w:sz="0" w:space="0" w:color="auto"/>
            <w:right w:val="none" w:sz="0" w:space="0" w:color="auto"/>
          </w:divBdr>
          <w:divsChild>
            <w:div w:id="263925790">
              <w:marLeft w:val="0"/>
              <w:marRight w:val="0"/>
              <w:marTop w:val="0"/>
              <w:marBottom w:val="0"/>
              <w:divBdr>
                <w:top w:val="none" w:sz="0" w:space="0" w:color="auto"/>
                <w:left w:val="none" w:sz="0" w:space="0" w:color="auto"/>
                <w:bottom w:val="none" w:sz="0" w:space="0" w:color="auto"/>
                <w:right w:val="none" w:sz="0" w:space="0" w:color="auto"/>
              </w:divBdr>
              <w:divsChild>
                <w:div w:id="21396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4179">
      <w:bodyDiv w:val="1"/>
      <w:marLeft w:val="0"/>
      <w:marRight w:val="0"/>
      <w:marTop w:val="0"/>
      <w:marBottom w:val="0"/>
      <w:divBdr>
        <w:top w:val="none" w:sz="0" w:space="0" w:color="auto"/>
        <w:left w:val="none" w:sz="0" w:space="0" w:color="auto"/>
        <w:bottom w:val="none" w:sz="0" w:space="0" w:color="auto"/>
        <w:right w:val="none" w:sz="0" w:space="0" w:color="auto"/>
      </w:divBdr>
      <w:divsChild>
        <w:div w:id="571937866">
          <w:marLeft w:val="0"/>
          <w:marRight w:val="0"/>
          <w:marTop w:val="0"/>
          <w:marBottom w:val="0"/>
          <w:divBdr>
            <w:top w:val="none" w:sz="0" w:space="0" w:color="auto"/>
            <w:left w:val="none" w:sz="0" w:space="0" w:color="auto"/>
            <w:bottom w:val="none" w:sz="0" w:space="0" w:color="auto"/>
            <w:right w:val="none" w:sz="0" w:space="0" w:color="auto"/>
          </w:divBdr>
          <w:divsChild>
            <w:div w:id="1210920217">
              <w:marLeft w:val="0"/>
              <w:marRight w:val="0"/>
              <w:marTop w:val="0"/>
              <w:marBottom w:val="0"/>
              <w:divBdr>
                <w:top w:val="none" w:sz="0" w:space="0" w:color="auto"/>
                <w:left w:val="none" w:sz="0" w:space="0" w:color="auto"/>
                <w:bottom w:val="none" w:sz="0" w:space="0" w:color="auto"/>
                <w:right w:val="none" w:sz="0" w:space="0" w:color="auto"/>
              </w:divBdr>
              <w:divsChild>
                <w:div w:id="9361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445">
      <w:bodyDiv w:val="1"/>
      <w:marLeft w:val="0"/>
      <w:marRight w:val="0"/>
      <w:marTop w:val="0"/>
      <w:marBottom w:val="0"/>
      <w:divBdr>
        <w:top w:val="none" w:sz="0" w:space="0" w:color="auto"/>
        <w:left w:val="none" w:sz="0" w:space="0" w:color="auto"/>
        <w:bottom w:val="none" w:sz="0" w:space="0" w:color="auto"/>
        <w:right w:val="none" w:sz="0" w:space="0" w:color="auto"/>
      </w:divBdr>
      <w:divsChild>
        <w:div w:id="119032426">
          <w:marLeft w:val="0"/>
          <w:marRight w:val="0"/>
          <w:marTop w:val="0"/>
          <w:marBottom w:val="0"/>
          <w:divBdr>
            <w:top w:val="none" w:sz="0" w:space="0" w:color="auto"/>
            <w:left w:val="none" w:sz="0" w:space="0" w:color="auto"/>
            <w:bottom w:val="none" w:sz="0" w:space="0" w:color="auto"/>
            <w:right w:val="none" w:sz="0" w:space="0" w:color="auto"/>
          </w:divBdr>
          <w:divsChild>
            <w:div w:id="614822947">
              <w:marLeft w:val="0"/>
              <w:marRight w:val="0"/>
              <w:marTop w:val="0"/>
              <w:marBottom w:val="0"/>
              <w:divBdr>
                <w:top w:val="none" w:sz="0" w:space="0" w:color="auto"/>
                <w:left w:val="none" w:sz="0" w:space="0" w:color="auto"/>
                <w:bottom w:val="none" w:sz="0" w:space="0" w:color="auto"/>
                <w:right w:val="none" w:sz="0" w:space="0" w:color="auto"/>
              </w:divBdr>
              <w:divsChild>
                <w:div w:id="1314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68762065">
      <w:bodyDiv w:val="1"/>
      <w:marLeft w:val="0"/>
      <w:marRight w:val="0"/>
      <w:marTop w:val="0"/>
      <w:marBottom w:val="0"/>
      <w:divBdr>
        <w:top w:val="none" w:sz="0" w:space="0" w:color="auto"/>
        <w:left w:val="none" w:sz="0" w:space="0" w:color="auto"/>
        <w:bottom w:val="none" w:sz="0" w:space="0" w:color="auto"/>
        <w:right w:val="none" w:sz="0" w:space="0" w:color="auto"/>
      </w:divBdr>
      <w:divsChild>
        <w:div w:id="1728381351">
          <w:marLeft w:val="0"/>
          <w:marRight w:val="0"/>
          <w:marTop w:val="0"/>
          <w:marBottom w:val="0"/>
          <w:divBdr>
            <w:top w:val="none" w:sz="0" w:space="0" w:color="auto"/>
            <w:left w:val="none" w:sz="0" w:space="0" w:color="auto"/>
            <w:bottom w:val="none" w:sz="0" w:space="0" w:color="auto"/>
            <w:right w:val="none" w:sz="0" w:space="0" w:color="auto"/>
          </w:divBdr>
          <w:divsChild>
            <w:div w:id="1614361619">
              <w:marLeft w:val="0"/>
              <w:marRight w:val="0"/>
              <w:marTop w:val="0"/>
              <w:marBottom w:val="0"/>
              <w:divBdr>
                <w:top w:val="none" w:sz="0" w:space="0" w:color="auto"/>
                <w:left w:val="none" w:sz="0" w:space="0" w:color="auto"/>
                <w:bottom w:val="none" w:sz="0" w:space="0" w:color="auto"/>
                <w:right w:val="none" w:sz="0" w:space="0" w:color="auto"/>
              </w:divBdr>
              <w:divsChild>
                <w:div w:id="4229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678189337">
      <w:bodyDiv w:val="1"/>
      <w:marLeft w:val="0"/>
      <w:marRight w:val="0"/>
      <w:marTop w:val="0"/>
      <w:marBottom w:val="0"/>
      <w:divBdr>
        <w:top w:val="none" w:sz="0" w:space="0" w:color="auto"/>
        <w:left w:val="none" w:sz="0" w:space="0" w:color="auto"/>
        <w:bottom w:val="none" w:sz="0" w:space="0" w:color="auto"/>
        <w:right w:val="none" w:sz="0" w:space="0" w:color="auto"/>
      </w:divBdr>
      <w:divsChild>
        <w:div w:id="775439651">
          <w:marLeft w:val="0"/>
          <w:marRight w:val="0"/>
          <w:marTop w:val="0"/>
          <w:marBottom w:val="0"/>
          <w:divBdr>
            <w:top w:val="none" w:sz="0" w:space="0" w:color="auto"/>
            <w:left w:val="none" w:sz="0" w:space="0" w:color="auto"/>
            <w:bottom w:val="none" w:sz="0" w:space="0" w:color="auto"/>
            <w:right w:val="none" w:sz="0" w:space="0" w:color="auto"/>
          </w:divBdr>
          <w:divsChild>
            <w:div w:id="733897973">
              <w:marLeft w:val="0"/>
              <w:marRight w:val="0"/>
              <w:marTop w:val="0"/>
              <w:marBottom w:val="0"/>
              <w:divBdr>
                <w:top w:val="none" w:sz="0" w:space="0" w:color="auto"/>
                <w:left w:val="none" w:sz="0" w:space="0" w:color="auto"/>
                <w:bottom w:val="none" w:sz="0" w:space="0" w:color="auto"/>
                <w:right w:val="none" w:sz="0" w:space="0" w:color="auto"/>
              </w:divBdr>
              <w:divsChild>
                <w:div w:id="1721512764">
                  <w:marLeft w:val="0"/>
                  <w:marRight w:val="0"/>
                  <w:marTop w:val="0"/>
                  <w:marBottom w:val="0"/>
                  <w:divBdr>
                    <w:top w:val="none" w:sz="0" w:space="0" w:color="auto"/>
                    <w:left w:val="none" w:sz="0" w:space="0" w:color="auto"/>
                    <w:bottom w:val="none" w:sz="0" w:space="0" w:color="auto"/>
                    <w:right w:val="none" w:sz="0" w:space="0" w:color="auto"/>
                  </w:divBdr>
                  <w:divsChild>
                    <w:div w:id="185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34223151">
      <w:bodyDiv w:val="1"/>
      <w:marLeft w:val="0"/>
      <w:marRight w:val="0"/>
      <w:marTop w:val="0"/>
      <w:marBottom w:val="0"/>
      <w:divBdr>
        <w:top w:val="none" w:sz="0" w:space="0" w:color="auto"/>
        <w:left w:val="none" w:sz="0" w:space="0" w:color="auto"/>
        <w:bottom w:val="none" w:sz="0" w:space="0" w:color="auto"/>
        <w:right w:val="none" w:sz="0" w:space="0" w:color="auto"/>
      </w:divBdr>
      <w:divsChild>
        <w:div w:id="891575425">
          <w:marLeft w:val="0"/>
          <w:marRight w:val="0"/>
          <w:marTop w:val="0"/>
          <w:marBottom w:val="0"/>
          <w:divBdr>
            <w:top w:val="none" w:sz="0" w:space="0" w:color="auto"/>
            <w:left w:val="none" w:sz="0" w:space="0" w:color="auto"/>
            <w:bottom w:val="none" w:sz="0" w:space="0" w:color="auto"/>
            <w:right w:val="none" w:sz="0" w:space="0" w:color="auto"/>
          </w:divBdr>
          <w:divsChild>
            <w:div w:id="1520120660">
              <w:marLeft w:val="0"/>
              <w:marRight w:val="0"/>
              <w:marTop w:val="0"/>
              <w:marBottom w:val="0"/>
              <w:divBdr>
                <w:top w:val="none" w:sz="0" w:space="0" w:color="auto"/>
                <w:left w:val="none" w:sz="0" w:space="0" w:color="auto"/>
                <w:bottom w:val="none" w:sz="0" w:space="0" w:color="auto"/>
                <w:right w:val="none" w:sz="0" w:space="0" w:color="auto"/>
              </w:divBdr>
              <w:divsChild>
                <w:div w:id="4256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1840262">
      <w:bodyDiv w:val="1"/>
      <w:marLeft w:val="0"/>
      <w:marRight w:val="0"/>
      <w:marTop w:val="0"/>
      <w:marBottom w:val="0"/>
      <w:divBdr>
        <w:top w:val="none" w:sz="0" w:space="0" w:color="auto"/>
        <w:left w:val="none" w:sz="0" w:space="0" w:color="auto"/>
        <w:bottom w:val="none" w:sz="0" w:space="0" w:color="auto"/>
        <w:right w:val="none" w:sz="0" w:space="0" w:color="auto"/>
      </w:divBdr>
      <w:divsChild>
        <w:div w:id="460728115">
          <w:marLeft w:val="0"/>
          <w:marRight w:val="0"/>
          <w:marTop w:val="0"/>
          <w:marBottom w:val="0"/>
          <w:divBdr>
            <w:top w:val="none" w:sz="0" w:space="0" w:color="auto"/>
            <w:left w:val="none" w:sz="0" w:space="0" w:color="auto"/>
            <w:bottom w:val="none" w:sz="0" w:space="0" w:color="auto"/>
            <w:right w:val="none" w:sz="0" w:space="0" w:color="auto"/>
          </w:divBdr>
          <w:divsChild>
            <w:div w:id="1311859883">
              <w:marLeft w:val="0"/>
              <w:marRight w:val="0"/>
              <w:marTop w:val="0"/>
              <w:marBottom w:val="0"/>
              <w:divBdr>
                <w:top w:val="none" w:sz="0" w:space="0" w:color="auto"/>
                <w:left w:val="none" w:sz="0" w:space="0" w:color="auto"/>
                <w:bottom w:val="none" w:sz="0" w:space="0" w:color="auto"/>
                <w:right w:val="none" w:sz="0" w:space="0" w:color="auto"/>
              </w:divBdr>
              <w:divsChild>
                <w:div w:id="1010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1995257936">
      <w:bodyDiv w:val="1"/>
      <w:marLeft w:val="0"/>
      <w:marRight w:val="0"/>
      <w:marTop w:val="0"/>
      <w:marBottom w:val="0"/>
      <w:divBdr>
        <w:top w:val="none" w:sz="0" w:space="0" w:color="auto"/>
        <w:left w:val="none" w:sz="0" w:space="0" w:color="auto"/>
        <w:bottom w:val="none" w:sz="0" w:space="0" w:color="auto"/>
        <w:right w:val="none" w:sz="0" w:space="0" w:color="auto"/>
      </w:divBdr>
      <w:divsChild>
        <w:div w:id="208341893">
          <w:marLeft w:val="0"/>
          <w:marRight w:val="0"/>
          <w:marTop w:val="0"/>
          <w:marBottom w:val="0"/>
          <w:divBdr>
            <w:top w:val="none" w:sz="0" w:space="0" w:color="auto"/>
            <w:left w:val="none" w:sz="0" w:space="0" w:color="auto"/>
            <w:bottom w:val="none" w:sz="0" w:space="0" w:color="auto"/>
            <w:right w:val="none" w:sz="0" w:space="0" w:color="auto"/>
          </w:divBdr>
          <w:divsChild>
            <w:div w:id="1577518417">
              <w:marLeft w:val="0"/>
              <w:marRight w:val="0"/>
              <w:marTop w:val="0"/>
              <w:marBottom w:val="0"/>
              <w:divBdr>
                <w:top w:val="none" w:sz="0" w:space="0" w:color="auto"/>
                <w:left w:val="none" w:sz="0" w:space="0" w:color="auto"/>
                <w:bottom w:val="none" w:sz="0" w:space="0" w:color="auto"/>
                <w:right w:val="none" w:sz="0" w:space="0" w:color="auto"/>
              </w:divBdr>
              <w:divsChild>
                <w:div w:id="7489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5464">
      <w:bodyDiv w:val="1"/>
      <w:marLeft w:val="0"/>
      <w:marRight w:val="0"/>
      <w:marTop w:val="0"/>
      <w:marBottom w:val="0"/>
      <w:divBdr>
        <w:top w:val="none" w:sz="0" w:space="0" w:color="auto"/>
        <w:left w:val="none" w:sz="0" w:space="0" w:color="auto"/>
        <w:bottom w:val="none" w:sz="0" w:space="0" w:color="auto"/>
        <w:right w:val="none" w:sz="0" w:space="0" w:color="auto"/>
      </w:divBdr>
      <w:divsChild>
        <w:div w:id="1971324081">
          <w:marLeft w:val="0"/>
          <w:marRight w:val="0"/>
          <w:marTop w:val="0"/>
          <w:marBottom w:val="0"/>
          <w:divBdr>
            <w:top w:val="none" w:sz="0" w:space="0" w:color="auto"/>
            <w:left w:val="none" w:sz="0" w:space="0" w:color="auto"/>
            <w:bottom w:val="none" w:sz="0" w:space="0" w:color="auto"/>
            <w:right w:val="none" w:sz="0" w:space="0" w:color="auto"/>
          </w:divBdr>
          <w:divsChild>
            <w:div w:id="1328941740">
              <w:marLeft w:val="0"/>
              <w:marRight w:val="0"/>
              <w:marTop w:val="0"/>
              <w:marBottom w:val="0"/>
              <w:divBdr>
                <w:top w:val="none" w:sz="0" w:space="0" w:color="auto"/>
                <w:left w:val="none" w:sz="0" w:space="0" w:color="auto"/>
                <w:bottom w:val="none" w:sz="0" w:space="0" w:color="auto"/>
                <w:right w:val="none" w:sz="0" w:space="0" w:color="auto"/>
              </w:divBdr>
              <w:divsChild>
                <w:div w:id="20625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2834">
      <w:bodyDiv w:val="1"/>
      <w:marLeft w:val="0"/>
      <w:marRight w:val="0"/>
      <w:marTop w:val="0"/>
      <w:marBottom w:val="0"/>
      <w:divBdr>
        <w:top w:val="none" w:sz="0" w:space="0" w:color="auto"/>
        <w:left w:val="none" w:sz="0" w:space="0" w:color="auto"/>
        <w:bottom w:val="none" w:sz="0" w:space="0" w:color="auto"/>
        <w:right w:val="none" w:sz="0" w:space="0" w:color="auto"/>
      </w:divBdr>
      <w:divsChild>
        <w:div w:id="1836678039">
          <w:marLeft w:val="0"/>
          <w:marRight w:val="0"/>
          <w:marTop w:val="0"/>
          <w:marBottom w:val="0"/>
          <w:divBdr>
            <w:top w:val="none" w:sz="0" w:space="0" w:color="auto"/>
            <w:left w:val="none" w:sz="0" w:space="0" w:color="auto"/>
            <w:bottom w:val="none" w:sz="0" w:space="0" w:color="auto"/>
            <w:right w:val="none" w:sz="0" w:space="0" w:color="auto"/>
          </w:divBdr>
          <w:divsChild>
            <w:div w:id="1290473109">
              <w:marLeft w:val="0"/>
              <w:marRight w:val="0"/>
              <w:marTop w:val="0"/>
              <w:marBottom w:val="0"/>
              <w:divBdr>
                <w:top w:val="none" w:sz="0" w:space="0" w:color="auto"/>
                <w:left w:val="none" w:sz="0" w:space="0" w:color="auto"/>
                <w:bottom w:val="none" w:sz="0" w:space="0" w:color="auto"/>
                <w:right w:val="none" w:sz="0" w:space="0" w:color="auto"/>
              </w:divBdr>
              <w:divsChild>
                <w:div w:id="2905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6526">
      <w:bodyDiv w:val="1"/>
      <w:marLeft w:val="0"/>
      <w:marRight w:val="0"/>
      <w:marTop w:val="0"/>
      <w:marBottom w:val="0"/>
      <w:divBdr>
        <w:top w:val="none" w:sz="0" w:space="0" w:color="auto"/>
        <w:left w:val="none" w:sz="0" w:space="0" w:color="auto"/>
        <w:bottom w:val="none" w:sz="0" w:space="0" w:color="auto"/>
        <w:right w:val="none" w:sz="0" w:space="0" w:color="auto"/>
      </w:divBdr>
      <w:divsChild>
        <w:div w:id="2054690067">
          <w:marLeft w:val="0"/>
          <w:marRight w:val="0"/>
          <w:marTop w:val="0"/>
          <w:marBottom w:val="0"/>
          <w:divBdr>
            <w:top w:val="none" w:sz="0" w:space="0" w:color="auto"/>
            <w:left w:val="none" w:sz="0" w:space="0" w:color="auto"/>
            <w:bottom w:val="none" w:sz="0" w:space="0" w:color="auto"/>
            <w:right w:val="none" w:sz="0" w:space="0" w:color="auto"/>
          </w:divBdr>
          <w:divsChild>
            <w:div w:id="1427119353">
              <w:marLeft w:val="0"/>
              <w:marRight w:val="0"/>
              <w:marTop w:val="0"/>
              <w:marBottom w:val="0"/>
              <w:divBdr>
                <w:top w:val="none" w:sz="0" w:space="0" w:color="auto"/>
                <w:left w:val="none" w:sz="0" w:space="0" w:color="auto"/>
                <w:bottom w:val="none" w:sz="0" w:space="0" w:color="auto"/>
                <w:right w:val="none" w:sz="0" w:space="0" w:color="auto"/>
              </w:divBdr>
              <w:divsChild>
                <w:div w:id="429668271">
                  <w:marLeft w:val="0"/>
                  <w:marRight w:val="0"/>
                  <w:marTop w:val="0"/>
                  <w:marBottom w:val="0"/>
                  <w:divBdr>
                    <w:top w:val="none" w:sz="0" w:space="0" w:color="auto"/>
                    <w:left w:val="none" w:sz="0" w:space="0" w:color="auto"/>
                    <w:bottom w:val="none" w:sz="0" w:space="0" w:color="auto"/>
                    <w:right w:val="none" w:sz="0" w:space="0" w:color="auto"/>
                  </w:divBdr>
                  <w:divsChild>
                    <w:div w:id="13028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468">
      <w:bodyDiv w:val="1"/>
      <w:marLeft w:val="0"/>
      <w:marRight w:val="0"/>
      <w:marTop w:val="0"/>
      <w:marBottom w:val="0"/>
      <w:divBdr>
        <w:top w:val="none" w:sz="0" w:space="0" w:color="auto"/>
        <w:left w:val="none" w:sz="0" w:space="0" w:color="auto"/>
        <w:bottom w:val="none" w:sz="0" w:space="0" w:color="auto"/>
        <w:right w:val="none" w:sz="0" w:space="0" w:color="auto"/>
      </w:divBdr>
      <w:divsChild>
        <w:div w:id="1478303099">
          <w:marLeft w:val="0"/>
          <w:marRight w:val="0"/>
          <w:marTop w:val="0"/>
          <w:marBottom w:val="0"/>
          <w:divBdr>
            <w:top w:val="none" w:sz="0" w:space="0" w:color="auto"/>
            <w:left w:val="none" w:sz="0" w:space="0" w:color="auto"/>
            <w:bottom w:val="none" w:sz="0" w:space="0" w:color="auto"/>
            <w:right w:val="none" w:sz="0" w:space="0" w:color="auto"/>
          </w:divBdr>
          <w:divsChild>
            <w:div w:id="2096856318">
              <w:marLeft w:val="0"/>
              <w:marRight w:val="0"/>
              <w:marTop w:val="0"/>
              <w:marBottom w:val="0"/>
              <w:divBdr>
                <w:top w:val="none" w:sz="0" w:space="0" w:color="auto"/>
                <w:left w:val="none" w:sz="0" w:space="0" w:color="auto"/>
                <w:bottom w:val="none" w:sz="0" w:space="0" w:color="auto"/>
                <w:right w:val="none" w:sz="0" w:space="0" w:color="auto"/>
              </w:divBdr>
              <w:divsChild>
                <w:div w:id="410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080857740">
      <w:bodyDiv w:val="1"/>
      <w:marLeft w:val="0"/>
      <w:marRight w:val="0"/>
      <w:marTop w:val="0"/>
      <w:marBottom w:val="0"/>
      <w:divBdr>
        <w:top w:val="none" w:sz="0" w:space="0" w:color="auto"/>
        <w:left w:val="none" w:sz="0" w:space="0" w:color="auto"/>
        <w:bottom w:val="none" w:sz="0" w:space="0" w:color="auto"/>
        <w:right w:val="none" w:sz="0" w:space="0" w:color="auto"/>
      </w:divBdr>
      <w:divsChild>
        <w:div w:id="1579898943">
          <w:marLeft w:val="0"/>
          <w:marRight w:val="0"/>
          <w:marTop w:val="0"/>
          <w:marBottom w:val="0"/>
          <w:divBdr>
            <w:top w:val="none" w:sz="0" w:space="0" w:color="auto"/>
            <w:left w:val="none" w:sz="0" w:space="0" w:color="auto"/>
            <w:bottom w:val="none" w:sz="0" w:space="0" w:color="auto"/>
            <w:right w:val="none" w:sz="0" w:space="0" w:color="auto"/>
          </w:divBdr>
          <w:divsChild>
            <w:div w:id="408231203">
              <w:marLeft w:val="0"/>
              <w:marRight w:val="0"/>
              <w:marTop w:val="0"/>
              <w:marBottom w:val="0"/>
              <w:divBdr>
                <w:top w:val="none" w:sz="0" w:space="0" w:color="auto"/>
                <w:left w:val="none" w:sz="0" w:space="0" w:color="auto"/>
                <w:bottom w:val="none" w:sz="0" w:space="0" w:color="auto"/>
                <w:right w:val="none" w:sz="0" w:space="0" w:color="auto"/>
              </w:divBdr>
              <w:divsChild>
                <w:div w:id="1837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7773">
      <w:bodyDiv w:val="1"/>
      <w:marLeft w:val="0"/>
      <w:marRight w:val="0"/>
      <w:marTop w:val="0"/>
      <w:marBottom w:val="0"/>
      <w:divBdr>
        <w:top w:val="none" w:sz="0" w:space="0" w:color="auto"/>
        <w:left w:val="none" w:sz="0" w:space="0" w:color="auto"/>
        <w:bottom w:val="none" w:sz="0" w:space="0" w:color="auto"/>
        <w:right w:val="none" w:sz="0" w:space="0" w:color="auto"/>
      </w:divBdr>
      <w:divsChild>
        <w:div w:id="605311962">
          <w:marLeft w:val="0"/>
          <w:marRight w:val="0"/>
          <w:marTop w:val="0"/>
          <w:marBottom w:val="0"/>
          <w:divBdr>
            <w:top w:val="none" w:sz="0" w:space="0" w:color="auto"/>
            <w:left w:val="none" w:sz="0" w:space="0" w:color="auto"/>
            <w:bottom w:val="none" w:sz="0" w:space="0" w:color="auto"/>
            <w:right w:val="none" w:sz="0" w:space="0" w:color="auto"/>
          </w:divBdr>
          <w:divsChild>
            <w:div w:id="1706558071">
              <w:marLeft w:val="0"/>
              <w:marRight w:val="0"/>
              <w:marTop w:val="0"/>
              <w:marBottom w:val="0"/>
              <w:divBdr>
                <w:top w:val="none" w:sz="0" w:space="0" w:color="auto"/>
                <w:left w:val="none" w:sz="0" w:space="0" w:color="auto"/>
                <w:bottom w:val="none" w:sz="0" w:space="0" w:color="auto"/>
                <w:right w:val="none" w:sz="0" w:space="0" w:color="auto"/>
              </w:divBdr>
              <w:divsChild>
                <w:div w:id="1618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pavi.gob.gt/Documentos_en_Index/Documento%20Memoria%20de%20Labores%20-%20FOPAVI%202016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1E7B"/>
    <w:rsid w:val="0007176C"/>
    <w:rsid w:val="00200821"/>
    <w:rsid w:val="0025245B"/>
    <w:rsid w:val="002A3923"/>
    <w:rsid w:val="00335A82"/>
    <w:rsid w:val="003455A3"/>
    <w:rsid w:val="00394049"/>
    <w:rsid w:val="003A4D5B"/>
    <w:rsid w:val="003B0C71"/>
    <w:rsid w:val="00446BDA"/>
    <w:rsid w:val="004B5BBB"/>
    <w:rsid w:val="004C7A3E"/>
    <w:rsid w:val="004F2DF8"/>
    <w:rsid w:val="00517E2A"/>
    <w:rsid w:val="005C57CF"/>
    <w:rsid w:val="0063288B"/>
    <w:rsid w:val="006D3128"/>
    <w:rsid w:val="006E6FC7"/>
    <w:rsid w:val="006F24A1"/>
    <w:rsid w:val="006F6B6D"/>
    <w:rsid w:val="00755702"/>
    <w:rsid w:val="00761C02"/>
    <w:rsid w:val="007621D7"/>
    <w:rsid w:val="00862F5C"/>
    <w:rsid w:val="00875B8A"/>
    <w:rsid w:val="008953BC"/>
    <w:rsid w:val="009A261B"/>
    <w:rsid w:val="009A3D90"/>
    <w:rsid w:val="009E0D29"/>
    <w:rsid w:val="00A814C7"/>
    <w:rsid w:val="00AA2E17"/>
    <w:rsid w:val="00AB5A7A"/>
    <w:rsid w:val="00AC15A4"/>
    <w:rsid w:val="00B01EDA"/>
    <w:rsid w:val="00B0336C"/>
    <w:rsid w:val="00B61AF4"/>
    <w:rsid w:val="00BD3108"/>
    <w:rsid w:val="00C40B32"/>
    <w:rsid w:val="00C70D84"/>
    <w:rsid w:val="00D11151"/>
    <w:rsid w:val="00D241E9"/>
    <w:rsid w:val="00D7750D"/>
    <w:rsid w:val="00D8352C"/>
    <w:rsid w:val="00E51DA5"/>
    <w:rsid w:val="00E86A65"/>
    <w:rsid w:val="00ED7830"/>
    <w:rsid w:val="00F00D2F"/>
    <w:rsid w:val="00F128DF"/>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4731</Words>
  <Characters>26970</Characters>
  <Application>Microsoft Office Word</Application>
  <DocSecurity>0</DocSecurity>
  <Lines>224</Lines>
  <Paragraphs>63</Paragraphs>
  <ScaleCrop>false</ScaleCrop>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2023-07-10T21:36:00Z</dcterms:created>
  <dcterms:modified xsi:type="dcterms:W3CDTF">2023-07-10T21:36:00Z</dcterms:modified>
</cp:coreProperties>
</file>