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2229A" w:rsidRDefault="00D306D1" w:rsidP="00627C9F">
      <w:pPr>
        <w:jc w:val="both"/>
        <w:rPr>
          <w:rFonts w:asciiTheme="majorHAnsi" w:hAnsiTheme="majorHAnsi" w:cs="Univers"/>
          <w:b/>
          <w:bCs/>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688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2229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2229A">
        <w:rPr>
          <w:rFonts w:asciiTheme="majorHAnsi" w:hAnsiTheme="majorHAnsi" w:cs="Univers"/>
          <w:b/>
          <w:bCs/>
          <w:sz w:val="22"/>
          <w:szCs w:val="22"/>
          <w:lang w:val="es-ES_tradnl"/>
        </w:rPr>
        <w:t xml:space="preserve"> </w:t>
      </w:r>
    </w:p>
    <w:p w14:paraId="751BC92D"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92229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2229A" w:rsidRDefault="003D3BC2" w:rsidP="00040C3A">
      <w:pPr>
        <w:tabs>
          <w:tab w:val="center" w:pos="5400"/>
        </w:tabs>
        <w:suppressAutoHyphens/>
        <w:jc w:val="center"/>
        <w:rPr>
          <w:rFonts w:asciiTheme="majorHAnsi" w:hAnsiTheme="majorHAnsi"/>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313169F5">
                <wp:simplePos x="0" y="0"/>
                <wp:positionH relativeFrom="column">
                  <wp:posOffset>1348966</wp:posOffset>
                </wp:positionH>
                <wp:positionV relativeFrom="paragraph">
                  <wp:posOffset>107051</wp:posOffset>
                </wp:positionV>
                <wp:extent cx="5078994"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7899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02C803A" w:rsidR="005B52B0" w:rsidRPr="0098334E"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8334E">
                              <w:rPr>
                                <w:rFonts w:asciiTheme="majorHAnsi" w:hAnsiTheme="majorHAnsi" w:cs="Arial"/>
                                <w:b/>
                                <w:bCs/>
                                <w:color w:val="0D0D0D" w:themeColor="text1" w:themeTint="F2"/>
                                <w:sz w:val="36"/>
                                <w:szCs w:val="40"/>
                                <w:lang w:val="es-ES_tradnl"/>
                              </w:rPr>
                              <w:t>No.</w:t>
                            </w:r>
                            <w:r w:rsidR="007B05C4" w:rsidRPr="0098334E">
                              <w:rPr>
                                <w:rFonts w:asciiTheme="majorHAnsi" w:hAnsiTheme="majorHAnsi" w:cs="Arial"/>
                                <w:b/>
                                <w:bCs/>
                                <w:color w:val="0D0D0D" w:themeColor="text1" w:themeTint="F2"/>
                                <w:sz w:val="36"/>
                                <w:szCs w:val="22"/>
                                <w:lang w:val="es-ES_tradnl"/>
                              </w:rPr>
                              <w:t xml:space="preserve"> </w:t>
                            </w:r>
                            <w:r w:rsidR="00A74257">
                              <w:rPr>
                                <w:rFonts w:asciiTheme="majorHAnsi" w:hAnsiTheme="majorHAnsi" w:cs="Arial"/>
                                <w:b/>
                                <w:bCs/>
                                <w:color w:val="0D0D0D" w:themeColor="text1" w:themeTint="F2"/>
                                <w:sz w:val="36"/>
                                <w:szCs w:val="22"/>
                                <w:lang w:val="es-ES_tradnl"/>
                              </w:rPr>
                              <w:t>355</w:t>
                            </w:r>
                            <w:r w:rsidR="007B05C4" w:rsidRPr="0098334E">
                              <w:rPr>
                                <w:rFonts w:asciiTheme="majorHAnsi" w:hAnsiTheme="majorHAnsi" w:cs="Arial"/>
                                <w:b/>
                                <w:bCs/>
                                <w:color w:val="0D0D0D" w:themeColor="text1" w:themeTint="F2"/>
                                <w:sz w:val="36"/>
                                <w:szCs w:val="22"/>
                                <w:lang w:val="es-ES_tradnl"/>
                              </w:rPr>
                              <w:t>/</w:t>
                            </w:r>
                            <w:r w:rsidR="001D57D6" w:rsidRPr="0098334E">
                              <w:rPr>
                                <w:rFonts w:asciiTheme="majorHAnsi" w:hAnsiTheme="majorHAnsi" w:cs="Arial"/>
                                <w:b/>
                                <w:bCs/>
                                <w:color w:val="0D0D0D" w:themeColor="text1" w:themeTint="F2"/>
                                <w:sz w:val="36"/>
                                <w:szCs w:val="22"/>
                                <w:lang w:val="es-ES_tradnl"/>
                              </w:rPr>
                              <w:t>2</w:t>
                            </w:r>
                            <w:r w:rsidR="00462DC8" w:rsidRPr="0098334E">
                              <w:rPr>
                                <w:rFonts w:asciiTheme="majorHAnsi" w:hAnsiTheme="majorHAnsi" w:cs="Arial"/>
                                <w:b/>
                                <w:bCs/>
                                <w:color w:val="0D0D0D" w:themeColor="text1" w:themeTint="F2"/>
                                <w:sz w:val="36"/>
                                <w:szCs w:val="22"/>
                                <w:lang w:val="es-ES_tradnl"/>
                              </w:rPr>
                              <w:t>3</w:t>
                            </w:r>
                          </w:p>
                          <w:p w14:paraId="45F30ECA" w14:textId="6C25F289" w:rsidR="007B05C4" w:rsidRPr="0098334E" w:rsidRDefault="005B52B0" w:rsidP="00997BC5">
                            <w:pPr>
                              <w:spacing w:line="276" w:lineRule="auto"/>
                              <w:rPr>
                                <w:rFonts w:asciiTheme="majorHAnsi" w:hAnsiTheme="majorHAnsi" w:cs="Arial"/>
                                <w:b/>
                                <w:color w:val="0D0D0D" w:themeColor="text1" w:themeTint="F2"/>
                                <w:sz w:val="36"/>
                                <w:szCs w:val="22"/>
                                <w:lang w:val="es-ES_tradnl"/>
                              </w:rPr>
                            </w:pPr>
                            <w:r w:rsidRPr="0098334E">
                              <w:rPr>
                                <w:rFonts w:asciiTheme="majorHAnsi" w:hAnsiTheme="majorHAnsi" w:cs="Arial"/>
                                <w:b/>
                                <w:color w:val="0D0D0D" w:themeColor="text1" w:themeTint="F2"/>
                                <w:sz w:val="36"/>
                                <w:szCs w:val="22"/>
                                <w:lang w:val="es-ES_tradnl"/>
                              </w:rPr>
                              <w:t xml:space="preserve">PETICIÓN </w:t>
                            </w:r>
                            <w:r w:rsidR="00462DC8" w:rsidRPr="0098334E">
                              <w:rPr>
                                <w:rFonts w:asciiTheme="majorHAnsi" w:hAnsiTheme="majorHAnsi" w:cs="Arial"/>
                                <w:b/>
                                <w:color w:val="0D0D0D" w:themeColor="text1" w:themeTint="F2"/>
                                <w:sz w:val="36"/>
                                <w:szCs w:val="22"/>
                                <w:lang w:val="es-ES_tradnl"/>
                              </w:rPr>
                              <w:t>1</w:t>
                            </w:r>
                            <w:r w:rsidR="00DD2046" w:rsidRPr="0098334E">
                              <w:rPr>
                                <w:rFonts w:asciiTheme="majorHAnsi" w:hAnsiTheme="majorHAnsi" w:cs="Arial"/>
                                <w:b/>
                                <w:color w:val="0D0D0D" w:themeColor="text1" w:themeTint="F2"/>
                                <w:sz w:val="36"/>
                                <w:szCs w:val="22"/>
                                <w:lang w:val="es-ES_tradnl"/>
                              </w:rPr>
                              <w:t>701</w:t>
                            </w:r>
                            <w:r w:rsidR="00462DC8" w:rsidRPr="0098334E">
                              <w:rPr>
                                <w:rFonts w:asciiTheme="majorHAnsi" w:hAnsiTheme="majorHAnsi" w:cs="Arial"/>
                                <w:b/>
                                <w:color w:val="0D0D0D" w:themeColor="text1" w:themeTint="F2"/>
                                <w:sz w:val="36"/>
                                <w:szCs w:val="22"/>
                                <w:lang w:val="es-ES_tradnl"/>
                              </w:rPr>
                              <w:t>-17</w:t>
                            </w:r>
                            <w:r w:rsidR="00246D1F" w:rsidRPr="0098334E">
                              <w:rPr>
                                <w:rFonts w:asciiTheme="majorHAnsi" w:hAnsiTheme="majorHAnsi" w:cs="Arial"/>
                                <w:b/>
                                <w:color w:val="0D0D0D" w:themeColor="text1" w:themeTint="F2"/>
                                <w:sz w:val="36"/>
                                <w:szCs w:val="22"/>
                                <w:lang w:val="es-ES_tradnl"/>
                              </w:rPr>
                              <w:t xml:space="preserve"> </w:t>
                            </w:r>
                          </w:p>
                          <w:p w14:paraId="188B4303" w14:textId="649234F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8334E">
                              <w:rPr>
                                <w:rFonts w:asciiTheme="majorHAnsi" w:hAnsiTheme="majorHAnsi" w:cs="Arial"/>
                                <w:color w:val="0D0D0D" w:themeColor="text1" w:themeTint="F2"/>
                                <w:szCs w:val="22"/>
                                <w:lang w:val="es-ES_tradnl"/>
                              </w:rPr>
                              <w:t xml:space="preserve">INFORME DE </w:t>
                            </w:r>
                            <w:r w:rsidR="00C1320A" w:rsidRPr="0098334E">
                              <w:rPr>
                                <w:rFonts w:asciiTheme="majorHAnsi" w:hAnsiTheme="majorHAnsi" w:cs="Arial"/>
                                <w:color w:val="0D0D0D" w:themeColor="text1" w:themeTint="F2"/>
                                <w:szCs w:val="22"/>
                                <w:lang w:val="es-ES_tradnl"/>
                              </w:rPr>
                              <w:t>A</w:t>
                            </w:r>
                            <w:r w:rsidRPr="0098334E">
                              <w:rPr>
                                <w:rFonts w:asciiTheme="majorHAnsi" w:hAnsiTheme="majorHAnsi" w:cs="Arial"/>
                                <w:color w:val="0D0D0D" w:themeColor="text1" w:themeTint="F2"/>
                                <w:szCs w:val="22"/>
                                <w:lang w:val="es-ES_tradnl"/>
                              </w:rPr>
                              <w:t>DMISIBILIDA</w:t>
                            </w:r>
                            <w:r w:rsidRPr="0010736F">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507F684" w14:textId="63B9A0ED" w:rsidR="00A85053" w:rsidRPr="0092229A" w:rsidRDefault="00A9117F" w:rsidP="00A85053">
                            <w:pPr>
                              <w:rPr>
                                <w:rFonts w:ascii="Cambria" w:hAnsi="Cambria"/>
                                <w:bCs/>
                                <w:sz w:val="20"/>
                                <w:szCs w:val="20"/>
                                <w:lang w:val="es-ES_tradnl"/>
                              </w:rPr>
                            </w:pPr>
                            <w:r>
                              <w:rPr>
                                <w:rFonts w:asciiTheme="majorHAnsi" w:hAnsiTheme="majorHAnsi" w:cs="Arial"/>
                                <w:bCs/>
                                <w:color w:val="0D0D0D" w:themeColor="text1" w:themeTint="F2"/>
                                <w:szCs w:val="22"/>
                                <w:lang w:val="es-ES_tradnl"/>
                              </w:rPr>
                              <w:t xml:space="preserve">FAMILIAS CAMPESINAS E INDÍGENAS PERTENECIENTES A LA </w:t>
                            </w:r>
                            <w:r w:rsidR="00486281">
                              <w:rPr>
                                <w:rFonts w:asciiTheme="majorHAnsi" w:hAnsiTheme="majorHAnsi" w:cs="Arial"/>
                                <w:bCs/>
                                <w:color w:val="0D0D0D" w:themeColor="text1" w:themeTint="F2"/>
                                <w:szCs w:val="22"/>
                                <w:lang w:val="es-ES_tradnl"/>
                              </w:rPr>
                              <w:t>A</w:t>
                            </w:r>
                            <w:r>
                              <w:rPr>
                                <w:rFonts w:asciiTheme="majorHAnsi" w:hAnsiTheme="majorHAnsi" w:cs="Arial"/>
                                <w:bCs/>
                                <w:color w:val="0D0D0D" w:themeColor="text1" w:themeTint="F2"/>
                                <w:szCs w:val="22"/>
                                <w:lang w:val="es-ES_tradnl"/>
                              </w:rPr>
                              <w:t>DIAJMST</w:t>
                            </w:r>
                          </w:p>
                          <w:p w14:paraId="0B9F7D22" w14:textId="4DFBB217"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399.9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" filled="f" stroked="f" strokeweight=".5pt">
                <v:textbox>
                  <w:txbxContent>
                    <w:p w14:paraId="7D7328D9" w14:textId="702C803A" w:rsidR="005B52B0" w:rsidRPr="0098334E"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8334E">
                        <w:rPr>
                          <w:rFonts w:asciiTheme="majorHAnsi" w:hAnsiTheme="majorHAnsi" w:cs="Arial"/>
                          <w:b/>
                          <w:bCs/>
                          <w:color w:val="0D0D0D" w:themeColor="text1" w:themeTint="F2"/>
                          <w:sz w:val="36"/>
                          <w:szCs w:val="40"/>
                          <w:lang w:val="es-ES_tradnl"/>
                        </w:rPr>
                        <w:t>No.</w:t>
                      </w:r>
                      <w:r w:rsidR="007B05C4" w:rsidRPr="0098334E">
                        <w:rPr>
                          <w:rFonts w:asciiTheme="majorHAnsi" w:hAnsiTheme="majorHAnsi" w:cs="Arial"/>
                          <w:b/>
                          <w:bCs/>
                          <w:color w:val="0D0D0D" w:themeColor="text1" w:themeTint="F2"/>
                          <w:sz w:val="36"/>
                          <w:szCs w:val="22"/>
                          <w:lang w:val="es-ES_tradnl"/>
                        </w:rPr>
                        <w:t xml:space="preserve"> </w:t>
                      </w:r>
                      <w:r w:rsidR="00A74257">
                        <w:rPr>
                          <w:rFonts w:asciiTheme="majorHAnsi" w:hAnsiTheme="majorHAnsi" w:cs="Arial"/>
                          <w:b/>
                          <w:bCs/>
                          <w:color w:val="0D0D0D" w:themeColor="text1" w:themeTint="F2"/>
                          <w:sz w:val="36"/>
                          <w:szCs w:val="22"/>
                          <w:lang w:val="es-ES_tradnl"/>
                        </w:rPr>
                        <w:t>355</w:t>
                      </w:r>
                      <w:r w:rsidR="007B05C4" w:rsidRPr="0098334E">
                        <w:rPr>
                          <w:rFonts w:asciiTheme="majorHAnsi" w:hAnsiTheme="majorHAnsi" w:cs="Arial"/>
                          <w:b/>
                          <w:bCs/>
                          <w:color w:val="0D0D0D" w:themeColor="text1" w:themeTint="F2"/>
                          <w:sz w:val="36"/>
                          <w:szCs w:val="22"/>
                          <w:lang w:val="es-ES_tradnl"/>
                        </w:rPr>
                        <w:t>/</w:t>
                      </w:r>
                      <w:r w:rsidR="001D57D6" w:rsidRPr="0098334E">
                        <w:rPr>
                          <w:rFonts w:asciiTheme="majorHAnsi" w:hAnsiTheme="majorHAnsi" w:cs="Arial"/>
                          <w:b/>
                          <w:bCs/>
                          <w:color w:val="0D0D0D" w:themeColor="text1" w:themeTint="F2"/>
                          <w:sz w:val="36"/>
                          <w:szCs w:val="22"/>
                          <w:lang w:val="es-ES_tradnl"/>
                        </w:rPr>
                        <w:t>2</w:t>
                      </w:r>
                      <w:r w:rsidR="00462DC8" w:rsidRPr="0098334E">
                        <w:rPr>
                          <w:rFonts w:asciiTheme="majorHAnsi" w:hAnsiTheme="majorHAnsi" w:cs="Arial"/>
                          <w:b/>
                          <w:bCs/>
                          <w:color w:val="0D0D0D" w:themeColor="text1" w:themeTint="F2"/>
                          <w:sz w:val="36"/>
                          <w:szCs w:val="22"/>
                          <w:lang w:val="es-ES_tradnl"/>
                        </w:rPr>
                        <w:t>3</w:t>
                      </w:r>
                    </w:p>
                    <w:p w14:paraId="45F30ECA" w14:textId="6C25F289" w:rsidR="007B05C4" w:rsidRPr="0098334E" w:rsidRDefault="005B52B0" w:rsidP="00997BC5">
                      <w:pPr>
                        <w:spacing w:line="276" w:lineRule="auto"/>
                        <w:rPr>
                          <w:rFonts w:asciiTheme="majorHAnsi" w:hAnsiTheme="majorHAnsi" w:cs="Arial"/>
                          <w:b/>
                          <w:color w:val="0D0D0D" w:themeColor="text1" w:themeTint="F2"/>
                          <w:sz w:val="36"/>
                          <w:szCs w:val="22"/>
                          <w:lang w:val="es-ES_tradnl"/>
                        </w:rPr>
                      </w:pPr>
                      <w:r w:rsidRPr="0098334E">
                        <w:rPr>
                          <w:rFonts w:asciiTheme="majorHAnsi" w:hAnsiTheme="majorHAnsi" w:cs="Arial"/>
                          <w:b/>
                          <w:color w:val="0D0D0D" w:themeColor="text1" w:themeTint="F2"/>
                          <w:sz w:val="36"/>
                          <w:szCs w:val="22"/>
                          <w:lang w:val="es-ES_tradnl"/>
                        </w:rPr>
                        <w:t xml:space="preserve">PETICIÓN </w:t>
                      </w:r>
                      <w:r w:rsidR="00462DC8" w:rsidRPr="0098334E">
                        <w:rPr>
                          <w:rFonts w:asciiTheme="majorHAnsi" w:hAnsiTheme="majorHAnsi" w:cs="Arial"/>
                          <w:b/>
                          <w:color w:val="0D0D0D" w:themeColor="text1" w:themeTint="F2"/>
                          <w:sz w:val="36"/>
                          <w:szCs w:val="22"/>
                          <w:lang w:val="es-ES_tradnl"/>
                        </w:rPr>
                        <w:t>1</w:t>
                      </w:r>
                      <w:r w:rsidR="00DD2046" w:rsidRPr="0098334E">
                        <w:rPr>
                          <w:rFonts w:asciiTheme="majorHAnsi" w:hAnsiTheme="majorHAnsi" w:cs="Arial"/>
                          <w:b/>
                          <w:color w:val="0D0D0D" w:themeColor="text1" w:themeTint="F2"/>
                          <w:sz w:val="36"/>
                          <w:szCs w:val="22"/>
                          <w:lang w:val="es-ES_tradnl"/>
                        </w:rPr>
                        <w:t>701</w:t>
                      </w:r>
                      <w:r w:rsidR="00462DC8" w:rsidRPr="0098334E">
                        <w:rPr>
                          <w:rFonts w:asciiTheme="majorHAnsi" w:hAnsiTheme="majorHAnsi" w:cs="Arial"/>
                          <w:b/>
                          <w:color w:val="0D0D0D" w:themeColor="text1" w:themeTint="F2"/>
                          <w:sz w:val="36"/>
                          <w:szCs w:val="22"/>
                          <w:lang w:val="es-ES_tradnl"/>
                        </w:rPr>
                        <w:t>-17</w:t>
                      </w:r>
                      <w:r w:rsidR="00246D1F" w:rsidRPr="0098334E">
                        <w:rPr>
                          <w:rFonts w:asciiTheme="majorHAnsi" w:hAnsiTheme="majorHAnsi" w:cs="Arial"/>
                          <w:b/>
                          <w:color w:val="0D0D0D" w:themeColor="text1" w:themeTint="F2"/>
                          <w:sz w:val="36"/>
                          <w:szCs w:val="22"/>
                          <w:lang w:val="es-ES_tradnl"/>
                        </w:rPr>
                        <w:t xml:space="preserve"> </w:t>
                      </w:r>
                    </w:p>
                    <w:p w14:paraId="188B4303" w14:textId="649234F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8334E">
                        <w:rPr>
                          <w:rFonts w:asciiTheme="majorHAnsi" w:hAnsiTheme="majorHAnsi" w:cs="Arial"/>
                          <w:color w:val="0D0D0D" w:themeColor="text1" w:themeTint="F2"/>
                          <w:szCs w:val="22"/>
                          <w:lang w:val="es-ES_tradnl"/>
                        </w:rPr>
                        <w:t xml:space="preserve">INFORME DE </w:t>
                      </w:r>
                      <w:r w:rsidR="00C1320A" w:rsidRPr="0098334E">
                        <w:rPr>
                          <w:rFonts w:asciiTheme="majorHAnsi" w:hAnsiTheme="majorHAnsi" w:cs="Arial"/>
                          <w:color w:val="0D0D0D" w:themeColor="text1" w:themeTint="F2"/>
                          <w:szCs w:val="22"/>
                          <w:lang w:val="es-ES_tradnl"/>
                        </w:rPr>
                        <w:t>A</w:t>
                      </w:r>
                      <w:r w:rsidRPr="0098334E">
                        <w:rPr>
                          <w:rFonts w:asciiTheme="majorHAnsi" w:hAnsiTheme="majorHAnsi" w:cs="Arial"/>
                          <w:color w:val="0D0D0D" w:themeColor="text1" w:themeTint="F2"/>
                          <w:szCs w:val="22"/>
                          <w:lang w:val="es-ES_tradnl"/>
                        </w:rPr>
                        <w:t>DMISIBILIDA</w:t>
                      </w:r>
                      <w:r w:rsidRPr="0010736F">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507F684" w14:textId="63B9A0ED" w:rsidR="00A85053" w:rsidRPr="0092229A" w:rsidRDefault="00A9117F" w:rsidP="00A85053">
                      <w:pPr>
                        <w:rPr>
                          <w:rFonts w:ascii="Cambria" w:hAnsi="Cambria"/>
                          <w:bCs/>
                          <w:sz w:val="20"/>
                          <w:szCs w:val="20"/>
                          <w:lang w:val="es-ES_tradnl"/>
                        </w:rPr>
                      </w:pPr>
                      <w:r>
                        <w:rPr>
                          <w:rFonts w:asciiTheme="majorHAnsi" w:hAnsiTheme="majorHAnsi" w:cs="Arial"/>
                          <w:bCs/>
                          <w:color w:val="0D0D0D" w:themeColor="text1" w:themeTint="F2"/>
                          <w:szCs w:val="22"/>
                          <w:lang w:val="es-ES_tradnl"/>
                        </w:rPr>
                        <w:t xml:space="preserve">FAMILIAS CAMPESINAS E INDÍGENAS PERTENECIENTES A LA </w:t>
                      </w:r>
                      <w:r w:rsidR="00486281">
                        <w:rPr>
                          <w:rFonts w:asciiTheme="majorHAnsi" w:hAnsiTheme="majorHAnsi" w:cs="Arial"/>
                          <w:bCs/>
                          <w:color w:val="0D0D0D" w:themeColor="text1" w:themeTint="F2"/>
                          <w:szCs w:val="22"/>
                          <w:lang w:val="es-ES_tradnl"/>
                        </w:rPr>
                        <w:t>A</w:t>
                      </w:r>
                      <w:r>
                        <w:rPr>
                          <w:rFonts w:asciiTheme="majorHAnsi" w:hAnsiTheme="majorHAnsi" w:cs="Arial"/>
                          <w:bCs/>
                          <w:color w:val="0D0D0D" w:themeColor="text1" w:themeTint="F2"/>
                          <w:szCs w:val="22"/>
                          <w:lang w:val="es-ES_tradnl"/>
                        </w:rPr>
                        <w:t>DIAJMST</w:t>
                      </w:r>
                    </w:p>
                    <w:p w14:paraId="0B9F7D22" w14:textId="4DFBB217"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92229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A286097" w:rsidR="00627C9F" w:rsidRPr="00AA4769" w:rsidRDefault="00834D49" w:rsidP="007A5817">
                            <w:pPr>
                              <w:spacing w:line="276" w:lineRule="auto"/>
                              <w:jc w:val="right"/>
                              <w:rPr>
                                <w:rFonts w:asciiTheme="minorHAnsi" w:hAnsiTheme="minorHAnsi"/>
                                <w:color w:val="FFFFFF" w:themeColor="background1"/>
                                <w:sz w:val="22"/>
                                <w:lang w:val="es-AR"/>
                              </w:rPr>
                            </w:pPr>
                            <w:r w:rsidRPr="00AA4769">
                              <w:rPr>
                                <w:rFonts w:asciiTheme="minorHAnsi" w:hAnsiTheme="minorHAnsi"/>
                                <w:color w:val="FFFFFF" w:themeColor="background1"/>
                                <w:sz w:val="22"/>
                                <w:lang w:val="es-AR"/>
                              </w:rPr>
                              <w:t>OEA/Ser.L/V/II</w:t>
                            </w:r>
                          </w:p>
                          <w:p w14:paraId="71D2D5D2" w14:textId="03453A4B" w:rsidR="00627C9F" w:rsidRPr="00AA4769" w:rsidRDefault="00627C9F" w:rsidP="007A5817">
                            <w:pPr>
                              <w:spacing w:line="276" w:lineRule="auto"/>
                              <w:jc w:val="right"/>
                              <w:rPr>
                                <w:rFonts w:asciiTheme="minorHAnsi" w:hAnsiTheme="minorHAnsi"/>
                                <w:color w:val="FFFFFF" w:themeColor="background1"/>
                                <w:sz w:val="22"/>
                                <w:lang w:val="es-AR"/>
                              </w:rPr>
                            </w:pPr>
                            <w:r w:rsidRPr="00AA4769">
                              <w:rPr>
                                <w:rFonts w:asciiTheme="minorHAnsi" w:hAnsiTheme="minorHAnsi"/>
                                <w:color w:val="FFFFFF" w:themeColor="background1"/>
                                <w:sz w:val="22"/>
                                <w:lang w:val="es-AR"/>
                              </w:rPr>
                              <w:t>Doc.</w:t>
                            </w:r>
                            <w:r w:rsidR="00A74257" w:rsidRPr="00AA4769">
                              <w:rPr>
                                <w:rFonts w:asciiTheme="minorHAnsi" w:hAnsiTheme="minorHAnsi"/>
                                <w:color w:val="FFFFFF" w:themeColor="background1"/>
                                <w:sz w:val="22"/>
                                <w:lang w:val="es-AR"/>
                              </w:rPr>
                              <w:t xml:space="preserve"> 382</w:t>
                            </w:r>
                            <w:r w:rsidRPr="00AA4769">
                              <w:rPr>
                                <w:rFonts w:asciiTheme="minorHAnsi" w:hAnsiTheme="minorHAnsi"/>
                                <w:color w:val="FFFFFF" w:themeColor="background1"/>
                                <w:sz w:val="22"/>
                                <w:lang w:val="es-AR"/>
                              </w:rPr>
                              <w:t xml:space="preserve"> </w:t>
                            </w:r>
                          </w:p>
                          <w:p w14:paraId="4061DBBD" w14:textId="7B09C5AA" w:rsidR="00627C9F" w:rsidRPr="0098334E" w:rsidRDefault="00A742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98334E">
                              <w:rPr>
                                <w:rFonts w:asciiTheme="minorHAnsi" w:hAnsiTheme="minorHAnsi"/>
                                <w:color w:val="FFFFFF" w:themeColor="background1"/>
                                <w:sz w:val="22"/>
                                <w:lang w:val="es-PA"/>
                              </w:rPr>
                              <w:t xml:space="preserve"> 20</w:t>
                            </w:r>
                            <w:r w:rsidR="00C23BA4" w:rsidRPr="0098334E">
                              <w:rPr>
                                <w:rFonts w:asciiTheme="minorHAnsi" w:hAnsiTheme="minorHAnsi"/>
                                <w:color w:val="FFFFFF" w:themeColor="background1"/>
                                <w:sz w:val="22"/>
                                <w:lang w:val="es-PA"/>
                              </w:rPr>
                              <w:t>2</w:t>
                            </w:r>
                            <w:r w:rsidR="00462DC8" w:rsidRPr="0098334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98334E">
                              <w:rPr>
                                <w:rFonts w:asciiTheme="minorHAnsi" w:hAnsiTheme="minorHAnsi"/>
                                <w:color w:val="FFFFFF" w:themeColor="background1"/>
                                <w:sz w:val="22"/>
                                <w:lang w:val="es-PA"/>
                              </w:rPr>
                              <w:t xml:space="preserve">Original: </w:t>
                            </w:r>
                            <w:r w:rsidR="008B12F5" w:rsidRPr="0098334E">
                              <w:rPr>
                                <w:rFonts w:asciiTheme="minorHAnsi" w:hAnsiTheme="minorHAnsi"/>
                                <w:color w:val="FFFFFF" w:themeColor="background1"/>
                                <w:sz w:val="22"/>
                                <w:lang w:val="es-PA"/>
                              </w:rPr>
                              <w:t>e</w:t>
                            </w:r>
                            <w:r w:rsidR="00627C9F" w:rsidRPr="0098334E">
                              <w:rPr>
                                <w:rFonts w:asciiTheme="minorHAnsi" w:hAnsiTheme="minorHAnsi"/>
                                <w:color w:val="FFFFFF" w:themeColor="background1"/>
                                <w:sz w:val="22"/>
                                <w:lang w:val="es-PA"/>
                              </w:rPr>
                              <w:t>sp</w:t>
                            </w:r>
                            <w:r w:rsidR="00627C9F" w:rsidRPr="00C25ADB">
                              <w:rPr>
                                <w:rFonts w:asciiTheme="minorHAnsi" w:hAnsiTheme="minorHAnsi"/>
                                <w:color w:val="FFFFFF" w:themeColor="background1"/>
                                <w:sz w:val="22"/>
                                <w:lang w:val="es-PA"/>
                              </w:rPr>
                              <w:t>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A286097" w:rsidR="00627C9F" w:rsidRPr="00AA4769" w:rsidRDefault="00834D49" w:rsidP="007A5817">
                      <w:pPr>
                        <w:spacing w:line="276" w:lineRule="auto"/>
                        <w:jc w:val="right"/>
                        <w:rPr>
                          <w:rFonts w:asciiTheme="minorHAnsi" w:hAnsiTheme="minorHAnsi"/>
                          <w:color w:val="FFFFFF" w:themeColor="background1"/>
                          <w:sz w:val="22"/>
                          <w:lang w:val="es-AR"/>
                        </w:rPr>
                      </w:pPr>
                      <w:r w:rsidRPr="00AA4769">
                        <w:rPr>
                          <w:rFonts w:asciiTheme="minorHAnsi" w:hAnsiTheme="minorHAnsi"/>
                          <w:color w:val="FFFFFF" w:themeColor="background1"/>
                          <w:sz w:val="22"/>
                          <w:lang w:val="es-AR"/>
                        </w:rPr>
                        <w:t>OEA/Ser.L/V/II</w:t>
                      </w:r>
                    </w:p>
                    <w:p w14:paraId="71D2D5D2" w14:textId="03453A4B" w:rsidR="00627C9F" w:rsidRPr="00AA4769" w:rsidRDefault="00627C9F" w:rsidP="007A5817">
                      <w:pPr>
                        <w:spacing w:line="276" w:lineRule="auto"/>
                        <w:jc w:val="right"/>
                        <w:rPr>
                          <w:rFonts w:asciiTheme="minorHAnsi" w:hAnsiTheme="minorHAnsi"/>
                          <w:color w:val="FFFFFF" w:themeColor="background1"/>
                          <w:sz w:val="22"/>
                          <w:lang w:val="es-AR"/>
                        </w:rPr>
                      </w:pPr>
                      <w:r w:rsidRPr="00AA4769">
                        <w:rPr>
                          <w:rFonts w:asciiTheme="minorHAnsi" w:hAnsiTheme="minorHAnsi"/>
                          <w:color w:val="FFFFFF" w:themeColor="background1"/>
                          <w:sz w:val="22"/>
                          <w:lang w:val="es-AR"/>
                        </w:rPr>
                        <w:t>Doc.</w:t>
                      </w:r>
                      <w:r w:rsidR="00A74257" w:rsidRPr="00AA4769">
                        <w:rPr>
                          <w:rFonts w:asciiTheme="minorHAnsi" w:hAnsiTheme="minorHAnsi"/>
                          <w:color w:val="FFFFFF" w:themeColor="background1"/>
                          <w:sz w:val="22"/>
                          <w:lang w:val="es-AR"/>
                        </w:rPr>
                        <w:t xml:space="preserve"> 382</w:t>
                      </w:r>
                      <w:r w:rsidRPr="00AA4769">
                        <w:rPr>
                          <w:rFonts w:asciiTheme="minorHAnsi" w:hAnsiTheme="minorHAnsi"/>
                          <w:color w:val="FFFFFF" w:themeColor="background1"/>
                          <w:sz w:val="22"/>
                          <w:lang w:val="es-AR"/>
                        </w:rPr>
                        <w:t xml:space="preserve"> </w:t>
                      </w:r>
                    </w:p>
                    <w:p w14:paraId="4061DBBD" w14:textId="7B09C5AA" w:rsidR="00627C9F" w:rsidRPr="0098334E" w:rsidRDefault="00A742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98334E">
                        <w:rPr>
                          <w:rFonts w:asciiTheme="minorHAnsi" w:hAnsiTheme="minorHAnsi"/>
                          <w:color w:val="FFFFFF" w:themeColor="background1"/>
                          <w:sz w:val="22"/>
                          <w:lang w:val="es-PA"/>
                        </w:rPr>
                        <w:t xml:space="preserve"> 20</w:t>
                      </w:r>
                      <w:r w:rsidR="00C23BA4" w:rsidRPr="0098334E">
                        <w:rPr>
                          <w:rFonts w:asciiTheme="minorHAnsi" w:hAnsiTheme="minorHAnsi"/>
                          <w:color w:val="FFFFFF" w:themeColor="background1"/>
                          <w:sz w:val="22"/>
                          <w:lang w:val="es-PA"/>
                        </w:rPr>
                        <w:t>2</w:t>
                      </w:r>
                      <w:r w:rsidR="00462DC8" w:rsidRPr="0098334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98334E">
                        <w:rPr>
                          <w:rFonts w:asciiTheme="minorHAnsi" w:hAnsiTheme="minorHAnsi"/>
                          <w:color w:val="FFFFFF" w:themeColor="background1"/>
                          <w:sz w:val="22"/>
                          <w:lang w:val="es-PA"/>
                        </w:rPr>
                        <w:t xml:space="preserve">Original: </w:t>
                      </w:r>
                      <w:r w:rsidR="008B12F5" w:rsidRPr="0098334E">
                        <w:rPr>
                          <w:rFonts w:asciiTheme="minorHAnsi" w:hAnsiTheme="minorHAnsi"/>
                          <w:color w:val="FFFFFF" w:themeColor="background1"/>
                          <w:sz w:val="22"/>
                          <w:lang w:val="es-PA"/>
                        </w:rPr>
                        <w:t>e</w:t>
                      </w:r>
                      <w:r w:rsidR="00627C9F" w:rsidRPr="0098334E">
                        <w:rPr>
                          <w:rFonts w:asciiTheme="minorHAnsi" w:hAnsiTheme="minorHAnsi"/>
                          <w:color w:val="FFFFFF" w:themeColor="background1"/>
                          <w:sz w:val="22"/>
                          <w:lang w:val="es-PA"/>
                        </w:rPr>
                        <w:t>sp</w:t>
                      </w:r>
                      <w:r w:rsidR="00627C9F" w:rsidRPr="00C25ADB">
                        <w:rPr>
                          <w:rFonts w:asciiTheme="minorHAnsi" w:hAnsiTheme="minorHAnsi"/>
                          <w:color w:val="FFFFFF" w:themeColor="background1"/>
                          <w:sz w:val="22"/>
                          <w:lang w:val="es-PA"/>
                        </w:rPr>
                        <w:t>añol</w:t>
                      </w:r>
                    </w:p>
                  </w:txbxContent>
                </v:textbox>
              </v:shape>
            </w:pict>
          </mc:Fallback>
        </mc:AlternateContent>
      </w:r>
    </w:p>
    <w:p w14:paraId="05E2386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2229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DFB86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8334E">
                              <w:rPr>
                                <w:rFonts w:asciiTheme="majorHAnsi" w:hAnsiTheme="majorHAnsi"/>
                                <w:color w:val="0D0D0D" w:themeColor="text1" w:themeTint="F2"/>
                                <w:sz w:val="18"/>
                                <w:szCs w:val="22"/>
                                <w:lang w:val="es-ES"/>
                              </w:rPr>
                              <w:t>Aprobado electr</w:t>
                            </w:r>
                            <w:r w:rsidRPr="0098334E">
                              <w:rPr>
                                <w:rFonts w:asciiTheme="majorHAnsi" w:hAnsiTheme="majorHAnsi"/>
                                <w:color w:val="0D0D0D" w:themeColor="text1" w:themeTint="F2"/>
                                <w:sz w:val="18"/>
                                <w:szCs w:val="22"/>
                                <w:lang w:val="es-ES_tradnl"/>
                              </w:rPr>
                              <w:t>ónicamente</w:t>
                            </w:r>
                            <w:r w:rsidRPr="0098334E">
                              <w:rPr>
                                <w:rFonts w:asciiTheme="majorHAnsi" w:hAnsiTheme="majorHAnsi"/>
                                <w:color w:val="0D0D0D" w:themeColor="text1" w:themeTint="F2"/>
                                <w:sz w:val="18"/>
                                <w:szCs w:val="22"/>
                                <w:lang w:val="es-ES"/>
                              </w:rPr>
                              <w:t xml:space="preserve"> por la Comisión el </w:t>
                            </w:r>
                            <w:r w:rsidR="00486281">
                              <w:rPr>
                                <w:rFonts w:asciiTheme="majorHAnsi" w:hAnsiTheme="majorHAnsi"/>
                                <w:color w:val="0D0D0D" w:themeColor="text1" w:themeTint="F2"/>
                                <w:sz w:val="18"/>
                                <w:szCs w:val="22"/>
                                <w:lang w:val="es-ES"/>
                              </w:rPr>
                              <w:t>29</w:t>
                            </w:r>
                            <w:r w:rsidRPr="0098334E">
                              <w:rPr>
                                <w:rFonts w:asciiTheme="majorHAnsi" w:hAnsiTheme="majorHAnsi"/>
                                <w:color w:val="0D0D0D" w:themeColor="text1" w:themeTint="F2"/>
                                <w:sz w:val="18"/>
                                <w:szCs w:val="22"/>
                                <w:lang w:val="es-ES"/>
                              </w:rPr>
                              <w:t xml:space="preserve"> de </w:t>
                            </w:r>
                            <w:r w:rsidR="00486281">
                              <w:rPr>
                                <w:rFonts w:asciiTheme="majorHAnsi" w:hAnsiTheme="majorHAnsi"/>
                                <w:color w:val="0D0D0D" w:themeColor="text1" w:themeTint="F2"/>
                                <w:sz w:val="18"/>
                                <w:szCs w:val="22"/>
                                <w:lang w:val="es-ES"/>
                              </w:rPr>
                              <w:t>diciembre</w:t>
                            </w:r>
                            <w:r w:rsidR="00F81BB8" w:rsidRPr="0098334E">
                              <w:rPr>
                                <w:rFonts w:asciiTheme="majorHAnsi" w:hAnsiTheme="majorHAnsi"/>
                                <w:color w:val="0D0D0D" w:themeColor="text1" w:themeTint="F2"/>
                                <w:sz w:val="18"/>
                                <w:szCs w:val="22"/>
                                <w:lang w:val="es-ES"/>
                              </w:rPr>
                              <w:t xml:space="preserve"> </w:t>
                            </w:r>
                            <w:r w:rsidRPr="0098334E">
                              <w:rPr>
                                <w:rFonts w:asciiTheme="majorHAnsi" w:hAnsiTheme="majorHAnsi"/>
                                <w:color w:val="0D0D0D" w:themeColor="text1" w:themeTint="F2"/>
                                <w:sz w:val="18"/>
                                <w:szCs w:val="22"/>
                                <w:lang w:val="es-ES"/>
                              </w:rPr>
                              <w:t>de 20</w:t>
                            </w:r>
                            <w:r w:rsidR="00C23BA4" w:rsidRPr="0098334E">
                              <w:rPr>
                                <w:rFonts w:asciiTheme="majorHAnsi" w:hAnsiTheme="majorHAnsi"/>
                                <w:color w:val="0D0D0D" w:themeColor="text1" w:themeTint="F2"/>
                                <w:sz w:val="18"/>
                                <w:szCs w:val="22"/>
                                <w:lang w:val="es-ES"/>
                              </w:rPr>
                              <w:t>2</w:t>
                            </w:r>
                            <w:r w:rsidR="00462DC8" w:rsidRPr="0098334E">
                              <w:rPr>
                                <w:rFonts w:asciiTheme="majorHAnsi" w:hAnsiTheme="majorHAnsi"/>
                                <w:color w:val="0D0D0D" w:themeColor="text1" w:themeTint="F2"/>
                                <w:sz w:val="18"/>
                                <w:szCs w:val="22"/>
                                <w:lang w:val="es-ES"/>
                              </w:rPr>
                              <w:t>3</w:t>
                            </w:r>
                            <w:r w:rsidR="009833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DFB86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8334E">
                        <w:rPr>
                          <w:rFonts w:asciiTheme="majorHAnsi" w:hAnsiTheme="majorHAnsi"/>
                          <w:color w:val="0D0D0D" w:themeColor="text1" w:themeTint="F2"/>
                          <w:sz w:val="18"/>
                          <w:szCs w:val="22"/>
                          <w:lang w:val="es-ES"/>
                        </w:rPr>
                        <w:t>Aprobado electr</w:t>
                      </w:r>
                      <w:r w:rsidRPr="0098334E">
                        <w:rPr>
                          <w:rFonts w:asciiTheme="majorHAnsi" w:hAnsiTheme="majorHAnsi"/>
                          <w:color w:val="0D0D0D" w:themeColor="text1" w:themeTint="F2"/>
                          <w:sz w:val="18"/>
                          <w:szCs w:val="22"/>
                          <w:lang w:val="es-ES_tradnl"/>
                        </w:rPr>
                        <w:t>ónicamente</w:t>
                      </w:r>
                      <w:r w:rsidRPr="0098334E">
                        <w:rPr>
                          <w:rFonts w:asciiTheme="majorHAnsi" w:hAnsiTheme="majorHAnsi"/>
                          <w:color w:val="0D0D0D" w:themeColor="text1" w:themeTint="F2"/>
                          <w:sz w:val="18"/>
                          <w:szCs w:val="22"/>
                          <w:lang w:val="es-ES"/>
                        </w:rPr>
                        <w:t xml:space="preserve"> por la Comisión el </w:t>
                      </w:r>
                      <w:r w:rsidR="00486281">
                        <w:rPr>
                          <w:rFonts w:asciiTheme="majorHAnsi" w:hAnsiTheme="majorHAnsi"/>
                          <w:color w:val="0D0D0D" w:themeColor="text1" w:themeTint="F2"/>
                          <w:sz w:val="18"/>
                          <w:szCs w:val="22"/>
                          <w:lang w:val="es-ES"/>
                        </w:rPr>
                        <w:t>29</w:t>
                      </w:r>
                      <w:r w:rsidRPr="0098334E">
                        <w:rPr>
                          <w:rFonts w:asciiTheme="majorHAnsi" w:hAnsiTheme="majorHAnsi"/>
                          <w:color w:val="0D0D0D" w:themeColor="text1" w:themeTint="F2"/>
                          <w:sz w:val="18"/>
                          <w:szCs w:val="22"/>
                          <w:lang w:val="es-ES"/>
                        </w:rPr>
                        <w:t xml:space="preserve"> de </w:t>
                      </w:r>
                      <w:r w:rsidR="00486281">
                        <w:rPr>
                          <w:rFonts w:asciiTheme="majorHAnsi" w:hAnsiTheme="majorHAnsi"/>
                          <w:color w:val="0D0D0D" w:themeColor="text1" w:themeTint="F2"/>
                          <w:sz w:val="18"/>
                          <w:szCs w:val="22"/>
                          <w:lang w:val="es-ES"/>
                        </w:rPr>
                        <w:t>diciembre</w:t>
                      </w:r>
                      <w:r w:rsidR="00F81BB8" w:rsidRPr="0098334E">
                        <w:rPr>
                          <w:rFonts w:asciiTheme="majorHAnsi" w:hAnsiTheme="majorHAnsi"/>
                          <w:color w:val="0D0D0D" w:themeColor="text1" w:themeTint="F2"/>
                          <w:sz w:val="18"/>
                          <w:szCs w:val="22"/>
                          <w:lang w:val="es-ES"/>
                        </w:rPr>
                        <w:t xml:space="preserve"> </w:t>
                      </w:r>
                      <w:r w:rsidRPr="0098334E">
                        <w:rPr>
                          <w:rFonts w:asciiTheme="majorHAnsi" w:hAnsiTheme="majorHAnsi"/>
                          <w:color w:val="0D0D0D" w:themeColor="text1" w:themeTint="F2"/>
                          <w:sz w:val="18"/>
                          <w:szCs w:val="22"/>
                          <w:lang w:val="es-ES"/>
                        </w:rPr>
                        <w:t>de 20</w:t>
                      </w:r>
                      <w:r w:rsidR="00C23BA4" w:rsidRPr="0098334E">
                        <w:rPr>
                          <w:rFonts w:asciiTheme="majorHAnsi" w:hAnsiTheme="majorHAnsi"/>
                          <w:color w:val="0D0D0D" w:themeColor="text1" w:themeTint="F2"/>
                          <w:sz w:val="18"/>
                          <w:szCs w:val="22"/>
                          <w:lang w:val="es-ES"/>
                        </w:rPr>
                        <w:t>2</w:t>
                      </w:r>
                      <w:r w:rsidR="00462DC8" w:rsidRPr="0098334E">
                        <w:rPr>
                          <w:rFonts w:asciiTheme="majorHAnsi" w:hAnsiTheme="majorHAnsi"/>
                          <w:color w:val="0D0D0D" w:themeColor="text1" w:themeTint="F2"/>
                          <w:sz w:val="18"/>
                          <w:szCs w:val="22"/>
                          <w:lang w:val="es-ES"/>
                        </w:rPr>
                        <w:t>3</w:t>
                      </w:r>
                      <w:r w:rsidR="009833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5C09DBA" w:rsidR="00113F73" w:rsidRPr="00462D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w:t>
                            </w:r>
                            <w:r w:rsidRPr="0098334E">
                              <w:rPr>
                                <w:rFonts w:asciiTheme="majorHAnsi" w:hAnsiTheme="majorHAnsi"/>
                                <w:color w:val="595959" w:themeColor="text1" w:themeTint="A6"/>
                                <w:sz w:val="18"/>
                                <w:szCs w:val="18"/>
                                <w:lang w:val="pt-BR"/>
                              </w:rPr>
                              <w:t xml:space="preserve">forme No. </w:t>
                            </w:r>
                            <w:r w:rsidR="00486281" w:rsidRPr="00486281">
                              <w:rPr>
                                <w:rFonts w:asciiTheme="majorHAnsi" w:hAnsiTheme="majorHAnsi"/>
                                <w:color w:val="595959" w:themeColor="text1" w:themeTint="A6"/>
                                <w:sz w:val="18"/>
                                <w:szCs w:val="18"/>
                                <w:lang w:val="pt-BR"/>
                              </w:rPr>
                              <w:t>355</w:t>
                            </w:r>
                            <w:r w:rsidR="007B05C4" w:rsidRPr="00486281">
                              <w:rPr>
                                <w:rFonts w:asciiTheme="majorHAnsi" w:hAnsiTheme="majorHAnsi"/>
                                <w:color w:val="595959" w:themeColor="text1" w:themeTint="A6"/>
                                <w:sz w:val="18"/>
                                <w:szCs w:val="18"/>
                                <w:lang w:val="pt-BR"/>
                              </w:rPr>
                              <w:t>/</w:t>
                            </w:r>
                            <w:r w:rsidR="00486281" w:rsidRPr="00486281">
                              <w:rPr>
                                <w:rFonts w:asciiTheme="majorHAnsi" w:hAnsiTheme="majorHAnsi"/>
                                <w:color w:val="595959" w:themeColor="text1" w:themeTint="A6"/>
                                <w:sz w:val="18"/>
                                <w:szCs w:val="18"/>
                                <w:lang w:val="pt-BR"/>
                              </w:rPr>
                              <w:t>23</w:t>
                            </w:r>
                            <w:r w:rsidRPr="00486281">
                              <w:rPr>
                                <w:rFonts w:asciiTheme="majorHAnsi" w:hAnsiTheme="majorHAnsi"/>
                                <w:color w:val="595959" w:themeColor="text1" w:themeTint="A6"/>
                                <w:sz w:val="18"/>
                                <w:szCs w:val="18"/>
                                <w:lang w:val="pt-BR"/>
                              </w:rPr>
                              <w:t xml:space="preserve">. </w:t>
                            </w:r>
                            <w:r w:rsidR="000433C9" w:rsidRPr="0098334E">
                              <w:rPr>
                                <w:rFonts w:asciiTheme="majorHAnsi" w:hAnsiTheme="majorHAnsi"/>
                                <w:color w:val="595959" w:themeColor="text1" w:themeTint="A6"/>
                                <w:sz w:val="18"/>
                                <w:szCs w:val="18"/>
                                <w:lang w:val="es-ES_tradnl"/>
                              </w:rPr>
                              <w:t>Petici</w:t>
                            </w:r>
                            <w:r w:rsidR="000433C9" w:rsidRPr="0098334E">
                              <w:rPr>
                                <w:rFonts w:asciiTheme="majorHAnsi" w:hAnsiTheme="majorHAnsi"/>
                                <w:color w:val="595959" w:themeColor="text1" w:themeTint="A6"/>
                                <w:sz w:val="18"/>
                                <w:szCs w:val="18"/>
                                <w:lang w:val="es-ES"/>
                              </w:rPr>
                              <w:t xml:space="preserve">ón </w:t>
                            </w:r>
                            <w:r w:rsidR="00462DC8" w:rsidRPr="0098334E">
                              <w:rPr>
                                <w:rFonts w:asciiTheme="majorHAnsi" w:hAnsiTheme="majorHAnsi"/>
                                <w:color w:val="595959" w:themeColor="text1" w:themeTint="A6"/>
                                <w:sz w:val="18"/>
                                <w:szCs w:val="18"/>
                                <w:lang w:val="es-ES"/>
                              </w:rPr>
                              <w:t>1</w:t>
                            </w:r>
                            <w:r w:rsidR="00DD2046" w:rsidRPr="0098334E">
                              <w:rPr>
                                <w:rFonts w:asciiTheme="majorHAnsi" w:hAnsiTheme="majorHAnsi"/>
                                <w:color w:val="595959" w:themeColor="text1" w:themeTint="A6"/>
                                <w:sz w:val="18"/>
                                <w:szCs w:val="18"/>
                                <w:lang w:val="es-ES"/>
                              </w:rPr>
                              <w:t>701</w:t>
                            </w:r>
                            <w:r w:rsidR="00462DC8" w:rsidRPr="0098334E">
                              <w:rPr>
                                <w:rFonts w:asciiTheme="majorHAnsi" w:hAnsiTheme="majorHAnsi"/>
                                <w:color w:val="595959" w:themeColor="text1" w:themeTint="A6"/>
                                <w:sz w:val="18"/>
                                <w:szCs w:val="18"/>
                                <w:lang w:val="es-ES"/>
                              </w:rPr>
                              <w:t>-17</w:t>
                            </w:r>
                            <w:r w:rsidR="000433C9" w:rsidRPr="0098334E">
                              <w:rPr>
                                <w:rFonts w:asciiTheme="majorHAnsi" w:hAnsiTheme="majorHAnsi"/>
                                <w:color w:val="595959" w:themeColor="text1" w:themeTint="A6"/>
                                <w:sz w:val="18"/>
                                <w:szCs w:val="18"/>
                                <w:lang w:val="es-ES"/>
                              </w:rPr>
                              <w:t xml:space="preserve">. </w:t>
                            </w:r>
                            <w:r w:rsidR="00E54EEF" w:rsidRPr="0098334E">
                              <w:rPr>
                                <w:rFonts w:asciiTheme="majorHAnsi" w:hAnsiTheme="majorHAnsi"/>
                                <w:color w:val="595959" w:themeColor="text1" w:themeTint="A6"/>
                                <w:sz w:val="18"/>
                                <w:szCs w:val="18"/>
                                <w:lang w:val="es-ES_tradnl"/>
                              </w:rPr>
                              <w:t>A</w:t>
                            </w:r>
                            <w:r w:rsidRPr="0098334E">
                              <w:rPr>
                                <w:rFonts w:asciiTheme="majorHAnsi" w:hAnsiTheme="majorHAnsi"/>
                                <w:color w:val="595959" w:themeColor="text1" w:themeTint="A6"/>
                                <w:sz w:val="18"/>
                                <w:szCs w:val="18"/>
                                <w:lang w:val="es-ES_tradnl"/>
                              </w:rPr>
                              <w:t>dmisibilidad.</w:t>
                            </w:r>
                            <w:r w:rsidR="009935AC" w:rsidRPr="0098334E">
                              <w:rPr>
                                <w:rFonts w:asciiTheme="majorHAnsi" w:hAnsiTheme="majorHAnsi"/>
                                <w:color w:val="595959" w:themeColor="text1" w:themeTint="A6"/>
                                <w:sz w:val="18"/>
                                <w:szCs w:val="18"/>
                                <w:lang w:val="es-ES_tradnl"/>
                              </w:rPr>
                              <w:t xml:space="preserve"> </w:t>
                            </w:r>
                            <w:r w:rsidR="00A9117F" w:rsidRPr="0098334E">
                              <w:rPr>
                                <w:rFonts w:asciiTheme="majorHAnsi" w:hAnsiTheme="majorHAnsi"/>
                                <w:color w:val="595959" w:themeColor="text1" w:themeTint="A6"/>
                                <w:sz w:val="18"/>
                                <w:szCs w:val="18"/>
                                <w:lang w:val="es-ES_tradnl"/>
                              </w:rPr>
                              <w:t>Familias campesinas e indígenas pertenecientes al ADIAJMST</w:t>
                            </w:r>
                            <w:r w:rsidR="009935AC" w:rsidRPr="0098334E">
                              <w:rPr>
                                <w:rFonts w:asciiTheme="majorHAnsi" w:hAnsiTheme="majorHAnsi"/>
                                <w:color w:val="595959" w:themeColor="text1" w:themeTint="A6"/>
                                <w:sz w:val="18"/>
                                <w:szCs w:val="18"/>
                                <w:lang w:val="es-ES_tradnl"/>
                              </w:rPr>
                              <w:t xml:space="preserve">. </w:t>
                            </w:r>
                            <w:r w:rsidR="00967C75" w:rsidRPr="0098334E">
                              <w:rPr>
                                <w:rFonts w:asciiTheme="majorHAnsi" w:hAnsiTheme="majorHAnsi"/>
                                <w:color w:val="595959" w:themeColor="text1" w:themeTint="A6"/>
                                <w:sz w:val="18"/>
                                <w:szCs w:val="18"/>
                                <w:lang w:val="es-ES_tradnl"/>
                              </w:rPr>
                              <w:t>Guatemala</w:t>
                            </w:r>
                            <w:r w:rsidRPr="0098334E">
                              <w:rPr>
                                <w:rFonts w:asciiTheme="majorHAnsi" w:hAnsiTheme="majorHAnsi"/>
                                <w:color w:val="595959" w:themeColor="text1" w:themeTint="A6"/>
                                <w:sz w:val="18"/>
                                <w:szCs w:val="18"/>
                                <w:lang w:val="es-ES_tradnl"/>
                              </w:rPr>
                              <w:t xml:space="preserve">. </w:t>
                            </w:r>
                            <w:r w:rsidR="00486281">
                              <w:rPr>
                                <w:rFonts w:asciiTheme="majorHAnsi" w:hAnsiTheme="majorHAnsi"/>
                                <w:color w:val="595959" w:themeColor="text1" w:themeTint="A6"/>
                                <w:sz w:val="18"/>
                                <w:szCs w:val="18"/>
                                <w:lang w:val="es-ES"/>
                              </w:rPr>
                              <w:t>29 de diciembre de 2023</w:t>
                            </w:r>
                            <w:r w:rsidRPr="0098334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5C09DBA" w:rsidR="00113F73" w:rsidRPr="00462D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w:t>
                      </w:r>
                      <w:r w:rsidRPr="0098334E">
                        <w:rPr>
                          <w:rFonts w:asciiTheme="majorHAnsi" w:hAnsiTheme="majorHAnsi"/>
                          <w:color w:val="595959" w:themeColor="text1" w:themeTint="A6"/>
                          <w:sz w:val="18"/>
                          <w:szCs w:val="18"/>
                          <w:lang w:val="pt-BR"/>
                        </w:rPr>
                        <w:t xml:space="preserve">forme No. </w:t>
                      </w:r>
                      <w:r w:rsidR="00486281" w:rsidRPr="00486281">
                        <w:rPr>
                          <w:rFonts w:asciiTheme="majorHAnsi" w:hAnsiTheme="majorHAnsi"/>
                          <w:color w:val="595959" w:themeColor="text1" w:themeTint="A6"/>
                          <w:sz w:val="18"/>
                          <w:szCs w:val="18"/>
                          <w:lang w:val="pt-BR"/>
                        </w:rPr>
                        <w:t>355</w:t>
                      </w:r>
                      <w:r w:rsidR="007B05C4" w:rsidRPr="00486281">
                        <w:rPr>
                          <w:rFonts w:asciiTheme="majorHAnsi" w:hAnsiTheme="majorHAnsi"/>
                          <w:color w:val="595959" w:themeColor="text1" w:themeTint="A6"/>
                          <w:sz w:val="18"/>
                          <w:szCs w:val="18"/>
                          <w:lang w:val="pt-BR"/>
                        </w:rPr>
                        <w:t>/</w:t>
                      </w:r>
                      <w:r w:rsidR="00486281" w:rsidRPr="00486281">
                        <w:rPr>
                          <w:rFonts w:asciiTheme="majorHAnsi" w:hAnsiTheme="majorHAnsi"/>
                          <w:color w:val="595959" w:themeColor="text1" w:themeTint="A6"/>
                          <w:sz w:val="18"/>
                          <w:szCs w:val="18"/>
                          <w:lang w:val="pt-BR"/>
                        </w:rPr>
                        <w:t>23</w:t>
                      </w:r>
                      <w:r w:rsidRPr="00486281">
                        <w:rPr>
                          <w:rFonts w:asciiTheme="majorHAnsi" w:hAnsiTheme="majorHAnsi"/>
                          <w:color w:val="595959" w:themeColor="text1" w:themeTint="A6"/>
                          <w:sz w:val="18"/>
                          <w:szCs w:val="18"/>
                          <w:lang w:val="pt-BR"/>
                        </w:rPr>
                        <w:t xml:space="preserve">. </w:t>
                      </w:r>
                      <w:r w:rsidR="000433C9" w:rsidRPr="0098334E">
                        <w:rPr>
                          <w:rFonts w:asciiTheme="majorHAnsi" w:hAnsiTheme="majorHAnsi"/>
                          <w:color w:val="595959" w:themeColor="text1" w:themeTint="A6"/>
                          <w:sz w:val="18"/>
                          <w:szCs w:val="18"/>
                          <w:lang w:val="es-ES_tradnl"/>
                        </w:rPr>
                        <w:t>Petici</w:t>
                      </w:r>
                      <w:r w:rsidR="000433C9" w:rsidRPr="0098334E">
                        <w:rPr>
                          <w:rFonts w:asciiTheme="majorHAnsi" w:hAnsiTheme="majorHAnsi"/>
                          <w:color w:val="595959" w:themeColor="text1" w:themeTint="A6"/>
                          <w:sz w:val="18"/>
                          <w:szCs w:val="18"/>
                          <w:lang w:val="es-ES"/>
                        </w:rPr>
                        <w:t xml:space="preserve">ón </w:t>
                      </w:r>
                      <w:r w:rsidR="00462DC8" w:rsidRPr="0098334E">
                        <w:rPr>
                          <w:rFonts w:asciiTheme="majorHAnsi" w:hAnsiTheme="majorHAnsi"/>
                          <w:color w:val="595959" w:themeColor="text1" w:themeTint="A6"/>
                          <w:sz w:val="18"/>
                          <w:szCs w:val="18"/>
                          <w:lang w:val="es-ES"/>
                        </w:rPr>
                        <w:t>1</w:t>
                      </w:r>
                      <w:r w:rsidR="00DD2046" w:rsidRPr="0098334E">
                        <w:rPr>
                          <w:rFonts w:asciiTheme="majorHAnsi" w:hAnsiTheme="majorHAnsi"/>
                          <w:color w:val="595959" w:themeColor="text1" w:themeTint="A6"/>
                          <w:sz w:val="18"/>
                          <w:szCs w:val="18"/>
                          <w:lang w:val="es-ES"/>
                        </w:rPr>
                        <w:t>701</w:t>
                      </w:r>
                      <w:r w:rsidR="00462DC8" w:rsidRPr="0098334E">
                        <w:rPr>
                          <w:rFonts w:asciiTheme="majorHAnsi" w:hAnsiTheme="majorHAnsi"/>
                          <w:color w:val="595959" w:themeColor="text1" w:themeTint="A6"/>
                          <w:sz w:val="18"/>
                          <w:szCs w:val="18"/>
                          <w:lang w:val="es-ES"/>
                        </w:rPr>
                        <w:t>-17</w:t>
                      </w:r>
                      <w:r w:rsidR="000433C9" w:rsidRPr="0098334E">
                        <w:rPr>
                          <w:rFonts w:asciiTheme="majorHAnsi" w:hAnsiTheme="majorHAnsi"/>
                          <w:color w:val="595959" w:themeColor="text1" w:themeTint="A6"/>
                          <w:sz w:val="18"/>
                          <w:szCs w:val="18"/>
                          <w:lang w:val="es-ES"/>
                        </w:rPr>
                        <w:t xml:space="preserve">. </w:t>
                      </w:r>
                      <w:r w:rsidR="00E54EEF" w:rsidRPr="0098334E">
                        <w:rPr>
                          <w:rFonts w:asciiTheme="majorHAnsi" w:hAnsiTheme="majorHAnsi"/>
                          <w:color w:val="595959" w:themeColor="text1" w:themeTint="A6"/>
                          <w:sz w:val="18"/>
                          <w:szCs w:val="18"/>
                          <w:lang w:val="es-ES_tradnl"/>
                        </w:rPr>
                        <w:t>A</w:t>
                      </w:r>
                      <w:r w:rsidRPr="0098334E">
                        <w:rPr>
                          <w:rFonts w:asciiTheme="majorHAnsi" w:hAnsiTheme="majorHAnsi"/>
                          <w:color w:val="595959" w:themeColor="text1" w:themeTint="A6"/>
                          <w:sz w:val="18"/>
                          <w:szCs w:val="18"/>
                          <w:lang w:val="es-ES_tradnl"/>
                        </w:rPr>
                        <w:t>dmisibilidad.</w:t>
                      </w:r>
                      <w:r w:rsidR="009935AC" w:rsidRPr="0098334E">
                        <w:rPr>
                          <w:rFonts w:asciiTheme="majorHAnsi" w:hAnsiTheme="majorHAnsi"/>
                          <w:color w:val="595959" w:themeColor="text1" w:themeTint="A6"/>
                          <w:sz w:val="18"/>
                          <w:szCs w:val="18"/>
                          <w:lang w:val="es-ES_tradnl"/>
                        </w:rPr>
                        <w:t xml:space="preserve"> </w:t>
                      </w:r>
                      <w:r w:rsidR="00A9117F" w:rsidRPr="0098334E">
                        <w:rPr>
                          <w:rFonts w:asciiTheme="majorHAnsi" w:hAnsiTheme="majorHAnsi"/>
                          <w:color w:val="595959" w:themeColor="text1" w:themeTint="A6"/>
                          <w:sz w:val="18"/>
                          <w:szCs w:val="18"/>
                          <w:lang w:val="es-ES_tradnl"/>
                        </w:rPr>
                        <w:t>Familias campesinas e indígenas pertenecientes al ADIAJMST</w:t>
                      </w:r>
                      <w:r w:rsidR="009935AC" w:rsidRPr="0098334E">
                        <w:rPr>
                          <w:rFonts w:asciiTheme="majorHAnsi" w:hAnsiTheme="majorHAnsi"/>
                          <w:color w:val="595959" w:themeColor="text1" w:themeTint="A6"/>
                          <w:sz w:val="18"/>
                          <w:szCs w:val="18"/>
                          <w:lang w:val="es-ES_tradnl"/>
                        </w:rPr>
                        <w:t xml:space="preserve">. </w:t>
                      </w:r>
                      <w:r w:rsidR="00967C75" w:rsidRPr="0098334E">
                        <w:rPr>
                          <w:rFonts w:asciiTheme="majorHAnsi" w:hAnsiTheme="majorHAnsi"/>
                          <w:color w:val="595959" w:themeColor="text1" w:themeTint="A6"/>
                          <w:sz w:val="18"/>
                          <w:szCs w:val="18"/>
                          <w:lang w:val="es-ES_tradnl"/>
                        </w:rPr>
                        <w:t>Guatemala</w:t>
                      </w:r>
                      <w:r w:rsidRPr="0098334E">
                        <w:rPr>
                          <w:rFonts w:asciiTheme="majorHAnsi" w:hAnsiTheme="majorHAnsi"/>
                          <w:color w:val="595959" w:themeColor="text1" w:themeTint="A6"/>
                          <w:sz w:val="18"/>
                          <w:szCs w:val="18"/>
                          <w:lang w:val="es-ES_tradnl"/>
                        </w:rPr>
                        <w:t xml:space="preserve">. </w:t>
                      </w:r>
                      <w:r w:rsidR="00486281">
                        <w:rPr>
                          <w:rFonts w:asciiTheme="majorHAnsi" w:hAnsiTheme="majorHAnsi"/>
                          <w:color w:val="595959" w:themeColor="text1" w:themeTint="A6"/>
                          <w:sz w:val="18"/>
                          <w:szCs w:val="18"/>
                          <w:lang w:val="es-ES"/>
                        </w:rPr>
                        <w:t>29 de diciembre de 2023</w:t>
                      </w:r>
                      <w:r w:rsidRPr="0098334E">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92229A" w:rsidRDefault="00D306D1" w:rsidP="005516A1">
      <w:pPr>
        <w:tabs>
          <w:tab w:val="center" w:pos="5400"/>
        </w:tabs>
        <w:suppressAutoHyphens/>
        <w:jc w:val="center"/>
        <w:rPr>
          <w:rFonts w:asciiTheme="majorHAnsi" w:hAnsiTheme="majorHAnsi"/>
          <w:b/>
          <w:sz w:val="20"/>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2229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92229A" w:rsidRDefault="004A6A54" w:rsidP="005516A1">
      <w:pPr>
        <w:tabs>
          <w:tab w:val="center" w:pos="5400"/>
        </w:tabs>
        <w:suppressAutoHyphens/>
        <w:jc w:val="center"/>
        <w:rPr>
          <w:rFonts w:asciiTheme="majorHAnsi" w:hAnsiTheme="majorHAnsi"/>
          <w:b/>
          <w:sz w:val="20"/>
          <w:lang w:val="es-ES_tradnl"/>
        </w:rPr>
        <w:sectPr w:rsidR="0070697F" w:rsidRPr="0092229A" w:rsidSect="0088099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2229A">
        <w:rPr>
          <w:rFonts w:asciiTheme="majorHAnsi" w:hAnsiTheme="majorHAnsi"/>
          <w:b/>
          <w:sz w:val="20"/>
          <w:lang w:val="es-ES_tradnl"/>
        </w:rPr>
        <w:tab/>
      </w:r>
    </w:p>
    <w:p w14:paraId="2786EE58" w14:textId="77777777" w:rsidR="003239B8" w:rsidRPr="0092229A" w:rsidRDefault="003239B8" w:rsidP="004A6A54">
      <w:pPr>
        <w:spacing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lastRenderedPageBreak/>
        <w:t>I.</w:t>
      </w:r>
      <w:r w:rsidRPr="0092229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D204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Parte peticionaria:</w:t>
            </w:r>
          </w:p>
        </w:tc>
        <w:tc>
          <w:tcPr>
            <w:tcW w:w="5647" w:type="dxa"/>
            <w:vAlign w:val="center"/>
          </w:tcPr>
          <w:p w14:paraId="07DAAE2E" w14:textId="1B205475" w:rsidR="003239B8" w:rsidRPr="0092229A" w:rsidRDefault="00DD2046" w:rsidP="008D2290">
            <w:pPr>
              <w:jc w:val="both"/>
              <w:rPr>
                <w:rFonts w:ascii="Cambria" w:hAnsi="Cambria"/>
                <w:bCs/>
                <w:sz w:val="20"/>
                <w:szCs w:val="20"/>
                <w:lang w:val="es-ES_tradnl"/>
              </w:rPr>
            </w:pPr>
            <w:r>
              <w:rPr>
                <w:rFonts w:ascii="Cambria" w:hAnsi="Cambria"/>
                <w:bCs/>
                <w:sz w:val="20"/>
                <w:szCs w:val="20"/>
                <w:lang w:val="es-ES_tradnl"/>
              </w:rPr>
              <w:t>Fundación</w:t>
            </w:r>
            <w:r w:rsidR="00A9117F">
              <w:rPr>
                <w:rFonts w:ascii="Cambria" w:hAnsi="Cambria"/>
                <w:bCs/>
                <w:sz w:val="20"/>
                <w:szCs w:val="20"/>
                <w:lang w:val="es-ES_tradnl"/>
              </w:rPr>
              <w:t xml:space="preserve"> Richard Solorzano</w:t>
            </w:r>
          </w:p>
        </w:tc>
      </w:tr>
      <w:tr w:rsidR="003239B8" w:rsidRPr="00E4200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2229A" w:rsidRDefault="00AE5A46"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2229A">
                  <w:rPr>
                    <w:rFonts w:ascii="Cambria" w:hAnsi="Cambria"/>
                    <w:b/>
                    <w:bCs/>
                    <w:color w:val="FFFFFF" w:themeColor="background1"/>
                    <w:sz w:val="20"/>
                    <w:szCs w:val="20"/>
                    <w:lang w:val="es-ES_tradnl"/>
                  </w:rPr>
                  <w:t>Presunta víctima</w:t>
                </w:r>
              </w:sdtContent>
            </w:sdt>
            <w:r w:rsidR="003239B8" w:rsidRPr="0092229A">
              <w:rPr>
                <w:rFonts w:ascii="Cambria" w:hAnsi="Cambria"/>
                <w:b/>
                <w:bCs/>
                <w:color w:val="FFFFFF" w:themeColor="background1"/>
                <w:sz w:val="20"/>
                <w:szCs w:val="20"/>
                <w:lang w:val="es-ES_tradnl"/>
              </w:rPr>
              <w:t>:</w:t>
            </w:r>
          </w:p>
        </w:tc>
        <w:tc>
          <w:tcPr>
            <w:tcW w:w="5647" w:type="dxa"/>
            <w:vAlign w:val="center"/>
          </w:tcPr>
          <w:p w14:paraId="143D44A8" w14:textId="07851C99" w:rsidR="003239B8" w:rsidRPr="0092229A" w:rsidRDefault="00DD2046" w:rsidP="008D2290">
            <w:pPr>
              <w:jc w:val="both"/>
              <w:rPr>
                <w:rFonts w:ascii="Cambria" w:hAnsi="Cambria"/>
                <w:bCs/>
                <w:sz w:val="20"/>
                <w:szCs w:val="20"/>
                <w:lang w:val="es-ES_tradnl"/>
              </w:rPr>
            </w:pPr>
            <w:r>
              <w:rPr>
                <w:rFonts w:ascii="Cambria" w:hAnsi="Cambria"/>
                <w:bCs/>
                <w:sz w:val="20"/>
                <w:szCs w:val="20"/>
                <w:lang w:val="es-ES_tradnl"/>
              </w:rPr>
              <w:t>Familias</w:t>
            </w:r>
            <w:r w:rsidR="00A9117F">
              <w:rPr>
                <w:rFonts w:ascii="Cambria" w:hAnsi="Cambria"/>
                <w:bCs/>
                <w:sz w:val="20"/>
                <w:szCs w:val="20"/>
                <w:lang w:val="es-ES_tradnl"/>
              </w:rPr>
              <w:t xml:space="preserve"> campesinas e indígenas pertenecientes al ADIAJMST</w:t>
            </w:r>
          </w:p>
        </w:tc>
      </w:tr>
      <w:tr w:rsidR="003239B8" w:rsidRPr="0092229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92229A" w:rsidRDefault="00967C75" w:rsidP="008D2290">
            <w:pPr>
              <w:jc w:val="both"/>
              <w:rPr>
                <w:rFonts w:ascii="Cambria" w:hAnsi="Cambria"/>
                <w:bCs/>
                <w:sz w:val="20"/>
                <w:szCs w:val="20"/>
                <w:lang w:val="es-ES_tradnl"/>
              </w:rPr>
            </w:pPr>
            <w:r w:rsidRPr="0092229A">
              <w:rPr>
                <w:rFonts w:ascii="Cambria" w:hAnsi="Cambria"/>
                <w:bCs/>
                <w:sz w:val="20"/>
                <w:szCs w:val="20"/>
                <w:lang w:val="es-ES_tradnl"/>
              </w:rPr>
              <w:t>Guatemala</w:t>
            </w:r>
            <w:r w:rsidR="0017681E" w:rsidRPr="0092229A">
              <w:rPr>
                <w:rStyle w:val="FootnoteReference"/>
                <w:rFonts w:ascii="Cambria" w:hAnsi="Cambria"/>
                <w:bCs/>
                <w:sz w:val="20"/>
                <w:szCs w:val="20"/>
                <w:lang w:val="es-ES_tradnl"/>
              </w:rPr>
              <w:footnoteReference w:id="2"/>
            </w:r>
          </w:p>
        </w:tc>
      </w:tr>
      <w:tr w:rsidR="00223A29" w:rsidRPr="00AA476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2229A" w:rsidRDefault="001B3A00" w:rsidP="00E4118C">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 xml:space="preserve">Derechos </w:t>
            </w:r>
            <w:r w:rsidR="00E4118C" w:rsidRPr="0092229A">
              <w:rPr>
                <w:rFonts w:ascii="Cambria" w:hAnsi="Cambria"/>
                <w:b/>
                <w:bCs/>
                <w:color w:val="FFFFFF" w:themeColor="background1"/>
                <w:sz w:val="20"/>
                <w:szCs w:val="20"/>
                <w:lang w:val="es-ES_tradnl"/>
              </w:rPr>
              <w:t>invocados</w:t>
            </w:r>
            <w:r w:rsidRPr="0092229A">
              <w:rPr>
                <w:rFonts w:ascii="Cambria" w:hAnsi="Cambria"/>
                <w:b/>
                <w:bCs/>
                <w:color w:val="FFFFFF" w:themeColor="background1"/>
                <w:sz w:val="20"/>
                <w:szCs w:val="20"/>
                <w:lang w:val="es-ES_tradnl"/>
              </w:rPr>
              <w:t>:</w:t>
            </w:r>
          </w:p>
        </w:tc>
        <w:tc>
          <w:tcPr>
            <w:tcW w:w="5647" w:type="dxa"/>
            <w:vAlign w:val="center"/>
          </w:tcPr>
          <w:p w14:paraId="52B28392" w14:textId="1FA1A612" w:rsidR="00223A29" w:rsidRPr="0092229A" w:rsidRDefault="008F6478" w:rsidP="008F6478">
            <w:pPr>
              <w:jc w:val="both"/>
              <w:rPr>
                <w:rFonts w:ascii="Cambria" w:hAnsi="Cambria"/>
                <w:bCs/>
                <w:sz w:val="20"/>
                <w:szCs w:val="20"/>
                <w:lang w:val="es-ES_tradnl"/>
              </w:rPr>
            </w:pPr>
            <w:r w:rsidRPr="009456AC">
              <w:rPr>
                <w:rFonts w:asciiTheme="majorHAnsi" w:hAnsiTheme="majorHAnsi"/>
                <w:bCs/>
                <w:sz w:val="20"/>
                <w:szCs w:val="20"/>
                <w:lang w:val="es-ES"/>
              </w:rPr>
              <w:t xml:space="preserve">Artículos </w:t>
            </w:r>
            <w:r w:rsidR="00370233">
              <w:rPr>
                <w:rFonts w:asciiTheme="majorHAnsi" w:hAnsiTheme="majorHAnsi"/>
                <w:bCs/>
                <w:sz w:val="20"/>
                <w:szCs w:val="20"/>
                <w:lang w:val="es-ES"/>
              </w:rPr>
              <w:t xml:space="preserve">3 (reconocimiento de la personalidad jurídica), 4 (vida), 5 (integridad personal), </w:t>
            </w:r>
            <w:r w:rsidRPr="009456AC">
              <w:rPr>
                <w:rFonts w:asciiTheme="majorHAnsi" w:hAnsiTheme="majorHAnsi"/>
                <w:bCs/>
                <w:sz w:val="20"/>
                <w:szCs w:val="20"/>
                <w:lang w:val="es-ES"/>
              </w:rPr>
              <w:t>8 (garantías judiciales)</w:t>
            </w:r>
            <w:r w:rsidR="00C46501">
              <w:rPr>
                <w:rFonts w:asciiTheme="majorHAnsi" w:hAnsiTheme="majorHAnsi"/>
                <w:bCs/>
                <w:sz w:val="20"/>
                <w:szCs w:val="20"/>
                <w:lang w:val="es-ES"/>
              </w:rPr>
              <w:t xml:space="preserve">, </w:t>
            </w:r>
            <w:r w:rsidR="00C46501" w:rsidRPr="00C46501">
              <w:rPr>
                <w:rFonts w:asciiTheme="majorHAnsi" w:hAnsiTheme="majorHAnsi"/>
                <w:bCs/>
                <w:sz w:val="20"/>
                <w:szCs w:val="20"/>
                <w:lang w:val="es-ES"/>
              </w:rPr>
              <w:t xml:space="preserve">17 (protección a la familia), </w:t>
            </w:r>
            <w:r w:rsidR="00370233">
              <w:rPr>
                <w:rFonts w:asciiTheme="majorHAnsi" w:hAnsiTheme="majorHAnsi"/>
                <w:bCs/>
                <w:sz w:val="20"/>
                <w:szCs w:val="20"/>
                <w:lang w:val="es-ES"/>
              </w:rPr>
              <w:t xml:space="preserve">18 (derecho al nombre), </w:t>
            </w:r>
            <w:r w:rsidR="00C46501" w:rsidRPr="00C46501">
              <w:rPr>
                <w:rFonts w:asciiTheme="majorHAnsi" w:hAnsiTheme="majorHAnsi"/>
                <w:bCs/>
                <w:sz w:val="20"/>
                <w:szCs w:val="20"/>
                <w:lang w:val="es-ES"/>
              </w:rPr>
              <w:t>21 (propiedad privada), 24 (igualdad ante la ley)</w:t>
            </w:r>
            <w:r w:rsidR="000F1A1F">
              <w:rPr>
                <w:rFonts w:asciiTheme="majorHAnsi" w:hAnsiTheme="majorHAnsi"/>
                <w:bCs/>
                <w:sz w:val="20"/>
                <w:szCs w:val="20"/>
                <w:lang w:val="es-ES"/>
              </w:rPr>
              <w:t xml:space="preserve"> </w:t>
            </w:r>
            <w:r w:rsidRPr="009456AC">
              <w:rPr>
                <w:rFonts w:asciiTheme="majorHAnsi" w:hAnsiTheme="majorHAnsi"/>
                <w:bCs/>
                <w:sz w:val="20"/>
                <w:szCs w:val="20"/>
                <w:lang w:val="es-ES"/>
              </w:rPr>
              <w:t>y 25 (protección judicial)</w:t>
            </w:r>
            <w:r>
              <w:rPr>
                <w:rFonts w:asciiTheme="majorHAnsi" w:hAnsiTheme="majorHAnsi"/>
                <w:bCs/>
                <w:sz w:val="20"/>
                <w:szCs w:val="20"/>
                <w:lang w:val="es-ES_tradnl"/>
              </w:rPr>
              <w:t xml:space="preserve"> </w:t>
            </w:r>
            <w:r w:rsidR="00383298" w:rsidRPr="0092229A">
              <w:rPr>
                <w:rFonts w:asciiTheme="majorHAnsi" w:hAnsiTheme="majorHAnsi"/>
                <w:bCs/>
                <w:sz w:val="20"/>
                <w:szCs w:val="20"/>
                <w:lang w:val="es-ES_tradnl"/>
              </w:rPr>
              <w:t>de la Convención Americana sobre Derechos Humano</w:t>
            </w:r>
            <w:r w:rsidR="00493BC9" w:rsidRPr="0092229A">
              <w:rPr>
                <w:rFonts w:asciiTheme="majorHAnsi" w:hAnsiTheme="majorHAnsi"/>
                <w:bCs/>
                <w:sz w:val="20"/>
                <w:szCs w:val="20"/>
                <w:lang w:val="es-ES_tradnl"/>
              </w:rPr>
              <w:t>s</w:t>
            </w:r>
            <w:r w:rsidR="00383298" w:rsidRPr="0092229A">
              <w:rPr>
                <w:rStyle w:val="FootnoteReference"/>
                <w:rFonts w:asciiTheme="majorHAnsi" w:hAnsiTheme="majorHAnsi"/>
                <w:bCs/>
                <w:sz w:val="20"/>
                <w:szCs w:val="20"/>
                <w:lang w:val="es-ES_tradnl"/>
              </w:rPr>
              <w:footnoteReference w:id="3"/>
            </w:r>
            <w:r w:rsidR="00383298" w:rsidRPr="0092229A">
              <w:rPr>
                <w:rFonts w:asciiTheme="majorHAnsi" w:hAnsiTheme="majorHAnsi"/>
                <w:bCs/>
                <w:sz w:val="20"/>
                <w:szCs w:val="20"/>
                <w:lang w:val="es-ES_tradnl"/>
              </w:rPr>
              <w:t>, en relación con su artículo 1.1 (obligación de respetar los derechos)</w:t>
            </w:r>
            <w:r w:rsidR="00370233">
              <w:rPr>
                <w:rFonts w:asciiTheme="majorHAnsi" w:hAnsiTheme="majorHAnsi"/>
                <w:bCs/>
                <w:sz w:val="20"/>
                <w:szCs w:val="20"/>
                <w:lang w:val="es-ES_tradnl"/>
              </w:rPr>
              <w:t>; y otros instrumentos internacionales</w:t>
            </w:r>
            <w:r w:rsidR="00370233">
              <w:rPr>
                <w:rStyle w:val="FootnoteReference"/>
                <w:rFonts w:asciiTheme="majorHAnsi" w:hAnsiTheme="majorHAnsi"/>
                <w:bCs/>
                <w:sz w:val="20"/>
                <w:szCs w:val="20"/>
                <w:lang w:val="es-ES_tradnl"/>
              </w:rPr>
              <w:footnoteReference w:id="4"/>
            </w:r>
            <w:r w:rsidR="00370233">
              <w:rPr>
                <w:rFonts w:asciiTheme="majorHAnsi" w:hAnsiTheme="majorHAnsi"/>
                <w:bCs/>
                <w:sz w:val="20"/>
                <w:szCs w:val="20"/>
                <w:lang w:val="es-ES_tradnl"/>
              </w:rPr>
              <w:t xml:space="preserve">. </w:t>
            </w:r>
          </w:p>
        </w:tc>
      </w:tr>
    </w:tbl>
    <w:p w14:paraId="176FB213"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II.</w:t>
      </w:r>
      <w:r w:rsidRPr="0092229A">
        <w:rPr>
          <w:rFonts w:asciiTheme="majorHAnsi" w:hAnsiTheme="majorHAnsi"/>
          <w:b/>
          <w:bCs/>
          <w:sz w:val="20"/>
          <w:szCs w:val="20"/>
          <w:lang w:val="es-ES_tradnl"/>
        </w:rPr>
        <w:tab/>
        <w:t>TRÁMITE ANTE LA CIDH</w:t>
      </w:r>
      <w:r w:rsidR="008E3BFE" w:rsidRPr="0092229A">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2229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w:t>
            </w:r>
            <w:r w:rsidR="004C2312" w:rsidRPr="0092229A">
              <w:rPr>
                <w:rFonts w:ascii="Cambria" w:hAnsi="Cambria"/>
                <w:b/>
                <w:bCs/>
                <w:color w:val="FFFFFF" w:themeColor="background1"/>
                <w:sz w:val="20"/>
                <w:szCs w:val="20"/>
                <w:lang w:val="es-ES_tradnl"/>
              </w:rPr>
              <w:t>resentación de la petición:</w:t>
            </w:r>
          </w:p>
        </w:tc>
        <w:tc>
          <w:tcPr>
            <w:tcW w:w="5647" w:type="dxa"/>
            <w:vAlign w:val="center"/>
          </w:tcPr>
          <w:p w14:paraId="6883A5F8" w14:textId="231DFB67" w:rsidR="004C2312" w:rsidRPr="003F1AB2" w:rsidRDefault="00A9117F" w:rsidP="002625EA">
            <w:pPr>
              <w:jc w:val="both"/>
              <w:rPr>
                <w:rFonts w:ascii="Cambria" w:hAnsi="Cambria"/>
                <w:bCs/>
                <w:sz w:val="20"/>
                <w:szCs w:val="20"/>
                <w:lang w:val="es-ES_tradnl"/>
              </w:rPr>
            </w:pPr>
            <w:r>
              <w:rPr>
                <w:rFonts w:ascii="Cambria" w:hAnsi="Cambria"/>
                <w:bCs/>
                <w:sz w:val="20"/>
                <w:szCs w:val="20"/>
                <w:lang w:val="es-ES_tradnl"/>
              </w:rPr>
              <w:t>6 de septiembre de 2017</w:t>
            </w:r>
          </w:p>
        </w:tc>
      </w:tr>
      <w:tr w:rsidR="00131425" w:rsidRPr="00AA4769"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B4F6E" w:rsidRDefault="00131425" w:rsidP="004A6A54">
            <w:pPr>
              <w:jc w:val="center"/>
              <w:rPr>
                <w:rFonts w:ascii="Cambria" w:hAnsi="Cambria"/>
                <w:b/>
                <w:bCs/>
                <w:color w:val="FFFFFF" w:themeColor="background1"/>
                <w:sz w:val="20"/>
                <w:szCs w:val="20"/>
                <w:lang w:val="es-ES_tradnl"/>
              </w:rPr>
            </w:pPr>
            <w:r w:rsidRPr="005B4F6E">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3D9E7514" w:rsidR="00131425" w:rsidRPr="005B4F6E" w:rsidRDefault="003E2254" w:rsidP="002625EA">
            <w:pPr>
              <w:jc w:val="both"/>
              <w:rPr>
                <w:rFonts w:ascii="Cambria" w:hAnsi="Cambria"/>
                <w:bCs/>
                <w:sz w:val="20"/>
                <w:szCs w:val="20"/>
                <w:lang w:val="es-ES_tradnl"/>
              </w:rPr>
            </w:pPr>
            <w:r>
              <w:rPr>
                <w:rFonts w:ascii="Cambria" w:hAnsi="Cambria"/>
                <w:bCs/>
                <w:sz w:val="20"/>
                <w:szCs w:val="20"/>
                <w:lang w:val="es-ES_tradnl"/>
              </w:rPr>
              <w:t>21 de septiembre de 2017, 12 de noviembre de 2018, 27 de febrero de 2019, 17 de mayo de 2019</w:t>
            </w:r>
          </w:p>
        </w:tc>
      </w:tr>
      <w:tr w:rsidR="004C2312" w:rsidRPr="0092229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N</w:t>
            </w:r>
            <w:r w:rsidR="004C2312" w:rsidRPr="0092229A">
              <w:rPr>
                <w:rFonts w:ascii="Cambria" w:hAnsi="Cambria"/>
                <w:b/>
                <w:color w:val="FFFFFF" w:themeColor="background1"/>
                <w:sz w:val="20"/>
                <w:szCs w:val="20"/>
                <w:lang w:val="es-ES_tradnl"/>
              </w:rPr>
              <w:t>otificación de la petición al Estado:</w:t>
            </w:r>
          </w:p>
        </w:tc>
        <w:tc>
          <w:tcPr>
            <w:tcW w:w="5647" w:type="dxa"/>
            <w:vAlign w:val="center"/>
          </w:tcPr>
          <w:p w14:paraId="58485921" w14:textId="70A3E98D" w:rsidR="004C2312" w:rsidRPr="0092229A" w:rsidRDefault="00A9117F" w:rsidP="008D2290">
            <w:pPr>
              <w:jc w:val="both"/>
              <w:rPr>
                <w:rFonts w:ascii="Cambria" w:hAnsi="Cambria"/>
                <w:bCs/>
                <w:sz w:val="20"/>
                <w:szCs w:val="20"/>
                <w:lang w:val="es-ES_tradnl"/>
              </w:rPr>
            </w:pPr>
            <w:r>
              <w:rPr>
                <w:rFonts w:ascii="Cambria" w:hAnsi="Cambria"/>
                <w:bCs/>
                <w:sz w:val="20"/>
                <w:szCs w:val="20"/>
                <w:lang w:val="es-ES_tradnl"/>
              </w:rPr>
              <w:t>26 de marzo de 2019</w:t>
            </w:r>
          </w:p>
        </w:tc>
      </w:tr>
      <w:tr w:rsidR="004C2312" w:rsidRPr="0092229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P</w:t>
            </w:r>
            <w:r w:rsidR="004C2312" w:rsidRPr="0092229A">
              <w:rPr>
                <w:rFonts w:ascii="Cambria" w:hAnsi="Cambria"/>
                <w:b/>
                <w:color w:val="FFFFFF" w:themeColor="background1"/>
                <w:sz w:val="20"/>
                <w:szCs w:val="20"/>
                <w:lang w:val="es-ES_tradnl"/>
              </w:rPr>
              <w:t>rimera respuesta del Estado:</w:t>
            </w:r>
          </w:p>
        </w:tc>
        <w:tc>
          <w:tcPr>
            <w:tcW w:w="5647" w:type="dxa"/>
            <w:vAlign w:val="center"/>
          </w:tcPr>
          <w:p w14:paraId="6B47064C" w14:textId="4F983198" w:rsidR="004C2312" w:rsidRPr="00462DC8" w:rsidRDefault="00A9117F" w:rsidP="008D2290">
            <w:pPr>
              <w:jc w:val="both"/>
              <w:rPr>
                <w:rFonts w:ascii="Cambria" w:hAnsi="Cambria"/>
                <w:bCs/>
                <w:sz w:val="20"/>
                <w:szCs w:val="20"/>
                <w:highlight w:val="yellow"/>
                <w:lang w:val="es-ES_tradnl"/>
              </w:rPr>
            </w:pPr>
            <w:r>
              <w:rPr>
                <w:rFonts w:ascii="Cambria" w:hAnsi="Cambria"/>
                <w:bCs/>
                <w:sz w:val="20"/>
                <w:szCs w:val="20"/>
                <w:lang w:val="es-ES_tradnl"/>
              </w:rPr>
              <w:t>22 de julio de 2019</w:t>
            </w:r>
          </w:p>
        </w:tc>
      </w:tr>
      <w:tr w:rsidR="00A9117F" w:rsidRPr="00AA4769" w14:paraId="5C6A03BB" w14:textId="77777777" w:rsidTr="00394073">
        <w:tc>
          <w:tcPr>
            <w:tcW w:w="3600" w:type="dxa"/>
            <w:tcBorders>
              <w:top w:val="single" w:sz="6" w:space="0" w:color="auto"/>
              <w:bottom w:val="single" w:sz="6" w:space="0" w:color="auto"/>
            </w:tcBorders>
            <w:shd w:val="clear" w:color="auto" w:fill="386294"/>
            <w:vAlign w:val="center"/>
          </w:tcPr>
          <w:p w14:paraId="5CC95E3D" w14:textId="3068B6AB" w:rsidR="00A9117F" w:rsidRPr="0092229A" w:rsidRDefault="00A9117F" w:rsidP="004A6A54">
            <w:pPr>
              <w:jc w:val="center"/>
              <w:rPr>
                <w:rFonts w:ascii="Cambria" w:hAnsi="Cambria"/>
                <w:b/>
                <w:color w:val="FFFFFF" w:themeColor="background1"/>
                <w:sz w:val="20"/>
                <w:szCs w:val="20"/>
                <w:lang w:val="es-ES_tradnl"/>
              </w:rPr>
            </w:pPr>
            <w:r w:rsidRPr="00BF38F4">
              <w:rPr>
                <w:rFonts w:ascii="Cambria" w:hAnsi="Cambria"/>
                <w:b/>
                <w:color w:val="FFFFFF" w:themeColor="background1"/>
                <w:sz w:val="20"/>
                <w:szCs w:val="20"/>
                <w:lang w:val="es-ES_tradnl"/>
              </w:rPr>
              <w:t>Observaciones adicionales de la parte peticionaria:</w:t>
            </w:r>
          </w:p>
        </w:tc>
        <w:tc>
          <w:tcPr>
            <w:tcW w:w="5647" w:type="dxa"/>
            <w:vAlign w:val="center"/>
          </w:tcPr>
          <w:p w14:paraId="34312520" w14:textId="15D1C375" w:rsidR="00A9117F" w:rsidRDefault="003E2254" w:rsidP="008D2290">
            <w:pPr>
              <w:jc w:val="both"/>
              <w:rPr>
                <w:rFonts w:ascii="Cambria" w:hAnsi="Cambria"/>
                <w:bCs/>
                <w:sz w:val="20"/>
                <w:szCs w:val="20"/>
                <w:lang w:val="es-ES_tradnl"/>
              </w:rPr>
            </w:pPr>
            <w:r w:rsidRPr="003E2254">
              <w:rPr>
                <w:rFonts w:ascii="Cambria" w:hAnsi="Cambria"/>
                <w:bCs/>
                <w:sz w:val="20"/>
                <w:szCs w:val="20"/>
                <w:lang w:val="es-ES_tradnl"/>
              </w:rPr>
              <w:t>9 de julio de 2019, 14 de agosto de 2019, 20 de diciembre de 2019</w:t>
            </w:r>
            <w:r w:rsidRPr="003E2254">
              <w:rPr>
                <w:rStyle w:val="FootnoteReference"/>
                <w:rFonts w:ascii="Cambria" w:hAnsi="Cambria"/>
                <w:bCs/>
                <w:sz w:val="20"/>
                <w:szCs w:val="20"/>
                <w:lang w:val="es-ES_tradnl"/>
              </w:rPr>
              <w:footnoteReference w:id="6"/>
            </w:r>
            <w:r w:rsidRPr="003E2254">
              <w:rPr>
                <w:rFonts w:ascii="Cambria" w:hAnsi="Cambria"/>
                <w:bCs/>
                <w:sz w:val="20"/>
                <w:szCs w:val="20"/>
                <w:lang w:val="es-ES_tradnl"/>
              </w:rPr>
              <w:t xml:space="preserve">, </w:t>
            </w:r>
            <w:r>
              <w:rPr>
                <w:rFonts w:ascii="Cambria" w:hAnsi="Cambria"/>
                <w:bCs/>
                <w:sz w:val="20"/>
                <w:szCs w:val="20"/>
                <w:lang w:val="es-ES_tradnl"/>
              </w:rPr>
              <w:t>19 de mayo de 2020</w:t>
            </w:r>
            <w:r w:rsidRPr="003E2254">
              <w:rPr>
                <w:rFonts w:ascii="Cambria" w:hAnsi="Cambria"/>
                <w:bCs/>
                <w:sz w:val="20"/>
                <w:szCs w:val="20"/>
                <w:lang w:val="es-ES_tradnl"/>
              </w:rPr>
              <w:t>,</w:t>
            </w:r>
            <w:r w:rsidR="00C46501" w:rsidRPr="003E2254">
              <w:rPr>
                <w:rFonts w:ascii="Cambria" w:hAnsi="Cambria"/>
                <w:bCs/>
                <w:sz w:val="20"/>
                <w:szCs w:val="20"/>
                <w:lang w:val="es-ES_tradnl"/>
              </w:rPr>
              <w:t xml:space="preserve"> </w:t>
            </w:r>
            <w:r>
              <w:rPr>
                <w:rFonts w:ascii="Cambria" w:hAnsi="Cambria"/>
                <w:bCs/>
                <w:sz w:val="20"/>
                <w:szCs w:val="20"/>
                <w:lang w:val="es-ES_tradnl"/>
              </w:rPr>
              <w:t>29 de junio de 2020, 21 de septiembre de 2020, 6 de enero de 2021, 16 de abril de 2021, 10 de agosto de 2021, 27 de agosto d</w:t>
            </w:r>
            <w:r w:rsidRPr="003E2254">
              <w:rPr>
                <w:rFonts w:ascii="Cambria" w:hAnsi="Cambria"/>
                <w:bCs/>
                <w:sz w:val="20"/>
                <w:szCs w:val="20"/>
                <w:lang w:val="es-ES_tradnl"/>
              </w:rPr>
              <w:t xml:space="preserve">e 2021, </w:t>
            </w:r>
            <w:r w:rsidR="00C46501" w:rsidRPr="003E2254">
              <w:rPr>
                <w:rFonts w:ascii="Cambria" w:hAnsi="Cambria"/>
                <w:bCs/>
                <w:sz w:val="20"/>
                <w:szCs w:val="20"/>
                <w:lang w:val="es-ES_tradnl"/>
              </w:rPr>
              <w:t>2</w:t>
            </w:r>
            <w:r w:rsidRPr="003E2254">
              <w:rPr>
                <w:rFonts w:ascii="Cambria" w:hAnsi="Cambria"/>
                <w:bCs/>
                <w:sz w:val="20"/>
                <w:szCs w:val="20"/>
                <w:lang w:val="es-ES_tradnl"/>
              </w:rPr>
              <w:t>7</w:t>
            </w:r>
            <w:r w:rsidR="00C46501" w:rsidRPr="003E2254">
              <w:rPr>
                <w:rFonts w:ascii="Cambria" w:hAnsi="Cambria"/>
                <w:bCs/>
                <w:sz w:val="20"/>
                <w:szCs w:val="20"/>
                <w:lang w:val="es-ES_tradnl"/>
              </w:rPr>
              <w:t xml:space="preserve"> de septiembre de 2021, 17 de febrero de 2022, </w:t>
            </w:r>
            <w:r w:rsidRPr="003E2254">
              <w:rPr>
                <w:rFonts w:ascii="Cambria" w:hAnsi="Cambria"/>
                <w:bCs/>
                <w:sz w:val="20"/>
                <w:szCs w:val="20"/>
                <w:lang w:val="es-ES_tradnl"/>
              </w:rPr>
              <w:t xml:space="preserve">10 de marzo de 2022, </w:t>
            </w:r>
            <w:r>
              <w:rPr>
                <w:rFonts w:ascii="Cambria" w:hAnsi="Cambria"/>
                <w:bCs/>
                <w:sz w:val="20"/>
                <w:szCs w:val="20"/>
                <w:lang w:val="es-ES_tradnl"/>
              </w:rPr>
              <w:t xml:space="preserve">y </w:t>
            </w:r>
            <w:r w:rsidRPr="003E2254">
              <w:rPr>
                <w:rFonts w:ascii="Cambria" w:hAnsi="Cambria"/>
                <w:bCs/>
                <w:sz w:val="20"/>
                <w:szCs w:val="20"/>
                <w:lang w:val="es-ES_tradnl"/>
              </w:rPr>
              <w:t>4</w:t>
            </w:r>
            <w:r w:rsidR="00C46501" w:rsidRPr="003E2254">
              <w:rPr>
                <w:rFonts w:ascii="Cambria" w:hAnsi="Cambria"/>
                <w:bCs/>
                <w:sz w:val="20"/>
                <w:szCs w:val="20"/>
                <w:lang w:val="es-ES_tradnl"/>
              </w:rPr>
              <w:t xml:space="preserve"> de abril de 2022</w:t>
            </w:r>
            <w:r w:rsidR="00C46501" w:rsidRPr="003E2254">
              <w:rPr>
                <w:rStyle w:val="FootnoteReference"/>
                <w:rFonts w:ascii="Cambria" w:hAnsi="Cambria"/>
                <w:bCs/>
                <w:sz w:val="20"/>
                <w:szCs w:val="20"/>
                <w:lang w:val="es-ES_tradnl"/>
              </w:rPr>
              <w:footnoteReference w:id="7"/>
            </w:r>
            <w:r>
              <w:rPr>
                <w:rFonts w:ascii="Cambria" w:hAnsi="Cambria"/>
                <w:bCs/>
                <w:sz w:val="20"/>
                <w:szCs w:val="20"/>
                <w:lang w:val="es-ES_tradnl"/>
              </w:rPr>
              <w:t>.</w:t>
            </w:r>
          </w:p>
        </w:tc>
      </w:tr>
      <w:tr w:rsidR="00A9117F" w:rsidRPr="00AA4769" w14:paraId="31C5B83B" w14:textId="77777777" w:rsidTr="00394073">
        <w:tc>
          <w:tcPr>
            <w:tcW w:w="3600" w:type="dxa"/>
            <w:tcBorders>
              <w:top w:val="single" w:sz="6" w:space="0" w:color="auto"/>
              <w:bottom w:val="single" w:sz="6" w:space="0" w:color="auto"/>
            </w:tcBorders>
            <w:shd w:val="clear" w:color="auto" w:fill="386294"/>
            <w:vAlign w:val="center"/>
          </w:tcPr>
          <w:p w14:paraId="4D975CF7" w14:textId="276DF812" w:rsidR="00A9117F" w:rsidRPr="00BF38F4" w:rsidRDefault="00A9117F" w:rsidP="004A6A54">
            <w:pPr>
              <w:jc w:val="center"/>
              <w:rPr>
                <w:rFonts w:ascii="Cambria" w:hAnsi="Cambria"/>
                <w:b/>
                <w:color w:val="FFFFFF" w:themeColor="background1"/>
                <w:sz w:val="20"/>
                <w:szCs w:val="20"/>
                <w:lang w:val="es-ES_tradnl"/>
              </w:rPr>
            </w:pPr>
            <w:r w:rsidRPr="00BF38F4">
              <w:rPr>
                <w:rFonts w:ascii="Cambria" w:hAnsi="Cambria"/>
                <w:b/>
                <w:color w:val="FFFFFF" w:themeColor="background1"/>
                <w:sz w:val="20"/>
                <w:szCs w:val="20"/>
                <w:lang w:val="es-ES_tradnl"/>
              </w:rPr>
              <w:t>Observaciones adicionales del Estado:</w:t>
            </w:r>
          </w:p>
        </w:tc>
        <w:tc>
          <w:tcPr>
            <w:tcW w:w="5647" w:type="dxa"/>
            <w:vAlign w:val="center"/>
          </w:tcPr>
          <w:p w14:paraId="42D64945" w14:textId="2C470E9B" w:rsidR="00A9117F" w:rsidRDefault="00370233" w:rsidP="008D2290">
            <w:pPr>
              <w:jc w:val="both"/>
              <w:rPr>
                <w:rFonts w:ascii="Cambria" w:hAnsi="Cambria"/>
                <w:bCs/>
                <w:sz w:val="20"/>
                <w:szCs w:val="20"/>
                <w:lang w:val="es-ES_tradnl"/>
              </w:rPr>
            </w:pPr>
            <w:r>
              <w:rPr>
                <w:rFonts w:ascii="Cambria" w:hAnsi="Cambria"/>
                <w:bCs/>
                <w:sz w:val="20"/>
                <w:szCs w:val="20"/>
                <w:lang w:val="es-ES_tradnl"/>
              </w:rPr>
              <w:t>9 de agosto de 2021</w:t>
            </w:r>
            <w:r w:rsidR="00A9117F">
              <w:rPr>
                <w:rFonts w:ascii="Cambria" w:hAnsi="Cambria"/>
                <w:bCs/>
                <w:sz w:val="20"/>
                <w:szCs w:val="20"/>
                <w:lang w:val="es-ES_tradnl"/>
              </w:rPr>
              <w:t>, 2</w:t>
            </w:r>
            <w:r w:rsidR="00C46501">
              <w:rPr>
                <w:rFonts w:ascii="Cambria" w:hAnsi="Cambria"/>
                <w:bCs/>
                <w:sz w:val="20"/>
                <w:szCs w:val="20"/>
                <w:lang w:val="es-ES_tradnl"/>
              </w:rPr>
              <w:t>0</w:t>
            </w:r>
            <w:r w:rsidR="00A9117F">
              <w:rPr>
                <w:rFonts w:ascii="Cambria" w:hAnsi="Cambria"/>
                <w:bCs/>
                <w:sz w:val="20"/>
                <w:szCs w:val="20"/>
                <w:lang w:val="es-ES_tradnl"/>
              </w:rPr>
              <w:t xml:space="preserve"> de enero de 2022 y 19 de mayo de 2022</w:t>
            </w:r>
          </w:p>
        </w:tc>
      </w:tr>
    </w:tbl>
    <w:p w14:paraId="0FC6E9E8"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III. </w:t>
      </w:r>
      <w:r w:rsidRPr="0092229A">
        <w:rPr>
          <w:rFonts w:asciiTheme="majorHAnsi" w:hAnsiTheme="majorHAnsi"/>
          <w:b/>
          <w:bCs/>
          <w:sz w:val="20"/>
          <w:szCs w:val="20"/>
          <w:lang w:val="es-ES_tradnl"/>
        </w:rPr>
        <w:tab/>
        <w:t>COMPETENCIA</w:t>
      </w:r>
      <w:r w:rsidR="00EE00E9" w:rsidRPr="0092229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2229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Sí</w:t>
            </w:r>
          </w:p>
        </w:tc>
      </w:tr>
      <w:tr w:rsidR="003239B8" w:rsidRPr="0092229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loci</w:t>
            </w:r>
            <w:r w:rsidRPr="0092229A">
              <w:rPr>
                <w:rFonts w:ascii="Cambria" w:hAnsi="Cambria"/>
                <w:b/>
                <w:bCs/>
                <w:color w:val="FFFFFF" w:themeColor="background1"/>
                <w:sz w:val="20"/>
                <w:szCs w:val="20"/>
                <w:lang w:val="es-ES_tradnl"/>
              </w:rPr>
              <w:t>:</w:t>
            </w:r>
          </w:p>
        </w:tc>
        <w:tc>
          <w:tcPr>
            <w:tcW w:w="5760" w:type="dxa"/>
            <w:vAlign w:val="center"/>
          </w:tcPr>
          <w:p w14:paraId="77C8256A" w14:textId="386AB900"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92229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temporis</w:t>
            </w:r>
            <w:r w:rsidRPr="0092229A">
              <w:rPr>
                <w:rFonts w:ascii="Cambria" w:hAnsi="Cambria"/>
                <w:b/>
                <w:bCs/>
                <w:color w:val="FFFFFF" w:themeColor="background1"/>
                <w:sz w:val="20"/>
                <w:szCs w:val="20"/>
                <w:lang w:val="es-ES_tradnl"/>
              </w:rPr>
              <w:t>:</w:t>
            </w:r>
          </w:p>
        </w:tc>
        <w:tc>
          <w:tcPr>
            <w:tcW w:w="5760" w:type="dxa"/>
            <w:vAlign w:val="center"/>
          </w:tcPr>
          <w:p w14:paraId="523F6BD6" w14:textId="6964933A"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AA476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materia</w:t>
            </w:r>
            <w:r w:rsidR="00EE00E9" w:rsidRPr="0092229A">
              <w:rPr>
                <w:rFonts w:ascii="Cambria" w:hAnsi="Cambria"/>
                <w:b/>
                <w:bCs/>
                <w:i/>
                <w:color w:val="FFFFFF" w:themeColor="background1"/>
                <w:sz w:val="20"/>
                <w:szCs w:val="20"/>
                <w:lang w:val="es-ES_tradnl"/>
              </w:rPr>
              <w:t>e</w:t>
            </w:r>
            <w:r w:rsidRPr="0092229A">
              <w:rPr>
                <w:rFonts w:ascii="Cambria" w:hAnsi="Cambria"/>
                <w:b/>
                <w:bCs/>
                <w:color w:val="FFFFFF" w:themeColor="background1"/>
                <w:sz w:val="20"/>
                <w:szCs w:val="20"/>
                <w:lang w:val="es-ES_tradnl"/>
              </w:rPr>
              <w:t>:</w:t>
            </w:r>
          </w:p>
        </w:tc>
        <w:tc>
          <w:tcPr>
            <w:tcW w:w="5760" w:type="dxa"/>
            <w:vAlign w:val="center"/>
          </w:tcPr>
          <w:p w14:paraId="257C8337" w14:textId="12D4B9F7" w:rsidR="003239B8" w:rsidRPr="0092229A" w:rsidRDefault="007C715A" w:rsidP="008D2290">
            <w:pPr>
              <w:jc w:val="both"/>
              <w:rPr>
                <w:rFonts w:asciiTheme="majorHAnsi" w:hAnsiTheme="majorHAnsi"/>
                <w:bCs/>
                <w:sz w:val="20"/>
                <w:szCs w:val="20"/>
                <w:lang w:val="es-ES_tradnl"/>
              </w:rPr>
            </w:pPr>
            <w:r w:rsidRPr="0092229A">
              <w:rPr>
                <w:rFonts w:asciiTheme="majorHAnsi" w:hAnsiTheme="majorHAnsi"/>
                <w:bCs/>
                <w:sz w:val="20"/>
                <w:szCs w:val="20"/>
                <w:lang w:val="es-ES_tradnl"/>
              </w:rPr>
              <w:t xml:space="preserve">Sí, </w:t>
            </w:r>
            <w:r w:rsidR="00FA3AEF" w:rsidRPr="0092229A">
              <w:rPr>
                <w:rFonts w:asciiTheme="majorHAnsi" w:hAnsiTheme="majorHAnsi"/>
                <w:bCs/>
                <w:sz w:val="20"/>
                <w:szCs w:val="20"/>
                <w:lang w:val="es-ES_tradnl"/>
              </w:rPr>
              <w:t xml:space="preserve">Convención Americana (instrumento de ratificación depositado el </w:t>
            </w:r>
            <w:r w:rsidR="00D71063" w:rsidRPr="0092229A">
              <w:rPr>
                <w:rFonts w:asciiTheme="majorHAnsi" w:hAnsiTheme="majorHAnsi"/>
                <w:bCs/>
                <w:sz w:val="20"/>
                <w:szCs w:val="20"/>
                <w:lang w:val="es-ES_tradnl"/>
              </w:rPr>
              <w:t>25 de mayo de 1978</w:t>
            </w:r>
            <w:r w:rsidR="00FA3AEF" w:rsidRPr="0092229A">
              <w:rPr>
                <w:rFonts w:asciiTheme="majorHAnsi" w:hAnsiTheme="majorHAnsi"/>
                <w:bCs/>
                <w:sz w:val="20"/>
                <w:szCs w:val="20"/>
                <w:lang w:val="es-ES_tradnl"/>
              </w:rPr>
              <w:t>)</w:t>
            </w:r>
          </w:p>
        </w:tc>
      </w:tr>
    </w:tbl>
    <w:p w14:paraId="299A3868" w14:textId="6B2FCAEA"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IV. </w:t>
      </w:r>
      <w:r w:rsidRPr="0092229A">
        <w:rPr>
          <w:rFonts w:asciiTheme="majorHAnsi" w:hAnsiTheme="majorHAnsi"/>
          <w:b/>
          <w:bCs/>
          <w:sz w:val="20"/>
          <w:szCs w:val="20"/>
          <w:lang w:val="es-ES_tradnl"/>
        </w:rPr>
        <w:tab/>
      </w:r>
      <w:r w:rsidR="00EE00E9" w:rsidRPr="0092229A">
        <w:rPr>
          <w:rFonts w:asciiTheme="majorHAnsi" w:hAnsiTheme="majorHAnsi"/>
          <w:b/>
          <w:bCs/>
          <w:sz w:val="20"/>
          <w:szCs w:val="20"/>
          <w:lang w:val="es-ES_tradnl"/>
        </w:rPr>
        <w:t>DUPLICACIÓN</w:t>
      </w:r>
      <w:r w:rsidR="00EE00E9" w:rsidRPr="0092229A">
        <w:rPr>
          <w:rFonts w:asciiTheme="majorHAnsi" w:hAnsiTheme="majorHAnsi"/>
          <w:b/>
          <w:bCs/>
          <w:color w:val="FFFFFF" w:themeColor="background1"/>
          <w:sz w:val="20"/>
          <w:szCs w:val="20"/>
          <w:lang w:val="es-ES_tradnl"/>
        </w:rPr>
        <w:t xml:space="preserve"> </w:t>
      </w:r>
      <w:r w:rsidR="00EE00E9" w:rsidRPr="0092229A">
        <w:rPr>
          <w:rFonts w:asciiTheme="majorHAnsi" w:hAnsiTheme="majorHAnsi"/>
          <w:b/>
          <w:bCs/>
          <w:sz w:val="20"/>
          <w:szCs w:val="20"/>
          <w:lang w:val="es-ES_tradnl"/>
        </w:rPr>
        <w:t>DE PROCEDIMIENTOS Y COSA JUZGADA</w:t>
      </w:r>
      <w:r w:rsidR="00EE00E9" w:rsidRPr="0092229A">
        <w:rPr>
          <w:rFonts w:asciiTheme="majorHAnsi" w:hAnsiTheme="majorHAnsi"/>
          <w:b/>
          <w:bCs/>
          <w:i/>
          <w:sz w:val="20"/>
          <w:szCs w:val="20"/>
          <w:lang w:val="es-ES_tradnl"/>
        </w:rPr>
        <w:t xml:space="preserve"> </w:t>
      </w:r>
      <w:r w:rsidR="001D57D6" w:rsidRPr="0092229A">
        <w:rPr>
          <w:rFonts w:asciiTheme="majorHAnsi" w:hAnsiTheme="majorHAnsi"/>
          <w:b/>
          <w:bCs/>
          <w:sz w:val="20"/>
          <w:szCs w:val="20"/>
          <w:lang w:val="es-ES_tradnl"/>
        </w:rPr>
        <w:t>INTERNACIONAL, CARACTERIZACIÓN</w:t>
      </w:r>
      <w:r w:rsidRPr="0092229A">
        <w:rPr>
          <w:rFonts w:asciiTheme="majorHAnsi" w:hAnsiTheme="majorHAnsi"/>
          <w:b/>
          <w:bCs/>
          <w:sz w:val="20"/>
          <w:szCs w:val="20"/>
          <w:lang w:val="es-ES_tradnl"/>
        </w:rPr>
        <w:t xml:space="preserve">, </w:t>
      </w:r>
      <w:r w:rsidRPr="0092229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2229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2229A" w:rsidRDefault="00EE00E9"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92229A" w:rsidRDefault="00BD01F0" w:rsidP="008D2290">
            <w:pPr>
              <w:jc w:val="both"/>
              <w:rPr>
                <w:rFonts w:ascii="Cambria" w:hAnsi="Cambria"/>
                <w:bCs/>
                <w:sz w:val="20"/>
                <w:szCs w:val="20"/>
                <w:lang w:val="es-ES_tradnl"/>
              </w:rPr>
            </w:pPr>
            <w:r w:rsidRPr="0092229A">
              <w:rPr>
                <w:rFonts w:ascii="Cambria" w:hAnsi="Cambria"/>
                <w:bCs/>
                <w:sz w:val="20"/>
                <w:szCs w:val="20"/>
                <w:lang w:val="es-ES_tradnl"/>
              </w:rPr>
              <w:t>No</w:t>
            </w:r>
          </w:p>
        </w:tc>
      </w:tr>
      <w:tr w:rsidR="003239B8" w:rsidRPr="00AA4769"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Derechos declarados admisibles</w:t>
            </w:r>
            <w:r w:rsidRPr="0092229A">
              <w:rPr>
                <w:rFonts w:ascii="Cambria" w:hAnsi="Cambria"/>
                <w:b/>
                <w:bCs/>
                <w:i/>
                <w:color w:val="FFFFFF" w:themeColor="background1"/>
                <w:sz w:val="20"/>
                <w:szCs w:val="20"/>
                <w:lang w:val="es-ES_tradnl"/>
              </w:rPr>
              <w:t>:</w:t>
            </w:r>
          </w:p>
        </w:tc>
        <w:tc>
          <w:tcPr>
            <w:tcW w:w="5760" w:type="dxa"/>
            <w:vAlign w:val="center"/>
          </w:tcPr>
          <w:p w14:paraId="4DAE9D4D" w14:textId="61007F0A" w:rsidR="00FF6087" w:rsidRPr="0092229A" w:rsidRDefault="00E54EEF" w:rsidP="00E53400">
            <w:pPr>
              <w:jc w:val="both"/>
              <w:rPr>
                <w:rFonts w:ascii="Cambria" w:hAnsi="Cambria"/>
                <w:bCs/>
                <w:sz w:val="20"/>
                <w:szCs w:val="20"/>
                <w:lang w:val="es-ES_tradnl"/>
              </w:rPr>
            </w:pPr>
            <w:r w:rsidRPr="009456AC">
              <w:rPr>
                <w:rFonts w:asciiTheme="majorHAnsi" w:hAnsiTheme="majorHAnsi"/>
                <w:bCs/>
                <w:sz w:val="20"/>
                <w:szCs w:val="20"/>
                <w:lang w:val="es-ES"/>
              </w:rPr>
              <w:t>Artículos 8 (garantías judiciales)</w:t>
            </w:r>
            <w:r>
              <w:rPr>
                <w:rFonts w:asciiTheme="majorHAnsi" w:hAnsiTheme="majorHAnsi"/>
                <w:bCs/>
                <w:sz w:val="20"/>
                <w:szCs w:val="20"/>
                <w:lang w:val="es-ES"/>
              </w:rPr>
              <w:t xml:space="preserve"> </w:t>
            </w:r>
            <w:r w:rsidRPr="009456AC">
              <w:rPr>
                <w:rFonts w:asciiTheme="majorHAnsi" w:hAnsiTheme="majorHAnsi"/>
                <w:bCs/>
                <w:sz w:val="20"/>
                <w:szCs w:val="20"/>
                <w:lang w:val="es-ES"/>
              </w:rPr>
              <w:t>y 25 (protección judicial)</w:t>
            </w:r>
            <w:r>
              <w:rPr>
                <w:rFonts w:asciiTheme="majorHAnsi" w:hAnsiTheme="majorHAnsi"/>
                <w:bCs/>
                <w:sz w:val="20"/>
                <w:szCs w:val="20"/>
                <w:lang w:val="es-ES_tradnl"/>
              </w:rPr>
              <w:t xml:space="preserve"> </w:t>
            </w:r>
            <w:r w:rsidRPr="0092229A">
              <w:rPr>
                <w:rFonts w:asciiTheme="majorHAnsi" w:hAnsiTheme="majorHAnsi"/>
                <w:bCs/>
                <w:sz w:val="20"/>
                <w:szCs w:val="20"/>
                <w:lang w:val="es-ES_tradnl"/>
              </w:rPr>
              <w:t>en relación con su artículo 1.1 (obligación de respetar los derechos)</w:t>
            </w:r>
          </w:p>
        </w:tc>
      </w:tr>
      <w:tr w:rsidR="003239B8" w:rsidRPr="00AA476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lastRenderedPageBreak/>
              <w:t>Agotamiento de recursos internos</w:t>
            </w:r>
            <w:r w:rsidR="00EE00E9" w:rsidRPr="0092229A">
              <w:rPr>
                <w:rFonts w:ascii="Cambria" w:hAnsi="Cambria"/>
                <w:b/>
                <w:bCs/>
                <w:color w:val="FFFFFF" w:themeColor="background1"/>
                <w:sz w:val="20"/>
                <w:szCs w:val="20"/>
                <w:lang w:val="es-ES_tradnl"/>
              </w:rPr>
              <w:t xml:space="preserve"> o procedencia de una excepción</w:t>
            </w:r>
            <w:r w:rsidRPr="0092229A">
              <w:rPr>
                <w:rFonts w:ascii="Cambria" w:hAnsi="Cambria"/>
                <w:b/>
                <w:bCs/>
                <w:color w:val="FFFFFF" w:themeColor="background1"/>
                <w:sz w:val="20"/>
                <w:szCs w:val="20"/>
                <w:lang w:val="es-ES_tradnl"/>
              </w:rPr>
              <w:t>:</w:t>
            </w:r>
          </w:p>
        </w:tc>
        <w:tc>
          <w:tcPr>
            <w:tcW w:w="5760" w:type="dxa"/>
            <w:vAlign w:val="center"/>
          </w:tcPr>
          <w:p w14:paraId="7F7C1A19" w14:textId="54270CF4" w:rsidR="003239B8" w:rsidRPr="00446EB6" w:rsidRDefault="00BC1566" w:rsidP="00620C6F">
            <w:pPr>
              <w:rPr>
                <w:rFonts w:asciiTheme="majorHAnsi" w:hAnsiTheme="majorHAnsi"/>
                <w:bCs/>
                <w:sz w:val="20"/>
                <w:szCs w:val="20"/>
                <w:lang w:val="es-ES_tradnl"/>
              </w:rPr>
            </w:pPr>
            <w:r>
              <w:rPr>
                <w:rFonts w:asciiTheme="majorHAnsi" w:hAnsiTheme="majorHAnsi"/>
                <w:bCs/>
                <w:sz w:val="20"/>
                <w:szCs w:val="20"/>
                <w:lang w:val="es-ES_tradnl"/>
              </w:rPr>
              <w:t>Parcialmente</w:t>
            </w:r>
            <w:r w:rsidR="00370233">
              <w:rPr>
                <w:rFonts w:asciiTheme="majorHAnsi" w:hAnsiTheme="majorHAnsi"/>
                <w:bCs/>
                <w:sz w:val="20"/>
                <w:szCs w:val="20"/>
                <w:lang w:val="es-ES_tradnl"/>
              </w:rPr>
              <w:t xml:space="preserve">, </w:t>
            </w:r>
            <w:r w:rsidR="00370233" w:rsidRPr="00BF38F4">
              <w:rPr>
                <w:rFonts w:asciiTheme="majorHAnsi" w:hAnsiTheme="majorHAnsi"/>
                <w:bCs/>
                <w:sz w:val="20"/>
                <w:szCs w:val="20"/>
                <w:lang w:val="es-ES_tradnl"/>
              </w:rPr>
              <w:t>en los términos de la Sección VI</w:t>
            </w:r>
          </w:p>
        </w:tc>
      </w:tr>
      <w:tr w:rsidR="003239B8" w:rsidRPr="00AA476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Presentación dentro de plazo:</w:t>
            </w:r>
          </w:p>
        </w:tc>
        <w:tc>
          <w:tcPr>
            <w:tcW w:w="5760" w:type="dxa"/>
            <w:vAlign w:val="center"/>
          </w:tcPr>
          <w:p w14:paraId="2AF0FC69" w14:textId="65447CA3" w:rsidR="003239B8" w:rsidRPr="0092229A" w:rsidRDefault="00BC1566" w:rsidP="008D2290">
            <w:pPr>
              <w:rPr>
                <w:rFonts w:ascii="Cambria" w:hAnsi="Cambria"/>
                <w:bCs/>
                <w:sz w:val="20"/>
                <w:szCs w:val="20"/>
                <w:lang w:val="es-ES_tradnl"/>
              </w:rPr>
            </w:pPr>
            <w:r>
              <w:rPr>
                <w:rFonts w:asciiTheme="majorHAnsi" w:hAnsiTheme="majorHAnsi"/>
                <w:bCs/>
                <w:sz w:val="20"/>
                <w:szCs w:val="20"/>
                <w:lang w:val="es-ES_tradnl"/>
              </w:rPr>
              <w:t>Parcialmente</w:t>
            </w:r>
            <w:r w:rsidR="00370233">
              <w:rPr>
                <w:rFonts w:asciiTheme="majorHAnsi" w:hAnsiTheme="majorHAnsi"/>
                <w:bCs/>
                <w:sz w:val="20"/>
                <w:szCs w:val="20"/>
                <w:lang w:val="es-ES_tradnl"/>
              </w:rPr>
              <w:t xml:space="preserve">, </w:t>
            </w:r>
            <w:r w:rsidR="00370233" w:rsidRPr="00BF38F4">
              <w:rPr>
                <w:rFonts w:asciiTheme="majorHAnsi" w:hAnsiTheme="majorHAnsi"/>
                <w:bCs/>
                <w:sz w:val="20"/>
                <w:szCs w:val="20"/>
                <w:lang w:val="es-ES_tradnl"/>
              </w:rPr>
              <w:t>en los términos de la Sección VI</w:t>
            </w:r>
          </w:p>
        </w:tc>
      </w:tr>
    </w:tbl>
    <w:p w14:paraId="56FD5D57" w14:textId="53AF6FDA" w:rsidR="003239B8" w:rsidRPr="00BB3C87" w:rsidRDefault="00223A29" w:rsidP="00BB3C87">
      <w:pPr>
        <w:spacing w:before="240" w:after="240"/>
        <w:ind w:firstLine="709"/>
        <w:jc w:val="both"/>
        <w:rPr>
          <w:rFonts w:asciiTheme="majorHAnsi" w:hAnsiTheme="majorHAnsi"/>
          <w:b/>
          <w:sz w:val="20"/>
          <w:szCs w:val="20"/>
          <w:lang w:val="es-ES_tradnl"/>
        </w:rPr>
      </w:pPr>
      <w:r w:rsidRPr="00375E07">
        <w:rPr>
          <w:rFonts w:ascii="Cambria" w:hAnsi="Cambria"/>
          <w:b/>
          <w:sz w:val="20"/>
          <w:szCs w:val="20"/>
          <w:lang w:val="es-ES_tradnl"/>
        </w:rPr>
        <w:t xml:space="preserve">V. </w:t>
      </w:r>
      <w:r w:rsidRPr="00375E07">
        <w:rPr>
          <w:rFonts w:ascii="Cambria" w:hAnsi="Cambria"/>
          <w:b/>
          <w:sz w:val="20"/>
          <w:szCs w:val="20"/>
          <w:lang w:val="es-ES_tradnl"/>
        </w:rPr>
        <w:tab/>
      </w:r>
      <w:r w:rsidR="004241A0" w:rsidRPr="00BB3C87">
        <w:rPr>
          <w:rFonts w:asciiTheme="majorHAnsi" w:hAnsiTheme="majorHAnsi"/>
          <w:b/>
          <w:sz w:val="20"/>
          <w:szCs w:val="20"/>
          <w:lang w:val="es-ES_tradnl"/>
        </w:rPr>
        <w:t>POSICIÓN DE LAS PARTES</w:t>
      </w:r>
      <w:r w:rsidR="003239B8" w:rsidRPr="00BB3C87">
        <w:rPr>
          <w:rFonts w:asciiTheme="majorHAnsi" w:hAnsiTheme="majorHAnsi"/>
          <w:b/>
          <w:sz w:val="20"/>
          <w:szCs w:val="20"/>
          <w:lang w:val="es-ES_tradnl"/>
        </w:rPr>
        <w:t xml:space="preserve"> </w:t>
      </w:r>
    </w:p>
    <w:p w14:paraId="3BEC7A14" w14:textId="5C0A88E1" w:rsidR="00C012D0" w:rsidRPr="00BB3C87" w:rsidRDefault="00C012D0" w:rsidP="00BB3C87">
      <w:pPr>
        <w:spacing w:before="240" w:after="240"/>
        <w:ind w:firstLine="709"/>
        <w:jc w:val="both"/>
        <w:rPr>
          <w:rFonts w:asciiTheme="majorHAnsi" w:hAnsiTheme="majorHAnsi"/>
          <w:bCs/>
          <w:i/>
          <w:iCs/>
          <w:sz w:val="20"/>
          <w:szCs w:val="20"/>
          <w:lang w:val="es-ES_tradnl"/>
        </w:rPr>
      </w:pPr>
      <w:r w:rsidRPr="00BB3C87">
        <w:rPr>
          <w:rFonts w:asciiTheme="majorHAnsi" w:hAnsiTheme="majorHAnsi"/>
          <w:bCs/>
          <w:i/>
          <w:iCs/>
          <w:sz w:val="20"/>
          <w:szCs w:val="20"/>
          <w:lang w:val="es-ES_tradnl"/>
        </w:rPr>
        <w:t>Posición de los peticionarios</w:t>
      </w:r>
    </w:p>
    <w:p w14:paraId="0124E228" w14:textId="0A202090"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La parte peticionaria </w:t>
      </w:r>
      <w:r w:rsidR="00B8680C" w:rsidRPr="00BB3C87">
        <w:rPr>
          <w:rFonts w:asciiTheme="majorHAnsi" w:hAnsiTheme="majorHAnsi"/>
          <w:bCs/>
          <w:sz w:val="20"/>
          <w:szCs w:val="20"/>
          <w:lang w:val="es-ES_tradnl"/>
        </w:rPr>
        <w:t>alega</w:t>
      </w:r>
      <w:r w:rsidRPr="00BB3C87">
        <w:rPr>
          <w:rFonts w:asciiTheme="majorHAnsi" w:hAnsiTheme="majorHAnsi"/>
          <w:bCs/>
          <w:sz w:val="20"/>
          <w:szCs w:val="20"/>
          <w:lang w:val="es-ES_tradnl"/>
        </w:rPr>
        <w:t xml:space="preserve"> </w:t>
      </w:r>
      <w:r w:rsidRPr="00BB3C87">
        <w:rPr>
          <w:rFonts w:asciiTheme="majorHAnsi" w:hAnsiTheme="majorHAnsi" w:cstheme="majorHAnsi"/>
          <w:bCs/>
          <w:sz w:val="20"/>
          <w:szCs w:val="20"/>
          <w:lang w:val="es-ES_tradnl"/>
        </w:rPr>
        <w:t>violaciones a las garantías y protección judiciales</w:t>
      </w:r>
      <w:r w:rsidRPr="00BB3C87">
        <w:rPr>
          <w:rFonts w:asciiTheme="majorHAnsi" w:hAnsiTheme="majorHAnsi"/>
          <w:bCs/>
          <w:sz w:val="20"/>
          <w:szCs w:val="20"/>
          <w:lang w:val="es-ES_tradnl"/>
        </w:rPr>
        <w:t xml:space="preserve"> en perjuicio de familias campesinas e indígenas </w:t>
      </w:r>
      <w:r w:rsidR="00F9381B" w:rsidRPr="00BB3C87">
        <w:rPr>
          <w:rFonts w:asciiTheme="majorHAnsi" w:hAnsiTheme="majorHAnsi"/>
          <w:bCs/>
          <w:sz w:val="20"/>
          <w:szCs w:val="20"/>
          <w:lang w:val="es-ES_tradnl"/>
        </w:rPr>
        <w:t>que</w:t>
      </w:r>
      <w:r w:rsidRPr="00BB3C87">
        <w:rPr>
          <w:rFonts w:asciiTheme="majorHAnsi" w:hAnsiTheme="majorHAnsi"/>
          <w:bCs/>
          <w:sz w:val="20"/>
          <w:szCs w:val="20"/>
          <w:lang w:val="es-ES_tradnl"/>
        </w:rPr>
        <w:t xml:space="preserve"> </w:t>
      </w:r>
      <w:r w:rsidR="00C1320A" w:rsidRPr="00BB3C87">
        <w:rPr>
          <w:rFonts w:asciiTheme="majorHAnsi" w:hAnsiTheme="majorHAnsi"/>
          <w:bCs/>
          <w:sz w:val="20"/>
          <w:szCs w:val="20"/>
          <w:lang w:val="es-ES_tradnl"/>
        </w:rPr>
        <w:t xml:space="preserve">compraron </w:t>
      </w:r>
      <w:r w:rsidRPr="00BB3C87">
        <w:rPr>
          <w:rFonts w:asciiTheme="majorHAnsi" w:hAnsiTheme="majorHAnsi"/>
          <w:bCs/>
          <w:sz w:val="20"/>
          <w:szCs w:val="20"/>
          <w:lang w:val="es-ES_tradnl"/>
        </w:rPr>
        <w:t xml:space="preserve">una finca, la cual posteriormente fue </w:t>
      </w:r>
      <w:r w:rsidR="00C46501" w:rsidRPr="00BB3C87">
        <w:rPr>
          <w:rFonts w:asciiTheme="majorHAnsi" w:hAnsiTheme="majorHAnsi"/>
          <w:bCs/>
          <w:sz w:val="20"/>
          <w:szCs w:val="20"/>
          <w:lang w:val="es-ES_tradnl"/>
        </w:rPr>
        <w:t>embargada</w:t>
      </w:r>
      <w:r w:rsidRPr="00BB3C87">
        <w:rPr>
          <w:rFonts w:asciiTheme="majorHAnsi" w:hAnsiTheme="majorHAnsi"/>
          <w:bCs/>
          <w:sz w:val="20"/>
          <w:szCs w:val="20"/>
          <w:lang w:val="es-ES_tradnl"/>
        </w:rPr>
        <w:t xml:space="preserve"> </w:t>
      </w:r>
      <w:r w:rsidR="00C46501" w:rsidRPr="00BB3C87">
        <w:rPr>
          <w:rFonts w:asciiTheme="majorHAnsi" w:hAnsiTheme="majorHAnsi"/>
          <w:bCs/>
          <w:sz w:val="20"/>
          <w:szCs w:val="20"/>
          <w:lang w:val="es-ES_tradnl"/>
        </w:rPr>
        <w:t>como parte de un</w:t>
      </w:r>
      <w:r w:rsidR="00885CBC" w:rsidRPr="00BB3C87">
        <w:rPr>
          <w:rFonts w:asciiTheme="majorHAnsi" w:hAnsiTheme="majorHAnsi"/>
          <w:bCs/>
          <w:sz w:val="20"/>
          <w:szCs w:val="20"/>
          <w:lang w:val="es-ES_tradnl"/>
        </w:rPr>
        <w:t>a acción</w:t>
      </w:r>
      <w:r w:rsidR="00C46501" w:rsidRPr="00BB3C87">
        <w:rPr>
          <w:rFonts w:asciiTheme="majorHAnsi" w:hAnsiTheme="majorHAnsi"/>
          <w:bCs/>
          <w:sz w:val="20"/>
          <w:szCs w:val="20"/>
          <w:lang w:val="es-ES_tradnl"/>
        </w:rPr>
        <w:t xml:space="preserve"> de extinción de dominio iniciado </w:t>
      </w:r>
      <w:r w:rsidRPr="00BB3C87">
        <w:rPr>
          <w:rFonts w:asciiTheme="majorHAnsi" w:hAnsiTheme="majorHAnsi"/>
          <w:bCs/>
          <w:sz w:val="20"/>
          <w:szCs w:val="20"/>
          <w:lang w:val="es-ES_tradnl"/>
        </w:rPr>
        <w:t xml:space="preserve">por el </w:t>
      </w:r>
      <w:r w:rsidR="00C46501" w:rsidRPr="00BB3C87">
        <w:rPr>
          <w:rFonts w:asciiTheme="majorHAnsi" w:hAnsiTheme="majorHAnsi"/>
          <w:bCs/>
          <w:sz w:val="20"/>
          <w:szCs w:val="20"/>
          <w:lang w:val="es-ES_tradnl"/>
        </w:rPr>
        <w:t xml:space="preserve">Ministerio Público, </w:t>
      </w:r>
      <w:r w:rsidR="0004074F" w:rsidRPr="00BB3C87">
        <w:rPr>
          <w:rFonts w:asciiTheme="majorHAnsi" w:hAnsiTheme="majorHAnsi"/>
          <w:bCs/>
          <w:sz w:val="20"/>
          <w:szCs w:val="20"/>
          <w:lang w:val="es-ES_tradnl"/>
        </w:rPr>
        <w:t>a raíz</w:t>
      </w:r>
      <w:r w:rsidR="00C46501" w:rsidRPr="00BB3C87">
        <w:rPr>
          <w:rFonts w:asciiTheme="majorHAnsi" w:hAnsiTheme="majorHAnsi"/>
          <w:bCs/>
          <w:sz w:val="20"/>
          <w:szCs w:val="20"/>
          <w:lang w:val="es-ES_tradnl"/>
        </w:rPr>
        <w:t xml:space="preserve"> de</w:t>
      </w:r>
      <w:r w:rsidRPr="00BB3C87">
        <w:rPr>
          <w:rFonts w:asciiTheme="majorHAnsi" w:hAnsiTheme="majorHAnsi"/>
          <w:bCs/>
          <w:sz w:val="20"/>
          <w:szCs w:val="20"/>
          <w:lang w:val="es-ES_tradnl"/>
        </w:rPr>
        <w:t xml:space="preserve"> un proceso penal de narcóticos contra un tercero quien fue dueño de dicha finca.</w:t>
      </w:r>
      <w:r w:rsidR="00C46501" w:rsidRPr="00BB3C87">
        <w:rPr>
          <w:rFonts w:asciiTheme="majorHAnsi" w:hAnsiTheme="majorHAnsi"/>
          <w:bCs/>
          <w:sz w:val="20"/>
          <w:szCs w:val="20"/>
          <w:lang w:val="es-ES_tradnl"/>
        </w:rPr>
        <w:t xml:space="preserve"> </w:t>
      </w:r>
    </w:p>
    <w:p w14:paraId="3A00D487" w14:textId="35C16309"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Las presuntas víctimas son aproximadamente quinientas familias</w:t>
      </w:r>
      <w:r w:rsidRPr="00BB3C87">
        <w:rPr>
          <w:rStyle w:val="FootnoteReference"/>
          <w:rFonts w:asciiTheme="majorHAnsi" w:eastAsia="Arial Unicode MS" w:hAnsiTheme="majorHAnsi" w:cs="Times New Roman"/>
          <w:bCs/>
          <w:color w:val="auto"/>
          <w:sz w:val="20"/>
          <w:szCs w:val="20"/>
          <w:lang w:eastAsia="en-US"/>
        </w:rPr>
        <w:footnoteReference w:id="8"/>
      </w:r>
      <w:r w:rsidRPr="00BB3C87">
        <w:rPr>
          <w:rFonts w:asciiTheme="majorHAnsi" w:hAnsiTheme="majorHAnsi"/>
          <w:bCs/>
          <w:sz w:val="20"/>
          <w:szCs w:val="20"/>
          <w:lang w:val="es-ES_tradnl"/>
        </w:rPr>
        <w:t xml:space="preserve"> campesinas e indígenas que están organizados dentro de la Asociación de Desarrollo Integral de Jóvenes Agricultores Mayas </w:t>
      </w:r>
      <w:r w:rsidR="0070645A" w:rsidRPr="00BB3C87">
        <w:rPr>
          <w:rFonts w:asciiTheme="majorHAnsi" w:hAnsiTheme="majorHAnsi"/>
          <w:bCs/>
          <w:sz w:val="20"/>
          <w:szCs w:val="20"/>
          <w:lang w:val="es-ES_tradnl"/>
        </w:rPr>
        <w:t>s</w:t>
      </w:r>
      <w:r w:rsidRPr="00BB3C87">
        <w:rPr>
          <w:rFonts w:asciiTheme="majorHAnsi" w:hAnsiTheme="majorHAnsi"/>
          <w:bCs/>
          <w:sz w:val="20"/>
          <w:szCs w:val="20"/>
          <w:lang w:val="es-ES_tradnl"/>
        </w:rPr>
        <w:t>in Tierra (en adelante “ADIAJMST”). Aseveran que por años han trabajado arduamente para adquirir una tierra de manera legal. Inicialmente el Fondo de Tierras</w:t>
      </w:r>
      <w:r w:rsidRPr="00BB3C87">
        <w:rPr>
          <w:rStyle w:val="FootnoteReference"/>
          <w:rFonts w:asciiTheme="majorHAnsi" w:eastAsia="Arial Unicode MS" w:hAnsiTheme="majorHAnsi" w:cs="Times New Roman"/>
          <w:bCs/>
          <w:color w:val="auto"/>
          <w:sz w:val="20"/>
          <w:szCs w:val="20"/>
          <w:lang w:eastAsia="en-US"/>
        </w:rPr>
        <w:footnoteReference w:id="9"/>
      </w:r>
      <w:r w:rsidRPr="00BB3C87">
        <w:rPr>
          <w:rStyle w:val="FootnoteReference"/>
          <w:rFonts w:asciiTheme="majorHAnsi" w:eastAsia="Arial Unicode MS" w:hAnsiTheme="majorHAnsi" w:cs="Times New Roman"/>
          <w:color w:val="auto"/>
          <w:sz w:val="20"/>
          <w:szCs w:val="20"/>
          <w:lang w:val="es-ES_tradnl" w:eastAsia="en-US"/>
        </w:rPr>
        <w:t xml:space="preserve"> </w:t>
      </w:r>
      <w:r w:rsidRPr="00BB3C87">
        <w:rPr>
          <w:rFonts w:asciiTheme="majorHAnsi" w:hAnsiTheme="majorHAnsi"/>
          <w:bCs/>
          <w:sz w:val="20"/>
          <w:szCs w:val="20"/>
          <w:lang w:val="es-ES_tradnl"/>
        </w:rPr>
        <w:t xml:space="preserve">les indicó que buscaran </w:t>
      </w:r>
      <w:r w:rsidR="0004074F" w:rsidRPr="00BB3C87">
        <w:rPr>
          <w:rFonts w:asciiTheme="majorHAnsi" w:hAnsiTheme="majorHAnsi"/>
          <w:bCs/>
          <w:sz w:val="20"/>
          <w:szCs w:val="20"/>
          <w:lang w:val="es-ES_tradnl"/>
        </w:rPr>
        <w:t>una</w:t>
      </w:r>
      <w:r w:rsidRPr="00BB3C87">
        <w:rPr>
          <w:rFonts w:asciiTheme="majorHAnsi" w:hAnsiTheme="majorHAnsi"/>
          <w:bCs/>
          <w:sz w:val="20"/>
          <w:szCs w:val="20"/>
          <w:lang w:val="es-ES_tradnl"/>
        </w:rPr>
        <w:t xml:space="preserve"> finca en la región de la Costa Sur o Boca Costa del Altiplano</w:t>
      </w:r>
      <w:r w:rsidR="002C55F2"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y que los apoyarían </w:t>
      </w:r>
      <w:r w:rsidR="002C55F2" w:rsidRPr="00BB3C87">
        <w:rPr>
          <w:rFonts w:asciiTheme="majorHAnsi" w:hAnsiTheme="majorHAnsi"/>
          <w:bCs/>
          <w:sz w:val="20"/>
          <w:szCs w:val="20"/>
          <w:lang w:val="es-ES_tradnl"/>
        </w:rPr>
        <w:t>con</w:t>
      </w:r>
      <w:r w:rsidRPr="00BB3C87">
        <w:rPr>
          <w:rFonts w:asciiTheme="majorHAnsi" w:hAnsiTheme="majorHAnsi"/>
          <w:bCs/>
          <w:sz w:val="20"/>
          <w:szCs w:val="20"/>
          <w:lang w:val="es-ES_tradnl"/>
        </w:rPr>
        <w:t xml:space="preserve"> la compra, por lo que localizaron algunas opciones de fincas, per</w:t>
      </w:r>
      <w:r w:rsidR="00885CBC" w:rsidRPr="00BB3C87">
        <w:rPr>
          <w:rFonts w:asciiTheme="majorHAnsi" w:hAnsiTheme="majorHAnsi"/>
          <w:bCs/>
          <w:sz w:val="20"/>
          <w:szCs w:val="20"/>
          <w:lang w:val="es-ES_tradnl"/>
        </w:rPr>
        <w:t>o</w:t>
      </w:r>
      <w:r w:rsidRPr="00BB3C87">
        <w:rPr>
          <w:rFonts w:asciiTheme="majorHAnsi" w:hAnsiTheme="majorHAnsi"/>
          <w:bCs/>
          <w:sz w:val="20"/>
          <w:szCs w:val="20"/>
          <w:lang w:val="es-ES_tradnl"/>
        </w:rPr>
        <w:t xml:space="preserve"> en cuanto pidieron el apoyo prometido al Fondo de Tierras, les dijeron que no había recursos destinados para </w:t>
      </w:r>
      <w:r w:rsidR="00C1320A" w:rsidRPr="00BB3C87">
        <w:rPr>
          <w:rFonts w:asciiTheme="majorHAnsi" w:hAnsiTheme="majorHAnsi"/>
          <w:bCs/>
          <w:sz w:val="20"/>
          <w:szCs w:val="20"/>
          <w:lang w:val="es-ES_tradnl"/>
        </w:rPr>
        <w:t>dichos fines</w:t>
      </w:r>
      <w:r w:rsidRPr="00BB3C87">
        <w:rPr>
          <w:rFonts w:asciiTheme="majorHAnsi" w:hAnsiTheme="majorHAnsi"/>
          <w:bCs/>
          <w:sz w:val="20"/>
          <w:szCs w:val="20"/>
          <w:lang w:val="es-ES_tradnl"/>
        </w:rPr>
        <w:t xml:space="preserve">. </w:t>
      </w:r>
    </w:p>
    <w:p w14:paraId="0C158BC1" w14:textId="7894324F" w:rsidR="00C1320A"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No obstante, y pese a la falta de apoyo gubernamental, </w:t>
      </w:r>
      <w:r w:rsidR="00C1320A" w:rsidRPr="00BB3C87">
        <w:rPr>
          <w:rFonts w:asciiTheme="majorHAnsi" w:hAnsiTheme="majorHAnsi"/>
          <w:bCs/>
          <w:sz w:val="20"/>
          <w:szCs w:val="20"/>
          <w:lang w:val="es-ES_tradnl"/>
        </w:rPr>
        <w:t>las presuntas víctimas</w:t>
      </w:r>
      <w:r w:rsidRPr="00BB3C87">
        <w:rPr>
          <w:rFonts w:asciiTheme="majorHAnsi" w:hAnsiTheme="majorHAnsi"/>
          <w:bCs/>
          <w:sz w:val="20"/>
          <w:szCs w:val="20"/>
          <w:lang w:val="es-ES_tradnl"/>
        </w:rPr>
        <w:t xml:space="preserve"> continuaron con la búsqueda de tierras</w:t>
      </w:r>
      <w:r w:rsidR="002C55F2"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y en 2014 encontraron la Finca San Joaquín Melendres, en Tecún Umán, San Marcos. La Asamblea de ADIAJMST decidió designar a sus representantes</w:t>
      </w:r>
      <w:r w:rsidR="00C1320A" w:rsidRPr="00BB3C87">
        <w:rPr>
          <w:rFonts w:asciiTheme="majorHAnsi" w:hAnsiTheme="majorHAnsi"/>
          <w:bCs/>
          <w:sz w:val="20"/>
          <w:szCs w:val="20"/>
          <w:lang w:val="es-ES_tradnl"/>
        </w:rPr>
        <w:t xml:space="preserve"> legales</w:t>
      </w:r>
      <w:r w:rsidRPr="00BB3C87">
        <w:rPr>
          <w:rFonts w:asciiTheme="majorHAnsi" w:hAnsiTheme="majorHAnsi"/>
          <w:bCs/>
          <w:sz w:val="20"/>
          <w:szCs w:val="20"/>
          <w:lang w:val="es-ES_tradnl"/>
        </w:rPr>
        <w:t xml:space="preserve"> </w:t>
      </w:r>
      <w:r w:rsidR="00C1320A" w:rsidRPr="00BB3C87">
        <w:rPr>
          <w:rFonts w:asciiTheme="majorHAnsi" w:hAnsiTheme="majorHAnsi"/>
          <w:bCs/>
          <w:sz w:val="20"/>
          <w:szCs w:val="20"/>
          <w:lang w:val="es-ES_tradnl"/>
        </w:rPr>
        <w:t>y</w:t>
      </w:r>
      <w:r w:rsidRPr="00BB3C87">
        <w:rPr>
          <w:rFonts w:asciiTheme="majorHAnsi" w:hAnsiTheme="majorHAnsi"/>
          <w:bCs/>
          <w:sz w:val="20"/>
          <w:szCs w:val="20"/>
          <w:lang w:val="es-ES_tradnl"/>
        </w:rPr>
        <w:t xml:space="preserve"> negociar </w:t>
      </w:r>
      <w:r w:rsidR="00C1320A" w:rsidRPr="00BB3C87">
        <w:rPr>
          <w:rFonts w:asciiTheme="majorHAnsi" w:hAnsiTheme="majorHAnsi"/>
          <w:bCs/>
          <w:sz w:val="20"/>
          <w:szCs w:val="20"/>
          <w:lang w:val="es-ES_tradnl"/>
        </w:rPr>
        <w:t xml:space="preserve">la compraventa </w:t>
      </w:r>
      <w:r w:rsidRPr="00BB3C87">
        <w:rPr>
          <w:rFonts w:asciiTheme="majorHAnsi" w:hAnsiTheme="majorHAnsi"/>
          <w:bCs/>
          <w:sz w:val="20"/>
          <w:szCs w:val="20"/>
          <w:lang w:val="es-ES_tradnl"/>
        </w:rPr>
        <w:t>con la propietaria</w:t>
      </w:r>
      <w:r w:rsidR="00C1320A" w:rsidRPr="00BB3C87">
        <w:rPr>
          <w:rFonts w:asciiTheme="majorHAnsi" w:hAnsiTheme="majorHAnsi"/>
          <w:bCs/>
          <w:sz w:val="20"/>
          <w:szCs w:val="20"/>
          <w:lang w:val="es-ES_tradnl"/>
        </w:rPr>
        <w:t xml:space="preserve"> de la finca</w:t>
      </w:r>
      <w:r w:rsidRPr="00BB3C87">
        <w:rPr>
          <w:rFonts w:asciiTheme="majorHAnsi" w:hAnsiTheme="majorHAnsi"/>
          <w:bCs/>
          <w:sz w:val="20"/>
          <w:szCs w:val="20"/>
          <w:lang w:val="es-ES_tradnl"/>
        </w:rPr>
        <w:t>. Así, se les ofertó</w:t>
      </w:r>
      <w:r w:rsidR="00885CBC" w:rsidRPr="00BB3C87">
        <w:rPr>
          <w:rFonts w:asciiTheme="majorHAnsi" w:hAnsiTheme="majorHAnsi"/>
          <w:bCs/>
          <w:sz w:val="20"/>
          <w:szCs w:val="20"/>
          <w:lang w:val="es-ES_tradnl"/>
        </w:rPr>
        <w:t xml:space="preserve"> una</w:t>
      </w:r>
      <w:r w:rsidRPr="00BB3C87">
        <w:rPr>
          <w:rFonts w:asciiTheme="majorHAnsi" w:hAnsiTheme="majorHAnsi"/>
          <w:bCs/>
          <w:sz w:val="20"/>
          <w:szCs w:val="20"/>
          <w:lang w:val="es-ES_tradnl"/>
        </w:rPr>
        <w:t xml:space="preserve"> </w:t>
      </w:r>
      <w:r w:rsidR="00885CBC" w:rsidRPr="00BB3C87">
        <w:rPr>
          <w:rFonts w:asciiTheme="majorHAnsi" w:hAnsiTheme="majorHAnsi"/>
          <w:bCs/>
          <w:sz w:val="20"/>
          <w:szCs w:val="20"/>
          <w:lang w:val="es-ES_tradnl"/>
        </w:rPr>
        <w:t>fracción del</w:t>
      </w:r>
      <w:r w:rsidR="00C1320A" w:rsidRPr="00BB3C87">
        <w:rPr>
          <w:rFonts w:asciiTheme="majorHAnsi" w:hAnsiTheme="majorHAnsi"/>
          <w:bCs/>
          <w:sz w:val="20"/>
          <w:szCs w:val="20"/>
          <w:lang w:val="es-ES_tradnl"/>
        </w:rPr>
        <w:t xml:space="preserve"> inmueble</w:t>
      </w:r>
      <w:r w:rsidRPr="00BB3C87">
        <w:rPr>
          <w:rFonts w:asciiTheme="majorHAnsi" w:hAnsiTheme="majorHAnsi"/>
          <w:bCs/>
          <w:sz w:val="20"/>
          <w:szCs w:val="20"/>
          <w:lang w:val="es-ES_tradnl"/>
        </w:rPr>
        <w:t xml:space="preserve"> por </w:t>
      </w:r>
      <w:r w:rsidR="007E71BF" w:rsidRPr="00BB3C87">
        <w:rPr>
          <w:rFonts w:asciiTheme="majorHAnsi" w:hAnsiTheme="majorHAnsi"/>
          <w:bCs/>
          <w:sz w:val="20"/>
          <w:szCs w:val="20"/>
          <w:lang w:val="es-ES_tradnl"/>
        </w:rPr>
        <w:t xml:space="preserve">53,000,000 </w:t>
      </w:r>
      <w:r w:rsidRPr="00BB3C87">
        <w:rPr>
          <w:rFonts w:asciiTheme="majorHAnsi" w:hAnsiTheme="majorHAnsi"/>
          <w:bCs/>
          <w:sz w:val="20"/>
          <w:szCs w:val="20"/>
          <w:lang w:val="es-ES_tradnl"/>
        </w:rPr>
        <w:t>de quetzales</w:t>
      </w:r>
      <w:r w:rsidRPr="00BB3C87">
        <w:rPr>
          <w:rStyle w:val="FootnoteReference"/>
          <w:rFonts w:asciiTheme="majorHAnsi" w:eastAsia="Arial Unicode MS" w:hAnsiTheme="majorHAnsi" w:cs="Times New Roman"/>
          <w:bCs/>
          <w:color w:val="auto"/>
          <w:sz w:val="20"/>
          <w:szCs w:val="20"/>
          <w:lang w:eastAsia="en-US"/>
        </w:rPr>
        <w:footnoteReference w:id="10"/>
      </w:r>
      <w:r w:rsidRPr="00BB3C87">
        <w:rPr>
          <w:rFonts w:asciiTheme="majorHAnsi" w:hAnsiTheme="majorHAnsi"/>
          <w:bCs/>
          <w:sz w:val="20"/>
          <w:szCs w:val="20"/>
          <w:lang w:val="es-ES_tradnl"/>
        </w:rPr>
        <w:t>; por lo tanto, las presuntas víctimas abonaron 700</w:t>
      </w:r>
      <w:r w:rsidR="00B25FB4" w:rsidRPr="00BB3C87">
        <w:rPr>
          <w:rFonts w:asciiTheme="majorHAnsi" w:hAnsiTheme="majorHAnsi"/>
          <w:bCs/>
          <w:sz w:val="20"/>
          <w:szCs w:val="20"/>
          <w:lang w:val="es-ES_tradnl"/>
        </w:rPr>
        <w:t>,000</w:t>
      </w:r>
      <w:r w:rsidRPr="00BB3C87">
        <w:rPr>
          <w:rFonts w:asciiTheme="majorHAnsi" w:hAnsiTheme="majorHAnsi"/>
          <w:bCs/>
          <w:sz w:val="20"/>
          <w:szCs w:val="20"/>
          <w:lang w:val="es-ES_tradnl"/>
        </w:rPr>
        <w:t xml:space="preserve"> quetzales como primer pago</w:t>
      </w:r>
      <w:r w:rsidRPr="00BB3C87">
        <w:rPr>
          <w:rStyle w:val="FootnoteReference"/>
          <w:rFonts w:asciiTheme="majorHAnsi" w:eastAsia="Arial Unicode MS" w:hAnsiTheme="majorHAnsi" w:cs="Times New Roman"/>
          <w:bCs/>
          <w:color w:val="auto"/>
          <w:sz w:val="20"/>
          <w:szCs w:val="20"/>
          <w:lang w:eastAsia="en-US"/>
        </w:rPr>
        <w:footnoteReference w:id="11"/>
      </w:r>
      <w:r w:rsidRPr="00BB3C87">
        <w:rPr>
          <w:rFonts w:asciiTheme="majorHAnsi" w:hAnsiTheme="majorHAnsi"/>
          <w:bCs/>
          <w:sz w:val="20"/>
          <w:szCs w:val="20"/>
          <w:lang w:val="es-ES_tradnl"/>
        </w:rPr>
        <w:t xml:space="preserve">, y se comprometieron a pagar lo restante de forma anual. </w:t>
      </w:r>
      <w:r w:rsidR="00B25FB4" w:rsidRPr="00BB3C87">
        <w:rPr>
          <w:rFonts w:asciiTheme="majorHAnsi" w:hAnsiTheme="majorHAnsi"/>
          <w:bCs/>
          <w:sz w:val="20"/>
          <w:szCs w:val="20"/>
          <w:lang w:val="es-ES_tradnl"/>
        </w:rPr>
        <w:t>Así, e</w:t>
      </w:r>
      <w:r w:rsidRPr="00BB3C87">
        <w:rPr>
          <w:rFonts w:asciiTheme="majorHAnsi" w:hAnsiTheme="majorHAnsi"/>
          <w:bCs/>
          <w:sz w:val="20"/>
          <w:szCs w:val="20"/>
          <w:lang w:val="es-ES_tradnl"/>
        </w:rPr>
        <w:t xml:space="preserve">l 4 de febrero de 2014 se concretó el negocio jurídico de </w:t>
      </w:r>
      <w:r w:rsidRPr="00BB3C87">
        <w:rPr>
          <w:rFonts w:asciiTheme="majorHAnsi" w:hAnsiTheme="majorHAnsi"/>
          <w:bCs/>
          <w:i/>
          <w:iCs/>
          <w:sz w:val="20"/>
          <w:szCs w:val="20"/>
          <w:lang w:val="es-ES_tradnl"/>
        </w:rPr>
        <w:t>compraventa de fracción de finca rústica</w:t>
      </w:r>
      <w:r w:rsidRPr="00BB3C87">
        <w:rPr>
          <w:rFonts w:asciiTheme="majorHAnsi" w:hAnsiTheme="majorHAnsi"/>
          <w:bCs/>
          <w:sz w:val="20"/>
          <w:szCs w:val="20"/>
          <w:lang w:val="es-ES_tradnl"/>
        </w:rPr>
        <w:t xml:space="preserve"> entre la propietaria y el representante legal de ADIAJMST</w:t>
      </w:r>
      <w:r w:rsidRPr="00BB3C87">
        <w:rPr>
          <w:rStyle w:val="FootnoteReference"/>
          <w:rFonts w:asciiTheme="majorHAnsi" w:eastAsia="Arial Unicode MS" w:hAnsiTheme="majorHAnsi" w:cs="Times New Roman"/>
          <w:bCs/>
          <w:color w:val="auto"/>
          <w:sz w:val="20"/>
          <w:szCs w:val="20"/>
          <w:lang w:eastAsia="en-US"/>
        </w:rPr>
        <w:footnoteReference w:id="12"/>
      </w:r>
      <w:r w:rsidRPr="00BB3C87">
        <w:rPr>
          <w:rFonts w:asciiTheme="majorHAnsi" w:hAnsiTheme="majorHAnsi"/>
          <w:bCs/>
          <w:sz w:val="20"/>
          <w:szCs w:val="20"/>
          <w:lang w:val="es-ES_tradnl"/>
        </w:rPr>
        <w:t>.</w:t>
      </w:r>
      <w:r w:rsidR="00C1320A" w:rsidRPr="00BB3C87">
        <w:rPr>
          <w:rFonts w:asciiTheme="majorHAnsi" w:hAnsiTheme="majorHAnsi"/>
          <w:bCs/>
          <w:sz w:val="20"/>
          <w:szCs w:val="20"/>
          <w:lang w:val="es-ES_tradnl"/>
        </w:rPr>
        <w:t xml:space="preserve"> Las tierras motivo de la petición abarcan </w:t>
      </w:r>
      <w:r w:rsidR="00C1320A" w:rsidRPr="00BB3C87">
        <w:rPr>
          <w:rFonts w:asciiTheme="majorHAnsi" w:hAnsiTheme="majorHAnsi"/>
          <w:bCs/>
          <w:i/>
          <w:iCs/>
          <w:sz w:val="20"/>
          <w:szCs w:val="20"/>
          <w:lang w:val="es-ES_tradnl"/>
        </w:rPr>
        <w:t>“en su totalidad 17 mil 692 cuerdas, mismas que están en tenencia de cada una de las familias que compraron sus respectivas parcelas y sitios los cuales son cultivados y utilizados para su vivienda, desde la fecha en que compraron las mismas”.</w:t>
      </w:r>
    </w:p>
    <w:p w14:paraId="13DB376C" w14:textId="43B2AD69" w:rsidR="000F1A1F" w:rsidRPr="00BB3C87" w:rsidRDefault="00C1320A"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Las presuntas víctimas m</w:t>
      </w:r>
      <w:r w:rsidR="000F1A1F" w:rsidRPr="00BB3C87">
        <w:rPr>
          <w:rFonts w:asciiTheme="majorHAnsi" w:hAnsiTheme="majorHAnsi"/>
          <w:bCs/>
          <w:sz w:val="20"/>
          <w:szCs w:val="20"/>
          <w:lang w:val="es-ES_tradnl"/>
        </w:rPr>
        <w:t>anifiestan que no tenían recursos para realizar inmediatamente el registro de la finca ante el Registro de la Propiedad de Quetzaltenango, ni pagar los impuestos respectivos en febrero de 2014. Sin embargo, el 2</w:t>
      </w:r>
      <w:r w:rsidR="00370233" w:rsidRPr="00BB3C87">
        <w:rPr>
          <w:rFonts w:asciiTheme="majorHAnsi" w:hAnsiTheme="majorHAnsi"/>
          <w:bCs/>
          <w:sz w:val="20"/>
          <w:szCs w:val="20"/>
          <w:lang w:val="es-ES_tradnl"/>
        </w:rPr>
        <w:t>8</w:t>
      </w:r>
      <w:r w:rsidR="000F1A1F" w:rsidRPr="00BB3C87">
        <w:rPr>
          <w:rFonts w:asciiTheme="majorHAnsi" w:hAnsiTheme="majorHAnsi"/>
          <w:bCs/>
          <w:sz w:val="20"/>
          <w:szCs w:val="20"/>
          <w:lang w:val="es-ES_tradnl"/>
        </w:rPr>
        <w:t xml:space="preserve"> de mayo de 2015 </w:t>
      </w:r>
      <w:r w:rsidR="00930611" w:rsidRPr="00BB3C87">
        <w:rPr>
          <w:rFonts w:asciiTheme="majorHAnsi" w:hAnsiTheme="majorHAnsi"/>
          <w:bCs/>
          <w:sz w:val="20"/>
          <w:szCs w:val="20"/>
          <w:lang w:val="es-ES_tradnl"/>
        </w:rPr>
        <w:t>registraron</w:t>
      </w:r>
      <w:r w:rsidR="000F1A1F" w:rsidRPr="00BB3C87">
        <w:rPr>
          <w:rFonts w:asciiTheme="majorHAnsi" w:hAnsiTheme="majorHAnsi"/>
          <w:bCs/>
          <w:sz w:val="20"/>
          <w:szCs w:val="20"/>
          <w:lang w:val="es-ES_tradnl"/>
        </w:rPr>
        <w:t xml:space="preserve"> </w:t>
      </w:r>
      <w:r w:rsidR="009727B9" w:rsidRPr="00BB3C87">
        <w:rPr>
          <w:rFonts w:asciiTheme="majorHAnsi" w:hAnsiTheme="majorHAnsi"/>
          <w:bCs/>
          <w:sz w:val="20"/>
          <w:szCs w:val="20"/>
          <w:lang w:val="es-ES_tradnl"/>
        </w:rPr>
        <w:t>la</w:t>
      </w:r>
      <w:r w:rsidR="000F1A1F" w:rsidRPr="00BB3C87">
        <w:rPr>
          <w:rFonts w:asciiTheme="majorHAnsi" w:hAnsiTheme="majorHAnsi"/>
          <w:bCs/>
          <w:sz w:val="20"/>
          <w:szCs w:val="20"/>
          <w:lang w:val="es-ES_tradnl"/>
        </w:rPr>
        <w:t xml:space="preserve"> finca ante el Segundo Registro de la Propiedad de Quetzaltenango, bajo la referencia 15S110095835</w:t>
      </w:r>
      <w:r w:rsidR="00370233" w:rsidRPr="00BB3C87">
        <w:rPr>
          <w:rFonts w:asciiTheme="majorHAnsi" w:hAnsiTheme="majorHAnsi"/>
          <w:bCs/>
          <w:sz w:val="20"/>
          <w:szCs w:val="20"/>
          <w:lang w:val="es-ES_tradnl"/>
        </w:rPr>
        <w:t xml:space="preserve">. </w:t>
      </w:r>
      <w:r w:rsidR="000F1A1F" w:rsidRPr="00BB3C87">
        <w:rPr>
          <w:rFonts w:asciiTheme="majorHAnsi" w:hAnsiTheme="majorHAnsi"/>
          <w:bCs/>
          <w:sz w:val="20"/>
          <w:szCs w:val="20"/>
          <w:lang w:val="es-ES_tradnl"/>
        </w:rPr>
        <w:t>Dentro del registro, la</w:t>
      </w:r>
      <w:r w:rsidR="00885CBC" w:rsidRPr="00BB3C87">
        <w:rPr>
          <w:rFonts w:asciiTheme="majorHAnsi" w:hAnsiTheme="majorHAnsi"/>
          <w:bCs/>
          <w:sz w:val="20"/>
          <w:szCs w:val="20"/>
          <w:lang w:val="es-ES_tradnl"/>
        </w:rPr>
        <w:t xml:space="preserve"> ADIAJMST separó </w:t>
      </w:r>
      <w:r w:rsidR="000F1A1F" w:rsidRPr="00BB3C87">
        <w:rPr>
          <w:rFonts w:asciiTheme="majorHAnsi" w:hAnsiTheme="majorHAnsi"/>
          <w:bCs/>
          <w:sz w:val="20"/>
          <w:szCs w:val="20"/>
          <w:lang w:val="es-ES_tradnl"/>
        </w:rPr>
        <w:t>de la finca principal</w:t>
      </w:r>
      <w:r w:rsidR="00370233" w:rsidRPr="00BB3C87">
        <w:rPr>
          <w:rFonts w:asciiTheme="majorHAnsi" w:hAnsiTheme="majorHAnsi"/>
          <w:bCs/>
          <w:sz w:val="20"/>
          <w:szCs w:val="20"/>
          <w:lang w:val="es-ES_tradnl"/>
        </w:rPr>
        <w:t xml:space="preserve"> (Inscripción 2, Finca, 3874, Folio 374, Libro 48E de San Marcos)</w:t>
      </w:r>
      <w:r w:rsidR="000F1A1F" w:rsidRPr="00BB3C87">
        <w:rPr>
          <w:rFonts w:asciiTheme="majorHAnsi" w:hAnsiTheme="majorHAnsi"/>
          <w:bCs/>
          <w:sz w:val="20"/>
          <w:szCs w:val="20"/>
          <w:lang w:val="es-ES_tradnl"/>
        </w:rPr>
        <w:t xml:space="preserve"> algunos metros cuadrados, los cuales fueron registrados</w:t>
      </w:r>
      <w:r w:rsidR="00885CBC" w:rsidRPr="00BB3C87">
        <w:rPr>
          <w:rFonts w:asciiTheme="majorHAnsi" w:hAnsiTheme="majorHAnsi"/>
          <w:bCs/>
          <w:sz w:val="20"/>
          <w:szCs w:val="20"/>
          <w:lang w:val="es-ES_tradnl"/>
        </w:rPr>
        <w:t xml:space="preserve"> </w:t>
      </w:r>
      <w:r w:rsidR="000F1A1F" w:rsidRPr="00BB3C87">
        <w:rPr>
          <w:rFonts w:asciiTheme="majorHAnsi" w:hAnsiTheme="majorHAnsi"/>
          <w:bCs/>
          <w:sz w:val="20"/>
          <w:szCs w:val="20"/>
          <w:lang w:val="es-ES_tradnl"/>
        </w:rPr>
        <w:t xml:space="preserve">en la inscripción 1, Letra A, Finca 4643 Folio 143, Libro 130E de San Marcos, </w:t>
      </w:r>
      <w:r w:rsidR="000F1A1F" w:rsidRPr="00BB3C87">
        <w:rPr>
          <w:rFonts w:asciiTheme="majorHAnsi" w:hAnsiTheme="majorHAnsi"/>
          <w:bCs/>
          <w:sz w:val="20"/>
          <w:szCs w:val="20"/>
          <w:lang w:val="es-ES_tradnl"/>
        </w:rPr>
        <w:lastRenderedPageBreak/>
        <w:t>escritura No. 4 del 4 de febrero de 2014</w:t>
      </w:r>
      <w:r w:rsidR="00885CBC" w:rsidRPr="00BB3C87">
        <w:rPr>
          <w:rFonts w:asciiTheme="majorHAnsi" w:hAnsiTheme="majorHAnsi"/>
          <w:bCs/>
          <w:sz w:val="20"/>
          <w:szCs w:val="20"/>
          <w:lang w:val="es-ES_tradnl"/>
        </w:rPr>
        <w:t xml:space="preserve">, </w:t>
      </w:r>
      <w:r w:rsidR="000F1A1F" w:rsidRPr="00BB3C87">
        <w:rPr>
          <w:rFonts w:asciiTheme="majorHAnsi" w:hAnsiTheme="majorHAnsi"/>
          <w:bCs/>
          <w:sz w:val="20"/>
          <w:szCs w:val="20"/>
          <w:lang w:val="es-ES_tradnl"/>
        </w:rPr>
        <w:t>sin ningún gravamen o embargo.</w:t>
      </w:r>
      <w:r w:rsidRPr="00BB3C87">
        <w:rPr>
          <w:rFonts w:asciiTheme="majorHAnsi" w:hAnsiTheme="majorHAnsi"/>
          <w:bCs/>
          <w:sz w:val="20"/>
          <w:szCs w:val="20"/>
          <w:lang w:val="es-ES_tradnl"/>
        </w:rPr>
        <w:t xml:space="preserve"> Los peticionarios aseguran que</w:t>
      </w:r>
      <w:r w:rsidR="0004074F" w:rsidRPr="00BB3C87">
        <w:rPr>
          <w:rFonts w:asciiTheme="majorHAnsi" w:hAnsiTheme="majorHAnsi"/>
          <w:bCs/>
          <w:sz w:val="20"/>
          <w:szCs w:val="20"/>
          <w:lang w:val="es-ES_tradnl"/>
        </w:rPr>
        <w:t xml:space="preserve"> </w:t>
      </w:r>
      <w:r w:rsidRPr="00BB3C87">
        <w:rPr>
          <w:rFonts w:asciiTheme="majorHAnsi" w:hAnsiTheme="majorHAnsi"/>
          <w:bCs/>
          <w:sz w:val="20"/>
          <w:szCs w:val="20"/>
          <w:lang w:val="es-ES_tradnl"/>
        </w:rPr>
        <w:t>la ADIAJMST aportó</w:t>
      </w:r>
      <w:r w:rsidR="0004074F" w:rsidRPr="00BB3C87">
        <w:rPr>
          <w:rFonts w:asciiTheme="majorHAnsi" w:hAnsiTheme="majorHAnsi"/>
          <w:bCs/>
          <w:sz w:val="20"/>
          <w:szCs w:val="20"/>
          <w:lang w:val="es-ES_tradnl"/>
        </w:rPr>
        <w:t xml:space="preserve"> en total</w:t>
      </w:r>
      <w:r w:rsidRPr="00BB3C87">
        <w:rPr>
          <w:rFonts w:asciiTheme="majorHAnsi" w:hAnsiTheme="majorHAnsi"/>
          <w:bCs/>
          <w:sz w:val="20"/>
          <w:szCs w:val="20"/>
          <w:lang w:val="es-ES_tradnl"/>
        </w:rPr>
        <w:t xml:space="preserve"> 6</w:t>
      </w:r>
      <w:r w:rsidR="00497B22" w:rsidRPr="00BB3C87">
        <w:rPr>
          <w:rFonts w:asciiTheme="majorHAnsi" w:hAnsiTheme="majorHAnsi"/>
          <w:bCs/>
          <w:sz w:val="20"/>
          <w:szCs w:val="20"/>
          <w:lang w:val="es-ES_tradnl"/>
        </w:rPr>
        <w:t>,000,000</w:t>
      </w:r>
      <w:r w:rsidRPr="00BB3C87">
        <w:rPr>
          <w:rFonts w:asciiTheme="majorHAnsi" w:hAnsiTheme="majorHAnsi"/>
          <w:bCs/>
          <w:sz w:val="20"/>
          <w:szCs w:val="20"/>
          <w:lang w:val="es-ES_tradnl"/>
        </w:rPr>
        <w:t xml:space="preserve"> de quetzales</w:t>
      </w:r>
      <w:r w:rsidR="00370233" w:rsidRPr="00BB3C87">
        <w:rPr>
          <w:rFonts w:asciiTheme="majorHAnsi" w:hAnsiTheme="majorHAnsi"/>
          <w:bCs/>
          <w:sz w:val="20"/>
          <w:szCs w:val="20"/>
          <w:lang w:val="es-ES_tradnl"/>
        </w:rPr>
        <w:t xml:space="preserve"> a la señora que les vendió la propiedad</w:t>
      </w:r>
      <w:r w:rsidRPr="00BB3C87">
        <w:rPr>
          <w:rStyle w:val="FootnoteReference"/>
          <w:rFonts w:asciiTheme="majorHAnsi" w:eastAsia="Arial Unicode MS" w:hAnsiTheme="majorHAnsi" w:cs="Times New Roman"/>
          <w:bCs/>
          <w:color w:val="auto"/>
          <w:sz w:val="20"/>
          <w:szCs w:val="20"/>
          <w:lang w:eastAsia="en-US"/>
        </w:rPr>
        <w:footnoteReference w:id="13"/>
      </w:r>
      <w:r w:rsidRPr="00BB3C87">
        <w:rPr>
          <w:rFonts w:asciiTheme="majorHAnsi" w:hAnsiTheme="majorHAnsi"/>
          <w:bCs/>
          <w:sz w:val="20"/>
          <w:szCs w:val="20"/>
          <w:lang w:val="es-ES_tradnl"/>
        </w:rPr>
        <w:t>.</w:t>
      </w:r>
    </w:p>
    <w:p w14:paraId="6968FD0B" w14:textId="2ADE7BC6" w:rsidR="000F1A1F" w:rsidRPr="00BB3C87" w:rsidRDefault="00C1320A"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Paralelamente, el </w:t>
      </w:r>
      <w:r w:rsidR="000F1A1F" w:rsidRPr="00BB3C87">
        <w:rPr>
          <w:rFonts w:asciiTheme="majorHAnsi" w:hAnsiTheme="majorHAnsi"/>
          <w:bCs/>
          <w:sz w:val="20"/>
          <w:szCs w:val="20"/>
          <w:lang w:val="es-ES_tradnl"/>
        </w:rPr>
        <w:t xml:space="preserve">29 de septiembre de 2014 el Ministerio Público pidió medidas cautelares de embargo en varias fincas por un proceso penal llevado a cabo contra un tercero por delitos de tráfico de narcóticos; dentro de estas tierras se encontraba la finca de las presuntas víctimas. Así, el 1 de octubre de 2014 el Juzgado de Primera Instancia de Extinción de Dominio decidió conceder dichas medidas cautelares de embargo y se inició un proceso de extinción de dominio de los terrenos. </w:t>
      </w:r>
    </w:p>
    <w:p w14:paraId="06E19F9C" w14:textId="288FCFC9" w:rsidR="00BA570B"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La señora que vendió la finca a las presuntas víctimas, a nombre propio</w:t>
      </w:r>
      <w:r w:rsidR="00885CBC" w:rsidRPr="00BB3C87">
        <w:rPr>
          <w:rFonts w:asciiTheme="majorHAnsi" w:hAnsiTheme="majorHAnsi"/>
          <w:bCs/>
          <w:sz w:val="20"/>
          <w:szCs w:val="20"/>
          <w:lang w:val="es-ES_tradnl"/>
        </w:rPr>
        <w:t xml:space="preserve">, </w:t>
      </w:r>
      <w:r w:rsidRPr="00BB3C87">
        <w:rPr>
          <w:rFonts w:asciiTheme="majorHAnsi" w:hAnsiTheme="majorHAnsi"/>
          <w:bCs/>
          <w:sz w:val="20"/>
          <w:szCs w:val="20"/>
          <w:lang w:val="es-ES_tradnl"/>
        </w:rPr>
        <w:t xml:space="preserve">pidió la nulidad de la acción de extinción de dominio. Pese a esto, </w:t>
      </w:r>
      <w:r w:rsidR="00BA570B" w:rsidRPr="00BB3C87">
        <w:rPr>
          <w:rFonts w:asciiTheme="majorHAnsi" w:hAnsiTheme="majorHAnsi"/>
          <w:bCs/>
          <w:sz w:val="20"/>
          <w:szCs w:val="20"/>
          <w:lang w:val="es-ES_tradnl"/>
        </w:rPr>
        <w:t xml:space="preserve">el 13 de julio de 2015, </w:t>
      </w:r>
      <w:r w:rsidRPr="00BB3C87">
        <w:rPr>
          <w:rFonts w:asciiTheme="majorHAnsi" w:hAnsiTheme="majorHAnsi"/>
          <w:bCs/>
          <w:sz w:val="20"/>
          <w:szCs w:val="20"/>
          <w:lang w:val="es-ES_tradnl"/>
        </w:rPr>
        <w:t xml:space="preserve">el Juzgado de Primera Instancia de Extinción de Dominio </w:t>
      </w:r>
      <w:r w:rsidR="00BA570B" w:rsidRPr="00BB3C87">
        <w:rPr>
          <w:rFonts w:asciiTheme="majorHAnsi" w:hAnsiTheme="majorHAnsi"/>
          <w:bCs/>
          <w:sz w:val="20"/>
          <w:szCs w:val="20"/>
          <w:lang w:val="es-ES_tradnl"/>
        </w:rPr>
        <w:t xml:space="preserve">emitió sentencia sobre la extinción de dominio sobre </w:t>
      </w:r>
      <w:r w:rsidR="00A41A73" w:rsidRPr="00BB3C87">
        <w:rPr>
          <w:rFonts w:asciiTheme="majorHAnsi" w:hAnsiTheme="majorHAnsi"/>
          <w:bCs/>
          <w:sz w:val="20"/>
          <w:szCs w:val="20"/>
          <w:lang w:val="es-ES_tradnl"/>
        </w:rPr>
        <w:t>las fincas</w:t>
      </w:r>
      <w:r w:rsidR="00BA570B" w:rsidRPr="00BB3C87">
        <w:rPr>
          <w:rStyle w:val="FootnoteReference"/>
          <w:rFonts w:asciiTheme="majorHAnsi" w:eastAsia="Arial Unicode MS" w:hAnsiTheme="majorHAnsi" w:cs="Times New Roman"/>
          <w:bCs/>
          <w:color w:val="auto"/>
          <w:sz w:val="20"/>
          <w:szCs w:val="20"/>
          <w:lang w:eastAsia="en-US"/>
        </w:rPr>
        <w:footnoteReference w:id="14"/>
      </w:r>
      <w:r w:rsidR="00A41A73" w:rsidRPr="00BB3C87">
        <w:rPr>
          <w:rFonts w:asciiTheme="majorHAnsi" w:hAnsiTheme="majorHAnsi"/>
          <w:bCs/>
          <w:sz w:val="20"/>
          <w:szCs w:val="20"/>
          <w:lang w:val="es-ES_tradnl"/>
        </w:rPr>
        <w:t>. E</w:t>
      </w:r>
      <w:r w:rsidR="00BA570B" w:rsidRPr="00BB3C87">
        <w:rPr>
          <w:rFonts w:asciiTheme="majorHAnsi" w:hAnsiTheme="majorHAnsi"/>
          <w:bCs/>
          <w:sz w:val="20"/>
          <w:szCs w:val="20"/>
          <w:lang w:val="es-ES_tradnl"/>
        </w:rPr>
        <w:t>n esta decisión, el juzgado ordenó al Segundo Registro de la Propiedad de Quetzaltenango que se realizara la inscripción de dominio de las fincas extinguidas a favor del Estado de Guatemala –incluyendo aquella de las presuntas víctimas–</w:t>
      </w:r>
      <w:r w:rsidR="00A41A73" w:rsidRPr="00BB3C87">
        <w:rPr>
          <w:rFonts w:asciiTheme="majorHAnsi" w:hAnsiTheme="majorHAnsi"/>
          <w:bCs/>
          <w:sz w:val="20"/>
          <w:szCs w:val="20"/>
          <w:lang w:val="es-ES_tradnl"/>
        </w:rPr>
        <w:t xml:space="preserve">; y </w:t>
      </w:r>
      <w:r w:rsidR="00BA570B" w:rsidRPr="00BB3C87">
        <w:rPr>
          <w:rFonts w:asciiTheme="majorHAnsi" w:hAnsiTheme="majorHAnsi"/>
          <w:bCs/>
          <w:sz w:val="20"/>
          <w:szCs w:val="20"/>
          <w:lang w:val="es-ES_tradnl"/>
        </w:rPr>
        <w:t xml:space="preserve">se </w:t>
      </w:r>
      <w:r w:rsidR="00A41A73" w:rsidRPr="00BB3C87">
        <w:rPr>
          <w:rFonts w:asciiTheme="majorHAnsi" w:hAnsiTheme="majorHAnsi"/>
          <w:bCs/>
          <w:sz w:val="20"/>
          <w:szCs w:val="20"/>
          <w:lang w:val="es-ES_tradnl"/>
        </w:rPr>
        <w:t>especificó</w:t>
      </w:r>
      <w:r w:rsidR="00BA570B" w:rsidRPr="00BB3C87">
        <w:rPr>
          <w:rFonts w:asciiTheme="majorHAnsi" w:hAnsiTheme="majorHAnsi"/>
          <w:bCs/>
          <w:sz w:val="20"/>
          <w:szCs w:val="20"/>
          <w:lang w:val="es-ES_tradnl"/>
        </w:rPr>
        <w:t xml:space="preserve"> que </w:t>
      </w:r>
      <w:r w:rsidR="00BA570B" w:rsidRPr="00BB3C87">
        <w:rPr>
          <w:rFonts w:asciiTheme="majorHAnsi" w:hAnsiTheme="majorHAnsi"/>
          <w:bCs/>
          <w:i/>
          <w:iCs/>
          <w:sz w:val="20"/>
          <w:szCs w:val="20"/>
          <w:lang w:val="es-ES_tradnl"/>
        </w:rPr>
        <w:t>“</w:t>
      </w:r>
      <w:r w:rsidR="00A41A73" w:rsidRPr="00BB3C87">
        <w:rPr>
          <w:rFonts w:asciiTheme="majorHAnsi" w:hAnsiTheme="majorHAnsi"/>
          <w:bCs/>
          <w:i/>
          <w:iCs/>
          <w:sz w:val="20"/>
          <w:szCs w:val="20"/>
          <w:lang w:val="es-ES_tradnl"/>
        </w:rPr>
        <w:t>[</w:t>
      </w:r>
      <w:r w:rsidR="00BA570B" w:rsidRPr="00BB3C87">
        <w:rPr>
          <w:rFonts w:asciiTheme="majorHAnsi" w:hAnsiTheme="majorHAnsi"/>
          <w:bCs/>
          <w:i/>
          <w:iCs/>
          <w:sz w:val="20"/>
          <w:szCs w:val="20"/>
          <w:lang w:val="es-ES_tradnl"/>
        </w:rPr>
        <w:t>el</w:t>
      </w:r>
      <w:r w:rsidR="00A41A73" w:rsidRPr="00BB3C87">
        <w:rPr>
          <w:rFonts w:asciiTheme="majorHAnsi" w:hAnsiTheme="majorHAnsi"/>
          <w:bCs/>
          <w:i/>
          <w:iCs/>
          <w:sz w:val="20"/>
          <w:szCs w:val="20"/>
          <w:lang w:val="es-ES_tradnl"/>
        </w:rPr>
        <w:t>]</w:t>
      </w:r>
      <w:r w:rsidR="00BA570B" w:rsidRPr="00BB3C87">
        <w:rPr>
          <w:rFonts w:asciiTheme="majorHAnsi" w:hAnsiTheme="majorHAnsi"/>
          <w:bCs/>
          <w:i/>
          <w:iCs/>
          <w:sz w:val="20"/>
          <w:szCs w:val="20"/>
          <w:lang w:val="es-ES_tradnl"/>
        </w:rPr>
        <w:t xml:space="preserve"> Estado de Guatemala, </w:t>
      </w:r>
      <w:r w:rsidR="00A41A73" w:rsidRPr="00BB3C87">
        <w:rPr>
          <w:rFonts w:asciiTheme="majorHAnsi" w:hAnsiTheme="majorHAnsi"/>
          <w:bCs/>
          <w:i/>
          <w:iCs/>
          <w:sz w:val="20"/>
          <w:szCs w:val="20"/>
          <w:lang w:val="es-ES_tradnl"/>
        </w:rPr>
        <w:t xml:space="preserve">[es] </w:t>
      </w:r>
      <w:r w:rsidR="00BA570B" w:rsidRPr="00BB3C87">
        <w:rPr>
          <w:rFonts w:asciiTheme="majorHAnsi" w:hAnsiTheme="majorHAnsi"/>
          <w:bCs/>
          <w:i/>
          <w:iCs/>
          <w:sz w:val="20"/>
          <w:szCs w:val="20"/>
          <w:lang w:val="es-ES_tradnl"/>
        </w:rPr>
        <w:t>quien tendrá el dominio de los mism</w:t>
      </w:r>
      <w:r w:rsidR="00A41A73" w:rsidRPr="00BB3C87">
        <w:rPr>
          <w:rFonts w:asciiTheme="majorHAnsi" w:hAnsiTheme="majorHAnsi"/>
          <w:bCs/>
          <w:i/>
          <w:iCs/>
          <w:sz w:val="20"/>
          <w:szCs w:val="20"/>
          <w:lang w:val="es-ES_tradnl"/>
        </w:rPr>
        <w:t>a</w:t>
      </w:r>
      <w:r w:rsidR="00BA570B" w:rsidRPr="00BB3C87">
        <w:rPr>
          <w:rFonts w:asciiTheme="majorHAnsi" w:hAnsiTheme="majorHAnsi"/>
          <w:bCs/>
          <w:i/>
          <w:iCs/>
          <w:sz w:val="20"/>
          <w:szCs w:val="20"/>
          <w:lang w:val="es-ES_tradnl"/>
        </w:rPr>
        <w:t>s a través de la Secretaría Nacional de Administración de Bienes en Extinción de Dominio a efecto que se proceda conforme a la Ley de la materia”</w:t>
      </w:r>
      <w:r w:rsidR="00BA570B" w:rsidRPr="00BB3C87">
        <w:rPr>
          <w:rFonts w:asciiTheme="majorHAnsi" w:hAnsiTheme="majorHAnsi"/>
          <w:bCs/>
          <w:sz w:val="20"/>
          <w:szCs w:val="20"/>
          <w:lang w:val="es-ES_tradnl"/>
        </w:rPr>
        <w:t>.</w:t>
      </w:r>
    </w:p>
    <w:p w14:paraId="0D9DBFD3" w14:textId="5076072C" w:rsidR="00C46501" w:rsidRPr="00BB3C87" w:rsidRDefault="00C1320A"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La acción de nulidad</w:t>
      </w:r>
      <w:r w:rsidR="00BA570B" w:rsidRPr="00BB3C87">
        <w:rPr>
          <w:rFonts w:asciiTheme="majorHAnsi" w:hAnsiTheme="majorHAnsi"/>
          <w:bCs/>
          <w:sz w:val="20"/>
          <w:szCs w:val="20"/>
          <w:lang w:val="es-ES_tradnl"/>
        </w:rPr>
        <w:t xml:space="preserve"> pedida por la señora que vendió a las presuntas </w:t>
      </w:r>
      <w:r w:rsidR="00A41A73" w:rsidRPr="00BB3C87">
        <w:rPr>
          <w:rFonts w:asciiTheme="majorHAnsi" w:hAnsiTheme="majorHAnsi"/>
          <w:bCs/>
          <w:sz w:val="20"/>
          <w:szCs w:val="20"/>
          <w:lang w:val="es-ES_tradnl"/>
        </w:rPr>
        <w:t>víctimas</w:t>
      </w:r>
      <w:r w:rsidRPr="00BB3C87">
        <w:rPr>
          <w:rFonts w:asciiTheme="majorHAnsi" w:hAnsiTheme="majorHAnsi"/>
          <w:bCs/>
          <w:sz w:val="20"/>
          <w:szCs w:val="20"/>
          <w:lang w:val="es-ES_tradnl"/>
        </w:rPr>
        <w:t xml:space="preserve"> culminó con la decisión de amparo del 11 de octubre de 2016 por la Sección de Amparos de la Corte Suprema de Justicia, que resolvió de forma negativa para la señora</w:t>
      </w:r>
      <w:r w:rsidR="00AE73DF" w:rsidRPr="00BB3C87">
        <w:rPr>
          <w:rFonts w:asciiTheme="majorHAnsi" w:hAnsiTheme="majorHAnsi"/>
          <w:bCs/>
          <w:sz w:val="20"/>
          <w:szCs w:val="20"/>
          <w:lang w:val="es-ES_tradnl"/>
        </w:rPr>
        <w:t xml:space="preserve"> que vendió la finca</w:t>
      </w:r>
      <w:r w:rsidRPr="00BB3C87">
        <w:rPr>
          <w:rFonts w:asciiTheme="majorHAnsi" w:hAnsiTheme="majorHAnsi"/>
          <w:bCs/>
          <w:sz w:val="20"/>
          <w:szCs w:val="20"/>
          <w:lang w:val="es-ES_tradnl"/>
        </w:rPr>
        <w:t xml:space="preserve">. </w:t>
      </w:r>
      <w:r w:rsidR="000F1A1F" w:rsidRPr="00BB3C87">
        <w:rPr>
          <w:rFonts w:asciiTheme="majorHAnsi" w:hAnsiTheme="majorHAnsi"/>
          <w:bCs/>
          <w:sz w:val="20"/>
          <w:szCs w:val="20"/>
          <w:lang w:val="es-ES_tradnl"/>
        </w:rPr>
        <w:t>–Cabe señalar que e</w:t>
      </w:r>
      <w:r w:rsidR="00C46501" w:rsidRPr="00BB3C87">
        <w:rPr>
          <w:rFonts w:asciiTheme="majorHAnsi" w:hAnsiTheme="majorHAnsi"/>
          <w:bCs/>
          <w:sz w:val="20"/>
          <w:szCs w:val="20"/>
          <w:lang w:val="es-ES_tradnl"/>
        </w:rPr>
        <w:t>l</w:t>
      </w:r>
      <w:r w:rsidR="000F1A1F" w:rsidRPr="00BB3C87">
        <w:rPr>
          <w:rFonts w:asciiTheme="majorHAnsi" w:hAnsiTheme="majorHAnsi"/>
          <w:bCs/>
          <w:sz w:val="20"/>
          <w:szCs w:val="20"/>
          <w:lang w:val="es-ES_tradnl"/>
        </w:rPr>
        <w:t xml:space="preserve"> proceso</w:t>
      </w:r>
      <w:r w:rsidR="00C46501" w:rsidRPr="00BB3C87">
        <w:rPr>
          <w:rFonts w:asciiTheme="majorHAnsi" w:hAnsiTheme="majorHAnsi"/>
          <w:bCs/>
          <w:sz w:val="20"/>
          <w:szCs w:val="20"/>
          <w:lang w:val="es-ES_tradnl"/>
        </w:rPr>
        <w:t xml:space="preserve"> penal contra el tercero</w:t>
      </w:r>
      <w:r w:rsidR="00C46501" w:rsidRPr="00BB3C87">
        <w:rPr>
          <w:rStyle w:val="FootnoteReference"/>
          <w:rFonts w:asciiTheme="majorHAnsi" w:hAnsiTheme="majorHAnsi"/>
          <w:bCs/>
          <w:sz w:val="20"/>
          <w:szCs w:val="20"/>
          <w:lang w:val="es-ES_tradnl"/>
        </w:rPr>
        <w:footnoteReference w:id="15"/>
      </w:r>
      <w:r w:rsidR="00C46501" w:rsidRPr="00BB3C87">
        <w:rPr>
          <w:rFonts w:asciiTheme="majorHAnsi" w:hAnsiTheme="majorHAnsi"/>
          <w:bCs/>
          <w:sz w:val="20"/>
          <w:szCs w:val="20"/>
          <w:lang w:val="es-ES_tradnl"/>
        </w:rPr>
        <w:t>, el</w:t>
      </w:r>
      <w:r w:rsidR="000F1A1F" w:rsidRPr="00BB3C87">
        <w:rPr>
          <w:rFonts w:asciiTheme="majorHAnsi" w:hAnsiTheme="majorHAnsi"/>
          <w:bCs/>
          <w:sz w:val="20"/>
          <w:szCs w:val="20"/>
          <w:lang w:val="es-ES_tradnl"/>
        </w:rPr>
        <w:t xml:space="preserve"> </w:t>
      </w:r>
      <w:r w:rsidR="00C46501" w:rsidRPr="00BB3C87">
        <w:rPr>
          <w:rFonts w:asciiTheme="majorHAnsi" w:hAnsiTheme="majorHAnsi"/>
          <w:bCs/>
          <w:sz w:val="20"/>
          <w:szCs w:val="20"/>
          <w:lang w:val="es-ES_tradnl"/>
        </w:rPr>
        <w:t>de acción de extinción de dominio,</w:t>
      </w:r>
      <w:r w:rsidR="000F1A1F" w:rsidRPr="00BB3C87">
        <w:rPr>
          <w:rFonts w:asciiTheme="majorHAnsi" w:hAnsiTheme="majorHAnsi"/>
          <w:bCs/>
          <w:sz w:val="20"/>
          <w:szCs w:val="20"/>
          <w:lang w:val="es-ES_tradnl"/>
        </w:rPr>
        <w:t xml:space="preserve"> y</w:t>
      </w:r>
      <w:r w:rsidR="00C46501" w:rsidRPr="00BB3C87">
        <w:rPr>
          <w:rFonts w:asciiTheme="majorHAnsi" w:hAnsiTheme="majorHAnsi"/>
          <w:bCs/>
          <w:sz w:val="20"/>
          <w:szCs w:val="20"/>
          <w:lang w:val="es-ES_tradnl"/>
        </w:rPr>
        <w:t xml:space="preserve"> la</w:t>
      </w:r>
      <w:r w:rsidR="000F1A1F" w:rsidRPr="00BB3C87">
        <w:rPr>
          <w:rFonts w:asciiTheme="majorHAnsi" w:hAnsiTheme="majorHAnsi"/>
          <w:bCs/>
          <w:sz w:val="20"/>
          <w:szCs w:val="20"/>
          <w:lang w:val="es-ES_tradnl"/>
        </w:rPr>
        <w:t xml:space="preserve"> acción de nulidad </w:t>
      </w:r>
      <w:r w:rsidR="00C46501" w:rsidRPr="00BB3C87">
        <w:rPr>
          <w:rFonts w:asciiTheme="majorHAnsi" w:hAnsiTheme="majorHAnsi"/>
          <w:bCs/>
          <w:sz w:val="20"/>
          <w:szCs w:val="20"/>
          <w:lang w:val="es-ES_tradnl"/>
        </w:rPr>
        <w:t xml:space="preserve">a éste, </w:t>
      </w:r>
      <w:r w:rsidR="000F1A1F" w:rsidRPr="00BB3C87">
        <w:rPr>
          <w:rFonts w:asciiTheme="majorHAnsi" w:hAnsiTheme="majorHAnsi"/>
          <w:bCs/>
          <w:sz w:val="20"/>
          <w:szCs w:val="20"/>
          <w:lang w:val="es-ES_tradnl"/>
        </w:rPr>
        <w:t xml:space="preserve">no forman parte </w:t>
      </w:r>
      <w:r w:rsidR="006657C4" w:rsidRPr="00BB3C87">
        <w:rPr>
          <w:rFonts w:asciiTheme="majorHAnsi" w:hAnsiTheme="majorHAnsi"/>
          <w:bCs/>
          <w:sz w:val="20"/>
          <w:szCs w:val="20"/>
          <w:lang w:val="es-ES_tradnl"/>
        </w:rPr>
        <w:t>del objeto del</w:t>
      </w:r>
      <w:r w:rsidR="000F1A1F" w:rsidRPr="00BB3C87">
        <w:rPr>
          <w:rFonts w:asciiTheme="majorHAnsi" w:hAnsiTheme="majorHAnsi"/>
          <w:bCs/>
          <w:sz w:val="20"/>
          <w:szCs w:val="20"/>
          <w:lang w:val="es-ES_tradnl"/>
        </w:rPr>
        <w:t xml:space="preserve"> presente informe, sino que es </w:t>
      </w:r>
      <w:r w:rsidR="00456F19" w:rsidRPr="00BB3C87">
        <w:rPr>
          <w:rFonts w:asciiTheme="majorHAnsi" w:hAnsiTheme="majorHAnsi"/>
          <w:bCs/>
          <w:sz w:val="20"/>
          <w:szCs w:val="20"/>
          <w:lang w:val="es-ES_tradnl"/>
        </w:rPr>
        <w:t xml:space="preserve">información de </w:t>
      </w:r>
      <w:r w:rsidR="000F1A1F" w:rsidRPr="00BB3C87">
        <w:rPr>
          <w:rFonts w:asciiTheme="majorHAnsi" w:hAnsiTheme="majorHAnsi"/>
          <w:bCs/>
          <w:sz w:val="20"/>
          <w:szCs w:val="20"/>
          <w:lang w:val="es-ES_tradnl"/>
        </w:rPr>
        <w:t xml:space="preserve">contexto, </w:t>
      </w:r>
      <w:r w:rsidR="00456F19" w:rsidRPr="00BB3C87">
        <w:rPr>
          <w:rFonts w:asciiTheme="majorHAnsi" w:hAnsiTheme="majorHAnsi"/>
          <w:bCs/>
          <w:sz w:val="20"/>
          <w:szCs w:val="20"/>
          <w:lang w:val="es-ES_tradnl"/>
        </w:rPr>
        <w:t>por esto</w:t>
      </w:r>
      <w:r w:rsidR="000F1A1F" w:rsidRPr="00BB3C87">
        <w:rPr>
          <w:rFonts w:asciiTheme="majorHAnsi" w:hAnsiTheme="majorHAnsi"/>
          <w:bCs/>
          <w:sz w:val="20"/>
          <w:szCs w:val="20"/>
          <w:lang w:val="es-ES_tradnl"/>
        </w:rPr>
        <w:t xml:space="preserve"> no se analizan </w:t>
      </w:r>
      <w:r w:rsidR="00456F19" w:rsidRPr="00BB3C87">
        <w:rPr>
          <w:rFonts w:asciiTheme="majorHAnsi" w:hAnsiTheme="majorHAnsi"/>
          <w:bCs/>
          <w:sz w:val="20"/>
          <w:szCs w:val="20"/>
          <w:lang w:val="es-ES_tradnl"/>
        </w:rPr>
        <w:t>sus</w:t>
      </w:r>
      <w:r w:rsidR="000F1A1F" w:rsidRPr="00BB3C87">
        <w:rPr>
          <w:rFonts w:asciiTheme="majorHAnsi" w:hAnsiTheme="majorHAnsi"/>
          <w:bCs/>
          <w:sz w:val="20"/>
          <w:szCs w:val="20"/>
          <w:lang w:val="es-ES_tradnl"/>
        </w:rPr>
        <w:t xml:space="preserve"> pormenores</w:t>
      </w:r>
      <w:r w:rsidR="00C46501" w:rsidRPr="00BB3C87">
        <w:rPr>
          <w:rFonts w:asciiTheme="majorHAnsi" w:hAnsiTheme="majorHAnsi"/>
          <w:bCs/>
          <w:sz w:val="20"/>
          <w:szCs w:val="20"/>
          <w:lang w:val="es-ES_tradnl"/>
        </w:rPr>
        <w:t xml:space="preserve">–. </w:t>
      </w:r>
    </w:p>
    <w:p w14:paraId="0BDC6D3B" w14:textId="564BC2F7" w:rsidR="00A8248C"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El 31 de marzo de 2017 representantes de la ADIAJMST pidieron apersonarse en el </w:t>
      </w:r>
      <w:r w:rsidR="00C46501" w:rsidRPr="00BB3C87">
        <w:rPr>
          <w:rFonts w:asciiTheme="majorHAnsi" w:hAnsiTheme="majorHAnsi"/>
          <w:bCs/>
          <w:sz w:val="20"/>
          <w:szCs w:val="20"/>
          <w:lang w:val="es-ES_tradnl"/>
        </w:rPr>
        <w:t>proceso de extinción de dominio</w:t>
      </w:r>
      <w:r w:rsidR="005E0FB8" w:rsidRPr="00BB3C87">
        <w:rPr>
          <w:rFonts w:asciiTheme="majorHAnsi" w:hAnsiTheme="majorHAnsi"/>
          <w:bCs/>
          <w:sz w:val="20"/>
          <w:szCs w:val="20"/>
          <w:lang w:val="es-ES_tradnl"/>
        </w:rPr>
        <w:t>; no obstante, el 11 de abril de 2017,</w:t>
      </w:r>
      <w:r w:rsidR="00A8248C" w:rsidRPr="00BB3C87">
        <w:rPr>
          <w:rFonts w:asciiTheme="majorHAnsi" w:hAnsiTheme="majorHAnsi"/>
          <w:bCs/>
          <w:sz w:val="20"/>
          <w:szCs w:val="20"/>
          <w:lang w:val="es-ES_tradnl"/>
        </w:rPr>
        <w:t xml:space="preserve"> el Juez de Primera Instancia de Extinción de Dominio del departamento de Guatemala rechazó por improcedente la postulació</w:t>
      </w:r>
      <w:r w:rsidR="00885CBC" w:rsidRPr="00BB3C87">
        <w:rPr>
          <w:rFonts w:asciiTheme="majorHAnsi" w:hAnsiTheme="majorHAnsi"/>
          <w:bCs/>
          <w:sz w:val="20"/>
          <w:szCs w:val="20"/>
          <w:lang w:val="es-ES_tradnl"/>
        </w:rPr>
        <w:t>n</w:t>
      </w:r>
      <w:r w:rsidR="005E0FB8" w:rsidRPr="00BB3C87">
        <w:rPr>
          <w:rFonts w:asciiTheme="majorHAnsi" w:hAnsiTheme="majorHAnsi"/>
          <w:bCs/>
          <w:sz w:val="20"/>
          <w:szCs w:val="20"/>
          <w:lang w:val="es-ES_tradnl"/>
        </w:rPr>
        <w:t xml:space="preserve"> de las presuntas víctimas como parte del proceso</w:t>
      </w:r>
      <w:r w:rsidR="00684F01" w:rsidRPr="00BB3C87">
        <w:rPr>
          <w:rFonts w:asciiTheme="majorHAnsi" w:hAnsiTheme="majorHAnsi"/>
          <w:bCs/>
          <w:sz w:val="20"/>
          <w:szCs w:val="20"/>
          <w:lang w:val="es-ES_tradnl"/>
        </w:rPr>
        <w:t>,</w:t>
      </w:r>
      <w:r w:rsidR="00885CBC" w:rsidRPr="00BB3C87">
        <w:rPr>
          <w:rFonts w:asciiTheme="majorHAnsi" w:hAnsiTheme="majorHAnsi"/>
          <w:bCs/>
          <w:sz w:val="20"/>
          <w:szCs w:val="20"/>
          <w:lang w:val="es-ES_tradnl"/>
        </w:rPr>
        <w:t xml:space="preserve"> </w:t>
      </w:r>
      <w:r w:rsidRPr="00BB3C87">
        <w:rPr>
          <w:rFonts w:asciiTheme="majorHAnsi" w:hAnsiTheme="majorHAnsi"/>
          <w:bCs/>
          <w:sz w:val="20"/>
          <w:szCs w:val="20"/>
          <w:lang w:val="es-ES_tradnl"/>
        </w:rPr>
        <w:t>señalando que ya existía sentencia firme sobre el inmueble del cual buscaban reivindicar derechos como terceros</w:t>
      </w:r>
      <w:r w:rsidR="00885CBC" w:rsidRPr="00BB3C87">
        <w:rPr>
          <w:rFonts w:asciiTheme="majorHAnsi" w:hAnsiTheme="majorHAnsi"/>
          <w:bCs/>
          <w:sz w:val="20"/>
          <w:szCs w:val="20"/>
          <w:lang w:val="es-ES_tradnl"/>
        </w:rPr>
        <w:t xml:space="preserve">. </w:t>
      </w:r>
      <w:r w:rsidRPr="00BB3C87">
        <w:rPr>
          <w:rFonts w:asciiTheme="majorHAnsi" w:hAnsiTheme="majorHAnsi"/>
          <w:bCs/>
          <w:sz w:val="20"/>
          <w:szCs w:val="20"/>
          <w:lang w:val="es-ES_tradnl"/>
        </w:rPr>
        <w:t>Las presuntas víctimas consideran que esta negación de apersonarse violenta su derecho al acceso a la justicia y derecho a la defensa.</w:t>
      </w:r>
      <w:r w:rsidR="00C46501" w:rsidRPr="00BB3C87">
        <w:rPr>
          <w:rFonts w:asciiTheme="majorHAnsi" w:hAnsiTheme="majorHAnsi"/>
          <w:bCs/>
          <w:sz w:val="20"/>
          <w:szCs w:val="20"/>
          <w:lang w:val="es-ES_tradnl"/>
        </w:rPr>
        <w:t xml:space="preserve"> </w:t>
      </w:r>
    </w:p>
    <w:p w14:paraId="21E7E39E" w14:textId="502ECAEF" w:rsidR="00C46501" w:rsidRPr="00BB3C87" w:rsidRDefault="00C46501"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Por ello, la ADIAJMST presentó</w:t>
      </w:r>
      <w:r w:rsidR="003A0FA1"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el 16 de mayo de 2017</w:t>
      </w:r>
      <w:r w:rsidR="003A0FA1" w:rsidRPr="00BB3C87">
        <w:rPr>
          <w:rFonts w:asciiTheme="majorHAnsi" w:hAnsiTheme="majorHAnsi"/>
          <w:bCs/>
          <w:sz w:val="20"/>
          <w:szCs w:val="20"/>
          <w:lang w:val="es-ES_tradnl"/>
        </w:rPr>
        <w:t>, una</w:t>
      </w:r>
      <w:r w:rsidRPr="00BB3C87">
        <w:rPr>
          <w:rFonts w:asciiTheme="majorHAnsi" w:hAnsiTheme="majorHAnsi"/>
          <w:bCs/>
          <w:sz w:val="20"/>
          <w:szCs w:val="20"/>
          <w:lang w:val="es-ES_tradnl"/>
        </w:rPr>
        <w:t xml:space="preserve"> acción de amparo</w:t>
      </w:r>
      <w:r w:rsidRPr="00BB3C87">
        <w:rPr>
          <w:rStyle w:val="FootnoteReference"/>
          <w:rFonts w:asciiTheme="majorHAnsi" w:hAnsiTheme="majorHAnsi"/>
          <w:bCs/>
          <w:sz w:val="20"/>
          <w:szCs w:val="20"/>
          <w:lang w:val="es-ES_tradnl"/>
        </w:rPr>
        <w:footnoteReference w:id="16"/>
      </w:r>
      <w:r w:rsidRPr="00BB3C87">
        <w:rPr>
          <w:rFonts w:asciiTheme="majorHAnsi" w:hAnsiTheme="majorHAnsi"/>
          <w:bCs/>
          <w:sz w:val="20"/>
          <w:szCs w:val="20"/>
          <w:lang w:val="es-ES_tradnl"/>
        </w:rPr>
        <w:t xml:space="preserve"> ante la Sala Tercera de la Corte de Apelaciones del Ramo Penal en contra de la decisión de negarles inclusión al proceso como terceros interesados</w:t>
      </w:r>
      <w:r w:rsidR="00370233" w:rsidRPr="00BB3C87">
        <w:rPr>
          <w:rFonts w:asciiTheme="majorHAnsi" w:hAnsiTheme="majorHAnsi"/>
          <w:bCs/>
          <w:sz w:val="20"/>
          <w:szCs w:val="20"/>
          <w:lang w:val="es-ES_tradnl"/>
        </w:rPr>
        <w:t xml:space="preserve">; </w:t>
      </w:r>
      <w:r w:rsidR="00F65B47" w:rsidRPr="00BB3C87">
        <w:rPr>
          <w:rFonts w:asciiTheme="majorHAnsi" w:hAnsiTheme="majorHAnsi"/>
          <w:bCs/>
          <w:sz w:val="20"/>
          <w:szCs w:val="20"/>
          <w:lang w:val="es-ES_tradnl"/>
        </w:rPr>
        <w:t xml:space="preserve">sin embargo, </w:t>
      </w:r>
      <w:r w:rsidR="00370233" w:rsidRPr="00BB3C87">
        <w:rPr>
          <w:rFonts w:asciiTheme="majorHAnsi" w:hAnsiTheme="majorHAnsi"/>
          <w:bCs/>
          <w:sz w:val="20"/>
          <w:szCs w:val="20"/>
          <w:lang w:val="es-ES_tradnl"/>
        </w:rPr>
        <w:t>e</w:t>
      </w:r>
      <w:r w:rsidRPr="00BB3C87">
        <w:rPr>
          <w:rFonts w:asciiTheme="majorHAnsi" w:hAnsiTheme="majorHAnsi"/>
          <w:bCs/>
          <w:sz w:val="20"/>
          <w:szCs w:val="20"/>
          <w:lang w:val="es-ES_tradnl"/>
        </w:rPr>
        <w:t xml:space="preserve">l 15 de marzo de 2018 la Sala Tercera resolvió negar el amparo al ser </w:t>
      </w:r>
      <w:r w:rsidRPr="00BB3C87">
        <w:rPr>
          <w:rFonts w:asciiTheme="majorHAnsi" w:hAnsiTheme="majorHAnsi"/>
          <w:bCs/>
          <w:i/>
          <w:iCs/>
          <w:sz w:val="20"/>
          <w:szCs w:val="20"/>
          <w:lang w:val="es-ES_tradnl"/>
        </w:rPr>
        <w:t>“notoriamente improcedente</w:t>
      </w:r>
      <w:r w:rsidRPr="00BB3C87">
        <w:rPr>
          <w:rFonts w:asciiTheme="majorHAnsi" w:hAnsiTheme="majorHAnsi"/>
          <w:bCs/>
          <w:sz w:val="20"/>
          <w:szCs w:val="20"/>
          <w:lang w:val="es-ES_tradnl"/>
        </w:rPr>
        <w:t>”</w:t>
      </w:r>
      <w:r w:rsidR="00C14D29" w:rsidRPr="00BB3C87">
        <w:rPr>
          <w:rFonts w:asciiTheme="majorHAnsi" w:hAnsiTheme="majorHAnsi"/>
          <w:bCs/>
          <w:sz w:val="20"/>
          <w:szCs w:val="20"/>
          <w:lang w:val="es-ES_tradnl"/>
        </w:rPr>
        <w:t xml:space="preserve"> </w:t>
      </w:r>
      <w:r w:rsidR="006B60CF" w:rsidRPr="00BB3C87">
        <w:rPr>
          <w:rFonts w:asciiTheme="majorHAnsi" w:hAnsiTheme="majorHAnsi"/>
          <w:bCs/>
          <w:sz w:val="20"/>
          <w:szCs w:val="20"/>
          <w:lang w:val="es-ES_tradnl"/>
        </w:rPr>
        <w:t xml:space="preserve">por </w:t>
      </w:r>
      <w:r w:rsidR="00C14D29" w:rsidRPr="00BB3C87">
        <w:rPr>
          <w:rFonts w:asciiTheme="majorHAnsi" w:hAnsiTheme="majorHAnsi"/>
          <w:bCs/>
          <w:sz w:val="20"/>
          <w:szCs w:val="20"/>
          <w:lang w:val="es-ES_tradnl"/>
        </w:rPr>
        <w:t xml:space="preserve">extemporáneo, </w:t>
      </w:r>
      <w:r w:rsidR="006B60CF" w:rsidRPr="00BB3C87">
        <w:rPr>
          <w:rFonts w:asciiTheme="majorHAnsi" w:hAnsiTheme="majorHAnsi"/>
          <w:bCs/>
          <w:sz w:val="20"/>
          <w:szCs w:val="20"/>
          <w:lang w:val="es-ES_tradnl"/>
        </w:rPr>
        <w:t>ya que</w:t>
      </w:r>
      <w:r w:rsidR="00C14D29" w:rsidRPr="00BB3C87">
        <w:rPr>
          <w:rFonts w:asciiTheme="majorHAnsi" w:hAnsiTheme="majorHAnsi"/>
          <w:bCs/>
          <w:sz w:val="20"/>
          <w:szCs w:val="20"/>
          <w:lang w:val="es-ES_tradnl"/>
        </w:rPr>
        <w:t xml:space="preserve"> la acción de amparo había superado los treinta días que contempla el artículo 20 de la Ley de Amparo, Exhibición Personal y de Constitucionalidad.</w:t>
      </w:r>
    </w:p>
    <w:p w14:paraId="0C7E5BDA" w14:textId="540589D8" w:rsidR="00C46501" w:rsidRPr="00BB3C87" w:rsidRDefault="00C46501"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Dentro de</w:t>
      </w:r>
      <w:r w:rsidR="00885CBC" w:rsidRPr="00BB3C87">
        <w:rPr>
          <w:rFonts w:asciiTheme="majorHAnsi" w:hAnsiTheme="majorHAnsi"/>
          <w:bCs/>
          <w:sz w:val="20"/>
          <w:szCs w:val="20"/>
          <w:lang w:val="es-ES_tradnl"/>
        </w:rPr>
        <w:t xml:space="preserve"> la sentencia de amparo </w:t>
      </w:r>
      <w:r w:rsidRPr="00BB3C87">
        <w:rPr>
          <w:rFonts w:asciiTheme="majorHAnsi" w:hAnsiTheme="majorHAnsi"/>
          <w:bCs/>
          <w:sz w:val="20"/>
          <w:szCs w:val="20"/>
          <w:lang w:val="es-ES_tradnl"/>
        </w:rPr>
        <w:t xml:space="preserve">se </w:t>
      </w:r>
      <w:r w:rsidR="00885CBC" w:rsidRPr="00BB3C87">
        <w:rPr>
          <w:rFonts w:asciiTheme="majorHAnsi" w:hAnsiTheme="majorHAnsi"/>
          <w:bCs/>
          <w:sz w:val="20"/>
          <w:szCs w:val="20"/>
          <w:lang w:val="es-ES_tradnl"/>
        </w:rPr>
        <w:t>advierte que</w:t>
      </w:r>
      <w:r w:rsidRPr="00BB3C87">
        <w:rPr>
          <w:rFonts w:asciiTheme="majorHAnsi" w:hAnsiTheme="majorHAnsi"/>
          <w:bCs/>
          <w:sz w:val="20"/>
          <w:szCs w:val="20"/>
          <w:lang w:val="es-ES_tradnl"/>
        </w:rPr>
        <w:t xml:space="preserve"> la </w:t>
      </w:r>
      <w:r w:rsidR="00885CBC" w:rsidRPr="00BB3C87">
        <w:rPr>
          <w:rFonts w:asciiTheme="majorHAnsi" w:hAnsiTheme="majorHAnsi"/>
          <w:bCs/>
          <w:sz w:val="20"/>
          <w:szCs w:val="20"/>
          <w:lang w:val="es-ES_tradnl"/>
        </w:rPr>
        <w:t>Sala Tercera</w:t>
      </w:r>
      <w:r w:rsidRPr="00BB3C87">
        <w:rPr>
          <w:rFonts w:asciiTheme="majorHAnsi" w:hAnsiTheme="majorHAnsi"/>
          <w:bCs/>
          <w:sz w:val="20"/>
          <w:szCs w:val="20"/>
          <w:lang w:val="es-ES_tradnl"/>
        </w:rPr>
        <w:t xml:space="preserve">, tras verificar los medios de prueba, encontró que la fracción de terreno que fue desmembrada de la finca original y que adquirieron las presuntas víctimas –número 4643, folio 143, del libro 130E–, se registró el 28 de mayo de 2015, </w:t>
      </w:r>
      <w:r w:rsidRPr="00BB3C87">
        <w:rPr>
          <w:rFonts w:asciiTheme="majorHAnsi" w:hAnsiTheme="majorHAnsi"/>
          <w:bCs/>
          <w:i/>
          <w:iCs/>
          <w:sz w:val="20"/>
          <w:szCs w:val="20"/>
          <w:lang w:val="es-ES_tradnl"/>
        </w:rPr>
        <w:t>“es decir, siete meses después de haberse hecho la citada anotación de embargo precautorio se realiza la desmembración de la fracción de terreno […] por lo que el registro de la propiedad […] le transcribió el embargo precautorio a la fracción de terreno que formó la finca nueva y que le fue vendida a la amparista”</w:t>
      </w:r>
      <w:r w:rsidRPr="00BB3C87">
        <w:rPr>
          <w:rFonts w:asciiTheme="majorHAnsi" w:hAnsiTheme="majorHAnsi"/>
          <w:bCs/>
          <w:sz w:val="20"/>
          <w:szCs w:val="20"/>
          <w:lang w:val="es-ES_tradnl"/>
        </w:rPr>
        <w:t xml:space="preserve">. La sala consideró que las presuntas víctimas no sólo tuvieron conocimiento de la existencia de medidas cautelares de embargo, sino que también del proceso de extinción de dominio que se tramitaba sobre la finca. Lo anterior porque la sala advirtió que la ADIAJMST compareció como tercero interesado dentro de la acción de amparo del 22 de agosto </w:t>
      </w:r>
      <w:r w:rsidRPr="00BB3C87">
        <w:rPr>
          <w:rFonts w:asciiTheme="majorHAnsi" w:hAnsiTheme="majorHAnsi"/>
          <w:bCs/>
          <w:sz w:val="20"/>
          <w:szCs w:val="20"/>
          <w:lang w:val="es-ES_tradnl"/>
        </w:rPr>
        <w:lastRenderedPageBreak/>
        <w:t xml:space="preserve">de 2016 emitida por la Corte Constitucional, dentro del proceso de extinción de dominio. No obstante, las presuntas víctimas </w:t>
      </w:r>
      <w:r w:rsidR="00885CBC" w:rsidRPr="00BB3C87">
        <w:rPr>
          <w:rFonts w:asciiTheme="majorHAnsi" w:hAnsiTheme="majorHAnsi"/>
          <w:bCs/>
          <w:sz w:val="20"/>
          <w:szCs w:val="20"/>
          <w:lang w:val="es-ES_tradnl"/>
        </w:rPr>
        <w:t>aseguran</w:t>
      </w:r>
      <w:r w:rsidRPr="00BB3C87">
        <w:rPr>
          <w:rFonts w:asciiTheme="majorHAnsi" w:hAnsiTheme="majorHAnsi"/>
          <w:bCs/>
          <w:sz w:val="20"/>
          <w:szCs w:val="20"/>
          <w:lang w:val="es-ES_tradnl"/>
        </w:rPr>
        <w:t xml:space="preserve"> que nunca formaron parte de dicho proceso y que ese es el motivo por el que pidieron apersonarse en 2017. </w:t>
      </w:r>
    </w:p>
    <w:p w14:paraId="6E2F09F4" w14:textId="534B6BAA" w:rsidR="00A8248C" w:rsidRPr="00BB3C87" w:rsidRDefault="00A8248C"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La ADIJAMST apeló el fallo de la Sala Tercera ante la Corte de Constitucionalidad</w:t>
      </w:r>
      <w:r w:rsidR="00C353EB"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w:t>
      </w:r>
      <w:r w:rsidR="00C353EB" w:rsidRPr="00BB3C87">
        <w:rPr>
          <w:rFonts w:asciiTheme="majorHAnsi" w:hAnsiTheme="majorHAnsi"/>
          <w:bCs/>
          <w:sz w:val="20"/>
          <w:szCs w:val="20"/>
          <w:lang w:val="es-ES_tradnl"/>
        </w:rPr>
        <w:t>pero</w:t>
      </w:r>
      <w:r w:rsidRPr="00BB3C87">
        <w:rPr>
          <w:rFonts w:asciiTheme="majorHAnsi" w:hAnsiTheme="majorHAnsi"/>
          <w:bCs/>
          <w:sz w:val="20"/>
          <w:szCs w:val="20"/>
          <w:lang w:val="es-ES_tradnl"/>
        </w:rPr>
        <w:t xml:space="preserve"> el 2 de septiembre de 2020 dicha corte resolvió negar la apelación</w:t>
      </w:r>
      <w:r w:rsidR="00061398"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considerando que dentro de la sentencia del 13 de julio de 2015 se había decidido la acción de extinción de dominio y se había ordenado al Segundo Registro General de la Propiedad que fuera operado ese derecho a favor de</w:t>
      </w:r>
      <w:r w:rsidR="00885CBC" w:rsidRPr="00BB3C87">
        <w:rPr>
          <w:rFonts w:asciiTheme="majorHAnsi" w:hAnsiTheme="majorHAnsi"/>
          <w:bCs/>
          <w:sz w:val="20"/>
          <w:szCs w:val="20"/>
          <w:lang w:val="es-ES_tradnl"/>
        </w:rPr>
        <w:t>l</w:t>
      </w:r>
      <w:r w:rsidRPr="00BB3C87">
        <w:rPr>
          <w:rFonts w:asciiTheme="majorHAnsi" w:hAnsiTheme="majorHAnsi"/>
          <w:bCs/>
          <w:sz w:val="20"/>
          <w:szCs w:val="20"/>
          <w:lang w:val="es-ES_tradnl"/>
        </w:rPr>
        <w:t xml:space="preserve"> Estado, </w:t>
      </w:r>
      <w:r w:rsidRPr="00BB3C87">
        <w:rPr>
          <w:rFonts w:asciiTheme="majorHAnsi" w:hAnsiTheme="majorHAnsi"/>
          <w:bCs/>
          <w:i/>
          <w:iCs/>
          <w:sz w:val="20"/>
          <w:szCs w:val="20"/>
          <w:lang w:val="es-ES_tradnl"/>
        </w:rPr>
        <w:t>“razón por la que no pudo ser atendida la petición de la ahora amparista. De esa cuenta, siendo la ley de la materia clara en indicar que es durante la tramitación del procedimiento de extinción de dominio, el momento procesal oportuno y siempre que este ponga en riesgo la recuperación de sus bienes, cuando las personas que por las actividades ilícitas o delictivas previstas en la Ley de Extinción de Dominio, hubieren sido afectadas en sus derechos o bienes, puedan reclamar como terceros interesados”</w:t>
      </w:r>
      <w:r w:rsidRPr="00BB3C87">
        <w:rPr>
          <w:rStyle w:val="FootnoteReference"/>
          <w:rFonts w:asciiTheme="majorHAnsi" w:hAnsiTheme="majorHAnsi"/>
          <w:bCs/>
          <w:i/>
          <w:iCs/>
          <w:sz w:val="20"/>
          <w:szCs w:val="20"/>
          <w:lang w:val="es-ES_tradnl"/>
        </w:rPr>
        <w:footnoteReference w:id="17"/>
      </w:r>
      <w:r w:rsidRPr="00BB3C87">
        <w:rPr>
          <w:rFonts w:asciiTheme="majorHAnsi" w:hAnsiTheme="majorHAnsi"/>
          <w:bCs/>
          <w:sz w:val="20"/>
          <w:szCs w:val="20"/>
          <w:lang w:val="es-ES_tradnl"/>
        </w:rPr>
        <w:t xml:space="preserve">, así, la corte advirtió que la solicitud de apersonamiento estaba fuera del plazo establecido por la ley.  </w:t>
      </w:r>
    </w:p>
    <w:p w14:paraId="7CDAEDF7" w14:textId="091BCB02" w:rsidR="00A8248C" w:rsidRPr="00BB3C87" w:rsidRDefault="00A8248C"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Ante esto, las presuntas víctimas presentaron </w:t>
      </w:r>
      <w:r w:rsidR="00430788" w:rsidRPr="00BB3C87">
        <w:rPr>
          <w:rFonts w:asciiTheme="majorHAnsi" w:hAnsiTheme="majorHAnsi"/>
          <w:bCs/>
          <w:sz w:val="20"/>
          <w:szCs w:val="20"/>
          <w:lang w:val="es-ES_tradnl"/>
        </w:rPr>
        <w:t xml:space="preserve">una </w:t>
      </w:r>
      <w:r w:rsidRPr="00BB3C87">
        <w:rPr>
          <w:rFonts w:asciiTheme="majorHAnsi" w:hAnsiTheme="majorHAnsi"/>
          <w:bCs/>
          <w:sz w:val="20"/>
          <w:szCs w:val="20"/>
          <w:lang w:val="es-ES_tradnl"/>
        </w:rPr>
        <w:t>solicitud de aclaración ante la Corte de Constitucionalidad, que el 7 de diciembre de 2020 negó la solicitud</w:t>
      </w:r>
      <w:r w:rsidRPr="00BB3C87">
        <w:rPr>
          <w:rFonts w:asciiTheme="majorHAnsi" w:hAnsiTheme="majorHAnsi"/>
          <w:sz w:val="20"/>
          <w:szCs w:val="20"/>
          <w:lang w:val="es-ES"/>
        </w:rPr>
        <w:t xml:space="preserve">. En su decisión, la corte </w:t>
      </w:r>
      <w:r w:rsidRPr="00BB3C87">
        <w:rPr>
          <w:rFonts w:asciiTheme="majorHAnsi" w:hAnsiTheme="majorHAnsi"/>
          <w:bCs/>
          <w:sz w:val="20"/>
          <w:szCs w:val="20"/>
          <w:lang w:val="es-ES_tradnl"/>
        </w:rPr>
        <w:t xml:space="preserve">consideró que el fallo del 2 de septiembre de 2020 no era ambiguo, oscuro ni contradictorio porque se resolvió </w:t>
      </w:r>
      <w:r w:rsidRPr="00BB3C87">
        <w:rPr>
          <w:rFonts w:asciiTheme="majorHAnsi" w:hAnsiTheme="majorHAnsi"/>
          <w:bCs/>
          <w:i/>
          <w:iCs/>
          <w:sz w:val="20"/>
          <w:szCs w:val="20"/>
          <w:lang w:val="es-ES_tradnl"/>
        </w:rPr>
        <w:t xml:space="preserve">“desde la misma perspectiva interpretativa, de conformidad con los hechos reclamados y su aplicación jurídica”. </w:t>
      </w:r>
      <w:r w:rsidRPr="00BB3C87">
        <w:rPr>
          <w:rFonts w:asciiTheme="majorHAnsi" w:hAnsiTheme="majorHAnsi"/>
          <w:bCs/>
          <w:sz w:val="20"/>
          <w:szCs w:val="20"/>
          <w:lang w:val="es-ES_tradnl"/>
        </w:rPr>
        <w:t>Aunado a esto, la corte consideró que los argumentos de las presuntas víctimas no buscaban una aclaración de la sentencia, sino cuestionar el fondo de lo decidido</w:t>
      </w:r>
      <w:r w:rsidRPr="00BB3C87">
        <w:rPr>
          <w:rStyle w:val="FootnoteReference"/>
          <w:rFonts w:asciiTheme="majorHAnsi" w:hAnsiTheme="majorHAnsi"/>
          <w:bCs/>
          <w:i/>
          <w:iCs/>
          <w:sz w:val="20"/>
          <w:szCs w:val="20"/>
          <w:lang w:val="es-ES_tradnl"/>
        </w:rPr>
        <w:footnoteReference w:id="18"/>
      </w:r>
      <w:r w:rsidRPr="00BB3C87">
        <w:rPr>
          <w:rFonts w:asciiTheme="majorHAnsi" w:hAnsiTheme="majorHAnsi"/>
          <w:bCs/>
          <w:i/>
          <w:iCs/>
          <w:sz w:val="20"/>
          <w:szCs w:val="20"/>
          <w:lang w:val="es-ES_tradnl"/>
        </w:rPr>
        <w:t>.</w:t>
      </w:r>
      <w:r w:rsidR="00885CBC" w:rsidRPr="00BB3C87">
        <w:rPr>
          <w:rFonts w:asciiTheme="majorHAnsi" w:hAnsiTheme="majorHAnsi"/>
          <w:bCs/>
          <w:i/>
          <w:iCs/>
          <w:sz w:val="20"/>
          <w:szCs w:val="20"/>
          <w:lang w:val="es-ES_tradnl"/>
        </w:rPr>
        <w:t xml:space="preserve">   </w:t>
      </w:r>
    </w:p>
    <w:p w14:paraId="31B7B677" w14:textId="230BA39B"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Así, las presuntas víctimas manifiestan que están inconformes en cuanto a “</w:t>
      </w:r>
      <w:r w:rsidRPr="00BB3C87">
        <w:rPr>
          <w:rFonts w:asciiTheme="majorHAnsi" w:hAnsiTheme="majorHAnsi"/>
          <w:bCs/>
          <w:i/>
          <w:iCs/>
          <w:sz w:val="20"/>
          <w:szCs w:val="20"/>
          <w:lang w:val="es-ES_tradnl"/>
        </w:rPr>
        <w:t>la actitud nefasta, corrupta e impune con que ha venido actuando y actúa el Estado de Guatemala […] que ha venido manipulando el proceso, por medio del retardo de justicia, mala aplicación de la ley, un proceso viciado e inconstitucional presentado ante el Juzgado de Extinción de Dominio, quien sin ningún fundamento de derecho penal o civil contra la Junta Directiva y los Pueblos Indígenas procedió a dictar embargo y posteriormente una sentencia firme contra esta finca”.</w:t>
      </w:r>
      <w:r w:rsidRPr="00BB3C87">
        <w:rPr>
          <w:rFonts w:asciiTheme="majorHAnsi" w:hAnsiTheme="majorHAnsi"/>
          <w:bCs/>
          <w:sz w:val="20"/>
          <w:szCs w:val="20"/>
          <w:lang w:val="es-ES_tradnl"/>
        </w:rPr>
        <w:t xml:space="preserve"> Además, resaltan que la persona que les vendió la finca nunca tuvo sentencia por el delito de defraudación fiscal, y </w:t>
      </w:r>
      <w:r w:rsidR="00D04334" w:rsidRPr="00BB3C87">
        <w:rPr>
          <w:rFonts w:asciiTheme="majorHAnsi" w:hAnsiTheme="majorHAnsi"/>
          <w:bCs/>
          <w:sz w:val="20"/>
          <w:szCs w:val="20"/>
          <w:lang w:val="es-ES_tradnl"/>
        </w:rPr>
        <w:t>aun</w:t>
      </w:r>
      <w:r w:rsidRPr="00BB3C87">
        <w:rPr>
          <w:rFonts w:asciiTheme="majorHAnsi" w:hAnsiTheme="majorHAnsi"/>
          <w:bCs/>
          <w:sz w:val="20"/>
          <w:szCs w:val="20"/>
          <w:lang w:val="es-ES_tradnl"/>
        </w:rPr>
        <w:t xml:space="preserve"> así, el Estado e</w:t>
      </w:r>
      <w:r w:rsidR="00C1320A" w:rsidRPr="00BB3C87">
        <w:rPr>
          <w:rFonts w:asciiTheme="majorHAnsi" w:hAnsiTheme="majorHAnsi"/>
          <w:bCs/>
          <w:sz w:val="20"/>
          <w:szCs w:val="20"/>
          <w:lang w:val="es-ES_tradnl"/>
        </w:rPr>
        <w:t xml:space="preserve">xtinguió el dominio de </w:t>
      </w:r>
      <w:r w:rsidRPr="00BB3C87">
        <w:rPr>
          <w:rFonts w:asciiTheme="majorHAnsi" w:hAnsiTheme="majorHAnsi"/>
          <w:bCs/>
          <w:sz w:val="20"/>
          <w:szCs w:val="20"/>
          <w:lang w:val="es-ES_tradnl"/>
        </w:rPr>
        <w:t>la finca que compraron.</w:t>
      </w:r>
    </w:p>
    <w:p w14:paraId="26EA3CBA" w14:textId="4E9E9597"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Como respuesta al señalamiento del Estado de que las presuntas víctimas no registraron inmediatamente la finca</w:t>
      </w:r>
      <w:r w:rsidR="00C851C4"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y</w:t>
      </w:r>
      <w:r w:rsidR="00C851C4" w:rsidRPr="00BB3C87">
        <w:rPr>
          <w:rFonts w:asciiTheme="majorHAnsi" w:hAnsiTheme="majorHAnsi"/>
          <w:bCs/>
          <w:sz w:val="20"/>
          <w:szCs w:val="20"/>
          <w:lang w:val="es-ES_tradnl"/>
        </w:rPr>
        <w:t xml:space="preserve"> que</w:t>
      </w:r>
      <w:r w:rsidRPr="00BB3C87">
        <w:rPr>
          <w:rFonts w:asciiTheme="majorHAnsi" w:hAnsiTheme="majorHAnsi"/>
          <w:bCs/>
          <w:sz w:val="20"/>
          <w:szCs w:val="20"/>
          <w:lang w:val="es-ES_tradnl"/>
        </w:rPr>
        <w:t xml:space="preserve"> por ello no fueron notificados del proceso </w:t>
      </w:r>
      <w:r w:rsidR="0004074F" w:rsidRPr="00BB3C87">
        <w:rPr>
          <w:rFonts w:asciiTheme="majorHAnsi" w:hAnsiTheme="majorHAnsi"/>
          <w:bCs/>
          <w:sz w:val="20"/>
          <w:szCs w:val="20"/>
          <w:lang w:val="es-ES_tradnl"/>
        </w:rPr>
        <w:t>de extinción de dominio</w:t>
      </w:r>
      <w:r w:rsidRPr="00BB3C87">
        <w:rPr>
          <w:rFonts w:asciiTheme="majorHAnsi" w:hAnsiTheme="majorHAnsi"/>
          <w:bCs/>
          <w:sz w:val="20"/>
          <w:szCs w:val="20"/>
          <w:lang w:val="es-ES_tradnl"/>
        </w:rPr>
        <w:t xml:space="preserve">, los peticionarios indican que en la legislación guatemalteca no existe ley que obligue a inscribir inmediatamente la compraventa de un bien inmueble. Además, que el Estado no puede obviar o ignorar que las presuntas víctimas son campesinas e indígenas quienes viven de sus ventas diarias, por lo que es imposible contar con el dinero para impuestos y registro de tierras de manera expedita. </w:t>
      </w:r>
    </w:p>
    <w:p w14:paraId="66404107" w14:textId="41136111" w:rsidR="00C46501"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Asimismo, los peticionarios subrayan que la finca propiedad de la ADIAJMST fue inscrita en el segundo registro de la propiedad con sede en Quetzaltenango, antes de que se inscribiera </w:t>
      </w:r>
      <w:r w:rsidRPr="00BB3C87">
        <w:rPr>
          <w:rFonts w:asciiTheme="majorHAnsi" w:hAnsiTheme="majorHAnsi"/>
          <w:bCs/>
          <w:i/>
          <w:iCs/>
          <w:sz w:val="20"/>
          <w:szCs w:val="20"/>
          <w:lang w:val="es-ES_tradnl"/>
        </w:rPr>
        <w:t>“corruptamente”</w:t>
      </w:r>
      <w:r w:rsidRPr="00BB3C87">
        <w:rPr>
          <w:rFonts w:asciiTheme="majorHAnsi" w:hAnsiTheme="majorHAnsi"/>
          <w:bCs/>
          <w:sz w:val="20"/>
          <w:szCs w:val="20"/>
          <w:lang w:val="es-ES_tradnl"/>
        </w:rPr>
        <w:t xml:space="preserve"> la letra de embargo a favor del Estado de Guatemala</w:t>
      </w:r>
      <w:r w:rsidR="00C46501" w:rsidRPr="00BB3C87">
        <w:rPr>
          <w:rFonts w:asciiTheme="majorHAnsi" w:hAnsiTheme="majorHAnsi"/>
          <w:bCs/>
          <w:sz w:val="20"/>
          <w:szCs w:val="20"/>
          <w:lang w:val="es-ES_tradnl"/>
        </w:rPr>
        <w:t>. A</w:t>
      </w:r>
      <w:r w:rsidRPr="00BB3C87">
        <w:rPr>
          <w:rFonts w:asciiTheme="majorHAnsi" w:hAnsiTheme="majorHAnsi"/>
          <w:bCs/>
          <w:sz w:val="20"/>
          <w:szCs w:val="20"/>
          <w:lang w:val="es-ES_tradnl"/>
        </w:rPr>
        <w:t>sí, arguyen que las presuntas víctimas ya eran “</w:t>
      </w:r>
      <w:r w:rsidRPr="00BB3C87">
        <w:rPr>
          <w:rFonts w:asciiTheme="majorHAnsi" w:hAnsiTheme="majorHAnsi"/>
          <w:bCs/>
          <w:i/>
          <w:iCs/>
          <w:sz w:val="20"/>
          <w:szCs w:val="20"/>
          <w:lang w:val="es-ES_tradnl"/>
        </w:rPr>
        <w:t>legítimos propietarios y compradores de buena fe y legal de estas tierras”</w:t>
      </w:r>
      <w:r w:rsidR="00C46501" w:rsidRPr="00BB3C87">
        <w:rPr>
          <w:rFonts w:asciiTheme="majorHAnsi" w:hAnsiTheme="majorHAnsi"/>
          <w:bCs/>
          <w:sz w:val="20"/>
          <w:szCs w:val="20"/>
          <w:lang w:val="es-ES_tradnl"/>
        </w:rPr>
        <w:t>; por lo cual</w:t>
      </w:r>
      <w:r w:rsidRPr="00BB3C87">
        <w:rPr>
          <w:rFonts w:asciiTheme="majorHAnsi" w:hAnsiTheme="majorHAnsi"/>
          <w:bCs/>
          <w:sz w:val="20"/>
          <w:szCs w:val="20"/>
          <w:lang w:val="es-ES_tradnl"/>
        </w:rPr>
        <w:t>, consideran que no se puede ignorar el principio de irretroactividad de las normas. Aún más, manifiestan que en ningún momento de la sentencia firme se estableció la extinción de la finca 4643, Folio 143, Libro 130E de San Marcos, ni se le notificó al representante legal de la ADIAJMST; sino que únicamente la sentencia se refería a la Finca 3874, Libro 48E de San Marcos.</w:t>
      </w:r>
    </w:p>
    <w:p w14:paraId="46074835" w14:textId="2762FED5" w:rsidR="00C46501" w:rsidRPr="00BB3C87" w:rsidRDefault="00C46501"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También, los peticionarios cuestionan por qué se pudo autorizar y realizar un registro de la propiedad si es que existía un embargo y una sentencia firme; al respecto, aseveran que </w:t>
      </w:r>
      <w:r w:rsidRPr="00BB3C87">
        <w:rPr>
          <w:rFonts w:asciiTheme="majorHAnsi" w:hAnsiTheme="majorHAnsi"/>
          <w:bCs/>
          <w:i/>
          <w:iCs/>
          <w:sz w:val="20"/>
          <w:szCs w:val="20"/>
          <w:lang w:val="es-ES_tradnl"/>
        </w:rPr>
        <w:t xml:space="preserve">“aquí es donde se concretan las violaciones a los Derechos Humanos y Constitucionales contra las familias Indígenas, Campesinas </w:t>
      </w:r>
      <w:r w:rsidRPr="00BB3C87">
        <w:rPr>
          <w:rFonts w:asciiTheme="majorHAnsi" w:hAnsiTheme="majorHAnsi"/>
          <w:bCs/>
          <w:i/>
          <w:iCs/>
          <w:sz w:val="20"/>
          <w:szCs w:val="20"/>
          <w:lang w:val="es-ES_tradnl"/>
        </w:rPr>
        <w:lastRenderedPageBreak/>
        <w:t>y la ADIAJMST, [porque la finca] fue inscrita legalmente aun que el Estado de Guatemala no lo quiera aceptar, y existe participación de un agente estatal que en este caso sería el Registrador”</w:t>
      </w:r>
      <w:r w:rsidRPr="00BB3C87">
        <w:rPr>
          <w:rFonts w:asciiTheme="majorHAnsi" w:hAnsiTheme="majorHAnsi"/>
          <w:bCs/>
          <w:sz w:val="20"/>
          <w:szCs w:val="20"/>
          <w:lang w:val="es-ES_tradnl"/>
        </w:rPr>
        <w:t>.</w:t>
      </w:r>
    </w:p>
    <w:p w14:paraId="1EEA2962" w14:textId="60730441" w:rsidR="00370233" w:rsidRPr="00BB3C87" w:rsidRDefault="00370233"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Por otro lado, las presuntas víctimas señalan que a partir de la decisión de extinción de dominio sobre su finca, se sienten intimidados por la Secretaría Nacional de Administración de Bienes en Extinción de Dominio (en adelante “SENABED”</w:t>
      </w:r>
      <w:r w:rsidR="0004074F" w:rsidRPr="00BB3C87">
        <w:rPr>
          <w:rFonts w:asciiTheme="majorHAnsi" w:hAnsiTheme="majorHAnsi"/>
          <w:bCs/>
          <w:sz w:val="20"/>
          <w:szCs w:val="20"/>
          <w:lang w:val="es-ES_tradnl"/>
        </w:rPr>
        <w:t>)</w:t>
      </w:r>
      <w:r w:rsidRPr="00BB3C87">
        <w:rPr>
          <w:rFonts w:asciiTheme="majorHAnsi" w:hAnsiTheme="majorHAnsi"/>
          <w:bCs/>
          <w:sz w:val="20"/>
          <w:szCs w:val="20"/>
          <w:lang w:val="es-ES_tradnl"/>
        </w:rPr>
        <w:t>. Narran que el 24 de mayo de 2018, miembros de dicha secretaría les indicaron que tenían cinco días para apersonarse en las oficinas centrales de SENABED o serían des</w:t>
      </w:r>
      <w:r w:rsidR="0004074F" w:rsidRPr="00BB3C87">
        <w:rPr>
          <w:rFonts w:asciiTheme="majorHAnsi" w:hAnsiTheme="majorHAnsi"/>
          <w:bCs/>
          <w:sz w:val="20"/>
          <w:szCs w:val="20"/>
          <w:lang w:val="es-ES_tradnl"/>
        </w:rPr>
        <w:t>alojados</w:t>
      </w:r>
      <w:r w:rsidRPr="00BB3C87">
        <w:rPr>
          <w:rFonts w:asciiTheme="majorHAnsi" w:hAnsiTheme="majorHAnsi"/>
          <w:bCs/>
          <w:sz w:val="20"/>
          <w:szCs w:val="20"/>
          <w:lang w:val="es-ES_tradnl"/>
        </w:rPr>
        <w:t xml:space="preserve"> de la finca. Establecen que la SENABED se ha presentado en otras dos ocasiones, con comisiones de notificación y desalojo, que incluyen agentes del Ministerio Público, de la Policía Nacional Civil y elementos del Ejército Nacional </w:t>
      </w:r>
      <w:r w:rsidRPr="00BB3C87">
        <w:rPr>
          <w:rFonts w:asciiTheme="majorHAnsi" w:hAnsiTheme="majorHAnsi"/>
          <w:bCs/>
          <w:i/>
          <w:iCs/>
          <w:sz w:val="20"/>
          <w:szCs w:val="20"/>
          <w:lang w:val="es-ES_tradnl"/>
        </w:rPr>
        <w:t>“fuertemente armados con gran cantidad de carros tipo Jeep Blindados y con Ametralladoras colocadas en la parte superior de estos vehículos, intimidándonos física y psicológicamente</w:t>
      </w:r>
      <w:r w:rsidRPr="00BB3C87">
        <w:rPr>
          <w:rFonts w:asciiTheme="majorHAnsi" w:hAnsiTheme="majorHAnsi"/>
          <w:bCs/>
          <w:sz w:val="20"/>
          <w:szCs w:val="20"/>
          <w:lang w:val="es-ES_tradnl"/>
        </w:rPr>
        <w:t xml:space="preserve">”. </w:t>
      </w:r>
    </w:p>
    <w:p w14:paraId="6CD4FB60" w14:textId="2F824E82" w:rsidR="00370233" w:rsidRPr="00BB3C87" w:rsidRDefault="00370233"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También, las presuntas víctimas señalan que enfrentan la explotación ilegal de materiales de</w:t>
      </w:r>
      <w:r w:rsidR="00885CBC" w:rsidRPr="00BB3C87">
        <w:rPr>
          <w:rFonts w:asciiTheme="majorHAnsi" w:hAnsiTheme="majorHAnsi"/>
          <w:bCs/>
          <w:sz w:val="20"/>
          <w:szCs w:val="20"/>
          <w:lang w:val="es-ES_tradnl"/>
        </w:rPr>
        <w:t xml:space="preserve"> su finca y de</w:t>
      </w:r>
      <w:r w:rsidRPr="00BB3C87">
        <w:rPr>
          <w:rFonts w:asciiTheme="majorHAnsi" w:hAnsiTheme="majorHAnsi"/>
          <w:bCs/>
          <w:sz w:val="20"/>
          <w:szCs w:val="20"/>
          <w:lang w:val="es-ES_tradnl"/>
        </w:rPr>
        <w:t xml:space="preserve"> los dos ríos que atraviesan sus tierras, por parte de personas desconocidas y ajenas a su comunidad. Indican que han presentado memoriales ante el Ministerio de Ambiente pero que las autoridades no dan solución al problema</w:t>
      </w:r>
      <w:r w:rsidR="00DC7142"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y que </w:t>
      </w:r>
      <w:r w:rsidRPr="00BB3C87">
        <w:rPr>
          <w:rFonts w:asciiTheme="majorHAnsi" w:hAnsiTheme="majorHAnsi"/>
          <w:bCs/>
          <w:i/>
          <w:iCs/>
          <w:sz w:val="20"/>
          <w:szCs w:val="20"/>
          <w:lang w:val="es-ES_tradnl"/>
        </w:rPr>
        <w:t>“claramente se ve que dichas autoridades actúan corrupta e impunemente</w:t>
      </w:r>
      <w:r w:rsidRPr="00BB3C87">
        <w:rPr>
          <w:rFonts w:asciiTheme="majorHAnsi" w:hAnsiTheme="majorHAnsi"/>
          <w:bCs/>
          <w:sz w:val="20"/>
          <w:szCs w:val="20"/>
          <w:lang w:val="es-ES_tradnl"/>
        </w:rPr>
        <w:t>”.</w:t>
      </w:r>
    </w:p>
    <w:p w14:paraId="3250DC8E" w14:textId="43ADAD19" w:rsidR="00287DFD" w:rsidRPr="00BB3C87" w:rsidRDefault="00287DFD" w:rsidP="00BB3C87">
      <w:pPr>
        <w:pStyle w:val="ListParagraph"/>
        <w:spacing w:before="240" w:after="240"/>
        <w:ind w:left="709"/>
        <w:jc w:val="both"/>
        <w:rPr>
          <w:rFonts w:asciiTheme="majorHAnsi" w:hAnsiTheme="majorHAnsi"/>
          <w:bCs/>
          <w:i/>
          <w:iCs/>
          <w:sz w:val="20"/>
          <w:szCs w:val="20"/>
          <w:lang w:val="es-ES_tradnl"/>
        </w:rPr>
      </w:pPr>
      <w:r w:rsidRPr="00BB3C87">
        <w:rPr>
          <w:rFonts w:asciiTheme="majorHAnsi" w:hAnsiTheme="majorHAnsi"/>
          <w:bCs/>
          <w:i/>
          <w:iCs/>
          <w:sz w:val="20"/>
          <w:szCs w:val="20"/>
          <w:lang w:val="es-ES_tradnl"/>
        </w:rPr>
        <w:t>Posición del Estado</w:t>
      </w:r>
      <w:r w:rsidR="009B1F41" w:rsidRPr="00BB3C87">
        <w:rPr>
          <w:rFonts w:asciiTheme="majorHAnsi" w:hAnsiTheme="majorHAnsi"/>
          <w:bCs/>
          <w:i/>
          <w:iCs/>
          <w:sz w:val="20"/>
          <w:szCs w:val="20"/>
          <w:lang w:val="es-ES_tradnl"/>
        </w:rPr>
        <w:t xml:space="preserve"> guatemalteco</w:t>
      </w:r>
    </w:p>
    <w:p w14:paraId="0957C7B7" w14:textId="32CF7F74" w:rsidR="000F1A1F" w:rsidRPr="00BB3C87" w:rsidRDefault="00A9117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Por su parte, el Estado guatemalteco</w:t>
      </w:r>
      <w:r w:rsidR="00370233" w:rsidRPr="00BB3C87">
        <w:rPr>
          <w:rFonts w:asciiTheme="majorHAnsi" w:hAnsiTheme="majorHAnsi"/>
          <w:bCs/>
          <w:sz w:val="20"/>
          <w:szCs w:val="20"/>
          <w:lang w:val="es-ES_tradnl"/>
        </w:rPr>
        <w:t xml:space="preserve"> pide que no se admita la petición por falta de agotamiento de los recursos internos y por falta de caracterización. </w:t>
      </w:r>
      <w:r w:rsidR="00951AE5" w:rsidRPr="00BB3C87">
        <w:rPr>
          <w:rFonts w:asciiTheme="majorHAnsi" w:hAnsiTheme="majorHAnsi"/>
          <w:bCs/>
          <w:sz w:val="20"/>
          <w:szCs w:val="20"/>
          <w:lang w:val="es-ES_tradnl"/>
        </w:rPr>
        <w:t>E</w:t>
      </w:r>
      <w:r w:rsidR="00370233" w:rsidRPr="00BB3C87">
        <w:rPr>
          <w:rFonts w:asciiTheme="majorHAnsi" w:hAnsiTheme="majorHAnsi"/>
          <w:bCs/>
          <w:sz w:val="20"/>
          <w:szCs w:val="20"/>
          <w:lang w:val="es-ES_tradnl"/>
        </w:rPr>
        <w:t>l Estado p</w:t>
      </w:r>
      <w:r w:rsidR="000F1A1F" w:rsidRPr="00BB3C87">
        <w:rPr>
          <w:rFonts w:asciiTheme="majorHAnsi" w:hAnsiTheme="majorHAnsi"/>
          <w:bCs/>
          <w:sz w:val="20"/>
          <w:szCs w:val="20"/>
          <w:lang w:val="es-ES_tradnl"/>
        </w:rPr>
        <w:t>rofundiza sobre el contexto del caso</w:t>
      </w:r>
      <w:r w:rsidR="00370233" w:rsidRPr="00BB3C87">
        <w:rPr>
          <w:rFonts w:asciiTheme="majorHAnsi" w:hAnsiTheme="majorHAnsi"/>
          <w:bCs/>
          <w:sz w:val="20"/>
          <w:szCs w:val="20"/>
          <w:lang w:val="es-ES_tradnl"/>
        </w:rPr>
        <w:t>. I</w:t>
      </w:r>
      <w:r w:rsidR="000F1A1F" w:rsidRPr="00BB3C87">
        <w:rPr>
          <w:rFonts w:asciiTheme="majorHAnsi" w:hAnsiTheme="majorHAnsi"/>
          <w:bCs/>
          <w:sz w:val="20"/>
          <w:szCs w:val="20"/>
          <w:lang w:val="es-ES_tradnl"/>
        </w:rPr>
        <w:t xml:space="preserve">nforma que tras un proceso penal impulsado por el Ministerio Público relativo a narcóticos contra un tercero imputado, la Unidad de Extinción de Dominio del Ministerio Público localizó seis fincas que se relacionaban directamente con ese imputado, por lo que se solicitó ante el órgano jurisdiccional la acción de extinción sobre </w:t>
      </w:r>
      <w:r w:rsidR="009D1C32" w:rsidRPr="00BB3C87">
        <w:rPr>
          <w:rFonts w:asciiTheme="majorHAnsi" w:hAnsiTheme="majorHAnsi"/>
          <w:bCs/>
          <w:sz w:val="20"/>
          <w:szCs w:val="20"/>
          <w:lang w:val="es-ES_tradnl"/>
        </w:rPr>
        <w:t>dichas fincas</w:t>
      </w:r>
      <w:r w:rsidR="000F1A1F" w:rsidRPr="00BB3C87">
        <w:rPr>
          <w:rFonts w:asciiTheme="majorHAnsi" w:hAnsiTheme="majorHAnsi"/>
          <w:bCs/>
          <w:sz w:val="20"/>
          <w:szCs w:val="20"/>
          <w:lang w:val="es-ES_tradnl"/>
        </w:rPr>
        <w:t xml:space="preserve">. Dentro de </w:t>
      </w:r>
      <w:r w:rsidR="009D1C32" w:rsidRPr="00BB3C87">
        <w:rPr>
          <w:rFonts w:asciiTheme="majorHAnsi" w:hAnsiTheme="majorHAnsi"/>
          <w:bCs/>
          <w:sz w:val="20"/>
          <w:szCs w:val="20"/>
          <w:lang w:val="es-ES_tradnl"/>
        </w:rPr>
        <w:t>las cuales</w:t>
      </w:r>
      <w:r w:rsidR="000F1A1F" w:rsidRPr="00BB3C87">
        <w:rPr>
          <w:rFonts w:asciiTheme="majorHAnsi" w:hAnsiTheme="majorHAnsi"/>
          <w:bCs/>
          <w:sz w:val="20"/>
          <w:szCs w:val="20"/>
          <w:lang w:val="es-ES_tradnl"/>
        </w:rPr>
        <w:t xml:space="preserve"> se encuentra la adquirida por la ADIAJMST</w:t>
      </w:r>
      <w:r w:rsidR="000F1A1F" w:rsidRPr="00BB3C87">
        <w:rPr>
          <w:rFonts w:asciiTheme="majorHAnsi" w:hAnsiTheme="majorHAnsi"/>
          <w:sz w:val="20"/>
          <w:szCs w:val="20"/>
          <w:vertAlign w:val="superscript"/>
          <w:lang w:val="es-ES_tradnl"/>
        </w:rPr>
        <w:footnoteReference w:id="19"/>
      </w:r>
      <w:r w:rsidR="000F1A1F" w:rsidRPr="00BB3C87">
        <w:rPr>
          <w:rFonts w:asciiTheme="majorHAnsi" w:hAnsiTheme="majorHAnsi"/>
          <w:bCs/>
          <w:sz w:val="20"/>
          <w:szCs w:val="20"/>
          <w:lang w:val="es-ES_tradnl"/>
        </w:rPr>
        <w:t>.</w:t>
      </w:r>
    </w:p>
    <w:p w14:paraId="72725479" w14:textId="122EA756" w:rsidR="000F1A1F" w:rsidRPr="00BB3C87" w:rsidRDefault="00A769DE"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En consecuencia</w:t>
      </w:r>
      <w:r w:rsidR="000F1A1F" w:rsidRPr="00BB3C87">
        <w:rPr>
          <w:rFonts w:asciiTheme="majorHAnsi" w:hAnsiTheme="majorHAnsi"/>
          <w:bCs/>
          <w:sz w:val="20"/>
          <w:szCs w:val="20"/>
          <w:lang w:val="es-ES_tradnl"/>
        </w:rPr>
        <w:t xml:space="preserve">, el 29 de septiembre de 2014, el Ministerio Público presentó </w:t>
      </w:r>
      <w:r w:rsidRPr="00BB3C87">
        <w:rPr>
          <w:rFonts w:asciiTheme="majorHAnsi" w:hAnsiTheme="majorHAnsi"/>
          <w:bCs/>
          <w:sz w:val="20"/>
          <w:szCs w:val="20"/>
          <w:lang w:val="es-ES_tradnl"/>
        </w:rPr>
        <w:t xml:space="preserve">un </w:t>
      </w:r>
      <w:r w:rsidR="000F1A1F" w:rsidRPr="00BB3C87">
        <w:rPr>
          <w:rFonts w:asciiTheme="majorHAnsi" w:hAnsiTheme="majorHAnsi"/>
          <w:bCs/>
          <w:sz w:val="20"/>
          <w:szCs w:val="20"/>
          <w:lang w:val="es-ES_tradnl"/>
        </w:rPr>
        <w:t xml:space="preserve">memorial ante el Juzgado de Primera Instancia de Extinción de Dominio solicitando una medida cautelar de embargo sobre la mencionada finca. Así, el 1 de octubre de 2014, el Juez Primero de Extinción de Dominio decretó las medidas cautelares sobre la </w:t>
      </w:r>
      <w:r w:rsidR="00885CBC" w:rsidRPr="00BB3C87">
        <w:rPr>
          <w:rFonts w:asciiTheme="majorHAnsi" w:hAnsiTheme="majorHAnsi"/>
          <w:bCs/>
          <w:sz w:val="20"/>
          <w:szCs w:val="20"/>
          <w:lang w:val="es-ES_tradnl"/>
        </w:rPr>
        <w:t>f</w:t>
      </w:r>
      <w:r w:rsidR="000F1A1F" w:rsidRPr="00BB3C87">
        <w:rPr>
          <w:rFonts w:asciiTheme="majorHAnsi" w:hAnsiTheme="majorHAnsi"/>
          <w:bCs/>
          <w:sz w:val="20"/>
          <w:szCs w:val="20"/>
          <w:lang w:val="es-ES_tradnl"/>
        </w:rPr>
        <w:t>inca que reclaman los peticionarios</w:t>
      </w:r>
      <w:r w:rsidR="000F1A1F" w:rsidRPr="00BB3C87">
        <w:rPr>
          <w:rFonts w:asciiTheme="majorHAnsi" w:hAnsiTheme="majorHAnsi"/>
          <w:sz w:val="20"/>
          <w:szCs w:val="20"/>
          <w:vertAlign w:val="superscript"/>
          <w:lang w:val="es-ES_tradnl"/>
        </w:rPr>
        <w:footnoteReference w:id="20"/>
      </w:r>
      <w:r w:rsidR="000F1A1F" w:rsidRPr="00BB3C87">
        <w:rPr>
          <w:rFonts w:asciiTheme="majorHAnsi" w:hAnsiTheme="majorHAnsi"/>
          <w:bCs/>
          <w:sz w:val="20"/>
          <w:szCs w:val="20"/>
          <w:lang w:val="es-ES_tradnl"/>
        </w:rPr>
        <w:t>.</w:t>
      </w:r>
    </w:p>
    <w:p w14:paraId="3B08C6B7" w14:textId="7FA87A0B"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Posteriormente, el mencionado juzgado notificó a las partes interesadas en el proceso. La señora que vendió la finca a las presuntas víctimas se apersonó a las audiencias e </w:t>
      </w:r>
      <w:r w:rsidRPr="00BB3C87">
        <w:rPr>
          <w:rFonts w:asciiTheme="majorHAnsi" w:hAnsiTheme="majorHAnsi"/>
          <w:bCs/>
          <w:i/>
          <w:iCs/>
          <w:sz w:val="20"/>
          <w:szCs w:val="20"/>
          <w:lang w:val="es-ES_tradnl"/>
        </w:rPr>
        <w:t>“hizo uso de todos los recursos contenidos en la jurisdicción interna, los cuales fueron conocidos y resueltos por las autoridades competentes en el momento procesal oportuno, en sentido negativo”</w:t>
      </w:r>
      <w:r w:rsidRPr="00BB3C87">
        <w:rPr>
          <w:rFonts w:asciiTheme="majorHAnsi" w:hAnsiTheme="majorHAnsi"/>
          <w:i/>
          <w:iCs/>
          <w:sz w:val="20"/>
          <w:szCs w:val="20"/>
          <w:vertAlign w:val="superscript"/>
          <w:lang w:val="es-ES_tradnl"/>
        </w:rPr>
        <w:footnoteReference w:id="21"/>
      </w:r>
      <w:r w:rsidRPr="00BB3C87">
        <w:rPr>
          <w:rFonts w:asciiTheme="majorHAnsi" w:hAnsiTheme="majorHAnsi"/>
          <w:bCs/>
          <w:sz w:val="20"/>
          <w:szCs w:val="20"/>
          <w:lang w:val="es-ES_tradnl"/>
        </w:rPr>
        <w:t xml:space="preserve">. El Estado resalta que la </w:t>
      </w:r>
      <w:r w:rsidR="00C1320A" w:rsidRPr="00BB3C87">
        <w:rPr>
          <w:rFonts w:asciiTheme="majorHAnsi" w:hAnsiTheme="majorHAnsi"/>
          <w:bCs/>
          <w:sz w:val="20"/>
          <w:szCs w:val="20"/>
          <w:lang w:val="es-ES_tradnl"/>
        </w:rPr>
        <w:t>señora</w:t>
      </w:r>
      <w:r w:rsidRPr="00BB3C87">
        <w:rPr>
          <w:rFonts w:asciiTheme="majorHAnsi" w:hAnsiTheme="majorHAnsi"/>
          <w:bCs/>
          <w:sz w:val="20"/>
          <w:szCs w:val="20"/>
          <w:lang w:val="es-ES_tradnl"/>
        </w:rPr>
        <w:t xml:space="preserve"> nunca expuso a las autoridades que ella realizó una compraventa a la ADIAJMST, ni sugirió de alguna manera que no era la única propietaria, </w:t>
      </w:r>
      <w:r w:rsidRPr="00BB3C87">
        <w:rPr>
          <w:rFonts w:asciiTheme="majorHAnsi" w:hAnsiTheme="majorHAnsi"/>
          <w:bCs/>
          <w:i/>
          <w:iCs/>
          <w:sz w:val="20"/>
          <w:szCs w:val="20"/>
          <w:lang w:val="es-ES_tradnl"/>
        </w:rPr>
        <w:t>“situación que puede ser interpretada como una acción de mala fe por parte de dicha señora en perjuicio de la referida asociación”.</w:t>
      </w:r>
      <w:r w:rsidR="00C1320A" w:rsidRPr="00BB3C87">
        <w:rPr>
          <w:rFonts w:asciiTheme="majorHAnsi" w:hAnsiTheme="majorHAnsi"/>
          <w:bCs/>
          <w:i/>
          <w:iCs/>
          <w:sz w:val="20"/>
          <w:szCs w:val="20"/>
          <w:lang w:val="es-ES_tradnl"/>
        </w:rPr>
        <w:t xml:space="preserve"> </w:t>
      </w:r>
      <w:r w:rsidR="00C1320A" w:rsidRPr="00BB3C87">
        <w:rPr>
          <w:rFonts w:asciiTheme="majorHAnsi" w:hAnsiTheme="majorHAnsi"/>
          <w:bCs/>
          <w:sz w:val="20"/>
          <w:szCs w:val="20"/>
          <w:lang w:val="es-ES_tradnl"/>
        </w:rPr>
        <w:t>El 13 de julio de 2015 finalizó el proceso</w:t>
      </w:r>
      <w:r w:rsidR="0004074F" w:rsidRPr="00BB3C87">
        <w:rPr>
          <w:rFonts w:asciiTheme="majorHAnsi" w:hAnsiTheme="majorHAnsi"/>
          <w:bCs/>
          <w:sz w:val="20"/>
          <w:szCs w:val="20"/>
          <w:lang w:val="es-ES_tradnl"/>
        </w:rPr>
        <w:t xml:space="preserve"> de extinción de dominio, </w:t>
      </w:r>
      <w:r w:rsidR="00C1320A" w:rsidRPr="00BB3C87">
        <w:rPr>
          <w:rFonts w:asciiTheme="majorHAnsi" w:hAnsiTheme="majorHAnsi"/>
          <w:bCs/>
          <w:sz w:val="20"/>
          <w:szCs w:val="20"/>
          <w:lang w:val="es-ES_tradnl"/>
        </w:rPr>
        <w:t>con sentencia del Juzgado de Primera Instancia de Extinción de Dominio</w:t>
      </w:r>
      <w:r w:rsidR="0004074F" w:rsidRPr="00BB3C87">
        <w:rPr>
          <w:rFonts w:asciiTheme="majorHAnsi" w:hAnsiTheme="majorHAnsi"/>
          <w:bCs/>
          <w:sz w:val="20"/>
          <w:szCs w:val="20"/>
          <w:lang w:val="es-ES_tradnl"/>
        </w:rPr>
        <w:t xml:space="preserve">, extinguiendo el dominio de la finca en cuestión. </w:t>
      </w:r>
    </w:p>
    <w:p w14:paraId="62D2FCE6" w14:textId="77777777" w:rsidR="00370233"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Por otro lado, el Estado asegura que la ADIAJMST, tras adquirir la fracción de la finca rústica, no cumplió con la obligación de registrar el inmueble en el Registro General de la Propiedad, por lo que no fue posible citarlos en calidad de terceros civilmente interesados en el proceso, ni permitió que gozaran de la aplicación del principio </w:t>
      </w:r>
      <w:r w:rsidRPr="00BB3C87">
        <w:rPr>
          <w:rFonts w:asciiTheme="majorHAnsi" w:hAnsiTheme="majorHAnsi"/>
          <w:bCs/>
          <w:i/>
          <w:iCs/>
          <w:sz w:val="20"/>
          <w:szCs w:val="20"/>
          <w:lang w:val="es-ES_tradnl"/>
        </w:rPr>
        <w:t>“primero en registro primero en derechos”.</w:t>
      </w:r>
      <w:r w:rsidR="00A8248C" w:rsidRPr="00BB3C87">
        <w:rPr>
          <w:rFonts w:asciiTheme="majorHAnsi" w:hAnsiTheme="majorHAnsi"/>
          <w:bCs/>
          <w:i/>
          <w:iCs/>
          <w:sz w:val="20"/>
          <w:szCs w:val="20"/>
          <w:lang w:val="es-ES_tradnl"/>
        </w:rPr>
        <w:t xml:space="preserve"> </w:t>
      </w:r>
    </w:p>
    <w:p w14:paraId="153C9D48" w14:textId="42B573EF"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lastRenderedPageBreak/>
        <w:t xml:space="preserve">Sobre los recursos internos agotados por la parte peticionaria, el Estado </w:t>
      </w:r>
      <w:r w:rsidR="00A8248C" w:rsidRPr="00BB3C87">
        <w:rPr>
          <w:rFonts w:asciiTheme="majorHAnsi" w:hAnsiTheme="majorHAnsi"/>
          <w:bCs/>
          <w:sz w:val="20"/>
          <w:szCs w:val="20"/>
          <w:lang w:val="es-ES_tradnl"/>
        </w:rPr>
        <w:t>corrobora</w:t>
      </w:r>
      <w:r w:rsidRPr="00BB3C87">
        <w:rPr>
          <w:rFonts w:asciiTheme="majorHAnsi" w:hAnsiTheme="majorHAnsi"/>
          <w:bCs/>
          <w:sz w:val="20"/>
          <w:szCs w:val="20"/>
          <w:lang w:val="es-ES_tradnl"/>
        </w:rPr>
        <w:t xml:space="preserve"> que el 30 de marzo de 2017 la ADIAJMST, a través de memorial</w:t>
      </w:r>
      <w:r w:rsidR="00C1320A"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solicitó ante el Juzgado de Primera Instancia de Extinción de Dominio que se les considerara como terceros civilmente interesados en la Acción de Extinción de Dominio (expediente 01175-2014-00065). Por su parte, el Ministerio Público, </w:t>
      </w:r>
      <w:r w:rsidR="00C1320A" w:rsidRPr="00BB3C87">
        <w:rPr>
          <w:rFonts w:asciiTheme="majorHAnsi" w:hAnsiTheme="majorHAnsi"/>
          <w:bCs/>
          <w:sz w:val="20"/>
          <w:szCs w:val="20"/>
          <w:lang w:val="es-ES_tradnl"/>
        </w:rPr>
        <w:t xml:space="preserve">a través de la </w:t>
      </w:r>
      <w:r w:rsidRPr="00BB3C87">
        <w:rPr>
          <w:rFonts w:asciiTheme="majorHAnsi" w:hAnsiTheme="majorHAnsi"/>
          <w:bCs/>
          <w:sz w:val="20"/>
          <w:szCs w:val="20"/>
          <w:lang w:val="es-ES_tradnl"/>
        </w:rPr>
        <w:t>Unidad de Extinción de Dominio de la Fiscalía de Sección contra el Lavado de Dinero y otros Activos</w:t>
      </w:r>
      <w:r w:rsidR="00C1320A"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se manifestó </w:t>
      </w:r>
      <w:r w:rsidR="0042580E" w:rsidRPr="00BB3C87">
        <w:rPr>
          <w:rFonts w:asciiTheme="majorHAnsi" w:hAnsiTheme="majorHAnsi"/>
          <w:bCs/>
          <w:sz w:val="20"/>
          <w:szCs w:val="20"/>
          <w:lang w:val="es-ES_tradnl"/>
        </w:rPr>
        <w:t xml:space="preserve">el 10 de abril de 2017 </w:t>
      </w:r>
      <w:r w:rsidRPr="00BB3C87">
        <w:rPr>
          <w:rFonts w:asciiTheme="majorHAnsi" w:hAnsiTheme="majorHAnsi"/>
          <w:bCs/>
          <w:sz w:val="20"/>
          <w:szCs w:val="20"/>
          <w:lang w:val="es-ES_tradnl"/>
        </w:rPr>
        <w:t>en contra de lo solicitado por las presuntas víctimas</w:t>
      </w:r>
      <w:r w:rsidR="0042580E" w:rsidRPr="00BB3C87">
        <w:rPr>
          <w:rFonts w:asciiTheme="majorHAnsi" w:hAnsiTheme="majorHAnsi"/>
          <w:bCs/>
          <w:sz w:val="20"/>
          <w:szCs w:val="20"/>
          <w:lang w:val="es-ES_tradnl"/>
        </w:rPr>
        <w:t xml:space="preserve"> argumentando que desde el inicio del proceso de extinción de dominio y hasta la sentencia del 13 de julio de 2015, pudieron apersonarse en el proceso, pero no lo hicieron; esto lo apoyan en que fue “</w:t>
      </w:r>
      <w:r w:rsidR="0042580E" w:rsidRPr="00BB3C87">
        <w:rPr>
          <w:rFonts w:asciiTheme="majorHAnsi" w:hAnsiTheme="majorHAnsi"/>
          <w:bCs/>
          <w:i/>
          <w:iCs/>
          <w:sz w:val="20"/>
          <w:szCs w:val="20"/>
          <w:lang w:val="es-ES_tradnl"/>
        </w:rPr>
        <w:t>un juicio ampliamente publicitado por diversos medios de comunicación social, toda vez que la referida finca se vinculaba a [un] capo del narcotráfico”</w:t>
      </w:r>
      <w:r w:rsidR="0042580E" w:rsidRPr="00BB3C87">
        <w:rPr>
          <w:rFonts w:asciiTheme="majorHAnsi" w:hAnsiTheme="majorHAnsi"/>
          <w:bCs/>
          <w:sz w:val="20"/>
          <w:szCs w:val="20"/>
          <w:lang w:val="es-ES_tradnl"/>
        </w:rPr>
        <w:t xml:space="preserve"> . </w:t>
      </w:r>
      <w:r w:rsidR="00C1320A" w:rsidRPr="00BB3C87">
        <w:rPr>
          <w:rFonts w:asciiTheme="majorHAnsi" w:hAnsiTheme="majorHAnsi"/>
          <w:bCs/>
          <w:sz w:val="20"/>
          <w:szCs w:val="20"/>
          <w:lang w:val="es-ES_tradnl"/>
        </w:rPr>
        <w:t>Finalmente, e</w:t>
      </w:r>
      <w:r w:rsidRPr="00BB3C87">
        <w:rPr>
          <w:rFonts w:asciiTheme="majorHAnsi" w:hAnsiTheme="majorHAnsi"/>
          <w:bCs/>
          <w:sz w:val="20"/>
          <w:szCs w:val="20"/>
          <w:lang w:val="es-ES_tradnl"/>
        </w:rPr>
        <w:t>l Juzgado de Primera Instancia de Extinción de Dominio en Guatemala resolvió negar la participación de las presuntas víctimas en virtud de que, sobre el bien inmueble, ya existía sentencia firme. Ante esto, el 16 de mayo de 2017 la ADIJMST presentó un amparo contra dicha sentencia, ante la Sala Tercera de la Corte de Apelaciones del Ramo Penal.</w:t>
      </w:r>
    </w:p>
    <w:p w14:paraId="451E06E5" w14:textId="710EAC77"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Al momento de la primera comunicación del Estado ante la CIDH, el amparo aún se encontraba pendiente de resolverse</w:t>
      </w:r>
      <w:r w:rsidR="00D346E0"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por lo que el Estado </w:t>
      </w:r>
      <w:r w:rsidR="00C1320A" w:rsidRPr="00BB3C87">
        <w:rPr>
          <w:rFonts w:asciiTheme="majorHAnsi" w:hAnsiTheme="majorHAnsi"/>
          <w:bCs/>
          <w:sz w:val="20"/>
          <w:szCs w:val="20"/>
          <w:lang w:val="es-ES_tradnl"/>
        </w:rPr>
        <w:t xml:space="preserve">considera que existe </w:t>
      </w:r>
      <w:r w:rsidRPr="00BB3C87">
        <w:rPr>
          <w:rFonts w:asciiTheme="majorHAnsi" w:hAnsiTheme="majorHAnsi"/>
          <w:bCs/>
          <w:sz w:val="20"/>
          <w:szCs w:val="20"/>
          <w:lang w:val="es-ES_tradnl"/>
        </w:rPr>
        <w:t xml:space="preserve">falta de agotamiento de los recursos internos. </w:t>
      </w:r>
      <w:r w:rsidR="00370233" w:rsidRPr="00BB3C87">
        <w:rPr>
          <w:rFonts w:asciiTheme="majorHAnsi" w:hAnsiTheme="majorHAnsi"/>
          <w:bCs/>
          <w:sz w:val="20"/>
          <w:szCs w:val="20"/>
          <w:lang w:val="es-ES_tradnl"/>
        </w:rPr>
        <w:t>Indica también que las presuntas víctimas tenían la posibilidad de entablar un proceso por la vía civil contra la señora que les vendió la finca, por las obligaciones contractuales que adquirió en la venta</w:t>
      </w:r>
      <w:r w:rsidR="00355EF8" w:rsidRPr="00BB3C87">
        <w:rPr>
          <w:rFonts w:asciiTheme="majorHAnsi" w:hAnsiTheme="majorHAnsi"/>
          <w:bCs/>
          <w:sz w:val="20"/>
          <w:szCs w:val="20"/>
          <w:lang w:val="es-ES_tradnl"/>
        </w:rPr>
        <w:t>,</w:t>
      </w:r>
      <w:r w:rsidR="00370233" w:rsidRPr="00BB3C87">
        <w:rPr>
          <w:rFonts w:asciiTheme="majorHAnsi" w:hAnsiTheme="majorHAnsi"/>
          <w:bCs/>
          <w:sz w:val="20"/>
          <w:szCs w:val="20"/>
          <w:lang w:val="es-ES_tradnl"/>
        </w:rPr>
        <w:t xml:space="preserve"> y en dado caso, por no manifestar que existían limitaciones sobre la desmembración de la finca 3,874.</w:t>
      </w:r>
      <w:r w:rsidRPr="00BB3C87">
        <w:rPr>
          <w:rFonts w:asciiTheme="majorHAnsi" w:hAnsiTheme="majorHAnsi"/>
          <w:bCs/>
          <w:sz w:val="20"/>
          <w:szCs w:val="20"/>
          <w:lang w:val="es-ES_tradnl"/>
        </w:rPr>
        <w:t xml:space="preserve"> </w:t>
      </w:r>
      <w:r w:rsidR="00370233" w:rsidRPr="00BB3C87">
        <w:rPr>
          <w:rFonts w:asciiTheme="majorHAnsi" w:hAnsiTheme="majorHAnsi"/>
          <w:bCs/>
          <w:sz w:val="20"/>
          <w:szCs w:val="20"/>
          <w:lang w:val="es-ES_tradnl"/>
        </w:rPr>
        <w:t xml:space="preserve">Además, </w:t>
      </w:r>
      <w:r w:rsidR="00752F0E" w:rsidRPr="00BB3C87">
        <w:rPr>
          <w:rFonts w:asciiTheme="majorHAnsi" w:hAnsiTheme="majorHAnsi"/>
          <w:bCs/>
          <w:sz w:val="20"/>
          <w:szCs w:val="20"/>
          <w:lang w:val="es-ES_tradnl"/>
        </w:rPr>
        <w:t xml:space="preserve">aduce que </w:t>
      </w:r>
      <w:r w:rsidR="00370233" w:rsidRPr="00BB3C87">
        <w:rPr>
          <w:rFonts w:asciiTheme="majorHAnsi" w:hAnsiTheme="majorHAnsi"/>
          <w:bCs/>
          <w:sz w:val="20"/>
          <w:szCs w:val="20"/>
          <w:lang w:val="es-ES_tradnl"/>
        </w:rPr>
        <w:t xml:space="preserve">los peticionarios pudieron activar la vía penal, </w:t>
      </w:r>
      <w:r w:rsidR="00752F0E" w:rsidRPr="00BB3C87">
        <w:rPr>
          <w:rFonts w:asciiTheme="majorHAnsi" w:hAnsiTheme="majorHAnsi"/>
          <w:bCs/>
          <w:sz w:val="20"/>
          <w:szCs w:val="20"/>
          <w:lang w:val="es-ES_tradnl"/>
        </w:rPr>
        <w:t>denunciando</w:t>
      </w:r>
      <w:r w:rsidRPr="00BB3C87">
        <w:rPr>
          <w:rFonts w:asciiTheme="majorHAnsi" w:hAnsiTheme="majorHAnsi"/>
          <w:bCs/>
          <w:sz w:val="20"/>
          <w:szCs w:val="20"/>
          <w:lang w:val="es-ES_tradnl"/>
        </w:rPr>
        <w:t xml:space="preserve"> el delito de estafa por parte de quien les vendió la finca y requerir que se les devuelva el monto pagado, así como el pago de daños y perjuicios.</w:t>
      </w:r>
    </w:p>
    <w:p w14:paraId="29C5835A" w14:textId="03F23A52" w:rsidR="00370233" w:rsidRPr="00BB3C87" w:rsidRDefault="00370233"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Aún más, el Estado indica que los peticionarios tuvieron la posibilidad de interponer una acción constitucional de amparo dentro de los </w:t>
      </w:r>
      <w:r w:rsidR="0042580E" w:rsidRPr="00BB3C87">
        <w:rPr>
          <w:rFonts w:asciiTheme="majorHAnsi" w:hAnsiTheme="majorHAnsi"/>
          <w:bCs/>
          <w:sz w:val="20"/>
          <w:szCs w:val="20"/>
          <w:lang w:val="es-ES_tradnl"/>
        </w:rPr>
        <w:t>treinta</w:t>
      </w:r>
      <w:r w:rsidRPr="00BB3C87">
        <w:rPr>
          <w:rFonts w:asciiTheme="majorHAnsi" w:hAnsiTheme="majorHAnsi"/>
          <w:bCs/>
          <w:sz w:val="20"/>
          <w:szCs w:val="20"/>
          <w:lang w:val="es-ES_tradnl"/>
        </w:rPr>
        <w:t xml:space="preserve"> días siguientes a la última notificación de la resolución que les afectaba, es decir la del 13 de julio de 2015 cuando se decidió sobre la acción de extinción sobre los terrenos, pero presentaron </w:t>
      </w:r>
      <w:r w:rsidR="0042580E" w:rsidRPr="00BB3C87">
        <w:rPr>
          <w:rFonts w:asciiTheme="majorHAnsi" w:hAnsiTheme="majorHAnsi"/>
          <w:bCs/>
          <w:sz w:val="20"/>
          <w:szCs w:val="20"/>
          <w:lang w:val="es-ES_tradnl"/>
        </w:rPr>
        <w:t>un</w:t>
      </w:r>
      <w:r w:rsidRPr="00BB3C87">
        <w:rPr>
          <w:rFonts w:asciiTheme="majorHAnsi" w:hAnsiTheme="majorHAnsi"/>
          <w:bCs/>
          <w:sz w:val="20"/>
          <w:szCs w:val="20"/>
          <w:lang w:val="es-ES_tradnl"/>
        </w:rPr>
        <w:t xml:space="preserve"> amparo hasta el 2017, lo que superó por mucho el plazo establecido por la Ley de Amparo</w:t>
      </w:r>
      <w:r w:rsidR="009500F8" w:rsidRPr="00BB3C87">
        <w:rPr>
          <w:rStyle w:val="FootnoteReference"/>
          <w:rFonts w:asciiTheme="majorHAnsi" w:hAnsiTheme="majorHAnsi"/>
          <w:sz w:val="20"/>
          <w:szCs w:val="20"/>
          <w:lang w:val="es-ES_tradnl"/>
        </w:rPr>
        <w:footnoteReference w:id="22"/>
      </w:r>
      <w:r w:rsidRPr="00BB3C87">
        <w:rPr>
          <w:rFonts w:asciiTheme="majorHAnsi" w:hAnsiTheme="majorHAnsi"/>
          <w:bCs/>
          <w:sz w:val="20"/>
          <w:szCs w:val="20"/>
          <w:lang w:val="es-ES_tradnl"/>
        </w:rPr>
        <w:t>.</w:t>
      </w:r>
    </w:p>
    <w:p w14:paraId="5984821F" w14:textId="58F96E4C"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Asimismo, el Estado considera que hay falta de caracterización</w:t>
      </w:r>
      <w:r w:rsidR="00370233" w:rsidRPr="00BB3C87">
        <w:rPr>
          <w:rFonts w:asciiTheme="majorHAnsi" w:hAnsiTheme="majorHAnsi"/>
          <w:bCs/>
          <w:sz w:val="20"/>
          <w:szCs w:val="20"/>
          <w:lang w:val="es-ES_tradnl"/>
        </w:rPr>
        <w:t xml:space="preserve"> porque las distintas autoridades y funcionarios públicos </w:t>
      </w:r>
      <w:r w:rsidR="00C42232" w:rsidRPr="00BB3C87">
        <w:rPr>
          <w:rFonts w:asciiTheme="majorHAnsi" w:hAnsiTheme="majorHAnsi"/>
          <w:bCs/>
          <w:sz w:val="20"/>
          <w:szCs w:val="20"/>
          <w:lang w:val="es-ES_tradnl"/>
        </w:rPr>
        <w:t xml:space="preserve">que </w:t>
      </w:r>
      <w:r w:rsidR="00370233" w:rsidRPr="00BB3C87">
        <w:rPr>
          <w:rFonts w:asciiTheme="majorHAnsi" w:hAnsiTheme="majorHAnsi"/>
          <w:bCs/>
          <w:sz w:val="20"/>
          <w:szCs w:val="20"/>
          <w:lang w:val="es-ES_tradnl"/>
        </w:rPr>
        <w:t xml:space="preserve">conocieron de las solicitudes planteadas por los </w:t>
      </w:r>
      <w:r w:rsidR="00F04FA0" w:rsidRPr="00BB3C87">
        <w:rPr>
          <w:rFonts w:asciiTheme="majorHAnsi" w:hAnsiTheme="majorHAnsi"/>
          <w:bCs/>
          <w:sz w:val="20"/>
          <w:szCs w:val="20"/>
          <w:lang w:val="es-ES_tradnl"/>
        </w:rPr>
        <w:t>peticionarios</w:t>
      </w:r>
      <w:r w:rsidR="00370233" w:rsidRPr="00BB3C87">
        <w:rPr>
          <w:rFonts w:asciiTheme="majorHAnsi" w:hAnsiTheme="majorHAnsi"/>
          <w:bCs/>
          <w:sz w:val="20"/>
          <w:szCs w:val="20"/>
          <w:lang w:val="es-ES_tradnl"/>
        </w:rPr>
        <w:t xml:space="preserve"> cumplieron con el debido proceso y actuaron conforme a ley, razonando y motivando sus decisiones. Considera que las presuntas víctimas, al no registrar inmediatamente la finca, optaron por el riesgo de no ser citados a juicio, pero que el Estado no tiene responsabilidad sobre esta situación al ser una obligación de los compradores.</w:t>
      </w:r>
      <w:r w:rsidRPr="00BB3C87">
        <w:rPr>
          <w:rFonts w:asciiTheme="majorHAnsi" w:hAnsiTheme="majorHAnsi"/>
          <w:bCs/>
          <w:sz w:val="20"/>
          <w:szCs w:val="20"/>
          <w:lang w:val="es-ES_tradnl"/>
        </w:rPr>
        <w:t xml:space="preserve"> </w:t>
      </w:r>
      <w:r w:rsidR="00370233" w:rsidRPr="00BB3C87">
        <w:rPr>
          <w:rFonts w:asciiTheme="majorHAnsi" w:hAnsiTheme="majorHAnsi"/>
          <w:bCs/>
          <w:sz w:val="20"/>
          <w:szCs w:val="20"/>
          <w:lang w:val="es-ES_tradnl"/>
        </w:rPr>
        <w:t xml:space="preserve">Sobre esta misma línea, el Estado razona que </w:t>
      </w:r>
      <w:r w:rsidRPr="00BB3C87">
        <w:rPr>
          <w:rFonts w:asciiTheme="majorHAnsi" w:hAnsiTheme="majorHAnsi"/>
          <w:bCs/>
          <w:sz w:val="20"/>
          <w:szCs w:val="20"/>
          <w:lang w:val="es-ES_tradnl"/>
        </w:rPr>
        <w:t xml:space="preserve">el negocio jurídico por el que se originan los hechos y el subsecuente </w:t>
      </w:r>
      <w:r w:rsidR="0004074F" w:rsidRPr="00BB3C87">
        <w:rPr>
          <w:rFonts w:asciiTheme="majorHAnsi" w:hAnsiTheme="majorHAnsi"/>
          <w:bCs/>
          <w:sz w:val="20"/>
          <w:szCs w:val="20"/>
          <w:lang w:val="es-ES_tradnl"/>
        </w:rPr>
        <w:t>litigio</w:t>
      </w:r>
      <w:r w:rsidRPr="00BB3C87">
        <w:rPr>
          <w:rFonts w:asciiTheme="majorHAnsi" w:hAnsiTheme="majorHAnsi"/>
          <w:bCs/>
          <w:sz w:val="20"/>
          <w:szCs w:val="20"/>
          <w:lang w:val="es-ES_tradnl"/>
        </w:rPr>
        <w:t xml:space="preserve"> </w:t>
      </w:r>
      <w:r w:rsidR="00370233" w:rsidRPr="00BB3C87">
        <w:rPr>
          <w:rFonts w:asciiTheme="majorHAnsi" w:hAnsiTheme="majorHAnsi"/>
          <w:bCs/>
          <w:sz w:val="20"/>
          <w:szCs w:val="20"/>
          <w:lang w:val="es-ES_tradnl"/>
        </w:rPr>
        <w:t xml:space="preserve">es </w:t>
      </w:r>
      <w:r w:rsidRPr="00BB3C87">
        <w:rPr>
          <w:rFonts w:asciiTheme="majorHAnsi" w:hAnsiTheme="majorHAnsi"/>
          <w:bCs/>
          <w:sz w:val="20"/>
          <w:szCs w:val="20"/>
          <w:lang w:val="es-ES_tradnl"/>
        </w:rPr>
        <w:t>entre particulares y el Estado no puede ser imputado por eso</w:t>
      </w:r>
      <w:r w:rsidR="00C46501" w:rsidRPr="00BB3C87">
        <w:rPr>
          <w:rFonts w:asciiTheme="majorHAnsi" w:hAnsiTheme="majorHAnsi"/>
          <w:bCs/>
          <w:sz w:val="20"/>
          <w:szCs w:val="20"/>
          <w:lang w:val="es-ES_tradnl"/>
        </w:rPr>
        <w:t xml:space="preserve">. </w:t>
      </w:r>
    </w:p>
    <w:p w14:paraId="771A338E" w14:textId="07F6EE64" w:rsidR="00370233" w:rsidRPr="00BB3C87" w:rsidRDefault="00370233"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El Estado subraya también que ya constaba desde el 8 de octubre de 2014 la medida cautelar de embargo sobre la finca 3,874, en el apartado de </w:t>
      </w:r>
      <w:r w:rsidRPr="00BB3C87">
        <w:rPr>
          <w:rFonts w:asciiTheme="majorHAnsi" w:hAnsiTheme="majorHAnsi"/>
          <w:bCs/>
          <w:i/>
          <w:iCs/>
          <w:sz w:val="20"/>
          <w:szCs w:val="20"/>
          <w:lang w:val="es-ES_tradnl"/>
        </w:rPr>
        <w:t xml:space="preserve">“anotaciones previas” </w:t>
      </w:r>
      <w:r w:rsidRPr="00BB3C87">
        <w:rPr>
          <w:rFonts w:asciiTheme="majorHAnsi" w:hAnsiTheme="majorHAnsi"/>
          <w:bCs/>
          <w:sz w:val="20"/>
          <w:szCs w:val="20"/>
          <w:lang w:val="es-ES_tradnl"/>
        </w:rPr>
        <w:t>del registro, por lo que la ADIJAMST conocía de esta circunstancia. Dentro de los anexos proporcionados por el Estado, el Juez de Primera Instancia de Extinción de Dominio</w:t>
      </w:r>
      <w:r w:rsidRPr="00BB3C87">
        <w:rPr>
          <w:rStyle w:val="FootnoteReference"/>
          <w:rFonts w:asciiTheme="majorHAnsi" w:hAnsiTheme="majorHAnsi"/>
          <w:bCs/>
          <w:sz w:val="20"/>
          <w:szCs w:val="20"/>
          <w:lang w:val="es-ES_tradnl"/>
        </w:rPr>
        <w:footnoteReference w:id="23"/>
      </w:r>
      <w:r w:rsidRPr="00BB3C87">
        <w:rPr>
          <w:rFonts w:asciiTheme="majorHAnsi" w:hAnsiTheme="majorHAnsi"/>
          <w:bCs/>
          <w:sz w:val="20"/>
          <w:szCs w:val="20"/>
          <w:lang w:val="es-ES_tradnl"/>
        </w:rPr>
        <w:t xml:space="preserve"> subraya que la tierra desmembrada –la finca 4,643, folio 143, libro 130E de San Marcos– no figura entre las medidas cautelares ni la acción de extinción de dominio; no obstante, el juez razona que puede establecerse como parte del inmueble principal –la finca 3,874, folio 374, libro 48E de San Marcos–. El Juez sustenta esto indicando que el 21 de mayo de 2018 se llevó a cabo una audiencia de solicitud de allanamiento, inspección y registro, para hacer entrega de la finca a la Secretaría Nacional de Administración de Bienes en Extinción de Dominio</w:t>
      </w:r>
      <w:r w:rsidR="00885CBC"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donde advirtieron que, durante el trámite del juicio de extinción de dominio, sin notificar al juez pertinente ni a la Fiscalía de Extinción de Dominio, la finca 3,874 fue desmembrada en un 90%, creándose la finca 4,643 a favor de la ADIJAMST. El desmembramiento y compraventa pudieron realizarse porque únicamente existía la medida cautelar de embargo; pero, asegura el juez que la anotación de la medida cautelar también fue realizada para la finca 4,643, y explicó que, de </w:t>
      </w:r>
      <w:r w:rsidRPr="00BB3C87">
        <w:rPr>
          <w:rFonts w:asciiTheme="majorHAnsi" w:hAnsiTheme="majorHAnsi"/>
          <w:bCs/>
          <w:sz w:val="20"/>
          <w:szCs w:val="20"/>
          <w:lang w:val="es-ES_tradnl"/>
        </w:rPr>
        <w:lastRenderedPageBreak/>
        <w:t xml:space="preserve">conformidad con la ley, </w:t>
      </w:r>
      <w:r w:rsidRPr="00BB3C87">
        <w:rPr>
          <w:rFonts w:asciiTheme="majorHAnsi" w:hAnsiTheme="majorHAnsi"/>
          <w:bCs/>
          <w:i/>
          <w:iCs/>
          <w:sz w:val="20"/>
          <w:szCs w:val="20"/>
          <w:lang w:val="es-ES_tradnl"/>
        </w:rPr>
        <w:t>“la finca accesoria corre la suerte de la finca principal”</w:t>
      </w:r>
      <w:r w:rsidRPr="00BB3C87">
        <w:rPr>
          <w:rStyle w:val="FootnoteReference"/>
          <w:rFonts w:asciiTheme="majorHAnsi" w:hAnsiTheme="majorHAnsi"/>
          <w:bCs/>
          <w:i/>
          <w:iCs/>
          <w:sz w:val="20"/>
          <w:szCs w:val="20"/>
          <w:lang w:val="es-ES_tradnl"/>
        </w:rPr>
        <w:footnoteReference w:id="24"/>
      </w:r>
      <w:r w:rsidRPr="00BB3C87">
        <w:rPr>
          <w:rFonts w:asciiTheme="majorHAnsi" w:hAnsiTheme="majorHAnsi"/>
          <w:bCs/>
          <w:i/>
          <w:iCs/>
          <w:sz w:val="20"/>
          <w:szCs w:val="20"/>
          <w:lang w:val="es-ES_tradnl"/>
        </w:rPr>
        <w:t xml:space="preserve">. </w:t>
      </w:r>
      <w:r w:rsidRPr="00BB3C87">
        <w:rPr>
          <w:rFonts w:asciiTheme="majorHAnsi" w:hAnsiTheme="majorHAnsi"/>
          <w:bCs/>
          <w:sz w:val="20"/>
          <w:szCs w:val="20"/>
          <w:lang w:val="es-ES_tradnl"/>
        </w:rPr>
        <w:t>También, en memorial de la Coordinación Jurídica del Segundo Registro de la Propiedad, se indica que el 28 de mayo de 2015 se inscribió ante el registro el contrato de compraventa, donde el representante de la ADIAJMST</w:t>
      </w:r>
      <w:r w:rsidRPr="00BB3C87">
        <w:rPr>
          <w:rFonts w:asciiTheme="majorHAnsi" w:hAnsiTheme="majorHAnsi"/>
          <w:bCs/>
          <w:i/>
          <w:iCs/>
          <w:sz w:val="20"/>
          <w:szCs w:val="20"/>
          <w:lang w:val="es-ES_tradnl"/>
        </w:rPr>
        <w:t xml:space="preserve"> “manifiesta que conoce del embargo precautorio inscrito como Letra A sobre la finca 3874 […] y que en esa condición acepta para su representada la venta y el contrato principal”. </w:t>
      </w:r>
      <w:r w:rsidRPr="00BB3C87">
        <w:rPr>
          <w:rFonts w:asciiTheme="majorHAnsi" w:hAnsiTheme="majorHAnsi"/>
          <w:bCs/>
          <w:sz w:val="20"/>
          <w:szCs w:val="20"/>
          <w:lang w:val="es-ES_tradnl"/>
        </w:rPr>
        <w:t>El Estado considera que la ADIAJMST no puede alegar ignorancia de lo que le sucedía procesalmente a la finca desde septiembre de 2014, puesto que se publicaron edictos respecto a las medidas cautelares de embargo –incluso, el Estado manda copia de los edictos publicados el 16 y 19 de enero de 2015 en diarios guatemaltecos–</w:t>
      </w:r>
      <w:r w:rsidRPr="00BB3C87">
        <w:rPr>
          <w:rFonts w:asciiTheme="majorHAnsi" w:hAnsiTheme="majorHAnsi"/>
          <w:sz w:val="20"/>
          <w:szCs w:val="20"/>
          <w:vertAlign w:val="superscript"/>
          <w:lang w:val="es-ES_tradnl"/>
        </w:rPr>
        <w:footnoteReference w:id="25"/>
      </w:r>
      <w:r w:rsidRPr="00BB3C87">
        <w:rPr>
          <w:rFonts w:asciiTheme="majorHAnsi" w:hAnsiTheme="majorHAnsi"/>
          <w:bCs/>
          <w:sz w:val="20"/>
          <w:szCs w:val="20"/>
          <w:lang w:val="es-ES_tradnl"/>
        </w:rPr>
        <w:t>.</w:t>
      </w:r>
    </w:p>
    <w:p w14:paraId="073FEE39" w14:textId="3F67A5E1" w:rsidR="00370233" w:rsidRPr="00BB3C87" w:rsidRDefault="00370233"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Sobre las amenazas que las presuntas víctimas alegan haber recibido por parte de SENABED, el Estado asegura que dicha secretaría no tuvo participación alguna. Sin embargo, indica que SENABED aseveró que el 24 de mayo de 2018, personeros del Ministerio Público, </w:t>
      </w:r>
      <w:r w:rsidR="00DB1FAE" w:rsidRPr="00BB3C87">
        <w:rPr>
          <w:rFonts w:asciiTheme="majorHAnsi" w:hAnsiTheme="majorHAnsi"/>
          <w:bCs/>
          <w:sz w:val="20"/>
          <w:szCs w:val="20"/>
          <w:lang w:val="es-ES_tradnl"/>
        </w:rPr>
        <w:t>entregaron</w:t>
      </w:r>
      <w:r w:rsidRPr="00BB3C87">
        <w:rPr>
          <w:rFonts w:asciiTheme="majorHAnsi" w:hAnsiTheme="majorHAnsi"/>
          <w:bCs/>
          <w:sz w:val="20"/>
          <w:szCs w:val="20"/>
          <w:lang w:val="es-ES_tradnl"/>
        </w:rPr>
        <w:t xml:space="preserve"> la finca a la Dirección de Control y Registro de Bienes, haciendo constar que la finca se encontraba “</w:t>
      </w:r>
      <w:r w:rsidRPr="00BB3C87">
        <w:rPr>
          <w:rFonts w:asciiTheme="majorHAnsi" w:hAnsiTheme="majorHAnsi"/>
          <w:bCs/>
          <w:i/>
          <w:iCs/>
          <w:sz w:val="20"/>
          <w:szCs w:val="20"/>
          <w:lang w:val="es-ES_tradnl"/>
        </w:rPr>
        <w:t>habitada por diferentes personas, las cuales son notificadas a través de un representante de los pobladores para que se apersonen a las instalaciones de la SENABED”</w:t>
      </w:r>
      <w:r w:rsidRPr="00BB3C87">
        <w:rPr>
          <w:rFonts w:asciiTheme="majorHAnsi" w:hAnsiTheme="majorHAnsi"/>
          <w:bCs/>
          <w:sz w:val="20"/>
          <w:szCs w:val="20"/>
          <w:lang w:val="es-ES_tradnl"/>
        </w:rPr>
        <w:t>, pero que no se hizo notificación alguna para desocupar el inmueble, ni se les dio un plazo fijo para desocupar. Así, el Estado enfatiza que el proceso de extinción no p</w:t>
      </w:r>
      <w:r w:rsidR="0004074F" w:rsidRPr="00BB3C87">
        <w:rPr>
          <w:rFonts w:asciiTheme="majorHAnsi" w:hAnsiTheme="majorHAnsi"/>
          <w:bCs/>
          <w:sz w:val="20"/>
          <w:szCs w:val="20"/>
          <w:lang w:val="es-ES_tradnl"/>
        </w:rPr>
        <w:t>o</w:t>
      </w:r>
      <w:r w:rsidRPr="00BB3C87">
        <w:rPr>
          <w:rFonts w:asciiTheme="majorHAnsi" w:hAnsiTheme="majorHAnsi"/>
          <w:bCs/>
          <w:sz w:val="20"/>
          <w:szCs w:val="20"/>
          <w:lang w:val="es-ES_tradnl"/>
        </w:rPr>
        <w:t xml:space="preserve">ne en riesgo la vida o integridad personal de las presuntas víctimas, </w:t>
      </w:r>
      <w:r w:rsidRPr="00BB3C87">
        <w:rPr>
          <w:rFonts w:asciiTheme="majorHAnsi" w:hAnsiTheme="majorHAnsi"/>
          <w:bCs/>
          <w:i/>
          <w:iCs/>
          <w:sz w:val="20"/>
          <w:szCs w:val="20"/>
          <w:lang w:val="es-ES_tradnl"/>
        </w:rPr>
        <w:t>“de ninguna forma significa algún tipo de violencia o amenaza […] es un proceso de naturaleza patrimonial”</w:t>
      </w:r>
      <w:r w:rsidRPr="00BB3C87">
        <w:rPr>
          <w:rFonts w:asciiTheme="majorHAnsi" w:hAnsiTheme="majorHAnsi"/>
          <w:bCs/>
          <w:sz w:val="20"/>
          <w:szCs w:val="20"/>
          <w:lang w:val="es-ES_tradnl"/>
        </w:rPr>
        <w:t xml:space="preserve">.  </w:t>
      </w:r>
    </w:p>
    <w:p w14:paraId="0FB49AD0" w14:textId="5DE90E4E" w:rsidR="000F1A1F"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Finalmente, el Estado muestra su descontento respecto al tiempo entre la presentación de la petición y el momento en que fue remitida al Estado, considerando que un año y medio, </w:t>
      </w:r>
      <w:r w:rsidR="00C1320A" w:rsidRPr="00BB3C87">
        <w:rPr>
          <w:rFonts w:asciiTheme="majorHAnsi" w:hAnsiTheme="majorHAnsi"/>
          <w:bCs/>
          <w:sz w:val="20"/>
          <w:szCs w:val="20"/>
          <w:lang w:val="es-ES_tradnl"/>
        </w:rPr>
        <w:t>configura</w:t>
      </w:r>
      <w:r w:rsidRPr="00BB3C87">
        <w:rPr>
          <w:rFonts w:asciiTheme="majorHAnsi" w:hAnsiTheme="majorHAnsi"/>
          <w:bCs/>
          <w:sz w:val="20"/>
          <w:szCs w:val="20"/>
          <w:lang w:val="es-ES_tradnl"/>
        </w:rPr>
        <w:t xml:space="preserve"> un retardo injustificado.</w:t>
      </w:r>
    </w:p>
    <w:p w14:paraId="1FA69ED3" w14:textId="43D9A755" w:rsidR="001F3EA5" w:rsidRPr="00BB3C87" w:rsidRDefault="000F1A1F" w:rsidP="00BB3C87">
      <w:pPr>
        <w:pStyle w:val="ListParagraph"/>
        <w:numPr>
          <w:ilvl w:val="0"/>
          <w:numId w:val="56"/>
        </w:numPr>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Cabe resaltar que tanto la parte peticionaria</w:t>
      </w:r>
      <w:r w:rsidR="00370233" w:rsidRPr="00BB3C87">
        <w:rPr>
          <w:rFonts w:asciiTheme="majorHAnsi" w:hAnsiTheme="majorHAnsi"/>
          <w:bCs/>
          <w:sz w:val="20"/>
          <w:szCs w:val="20"/>
          <w:lang w:val="es-ES_tradnl"/>
        </w:rPr>
        <w:t xml:space="preserve"> como el Estado</w:t>
      </w:r>
      <w:r w:rsidRPr="00BB3C87">
        <w:rPr>
          <w:rFonts w:asciiTheme="majorHAnsi" w:hAnsiTheme="majorHAnsi"/>
          <w:bCs/>
          <w:sz w:val="20"/>
          <w:szCs w:val="20"/>
          <w:lang w:val="es-ES_tradnl"/>
        </w:rPr>
        <w:t xml:space="preserve"> manifestaron su voluntad para realizar un procedimiento de solución amistosa</w:t>
      </w:r>
      <w:r w:rsidRPr="00BB3C87">
        <w:rPr>
          <w:rFonts w:asciiTheme="majorHAnsi" w:hAnsiTheme="majorHAnsi"/>
          <w:sz w:val="20"/>
          <w:szCs w:val="20"/>
          <w:vertAlign w:val="superscript"/>
          <w:lang w:val="es-ES_tradnl"/>
        </w:rPr>
        <w:footnoteReference w:id="26"/>
      </w:r>
      <w:r w:rsidRPr="00BB3C87">
        <w:rPr>
          <w:rFonts w:asciiTheme="majorHAnsi" w:hAnsiTheme="majorHAnsi"/>
          <w:bCs/>
          <w:sz w:val="20"/>
          <w:szCs w:val="20"/>
          <w:lang w:val="es-ES_tradnl"/>
        </w:rPr>
        <w:t xml:space="preserve">. Sin embargo, la CIDH </w:t>
      </w:r>
      <w:r w:rsidR="00E37759" w:rsidRPr="00BB3C87">
        <w:rPr>
          <w:rFonts w:asciiTheme="majorHAnsi" w:hAnsiTheme="majorHAnsi"/>
          <w:bCs/>
          <w:sz w:val="20"/>
          <w:szCs w:val="20"/>
          <w:lang w:val="es-ES_tradnl"/>
        </w:rPr>
        <w:t>resalta</w:t>
      </w:r>
      <w:r w:rsidRPr="00BB3C87">
        <w:rPr>
          <w:rFonts w:asciiTheme="majorHAnsi" w:hAnsiTheme="majorHAnsi"/>
          <w:bCs/>
          <w:sz w:val="20"/>
          <w:szCs w:val="20"/>
          <w:lang w:val="es-ES_tradnl"/>
        </w:rPr>
        <w:t xml:space="preserve"> la inviabilidad de facilitar un proceso de negociación para el presente asunto</w:t>
      </w:r>
      <w:r w:rsidR="00C1320A"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en los términos previstos en el artículo 40.4 del Reglamento de la Comisión. </w:t>
      </w:r>
      <w:r w:rsidR="00813626" w:rsidRPr="00BB3C87">
        <w:rPr>
          <w:rFonts w:asciiTheme="majorHAnsi" w:hAnsiTheme="majorHAnsi"/>
          <w:bCs/>
          <w:sz w:val="20"/>
          <w:szCs w:val="20"/>
          <w:lang w:val="es-ES_tradnl"/>
        </w:rPr>
        <w:t>Pues,</w:t>
      </w:r>
      <w:r w:rsidRPr="00BB3C87">
        <w:rPr>
          <w:rFonts w:asciiTheme="majorHAnsi" w:hAnsiTheme="majorHAnsi"/>
          <w:bCs/>
          <w:sz w:val="20"/>
          <w:szCs w:val="20"/>
          <w:lang w:val="es-ES_tradnl"/>
        </w:rPr>
        <w:t xml:space="preserve"> en virtud de la comunicación del 21 de enero de 2002 en </w:t>
      </w:r>
      <w:r w:rsidR="00813626" w:rsidRPr="00BB3C87">
        <w:rPr>
          <w:rFonts w:asciiTheme="majorHAnsi" w:hAnsiTheme="majorHAnsi"/>
          <w:bCs/>
          <w:sz w:val="20"/>
          <w:szCs w:val="20"/>
          <w:lang w:val="es-ES_tradnl"/>
        </w:rPr>
        <w:t>la que</w:t>
      </w:r>
      <w:r w:rsidRPr="00BB3C87">
        <w:rPr>
          <w:rFonts w:asciiTheme="majorHAnsi" w:hAnsiTheme="majorHAnsi"/>
          <w:bCs/>
          <w:sz w:val="20"/>
          <w:szCs w:val="20"/>
          <w:lang w:val="es-ES_tradnl"/>
        </w:rPr>
        <w:t xml:space="preserve"> el Estado de Guatemala, a través de la Comisión Presidencial por la Paz y los Derechos Humanos, manifestó su intención de no continuar con el procedimiento de solución amistosa </w:t>
      </w:r>
      <w:r w:rsidRPr="00BB3C87">
        <w:rPr>
          <w:rFonts w:asciiTheme="majorHAnsi" w:hAnsiTheme="majorHAnsi"/>
          <w:bCs/>
          <w:i/>
          <w:iCs/>
          <w:sz w:val="20"/>
          <w:szCs w:val="20"/>
          <w:lang w:val="es-ES_tradnl"/>
        </w:rPr>
        <w:t>“toda vez que no existen derechos humanos vulnerados atribuibles al Estado de Guatemala, derivados de la realización de negocios jurídicos de adquisición de inmuebles entre particulares, y no así por participación y/o aquiescencia de funcionarios públicos”.</w:t>
      </w:r>
      <w:r w:rsidRPr="00BB3C87">
        <w:rPr>
          <w:rFonts w:asciiTheme="majorHAnsi" w:hAnsiTheme="majorHAnsi"/>
          <w:bCs/>
          <w:sz w:val="20"/>
          <w:szCs w:val="20"/>
          <w:lang w:val="es-ES_tradnl"/>
        </w:rPr>
        <w:t xml:space="preserve"> Así, el 22 de marzo de 2022, la CIDH le confirmó al Estado que, conforme al artículo 40 del Reglamento de la CIDH, se daba por concluida la intervención de la Comisión en el procedimiento de solución amistosa y se continuaría con el trámite del caso; esta información también se le trasladó a la parte peticionaria en la misma fecha. Por lo cual, esta Comisión procede a la emisión de la presente decisión</w:t>
      </w:r>
      <w:r w:rsidR="00C1320A" w:rsidRPr="00BB3C87">
        <w:rPr>
          <w:rFonts w:asciiTheme="majorHAnsi" w:hAnsiTheme="majorHAnsi"/>
          <w:bCs/>
          <w:sz w:val="20"/>
          <w:szCs w:val="20"/>
          <w:lang w:val="es-ES_tradnl"/>
        </w:rPr>
        <w:t>.</w:t>
      </w:r>
    </w:p>
    <w:p w14:paraId="6411F27A" w14:textId="4CAC3D61" w:rsidR="00410D96" w:rsidRPr="00BB3C87" w:rsidRDefault="00410D96" w:rsidP="00BB3C87">
      <w:pPr>
        <w:spacing w:before="240" w:after="240"/>
        <w:ind w:firstLine="720"/>
        <w:jc w:val="both"/>
        <w:rPr>
          <w:rFonts w:asciiTheme="majorHAnsi" w:eastAsia="Cambria" w:hAnsiTheme="majorHAnsi" w:cs="Cambria"/>
          <w:b/>
          <w:bCs/>
          <w:color w:val="000000"/>
          <w:sz w:val="20"/>
          <w:szCs w:val="20"/>
          <w:u w:color="000000"/>
          <w:lang w:val="es-ES_tradnl" w:eastAsia="es-ES"/>
        </w:rPr>
      </w:pPr>
      <w:r w:rsidRPr="00BB3C87">
        <w:rPr>
          <w:rFonts w:asciiTheme="majorHAnsi" w:eastAsia="Cambria" w:hAnsiTheme="majorHAnsi" w:cs="Cambria"/>
          <w:b/>
          <w:bCs/>
          <w:color w:val="000000"/>
          <w:sz w:val="20"/>
          <w:szCs w:val="20"/>
          <w:u w:color="000000"/>
          <w:lang w:val="es-ES_tradnl" w:eastAsia="es-ES"/>
        </w:rPr>
        <w:t>VI.</w:t>
      </w:r>
      <w:r w:rsidRPr="00BB3C87">
        <w:rPr>
          <w:rFonts w:asciiTheme="majorHAnsi" w:eastAsia="Cambria" w:hAnsiTheme="majorHAnsi" w:cs="Cambria"/>
          <w:b/>
          <w:bCs/>
          <w:color w:val="000000"/>
          <w:sz w:val="20"/>
          <w:szCs w:val="20"/>
          <w:u w:color="000000"/>
          <w:lang w:val="es-ES_tradnl" w:eastAsia="es-ES"/>
        </w:rPr>
        <w:tab/>
      </w:r>
      <w:r w:rsidRPr="00BB3C87">
        <w:rPr>
          <w:rFonts w:asciiTheme="majorHAnsi" w:hAnsiTheme="majorHAnsi"/>
          <w:b/>
          <w:bCs/>
          <w:sz w:val="20"/>
          <w:szCs w:val="20"/>
          <w:lang w:val="es-ES_tradnl"/>
        </w:rPr>
        <w:t xml:space="preserve">ANÁLISIS DE </w:t>
      </w:r>
      <w:r w:rsidRPr="00BB3C87">
        <w:rPr>
          <w:rFonts w:asciiTheme="majorHAnsi" w:hAnsiTheme="majorHAnsi"/>
          <w:b/>
          <w:sz w:val="20"/>
          <w:szCs w:val="20"/>
          <w:lang w:val="es-ES_tradnl"/>
        </w:rPr>
        <w:t>AGOTAMIENTO DE LOS RECURSOS INTERNOS Y PLAZO DE PRESENTACIÓN</w:t>
      </w:r>
      <w:r w:rsidRPr="00BB3C87">
        <w:rPr>
          <w:rFonts w:asciiTheme="majorHAnsi" w:eastAsia="Cambria" w:hAnsiTheme="majorHAnsi" w:cs="Cambria"/>
          <w:b/>
          <w:bCs/>
          <w:color w:val="000000"/>
          <w:sz w:val="20"/>
          <w:szCs w:val="20"/>
          <w:u w:color="000000"/>
          <w:lang w:val="es-ES_tradnl" w:eastAsia="es-ES"/>
        </w:rPr>
        <w:t xml:space="preserve"> </w:t>
      </w:r>
    </w:p>
    <w:p w14:paraId="6E6FC3A7" w14:textId="095257EF" w:rsidR="00370233" w:rsidRPr="00BB3C87" w:rsidRDefault="00202863"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
        </w:rPr>
        <w:t xml:space="preserve">Para el análisis del agotamiento de los recursos </w:t>
      </w:r>
      <w:r w:rsidR="001F77D5" w:rsidRPr="00BB3C87">
        <w:rPr>
          <w:rFonts w:asciiTheme="majorHAnsi" w:hAnsiTheme="majorHAnsi"/>
          <w:sz w:val="20"/>
          <w:szCs w:val="20"/>
          <w:lang w:val="es-ES"/>
        </w:rPr>
        <w:t>internos</w:t>
      </w:r>
      <w:r w:rsidRPr="00BB3C87">
        <w:rPr>
          <w:rFonts w:asciiTheme="majorHAnsi" w:hAnsiTheme="majorHAnsi"/>
          <w:sz w:val="20"/>
          <w:szCs w:val="20"/>
          <w:lang w:val="es-ES"/>
        </w:rPr>
        <w:t xml:space="preserve">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BB3C87">
        <w:rPr>
          <w:rStyle w:val="FootnoteReference"/>
          <w:rFonts w:asciiTheme="majorHAnsi" w:hAnsiTheme="majorHAnsi"/>
          <w:sz w:val="20"/>
          <w:szCs w:val="20"/>
          <w:lang w:val="es-ES"/>
        </w:rPr>
        <w:footnoteReference w:id="27"/>
      </w:r>
      <w:r w:rsidRPr="00BB3C87">
        <w:rPr>
          <w:rFonts w:asciiTheme="majorHAnsi" w:hAnsiTheme="majorHAnsi"/>
          <w:sz w:val="20"/>
          <w:szCs w:val="20"/>
          <w:lang w:val="es-ES"/>
        </w:rPr>
        <w:t xml:space="preserve">. En </w:t>
      </w:r>
      <w:r w:rsidR="00C46501" w:rsidRPr="00BB3C87">
        <w:rPr>
          <w:rFonts w:asciiTheme="majorHAnsi" w:hAnsiTheme="majorHAnsi"/>
          <w:sz w:val="20"/>
          <w:szCs w:val="20"/>
          <w:lang w:val="es-ES"/>
        </w:rPr>
        <w:t>la presente petición</w:t>
      </w:r>
      <w:r w:rsidR="00370233" w:rsidRPr="00BB3C87">
        <w:rPr>
          <w:rFonts w:asciiTheme="majorHAnsi" w:hAnsiTheme="majorHAnsi"/>
          <w:sz w:val="20"/>
          <w:szCs w:val="20"/>
          <w:lang w:val="es-ES"/>
        </w:rPr>
        <w:t>,</w:t>
      </w:r>
      <w:r w:rsidR="00F847FE" w:rsidRPr="00BB3C87">
        <w:rPr>
          <w:rFonts w:asciiTheme="majorHAnsi" w:hAnsiTheme="majorHAnsi"/>
          <w:sz w:val="20"/>
          <w:szCs w:val="20"/>
          <w:lang w:val="es-ES"/>
        </w:rPr>
        <w:t xml:space="preserve"> la Comisión observa que la </w:t>
      </w:r>
      <w:r w:rsidR="00F847FE" w:rsidRPr="00BB3C87">
        <w:rPr>
          <w:rFonts w:asciiTheme="majorHAnsi" w:hAnsiTheme="majorHAnsi"/>
          <w:sz w:val="20"/>
          <w:szCs w:val="20"/>
          <w:lang w:val="es-ES"/>
        </w:rPr>
        <w:lastRenderedPageBreak/>
        <w:t>información que los peticionarios presentaron es dispersa, lo que complica el estudio de los hechos denunciados.</w:t>
      </w:r>
      <w:r w:rsidR="00370233" w:rsidRPr="00BB3C87">
        <w:rPr>
          <w:rFonts w:asciiTheme="majorHAnsi" w:hAnsiTheme="majorHAnsi"/>
          <w:sz w:val="20"/>
          <w:szCs w:val="20"/>
          <w:lang w:val="es-ES"/>
        </w:rPr>
        <w:t xml:space="preserve"> </w:t>
      </w:r>
      <w:r w:rsidR="00F847FE" w:rsidRPr="00BB3C87">
        <w:rPr>
          <w:rFonts w:asciiTheme="majorHAnsi" w:hAnsiTheme="majorHAnsi"/>
          <w:sz w:val="20"/>
          <w:szCs w:val="20"/>
          <w:lang w:val="es-ES"/>
        </w:rPr>
        <w:t>No obstante, se desprende que la parte peticionaria</w:t>
      </w:r>
      <w:r w:rsidR="00217872" w:rsidRPr="00BB3C87">
        <w:rPr>
          <w:rFonts w:asciiTheme="majorHAnsi" w:hAnsiTheme="majorHAnsi"/>
          <w:sz w:val="20"/>
          <w:szCs w:val="20"/>
          <w:lang w:val="es-ES"/>
        </w:rPr>
        <w:t xml:space="preserve"> representa</w:t>
      </w:r>
      <w:r w:rsidR="00330828" w:rsidRPr="00BB3C87">
        <w:rPr>
          <w:rFonts w:asciiTheme="majorHAnsi" w:hAnsiTheme="majorHAnsi"/>
          <w:sz w:val="20"/>
          <w:szCs w:val="20"/>
          <w:lang w:val="es-ES"/>
        </w:rPr>
        <w:t xml:space="preserve"> </w:t>
      </w:r>
      <w:r w:rsidR="00217872" w:rsidRPr="00BB3C87">
        <w:rPr>
          <w:rFonts w:asciiTheme="majorHAnsi" w:hAnsiTheme="majorHAnsi"/>
          <w:sz w:val="20"/>
          <w:szCs w:val="20"/>
          <w:lang w:val="es-ES"/>
        </w:rPr>
        <w:t xml:space="preserve">a familias pertenecientes a una comunidad indígena y campesina, y denuncian ante la CIDH </w:t>
      </w:r>
      <w:r w:rsidR="00370233" w:rsidRPr="00BB3C87">
        <w:rPr>
          <w:rFonts w:asciiTheme="majorHAnsi" w:hAnsiTheme="majorHAnsi"/>
          <w:sz w:val="20"/>
          <w:szCs w:val="20"/>
          <w:lang w:val="es-ES"/>
        </w:rPr>
        <w:t xml:space="preserve">varios temas: (i) el reclamo principal de la parte peticionaria </w:t>
      </w:r>
      <w:r w:rsidR="00AB214B" w:rsidRPr="00BB3C87">
        <w:rPr>
          <w:rFonts w:asciiTheme="majorHAnsi" w:hAnsiTheme="majorHAnsi"/>
          <w:sz w:val="20"/>
          <w:szCs w:val="20"/>
          <w:lang w:val="es-ES"/>
        </w:rPr>
        <w:t>consiste</w:t>
      </w:r>
      <w:r w:rsidR="00370233" w:rsidRPr="00BB3C87">
        <w:rPr>
          <w:rFonts w:asciiTheme="majorHAnsi" w:hAnsiTheme="majorHAnsi"/>
          <w:sz w:val="20"/>
          <w:szCs w:val="20"/>
          <w:lang w:val="es-ES"/>
        </w:rPr>
        <w:t xml:space="preserve"> en las alegadas violaciones procesales por parte de distintas autoridades y tribunales nacionales, quienes, según los peticionarios, negaron a las presuntas víctimas su participación como terceros interesados dentro del proceso de extinción de dominio que afectaba a la finca que ellos compraron de manera legítima; (ii) las presuntas amenazas por parte de SENABED y otras autoridades para desalojar a las presuntas víctimas de la finca; (iii) la falta de apoyo del Estado para adquirir las fincas, a través del Fondo de Tierras; y, (iv) la explotación ilegal de sus tierras y de los ríos que atraviesan la finca, para lo cual, alegan, las autoridades no habrían apoyado a la comunidad.</w:t>
      </w:r>
      <w:r w:rsidR="008F3AC4" w:rsidRPr="00BB3C87">
        <w:rPr>
          <w:rFonts w:asciiTheme="majorHAnsi" w:hAnsiTheme="majorHAnsi"/>
          <w:sz w:val="20"/>
          <w:szCs w:val="20"/>
          <w:lang w:val="es-ES"/>
        </w:rPr>
        <w:t xml:space="preserve"> </w:t>
      </w:r>
    </w:p>
    <w:p w14:paraId="64C8955B" w14:textId="01572467" w:rsidR="00202863" w:rsidRPr="00BB3C87" w:rsidRDefault="00C46501"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
        </w:rPr>
        <w:t>Cabe destacar que</w:t>
      </w:r>
      <w:r w:rsidR="00370233" w:rsidRPr="00BB3C87">
        <w:rPr>
          <w:rFonts w:asciiTheme="majorHAnsi" w:hAnsiTheme="majorHAnsi"/>
          <w:sz w:val="20"/>
          <w:szCs w:val="20"/>
          <w:lang w:val="es-ES"/>
        </w:rPr>
        <w:t xml:space="preserve">, en cuanto a los reclamos (ii), (iii) y (iv) la parte peticionaria no presentó un mínimo de argumentación suficiente relativa a </w:t>
      </w:r>
      <w:r w:rsidR="00DF2BBE" w:rsidRPr="00BB3C87">
        <w:rPr>
          <w:rFonts w:asciiTheme="majorHAnsi" w:hAnsiTheme="majorHAnsi"/>
          <w:sz w:val="20"/>
          <w:szCs w:val="20"/>
          <w:lang w:val="es-ES"/>
        </w:rPr>
        <w:t>recursos</w:t>
      </w:r>
      <w:r w:rsidR="00370233" w:rsidRPr="00BB3C87">
        <w:rPr>
          <w:rFonts w:asciiTheme="majorHAnsi" w:hAnsiTheme="majorHAnsi"/>
          <w:sz w:val="20"/>
          <w:szCs w:val="20"/>
          <w:lang w:val="es-ES"/>
        </w:rPr>
        <w:t xml:space="preserve"> judiciales</w:t>
      </w:r>
      <w:r w:rsidR="00DF2BBE" w:rsidRPr="00BB3C87">
        <w:rPr>
          <w:rFonts w:asciiTheme="majorHAnsi" w:hAnsiTheme="majorHAnsi"/>
          <w:sz w:val="20"/>
          <w:szCs w:val="20"/>
          <w:lang w:val="es-ES"/>
        </w:rPr>
        <w:t xml:space="preserve"> intentados</w:t>
      </w:r>
      <w:r w:rsidR="00813626" w:rsidRPr="00BB3C87">
        <w:rPr>
          <w:rFonts w:asciiTheme="majorHAnsi" w:hAnsiTheme="majorHAnsi"/>
          <w:sz w:val="20"/>
          <w:szCs w:val="20"/>
          <w:lang w:val="es-ES"/>
        </w:rPr>
        <w:t>,</w:t>
      </w:r>
      <w:r w:rsidR="00A72AD0" w:rsidRPr="00BB3C87">
        <w:rPr>
          <w:rFonts w:asciiTheme="majorHAnsi" w:hAnsiTheme="majorHAnsi"/>
          <w:sz w:val="20"/>
          <w:szCs w:val="20"/>
          <w:lang w:val="es-ES"/>
        </w:rPr>
        <w:t xml:space="preserve"> </w:t>
      </w:r>
      <w:r w:rsidR="00813626" w:rsidRPr="00BB3C87">
        <w:rPr>
          <w:rFonts w:asciiTheme="majorHAnsi" w:hAnsiTheme="majorHAnsi"/>
          <w:sz w:val="20"/>
          <w:szCs w:val="20"/>
          <w:lang w:val="es-ES"/>
        </w:rPr>
        <w:t>y</w:t>
      </w:r>
      <w:r w:rsidR="00A72AD0" w:rsidRPr="00BB3C87">
        <w:rPr>
          <w:rFonts w:asciiTheme="majorHAnsi" w:hAnsiTheme="majorHAnsi"/>
          <w:sz w:val="20"/>
          <w:szCs w:val="20"/>
          <w:lang w:val="es-ES"/>
        </w:rPr>
        <w:t xml:space="preserve"> </w:t>
      </w:r>
      <w:r w:rsidR="00BB3C87" w:rsidRPr="00BB3C87">
        <w:rPr>
          <w:rFonts w:asciiTheme="majorHAnsi" w:hAnsiTheme="majorHAnsi"/>
          <w:sz w:val="20"/>
          <w:szCs w:val="20"/>
          <w:lang w:val="es-ES_tradnl"/>
        </w:rPr>
        <w:t>tampoco</w:t>
      </w:r>
      <w:r w:rsidR="00F04FA0" w:rsidRPr="00BB3C87">
        <w:rPr>
          <w:rFonts w:asciiTheme="majorHAnsi" w:hAnsiTheme="majorHAnsi"/>
          <w:sz w:val="20"/>
          <w:szCs w:val="20"/>
          <w:lang w:val="es-ES_tradnl"/>
        </w:rPr>
        <w:t xml:space="preserve"> hay </w:t>
      </w:r>
      <w:r w:rsidR="00A72AD0" w:rsidRPr="00BB3C87">
        <w:rPr>
          <w:rFonts w:asciiTheme="majorHAnsi" w:hAnsiTheme="majorHAnsi"/>
          <w:sz w:val="20"/>
          <w:szCs w:val="20"/>
          <w:lang w:val="es-ES_tradnl"/>
        </w:rPr>
        <w:t xml:space="preserve">alegatos </w:t>
      </w:r>
      <w:r w:rsidR="009B1F41" w:rsidRPr="00BB3C87">
        <w:rPr>
          <w:rFonts w:asciiTheme="majorHAnsi" w:hAnsiTheme="majorHAnsi"/>
          <w:sz w:val="20"/>
          <w:szCs w:val="20"/>
          <w:lang w:val="es-ES_tradnl"/>
        </w:rPr>
        <w:t xml:space="preserve">o información </w:t>
      </w:r>
      <w:r w:rsidR="00F04FA0" w:rsidRPr="00BB3C87">
        <w:rPr>
          <w:rFonts w:asciiTheme="majorHAnsi" w:hAnsiTheme="majorHAnsi"/>
          <w:sz w:val="20"/>
          <w:szCs w:val="20"/>
          <w:lang w:val="es-ES_tradnl"/>
        </w:rPr>
        <w:t>suficiente</w:t>
      </w:r>
      <w:r w:rsidR="00A72AD0" w:rsidRPr="00BB3C87">
        <w:rPr>
          <w:rFonts w:asciiTheme="majorHAnsi" w:hAnsiTheme="majorHAnsi"/>
          <w:sz w:val="20"/>
          <w:szCs w:val="20"/>
          <w:lang w:val="es-ES_tradnl"/>
        </w:rPr>
        <w:t>s</w:t>
      </w:r>
      <w:r w:rsidR="00F04FA0" w:rsidRPr="00BB3C87">
        <w:rPr>
          <w:rFonts w:asciiTheme="majorHAnsi" w:hAnsiTheme="majorHAnsi"/>
          <w:sz w:val="20"/>
          <w:szCs w:val="20"/>
          <w:lang w:val="es-ES_tradnl"/>
        </w:rPr>
        <w:t xml:space="preserve"> para establecer eventuales </w:t>
      </w:r>
      <w:r w:rsidR="00A72AD0" w:rsidRPr="00BB3C87">
        <w:rPr>
          <w:rFonts w:asciiTheme="majorHAnsi" w:hAnsiTheme="majorHAnsi"/>
          <w:sz w:val="20"/>
          <w:szCs w:val="20"/>
          <w:lang w:val="es-ES_tradnl"/>
        </w:rPr>
        <w:t>violaciones a sus derechos humanos</w:t>
      </w:r>
      <w:r w:rsidR="00370233" w:rsidRPr="00BB3C87">
        <w:rPr>
          <w:rFonts w:asciiTheme="majorHAnsi" w:hAnsiTheme="majorHAnsi"/>
          <w:sz w:val="20"/>
          <w:szCs w:val="20"/>
          <w:lang w:val="es-ES"/>
        </w:rPr>
        <w:t xml:space="preserve">; </w:t>
      </w:r>
      <w:r w:rsidR="00A72AD0" w:rsidRPr="00BB3C87">
        <w:rPr>
          <w:rFonts w:asciiTheme="majorHAnsi" w:hAnsiTheme="majorHAnsi"/>
          <w:sz w:val="20"/>
          <w:szCs w:val="20"/>
          <w:lang w:val="es-ES"/>
        </w:rPr>
        <w:t>p</w:t>
      </w:r>
      <w:r w:rsidR="00370233" w:rsidRPr="00BB3C87">
        <w:rPr>
          <w:rFonts w:asciiTheme="majorHAnsi" w:hAnsiTheme="majorHAnsi"/>
          <w:sz w:val="20"/>
          <w:szCs w:val="20"/>
          <w:lang w:val="es-ES"/>
        </w:rPr>
        <w:t>or lo tanto, la Comisión Interamericana considera que no cuenta con información que le permita verificar el cumplimiento del requisito de agotamiento de los recursos internos establecido en el artículo 46.1.a) de la Convención Americana, ni el requisito del plazo de presentación establecido en el artículo 46.1.b) del mismo instrumento.</w:t>
      </w:r>
      <w:r w:rsidR="00F04FA0" w:rsidRPr="00BB3C87">
        <w:rPr>
          <w:rFonts w:asciiTheme="majorHAnsi" w:hAnsiTheme="majorHAnsi"/>
          <w:sz w:val="20"/>
          <w:szCs w:val="20"/>
          <w:lang w:val="es-ES"/>
        </w:rPr>
        <w:t xml:space="preserve"> </w:t>
      </w:r>
    </w:p>
    <w:p w14:paraId="53B02F3B" w14:textId="14B6F5AB" w:rsidR="00842CB6" w:rsidRPr="00BB3C87" w:rsidRDefault="00842CB6"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_tradnl"/>
        </w:rPr>
        <w:t>Ante esto, se advierte que el</w:t>
      </w:r>
      <w:r w:rsidR="00370233" w:rsidRPr="00BB3C87">
        <w:rPr>
          <w:rFonts w:asciiTheme="majorHAnsi" w:hAnsiTheme="majorHAnsi"/>
          <w:sz w:val="20"/>
          <w:szCs w:val="20"/>
          <w:lang w:val="es-ES"/>
        </w:rPr>
        <w:t xml:space="preserve"> reclamo principal</w:t>
      </w:r>
      <w:r w:rsidRPr="00BB3C87">
        <w:rPr>
          <w:rFonts w:asciiTheme="majorHAnsi" w:hAnsiTheme="majorHAnsi"/>
          <w:sz w:val="20"/>
          <w:szCs w:val="20"/>
          <w:lang w:val="es-ES"/>
        </w:rPr>
        <w:t xml:space="preserve"> de esta petición son </w:t>
      </w:r>
      <w:r w:rsidR="00A72AD0" w:rsidRPr="00BB3C87">
        <w:rPr>
          <w:rFonts w:asciiTheme="majorHAnsi" w:hAnsiTheme="majorHAnsi"/>
          <w:sz w:val="20"/>
          <w:szCs w:val="20"/>
          <w:lang w:val="es-ES_tradnl"/>
        </w:rPr>
        <w:t xml:space="preserve">las </w:t>
      </w:r>
      <w:r w:rsidR="00A72AD0" w:rsidRPr="00BB3C87">
        <w:rPr>
          <w:rFonts w:asciiTheme="majorHAnsi" w:hAnsiTheme="majorHAnsi"/>
          <w:sz w:val="20"/>
          <w:szCs w:val="20"/>
          <w:lang w:val="es-ES"/>
        </w:rPr>
        <w:t>alegadas violaciones procesales consistentes en negar a las presuntas víctimas su participación como terceros interesados dentro del proceso de extinción de dominio que afectaba a la finca que compraron</w:t>
      </w:r>
      <w:r w:rsidRPr="00BB3C87">
        <w:rPr>
          <w:rFonts w:asciiTheme="majorHAnsi" w:hAnsiTheme="majorHAnsi"/>
          <w:sz w:val="20"/>
          <w:szCs w:val="20"/>
          <w:lang w:val="es-ES"/>
        </w:rPr>
        <w:t xml:space="preserve">. Por lo cual, la presente petición se enfocará en este alegato. </w:t>
      </w:r>
    </w:p>
    <w:p w14:paraId="237E2AA2" w14:textId="42736349" w:rsidR="00842CB6" w:rsidRPr="00BB3C87" w:rsidRDefault="00842CB6"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En atención a la multiplicidad de hechos y eventos, y </w:t>
      </w:r>
      <w:r w:rsidR="009B1F41" w:rsidRPr="00BB3C87">
        <w:rPr>
          <w:rFonts w:asciiTheme="majorHAnsi" w:hAnsiTheme="majorHAnsi"/>
          <w:bCs/>
          <w:sz w:val="20"/>
          <w:szCs w:val="20"/>
          <w:lang w:val="es-ES_tradnl"/>
        </w:rPr>
        <w:t>en procura de una</w:t>
      </w:r>
      <w:r w:rsidR="00E37759" w:rsidRPr="00BB3C87">
        <w:rPr>
          <w:rFonts w:asciiTheme="majorHAnsi" w:hAnsiTheme="majorHAnsi"/>
          <w:bCs/>
          <w:sz w:val="20"/>
          <w:szCs w:val="20"/>
          <w:lang w:val="es-ES_tradnl"/>
        </w:rPr>
        <w:t xml:space="preserve"> </w:t>
      </w:r>
      <w:r w:rsidRPr="00BB3C87">
        <w:rPr>
          <w:rFonts w:asciiTheme="majorHAnsi" w:hAnsiTheme="majorHAnsi"/>
          <w:bCs/>
          <w:sz w:val="20"/>
          <w:szCs w:val="20"/>
          <w:lang w:val="es-ES_tradnl"/>
        </w:rPr>
        <w:t xml:space="preserve">mayor claridad en comprender la temporalidad de lo ocurrido en la compraventa </w:t>
      </w:r>
      <w:r w:rsidR="00A41A73" w:rsidRPr="00BB3C87">
        <w:rPr>
          <w:rFonts w:asciiTheme="majorHAnsi" w:hAnsiTheme="majorHAnsi"/>
          <w:bCs/>
          <w:sz w:val="20"/>
          <w:szCs w:val="20"/>
          <w:lang w:val="es-ES_tradnl"/>
        </w:rPr>
        <w:t>en paralelo al</w:t>
      </w:r>
      <w:r w:rsidRPr="00BB3C87">
        <w:rPr>
          <w:rFonts w:asciiTheme="majorHAnsi" w:hAnsiTheme="majorHAnsi"/>
          <w:bCs/>
          <w:sz w:val="20"/>
          <w:szCs w:val="20"/>
          <w:lang w:val="es-ES_tradnl"/>
        </w:rPr>
        <w:t xml:space="preserve"> </w:t>
      </w:r>
      <w:r w:rsidRPr="00BB3C87">
        <w:rPr>
          <w:rFonts w:asciiTheme="majorHAnsi" w:hAnsiTheme="majorHAnsi"/>
          <w:sz w:val="20"/>
          <w:szCs w:val="20"/>
          <w:lang w:val="es-ES"/>
        </w:rPr>
        <w:t>proceso de extinción de dominio de la finca</w:t>
      </w:r>
      <w:r w:rsidRPr="00BB3C87">
        <w:rPr>
          <w:rFonts w:asciiTheme="majorHAnsi" w:hAnsiTheme="majorHAnsi"/>
          <w:bCs/>
          <w:sz w:val="20"/>
          <w:szCs w:val="20"/>
          <w:lang w:val="es-ES_tradnl"/>
        </w:rPr>
        <w:t xml:space="preserve">, se procede a hacer un resumen cronológico de los hechos más relevantes: </w:t>
      </w:r>
    </w:p>
    <w:p w14:paraId="3A36573A" w14:textId="50E4980D" w:rsidR="00842CB6" w:rsidRPr="00BB3C87" w:rsidRDefault="00842CB6" w:rsidP="00BB3C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2014 – Las presuntas víctimas comienzan las pláticas con la señora que les vendió la finca, quien les ofert</w:t>
      </w:r>
      <w:r w:rsidR="009B1F41" w:rsidRPr="00BB3C87">
        <w:rPr>
          <w:rFonts w:asciiTheme="majorHAnsi" w:hAnsiTheme="majorHAnsi"/>
          <w:bCs/>
          <w:sz w:val="20"/>
          <w:szCs w:val="20"/>
          <w:lang w:val="es-ES_tradnl"/>
        </w:rPr>
        <w:t>ó</w:t>
      </w:r>
      <w:r w:rsidRPr="00BB3C87">
        <w:rPr>
          <w:rFonts w:asciiTheme="majorHAnsi" w:hAnsiTheme="majorHAnsi"/>
          <w:bCs/>
          <w:sz w:val="20"/>
          <w:szCs w:val="20"/>
          <w:lang w:val="es-ES_tradnl"/>
        </w:rPr>
        <w:t xml:space="preserve"> una fracción del inmueble. Los peticionarios hacen un abono de 700,000 quetzales y se comprometen a pagar lo restante de forma anual.</w:t>
      </w:r>
    </w:p>
    <w:p w14:paraId="51BD25C2" w14:textId="0373897C" w:rsidR="00842CB6" w:rsidRPr="00BB3C87" w:rsidRDefault="00842CB6" w:rsidP="00BB3C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4 de febrero de 2014 – Se concretó el negocio jurídico de </w:t>
      </w:r>
      <w:r w:rsidRPr="00BB3C87">
        <w:rPr>
          <w:rFonts w:asciiTheme="majorHAnsi" w:hAnsiTheme="majorHAnsi"/>
          <w:bCs/>
          <w:i/>
          <w:iCs/>
          <w:sz w:val="20"/>
          <w:szCs w:val="20"/>
          <w:lang w:val="es-ES_tradnl"/>
        </w:rPr>
        <w:t>compraventa de fracción de finca rústica</w:t>
      </w:r>
      <w:r w:rsidRPr="00BB3C87">
        <w:rPr>
          <w:rFonts w:asciiTheme="majorHAnsi" w:hAnsiTheme="majorHAnsi"/>
          <w:bCs/>
          <w:sz w:val="20"/>
          <w:szCs w:val="20"/>
          <w:lang w:val="es-ES_tradnl"/>
        </w:rPr>
        <w:t xml:space="preserve"> entre la señora y la ADIAJMST. Los peticionarios indican que no tenían recursos para registrar la finca ante el Registro de la Propiedad de Quetzaltenango, ni pagar los impuestos respectivos, por lo que la compraventa no qued</w:t>
      </w:r>
      <w:r w:rsidR="009B1F41" w:rsidRPr="00BB3C87">
        <w:rPr>
          <w:rFonts w:asciiTheme="majorHAnsi" w:hAnsiTheme="majorHAnsi"/>
          <w:bCs/>
          <w:sz w:val="20"/>
          <w:szCs w:val="20"/>
          <w:lang w:val="es-ES_tradnl"/>
        </w:rPr>
        <w:t>ó</w:t>
      </w:r>
      <w:r w:rsidRPr="00BB3C87">
        <w:rPr>
          <w:rFonts w:asciiTheme="majorHAnsi" w:hAnsiTheme="majorHAnsi"/>
          <w:bCs/>
          <w:sz w:val="20"/>
          <w:szCs w:val="20"/>
          <w:lang w:val="es-ES_tradnl"/>
        </w:rPr>
        <w:t xml:space="preserve"> registrada formalmente. </w:t>
      </w:r>
    </w:p>
    <w:p w14:paraId="605E6D93" w14:textId="75EBAEC1"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29 de septiembre de 2014 – El Ministerio Público com</w:t>
      </w:r>
      <w:r w:rsidR="009B1F41" w:rsidRPr="00BB3C87">
        <w:rPr>
          <w:rFonts w:asciiTheme="majorHAnsi" w:hAnsiTheme="majorHAnsi"/>
          <w:bCs/>
          <w:sz w:val="20"/>
          <w:szCs w:val="20"/>
          <w:lang w:val="es-ES_tradnl"/>
        </w:rPr>
        <w:t>enzó</w:t>
      </w:r>
      <w:r w:rsidRPr="00BB3C87">
        <w:rPr>
          <w:rFonts w:asciiTheme="majorHAnsi" w:hAnsiTheme="majorHAnsi"/>
          <w:bCs/>
          <w:sz w:val="20"/>
          <w:szCs w:val="20"/>
          <w:lang w:val="es-ES_tradnl"/>
        </w:rPr>
        <w:t xml:space="preserve"> un proceso penal contra un tercero; lo que ocasiona que se pidan medidas cautelares de embargo en la finca de los peticionarios.</w:t>
      </w:r>
    </w:p>
    <w:p w14:paraId="219E8209" w14:textId="65C84E69"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1 de octubre de 2014 – El Juzgado de Primera Instancia de Extinción de Dominio conced</w:t>
      </w:r>
      <w:r w:rsidR="009B1F41" w:rsidRPr="00BB3C87">
        <w:rPr>
          <w:rFonts w:asciiTheme="majorHAnsi" w:hAnsiTheme="majorHAnsi"/>
          <w:bCs/>
          <w:sz w:val="20"/>
          <w:szCs w:val="20"/>
          <w:lang w:val="es-ES_tradnl"/>
        </w:rPr>
        <w:t>ió</w:t>
      </w:r>
      <w:r w:rsidRPr="00BB3C87">
        <w:rPr>
          <w:rFonts w:asciiTheme="majorHAnsi" w:hAnsiTheme="majorHAnsi"/>
          <w:bCs/>
          <w:sz w:val="20"/>
          <w:szCs w:val="20"/>
          <w:lang w:val="es-ES_tradnl"/>
        </w:rPr>
        <w:t xml:space="preserve"> las medidas cautelares de embargo</w:t>
      </w:r>
      <w:r w:rsidR="009B1F41" w:rsidRPr="00BB3C87">
        <w:rPr>
          <w:rFonts w:asciiTheme="majorHAnsi" w:hAnsiTheme="majorHAnsi"/>
          <w:bCs/>
          <w:sz w:val="20"/>
          <w:szCs w:val="20"/>
          <w:lang w:val="es-ES_tradnl"/>
        </w:rPr>
        <w:t>,</w:t>
      </w:r>
      <w:r w:rsidRPr="00BB3C87">
        <w:rPr>
          <w:rFonts w:asciiTheme="majorHAnsi" w:hAnsiTheme="majorHAnsi"/>
          <w:bCs/>
          <w:sz w:val="20"/>
          <w:szCs w:val="20"/>
          <w:lang w:val="es-ES_tradnl"/>
        </w:rPr>
        <w:t xml:space="preserve"> e inici</w:t>
      </w:r>
      <w:r w:rsidR="009B1F41" w:rsidRPr="00BB3C87">
        <w:rPr>
          <w:rFonts w:asciiTheme="majorHAnsi" w:hAnsiTheme="majorHAnsi"/>
          <w:bCs/>
          <w:sz w:val="20"/>
          <w:szCs w:val="20"/>
          <w:lang w:val="es-ES_tradnl"/>
        </w:rPr>
        <w:t>ó</w:t>
      </w:r>
      <w:r w:rsidRPr="00BB3C87">
        <w:rPr>
          <w:rFonts w:asciiTheme="majorHAnsi" w:hAnsiTheme="majorHAnsi"/>
          <w:bCs/>
          <w:sz w:val="20"/>
          <w:szCs w:val="20"/>
          <w:lang w:val="es-ES_tradnl"/>
        </w:rPr>
        <w:t xml:space="preserve"> formalmente el proceso de extinción de dominio sobre la finca. </w:t>
      </w:r>
    </w:p>
    <w:p w14:paraId="58EF60BF" w14:textId="73ECC578"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16 y 19 de enero de 2015 – </w:t>
      </w:r>
      <w:r w:rsidR="00A41A73" w:rsidRPr="00BB3C87">
        <w:rPr>
          <w:rFonts w:asciiTheme="majorHAnsi" w:hAnsiTheme="majorHAnsi"/>
          <w:bCs/>
          <w:sz w:val="20"/>
          <w:szCs w:val="20"/>
          <w:lang w:val="es-ES_tradnl"/>
        </w:rPr>
        <w:t>S</w:t>
      </w:r>
      <w:r w:rsidRPr="00BB3C87">
        <w:rPr>
          <w:rFonts w:asciiTheme="majorHAnsi" w:hAnsiTheme="majorHAnsi"/>
          <w:bCs/>
          <w:sz w:val="20"/>
          <w:szCs w:val="20"/>
          <w:lang w:val="es-ES_tradnl"/>
        </w:rPr>
        <w:t xml:space="preserve">e </w:t>
      </w:r>
      <w:r w:rsidR="009B1F41" w:rsidRPr="00BB3C87">
        <w:rPr>
          <w:rFonts w:asciiTheme="majorHAnsi" w:hAnsiTheme="majorHAnsi"/>
          <w:bCs/>
          <w:sz w:val="20"/>
          <w:szCs w:val="20"/>
          <w:lang w:val="es-ES_tradnl"/>
        </w:rPr>
        <w:t>publicaron</w:t>
      </w:r>
      <w:r w:rsidRPr="00BB3C87">
        <w:rPr>
          <w:rFonts w:asciiTheme="majorHAnsi" w:hAnsiTheme="majorHAnsi"/>
          <w:bCs/>
          <w:sz w:val="20"/>
          <w:szCs w:val="20"/>
          <w:lang w:val="es-ES_tradnl"/>
        </w:rPr>
        <w:t xml:space="preserve"> edictos referentes al inicio del proceso de extinción de dominio en diarios guatemaltecos.</w:t>
      </w:r>
    </w:p>
    <w:p w14:paraId="725F522E" w14:textId="503CF7BF"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lastRenderedPageBreak/>
        <w:t>28 de mayo de 2015 – Los peticionarios acud</w:t>
      </w:r>
      <w:r w:rsidR="009B1F41" w:rsidRPr="00BB3C87">
        <w:rPr>
          <w:rFonts w:asciiTheme="majorHAnsi" w:hAnsiTheme="majorHAnsi"/>
          <w:bCs/>
          <w:sz w:val="20"/>
          <w:szCs w:val="20"/>
          <w:lang w:val="es-ES_tradnl"/>
        </w:rPr>
        <w:t>iero</w:t>
      </w:r>
      <w:r w:rsidRPr="00BB3C87">
        <w:rPr>
          <w:rFonts w:asciiTheme="majorHAnsi" w:hAnsiTheme="majorHAnsi"/>
          <w:bCs/>
          <w:sz w:val="20"/>
          <w:szCs w:val="20"/>
          <w:lang w:val="es-ES_tradnl"/>
        </w:rPr>
        <w:t>n al Segundo Registro de la Propiedad de Quetzaltenango</w:t>
      </w:r>
      <w:r w:rsidR="009B1F41" w:rsidRPr="00BB3C87">
        <w:rPr>
          <w:rFonts w:asciiTheme="majorHAnsi" w:hAnsiTheme="majorHAnsi"/>
          <w:bCs/>
          <w:sz w:val="20"/>
          <w:szCs w:val="20"/>
          <w:lang w:val="es-ES_tradnl"/>
        </w:rPr>
        <w:t xml:space="preserve"> para registrar</w:t>
      </w:r>
      <w:r w:rsidRPr="00BB3C87">
        <w:rPr>
          <w:rFonts w:asciiTheme="majorHAnsi" w:hAnsiTheme="majorHAnsi"/>
          <w:bCs/>
          <w:sz w:val="20"/>
          <w:szCs w:val="20"/>
          <w:lang w:val="es-ES_tradnl"/>
        </w:rPr>
        <w:t xml:space="preserve"> la fracción de la finca adquirida: Finca 4643, Folio 143, Libro 130E de San Marcos.</w:t>
      </w:r>
    </w:p>
    <w:p w14:paraId="4DE0A3E6" w14:textId="6BC3072A"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13 de julio de 2015 – El Juzgado de Primera Instancia de Extinción de Dominio dict</w:t>
      </w:r>
      <w:r w:rsidR="009B1F41" w:rsidRPr="00BB3C87">
        <w:rPr>
          <w:rFonts w:asciiTheme="majorHAnsi" w:hAnsiTheme="majorHAnsi"/>
          <w:bCs/>
          <w:sz w:val="20"/>
          <w:szCs w:val="20"/>
          <w:lang w:val="es-ES_tradnl"/>
        </w:rPr>
        <w:t>ó</w:t>
      </w:r>
      <w:r w:rsidRPr="00BB3C87">
        <w:rPr>
          <w:rFonts w:asciiTheme="majorHAnsi" w:hAnsiTheme="majorHAnsi"/>
          <w:bCs/>
          <w:sz w:val="20"/>
          <w:szCs w:val="20"/>
          <w:lang w:val="es-ES_tradnl"/>
        </w:rPr>
        <w:t xml:space="preserve"> sentencia </w:t>
      </w:r>
      <w:r w:rsidR="00A41A73" w:rsidRPr="00BB3C87">
        <w:rPr>
          <w:rFonts w:asciiTheme="majorHAnsi" w:hAnsiTheme="majorHAnsi"/>
          <w:bCs/>
          <w:sz w:val="20"/>
          <w:szCs w:val="20"/>
          <w:lang w:val="es-ES_tradnl"/>
        </w:rPr>
        <w:t>sobre el mencionado</w:t>
      </w:r>
      <w:r w:rsidRPr="00BB3C87">
        <w:rPr>
          <w:rFonts w:asciiTheme="majorHAnsi" w:hAnsiTheme="majorHAnsi"/>
          <w:bCs/>
          <w:sz w:val="20"/>
          <w:szCs w:val="20"/>
          <w:lang w:val="es-ES_tradnl"/>
        </w:rPr>
        <w:t xml:space="preserve"> proceso de extinción</w:t>
      </w:r>
      <w:r w:rsidR="00A41A73" w:rsidRPr="00BB3C87">
        <w:rPr>
          <w:rFonts w:asciiTheme="majorHAnsi" w:hAnsiTheme="majorHAnsi"/>
          <w:bCs/>
          <w:sz w:val="20"/>
          <w:szCs w:val="20"/>
          <w:lang w:val="es-ES_tradnl"/>
        </w:rPr>
        <w:t xml:space="preserve"> de dominio</w:t>
      </w:r>
      <w:r w:rsidRPr="00BB3C87">
        <w:rPr>
          <w:rFonts w:asciiTheme="majorHAnsi" w:hAnsiTheme="majorHAnsi"/>
          <w:bCs/>
          <w:sz w:val="20"/>
          <w:szCs w:val="20"/>
          <w:lang w:val="es-ES_tradnl"/>
        </w:rPr>
        <w:t xml:space="preserve">. </w:t>
      </w:r>
    </w:p>
    <w:p w14:paraId="3DFC8BB1" w14:textId="18F1B9AE"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11 de octubre de 2016 – La Sección de Amparos de la Corte Suprema de Justicia resolvió </w:t>
      </w:r>
      <w:r w:rsidR="00BC1566" w:rsidRPr="00BB3C87">
        <w:rPr>
          <w:rFonts w:asciiTheme="majorHAnsi" w:hAnsiTheme="majorHAnsi"/>
          <w:bCs/>
          <w:sz w:val="20"/>
          <w:szCs w:val="20"/>
          <w:lang w:val="es-ES_tradnl"/>
        </w:rPr>
        <w:t xml:space="preserve">negar </w:t>
      </w:r>
      <w:r w:rsidRPr="00BB3C87">
        <w:rPr>
          <w:rFonts w:asciiTheme="majorHAnsi" w:hAnsiTheme="majorHAnsi"/>
          <w:bCs/>
          <w:sz w:val="20"/>
          <w:szCs w:val="20"/>
          <w:lang w:val="es-ES_tradnl"/>
        </w:rPr>
        <w:t>el amparo de nulidad del proceso de extinción de dominio, presentado por la señora que vendió el inmueble.</w:t>
      </w:r>
    </w:p>
    <w:p w14:paraId="1C87D6AD" w14:textId="5DC278D2"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31 de marzo de 2017 – </w:t>
      </w:r>
      <w:r w:rsidR="008F0BE6" w:rsidRPr="00BB3C87">
        <w:rPr>
          <w:rFonts w:asciiTheme="majorHAnsi" w:hAnsiTheme="majorHAnsi"/>
          <w:bCs/>
          <w:sz w:val="20"/>
          <w:szCs w:val="20"/>
          <w:lang w:val="es-ES_tradnl"/>
        </w:rPr>
        <w:t>Las presuntas víctimas</w:t>
      </w:r>
      <w:r w:rsidRPr="00BB3C87">
        <w:rPr>
          <w:rFonts w:asciiTheme="majorHAnsi" w:hAnsiTheme="majorHAnsi"/>
          <w:bCs/>
          <w:sz w:val="20"/>
          <w:szCs w:val="20"/>
          <w:lang w:val="es-ES_tradnl"/>
        </w:rPr>
        <w:t xml:space="preserve"> pid</w:t>
      </w:r>
      <w:r w:rsidR="009B1F41" w:rsidRPr="00BB3C87">
        <w:rPr>
          <w:rFonts w:asciiTheme="majorHAnsi" w:hAnsiTheme="majorHAnsi"/>
          <w:bCs/>
          <w:sz w:val="20"/>
          <w:szCs w:val="20"/>
          <w:lang w:val="es-ES_tradnl"/>
        </w:rPr>
        <w:t>ieron</w:t>
      </w:r>
      <w:r w:rsidRPr="00BB3C87">
        <w:rPr>
          <w:rFonts w:asciiTheme="majorHAnsi" w:hAnsiTheme="majorHAnsi"/>
          <w:bCs/>
          <w:sz w:val="20"/>
          <w:szCs w:val="20"/>
          <w:lang w:val="es-ES_tradnl"/>
        </w:rPr>
        <w:t xml:space="preserve"> </w:t>
      </w:r>
      <w:r w:rsidR="009B1F41" w:rsidRPr="00BB3C87">
        <w:rPr>
          <w:rFonts w:asciiTheme="majorHAnsi" w:hAnsiTheme="majorHAnsi"/>
          <w:bCs/>
          <w:sz w:val="20"/>
          <w:szCs w:val="20"/>
          <w:lang w:val="es-ES_tradnl"/>
        </w:rPr>
        <w:t>presentarse</w:t>
      </w:r>
      <w:r w:rsidRPr="00BB3C87">
        <w:rPr>
          <w:rFonts w:asciiTheme="majorHAnsi" w:hAnsiTheme="majorHAnsi"/>
          <w:bCs/>
          <w:sz w:val="20"/>
          <w:szCs w:val="20"/>
          <w:lang w:val="es-ES_tradnl"/>
        </w:rPr>
        <w:t xml:space="preserve"> en el proceso de extinción de dominio.</w:t>
      </w:r>
    </w:p>
    <w:p w14:paraId="2F672834" w14:textId="374BBED2" w:rsidR="00842CB6" w:rsidRPr="00BB3C87" w:rsidRDefault="00842CB6" w:rsidP="00BB3C8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hanging="357"/>
        <w:jc w:val="both"/>
        <w:rPr>
          <w:rFonts w:asciiTheme="majorHAnsi" w:hAnsiTheme="majorHAnsi"/>
          <w:bCs/>
          <w:sz w:val="20"/>
          <w:szCs w:val="20"/>
          <w:lang w:val="es-ES_tradnl"/>
        </w:rPr>
      </w:pPr>
      <w:r w:rsidRPr="00BB3C87">
        <w:rPr>
          <w:rFonts w:asciiTheme="majorHAnsi" w:hAnsiTheme="majorHAnsi"/>
          <w:bCs/>
          <w:sz w:val="20"/>
          <w:szCs w:val="20"/>
          <w:lang w:val="es-ES_tradnl"/>
        </w:rPr>
        <w:t xml:space="preserve">11 de abril de 2017 – El Juez de Primera Instancia de Extinción de Dominio rechazó por improcedente el apersonamiento de las presuntas víctimas, señalando que ya existía sentencia firme sobre el inmueble. </w:t>
      </w:r>
    </w:p>
    <w:p w14:paraId="10384A66" w14:textId="0B899FB9" w:rsidR="00C6685B" w:rsidRPr="00BB3C87" w:rsidRDefault="004574E7"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_tradnl"/>
        </w:rPr>
        <w:t>Así, l</w:t>
      </w:r>
      <w:r w:rsidR="00C46501" w:rsidRPr="00BB3C87">
        <w:rPr>
          <w:rFonts w:asciiTheme="majorHAnsi" w:hAnsiTheme="majorHAnsi"/>
          <w:sz w:val="20"/>
          <w:szCs w:val="20"/>
          <w:lang w:val="es-ES_tradnl"/>
        </w:rPr>
        <w:t>a parte peticionaria sostiene haber agotado los recursos previstos en el ordenamiento interno, iniciando con la petición de apersonarse en el proceso de extinción de dominio, lo que les fue negado el 11 de abril de 2017</w:t>
      </w:r>
      <w:r w:rsidR="00370233" w:rsidRPr="00BB3C87">
        <w:rPr>
          <w:rFonts w:asciiTheme="majorHAnsi" w:hAnsiTheme="majorHAnsi"/>
          <w:sz w:val="20"/>
          <w:szCs w:val="20"/>
          <w:lang w:val="es-ES_tradnl"/>
        </w:rPr>
        <w:t xml:space="preserve">; </w:t>
      </w:r>
      <w:r w:rsidRPr="00BB3C87">
        <w:rPr>
          <w:rFonts w:asciiTheme="majorHAnsi" w:hAnsiTheme="majorHAnsi"/>
          <w:sz w:val="20"/>
          <w:szCs w:val="20"/>
          <w:lang w:val="es-ES_tradnl"/>
        </w:rPr>
        <w:t>posteriormente</w:t>
      </w:r>
      <w:r w:rsidR="00370233" w:rsidRPr="00BB3C87">
        <w:rPr>
          <w:rFonts w:asciiTheme="majorHAnsi" w:hAnsiTheme="majorHAnsi"/>
          <w:sz w:val="20"/>
          <w:szCs w:val="20"/>
          <w:lang w:val="es-ES_tradnl"/>
        </w:rPr>
        <w:t xml:space="preserve"> </w:t>
      </w:r>
      <w:r w:rsidR="00C46501" w:rsidRPr="00BB3C87">
        <w:rPr>
          <w:rFonts w:asciiTheme="majorHAnsi" w:hAnsiTheme="majorHAnsi"/>
          <w:sz w:val="20"/>
          <w:szCs w:val="20"/>
          <w:lang w:val="es-ES_tradnl"/>
        </w:rPr>
        <w:t xml:space="preserve">presentaron un amparo que se les negó por improcedente el </w:t>
      </w:r>
      <w:r w:rsidR="00C46501" w:rsidRPr="00BB3C87">
        <w:rPr>
          <w:rFonts w:asciiTheme="majorHAnsi" w:hAnsiTheme="majorHAnsi"/>
          <w:bCs/>
          <w:sz w:val="20"/>
          <w:szCs w:val="20"/>
          <w:lang w:val="es-ES_tradnl"/>
        </w:rPr>
        <w:t>15 de marzo de 2018 por la Sala Tercera de la Corte de Apelaciones del Ramo Penal</w:t>
      </w:r>
      <w:r w:rsidR="00885CBC" w:rsidRPr="00BB3C87">
        <w:rPr>
          <w:rFonts w:asciiTheme="majorHAnsi" w:hAnsiTheme="majorHAnsi"/>
          <w:bCs/>
          <w:sz w:val="20"/>
          <w:szCs w:val="20"/>
          <w:lang w:val="es-ES_tradnl"/>
        </w:rPr>
        <w:t xml:space="preserve">; </w:t>
      </w:r>
      <w:r w:rsidR="006B60CF" w:rsidRPr="00BB3C87">
        <w:rPr>
          <w:rFonts w:asciiTheme="majorHAnsi" w:hAnsiTheme="majorHAnsi"/>
          <w:bCs/>
          <w:sz w:val="20"/>
          <w:szCs w:val="20"/>
          <w:lang w:val="es-ES_tradnl"/>
        </w:rPr>
        <w:t>a continuación,</w:t>
      </w:r>
      <w:r w:rsidR="00885CBC" w:rsidRPr="00BB3C87">
        <w:rPr>
          <w:rFonts w:asciiTheme="majorHAnsi" w:hAnsiTheme="majorHAnsi"/>
          <w:bCs/>
          <w:sz w:val="20"/>
          <w:szCs w:val="20"/>
          <w:lang w:val="es-ES_tradnl"/>
        </w:rPr>
        <w:t xml:space="preserve"> se presentaron ante la Corte Constitucional que el 2 de septiembre de 2020 negó la apelación de amparo, por lo que procedieron a pedir una aclaración ante el mismo tribunal, que el 7 de diciembre de 2020 les negó la solicitud de aclaración</w:t>
      </w:r>
      <w:r w:rsidR="00C46501" w:rsidRPr="00BB3C87">
        <w:rPr>
          <w:rFonts w:asciiTheme="majorHAnsi" w:hAnsiTheme="majorHAnsi"/>
          <w:bCs/>
          <w:sz w:val="20"/>
          <w:szCs w:val="20"/>
          <w:lang w:val="es-ES_tradnl"/>
        </w:rPr>
        <w:t xml:space="preserve">. </w:t>
      </w:r>
      <w:r w:rsidR="00C46501" w:rsidRPr="00BB3C87">
        <w:rPr>
          <w:rFonts w:asciiTheme="majorHAnsi" w:hAnsiTheme="majorHAnsi"/>
          <w:sz w:val="20"/>
          <w:szCs w:val="20"/>
          <w:lang w:val="es-ES_tradnl"/>
        </w:rPr>
        <w:t xml:space="preserve">Por su parte, el Estado afirma que, a la fecha de presentación de la petición el 6 de septiembre de 2017, aún estaba por resolverse dicho amparo, por lo que considera que se configura una falta de agotamiento de los recursos internos.  </w:t>
      </w:r>
    </w:p>
    <w:p w14:paraId="41B04D6E" w14:textId="213D27E0" w:rsidR="00C6685B" w:rsidRPr="00AE7DCF" w:rsidRDefault="00C6685B"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Style w:val="normaltextrun"/>
          <w:rFonts w:asciiTheme="majorHAnsi" w:hAnsiTheme="majorHAnsi"/>
          <w:sz w:val="20"/>
          <w:szCs w:val="20"/>
          <w:shd w:val="clear" w:color="auto" w:fill="FFFFFF"/>
          <w:lang w:val="es-ES"/>
        </w:rPr>
        <w:t xml:space="preserve">En esta oportunidad, se recuerda que el </w:t>
      </w:r>
      <w:r w:rsidRPr="00BB3C87">
        <w:rPr>
          <w:rStyle w:val="normaltextrun"/>
          <w:rFonts w:asciiTheme="majorHAnsi" w:hAnsiTheme="majorHAnsi"/>
          <w:sz w:val="20"/>
          <w:szCs w:val="20"/>
          <w:shd w:val="clear" w:color="auto" w:fill="FFFFFF"/>
          <w:lang w:val="es-UY"/>
        </w:rPr>
        <w:t>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BB3C87">
        <w:rPr>
          <w:rStyle w:val="superscript"/>
          <w:rFonts w:asciiTheme="majorHAnsi" w:hAnsiTheme="majorHAnsi"/>
          <w:sz w:val="20"/>
          <w:szCs w:val="20"/>
          <w:shd w:val="clear" w:color="auto" w:fill="FFFFFF"/>
          <w:vertAlign w:val="superscript"/>
          <w:lang w:val="es-UY"/>
        </w:rPr>
        <w:t>26</w:t>
      </w:r>
      <w:r w:rsidRPr="00BB3C87">
        <w:rPr>
          <w:rStyle w:val="normaltextrun"/>
          <w:rFonts w:asciiTheme="majorHAnsi" w:hAnsiTheme="majorHAnsi"/>
          <w:sz w:val="20"/>
          <w:szCs w:val="20"/>
          <w:shd w:val="clear" w:color="auto" w:fill="FFFFFF"/>
          <w:lang w:val="es-UY"/>
        </w:rPr>
        <w:t xml:space="preserve">. En este sentido, </w:t>
      </w:r>
      <w:r w:rsidRPr="00BB3C87">
        <w:rPr>
          <w:rStyle w:val="normaltextrun"/>
          <w:rFonts w:asciiTheme="majorHAnsi" w:hAnsiTheme="majorHAnsi"/>
          <w:sz w:val="20"/>
          <w:szCs w:val="20"/>
          <w:shd w:val="clear" w:color="auto" w:fill="FFFFFF"/>
          <w:lang w:val="es-ES"/>
        </w:rPr>
        <w:t>la CIDH ha sido consistente en señalar que “</w:t>
      </w:r>
      <w:r w:rsidRPr="00BB3C87">
        <w:rPr>
          <w:rStyle w:val="normaltextrun"/>
          <w:rFonts w:asciiTheme="majorHAnsi" w:hAnsiTheme="majorHAnsi"/>
          <w:i/>
          <w:iCs/>
          <w:sz w:val="20"/>
          <w:szCs w:val="20"/>
          <w:shd w:val="clear" w:color="auto" w:fill="FFFFFF"/>
          <w:lang w:val="es-ES"/>
        </w:rPr>
        <w:t xml:space="preserve">la situación que debe tenerse en cuenta para establecer si se han agotado los recursos de la jurisdicción interna es aquella existente al decidir sobre la admisibilidad, puesto que el momento de la presentación de la </w:t>
      </w:r>
      <w:r w:rsidRPr="00AE7DCF">
        <w:rPr>
          <w:rStyle w:val="normaltextrun"/>
          <w:rFonts w:asciiTheme="majorHAnsi" w:hAnsiTheme="majorHAnsi"/>
          <w:i/>
          <w:iCs/>
          <w:sz w:val="20"/>
          <w:szCs w:val="20"/>
          <w:shd w:val="clear" w:color="auto" w:fill="FFFFFF"/>
          <w:lang w:val="es-ES"/>
        </w:rPr>
        <w:t>denuncia y el del pronunciamiento sobre admisibilidad son distintos</w:t>
      </w:r>
      <w:r w:rsidRPr="00AE7DCF">
        <w:rPr>
          <w:rStyle w:val="normaltextrun"/>
          <w:rFonts w:asciiTheme="majorHAnsi" w:hAnsiTheme="majorHAnsi"/>
          <w:sz w:val="20"/>
          <w:szCs w:val="20"/>
          <w:shd w:val="clear" w:color="auto" w:fill="FFFFFF"/>
          <w:lang w:val="es-ES"/>
        </w:rPr>
        <w:t>”</w:t>
      </w:r>
      <w:r w:rsidRPr="00AE7DCF">
        <w:rPr>
          <w:rStyle w:val="superscript"/>
          <w:rFonts w:asciiTheme="majorHAnsi" w:hAnsiTheme="majorHAnsi"/>
          <w:sz w:val="20"/>
          <w:szCs w:val="20"/>
          <w:shd w:val="clear" w:color="auto" w:fill="FFFFFF"/>
          <w:vertAlign w:val="superscript"/>
          <w:lang w:val="es-MX"/>
        </w:rPr>
        <w:t>27</w:t>
      </w:r>
      <w:r w:rsidRPr="00AE7DCF">
        <w:rPr>
          <w:rStyle w:val="normaltextrun"/>
          <w:rFonts w:asciiTheme="majorHAnsi" w:hAnsiTheme="majorHAnsi"/>
          <w:sz w:val="20"/>
          <w:szCs w:val="20"/>
          <w:shd w:val="clear" w:color="auto" w:fill="FFFFFF"/>
          <w:lang w:val="es-ES"/>
        </w:rPr>
        <w:t>.</w:t>
      </w:r>
      <w:r w:rsidRPr="00AE7DCF">
        <w:rPr>
          <w:rStyle w:val="eop"/>
          <w:rFonts w:asciiTheme="majorHAnsi" w:hAnsiTheme="majorHAnsi"/>
          <w:sz w:val="20"/>
          <w:szCs w:val="20"/>
          <w:shd w:val="clear" w:color="auto" w:fill="FFFFFF"/>
          <w:lang w:val="es-ES"/>
        </w:rPr>
        <w:t> </w:t>
      </w:r>
    </w:p>
    <w:p w14:paraId="741E4260" w14:textId="4AE171E5" w:rsidR="00BC1566" w:rsidRPr="00AE7DCF" w:rsidRDefault="00370233"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AE7DCF">
        <w:rPr>
          <w:rFonts w:asciiTheme="majorHAnsi" w:hAnsiTheme="majorHAnsi"/>
          <w:sz w:val="20"/>
          <w:szCs w:val="20"/>
          <w:lang w:val="es-ES_tradnl"/>
        </w:rPr>
        <w:t>Por otro lado, el Estado considera que, los peticionarios</w:t>
      </w:r>
      <w:r w:rsidR="00885CBC" w:rsidRPr="00AE7DCF">
        <w:rPr>
          <w:rFonts w:asciiTheme="majorHAnsi" w:hAnsiTheme="majorHAnsi"/>
          <w:sz w:val="20"/>
          <w:szCs w:val="20"/>
          <w:lang w:val="es-ES_tradnl"/>
        </w:rPr>
        <w:t xml:space="preserve"> pudieron</w:t>
      </w:r>
      <w:r w:rsidRPr="00AE7DCF">
        <w:rPr>
          <w:rFonts w:asciiTheme="majorHAnsi" w:hAnsiTheme="majorHAnsi"/>
          <w:sz w:val="20"/>
          <w:szCs w:val="20"/>
          <w:lang w:val="es-ES_tradnl"/>
        </w:rPr>
        <w:t xml:space="preserve"> presentar recursos civiles contra la señora que les vendió la finca</w:t>
      </w:r>
      <w:r w:rsidR="00F44773" w:rsidRPr="00AE7DCF">
        <w:rPr>
          <w:rFonts w:asciiTheme="majorHAnsi" w:hAnsiTheme="majorHAnsi"/>
          <w:sz w:val="20"/>
          <w:szCs w:val="20"/>
          <w:lang w:val="es-ES_tradnl"/>
        </w:rPr>
        <w:t xml:space="preserve"> </w:t>
      </w:r>
      <w:r w:rsidRPr="00AE7DCF">
        <w:rPr>
          <w:rFonts w:asciiTheme="majorHAnsi" w:hAnsiTheme="majorHAnsi"/>
          <w:sz w:val="20"/>
          <w:szCs w:val="20"/>
          <w:lang w:val="es-ES_tradnl"/>
        </w:rPr>
        <w:t>o</w:t>
      </w:r>
      <w:r w:rsidR="00F44773" w:rsidRPr="00AE7DCF">
        <w:rPr>
          <w:rFonts w:asciiTheme="majorHAnsi" w:hAnsiTheme="majorHAnsi"/>
          <w:sz w:val="20"/>
          <w:szCs w:val="20"/>
          <w:lang w:val="es-ES_tradnl"/>
        </w:rPr>
        <w:t xml:space="preserve"> un recurso penal por </w:t>
      </w:r>
      <w:r w:rsidRPr="00AE7DCF">
        <w:rPr>
          <w:rFonts w:asciiTheme="majorHAnsi" w:hAnsiTheme="majorHAnsi"/>
          <w:sz w:val="20"/>
          <w:szCs w:val="20"/>
          <w:lang w:val="es-ES_tradnl"/>
        </w:rPr>
        <w:t>el delito de estafa. Sobre esto,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AE7DCF">
        <w:rPr>
          <w:rFonts w:asciiTheme="majorHAnsi" w:hAnsiTheme="majorHAnsi"/>
          <w:sz w:val="20"/>
          <w:szCs w:val="20"/>
          <w:vertAlign w:val="superscript"/>
          <w:lang w:val="es-ES_tradnl"/>
        </w:rPr>
        <w:footnoteReference w:id="28"/>
      </w:r>
      <w:r w:rsidRPr="00AE7DCF">
        <w:rPr>
          <w:rFonts w:asciiTheme="majorHAnsi" w:hAnsiTheme="majorHAnsi"/>
          <w:sz w:val="20"/>
          <w:szCs w:val="20"/>
          <w:lang w:val="es-ES_tradnl"/>
        </w:rPr>
        <w:t>. En el mismo sentido, la Corte IDH ha establecido que “</w:t>
      </w:r>
      <w:r w:rsidRPr="00AE7DCF">
        <w:rPr>
          <w:rFonts w:asciiTheme="majorHAnsi" w:hAnsiTheme="majorHAnsi"/>
          <w:i/>
          <w:iCs/>
          <w:sz w:val="20"/>
          <w:szCs w:val="20"/>
          <w:lang w:val="es-ES_tradnl"/>
        </w:rPr>
        <w:t>no es necesario el agotamiento de la vía interna respecto de todos o cualquiera de los recursos disponibles sino que […] los recursos que deben ser agotados son aquellos que resultan adecuados en la situación particular de la violación de derechos humanos alegada</w:t>
      </w:r>
      <w:r w:rsidRPr="00AE7DCF">
        <w:rPr>
          <w:rFonts w:asciiTheme="majorHAnsi" w:hAnsiTheme="majorHAnsi"/>
          <w:sz w:val="20"/>
          <w:szCs w:val="20"/>
          <w:lang w:val="es-ES_tradnl"/>
        </w:rPr>
        <w:t>”</w:t>
      </w:r>
      <w:r w:rsidRPr="00AE7DCF">
        <w:rPr>
          <w:rFonts w:asciiTheme="majorHAnsi" w:hAnsiTheme="majorHAnsi"/>
          <w:sz w:val="20"/>
          <w:szCs w:val="20"/>
          <w:vertAlign w:val="superscript"/>
          <w:lang w:val="es-ES_tradnl"/>
        </w:rPr>
        <w:footnoteReference w:id="29"/>
      </w:r>
      <w:r w:rsidRPr="00AE7DCF">
        <w:rPr>
          <w:rFonts w:asciiTheme="majorHAnsi" w:hAnsiTheme="majorHAnsi"/>
          <w:sz w:val="20"/>
          <w:szCs w:val="20"/>
          <w:lang w:val="es-ES_tradnl"/>
        </w:rPr>
        <w:t xml:space="preserve">. </w:t>
      </w:r>
    </w:p>
    <w:p w14:paraId="0646597A" w14:textId="578F2AF1" w:rsidR="00F44773" w:rsidRPr="00AE7DCF" w:rsidRDefault="00F44773" w:rsidP="00F44773">
      <w:pPr>
        <w:pStyle w:val="ListParagraph"/>
        <w:numPr>
          <w:ilvl w:val="0"/>
          <w:numId w:val="56"/>
        </w:numPr>
        <w:ind w:left="142" w:firstLine="567"/>
        <w:rPr>
          <w:rFonts w:asciiTheme="majorHAnsi" w:hAnsiTheme="majorHAnsi"/>
          <w:sz w:val="20"/>
          <w:szCs w:val="20"/>
          <w:lang w:val="es-US"/>
        </w:rPr>
      </w:pPr>
      <w:r w:rsidRPr="00AE7DCF">
        <w:rPr>
          <w:rFonts w:asciiTheme="majorHAnsi" w:hAnsiTheme="majorHAnsi"/>
          <w:sz w:val="20"/>
          <w:szCs w:val="20"/>
          <w:lang w:val="es-ES_tradnl"/>
        </w:rPr>
        <w:t xml:space="preserve">En este mismo sentido, el Estado indicó que las presuntas víctimas también pudieron pedir indemnización por daños y perjuicios contra la señora que les vendió la finca por el incumplimiento en el </w:t>
      </w:r>
      <w:r w:rsidRPr="00AE7DCF">
        <w:rPr>
          <w:rFonts w:asciiTheme="majorHAnsi" w:hAnsiTheme="majorHAnsi"/>
          <w:sz w:val="20"/>
          <w:szCs w:val="20"/>
          <w:lang w:val="es-ES_tradnl"/>
        </w:rPr>
        <w:lastRenderedPageBreak/>
        <w:t xml:space="preserve">negocio jurídico. En consideración a este argumento, </w:t>
      </w:r>
      <w:r w:rsidRPr="00AE7DCF">
        <w:rPr>
          <w:rFonts w:asciiTheme="majorHAnsi" w:hAnsiTheme="majorHAnsi"/>
          <w:sz w:val="20"/>
          <w:szCs w:val="20"/>
          <w:lang w:val="es-CO"/>
        </w:rPr>
        <w:t xml:space="preserve">la CIDH recuerda que en varias oportunidades </w:t>
      </w:r>
      <w:r w:rsidRPr="00AE7DCF">
        <w:rPr>
          <w:rFonts w:asciiTheme="majorHAnsi" w:hAnsiTheme="majorHAnsi"/>
          <w:sz w:val="20"/>
          <w:szCs w:val="20"/>
          <w:lang w:val="es-US"/>
        </w:rPr>
        <w:t>la Corte Interamericana ha establecido que los recursos destinados exclusivamente al otorgamiento de reparaciones no necesariamente deben ser agotados por las presuntas víctimas, por lo cual no inhiben la competencia de los órganos del Sistema Interamericano para conocer de un caso</w:t>
      </w:r>
      <w:r w:rsidRPr="00AE7DCF">
        <w:rPr>
          <w:rFonts w:asciiTheme="majorHAnsi" w:hAnsiTheme="majorHAnsi"/>
          <w:sz w:val="20"/>
          <w:szCs w:val="20"/>
          <w:vertAlign w:val="superscript"/>
          <w:lang w:val="es-US"/>
        </w:rPr>
        <w:footnoteReference w:id="30"/>
      </w:r>
      <w:r w:rsidRPr="00AE7DCF">
        <w:rPr>
          <w:rFonts w:asciiTheme="majorHAnsi" w:hAnsiTheme="majorHAnsi"/>
          <w:sz w:val="20"/>
          <w:szCs w:val="20"/>
          <w:lang w:val="es-US"/>
        </w:rPr>
        <w:t xml:space="preserve">. </w:t>
      </w:r>
    </w:p>
    <w:p w14:paraId="60A98591" w14:textId="6E1AEF5C" w:rsidR="005874FD" w:rsidRPr="00BB3C87" w:rsidRDefault="00370233"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AE7DCF">
        <w:rPr>
          <w:rFonts w:asciiTheme="majorHAnsi" w:hAnsiTheme="majorHAnsi"/>
          <w:sz w:val="20"/>
          <w:szCs w:val="20"/>
          <w:lang w:val="es-ES"/>
        </w:rPr>
        <w:t>Ante lo señalado, en relación con el objeto principal de</w:t>
      </w:r>
      <w:r w:rsidRPr="00BB3C87">
        <w:rPr>
          <w:rFonts w:asciiTheme="majorHAnsi" w:hAnsiTheme="majorHAnsi"/>
          <w:sz w:val="20"/>
          <w:szCs w:val="20"/>
          <w:lang w:val="es-ES"/>
        </w:rPr>
        <w:t xml:space="preserve"> esta petición </w:t>
      </w:r>
      <w:r w:rsidR="00383972" w:rsidRPr="00BB3C87">
        <w:rPr>
          <w:rFonts w:asciiTheme="majorHAnsi" w:hAnsiTheme="majorHAnsi"/>
          <w:sz w:val="20"/>
          <w:szCs w:val="20"/>
          <w:lang w:val="es-ES"/>
        </w:rPr>
        <w:t>–</w:t>
      </w:r>
      <w:r w:rsidRPr="00BB3C87">
        <w:rPr>
          <w:rFonts w:asciiTheme="majorHAnsi" w:hAnsiTheme="majorHAnsi"/>
          <w:sz w:val="20"/>
          <w:szCs w:val="20"/>
          <w:lang w:val="es-ES"/>
        </w:rPr>
        <w:t>la negación a las presuntas víctimas de su participación como terceros interesados dentro de un proceso de extinción de dominio sobre una finca que compraron</w:t>
      </w:r>
      <w:r w:rsidR="00383972" w:rsidRPr="00BB3C87">
        <w:rPr>
          <w:rFonts w:asciiTheme="majorHAnsi" w:hAnsiTheme="majorHAnsi"/>
          <w:sz w:val="20"/>
          <w:szCs w:val="20"/>
          <w:lang w:val="es-ES"/>
        </w:rPr>
        <w:t xml:space="preserve">–, considerando que la </w:t>
      </w:r>
      <w:r w:rsidR="00383972" w:rsidRPr="00BB3C87">
        <w:rPr>
          <w:rFonts w:asciiTheme="majorHAnsi" w:hAnsiTheme="majorHAnsi"/>
          <w:bCs/>
          <w:sz w:val="20"/>
          <w:szCs w:val="20"/>
          <w:lang w:val="es-ES_tradnl"/>
        </w:rPr>
        <w:t xml:space="preserve">Corte Constitucional resolvió negar la apelación de amparo el 2 de septiembre de 2020 y el 7 de diciembre de 2020 el mismo tribunal les negó la solicitud de aclaración, y notando que la petición se presentó ante la CIDH </w:t>
      </w:r>
      <w:r w:rsidR="00383972" w:rsidRPr="00BB3C87">
        <w:rPr>
          <w:rFonts w:asciiTheme="majorHAnsi" w:hAnsiTheme="majorHAnsi"/>
          <w:sz w:val="20"/>
          <w:szCs w:val="20"/>
          <w:lang w:val="es-ES_tradnl"/>
        </w:rPr>
        <w:t>el 6 de septiembre de 2017,</w:t>
      </w:r>
      <w:r w:rsidR="00383972" w:rsidRPr="00BB3C87">
        <w:rPr>
          <w:rFonts w:asciiTheme="majorHAnsi" w:hAnsiTheme="majorHAnsi"/>
          <w:sz w:val="20"/>
          <w:szCs w:val="20"/>
          <w:lang w:val="es-ES"/>
        </w:rPr>
        <w:t xml:space="preserve"> </w:t>
      </w:r>
      <w:r w:rsidRPr="00BB3C87">
        <w:rPr>
          <w:rFonts w:asciiTheme="majorHAnsi" w:hAnsiTheme="majorHAnsi"/>
          <w:sz w:val="20"/>
          <w:szCs w:val="20"/>
          <w:lang w:val="es-ES"/>
        </w:rPr>
        <w:t>la Comisión</w:t>
      </w:r>
      <w:r w:rsidR="00C6685B" w:rsidRPr="00BB3C87">
        <w:rPr>
          <w:rFonts w:asciiTheme="majorHAnsi" w:hAnsiTheme="majorHAnsi"/>
          <w:sz w:val="20"/>
          <w:szCs w:val="20"/>
          <w:lang w:val="es-ES"/>
        </w:rPr>
        <w:t xml:space="preserve"> c</w:t>
      </w:r>
      <w:r w:rsidR="00C6685B" w:rsidRPr="00BB3C87">
        <w:rPr>
          <w:rStyle w:val="normaltextrun"/>
          <w:rFonts w:asciiTheme="majorHAnsi" w:hAnsiTheme="majorHAnsi"/>
          <w:sz w:val="20"/>
          <w:szCs w:val="20"/>
          <w:bdr w:val="none" w:sz="0" w:space="0" w:color="auto" w:frame="1"/>
          <w:lang w:val="es-ES"/>
        </w:rPr>
        <w:t>oncluye que este extremo de la petición cumple con el</w:t>
      </w:r>
      <w:r w:rsidRPr="00BB3C87">
        <w:rPr>
          <w:rFonts w:asciiTheme="majorHAnsi" w:hAnsiTheme="majorHAnsi"/>
          <w:sz w:val="20"/>
          <w:szCs w:val="20"/>
          <w:lang w:val="es-ES"/>
        </w:rPr>
        <w:t xml:space="preserve"> </w:t>
      </w:r>
      <w:r w:rsidR="00C6685B" w:rsidRPr="00BB3C87">
        <w:rPr>
          <w:rStyle w:val="normaltextrun"/>
          <w:rFonts w:asciiTheme="majorHAnsi" w:hAnsiTheme="majorHAnsi"/>
          <w:sz w:val="20"/>
          <w:szCs w:val="20"/>
          <w:shd w:val="clear" w:color="auto" w:fill="FFFFFF"/>
          <w:lang w:val="es-ES"/>
        </w:rPr>
        <w:t>requisito previsto en el artículo 46.1.a) de la Convención Americana y también se cumple el requisito de plazo de presentación previsto en el artículo 46.1.b) de la Convención Americana</w:t>
      </w:r>
      <w:r w:rsidR="00C6685B" w:rsidRPr="00BB3C87">
        <w:rPr>
          <w:rStyle w:val="eop"/>
          <w:rFonts w:asciiTheme="majorHAnsi" w:hAnsiTheme="majorHAnsi"/>
          <w:sz w:val="20"/>
          <w:szCs w:val="20"/>
          <w:shd w:val="clear" w:color="auto" w:fill="FFFFFF"/>
          <w:lang w:val="es-ES"/>
        </w:rPr>
        <w:t xml:space="preserve">. </w:t>
      </w:r>
    </w:p>
    <w:p w14:paraId="2D612349" w14:textId="6897D7FA" w:rsidR="00A9117F" w:rsidRPr="00BB3C87" w:rsidRDefault="00A9117F" w:rsidP="00BB3C87">
      <w:pPr>
        <w:pStyle w:val="ListParagraph"/>
        <w:numPr>
          <w:ilvl w:val="0"/>
          <w:numId w:val="56"/>
        </w:numPr>
        <w:spacing w:before="240" w:after="240"/>
        <w:ind w:left="142" w:firstLine="567"/>
        <w:jc w:val="both"/>
        <w:rPr>
          <w:rFonts w:asciiTheme="majorHAnsi" w:hAnsiTheme="majorHAnsi"/>
          <w:sz w:val="20"/>
          <w:szCs w:val="20"/>
          <w:lang w:val="es-ES"/>
        </w:rPr>
      </w:pPr>
      <w:r w:rsidRPr="00BB3C87">
        <w:rPr>
          <w:rFonts w:asciiTheme="majorHAnsi" w:hAnsiTheme="majorHAnsi"/>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BB3C87">
        <w:rPr>
          <w:rFonts w:asciiTheme="majorHAnsi" w:hAnsiTheme="majorHAnsi"/>
          <w:sz w:val="20"/>
          <w:szCs w:val="20"/>
          <w:vertAlign w:val="superscript"/>
        </w:rPr>
        <w:footnoteReference w:id="31"/>
      </w:r>
      <w:r w:rsidRPr="00BB3C87">
        <w:rPr>
          <w:rFonts w:asciiTheme="majorHAnsi" w:hAnsiTheme="majorHAnsi"/>
          <w:sz w:val="20"/>
          <w:szCs w:val="20"/>
          <w:lang w:val="es-ES_tradnl"/>
        </w:rPr>
        <w:t>. Asimismo, la CIDH en su Informe de Admisibilidad No. 79/08</w:t>
      </w:r>
      <w:r w:rsidRPr="00BB3C87">
        <w:rPr>
          <w:rStyle w:val="FootnoteReference"/>
          <w:rFonts w:asciiTheme="majorHAnsi" w:hAnsiTheme="majorHAnsi"/>
          <w:sz w:val="20"/>
          <w:szCs w:val="20"/>
          <w:lang w:val="es-ES_tradnl"/>
        </w:rPr>
        <w:footnoteReference w:id="32"/>
      </w:r>
      <w:r w:rsidRPr="00BB3C87">
        <w:rPr>
          <w:rFonts w:asciiTheme="majorHAnsi" w:hAnsiTheme="majorHAnsi"/>
          <w:sz w:val="20"/>
          <w:szCs w:val="20"/>
          <w:lang w:val="es-ES_tradnl"/>
        </w:rPr>
        <w:t>, aclaró que:</w:t>
      </w:r>
    </w:p>
    <w:p w14:paraId="02938482" w14:textId="77777777" w:rsidR="00A9117F" w:rsidRPr="00BB3C87" w:rsidRDefault="00A9117F" w:rsidP="00BB3C87">
      <w:pPr>
        <w:suppressAutoHyphens/>
        <w:spacing w:before="240" w:after="240"/>
        <w:ind w:left="720" w:right="720"/>
        <w:jc w:val="both"/>
        <w:rPr>
          <w:rFonts w:asciiTheme="majorHAnsi" w:hAnsiTheme="majorHAnsi"/>
          <w:sz w:val="20"/>
          <w:szCs w:val="20"/>
          <w:lang w:val="es-US"/>
        </w:rPr>
      </w:pPr>
      <w:r w:rsidRPr="00BB3C87">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BB3C87">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BB3C87">
        <w:rPr>
          <w:rFonts w:asciiTheme="majorHAnsi" w:hAnsiTheme="majorHAnsi"/>
          <w:sz w:val="20"/>
          <w:szCs w:val="20"/>
          <w:lang w:val="es-ES_tradnl"/>
        </w:rPr>
        <w:t>” [CIDH, Informe Nº 33/98, Caso 10.545 Clemente Ayala Torres y otros(México), 15 de mayo de 1998, párrafo 28.</w:t>
      </w:r>
      <w:r w:rsidRPr="00BB3C87">
        <w:rPr>
          <w:rFonts w:asciiTheme="majorHAnsi" w:hAnsiTheme="majorHAnsi"/>
          <w:sz w:val="20"/>
          <w:szCs w:val="20"/>
          <w:lang w:val="es-US"/>
        </w:rPr>
        <w:t>]</w:t>
      </w:r>
    </w:p>
    <w:p w14:paraId="291F512A" w14:textId="3595BB5F" w:rsidR="00A9117F" w:rsidRPr="00BB3C87" w:rsidRDefault="00A9117F" w:rsidP="00BB3C87">
      <w:pPr>
        <w:pStyle w:val="ListParagraph"/>
        <w:numPr>
          <w:ilvl w:val="0"/>
          <w:numId w:val="56"/>
        </w:numPr>
        <w:spacing w:before="240" w:after="240"/>
        <w:ind w:left="142" w:firstLine="567"/>
        <w:jc w:val="both"/>
        <w:rPr>
          <w:rFonts w:asciiTheme="majorHAnsi" w:hAnsiTheme="majorHAnsi"/>
          <w:sz w:val="20"/>
          <w:szCs w:val="20"/>
          <w:lang w:val="es-ES"/>
        </w:rPr>
      </w:pPr>
      <w:r w:rsidRPr="00BB3C87">
        <w:rPr>
          <w:rFonts w:asciiTheme="majorHAnsi" w:hAnsiTheme="majorHAnsi"/>
          <w:sz w:val="20"/>
          <w:szCs w:val="20"/>
          <w:lang w:val="es-US"/>
        </w:rPr>
        <w:t>Asimismo, en refuerzo de lo anterior, la Corte Interamericana de Derechos Humanos ha establecido precisamente respecto a este punto que:</w:t>
      </w:r>
    </w:p>
    <w:p w14:paraId="13CD667E" w14:textId="56D0AE1D" w:rsidR="00A9117F" w:rsidRPr="00BB3C87" w:rsidRDefault="00A9117F" w:rsidP="00BB3C87">
      <w:pPr>
        <w:suppressAutoHyphens/>
        <w:spacing w:before="240" w:after="240"/>
        <w:ind w:left="720" w:right="720"/>
        <w:jc w:val="both"/>
        <w:rPr>
          <w:rFonts w:asciiTheme="majorHAnsi" w:hAnsiTheme="majorHAnsi"/>
          <w:sz w:val="20"/>
          <w:szCs w:val="20"/>
          <w:lang w:val="es-US"/>
        </w:rPr>
      </w:pPr>
      <w:r w:rsidRPr="00BB3C87">
        <w:rPr>
          <w:rFonts w:asciiTheme="majorHAnsi" w:hAnsiTheme="majorHAnsi"/>
          <w:sz w:val="20"/>
          <w:szCs w:val="20"/>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 por acciones u omisiones de la Comisión Interamericana sobre las cuales las presuntas víctimas no tienen ningún tipo de control. […]</w:t>
      </w:r>
      <w:r w:rsidRPr="00BB3C87">
        <w:rPr>
          <w:rStyle w:val="FootnoteReference"/>
          <w:rFonts w:asciiTheme="majorHAnsi" w:hAnsiTheme="majorHAnsi"/>
          <w:sz w:val="20"/>
          <w:szCs w:val="20"/>
          <w:lang w:val="es-US"/>
        </w:rPr>
        <w:footnoteReference w:id="33"/>
      </w:r>
    </w:p>
    <w:p w14:paraId="4C7735EB" w14:textId="5B53FCB5" w:rsidR="007F1907" w:rsidRPr="00BB3C87" w:rsidRDefault="00A9117F" w:rsidP="00BB3C87">
      <w:pPr>
        <w:pStyle w:val="ListParagraph"/>
        <w:numPr>
          <w:ilvl w:val="0"/>
          <w:numId w:val="56"/>
        </w:numPr>
        <w:spacing w:before="240" w:after="240"/>
        <w:ind w:left="142" w:firstLine="567"/>
        <w:jc w:val="both"/>
        <w:rPr>
          <w:rFonts w:asciiTheme="majorHAnsi" w:hAnsiTheme="majorHAnsi"/>
          <w:sz w:val="20"/>
          <w:szCs w:val="20"/>
          <w:lang w:val="es-ES"/>
        </w:rPr>
      </w:pPr>
      <w:r w:rsidRPr="00BB3C87">
        <w:rPr>
          <w:rFonts w:asciiTheme="majorHAnsi" w:hAnsiTheme="majorHAnsi"/>
          <w:sz w:val="20"/>
          <w:szCs w:val="20"/>
          <w:lang w:val="es-US"/>
        </w:rPr>
        <w:t>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p>
    <w:p w14:paraId="0170C12E" w14:textId="77777777" w:rsidR="008A2594" w:rsidRPr="00BB3C87" w:rsidRDefault="008A2594" w:rsidP="00BB3C8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09"/>
        <w:jc w:val="both"/>
        <w:rPr>
          <w:rFonts w:asciiTheme="majorHAnsi" w:hAnsiTheme="majorHAnsi"/>
          <w:b/>
          <w:bCs/>
          <w:sz w:val="20"/>
          <w:szCs w:val="20"/>
          <w:lang w:val="es-ES_tradnl"/>
        </w:rPr>
      </w:pPr>
      <w:r w:rsidRPr="00BB3C87">
        <w:rPr>
          <w:rFonts w:asciiTheme="majorHAnsi" w:hAnsiTheme="majorHAnsi"/>
          <w:b/>
          <w:bCs/>
          <w:sz w:val="20"/>
          <w:szCs w:val="20"/>
          <w:lang w:val="es-ES_tradnl"/>
        </w:rPr>
        <w:t>VII.</w:t>
      </w:r>
      <w:r w:rsidRPr="00BB3C87">
        <w:rPr>
          <w:rFonts w:asciiTheme="majorHAnsi" w:hAnsiTheme="majorHAnsi"/>
          <w:b/>
          <w:bCs/>
          <w:sz w:val="20"/>
          <w:szCs w:val="20"/>
          <w:lang w:val="es-ES_tradnl"/>
        </w:rPr>
        <w:tab/>
        <w:t xml:space="preserve">ANÁLISIS DE CARACTERIZACIÓN DE LOS HECHOS ALEGADOS </w:t>
      </w:r>
    </w:p>
    <w:p w14:paraId="4D4E6688" w14:textId="27872E93" w:rsidR="00F2510F" w:rsidRPr="00BB3C87" w:rsidRDefault="00F2510F"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
        </w:rPr>
        <w:t xml:space="preserve">La CIDH recuerda que, en la presente etapa procesal, debe realizar una evaluación </w:t>
      </w:r>
      <w:r w:rsidRPr="00BB3C87">
        <w:rPr>
          <w:rFonts w:asciiTheme="majorHAnsi" w:hAnsiTheme="majorHAnsi"/>
          <w:i/>
          <w:iCs/>
          <w:sz w:val="20"/>
          <w:szCs w:val="20"/>
          <w:lang w:val="es-ES"/>
        </w:rPr>
        <w:t>prima facie</w:t>
      </w:r>
      <w:r w:rsidRPr="00BB3C87">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w:t>
      </w:r>
      <w:r w:rsidRPr="00BB3C87">
        <w:rPr>
          <w:rFonts w:asciiTheme="majorHAnsi" w:hAnsiTheme="majorHAnsi"/>
          <w:sz w:val="20"/>
          <w:szCs w:val="20"/>
          <w:lang w:val="es-ES"/>
        </w:rPr>
        <w:lastRenderedPageBreak/>
        <w:t xml:space="preserve">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BB3C87">
        <w:rPr>
          <w:rFonts w:asciiTheme="majorHAnsi" w:hAnsiTheme="majorHAnsi"/>
          <w:i/>
          <w:iCs/>
          <w:sz w:val="20"/>
          <w:szCs w:val="20"/>
          <w:lang w:val="es-ES"/>
        </w:rPr>
        <w:t>"manifiestamente infundada"</w:t>
      </w:r>
      <w:r w:rsidRPr="00BB3C87">
        <w:rPr>
          <w:rFonts w:asciiTheme="majorHAnsi" w:hAnsiTheme="majorHAnsi"/>
          <w:sz w:val="20"/>
          <w:szCs w:val="20"/>
          <w:lang w:val="es-ES"/>
        </w:rPr>
        <w:t xml:space="preserve"> o es </w:t>
      </w:r>
      <w:r w:rsidRPr="00BB3C87">
        <w:rPr>
          <w:rFonts w:asciiTheme="majorHAnsi" w:hAnsiTheme="majorHAnsi"/>
          <w:i/>
          <w:iCs/>
          <w:sz w:val="20"/>
          <w:szCs w:val="20"/>
          <w:lang w:val="es-ES"/>
        </w:rPr>
        <w:t>"evidente su total improcedencia</w:t>
      </w:r>
      <w:r w:rsidRPr="00BB3C87">
        <w:rPr>
          <w:rFonts w:asciiTheme="majorHAnsi" w:hAnsiTheme="majorHAnsi"/>
          <w:sz w:val="20"/>
          <w:szCs w:val="20"/>
          <w:lang w:val="es-ES"/>
        </w:rPr>
        <w:t>", conforme al 47.c) de la Convención Americana.</w:t>
      </w:r>
    </w:p>
    <w:p w14:paraId="7572A11A" w14:textId="5B6F5280" w:rsidR="008A2594" w:rsidRPr="00BB3C87" w:rsidRDefault="00BC1566"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_tradnl"/>
        </w:rPr>
        <w:t>Conforme</w:t>
      </w:r>
      <w:r w:rsidR="008A2594" w:rsidRPr="00BB3C87">
        <w:rPr>
          <w:rFonts w:asciiTheme="majorHAnsi" w:hAnsiTheme="majorHAnsi"/>
          <w:sz w:val="20"/>
          <w:szCs w:val="20"/>
          <w:lang w:val="es-ES_tradnl"/>
        </w:rPr>
        <w:t xml:space="preserve"> a la conclusión encontrada en el punto VI de este informe</w:t>
      </w:r>
      <w:r w:rsidR="00C6685B" w:rsidRPr="00BB3C87">
        <w:rPr>
          <w:rFonts w:asciiTheme="majorHAnsi" w:hAnsiTheme="majorHAnsi"/>
          <w:sz w:val="20"/>
          <w:szCs w:val="20"/>
          <w:lang w:val="es-ES_tradnl"/>
        </w:rPr>
        <w:t>, el objeto de la petición se refiere a la alegada negación a las presuntas víctimas a participar en el proceso de extinción de dominio sobre una finca que ellos afirman que compraron de manera legal</w:t>
      </w:r>
      <w:r w:rsidR="008F0BE6" w:rsidRPr="00BB3C87">
        <w:rPr>
          <w:rFonts w:asciiTheme="majorHAnsi" w:hAnsiTheme="majorHAnsi"/>
          <w:sz w:val="20"/>
          <w:szCs w:val="20"/>
          <w:lang w:val="es-ES_tradnl"/>
        </w:rPr>
        <w:t xml:space="preserve">, sin conocimiento de alguna medida cautelar, y la cual registraron ante el Segundo Registro de la Propiedad </w:t>
      </w:r>
      <w:r w:rsidR="008F0BE6" w:rsidRPr="00BB3C87">
        <w:rPr>
          <w:rFonts w:asciiTheme="majorHAnsi" w:hAnsiTheme="majorHAnsi"/>
          <w:bCs/>
          <w:sz w:val="20"/>
          <w:szCs w:val="20"/>
          <w:lang w:val="es-ES_tradnl"/>
        </w:rPr>
        <w:t xml:space="preserve">de Quetzaltenango el 28 de mayo de 2015. Cabe señalar que los recursos internos que las presuntas víctimas agotaron </w:t>
      </w:r>
      <w:r w:rsidR="00813626" w:rsidRPr="00BB3C87">
        <w:rPr>
          <w:rFonts w:asciiTheme="majorHAnsi" w:hAnsiTheme="majorHAnsi"/>
          <w:bCs/>
          <w:sz w:val="20"/>
          <w:szCs w:val="20"/>
          <w:lang w:val="es-ES_tradnl"/>
        </w:rPr>
        <w:t>tuvieron el objeto de</w:t>
      </w:r>
      <w:r w:rsidR="008F0BE6" w:rsidRPr="00BB3C87">
        <w:rPr>
          <w:rFonts w:asciiTheme="majorHAnsi" w:hAnsiTheme="majorHAnsi"/>
          <w:bCs/>
          <w:sz w:val="20"/>
          <w:szCs w:val="20"/>
          <w:lang w:val="es-ES_tradnl"/>
        </w:rPr>
        <w:t xml:space="preserve"> apersonarse en el proceso de extinción de dominio. </w:t>
      </w:r>
    </w:p>
    <w:p w14:paraId="4C2CE8B0" w14:textId="2E016BC3" w:rsidR="00C6685B" w:rsidRPr="00BB3C87" w:rsidRDefault="008F0BE6" w:rsidP="00BB3C87">
      <w:pPr>
        <w:pStyle w:val="ListParagraph"/>
        <w:numPr>
          <w:ilvl w:val="0"/>
          <w:numId w:val="56"/>
        </w:numPr>
        <w:spacing w:before="240" w:after="240"/>
        <w:ind w:left="142" w:firstLine="567"/>
        <w:jc w:val="both"/>
        <w:rPr>
          <w:rFonts w:asciiTheme="majorHAnsi" w:hAnsiTheme="majorHAnsi"/>
          <w:sz w:val="20"/>
          <w:szCs w:val="20"/>
          <w:lang w:val="es-ES_tradnl"/>
        </w:rPr>
      </w:pPr>
      <w:r w:rsidRPr="00BB3C87">
        <w:rPr>
          <w:rFonts w:asciiTheme="majorHAnsi" w:hAnsiTheme="majorHAnsi"/>
          <w:sz w:val="20"/>
          <w:szCs w:val="20"/>
          <w:lang w:val="es-ES_tradnl"/>
        </w:rPr>
        <w:t>Por su lado</w:t>
      </w:r>
      <w:r w:rsidR="00C6685B" w:rsidRPr="00BB3C87">
        <w:rPr>
          <w:rFonts w:asciiTheme="majorHAnsi" w:hAnsiTheme="majorHAnsi"/>
          <w:sz w:val="20"/>
          <w:szCs w:val="20"/>
          <w:lang w:val="es-ES_tradnl"/>
        </w:rPr>
        <w:t xml:space="preserve">, el Estado </w:t>
      </w:r>
      <w:r w:rsidR="006B60CF" w:rsidRPr="00BB3C87">
        <w:rPr>
          <w:rFonts w:asciiTheme="majorHAnsi" w:hAnsiTheme="majorHAnsi"/>
          <w:sz w:val="20"/>
          <w:szCs w:val="20"/>
          <w:lang w:val="es-ES_tradnl"/>
        </w:rPr>
        <w:t>evoca que las presuntas víctimas no fueron consideradas como partes iniciales del proceso de extinción de dominio puesto que registraron la fracción de la finca el 28 de mayo de 2015 y el proceso penal inició antes, el 1 de octubre de 2014. Añade que la señora que vendió la finca</w:t>
      </w:r>
      <w:r w:rsidR="00813626" w:rsidRPr="00BB3C87">
        <w:rPr>
          <w:rFonts w:asciiTheme="majorHAnsi" w:hAnsiTheme="majorHAnsi"/>
          <w:sz w:val="20"/>
          <w:szCs w:val="20"/>
          <w:lang w:val="es-ES_tradnl"/>
        </w:rPr>
        <w:t>,</w:t>
      </w:r>
      <w:r w:rsidR="006B60CF" w:rsidRPr="00BB3C87">
        <w:rPr>
          <w:rFonts w:asciiTheme="majorHAnsi" w:hAnsiTheme="majorHAnsi"/>
          <w:sz w:val="20"/>
          <w:szCs w:val="20"/>
          <w:lang w:val="es-ES_tradnl"/>
        </w:rPr>
        <w:t xml:space="preserve"> que sí era parte del proceso, no informó nunca </w:t>
      </w:r>
      <w:r w:rsidR="00B5028C" w:rsidRPr="00BB3C87">
        <w:rPr>
          <w:rFonts w:asciiTheme="majorHAnsi" w:hAnsiTheme="majorHAnsi"/>
          <w:sz w:val="20"/>
          <w:szCs w:val="20"/>
          <w:lang w:val="es-ES_tradnl"/>
        </w:rPr>
        <w:t xml:space="preserve">a las autoridades </w:t>
      </w:r>
      <w:r w:rsidR="006B60CF" w:rsidRPr="00BB3C87">
        <w:rPr>
          <w:rFonts w:asciiTheme="majorHAnsi" w:hAnsiTheme="majorHAnsi"/>
          <w:sz w:val="20"/>
          <w:szCs w:val="20"/>
          <w:lang w:val="es-ES_tradnl"/>
        </w:rPr>
        <w:t xml:space="preserve">sobre la compraventa que había realizado con las presuntas víctimas. El Estado también </w:t>
      </w:r>
      <w:r w:rsidR="00C6685B" w:rsidRPr="00BB3C87">
        <w:rPr>
          <w:rFonts w:asciiTheme="majorHAnsi" w:hAnsiTheme="majorHAnsi"/>
          <w:sz w:val="20"/>
          <w:szCs w:val="20"/>
          <w:lang w:val="es-ES_tradnl"/>
        </w:rPr>
        <w:t xml:space="preserve">resalta que los peticionarios pidieron apersonarse como terceros </w:t>
      </w:r>
      <w:r w:rsidR="00C6685B" w:rsidRPr="00BB3C87">
        <w:rPr>
          <w:rFonts w:asciiTheme="majorHAnsi" w:hAnsiTheme="majorHAnsi"/>
          <w:bCs/>
          <w:sz w:val="20"/>
          <w:szCs w:val="20"/>
          <w:lang w:val="es-ES_tradnl"/>
        </w:rPr>
        <w:t xml:space="preserve">en el proceso de extinción de dominio –el 31 de marzo de 2017–, </w:t>
      </w:r>
      <w:r w:rsidR="00C6685B" w:rsidRPr="00BB3C87">
        <w:rPr>
          <w:rFonts w:asciiTheme="majorHAnsi" w:hAnsiTheme="majorHAnsi"/>
          <w:sz w:val="20"/>
          <w:szCs w:val="20"/>
          <w:lang w:val="es-ES_tradnl"/>
        </w:rPr>
        <w:t>cuando ya existía una sentencia firme</w:t>
      </w:r>
      <w:r w:rsidR="00C87BED" w:rsidRPr="00BB3C87">
        <w:rPr>
          <w:rFonts w:asciiTheme="majorHAnsi" w:hAnsiTheme="majorHAnsi"/>
          <w:sz w:val="20"/>
          <w:szCs w:val="20"/>
          <w:lang w:val="es-ES_tradnl"/>
        </w:rPr>
        <w:t xml:space="preserve"> sobre la extinción de dominio del inmueble</w:t>
      </w:r>
      <w:r w:rsidR="00C6685B" w:rsidRPr="00BB3C87">
        <w:rPr>
          <w:rFonts w:asciiTheme="majorHAnsi" w:hAnsiTheme="majorHAnsi"/>
          <w:sz w:val="20"/>
          <w:szCs w:val="20"/>
          <w:lang w:val="es-ES_tradnl"/>
        </w:rPr>
        <w:t xml:space="preserve"> </w:t>
      </w:r>
      <w:r w:rsidR="00C6685B" w:rsidRPr="00BB3C87">
        <w:rPr>
          <w:rFonts w:asciiTheme="majorHAnsi" w:hAnsiTheme="majorHAnsi"/>
          <w:bCs/>
          <w:sz w:val="20"/>
          <w:szCs w:val="20"/>
          <w:lang w:val="es-ES_tradnl"/>
        </w:rPr>
        <w:t xml:space="preserve">–del </w:t>
      </w:r>
      <w:r w:rsidR="00C6685B" w:rsidRPr="00BB3C87">
        <w:rPr>
          <w:rFonts w:asciiTheme="majorHAnsi" w:hAnsiTheme="majorHAnsi"/>
          <w:sz w:val="20"/>
          <w:szCs w:val="20"/>
          <w:lang w:val="es-ES_tradnl"/>
        </w:rPr>
        <w:t>13 de julio de 2015</w:t>
      </w:r>
      <w:r w:rsidR="00C6685B" w:rsidRPr="00BB3C87">
        <w:rPr>
          <w:rFonts w:asciiTheme="majorHAnsi" w:hAnsiTheme="majorHAnsi"/>
          <w:bCs/>
          <w:sz w:val="20"/>
          <w:szCs w:val="20"/>
          <w:lang w:val="es-ES_tradnl"/>
        </w:rPr>
        <w:t>–</w:t>
      </w:r>
      <w:r w:rsidR="00C6685B" w:rsidRPr="00BB3C87">
        <w:rPr>
          <w:rFonts w:asciiTheme="majorHAnsi" w:hAnsiTheme="majorHAnsi"/>
          <w:sz w:val="20"/>
          <w:szCs w:val="20"/>
          <w:lang w:val="es-ES_tradnl"/>
        </w:rPr>
        <w:t xml:space="preserve">. </w:t>
      </w:r>
      <w:r w:rsidR="006B60CF" w:rsidRPr="00BB3C87">
        <w:rPr>
          <w:rFonts w:asciiTheme="majorHAnsi" w:hAnsiTheme="majorHAnsi"/>
          <w:sz w:val="20"/>
          <w:szCs w:val="20"/>
          <w:lang w:val="es-ES_tradnl"/>
        </w:rPr>
        <w:t xml:space="preserve">Ante la negativa de ser apersonados, los peticionarios interpusieron un amparo </w:t>
      </w:r>
      <w:r w:rsidR="006B60CF" w:rsidRPr="00BB3C87">
        <w:rPr>
          <w:rFonts w:asciiTheme="majorHAnsi" w:hAnsiTheme="majorHAnsi"/>
          <w:bCs/>
          <w:sz w:val="20"/>
          <w:szCs w:val="20"/>
          <w:lang w:val="es-ES_tradnl"/>
        </w:rPr>
        <w:t>–</w:t>
      </w:r>
      <w:r w:rsidR="006B60CF" w:rsidRPr="00BB3C87">
        <w:rPr>
          <w:rFonts w:asciiTheme="majorHAnsi" w:hAnsiTheme="majorHAnsi"/>
          <w:sz w:val="20"/>
          <w:szCs w:val="20"/>
          <w:lang w:val="es-ES_tradnl"/>
        </w:rPr>
        <w:t>el 15 de marzo de 2018</w:t>
      </w:r>
      <w:r w:rsidR="006B60CF" w:rsidRPr="00BB3C87">
        <w:rPr>
          <w:rFonts w:asciiTheme="majorHAnsi" w:hAnsiTheme="majorHAnsi"/>
          <w:bCs/>
          <w:sz w:val="20"/>
          <w:szCs w:val="20"/>
          <w:lang w:val="es-ES_tradnl"/>
        </w:rPr>
        <w:t>–; e</w:t>
      </w:r>
      <w:r w:rsidR="006B60CF" w:rsidRPr="00BB3C87">
        <w:rPr>
          <w:rFonts w:asciiTheme="majorHAnsi" w:hAnsiTheme="majorHAnsi"/>
          <w:sz w:val="20"/>
          <w:szCs w:val="20"/>
          <w:lang w:val="es-ES_tradnl"/>
        </w:rPr>
        <w:t xml:space="preserve">l Estado </w:t>
      </w:r>
      <w:r w:rsidR="00AD57D9" w:rsidRPr="00BB3C87">
        <w:rPr>
          <w:rFonts w:asciiTheme="majorHAnsi" w:hAnsiTheme="majorHAnsi"/>
          <w:sz w:val="20"/>
          <w:szCs w:val="20"/>
          <w:lang w:val="es-ES_tradnl"/>
        </w:rPr>
        <w:t>aduce</w:t>
      </w:r>
      <w:r w:rsidR="006B60CF" w:rsidRPr="00BB3C87">
        <w:rPr>
          <w:rFonts w:asciiTheme="majorHAnsi" w:hAnsiTheme="majorHAnsi"/>
          <w:sz w:val="20"/>
          <w:szCs w:val="20"/>
          <w:lang w:val="es-ES_tradnl"/>
        </w:rPr>
        <w:t xml:space="preserve"> que se</w:t>
      </w:r>
      <w:r w:rsidR="00C6685B" w:rsidRPr="00BB3C87">
        <w:rPr>
          <w:rFonts w:asciiTheme="majorHAnsi" w:hAnsiTheme="majorHAnsi"/>
          <w:sz w:val="20"/>
          <w:szCs w:val="20"/>
          <w:lang w:val="es-ES_tradnl"/>
        </w:rPr>
        <w:t xml:space="preserve"> sobrepasó el plazo de treinta días para interponer el amparo, conforme a lo indicado por la Ley de Amparo</w:t>
      </w:r>
      <w:r w:rsidR="0021267F" w:rsidRPr="00BB3C87">
        <w:rPr>
          <w:rFonts w:asciiTheme="majorHAnsi" w:hAnsiTheme="majorHAnsi"/>
          <w:sz w:val="20"/>
          <w:szCs w:val="20"/>
          <w:lang w:val="es-ES_tradnl"/>
        </w:rPr>
        <w:t xml:space="preserve"> Exhibición Personal y de Constitucionalidad</w:t>
      </w:r>
      <w:r w:rsidR="00C6685B" w:rsidRPr="00BB3C87">
        <w:rPr>
          <w:rFonts w:asciiTheme="majorHAnsi" w:hAnsiTheme="majorHAnsi"/>
          <w:sz w:val="20"/>
          <w:szCs w:val="20"/>
          <w:lang w:val="es-ES_tradnl"/>
        </w:rPr>
        <w:t xml:space="preserve">. </w:t>
      </w:r>
      <w:r w:rsidR="006B60CF" w:rsidRPr="00BB3C87">
        <w:rPr>
          <w:rFonts w:asciiTheme="majorHAnsi" w:hAnsiTheme="majorHAnsi"/>
          <w:sz w:val="20"/>
          <w:szCs w:val="20"/>
          <w:lang w:val="es-ES_tradnl"/>
        </w:rPr>
        <w:t>Asimismo</w:t>
      </w:r>
      <w:r w:rsidR="00F2510F" w:rsidRPr="00BB3C87">
        <w:rPr>
          <w:rFonts w:asciiTheme="majorHAnsi" w:hAnsiTheme="majorHAnsi"/>
          <w:sz w:val="20"/>
          <w:szCs w:val="20"/>
          <w:lang w:val="es-ES_tradnl"/>
        </w:rPr>
        <w:t>, el Estado subraya que se habían publicado edictos en periódicos de circulación nacional</w:t>
      </w:r>
      <w:r w:rsidR="004574E7" w:rsidRPr="00BB3C87">
        <w:rPr>
          <w:rFonts w:asciiTheme="majorHAnsi" w:hAnsiTheme="majorHAnsi"/>
          <w:sz w:val="20"/>
          <w:szCs w:val="20"/>
          <w:lang w:val="es-ES_tradnl"/>
        </w:rPr>
        <w:t xml:space="preserve"> </w:t>
      </w:r>
      <w:r w:rsidR="004574E7" w:rsidRPr="00BB3C87">
        <w:rPr>
          <w:rFonts w:asciiTheme="majorHAnsi" w:hAnsiTheme="majorHAnsi"/>
          <w:bCs/>
          <w:sz w:val="20"/>
          <w:szCs w:val="20"/>
          <w:lang w:val="es-ES_tradnl"/>
        </w:rPr>
        <w:t>–</w:t>
      </w:r>
      <w:r w:rsidR="004574E7" w:rsidRPr="00BB3C87">
        <w:rPr>
          <w:rFonts w:asciiTheme="majorHAnsi" w:hAnsiTheme="majorHAnsi"/>
          <w:sz w:val="20"/>
          <w:szCs w:val="20"/>
          <w:lang w:val="es-ES_tradnl"/>
        </w:rPr>
        <w:t>en enero de 2015</w:t>
      </w:r>
      <w:r w:rsidR="004574E7" w:rsidRPr="00BB3C87">
        <w:rPr>
          <w:rFonts w:asciiTheme="majorHAnsi" w:hAnsiTheme="majorHAnsi"/>
          <w:bCs/>
          <w:sz w:val="20"/>
          <w:szCs w:val="20"/>
          <w:lang w:val="es-ES_tradnl"/>
        </w:rPr>
        <w:t>–</w:t>
      </w:r>
      <w:r w:rsidR="00F2510F" w:rsidRPr="00BB3C87">
        <w:rPr>
          <w:rFonts w:asciiTheme="majorHAnsi" w:hAnsiTheme="majorHAnsi"/>
          <w:sz w:val="20"/>
          <w:szCs w:val="20"/>
          <w:lang w:val="es-ES_tradnl"/>
        </w:rPr>
        <w:t xml:space="preserve"> en donde se informaba </w:t>
      </w:r>
      <w:r w:rsidR="00C87BED" w:rsidRPr="00BB3C87">
        <w:rPr>
          <w:rFonts w:asciiTheme="majorHAnsi" w:hAnsiTheme="majorHAnsi"/>
          <w:sz w:val="20"/>
          <w:szCs w:val="20"/>
          <w:lang w:val="es-ES_tradnl"/>
        </w:rPr>
        <w:t>sobre</w:t>
      </w:r>
      <w:r w:rsidR="00F2510F" w:rsidRPr="00BB3C87">
        <w:rPr>
          <w:rFonts w:asciiTheme="majorHAnsi" w:hAnsiTheme="majorHAnsi"/>
          <w:sz w:val="20"/>
          <w:szCs w:val="20"/>
          <w:lang w:val="es-ES_tradnl"/>
        </w:rPr>
        <w:t xml:space="preserve"> las medidas cautelares </w:t>
      </w:r>
      <w:r w:rsidR="00C87BED" w:rsidRPr="00BB3C87">
        <w:rPr>
          <w:rFonts w:asciiTheme="majorHAnsi" w:hAnsiTheme="majorHAnsi"/>
          <w:sz w:val="20"/>
          <w:szCs w:val="20"/>
          <w:lang w:val="es-ES_tradnl"/>
        </w:rPr>
        <w:t>en</w:t>
      </w:r>
      <w:r w:rsidR="00F2510F" w:rsidRPr="00BB3C87">
        <w:rPr>
          <w:rFonts w:asciiTheme="majorHAnsi" w:hAnsiTheme="majorHAnsi"/>
          <w:sz w:val="20"/>
          <w:szCs w:val="20"/>
          <w:lang w:val="es-ES_tradnl"/>
        </w:rPr>
        <w:t xml:space="preserve"> la finca de la señora que vendió a las presuntas víctimas y sobre el inicio del proceso de extinción de dominio</w:t>
      </w:r>
      <w:r w:rsidR="00C87BED" w:rsidRPr="00BB3C87">
        <w:rPr>
          <w:rFonts w:asciiTheme="majorHAnsi" w:hAnsiTheme="majorHAnsi"/>
          <w:sz w:val="20"/>
          <w:szCs w:val="20"/>
          <w:lang w:val="es-ES_tradnl"/>
        </w:rPr>
        <w:t xml:space="preserve">; </w:t>
      </w:r>
      <w:r w:rsidR="006B60CF" w:rsidRPr="00BB3C87">
        <w:rPr>
          <w:rFonts w:asciiTheme="majorHAnsi" w:hAnsiTheme="majorHAnsi"/>
          <w:sz w:val="20"/>
          <w:szCs w:val="20"/>
          <w:lang w:val="es-ES_tradnl"/>
        </w:rPr>
        <w:t>por lo que las presuntas víctimas no pueden alegar desconocimiento del proceso de extinción de dominio antes de buscar apersonarse en 2017</w:t>
      </w:r>
      <w:r w:rsidR="00F2510F" w:rsidRPr="00BB3C87">
        <w:rPr>
          <w:rFonts w:asciiTheme="majorHAnsi" w:hAnsiTheme="majorHAnsi"/>
          <w:sz w:val="20"/>
          <w:szCs w:val="20"/>
          <w:lang w:val="es-ES_tradnl"/>
        </w:rPr>
        <w:t xml:space="preserve">. </w:t>
      </w:r>
    </w:p>
    <w:p w14:paraId="48580823" w14:textId="7010EC9C" w:rsidR="0021267F" w:rsidRPr="00BB3C87" w:rsidRDefault="0021267F" w:rsidP="00BB3C87">
      <w:pPr>
        <w:pStyle w:val="ListParagraph"/>
        <w:numPr>
          <w:ilvl w:val="0"/>
          <w:numId w:val="56"/>
        </w:numPr>
        <w:spacing w:before="240" w:after="240"/>
        <w:ind w:left="142" w:firstLine="567"/>
        <w:jc w:val="both"/>
        <w:rPr>
          <w:rFonts w:asciiTheme="majorHAnsi" w:hAnsiTheme="majorHAnsi" w:cstheme="minorBidi"/>
          <w:bCs/>
          <w:sz w:val="20"/>
          <w:szCs w:val="20"/>
          <w:lang w:val="es-ES_tradnl"/>
        </w:rPr>
      </w:pPr>
      <w:r w:rsidRPr="00BB3C87">
        <w:rPr>
          <w:rFonts w:asciiTheme="majorHAnsi" w:hAnsiTheme="majorHAnsi"/>
          <w:sz w:val="20"/>
          <w:szCs w:val="20"/>
          <w:lang w:val="es-ES_tradnl"/>
        </w:rPr>
        <w:t xml:space="preserve">Esta </w:t>
      </w:r>
      <w:r w:rsidR="00C30B18" w:rsidRPr="00BB3C87">
        <w:rPr>
          <w:rFonts w:asciiTheme="majorHAnsi" w:hAnsiTheme="majorHAnsi"/>
          <w:sz w:val="20"/>
          <w:szCs w:val="20"/>
          <w:lang w:val="es-ES"/>
        </w:rPr>
        <w:t xml:space="preserve">Comisión advierte que los hechos tratados en la presente petición </w:t>
      </w:r>
      <w:r w:rsidR="00813626" w:rsidRPr="00BB3C87">
        <w:rPr>
          <w:rFonts w:asciiTheme="majorHAnsi" w:hAnsiTheme="majorHAnsi"/>
          <w:sz w:val="20"/>
          <w:szCs w:val="20"/>
          <w:lang w:val="es-ES"/>
        </w:rPr>
        <w:t>revisten una complejidad</w:t>
      </w:r>
      <w:r w:rsidR="00C30B18" w:rsidRPr="00BB3C87">
        <w:rPr>
          <w:rFonts w:asciiTheme="majorHAnsi" w:hAnsiTheme="majorHAnsi"/>
          <w:sz w:val="20"/>
          <w:szCs w:val="20"/>
          <w:lang w:val="es-ES"/>
        </w:rPr>
        <w:t xml:space="preserve"> que </w:t>
      </w:r>
      <w:r w:rsidR="00813626" w:rsidRPr="00BB3C87">
        <w:rPr>
          <w:rFonts w:asciiTheme="majorHAnsi" w:hAnsiTheme="majorHAnsi"/>
          <w:sz w:val="20"/>
          <w:szCs w:val="20"/>
          <w:lang w:val="es-ES"/>
        </w:rPr>
        <w:t>requiere</w:t>
      </w:r>
      <w:r w:rsidR="00C30B18" w:rsidRPr="00BB3C87">
        <w:rPr>
          <w:rFonts w:asciiTheme="majorHAnsi" w:hAnsiTheme="majorHAnsi"/>
          <w:sz w:val="20"/>
          <w:szCs w:val="20"/>
          <w:lang w:val="es-ES"/>
        </w:rPr>
        <w:t xml:space="preserve"> un análisis de fondo</w:t>
      </w:r>
      <w:r w:rsidR="00813626" w:rsidRPr="00BB3C87">
        <w:rPr>
          <w:rFonts w:asciiTheme="majorHAnsi" w:hAnsiTheme="majorHAnsi"/>
          <w:sz w:val="20"/>
          <w:szCs w:val="20"/>
          <w:lang w:val="es-ES"/>
        </w:rPr>
        <w:t>,</w:t>
      </w:r>
      <w:r w:rsidR="009253A9" w:rsidRPr="00BB3C87">
        <w:rPr>
          <w:rFonts w:asciiTheme="majorHAnsi" w:hAnsiTheme="majorHAnsi"/>
          <w:sz w:val="20"/>
          <w:szCs w:val="20"/>
          <w:lang w:val="es-ES"/>
        </w:rPr>
        <w:t xml:space="preserve"> ya que </w:t>
      </w:r>
      <w:r w:rsidR="00C30B18" w:rsidRPr="00BB3C87">
        <w:rPr>
          <w:rFonts w:asciiTheme="majorHAnsi" w:hAnsiTheme="majorHAnsi"/>
          <w:sz w:val="20"/>
          <w:szCs w:val="20"/>
          <w:lang w:val="es-ES"/>
        </w:rPr>
        <w:t>las presuntas víctimas pertenecen a una comunidad indígena, quienes reclaman una propiedad que compraron y</w:t>
      </w:r>
      <w:r w:rsidR="00991FAF" w:rsidRPr="00BB3C87">
        <w:rPr>
          <w:rFonts w:asciiTheme="majorHAnsi" w:hAnsiTheme="majorHAnsi"/>
          <w:sz w:val="20"/>
          <w:szCs w:val="20"/>
          <w:lang w:val="es-ES"/>
        </w:rPr>
        <w:t xml:space="preserve"> la cual fue objeto de un proceso de extinción de dominio</w:t>
      </w:r>
      <w:r w:rsidR="00813626" w:rsidRPr="00BB3C87">
        <w:rPr>
          <w:rFonts w:asciiTheme="majorHAnsi" w:hAnsiTheme="majorHAnsi"/>
          <w:sz w:val="20"/>
          <w:szCs w:val="20"/>
          <w:lang w:val="es-ES"/>
        </w:rPr>
        <w:t xml:space="preserve"> ajeno a su voluntad.</w:t>
      </w:r>
      <w:r w:rsidR="008408FA" w:rsidRPr="00BB3C87">
        <w:rPr>
          <w:rFonts w:asciiTheme="majorHAnsi" w:hAnsiTheme="majorHAnsi"/>
          <w:sz w:val="20"/>
          <w:szCs w:val="20"/>
          <w:lang w:val="es-ES"/>
        </w:rPr>
        <w:t xml:space="preserve"> </w:t>
      </w:r>
      <w:r w:rsidR="00813626" w:rsidRPr="00BB3C87">
        <w:rPr>
          <w:rFonts w:asciiTheme="majorHAnsi" w:hAnsiTheme="majorHAnsi"/>
          <w:sz w:val="20"/>
          <w:szCs w:val="20"/>
          <w:lang w:val="es-ES"/>
        </w:rPr>
        <w:t>Aquellas</w:t>
      </w:r>
      <w:r w:rsidR="00991FAF" w:rsidRPr="00BB3C87">
        <w:rPr>
          <w:rFonts w:asciiTheme="majorHAnsi" w:hAnsiTheme="majorHAnsi"/>
          <w:sz w:val="20"/>
          <w:szCs w:val="20"/>
          <w:lang w:val="es-ES"/>
        </w:rPr>
        <w:t xml:space="preserve"> denuncian que los </w:t>
      </w:r>
      <w:r w:rsidR="00C30B18" w:rsidRPr="00BB3C87">
        <w:rPr>
          <w:rFonts w:asciiTheme="majorHAnsi" w:hAnsiTheme="majorHAnsi"/>
          <w:sz w:val="20"/>
          <w:szCs w:val="20"/>
          <w:lang w:val="es-ES"/>
        </w:rPr>
        <w:t xml:space="preserve">tribunales internos nunca tomaron decisiones de fondo </w:t>
      </w:r>
      <w:r w:rsidR="00813626" w:rsidRPr="00BB3C87">
        <w:rPr>
          <w:rFonts w:asciiTheme="majorHAnsi" w:hAnsiTheme="majorHAnsi"/>
          <w:sz w:val="20"/>
          <w:szCs w:val="20"/>
          <w:lang w:val="es-ES"/>
        </w:rPr>
        <w:t>en sus recursos</w:t>
      </w:r>
      <w:r w:rsidR="00C30B18" w:rsidRPr="00BB3C87">
        <w:rPr>
          <w:rFonts w:asciiTheme="majorHAnsi" w:hAnsiTheme="majorHAnsi"/>
          <w:sz w:val="20"/>
          <w:szCs w:val="20"/>
          <w:lang w:val="es-ES"/>
        </w:rPr>
        <w:t>.</w:t>
      </w:r>
      <w:r w:rsidR="00C30B18" w:rsidRPr="00BB3C87">
        <w:rPr>
          <w:rFonts w:asciiTheme="majorHAnsi" w:hAnsiTheme="majorHAnsi" w:cstheme="majorHAnsi"/>
          <w:sz w:val="20"/>
          <w:szCs w:val="20"/>
          <w:lang w:val="es-ES_tradnl"/>
        </w:rPr>
        <w:t xml:space="preserve"> Lo anterior, </w:t>
      </w:r>
      <w:r w:rsidR="00813626" w:rsidRPr="00BB3C87">
        <w:rPr>
          <w:rFonts w:asciiTheme="majorHAnsi" w:hAnsiTheme="majorHAnsi" w:cstheme="majorHAnsi"/>
          <w:sz w:val="20"/>
          <w:szCs w:val="20"/>
          <w:lang w:val="es-ES_tradnl"/>
        </w:rPr>
        <w:t>la CIDH</w:t>
      </w:r>
      <w:r w:rsidRPr="00BB3C87">
        <w:rPr>
          <w:rFonts w:asciiTheme="majorHAnsi" w:hAnsiTheme="majorHAnsi" w:cstheme="majorHAnsi"/>
          <w:sz w:val="20"/>
          <w:szCs w:val="20"/>
          <w:lang w:val="es-ES_tradnl"/>
        </w:rPr>
        <w:t>, a través de informes y de sus distintos mecanismos</w:t>
      </w:r>
      <w:r w:rsidRPr="00BB3C87">
        <w:rPr>
          <w:rFonts w:asciiTheme="majorHAnsi" w:hAnsiTheme="majorHAnsi"/>
          <w:sz w:val="20"/>
          <w:szCs w:val="20"/>
          <w:vertAlign w:val="superscript"/>
          <w:lang w:val="es-ES_tradnl"/>
        </w:rPr>
        <w:footnoteReference w:id="34"/>
      </w:r>
      <w:r w:rsidRPr="00BB3C87">
        <w:rPr>
          <w:rFonts w:asciiTheme="majorHAnsi" w:hAnsiTheme="majorHAnsi" w:cstheme="majorHAnsi"/>
          <w:sz w:val="20"/>
          <w:szCs w:val="20"/>
          <w:lang w:val="es-ES_tradnl"/>
        </w:rPr>
        <w:t>, ha advertido en repetidas ocasiones que los pueblos indígenas en Guatemala enfrentan los más altos índices de exclusión social</w:t>
      </w:r>
      <w:r w:rsidR="00813626" w:rsidRPr="00BB3C87">
        <w:rPr>
          <w:rFonts w:asciiTheme="majorHAnsi" w:hAnsiTheme="majorHAnsi" w:cstheme="majorHAnsi"/>
          <w:sz w:val="20"/>
          <w:szCs w:val="20"/>
          <w:lang w:val="es-ES_tradnl"/>
        </w:rPr>
        <w:t xml:space="preserve">. </w:t>
      </w:r>
    </w:p>
    <w:p w14:paraId="743D04F9" w14:textId="1C075E22" w:rsidR="0021267F" w:rsidRPr="00BB3C87" w:rsidRDefault="00C87BED"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BB3C87">
        <w:rPr>
          <w:rFonts w:asciiTheme="majorHAnsi" w:hAnsiTheme="majorHAnsi" w:cstheme="majorHAnsi"/>
          <w:sz w:val="20"/>
          <w:szCs w:val="20"/>
          <w:lang w:val="es-ES_tradnl"/>
        </w:rPr>
        <w:t>L</w:t>
      </w:r>
      <w:r w:rsidR="0021267F" w:rsidRPr="00BB3C87">
        <w:rPr>
          <w:rFonts w:asciiTheme="majorHAnsi" w:hAnsiTheme="majorHAnsi" w:cstheme="majorHAnsi"/>
          <w:sz w:val="20"/>
          <w:szCs w:val="20"/>
          <w:lang w:val="es-ES_tradnl"/>
        </w:rPr>
        <w:t>a CIDH subraya que el respeto y goce del derecho a la propiedad es uno de los desafíos fundamentales que enfrentan los pueblos y comunidades indígenas en Guatemala. En particular, la situación de la propiedad indígena se caracteriza por la falta de reconocimiento jurídico de las tierras y territorios históricamente ocupados; la extrema desigualdad en la distribución de la tierra; la inseguridad jurídica sobre su tenencia; la falta de un sistema catastral que reconozca el territorio ancestral y permita proteger las tierras pertenecientes a los pueblos indígenas; la titulación y registro de tierras comunitarias por terceros en forma anómala e ilegal; el hecho que el Estado considere que los recursos naturales son de su propiedad, entre otros</w:t>
      </w:r>
      <w:r w:rsidR="0021267F" w:rsidRPr="00BB3C87">
        <w:rPr>
          <w:rStyle w:val="FootnoteReference"/>
          <w:rFonts w:asciiTheme="majorHAnsi" w:hAnsiTheme="majorHAnsi" w:cstheme="majorHAnsi"/>
          <w:sz w:val="20"/>
          <w:szCs w:val="20"/>
        </w:rPr>
        <w:footnoteReference w:id="35"/>
      </w:r>
      <w:r w:rsidR="0021267F" w:rsidRPr="00BB3C87">
        <w:rPr>
          <w:rFonts w:asciiTheme="majorHAnsi" w:hAnsiTheme="majorHAnsi" w:cstheme="majorHAnsi"/>
          <w:sz w:val="20"/>
          <w:szCs w:val="20"/>
          <w:lang w:val="es-ES_tradnl"/>
        </w:rPr>
        <w:t>.</w:t>
      </w:r>
    </w:p>
    <w:p w14:paraId="5E9AD1E2" w14:textId="77777777" w:rsidR="008408FA" w:rsidRPr="00BB3C87" w:rsidRDefault="008408FA"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BB3C87">
        <w:rPr>
          <w:rFonts w:asciiTheme="majorHAnsi" w:hAnsiTheme="majorHAnsi" w:cstheme="majorHAnsi"/>
          <w:sz w:val="20"/>
          <w:szCs w:val="20"/>
          <w:lang w:val="es-ES"/>
        </w:rPr>
        <w:t>Igualmente, est</w:t>
      </w:r>
      <w:r w:rsidR="0021267F" w:rsidRPr="00BB3C87">
        <w:rPr>
          <w:rFonts w:asciiTheme="majorHAnsi" w:hAnsiTheme="majorHAnsi" w:cstheme="majorHAnsi"/>
          <w:sz w:val="20"/>
          <w:szCs w:val="20"/>
          <w:lang w:val="es-ES"/>
        </w:rPr>
        <w:t xml:space="preserve">a Comisión reitera la necesidad dentro del derecho internacional en general, y en el derecho interamericano específicamente, de protección especial para que los pueblos indígenas, a fin de </w:t>
      </w:r>
      <w:r w:rsidR="0021267F" w:rsidRPr="00BB3C87">
        <w:rPr>
          <w:rFonts w:asciiTheme="majorHAnsi" w:hAnsiTheme="majorHAnsi" w:cstheme="majorHAnsi"/>
          <w:sz w:val="20"/>
          <w:szCs w:val="20"/>
          <w:lang w:val="es-ES"/>
        </w:rPr>
        <w:lastRenderedPageBreak/>
        <w:t>que puedan ejercer sus derechos plena y equitativamente con el resto de la población.</w:t>
      </w:r>
      <w:bookmarkStart w:id="4" w:name="_ftnref19"/>
      <w:r w:rsidR="0021267F" w:rsidRPr="00BB3C87">
        <w:rPr>
          <w:rFonts w:asciiTheme="majorHAnsi" w:hAnsiTheme="majorHAnsi" w:cstheme="majorHAnsi"/>
          <w:sz w:val="20"/>
          <w:szCs w:val="20"/>
          <w:lang w:val="es-ES"/>
        </w:rPr>
        <w:fldChar w:fldCharType="begin"/>
      </w:r>
      <w:r w:rsidR="0021267F" w:rsidRPr="00BB3C87">
        <w:rPr>
          <w:rFonts w:asciiTheme="majorHAnsi" w:hAnsiTheme="majorHAnsi" w:cstheme="majorHAnsi"/>
          <w:sz w:val="20"/>
          <w:szCs w:val="20"/>
          <w:lang w:val="es-ES"/>
        </w:rPr>
        <w:instrText xml:space="preserve"> HYPERLINK "http://www.cidh.oas.org/annualrep/2007sp/Honduras1118.03sp.htm" \l "_ftn19" \o "" </w:instrText>
      </w:r>
      <w:r w:rsidR="0021267F" w:rsidRPr="00BB3C87">
        <w:rPr>
          <w:rFonts w:asciiTheme="majorHAnsi" w:hAnsiTheme="majorHAnsi" w:cstheme="majorHAnsi"/>
          <w:sz w:val="20"/>
          <w:szCs w:val="20"/>
          <w:lang w:val="es-ES"/>
        </w:rPr>
      </w:r>
      <w:r w:rsidR="0021267F" w:rsidRPr="00BB3C87">
        <w:rPr>
          <w:rFonts w:asciiTheme="majorHAnsi" w:hAnsiTheme="majorHAnsi" w:cstheme="majorHAnsi"/>
          <w:sz w:val="20"/>
          <w:szCs w:val="20"/>
          <w:lang w:val="es-ES"/>
        </w:rPr>
        <w:fldChar w:fldCharType="end"/>
      </w:r>
      <w:bookmarkEnd w:id="4"/>
      <w:r w:rsidR="0021267F" w:rsidRPr="00BB3C87">
        <w:rPr>
          <w:rFonts w:asciiTheme="majorHAnsi" w:hAnsiTheme="majorHAnsi" w:cstheme="majorHAnsi"/>
          <w:sz w:val="20"/>
          <w:szCs w:val="20"/>
          <w:lang w:val="es-ES"/>
        </w:rPr>
        <w:t xml:space="preserve"> Particularmente, en lo que respecta a pueblos indígenas, de acuerdo con lo establecido en el Convenio 169 de la OIT y en la Convención Americana de Derechos Humanos, es indispensable que los Estados otorguen una protección efectiva que tome en cuenta sus particularidades propias, sus características económicas y sociales, así como su situación de especial vulnerabilidad, su derecho consuetudinario, valores, usos y costumbres</w:t>
      </w:r>
      <w:r w:rsidR="0021267F" w:rsidRPr="00BB3C87">
        <w:rPr>
          <w:rStyle w:val="FootnoteReference"/>
          <w:rFonts w:asciiTheme="majorHAnsi" w:hAnsiTheme="majorHAnsi" w:cstheme="majorHAnsi"/>
          <w:color w:val="auto"/>
          <w:sz w:val="20"/>
          <w:szCs w:val="20"/>
          <w:lang w:val="es-ES"/>
        </w:rPr>
        <w:footnoteReference w:id="36"/>
      </w:r>
      <w:r w:rsidR="0021267F" w:rsidRPr="00BB3C87">
        <w:rPr>
          <w:rFonts w:asciiTheme="majorHAnsi" w:hAnsiTheme="majorHAnsi" w:cstheme="majorHAnsi"/>
          <w:sz w:val="20"/>
          <w:szCs w:val="20"/>
          <w:lang w:val="es-ES"/>
        </w:rPr>
        <w:t xml:space="preserve">. </w:t>
      </w:r>
    </w:p>
    <w:p w14:paraId="224759B6" w14:textId="1E0D7D53" w:rsidR="009253A9" w:rsidRPr="00BB3C87" w:rsidRDefault="009253A9"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BB3C87">
        <w:rPr>
          <w:rFonts w:asciiTheme="majorHAnsi" w:hAnsiTheme="majorHAnsi" w:cstheme="majorHAnsi"/>
          <w:sz w:val="20"/>
          <w:szCs w:val="20"/>
          <w:lang w:val="es-ES"/>
        </w:rPr>
        <w:t>Por lo</w:t>
      </w:r>
      <w:r w:rsidR="00C87BED" w:rsidRPr="00BB3C87">
        <w:rPr>
          <w:rFonts w:asciiTheme="majorHAnsi" w:hAnsiTheme="majorHAnsi" w:cstheme="majorHAnsi"/>
          <w:sz w:val="20"/>
          <w:szCs w:val="20"/>
          <w:lang w:val="es-ES"/>
        </w:rPr>
        <w:t xml:space="preserve"> cual</w:t>
      </w:r>
      <w:r w:rsidRPr="00BB3C87">
        <w:rPr>
          <w:rFonts w:asciiTheme="majorHAnsi" w:hAnsiTheme="majorHAnsi" w:cstheme="majorHAnsi"/>
          <w:sz w:val="20"/>
          <w:szCs w:val="20"/>
          <w:lang w:val="es-ES"/>
        </w:rPr>
        <w:t>, la CIDH en etapa de fondo considerará si existió acceso judicial adecuado para las presuntas víctimas y realizará un examen de proporcionalidad de la necesidad del Estado de confiscar y extinguir el dominio de la finca en disputa. Asimismo, se analizará con mayor profundidad si los hechos alegados por los peticionarios son atribuibles al Estado o a un tercero; sobre este último punto, cabe resaltar que pese a que el Estado sugiere que los peticionarios debieron interponer alguna denuncia contra la señora que les vendió el predio, las presuntas víctimas han mantenido la postura de que la señora no es la responsable de lo sucedido.</w:t>
      </w:r>
    </w:p>
    <w:p w14:paraId="166F091B" w14:textId="4E71DF40" w:rsidR="0021267F" w:rsidRPr="00BB3C87" w:rsidRDefault="009253A9"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BB3C87">
        <w:rPr>
          <w:rFonts w:asciiTheme="majorHAnsi" w:hAnsiTheme="majorHAnsi" w:cstheme="majorHAnsi"/>
          <w:sz w:val="20"/>
          <w:szCs w:val="20"/>
          <w:lang w:val="es-ES_tradnl"/>
        </w:rPr>
        <w:t>Así, t</w:t>
      </w:r>
      <w:r w:rsidR="0021267F" w:rsidRPr="00BB3C87">
        <w:rPr>
          <w:rFonts w:asciiTheme="majorHAnsi" w:hAnsiTheme="majorHAnsi" w:cstheme="majorHAnsi"/>
          <w:sz w:val="20"/>
          <w:szCs w:val="20"/>
          <w:lang w:val="es-ES_tradnl"/>
        </w:rPr>
        <w:t>omando en consideración que l</w:t>
      </w:r>
      <w:r w:rsidR="0021267F" w:rsidRPr="00BB3C87">
        <w:rPr>
          <w:rFonts w:asciiTheme="majorHAnsi" w:hAnsiTheme="majorHAnsi" w:cstheme="majorHAnsi"/>
          <w:sz w:val="20"/>
          <w:szCs w:val="20"/>
          <w:lang w:val="es-ES"/>
        </w:rPr>
        <w:t>as distintas fuentes al alcance de la CIDH indican que en Guatemala la alta inseguridad jurídica es uno de los principales problemas de la propiedad, en general, y de la propiedad indígena, en particular</w:t>
      </w:r>
      <w:r w:rsidR="0021267F" w:rsidRPr="00BB3C87">
        <w:rPr>
          <w:rFonts w:asciiTheme="majorHAnsi" w:hAnsiTheme="majorHAnsi" w:cstheme="majorHAnsi"/>
          <w:sz w:val="20"/>
          <w:szCs w:val="20"/>
          <w:lang w:val="es-ES_tradnl"/>
        </w:rPr>
        <w:t xml:space="preserve">; </w:t>
      </w:r>
      <w:r w:rsidRPr="00BB3C87">
        <w:rPr>
          <w:rFonts w:asciiTheme="majorHAnsi" w:hAnsiTheme="majorHAnsi" w:cstheme="majorHAnsi"/>
          <w:sz w:val="20"/>
          <w:szCs w:val="20"/>
          <w:lang w:val="es-ES_tradnl"/>
        </w:rPr>
        <w:t>que Guatemala</w:t>
      </w:r>
      <w:r w:rsidR="0021267F" w:rsidRPr="00BB3C87">
        <w:rPr>
          <w:rFonts w:asciiTheme="majorHAnsi" w:hAnsiTheme="majorHAnsi" w:cstheme="majorHAnsi"/>
          <w:sz w:val="20"/>
          <w:szCs w:val="20"/>
          <w:lang w:val="es-ES"/>
        </w:rPr>
        <w:t xml:space="preserve"> tiene además una alta tasa de falta de registro de la tierra y los espacios no se encuentran demarcados o delimitados</w:t>
      </w:r>
      <w:r w:rsidR="0021267F" w:rsidRPr="00BB3C87">
        <w:rPr>
          <w:rStyle w:val="FootnoteReference"/>
          <w:rFonts w:asciiTheme="majorHAnsi" w:hAnsiTheme="majorHAnsi" w:cstheme="majorHAnsi"/>
          <w:sz w:val="20"/>
          <w:szCs w:val="20"/>
        </w:rPr>
        <w:footnoteReference w:id="37"/>
      </w:r>
      <w:r w:rsidR="0021267F" w:rsidRPr="00BB3C87">
        <w:rPr>
          <w:rFonts w:asciiTheme="majorHAnsi" w:hAnsiTheme="majorHAnsi" w:cstheme="majorHAnsi"/>
          <w:sz w:val="20"/>
          <w:szCs w:val="20"/>
          <w:lang w:val="es-ES_tradnl"/>
        </w:rPr>
        <w:t xml:space="preserve">; y tras examinar los elementos de hecho y de derecho expuestos por las partes, esta Comisión estima que los alegatos de la parte peticionaria no resultan manifiestamente infundados y requieren un estudio de fondo, </w:t>
      </w:r>
      <w:r w:rsidR="0021267F" w:rsidRPr="00E4200E">
        <w:rPr>
          <w:rFonts w:asciiTheme="majorHAnsi" w:hAnsiTheme="majorHAnsi" w:cstheme="majorHAnsi"/>
          <w:sz w:val="20"/>
          <w:szCs w:val="20"/>
          <w:lang w:val="es-ES"/>
        </w:rPr>
        <w:t xml:space="preserve">pues los hechos alegados, </w:t>
      </w:r>
      <w:r w:rsidRPr="00BB3C87">
        <w:rPr>
          <w:rFonts w:asciiTheme="majorHAnsi" w:hAnsiTheme="majorHAnsi" w:cstheme="majorHAnsi"/>
          <w:i/>
          <w:iCs/>
          <w:sz w:val="20"/>
          <w:szCs w:val="20"/>
          <w:lang w:val="es-ES_tradnl"/>
        </w:rPr>
        <w:t>prima facie</w:t>
      </w:r>
      <w:r w:rsidRPr="00BB3C87">
        <w:rPr>
          <w:rFonts w:asciiTheme="majorHAnsi" w:hAnsiTheme="majorHAnsi" w:cstheme="majorHAnsi"/>
          <w:sz w:val="20"/>
          <w:szCs w:val="20"/>
          <w:lang w:val="es-ES_tradnl"/>
        </w:rPr>
        <w:t>,</w:t>
      </w:r>
      <w:r w:rsidR="0021267F" w:rsidRPr="00E4200E">
        <w:rPr>
          <w:rFonts w:asciiTheme="majorHAnsi" w:hAnsiTheme="majorHAnsi" w:cstheme="majorHAnsi"/>
          <w:sz w:val="20"/>
          <w:szCs w:val="20"/>
          <w:lang w:val="es-ES"/>
        </w:rPr>
        <w:t xml:space="preserve"> podrían caracterizar violaciones a los</w:t>
      </w:r>
      <w:r w:rsidR="0021267F" w:rsidRPr="00BB3C87">
        <w:rPr>
          <w:rFonts w:asciiTheme="majorHAnsi" w:hAnsiTheme="majorHAnsi" w:cstheme="majorHAnsi"/>
          <w:sz w:val="20"/>
          <w:szCs w:val="20"/>
          <w:lang w:val="es-ES_tradnl"/>
        </w:rPr>
        <w:t xml:space="preserve"> artículos </w:t>
      </w:r>
      <w:r w:rsidR="0021267F" w:rsidRPr="00BB3C87">
        <w:rPr>
          <w:rFonts w:asciiTheme="majorHAnsi" w:hAnsiTheme="majorHAnsi" w:cstheme="majorHAnsi"/>
          <w:bCs/>
          <w:sz w:val="20"/>
          <w:szCs w:val="20"/>
          <w:lang w:val="es-ES_tradnl"/>
        </w:rPr>
        <w:t>8 (garantías judiciales)</w:t>
      </w:r>
      <w:r w:rsidRPr="00BB3C87">
        <w:rPr>
          <w:rFonts w:asciiTheme="majorHAnsi" w:hAnsiTheme="majorHAnsi" w:cstheme="majorHAnsi"/>
          <w:bCs/>
          <w:sz w:val="20"/>
          <w:szCs w:val="20"/>
          <w:lang w:val="es-ES_tradnl"/>
        </w:rPr>
        <w:t xml:space="preserve"> y </w:t>
      </w:r>
      <w:r w:rsidR="0021267F" w:rsidRPr="00BB3C87">
        <w:rPr>
          <w:rFonts w:asciiTheme="majorHAnsi" w:hAnsiTheme="majorHAnsi" w:cstheme="majorHAnsi"/>
          <w:bCs/>
          <w:sz w:val="20"/>
          <w:szCs w:val="20"/>
          <w:lang w:val="es-ES_tradnl"/>
        </w:rPr>
        <w:t>25 (protección judicial)</w:t>
      </w:r>
      <w:r w:rsidRPr="00BB3C87">
        <w:rPr>
          <w:rFonts w:asciiTheme="majorHAnsi" w:hAnsiTheme="majorHAnsi" w:cstheme="majorHAnsi"/>
          <w:bCs/>
          <w:sz w:val="20"/>
          <w:szCs w:val="20"/>
          <w:lang w:val="es-ES_tradnl"/>
        </w:rPr>
        <w:t xml:space="preserve"> </w:t>
      </w:r>
      <w:r w:rsidR="0021267F" w:rsidRPr="00BB3C87">
        <w:rPr>
          <w:rFonts w:asciiTheme="majorHAnsi" w:hAnsiTheme="majorHAnsi" w:cstheme="majorHAnsi"/>
          <w:bCs/>
          <w:sz w:val="20"/>
          <w:szCs w:val="20"/>
          <w:lang w:val="es-ES_tradnl"/>
        </w:rPr>
        <w:t xml:space="preserve">de la Convención Americana, en relación con su artículo 1.1 (obligación de respetar los derechos) </w:t>
      </w:r>
      <w:r w:rsidRPr="00BB3C87">
        <w:rPr>
          <w:rFonts w:asciiTheme="majorHAnsi" w:hAnsiTheme="majorHAnsi" w:cstheme="majorHAnsi"/>
          <w:bCs/>
          <w:sz w:val="20"/>
          <w:szCs w:val="20"/>
          <w:lang w:val="es-ES_tradnl"/>
        </w:rPr>
        <w:t>en perjuicio de las familias campesinas e indígenas pertenecientes al ADIAJMST.</w:t>
      </w:r>
    </w:p>
    <w:p w14:paraId="5442149C" w14:textId="1CF1A766" w:rsidR="003E25E8" w:rsidRPr="00E4200E" w:rsidRDefault="003E25E8" w:rsidP="00BB3C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
        </w:rPr>
      </w:pPr>
      <w:r w:rsidRPr="00E4200E">
        <w:rPr>
          <w:rFonts w:asciiTheme="majorHAnsi" w:hAnsiTheme="majorHAnsi"/>
          <w:bCs/>
          <w:sz w:val="20"/>
          <w:szCs w:val="20"/>
          <w:lang w:val="es-ES"/>
        </w:rPr>
        <w:t xml:space="preserve">En cuanto </w:t>
      </w:r>
      <w:r w:rsidRPr="00E4200E">
        <w:rPr>
          <w:rFonts w:asciiTheme="majorHAnsi" w:hAnsiTheme="majorHAnsi" w:cstheme="majorHAnsi"/>
          <w:sz w:val="20"/>
          <w:szCs w:val="20"/>
          <w:lang w:val="es-ES"/>
        </w:rPr>
        <w:t>al reclamo de la presunta violación de los artículos 3 (reconocimiento de la personalidad jurídica), 4 (vida), 5 (integridad personal), 17 (protección a la familia)</w:t>
      </w:r>
      <w:r w:rsidR="00D7117E" w:rsidRPr="00E4200E">
        <w:rPr>
          <w:rFonts w:asciiTheme="majorHAnsi" w:hAnsiTheme="majorHAnsi" w:cstheme="majorHAnsi"/>
          <w:sz w:val="20"/>
          <w:szCs w:val="20"/>
          <w:lang w:val="es-ES"/>
        </w:rPr>
        <w:t xml:space="preserve"> y</w:t>
      </w:r>
      <w:r w:rsidRPr="00E4200E">
        <w:rPr>
          <w:rFonts w:asciiTheme="majorHAnsi" w:hAnsiTheme="majorHAnsi" w:cstheme="majorHAnsi"/>
          <w:sz w:val="20"/>
          <w:szCs w:val="20"/>
          <w:lang w:val="es-ES"/>
        </w:rPr>
        <w:t xml:space="preserve"> 18 (derecho al nombre)</w:t>
      </w:r>
      <w:r w:rsidR="00D7117E" w:rsidRPr="00E4200E">
        <w:rPr>
          <w:rFonts w:asciiTheme="majorHAnsi" w:hAnsiTheme="majorHAnsi" w:cstheme="majorHAnsi"/>
          <w:sz w:val="20"/>
          <w:szCs w:val="20"/>
          <w:lang w:val="es-ES"/>
        </w:rPr>
        <w:t xml:space="preserve"> </w:t>
      </w:r>
      <w:r w:rsidRPr="00E4200E">
        <w:rPr>
          <w:rFonts w:asciiTheme="majorHAnsi" w:hAnsiTheme="majorHAnsi" w:cstheme="majorHAnsi"/>
          <w:sz w:val="20"/>
          <w:szCs w:val="20"/>
          <w:lang w:val="es-ES"/>
        </w:rPr>
        <w:t>la Comisión observa que la parte peticionaria no ha ofrecido alegatos o sustento suficiente que permita considerar</w:t>
      </w:r>
      <w:r w:rsidR="00673D09" w:rsidRPr="00BB3C87">
        <w:rPr>
          <w:rFonts w:asciiTheme="majorHAnsi" w:hAnsiTheme="majorHAnsi" w:cstheme="majorHAnsi"/>
          <w:sz w:val="20"/>
          <w:szCs w:val="20"/>
          <w:lang w:val="es-ES_tradnl"/>
        </w:rPr>
        <w:t>,</w:t>
      </w:r>
      <w:r w:rsidRPr="00E4200E">
        <w:rPr>
          <w:rFonts w:asciiTheme="majorHAnsi" w:hAnsiTheme="majorHAnsi" w:cstheme="majorHAnsi"/>
          <w:sz w:val="20"/>
          <w:szCs w:val="20"/>
          <w:lang w:val="es-ES"/>
        </w:rPr>
        <w:t xml:space="preserve"> </w:t>
      </w:r>
      <w:r w:rsidRPr="00E4200E">
        <w:rPr>
          <w:rFonts w:asciiTheme="majorHAnsi" w:hAnsiTheme="majorHAnsi" w:cstheme="majorHAnsi"/>
          <w:i/>
          <w:iCs/>
          <w:sz w:val="20"/>
          <w:szCs w:val="20"/>
          <w:lang w:val="es-ES"/>
        </w:rPr>
        <w:t>prima facie</w:t>
      </w:r>
      <w:r w:rsidR="00673D09" w:rsidRPr="00BB3C87">
        <w:rPr>
          <w:rFonts w:asciiTheme="majorHAnsi" w:hAnsiTheme="majorHAnsi" w:cstheme="majorHAnsi"/>
          <w:i/>
          <w:iCs/>
          <w:sz w:val="20"/>
          <w:szCs w:val="20"/>
          <w:lang w:val="es-ES_tradnl"/>
        </w:rPr>
        <w:t>,</w:t>
      </w:r>
      <w:r w:rsidRPr="00E4200E">
        <w:rPr>
          <w:rFonts w:asciiTheme="majorHAnsi" w:hAnsiTheme="majorHAnsi" w:cstheme="majorHAnsi"/>
          <w:sz w:val="20"/>
          <w:szCs w:val="20"/>
          <w:lang w:val="es-ES"/>
        </w:rPr>
        <w:t xml:space="preserve"> su posible violación</w:t>
      </w:r>
      <w:r w:rsidRPr="00E4200E">
        <w:rPr>
          <w:rFonts w:asciiTheme="majorHAnsi" w:hAnsiTheme="majorHAnsi"/>
          <w:bCs/>
          <w:sz w:val="20"/>
          <w:szCs w:val="20"/>
          <w:lang w:val="es-ES"/>
        </w:rPr>
        <w:t>.</w:t>
      </w:r>
    </w:p>
    <w:p w14:paraId="445BF42E" w14:textId="4C62B2C3" w:rsidR="003239B8" w:rsidRPr="00BB3C87" w:rsidRDefault="003239B8" w:rsidP="00BB3C8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09"/>
        <w:jc w:val="both"/>
        <w:rPr>
          <w:rFonts w:asciiTheme="majorHAnsi" w:hAnsiTheme="majorHAnsi"/>
          <w:b/>
          <w:bCs/>
          <w:sz w:val="20"/>
          <w:szCs w:val="20"/>
          <w:lang w:val="es-ES_tradnl"/>
        </w:rPr>
      </w:pPr>
      <w:r w:rsidRPr="00BB3C87">
        <w:rPr>
          <w:rFonts w:asciiTheme="majorHAnsi" w:hAnsiTheme="majorHAnsi"/>
          <w:b/>
          <w:bCs/>
          <w:sz w:val="20"/>
          <w:szCs w:val="20"/>
          <w:lang w:val="es-ES_tradnl"/>
        </w:rPr>
        <w:t xml:space="preserve">VIII. </w:t>
      </w:r>
      <w:r w:rsidRPr="00BB3C87">
        <w:rPr>
          <w:rFonts w:asciiTheme="majorHAnsi" w:hAnsiTheme="majorHAnsi"/>
          <w:b/>
          <w:bCs/>
          <w:sz w:val="20"/>
          <w:szCs w:val="20"/>
          <w:lang w:val="es-ES_tradnl"/>
        </w:rPr>
        <w:tab/>
        <w:t>DECISIÓN</w:t>
      </w:r>
    </w:p>
    <w:p w14:paraId="0078FA9C" w14:textId="58BD638D" w:rsidR="0021267F" w:rsidRPr="00BB3C87" w:rsidRDefault="0021267F" w:rsidP="00BB3C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B3C87">
        <w:rPr>
          <w:rFonts w:asciiTheme="majorHAnsi" w:hAnsiTheme="majorHAnsi"/>
          <w:sz w:val="20"/>
          <w:szCs w:val="20"/>
          <w:lang w:val="es-ES_tradnl"/>
        </w:rPr>
        <w:t>Declarar admisible la presente petición en relación con los artículos 8 y 25 en relación con su artículo 1.1</w:t>
      </w:r>
      <w:r w:rsidR="00067B49" w:rsidRPr="00BB3C87">
        <w:rPr>
          <w:rFonts w:asciiTheme="majorHAnsi" w:hAnsiTheme="majorHAnsi"/>
          <w:sz w:val="20"/>
          <w:szCs w:val="20"/>
          <w:lang w:val="es-ES_tradnl"/>
        </w:rPr>
        <w:t>;</w:t>
      </w:r>
    </w:p>
    <w:p w14:paraId="1A7B2A6C" w14:textId="4A0594FC" w:rsidR="00370233" w:rsidRPr="00BB3C87" w:rsidRDefault="003E25E8" w:rsidP="00BB3C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B3C87">
        <w:rPr>
          <w:rFonts w:asciiTheme="majorHAnsi" w:hAnsiTheme="majorHAnsi"/>
          <w:sz w:val="20"/>
          <w:szCs w:val="20"/>
          <w:lang w:val="es-ES"/>
        </w:rPr>
        <w:t>Declarar inadmisible la presente petición en relación con los artículos 3, 4, 5, 17 y 18</w:t>
      </w:r>
      <w:r w:rsidR="00186BE0">
        <w:rPr>
          <w:rFonts w:asciiTheme="majorHAnsi" w:hAnsiTheme="majorHAnsi"/>
          <w:sz w:val="20"/>
          <w:szCs w:val="20"/>
          <w:lang w:val="es-ES"/>
        </w:rPr>
        <w:t>, y;</w:t>
      </w:r>
    </w:p>
    <w:p w14:paraId="02C904B2" w14:textId="32726699" w:rsidR="009A56CE" w:rsidRDefault="0021267F" w:rsidP="00BB3C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B3C8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B96C06D" w14:textId="3C5DDE1B" w:rsidR="00186BE0" w:rsidRPr="00AA4769" w:rsidRDefault="00186BE0" w:rsidP="00AA476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AA476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186BE0" w:rsidRPr="00AA4769" w:rsidSect="0088099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B8B0" w14:textId="77777777" w:rsidR="0092059E" w:rsidRDefault="0092059E">
      <w:r>
        <w:separator/>
      </w:r>
    </w:p>
  </w:endnote>
  <w:endnote w:type="continuationSeparator" w:id="0">
    <w:p w14:paraId="31C0632F" w14:textId="77777777" w:rsidR="0092059E" w:rsidRDefault="0092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B741" w14:textId="77777777" w:rsidR="0092059E" w:rsidRPr="000F35ED" w:rsidRDefault="009205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D735FF" w14:textId="77777777" w:rsidR="0092059E" w:rsidRPr="000F35ED" w:rsidRDefault="0092059E" w:rsidP="000F35ED">
      <w:pPr>
        <w:rPr>
          <w:rFonts w:asciiTheme="majorHAnsi" w:hAnsiTheme="majorHAnsi"/>
          <w:sz w:val="16"/>
          <w:szCs w:val="16"/>
        </w:rPr>
      </w:pPr>
      <w:r w:rsidRPr="000F35ED">
        <w:rPr>
          <w:rFonts w:asciiTheme="majorHAnsi" w:hAnsiTheme="majorHAnsi"/>
          <w:sz w:val="16"/>
          <w:szCs w:val="16"/>
        </w:rPr>
        <w:separator/>
      </w:r>
    </w:p>
    <w:p w14:paraId="693F5465" w14:textId="77777777" w:rsidR="0092059E" w:rsidRPr="000F35ED" w:rsidRDefault="0092059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72B966" w14:textId="77777777" w:rsidR="0092059E" w:rsidRPr="000F35ED" w:rsidRDefault="009205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43EF75" w14:textId="55989F12" w:rsidR="0017681E" w:rsidRPr="00726EC0" w:rsidRDefault="0017681E"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Conforme a lo dispuesto en el artículo 17.2.a</w:t>
      </w:r>
      <w:r w:rsidR="009216DE" w:rsidRPr="00726EC0">
        <w:rPr>
          <w:rFonts w:asciiTheme="majorHAnsi" w:hAnsiTheme="majorHAnsi"/>
          <w:sz w:val="16"/>
          <w:szCs w:val="16"/>
          <w:lang w:val="es-ES"/>
        </w:rPr>
        <w:t>)</w:t>
      </w:r>
      <w:r w:rsidRPr="00726EC0">
        <w:rPr>
          <w:rFonts w:asciiTheme="majorHAnsi" w:hAnsiTheme="majorHAnsi"/>
          <w:sz w:val="16"/>
          <w:szCs w:val="16"/>
          <w:lang w:val="es-ES"/>
        </w:rPr>
        <w:t xml:space="preserve"> del Reglamento de la Comisión, el Comisionado Edgar Stuardo Ralón Orellana, de nacionalidad guatemalteca, no participó en el debate ni en la decisión del presente asunto.</w:t>
      </w:r>
    </w:p>
  </w:footnote>
  <w:footnote w:id="3">
    <w:p w14:paraId="5680E637" w14:textId="77777777" w:rsidR="00383298" w:rsidRPr="00726EC0" w:rsidRDefault="00383298" w:rsidP="00726EC0">
      <w:pPr>
        <w:pStyle w:val="FootnoteText"/>
        <w:ind w:firstLine="720"/>
        <w:jc w:val="both"/>
        <w:rPr>
          <w:rFonts w:asciiTheme="majorHAnsi" w:hAnsiTheme="majorHAnsi"/>
          <w:sz w:val="16"/>
          <w:szCs w:val="16"/>
          <w:lang w:val="es-CO"/>
        </w:rPr>
      </w:pPr>
      <w:r w:rsidRPr="00726EC0">
        <w:rPr>
          <w:rStyle w:val="FootnoteReference"/>
          <w:rFonts w:asciiTheme="majorHAnsi" w:hAnsiTheme="majorHAnsi"/>
          <w:sz w:val="16"/>
          <w:szCs w:val="16"/>
        </w:rPr>
        <w:footnoteRef/>
      </w:r>
      <w:r w:rsidRPr="00726EC0">
        <w:rPr>
          <w:rFonts w:asciiTheme="majorHAnsi" w:hAnsiTheme="majorHAnsi"/>
          <w:sz w:val="16"/>
          <w:szCs w:val="16"/>
          <w:lang w:val="es-CO"/>
        </w:rPr>
        <w:t xml:space="preserve"> En adelante, “la Convención Americana” o “la Convención”.</w:t>
      </w:r>
    </w:p>
  </w:footnote>
  <w:footnote w:id="4">
    <w:p w14:paraId="176CC267" w14:textId="59A9888C" w:rsidR="00370233" w:rsidRPr="00726EC0" w:rsidRDefault="00370233"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Los peticionarios alegan violaciones a la Declaración de la Organización de Naciones Unidas sobre los Principios Fundamentales de Justicia para las Víctimas de Delitos y del Abuso de Poder.</w:t>
      </w:r>
    </w:p>
  </w:footnote>
  <w:footnote w:id="5">
    <w:p w14:paraId="1AFEF3B0" w14:textId="269FCD1B" w:rsidR="008E3BFE" w:rsidRPr="00726EC0" w:rsidRDefault="008E3BFE" w:rsidP="00726EC0">
      <w:pPr>
        <w:pStyle w:val="FootnoteText"/>
        <w:ind w:firstLine="720"/>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Las observaciones de cada parte fueron debidamente trasladadas a la parte contraria.</w:t>
      </w:r>
      <w:r w:rsidR="009A56CE" w:rsidRPr="00726EC0">
        <w:rPr>
          <w:rFonts w:asciiTheme="majorHAnsi" w:hAnsiTheme="majorHAnsi"/>
          <w:sz w:val="16"/>
          <w:szCs w:val="16"/>
          <w:lang w:val="es-ES"/>
        </w:rPr>
        <w:t xml:space="preserve"> </w:t>
      </w:r>
    </w:p>
  </w:footnote>
  <w:footnote w:id="6">
    <w:p w14:paraId="11BF106F" w14:textId="5F89E3F4" w:rsidR="003E2254" w:rsidRPr="00726EC0" w:rsidRDefault="003E2254"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La parte peticionaria pidió una prórroga de 90 días para remitir sus observaciones a la primera respuesta del Estado.</w:t>
      </w:r>
    </w:p>
  </w:footnote>
  <w:footnote w:id="7">
    <w:p w14:paraId="3876CE76" w14:textId="23B36C99" w:rsidR="00C46501" w:rsidRPr="00726EC0" w:rsidRDefault="00C46501"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En dicha fecha</w:t>
      </w:r>
      <w:r w:rsidR="0004074F" w:rsidRPr="00726EC0">
        <w:rPr>
          <w:rFonts w:asciiTheme="majorHAnsi" w:hAnsiTheme="majorHAnsi"/>
          <w:sz w:val="16"/>
          <w:szCs w:val="16"/>
          <w:lang w:val="es-ES"/>
        </w:rPr>
        <w:t xml:space="preserve"> </w:t>
      </w:r>
      <w:r w:rsidRPr="00726EC0">
        <w:rPr>
          <w:rFonts w:asciiTheme="majorHAnsi" w:hAnsiTheme="majorHAnsi"/>
          <w:sz w:val="16"/>
          <w:szCs w:val="16"/>
          <w:lang w:val="es-ES"/>
        </w:rPr>
        <w:t xml:space="preserve">la CIDH recibió </w:t>
      </w:r>
      <w:r w:rsidR="00885CBC" w:rsidRPr="00726EC0">
        <w:rPr>
          <w:rFonts w:asciiTheme="majorHAnsi" w:hAnsiTheme="majorHAnsi"/>
          <w:sz w:val="16"/>
          <w:szCs w:val="16"/>
          <w:lang w:val="es-ES"/>
        </w:rPr>
        <w:t xml:space="preserve">tres </w:t>
      </w:r>
      <w:r w:rsidRPr="00726EC0">
        <w:rPr>
          <w:rFonts w:asciiTheme="majorHAnsi" w:hAnsiTheme="majorHAnsi"/>
          <w:sz w:val="16"/>
          <w:szCs w:val="16"/>
          <w:lang w:val="es-ES"/>
        </w:rPr>
        <w:t>comunicaciones de la parte peticionaria fechadas e</w:t>
      </w:r>
      <w:r w:rsidR="0004074F" w:rsidRPr="00726EC0">
        <w:rPr>
          <w:rFonts w:asciiTheme="majorHAnsi" w:hAnsiTheme="majorHAnsi"/>
          <w:sz w:val="16"/>
          <w:szCs w:val="16"/>
          <w:lang w:val="es-ES"/>
        </w:rPr>
        <w:t>l</w:t>
      </w:r>
      <w:r w:rsidRPr="00726EC0">
        <w:rPr>
          <w:rFonts w:asciiTheme="majorHAnsi" w:hAnsiTheme="majorHAnsi"/>
          <w:sz w:val="16"/>
          <w:szCs w:val="16"/>
          <w:lang w:val="es-ES"/>
        </w:rPr>
        <w:t xml:space="preserve">: </w:t>
      </w:r>
      <w:r w:rsidRPr="00726EC0">
        <w:rPr>
          <w:rFonts w:asciiTheme="majorHAnsi" w:hAnsiTheme="majorHAnsi"/>
          <w:bCs/>
          <w:sz w:val="16"/>
          <w:szCs w:val="16"/>
          <w:lang w:val="es-ES_tradnl"/>
        </w:rPr>
        <w:t>28 de marzo de 2022, 29 de marzo de 2022 y 30 de marzo de 2022.</w:t>
      </w:r>
      <w:r w:rsidR="003E2254" w:rsidRPr="00726EC0">
        <w:rPr>
          <w:rFonts w:asciiTheme="majorHAnsi" w:hAnsiTheme="majorHAnsi"/>
          <w:bCs/>
          <w:sz w:val="16"/>
          <w:szCs w:val="16"/>
          <w:lang w:val="es-ES_tradnl"/>
        </w:rPr>
        <w:t xml:space="preserve"> </w:t>
      </w:r>
      <w:r w:rsidR="003E2254" w:rsidRPr="00726EC0">
        <w:rPr>
          <w:rFonts w:asciiTheme="majorHAnsi" w:hAnsiTheme="majorHAnsi"/>
          <w:sz w:val="16"/>
          <w:szCs w:val="16"/>
          <w:lang w:val="es-ES_tradnl"/>
        </w:rPr>
        <w:t>La parte peticionaria pidió prórroga para contestar a las observaciones del Estado, misma que se les concedió por un periodo de 60 días</w:t>
      </w:r>
      <w:r w:rsidR="00E4200E">
        <w:rPr>
          <w:rFonts w:asciiTheme="majorHAnsi" w:hAnsiTheme="majorHAnsi"/>
          <w:sz w:val="16"/>
          <w:szCs w:val="16"/>
          <w:lang w:val="es-ES_tradnl"/>
        </w:rPr>
        <w:t>.</w:t>
      </w:r>
    </w:p>
  </w:footnote>
  <w:footnote w:id="8">
    <w:p w14:paraId="79776E2B" w14:textId="34468D8D" w:rsidR="000F1A1F" w:rsidRPr="00726EC0" w:rsidRDefault="000F1A1F"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 xml:space="preserve">En comunicación del 21 de mayo de 2022, la parte peticionaria se refiere a </w:t>
      </w:r>
      <w:r w:rsidRPr="00726EC0">
        <w:rPr>
          <w:rFonts w:asciiTheme="majorHAnsi" w:hAnsiTheme="majorHAnsi"/>
          <w:i/>
          <w:iCs/>
          <w:sz w:val="16"/>
          <w:szCs w:val="16"/>
          <w:lang w:val="es-ES_tradnl"/>
        </w:rPr>
        <w:t xml:space="preserve">“380 familias formadas por los Pueblos Indígenas y Campesinos […] quienes legalmente son legítimos propietarios y compradores de buena </w:t>
      </w:r>
      <w:r w:rsidR="00C1320A" w:rsidRPr="00726EC0">
        <w:rPr>
          <w:rFonts w:asciiTheme="majorHAnsi" w:hAnsiTheme="majorHAnsi"/>
          <w:i/>
          <w:iCs/>
          <w:sz w:val="16"/>
          <w:szCs w:val="16"/>
          <w:lang w:val="es-ES_tradnl"/>
        </w:rPr>
        <w:t>fe</w:t>
      </w:r>
      <w:r w:rsidRPr="00726EC0">
        <w:rPr>
          <w:rFonts w:asciiTheme="majorHAnsi" w:hAnsiTheme="majorHAnsi"/>
          <w:i/>
          <w:iCs/>
          <w:sz w:val="16"/>
          <w:szCs w:val="16"/>
          <w:lang w:val="es-ES_tradnl"/>
        </w:rPr>
        <w:t xml:space="preserve"> y con su dinero lícito […]”.</w:t>
      </w:r>
    </w:p>
  </w:footnote>
  <w:footnote w:id="9">
    <w:p w14:paraId="75CA6C17" w14:textId="77777777" w:rsidR="000F1A1F" w:rsidRPr="00726EC0" w:rsidRDefault="000F1A1F"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Conforme a la página principal del Fondo de Tierras, éste se estableció por el Decreto Ley 24-99 del Congreso de la República y "</w:t>
      </w:r>
      <w:r w:rsidRPr="00726EC0">
        <w:rPr>
          <w:rFonts w:asciiTheme="majorHAnsi" w:hAnsiTheme="majorHAnsi"/>
          <w:i/>
          <w:iCs/>
          <w:sz w:val="16"/>
          <w:szCs w:val="16"/>
          <w:lang w:val="es-ES"/>
        </w:rPr>
        <w:t>es una institución descentralizada del Estado, participativa y de servicio que cimienta su misión y visión en el marco del cumplimiento de los Acuerdos de Paz. Se desarrolla con base a la Agenda Estratégica 2012-2025 que se fundamenta en cuatro ejes: 1. Acceso a la tierra para el desarrollo integral y sostenible. 2. Regularización de procesos de adjudicación de tierras del Estado. 3. Desarrollo de Comunidades Agrarias Sostenible y 4. Fortalecimiento institucional para responder a las aspiraciones sociales y mandatos legales; apoyados por ejes transversales que fortalecen sus acciones. Se organiza internamente con base al Acuerdo Gubernativo Número 435-2013 de fecha 7 de noviembre de 2013"</w:t>
      </w:r>
      <w:r w:rsidRPr="00726EC0">
        <w:rPr>
          <w:rFonts w:asciiTheme="majorHAnsi" w:hAnsiTheme="majorHAnsi"/>
          <w:sz w:val="16"/>
          <w:szCs w:val="16"/>
          <w:lang w:val="es-ES"/>
        </w:rPr>
        <w:t>. Encontrado en:</w:t>
      </w:r>
      <w:r w:rsidRPr="00726EC0">
        <w:rPr>
          <w:rFonts w:asciiTheme="majorHAnsi" w:hAnsiTheme="majorHAnsi"/>
          <w:sz w:val="16"/>
          <w:szCs w:val="16"/>
          <w:lang w:val="es-ES_tradnl"/>
        </w:rPr>
        <w:t xml:space="preserve"> </w:t>
      </w:r>
      <w:hyperlink r:id="rId1" w:history="1">
        <w:r w:rsidRPr="00726EC0">
          <w:rPr>
            <w:rStyle w:val="Hyperlink"/>
            <w:rFonts w:asciiTheme="majorHAnsi" w:hAnsiTheme="majorHAnsi"/>
            <w:sz w:val="16"/>
            <w:szCs w:val="16"/>
            <w:lang w:val="es-ES"/>
          </w:rPr>
          <w:t>https://www.fontierras.gob.gt</w:t>
        </w:r>
      </w:hyperlink>
      <w:r w:rsidRPr="00726EC0">
        <w:rPr>
          <w:rFonts w:asciiTheme="majorHAnsi" w:hAnsiTheme="majorHAnsi"/>
          <w:sz w:val="16"/>
          <w:szCs w:val="16"/>
          <w:lang w:val="es-ES_tradnl"/>
        </w:rPr>
        <w:t xml:space="preserve"> revisado el 4 de noviembre de 2023. </w:t>
      </w:r>
    </w:p>
  </w:footnote>
  <w:footnote w:id="10">
    <w:p w14:paraId="71A1B3F3" w14:textId="1308EE5B" w:rsidR="000F1A1F" w:rsidRPr="00726EC0" w:rsidRDefault="000F1A1F"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 xml:space="preserve">Aproximadamente, para febrero y marzo de 2014, serían </w:t>
      </w:r>
      <w:r w:rsidR="005A2611" w:rsidRPr="00726EC0">
        <w:rPr>
          <w:rFonts w:asciiTheme="majorHAnsi" w:hAnsiTheme="majorHAnsi"/>
          <w:sz w:val="16"/>
          <w:szCs w:val="16"/>
          <w:lang w:val="es-ES_tradnl"/>
        </w:rPr>
        <w:t>USD$. 6,700,000</w:t>
      </w:r>
      <w:r w:rsidRPr="00726EC0">
        <w:rPr>
          <w:rFonts w:asciiTheme="majorHAnsi" w:hAnsiTheme="majorHAnsi"/>
          <w:sz w:val="16"/>
          <w:szCs w:val="16"/>
          <w:lang w:val="es-ES_tradnl"/>
        </w:rPr>
        <w:t xml:space="preserve">; conforme a la página web </w:t>
      </w:r>
      <w:r w:rsidRPr="00726EC0">
        <w:rPr>
          <w:rFonts w:asciiTheme="majorHAnsi" w:hAnsiTheme="majorHAnsi"/>
          <w:i/>
          <w:iCs/>
          <w:sz w:val="16"/>
          <w:szCs w:val="16"/>
          <w:lang w:val="es-ES_tradnl"/>
        </w:rPr>
        <w:t>Exchange Rates UK</w:t>
      </w:r>
      <w:r w:rsidRPr="00726EC0">
        <w:rPr>
          <w:rFonts w:asciiTheme="majorHAnsi" w:hAnsiTheme="majorHAnsi"/>
          <w:sz w:val="16"/>
          <w:szCs w:val="16"/>
          <w:lang w:val="es-ES_tradnl"/>
        </w:rPr>
        <w:t>, (https://www.exchangerates.org.uk/)</w:t>
      </w:r>
      <w:r w:rsidR="00C1320A" w:rsidRPr="00726EC0">
        <w:rPr>
          <w:rFonts w:asciiTheme="majorHAnsi" w:hAnsiTheme="majorHAnsi"/>
          <w:sz w:val="16"/>
          <w:szCs w:val="16"/>
          <w:lang w:val="es-ES_tradnl"/>
        </w:rPr>
        <w:t>.</w:t>
      </w:r>
    </w:p>
  </w:footnote>
  <w:footnote w:id="11">
    <w:p w14:paraId="63816C62" w14:textId="68F2C42D" w:rsidR="000F1A1F" w:rsidRPr="00726EC0" w:rsidRDefault="000F1A1F"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 xml:space="preserve">Aproximadamente, para febrero y marzo de 2014, serían </w:t>
      </w:r>
      <w:r w:rsidR="00A93EE7" w:rsidRPr="00726EC0">
        <w:rPr>
          <w:rFonts w:asciiTheme="majorHAnsi" w:hAnsiTheme="majorHAnsi"/>
          <w:sz w:val="16"/>
          <w:szCs w:val="16"/>
          <w:lang w:val="es-ES_tradnl"/>
        </w:rPr>
        <w:t xml:space="preserve">USD$. </w:t>
      </w:r>
      <w:r w:rsidRPr="00726EC0">
        <w:rPr>
          <w:rFonts w:asciiTheme="majorHAnsi" w:hAnsiTheme="majorHAnsi"/>
          <w:sz w:val="16"/>
          <w:szCs w:val="16"/>
          <w:lang w:val="es-ES_tradnl"/>
        </w:rPr>
        <w:t>88</w:t>
      </w:r>
      <w:r w:rsidR="00A93EE7" w:rsidRPr="00726EC0">
        <w:rPr>
          <w:rFonts w:asciiTheme="majorHAnsi" w:hAnsiTheme="majorHAnsi"/>
          <w:sz w:val="16"/>
          <w:szCs w:val="16"/>
          <w:lang w:val="es-ES_tradnl"/>
        </w:rPr>
        <w:t>,000</w:t>
      </w:r>
      <w:r w:rsidRPr="00726EC0">
        <w:rPr>
          <w:rFonts w:asciiTheme="majorHAnsi" w:hAnsiTheme="majorHAnsi"/>
          <w:sz w:val="16"/>
          <w:szCs w:val="16"/>
          <w:lang w:val="es-ES_tradnl"/>
        </w:rPr>
        <w:t xml:space="preserve">; conforme a la página web </w:t>
      </w:r>
      <w:r w:rsidRPr="00726EC0">
        <w:rPr>
          <w:rFonts w:asciiTheme="majorHAnsi" w:hAnsiTheme="majorHAnsi"/>
          <w:i/>
          <w:iCs/>
          <w:sz w:val="16"/>
          <w:szCs w:val="16"/>
          <w:lang w:val="es-ES_tradnl"/>
        </w:rPr>
        <w:t>Exchange Rates UK</w:t>
      </w:r>
      <w:r w:rsidRPr="00726EC0">
        <w:rPr>
          <w:rFonts w:asciiTheme="majorHAnsi" w:hAnsiTheme="majorHAnsi"/>
          <w:sz w:val="16"/>
          <w:szCs w:val="16"/>
          <w:lang w:val="es-ES_tradnl"/>
        </w:rPr>
        <w:t>, (https://www.exchangerates.org.uk/)</w:t>
      </w:r>
      <w:r w:rsidR="00C1320A" w:rsidRPr="00726EC0">
        <w:rPr>
          <w:rFonts w:asciiTheme="majorHAnsi" w:hAnsiTheme="majorHAnsi"/>
          <w:sz w:val="16"/>
          <w:szCs w:val="16"/>
          <w:lang w:val="es-ES_tradnl"/>
        </w:rPr>
        <w:t>.</w:t>
      </w:r>
    </w:p>
  </w:footnote>
  <w:footnote w:id="12">
    <w:p w14:paraId="7727D639" w14:textId="77777777" w:rsidR="000F1A1F" w:rsidRPr="00B04DAC" w:rsidRDefault="000F1A1F"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Según consta en la escritura pública número 4 faccionada por la Notaría María Izabel Santisteban Miranda, del 4 de febrero de 2014, celebrada en la ciudad de San Pedro, departamento de San Marcos, por la finca de 7,728,031.93 m</w:t>
      </w:r>
      <w:r w:rsidRPr="00726EC0">
        <w:rPr>
          <w:rFonts w:asciiTheme="majorHAnsi" w:hAnsiTheme="majorHAnsi"/>
          <w:sz w:val="16"/>
          <w:szCs w:val="16"/>
          <w:vertAlign w:val="superscript"/>
          <w:lang w:val="es-ES"/>
        </w:rPr>
        <w:t>2</w:t>
      </w:r>
      <w:r w:rsidRPr="00726EC0">
        <w:rPr>
          <w:rFonts w:asciiTheme="majorHAnsi" w:hAnsiTheme="majorHAnsi"/>
          <w:sz w:val="16"/>
          <w:szCs w:val="16"/>
          <w:lang w:val="es-ES"/>
        </w:rPr>
        <w:t>.</w:t>
      </w:r>
    </w:p>
  </w:footnote>
  <w:footnote w:id="13">
    <w:p w14:paraId="29C742CC" w14:textId="485402B2" w:rsidR="00C1320A" w:rsidRPr="00B04DAC" w:rsidRDefault="00C1320A"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Aproximadamente, para febrero y marzo de 2014, serían</w:t>
      </w:r>
      <w:r w:rsidRPr="00726EC0">
        <w:rPr>
          <w:rFonts w:asciiTheme="majorHAnsi" w:hAnsiTheme="majorHAnsi"/>
          <w:sz w:val="16"/>
          <w:szCs w:val="16"/>
          <w:lang w:val="es-ES_tradnl"/>
        </w:rPr>
        <w:t xml:space="preserve"> </w:t>
      </w:r>
      <w:r w:rsidR="00A93EE7" w:rsidRPr="00726EC0">
        <w:rPr>
          <w:rFonts w:asciiTheme="majorHAnsi" w:hAnsiTheme="majorHAnsi"/>
          <w:sz w:val="16"/>
          <w:szCs w:val="16"/>
          <w:lang w:val="es-ES_tradnl"/>
        </w:rPr>
        <w:t xml:space="preserve">USD$. </w:t>
      </w:r>
      <w:r w:rsidRPr="00726EC0">
        <w:rPr>
          <w:rFonts w:asciiTheme="majorHAnsi" w:hAnsiTheme="majorHAnsi"/>
          <w:sz w:val="16"/>
          <w:szCs w:val="16"/>
          <w:lang w:val="es-ES_tradnl"/>
        </w:rPr>
        <w:t>765</w:t>
      </w:r>
      <w:r w:rsidR="00A93EE7" w:rsidRPr="00726EC0">
        <w:rPr>
          <w:rFonts w:asciiTheme="majorHAnsi" w:hAnsiTheme="majorHAnsi"/>
          <w:sz w:val="16"/>
          <w:szCs w:val="16"/>
          <w:lang w:val="es-ES_tradnl"/>
        </w:rPr>
        <w:t>,000</w:t>
      </w:r>
      <w:r w:rsidRPr="00726EC0">
        <w:rPr>
          <w:rFonts w:asciiTheme="majorHAnsi" w:hAnsiTheme="majorHAnsi"/>
          <w:sz w:val="16"/>
          <w:szCs w:val="16"/>
          <w:lang w:val="es-ES"/>
        </w:rPr>
        <w:t>; conforme a la página web Exchange Rates UK, (https://www.exchangerates.org.uk/).</w:t>
      </w:r>
    </w:p>
  </w:footnote>
  <w:footnote w:id="14">
    <w:p w14:paraId="334DC8E0" w14:textId="77777777" w:rsidR="00BA570B" w:rsidRPr="00B04DAC" w:rsidRDefault="00BA570B" w:rsidP="00BA570B">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Dentro de la decisión, se señaló que dicha señora c</w:t>
      </w:r>
      <w:r w:rsidRPr="00726EC0">
        <w:rPr>
          <w:rFonts w:asciiTheme="majorHAnsi" w:hAnsiTheme="majorHAnsi"/>
          <w:sz w:val="16"/>
          <w:szCs w:val="16"/>
          <w:lang w:val="es-ES"/>
        </w:rPr>
        <w:t xml:space="preserve">onocía al imputado de cometer actos ilícitos de tráfico de drogas y que </w:t>
      </w:r>
      <w:r w:rsidRPr="00726EC0">
        <w:rPr>
          <w:rFonts w:asciiTheme="majorHAnsi" w:hAnsiTheme="majorHAnsi"/>
          <w:sz w:val="16"/>
          <w:szCs w:val="16"/>
          <w:lang w:val="es-ES_tradnl"/>
        </w:rPr>
        <w:t>los</w:t>
      </w:r>
      <w:r w:rsidRPr="00726EC0">
        <w:rPr>
          <w:rFonts w:asciiTheme="majorHAnsi" w:hAnsiTheme="majorHAnsi"/>
          <w:sz w:val="16"/>
          <w:szCs w:val="16"/>
          <w:lang w:val="es-ES"/>
        </w:rPr>
        <w:t xml:space="preserve"> contratos de compraventa entre ellos </w:t>
      </w:r>
      <w:r w:rsidRPr="00726EC0">
        <w:rPr>
          <w:rFonts w:asciiTheme="majorHAnsi" w:hAnsiTheme="majorHAnsi"/>
          <w:sz w:val="16"/>
          <w:szCs w:val="16"/>
          <w:lang w:val="es-ES_tradnl"/>
        </w:rPr>
        <w:t xml:space="preserve">eran simulados: </w:t>
      </w:r>
      <w:r w:rsidRPr="00726EC0">
        <w:rPr>
          <w:rFonts w:asciiTheme="majorHAnsi" w:hAnsiTheme="majorHAnsi"/>
          <w:i/>
          <w:iCs/>
          <w:sz w:val="16"/>
          <w:szCs w:val="16"/>
          <w:lang w:val="es-ES"/>
        </w:rPr>
        <w:t>“se evidencía, que se transmiten derechos […] para ocultar al verdadero propietario de dichos bienes […]. que la señora […] no cuenta con perfil económico para adquirir las fincas inscritas a su nombre</w:t>
      </w:r>
      <w:r w:rsidRPr="00726EC0">
        <w:rPr>
          <w:rFonts w:asciiTheme="majorHAnsi" w:hAnsiTheme="majorHAnsi"/>
          <w:sz w:val="16"/>
          <w:szCs w:val="16"/>
          <w:lang w:val="es-ES_tradnl"/>
        </w:rPr>
        <w:t>”</w:t>
      </w:r>
      <w:r w:rsidRPr="00726EC0">
        <w:rPr>
          <w:rFonts w:asciiTheme="majorHAnsi" w:hAnsiTheme="majorHAnsi"/>
          <w:sz w:val="16"/>
          <w:szCs w:val="16"/>
          <w:lang w:val="es-ES"/>
        </w:rPr>
        <w:t>.</w:t>
      </w:r>
    </w:p>
  </w:footnote>
  <w:footnote w:id="15">
    <w:p w14:paraId="6ED4522B" w14:textId="327ABCD5" w:rsidR="00C46501" w:rsidRPr="00726EC0" w:rsidRDefault="00C46501" w:rsidP="00726EC0">
      <w:pPr>
        <w:pStyle w:val="FootnoteText"/>
        <w:ind w:firstLine="709"/>
        <w:jc w:val="both"/>
        <w:rPr>
          <w:rFonts w:asciiTheme="majorHAnsi" w:hAnsiTheme="majorHAnsi"/>
          <w:bCs/>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bCs/>
          <w:sz w:val="16"/>
          <w:szCs w:val="16"/>
          <w:lang w:val="es-ES"/>
        </w:rPr>
        <w:t>Sobre</w:t>
      </w:r>
      <w:r w:rsidRPr="00726EC0">
        <w:rPr>
          <w:rFonts w:asciiTheme="majorHAnsi" w:hAnsiTheme="majorHAnsi"/>
          <w:bCs/>
          <w:sz w:val="16"/>
          <w:szCs w:val="16"/>
          <w:lang w:val="es-ES_tradnl"/>
        </w:rPr>
        <w:t xml:space="preserve"> el proceso penal y el de acción de extinción de dominio, los peticionarios consideran que “</w:t>
      </w:r>
      <w:r w:rsidRPr="00726EC0">
        <w:rPr>
          <w:rFonts w:asciiTheme="majorHAnsi" w:hAnsiTheme="majorHAnsi"/>
          <w:bCs/>
          <w:i/>
          <w:iCs/>
          <w:sz w:val="16"/>
          <w:szCs w:val="16"/>
          <w:lang w:val="es-ES_tradnl"/>
        </w:rPr>
        <w:t>la Fiscalía Especial de Lavado de Dinero y otros Activos del Ministerio Público en ningún momento procedió a efectuar una investigación minuciosa y con objetividad e inmediatez, aun sabiendo que [las presuntas víctimas] compraron de buena fe y legalmente estas tierras, esta acción del Estado de Guatemala se puede tipificar como impune y corrupta</w:t>
      </w:r>
      <w:r w:rsidRPr="00726EC0">
        <w:rPr>
          <w:rFonts w:asciiTheme="majorHAnsi" w:hAnsiTheme="majorHAnsi"/>
          <w:bCs/>
          <w:sz w:val="16"/>
          <w:szCs w:val="16"/>
          <w:lang w:val="es-ES_tradnl"/>
        </w:rPr>
        <w:t xml:space="preserve">”. </w:t>
      </w:r>
    </w:p>
  </w:footnote>
  <w:footnote w:id="16">
    <w:p w14:paraId="3B0B4CFC" w14:textId="2D06F4AE" w:rsidR="00C46501" w:rsidRPr="00726EC0" w:rsidRDefault="00C46501"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Amparo </w:t>
      </w:r>
      <w:r w:rsidR="00930536">
        <w:rPr>
          <w:rFonts w:asciiTheme="majorHAnsi" w:hAnsiTheme="majorHAnsi"/>
          <w:sz w:val="16"/>
          <w:szCs w:val="16"/>
          <w:lang w:val="es-ES"/>
        </w:rPr>
        <w:t xml:space="preserve">número </w:t>
      </w:r>
      <w:r w:rsidRPr="00726EC0">
        <w:rPr>
          <w:rFonts w:asciiTheme="majorHAnsi" w:hAnsiTheme="majorHAnsi"/>
          <w:sz w:val="16"/>
          <w:szCs w:val="16"/>
          <w:lang w:val="es-ES"/>
        </w:rPr>
        <w:t>01019-2017-00041</w:t>
      </w:r>
    </w:p>
  </w:footnote>
  <w:footnote w:id="17">
    <w:p w14:paraId="6A3C61B3" w14:textId="2FC02E76" w:rsidR="00A8248C" w:rsidRPr="00726EC0" w:rsidRDefault="00A8248C"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Conforme a copia simple de la sentencia de la Corte de Constitucionalidad, </w:t>
      </w:r>
      <w:r w:rsidRPr="00726EC0">
        <w:rPr>
          <w:rFonts w:asciiTheme="majorHAnsi" w:hAnsiTheme="majorHAnsi"/>
          <w:bCs/>
          <w:sz w:val="16"/>
          <w:szCs w:val="16"/>
          <w:lang w:val="es-ES_tradnl"/>
        </w:rPr>
        <w:t xml:space="preserve">expediente 3097-2018, </w:t>
      </w:r>
      <w:r w:rsidRPr="00726EC0">
        <w:rPr>
          <w:rFonts w:asciiTheme="majorHAnsi" w:hAnsiTheme="majorHAnsi"/>
          <w:sz w:val="16"/>
          <w:szCs w:val="16"/>
          <w:lang w:val="es-ES"/>
        </w:rPr>
        <w:t>presentada por la parte peticionaria.</w:t>
      </w:r>
    </w:p>
  </w:footnote>
  <w:footnote w:id="18">
    <w:p w14:paraId="675C3F12" w14:textId="7456D6C7" w:rsidR="00A8248C" w:rsidRPr="00726EC0" w:rsidRDefault="00A8248C"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bCs/>
          <w:sz w:val="16"/>
          <w:szCs w:val="16"/>
          <w:lang w:val="es-ES_tradnl"/>
        </w:rPr>
        <w:t>Esta Comisión resalta que lo señalado en el párrafo 10 y 11 del presente informe se encontró dentro de los documentos anexos presentados por la parte peticionaria y el Estado.</w:t>
      </w:r>
    </w:p>
  </w:footnote>
  <w:footnote w:id="19">
    <w:p w14:paraId="2DC12327" w14:textId="7698025F" w:rsidR="000F1A1F" w:rsidRPr="00B04DAC" w:rsidRDefault="000F1A1F"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Finca identificada con el número 3,874, folio 374, libro 48E de San Marcos, con una extensión de 8,088,422.260000 metros cuadrados, registrada al nombre de la propietaria que les vendió a las presuntas víctimas.</w:t>
      </w:r>
    </w:p>
  </w:footnote>
  <w:footnote w:id="20">
    <w:p w14:paraId="656E6688" w14:textId="76447615" w:rsidR="000F1A1F" w:rsidRPr="00726EC0" w:rsidRDefault="000F1A1F"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Conforme al Informe Circunstanciado del Juzgado Primero de Extinción de Dominio dirigido a la Sala Tercera de la Corte de Apelaciones del Ramo Penal, Narcoactividad y Delitos contra el Ambiente del Departamento del Guatemala</w:t>
      </w:r>
      <w:r w:rsidR="00C1320A" w:rsidRPr="00726EC0">
        <w:rPr>
          <w:rFonts w:asciiTheme="majorHAnsi" w:hAnsiTheme="majorHAnsi"/>
          <w:sz w:val="16"/>
          <w:szCs w:val="16"/>
          <w:lang w:val="es-ES_tradnl"/>
        </w:rPr>
        <w:t>.</w:t>
      </w:r>
    </w:p>
  </w:footnote>
  <w:footnote w:id="21">
    <w:p w14:paraId="576067AA" w14:textId="6BDB0023" w:rsidR="000F1A1F" w:rsidRPr="00726EC0" w:rsidRDefault="000F1A1F" w:rsidP="00726EC0">
      <w:pPr>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Como contexto</w:t>
      </w:r>
      <w:r w:rsidR="00953A61" w:rsidRPr="00726EC0">
        <w:rPr>
          <w:rFonts w:asciiTheme="majorHAnsi" w:hAnsiTheme="majorHAnsi"/>
          <w:sz w:val="16"/>
          <w:szCs w:val="16"/>
          <w:lang w:val="es-ES_tradnl"/>
        </w:rPr>
        <w:t>,</w:t>
      </w:r>
      <w:r w:rsidRPr="00726EC0">
        <w:rPr>
          <w:rFonts w:asciiTheme="majorHAnsi" w:hAnsiTheme="majorHAnsi"/>
          <w:sz w:val="16"/>
          <w:szCs w:val="16"/>
          <w:lang w:val="es-ES_tradnl"/>
        </w:rPr>
        <w:t xml:space="preserve"> y con la aclaración de que este proceso no forma parte del presente estudio, se desprende que el 15 de enero de 2015 la señora que vendió las tierras a las presuntas víctimas se apersonó en el proceso </w:t>
      </w:r>
      <w:r w:rsidR="00885CBC" w:rsidRPr="00726EC0">
        <w:rPr>
          <w:rFonts w:asciiTheme="majorHAnsi" w:hAnsiTheme="majorHAnsi"/>
          <w:sz w:val="16"/>
          <w:szCs w:val="16"/>
          <w:lang w:val="es-ES_tradnl"/>
        </w:rPr>
        <w:t>de extinción de dominio</w:t>
      </w:r>
      <w:r w:rsidRPr="00726EC0">
        <w:rPr>
          <w:rFonts w:asciiTheme="majorHAnsi" w:hAnsiTheme="majorHAnsi"/>
          <w:sz w:val="16"/>
          <w:szCs w:val="16"/>
          <w:lang w:val="es-ES_tradnl"/>
        </w:rPr>
        <w:t xml:space="preserve">. El 22 de enero de 2015, la señora planteó recurso de nulidad que se resolvió el 23 de enero de 2015 con un auto que señalaba que </w:t>
      </w:r>
      <w:r w:rsidRPr="00726EC0">
        <w:rPr>
          <w:rFonts w:asciiTheme="majorHAnsi" w:hAnsiTheme="majorHAnsi"/>
          <w:i/>
          <w:iCs/>
          <w:sz w:val="16"/>
          <w:szCs w:val="16"/>
          <w:lang w:val="es-ES_tradnl"/>
        </w:rPr>
        <w:t>“se rechaza el Recurso de Nulidad por frívolo e improcedente</w:t>
      </w:r>
      <w:r w:rsidRPr="00726EC0">
        <w:rPr>
          <w:rFonts w:asciiTheme="majorHAnsi" w:hAnsiTheme="majorHAnsi"/>
          <w:sz w:val="16"/>
          <w:szCs w:val="16"/>
          <w:lang w:val="es-ES_tradnl"/>
        </w:rPr>
        <w:t xml:space="preserve">”. El 23 de enero de 2015, la señora </w:t>
      </w:r>
      <w:r w:rsidR="00953A61" w:rsidRPr="00726EC0">
        <w:rPr>
          <w:rFonts w:asciiTheme="majorHAnsi" w:hAnsiTheme="majorHAnsi"/>
          <w:sz w:val="16"/>
          <w:szCs w:val="16"/>
          <w:lang w:val="es-ES_tradnl"/>
        </w:rPr>
        <w:t>planteó</w:t>
      </w:r>
      <w:r w:rsidRPr="00726EC0">
        <w:rPr>
          <w:rFonts w:asciiTheme="majorHAnsi" w:hAnsiTheme="majorHAnsi"/>
          <w:sz w:val="16"/>
          <w:szCs w:val="16"/>
          <w:lang w:val="es-ES_tradnl"/>
        </w:rPr>
        <w:t xml:space="preserve"> un recurso de apelación que se rechazó el 26 de enero de 2015.</w:t>
      </w:r>
    </w:p>
  </w:footnote>
  <w:footnote w:id="22">
    <w:p w14:paraId="27D01353" w14:textId="77777777" w:rsidR="009500F8" w:rsidRPr="00E37759" w:rsidRDefault="009500F8" w:rsidP="009500F8">
      <w:pPr>
        <w:pStyle w:val="FootnoteText"/>
        <w:ind w:firstLine="709"/>
        <w:jc w:val="both"/>
        <w:rPr>
          <w:rFonts w:asciiTheme="majorHAnsi" w:hAnsiTheme="majorHAnsi"/>
          <w:sz w:val="16"/>
          <w:szCs w:val="16"/>
          <w:lang w:val="es-ES_tradnl"/>
        </w:rPr>
      </w:pPr>
      <w:r w:rsidRPr="009500F8">
        <w:rPr>
          <w:rStyle w:val="FootnoteReference"/>
          <w:rFonts w:asciiTheme="majorHAnsi" w:hAnsiTheme="majorHAnsi"/>
          <w:sz w:val="16"/>
          <w:szCs w:val="16"/>
        </w:rPr>
        <w:footnoteRef/>
      </w:r>
      <w:r w:rsidRPr="009500F8">
        <w:rPr>
          <w:rFonts w:asciiTheme="majorHAnsi" w:hAnsiTheme="majorHAnsi"/>
          <w:sz w:val="16"/>
          <w:szCs w:val="16"/>
          <w:lang w:val="es-ES"/>
        </w:rPr>
        <w:t xml:space="preserve"> </w:t>
      </w:r>
      <w:r w:rsidRPr="00E37759">
        <w:rPr>
          <w:rFonts w:asciiTheme="majorHAnsi" w:hAnsiTheme="majorHAnsi"/>
          <w:sz w:val="16"/>
          <w:szCs w:val="16"/>
          <w:lang w:val="es-ES_tradnl"/>
        </w:rPr>
        <w:t>Decreto Número 1-86 "</w:t>
      </w:r>
      <w:r w:rsidRPr="00E37759">
        <w:rPr>
          <w:rFonts w:asciiTheme="majorHAnsi" w:hAnsiTheme="majorHAnsi"/>
          <w:i/>
          <w:iCs/>
          <w:sz w:val="16"/>
          <w:szCs w:val="16"/>
          <w:lang w:val="es-ES_tradnl"/>
        </w:rPr>
        <w:t>Ley de Amparo, Exhibición Personal y de Constitucionalidad</w:t>
      </w:r>
      <w:r w:rsidRPr="00E37759">
        <w:rPr>
          <w:rFonts w:asciiTheme="majorHAnsi" w:hAnsiTheme="majorHAnsi"/>
          <w:sz w:val="16"/>
          <w:szCs w:val="16"/>
          <w:lang w:val="es-ES_tradnl"/>
        </w:rPr>
        <w:t xml:space="preserve">", Capítulo Tres: Interposición. Artículo 20: </w:t>
      </w:r>
      <w:r w:rsidRPr="00E37759">
        <w:rPr>
          <w:rFonts w:asciiTheme="majorHAnsi" w:hAnsiTheme="majorHAnsi"/>
          <w:i/>
          <w:iCs/>
          <w:sz w:val="16"/>
          <w:szCs w:val="16"/>
          <w:lang w:val="es-ES_tradnl"/>
        </w:rPr>
        <w:t>"Plazo para la petición de amparo. La petición de amparo debe hacerse dentro del plazo de los treinta días siguientes al de la última notificación al afectado o de conocido por éste el hecho que a su juicio, le perjudica [...]".</w:t>
      </w:r>
    </w:p>
  </w:footnote>
  <w:footnote w:id="23">
    <w:p w14:paraId="72EC6960" w14:textId="77777777" w:rsidR="00370233" w:rsidRPr="00726EC0" w:rsidRDefault="00370233" w:rsidP="00726EC0">
      <w:pPr>
        <w:pStyle w:val="FootnoteText"/>
        <w:ind w:firstLine="709"/>
        <w:jc w:val="both"/>
        <w:rPr>
          <w:rFonts w:asciiTheme="majorHAnsi" w:hAnsiTheme="majorHAnsi"/>
          <w:sz w:val="16"/>
          <w:szCs w:val="16"/>
          <w:lang w:val="es-ES"/>
        </w:rPr>
      </w:pPr>
      <w:r w:rsidRPr="00E37759">
        <w:rPr>
          <w:rStyle w:val="FootnoteReference"/>
          <w:rFonts w:asciiTheme="majorHAnsi" w:hAnsiTheme="majorHAnsi"/>
          <w:sz w:val="16"/>
          <w:szCs w:val="16"/>
        </w:rPr>
        <w:footnoteRef/>
      </w:r>
      <w:r w:rsidRPr="00E37759">
        <w:rPr>
          <w:rFonts w:asciiTheme="majorHAnsi" w:hAnsiTheme="majorHAnsi"/>
          <w:sz w:val="16"/>
          <w:szCs w:val="16"/>
          <w:lang w:val="es-ES"/>
        </w:rPr>
        <w:t xml:space="preserve"> </w:t>
      </w:r>
      <w:r w:rsidRPr="00E37759">
        <w:rPr>
          <w:rFonts w:asciiTheme="majorHAnsi" w:hAnsiTheme="majorHAnsi"/>
          <w:bCs/>
          <w:sz w:val="16"/>
          <w:szCs w:val="16"/>
          <w:lang w:val="es-ES_tradnl"/>
        </w:rPr>
        <w:t>Referente a un informe circunstanciado realizado el 7 de abril de</w:t>
      </w:r>
      <w:r w:rsidRPr="00726EC0">
        <w:rPr>
          <w:rFonts w:asciiTheme="majorHAnsi" w:hAnsiTheme="majorHAnsi"/>
          <w:bCs/>
          <w:sz w:val="16"/>
          <w:szCs w:val="16"/>
          <w:lang w:val="es-ES_tradnl"/>
        </w:rPr>
        <w:t xml:space="preserve"> 2022 por el Juez de Primera Instancia de Extinción de Dominio y requerido por la Procuraduría General de la Nación.</w:t>
      </w:r>
    </w:p>
  </w:footnote>
  <w:footnote w:id="24">
    <w:p w14:paraId="7293756B" w14:textId="0D9B1E98" w:rsidR="00370233" w:rsidRPr="00726EC0" w:rsidRDefault="00370233"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Esto también es corroborado por carta de la Secretaría de Asuntos Internacionales y Cooperación, Ministerio Público, como contestación al requerimiento de la Procuraduría General de la Nación, fechada el 18 de abril de 2022; y agrega que únicamente se publicaron edictos sobre la finca 3,874 porque al momento en que se planteó la acción de extinción de dominio, y durante el proceso de ésta, sólo se tenía conocimiento de esta finca y no de su desmembración.</w:t>
      </w:r>
    </w:p>
  </w:footnote>
  <w:footnote w:id="25">
    <w:p w14:paraId="7B8B7814" w14:textId="77777777" w:rsidR="00370233" w:rsidRPr="00726EC0" w:rsidRDefault="00370233" w:rsidP="00726EC0">
      <w:pPr>
        <w:pStyle w:val="FootnoteText"/>
        <w:ind w:firstLine="709"/>
        <w:jc w:val="both"/>
        <w:rPr>
          <w:rFonts w:asciiTheme="majorHAnsi" w:hAnsiTheme="majorHAnsi"/>
          <w:sz w:val="16"/>
          <w:szCs w:val="16"/>
          <w:lang w:val="es-ES_tradnl"/>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sz w:val="16"/>
          <w:szCs w:val="16"/>
          <w:lang w:val="es-ES_tradnl"/>
        </w:rPr>
        <w:t xml:space="preserve">Publicados en </w:t>
      </w:r>
      <w:r w:rsidRPr="00726EC0">
        <w:rPr>
          <w:rFonts w:asciiTheme="majorHAnsi" w:hAnsiTheme="majorHAnsi"/>
          <w:i/>
          <w:iCs/>
          <w:sz w:val="16"/>
          <w:szCs w:val="16"/>
          <w:lang w:val="es-ES_tradnl"/>
        </w:rPr>
        <w:t>“El Diario de Centro América”</w:t>
      </w:r>
      <w:r w:rsidRPr="00726EC0">
        <w:rPr>
          <w:rFonts w:asciiTheme="majorHAnsi" w:hAnsiTheme="majorHAnsi"/>
          <w:sz w:val="16"/>
          <w:szCs w:val="16"/>
          <w:lang w:val="es-ES_tradnl"/>
        </w:rPr>
        <w:t xml:space="preserve"> en donde expresamente se notifica a la señora (quien les vendió los predios a las presuntas víctimas), refiriéndose a la medida cautelar de embargo a solicitud del Ministerio Público sobre la finca de su interés. </w:t>
      </w:r>
    </w:p>
  </w:footnote>
  <w:footnote w:id="26">
    <w:p w14:paraId="4B2E81F3" w14:textId="7E028A31" w:rsidR="000F1A1F" w:rsidRPr="00726EC0" w:rsidRDefault="000F1A1F" w:rsidP="00726EC0">
      <w:pPr>
        <w:pStyle w:val="FootnoteText"/>
        <w:ind w:firstLine="709"/>
        <w:jc w:val="both"/>
        <w:rPr>
          <w:rFonts w:asciiTheme="majorHAnsi" w:hAnsiTheme="majorHAnsi"/>
          <w:sz w:val="16"/>
          <w:szCs w:val="16"/>
          <w:lang w:val="es-E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00885CBC" w:rsidRPr="00726EC0">
        <w:rPr>
          <w:rFonts w:asciiTheme="majorHAnsi" w:hAnsiTheme="majorHAnsi"/>
          <w:sz w:val="16"/>
          <w:szCs w:val="16"/>
          <w:lang w:val="es-ES"/>
        </w:rPr>
        <w:t>El</w:t>
      </w:r>
      <w:r w:rsidRPr="00726EC0">
        <w:rPr>
          <w:rFonts w:asciiTheme="majorHAnsi" w:hAnsiTheme="majorHAnsi"/>
          <w:sz w:val="16"/>
          <w:szCs w:val="16"/>
          <w:lang w:val="es-ES"/>
        </w:rPr>
        <w:t xml:space="preserve"> Estado envió escrito a esta Comisión el 9 de agosto de 2021 expresando su voluntad de iniciar un proceso de solución amistosa</w:t>
      </w:r>
      <w:r w:rsidR="00885CBC" w:rsidRPr="00726EC0">
        <w:rPr>
          <w:rFonts w:asciiTheme="majorHAnsi" w:hAnsiTheme="majorHAnsi"/>
          <w:sz w:val="16"/>
          <w:szCs w:val="16"/>
          <w:lang w:val="es-ES"/>
        </w:rPr>
        <w:t xml:space="preserve">, </w:t>
      </w:r>
      <w:r w:rsidRPr="00726EC0">
        <w:rPr>
          <w:rFonts w:asciiTheme="majorHAnsi" w:hAnsiTheme="majorHAnsi"/>
          <w:sz w:val="16"/>
          <w:szCs w:val="16"/>
          <w:lang w:val="es-ES"/>
        </w:rPr>
        <w:t xml:space="preserve">conforme al artículo 48.1.f de la Convención Americana. </w:t>
      </w:r>
      <w:r w:rsidR="00885CBC" w:rsidRPr="00726EC0">
        <w:rPr>
          <w:rFonts w:asciiTheme="majorHAnsi" w:hAnsiTheme="majorHAnsi"/>
          <w:sz w:val="16"/>
          <w:szCs w:val="16"/>
          <w:lang w:val="es-ES"/>
        </w:rPr>
        <w:t>Además,</w:t>
      </w:r>
      <w:r w:rsidRPr="00726EC0">
        <w:rPr>
          <w:rFonts w:asciiTheme="majorHAnsi" w:hAnsiTheme="majorHAnsi"/>
          <w:sz w:val="16"/>
          <w:szCs w:val="16"/>
          <w:lang w:val="es-ES"/>
        </w:rPr>
        <w:t xml:space="preserve"> la parte peticionaria en comunicación del 12 de agosto de 2022 pidió que </w:t>
      </w:r>
      <w:r w:rsidRPr="00726EC0">
        <w:rPr>
          <w:rFonts w:asciiTheme="majorHAnsi" w:hAnsiTheme="majorHAnsi"/>
          <w:i/>
          <w:iCs/>
          <w:sz w:val="16"/>
          <w:szCs w:val="16"/>
          <w:lang w:val="es-ES"/>
        </w:rPr>
        <w:t>“a la mayor brevedad posible se inicien las SOLUCIONES AMISTOSAS DEL ASUNTO como el mismo Estado de Guatemala solicitó ante la Comisión y nosotros como Peticionarios en nombre de las familias indígenas aceptamos Oficialmente ante la Comisión y la intervención de este alto Organismo Internacional de Derechos Humanos”.</w:t>
      </w:r>
    </w:p>
  </w:footnote>
  <w:footnote w:id="27">
    <w:p w14:paraId="10049F6B" w14:textId="1CA8DCEF" w:rsidR="00202863" w:rsidRPr="00726EC0" w:rsidRDefault="00202863" w:rsidP="00726EC0">
      <w:pPr>
        <w:pStyle w:val="FootnoteText"/>
        <w:ind w:firstLine="709"/>
        <w:jc w:val="both"/>
        <w:rPr>
          <w:rFonts w:asciiTheme="majorHAnsi" w:hAnsiTheme="majorHAnsi"/>
          <w:color w:val="auto"/>
          <w:sz w:val="16"/>
          <w:szCs w:val="16"/>
          <w:lang w:val="es-CO"/>
        </w:rPr>
      </w:pPr>
      <w:r w:rsidRPr="00726EC0">
        <w:rPr>
          <w:rStyle w:val="FootnoteReference"/>
          <w:rFonts w:asciiTheme="majorHAnsi" w:hAnsiTheme="majorHAnsi"/>
          <w:color w:val="auto"/>
          <w:sz w:val="16"/>
          <w:szCs w:val="16"/>
        </w:rPr>
        <w:footnoteRef/>
      </w:r>
      <w:r w:rsidRPr="00726EC0">
        <w:rPr>
          <w:rFonts w:asciiTheme="majorHAnsi" w:hAnsiTheme="majorHAnsi"/>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w:t>
      </w:r>
      <w:r w:rsidR="00CC692B" w:rsidRPr="00726EC0">
        <w:rPr>
          <w:rFonts w:asciiTheme="majorHAnsi" w:hAnsiTheme="majorHAnsi"/>
          <w:color w:val="auto"/>
          <w:sz w:val="16"/>
          <w:szCs w:val="16"/>
          <w:lang w:val="es-CO"/>
        </w:rPr>
        <w:t>á</w:t>
      </w:r>
      <w:r w:rsidRPr="00726EC0">
        <w:rPr>
          <w:rFonts w:asciiTheme="majorHAnsi" w:hAnsiTheme="majorHAnsi"/>
          <w:color w:val="auto"/>
          <w:sz w:val="16"/>
          <w:szCs w:val="16"/>
          <w:lang w:val="es-CO"/>
        </w:rPr>
        <w:t xml:space="preserve">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 de diciembre de 2017, párrs. 13 y ss; o Informe No. 114/19. Petición 1403-09. Admisibilidad. Carlos Pizarro Leongómez, María José Pizarro Rodríguez y sus familiares. Colombia. 7 de junio de 2019, párr. 20. </w:t>
      </w:r>
    </w:p>
  </w:footnote>
  <w:footnote w:id="28">
    <w:p w14:paraId="4EB49B67" w14:textId="77777777" w:rsidR="00370233" w:rsidRPr="00C6685B" w:rsidRDefault="00370233" w:rsidP="00726EC0">
      <w:pPr>
        <w:pStyle w:val="FootnoteText"/>
        <w:jc w:val="both"/>
        <w:rPr>
          <w:rFonts w:asciiTheme="majorHAnsi" w:hAnsiTheme="majorHAnsi"/>
          <w:color w:val="auto"/>
          <w:sz w:val="16"/>
          <w:szCs w:val="16"/>
          <w:lang w:val="es-ES"/>
        </w:rPr>
      </w:pPr>
      <w:r w:rsidRPr="00726EC0">
        <w:rPr>
          <w:rFonts w:asciiTheme="majorHAnsi" w:hAnsiTheme="majorHAnsi"/>
          <w:sz w:val="16"/>
          <w:szCs w:val="16"/>
          <w:lang w:val="es-ES"/>
        </w:rPr>
        <w:tab/>
      </w:r>
      <w:r w:rsidRPr="00C6685B">
        <w:rPr>
          <w:rStyle w:val="FootnoteReference"/>
          <w:rFonts w:asciiTheme="majorHAnsi" w:hAnsiTheme="majorHAnsi"/>
          <w:color w:val="auto"/>
          <w:sz w:val="16"/>
          <w:szCs w:val="16"/>
        </w:rPr>
        <w:footnoteRef/>
      </w:r>
      <w:r w:rsidRPr="00C6685B">
        <w:rPr>
          <w:rFonts w:asciiTheme="majorHAnsi" w:hAnsiTheme="majorHAnsi"/>
          <w:color w:val="auto"/>
          <w:sz w:val="16"/>
          <w:szCs w:val="16"/>
          <w:lang w:val="es-ES"/>
        </w:rPr>
        <w:t xml:space="preserve"> CIDH, Informe No. 16/18, Petición 884-07. Admisibilidad. Victoria Piedad Palacios Tejada de Saavedra. Perú. 24 de febrero de 2018, párr. 12.</w:t>
      </w:r>
    </w:p>
  </w:footnote>
  <w:footnote w:id="29">
    <w:p w14:paraId="01BA9035" w14:textId="77777777" w:rsidR="00370233" w:rsidRPr="00726EC0" w:rsidRDefault="00370233" w:rsidP="00726EC0">
      <w:pPr>
        <w:pStyle w:val="FootnoteText"/>
        <w:ind w:firstLine="720"/>
        <w:jc w:val="both"/>
        <w:rPr>
          <w:rFonts w:asciiTheme="majorHAnsi" w:hAnsiTheme="majorHAnsi"/>
          <w:sz w:val="16"/>
          <w:szCs w:val="16"/>
          <w:lang w:val="es-ES"/>
        </w:rPr>
      </w:pPr>
      <w:r w:rsidRPr="00C6685B">
        <w:rPr>
          <w:rStyle w:val="FootnoteReference"/>
          <w:rFonts w:asciiTheme="majorHAnsi" w:hAnsiTheme="majorHAnsi"/>
          <w:color w:val="auto"/>
          <w:sz w:val="16"/>
          <w:szCs w:val="16"/>
        </w:rPr>
        <w:footnoteRef/>
      </w:r>
      <w:r w:rsidRPr="00C6685B">
        <w:rPr>
          <w:rFonts w:asciiTheme="majorHAnsi" w:hAnsiTheme="majorHAnsi"/>
          <w:color w:val="auto"/>
          <w:sz w:val="16"/>
          <w:szCs w:val="16"/>
          <w:lang w:val="es-ES"/>
        </w:rPr>
        <w:t xml:space="preserve"> Corte IDH. Caso Olivera Fuentes Vs. Perú. Excepciones Preliminares, Fondo, Reparaciones y Costas. Sentencia de 4 de febrero de 2023. Serie C No. 484, párr. 25; </w:t>
      </w:r>
      <w:r w:rsidRPr="00C6685B">
        <w:rPr>
          <w:rFonts w:asciiTheme="majorHAnsi" w:hAnsiTheme="majorHAnsi" w:cs="Open Sans"/>
          <w:color w:val="auto"/>
          <w:sz w:val="16"/>
          <w:szCs w:val="16"/>
          <w:shd w:val="clear" w:color="auto" w:fill="FFFFFF"/>
          <w:lang w:val="es-ES"/>
        </w:rPr>
        <w:t>Corte IDH. Caso Cortez Espinoza Vs. Ecuador. Excepciones Preliminares, Fondo, Reparaciones y Costas. Sentencia de 18 de octubre de 2022. Serie C No. 468, párr. 24; y</w:t>
      </w:r>
      <w:r w:rsidRPr="00C6685B">
        <w:rPr>
          <w:rFonts w:asciiTheme="majorHAnsi" w:hAnsiTheme="majorHAnsi"/>
          <w:color w:val="auto"/>
          <w:sz w:val="16"/>
          <w:szCs w:val="16"/>
          <w:lang w:val="es-ES"/>
        </w:rPr>
        <w:t xml:space="preserve"> Corte IDH. Caso Escher y otros Vs. Brasil. Excepciones Preliminares, Fondo, Reparaciones y Costas. Sentencia de 6 de julio de 2009. Serie C No. 200, párr. 38.</w:t>
      </w:r>
    </w:p>
  </w:footnote>
  <w:footnote w:id="30">
    <w:p w14:paraId="5DDB5899" w14:textId="77777777" w:rsidR="00F44773" w:rsidRPr="00A11B3B" w:rsidRDefault="00F44773" w:rsidP="00F44773">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Corte IDH. Caso Familia Julien Grisonas vs. Argentina. Excepciones Preliminares, Fondo, Reparaciones y Costas. Sentencia de 23 de septiembre de 2021. Serie C No. 437, párr. 40; Caso Vásquez Durand y otros vs. Ecuador. Excepciones Preliminares, Fondo, Reparaciones y Costas. Sentencia de 15 de febrero de 2017. Serie C No. 332, párr. 40.</w:t>
      </w:r>
    </w:p>
  </w:footnote>
  <w:footnote w:id="31">
    <w:p w14:paraId="2722BC9B" w14:textId="77777777" w:rsidR="00A9117F" w:rsidRPr="00726EC0" w:rsidRDefault="00A9117F" w:rsidP="00726EC0">
      <w:pPr>
        <w:pStyle w:val="FootnoteText"/>
        <w:ind w:firstLine="709"/>
        <w:jc w:val="both"/>
        <w:rPr>
          <w:rFonts w:asciiTheme="majorHAnsi" w:hAnsiTheme="majorHAnsi"/>
          <w:color w:val="auto"/>
          <w:sz w:val="16"/>
          <w:szCs w:val="16"/>
          <w:lang w:val="es-ES"/>
        </w:rPr>
      </w:pPr>
      <w:r w:rsidRPr="00726EC0">
        <w:rPr>
          <w:rStyle w:val="FootnoteReference"/>
          <w:rFonts w:asciiTheme="majorHAnsi" w:hAnsiTheme="majorHAnsi"/>
          <w:color w:val="auto"/>
          <w:sz w:val="16"/>
          <w:szCs w:val="16"/>
        </w:rPr>
        <w:footnoteRef/>
      </w:r>
      <w:r w:rsidRPr="00726EC0">
        <w:rPr>
          <w:rFonts w:asciiTheme="majorHAnsi" w:hAnsiTheme="majorHAnsi"/>
          <w:color w:val="auto"/>
          <w:sz w:val="16"/>
          <w:szCs w:val="16"/>
          <w:lang w:val="es-ES"/>
        </w:rPr>
        <w:t xml:space="preserve"> Véase por ejemplo CIDH, Informe No. 56/16. </w:t>
      </w:r>
      <w:r w:rsidRPr="00726EC0">
        <w:rPr>
          <w:rFonts w:asciiTheme="majorHAnsi" w:hAnsiTheme="majorHAnsi"/>
          <w:color w:val="auto"/>
          <w:sz w:val="16"/>
          <w:szCs w:val="16"/>
          <w:lang w:val="es-ES_tradnl"/>
        </w:rPr>
        <w:t xml:space="preserve">Petición 666-03. Admisibilidad. Luis Alberto Leiva. Argentina. </w:t>
      </w:r>
      <w:r w:rsidRPr="00726EC0">
        <w:rPr>
          <w:rFonts w:asciiTheme="majorHAnsi" w:hAnsiTheme="majorHAnsi"/>
          <w:color w:val="auto"/>
          <w:sz w:val="16"/>
          <w:szCs w:val="16"/>
          <w:lang w:val="es-ES"/>
        </w:rPr>
        <w:t xml:space="preserve">6 de diciembre de 2016, párr. 25. </w:t>
      </w:r>
      <w:bookmarkStart w:id="2" w:name="_Hlk113360759"/>
    </w:p>
    <w:bookmarkEnd w:id="2"/>
  </w:footnote>
  <w:footnote w:id="32">
    <w:p w14:paraId="7AAA3DAD" w14:textId="77777777" w:rsidR="00A9117F" w:rsidRPr="00726EC0" w:rsidRDefault="00A9117F" w:rsidP="00726EC0">
      <w:pPr>
        <w:pStyle w:val="FootnoteText"/>
        <w:ind w:firstLine="709"/>
        <w:jc w:val="both"/>
        <w:rPr>
          <w:rFonts w:asciiTheme="majorHAnsi" w:hAnsiTheme="majorHAnsi"/>
          <w:sz w:val="16"/>
          <w:szCs w:val="16"/>
          <w:lang w:val="es-US"/>
        </w:rPr>
      </w:pPr>
      <w:r w:rsidRPr="00726EC0">
        <w:rPr>
          <w:rStyle w:val="FootnoteReference"/>
          <w:rFonts w:asciiTheme="majorHAnsi" w:hAnsiTheme="majorHAnsi"/>
          <w:sz w:val="16"/>
          <w:szCs w:val="16"/>
        </w:rPr>
        <w:footnoteRef/>
      </w:r>
      <w:r w:rsidRPr="00726EC0">
        <w:rPr>
          <w:rFonts w:asciiTheme="majorHAnsi" w:hAnsiTheme="majorHAnsi"/>
          <w:sz w:val="16"/>
          <w:szCs w:val="16"/>
          <w:lang w:val="es-US"/>
        </w:rPr>
        <w:t xml:space="preserve"> CIDH, Informe No. 79/08, Petición 95-01. Admisibilidad. Marcos Alejandro Martin. Argentina. 17 de octubre de 2008, párr. 27.</w:t>
      </w:r>
    </w:p>
  </w:footnote>
  <w:footnote w:id="33">
    <w:p w14:paraId="61BFB670" w14:textId="77777777" w:rsidR="00A9117F" w:rsidRPr="00726EC0" w:rsidRDefault="00A9117F" w:rsidP="00726EC0">
      <w:pPr>
        <w:pStyle w:val="FootnoteText"/>
        <w:ind w:firstLine="709"/>
        <w:jc w:val="both"/>
        <w:rPr>
          <w:rFonts w:asciiTheme="majorHAnsi" w:hAnsiTheme="majorHAnsi"/>
          <w:sz w:val="16"/>
          <w:szCs w:val="16"/>
          <w:lang w:val="es-US"/>
        </w:rPr>
      </w:pPr>
      <w:r w:rsidRPr="00726EC0">
        <w:rPr>
          <w:rStyle w:val="FootnoteReference"/>
          <w:rFonts w:asciiTheme="majorHAnsi" w:hAnsiTheme="majorHAnsi"/>
          <w:sz w:val="16"/>
          <w:szCs w:val="16"/>
        </w:rPr>
        <w:footnoteRef/>
      </w:r>
      <w:r w:rsidRPr="00726EC0">
        <w:rPr>
          <w:rFonts w:asciiTheme="majorHAnsi" w:hAnsiTheme="majorHAnsi"/>
          <w:sz w:val="16"/>
          <w:szCs w:val="16"/>
          <w:lang w:val="es-ES"/>
        </w:rPr>
        <w:t xml:space="preserve"> </w:t>
      </w:r>
      <w:r w:rsidRPr="00726EC0">
        <w:rPr>
          <w:rFonts w:asciiTheme="majorHAnsi" w:hAnsiTheme="majorHAnsi"/>
          <w:color w:val="auto"/>
          <w:sz w:val="16"/>
          <w:szCs w:val="16"/>
          <w:lang w:val="es-ES"/>
        </w:rPr>
        <w:t xml:space="preserve">Corte IDH, </w:t>
      </w:r>
      <w:r w:rsidRPr="00726EC0">
        <w:rPr>
          <w:rFonts w:asciiTheme="majorHAnsi" w:hAnsiTheme="majorHAnsi"/>
          <w:i/>
          <w:color w:val="auto"/>
          <w:sz w:val="16"/>
          <w:szCs w:val="16"/>
          <w:lang w:val="es-ES"/>
        </w:rPr>
        <w:t xml:space="preserve">Caso Mémoli vs. Argentina. </w:t>
      </w:r>
      <w:r w:rsidRPr="00726EC0">
        <w:rPr>
          <w:rFonts w:asciiTheme="majorHAnsi" w:hAnsiTheme="majorHAnsi"/>
          <w:color w:val="auto"/>
          <w:sz w:val="16"/>
          <w:szCs w:val="16"/>
          <w:lang w:val="es-ES"/>
        </w:rPr>
        <w:t xml:space="preserve">Excepciones Preliminares, </w:t>
      </w:r>
      <w:r w:rsidRPr="00726EC0">
        <w:rPr>
          <w:rFonts w:asciiTheme="majorHAnsi" w:hAnsiTheme="majorHAnsi"/>
          <w:color w:val="auto"/>
          <w:sz w:val="16"/>
          <w:szCs w:val="16"/>
          <w:lang w:val="es-CO"/>
        </w:rPr>
        <w:t xml:space="preserve">Fondo, Reparaciones y Costas. Sentencia de 22 de agosto de 2013. Serie C No. 295, </w:t>
      </w:r>
      <w:r w:rsidRPr="00726EC0">
        <w:rPr>
          <w:rFonts w:asciiTheme="majorHAnsi" w:hAnsiTheme="majorHAnsi"/>
          <w:color w:val="auto"/>
          <w:sz w:val="16"/>
          <w:szCs w:val="16"/>
          <w:lang w:val="es-AR"/>
        </w:rPr>
        <w:t>p</w:t>
      </w:r>
      <w:r w:rsidRPr="00726EC0">
        <w:rPr>
          <w:rFonts w:asciiTheme="majorHAnsi" w:hAnsiTheme="majorHAnsi"/>
          <w:color w:val="auto"/>
          <w:sz w:val="16"/>
          <w:szCs w:val="16"/>
          <w:lang w:val="es-ES_tradnl"/>
        </w:rPr>
        <w:t>árr. 32.</w:t>
      </w:r>
    </w:p>
  </w:footnote>
  <w:footnote w:id="34">
    <w:p w14:paraId="23708A36" w14:textId="77777777" w:rsidR="0021267F" w:rsidRPr="00EB0F43" w:rsidRDefault="0021267F" w:rsidP="0021267F">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w:t>
      </w:r>
      <w:bookmarkStart w:id="3" w:name="_Hlk117984138"/>
      <w:r w:rsidRPr="00EB0F43">
        <w:rPr>
          <w:rFonts w:asciiTheme="majorHAnsi" w:hAnsiTheme="majorHAnsi"/>
          <w:sz w:val="16"/>
          <w:szCs w:val="16"/>
          <w:lang w:val="es-ES"/>
        </w:rPr>
        <w:t xml:space="preserve">CIDH. </w:t>
      </w:r>
      <w:r w:rsidRPr="00EB0F43">
        <w:rPr>
          <w:rFonts w:asciiTheme="majorHAnsi" w:hAnsiTheme="majorHAnsi"/>
          <w:sz w:val="16"/>
          <w:szCs w:val="16"/>
          <w:lang w:val="es-SV"/>
        </w:rPr>
        <w:t xml:space="preserve">Justicia e Inclusión Social: Los desafíos de la democracia en Guatemala. </w:t>
      </w:r>
      <w:r w:rsidRPr="00EB0F43">
        <w:rPr>
          <w:rFonts w:asciiTheme="majorHAnsi" w:hAnsiTheme="majorHAnsi"/>
          <w:sz w:val="16"/>
          <w:szCs w:val="16"/>
          <w:lang w:val="es-CO"/>
        </w:rPr>
        <w:t>Capítulo IV</w:t>
      </w:r>
      <w:r>
        <w:rPr>
          <w:rFonts w:asciiTheme="majorHAnsi" w:hAnsiTheme="majorHAnsi"/>
          <w:sz w:val="16"/>
          <w:szCs w:val="16"/>
          <w:lang w:val="es-CO"/>
        </w:rPr>
        <w:t xml:space="preserve"> “</w:t>
      </w:r>
      <w:r w:rsidRPr="009275AC">
        <w:rPr>
          <w:rFonts w:asciiTheme="majorHAnsi" w:hAnsiTheme="majorHAnsi"/>
          <w:i/>
          <w:iCs/>
          <w:sz w:val="16"/>
          <w:szCs w:val="16"/>
          <w:lang w:val="es-CO"/>
        </w:rPr>
        <w:t>La Situación de los Pueblos Indígenas</w:t>
      </w:r>
      <w:r>
        <w:rPr>
          <w:rFonts w:asciiTheme="majorHAnsi" w:hAnsiTheme="majorHAnsi"/>
          <w:sz w:val="16"/>
          <w:szCs w:val="16"/>
          <w:lang w:val="es-CO"/>
        </w:rPr>
        <w:t>”, apartado E “</w:t>
      </w:r>
      <w:r w:rsidRPr="009275AC">
        <w:rPr>
          <w:rFonts w:asciiTheme="majorHAnsi" w:hAnsiTheme="majorHAnsi"/>
          <w:i/>
          <w:iCs/>
          <w:sz w:val="16"/>
          <w:szCs w:val="16"/>
          <w:lang w:val="es-CO"/>
        </w:rPr>
        <w:t>Situación de la Tierra”</w:t>
      </w:r>
      <w:r>
        <w:rPr>
          <w:rFonts w:asciiTheme="majorHAnsi" w:hAnsiTheme="majorHAnsi"/>
          <w:sz w:val="16"/>
          <w:szCs w:val="16"/>
          <w:lang w:val="es-CO"/>
        </w:rPr>
        <w:t>.</w:t>
      </w:r>
      <w:r w:rsidRPr="00EB0F43">
        <w:rPr>
          <w:rFonts w:asciiTheme="majorHAnsi" w:hAnsiTheme="majorHAnsi"/>
          <w:sz w:val="16"/>
          <w:szCs w:val="16"/>
          <w:lang w:val="es-CO"/>
        </w:rPr>
        <w:t xml:space="preserve"> </w:t>
      </w:r>
      <w:r w:rsidRPr="00EB0F43">
        <w:rPr>
          <w:rFonts w:asciiTheme="majorHAnsi" w:hAnsiTheme="majorHAnsi"/>
          <w:sz w:val="16"/>
          <w:szCs w:val="16"/>
          <w:lang w:val="es-MX"/>
        </w:rPr>
        <w:t xml:space="preserve">OEA/Ser.L/V/II.118 </w:t>
      </w:r>
      <w:r w:rsidRPr="00ED468B">
        <w:rPr>
          <w:rFonts w:asciiTheme="majorHAnsi" w:hAnsiTheme="majorHAnsi" w:cstheme="majorHAnsi"/>
          <w:sz w:val="16"/>
          <w:szCs w:val="16"/>
          <w:lang w:val="es-VE"/>
        </w:rPr>
        <w:t>Doc. 5 rev. 1</w:t>
      </w:r>
      <w:r>
        <w:rPr>
          <w:rFonts w:asciiTheme="majorHAnsi" w:hAnsiTheme="majorHAnsi" w:cstheme="majorHAnsi"/>
          <w:sz w:val="16"/>
          <w:szCs w:val="16"/>
          <w:lang w:val="es-VE"/>
        </w:rPr>
        <w:t>,</w:t>
      </w:r>
      <w:r w:rsidRPr="00EB0F43">
        <w:rPr>
          <w:rFonts w:asciiTheme="majorHAnsi" w:hAnsiTheme="majorHAnsi"/>
          <w:sz w:val="16"/>
          <w:szCs w:val="16"/>
          <w:lang w:val="es-MX"/>
        </w:rPr>
        <w:t xml:space="preserve"> </w:t>
      </w:r>
      <w:r w:rsidRPr="00EB0F43">
        <w:rPr>
          <w:rFonts w:asciiTheme="majorHAnsi" w:hAnsiTheme="majorHAnsi"/>
          <w:sz w:val="16"/>
          <w:szCs w:val="16"/>
          <w:lang w:val="es-CO"/>
        </w:rPr>
        <w:t xml:space="preserve">29 diciembre 2003. párrs. </w:t>
      </w:r>
      <w:bookmarkEnd w:id="3"/>
      <w:r w:rsidRPr="00EB0F43">
        <w:rPr>
          <w:rFonts w:asciiTheme="majorHAnsi" w:hAnsiTheme="majorHAnsi"/>
          <w:sz w:val="16"/>
          <w:szCs w:val="16"/>
          <w:lang w:val="es-CO"/>
        </w:rPr>
        <w:t>2</w:t>
      </w:r>
      <w:r>
        <w:rPr>
          <w:rFonts w:asciiTheme="majorHAnsi" w:hAnsiTheme="majorHAnsi"/>
          <w:sz w:val="16"/>
          <w:szCs w:val="16"/>
          <w:lang w:val="es-CO"/>
        </w:rPr>
        <w:t>5</w:t>
      </w:r>
      <w:r w:rsidRPr="00EB0F43">
        <w:rPr>
          <w:rFonts w:asciiTheme="majorHAnsi" w:hAnsiTheme="majorHAnsi"/>
          <w:sz w:val="16"/>
          <w:szCs w:val="16"/>
          <w:lang w:val="es-CO"/>
        </w:rPr>
        <w:t>8-2</w:t>
      </w:r>
      <w:r>
        <w:rPr>
          <w:rFonts w:asciiTheme="majorHAnsi" w:hAnsiTheme="majorHAnsi"/>
          <w:sz w:val="16"/>
          <w:szCs w:val="16"/>
          <w:lang w:val="es-CO"/>
        </w:rPr>
        <w:t>62</w:t>
      </w:r>
      <w:r w:rsidRPr="00EB0F43">
        <w:rPr>
          <w:rFonts w:asciiTheme="majorHAnsi" w:hAnsiTheme="majorHAnsi"/>
          <w:sz w:val="16"/>
          <w:szCs w:val="16"/>
          <w:lang w:val="es-CO"/>
        </w:rPr>
        <w:t>; C</w:t>
      </w:r>
      <w:r w:rsidRPr="00EB0F43">
        <w:rPr>
          <w:rFonts w:asciiTheme="majorHAnsi" w:hAnsiTheme="majorHAnsi"/>
          <w:sz w:val="16"/>
          <w:szCs w:val="16"/>
          <w:lang w:val="es-VE"/>
        </w:rPr>
        <w:t>IDH. Situación de los derechos humanos en Guatemala: Diversidad, desigualdad y exclusión</w:t>
      </w:r>
      <w:r>
        <w:rPr>
          <w:rFonts w:asciiTheme="majorHAnsi" w:hAnsiTheme="majorHAnsi"/>
          <w:sz w:val="16"/>
          <w:szCs w:val="16"/>
          <w:lang w:val="es-VE"/>
        </w:rPr>
        <w:t xml:space="preserve">, </w:t>
      </w:r>
      <w:r w:rsidRPr="009275AC">
        <w:rPr>
          <w:rFonts w:asciiTheme="majorHAnsi" w:hAnsiTheme="majorHAnsi"/>
          <w:sz w:val="16"/>
          <w:szCs w:val="16"/>
          <w:lang w:val="es-VE"/>
        </w:rPr>
        <w:t xml:space="preserve">Capítulo 6 </w:t>
      </w:r>
      <w:r w:rsidRPr="009275AC">
        <w:rPr>
          <w:rFonts w:asciiTheme="majorHAnsi" w:hAnsiTheme="majorHAnsi"/>
          <w:i/>
          <w:iCs/>
          <w:sz w:val="16"/>
          <w:szCs w:val="16"/>
          <w:lang w:val="es-VE"/>
        </w:rPr>
        <w:t>"Derecho de Propiedad y de Consulta de los Pueblos Indígenas</w:t>
      </w:r>
      <w:r w:rsidRPr="009275AC">
        <w:rPr>
          <w:rFonts w:asciiTheme="majorHAnsi" w:hAnsiTheme="majorHAnsi"/>
          <w:sz w:val="16"/>
          <w:szCs w:val="16"/>
          <w:lang w:val="es-VE"/>
        </w:rPr>
        <w:t>", Sección A "</w:t>
      </w:r>
      <w:r w:rsidRPr="009275AC">
        <w:rPr>
          <w:rFonts w:asciiTheme="majorHAnsi" w:hAnsiTheme="majorHAnsi"/>
          <w:i/>
          <w:iCs/>
          <w:sz w:val="16"/>
          <w:szCs w:val="16"/>
          <w:lang w:val="es-VE"/>
        </w:rPr>
        <w:t>Derecho de Propieda</w:t>
      </w:r>
      <w:r>
        <w:rPr>
          <w:rFonts w:asciiTheme="majorHAnsi" w:hAnsiTheme="majorHAnsi"/>
          <w:i/>
          <w:iCs/>
          <w:sz w:val="16"/>
          <w:szCs w:val="16"/>
          <w:lang w:val="es-VE"/>
        </w:rPr>
        <w:t>d”</w:t>
      </w:r>
      <w:r>
        <w:rPr>
          <w:rFonts w:asciiTheme="majorHAnsi" w:hAnsiTheme="majorHAnsi"/>
          <w:sz w:val="16"/>
          <w:szCs w:val="16"/>
          <w:lang w:val="es-VE"/>
        </w:rPr>
        <w:t>.</w:t>
      </w:r>
      <w:r w:rsidRPr="00EB0F43">
        <w:rPr>
          <w:rFonts w:asciiTheme="majorHAnsi" w:hAnsiTheme="majorHAnsi"/>
          <w:sz w:val="16"/>
          <w:szCs w:val="16"/>
          <w:lang w:val="es-VE"/>
        </w:rPr>
        <w:t xml:space="preserve"> OEA/Ser.L/V/II.Doc.43/15. 31 de diciembre de 2015, párrs. 45</w:t>
      </w:r>
      <w:r>
        <w:rPr>
          <w:rFonts w:asciiTheme="majorHAnsi" w:hAnsiTheme="majorHAnsi"/>
          <w:sz w:val="16"/>
          <w:szCs w:val="16"/>
          <w:lang w:val="es-VE"/>
        </w:rPr>
        <w:t>2</w:t>
      </w:r>
      <w:r w:rsidRPr="00EB0F43">
        <w:rPr>
          <w:rFonts w:asciiTheme="majorHAnsi" w:hAnsiTheme="majorHAnsi"/>
          <w:sz w:val="16"/>
          <w:szCs w:val="16"/>
          <w:lang w:val="es-VE"/>
        </w:rPr>
        <w:t>-4</w:t>
      </w:r>
      <w:r>
        <w:rPr>
          <w:rFonts w:asciiTheme="majorHAnsi" w:hAnsiTheme="majorHAnsi"/>
          <w:sz w:val="16"/>
          <w:szCs w:val="16"/>
          <w:lang w:val="es-VE"/>
        </w:rPr>
        <w:t>87</w:t>
      </w:r>
      <w:r w:rsidRPr="00EB0F43">
        <w:rPr>
          <w:rFonts w:asciiTheme="majorHAnsi" w:hAnsiTheme="majorHAnsi"/>
          <w:sz w:val="16"/>
          <w:szCs w:val="16"/>
          <w:lang w:val="es-VE"/>
        </w:rPr>
        <w:t>; y CIDH, Situación de los derechos humanos en Guatemala</w:t>
      </w:r>
      <w:r>
        <w:rPr>
          <w:rFonts w:asciiTheme="majorHAnsi" w:hAnsiTheme="majorHAnsi"/>
          <w:sz w:val="16"/>
          <w:szCs w:val="16"/>
          <w:lang w:val="es-VE"/>
        </w:rPr>
        <w:t xml:space="preserve">. Capítulo 2: </w:t>
      </w:r>
      <w:r w:rsidRPr="00707FA1">
        <w:rPr>
          <w:rFonts w:asciiTheme="majorHAnsi" w:hAnsiTheme="majorHAnsi"/>
          <w:i/>
          <w:iCs/>
          <w:sz w:val="16"/>
          <w:szCs w:val="16"/>
          <w:lang w:val="es-VE"/>
        </w:rPr>
        <w:t>“Administración de Justicia</w:t>
      </w:r>
      <w:r>
        <w:rPr>
          <w:rFonts w:asciiTheme="majorHAnsi" w:hAnsiTheme="majorHAnsi"/>
          <w:sz w:val="16"/>
          <w:szCs w:val="16"/>
          <w:lang w:val="es-VE"/>
        </w:rPr>
        <w:t>”, apartado 2 “</w:t>
      </w:r>
      <w:r w:rsidRPr="00F46992">
        <w:rPr>
          <w:rFonts w:asciiTheme="majorHAnsi" w:hAnsiTheme="majorHAnsi"/>
          <w:i/>
          <w:iCs/>
          <w:sz w:val="16"/>
          <w:szCs w:val="16"/>
          <w:lang w:val="es-VE"/>
        </w:rPr>
        <w:t>Pueblos Indígenas</w:t>
      </w:r>
      <w:r>
        <w:rPr>
          <w:rFonts w:asciiTheme="majorHAnsi" w:hAnsiTheme="majorHAnsi"/>
          <w:sz w:val="16"/>
          <w:szCs w:val="16"/>
          <w:lang w:val="es-VE"/>
        </w:rPr>
        <w:t>”</w:t>
      </w:r>
      <w:r w:rsidRPr="00EB0F43">
        <w:rPr>
          <w:rFonts w:asciiTheme="majorHAnsi" w:hAnsiTheme="majorHAnsi"/>
          <w:sz w:val="16"/>
          <w:szCs w:val="16"/>
          <w:lang w:val="es-VE"/>
        </w:rPr>
        <w:t xml:space="preserve">. OEA/Ser.L/V/II. Doc. 208/17. 31 diciembre 2017, párrs. </w:t>
      </w:r>
      <w:r>
        <w:rPr>
          <w:rFonts w:asciiTheme="majorHAnsi" w:hAnsiTheme="majorHAnsi"/>
          <w:sz w:val="16"/>
          <w:szCs w:val="16"/>
          <w:lang w:val="es-VE"/>
        </w:rPr>
        <w:t>103-112.</w:t>
      </w:r>
    </w:p>
  </w:footnote>
  <w:footnote w:id="35">
    <w:p w14:paraId="2F72F14A" w14:textId="77777777" w:rsidR="0021267F" w:rsidRPr="00E05FA4" w:rsidRDefault="0021267F" w:rsidP="0021267F">
      <w:pPr>
        <w:pStyle w:val="FootnoteText"/>
        <w:ind w:firstLine="720"/>
        <w:jc w:val="both"/>
        <w:rPr>
          <w:rFonts w:asciiTheme="majorHAnsi" w:hAnsiTheme="majorHAnsi"/>
          <w:sz w:val="16"/>
          <w:szCs w:val="16"/>
          <w:lang w:val="es-CO"/>
        </w:rPr>
      </w:pPr>
      <w:r w:rsidRPr="003806B6">
        <w:rPr>
          <w:rFonts w:asciiTheme="majorHAnsi" w:hAnsiTheme="majorHAnsi"/>
          <w:sz w:val="16"/>
          <w:szCs w:val="16"/>
          <w:vertAlign w:val="superscript"/>
          <w:lang w:val="es-CO"/>
        </w:rPr>
        <w:footnoteRef/>
      </w:r>
      <w:r w:rsidRPr="003806B6">
        <w:rPr>
          <w:rFonts w:asciiTheme="majorHAnsi" w:hAnsiTheme="majorHAnsi"/>
          <w:sz w:val="16"/>
          <w:szCs w:val="16"/>
          <w:vertAlign w:val="superscript"/>
          <w:lang w:val="es-CO"/>
        </w:rPr>
        <w:t xml:space="preserve"> </w:t>
      </w:r>
      <w:r w:rsidRPr="00E05FA4">
        <w:rPr>
          <w:rFonts w:asciiTheme="majorHAnsi" w:hAnsiTheme="majorHAnsi"/>
          <w:sz w:val="16"/>
          <w:szCs w:val="16"/>
          <w:lang w:val="es-CO"/>
        </w:rPr>
        <w:t>CIDH, Situación de los derechos humanos en Guatemala: Diversidad, desigualdad y exclusión. OEA/Ser.L/V/II.Doc. 43/15, 31 de diciembre de 2015, párr. 452.</w:t>
      </w:r>
    </w:p>
  </w:footnote>
  <w:footnote w:id="36">
    <w:p w14:paraId="679F7C25" w14:textId="77777777" w:rsidR="0021267F" w:rsidRPr="00E05FA4" w:rsidRDefault="0021267F" w:rsidP="0021267F">
      <w:pPr>
        <w:pStyle w:val="FootnoteText"/>
        <w:ind w:firstLine="720"/>
        <w:jc w:val="both"/>
        <w:rPr>
          <w:rFonts w:asciiTheme="majorHAnsi" w:hAnsiTheme="majorHAnsi"/>
          <w:sz w:val="16"/>
          <w:szCs w:val="16"/>
          <w:lang w:val="es-CO"/>
        </w:rPr>
      </w:pPr>
      <w:r w:rsidRPr="003806B6">
        <w:rPr>
          <w:rFonts w:asciiTheme="majorHAnsi" w:hAnsiTheme="majorHAnsi"/>
          <w:sz w:val="16"/>
          <w:szCs w:val="16"/>
          <w:vertAlign w:val="superscript"/>
          <w:lang w:val="es-CO"/>
        </w:rPr>
        <w:footnoteRef/>
      </w:r>
      <w:r w:rsidRPr="003806B6">
        <w:rPr>
          <w:rFonts w:asciiTheme="majorHAnsi" w:hAnsiTheme="majorHAnsi"/>
          <w:sz w:val="16"/>
          <w:szCs w:val="16"/>
          <w:vertAlign w:val="superscript"/>
          <w:lang w:val="es-CO"/>
        </w:rPr>
        <w:t xml:space="preserve"> </w:t>
      </w:r>
      <w:r w:rsidRPr="00E05FA4">
        <w:rPr>
          <w:rFonts w:asciiTheme="majorHAnsi" w:hAnsiTheme="majorHAnsi"/>
          <w:sz w:val="16"/>
          <w:szCs w:val="16"/>
          <w:lang w:val="es-CO"/>
        </w:rPr>
        <w:t xml:space="preserve">CIDH, Informe No. 47/23. Petición 1880-11. Admisibilidad. Integrantes de la Comunidad Mapuche. Chile. 18 de abril de 2023, párr. 14. </w:t>
      </w:r>
    </w:p>
  </w:footnote>
  <w:footnote w:id="37">
    <w:p w14:paraId="6C6A9698" w14:textId="77777777" w:rsidR="0021267F" w:rsidRPr="004B4640" w:rsidRDefault="0021267F" w:rsidP="0021267F">
      <w:pPr>
        <w:pStyle w:val="FootnoteText"/>
        <w:ind w:firstLine="720"/>
        <w:jc w:val="both"/>
        <w:rPr>
          <w:lang w:val="es-ES_tradnl"/>
        </w:rPr>
      </w:pPr>
      <w:r w:rsidRPr="00E05FA4">
        <w:rPr>
          <w:rFonts w:asciiTheme="majorHAnsi" w:hAnsiTheme="majorHAnsi"/>
          <w:sz w:val="16"/>
          <w:szCs w:val="16"/>
          <w:lang w:val="es-CO"/>
        </w:rPr>
        <w:footnoteRef/>
      </w:r>
      <w:r w:rsidRPr="00E05FA4">
        <w:rPr>
          <w:rFonts w:asciiTheme="majorHAnsi" w:hAnsiTheme="majorHAnsi"/>
          <w:sz w:val="16"/>
          <w:szCs w:val="16"/>
          <w:lang w:val="es-CO"/>
        </w:rPr>
        <w:t xml:space="preserve"> CIDH, Situación de los derechos humanos en Guatemala. OEA/Ser.L/V/II. Doc. 43/15 31 diciembre 2015. párr, 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E5A46" w:rsidP="00A50FCF">
    <w:pPr>
      <w:pStyle w:val="Header"/>
      <w:tabs>
        <w:tab w:val="clear" w:pos="4320"/>
        <w:tab w:val="clear" w:pos="8640"/>
      </w:tabs>
      <w:jc w:val="center"/>
      <w:rPr>
        <w:sz w:val="22"/>
        <w:szCs w:val="22"/>
      </w:rPr>
    </w:pPr>
    <w:r>
      <w:rPr>
        <w:noProof/>
        <w:sz w:val="22"/>
        <w:szCs w:val="22"/>
        <w:bdr w:val="nil"/>
      </w:rPr>
      <w:pict w14:anchorId="5DCCEC4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89497F"/>
    <w:multiLevelType w:val="hybridMultilevel"/>
    <w:tmpl w:val="8D520B8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A6A7588"/>
    <w:lvl w:ilvl="0" w:tplc="65F03A6A">
      <w:start w:val="1"/>
      <w:numFmt w:val="decimal"/>
      <w:lvlText w:val="%1."/>
      <w:lvlJc w:val="left"/>
      <w:pPr>
        <w:ind w:left="2487" w:hanging="360"/>
      </w:pPr>
      <w:rPr>
        <w:rFonts w:hint="default"/>
        <w:b w:val="0"/>
        <w:b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8683CA9"/>
    <w:multiLevelType w:val="hybridMultilevel"/>
    <w:tmpl w:val="BFD4A0C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6"/>
  </w:num>
  <w:num w:numId="4" w16cid:durableId="1217740037">
    <w:abstractNumId w:val="23"/>
  </w:num>
  <w:num w:numId="5" w16cid:durableId="534738279">
    <w:abstractNumId w:val="49"/>
  </w:num>
  <w:num w:numId="6" w16cid:durableId="712146770">
    <w:abstractNumId w:val="28"/>
  </w:num>
  <w:num w:numId="7" w16cid:durableId="964580196">
    <w:abstractNumId w:val="8"/>
  </w:num>
  <w:num w:numId="8" w16cid:durableId="1291091728">
    <w:abstractNumId w:val="19"/>
  </w:num>
  <w:num w:numId="9" w16cid:durableId="1582907718">
    <w:abstractNumId w:val="43"/>
  </w:num>
  <w:num w:numId="10" w16cid:durableId="180827105">
    <w:abstractNumId w:val="1"/>
  </w:num>
  <w:num w:numId="11" w16cid:durableId="915632011">
    <w:abstractNumId w:val="38"/>
  </w:num>
  <w:num w:numId="12" w16cid:durableId="1779257503">
    <w:abstractNumId w:val="39"/>
  </w:num>
  <w:num w:numId="13" w16cid:durableId="1058354948">
    <w:abstractNumId w:val="45"/>
  </w:num>
  <w:num w:numId="14" w16cid:durableId="1238590959">
    <w:abstractNumId w:val="2"/>
  </w:num>
  <w:num w:numId="15" w16cid:durableId="1092437831">
    <w:abstractNumId w:val="3"/>
  </w:num>
  <w:num w:numId="16" w16cid:durableId="1759907390">
    <w:abstractNumId w:val="9"/>
  </w:num>
  <w:num w:numId="17" w16cid:durableId="263618110">
    <w:abstractNumId w:val="10"/>
  </w:num>
  <w:num w:numId="18" w16cid:durableId="950628371">
    <w:abstractNumId w:val="11"/>
  </w:num>
  <w:num w:numId="19" w16cid:durableId="295599152">
    <w:abstractNumId w:val="12"/>
  </w:num>
  <w:num w:numId="20" w16cid:durableId="1979913706">
    <w:abstractNumId w:val="13"/>
  </w:num>
  <w:num w:numId="21" w16cid:durableId="138108825">
    <w:abstractNumId w:val="15"/>
  </w:num>
  <w:num w:numId="22" w16cid:durableId="1783069909">
    <w:abstractNumId w:val="16"/>
  </w:num>
  <w:num w:numId="23" w16cid:durableId="684088741">
    <w:abstractNumId w:val="17"/>
  </w:num>
  <w:num w:numId="24" w16cid:durableId="1185024746">
    <w:abstractNumId w:val="18"/>
  </w:num>
  <w:num w:numId="25" w16cid:durableId="613251542">
    <w:abstractNumId w:val="20"/>
  </w:num>
  <w:num w:numId="26" w16cid:durableId="1409965196">
    <w:abstractNumId w:val="21"/>
  </w:num>
  <w:num w:numId="27" w16cid:durableId="378288473">
    <w:abstractNumId w:val="24"/>
  </w:num>
  <w:num w:numId="28" w16cid:durableId="1864174115">
    <w:abstractNumId w:val="25"/>
  </w:num>
  <w:num w:numId="29" w16cid:durableId="1286698905">
    <w:abstractNumId w:val="26"/>
  </w:num>
  <w:num w:numId="30" w16cid:durableId="1806041225">
    <w:abstractNumId w:val="27"/>
  </w:num>
  <w:num w:numId="31" w16cid:durableId="1104806719">
    <w:abstractNumId w:val="29"/>
  </w:num>
  <w:num w:numId="32" w16cid:durableId="1258976245">
    <w:abstractNumId w:val="30"/>
  </w:num>
  <w:num w:numId="33" w16cid:durableId="1604340222">
    <w:abstractNumId w:val="31"/>
  </w:num>
  <w:num w:numId="34" w16cid:durableId="29647916">
    <w:abstractNumId w:val="32"/>
  </w:num>
  <w:num w:numId="35" w16cid:durableId="637491403">
    <w:abstractNumId w:val="33"/>
  </w:num>
  <w:num w:numId="36" w16cid:durableId="1056513010">
    <w:abstractNumId w:val="34"/>
  </w:num>
  <w:num w:numId="37" w16cid:durableId="1405420384">
    <w:abstractNumId w:val="36"/>
  </w:num>
  <w:num w:numId="38" w16cid:durableId="1134060475">
    <w:abstractNumId w:val="37"/>
  </w:num>
  <w:num w:numId="39" w16cid:durableId="728722240">
    <w:abstractNumId w:val="40"/>
  </w:num>
  <w:num w:numId="40" w16cid:durableId="359668647">
    <w:abstractNumId w:val="41"/>
  </w:num>
  <w:num w:numId="41" w16cid:durableId="490293589">
    <w:abstractNumId w:val="48"/>
  </w:num>
  <w:num w:numId="42" w16cid:durableId="726875089">
    <w:abstractNumId w:val="51"/>
  </w:num>
  <w:num w:numId="43" w16cid:durableId="508758833">
    <w:abstractNumId w:val="52"/>
  </w:num>
  <w:num w:numId="44" w16cid:durableId="1795444677">
    <w:abstractNumId w:val="54"/>
  </w:num>
  <w:num w:numId="45" w16cid:durableId="215776511">
    <w:abstractNumId w:val="55"/>
  </w:num>
  <w:num w:numId="46" w16cid:durableId="1316645355">
    <w:abstractNumId w:val="57"/>
  </w:num>
  <w:num w:numId="47" w16cid:durableId="1313363408">
    <w:abstractNumId w:val="58"/>
  </w:num>
  <w:num w:numId="48" w16cid:durableId="2109809111">
    <w:abstractNumId w:val="59"/>
  </w:num>
  <w:num w:numId="49" w16cid:durableId="1584337260">
    <w:abstractNumId w:val="61"/>
  </w:num>
  <w:num w:numId="50" w16cid:durableId="780807808">
    <w:abstractNumId w:val="62"/>
  </w:num>
  <w:num w:numId="51" w16cid:durableId="462313843">
    <w:abstractNumId w:val="22"/>
  </w:num>
  <w:num w:numId="52" w16cid:durableId="1786659210">
    <w:abstractNumId w:val="42"/>
  </w:num>
  <w:num w:numId="53" w16cid:durableId="653023681">
    <w:abstractNumId w:val="53"/>
  </w:num>
  <w:num w:numId="54" w16cid:durableId="2071341605">
    <w:abstractNumId w:val="46"/>
  </w:num>
  <w:num w:numId="55" w16cid:durableId="508644348">
    <w:abstractNumId w:val="44"/>
  </w:num>
  <w:num w:numId="56" w16cid:durableId="1590966623">
    <w:abstractNumId w:val="60"/>
  </w:num>
  <w:num w:numId="57" w16cid:durableId="12926748">
    <w:abstractNumId w:val="47"/>
  </w:num>
  <w:num w:numId="58" w16cid:durableId="1018654889">
    <w:abstractNumId w:val="0"/>
  </w:num>
  <w:num w:numId="59" w16cid:durableId="846869748">
    <w:abstractNumId w:val="7"/>
  </w:num>
  <w:num w:numId="60" w16cid:durableId="773018376">
    <w:abstractNumId w:val="35"/>
  </w:num>
  <w:num w:numId="61" w16cid:durableId="1750538953">
    <w:abstractNumId w:val="14"/>
  </w:num>
  <w:num w:numId="62" w16cid:durableId="1974555660">
    <w:abstractNumId w:val="6"/>
  </w:num>
  <w:num w:numId="63" w16cid:durableId="719129976">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788C"/>
    <w:rsid w:val="00021D9E"/>
    <w:rsid w:val="00031FD4"/>
    <w:rsid w:val="00032575"/>
    <w:rsid w:val="0003273F"/>
    <w:rsid w:val="000337EF"/>
    <w:rsid w:val="00033C85"/>
    <w:rsid w:val="00034431"/>
    <w:rsid w:val="0003447A"/>
    <w:rsid w:val="0004074F"/>
    <w:rsid w:val="00040C3A"/>
    <w:rsid w:val="000419AD"/>
    <w:rsid w:val="00041B1C"/>
    <w:rsid w:val="000433C9"/>
    <w:rsid w:val="00044BE5"/>
    <w:rsid w:val="00045CF4"/>
    <w:rsid w:val="00052001"/>
    <w:rsid w:val="0005333D"/>
    <w:rsid w:val="000558BC"/>
    <w:rsid w:val="000572E5"/>
    <w:rsid w:val="00061398"/>
    <w:rsid w:val="0006373F"/>
    <w:rsid w:val="000651D7"/>
    <w:rsid w:val="00067B49"/>
    <w:rsid w:val="00071174"/>
    <w:rsid w:val="000716C5"/>
    <w:rsid w:val="00072B47"/>
    <w:rsid w:val="00075E23"/>
    <w:rsid w:val="000820F4"/>
    <w:rsid w:val="0008509C"/>
    <w:rsid w:val="00090D25"/>
    <w:rsid w:val="000915B0"/>
    <w:rsid w:val="0009344A"/>
    <w:rsid w:val="000967DB"/>
    <w:rsid w:val="00097FCB"/>
    <w:rsid w:val="000A2F1C"/>
    <w:rsid w:val="000A392E"/>
    <w:rsid w:val="000A575F"/>
    <w:rsid w:val="000A58AC"/>
    <w:rsid w:val="000A73A9"/>
    <w:rsid w:val="000A7843"/>
    <w:rsid w:val="000B18C3"/>
    <w:rsid w:val="000B2608"/>
    <w:rsid w:val="000B7342"/>
    <w:rsid w:val="000B75B9"/>
    <w:rsid w:val="000C2ADD"/>
    <w:rsid w:val="000C66BF"/>
    <w:rsid w:val="000C6F53"/>
    <w:rsid w:val="000C7279"/>
    <w:rsid w:val="000D05CB"/>
    <w:rsid w:val="000D10DB"/>
    <w:rsid w:val="000D25C6"/>
    <w:rsid w:val="000D5F8F"/>
    <w:rsid w:val="000E253F"/>
    <w:rsid w:val="000E3A2F"/>
    <w:rsid w:val="000E4C58"/>
    <w:rsid w:val="000E5EB5"/>
    <w:rsid w:val="000E6736"/>
    <w:rsid w:val="000F1A1F"/>
    <w:rsid w:val="000F27D7"/>
    <w:rsid w:val="000F2B5D"/>
    <w:rsid w:val="000F3140"/>
    <w:rsid w:val="000F35ED"/>
    <w:rsid w:val="000F52EC"/>
    <w:rsid w:val="000F6B9A"/>
    <w:rsid w:val="000F6E4A"/>
    <w:rsid w:val="000F7556"/>
    <w:rsid w:val="001004FE"/>
    <w:rsid w:val="00100EB9"/>
    <w:rsid w:val="00101129"/>
    <w:rsid w:val="00103E76"/>
    <w:rsid w:val="0010565D"/>
    <w:rsid w:val="00106BB7"/>
    <w:rsid w:val="00107131"/>
    <w:rsid w:val="0010736F"/>
    <w:rsid w:val="001104D9"/>
    <w:rsid w:val="0011172F"/>
    <w:rsid w:val="00112D66"/>
    <w:rsid w:val="00113F73"/>
    <w:rsid w:val="001156CF"/>
    <w:rsid w:val="00121342"/>
    <w:rsid w:val="00121CC2"/>
    <w:rsid w:val="00123BA6"/>
    <w:rsid w:val="001272F9"/>
    <w:rsid w:val="00131425"/>
    <w:rsid w:val="00132955"/>
    <w:rsid w:val="00133EE5"/>
    <w:rsid w:val="00141E60"/>
    <w:rsid w:val="00143F50"/>
    <w:rsid w:val="00144311"/>
    <w:rsid w:val="001542ED"/>
    <w:rsid w:val="001564A6"/>
    <w:rsid w:val="00156EFF"/>
    <w:rsid w:val="00157077"/>
    <w:rsid w:val="0016026F"/>
    <w:rsid w:val="00160AF0"/>
    <w:rsid w:val="00161951"/>
    <w:rsid w:val="001650A7"/>
    <w:rsid w:val="00167A34"/>
    <w:rsid w:val="0017141D"/>
    <w:rsid w:val="0017442C"/>
    <w:rsid w:val="0017450A"/>
    <w:rsid w:val="00174B76"/>
    <w:rsid w:val="0017681E"/>
    <w:rsid w:val="00176BC1"/>
    <w:rsid w:val="00186BE0"/>
    <w:rsid w:val="00193027"/>
    <w:rsid w:val="00195964"/>
    <w:rsid w:val="00196D8B"/>
    <w:rsid w:val="001978D9"/>
    <w:rsid w:val="001A520D"/>
    <w:rsid w:val="001A5642"/>
    <w:rsid w:val="001A7870"/>
    <w:rsid w:val="001B20BC"/>
    <w:rsid w:val="001B21D8"/>
    <w:rsid w:val="001B3A00"/>
    <w:rsid w:val="001B478B"/>
    <w:rsid w:val="001B55A3"/>
    <w:rsid w:val="001B5F7C"/>
    <w:rsid w:val="001C0606"/>
    <w:rsid w:val="001C1B41"/>
    <w:rsid w:val="001C1D8F"/>
    <w:rsid w:val="001C702C"/>
    <w:rsid w:val="001D03F1"/>
    <w:rsid w:val="001D2E1D"/>
    <w:rsid w:val="001D57D6"/>
    <w:rsid w:val="001D5E78"/>
    <w:rsid w:val="001D65EF"/>
    <w:rsid w:val="001D6FBD"/>
    <w:rsid w:val="001D775D"/>
    <w:rsid w:val="001D7F96"/>
    <w:rsid w:val="001E24D6"/>
    <w:rsid w:val="001E49E7"/>
    <w:rsid w:val="001E574D"/>
    <w:rsid w:val="001E73E1"/>
    <w:rsid w:val="001F3EA5"/>
    <w:rsid w:val="001F7201"/>
    <w:rsid w:val="001F77D5"/>
    <w:rsid w:val="00202863"/>
    <w:rsid w:val="002030C1"/>
    <w:rsid w:val="00203172"/>
    <w:rsid w:val="0020437A"/>
    <w:rsid w:val="002057AF"/>
    <w:rsid w:val="00207AC3"/>
    <w:rsid w:val="0021267F"/>
    <w:rsid w:val="00212FF2"/>
    <w:rsid w:val="002163B3"/>
    <w:rsid w:val="00217223"/>
    <w:rsid w:val="002176A4"/>
    <w:rsid w:val="00217872"/>
    <w:rsid w:val="00223984"/>
    <w:rsid w:val="00223A29"/>
    <w:rsid w:val="002250A3"/>
    <w:rsid w:val="0023259B"/>
    <w:rsid w:val="00235217"/>
    <w:rsid w:val="002359E2"/>
    <w:rsid w:val="00236F8A"/>
    <w:rsid w:val="002376BA"/>
    <w:rsid w:val="00240814"/>
    <w:rsid w:val="00243044"/>
    <w:rsid w:val="00244208"/>
    <w:rsid w:val="00246D1F"/>
    <w:rsid w:val="00247403"/>
    <w:rsid w:val="00247542"/>
    <w:rsid w:val="00250690"/>
    <w:rsid w:val="00251FE0"/>
    <w:rsid w:val="00254C2D"/>
    <w:rsid w:val="00254D11"/>
    <w:rsid w:val="00266B61"/>
    <w:rsid w:val="0026712A"/>
    <w:rsid w:val="002704DB"/>
    <w:rsid w:val="00271F4E"/>
    <w:rsid w:val="00273EA3"/>
    <w:rsid w:val="00275057"/>
    <w:rsid w:val="002805FA"/>
    <w:rsid w:val="00287DFD"/>
    <w:rsid w:val="00292C94"/>
    <w:rsid w:val="00293936"/>
    <w:rsid w:val="00296988"/>
    <w:rsid w:val="002A0AAE"/>
    <w:rsid w:val="002A1668"/>
    <w:rsid w:val="002A46B8"/>
    <w:rsid w:val="002A4F99"/>
    <w:rsid w:val="002A56C9"/>
    <w:rsid w:val="002A5820"/>
    <w:rsid w:val="002B029A"/>
    <w:rsid w:val="002B25D9"/>
    <w:rsid w:val="002B4246"/>
    <w:rsid w:val="002B5AA7"/>
    <w:rsid w:val="002B6FEE"/>
    <w:rsid w:val="002B7E19"/>
    <w:rsid w:val="002C55F2"/>
    <w:rsid w:val="002C5D2E"/>
    <w:rsid w:val="002D2B26"/>
    <w:rsid w:val="002D394B"/>
    <w:rsid w:val="002D6CC4"/>
    <w:rsid w:val="002D6E65"/>
    <w:rsid w:val="002D7EA2"/>
    <w:rsid w:val="002E187C"/>
    <w:rsid w:val="002E4FC2"/>
    <w:rsid w:val="002E7AD8"/>
    <w:rsid w:val="002F02E6"/>
    <w:rsid w:val="002F23E1"/>
    <w:rsid w:val="00301AAD"/>
    <w:rsid w:val="00302733"/>
    <w:rsid w:val="0030292F"/>
    <w:rsid w:val="003044FA"/>
    <w:rsid w:val="0030581C"/>
    <w:rsid w:val="00305835"/>
    <w:rsid w:val="003065B8"/>
    <w:rsid w:val="00306A07"/>
    <w:rsid w:val="00306F33"/>
    <w:rsid w:val="0031243C"/>
    <w:rsid w:val="00314078"/>
    <w:rsid w:val="0031535D"/>
    <w:rsid w:val="00317A9F"/>
    <w:rsid w:val="00317DC2"/>
    <w:rsid w:val="003220D1"/>
    <w:rsid w:val="003239B8"/>
    <w:rsid w:val="003243B5"/>
    <w:rsid w:val="00327EF0"/>
    <w:rsid w:val="00330828"/>
    <w:rsid w:val="0033169F"/>
    <w:rsid w:val="003316E3"/>
    <w:rsid w:val="0033223B"/>
    <w:rsid w:val="003352C7"/>
    <w:rsid w:val="00340773"/>
    <w:rsid w:val="0034126B"/>
    <w:rsid w:val="00344977"/>
    <w:rsid w:val="00344D54"/>
    <w:rsid w:val="00346C95"/>
    <w:rsid w:val="003473FB"/>
    <w:rsid w:val="00347CEE"/>
    <w:rsid w:val="00347F52"/>
    <w:rsid w:val="00351868"/>
    <w:rsid w:val="00355EF8"/>
    <w:rsid w:val="00356185"/>
    <w:rsid w:val="00356E40"/>
    <w:rsid w:val="003576D7"/>
    <w:rsid w:val="00360380"/>
    <w:rsid w:val="00370233"/>
    <w:rsid w:val="00370D53"/>
    <w:rsid w:val="00372523"/>
    <w:rsid w:val="0037519E"/>
    <w:rsid w:val="00375E07"/>
    <w:rsid w:val="00377C05"/>
    <w:rsid w:val="003804F2"/>
    <w:rsid w:val="00382AE2"/>
    <w:rsid w:val="00383298"/>
    <w:rsid w:val="00383972"/>
    <w:rsid w:val="00386CF0"/>
    <w:rsid w:val="003878C8"/>
    <w:rsid w:val="00390D8D"/>
    <w:rsid w:val="00394073"/>
    <w:rsid w:val="003942D7"/>
    <w:rsid w:val="00397AA5"/>
    <w:rsid w:val="003A0FA1"/>
    <w:rsid w:val="003A6268"/>
    <w:rsid w:val="003B3299"/>
    <w:rsid w:val="003B4FC8"/>
    <w:rsid w:val="003B70FB"/>
    <w:rsid w:val="003C2E8A"/>
    <w:rsid w:val="003C52D9"/>
    <w:rsid w:val="003C5D09"/>
    <w:rsid w:val="003C676B"/>
    <w:rsid w:val="003D3BC2"/>
    <w:rsid w:val="003D5AD9"/>
    <w:rsid w:val="003D767F"/>
    <w:rsid w:val="003E119F"/>
    <w:rsid w:val="003E1993"/>
    <w:rsid w:val="003E2254"/>
    <w:rsid w:val="003E25E8"/>
    <w:rsid w:val="003E4BEF"/>
    <w:rsid w:val="003E66E0"/>
    <w:rsid w:val="003E6CA1"/>
    <w:rsid w:val="003F1AB2"/>
    <w:rsid w:val="003F5154"/>
    <w:rsid w:val="003F5D4E"/>
    <w:rsid w:val="003F5F70"/>
    <w:rsid w:val="003F7F72"/>
    <w:rsid w:val="004008D3"/>
    <w:rsid w:val="00401C00"/>
    <w:rsid w:val="00403E93"/>
    <w:rsid w:val="00404800"/>
    <w:rsid w:val="00405F9C"/>
    <w:rsid w:val="004065A8"/>
    <w:rsid w:val="00407C76"/>
    <w:rsid w:val="00410D96"/>
    <w:rsid w:val="00411549"/>
    <w:rsid w:val="00415771"/>
    <w:rsid w:val="00415801"/>
    <w:rsid w:val="00415E06"/>
    <w:rsid w:val="004165C2"/>
    <w:rsid w:val="00417667"/>
    <w:rsid w:val="00423C4D"/>
    <w:rsid w:val="004241A0"/>
    <w:rsid w:val="0042580E"/>
    <w:rsid w:val="00427218"/>
    <w:rsid w:val="004275AF"/>
    <w:rsid w:val="00430788"/>
    <w:rsid w:val="00433B06"/>
    <w:rsid w:val="00437E52"/>
    <w:rsid w:val="004409FC"/>
    <w:rsid w:val="00441E74"/>
    <w:rsid w:val="00441ECB"/>
    <w:rsid w:val="00442BC8"/>
    <w:rsid w:val="00443073"/>
    <w:rsid w:val="00445193"/>
    <w:rsid w:val="004456A0"/>
    <w:rsid w:val="00446492"/>
    <w:rsid w:val="00446EB6"/>
    <w:rsid w:val="00450066"/>
    <w:rsid w:val="00454AA5"/>
    <w:rsid w:val="00454FE0"/>
    <w:rsid w:val="00455183"/>
    <w:rsid w:val="00456F19"/>
    <w:rsid w:val="004574E7"/>
    <w:rsid w:val="004606B1"/>
    <w:rsid w:val="00460CED"/>
    <w:rsid w:val="004612F0"/>
    <w:rsid w:val="00462C1B"/>
    <w:rsid w:val="00462DC8"/>
    <w:rsid w:val="00462F22"/>
    <w:rsid w:val="00464E05"/>
    <w:rsid w:val="00465FDF"/>
    <w:rsid w:val="00466210"/>
    <w:rsid w:val="00467B7E"/>
    <w:rsid w:val="004732EF"/>
    <w:rsid w:val="00473BB4"/>
    <w:rsid w:val="00474E85"/>
    <w:rsid w:val="004752F8"/>
    <w:rsid w:val="00475A54"/>
    <w:rsid w:val="00477592"/>
    <w:rsid w:val="00480795"/>
    <w:rsid w:val="00483151"/>
    <w:rsid w:val="00486281"/>
    <w:rsid w:val="00486F1C"/>
    <w:rsid w:val="00490E25"/>
    <w:rsid w:val="00491EF2"/>
    <w:rsid w:val="00491FE9"/>
    <w:rsid w:val="00493BC9"/>
    <w:rsid w:val="0049419D"/>
    <w:rsid w:val="00497B22"/>
    <w:rsid w:val="004A057B"/>
    <w:rsid w:val="004A0BDC"/>
    <w:rsid w:val="004A1FEA"/>
    <w:rsid w:val="004A5A52"/>
    <w:rsid w:val="004A6A54"/>
    <w:rsid w:val="004B3885"/>
    <w:rsid w:val="004B421C"/>
    <w:rsid w:val="004B4BEC"/>
    <w:rsid w:val="004B5208"/>
    <w:rsid w:val="004C20D2"/>
    <w:rsid w:val="004C2312"/>
    <w:rsid w:val="004C3669"/>
    <w:rsid w:val="004C4B62"/>
    <w:rsid w:val="004C54C9"/>
    <w:rsid w:val="004D4ABA"/>
    <w:rsid w:val="004D5034"/>
    <w:rsid w:val="004D6025"/>
    <w:rsid w:val="004E2649"/>
    <w:rsid w:val="004E329A"/>
    <w:rsid w:val="004F04FA"/>
    <w:rsid w:val="004F2F4C"/>
    <w:rsid w:val="004F3018"/>
    <w:rsid w:val="004F305D"/>
    <w:rsid w:val="004F626F"/>
    <w:rsid w:val="004F7C62"/>
    <w:rsid w:val="00501399"/>
    <w:rsid w:val="00501E47"/>
    <w:rsid w:val="00503717"/>
    <w:rsid w:val="005047ED"/>
    <w:rsid w:val="0050633D"/>
    <w:rsid w:val="0050752C"/>
    <w:rsid w:val="00507BC4"/>
    <w:rsid w:val="005128E4"/>
    <w:rsid w:val="005133DB"/>
    <w:rsid w:val="00514504"/>
    <w:rsid w:val="005161D5"/>
    <w:rsid w:val="00520ACC"/>
    <w:rsid w:val="00521E1F"/>
    <w:rsid w:val="00525560"/>
    <w:rsid w:val="0053366B"/>
    <w:rsid w:val="005340A2"/>
    <w:rsid w:val="00540715"/>
    <w:rsid w:val="005407CA"/>
    <w:rsid w:val="00543B95"/>
    <w:rsid w:val="00543C6D"/>
    <w:rsid w:val="00544C49"/>
    <w:rsid w:val="005516A1"/>
    <w:rsid w:val="00551E9B"/>
    <w:rsid w:val="005559EF"/>
    <w:rsid w:val="00556993"/>
    <w:rsid w:val="005569A2"/>
    <w:rsid w:val="005575C0"/>
    <w:rsid w:val="00562C48"/>
    <w:rsid w:val="00563557"/>
    <w:rsid w:val="00564B7E"/>
    <w:rsid w:val="00567290"/>
    <w:rsid w:val="0057177A"/>
    <w:rsid w:val="0057402A"/>
    <w:rsid w:val="00574B1B"/>
    <w:rsid w:val="00574ED4"/>
    <w:rsid w:val="005750D5"/>
    <w:rsid w:val="005771D0"/>
    <w:rsid w:val="005819CE"/>
    <w:rsid w:val="0058470D"/>
    <w:rsid w:val="005874FD"/>
    <w:rsid w:val="0059191A"/>
    <w:rsid w:val="005921FF"/>
    <w:rsid w:val="00595717"/>
    <w:rsid w:val="00597215"/>
    <w:rsid w:val="005A2382"/>
    <w:rsid w:val="005A24ED"/>
    <w:rsid w:val="005A2611"/>
    <w:rsid w:val="005A6D0E"/>
    <w:rsid w:val="005B4603"/>
    <w:rsid w:val="005B4F6E"/>
    <w:rsid w:val="005B4F6F"/>
    <w:rsid w:val="005B52B0"/>
    <w:rsid w:val="005B6656"/>
    <w:rsid w:val="005B6806"/>
    <w:rsid w:val="005C026D"/>
    <w:rsid w:val="005C1208"/>
    <w:rsid w:val="005C188C"/>
    <w:rsid w:val="005C4225"/>
    <w:rsid w:val="005C523C"/>
    <w:rsid w:val="005C573A"/>
    <w:rsid w:val="005C763D"/>
    <w:rsid w:val="005D208A"/>
    <w:rsid w:val="005D3DE1"/>
    <w:rsid w:val="005D5138"/>
    <w:rsid w:val="005D72C7"/>
    <w:rsid w:val="005E0759"/>
    <w:rsid w:val="005E0FB8"/>
    <w:rsid w:val="005E1DD4"/>
    <w:rsid w:val="005F0DAD"/>
    <w:rsid w:val="005F0F33"/>
    <w:rsid w:val="005F3476"/>
    <w:rsid w:val="005F36E8"/>
    <w:rsid w:val="005F53C0"/>
    <w:rsid w:val="00600DEB"/>
    <w:rsid w:val="00604D6F"/>
    <w:rsid w:val="00606831"/>
    <w:rsid w:val="006102B2"/>
    <w:rsid w:val="00610ACD"/>
    <w:rsid w:val="00612A0A"/>
    <w:rsid w:val="00613D63"/>
    <w:rsid w:val="00614362"/>
    <w:rsid w:val="00614BDA"/>
    <w:rsid w:val="00615363"/>
    <w:rsid w:val="00615ED5"/>
    <w:rsid w:val="00616432"/>
    <w:rsid w:val="006164D2"/>
    <w:rsid w:val="006175AF"/>
    <w:rsid w:val="00620C6F"/>
    <w:rsid w:val="00621A1C"/>
    <w:rsid w:val="00621F7A"/>
    <w:rsid w:val="00622B9E"/>
    <w:rsid w:val="006239DB"/>
    <w:rsid w:val="00626E5D"/>
    <w:rsid w:val="00627C9F"/>
    <w:rsid w:val="006311E9"/>
    <w:rsid w:val="00632354"/>
    <w:rsid w:val="00632C85"/>
    <w:rsid w:val="00635421"/>
    <w:rsid w:val="00635507"/>
    <w:rsid w:val="00637154"/>
    <w:rsid w:val="0063749F"/>
    <w:rsid w:val="00641AA8"/>
    <w:rsid w:val="00641AAA"/>
    <w:rsid w:val="00641FED"/>
    <w:rsid w:val="00642810"/>
    <w:rsid w:val="00642B15"/>
    <w:rsid w:val="00642FFE"/>
    <w:rsid w:val="0064359E"/>
    <w:rsid w:val="006444C5"/>
    <w:rsid w:val="00645171"/>
    <w:rsid w:val="006508E0"/>
    <w:rsid w:val="0065198A"/>
    <w:rsid w:val="00652333"/>
    <w:rsid w:val="006532B5"/>
    <w:rsid w:val="006563B7"/>
    <w:rsid w:val="006657C4"/>
    <w:rsid w:val="006708AE"/>
    <w:rsid w:val="00673D09"/>
    <w:rsid w:val="00674878"/>
    <w:rsid w:val="006769F2"/>
    <w:rsid w:val="0068009E"/>
    <w:rsid w:val="00680EAD"/>
    <w:rsid w:val="00684F01"/>
    <w:rsid w:val="00690221"/>
    <w:rsid w:val="00690DEA"/>
    <w:rsid w:val="00692219"/>
    <w:rsid w:val="0069400D"/>
    <w:rsid w:val="006A08C4"/>
    <w:rsid w:val="006A0CE8"/>
    <w:rsid w:val="006A17D2"/>
    <w:rsid w:val="006A2AAD"/>
    <w:rsid w:val="006A52DB"/>
    <w:rsid w:val="006A5F70"/>
    <w:rsid w:val="006A61E4"/>
    <w:rsid w:val="006A68DD"/>
    <w:rsid w:val="006A73E6"/>
    <w:rsid w:val="006A76CB"/>
    <w:rsid w:val="006B12CF"/>
    <w:rsid w:val="006B20E3"/>
    <w:rsid w:val="006B275F"/>
    <w:rsid w:val="006B2D5C"/>
    <w:rsid w:val="006B3A1B"/>
    <w:rsid w:val="006B4990"/>
    <w:rsid w:val="006B5C86"/>
    <w:rsid w:val="006B60CF"/>
    <w:rsid w:val="006B7D02"/>
    <w:rsid w:val="006C0ECF"/>
    <w:rsid w:val="006C3654"/>
    <w:rsid w:val="006C4EB1"/>
    <w:rsid w:val="006C4EF6"/>
    <w:rsid w:val="006C75B8"/>
    <w:rsid w:val="006D47DE"/>
    <w:rsid w:val="006D76FF"/>
    <w:rsid w:val="006D7F02"/>
    <w:rsid w:val="006E0166"/>
    <w:rsid w:val="006E2FFB"/>
    <w:rsid w:val="006E7B34"/>
    <w:rsid w:val="006F6BED"/>
    <w:rsid w:val="007021BC"/>
    <w:rsid w:val="0070645A"/>
    <w:rsid w:val="0070697F"/>
    <w:rsid w:val="00707D78"/>
    <w:rsid w:val="007100A5"/>
    <w:rsid w:val="007103C4"/>
    <w:rsid w:val="00712208"/>
    <w:rsid w:val="00717A6F"/>
    <w:rsid w:val="00720FA3"/>
    <w:rsid w:val="0072199C"/>
    <w:rsid w:val="00722C9F"/>
    <w:rsid w:val="007253B8"/>
    <w:rsid w:val="007265F1"/>
    <w:rsid w:val="00726EC0"/>
    <w:rsid w:val="00732E17"/>
    <w:rsid w:val="0073709A"/>
    <w:rsid w:val="0073741F"/>
    <w:rsid w:val="00737E5A"/>
    <w:rsid w:val="00740E71"/>
    <w:rsid w:val="0074282A"/>
    <w:rsid w:val="0074449B"/>
    <w:rsid w:val="007461AD"/>
    <w:rsid w:val="00746BF7"/>
    <w:rsid w:val="00747928"/>
    <w:rsid w:val="007504E8"/>
    <w:rsid w:val="00750585"/>
    <w:rsid w:val="00750E86"/>
    <w:rsid w:val="00752CB4"/>
    <w:rsid w:val="00752F0E"/>
    <w:rsid w:val="00756BC1"/>
    <w:rsid w:val="00756EC5"/>
    <w:rsid w:val="00760CF2"/>
    <w:rsid w:val="00762207"/>
    <w:rsid w:val="00762B4F"/>
    <w:rsid w:val="0076413F"/>
    <w:rsid w:val="00764910"/>
    <w:rsid w:val="00766268"/>
    <w:rsid w:val="0076641D"/>
    <w:rsid w:val="0076643F"/>
    <w:rsid w:val="00767486"/>
    <w:rsid w:val="00767B01"/>
    <w:rsid w:val="007723E0"/>
    <w:rsid w:val="00774065"/>
    <w:rsid w:val="007744B6"/>
    <w:rsid w:val="00774A3D"/>
    <w:rsid w:val="00776EA6"/>
    <w:rsid w:val="00777F63"/>
    <w:rsid w:val="0078046C"/>
    <w:rsid w:val="00780956"/>
    <w:rsid w:val="0078095F"/>
    <w:rsid w:val="0078256C"/>
    <w:rsid w:val="00785AD7"/>
    <w:rsid w:val="00797C15"/>
    <w:rsid w:val="007A0ABF"/>
    <w:rsid w:val="007A5769"/>
    <w:rsid w:val="007A5817"/>
    <w:rsid w:val="007A5BC5"/>
    <w:rsid w:val="007B05C4"/>
    <w:rsid w:val="007B0A06"/>
    <w:rsid w:val="007B2EBB"/>
    <w:rsid w:val="007B60E9"/>
    <w:rsid w:val="007B6CC3"/>
    <w:rsid w:val="007B76D3"/>
    <w:rsid w:val="007C32FA"/>
    <w:rsid w:val="007C3334"/>
    <w:rsid w:val="007C715A"/>
    <w:rsid w:val="007D08D7"/>
    <w:rsid w:val="007D21E9"/>
    <w:rsid w:val="007D2B98"/>
    <w:rsid w:val="007D4525"/>
    <w:rsid w:val="007D60F5"/>
    <w:rsid w:val="007E21BC"/>
    <w:rsid w:val="007E563E"/>
    <w:rsid w:val="007E71BF"/>
    <w:rsid w:val="007E7C82"/>
    <w:rsid w:val="007F12C1"/>
    <w:rsid w:val="007F1907"/>
    <w:rsid w:val="007F2AA1"/>
    <w:rsid w:val="007F2BA5"/>
    <w:rsid w:val="007F588D"/>
    <w:rsid w:val="007F74EE"/>
    <w:rsid w:val="008013AE"/>
    <w:rsid w:val="00803F1C"/>
    <w:rsid w:val="0080600E"/>
    <w:rsid w:val="00810C95"/>
    <w:rsid w:val="00811C8F"/>
    <w:rsid w:val="00813626"/>
    <w:rsid w:val="00814688"/>
    <w:rsid w:val="0081655B"/>
    <w:rsid w:val="00817612"/>
    <w:rsid w:val="008261C9"/>
    <w:rsid w:val="00830070"/>
    <w:rsid w:val="00830AAC"/>
    <w:rsid w:val="008333E0"/>
    <w:rsid w:val="008338A4"/>
    <w:rsid w:val="00834D49"/>
    <w:rsid w:val="00837C45"/>
    <w:rsid w:val="0084046B"/>
    <w:rsid w:val="008408FA"/>
    <w:rsid w:val="00842CB6"/>
    <w:rsid w:val="00842DB1"/>
    <w:rsid w:val="00844730"/>
    <w:rsid w:val="008457C2"/>
    <w:rsid w:val="00845A9F"/>
    <w:rsid w:val="00847101"/>
    <w:rsid w:val="00857A82"/>
    <w:rsid w:val="008646F3"/>
    <w:rsid w:val="00865C99"/>
    <w:rsid w:val="00865E9E"/>
    <w:rsid w:val="00866853"/>
    <w:rsid w:val="00872630"/>
    <w:rsid w:val="00873836"/>
    <w:rsid w:val="008747D5"/>
    <w:rsid w:val="008748FB"/>
    <w:rsid w:val="00877BA0"/>
    <w:rsid w:val="0088043E"/>
    <w:rsid w:val="00880994"/>
    <w:rsid w:val="00881258"/>
    <w:rsid w:val="0088208C"/>
    <w:rsid w:val="00882D28"/>
    <w:rsid w:val="00883319"/>
    <w:rsid w:val="00884041"/>
    <w:rsid w:val="00885737"/>
    <w:rsid w:val="00885CBC"/>
    <w:rsid w:val="00890650"/>
    <w:rsid w:val="00891227"/>
    <w:rsid w:val="008944DC"/>
    <w:rsid w:val="00895E24"/>
    <w:rsid w:val="00897E12"/>
    <w:rsid w:val="008A2594"/>
    <w:rsid w:val="008A48C8"/>
    <w:rsid w:val="008A5913"/>
    <w:rsid w:val="008A7E0F"/>
    <w:rsid w:val="008B12F5"/>
    <w:rsid w:val="008B382D"/>
    <w:rsid w:val="008B75EB"/>
    <w:rsid w:val="008C1F6E"/>
    <w:rsid w:val="008C4DEE"/>
    <w:rsid w:val="008C5E2D"/>
    <w:rsid w:val="008D3A3B"/>
    <w:rsid w:val="008D3F77"/>
    <w:rsid w:val="008D768D"/>
    <w:rsid w:val="008E021C"/>
    <w:rsid w:val="008E3759"/>
    <w:rsid w:val="008E3BFE"/>
    <w:rsid w:val="008F0BCD"/>
    <w:rsid w:val="008F0BE6"/>
    <w:rsid w:val="008F1912"/>
    <w:rsid w:val="008F3AC4"/>
    <w:rsid w:val="008F6478"/>
    <w:rsid w:val="0090270B"/>
    <w:rsid w:val="00902D62"/>
    <w:rsid w:val="009036AD"/>
    <w:rsid w:val="009041DC"/>
    <w:rsid w:val="00913E68"/>
    <w:rsid w:val="009147ED"/>
    <w:rsid w:val="00916596"/>
    <w:rsid w:val="00917B5A"/>
    <w:rsid w:val="0092044D"/>
    <w:rsid w:val="0092059E"/>
    <w:rsid w:val="00920A58"/>
    <w:rsid w:val="00920A8C"/>
    <w:rsid w:val="009216DE"/>
    <w:rsid w:val="0092229A"/>
    <w:rsid w:val="009242B0"/>
    <w:rsid w:val="00924C32"/>
    <w:rsid w:val="009253A9"/>
    <w:rsid w:val="00926258"/>
    <w:rsid w:val="00926566"/>
    <w:rsid w:val="00926E4C"/>
    <w:rsid w:val="00930536"/>
    <w:rsid w:val="00930611"/>
    <w:rsid w:val="00930D3E"/>
    <w:rsid w:val="0093321C"/>
    <w:rsid w:val="00934A2C"/>
    <w:rsid w:val="00944F3F"/>
    <w:rsid w:val="009456AC"/>
    <w:rsid w:val="009500F8"/>
    <w:rsid w:val="00951AE5"/>
    <w:rsid w:val="00953A61"/>
    <w:rsid w:val="00960EDD"/>
    <w:rsid w:val="009624F7"/>
    <w:rsid w:val="009627FF"/>
    <w:rsid w:val="0096706E"/>
    <w:rsid w:val="00967C75"/>
    <w:rsid w:val="009727B9"/>
    <w:rsid w:val="009735E7"/>
    <w:rsid w:val="00974491"/>
    <w:rsid w:val="00975C4E"/>
    <w:rsid w:val="0097766C"/>
    <w:rsid w:val="0097776C"/>
    <w:rsid w:val="00981FBA"/>
    <w:rsid w:val="0098334E"/>
    <w:rsid w:val="009847C6"/>
    <w:rsid w:val="00986466"/>
    <w:rsid w:val="00991FAF"/>
    <w:rsid w:val="009935AC"/>
    <w:rsid w:val="0099664B"/>
    <w:rsid w:val="00997BC5"/>
    <w:rsid w:val="009A4F41"/>
    <w:rsid w:val="009A56CE"/>
    <w:rsid w:val="009A7E67"/>
    <w:rsid w:val="009B0E68"/>
    <w:rsid w:val="009B1F41"/>
    <w:rsid w:val="009B381B"/>
    <w:rsid w:val="009B3A68"/>
    <w:rsid w:val="009B418D"/>
    <w:rsid w:val="009B53CC"/>
    <w:rsid w:val="009B7814"/>
    <w:rsid w:val="009C0A2D"/>
    <w:rsid w:val="009C1847"/>
    <w:rsid w:val="009C1F97"/>
    <w:rsid w:val="009D1753"/>
    <w:rsid w:val="009D1C32"/>
    <w:rsid w:val="009D2C17"/>
    <w:rsid w:val="009D701E"/>
    <w:rsid w:val="009D7611"/>
    <w:rsid w:val="009E0B61"/>
    <w:rsid w:val="009E3950"/>
    <w:rsid w:val="009E53DE"/>
    <w:rsid w:val="009E5564"/>
    <w:rsid w:val="009E6723"/>
    <w:rsid w:val="009E730E"/>
    <w:rsid w:val="009E7742"/>
    <w:rsid w:val="009F1577"/>
    <w:rsid w:val="009F1A8A"/>
    <w:rsid w:val="009F223F"/>
    <w:rsid w:val="009F265B"/>
    <w:rsid w:val="009F5158"/>
    <w:rsid w:val="00A0092A"/>
    <w:rsid w:val="00A011F7"/>
    <w:rsid w:val="00A0332A"/>
    <w:rsid w:val="00A04E5F"/>
    <w:rsid w:val="00A11212"/>
    <w:rsid w:val="00A1151B"/>
    <w:rsid w:val="00A11E44"/>
    <w:rsid w:val="00A15562"/>
    <w:rsid w:val="00A20646"/>
    <w:rsid w:val="00A2190C"/>
    <w:rsid w:val="00A2546C"/>
    <w:rsid w:val="00A30100"/>
    <w:rsid w:val="00A31134"/>
    <w:rsid w:val="00A328B3"/>
    <w:rsid w:val="00A33182"/>
    <w:rsid w:val="00A341F1"/>
    <w:rsid w:val="00A34824"/>
    <w:rsid w:val="00A34ED9"/>
    <w:rsid w:val="00A369CF"/>
    <w:rsid w:val="00A41A73"/>
    <w:rsid w:val="00A4670B"/>
    <w:rsid w:val="00A46F73"/>
    <w:rsid w:val="00A472ED"/>
    <w:rsid w:val="00A50FCF"/>
    <w:rsid w:val="00A512D5"/>
    <w:rsid w:val="00A528D1"/>
    <w:rsid w:val="00A54452"/>
    <w:rsid w:val="00A56931"/>
    <w:rsid w:val="00A60FC7"/>
    <w:rsid w:val="00A610CD"/>
    <w:rsid w:val="00A65D06"/>
    <w:rsid w:val="00A674F4"/>
    <w:rsid w:val="00A71259"/>
    <w:rsid w:val="00A72AD0"/>
    <w:rsid w:val="00A72F3B"/>
    <w:rsid w:val="00A74257"/>
    <w:rsid w:val="00A758AA"/>
    <w:rsid w:val="00A769DE"/>
    <w:rsid w:val="00A8248C"/>
    <w:rsid w:val="00A85053"/>
    <w:rsid w:val="00A9077C"/>
    <w:rsid w:val="00A90A48"/>
    <w:rsid w:val="00A9117F"/>
    <w:rsid w:val="00A93EE7"/>
    <w:rsid w:val="00A94644"/>
    <w:rsid w:val="00A955A9"/>
    <w:rsid w:val="00AA09A2"/>
    <w:rsid w:val="00AA10D3"/>
    <w:rsid w:val="00AA4254"/>
    <w:rsid w:val="00AA43DE"/>
    <w:rsid w:val="00AA4767"/>
    <w:rsid w:val="00AA4769"/>
    <w:rsid w:val="00AA4F86"/>
    <w:rsid w:val="00AA5638"/>
    <w:rsid w:val="00AA678C"/>
    <w:rsid w:val="00AA7996"/>
    <w:rsid w:val="00AB08C2"/>
    <w:rsid w:val="00AB214B"/>
    <w:rsid w:val="00AB2236"/>
    <w:rsid w:val="00AB62B1"/>
    <w:rsid w:val="00AB68E0"/>
    <w:rsid w:val="00AB6D37"/>
    <w:rsid w:val="00AC19CB"/>
    <w:rsid w:val="00AC2F38"/>
    <w:rsid w:val="00AC4131"/>
    <w:rsid w:val="00AC5E64"/>
    <w:rsid w:val="00AC604A"/>
    <w:rsid w:val="00AD527D"/>
    <w:rsid w:val="00AD57D9"/>
    <w:rsid w:val="00AE32A9"/>
    <w:rsid w:val="00AE5488"/>
    <w:rsid w:val="00AE5A46"/>
    <w:rsid w:val="00AE63D9"/>
    <w:rsid w:val="00AE68D1"/>
    <w:rsid w:val="00AE6F91"/>
    <w:rsid w:val="00AE73DF"/>
    <w:rsid w:val="00AE7DCF"/>
    <w:rsid w:val="00AF0138"/>
    <w:rsid w:val="00AF3176"/>
    <w:rsid w:val="00AF5571"/>
    <w:rsid w:val="00B013E9"/>
    <w:rsid w:val="00B01A4A"/>
    <w:rsid w:val="00B02C08"/>
    <w:rsid w:val="00B04457"/>
    <w:rsid w:val="00B04818"/>
    <w:rsid w:val="00B04DAC"/>
    <w:rsid w:val="00B0643A"/>
    <w:rsid w:val="00B07341"/>
    <w:rsid w:val="00B07981"/>
    <w:rsid w:val="00B110D2"/>
    <w:rsid w:val="00B11D5E"/>
    <w:rsid w:val="00B1214F"/>
    <w:rsid w:val="00B13353"/>
    <w:rsid w:val="00B13667"/>
    <w:rsid w:val="00B15B87"/>
    <w:rsid w:val="00B25FB4"/>
    <w:rsid w:val="00B2600B"/>
    <w:rsid w:val="00B2793E"/>
    <w:rsid w:val="00B27B65"/>
    <w:rsid w:val="00B303F7"/>
    <w:rsid w:val="00B30539"/>
    <w:rsid w:val="00B314DB"/>
    <w:rsid w:val="00B33BDC"/>
    <w:rsid w:val="00B361F2"/>
    <w:rsid w:val="00B3718B"/>
    <w:rsid w:val="00B3745F"/>
    <w:rsid w:val="00B414D3"/>
    <w:rsid w:val="00B42152"/>
    <w:rsid w:val="00B4297F"/>
    <w:rsid w:val="00B43E96"/>
    <w:rsid w:val="00B443C7"/>
    <w:rsid w:val="00B46084"/>
    <w:rsid w:val="00B4632A"/>
    <w:rsid w:val="00B4793C"/>
    <w:rsid w:val="00B5028C"/>
    <w:rsid w:val="00B529F1"/>
    <w:rsid w:val="00B530F1"/>
    <w:rsid w:val="00B532E7"/>
    <w:rsid w:val="00B542C6"/>
    <w:rsid w:val="00B55ED2"/>
    <w:rsid w:val="00B6534D"/>
    <w:rsid w:val="00B65EB4"/>
    <w:rsid w:val="00B662AC"/>
    <w:rsid w:val="00B66DD0"/>
    <w:rsid w:val="00B7111B"/>
    <w:rsid w:val="00B7186E"/>
    <w:rsid w:val="00B71F04"/>
    <w:rsid w:val="00B73754"/>
    <w:rsid w:val="00B73A73"/>
    <w:rsid w:val="00B742B6"/>
    <w:rsid w:val="00B74E47"/>
    <w:rsid w:val="00B774D8"/>
    <w:rsid w:val="00B84DAA"/>
    <w:rsid w:val="00B84FCE"/>
    <w:rsid w:val="00B8526F"/>
    <w:rsid w:val="00B8680C"/>
    <w:rsid w:val="00B9134D"/>
    <w:rsid w:val="00B93D7F"/>
    <w:rsid w:val="00B9501A"/>
    <w:rsid w:val="00B961CF"/>
    <w:rsid w:val="00BA1187"/>
    <w:rsid w:val="00BA276C"/>
    <w:rsid w:val="00BA456A"/>
    <w:rsid w:val="00BA570B"/>
    <w:rsid w:val="00BA721B"/>
    <w:rsid w:val="00BB019D"/>
    <w:rsid w:val="00BB01DC"/>
    <w:rsid w:val="00BB306F"/>
    <w:rsid w:val="00BB3C87"/>
    <w:rsid w:val="00BB4EDC"/>
    <w:rsid w:val="00BB6523"/>
    <w:rsid w:val="00BC1458"/>
    <w:rsid w:val="00BC1566"/>
    <w:rsid w:val="00BC4E42"/>
    <w:rsid w:val="00BD01F0"/>
    <w:rsid w:val="00BD0FF5"/>
    <w:rsid w:val="00BD34E9"/>
    <w:rsid w:val="00BD4B89"/>
    <w:rsid w:val="00BD5922"/>
    <w:rsid w:val="00BD6A69"/>
    <w:rsid w:val="00BE1CD1"/>
    <w:rsid w:val="00BE2414"/>
    <w:rsid w:val="00BE29B8"/>
    <w:rsid w:val="00BE3CD0"/>
    <w:rsid w:val="00BE5E6F"/>
    <w:rsid w:val="00BE7861"/>
    <w:rsid w:val="00BF02CB"/>
    <w:rsid w:val="00BF0BA6"/>
    <w:rsid w:val="00BF47EB"/>
    <w:rsid w:val="00BF6FD8"/>
    <w:rsid w:val="00C012D0"/>
    <w:rsid w:val="00C03680"/>
    <w:rsid w:val="00C054DF"/>
    <w:rsid w:val="00C056CD"/>
    <w:rsid w:val="00C05B7F"/>
    <w:rsid w:val="00C06DDD"/>
    <w:rsid w:val="00C06E9D"/>
    <w:rsid w:val="00C07135"/>
    <w:rsid w:val="00C10C16"/>
    <w:rsid w:val="00C11E3E"/>
    <w:rsid w:val="00C128BE"/>
    <w:rsid w:val="00C1320A"/>
    <w:rsid w:val="00C14D29"/>
    <w:rsid w:val="00C15E10"/>
    <w:rsid w:val="00C21762"/>
    <w:rsid w:val="00C21FEF"/>
    <w:rsid w:val="00C23BA4"/>
    <w:rsid w:val="00C24543"/>
    <w:rsid w:val="00C256A2"/>
    <w:rsid w:val="00C25ADB"/>
    <w:rsid w:val="00C2767A"/>
    <w:rsid w:val="00C30B18"/>
    <w:rsid w:val="00C31C1A"/>
    <w:rsid w:val="00C33714"/>
    <w:rsid w:val="00C353EB"/>
    <w:rsid w:val="00C37DE2"/>
    <w:rsid w:val="00C41D8A"/>
    <w:rsid w:val="00C42232"/>
    <w:rsid w:val="00C4275E"/>
    <w:rsid w:val="00C46501"/>
    <w:rsid w:val="00C466BD"/>
    <w:rsid w:val="00C47401"/>
    <w:rsid w:val="00C477EC"/>
    <w:rsid w:val="00C51515"/>
    <w:rsid w:val="00C5660B"/>
    <w:rsid w:val="00C56BA3"/>
    <w:rsid w:val="00C60769"/>
    <w:rsid w:val="00C6183C"/>
    <w:rsid w:val="00C642D2"/>
    <w:rsid w:val="00C660E9"/>
    <w:rsid w:val="00C6685B"/>
    <w:rsid w:val="00C66B72"/>
    <w:rsid w:val="00C71BEE"/>
    <w:rsid w:val="00C72196"/>
    <w:rsid w:val="00C7310B"/>
    <w:rsid w:val="00C732FC"/>
    <w:rsid w:val="00C74157"/>
    <w:rsid w:val="00C75645"/>
    <w:rsid w:val="00C76FA2"/>
    <w:rsid w:val="00C847E9"/>
    <w:rsid w:val="00C851C4"/>
    <w:rsid w:val="00C85A0A"/>
    <w:rsid w:val="00C87AC4"/>
    <w:rsid w:val="00C87BED"/>
    <w:rsid w:val="00C90453"/>
    <w:rsid w:val="00C922AE"/>
    <w:rsid w:val="00C9567A"/>
    <w:rsid w:val="00CA5EDC"/>
    <w:rsid w:val="00CA7141"/>
    <w:rsid w:val="00CA757F"/>
    <w:rsid w:val="00CB212D"/>
    <w:rsid w:val="00CB22D9"/>
    <w:rsid w:val="00CB2310"/>
    <w:rsid w:val="00CB2660"/>
    <w:rsid w:val="00CB307F"/>
    <w:rsid w:val="00CB6609"/>
    <w:rsid w:val="00CB7A35"/>
    <w:rsid w:val="00CB7AEB"/>
    <w:rsid w:val="00CB7E3D"/>
    <w:rsid w:val="00CC5B6F"/>
    <w:rsid w:val="00CC5E90"/>
    <w:rsid w:val="00CC692B"/>
    <w:rsid w:val="00CC743E"/>
    <w:rsid w:val="00CC75E3"/>
    <w:rsid w:val="00CD046C"/>
    <w:rsid w:val="00CD2F33"/>
    <w:rsid w:val="00CD3531"/>
    <w:rsid w:val="00CD4147"/>
    <w:rsid w:val="00CD4CEB"/>
    <w:rsid w:val="00CD6B06"/>
    <w:rsid w:val="00CE076C"/>
    <w:rsid w:val="00CE08CB"/>
    <w:rsid w:val="00CE5199"/>
    <w:rsid w:val="00CE66D5"/>
    <w:rsid w:val="00CE7F73"/>
    <w:rsid w:val="00CF2564"/>
    <w:rsid w:val="00CF288C"/>
    <w:rsid w:val="00CF637A"/>
    <w:rsid w:val="00CF652C"/>
    <w:rsid w:val="00D04334"/>
    <w:rsid w:val="00D0437A"/>
    <w:rsid w:val="00D04DCC"/>
    <w:rsid w:val="00D059DE"/>
    <w:rsid w:val="00D05ABD"/>
    <w:rsid w:val="00D067A0"/>
    <w:rsid w:val="00D11074"/>
    <w:rsid w:val="00D1193C"/>
    <w:rsid w:val="00D12BAD"/>
    <w:rsid w:val="00D12C1F"/>
    <w:rsid w:val="00D13FCE"/>
    <w:rsid w:val="00D179F3"/>
    <w:rsid w:val="00D17EA2"/>
    <w:rsid w:val="00D213B5"/>
    <w:rsid w:val="00D2414C"/>
    <w:rsid w:val="00D25290"/>
    <w:rsid w:val="00D306D1"/>
    <w:rsid w:val="00D30800"/>
    <w:rsid w:val="00D34477"/>
    <w:rsid w:val="00D346E0"/>
    <w:rsid w:val="00D34786"/>
    <w:rsid w:val="00D3509C"/>
    <w:rsid w:val="00D37BFC"/>
    <w:rsid w:val="00D41FCB"/>
    <w:rsid w:val="00D4366E"/>
    <w:rsid w:val="00D442AA"/>
    <w:rsid w:val="00D47A8E"/>
    <w:rsid w:val="00D47F3A"/>
    <w:rsid w:val="00D52D14"/>
    <w:rsid w:val="00D570B9"/>
    <w:rsid w:val="00D608B3"/>
    <w:rsid w:val="00D621DC"/>
    <w:rsid w:val="00D70A4C"/>
    <w:rsid w:val="00D71063"/>
    <w:rsid w:val="00D7117E"/>
    <w:rsid w:val="00D712D3"/>
    <w:rsid w:val="00D71422"/>
    <w:rsid w:val="00D719BA"/>
    <w:rsid w:val="00D71CF6"/>
    <w:rsid w:val="00D72100"/>
    <w:rsid w:val="00D72DC6"/>
    <w:rsid w:val="00D73CE6"/>
    <w:rsid w:val="00D74650"/>
    <w:rsid w:val="00D7558D"/>
    <w:rsid w:val="00D763F3"/>
    <w:rsid w:val="00D76E0A"/>
    <w:rsid w:val="00D77782"/>
    <w:rsid w:val="00D801E0"/>
    <w:rsid w:val="00D80DE9"/>
    <w:rsid w:val="00D81D92"/>
    <w:rsid w:val="00D85B7C"/>
    <w:rsid w:val="00D876F9"/>
    <w:rsid w:val="00D95A2D"/>
    <w:rsid w:val="00D9743A"/>
    <w:rsid w:val="00DA1036"/>
    <w:rsid w:val="00DA1CC2"/>
    <w:rsid w:val="00DA5360"/>
    <w:rsid w:val="00DA7B5F"/>
    <w:rsid w:val="00DB1FAE"/>
    <w:rsid w:val="00DB3C52"/>
    <w:rsid w:val="00DB5261"/>
    <w:rsid w:val="00DC006E"/>
    <w:rsid w:val="00DC11E7"/>
    <w:rsid w:val="00DC24E3"/>
    <w:rsid w:val="00DC3047"/>
    <w:rsid w:val="00DC520C"/>
    <w:rsid w:val="00DC7023"/>
    <w:rsid w:val="00DC7142"/>
    <w:rsid w:val="00DC769A"/>
    <w:rsid w:val="00DD2046"/>
    <w:rsid w:val="00DD3D86"/>
    <w:rsid w:val="00DD4AD2"/>
    <w:rsid w:val="00DD7C7D"/>
    <w:rsid w:val="00DE0345"/>
    <w:rsid w:val="00DE18AA"/>
    <w:rsid w:val="00DE2862"/>
    <w:rsid w:val="00DE2B2F"/>
    <w:rsid w:val="00DE65C2"/>
    <w:rsid w:val="00DF1EC4"/>
    <w:rsid w:val="00DF221F"/>
    <w:rsid w:val="00DF2BBE"/>
    <w:rsid w:val="00DF725A"/>
    <w:rsid w:val="00E02224"/>
    <w:rsid w:val="00E0340B"/>
    <w:rsid w:val="00E043E2"/>
    <w:rsid w:val="00E04A90"/>
    <w:rsid w:val="00E0551F"/>
    <w:rsid w:val="00E11650"/>
    <w:rsid w:val="00E11C2E"/>
    <w:rsid w:val="00E122AF"/>
    <w:rsid w:val="00E1500C"/>
    <w:rsid w:val="00E1574D"/>
    <w:rsid w:val="00E16043"/>
    <w:rsid w:val="00E219C7"/>
    <w:rsid w:val="00E22609"/>
    <w:rsid w:val="00E248AB"/>
    <w:rsid w:val="00E24C5A"/>
    <w:rsid w:val="00E26277"/>
    <w:rsid w:val="00E2633B"/>
    <w:rsid w:val="00E269F1"/>
    <w:rsid w:val="00E33B8B"/>
    <w:rsid w:val="00E37759"/>
    <w:rsid w:val="00E4118C"/>
    <w:rsid w:val="00E4200E"/>
    <w:rsid w:val="00E43157"/>
    <w:rsid w:val="00E461CE"/>
    <w:rsid w:val="00E473D7"/>
    <w:rsid w:val="00E53400"/>
    <w:rsid w:val="00E53FB0"/>
    <w:rsid w:val="00E54EEF"/>
    <w:rsid w:val="00E55E92"/>
    <w:rsid w:val="00E566BE"/>
    <w:rsid w:val="00E573E4"/>
    <w:rsid w:val="00E64C3D"/>
    <w:rsid w:val="00E66DCD"/>
    <w:rsid w:val="00E720CA"/>
    <w:rsid w:val="00E768F6"/>
    <w:rsid w:val="00E76E06"/>
    <w:rsid w:val="00E800BD"/>
    <w:rsid w:val="00E812D0"/>
    <w:rsid w:val="00E81728"/>
    <w:rsid w:val="00E81E3B"/>
    <w:rsid w:val="00E83697"/>
    <w:rsid w:val="00E83EEA"/>
    <w:rsid w:val="00E84EB5"/>
    <w:rsid w:val="00E85662"/>
    <w:rsid w:val="00E8789F"/>
    <w:rsid w:val="00E92D57"/>
    <w:rsid w:val="00E93292"/>
    <w:rsid w:val="00E96261"/>
    <w:rsid w:val="00E97B71"/>
    <w:rsid w:val="00EA1847"/>
    <w:rsid w:val="00EA250A"/>
    <w:rsid w:val="00EA3C33"/>
    <w:rsid w:val="00EA3D34"/>
    <w:rsid w:val="00EA5A0A"/>
    <w:rsid w:val="00EB1B06"/>
    <w:rsid w:val="00EB1DBE"/>
    <w:rsid w:val="00EB454D"/>
    <w:rsid w:val="00EB4EC7"/>
    <w:rsid w:val="00EB7D79"/>
    <w:rsid w:val="00EB7E86"/>
    <w:rsid w:val="00EC20E5"/>
    <w:rsid w:val="00EC671C"/>
    <w:rsid w:val="00ED549D"/>
    <w:rsid w:val="00ED5E10"/>
    <w:rsid w:val="00ED76BE"/>
    <w:rsid w:val="00EE00E9"/>
    <w:rsid w:val="00EE16E6"/>
    <w:rsid w:val="00EE1A19"/>
    <w:rsid w:val="00EE3C26"/>
    <w:rsid w:val="00EE527A"/>
    <w:rsid w:val="00EE6030"/>
    <w:rsid w:val="00EF0A32"/>
    <w:rsid w:val="00EF1AAA"/>
    <w:rsid w:val="00EF1BBD"/>
    <w:rsid w:val="00EF5DAD"/>
    <w:rsid w:val="00EF619B"/>
    <w:rsid w:val="00EF7E48"/>
    <w:rsid w:val="00F00B55"/>
    <w:rsid w:val="00F01BCD"/>
    <w:rsid w:val="00F02AD1"/>
    <w:rsid w:val="00F04FA0"/>
    <w:rsid w:val="00F05541"/>
    <w:rsid w:val="00F1223E"/>
    <w:rsid w:val="00F12A17"/>
    <w:rsid w:val="00F13AD0"/>
    <w:rsid w:val="00F15B64"/>
    <w:rsid w:val="00F240F7"/>
    <w:rsid w:val="00F250B6"/>
    <w:rsid w:val="00F2510F"/>
    <w:rsid w:val="00F253CC"/>
    <w:rsid w:val="00F27ED9"/>
    <w:rsid w:val="00F30A9D"/>
    <w:rsid w:val="00F310CE"/>
    <w:rsid w:val="00F33C62"/>
    <w:rsid w:val="00F35D13"/>
    <w:rsid w:val="00F36058"/>
    <w:rsid w:val="00F37106"/>
    <w:rsid w:val="00F41123"/>
    <w:rsid w:val="00F412B1"/>
    <w:rsid w:val="00F435AC"/>
    <w:rsid w:val="00F44773"/>
    <w:rsid w:val="00F44E25"/>
    <w:rsid w:val="00F454EE"/>
    <w:rsid w:val="00F45C3E"/>
    <w:rsid w:val="00F519CF"/>
    <w:rsid w:val="00F51D72"/>
    <w:rsid w:val="00F528C1"/>
    <w:rsid w:val="00F56BA5"/>
    <w:rsid w:val="00F56ECB"/>
    <w:rsid w:val="00F572F6"/>
    <w:rsid w:val="00F60E22"/>
    <w:rsid w:val="00F65B47"/>
    <w:rsid w:val="00F677EC"/>
    <w:rsid w:val="00F722CD"/>
    <w:rsid w:val="00F7295D"/>
    <w:rsid w:val="00F72BBD"/>
    <w:rsid w:val="00F7324E"/>
    <w:rsid w:val="00F76F7C"/>
    <w:rsid w:val="00F80297"/>
    <w:rsid w:val="00F81395"/>
    <w:rsid w:val="00F813CB"/>
    <w:rsid w:val="00F81BB8"/>
    <w:rsid w:val="00F81F20"/>
    <w:rsid w:val="00F847FE"/>
    <w:rsid w:val="00F90100"/>
    <w:rsid w:val="00F90C64"/>
    <w:rsid w:val="00F911DB"/>
    <w:rsid w:val="00F917D1"/>
    <w:rsid w:val="00F9381B"/>
    <w:rsid w:val="00F94E18"/>
    <w:rsid w:val="00F9653B"/>
    <w:rsid w:val="00F967B0"/>
    <w:rsid w:val="00FA3AEF"/>
    <w:rsid w:val="00FA7252"/>
    <w:rsid w:val="00FB1A00"/>
    <w:rsid w:val="00FB3EC4"/>
    <w:rsid w:val="00FB62CF"/>
    <w:rsid w:val="00FB7CC1"/>
    <w:rsid w:val="00FC57E7"/>
    <w:rsid w:val="00FC5BCB"/>
    <w:rsid w:val="00FC6125"/>
    <w:rsid w:val="00FC641E"/>
    <w:rsid w:val="00FC6CDC"/>
    <w:rsid w:val="00FD148D"/>
    <w:rsid w:val="00FD14AE"/>
    <w:rsid w:val="00FD3C3B"/>
    <w:rsid w:val="00FD481F"/>
    <w:rsid w:val="00FD5AD9"/>
    <w:rsid w:val="00FE07DD"/>
    <w:rsid w:val="00FE6B45"/>
    <w:rsid w:val="00FF1EE4"/>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unhideWhenUsed/>
    <w:rsid w:val="00DA5360"/>
    <w:rPr>
      <w:sz w:val="20"/>
      <w:szCs w:val="20"/>
    </w:rPr>
  </w:style>
  <w:style w:type="character" w:customStyle="1" w:styleId="CommentTextChar">
    <w:name w:val="Comment Text Char"/>
    <w:basedOn w:val="DefaultParagraphFont"/>
    <w:link w:val="CommentText"/>
    <w:uiPriority w:val="99"/>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customStyle="1" w:styleId="s36">
    <w:name w:val="s36"/>
    <w:basedOn w:val="DefaultParagraphFont"/>
    <w:rsid w:val="007F1907"/>
  </w:style>
  <w:style w:type="character" w:customStyle="1" w:styleId="apple-converted-space">
    <w:name w:val="apple-converted-space"/>
    <w:basedOn w:val="DefaultParagraphFont"/>
    <w:rsid w:val="007F1907"/>
  </w:style>
  <w:style w:type="character" w:customStyle="1" w:styleId="s37">
    <w:name w:val="s37"/>
    <w:basedOn w:val="DefaultParagraphFont"/>
    <w:rsid w:val="007F19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9117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character" w:customStyle="1" w:styleId="normaltextrun">
    <w:name w:val="normaltextrun"/>
    <w:basedOn w:val="DefaultParagraphFont"/>
    <w:rsid w:val="00C6685B"/>
  </w:style>
  <w:style w:type="character" w:customStyle="1" w:styleId="superscript">
    <w:name w:val="superscript"/>
    <w:basedOn w:val="DefaultParagraphFont"/>
    <w:rsid w:val="00C6685B"/>
  </w:style>
  <w:style w:type="character" w:customStyle="1" w:styleId="eop">
    <w:name w:val="eop"/>
    <w:basedOn w:val="DefaultParagraphFont"/>
    <w:rsid w:val="00C6685B"/>
  </w:style>
  <w:style w:type="paragraph" w:customStyle="1" w:styleId="paragraph">
    <w:name w:val="paragraph"/>
    <w:basedOn w:val="Normal"/>
    <w:rsid w:val="00186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072">
      <w:bodyDiv w:val="1"/>
      <w:marLeft w:val="0"/>
      <w:marRight w:val="0"/>
      <w:marTop w:val="0"/>
      <w:marBottom w:val="0"/>
      <w:divBdr>
        <w:top w:val="none" w:sz="0" w:space="0" w:color="auto"/>
        <w:left w:val="none" w:sz="0" w:space="0" w:color="auto"/>
        <w:bottom w:val="none" w:sz="0" w:space="0" w:color="auto"/>
        <w:right w:val="none" w:sz="0" w:space="0" w:color="auto"/>
      </w:divBdr>
      <w:divsChild>
        <w:div w:id="1157890155">
          <w:marLeft w:val="0"/>
          <w:marRight w:val="0"/>
          <w:marTop w:val="0"/>
          <w:marBottom w:val="0"/>
          <w:divBdr>
            <w:top w:val="none" w:sz="0" w:space="0" w:color="auto"/>
            <w:left w:val="none" w:sz="0" w:space="0" w:color="auto"/>
            <w:bottom w:val="none" w:sz="0" w:space="0" w:color="auto"/>
            <w:right w:val="none" w:sz="0" w:space="0" w:color="auto"/>
          </w:divBdr>
          <w:divsChild>
            <w:div w:id="139538100">
              <w:marLeft w:val="0"/>
              <w:marRight w:val="0"/>
              <w:marTop w:val="0"/>
              <w:marBottom w:val="0"/>
              <w:divBdr>
                <w:top w:val="none" w:sz="0" w:space="0" w:color="auto"/>
                <w:left w:val="none" w:sz="0" w:space="0" w:color="auto"/>
                <w:bottom w:val="none" w:sz="0" w:space="0" w:color="auto"/>
                <w:right w:val="none" w:sz="0" w:space="0" w:color="auto"/>
              </w:divBdr>
              <w:divsChild>
                <w:div w:id="2078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41613910">
      <w:bodyDiv w:val="1"/>
      <w:marLeft w:val="0"/>
      <w:marRight w:val="0"/>
      <w:marTop w:val="0"/>
      <w:marBottom w:val="0"/>
      <w:divBdr>
        <w:top w:val="none" w:sz="0" w:space="0" w:color="auto"/>
        <w:left w:val="none" w:sz="0" w:space="0" w:color="auto"/>
        <w:bottom w:val="none" w:sz="0" w:space="0" w:color="auto"/>
        <w:right w:val="none" w:sz="0" w:space="0" w:color="auto"/>
      </w:divBdr>
      <w:divsChild>
        <w:div w:id="1388341269">
          <w:marLeft w:val="0"/>
          <w:marRight w:val="0"/>
          <w:marTop w:val="0"/>
          <w:marBottom w:val="0"/>
          <w:divBdr>
            <w:top w:val="none" w:sz="0" w:space="0" w:color="auto"/>
            <w:left w:val="none" w:sz="0" w:space="0" w:color="auto"/>
            <w:bottom w:val="none" w:sz="0" w:space="0" w:color="auto"/>
            <w:right w:val="none" w:sz="0" w:space="0" w:color="auto"/>
          </w:divBdr>
          <w:divsChild>
            <w:div w:id="1028796545">
              <w:marLeft w:val="0"/>
              <w:marRight w:val="0"/>
              <w:marTop w:val="0"/>
              <w:marBottom w:val="0"/>
              <w:divBdr>
                <w:top w:val="none" w:sz="0" w:space="0" w:color="auto"/>
                <w:left w:val="none" w:sz="0" w:space="0" w:color="auto"/>
                <w:bottom w:val="none" w:sz="0" w:space="0" w:color="auto"/>
                <w:right w:val="none" w:sz="0" w:space="0" w:color="auto"/>
              </w:divBdr>
              <w:divsChild>
                <w:div w:id="1012610223">
                  <w:marLeft w:val="0"/>
                  <w:marRight w:val="0"/>
                  <w:marTop w:val="0"/>
                  <w:marBottom w:val="0"/>
                  <w:divBdr>
                    <w:top w:val="none" w:sz="0" w:space="0" w:color="auto"/>
                    <w:left w:val="none" w:sz="0" w:space="0" w:color="auto"/>
                    <w:bottom w:val="none" w:sz="0" w:space="0" w:color="auto"/>
                    <w:right w:val="none" w:sz="0" w:space="0" w:color="auto"/>
                  </w:divBdr>
                  <w:divsChild>
                    <w:div w:id="1768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7500">
      <w:bodyDiv w:val="1"/>
      <w:marLeft w:val="0"/>
      <w:marRight w:val="0"/>
      <w:marTop w:val="0"/>
      <w:marBottom w:val="0"/>
      <w:divBdr>
        <w:top w:val="none" w:sz="0" w:space="0" w:color="auto"/>
        <w:left w:val="none" w:sz="0" w:space="0" w:color="auto"/>
        <w:bottom w:val="none" w:sz="0" w:space="0" w:color="auto"/>
        <w:right w:val="none" w:sz="0" w:space="0" w:color="auto"/>
      </w:divBdr>
      <w:divsChild>
        <w:div w:id="2055811787">
          <w:marLeft w:val="0"/>
          <w:marRight w:val="0"/>
          <w:marTop w:val="0"/>
          <w:marBottom w:val="0"/>
          <w:divBdr>
            <w:top w:val="none" w:sz="0" w:space="0" w:color="auto"/>
            <w:left w:val="none" w:sz="0" w:space="0" w:color="auto"/>
            <w:bottom w:val="none" w:sz="0" w:space="0" w:color="auto"/>
            <w:right w:val="none" w:sz="0" w:space="0" w:color="auto"/>
          </w:divBdr>
          <w:divsChild>
            <w:div w:id="2076004487">
              <w:marLeft w:val="0"/>
              <w:marRight w:val="0"/>
              <w:marTop w:val="0"/>
              <w:marBottom w:val="0"/>
              <w:divBdr>
                <w:top w:val="none" w:sz="0" w:space="0" w:color="auto"/>
                <w:left w:val="none" w:sz="0" w:space="0" w:color="auto"/>
                <w:bottom w:val="none" w:sz="0" w:space="0" w:color="auto"/>
                <w:right w:val="none" w:sz="0" w:space="0" w:color="auto"/>
              </w:divBdr>
              <w:divsChild>
                <w:div w:id="661852671">
                  <w:marLeft w:val="0"/>
                  <w:marRight w:val="0"/>
                  <w:marTop w:val="0"/>
                  <w:marBottom w:val="0"/>
                  <w:divBdr>
                    <w:top w:val="none" w:sz="0" w:space="0" w:color="auto"/>
                    <w:left w:val="none" w:sz="0" w:space="0" w:color="auto"/>
                    <w:bottom w:val="none" w:sz="0" w:space="0" w:color="auto"/>
                    <w:right w:val="none" w:sz="0" w:space="0" w:color="auto"/>
                  </w:divBdr>
                  <w:divsChild>
                    <w:div w:id="4944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30119">
      <w:bodyDiv w:val="1"/>
      <w:marLeft w:val="0"/>
      <w:marRight w:val="0"/>
      <w:marTop w:val="0"/>
      <w:marBottom w:val="0"/>
      <w:divBdr>
        <w:top w:val="none" w:sz="0" w:space="0" w:color="auto"/>
        <w:left w:val="none" w:sz="0" w:space="0" w:color="auto"/>
        <w:bottom w:val="none" w:sz="0" w:space="0" w:color="auto"/>
        <w:right w:val="none" w:sz="0" w:space="0" w:color="auto"/>
      </w:divBdr>
      <w:divsChild>
        <w:div w:id="607741517">
          <w:marLeft w:val="0"/>
          <w:marRight w:val="0"/>
          <w:marTop w:val="0"/>
          <w:marBottom w:val="0"/>
          <w:divBdr>
            <w:top w:val="none" w:sz="0" w:space="0" w:color="auto"/>
            <w:left w:val="none" w:sz="0" w:space="0" w:color="auto"/>
            <w:bottom w:val="none" w:sz="0" w:space="0" w:color="auto"/>
            <w:right w:val="none" w:sz="0" w:space="0" w:color="auto"/>
          </w:divBdr>
          <w:divsChild>
            <w:div w:id="1907062890">
              <w:marLeft w:val="0"/>
              <w:marRight w:val="0"/>
              <w:marTop w:val="0"/>
              <w:marBottom w:val="0"/>
              <w:divBdr>
                <w:top w:val="none" w:sz="0" w:space="0" w:color="auto"/>
                <w:left w:val="none" w:sz="0" w:space="0" w:color="auto"/>
                <w:bottom w:val="none" w:sz="0" w:space="0" w:color="auto"/>
                <w:right w:val="none" w:sz="0" w:space="0" w:color="auto"/>
              </w:divBdr>
              <w:divsChild>
                <w:div w:id="751195318">
                  <w:marLeft w:val="0"/>
                  <w:marRight w:val="0"/>
                  <w:marTop w:val="0"/>
                  <w:marBottom w:val="0"/>
                  <w:divBdr>
                    <w:top w:val="none" w:sz="0" w:space="0" w:color="auto"/>
                    <w:left w:val="none" w:sz="0" w:space="0" w:color="auto"/>
                    <w:bottom w:val="none" w:sz="0" w:space="0" w:color="auto"/>
                    <w:right w:val="none" w:sz="0" w:space="0" w:color="auto"/>
                  </w:divBdr>
                  <w:divsChild>
                    <w:div w:id="598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8115">
      <w:bodyDiv w:val="1"/>
      <w:marLeft w:val="0"/>
      <w:marRight w:val="0"/>
      <w:marTop w:val="0"/>
      <w:marBottom w:val="0"/>
      <w:divBdr>
        <w:top w:val="none" w:sz="0" w:space="0" w:color="auto"/>
        <w:left w:val="none" w:sz="0" w:space="0" w:color="auto"/>
        <w:bottom w:val="none" w:sz="0" w:space="0" w:color="auto"/>
        <w:right w:val="none" w:sz="0" w:space="0" w:color="auto"/>
      </w:divBdr>
      <w:divsChild>
        <w:div w:id="1204292824">
          <w:marLeft w:val="0"/>
          <w:marRight w:val="0"/>
          <w:marTop w:val="0"/>
          <w:marBottom w:val="0"/>
          <w:divBdr>
            <w:top w:val="none" w:sz="0" w:space="0" w:color="auto"/>
            <w:left w:val="none" w:sz="0" w:space="0" w:color="auto"/>
            <w:bottom w:val="none" w:sz="0" w:space="0" w:color="auto"/>
            <w:right w:val="none" w:sz="0" w:space="0" w:color="auto"/>
          </w:divBdr>
          <w:divsChild>
            <w:div w:id="2121339580">
              <w:marLeft w:val="0"/>
              <w:marRight w:val="0"/>
              <w:marTop w:val="0"/>
              <w:marBottom w:val="0"/>
              <w:divBdr>
                <w:top w:val="none" w:sz="0" w:space="0" w:color="auto"/>
                <w:left w:val="none" w:sz="0" w:space="0" w:color="auto"/>
                <w:bottom w:val="none" w:sz="0" w:space="0" w:color="auto"/>
                <w:right w:val="none" w:sz="0" w:space="0" w:color="auto"/>
              </w:divBdr>
              <w:divsChild>
                <w:div w:id="81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48431335">
      <w:bodyDiv w:val="1"/>
      <w:marLeft w:val="0"/>
      <w:marRight w:val="0"/>
      <w:marTop w:val="0"/>
      <w:marBottom w:val="0"/>
      <w:divBdr>
        <w:top w:val="none" w:sz="0" w:space="0" w:color="auto"/>
        <w:left w:val="none" w:sz="0" w:space="0" w:color="auto"/>
        <w:bottom w:val="none" w:sz="0" w:space="0" w:color="auto"/>
        <w:right w:val="none" w:sz="0" w:space="0" w:color="auto"/>
      </w:divBdr>
      <w:divsChild>
        <w:div w:id="836384041">
          <w:marLeft w:val="105"/>
          <w:marRight w:val="0"/>
          <w:marTop w:val="180"/>
          <w:marBottom w:val="180"/>
          <w:divBdr>
            <w:top w:val="none" w:sz="0" w:space="0" w:color="auto"/>
            <w:left w:val="none" w:sz="0" w:space="0" w:color="auto"/>
            <w:bottom w:val="none" w:sz="0" w:space="0" w:color="auto"/>
            <w:right w:val="none" w:sz="0" w:space="0" w:color="auto"/>
          </w:divBdr>
        </w:div>
        <w:div w:id="1980451497">
          <w:marLeft w:val="105"/>
          <w:marRight w:val="0"/>
          <w:marTop w:val="180"/>
          <w:marBottom w:val="180"/>
          <w:divBdr>
            <w:top w:val="none" w:sz="0" w:space="0" w:color="auto"/>
            <w:left w:val="none" w:sz="0" w:space="0" w:color="auto"/>
            <w:bottom w:val="none" w:sz="0" w:space="0" w:color="auto"/>
            <w:right w:val="none" w:sz="0" w:space="0" w:color="auto"/>
          </w:divBdr>
        </w:div>
      </w:divsChild>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110539053">
      <w:bodyDiv w:val="1"/>
      <w:marLeft w:val="0"/>
      <w:marRight w:val="0"/>
      <w:marTop w:val="0"/>
      <w:marBottom w:val="0"/>
      <w:divBdr>
        <w:top w:val="none" w:sz="0" w:space="0" w:color="auto"/>
        <w:left w:val="none" w:sz="0" w:space="0" w:color="auto"/>
        <w:bottom w:val="none" w:sz="0" w:space="0" w:color="auto"/>
        <w:right w:val="none" w:sz="0" w:space="0" w:color="auto"/>
      </w:divBdr>
      <w:divsChild>
        <w:div w:id="2147163912">
          <w:marLeft w:val="0"/>
          <w:marRight w:val="0"/>
          <w:marTop w:val="0"/>
          <w:marBottom w:val="0"/>
          <w:divBdr>
            <w:top w:val="none" w:sz="0" w:space="0" w:color="auto"/>
            <w:left w:val="none" w:sz="0" w:space="0" w:color="auto"/>
            <w:bottom w:val="none" w:sz="0" w:space="0" w:color="auto"/>
            <w:right w:val="none" w:sz="0" w:space="0" w:color="auto"/>
          </w:divBdr>
          <w:divsChild>
            <w:div w:id="1831822313">
              <w:marLeft w:val="0"/>
              <w:marRight w:val="0"/>
              <w:marTop w:val="0"/>
              <w:marBottom w:val="0"/>
              <w:divBdr>
                <w:top w:val="none" w:sz="0" w:space="0" w:color="auto"/>
                <w:left w:val="none" w:sz="0" w:space="0" w:color="auto"/>
                <w:bottom w:val="none" w:sz="0" w:space="0" w:color="auto"/>
                <w:right w:val="none" w:sz="0" w:space="0" w:color="auto"/>
              </w:divBdr>
              <w:divsChild>
                <w:div w:id="605772222">
                  <w:marLeft w:val="0"/>
                  <w:marRight w:val="0"/>
                  <w:marTop w:val="0"/>
                  <w:marBottom w:val="0"/>
                  <w:divBdr>
                    <w:top w:val="none" w:sz="0" w:space="0" w:color="auto"/>
                    <w:left w:val="none" w:sz="0" w:space="0" w:color="auto"/>
                    <w:bottom w:val="none" w:sz="0" w:space="0" w:color="auto"/>
                    <w:right w:val="none" w:sz="0" w:space="0" w:color="auto"/>
                  </w:divBdr>
                  <w:divsChild>
                    <w:div w:id="6924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ontierras.gob.g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98F"/>
    <w:rsid w:val="0007176C"/>
    <w:rsid w:val="00102FC1"/>
    <w:rsid w:val="00193049"/>
    <w:rsid w:val="001C105B"/>
    <w:rsid w:val="001F1EF7"/>
    <w:rsid w:val="00200821"/>
    <w:rsid w:val="0025245B"/>
    <w:rsid w:val="00266C75"/>
    <w:rsid w:val="002A3923"/>
    <w:rsid w:val="002E1D73"/>
    <w:rsid w:val="002F63D6"/>
    <w:rsid w:val="00381F99"/>
    <w:rsid w:val="00394049"/>
    <w:rsid w:val="003B0C71"/>
    <w:rsid w:val="00440659"/>
    <w:rsid w:val="00461C78"/>
    <w:rsid w:val="004B124A"/>
    <w:rsid w:val="004B5BBB"/>
    <w:rsid w:val="004D23A8"/>
    <w:rsid w:val="004F2DF8"/>
    <w:rsid w:val="00517E2A"/>
    <w:rsid w:val="005C57CF"/>
    <w:rsid w:val="0063288B"/>
    <w:rsid w:val="00664541"/>
    <w:rsid w:val="006D3128"/>
    <w:rsid w:val="006F24A1"/>
    <w:rsid w:val="00721933"/>
    <w:rsid w:val="00755702"/>
    <w:rsid w:val="00761C02"/>
    <w:rsid w:val="00875B8A"/>
    <w:rsid w:val="008953BC"/>
    <w:rsid w:val="009A261B"/>
    <w:rsid w:val="009A3D90"/>
    <w:rsid w:val="009C3D03"/>
    <w:rsid w:val="00A23134"/>
    <w:rsid w:val="00A464B2"/>
    <w:rsid w:val="00A814C7"/>
    <w:rsid w:val="00AA01CA"/>
    <w:rsid w:val="00AA2E17"/>
    <w:rsid w:val="00AC15A4"/>
    <w:rsid w:val="00AD34C4"/>
    <w:rsid w:val="00B01EDA"/>
    <w:rsid w:val="00B0336C"/>
    <w:rsid w:val="00B61AF4"/>
    <w:rsid w:val="00B877F5"/>
    <w:rsid w:val="00B95975"/>
    <w:rsid w:val="00BD3108"/>
    <w:rsid w:val="00BE551E"/>
    <w:rsid w:val="00BF7790"/>
    <w:rsid w:val="00C40B32"/>
    <w:rsid w:val="00CD30E5"/>
    <w:rsid w:val="00CE20E9"/>
    <w:rsid w:val="00CF0823"/>
    <w:rsid w:val="00D241E9"/>
    <w:rsid w:val="00D7750D"/>
    <w:rsid w:val="00D8352C"/>
    <w:rsid w:val="00DB1537"/>
    <w:rsid w:val="00DF0B2E"/>
    <w:rsid w:val="00E51DA5"/>
    <w:rsid w:val="00E86A65"/>
    <w:rsid w:val="00EC4E34"/>
    <w:rsid w:val="00ED7830"/>
    <w:rsid w:val="00EE722F"/>
    <w:rsid w:val="00F00D2F"/>
    <w:rsid w:val="00F128DF"/>
    <w:rsid w:val="00F25ED0"/>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6428</Words>
  <Characters>36640</Characters>
  <Application>Microsoft Office Word</Application>
  <DocSecurity>0</DocSecurity>
  <Lines>305</Lines>
  <Paragraphs>85</Paragraphs>
  <ScaleCrop>false</ScaleCrop>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2024-01-29T14:23:00Z</dcterms:created>
  <dcterms:modified xsi:type="dcterms:W3CDTF">2024-01-29T14:23:00Z</dcterms:modified>
</cp:coreProperties>
</file>