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451D00" w:rsidRDefault="00D306D1" w:rsidP="00627C9F">
      <w:pPr>
        <w:jc w:val="both"/>
        <w:rPr>
          <w:rFonts w:asciiTheme="majorHAnsi" w:hAnsiTheme="majorHAnsi" w:cs="Univers"/>
          <w:b/>
          <w:bCs/>
          <w:sz w:val="22"/>
          <w:szCs w:val="22"/>
          <w:lang w:val="es-ES"/>
        </w:rPr>
      </w:pPr>
      <w:r w:rsidRPr="00451D00">
        <w:rPr>
          <w:rFonts w:asciiTheme="majorHAnsi" w:hAnsiTheme="majorHAnsi"/>
          <w:noProof/>
          <w:sz w:val="22"/>
          <w:szCs w:val="22"/>
          <w:lang w:val="es-ES"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6C8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51D00">
        <w:rPr>
          <w:rFonts w:asciiTheme="majorHAnsi" w:hAnsiTheme="majorHAnsi"/>
          <w:noProof/>
          <w:sz w:val="22"/>
          <w:szCs w:val="22"/>
          <w:lang w:val="es-ES"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451D00"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51D00"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51D00" w:rsidRDefault="005128E4" w:rsidP="00040C3A">
      <w:pPr>
        <w:tabs>
          <w:tab w:val="center" w:pos="5400"/>
        </w:tabs>
        <w:suppressAutoHyphens/>
        <w:rPr>
          <w:rFonts w:asciiTheme="majorHAnsi" w:hAnsiTheme="majorHAnsi"/>
          <w:sz w:val="22"/>
          <w:szCs w:val="22"/>
          <w:lang w:val="es-ES"/>
        </w:rPr>
      </w:pPr>
    </w:p>
    <w:p w14:paraId="12A36B24" w14:textId="77777777" w:rsidR="005128E4" w:rsidRPr="00451D00" w:rsidRDefault="005128E4" w:rsidP="00040C3A">
      <w:pPr>
        <w:tabs>
          <w:tab w:val="center" w:pos="5400"/>
        </w:tabs>
        <w:suppressAutoHyphens/>
        <w:rPr>
          <w:rFonts w:asciiTheme="majorHAnsi" w:hAnsiTheme="majorHAnsi"/>
          <w:sz w:val="22"/>
          <w:szCs w:val="22"/>
          <w:lang w:val="es-ES"/>
        </w:rPr>
      </w:pPr>
    </w:p>
    <w:p w14:paraId="2252093D" w14:textId="77777777" w:rsidR="005128E4" w:rsidRPr="00451D00" w:rsidRDefault="005128E4" w:rsidP="00040C3A">
      <w:pPr>
        <w:tabs>
          <w:tab w:val="center" w:pos="5400"/>
        </w:tabs>
        <w:suppressAutoHyphens/>
        <w:rPr>
          <w:rFonts w:asciiTheme="majorHAnsi" w:hAnsiTheme="majorHAnsi"/>
          <w:sz w:val="22"/>
          <w:szCs w:val="22"/>
          <w:lang w:val="es-ES"/>
        </w:rPr>
      </w:pPr>
    </w:p>
    <w:p w14:paraId="403935BD" w14:textId="77777777" w:rsidR="00040C3A" w:rsidRPr="00451D00"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51D00"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51D00"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51D00"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51D00"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51D00" w:rsidRDefault="003D3BC2" w:rsidP="00040C3A">
      <w:pPr>
        <w:tabs>
          <w:tab w:val="center" w:pos="5400"/>
        </w:tabs>
        <w:suppressAutoHyphens/>
        <w:jc w:val="center"/>
        <w:rPr>
          <w:rFonts w:asciiTheme="majorHAnsi" w:hAnsiTheme="majorHAnsi"/>
          <w:sz w:val="22"/>
          <w:szCs w:val="22"/>
          <w:lang w:val="es-ES"/>
        </w:rPr>
      </w:pPr>
      <w:r w:rsidRPr="00451D00">
        <w:rPr>
          <w:rFonts w:asciiTheme="majorHAnsi" w:hAnsiTheme="majorHAnsi"/>
          <w:noProof/>
          <w:sz w:val="22"/>
          <w:szCs w:val="22"/>
          <w:lang w:val="es-ES"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6836D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A2328">
                              <w:rPr>
                                <w:rFonts w:asciiTheme="majorHAnsi" w:hAnsiTheme="majorHAnsi" w:cs="Arial"/>
                                <w:b/>
                                <w:bCs/>
                                <w:color w:val="0D0D0D" w:themeColor="text1" w:themeTint="F2"/>
                                <w:sz w:val="36"/>
                                <w:szCs w:val="22"/>
                                <w:lang w:val="es-ES_tradnl"/>
                              </w:rPr>
                              <w:t>283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98B5A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2CFA">
                              <w:rPr>
                                <w:rFonts w:asciiTheme="majorHAnsi" w:hAnsiTheme="majorHAnsi" w:cs="Arial"/>
                                <w:b/>
                                <w:color w:val="0D0D0D" w:themeColor="text1" w:themeTint="F2"/>
                                <w:sz w:val="36"/>
                                <w:szCs w:val="22"/>
                                <w:lang w:val="es-ES_tradnl"/>
                              </w:rPr>
                              <w:t>2186</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31B37A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828494A" w:rsidR="005B52B0" w:rsidRPr="0010736F" w:rsidRDefault="007573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 ACOSTA Y OTROS</w:t>
                            </w:r>
                          </w:p>
                          <w:bookmarkEnd w:id="0"/>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6836D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A2328">
                        <w:rPr>
                          <w:rFonts w:asciiTheme="majorHAnsi" w:hAnsiTheme="majorHAnsi" w:cs="Arial"/>
                          <w:b/>
                          <w:bCs/>
                          <w:color w:val="0D0D0D" w:themeColor="text1" w:themeTint="F2"/>
                          <w:sz w:val="36"/>
                          <w:szCs w:val="22"/>
                          <w:lang w:val="es-ES_tradnl"/>
                        </w:rPr>
                        <w:t>283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698B5A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2CFA">
                        <w:rPr>
                          <w:rFonts w:asciiTheme="majorHAnsi" w:hAnsiTheme="majorHAnsi" w:cs="Arial"/>
                          <w:b/>
                          <w:color w:val="0D0D0D" w:themeColor="text1" w:themeTint="F2"/>
                          <w:sz w:val="36"/>
                          <w:szCs w:val="22"/>
                          <w:lang w:val="es-ES_tradnl"/>
                        </w:rPr>
                        <w:t>2186</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2CFA">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31B37A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828494A" w:rsidR="005B52B0" w:rsidRPr="0010736F" w:rsidRDefault="007573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 ACOSTA Y OTROS</w:t>
                      </w:r>
                    </w:p>
                    <w:bookmarkEnd w:id="1"/>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51D00">
        <w:rPr>
          <w:rFonts w:asciiTheme="majorHAnsi" w:hAnsiTheme="majorHAnsi"/>
          <w:noProof/>
          <w:sz w:val="22"/>
          <w:szCs w:val="22"/>
          <w:lang w:val="es-ES"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1181D2E" w:rsidR="00627C9F" w:rsidRPr="00C97CC7" w:rsidRDefault="00834D49" w:rsidP="007A5817">
                            <w:pPr>
                              <w:spacing w:line="276" w:lineRule="auto"/>
                              <w:jc w:val="right"/>
                              <w:rPr>
                                <w:rFonts w:asciiTheme="minorHAnsi" w:hAnsiTheme="minorHAnsi"/>
                                <w:color w:val="FFFFFF" w:themeColor="background1"/>
                                <w:sz w:val="22"/>
                                <w:lang w:val="es-ES"/>
                              </w:rPr>
                            </w:pPr>
                            <w:r w:rsidRPr="00C97CC7">
                              <w:rPr>
                                <w:rFonts w:asciiTheme="minorHAnsi" w:hAnsiTheme="minorHAnsi"/>
                                <w:color w:val="FFFFFF" w:themeColor="background1"/>
                                <w:sz w:val="22"/>
                                <w:lang w:val="es-ES"/>
                              </w:rPr>
                              <w:t>OEA/Ser.L/V/II</w:t>
                            </w:r>
                          </w:p>
                          <w:p w14:paraId="6A41611B" w14:textId="063AB56A" w:rsidR="00627C9F" w:rsidRPr="00C97CC7" w:rsidRDefault="00627C9F" w:rsidP="007A5817">
                            <w:pPr>
                              <w:spacing w:line="276" w:lineRule="auto"/>
                              <w:jc w:val="right"/>
                              <w:rPr>
                                <w:rFonts w:asciiTheme="minorHAnsi" w:hAnsiTheme="minorHAnsi"/>
                                <w:color w:val="FFFFFF" w:themeColor="background1"/>
                                <w:sz w:val="22"/>
                                <w:lang w:val="es-ES"/>
                              </w:rPr>
                            </w:pPr>
                            <w:r w:rsidRPr="00C97CC7">
                              <w:rPr>
                                <w:rFonts w:asciiTheme="minorHAnsi" w:hAnsiTheme="minorHAnsi"/>
                                <w:color w:val="FFFFFF" w:themeColor="background1"/>
                                <w:sz w:val="22"/>
                                <w:lang w:val="es-ES"/>
                              </w:rPr>
                              <w:t xml:space="preserve">Doc. </w:t>
                            </w:r>
                            <w:r w:rsidR="006D6BFA" w:rsidRPr="00C97CC7">
                              <w:rPr>
                                <w:rFonts w:asciiTheme="minorHAnsi" w:hAnsiTheme="minorHAnsi"/>
                                <w:color w:val="FFFFFF" w:themeColor="background1"/>
                                <w:sz w:val="22"/>
                                <w:lang w:val="es-ES"/>
                              </w:rPr>
                              <w:t>303</w:t>
                            </w:r>
                          </w:p>
                          <w:p w14:paraId="69373ED2" w14:textId="3219C39A" w:rsidR="00627C9F" w:rsidRPr="00C25ADB" w:rsidRDefault="006D6B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1181D2E" w:rsidR="00627C9F" w:rsidRPr="00C97CC7" w:rsidRDefault="00834D49" w:rsidP="007A5817">
                      <w:pPr>
                        <w:spacing w:line="276" w:lineRule="auto"/>
                        <w:jc w:val="right"/>
                        <w:rPr>
                          <w:rFonts w:asciiTheme="minorHAnsi" w:hAnsiTheme="minorHAnsi"/>
                          <w:color w:val="FFFFFF" w:themeColor="background1"/>
                          <w:sz w:val="22"/>
                          <w:lang w:val="es-ES"/>
                        </w:rPr>
                      </w:pPr>
                      <w:r w:rsidRPr="00C97CC7">
                        <w:rPr>
                          <w:rFonts w:asciiTheme="minorHAnsi" w:hAnsiTheme="minorHAnsi"/>
                          <w:color w:val="FFFFFF" w:themeColor="background1"/>
                          <w:sz w:val="22"/>
                          <w:lang w:val="es-ES"/>
                        </w:rPr>
                        <w:t>OEA/Ser.L/V/II</w:t>
                      </w:r>
                    </w:p>
                    <w:p w14:paraId="6A41611B" w14:textId="063AB56A" w:rsidR="00627C9F" w:rsidRPr="00C97CC7" w:rsidRDefault="00627C9F" w:rsidP="007A5817">
                      <w:pPr>
                        <w:spacing w:line="276" w:lineRule="auto"/>
                        <w:jc w:val="right"/>
                        <w:rPr>
                          <w:rFonts w:asciiTheme="minorHAnsi" w:hAnsiTheme="minorHAnsi"/>
                          <w:color w:val="FFFFFF" w:themeColor="background1"/>
                          <w:sz w:val="22"/>
                          <w:lang w:val="es-ES"/>
                        </w:rPr>
                      </w:pPr>
                      <w:r w:rsidRPr="00C97CC7">
                        <w:rPr>
                          <w:rFonts w:asciiTheme="minorHAnsi" w:hAnsiTheme="minorHAnsi"/>
                          <w:color w:val="FFFFFF" w:themeColor="background1"/>
                          <w:sz w:val="22"/>
                          <w:lang w:val="es-ES"/>
                        </w:rPr>
                        <w:t xml:space="preserve">Doc. </w:t>
                      </w:r>
                      <w:r w:rsidR="006D6BFA" w:rsidRPr="00C97CC7">
                        <w:rPr>
                          <w:rFonts w:asciiTheme="minorHAnsi" w:hAnsiTheme="minorHAnsi"/>
                          <w:color w:val="FFFFFF" w:themeColor="background1"/>
                          <w:sz w:val="22"/>
                          <w:lang w:val="es-ES"/>
                        </w:rPr>
                        <w:t>303</w:t>
                      </w:r>
                    </w:p>
                    <w:p w14:paraId="69373ED2" w14:textId="3219C39A" w:rsidR="00627C9F" w:rsidRPr="00C25ADB" w:rsidRDefault="006D6B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51D00"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51D00"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51D00"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51D00"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51D00"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51D00"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51D00" w:rsidRDefault="0090270B" w:rsidP="00040C3A">
      <w:pPr>
        <w:tabs>
          <w:tab w:val="center" w:pos="5400"/>
        </w:tabs>
        <w:suppressAutoHyphens/>
        <w:jc w:val="center"/>
        <w:rPr>
          <w:rFonts w:asciiTheme="majorHAnsi" w:hAnsiTheme="majorHAnsi"/>
          <w:sz w:val="18"/>
          <w:szCs w:val="22"/>
          <w:lang w:val="es-ES"/>
        </w:rPr>
      </w:pPr>
      <w:r w:rsidRPr="00451D00">
        <w:rPr>
          <w:rFonts w:asciiTheme="majorHAnsi" w:hAnsiTheme="majorHAnsi"/>
          <w:noProof/>
          <w:sz w:val="22"/>
          <w:szCs w:val="22"/>
          <w:lang w:val="es-ES" w:eastAsia="es-419"/>
        </w:rPr>
        <mc:AlternateContent>
          <mc:Choice Requires="wps">
            <w:drawing>
              <wp:anchor distT="0" distB="0" distL="114300" distR="114300" simplePos="0" relativeHeight="251670528" behindDoc="0" locked="0" layoutInCell="1" allowOverlap="1" wp14:anchorId="37B0B44F" wp14:editId="12CB57D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4C748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97CC7">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C97CC7">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C97CC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4C748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97CC7">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C97CC7">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C97CC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51D00" w:rsidRDefault="0090270B" w:rsidP="00040C3A">
      <w:pPr>
        <w:tabs>
          <w:tab w:val="center" w:pos="5400"/>
        </w:tabs>
        <w:suppressAutoHyphens/>
        <w:jc w:val="center"/>
        <w:rPr>
          <w:rFonts w:asciiTheme="majorHAnsi" w:hAnsiTheme="majorHAnsi"/>
          <w:sz w:val="18"/>
          <w:szCs w:val="22"/>
          <w:lang w:val="es-ES"/>
        </w:rPr>
      </w:pPr>
      <w:r w:rsidRPr="00451D00">
        <w:rPr>
          <w:rFonts w:asciiTheme="majorHAnsi" w:hAnsiTheme="majorHAnsi"/>
          <w:noProof/>
          <w:sz w:val="18"/>
          <w:szCs w:val="22"/>
          <w:lang w:val="es-ES"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9FFD1" w14:textId="77777777" w:rsidR="008B28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36F1D" w:rsidRPr="00C36F1D">
                              <w:rPr>
                                <w:rFonts w:asciiTheme="majorHAnsi" w:hAnsiTheme="majorHAnsi"/>
                                <w:color w:val="595959" w:themeColor="text1" w:themeTint="A6"/>
                                <w:sz w:val="18"/>
                                <w:szCs w:val="18"/>
                                <w:lang w:val="pt-BR"/>
                              </w:rPr>
                              <w:t>283</w:t>
                            </w:r>
                            <w:r w:rsidR="007B05C4" w:rsidRPr="00C36F1D">
                              <w:rPr>
                                <w:rFonts w:asciiTheme="majorHAnsi" w:hAnsiTheme="majorHAnsi"/>
                                <w:color w:val="595959" w:themeColor="text1" w:themeTint="A6"/>
                                <w:sz w:val="18"/>
                                <w:szCs w:val="18"/>
                                <w:lang w:val="pt-BR"/>
                              </w:rPr>
                              <w:t>/</w:t>
                            </w:r>
                            <w:r w:rsidR="00C36F1D" w:rsidRPr="00C36F1D">
                              <w:rPr>
                                <w:rFonts w:asciiTheme="majorHAnsi" w:hAnsiTheme="majorHAnsi"/>
                                <w:color w:val="595959" w:themeColor="text1" w:themeTint="A6"/>
                                <w:sz w:val="18"/>
                                <w:szCs w:val="18"/>
                                <w:lang w:val="pt-BR"/>
                              </w:rPr>
                              <w:t>23</w:t>
                            </w:r>
                            <w:r w:rsidRPr="00C36F1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A4405">
                              <w:rPr>
                                <w:rFonts w:asciiTheme="majorHAnsi" w:hAnsiTheme="majorHAnsi"/>
                                <w:color w:val="595959" w:themeColor="text1" w:themeTint="A6"/>
                                <w:sz w:val="18"/>
                                <w:szCs w:val="18"/>
                                <w:lang w:val="es-ES"/>
                              </w:rPr>
                              <w:t>2186</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w:t>
                            </w:r>
                            <w:r w:rsidR="009A4405">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75BA5BA0" w:rsidR="00113F73" w:rsidRPr="007B05C4" w:rsidRDefault="009A44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Teodoro Acosta y otros</w:t>
                            </w:r>
                            <w:r w:rsidR="00113F73"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00113F73" w:rsidRPr="00890650">
                              <w:rPr>
                                <w:rFonts w:asciiTheme="majorHAnsi" w:hAnsiTheme="majorHAnsi"/>
                                <w:color w:val="595959" w:themeColor="text1" w:themeTint="A6"/>
                                <w:sz w:val="18"/>
                                <w:szCs w:val="18"/>
                                <w:lang w:val="es-ES_tradnl"/>
                              </w:rPr>
                              <w:t xml:space="preserve">. </w:t>
                            </w:r>
                            <w:r w:rsidR="00C36F1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959FFD1" w14:textId="77777777" w:rsidR="008B28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36F1D" w:rsidRPr="00C36F1D">
                        <w:rPr>
                          <w:rFonts w:asciiTheme="majorHAnsi" w:hAnsiTheme="majorHAnsi"/>
                          <w:color w:val="595959" w:themeColor="text1" w:themeTint="A6"/>
                          <w:sz w:val="18"/>
                          <w:szCs w:val="18"/>
                          <w:lang w:val="pt-BR"/>
                        </w:rPr>
                        <w:t>283</w:t>
                      </w:r>
                      <w:r w:rsidR="007B05C4" w:rsidRPr="00C36F1D">
                        <w:rPr>
                          <w:rFonts w:asciiTheme="majorHAnsi" w:hAnsiTheme="majorHAnsi"/>
                          <w:color w:val="595959" w:themeColor="text1" w:themeTint="A6"/>
                          <w:sz w:val="18"/>
                          <w:szCs w:val="18"/>
                          <w:lang w:val="pt-BR"/>
                        </w:rPr>
                        <w:t>/</w:t>
                      </w:r>
                      <w:r w:rsidR="00C36F1D" w:rsidRPr="00C36F1D">
                        <w:rPr>
                          <w:rFonts w:asciiTheme="majorHAnsi" w:hAnsiTheme="majorHAnsi"/>
                          <w:color w:val="595959" w:themeColor="text1" w:themeTint="A6"/>
                          <w:sz w:val="18"/>
                          <w:szCs w:val="18"/>
                          <w:lang w:val="pt-BR"/>
                        </w:rPr>
                        <w:t>23</w:t>
                      </w:r>
                      <w:r w:rsidRPr="00C36F1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A4405">
                        <w:rPr>
                          <w:rFonts w:asciiTheme="majorHAnsi" w:hAnsiTheme="majorHAnsi"/>
                          <w:color w:val="595959" w:themeColor="text1" w:themeTint="A6"/>
                          <w:sz w:val="18"/>
                          <w:szCs w:val="18"/>
                          <w:lang w:val="es-ES"/>
                        </w:rPr>
                        <w:t>2186</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w:t>
                      </w:r>
                      <w:r w:rsidR="009A4405">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75BA5BA0" w:rsidR="00113F73" w:rsidRPr="007B05C4" w:rsidRDefault="009A440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Teodoro Acosta y otros</w:t>
                      </w:r>
                      <w:r w:rsidR="00113F73"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00113F73" w:rsidRPr="00890650">
                        <w:rPr>
                          <w:rFonts w:asciiTheme="majorHAnsi" w:hAnsiTheme="majorHAnsi"/>
                          <w:color w:val="595959" w:themeColor="text1" w:themeTint="A6"/>
                          <w:sz w:val="18"/>
                          <w:szCs w:val="18"/>
                          <w:lang w:val="es-ES_tradnl"/>
                        </w:rPr>
                        <w:t xml:space="preserve">. </w:t>
                      </w:r>
                      <w:r w:rsidR="00C36F1D">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51D00"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51D00" w:rsidRDefault="00D306D1" w:rsidP="005516A1">
      <w:pPr>
        <w:tabs>
          <w:tab w:val="center" w:pos="5400"/>
        </w:tabs>
        <w:suppressAutoHyphens/>
        <w:jc w:val="center"/>
        <w:rPr>
          <w:rFonts w:asciiTheme="majorHAnsi" w:hAnsiTheme="majorHAnsi"/>
          <w:b/>
          <w:sz w:val="20"/>
          <w:lang w:val="es-ES"/>
        </w:rPr>
      </w:pPr>
      <w:r w:rsidRPr="00451D00">
        <w:rPr>
          <w:rFonts w:asciiTheme="majorHAnsi" w:hAnsiTheme="majorHAnsi"/>
          <w:noProof/>
          <w:sz w:val="18"/>
          <w:szCs w:val="22"/>
          <w:lang w:val="es-ES"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F79D864" w:rsidR="00D72DC6" w:rsidRPr="00D72DC6" w:rsidRDefault="00095878" w:rsidP="00F02AD1">
                            <w:pPr>
                              <w:rPr>
                                <w:color w:val="FFFFFF" w:themeColor="background1"/>
                                <w14:textFill>
                                  <w14:noFill/>
                                </w14:textFill>
                              </w:rPr>
                            </w:pPr>
                            <w:r>
                              <w:rPr>
                                <w:noProof/>
                                <w:color w:val="FFFFFF" w:themeColor="background1"/>
                              </w:rPr>
                              <w:drawing>
                                <wp:inline distT="0" distB="0" distL="0" distR="0" wp14:anchorId="606F64F2" wp14:editId="2C8071F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F79D864" w:rsidR="00D72DC6" w:rsidRPr="00D72DC6" w:rsidRDefault="00095878" w:rsidP="00F02AD1">
                      <w:pPr>
                        <w:rPr>
                          <w:color w:val="FFFFFF" w:themeColor="background1"/>
                          <w14:textFill>
                            <w14:noFill/>
                          </w14:textFill>
                        </w:rPr>
                      </w:pPr>
                      <w:r>
                        <w:rPr>
                          <w:noProof/>
                          <w:color w:val="FFFFFF" w:themeColor="background1"/>
                        </w:rPr>
                        <w:drawing>
                          <wp:inline distT="0" distB="0" distL="0" distR="0" wp14:anchorId="606F64F2" wp14:editId="2C8071F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51D00">
        <w:rPr>
          <w:rFonts w:asciiTheme="majorHAnsi" w:hAnsiTheme="majorHAnsi"/>
          <w:noProof/>
          <w:sz w:val="22"/>
          <w:szCs w:val="22"/>
          <w:lang w:val="es-ES"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51D00" w:rsidRDefault="004A6A54" w:rsidP="005516A1">
      <w:pPr>
        <w:tabs>
          <w:tab w:val="center" w:pos="5400"/>
        </w:tabs>
        <w:suppressAutoHyphens/>
        <w:jc w:val="center"/>
        <w:rPr>
          <w:rFonts w:asciiTheme="majorHAnsi" w:hAnsiTheme="majorHAnsi"/>
          <w:b/>
          <w:sz w:val="20"/>
          <w:lang w:val="es-ES"/>
        </w:rPr>
        <w:sectPr w:rsidR="0070697F" w:rsidRPr="00451D00" w:rsidSect="00150CDE">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51D00">
        <w:rPr>
          <w:rFonts w:asciiTheme="majorHAnsi" w:hAnsiTheme="majorHAnsi"/>
          <w:b/>
          <w:sz w:val="20"/>
          <w:lang w:val="es-ES"/>
        </w:rPr>
        <w:tab/>
      </w:r>
    </w:p>
    <w:p w14:paraId="376DDC8B" w14:textId="77777777" w:rsidR="003239B8" w:rsidRPr="00451D00" w:rsidRDefault="003239B8" w:rsidP="004A6A54">
      <w:pPr>
        <w:spacing w:after="240"/>
        <w:ind w:firstLine="720"/>
        <w:jc w:val="both"/>
        <w:rPr>
          <w:rFonts w:asciiTheme="majorHAnsi" w:hAnsiTheme="majorHAnsi"/>
          <w:b/>
          <w:bCs/>
          <w:sz w:val="20"/>
          <w:szCs w:val="20"/>
          <w:lang w:val="es-ES"/>
        </w:rPr>
      </w:pPr>
      <w:r w:rsidRPr="00451D00">
        <w:rPr>
          <w:rFonts w:asciiTheme="majorHAnsi" w:hAnsiTheme="majorHAnsi"/>
          <w:b/>
          <w:bCs/>
          <w:sz w:val="20"/>
          <w:szCs w:val="20"/>
          <w:lang w:val="es-ES"/>
        </w:rPr>
        <w:lastRenderedPageBreak/>
        <w:t>I.</w:t>
      </w:r>
      <w:r w:rsidRPr="00451D0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231F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Parte peticionaria:</w:t>
            </w:r>
          </w:p>
        </w:tc>
        <w:tc>
          <w:tcPr>
            <w:tcW w:w="5760" w:type="dxa"/>
            <w:vAlign w:val="center"/>
          </w:tcPr>
          <w:p w14:paraId="3C5315D8" w14:textId="472EE2AB" w:rsidR="003239B8" w:rsidRPr="00451D00" w:rsidRDefault="008B631C" w:rsidP="000C3A72">
            <w:pPr>
              <w:jc w:val="both"/>
              <w:rPr>
                <w:rFonts w:ascii="Cambria" w:hAnsi="Cambria"/>
                <w:bCs/>
                <w:sz w:val="20"/>
                <w:szCs w:val="20"/>
                <w:lang w:val="es-ES"/>
              </w:rPr>
            </w:pPr>
            <w:r w:rsidRPr="00451D00">
              <w:rPr>
                <w:rFonts w:ascii="Cambria" w:hAnsi="Cambria"/>
                <w:bCs/>
                <w:sz w:val="20"/>
                <w:szCs w:val="20"/>
                <w:lang w:val="es-ES"/>
              </w:rPr>
              <w:t>El Comité de Familiares de Detenidos Desaparecidos en Honduras</w:t>
            </w:r>
            <w:r w:rsidR="007F5CDE" w:rsidRPr="00451D00">
              <w:rPr>
                <w:rFonts w:ascii="Cambria" w:hAnsi="Cambria"/>
                <w:bCs/>
                <w:sz w:val="20"/>
                <w:szCs w:val="20"/>
                <w:lang w:val="es-ES"/>
              </w:rPr>
              <w:t xml:space="preserve"> (COFADEH)</w:t>
            </w:r>
            <w:r w:rsidRPr="00451D00">
              <w:rPr>
                <w:rFonts w:ascii="Cambria" w:hAnsi="Cambria"/>
                <w:bCs/>
                <w:sz w:val="20"/>
                <w:szCs w:val="20"/>
                <w:lang w:val="es-ES"/>
              </w:rPr>
              <w:t>, la Fundación San Alonso Rodríguez y Abogados sin Fronteras Canadá</w:t>
            </w:r>
          </w:p>
        </w:tc>
      </w:tr>
      <w:tr w:rsidR="003239B8" w:rsidRPr="00451D0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451D00" w:rsidRDefault="00893D4D"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51D00">
                  <w:rPr>
                    <w:rFonts w:ascii="Cambria" w:hAnsi="Cambria"/>
                    <w:b/>
                    <w:bCs/>
                    <w:color w:val="FFFFFF" w:themeColor="background1"/>
                    <w:sz w:val="20"/>
                    <w:szCs w:val="20"/>
                    <w:lang w:val="es-ES"/>
                  </w:rPr>
                  <w:t>Presunta víctima</w:t>
                </w:r>
              </w:sdtContent>
            </w:sdt>
            <w:r w:rsidR="003239B8" w:rsidRPr="00451D00">
              <w:rPr>
                <w:rFonts w:ascii="Cambria" w:hAnsi="Cambria"/>
                <w:b/>
                <w:bCs/>
                <w:color w:val="FFFFFF" w:themeColor="background1"/>
                <w:sz w:val="20"/>
                <w:szCs w:val="20"/>
                <w:lang w:val="es-ES"/>
              </w:rPr>
              <w:t>:</w:t>
            </w:r>
          </w:p>
        </w:tc>
        <w:tc>
          <w:tcPr>
            <w:tcW w:w="5760" w:type="dxa"/>
            <w:vAlign w:val="center"/>
          </w:tcPr>
          <w:p w14:paraId="4AEBF59E" w14:textId="37E914FF" w:rsidR="003239B8" w:rsidRPr="00451D00" w:rsidRDefault="008B631C" w:rsidP="008D2290">
            <w:pPr>
              <w:jc w:val="both"/>
              <w:rPr>
                <w:rFonts w:ascii="Cambria" w:hAnsi="Cambria"/>
                <w:bCs/>
                <w:sz w:val="20"/>
                <w:szCs w:val="20"/>
                <w:lang w:val="es-ES"/>
              </w:rPr>
            </w:pPr>
            <w:r w:rsidRPr="00451D00">
              <w:rPr>
                <w:rFonts w:ascii="Cambria" w:hAnsi="Cambria"/>
                <w:bCs/>
                <w:sz w:val="20"/>
                <w:szCs w:val="20"/>
                <w:lang w:val="es-ES"/>
              </w:rPr>
              <w:t>Teodoro Acosta y otros</w:t>
            </w:r>
          </w:p>
        </w:tc>
      </w:tr>
      <w:tr w:rsidR="003239B8" w:rsidRPr="00451D0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Estado denunciado:</w:t>
            </w:r>
          </w:p>
        </w:tc>
        <w:tc>
          <w:tcPr>
            <w:tcW w:w="5760" w:type="dxa"/>
            <w:vAlign w:val="center"/>
          </w:tcPr>
          <w:p w14:paraId="274C8A50" w14:textId="5C6D20B6" w:rsidR="003239B8" w:rsidRPr="00451D00" w:rsidRDefault="005564B7" w:rsidP="008D2290">
            <w:pPr>
              <w:jc w:val="both"/>
              <w:rPr>
                <w:rFonts w:ascii="Cambria" w:hAnsi="Cambria"/>
                <w:bCs/>
                <w:sz w:val="20"/>
                <w:szCs w:val="20"/>
                <w:lang w:val="es-ES"/>
              </w:rPr>
            </w:pPr>
            <w:r w:rsidRPr="00451D00">
              <w:rPr>
                <w:rFonts w:ascii="Cambria" w:hAnsi="Cambria"/>
                <w:bCs/>
                <w:sz w:val="20"/>
                <w:szCs w:val="20"/>
                <w:lang w:val="es-ES"/>
              </w:rPr>
              <w:t>Honduras</w:t>
            </w:r>
          </w:p>
        </w:tc>
      </w:tr>
      <w:tr w:rsidR="00223A29" w:rsidRPr="008231F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451D00" w:rsidRDefault="001B3A00" w:rsidP="00E4118C">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 xml:space="preserve">Derechos </w:t>
            </w:r>
            <w:r w:rsidR="00E4118C" w:rsidRPr="00451D00">
              <w:rPr>
                <w:rFonts w:ascii="Cambria" w:hAnsi="Cambria"/>
                <w:b/>
                <w:bCs/>
                <w:color w:val="FFFFFF" w:themeColor="background1"/>
                <w:sz w:val="20"/>
                <w:szCs w:val="20"/>
                <w:lang w:val="es-ES"/>
              </w:rPr>
              <w:t>invocados</w:t>
            </w:r>
            <w:r w:rsidRPr="00451D00">
              <w:rPr>
                <w:rFonts w:ascii="Cambria" w:hAnsi="Cambria"/>
                <w:b/>
                <w:bCs/>
                <w:color w:val="FFFFFF" w:themeColor="background1"/>
                <w:sz w:val="20"/>
                <w:szCs w:val="20"/>
                <w:lang w:val="es-ES"/>
              </w:rPr>
              <w:t>:</w:t>
            </w:r>
          </w:p>
        </w:tc>
        <w:tc>
          <w:tcPr>
            <w:tcW w:w="5760" w:type="dxa"/>
            <w:vAlign w:val="center"/>
          </w:tcPr>
          <w:p w14:paraId="6DEE1EEB" w14:textId="1365764E" w:rsidR="00223A29" w:rsidRPr="00451D00" w:rsidRDefault="007C7056" w:rsidP="00AA3FCB">
            <w:pPr>
              <w:jc w:val="both"/>
              <w:rPr>
                <w:rFonts w:ascii="Cambria" w:hAnsi="Cambria"/>
                <w:bCs/>
                <w:sz w:val="20"/>
                <w:szCs w:val="20"/>
                <w:lang w:val="es-ES"/>
              </w:rPr>
            </w:pPr>
            <w:r w:rsidRPr="00451D00">
              <w:rPr>
                <w:rFonts w:ascii="Cambria" w:hAnsi="Cambria"/>
                <w:bCs/>
                <w:sz w:val="20"/>
                <w:szCs w:val="20"/>
                <w:lang w:val="es-ES"/>
              </w:rPr>
              <w:t xml:space="preserve">Artículos </w:t>
            </w:r>
            <w:r w:rsidR="00FD5A5E" w:rsidRPr="00451D00">
              <w:rPr>
                <w:rFonts w:ascii="Cambria" w:hAnsi="Cambria"/>
                <w:bCs/>
                <w:sz w:val="20"/>
                <w:szCs w:val="20"/>
                <w:lang w:val="es-ES"/>
              </w:rPr>
              <w:t xml:space="preserve">4 (vida), 5 (integridad personal), 8 (garantías judiciales), 11 </w:t>
            </w:r>
            <w:r w:rsidR="00AA3FCB" w:rsidRPr="00451D00">
              <w:rPr>
                <w:rFonts w:ascii="Cambria" w:hAnsi="Cambria"/>
                <w:bCs/>
                <w:sz w:val="20"/>
                <w:szCs w:val="20"/>
                <w:lang w:val="es-ES"/>
              </w:rPr>
              <w:t>(</w:t>
            </w:r>
            <w:r w:rsidR="00FD5A5E" w:rsidRPr="00451D00">
              <w:rPr>
                <w:rFonts w:ascii="Cambria" w:hAnsi="Cambria"/>
                <w:bCs/>
                <w:sz w:val="20"/>
                <w:szCs w:val="20"/>
                <w:lang w:val="es-ES"/>
              </w:rPr>
              <w:t>honra y dignidad</w:t>
            </w:r>
            <w:r w:rsidR="00AA3FCB" w:rsidRPr="00451D00">
              <w:rPr>
                <w:rFonts w:ascii="Cambria" w:hAnsi="Cambria"/>
                <w:bCs/>
                <w:sz w:val="20"/>
                <w:szCs w:val="20"/>
                <w:lang w:val="es-ES"/>
              </w:rPr>
              <w:t>)</w:t>
            </w:r>
            <w:r w:rsidR="00FD5A5E" w:rsidRPr="00451D00">
              <w:rPr>
                <w:rFonts w:ascii="Cambria" w:hAnsi="Cambria"/>
                <w:bCs/>
                <w:sz w:val="20"/>
                <w:szCs w:val="20"/>
                <w:lang w:val="es-ES"/>
              </w:rPr>
              <w:t>, 13</w:t>
            </w:r>
            <w:r w:rsidR="00AA3FCB" w:rsidRPr="00451D00">
              <w:rPr>
                <w:rFonts w:ascii="Cambria" w:hAnsi="Cambria"/>
                <w:bCs/>
                <w:sz w:val="20"/>
                <w:szCs w:val="20"/>
                <w:lang w:val="es-ES"/>
              </w:rPr>
              <w:t xml:space="preserve"> (pensamiento y expresión)</w:t>
            </w:r>
            <w:r w:rsidR="00FD5A5E" w:rsidRPr="00451D00">
              <w:rPr>
                <w:rFonts w:ascii="Cambria" w:hAnsi="Cambria"/>
                <w:bCs/>
                <w:sz w:val="20"/>
                <w:szCs w:val="20"/>
                <w:lang w:val="es-ES"/>
              </w:rPr>
              <w:t>, 15</w:t>
            </w:r>
            <w:r w:rsidR="00AA3FCB" w:rsidRPr="00451D00">
              <w:rPr>
                <w:rFonts w:ascii="Cambria" w:hAnsi="Cambria"/>
                <w:bCs/>
                <w:sz w:val="20"/>
                <w:szCs w:val="20"/>
                <w:lang w:val="es-ES"/>
              </w:rPr>
              <w:t xml:space="preserve"> (reunión)</w:t>
            </w:r>
            <w:r w:rsidR="00FD5A5E" w:rsidRPr="00451D00">
              <w:rPr>
                <w:rFonts w:ascii="Cambria" w:hAnsi="Cambria"/>
                <w:bCs/>
                <w:sz w:val="20"/>
                <w:szCs w:val="20"/>
                <w:lang w:val="es-ES"/>
              </w:rPr>
              <w:t>, 16</w:t>
            </w:r>
            <w:r w:rsidR="00AA3FCB" w:rsidRPr="00451D00">
              <w:rPr>
                <w:rFonts w:ascii="Cambria" w:hAnsi="Cambria"/>
                <w:bCs/>
                <w:sz w:val="20"/>
                <w:szCs w:val="20"/>
                <w:lang w:val="es-ES"/>
              </w:rPr>
              <w:t xml:space="preserve"> (asociación)</w:t>
            </w:r>
            <w:r w:rsidR="00FD5A5E" w:rsidRPr="00451D00">
              <w:rPr>
                <w:rFonts w:ascii="Cambria" w:hAnsi="Cambria"/>
                <w:bCs/>
                <w:sz w:val="20"/>
                <w:szCs w:val="20"/>
                <w:lang w:val="es-ES"/>
              </w:rPr>
              <w:t>, 17</w:t>
            </w:r>
            <w:r w:rsidR="00AA3FCB" w:rsidRPr="00451D00">
              <w:rPr>
                <w:rFonts w:ascii="Cambria" w:hAnsi="Cambria"/>
                <w:bCs/>
                <w:sz w:val="20"/>
                <w:szCs w:val="20"/>
                <w:lang w:val="es-ES"/>
              </w:rPr>
              <w:t xml:space="preserve"> (familia)</w:t>
            </w:r>
            <w:r w:rsidR="00FD5A5E" w:rsidRPr="00451D00">
              <w:rPr>
                <w:rFonts w:ascii="Cambria" w:hAnsi="Cambria"/>
                <w:bCs/>
                <w:sz w:val="20"/>
                <w:szCs w:val="20"/>
                <w:lang w:val="es-ES"/>
              </w:rPr>
              <w:t>, 19</w:t>
            </w:r>
            <w:r w:rsidR="00AA3FCB" w:rsidRPr="00451D00">
              <w:rPr>
                <w:rFonts w:ascii="Cambria" w:hAnsi="Cambria"/>
                <w:bCs/>
                <w:sz w:val="20"/>
                <w:szCs w:val="20"/>
                <w:lang w:val="es-ES"/>
              </w:rPr>
              <w:t xml:space="preserve"> (derechos del niño)</w:t>
            </w:r>
            <w:r w:rsidR="00FD5A5E" w:rsidRPr="00451D00">
              <w:rPr>
                <w:rFonts w:ascii="Cambria" w:hAnsi="Cambria"/>
                <w:bCs/>
                <w:sz w:val="20"/>
                <w:szCs w:val="20"/>
                <w:lang w:val="es-ES"/>
              </w:rPr>
              <w:t>, 21</w:t>
            </w:r>
            <w:r w:rsidR="00AA3FCB" w:rsidRPr="00451D00">
              <w:rPr>
                <w:rFonts w:ascii="Cambria" w:hAnsi="Cambria"/>
                <w:bCs/>
                <w:sz w:val="20"/>
                <w:szCs w:val="20"/>
                <w:lang w:val="es-ES"/>
              </w:rPr>
              <w:t xml:space="preserve"> (propiedad privada)</w:t>
            </w:r>
            <w:r w:rsidR="00FD5A5E" w:rsidRPr="00451D00">
              <w:rPr>
                <w:rFonts w:ascii="Cambria" w:hAnsi="Cambria"/>
                <w:bCs/>
                <w:sz w:val="20"/>
                <w:szCs w:val="20"/>
                <w:lang w:val="es-ES"/>
              </w:rPr>
              <w:t>, 24</w:t>
            </w:r>
            <w:r w:rsidR="00AA3FCB" w:rsidRPr="00451D00">
              <w:rPr>
                <w:rFonts w:ascii="Cambria" w:hAnsi="Cambria"/>
                <w:bCs/>
                <w:sz w:val="20"/>
                <w:szCs w:val="20"/>
                <w:lang w:val="es-ES"/>
              </w:rPr>
              <w:t xml:space="preserve"> (igualdad ante la ley), </w:t>
            </w:r>
            <w:r w:rsidR="00FD5A5E" w:rsidRPr="00451D00">
              <w:rPr>
                <w:rFonts w:ascii="Cambria" w:hAnsi="Cambria"/>
                <w:bCs/>
                <w:sz w:val="20"/>
                <w:szCs w:val="20"/>
                <w:lang w:val="es-ES"/>
              </w:rPr>
              <w:t>25</w:t>
            </w:r>
            <w:r w:rsidR="00AA3FCB" w:rsidRPr="00451D00">
              <w:rPr>
                <w:rFonts w:ascii="Cambria" w:hAnsi="Cambria"/>
                <w:bCs/>
                <w:sz w:val="20"/>
                <w:szCs w:val="20"/>
                <w:lang w:val="es-ES"/>
              </w:rPr>
              <w:t xml:space="preserve"> (protección judicial)</w:t>
            </w:r>
            <w:r w:rsidR="00FD5A5E" w:rsidRPr="00451D00">
              <w:rPr>
                <w:rFonts w:ascii="Cambria" w:hAnsi="Cambria"/>
                <w:bCs/>
                <w:sz w:val="20"/>
                <w:szCs w:val="20"/>
                <w:lang w:val="es-ES"/>
              </w:rPr>
              <w:t xml:space="preserve"> </w:t>
            </w:r>
            <w:r w:rsidR="00AA3FCB" w:rsidRPr="00451D00">
              <w:rPr>
                <w:rFonts w:ascii="Cambria" w:hAnsi="Cambria"/>
                <w:bCs/>
                <w:sz w:val="20"/>
                <w:szCs w:val="20"/>
                <w:lang w:val="es-ES"/>
              </w:rPr>
              <w:t xml:space="preserve">y 26 (desarrollo progresivo) </w:t>
            </w:r>
            <w:r w:rsidR="00FD5A5E" w:rsidRPr="00451D00">
              <w:rPr>
                <w:rFonts w:ascii="Cambria" w:hAnsi="Cambria"/>
                <w:bCs/>
                <w:sz w:val="20"/>
                <w:szCs w:val="20"/>
                <w:lang w:val="es-ES"/>
              </w:rPr>
              <w:t>de la Convención Americana</w:t>
            </w:r>
            <w:r w:rsidR="00994D36" w:rsidRPr="00451D00">
              <w:rPr>
                <w:rFonts w:ascii="Cambria" w:hAnsi="Cambria"/>
                <w:bCs/>
                <w:sz w:val="20"/>
                <w:szCs w:val="20"/>
                <w:lang w:val="es-ES"/>
              </w:rPr>
              <w:t xml:space="preserve"> </w:t>
            </w:r>
            <w:r w:rsidR="007C27E5" w:rsidRPr="00451D00">
              <w:rPr>
                <w:rFonts w:ascii="Cambria" w:hAnsi="Cambria"/>
                <w:bCs/>
                <w:sz w:val="20"/>
                <w:szCs w:val="20"/>
                <w:lang w:val="es-ES"/>
              </w:rPr>
              <w:t>sobre Derechos Humanos</w:t>
            </w:r>
            <w:r w:rsidR="007C27E5" w:rsidRPr="00451D00">
              <w:rPr>
                <w:rStyle w:val="FootnoteReference"/>
                <w:rFonts w:ascii="Cambria" w:hAnsi="Cambria"/>
                <w:bCs/>
                <w:sz w:val="20"/>
                <w:szCs w:val="20"/>
                <w:lang w:val="es-ES"/>
              </w:rPr>
              <w:footnoteReference w:id="2"/>
            </w:r>
            <w:r w:rsidR="00994D36" w:rsidRPr="00451D00">
              <w:rPr>
                <w:rFonts w:ascii="Cambria" w:hAnsi="Cambria"/>
                <w:bCs/>
                <w:sz w:val="20"/>
                <w:szCs w:val="20"/>
                <w:lang w:val="es-ES"/>
              </w:rPr>
              <w:t>, en concordancia con su artículo 1.1 (obligación de respetar los derechos)</w:t>
            </w:r>
            <w:r w:rsidR="00AA3FCB" w:rsidRPr="00451D00">
              <w:rPr>
                <w:rFonts w:ascii="Cambria" w:hAnsi="Cambria"/>
                <w:bCs/>
                <w:sz w:val="20"/>
                <w:szCs w:val="20"/>
                <w:lang w:val="es-ES"/>
              </w:rPr>
              <w:t>; artículos 6 y 7 del Protocolo Adicional a la Convención Americana sobre Derechos Humanos en Materia de Derechos Económicos, Sociales y Culturale</w:t>
            </w:r>
            <w:r w:rsidR="00994D36" w:rsidRPr="00451D00">
              <w:rPr>
                <w:rFonts w:ascii="Cambria" w:hAnsi="Cambria"/>
                <w:bCs/>
                <w:sz w:val="20"/>
                <w:szCs w:val="20"/>
                <w:lang w:val="es-ES"/>
              </w:rPr>
              <w:t>s (Protocolo de San Salvador)</w:t>
            </w:r>
            <w:r w:rsidR="00AA3FCB" w:rsidRPr="00451D00">
              <w:rPr>
                <w:rFonts w:ascii="Cambria" w:hAnsi="Cambria"/>
                <w:bCs/>
                <w:sz w:val="20"/>
                <w:szCs w:val="20"/>
                <w:lang w:val="es-ES"/>
              </w:rPr>
              <w:t>; Convención Interamericana para Prevenir, Sancionar y Erradicar la Violencia contra la Mujer</w:t>
            </w:r>
            <w:r w:rsidR="00994D36" w:rsidRPr="00451D00">
              <w:rPr>
                <w:rFonts w:ascii="Cambria" w:hAnsi="Cambria"/>
                <w:bCs/>
                <w:sz w:val="20"/>
                <w:szCs w:val="20"/>
                <w:lang w:val="es-ES"/>
              </w:rPr>
              <w:t xml:space="preserve"> (Convención de Belem do Pará)</w:t>
            </w:r>
            <w:r w:rsidR="00AA3FCB" w:rsidRPr="00451D00">
              <w:rPr>
                <w:rFonts w:ascii="Cambria" w:hAnsi="Cambria"/>
                <w:bCs/>
                <w:sz w:val="20"/>
                <w:szCs w:val="20"/>
                <w:lang w:val="es-ES"/>
              </w:rPr>
              <w:t xml:space="preserve">; y </w:t>
            </w:r>
            <w:r w:rsidR="00994D36" w:rsidRPr="00451D00">
              <w:rPr>
                <w:rFonts w:ascii="Cambria" w:hAnsi="Cambria"/>
                <w:bCs/>
                <w:sz w:val="20"/>
                <w:szCs w:val="20"/>
                <w:lang w:val="es-ES"/>
              </w:rPr>
              <w:t>otros tratados</w:t>
            </w:r>
            <w:r w:rsidR="00994D36" w:rsidRPr="00451D00">
              <w:rPr>
                <w:rStyle w:val="FootnoteReference"/>
                <w:rFonts w:ascii="Cambria" w:hAnsi="Cambria"/>
                <w:bCs/>
                <w:sz w:val="20"/>
                <w:szCs w:val="20"/>
                <w:lang w:val="es-ES"/>
              </w:rPr>
              <w:footnoteReference w:id="3"/>
            </w:r>
            <w:r w:rsidR="00AA3FCB" w:rsidRPr="00451D00">
              <w:rPr>
                <w:rFonts w:ascii="Cambria" w:hAnsi="Cambria"/>
                <w:bCs/>
                <w:sz w:val="20"/>
                <w:szCs w:val="20"/>
                <w:lang w:val="es-ES"/>
              </w:rPr>
              <w:t xml:space="preserve"> </w:t>
            </w:r>
          </w:p>
        </w:tc>
      </w:tr>
    </w:tbl>
    <w:p w14:paraId="20263696" w14:textId="77777777" w:rsidR="003239B8" w:rsidRPr="00451D00" w:rsidRDefault="003239B8" w:rsidP="003239B8">
      <w:pPr>
        <w:spacing w:before="240" w:after="240"/>
        <w:ind w:firstLine="720"/>
        <w:jc w:val="both"/>
        <w:rPr>
          <w:rFonts w:asciiTheme="majorHAnsi" w:hAnsiTheme="majorHAnsi"/>
          <w:b/>
          <w:bCs/>
          <w:sz w:val="20"/>
          <w:szCs w:val="20"/>
          <w:lang w:val="es-ES"/>
        </w:rPr>
      </w:pPr>
      <w:r w:rsidRPr="00451D00">
        <w:rPr>
          <w:rFonts w:asciiTheme="majorHAnsi" w:hAnsiTheme="majorHAnsi"/>
          <w:b/>
          <w:bCs/>
          <w:sz w:val="20"/>
          <w:szCs w:val="20"/>
          <w:lang w:val="es-ES"/>
        </w:rPr>
        <w:t>II.</w:t>
      </w:r>
      <w:r w:rsidRPr="00451D00">
        <w:rPr>
          <w:rFonts w:asciiTheme="majorHAnsi" w:hAnsiTheme="majorHAnsi"/>
          <w:b/>
          <w:bCs/>
          <w:sz w:val="20"/>
          <w:szCs w:val="20"/>
          <w:lang w:val="es-ES"/>
        </w:rPr>
        <w:tab/>
        <w:t>TRÁMITE ANTE LA CIDH</w:t>
      </w:r>
      <w:r w:rsidR="008E3BFE" w:rsidRPr="00451D00">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51D00"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451D00" w:rsidRDefault="004A6A54" w:rsidP="004A6A54">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P</w:t>
            </w:r>
            <w:r w:rsidR="004C2312" w:rsidRPr="00451D00">
              <w:rPr>
                <w:rFonts w:ascii="Cambria" w:hAnsi="Cambria"/>
                <w:b/>
                <w:bCs/>
                <w:color w:val="FFFFFF" w:themeColor="background1"/>
                <w:sz w:val="20"/>
                <w:szCs w:val="20"/>
                <w:lang w:val="es-ES"/>
              </w:rPr>
              <w:t>resentación de la petición:</w:t>
            </w:r>
          </w:p>
        </w:tc>
        <w:tc>
          <w:tcPr>
            <w:tcW w:w="5760" w:type="dxa"/>
            <w:vAlign w:val="center"/>
          </w:tcPr>
          <w:p w14:paraId="6E579153" w14:textId="3C67D3DD" w:rsidR="004C2312" w:rsidRPr="00451D00" w:rsidRDefault="00AA0FA8" w:rsidP="002625EA">
            <w:pPr>
              <w:jc w:val="both"/>
              <w:rPr>
                <w:rFonts w:ascii="Cambria" w:hAnsi="Cambria"/>
                <w:bCs/>
                <w:sz w:val="20"/>
                <w:szCs w:val="20"/>
                <w:lang w:val="es-ES"/>
              </w:rPr>
            </w:pPr>
            <w:r w:rsidRPr="00451D00">
              <w:rPr>
                <w:rFonts w:ascii="Cambria" w:hAnsi="Cambria"/>
                <w:bCs/>
                <w:sz w:val="20"/>
                <w:szCs w:val="20"/>
                <w:lang w:val="es-ES"/>
              </w:rPr>
              <w:t>19 de julio de 2018</w:t>
            </w:r>
          </w:p>
        </w:tc>
      </w:tr>
      <w:tr w:rsidR="008A3C34" w:rsidRPr="008231F0" w14:paraId="51A46188" w14:textId="77777777" w:rsidTr="004A6A54">
        <w:tc>
          <w:tcPr>
            <w:tcW w:w="3600" w:type="dxa"/>
            <w:tcBorders>
              <w:top w:val="single" w:sz="6" w:space="0" w:color="auto"/>
              <w:bottom w:val="single" w:sz="6" w:space="0" w:color="auto"/>
            </w:tcBorders>
            <w:shd w:val="clear" w:color="auto" w:fill="386294"/>
            <w:vAlign w:val="center"/>
          </w:tcPr>
          <w:p w14:paraId="119D69CD" w14:textId="4F27AEE8" w:rsidR="008A3C34" w:rsidRPr="00451D00" w:rsidRDefault="00067CA6" w:rsidP="004A6A54">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Información adicional recibida durante la etapa de estudio:</w:t>
            </w:r>
          </w:p>
        </w:tc>
        <w:tc>
          <w:tcPr>
            <w:tcW w:w="5760" w:type="dxa"/>
            <w:vAlign w:val="center"/>
          </w:tcPr>
          <w:p w14:paraId="5EF0A986" w14:textId="1DBCE767" w:rsidR="008A3C34" w:rsidRPr="00451D00" w:rsidRDefault="00AA0FA8" w:rsidP="002625EA">
            <w:pPr>
              <w:jc w:val="both"/>
              <w:rPr>
                <w:rFonts w:ascii="Cambria" w:hAnsi="Cambria"/>
                <w:bCs/>
                <w:sz w:val="20"/>
                <w:szCs w:val="20"/>
                <w:lang w:val="es-ES"/>
              </w:rPr>
            </w:pPr>
            <w:r w:rsidRPr="00451D00">
              <w:rPr>
                <w:rFonts w:ascii="Cambria" w:hAnsi="Cambria"/>
                <w:bCs/>
                <w:sz w:val="20"/>
                <w:szCs w:val="20"/>
                <w:lang w:val="es-ES"/>
              </w:rPr>
              <w:t>3 de octubre de 2018</w:t>
            </w:r>
            <w:r w:rsidR="0020412E" w:rsidRPr="00451D00">
              <w:rPr>
                <w:rFonts w:ascii="Cambria" w:hAnsi="Cambria"/>
                <w:bCs/>
                <w:sz w:val="20"/>
                <w:szCs w:val="20"/>
                <w:lang w:val="es-ES"/>
              </w:rPr>
              <w:t xml:space="preserve"> y 15 de marzo de 2022</w:t>
            </w:r>
          </w:p>
        </w:tc>
      </w:tr>
      <w:tr w:rsidR="004C2312" w:rsidRPr="00451D0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51D00" w:rsidRDefault="004A6A54" w:rsidP="004A6A54">
            <w:pPr>
              <w:jc w:val="center"/>
              <w:rPr>
                <w:rFonts w:ascii="Cambria" w:hAnsi="Cambria"/>
                <w:b/>
                <w:bCs/>
                <w:color w:val="FFFFFF" w:themeColor="background1"/>
                <w:sz w:val="20"/>
                <w:szCs w:val="20"/>
                <w:lang w:val="es-ES"/>
              </w:rPr>
            </w:pPr>
            <w:r w:rsidRPr="00451D00">
              <w:rPr>
                <w:rFonts w:ascii="Cambria" w:hAnsi="Cambria"/>
                <w:b/>
                <w:color w:val="FFFFFF" w:themeColor="background1"/>
                <w:sz w:val="20"/>
                <w:szCs w:val="20"/>
                <w:lang w:val="es-ES"/>
              </w:rPr>
              <w:t>N</w:t>
            </w:r>
            <w:r w:rsidR="004C2312" w:rsidRPr="00451D00">
              <w:rPr>
                <w:rFonts w:ascii="Cambria" w:hAnsi="Cambria"/>
                <w:b/>
                <w:color w:val="FFFFFF" w:themeColor="background1"/>
                <w:sz w:val="20"/>
                <w:szCs w:val="20"/>
                <w:lang w:val="es-ES"/>
              </w:rPr>
              <w:t>otificación de la petición al Estado:</w:t>
            </w:r>
          </w:p>
        </w:tc>
        <w:tc>
          <w:tcPr>
            <w:tcW w:w="5760" w:type="dxa"/>
            <w:vAlign w:val="center"/>
          </w:tcPr>
          <w:p w14:paraId="1519DA6A" w14:textId="02F5DEE9" w:rsidR="004C2312" w:rsidRPr="00451D00" w:rsidRDefault="0070253E" w:rsidP="008D2290">
            <w:pPr>
              <w:jc w:val="both"/>
              <w:rPr>
                <w:rFonts w:ascii="Cambria" w:hAnsi="Cambria"/>
                <w:bCs/>
                <w:sz w:val="20"/>
                <w:szCs w:val="20"/>
                <w:lang w:val="es-ES"/>
              </w:rPr>
            </w:pPr>
            <w:r w:rsidRPr="00451D00">
              <w:rPr>
                <w:rFonts w:ascii="Cambria" w:hAnsi="Cambria"/>
                <w:bCs/>
                <w:sz w:val="20"/>
                <w:szCs w:val="20"/>
                <w:lang w:val="es-ES"/>
              </w:rPr>
              <w:t>11 de julio de 2022</w:t>
            </w:r>
          </w:p>
        </w:tc>
      </w:tr>
      <w:tr w:rsidR="004C2312" w:rsidRPr="00451D0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51D00" w:rsidRDefault="004A6A54" w:rsidP="004A6A54">
            <w:pPr>
              <w:jc w:val="center"/>
              <w:rPr>
                <w:rFonts w:ascii="Cambria" w:hAnsi="Cambria"/>
                <w:b/>
                <w:bCs/>
                <w:color w:val="FFFFFF" w:themeColor="background1"/>
                <w:sz w:val="20"/>
                <w:szCs w:val="20"/>
                <w:lang w:val="es-ES"/>
              </w:rPr>
            </w:pPr>
            <w:r w:rsidRPr="00451D00">
              <w:rPr>
                <w:rFonts w:ascii="Cambria" w:hAnsi="Cambria"/>
                <w:b/>
                <w:color w:val="FFFFFF" w:themeColor="background1"/>
                <w:sz w:val="20"/>
                <w:szCs w:val="20"/>
                <w:lang w:val="es-ES"/>
              </w:rPr>
              <w:t>P</w:t>
            </w:r>
            <w:r w:rsidR="004C2312" w:rsidRPr="00451D00">
              <w:rPr>
                <w:rFonts w:ascii="Cambria" w:hAnsi="Cambria"/>
                <w:b/>
                <w:color w:val="FFFFFF" w:themeColor="background1"/>
                <w:sz w:val="20"/>
                <w:szCs w:val="20"/>
                <w:lang w:val="es-ES"/>
              </w:rPr>
              <w:t>rimera respuesta del Estado:</w:t>
            </w:r>
          </w:p>
        </w:tc>
        <w:tc>
          <w:tcPr>
            <w:tcW w:w="5760" w:type="dxa"/>
            <w:vAlign w:val="center"/>
          </w:tcPr>
          <w:p w14:paraId="1972B99E" w14:textId="24B3F8C9" w:rsidR="004C2312" w:rsidRPr="00451D00" w:rsidRDefault="00267B4D" w:rsidP="008D2290">
            <w:pPr>
              <w:jc w:val="both"/>
              <w:rPr>
                <w:rFonts w:ascii="Cambria" w:hAnsi="Cambria"/>
                <w:bCs/>
                <w:sz w:val="20"/>
                <w:szCs w:val="20"/>
                <w:lang w:val="es-ES"/>
              </w:rPr>
            </w:pPr>
            <w:r w:rsidRPr="00451D00">
              <w:rPr>
                <w:rFonts w:ascii="Cambria" w:hAnsi="Cambria"/>
                <w:bCs/>
                <w:sz w:val="20"/>
                <w:szCs w:val="20"/>
                <w:lang w:val="es-ES"/>
              </w:rPr>
              <w:t>14 de noviembre de 2022</w:t>
            </w:r>
          </w:p>
        </w:tc>
      </w:tr>
    </w:tbl>
    <w:p w14:paraId="21DAA666" w14:textId="77777777" w:rsidR="003239B8" w:rsidRPr="00451D00" w:rsidRDefault="003239B8" w:rsidP="003239B8">
      <w:pPr>
        <w:spacing w:before="240" w:after="240"/>
        <w:ind w:firstLine="720"/>
        <w:jc w:val="both"/>
        <w:rPr>
          <w:rFonts w:asciiTheme="majorHAnsi" w:hAnsiTheme="majorHAnsi"/>
          <w:b/>
          <w:bCs/>
          <w:sz w:val="20"/>
          <w:szCs w:val="20"/>
          <w:lang w:val="es-ES"/>
        </w:rPr>
      </w:pPr>
      <w:r w:rsidRPr="00451D00">
        <w:rPr>
          <w:rFonts w:asciiTheme="majorHAnsi" w:hAnsiTheme="majorHAnsi"/>
          <w:b/>
          <w:bCs/>
          <w:sz w:val="20"/>
          <w:szCs w:val="20"/>
          <w:lang w:val="es-ES"/>
        </w:rPr>
        <w:t xml:space="preserve">III. </w:t>
      </w:r>
      <w:r w:rsidRPr="00451D00">
        <w:rPr>
          <w:rFonts w:asciiTheme="majorHAnsi" w:hAnsiTheme="majorHAnsi"/>
          <w:b/>
          <w:bCs/>
          <w:sz w:val="20"/>
          <w:szCs w:val="20"/>
          <w:lang w:val="es-ES"/>
        </w:rPr>
        <w:tab/>
        <w:t>COMPETENCIA</w:t>
      </w:r>
      <w:r w:rsidR="00EE00E9" w:rsidRPr="00451D00">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451D00" w14:paraId="072532AD" w14:textId="77777777" w:rsidTr="004B414D">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451D00" w:rsidRDefault="003239B8" w:rsidP="008D2290">
            <w:pPr>
              <w:jc w:val="center"/>
              <w:rPr>
                <w:rFonts w:ascii="Cambria" w:hAnsi="Cambria"/>
                <w:b/>
                <w:bCs/>
                <w:i/>
                <w:color w:val="FFFFFF" w:themeColor="background1"/>
                <w:sz w:val="20"/>
                <w:szCs w:val="20"/>
                <w:lang w:val="es-ES"/>
              </w:rPr>
            </w:pPr>
            <w:r w:rsidRPr="00451D00">
              <w:rPr>
                <w:rFonts w:ascii="Cambria" w:hAnsi="Cambria"/>
                <w:b/>
                <w:bCs/>
                <w:color w:val="FFFFFF" w:themeColor="background1"/>
                <w:sz w:val="20"/>
                <w:szCs w:val="20"/>
                <w:lang w:val="es-ES"/>
              </w:rPr>
              <w:t>Competencia</w:t>
            </w:r>
            <w:r w:rsidRPr="00451D00">
              <w:rPr>
                <w:rFonts w:ascii="Cambria" w:hAnsi="Cambria"/>
                <w:b/>
                <w:bCs/>
                <w:i/>
                <w:color w:val="FFFFFF" w:themeColor="background1"/>
                <w:sz w:val="20"/>
                <w:szCs w:val="20"/>
                <w:lang w:val="es-ES"/>
              </w:rPr>
              <w:t xml:space="preserve"> Ratione personae:</w:t>
            </w:r>
          </w:p>
        </w:tc>
        <w:tc>
          <w:tcPr>
            <w:tcW w:w="5776" w:type="dxa"/>
            <w:vAlign w:val="center"/>
          </w:tcPr>
          <w:p w14:paraId="7707F3E9" w14:textId="018D5870" w:rsidR="003239B8" w:rsidRPr="00451D00" w:rsidRDefault="003467A3" w:rsidP="008D2290">
            <w:pPr>
              <w:rPr>
                <w:rFonts w:ascii="Cambria" w:hAnsi="Cambria"/>
                <w:bCs/>
                <w:sz w:val="20"/>
                <w:szCs w:val="20"/>
                <w:lang w:val="es-ES"/>
              </w:rPr>
            </w:pPr>
            <w:r w:rsidRPr="00451D00">
              <w:rPr>
                <w:rFonts w:ascii="Cambria" w:hAnsi="Cambria"/>
                <w:bCs/>
                <w:sz w:val="20"/>
                <w:szCs w:val="20"/>
                <w:lang w:val="es-ES"/>
              </w:rPr>
              <w:t>Sí</w:t>
            </w:r>
          </w:p>
        </w:tc>
      </w:tr>
      <w:tr w:rsidR="003239B8" w:rsidRPr="00451D00" w14:paraId="4B8802DA" w14:textId="77777777" w:rsidTr="004B414D">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Competencia</w:t>
            </w:r>
            <w:r w:rsidRPr="00451D00">
              <w:rPr>
                <w:rFonts w:ascii="Cambria" w:hAnsi="Cambria"/>
                <w:b/>
                <w:bCs/>
                <w:i/>
                <w:color w:val="FFFFFF" w:themeColor="background1"/>
                <w:sz w:val="20"/>
                <w:szCs w:val="20"/>
                <w:lang w:val="es-ES"/>
              </w:rPr>
              <w:t xml:space="preserve"> Ratione loci</w:t>
            </w:r>
            <w:r w:rsidRPr="00451D00">
              <w:rPr>
                <w:rFonts w:ascii="Cambria" w:hAnsi="Cambria"/>
                <w:b/>
                <w:bCs/>
                <w:color w:val="FFFFFF" w:themeColor="background1"/>
                <w:sz w:val="20"/>
                <w:szCs w:val="20"/>
                <w:lang w:val="es-ES"/>
              </w:rPr>
              <w:t>:</w:t>
            </w:r>
          </w:p>
        </w:tc>
        <w:tc>
          <w:tcPr>
            <w:tcW w:w="5776" w:type="dxa"/>
            <w:vAlign w:val="center"/>
          </w:tcPr>
          <w:p w14:paraId="12C931CB" w14:textId="268684B9" w:rsidR="003239B8" w:rsidRPr="00451D00" w:rsidRDefault="003467A3" w:rsidP="008D2290">
            <w:pPr>
              <w:rPr>
                <w:rFonts w:ascii="Cambria" w:hAnsi="Cambria"/>
                <w:bCs/>
                <w:sz w:val="20"/>
                <w:szCs w:val="20"/>
                <w:lang w:val="es-ES"/>
              </w:rPr>
            </w:pPr>
            <w:r w:rsidRPr="00451D00">
              <w:rPr>
                <w:rFonts w:ascii="Cambria" w:hAnsi="Cambria"/>
                <w:bCs/>
                <w:sz w:val="20"/>
                <w:szCs w:val="20"/>
                <w:lang w:val="es-ES"/>
              </w:rPr>
              <w:t>Sí</w:t>
            </w:r>
          </w:p>
        </w:tc>
      </w:tr>
      <w:tr w:rsidR="003239B8" w:rsidRPr="00451D00" w14:paraId="4362FDF3" w14:textId="77777777" w:rsidTr="004B414D">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Competencia</w:t>
            </w:r>
            <w:r w:rsidRPr="00451D00">
              <w:rPr>
                <w:rFonts w:ascii="Cambria" w:hAnsi="Cambria"/>
                <w:b/>
                <w:bCs/>
                <w:i/>
                <w:color w:val="FFFFFF" w:themeColor="background1"/>
                <w:sz w:val="20"/>
                <w:szCs w:val="20"/>
                <w:lang w:val="es-ES"/>
              </w:rPr>
              <w:t xml:space="preserve"> Ratione temporis</w:t>
            </w:r>
            <w:r w:rsidRPr="00451D00">
              <w:rPr>
                <w:rFonts w:ascii="Cambria" w:hAnsi="Cambria"/>
                <w:b/>
                <w:bCs/>
                <w:color w:val="FFFFFF" w:themeColor="background1"/>
                <w:sz w:val="20"/>
                <w:szCs w:val="20"/>
                <w:lang w:val="es-ES"/>
              </w:rPr>
              <w:t>:</w:t>
            </w:r>
          </w:p>
        </w:tc>
        <w:tc>
          <w:tcPr>
            <w:tcW w:w="5776" w:type="dxa"/>
            <w:vAlign w:val="center"/>
          </w:tcPr>
          <w:p w14:paraId="6F8B059B" w14:textId="4E0F5275" w:rsidR="003239B8" w:rsidRPr="00451D00" w:rsidRDefault="007C27E5" w:rsidP="008D2290">
            <w:pPr>
              <w:rPr>
                <w:rFonts w:ascii="Cambria" w:hAnsi="Cambria"/>
                <w:bCs/>
                <w:sz w:val="20"/>
                <w:szCs w:val="20"/>
                <w:lang w:val="es-ES"/>
              </w:rPr>
            </w:pPr>
            <w:r w:rsidRPr="00451D00">
              <w:rPr>
                <w:rFonts w:ascii="Cambria" w:hAnsi="Cambria"/>
                <w:bCs/>
                <w:sz w:val="20"/>
                <w:szCs w:val="20"/>
                <w:lang w:val="es-ES"/>
              </w:rPr>
              <w:t>Sí</w:t>
            </w:r>
          </w:p>
        </w:tc>
      </w:tr>
      <w:tr w:rsidR="003239B8" w:rsidRPr="008231F0" w14:paraId="30ABEC3E" w14:textId="77777777" w:rsidTr="004B414D">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Competencia</w:t>
            </w:r>
            <w:r w:rsidRPr="00451D00">
              <w:rPr>
                <w:rFonts w:ascii="Cambria" w:hAnsi="Cambria"/>
                <w:b/>
                <w:bCs/>
                <w:i/>
                <w:color w:val="FFFFFF" w:themeColor="background1"/>
                <w:sz w:val="20"/>
                <w:szCs w:val="20"/>
                <w:lang w:val="es-ES"/>
              </w:rPr>
              <w:t xml:space="preserve"> Ratione materia</w:t>
            </w:r>
            <w:r w:rsidR="00EE00E9" w:rsidRPr="00451D00">
              <w:rPr>
                <w:rFonts w:ascii="Cambria" w:hAnsi="Cambria"/>
                <w:b/>
                <w:bCs/>
                <w:i/>
                <w:color w:val="FFFFFF" w:themeColor="background1"/>
                <w:sz w:val="20"/>
                <w:szCs w:val="20"/>
                <w:lang w:val="es-ES"/>
              </w:rPr>
              <w:t>e</w:t>
            </w:r>
            <w:r w:rsidRPr="00451D00">
              <w:rPr>
                <w:rFonts w:ascii="Cambria" w:hAnsi="Cambria"/>
                <w:b/>
                <w:bCs/>
                <w:color w:val="FFFFFF" w:themeColor="background1"/>
                <w:sz w:val="20"/>
                <w:szCs w:val="20"/>
                <w:lang w:val="es-ES"/>
              </w:rPr>
              <w:t>:</w:t>
            </w:r>
          </w:p>
        </w:tc>
        <w:tc>
          <w:tcPr>
            <w:tcW w:w="5776" w:type="dxa"/>
            <w:vAlign w:val="center"/>
          </w:tcPr>
          <w:p w14:paraId="0C122F44" w14:textId="7677BA67" w:rsidR="003239B8" w:rsidRPr="00451D00" w:rsidRDefault="003467A3" w:rsidP="008D2290">
            <w:pPr>
              <w:jc w:val="both"/>
              <w:rPr>
                <w:rFonts w:ascii="Cambria" w:hAnsi="Cambria"/>
                <w:bCs/>
                <w:sz w:val="20"/>
                <w:szCs w:val="20"/>
                <w:lang w:val="es-ES"/>
              </w:rPr>
            </w:pPr>
            <w:r w:rsidRPr="00451D00">
              <w:rPr>
                <w:rFonts w:ascii="Cambria" w:hAnsi="Cambria"/>
                <w:bCs/>
                <w:sz w:val="20"/>
                <w:szCs w:val="20"/>
                <w:lang w:val="es-ES"/>
              </w:rPr>
              <w:t>Sí, Convención Americana (depósito del instrumento de ratificación realizado el 8 de septiembre de 1977)</w:t>
            </w:r>
            <w:r w:rsidR="004E4316" w:rsidRPr="00451D00">
              <w:rPr>
                <w:rFonts w:ascii="Cambria" w:hAnsi="Cambria"/>
                <w:bCs/>
                <w:sz w:val="20"/>
                <w:szCs w:val="20"/>
                <w:lang w:val="es-ES"/>
              </w:rPr>
              <w:t>, Protocolo de San Salvador</w:t>
            </w:r>
            <w:r w:rsidR="00FD5A5E" w:rsidRPr="00451D00">
              <w:rPr>
                <w:rFonts w:ascii="Cambria" w:hAnsi="Cambria"/>
                <w:bCs/>
                <w:sz w:val="20"/>
                <w:szCs w:val="20"/>
                <w:lang w:val="es-ES"/>
              </w:rPr>
              <w:t xml:space="preserve"> (</w:t>
            </w:r>
            <w:r w:rsidR="004E4316" w:rsidRPr="00451D00">
              <w:rPr>
                <w:rFonts w:ascii="Cambria" w:hAnsi="Cambria"/>
                <w:bCs/>
                <w:sz w:val="20"/>
                <w:szCs w:val="20"/>
                <w:lang w:val="es-ES"/>
              </w:rPr>
              <w:t xml:space="preserve">depósito el 10 de noviembre de </w:t>
            </w:r>
            <w:r w:rsidR="00263311" w:rsidRPr="00451D00">
              <w:rPr>
                <w:rFonts w:ascii="Cambria" w:hAnsi="Cambria"/>
                <w:bCs/>
                <w:sz w:val="20"/>
                <w:szCs w:val="20"/>
                <w:lang w:val="es-ES"/>
              </w:rPr>
              <w:t>2011) y Convención de Belém do Pará (</w:t>
            </w:r>
            <w:r w:rsidR="00FD5A5E" w:rsidRPr="00451D00">
              <w:rPr>
                <w:rFonts w:ascii="Cambria" w:hAnsi="Cambria"/>
                <w:bCs/>
                <w:sz w:val="20"/>
                <w:szCs w:val="20"/>
                <w:lang w:val="es-ES"/>
              </w:rPr>
              <w:t>depósito de instrumento</w:t>
            </w:r>
            <w:r w:rsidR="003A344E" w:rsidRPr="00451D00">
              <w:rPr>
                <w:rFonts w:ascii="Cambria" w:hAnsi="Cambria"/>
                <w:bCs/>
                <w:sz w:val="20"/>
                <w:szCs w:val="20"/>
                <w:lang w:val="es-ES"/>
              </w:rPr>
              <w:t xml:space="preserve"> de ratificación</w:t>
            </w:r>
            <w:r w:rsidR="00FD5A5E" w:rsidRPr="00451D00">
              <w:rPr>
                <w:rFonts w:ascii="Cambria" w:hAnsi="Cambria"/>
                <w:bCs/>
                <w:sz w:val="20"/>
                <w:szCs w:val="20"/>
                <w:lang w:val="es-ES"/>
              </w:rPr>
              <w:t xml:space="preserve"> realizado el 12 de julio de 1995)</w:t>
            </w:r>
          </w:p>
        </w:tc>
      </w:tr>
    </w:tbl>
    <w:p w14:paraId="4E92C444" w14:textId="140CB1E7" w:rsidR="003239B8" w:rsidRPr="00451D00" w:rsidRDefault="003239B8" w:rsidP="003239B8">
      <w:pPr>
        <w:spacing w:before="240" w:after="240"/>
        <w:ind w:firstLine="720"/>
        <w:jc w:val="both"/>
        <w:rPr>
          <w:rFonts w:asciiTheme="majorHAnsi" w:hAnsiTheme="majorHAnsi"/>
          <w:b/>
          <w:bCs/>
          <w:sz w:val="20"/>
          <w:szCs w:val="20"/>
          <w:lang w:val="es-ES"/>
        </w:rPr>
      </w:pPr>
      <w:r w:rsidRPr="00451D00">
        <w:rPr>
          <w:rFonts w:asciiTheme="majorHAnsi" w:hAnsiTheme="majorHAnsi"/>
          <w:b/>
          <w:bCs/>
          <w:sz w:val="20"/>
          <w:szCs w:val="20"/>
          <w:lang w:val="es-ES"/>
        </w:rPr>
        <w:t xml:space="preserve">IV. </w:t>
      </w:r>
      <w:r w:rsidRPr="00451D00">
        <w:rPr>
          <w:rFonts w:asciiTheme="majorHAnsi" w:hAnsiTheme="majorHAnsi"/>
          <w:b/>
          <w:bCs/>
          <w:sz w:val="20"/>
          <w:szCs w:val="20"/>
          <w:lang w:val="es-ES"/>
        </w:rPr>
        <w:tab/>
      </w:r>
      <w:r w:rsidR="00EE00E9" w:rsidRPr="00451D00">
        <w:rPr>
          <w:rFonts w:asciiTheme="majorHAnsi" w:hAnsiTheme="majorHAnsi"/>
          <w:b/>
          <w:bCs/>
          <w:sz w:val="20"/>
          <w:szCs w:val="20"/>
          <w:lang w:val="es-ES"/>
        </w:rPr>
        <w:t>DUPLICACIÓN</w:t>
      </w:r>
      <w:r w:rsidR="00EE00E9" w:rsidRPr="00451D00">
        <w:rPr>
          <w:rFonts w:asciiTheme="majorHAnsi" w:hAnsiTheme="majorHAnsi"/>
          <w:b/>
          <w:bCs/>
          <w:color w:val="FFFFFF" w:themeColor="background1"/>
          <w:sz w:val="20"/>
          <w:szCs w:val="20"/>
          <w:lang w:val="es-ES"/>
        </w:rPr>
        <w:t xml:space="preserve"> </w:t>
      </w:r>
      <w:r w:rsidR="00EE00E9" w:rsidRPr="00451D00">
        <w:rPr>
          <w:rFonts w:asciiTheme="majorHAnsi" w:hAnsiTheme="majorHAnsi"/>
          <w:b/>
          <w:bCs/>
          <w:sz w:val="20"/>
          <w:szCs w:val="20"/>
          <w:lang w:val="es-ES"/>
        </w:rPr>
        <w:t>DE PROCEDIMIENTOS Y COSA JUZGADA</w:t>
      </w:r>
      <w:r w:rsidR="00EE00E9" w:rsidRPr="00451D00">
        <w:rPr>
          <w:rFonts w:asciiTheme="majorHAnsi" w:hAnsiTheme="majorHAnsi"/>
          <w:b/>
          <w:bCs/>
          <w:i/>
          <w:sz w:val="20"/>
          <w:szCs w:val="20"/>
          <w:lang w:val="es-ES"/>
        </w:rPr>
        <w:t xml:space="preserve"> </w:t>
      </w:r>
      <w:r w:rsidR="00EE00E9" w:rsidRPr="00451D00">
        <w:rPr>
          <w:rFonts w:asciiTheme="majorHAnsi" w:hAnsiTheme="majorHAnsi"/>
          <w:b/>
          <w:bCs/>
          <w:sz w:val="20"/>
          <w:szCs w:val="20"/>
          <w:lang w:val="es-ES"/>
        </w:rPr>
        <w:t>INTERNACIONAL</w:t>
      </w:r>
      <w:r w:rsidR="005D38F9" w:rsidRPr="00451D00">
        <w:rPr>
          <w:rFonts w:asciiTheme="majorHAnsi" w:hAnsiTheme="majorHAnsi"/>
          <w:b/>
          <w:bCs/>
          <w:sz w:val="20"/>
          <w:szCs w:val="20"/>
          <w:lang w:val="es-ES"/>
        </w:rPr>
        <w:t>,</w:t>
      </w:r>
      <w:r w:rsidRPr="00451D00">
        <w:rPr>
          <w:rFonts w:asciiTheme="majorHAnsi" w:hAnsiTheme="majorHAnsi"/>
          <w:b/>
          <w:bCs/>
          <w:sz w:val="20"/>
          <w:szCs w:val="20"/>
          <w:lang w:val="es-ES"/>
        </w:rPr>
        <w:t xml:space="preserve"> CARACTERIZACIÓN, </w:t>
      </w:r>
      <w:r w:rsidRPr="00451D00">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451D00" w14:paraId="1231C988" w14:textId="77777777" w:rsidTr="004B414D">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451D00" w:rsidRDefault="00EE00E9"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01848159" w:rsidR="00EE00E9" w:rsidRPr="00451D00" w:rsidRDefault="00FD5A5E" w:rsidP="008D2290">
            <w:pPr>
              <w:jc w:val="both"/>
              <w:rPr>
                <w:rFonts w:ascii="Cambria" w:hAnsi="Cambria"/>
                <w:bCs/>
                <w:sz w:val="20"/>
                <w:szCs w:val="20"/>
                <w:lang w:val="es-ES"/>
              </w:rPr>
            </w:pPr>
            <w:r w:rsidRPr="00451D00">
              <w:rPr>
                <w:rFonts w:ascii="Cambria" w:hAnsi="Cambria"/>
                <w:bCs/>
                <w:sz w:val="20"/>
                <w:szCs w:val="20"/>
                <w:lang w:val="es-ES"/>
              </w:rPr>
              <w:t>No</w:t>
            </w:r>
          </w:p>
        </w:tc>
      </w:tr>
      <w:tr w:rsidR="003239B8" w:rsidRPr="008231F0" w14:paraId="15FAA7D1" w14:textId="77777777" w:rsidTr="004B414D">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451D00" w:rsidRDefault="003239B8" w:rsidP="008D2290">
            <w:pPr>
              <w:jc w:val="center"/>
              <w:rPr>
                <w:rFonts w:ascii="Cambria" w:hAnsi="Cambria"/>
                <w:b/>
                <w:bCs/>
                <w:i/>
                <w:color w:val="FFFFFF" w:themeColor="background1"/>
                <w:sz w:val="20"/>
                <w:szCs w:val="20"/>
                <w:lang w:val="es-ES"/>
              </w:rPr>
            </w:pPr>
            <w:r w:rsidRPr="00451D00">
              <w:rPr>
                <w:rFonts w:ascii="Cambria" w:hAnsi="Cambria"/>
                <w:b/>
                <w:bCs/>
                <w:color w:val="FFFFFF" w:themeColor="background1"/>
                <w:sz w:val="20"/>
                <w:szCs w:val="20"/>
                <w:lang w:val="es-ES"/>
              </w:rPr>
              <w:t>Derechos declarados admisibles</w:t>
            </w:r>
            <w:r w:rsidRPr="00451D00">
              <w:rPr>
                <w:rFonts w:ascii="Cambria" w:hAnsi="Cambria"/>
                <w:b/>
                <w:bCs/>
                <w:i/>
                <w:color w:val="FFFFFF" w:themeColor="background1"/>
                <w:sz w:val="20"/>
                <w:szCs w:val="20"/>
                <w:lang w:val="es-ES"/>
              </w:rPr>
              <w:t>:</w:t>
            </w:r>
          </w:p>
        </w:tc>
        <w:tc>
          <w:tcPr>
            <w:tcW w:w="5772" w:type="dxa"/>
            <w:vAlign w:val="center"/>
          </w:tcPr>
          <w:p w14:paraId="6310C8F7" w14:textId="5DF45086" w:rsidR="003239B8" w:rsidRPr="00451D00" w:rsidRDefault="00FD5A5E" w:rsidP="008D2290">
            <w:pPr>
              <w:jc w:val="both"/>
              <w:rPr>
                <w:rFonts w:ascii="Cambria" w:hAnsi="Cambria"/>
                <w:bCs/>
                <w:sz w:val="20"/>
                <w:szCs w:val="20"/>
                <w:lang w:val="es-ES"/>
              </w:rPr>
            </w:pPr>
            <w:r w:rsidRPr="00451D00">
              <w:rPr>
                <w:rFonts w:ascii="Cambria" w:hAnsi="Cambria"/>
                <w:bCs/>
                <w:sz w:val="20"/>
                <w:szCs w:val="20"/>
                <w:lang w:val="es-ES"/>
              </w:rPr>
              <w:t>Artículos 4 (vida), 5 (integridad personal), 8 (garantías judiciales)</w:t>
            </w:r>
            <w:r w:rsidR="005422E2">
              <w:rPr>
                <w:rFonts w:ascii="Cambria" w:hAnsi="Cambria"/>
                <w:bCs/>
                <w:sz w:val="20"/>
                <w:szCs w:val="20"/>
                <w:lang w:val="es-ES"/>
              </w:rPr>
              <w:t>, 19 (derechos del niño)</w:t>
            </w:r>
            <w:r w:rsidRPr="00451D00">
              <w:rPr>
                <w:rFonts w:ascii="Cambria" w:hAnsi="Cambria"/>
                <w:bCs/>
                <w:sz w:val="20"/>
                <w:szCs w:val="20"/>
                <w:lang w:val="es-ES"/>
              </w:rPr>
              <w:t xml:space="preserve"> y 25 (protección judicial) de la Convención Americana, en relación con su artículo 1.1. (obligación de respetar los derechos)</w:t>
            </w:r>
            <w:r w:rsidR="001306BE" w:rsidRPr="00451D00">
              <w:rPr>
                <w:rFonts w:ascii="Cambria" w:hAnsi="Cambria"/>
                <w:bCs/>
                <w:sz w:val="20"/>
                <w:szCs w:val="20"/>
                <w:lang w:val="es-ES"/>
              </w:rPr>
              <w:t>;</w:t>
            </w:r>
            <w:r w:rsidRPr="00451D00">
              <w:rPr>
                <w:rFonts w:ascii="Cambria" w:hAnsi="Cambria"/>
                <w:bCs/>
                <w:sz w:val="20"/>
                <w:szCs w:val="20"/>
                <w:lang w:val="es-ES"/>
              </w:rPr>
              <w:t xml:space="preserve"> y </w:t>
            </w:r>
            <w:r w:rsidR="009077FE" w:rsidRPr="00451D00">
              <w:rPr>
                <w:rFonts w:ascii="Cambria" w:hAnsi="Cambria"/>
                <w:bCs/>
                <w:sz w:val="20"/>
                <w:szCs w:val="20"/>
                <w:lang w:val="es-ES"/>
              </w:rPr>
              <w:t xml:space="preserve">el </w:t>
            </w:r>
            <w:r w:rsidRPr="00451D00">
              <w:rPr>
                <w:rFonts w:ascii="Cambria" w:hAnsi="Cambria"/>
                <w:bCs/>
                <w:sz w:val="20"/>
                <w:szCs w:val="20"/>
                <w:lang w:val="es-ES"/>
              </w:rPr>
              <w:t>artículo 7 de la Convención de Belém do Pará</w:t>
            </w:r>
          </w:p>
        </w:tc>
      </w:tr>
      <w:tr w:rsidR="003239B8" w:rsidRPr="008231F0" w14:paraId="4EFD141E" w14:textId="77777777" w:rsidTr="004B414D">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lastRenderedPageBreak/>
              <w:t>Agotamiento de recursos internos</w:t>
            </w:r>
            <w:r w:rsidR="00EE00E9" w:rsidRPr="00451D00">
              <w:rPr>
                <w:rFonts w:ascii="Cambria" w:hAnsi="Cambria"/>
                <w:b/>
                <w:bCs/>
                <w:color w:val="FFFFFF" w:themeColor="background1"/>
                <w:sz w:val="20"/>
                <w:szCs w:val="20"/>
                <w:lang w:val="es-ES"/>
              </w:rPr>
              <w:t xml:space="preserve"> o procedencia de una excepción</w:t>
            </w:r>
            <w:r w:rsidRPr="00451D00">
              <w:rPr>
                <w:rFonts w:ascii="Cambria" w:hAnsi="Cambria"/>
                <w:b/>
                <w:bCs/>
                <w:color w:val="FFFFFF" w:themeColor="background1"/>
                <w:sz w:val="20"/>
                <w:szCs w:val="20"/>
                <w:lang w:val="es-ES"/>
              </w:rPr>
              <w:t>:</w:t>
            </w:r>
          </w:p>
        </w:tc>
        <w:tc>
          <w:tcPr>
            <w:tcW w:w="5772" w:type="dxa"/>
            <w:vAlign w:val="center"/>
          </w:tcPr>
          <w:p w14:paraId="69C53E8A" w14:textId="16074991" w:rsidR="003239B8" w:rsidRPr="00451D00" w:rsidRDefault="00FD5A5E" w:rsidP="008D2290">
            <w:pPr>
              <w:rPr>
                <w:rFonts w:ascii="Cambria" w:hAnsi="Cambria"/>
                <w:bCs/>
                <w:sz w:val="20"/>
                <w:szCs w:val="20"/>
                <w:lang w:val="es-ES"/>
              </w:rPr>
            </w:pPr>
            <w:r w:rsidRPr="00451D00">
              <w:rPr>
                <w:rFonts w:ascii="Cambria" w:hAnsi="Cambria"/>
                <w:bCs/>
                <w:sz w:val="20"/>
                <w:szCs w:val="20"/>
                <w:lang w:val="es-ES"/>
              </w:rPr>
              <w:t>S</w:t>
            </w:r>
            <w:r w:rsidR="00263311" w:rsidRPr="00451D00">
              <w:rPr>
                <w:rFonts w:ascii="Cambria" w:hAnsi="Cambria"/>
                <w:bCs/>
                <w:sz w:val="20"/>
                <w:szCs w:val="20"/>
                <w:lang w:val="es-ES"/>
              </w:rPr>
              <w:t>í, en los términos de la Sección VI</w:t>
            </w:r>
          </w:p>
        </w:tc>
      </w:tr>
      <w:tr w:rsidR="003239B8" w:rsidRPr="008231F0" w14:paraId="52B5BA17" w14:textId="77777777" w:rsidTr="004B414D">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451D00" w:rsidRDefault="003239B8" w:rsidP="008D2290">
            <w:pPr>
              <w:jc w:val="center"/>
              <w:rPr>
                <w:rFonts w:ascii="Cambria" w:hAnsi="Cambria"/>
                <w:b/>
                <w:bCs/>
                <w:color w:val="FFFFFF" w:themeColor="background1"/>
                <w:sz w:val="20"/>
                <w:szCs w:val="20"/>
                <w:lang w:val="es-ES"/>
              </w:rPr>
            </w:pPr>
            <w:r w:rsidRPr="00451D00">
              <w:rPr>
                <w:rFonts w:ascii="Cambria" w:hAnsi="Cambria"/>
                <w:b/>
                <w:bCs/>
                <w:color w:val="FFFFFF" w:themeColor="background1"/>
                <w:sz w:val="20"/>
                <w:szCs w:val="20"/>
                <w:lang w:val="es-ES"/>
              </w:rPr>
              <w:t>Presentación dentro de plazo:</w:t>
            </w:r>
          </w:p>
        </w:tc>
        <w:tc>
          <w:tcPr>
            <w:tcW w:w="5772" w:type="dxa"/>
            <w:vAlign w:val="center"/>
          </w:tcPr>
          <w:p w14:paraId="4A2A4569" w14:textId="3771A63C" w:rsidR="003239B8" w:rsidRPr="00451D00" w:rsidRDefault="00FD5A5E" w:rsidP="008D2290">
            <w:pPr>
              <w:rPr>
                <w:rFonts w:ascii="Cambria" w:hAnsi="Cambria"/>
                <w:bCs/>
                <w:sz w:val="20"/>
                <w:szCs w:val="20"/>
                <w:lang w:val="es-ES"/>
              </w:rPr>
            </w:pPr>
            <w:r w:rsidRPr="00451D00">
              <w:rPr>
                <w:rFonts w:ascii="Cambria" w:hAnsi="Cambria"/>
                <w:bCs/>
                <w:sz w:val="20"/>
                <w:szCs w:val="20"/>
                <w:lang w:val="es-ES"/>
              </w:rPr>
              <w:t>S</w:t>
            </w:r>
            <w:r w:rsidR="00263311" w:rsidRPr="00451D00">
              <w:rPr>
                <w:rFonts w:ascii="Cambria" w:hAnsi="Cambria"/>
                <w:bCs/>
                <w:sz w:val="20"/>
                <w:szCs w:val="20"/>
                <w:lang w:val="es-ES"/>
              </w:rPr>
              <w:t>í, en los términos de la Sección VI</w:t>
            </w:r>
          </w:p>
        </w:tc>
      </w:tr>
    </w:tbl>
    <w:p w14:paraId="18E6423B" w14:textId="0107F3A7" w:rsidR="003239B8" w:rsidRPr="00262C80" w:rsidRDefault="00223A29" w:rsidP="003239B8">
      <w:pPr>
        <w:spacing w:before="240" w:after="240"/>
        <w:ind w:firstLine="720"/>
        <w:jc w:val="both"/>
        <w:rPr>
          <w:rFonts w:asciiTheme="majorHAnsi" w:hAnsiTheme="majorHAnsi"/>
          <w:b/>
          <w:sz w:val="20"/>
          <w:szCs w:val="20"/>
          <w:lang w:val="es-ES_tradnl"/>
        </w:rPr>
      </w:pPr>
      <w:r w:rsidRPr="00451D00">
        <w:rPr>
          <w:rFonts w:asciiTheme="majorHAnsi" w:hAnsiTheme="majorHAnsi"/>
          <w:b/>
          <w:sz w:val="20"/>
          <w:szCs w:val="20"/>
          <w:lang w:val="es-ES"/>
        </w:rPr>
        <w:t xml:space="preserve">V. </w:t>
      </w:r>
      <w:r w:rsidRPr="00451D00">
        <w:rPr>
          <w:rFonts w:asciiTheme="majorHAnsi" w:hAnsiTheme="majorHAnsi"/>
          <w:b/>
          <w:sz w:val="20"/>
          <w:szCs w:val="20"/>
          <w:lang w:val="es-ES"/>
        </w:rPr>
        <w:tab/>
      </w:r>
      <w:r w:rsidR="00867314" w:rsidRPr="00262C80">
        <w:rPr>
          <w:rFonts w:asciiTheme="majorHAnsi" w:hAnsiTheme="majorHAnsi"/>
          <w:b/>
          <w:sz w:val="20"/>
          <w:szCs w:val="20"/>
          <w:lang w:val="es-ES_tradnl"/>
        </w:rPr>
        <w:t>POSICIÓN DE LAS PARTES</w:t>
      </w:r>
    </w:p>
    <w:p w14:paraId="19EBAEB3" w14:textId="175704BF" w:rsidR="008C5E2D" w:rsidRPr="00262C80" w:rsidRDefault="005F7422" w:rsidP="003F53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La presente petición se refiere </w:t>
      </w:r>
      <w:r w:rsidR="00FD5A5E" w:rsidRPr="00262C80">
        <w:rPr>
          <w:rFonts w:asciiTheme="majorHAnsi" w:hAnsiTheme="majorHAnsi"/>
          <w:sz w:val="20"/>
          <w:szCs w:val="20"/>
          <w:lang w:val="es-ES_tradnl"/>
        </w:rPr>
        <w:t>a</w:t>
      </w:r>
      <w:r w:rsidR="00263311" w:rsidRPr="00262C80">
        <w:rPr>
          <w:rFonts w:asciiTheme="majorHAnsi" w:hAnsiTheme="majorHAnsi"/>
          <w:sz w:val="20"/>
          <w:szCs w:val="20"/>
          <w:lang w:val="es-ES_tradnl"/>
        </w:rPr>
        <w:t xml:space="preserve"> la masacre ocurrida en inmediaciones de la finca El Tumbador donde fueron asesinadas cinco personas</w:t>
      </w:r>
      <w:r w:rsidR="00E55FE1" w:rsidRPr="00262C80">
        <w:rPr>
          <w:rStyle w:val="FootnoteReference"/>
          <w:rFonts w:asciiTheme="majorHAnsi" w:hAnsiTheme="majorHAnsi"/>
          <w:sz w:val="20"/>
          <w:szCs w:val="20"/>
          <w:lang w:val="es-ES_tradnl"/>
        </w:rPr>
        <w:footnoteReference w:id="5"/>
      </w:r>
      <w:r w:rsidR="009D69B9" w:rsidRPr="00262C80">
        <w:rPr>
          <w:rFonts w:asciiTheme="majorHAnsi" w:hAnsiTheme="majorHAnsi"/>
          <w:sz w:val="20"/>
          <w:szCs w:val="20"/>
          <w:lang w:val="es-ES_tradnl"/>
        </w:rPr>
        <w:t xml:space="preserve"> </w:t>
      </w:r>
      <w:r w:rsidR="00263311" w:rsidRPr="00262C80">
        <w:rPr>
          <w:rFonts w:asciiTheme="majorHAnsi" w:hAnsiTheme="majorHAnsi"/>
          <w:sz w:val="20"/>
          <w:szCs w:val="20"/>
          <w:lang w:val="es-ES_tradnl"/>
        </w:rPr>
        <w:t xml:space="preserve"> y resultaron heridas otras cinco</w:t>
      </w:r>
      <w:r w:rsidR="00E55FE1" w:rsidRPr="00262C80">
        <w:rPr>
          <w:rStyle w:val="FootnoteReference"/>
          <w:rFonts w:asciiTheme="majorHAnsi" w:hAnsiTheme="majorHAnsi"/>
          <w:sz w:val="20"/>
          <w:szCs w:val="20"/>
          <w:lang w:val="es-ES_tradnl"/>
        </w:rPr>
        <w:footnoteReference w:id="6"/>
      </w:r>
      <w:r w:rsidR="006B50F8" w:rsidRPr="00262C80">
        <w:rPr>
          <w:rFonts w:asciiTheme="majorHAnsi" w:hAnsiTheme="majorHAnsi"/>
          <w:sz w:val="20"/>
          <w:szCs w:val="20"/>
          <w:lang w:val="es-ES_tradnl"/>
        </w:rPr>
        <w:t>;</w:t>
      </w:r>
      <w:r w:rsidR="00263311" w:rsidRPr="00262C80">
        <w:rPr>
          <w:rFonts w:asciiTheme="majorHAnsi" w:hAnsiTheme="majorHAnsi"/>
          <w:sz w:val="20"/>
          <w:szCs w:val="20"/>
          <w:lang w:val="es-ES_tradnl"/>
        </w:rPr>
        <w:t xml:space="preserve"> así como </w:t>
      </w:r>
      <w:r w:rsidR="006B50F8" w:rsidRPr="00262C80">
        <w:rPr>
          <w:rFonts w:asciiTheme="majorHAnsi" w:hAnsiTheme="majorHAnsi"/>
          <w:sz w:val="20"/>
          <w:szCs w:val="20"/>
          <w:lang w:val="es-ES_tradnl"/>
        </w:rPr>
        <w:t>a</w:t>
      </w:r>
      <w:r w:rsidR="00263311" w:rsidRPr="00262C80">
        <w:rPr>
          <w:rFonts w:asciiTheme="majorHAnsi" w:hAnsiTheme="majorHAnsi"/>
          <w:sz w:val="20"/>
          <w:szCs w:val="20"/>
          <w:lang w:val="es-ES_tradnl"/>
        </w:rPr>
        <w:t xml:space="preserve"> las amenazas y </w:t>
      </w:r>
      <w:r w:rsidR="00242269" w:rsidRPr="00262C80">
        <w:rPr>
          <w:rFonts w:asciiTheme="majorHAnsi" w:hAnsiTheme="majorHAnsi"/>
          <w:sz w:val="20"/>
          <w:szCs w:val="20"/>
          <w:lang w:val="es-ES_tradnl"/>
        </w:rPr>
        <w:t>afectaciones a la integridad personal de</w:t>
      </w:r>
      <w:r w:rsidR="00263311" w:rsidRPr="00262C80">
        <w:rPr>
          <w:rFonts w:asciiTheme="majorHAnsi" w:hAnsiTheme="majorHAnsi"/>
          <w:sz w:val="20"/>
          <w:szCs w:val="20"/>
          <w:lang w:val="es-ES_tradnl"/>
        </w:rPr>
        <w:t xml:space="preserve"> cuatro mujeres</w:t>
      </w:r>
      <w:r w:rsidR="00E55FE1" w:rsidRPr="00262C80">
        <w:rPr>
          <w:rStyle w:val="FootnoteReference"/>
          <w:rFonts w:asciiTheme="majorHAnsi" w:hAnsiTheme="majorHAnsi"/>
          <w:sz w:val="20"/>
          <w:szCs w:val="20"/>
          <w:lang w:val="es-ES_tradnl"/>
        </w:rPr>
        <w:footnoteReference w:id="7"/>
      </w:r>
      <w:r w:rsidR="00263311" w:rsidRPr="00262C80">
        <w:rPr>
          <w:rFonts w:asciiTheme="majorHAnsi" w:hAnsiTheme="majorHAnsi"/>
          <w:sz w:val="20"/>
          <w:szCs w:val="20"/>
          <w:lang w:val="es-ES_tradnl"/>
        </w:rPr>
        <w:t xml:space="preserve">, sin que se haya realizado una debida investigación, juzgamiento y sanción de los responsables. </w:t>
      </w:r>
    </w:p>
    <w:p w14:paraId="5E1B01BC" w14:textId="7C778881" w:rsidR="00FD5A5E" w:rsidRPr="00262C80" w:rsidRDefault="00FD5A5E" w:rsidP="00FD5A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62C80">
        <w:rPr>
          <w:rFonts w:asciiTheme="majorHAnsi" w:hAnsiTheme="majorHAnsi"/>
          <w:i/>
          <w:iCs/>
          <w:sz w:val="20"/>
          <w:szCs w:val="20"/>
          <w:lang w:val="es-ES_tradnl"/>
        </w:rPr>
        <w:t>Posición de los peticionarios</w:t>
      </w:r>
    </w:p>
    <w:p w14:paraId="66DBCF66" w14:textId="523677E0" w:rsidR="00FD5A5E" w:rsidRPr="00262C80" w:rsidRDefault="005F7422" w:rsidP="00FD5A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En la petición se explica que los hechos sucedieron </w:t>
      </w:r>
      <w:r w:rsidR="00F47AB1" w:rsidRPr="00262C80">
        <w:rPr>
          <w:rFonts w:asciiTheme="majorHAnsi" w:hAnsiTheme="majorHAnsi"/>
          <w:sz w:val="20"/>
          <w:szCs w:val="20"/>
          <w:lang w:val="es-ES_tradnl"/>
        </w:rPr>
        <w:t>como parte</w:t>
      </w:r>
      <w:r w:rsidRPr="00262C80">
        <w:rPr>
          <w:rFonts w:asciiTheme="majorHAnsi" w:hAnsiTheme="majorHAnsi"/>
          <w:sz w:val="20"/>
          <w:szCs w:val="20"/>
          <w:lang w:val="es-ES_tradnl"/>
        </w:rPr>
        <w:t xml:space="preserve"> del conflicto agrario suscitado entre campesinos y empresarios a raíz de la normativa y políticas públicas en materia agraria adoptadas por el Estado a partir de los años noventa, ocasionando un contexto de represión y violencia contra comunidades y organizaciones campesinas en la región del Valle del Bajo Aguan, departamento de Colón. </w:t>
      </w:r>
    </w:p>
    <w:p w14:paraId="20D37671" w14:textId="3C6F0392" w:rsidR="00974963" w:rsidRPr="00262C80" w:rsidRDefault="004F430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N</w:t>
      </w:r>
      <w:r w:rsidR="00974963" w:rsidRPr="00262C80">
        <w:rPr>
          <w:rFonts w:asciiTheme="majorHAnsi" w:hAnsiTheme="majorHAnsi"/>
          <w:sz w:val="20"/>
          <w:szCs w:val="20"/>
          <w:lang w:val="es-ES_tradnl"/>
        </w:rPr>
        <w:t xml:space="preserve">arran que el 15 de noviembre de 2010 un grupo de </w:t>
      </w:r>
      <w:r w:rsidR="00516DC9" w:rsidRPr="00262C80">
        <w:rPr>
          <w:rFonts w:asciiTheme="majorHAnsi" w:hAnsiTheme="majorHAnsi"/>
          <w:sz w:val="20"/>
          <w:szCs w:val="20"/>
          <w:lang w:val="es-ES_tradnl"/>
        </w:rPr>
        <w:t>ciento ochenta</w:t>
      </w:r>
      <w:r w:rsidR="00974963" w:rsidRPr="00262C80">
        <w:rPr>
          <w:rFonts w:asciiTheme="majorHAnsi" w:hAnsiTheme="majorHAnsi"/>
          <w:sz w:val="20"/>
          <w:szCs w:val="20"/>
          <w:lang w:val="es-ES_tradnl"/>
        </w:rPr>
        <w:t xml:space="preserve"> campesinos se movilizaron </w:t>
      </w:r>
      <w:r w:rsidR="00516DC9" w:rsidRPr="00262C80">
        <w:rPr>
          <w:rFonts w:asciiTheme="majorHAnsi" w:hAnsiTheme="majorHAnsi"/>
          <w:sz w:val="20"/>
          <w:szCs w:val="20"/>
          <w:lang w:val="es-ES_tradnl"/>
        </w:rPr>
        <w:t xml:space="preserve">pacíficamente </w:t>
      </w:r>
      <w:r w:rsidR="00974963" w:rsidRPr="00262C80">
        <w:rPr>
          <w:rFonts w:asciiTheme="majorHAnsi" w:hAnsiTheme="majorHAnsi"/>
          <w:sz w:val="20"/>
          <w:szCs w:val="20"/>
          <w:lang w:val="es-ES_tradnl"/>
        </w:rPr>
        <w:t xml:space="preserve">desde el Asentamiento de Guadalupe Carney hacia los predios de la finca El Tumbador, con el objeto de recuperar quinientas veinte hectáreas que consideraban suyas. </w:t>
      </w:r>
      <w:r w:rsidR="001D20D8" w:rsidRPr="00262C80">
        <w:rPr>
          <w:rFonts w:asciiTheme="majorHAnsi" w:hAnsiTheme="majorHAnsi"/>
          <w:sz w:val="20"/>
          <w:szCs w:val="20"/>
          <w:lang w:val="es-ES_tradnl"/>
        </w:rPr>
        <w:t>Así, a</w:t>
      </w:r>
      <w:r w:rsidR="00974963" w:rsidRPr="00262C80">
        <w:rPr>
          <w:rFonts w:asciiTheme="majorHAnsi" w:hAnsiTheme="majorHAnsi"/>
          <w:sz w:val="20"/>
          <w:szCs w:val="20"/>
          <w:lang w:val="es-ES_tradnl"/>
        </w:rPr>
        <w:t xml:space="preserve">lrededor de las 6:30 a.m. entre la zona boscosa de los predios del </w:t>
      </w:r>
      <w:r w:rsidR="00AA3FCB" w:rsidRPr="00262C80">
        <w:rPr>
          <w:rFonts w:asciiTheme="majorHAnsi" w:hAnsiTheme="majorHAnsi"/>
          <w:sz w:val="20"/>
          <w:szCs w:val="20"/>
          <w:lang w:val="es-ES_tradnl"/>
        </w:rPr>
        <w:t>Movimiento Campesino del Aguán (</w:t>
      </w:r>
      <w:r w:rsidR="00974963" w:rsidRPr="00262C80">
        <w:rPr>
          <w:rFonts w:asciiTheme="majorHAnsi" w:hAnsiTheme="majorHAnsi"/>
          <w:sz w:val="20"/>
          <w:szCs w:val="20"/>
          <w:lang w:val="es-ES_tradnl"/>
        </w:rPr>
        <w:t>MCA</w:t>
      </w:r>
      <w:r w:rsidR="00AA3FCB" w:rsidRPr="00262C80">
        <w:rPr>
          <w:rFonts w:asciiTheme="majorHAnsi" w:hAnsiTheme="majorHAnsi"/>
          <w:sz w:val="20"/>
          <w:szCs w:val="20"/>
          <w:lang w:val="es-ES_tradnl"/>
        </w:rPr>
        <w:t>)</w:t>
      </w:r>
      <w:r w:rsidR="00974963" w:rsidRPr="00262C80">
        <w:rPr>
          <w:rFonts w:asciiTheme="majorHAnsi" w:hAnsiTheme="majorHAnsi"/>
          <w:sz w:val="20"/>
          <w:szCs w:val="20"/>
          <w:lang w:val="es-ES_tradnl"/>
        </w:rPr>
        <w:t xml:space="preserve"> pertenecientes a las empresas asociativas “14 de Julio” y “Unión Cristiana Uno”</w:t>
      </w:r>
      <w:r w:rsidR="00A045FC" w:rsidRPr="00262C80">
        <w:rPr>
          <w:rFonts w:asciiTheme="majorHAnsi" w:hAnsiTheme="majorHAnsi"/>
          <w:sz w:val="20"/>
          <w:szCs w:val="20"/>
          <w:lang w:val="es-ES_tradnl"/>
        </w:rPr>
        <w:t xml:space="preserve"> </w:t>
      </w:r>
      <w:r w:rsidR="00974963" w:rsidRPr="00262C80">
        <w:rPr>
          <w:rFonts w:asciiTheme="majorHAnsi" w:hAnsiTheme="majorHAnsi"/>
          <w:sz w:val="20"/>
          <w:szCs w:val="20"/>
          <w:lang w:val="es-ES_tradnl"/>
        </w:rPr>
        <w:t>a medio kilómetro del portón de ingreso</w:t>
      </w:r>
      <w:r w:rsidR="00A045FC" w:rsidRPr="00262C80">
        <w:rPr>
          <w:rFonts w:asciiTheme="majorHAnsi" w:hAnsiTheme="majorHAnsi"/>
          <w:sz w:val="20"/>
          <w:szCs w:val="20"/>
          <w:lang w:val="es-ES_tradnl"/>
        </w:rPr>
        <w:t>,</w:t>
      </w:r>
      <w:r w:rsidR="00974963" w:rsidRPr="00262C80">
        <w:rPr>
          <w:rFonts w:asciiTheme="majorHAnsi" w:hAnsiTheme="majorHAnsi"/>
          <w:sz w:val="20"/>
          <w:szCs w:val="20"/>
          <w:lang w:val="es-ES_tradnl"/>
        </w:rPr>
        <w:t xml:space="preserve"> guardias de la empresa de seguridad Orión, contratados por la Corporación Dinant, comenzaron a dispararles de manera </w:t>
      </w:r>
      <w:r w:rsidR="00A045FC" w:rsidRPr="00262C80">
        <w:rPr>
          <w:rFonts w:asciiTheme="majorHAnsi" w:hAnsiTheme="majorHAnsi"/>
          <w:sz w:val="20"/>
          <w:szCs w:val="20"/>
          <w:lang w:val="es-ES_tradnl"/>
        </w:rPr>
        <w:t>indiscriminada.</w:t>
      </w:r>
    </w:p>
    <w:p w14:paraId="11DA9D96" w14:textId="56376466" w:rsidR="00A045FC" w:rsidRPr="00262C80" w:rsidRDefault="00A045F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Señalan que entre las 6:30 y </w:t>
      </w:r>
      <w:r w:rsidR="004005E7" w:rsidRPr="00262C80">
        <w:rPr>
          <w:rFonts w:asciiTheme="majorHAnsi" w:hAnsiTheme="majorHAnsi"/>
          <w:sz w:val="20"/>
          <w:szCs w:val="20"/>
          <w:lang w:val="es-ES_tradnl"/>
        </w:rPr>
        <w:t xml:space="preserve">las </w:t>
      </w:r>
      <w:r w:rsidRPr="00262C80">
        <w:rPr>
          <w:rFonts w:asciiTheme="majorHAnsi" w:hAnsiTheme="majorHAnsi"/>
          <w:sz w:val="20"/>
          <w:szCs w:val="20"/>
          <w:lang w:val="es-ES_tradnl"/>
        </w:rPr>
        <w:t xml:space="preserve">7:00 a.m. se realizó una llamada a la Policía Preventiva de Trujillo, sin embargo los policías junto con sus superiores salieron de sus oficinas alrededor de las 7:50 a.m., a pesar de ubicarse a menos de veinte minutos en automóvil del lugar de los hechos. </w:t>
      </w:r>
    </w:p>
    <w:p w14:paraId="24C910E8" w14:textId="6545F478" w:rsidR="00A045FC" w:rsidRPr="00262C80" w:rsidRDefault="00A045F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Algunos campesinos que se encontraban vigilando la carretera frente al desvío para llegar a la finca </w:t>
      </w:r>
      <w:r w:rsidR="00AC6B2B" w:rsidRPr="00262C80">
        <w:rPr>
          <w:rFonts w:asciiTheme="majorHAnsi" w:hAnsiTheme="majorHAnsi"/>
          <w:sz w:val="20"/>
          <w:szCs w:val="20"/>
          <w:lang w:val="es-ES_tradnl"/>
        </w:rPr>
        <w:t>E</w:t>
      </w:r>
      <w:r w:rsidRPr="00262C80">
        <w:rPr>
          <w:rFonts w:asciiTheme="majorHAnsi" w:hAnsiTheme="majorHAnsi"/>
          <w:sz w:val="20"/>
          <w:szCs w:val="20"/>
          <w:lang w:val="es-ES_tradnl"/>
        </w:rPr>
        <w:t xml:space="preserve">l Tumbador </w:t>
      </w:r>
      <w:r w:rsidR="00F9577C" w:rsidRPr="00262C80">
        <w:rPr>
          <w:rFonts w:asciiTheme="majorHAnsi" w:hAnsiTheme="majorHAnsi"/>
          <w:sz w:val="20"/>
          <w:szCs w:val="20"/>
          <w:lang w:val="es-ES_tradnl"/>
        </w:rPr>
        <w:t>vieron</w:t>
      </w:r>
      <w:r w:rsidRPr="00262C80">
        <w:rPr>
          <w:rFonts w:asciiTheme="majorHAnsi" w:hAnsiTheme="majorHAnsi"/>
          <w:sz w:val="20"/>
          <w:szCs w:val="20"/>
          <w:lang w:val="es-ES_tradnl"/>
        </w:rPr>
        <w:t xml:space="preserve"> cerca de siete vehículos con hombres fuertemente armados que se dirigían al lugar de los hechos. También observaron dos camiones tipo comando de los que se bajaron efectivos militares adscritos al Décimo Quinto Batallón de Fuerzas Especiales, quienes previamente se quitaron prendas militares y se vistieron de civil para luego desplazarse hacia la entrada del desvío a la finca.</w:t>
      </w:r>
      <w:r w:rsidR="00C022DB" w:rsidRPr="00262C80">
        <w:rPr>
          <w:rFonts w:asciiTheme="majorHAnsi" w:hAnsiTheme="majorHAnsi"/>
          <w:sz w:val="20"/>
          <w:szCs w:val="20"/>
          <w:lang w:val="es-ES_tradnl"/>
        </w:rPr>
        <w:t xml:space="preserve"> Los testigos que observaron el ingreso de estos hombres reconocieron </w:t>
      </w:r>
      <w:r w:rsidR="00AC6B2B" w:rsidRPr="00262C80">
        <w:rPr>
          <w:rFonts w:asciiTheme="majorHAnsi" w:hAnsiTheme="majorHAnsi"/>
          <w:sz w:val="20"/>
          <w:szCs w:val="20"/>
          <w:lang w:val="es-ES_tradnl"/>
        </w:rPr>
        <w:t xml:space="preserve">que portaban </w:t>
      </w:r>
      <w:r w:rsidR="00C022DB" w:rsidRPr="00262C80">
        <w:rPr>
          <w:rFonts w:asciiTheme="majorHAnsi" w:hAnsiTheme="majorHAnsi"/>
          <w:sz w:val="20"/>
          <w:szCs w:val="20"/>
          <w:lang w:val="es-ES_tradnl"/>
        </w:rPr>
        <w:t xml:space="preserve">armas </w:t>
      </w:r>
      <w:r w:rsidR="00E96A1B" w:rsidRPr="00262C80">
        <w:rPr>
          <w:rFonts w:asciiTheme="majorHAnsi" w:hAnsiTheme="majorHAnsi"/>
          <w:sz w:val="20"/>
          <w:szCs w:val="20"/>
          <w:lang w:val="es-ES_tradnl"/>
        </w:rPr>
        <w:t>de uso militar como fusiles</w:t>
      </w:r>
      <w:r w:rsidR="00C022DB" w:rsidRPr="00262C80">
        <w:rPr>
          <w:rFonts w:asciiTheme="majorHAnsi" w:hAnsiTheme="majorHAnsi"/>
          <w:sz w:val="20"/>
          <w:szCs w:val="20"/>
          <w:lang w:val="es-ES_tradnl"/>
        </w:rPr>
        <w:t xml:space="preserve"> AK-47, M-16, R-15, ametralladoras y subametralladoras. </w:t>
      </w:r>
    </w:p>
    <w:p w14:paraId="35FDE310" w14:textId="40198A9A" w:rsidR="00C022DB" w:rsidRPr="00262C80" w:rsidRDefault="00C022D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Como consecuencia del ataque murieron </w:t>
      </w:r>
      <w:r w:rsidR="00AC6B2B" w:rsidRPr="00262C80">
        <w:rPr>
          <w:rFonts w:asciiTheme="majorHAnsi" w:hAnsiTheme="majorHAnsi"/>
          <w:sz w:val="20"/>
          <w:szCs w:val="20"/>
          <w:lang w:val="es-ES_tradnl"/>
        </w:rPr>
        <w:t xml:space="preserve">los Sres. </w:t>
      </w:r>
      <w:r w:rsidRPr="00262C80">
        <w:rPr>
          <w:rFonts w:asciiTheme="majorHAnsi" w:hAnsiTheme="majorHAnsi"/>
          <w:sz w:val="20"/>
          <w:szCs w:val="20"/>
          <w:lang w:val="es-ES_tradnl"/>
        </w:rPr>
        <w:t xml:space="preserve">Ciriaco de Jesús Muñoz, Raúl Castillo, Teodoro Acosta, José Luis Salcedo e Ignacio Reyes; y resultaron heridos Francisco Seledonio Ramírez, Pedro Deras, Marvin Jerónimo Méndez, Abraham Martínez Ventura. </w:t>
      </w:r>
      <w:r w:rsidR="00B06DF3" w:rsidRPr="00262C80">
        <w:rPr>
          <w:rFonts w:asciiTheme="majorHAnsi" w:hAnsiTheme="majorHAnsi"/>
          <w:sz w:val="20"/>
          <w:szCs w:val="20"/>
          <w:lang w:val="es-ES_tradnl"/>
        </w:rPr>
        <w:t>Por su parte,</w:t>
      </w:r>
      <w:r w:rsidRPr="00262C80">
        <w:rPr>
          <w:rFonts w:asciiTheme="majorHAnsi" w:hAnsiTheme="majorHAnsi"/>
          <w:sz w:val="20"/>
          <w:szCs w:val="20"/>
          <w:lang w:val="es-ES_tradnl"/>
        </w:rPr>
        <w:t xml:space="preserve"> José Luis Dubón fue objeto de </w:t>
      </w:r>
      <w:r w:rsidR="006A47AF" w:rsidRPr="00262C80">
        <w:rPr>
          <w:rFonts w:asciiTheme="majorHAnsi" w:hAnsiTheme="majorHAnsi"/>
          <w:sz w:val="20"/>
          <w:szCs w:val="20"/>
          <w:lang w:val="es-ES_tradnl"/>
        </w:rPr>
        <w:t xml:space="preserve">un </w:t>
      </w:r>
      <w:r w:rsidRPr="00262C80">
        <w:rPr>
          <w:rFonts w:asciiTheme="majorHAnsi" w:hAnsiTheme="majorHAnsi"/>
          <w:sz w:val="20"/>
          <w:szCs w:val="20"/>
          <w:lang w:val="es-ES_tradnl"/>
        </w:rPr>
        <w:t xml:space="preserve">intento de ejecución, pues mientras se encontraba en el predio de la empresa asociativa “Justicia y Paz” en compañía de otros tres jóvenes, llegaron hombres armados gritando amenazas de muerte y disparando, razón por la cual huyó del lugar </w:t>
      </w:r>
      <w:r w:rsidR="005F1AD1" w:rsidRPr="00262C80">
        <w:rPr>
          <w:rFonts w:asciiTheme="majorHAnsi" w:hAnsiTheme="majorHAnsi"/>
          <w:sz w:val="20"/>
          <w:szCs w:val="20"/>
          <w:lang w:val="es-ES_tradnl"/>
        </w:rPr>
        <w:t xml:space="preserve">hacia una zona boscosa y se escondió en un agujero. </w:t>
      </w:r>
    </w:p>
    <w:p w14:paraId="7BA3B699" w14:textId="5289F1A5" w:rsidR="00F4541C" w:rsidRPr="00262C80" w:rsidRDefault="005F1AD1" w:rsidP="001306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Finalmente narran que las </w:t>
      </w:r>
      <w:r w:rsidR="00AC6B2B" w:rsidRPr="00262C80">
        <w:rPr>
          <w:rFonts w:asciiTheme="majorHAnsi" w:hAnsiTheme="majorHAnsi"/>
          <w:sz w:val="20"/>
          <w:szCs w:val="20"/>
          <w:lang w:val="es-ES_tradnl"/>
        </w:rPr>
        <w:t>Sras.</w:t>
      </w:r>
      <w:r w:rsidRPr="00262C80">
        <w:rPr>
          <w:rFonts w:asciiTheme="majorHAnsi" w:hAnsiTheme="majorHAnsi"/>
          <w:sz w:val="20"/>
          <w:szCs w:val="20"/>
          <w:lang w:val="es-ES_tradnl"/>
        </w:rPr>
        <w:t xml:space="preserve"> Apolinaria Urrea, Lilian Elizabeth Urrea, Jesús Regalado y María Arcadia Ramos</w:t>
      </w:r>
      <w:r w:rsidR="00D26C7B"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fueron detenidas por hombres armados cerca de tres horas, donde fueron amenazadas con ser violadas sexualmente y asesinadas, además de recibir golpes e insultos. </w:t>
      </w:r>
      <w:r w:rsidR="00924C85" w:rsidRPr="00262C80">
        <w:rPr>
          <w:rFonts w:asciiTheme="majorHAnsi" w:hAnsiTheme="majorHAnsi"/>
          <w:sz w:val="20"/>
          <w:szCs w:val="20"/>
          <w:lang w:val="es-ES_tradnl"/>
        </w:rPr>
        <w:t>A pesar de haber denunciado estos hechos ante la Fiscalía Especial de Derechos Humanos, alegan que no se inició ningún proceso penal dirigido a determinar a los responsables.</w:t>
      </w:r>
    </w:p>
    <w:p w14:paraId="03D0B572" w14:textId="1D8CAF5E" w:rsidR="005F1AD1" w:rsidRPr="00262C80" w:rsidRDefault="005F1AD1" w:rsidP="00AC6B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62C80">
        <w:rPr>
          <w:rFonts w:asciiTheme="majorHAnsi" w:hAnsiTheme="majorHAnsi"/>
          <w:i/>
          <w:iCs/>
          <w:sz w:val="20"/>
          <w:szCs w:val="20"/>
          <w:lang w:val="es-ES_tradnl"/>
        </w:rPr>
        <w:lastRenderedPageBreak/>
        <w:t>Proceso judicial</w:t>
      </w:r>
      <w:r w:rsidR="00D26C7B" w:rsidRPr="00262C80">
        <w:rPr>
          <w:rFonts w:asciiTheme="majorHAnsi" w:hAnsiTheme="majorHAnsi"/>
          <w:i/>
          <w:iCs/>
          <w:sz w:val="20"/>
          <w:szCs w:val="20"/>
          <w:lang w:val="es-ES_tradnl"/>
        </w:rPr>
        <w:t xml:space="preserve"> </w:t>
      </w:r>
    </w:p>
    <w:p w14:paraId="7A404045" w14:textId="14B6DAFC" w:rsidR="00DE5101" w:rsidRPr="00262C80" w:rsidRDefault="00A6463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Los peticionarios indican</w:t>
      </w:r>
      <w:r w:rsidR="00DE5101" w:rsidRPr="00262C80">
        <w:rPr>
          <w:rFonts w:asciiTheme="majorHAnsi" w:hAnsiTheme="majorHAnsi"/>
          <w:sz w:val="20"/>
          <w:szCs w:val="20"/>
          <w:lang w:val="es-ES_tradnl"/>
        </w:rPr>
        <w:t xml:space="preserve"> que el 1 de diciembre de 2010</w:t>
      </w:r>
      <w:r w:rsidR="007A054D" w:rsidRPr="00262C80">
        <w:rPr>
          <w:rFonts w:asciiTheme="majorHAnsi" w:hAnsiTheme="majorHAnsi"/>
          <w:sz w:val="20"/>
          <w:szCs w:val="20"/>
          <w:lang w:val="es-ES_tradnl"/>
        </w:rPr>
        <w:t>,</w:t>
      </w:r>
      <w:r w:rsidR="00DE5101" w:rsidRPr="00262C80">
        <w:rPr>
          <w:rFonts w:asciiTheme="majorHAnsi" w:hAnsiTheme="majorHAnsi"/>
          <w:sz w:val="20"/>
          <w:szCs w:val="20"/>
          <w:lang w:val="es-ES_tradnl"/>
        </w:rPr>
        <w:t xml:space="preserve"> la fiscal </w:t>
      </w:r>
      <w:r w:rsidR="007A054D" w:rsidRPr="00262C80">
        <w:rPr>
          <w:rFonts w:asciiTheme="majorHAnsi" w:hAnsiTheme="majorHAnsi"/>
          <w:sz w:val="20"/>
          <w:szCs w:val="20"/>
          <w:lang w:val="es-ES_tradnl"/>
        </w:rPr>
        <w:t>perteneciente a la</w:t>
      </w:r>
      <w:r w:rsidR="00AC6B2B" w:rsidRPr="00262C80">
        <w:rPr>
          <w:rFonts w:asciiTheme="majorHAnsi" w:hAnsiTheme="majorHAnsi"/>
          <w:sz w:val="20"/>
          <w:szCs w:val="20"/>
          <w:lang w:val="es-ES_tradnl"/>
        </w:rPr>
        <w:t xml:space="preserve"> Fiscalía Especial de Derechos Humanos</w:t>
      </w:r>
      <w:r w:rsidR="007A054D" w:rsidRPr="00262C80">
        <w:rPr>
          <w:rFonts w:asciiTheme="majorHAnsi" w:hAnsiTheme="majorHAnsi"/>
          <w:sz w:val="20"/>
          <w:szCs w:val="20"/>
          <w:lang w:val="es-ES_tradnl"/>
        </w:rPr>
        <w:t xml:space="preserve"> </w:t>
      </w:r>
      <w:r w:rsidR="00DE5101" w:rsidRPr="00262C80">
        <w:rPr>
          <w:rFonts w:asciiTheme="majorHAnsi" w:hAnsiTheme="majorHAnsi"/>
          <w:sz w:val="20"/>
          <w:szCs w:val="20"/>
          <w:lang w:val="es-ES_tradnl"/>
        </w:rPr>
        <w:t xml:space="preserve">que asumió de oficio la dirección de la investigación </w:t>
      </w:r>
      <w:r w:rsidR="006C154F" w:rsidRPr="00262C80">
        <w:rPr>
          <w:rFonts w:asciiTheme="majorHAnsi" w:hAnsiTheme="majorHAnsi"/>
          <w:sz w:val="20"/>
          <w:szCs w:val="20"/>
          <w:lang w:val="es-ES_tradnl"/>
        </w:rPr>
        <w:t>dirigió</w:t>
      </w:r>
      <w:r w:rsidR="007A054D" w:rsidRPr="00262C80">
        <w:rPr>
          <w:rFonts w:asciiTheme="majorHAnsi" w:hAnsiTheme="majorHAnsi"/>
          <w:sz w:val="20"/>
          <w:szCs w:val="20"/>
          <w:lang w:val="es-ES_tradnl"/>
        </w:rPr>
        <w:t xml:space="preserve"> </w:t>
      </w:r>
      <w:r w:rsidR="00103380">
        <w:rPr>
          <w:rFonts w:asciiTheme="majorHAnsi" w:hAnsiTheme="majorHAnsi"/>
          <w:sz w:val="20"/>
          <w:szCs w:val="20"/>
          <w:lang w:val="es-ES_tradnl"/>
        </w:rPr>
        <w:t xml:space="preserve">un </w:t>
      </w:r>
      <w:r w:rsidR="007A054D" w:rsidRPr="00262C80">
        <w:rPr>
          <w:rFonts w:asciiTheme="majorHAnsi" w:hAnsiTheme="majorHAnsi"/>
          <w:sz w:val="20"/>
          <w:szCs w:val="20"/>
          <w:lang w:val="es-ES_tradnl"/>
        </w:rPr>
        <w:t>memor</w:t>
      </w:r>
      <w:r w:rsidR="006C154F" w:rsidRPr="00262C80">
        <w:rPr>
          <w:rFonts w:asciiTheme="majorHAnsi" w:hAnsiTheme="majorHAnsi"/>
          <w:sz w:val="20"/>
          <w:szCs w:val="20"/>
          <w:lang w:val="es-ES_tradnl"/>
        </w:rPr>
        <w:t>ando al</w:t>
      </w:r>
      <w:r w:rsidR="007A054D" w:rsidRPr="00262C80">
        <w:rPr>
          <w:rFonts w:asciiTheme="majorHAnsi" w:hAnsiTheme="majorHAnsi"/>
          <w:sz w:val="20"/>
          <w:szCs w:val="20"/>
          <w:lang w:val="es-ES_tradnl"/>
        </w:rPr>
        <w:t xml:space="preserve"> Fiscal General y la Directora de Fiscales</w:t>
      </w:r>
      <w:r w:rsidR="006C154F" w:rsidRPr="00262C80">
        <w:rPr>
          <w:rFonts w:asciiTheme="majorHAnsi" w:hAnsiTheme="majorHAnsi"/>
          <w:sz w:val="20"/>
          <w:szCs w:val="20"/>
          <w:lang w:val="es-ES_tradnl"/>
        </w:rPr>
        <w:t xml:space="preserve"> respondiéndoles sobre la alegada falta de </w:t>
      </w:r>
      <w:r w:rsidR="007A054D" w:rsidRPr="00262C80">
        <w:rPr>
          <w:rFonts w:asciiTheme="majorHAnsi" w:hAnsiTheme="majorHAnsi"/>
          <w:sz w:val="20"/>
          <w:szCs w:val="20"/>
          <w:lang w:val="es-ES_tradnl"/>
        </w:rPr>
        <w:t>competencia para realizar las investigaciones</w:t>
      </w:r>
      <w:r w:rsidR="006C154F" w:rsidRPr="00262C80">
        <w:rPr>
          <w:rFonts w:asciiTheme="majorHAnsi" w:hAnsiTheme="majorHAnsi"/>
          <w:sz w:val="20"/>
          <w:szCs w:val="20"/>
          <w:lang w:val="es-ES_tradnl"/>
        </w:rPr>
        <w:t xml:space="preserve"> que estos le manifestaron telefónicamente</w:t>
      </w:r>
      <w:r w:rsidR="00B83C4A" w:rsidRPr="00262C80">
        <w:rPr>
          <w:rFonts w:asciiTheme="majorHAnsi" w:hAnsiTheme="majorHAnsi"/>
          <w:sz w:val="20"/>
          <w:szCs w:val="20"/>
          <w:lang w:val="es-ES_tradnl"/>
        </w:rPr>
        <w:t xml:space="preserve"> el día anterior</w:t>
      </w:r>
      <w:r w:rsidR="006C154F" w:rsidRPr="00262C80">
        <w:rPr>
          <w:rFonts w:asciiTheme="majorHAnsi" w:hAnsiTheme="majorHAnsi"/>
          <w:sz w:val="20"/>
          <w:szCs w:val="20"/>
          <w:lang w:val="es-ES_tradnl"/>
        </w:rPr>
        <w:t>. En el mismo documento indicó q</w:t>
      </w:r>
      <w:r w:rsidR="007A054D" w:rsidRPr="00262C80">
        <w:rPr>
          <w:rFonts w:asciiTheme="majorHAnsi" w:hAnsiTheme="majorHAnsi"/>
          <w:sz w:val="20"/>
          <w:szCs w:val="20"/>
          <w:lang w:val="es-ES_tradnl"/>
        </w:rPr>
        <w:t xml:space="preserve">ue las </w:t>
      </w:r>
      <w:r w:rsidR="00D3306F" w:rsidRPr="00262C80">
        <w:rPr>
          <w:rFonts w:asciiTheme="majorHAnsi" w:hAnsiTheme="majorHAnsi"/>
          <w:sz w:val="20"/>
          <w:szCs w:val="20"/>
          <w:lang w:val="es-ES_tradnl"/>
        </w:rPr>
        <w:t>fuerzas</w:t>
      </w:r>
      <w:r w:rsidR="007A054D" w:rsidRPr="00262C80">
        <w:rPr>
          <w:rFonts w:asciiTheme="majorHAnsi" w:hAnsiTheme="majorHAnsi"/>
          <w:sz w:val="20"/>
          <w:szCs w:val="20"/>
          <w:lang w:val="es-ES_tradnl"/>
        </w:rPr>
        <w:t xml:space="preserve"> de seguridad no le prestaron la colaboración debida y que la consulta de los expedientes fue denegada a los fiscales de derechos humanos por instrucción de la Dirección Nacional de Fiscales. </w:t>
      </w:r>
      <w:r w:rsidR="006C154F" w:rsidRPr="00262C80">
        <w:rPr>
          <w:rFonts w:asciiTheme="majorHAnsi" w:hAnsiTheme="majorHAnsi"/>
          <w:sz w:val="20"/>
          <w:szCs w:val="20"/>
          <w:lang w:val="es-ES_tradnl"/>
        </w:rPr>
        <w:t>L</w:t>
      </w:r>
      <w:r w:rsidR="00263311" w:rsidRPr="00262C80">
        <w:rPr>
          <w:rFonts w:asciiTheme="majorHAnsi" w:hAnsiTheme="majorHAnsi"/>
          <w:sz w:val="20"/>
          <w:szCs w:val="20"/>
          <w:lang w:val="es-ES_tradnl"/>
        </w:rPr>
        <w:t>a</w:t>
      </w:r>
      <w:r w:rsidR="007A054D" w:rsidRPr="00262C80">
        <w:rPr>
          <w:rFonts w:asciiTheme="majorHAnsi" w:hAnsiTheme="majorHAnsi"/>
          <w:sz w:val="20"/>
          <w:szCs w:val="20"/>
          <w:lang w:val="es-ES_tradnl"/>
        </w:rPr>
        <w:t xml:space="preserve"> Directora de Fiscales el 3 de diciembre 2010 respondió negando la obstrucción al acceso a los expedientes e indicó que los fiscales ejercen sus funciones de acuerdo a la dependencia jerárquica material en la que se encuentren y el territorio en el cual fueron designados. </w:t>
      </w:r>
    </w:p>
    <w:p w14:paraId="29DB072D" w14:textId="183DF0DF" w:rsidR="005F1AD1" w:rsidRPr="00262C80" w:rsidRDefault="005F1AD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El 3 de diciembre de 2010 la policía confiscó las armas de fuego de los guardias que presuntamente participaron en el incidente. Posteriormente</w:t>
      </w:r>
      <w:r w:rsidR="009D56C3"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el 23 de octubre de 2012 el Ministerio Público presentó requerimiento fiscal contra seis personas que trabajaban como guardias de la empresa de seguridad Orión. El 21 de diciembre de ese mismo año los acusados </w:t>
      </w:r>
      <w:r w:rsidR="00D40731" w:rsidRPr="00262C80">
        <w:rPr>
          <w:rFonts w:asciiTheme="majorHAnsi" w:hAnsiTheme="majorHAnsi"/>
          <w:sz w:val="20"/>
          <w:szCs w:val="20"/>
          <w:lang w:val="es-ES_tradnl"/>
        </w:rPr>
        <w:t>ejercieron</w:t>
      </w:r>
      <w:r w:rsidRPr="00262C80">
        <w:rPr>
          <w:rFonts w:asciiTheme="majorHAnsi" w:hAnsiTheme="majorHAnsi"/>
          <w:sz w:val="20"/>
          <w:szCs w:val="20"/>
          <w:lang w:val="es-ES_tradnl"/>
        </w:rPr>
        <w:t xml:space="preserve"> su derecho a guardar silencio, por lo que el juez decidió dejar sin efectos las </w:t>
      </w:r>
      <w:r w:rsidR="00AC6B2B" w:rsidRPr="00262C80">
        <w:rPr>
          <w:rFonts w:asciiTheme="majorHAnsi" w:hAnsiTheme="majorHAnsi"/>
          <w:sz w:val="20"/>
          <w:szCs w:val="20"/>
          <w:lang w:val="es-ES_tradnl"/>
        </w:rPr>
        <w:t>órdenes</w:t>
      </w:r>
      <w:r w:rsidRPr="00262C80">
        <w:rPr>
          <w:rFonts w:asciiTheme="majorHAnsi" w:hAnsiTheme="majorHAnsi"/>
          <w:sz w:val="20"/>
          <w:szCs w:val="20"/>
          <w:lang w:val="es-ES_tradnl"/>
        </w:rPr>
        <w:t xml:space="preserve"> de captura considerando que éstos se presentaron de manera voluntaria y les impuso como medida cautelar la presentación obligatoria todos los viernes de cada semana y la prohibición de salida del país sin autorización del juzgado.</w:t>
      </w:r>
    </w:p>
    <w:p w14:paraId="484C7BD6" w14:textId="1C1015B1" w:rsidR="005F1AD1" w:rsidRPr="00262C80" w:rsidRDefault="005F1AD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El 18 de enero de 2013 se celebró </w:t>
      </w:r>
      <w:r w:rsidR="0078785D" w:rsidRPr="00262C80">
        <w:rPr>
          <w:rFonts w:asciiTheme="majorHAnsi" w:hAnsiTheme="majorHAnsi"/>
          <w:sz w:val="20"/>
          <w:szCs w:val="20"/>
          <w:lang w:val="es-ES_tradnl"/>
        </w:rPr>
        <w:t xml:space="preserve">la </w:t>
      </w:r>
      <w:r w:rsidRPr="00262C80">
        <w:rPr>
          <w:rFonts w:asciiTheme="majorHAnsi" w:hAnsiTheme="majorHAnsi"/>
          <w:sz w:val="20"/>
          <w:szCs w:val="20"/>
          <w:lang w:val="es-ES_tradnl"/>
        </w:rPr>
        <w:t xml:space="preserve">audiencia inicial </w:t>
      </w:r>
      <w:r w:rsidR="00DE5101" w:rsidRPr="00262C80">
        <w:rPr>
          <w:rFonts w:asciiTheme="majorHAnsi" w:hAnsiTheme="majorHAnsi"/>
          <w:sz w:val="20"/>
          <w:szCs w:val="20"/>
          <w:lang w:val="es-ES_tradnl"/>
        </w:rPr>
        <w:t xml:space="preserve">en la cual se consideró </w:t>
      </w:r>
      <w:r w:rsidRPr="00262C80">
        <w:rPr>
          <w:rFonts w:asciiTheme="majorHAnsi" w:hAnsiTheme="majorHAnsi"/>
          <w:sz w:val="20"/>
          <w:szCs w:val="20"/>
          <w:lang w:val="es-ES_tradnl"/>
        </w:rPr>
        <w:t>la imputación del delito de homicidio</w:t>
      </w:r>
      <w:r w:rsidR="00DE5101" w:rsidRPr="00262C80">
        <w:rPr>
          <w:rFonts w:asciiTheme="majorHAnsi" w:hAnsiTheme="majorHAnsi"/>
          <w:sz w:val="20"/>
          <w:szCs w:val="20"/>
          <w:lang w:val="es-ES_tradnl"/>
        </w:rPr>
        <w:t>. N</w:t>
      </w:r>
      <w:r w:rsidRPr="00262C80">
        <w:rPr>
          <w:rFonts w:asciiTheme="majorHAnsi" w:hAnsiTheme="majorHAnsi"/>
          <w:sz w:val="20"/>
          <w:szCs w:val="20"/>
          <w:lang w:val="es-ES_tradnl"/>
        </w:rPr>
        <w:t xml:space="preserve">o obstante </w:t>
      </w:r>
      <w:r w:rsidR="00DE5101" w:rsidRPr="00262C80">
        <w:rPr>
          <w:rFonts w:asciiTheme="majorHAnsi" w:hAnsiTheme="majorHAnsi"/>
          <w:sz w:val="20"/>
          <w:szCs w:val="20"/>
          <w:lang w:val="es-ES_tradnl"/>
        </w:rPr>
        <w:t>en esta audiencia el juez decidió dictar el sobreseimiento provisional de la causa alegando la falta de pruebas necesarias para identificar a los acusados</w:t>
      </w:r>
      <w:r w:rsidR="00AC6B2B" w:rsidRPr="00262C80">
        <w:rPr>
          <w:rFonts w:asciiTheme="majorHAnsi" w:hAnsiTheme="majorHAnsi"/>
          <w:sz w:val="20"/>
          <w:szCs w:val="20"/>
          <w:lang w:val="es-ES_tradnl"/>
        </w:rPr>
        <w:t xml:space="preserve">. </w:t>
      </w:r>
      <w:r w:rsidRPr="00262C80">
        <w:rPr>
          <w:rFonts w:asciiTheme="majorHAnsi" w:hAnsiTheme="majorHAnsi"/>
          <w:sz w:val="20"/>
          <w:szCs w:val="20"/>
          <w:lang w:val="es-ES_tradnl"/>
        </w:rPr>
        <w:t>Frente esta decisión</w:t>
      </w:r>
      <w:r w:rsidR="0081525F"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el Ministerio Público no presentó recurso de apelación</w:t>
      </w:r>
      <w:r w:rsidR="00DE5101" w:rsidRPr="00262C80">
        <w:rPr>
          <w:rFonts w:asciiTheme="majorHAnsi" w:hAnsiTheme="majorHAnsi"/>
          <w:sz w:val="20"/>
          <w:szCs w:val="20"/>
          <w:lang w:val="es-ES_tradnl"/>
        </w:rPr>
        <w:t xml:space="preserve"> lo que condujo al levantamiento de las medidas cautelares impuestas a los acusados</w:t>
      </w:r>
      <w:r w:rsidR="00540488" w:rsidRPr="00262C80">
        <w:rPr>
          <w:rFonts w:asciiTheme="majorHAnsi" w:hAnsiTheme="majorHAnsi"/>
          <w:sz w:val="20"/>
          <w:szCs w:val="20"/>
          <w:lang w:val="es-ES_tradnl"/>
        </w:rPr>
        <w:t xml:space="preserve"> (en este punto la fiscal inicial que actuó de oficio ya había dejado de conocer de</w:t>
      </w:r>
      <w:r w:rsidR="00084930" w:rsidRPr="00262C80">
        <w:rPr>
          <w:rFonts w:asciiTheme="majorHAnsi" w:hAnsiTheme="majorHAnsi"/>
          <w:sz w:val="20"/>
          <w:szCs w:val="20"/>
          <w:lang w:val="es-ES_tradnl"/>
        </w:rPr>
        <w:t>l caso</w:t>
      </w:r>
      <w:r w:rsidR="00540488" w:rsidRPr="00262C80">
        <w:rPr>
          <w:rFonts w:asciiTheme="majorHAnsi" w:hAnsiTheme="majorHAnsi"/>
          <w:sz w:val="20"/>
          <w:szCs w:val="20"/>
          <w:lang w:val="es-ES_tradnl"/>
        </w:rPr>
        <w:t>)</w:t>
      </w:r>
      <w:r w:rsidR="00DE5101" w:rsidRPr="00262C80">
        <w:rPr>
          <w:rFonts w:asciiTheme="majorHAnsi" w:hAnsiTheme="majorHAnsi"/>
          <w:sz w:val="20"/>
          <w:szCs w:val="20"/>
          <w:lang w:val="es-ES_tradnl"/>
        </w:rPr>
        <w:t>.</w:t>
      </w:r>
      <w:r w:rsidR="00D26C7B" w:rsidRPr="00262C80">
        <w:rPr>
          <w:rFonts w:asciiTheme="majorHAnsi" w:hAnsiTheme="majorHAnsi"/>
          <w:sz w:val="20"/>
          <w:szCs w:val="20"/>
          <w:lang w:val="es-ES_tradnl"/>
        </w:rPr>
        <w:t xml:space="preserve"> Adicionalmente</w:t>
      </w:r>
      <w:r w:rsidR="00084930" w:rsidRPr="00262C80">
        <w:rPr>
          <w:rFonts w:asciiTheme="majorHAnsi" w:hAnsiTheme="majorHAnsi"/>
          <w:sz w:val="20"/>
          <w:szCs w:val="20"/>
          <w:lang w:val="es-ES_tradnl"/>
        </w:rPr>
        <w:t>,</w:t>
      </w:r>
      <w:r w:rsidR="00D26C7B" w:rsidRPr="00262C80">
        <w:rPr>
          <w:rFonts w:asciiTheme="majorHAnsi" w:hAnsiTheme="majorHAnsi"/>
          <w:sz w:val="20"/>
          <w:szCs w:val="20"/>
          <w:lang w:val="es-ES_tradnl"/>
        </w:rPr>
        <w:t xml:space="preserve"> el juez rehusó la solicitud de l</w:t>
      </w:r>
      <w:r w:rsidR="006B5519" w:rsidRPr="00262C80">
        <w:rPr>
          <w:rFonts w:asciiTheme="majorHAnsi" w:hAnsiTheme="majorHAnsi"/>
          <w:sz w:val="20"/>
          <w:szCs w:val="20"/>
          <w:lang w:val="es-ES_tradnl"/>
        </w:rPr>
        <w:t>a abogada d</w:t>
      </w:r>
      <w:r w:rsidR="00D26C7B" w:rsidRPr="00262C80">
        <w:rPr>
          <w:rFonts w:asciiTheme="majorHAnsi" w:hAnsiTheme="majorHAnsi"/>
          <w:sz w:val="20"/>
          <w:szCs w:val="20"/>
          <w:lang w:val="es-ES_tradnl"/>
        </w:rPr>
        <w:t xml:space="preserve">e COFADEH para actuar como acusador privado con lo cual negó la participación de las presuntas víctimas y sus familiares en el proceso, arguyendo la falta de pruebas que acreditaran el matrimonio entre las viudas y </w:t>
      </w:r>
      <w:r w:rsidR="00247779" w:rsidRPr="00262C80">
        <w:rPr>
          <w:rFonts w:asciiTheme="majorHAnsi" w:hAnsiTheme="majorHAnsi"/>
          <w:sz w:val="20"/>
          <w:szCs w:val="20"/>
          <w:lang w:val="es-ES_tradnl"/>
        </w:rPr>
        <w:t>los</w:t>
      </w:r>
      <w:r w:rsidR="00D26C7B" w:rsidRPr="00262C80">
        <w:rPr>
          <w:rFonts w:asciiTheme="majorHAnsi" w:hAnsiTheme="majorHAnsi"/>
          <w:sz w:val="20"/>
          <w:szCs w:val="20"/>
          <w:lang w:val="es-ES_tradnl"/>
        </w:rPr>
        <w:t xml:space="preserve"> fallecid</w:t>
      </w:r>
      <w:r w:rsidR="00247779" w:rsidRPr="00262C80">
        <w:rPr>
          <w:rFonts w:asciiTheme="majorHAnsi" w:hAnsiTheme="majorHAnsi"/>
          <w:sz w:val="20"/>
          <w:szCs w:val="20"/>
          <w:lang w:val="es-ES_tradnl"/>
        </w:rPr>
        <w:t>o</w:t>
      </w:r>
      <w:r w:rsidR="00D26C7B" w:rsidRPr="00262C80">
        <w:rPr>
          <w:rFonts w:asciiTheme="majorHAnsi" w:hAnsiTheme="majorHAnsi"/>
          <w:sz w:val="20"/>
          <w:szCs w:val="20"/>
          <w:lang w:val="es-ES_tradnl"/>
        </w:rPr>
        <w:t xml:space="preserve">s a pesar de que existían declaraciones de las relaciones de hecho y la existencia de los hijos en común. </w:t>
      </w:r>
    </w:p>
    <w:p w14:paraId="17BF997C" w14:textId="1623BF75" w:rsidR="00474DAF" w:rsidRPr="00262C80" w:rsidRDefault="00D65184" w:rsidP="00474D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El 2 de marzo de 2016 uno de los peticionarios envió una carta al Fiscal General </w:t>
      </w:r>
      <w:r w:rsidR="00474DAF" w:rsidRPr="00262C80">
        <w:rPr>
          <w:rFonts w:asciiTheme="majorHAnsi" w:hAnsiTheme="majorHAnsi"/>
          <w:sz w:val="20"/>
          <w:szCs w:val="20"/>
          <w:lang w:val="es-ES_tradnl"/>
        </w:rPr>
        <w:t>en la que le solicitó información detallada sobre los avances de la investigación de los hechos ocurridos en la finca El Tumbador. El 28 de marzo de ese mismo año, la Subdirectora General de Fiscalía respondió indicando que desde que se dictó el sobreseimiento provisional, el expediente se encontraba en constante investigación. Finalmente, a</w:t>
      </w:r>
      <w:r w:rsidR="007A054D" w:rsidRPr="00262C80">
        <w:rPr>
          <w:rFonts w:asciiTheme="majorHAnsi" w:hAnsiTheme="majorHAnsi"/>
          <w:sz w:val="20"/>
          <w:szCs w:val="20"/>
          <w:lang w:val="es-ES_tradnl"/>
        </w:rPr>
        <w:t>nte la ausencia de nuevas pruebas por parte del Ministerio Público</w:t>
      </w:r>
      <w:r w:rsidR="00474DAF" w:rsidRPr="00262C80">
        <w:rPr>
          <w:rFonts w:asciiTheme="majorHAnsi" w:hAnsiTheme="majorHAnsi"/>
          <w:sz w:val="20"/>
          <w:szCs w:val="20"/>
          <w:lang w:val="es-ES_tradnl"/>
        </w:rPr>
        <w:t>,</w:t>
      </w:r>
      <w:r w:rsidR="007A054D" w:rsidRPr="00262C80">
        <w:rPr>
          <w:rFonts w:asciiTheme="majorHAnsi" w:hAnsiTheme="majorHAnsi"/>
          <w:sz w:val="20"/>
          <w:szCs w:val="20"/>
          <w:lang w:val="es-ES_tradnl"/>
        </w:rPr>
        <w:t xml:space="preserve"> el 18 de enero de 2018 se extinguió la acción penal. </w:t>
      </w:r>
    </w:p>
    <w:p w14:paraId="58B890BA" w14:textId="5D2F43A2" w:rsidR="00AC6B2B" w:rsidRPr="00262C80" w:rsidRDefault="00AC6B2B" w:rsidP="00AC6B2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color w:val="auto"/>
          <w:sz w:val="20"/>
          <w:szCs w:val="20"/>
          <w:lang w:val="es-ES_tradnl"/>
        </w:rPr>
      </w:pPr>
      <w:r w:rsidRPr="00262C80">
        <w:rPr>
          <w:rFonts w:asciiTheme="majorHAnsi" w:hAnsiTheme="majorHAnsi"/>
          <w:i/>
          <w:iCs/>
          <w:color w:val="auto"/>
          <w:sz w:val="20"/>
          <w:szCs w:val="20"/>
          <w:lang w:val="es-ES_tradnl"/>
        </w:rPr>
        <w:t>Síntesis de los alegatos jurídicos de los peticionarios</w:t>
      </w:r>
    </w:p>
    <w:p w14:paraId="4F18C188" w14:textId="5ECFD246" w:rsidR="00677339" w:rsidRPr="00262C80" w:rsidRDefault="001306BE" w:rsidP="008963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Los peticionarios c</w:t>
      </w:r>
      <w:r w:rsidR="007A054D" w:rsidRPr="00262C80">
        <w:rPr>
          <w:rFonts w:asciiTheme="majorHAnsi" w:hAnsiTheme="majorHAnsi"/>
          <w:sz w:val="20"/>
          <w:szCs w:val="20"/>
          <w:lang w:val="es-ES_tradnl"/>
        </w:rPr>
        <w:t>onsideran</w:t>
      </w:r>
      <w:r w:rsidR="00677339" w:rsidRPr="00262C80">
        <w:rPr>
          <w:rFonts w:asciiTheme="majorHAnsi" w:hAnsiTheme="majorHAnsi"/>
          <w:sz w:val="20"/>
          <w:szCs w:val="20"/>
          <w:lang w:val="es-ES_tradnl"/>
        </w:rPr>
        <w:t xml:space="preserve"> que hubo falta de investigación penal diligente, así como </w:t>
      </w:r>
      <w:r w:rsidR="00F870D0" w:rsidRPr="00262C80">
        <w:rPr>
          <w:rFonts w:asciiTheme="majorHAnsi" w:hAnsiTheme="majorHAnsi"/>
          <w:sz w:val="20"/>
          <w:szCs w:val="20"/>
          <w:lang w:val="es-ES_tradnl"/>
        </w:rPr>
        <w:t>ausencia de persecución</w:t>
      </w:r>
      <w:r w:rsidR="00677339" w:rsidRPr="00262C80">
        <w:rPr>
          <w:rFonts w:asciiTheme="majorHAnsi" w:hAnsiTheme="majorHAnsi"/>
          <w:sz w:val="20"/>
          <w:szCs w:val="20"/>
          <w:lang w:val="es-ES_tradnl"/>
        </w:rPr>
        <w:t xml:space="preserve"> penal de los autores materiales e intelectuales de la masacre. En igual sentido</w:t>
      </w:r>
      <w:r w:rsidR="005E5776"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w:t>
      </w:r>
      <w:r w:rsidR="005E5776" w:rsidRPr="00262C80">
        <w:rPr>
          <w:rFonts w:asciiTheme="majorHAnsi" w:hAnsiTheme="majorHAnsi"/>
          <w:sz w:val="20"/>
          <w:szCs w:val="20"/>
          <w:lang w:val="es-ES_tradnl"/>
        </w:rPr>
        <w:t>alegan</w:t>
      </w:r>
      <w:r w:rsidR="00677339" w:rsidRPr="00262C80">
        <w:rPr>
          <w:rFonts w:asciiTheme="majorHAnsi" w:hAnsiTheme="majorHAnsi"/>
          <w:sz w:val="20"/>
          <w:szCs w:val="20"/>
          <w:lang w:val="es-ES_tradnl"/>
        </w:rPr>
        <w:t xml:space="preserve"> la ocurrencia de irregularidades en el proceso de investigación</w:t>
      </w:r>
      <w:r w:rsidR="005E5776"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pues</w:t>
      </w:r>
      <w:r w:rsidR="00C65EC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(i) no existe anotación de la denuncia de los hechos en el libro de novedades de la Dirección de Investigación Criminal de Trujillo</w:t>
      </w:r>
      <w:r w:rsidR="00C65EC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(ii) pasaron más de seis horas entre el momento de la denuncia de los hechos y el levantamiento de los cadáveres</w:t>
      </w:r>
      <w:r w:rsidR="00C65EC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(iii) no se realizaron pruebas de rastro de pólvora ni pruebas balísticas</w:t>
      </w:r>
      <w:r w:rsidR="00C65EC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w:t>
      </w:r>
      <w:r w:rsidR="00AC6B2B" w:rsidRPr="00262C80">
        <w:rPr>
          <w:rFonts w:asciiTheme="majorHAnsi" w:hAnsiTheme="majorHAnsi"/>
          <w:sz w:val="20"/>
          <w:szCs w:val="20"/>
          <w:lang w:val="es-ES_tradnl"/>
        </w:rPr>
        <w:t xml:space="preserve">y </w:t>
      </w:r>
      <w:r w:rsidR="00677339" w:rsidRPr="00262C80">
        <w:rPr>
          <w:rFonts w:asciiTheme="majorHAnsi" w:hAnsiTheme="majorHAnsi"/>
          <w:sz w:val="20"/>
          <w:szCs w:val="20"/>
          <w:lang w:val="es-ES_tradnl"/>
        </w:rPr>
        <w:t xml:space="preserve">(iv) las actas de levantamiento de los cadáveres y autopsias no fueron precisas para determinar el calibre de las armas que causaron la muerte de las presuntas víctimas. </w:t>
      </w:r>
      <w:r w:rsidR="00B11D56" w:rsidRPr="00262C80">
        <w:rPr>
          <w:rFonts w:asciiTheme="majorHAnsi" w:hAnsiTheme="majorHAnsi"/>
          <w:sz w:val="20"/>
          <w:szCs w:val="20"/>
          <w:lang w:val="es-ES_tradnl"/>
        </w:rPr>
        <w:t>Subrayan</w:t>
      </w:r>
      <w:r w:rsidR="00677339" w:rsidRPr="00262C80">
        <w:rPr>
          <w:rFonts w:asciiTheme="majorHAnsi" w:hAnsiTheme="majorHAnsi"/>
          <w:sz w:val="20"/>
          <w:szCs w:val="20"/>
          <w:lang w:val="es-ES_tradnl"/>
        </w:rPr>
        <w:t xml:space="preserve"> la negligencia en el actuar de las autoridades estatales</w:t>
      </w:r>
      <w:r w:rsidR="00B11D56"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pues no actuaron para ponerle fin al tiroteo</w:t>
      </w:r>
      <w:r w:rsidR="00EC4CB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no protegieron la escena de los hechos para preservar las pruebas</w:t>
      </w:r>
      <w:r w:rsidR="007F411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a su llegada al lugar no desarmaron a los guardias</w:t>
      </w:r>
      <w:r w:rsidR="007F4111" w:rsidRPr="00262C80">
        <w:rPr>
          <w:rFonts w:asciiTheme="majorHAnsi" w:hAnsiTheme="majorHAnsi"/>
          <w:sz w:val="20"/>
          <w:szCs w:val="20"/>
          <w:lang w:val="es-ES_tradnl"/>
        </w:rPr>
        <w:t>;</w:t>
      </w:r>
      <w:r w:rsidR="00677339" w:rsidRPr="00262C80">
        <w:rPr>
          <w:rFonts w:asciiTheme="majorHAnsi" w:hAnsiTheme="majorHAnsi"/>
          <w:sz w:val="20"/>
          <w:szCs w:val="20"/>
          <w:lang w:val="es-ES_tradnl"/>
        </w:rPr>
        <w:t xml:space="preserve"> y no realizaron detenciones ni decomisos. </w:t>
      </w:r>
    </w:p>
    <w:p w14:paraId="4BE5629D" w14:textId="5246E1DD" w:rsidR="00263311" w:rsidRPr="00262C80" w:rsidRDefault="00263311" w:rsidP="002633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En igual sentido refieren que la investigación criminal realizada por el Estado presentó desde el inicio múltiples negligencias, irregularidades y retrasos, entre las que se presentaron</w:t>
      </w:r>
      <w:r w:rsidR="007F4111"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(i) demoras en el inicio y desarrollo de las investigaciones</w:t>
      </w:r>
      <w:r w:rsidR="00754E49"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lo que conllev</w:t>
      </w:r>
      <w:r w:rsidR="00754E49" w:rsidRPr="00262C80">
        <w:rPr>
          <w:rFonts w:asciiTheme="majorHAnsi" w:hAnsiTheme="majorHAnsi"/>
          <w:sz w:val="20"/>
          <w:szCs w:val="20"/>
          <w:lang w:val="es-ES_tradnl"/>
        </w:rPr>
        <w:t>ó</w:t>
      </w:r>
      <w:r w:rsidRPr="00262C80">
        <w:rPr>
          <w:rFonts w:asciiTheme="majorHAnsi" w:hAnsiTheme="majorHAnsi"/>
          <w:sz w:val="20"/>
          <w:szCs w:val="20"/>
          <w:lang w:val="es-ES_tradnl"/>
        </w:rPr>
        <w:t xml:space="preserve"> a que no se realizara un adecuado levantamiento de las escenas ni el correcto aseguramiento de evidencias relevantes; (ii) se excluyeron líneas de investigación relevantes para el esclarecimiento de los hechos; (iii) se obstaculizó el trabajo de la Fiscalía de Derechos </w:t>
      </w:r>
      <w:r w:rsidRPr="00262C80">
        <w:rPr>
          <w:rFonts w:asciiTheme="majorHAnsi" w:hAnsiTheme="majorHAnsi"/>
          <w:sz w:val="20"/>
          <w:szCs w:val="20"/>
          <w:lang w:val="es-ES_tradnl"/>
        </w:rPr>
        <w:lastRenderedPageBreak/>
        <w:t>Humanos a través de presiones indebidas por parte de las autoridades del Ministerio Público</w:t>
      </w:r>
      <w:r w:rsidR="004A68E8"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y (iv) no hubo una adecuada protección a víctimas y testigos, quienes sufrieron amenazas e intimidaciones durante la investigación. Consideran que l</w:t>
      </w:r>
      <w:r w:rsidR="00C449AF" w:rsidRPr="00262C80">
        <w:rPr>
          <w:rFonts w:asciiTheme="majorHAnsi" w:hAnsiTheme="majorHAnsi"/>
          <w:sz w:val="20"/>
          <w:szCs w:val="20"/>
          <w:lang w:val="es-ES_tradnl"/>
        </w:rPr>
        <w:t>a falta de investigación diligente</w:t>
      </w:r>
      <w:r w:rsidRPr="00262C80">
        <w:rPr>
          <w:rFonts w:asciiTheme="majorHAnsi" w:hAnsiTheme="majorHAnsi"/>
          <w:sz w:val="20"/>
          <w:szCs w:val="20"/>
          <w:lang w:val="es-ES_tradnl"/>
        </w:rPr>
        <w:t xml:space="preserve"> ha tenido un impacto en el acceso a la justicia de las presuntas víctimas manteniendo la situación en la impunidad. </w:t>
      </w:r>
    </w:p>
    <w:p w14:paraId="336E8DDD" w14:textId="1EE7E971" w:rsidR="009E3454" w:rsidRPr="00262C80" w:rsidRDefault="009E3454" w:rsidP="00977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Destacan que el requerimiento del Ministerio Público se limitó a las muertes</w:t>
      </w:r>
      <w:r w:rsidR="004A68E8"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sin que hasta la fecha ninguna acción penal haya sido iniciada para determinar la responsabilidad penal respecto de quienes resultaron heridos o sobre las denuncias </w:t>
      </w:r>
      <w:r w:rsidR="00AE20D7" w:rsidRPr="00262C80">
        <w:rPr>
          <w:rFonts w:asciiTheme="majorHAnsi" w:hAnsiTheme="majorHAnsi"/>
          <w:sz w:val="20"/>
          <w:szCs w:val="20"/>
          <w:lang w:val="es-ES_tradnl"/>
        </w:rPr>
        <w:t>de</w:t>
      </w:r>
      <w:r w:rsidRPr="00262C80">
        <w:rPr>
          <w:rFonts w:asciiTheme="majorHAnsi" w:hAnsiTheme="majorHAnsi"/>
          <w:sz w:val="20"/>
          <w:szCs w:val="20"/>
          <w:lang w:val="es-ES_tradnl"/>
        </w:rPr>
        <w:t xml:space="preserve"> lesiones, amenazas y tratos crueles realizadas por las presuntas víctimas mujeres. Manifiestan que no se ha presentado </w:t>
      </w:r>
      <w:r w:rsidR="004A1301" w:rsidRPr="00262C80">
        <w:rPr>
          <w:rFonts w:asciiTheme="majorHAnsi" w:hAnsiTheme="majorHAnsi"/>
          <w:sz w:val="20"/>
          <w:szCs w:val="20"/>
          <w:lang w:val="es-ES_tradnl"/>
        </w:rPr>
        <w:t xml:space="preserve">un </w:t>
      </w:r>
      <w:r w:rsidRPr="00262C80">
        <w:rPr>
          <w:rFonts w:asciiTheme="majorHAnsi" w:hAnsiTheme="majorHAnsi"/>
          <w:sz w:val="20"/>
          <w:szCs w:val="20"/>
          <w:lang w:val="es-ES_tradnl"/>
        </w:rPr>
        <w:t>nuevo requerimiento por los hechos, lo que ha propiciado una situación de impunidad</w:t>
      </w:r>
      <w:r w:rsidR="00ED37A2" w:rsidRPr="00262C80">
        <w:rPr>
          <w:rFonts w:asciiTheme="majorHAnsi" w:hAnsiTheme="majorHAnsi"/>
          <w:sz w:val="20"/>
          <w:szCs w:val="20"/>
          <w:lang w:val="es-ES_tradnl"/>
        </w:rPr>
        <w:t xml:space="preserve">; </w:t>
      </w:r>
      <w:r w:rsidRPr="00262C80">
        <w:rPr>
          <w:rFonts w:asciiTheme="majorHAnsi" w:hAnsiTheme="majorHAnsi"/>
          <w:sz w:val="20"/>
          <w:szCs w:val="20"/>
          <w:lang w:val="es-ES_tradnl"/>
        </w:rPr>
        <w:t xml:space="preserve">ni se han </w:t>
      </w:r>
      <w:r w:rsidR="00ED37A2" w:rsidRPr="00262C80">
        <w:rPr>
          <w:rFonts w:asciiTheme="majorHAnsi" w:hAnsiTheme="majorHAnsi"/>
          <w:sz w:val="20"/>
          <w:szCs w:val="20"/>
          <w:lang w:val="es-ES_tradnl"/>
        </w:rPr>
        <w:t>llevado a cabo</w:t>
      </w:r>
      <w:r w:rsidRPr="00262C80">
        <w:rPr>
          <w:rFonts w:asciiTheme="majorHAnsi" w:hAnsiTheme="majorHAnsi"/>
          <w:sz w:val="20"/>
          <w:szCs w:val="20"/>
          <w:lang w:val="es-ES_tradnl"/>
        </w:rPr>
        <w:t xml:space="preserve"> investigaciones administrativas o de otra índole para esclarecer la presunta participación de agentes estatales en los hechos.</w:t>
      </w:r>
    </w:p>
    <w:p w14:paraId="5CB53C41" w14:textId="5D5B763B" w:rsidR="00474DAF" w:rsidRPr="00262C80" w:rsidRDefault="00474DAF" w:rsidP="00474D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Alegan su preocupación por las amenazas, hostigamiento y el contexto de temor en el que viven las presuntas víctimas ante acciones violentas e intimidatorias; acusaciones de crímenes no cometidos; y llamadas o mensajes amenazantes realizadas por militares, policías y guardias de seguridad de los empresarios de la zona. </w:t>
      </w:r>
    </w:p>
    <w:p w14:paraId="29C5D394" w14:textId="4C6D868D" w:rsidR="00D65184" w:rsidRPr="00262C80" w:rsidRDefault="009E3454" w:rsidP="00977C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Finalmente, n</w:t>
      </w:r>
      <w:r w:rsidR="00D65184" w:rsidRPr="00262C80">
        <w:rPr>
          <w:rFonts w:asciiTheme="majorHAnsi" w:hAnsiTheme="majorHAnsi"/>
          <w:sz w:val="20"/>
          <w:szCs w:val="20"/>
          <w:lang w:val="es-ES_tradnl"/>
        </w:rPr>
        <w:t>arran que los hechos ocurridos el 15 de noviembre de 2010 y los días posteriores tuvieron un impacto sobre los niños, pues la respuesta del Estado fue militarizar la región a través de la operación “Tumbador”, la cual tuvo efectos represivos</w:t>
      </w:r>
      <w:r w:rsidR="00AC6B2B" w:rsidRPr="00262C80">
        <w:rPr>
          <w:rFonts w:asciiTheme="majorHAnsi" w:hAnsiTheme="majorHAnsi"/>
          <w:sz w:val="20"/>
          <w:szCs w:val="20"/>
          <w:lang w:val="es-ES_tradnl"/>
        </w:rPr>
        <w:t xml:space="preserve"> </w:t>
      </w:r>
      <w:r w:rsidR="00D65184" w:rsidRPr="00262C80">
        <w:rPr>
          <w:rFonts w:asciiTheme="majorHAnsi" w:hAnsiTheme="majorHAnsi"/>
          <w:sz w:val="20"/>
          <w:szCs w:val="20"/>
          <w:lang w:val="es-ES_tradnl"/>
        </w:rPr>
        <w:t xml:space="preserve">y estigmatizantes. Adicionalmente los militares se instalaron en la escuela de la comunidad lo que impidió su funcionamiento afectando el derecho de los niños a la educación. </w:t>
      </w:r>
    </w:p>
    <w:p w14:paraId="321E78D3" w14:textId="52C59DE1" w:rsidR="00FD5A5E" w:rsidRPr="00262C80" w:rsidRDefault="00FD5A5E" w:rsidP="00FD5A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262C80">
        <w:rPr>
          <w:rFonts w:asciiTheme="majorHAnsi" w:hAnsiTheme="majorHAnsi"/>
          <w:i/>
          <w:iCs/>
          <w:sz w:val="20"/>
          <w:szCs w:val="20"/>
          <w:lang w:val="es-ES_tradnl"/>
        </w:rPr>
        <w:t>Posición del Estado hondureño</w:t>
      </w:r>
    </w:p>
    <w:p w14:paraId="59284839" w14:textId="286EC157" w:rsidR="00263341" w:rsidRPr="00262C80" w:rsidRDefault="00A73FC5" w:rsidP="00A73F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Por su parte</w:t>
      </w:r>
      <w:r w:rsidR="00852802"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el Estado </w:t>
      </w:r>
      <w:r w:rsidR="00263341" w:rsidRPr="00262C80">
        <w:rPr>
          <w:rFonts w:asciiTheme="majorHAnsi" w:hAnsiTheme="majorHAnsi"/>
          <w:sz w:val="20"/>
          <w:szCs w:val="20"/>
          <w:lang w:val="es-ES_tradnl"/>
        </w:rPr>
        <w:t>narra</w:t>
      </w:r>
      <w:r w:rsidRPr="00262C80">
        <w:rPr>
          <w:rFonts w:asciiTheme="majorHAnsi" w:hAnsiTheme="majorHAnsi"/>
          <w:sz w:val="20"/>
          <w:szCs w:val="20"/>
          <w:lang w:val="es-ES_tradnl"/>
        </w:rPr>
        <w:t xml:space="preserve"> que el 15 de noviembre de 2010 las autoridades policiales y fiscales fueron alertadas de un hecho violento suscitado en la finca El Tumbador, jurisdicción de Trujillo en el Departamento de Colón</w:t>
      </w:r>
      <w:r w:rsidR="00263341" w:rsidRPr="00262C80">
        <w:rPr>
          <w:rFonts w:asciiTheme="majorHAnsi" w:hAnsiTheme="majorHAnsi"/>
          <w:sz w:val="20"/>
          <w:szCs w:val="20"/>
          <w:lang w:val="es-ES_tradnl"/>
        </w:rPr>
        <w:t>. Razón por la cual</w:t>
      </w:r>
      <w:r w:rsidRPr="00262C80">
        <w:rPr>
          <w:rFonts w:asciiTheme="majorHAnsi" w:hAnsiTheme="majorHAnsi"/>
          <w:sz w:val="20"/>
          <w:szCs w:val="20"/>
          <w:lang w:val="es-ES_tradnl"/>
        </w:rPr>
        <w:t xml:space="preserve"> las autoridades se desplazaron al lugar de los hechos hallando algunos cadáveres que fueron debidamente identificados</w:t>
      </w:r>
      <w:r w:rsidR="00C1177D" w:rsidRPr="00262C80">
        <w:rPr>
          <w:rFonts w:asciiTheme="majorHAnsi" w:hAnsiTheme="majorHAnsi"/>
          <w:sz w:val="20"/>
          <w:szCs w:val="20"/>
          <w:lang w:val="es-ES_tradnl"/>
        </w:rPr>
        <w:t>. Al día siguiente se realizó la b</w:t>
      </w:r>
      <w:r w:rsidRPr="00262C80">
        <w:rPr>
          <w:rFonts w:asciiTheme="majorHAnsi" w:hAnsiTheme="majorHAnsi"/>
          <w:sz w:val="20"/>
          <w:szCs w:val="20"/>
          <w:lang w:val="es-ES_tradnl"/>
        </w:rPr>
        <w:t>úsqueda de tres campesinos</w:t>
      </w:r>
      <w:r w:rsidR="00263341"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hallando </w:t>
      </w:r>
      <w:r w:rsidR="00B84E00" w:rsidRPr="00262C80">
        <w:rPr>
          <w:rFonts w:asciiTheme="majorHAnsi" w:hAnsiTheme="majorHAnsi"/>
          <w:sz w:val="20"/>
          <w:szCs w:val="20"/>
          <w:lang w:val="es-ES_tradnl"/>
        </w:rPr>
        <w:t xml:space="preserve">a </w:t>
      </w:r>
      <w:r w:rsidRPr="00262C80">
        <w:rPr>
          <w:rFonts w:asciiTheme="majorHAnsi" w:hAnsiTheme="majorHAnsi"/>
          <w:sz w:val="20"/>
          <w:szCs w:val="20"/>
          <w:lang w:val="es-ES_tradnl"/>
        </w:rPr>
        <w:t xml:space="preserve">dos de ellos con vida y uno </w:t>
      </w:r>
      <w:r w:rsidR="00831943" w:rsidRPr="00262C80">
        <w:rPr>
          <w:rFonts w:asciiTheme="majorHAnsi" w:hAnsiTheme="majorHAnsi"/>
          <w:sz w:val="20"/>
          <w:szCs w:val="20"/>
          <w:lang w:val="es-ES_tradnl"/>
        </w:rPr>
        <w:t>muerto</w:t>
      </w:r>
      <w:r w:rsidRPr="00262C80">
        <w:rPr>
          <w:rFonts w:asciiTheme="majorHAnsi" w:hAnsiTheme="majorHAnsi"/>
          <w:sz w:val="20"/>
          <w:szCs w:val="20"/>
          <w:lang w:val="es-ES_tradnl"/>
        </w:rPr>
        <w:t xml:space="preserve"> a pocos metros de la escena del crimen inicial. </w:t>
      </w:r>
    </w:p>
    <w:p w14:paraId="6453FC35" w14:textId="72ABCC2E" w:rsidR="00A73FC5" w:rsidRPr="00262C80" w:rsidRDefault="00831943" w:rsidP="002633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En consecuencia</w:t>
      </w:r>
      <w:r w:rsidR="00263341" w:rsidRPr="00262C80">
        <w:rPr>
          <w:rFonts w:asciiTheme="majorHAnsi" w:hAnsiTheme="majorHAnsi"/>
          <w:sz w:val="20"/>
          <w:szCs w:val="20"/>
          <w:lang w:val="es-ES_tradnl"/>
        </w:rPr>
        <w:t>, e</w:t>
      </w:r>
      <w:r w:rsidR="00A73FC5" w:rsidRPr="00262C80">
        <w:rPr>
          <w:rFonts w:asciiTheme="majorHAnsi" w:hAnsiTheme="majorHAnsi"/>
          <w:sz w:val="20"/>
          <w:szCs w:val="20"/>
          <w:lang w:val="es-ES_tradnl"/>
        </w:rPr>
        <w:t xml:space="preserve">l Ministerio Público realizó la autopsia de los cadáveres de </w:t>
      </w:r>
      <w:r w:rsidR="00AC6B2B" w:rsidRPr="00262C80">
        <w:rPr>
          <w:rFonts w:asciiTheme="majorHAnsi" w:hAnsiTheme="majorHAnsi"/>
          <w:sz w:val="20"/>
          <w:szCs w:val="20"/>
          <w:lang w:val="es-ES_tradnl"/>
        </w:rPr>
        <w:t xml:space="preserve">los Sres. </w:t>
      </w:r>
      <w:r w:rsidR="00A73FC5" w:rsidRPr="00262C80">
        <w:rPr>
          <w:rFonts w:asciiTheme="majorHAnsi" w:hAnsiTheme="majorHAnsi"/>
          <w:sz w:val="20"/>
          <w:szCs w:val="20"/>
          <w:lang w:val="es-ES_tradnl"/>
        </w:rPr>
        <w:t>Teodoro Acosta, Raúl Castillo, Ignacio Reyes y José Luis Sauceda</w:t>
      </w:r>
      <w:r w:rsidR="00263341" w:rsidRPr="00262C80">
        <w:rPr>
          <w:rFonts w:asciiTheme="majorHAnsi" w:hAnsiTheme="majorHAnsi"/>
          <w:sz w:val="20"/>
          <w:szCs w:val="20"/>
          <w:lang w:val="es-ES_tradnl"/>
        </w:rPr>
        <w:t>. Respecto</w:t>
      </w:r>
      <w:r w:rsidR="00A73FC5" w:rsidRPr="00262C80">
        <w:rPr>
          <w:rFonts w:asciiTheme="majorHAnsi" w:hAnsiTheme="majorHAnsi"/>
          <w:sz w:val="20"/>
          <w:szCs w:val="20"/>
          <w:lang w:val="es-ES_tradnl"/>
        </w:rPr>
        <w:t xml:space="preserve"> de</w:t>
      </w:r>
      <w:r w:rsidR="00AC6B2B" w:rsidRPr="00262C80">
        <w:rPr>
          <w:rFonts w:asciiTheme="majorHAnsi" w:hAnsiTheme="majorHAnsi"/>
          <w:sz w:val="20"/>
          <w:szCs w:val="20"/>
          <w:lang w:val="es-ES_tradnl"/>
        </w:rPr>
        <w:t>l Sr.</w:t>
      </w:r>
      <w:r w:rsidR="00A73FC5" w:rsidRPr="00262C80">
        <w:rPr>
          <w:rFonts w:asciiTheme="majorHAnsi" w:hAnsiTheme="majorHAnsi"/>
          <w:sz w:val="20"/>
          <w:szCs w:val="20"/>
          <w:lang w:val="es-ES_tradnl"/>
        </w:rPr>
        <w:t xml:space="preserve"> Ciriaco de Jesús Muñoz, el cadáver fue entregado a su familia </w:t>
      </w:r>
      <w:r w:rsidR="00263341" w:rsidRPr="00262C80">
        <w:rPr>
          <w:rFonts w:asciiTheme="majorHAnsi" w:hAnsiTheme="majorHAnsi"/>
          <w:sz w:val="20"/>
          <w:szCs w:val="20"/>
          <w:lang w:val="es-ES_tradnl"/>
        </w:rPr>
        <w:t xml:space="preserve">ante la </w:t>
      </w:r>
      <w:r w:rsidR="00A73FC5" w:rsidRPr="00262C80">
        <w:rPr>
          <w:rFonts w:asciiTheme="majorHAnsi" w:hAnsiTheme="majorHAnsi"/>
          <w:sz w:val="20"/>
          <w:szCs w:val="20"/>
          <w:lang w:val="es-ES_tradnl"/>
        </w:rPr>
        <w:t>op</w:t>
      </w:r>
      <w:r w:rsidR="00263341" w:rsidRPr="00262C80">
        <w:rPr>
          <w:rFonts w:asciiTheme="majorHAnsi" w:hAnsiTheme="majorHAnsi"/>
          <w:sz w:val="20"/>
          <w:szCs w:val="20"/>
          <w:lang w:val="es-ES_tradnl"/>
        </w:rPr>
        <w:t>osición de éstos</w:t>
      </w:r>
      <w:r w:rsidR="00A73FC5" w:rsidRPr="00262C80">
        <w:rPr>
          <w:rFonts w:asciiTheme="majorHAnsi" w:hAnsiTheme="majorHAnsi"/>
          <w:sz w:val="20"/>
          <w:szCs w:val="20"/>
          <w:lang w:val="es-ES_tradnl"/>
        </w:rPr>
        <w:t xml:space="preserve"> a la </w:t>
      </w:r>
      <w:r w:rsidR="00263341" w:rsidRPr="00262C80">
        <w:rPr>
          <w:rFonts w:asciiTheme="majorHAnsi" w:hAnsiTheme="majorHAnsi"/>
          <w:sz w:val="20"/>
          <w:szCs w:val="20"/>
          <w:lang w:val="es-ES_tradnl"/>
        </w:rPr>
        <w:t>práctica</w:t>
      </w:r>
      <w:r w:rsidR="00A73FC5" w:rsidRPr="00262C80">
        <w:rPr>
          <w:rFonts w:asciiTheme="majorHAnsi" w:hAnsiTheme="majorHAnsi"/>
          <w:sz w:val="20"/>
          <w:szCs w:val="20"/>
          <w:lang w:val="es-ES_tradnl"/>
        </w:rPr>
        <w:t xml:space="preserve"> de la autopsia, lo que dificultó la obtención de la causa de la muerte y la recuperación de elementos de importancia del c</w:t>
      </w:r>
      <w:r w:rsidR="00C449AF" w:rsidRPr="00262C80">
        <w:rPr>
          <w:rFonts w:asciiTheme="majorHAnsi" w:hAnsiTheme="majorHAnsi"/>
          <w:sz w:val="20"/>
          <w:szCs w:val="20"/>
          <w:lang w:val="es-ES_tradnl"/>
        </w:rPr>
        <w:t>uerpo</w:t>
      </w:r>
      <w:r w:rsidR="00A73FC5" w:rsidRPr="00262C80">
        <w:rPr>
          <w:rFonts w:asciiTheme="majorHAnsi" w:hAnsiTheme="majorHAnsi"/>
          <w:sz w:val="20"/>
          <w:szCs w:val="20"/>
          <w:lang w:val="es-ES_tradnl"/>
        </w:rPr>
        <w:t xml:space="preserve"> </w:t>
      </w:r>
      <w:r w:rsidR="00263341" w:rsidRPr="00262C80">
        <w:rPr>
          <w:rFonts w:asciiTheme="majorHAnsi" w:hAnsiTheme="majorHAnsi"/>
          <w:sz w:val="20"/>
          <w:szCs w:val="20"/>
          <w:lang w:val="es-ES_tradnl"/>
        </w:rPr>
        <w:t xml:space="preserve">También </w:t>
      </w:r>
      <w:r w:rsidR="00756806" w:rsidRPr="00262C80">
        <w:rPr>
          <w:rFonts w:asciiTheme="majorHAnsi" w:hAnsiTheme="majorHAnsi"/>
          <w:sz w:val="20"/>
          <w:szCs w:val="20"/>
          <w:lang w:val="es-ES_tradnl"/>
        </w:rPr>
        <w:t xml:space="preserve">realizaron </w:t>
      </w:r>
      <w:r w:rsidR="00A73FC5" w:rsidRPr="00262C80">
        <w:rPr>
          <w:rFonts w:asciiTheme="majorHAnsi" w:hAnsiTheme="majorHAnsi"/>
          <w:sz w:val="20"/>
          <w:szCs w:val="20"/>
          <w:lang w:val="es-ES_tradnl"/>
        </w:rPr>
        <w:t>diligencias exhaustivas en la escena del crimen como la realización de autopsias, recepción de testimonios bajo la figura de testigo protegido</w:t>
      </w:r>
      <w:r w:rsidR="00924C85" w:rsidRPr="00262C80">
        <w:rPr>
          <w:rFonts w:asciiTheme="majorHAnsi" w:hAnsiTheme="majorHAnsi"/>
          <w:sz w:val="20"/>
          <w:szCs w:val="20"/>
          <w:lang w:val="es-ES_tradnl"/>
        </w:rPr>
        <w:t xml:space="preserve">, </w:t>
      </w:r>
      <w:r w:rsidR="00756806" w:rsidRPr="00262C80">
        <w:rPr>
          <w:rFonts w:asciiTheme="majorHAnsi" w:hAnsiTheme="majorHAnsi"/>
          <w:sz w:val="20"/>
          <w:szCs w:val="20"/>
          <w:lang w:val="es-ES_tradnl"/>
        </w:rPr>
        <w:t xml:space="preserve">obtención de </w:t>
      </w:r>
      <w:r w:rsidR="00A73FC5" w:rsidRPr="00262C80">
        <w:rPr>
          <w:rFonts w:asciiTheme="majorHAnsi" w:hAnsiTheme="majorHAnsi"/>
          <w:sz w:val="20"/>
          <w:szCs w:val="20"/>
          <w:lang w:val="es-ES_tradnl"/>
        </w:rPr>
        <w:t>medios de prueba documental</w:t>
      </w:r>
      <w:r w:rsidR="00756806" w:rsidRPr="00262C80">
        <w:rPr>
          <w:rFonts w:asciiTheme="majorHAnsi" w:hAnsiTheme="majorHAnsi"/>
          <w:sz w:val="20"/>
          <w:szCs w:val="20"/>
          <w:lang w:val="es-ES_tradnl"/>
        </w:rPr>
        <w:t xml:space="preserve">, y se </w:t>
      </w:r>
      <w:r w:rsidR="00A73FC5" w:rsidRPr="00262C80">
        <w:rPr>
          <w:rFonts w:asciiTheme="majorHAnsi" w:hAnsiTheme="majorHAnsi"/>
          <w:sz w:val="20"/>
          <w:szCs w:val="20"/>
          <w:lang w:val="es-ES_tradnl"/>
        </w:rPr>
        <w:t>realiza</w:t>
      </w:r>
      <w:r w:rsidR="00756806" w:rsidRPr="00262C80">
        <w:rPr>
          <w:rFonts w:asciiTheme="majorHAnsi" w:hAnsiTheme="majorHAnsi"/>
          <w:sz w:val="20"/>
          <w:szCs w:val="20"/>
          <w:lang w:val="es-ES_tradnl"/>
        </w:rPr>
        <w:t>ron</w:t>
      </w:r>
      <w:r w:rsidR="00A73FC5" w:rsidRPr="00262C80">
        <w:rPr>
          <w:rFonts w:asciiTheme="majorHAnsi" w:hAnsiTheme="majorHAnsi"/>
          <w:sz w:val="20"/>
          <w:szCs w:val="20"/>
          <w:lang w:val="es-ES_tradnl"/>
        </w:rPr>
        <w:t xml:space="preserve"> pruebas de </w:t>
      </w:r>
      <w:r w:rsidR="00E21121" w:rsidRPr="00262C80">
        <w:rPr>
          <w:rFonts w:asciiTheme="majorHAnsi" w:hAnsiTheme="majorHAnsi"/>
          <w:sz w:val="20"/>
          <w:szCs w:val="20"/>
          <w:lang w:val="es-ES_tradnl"/>
        </w:rPr>
        <w:t>balística que permitieron aportar a la línea de investigación</w:t>
      </w:r>
      <w:r w:rsidR="00756806" w:rsidRPr="00262C80">
        <w:rPr>
          <w:rFonts w:asciiTheme="majorHAnsi" w:hAnsiTheme="majorHAnsi"/>
          <w:sz w:val="20"/>
          <w:szCs w:val="20"/>
          <w:lang w:val="es-ES_tradnl"/>
        </w:rPr>
        <w:t xml:space="preserve"> seguida</w:t>
      </w:r>
      <w:r w:rsidR="00E21121" w:rsidRPr="00262C80">
        <w:rPr>
          <w:rFonts w:asciiTheme="majorHAnsi" w:hAnsiTheme="majorHAnsi"/>
          <w:sz w:val="20"/>
          <w:szCs w:val="20"/>
          <w:lang w:val="es-ES_tradnl"/>
        </w:rPr>
        <w:t xml:space="preserve">. </w:t>
      </w:r>
    </w:p>
    <w:p w14:paraId="0E28427A" w14:textId="539BDB63" w:rsidR="00C1177D" w:rsidRPr="00262C80" w:rsidRDefault="00C1177D" w:rsidP="002633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Señala que la finca El Tumbador representa un sitio de dificultad para la búsqueda de elementos ante el peligro de ser atacados por personas armadas que simulan ser miembros de las comunidades y grupos campesinos. La dificultad </w:t>
      </w:r>
      <w:r w:rsidR="00C63A3B" w:rsidRPr="00262C80">
        <w:rPr>
          <w:rFonts w:asciiTheme="majorHAnsi" w:hAnsiTheme="majorHAnsi"/>
          <w:sz w:val="20"/>
          <w:szCs w:val="20"/>
          <w:lang w:val="es-ES_tradnl"/>
        </w:rPr>
        <w:t>para</w:t>
      </w:r>
      <w:r w:rsidRPr="00262C80">
        <w:rPr>
          <w:rFonts w:asciiTheme="majorHAnsi" w:hAnsiTheme="majorHAnsi"/>
          <w:sz w:val="20"/>
          <w:szCs w:val="20"/>
          <w:lang w:val="es-ES_tradnl"/>
        </w:rPr>
        <w:t xml:space="preserve"> la investigación de los hechos se originó en parte por la poca </w:t>
      </w:r>
      <w:r w:rsidR="00EC70DD" w:rsidRPr="00262C80">
        <w:rPr>
          <w:rFonts w:asciiTheme="majorHAnsi" w:hAnsiTheme="majorHAnsi"/>
          <w:sz w:val="20"/>
          <w:szCs w:val="20"/>
          <w:lang w:val="es-ES_tradnl"/>
        </w:rPr>
        <w:t>anuencia</w:t>
      </w:r>
      <w:r w:rsidRPr="00262C80">
        <w:rPr>
          <w:rFonts w:asciiTheme="majorHAnsi" w:hAnsiTheme="majorHAnsi"/>
          <w:sz w:val="20"/>
          <w:szCs w:val="20"/>
          <w:lang w:val="es-ES_tradnl"/>
        </w:rPr>
        <w:t xml:space="preserve"> que tuvieron las familias de las presuntas víctimas a las solicitudes de </w:t>
      </w:r>
      <w:r w:rsidR="00863290" w:rsidRPr="00262C80">
        <w:rPr>
          <w:rFonts w:asciiTheme="majorHAnsi" w:hAnsiTheme="majorHAnsi"/>
          <w:sz w:val="20"/>
          <w:szCs w:val="20"/>
          <w:lang w:val="es-ES_tradnl"/>
        </w:rPr>
        <w:t>realización y materialización de medios de prueba</w:t>
      </w:r>
      <w:r w:rsidRPr="00262C80">
        <w:rPr>
          <w:rFonts w:asciiTheme="majorHAnsi" w:hAnsiTheme="majorHAnsi"/>
          <w:sz w:val="20"/>
          <w:szCs w:val="20"/>
          <w:lang w:val="es-ES_tradnl"/>
        </w:rPr>
        <w:t xml:space="preserve"> realizadas por las autoridades policiales. Adicionalmente</w:t>
      </w:r>
      <w:r w:rsidR="007163DF"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no se cont</w:t>
      </w:r>
      <w:r w:rsidR="009E3454" w:rsidRPr="00262C80">
        <w:rPr>
          <w:rFonts w:asciiTheme="majorHAnsi" w:hAnsiTheme="majorHAnsi"/>
          <w:sz w:val="20"/>
          <w:szCs w:val="20"/>
          <w:lang w:val="es-ES_tradnl"/>
        </w:rPr>
        <w:t>ó</w:t>
      </w:r>
      <w:r w:rsidRPr="00262C80">
        <w:rPr>
          <w:rFonts w:asciiTheme="majorHAnsi" w:hAnsiTheme="majorHAnsi"/>
          <w:sz w:val="20"/>
          <w:szCs w:val="20"/>
          <w:lang w:val="es-ES_tradnl"/>
        </w:rPr>
        <w:t xml:space="preserve"> con suficiente personal asignado por la Dirección Nacional de Investigación Criminal ni la logística necesaria para la realización de las diligencias</w:t>
      </w:r>
      <w:r w:rsidR="00863290" w:rsidRPr="00262C80">
        <w:rPr>
          <w:rFonts w:asciiTheme="majorHAnsi" w:hAnsiTheme="majorHAnsi"/>
          <w:sz w:val="20"/>
          <w:szCs w:val="20"/>
          <w:lang w:val="es-ES_tradnl"/>
        </w:rPr>
        <w:t>, ante lo cual el Ministerio Público desplazó personal de la Ceiba y Tegucigalpa, quienes después de realizadas las diligencias investigativas, procedieron con la judicialización del expediente.</w:t>
      </w:r>
    </w:p>
    <w:p w14:paraId="066ED4A1" w14:textId="175AA52D" w:rsidR="00863290" w:rsidRPr="00262C80" w:rsidRDefault="00E4351D" w:rsidP="00521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D</w:t>
      </w:r>
      <w:r w:rsidR="00C1177D" w:rsidRPr="00262C80">
        <w:rPr>
          <w:rFonts w:asciiTheme="majorHAnsi" w:hAnsiTheme="majorHAnsi"/>
          <w:sz w:val="20"/>
          <w:szCs w:val="20"/>
          <w:lang w:val="es-ES_tradnl"/>
        </w:rPr>
        <w:t>esde el inicio las investigaciones se orientaron contra siete personas que formaban parte de los guardias de turno de la empresa de seguridad Orión, la cual brindaba el servicio de seguridad a la Corporación D</w:t>
      </w:r>
      <w:r w:rsidR="007F5CDE" w:rsidRPr="00262C80">
        <w:rPr>
          <w:rFonts w:asciiTheme="majorHAnsi" w:hAnsiTheme="majorHAnsi"/>
          <w:sz w:val="20"/>
          <w:szCs w:val="20"/>
          <w:lang w:val="es-ES_tradnl"/>
        </w:rPr>
        <w:t>inant</w:t>
      </w:r>
      <w:r w:rsidR="00C1177D" w:rsidRPr="00262C80">
        <w:rPr>
          <w:rFonts w:asciiTheme="majorHAnsi" w:hAnsiTheme="majorHAnsi"/>
          <w:sz w:val="20"/>
          <w:szCs w:val="20"/>
          <w:lang w:val="es-ES_tradnl"/>
        </w:rPr>
        <w:t>, en ese sentido en la línea de investigación se des</w:t>
      </w:r>
      <w:r w:rsidR="00863290" w:rsidRPr="00262C80">
        <w:rPr>
          <w:rFonts w:asciiTheme="majorHAnsi" w:hAnsiTheme="majorHAnsi"/>
          <w:sz w:val="20"/>
          <w:szCs w:val="20"/>
          <w:lang w:val="es-ES_tradnl"/>
        </w:rPr>
        <w:t>cartó la participación de agentes del Estado</w:t>
      </w:r>
      <w:r w:rsidR="00B123A9" w:rsidRPr="00262C80">
        <w:rPr>
          <w:rFonts w:asciiTheme="majorHAnsi" w:hAnsiTheme="majorHAnsi"/>
          <w:sz w:val="20"/>
          <w:szCs w:val="20"/>
          <w:lang w:val="es-ES_tradnl"/>
        </w:rPr>
        <w:t>,</w:t>
      </w:r>
      <w:r w:rsidR="00863290" w:rsidRPr="00262C80">
        <w:rPr>
          <w:rFonts w:asciiTheme="majorHAnsi" w:hAnsiTheme="majorHAnsi"/>
          <w:sz w:val="20"/>
          <w:szCs w:val="20"/>
          <w:lang w:val="es-ES_tradnl"/>
        </w:rPr>
        <w:t xml:space="preserve"> pues el acceso a la zona es difícil y estos solo acudieron al momento en que se dio la noticia del hecho. Adicionalmente</w:t>
      </w:r>
      <w:r w:rsidR="00B123A9" w:rsidRPr="00262C80">
        <w:rPr>
          <w:rFonts w:asciiTheme="majorHAnsi" w:hAnsiTheme="majorHAnsi"/>
          <w:sz w:val="20"/>
          <w:szCs w:val="20"/>
          <w:lang w:val="es-ES_tradnl"/>
        </w:rPr>
        <w:t>,</w:t>
      </w:r>
      <w:r w:rsidR="00863290" w:rsidRPr="00262C80">
        <w:rPr>
          <w:rFonts w:asciiTheme="majorHAnsi" w:hAnsiTheme="majorHAnsi"/>
          <w:sz w:val="20"/>
          <w:szCs w:val="20"/>
          <w:lang w:val="es-ES_tradnl"/>
        </w:rPr>
        <w:t xml:space="preserve"> la consideración de actores materiales e intelectuales ha tenido que ser ampliada</w:t>
      </w:r>
      <w:r w:rsidR="00CC0B5A" w:rsidRPr="00262C80">
        <w:rPr>
          <w:rFonts w:asciiTheme="majorHAnsi" w:hAnsiTheme="majorHAnsi"/>
          <w:sz w:val="20"/>
          <w:szCs w:val="20"/>
          <w:lang w:val="es-ES_tradnl"/>
        </w:rPr>
        <w:t>,</w:t>
      </w:r>
      <w:r w:rsidR="00863290" w:rsidRPr="00262C80">
        <w:rPr>
          <w:rFonts w:asciiTheme="majorHAnsi" w:hAnsiTheme="majorHAnsi"/>
          <w:sz w:val="20"/>
          <w:szCs w:val="20"/>
          <w:lang w:val="es-ES_tradnl"/>
        </w:rPr>
        <w:t xml:space="preserve"> pues el conflicto por la recuperación de la tierra en la zona del Bajo Aguán incluye la participación de personas de </w:t>
      </w:r>
      <w:r w:rsidR="00863290" w:rsidRPr="00262C80">
        <w:rPr>
          <w:rFonts w:asciiTheme="majorHAnsi" w:hAnsiTheme="majorHAnsi"/>
          <w:sz w:val="20"/>
          <w:szCs w:val="20"/>
          <w:lang w:val="es-ES_tradnl"/>
        </w:rPr>
        <w:lastRenderedPageBreak/>
        <w:t>comunidades vecinas o ajenas a la zona</w:t>
      </w:r>
      <w:r w:rsidR="005210F3" w:rsidRPr="00262C80">
        <w:rPr>
          <w:rFonts w:asciiTheme="majorHAnsi" w:hAnsiTheme="majorHAnsi"/>
          <w:sz w:val="20"/>
          <w:szCs w:val="20"/>
          <w:lang w:val="es-ES_tradnl"/>
        </w:rPr>
        <w:t xml:space="preserve">, a lo que se suma la inadecuada individualización de los sospechosos por parte de los testigos. </w:t>
      </w:r>
    </w:p>
    <w:p w14:paraId="39573358" w14:textId="65F3CA26" w:rsidR="00756806" w:rsidRPr="00262C80" w:rsidRDefault="000470FE" w:rsidP="00A73F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El Estado indica</w:t>
      </w:r>
      <w:r w:rsidR="00756806" w:rsidRPr="00262C80">
        <w:rPr>
          <w:rFonts w:asciiTheme="majorHAnsi" w:hAnsiTheme="majorHAnsi"/>
          <w:sz w:val="20"/>
          <w:szCs w:val="20"/>
          <w:lang w:val="es-ES_tradnl"/>
        </w:rPr>
        <w:t xml:space="preserve"> que presuntamente cuatro mujeres fueron detenidas ilegalmente, amenazadas de ser violadas sexualmente y asesinadas</w:t>
      </w:r>
      <w:r w:rsidR="00C449AF" w:rsidRPr="00262C80">
        <w:rPr>
          <w:rFonts w:asciiTheme="majorHAnsi" w:hAnsiTheme="majorHAnsi"/>
          <w:sz w:val="20"/>
          <w:szCs w:val="20"/>
          <w:lang w:val="es-ES_tradnl"/>
        </w:rPr>
        <w:t xml:space="preserve"> </w:t>
      </w:r>
      <w:r w:rsidR="00756806" w:rsidRPr="00262C80">
        <w:rPr>
          <w:rFonts w:asciiTheme="majorHAnsi" w:hAnsiTheme="majorHAnsi"/>
          <w:sz w:val="20"/>
          <w:szCs w:val="20"/>
          <w:lang w:val="es-ES_tradnl"/>
        </w:rPr>
        <w:t>hasta el momento de su liberación. Como consecuencia se interpuso denuncia ante la Fiscalía Especial de Derechos Humanos, no obstante arguye que ésta no tiene competencia para investigar hechos constitutivos de delitos en materia de derechos humanos cometidos por particulares, pues esto le corresponde a la Fiscalía de Delitos Comunes o a la Fiscalía de la Mujer</w:t>
      </w:r>
      <w:r w:rsidR="00C449AF" w:rsidRPr="00262C80">
        <w:rPr>
          <w:rFonts w:asciiTheme="majorHAnsi" w:hAnsiTheme="majorHAnsi"/>
          <w:sz w:val="20"/>
          <w:szCs w:val="20"/>
          <w:lang w:val="es-ES_tradnl"/>
        </w:rPr>
        <w:t>, d</w:t>
      </w:r>
      <w:r w:rsidR="00756806" w:rsidRPr="00262C80">
        <w:rPr>
          <w:rFonts w:asciiTheme="majorHAnsi" w:hAnsiTheme="majorHAnsi"/>
          <w:sz w:val="20"/>
          <w:szCs w:val="20"/>
          <w:lang w:val="es-ES_tradnl"/>
        </w:rPr>
        <w:t xml:space="preserve">e modo que para el momento de ocurrencia de los hechos el código penal vigente tipificaba los delitos de detención ilegal y amenazas, y </w:t>
      </w:r>
      <w:r w:rsidR="00E61728" w:rsidRPr="00262C80">
        <w:rPr>
          <w:rFonts w:asciiTheme="majorHAnsi" w:hAnsiTheme="majorHAnsi"/>
          <w:sz w:val="20"/>
          <w:szCs w:val="20"/>
          <w:lang w:val="es-ES_tradnl"/>
        </w:rPr>
        <w:t>de l</w:t>
      </w:r>
      <w:r w:rsidR="00756806" w:rsidRPr="00262C80">
        <w:rPr>
          <w:rFonts w:asciiTheme="majorHAnsi" w:hAnsiTheme="majorHAnsi"/>
          <w:sz w:val="20"/>
          <w:szCs w:val="20"/>
          <w:lang w:val="es-ES_tradnl"/>
        </w:rPr>
        <w:t xml:space="preserve">os hechos narrados del caso no es clara la ocurrencia de una conducta dirigida o planificada hacia las presuntas víctimas mujeres por el solo hecho de ser mujeres, ni </w:t>
      </w:r>
      <w:r w:rsidR="004F520A" w:rsidRPr="00262C80">
        <w:rPr>
          <w:rFonts w:asciiTheme="majorHAnsi" w:hAnsiTheme="majorHAnsi"/>
          <w:sz w:val="20"/>
          <w:szCs w:val="20"/>
          <w:lang w:val="es-ES_tradnl"/>
        </w:rPr>
        <w:t>s</w:t>
      </w:r>
      <w:r w:rsidR="00756806" w:rsidRPr="00262C80">
        <w:rPr>
          <w:rFonts w:asciiTheme="majorHAnsi" w:hAnsiTheme="majorHAnsi"/>
          <w:sz w:val="20"/>
          <w:szCs w:val="20"/>
          <w:lang w:val="es-ES_tradnl"/>
        </w:rPr>
        <w:t xml:space="preserve">e detalla en </w:t>
      </w:r>
      <w:r w:rsidR="007F5CDE" w:rsidRPr="00262C80">
        <w:rPr>
          <w:rFonts w:asciiTheme="majorHAnsi" w:hAnsiTheme="majorHAnsi"/>
          <w:sz w:val="20"/>
          <w:szCs w:val="20"/>
          <w:lang w:val="es-ES_tradnl"/>
        </w:rPr>
        <w:t>qué</w:t>
      </w:r>
      <w:r w:rsidR="00756806" w:rsidRPr="00262C80">
        <w:rPr>
          <w:rFonts w:asciiTheme="majorHAnsi" w:hAnsiTheme="majorHAnsi"/>
          <w:sz w:val="20"/>
          <w:szCs w:val="20"/>
          <w:lang w:val="es-ES_tradnl"/>
        </w:rPr>
        <w:t xml:space="preserve"> medida fueron afectadas o que las agresiones sufridas las hubiesen afectado de manera diferente o en mayor proporción. </w:t>
      </w:r>
    </w:p>
    <w:p w14:paraId="55EC30A0" w14:textId="6FCDE3C2" w:rsidR="00E5425D" w:rsidRPr="00262C80" w:rsidRDefault="007A2EFB" w:rsidP="00E542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Respecto de las alegaciones </w:t>
      </w:r>
      <w:r w:rsidR="00E5425D" w:rsidRPr="00262C80">
        <w:rPr>
          <w:rFonts w:asciiTheme="majorHAnsi" w:hAnsiTheme="majorHAnsi"/>
          <w:sz w:val="20"/>
          <w:szCs w:val="20"/>
          <w:lang w:val="es-ES_tradnl"/>
        </w:rPr>
        <w:t>presentadas por</w:t>
      </w:r>
      <w:r w:rsidRPr="00262C80">
        <w:rPr>
          <w:rFonts w:asciiTheme="majorHAnsi" w:hAnsiTheme="majorHAnsi"/>
          <w:sz w:val="20"/>
          <w:szCs w:val="20"/>
          <w:lang w:val="es-ES_tradnl"/>
        </w:rPr>
        <w:t xml:space="preserve"> los peticionarios sobre la realización de una campaña de desprestigio en contra de los movimientos campesinos y </w:t>
      </w:r>
      <w:r w:rsidR="00DF241D" w:rsidRPr="00262C80">
        <w:rPr>
          <w:rFonts w:asciiTheme="majorHAnsi" w:hAnsiTheme="majorHAnsi"/>
          <w:sz w:val="20"/>
          <w:szCs w:val="20"/>
          <w:lang w:val="es-ES_tradnl"/>
        </w:rPr>
        <w:t>defensores</w:t>
      </w:r>
      <w:r w:rsidRPr="00262C80">
        <w:rPr>
          <w:rFonts w:asciiTheme="majorHAnsi" w:hAnsiTheme="majorHAnsi"/>
          <w:sz w:val="20"/>
          <w:szCs w:val="20"/>
          <w:lang w:val="es-ES_tradnl"/>
        </w:rPr>
        <w:t xml:space="preserve"> de derechos humanos en el Bajo </w:t>
      </w:r>
      <w:r w:rsidR="00537A83" w:rsidRPr="00262C80">
        <w:rPr>
          <w:rFonts w:asciiTheme="majorHAnsi" w:hAnsiTheme="majorHAnsi"/>
          <w:sz w:val="20"/>
          <w:szCs w:val="20"/>
          <w:lang w:val="es-ES_tradnl"/>
        </w:rPr>
        <w:t>Aguan,</w:t>
      </w:r>
      <w:r w:rsidR="00E5425D" w:rsidRPr="00262C80">
        <w:rPr>
          <w:rFonts w:asciiTheme="majorHAnsi" w:hAnsiTheme="majorHAnsi"/>
          <w:sz w:val="20"/>
          <w:szCs w:val="20"/>
          <w:lang w:val="es-ES_tradnl"/>
        </w:rPr>
        <w:t xml:space="preserve"> así como la violación de su derecho a la propiedad, </w:t>
      </w:r>
      <w:r w:rsidRPr="00262C80">
        <w:rPr>
          <w:rFonts w:asciiTheme="majorHAnsi" w:hAnsiTheme="majorHAnsi"/>
          <w:sz w:val="20"/>
          <w:szCs w:val="20"/>
          <w:lang w:val="es-ES_tradnl"/>
        </w:rPr>
        <w:t xml:space="preserve">considera el Estado que </w:t>
      </w:r>
      <w:r w:rsidR="00E5425D" w:rsidRPr="00262C80">
        <w:rPr>
          <w:rFonts w:asciiTheme="majorHAnsi" w:hAnsiTheme="majorHAnsi"/>
          <w:sz w:val="20"/>
          <w:szCs w:val="20"/>
          <w:lang w:val="es-ES_tradnl"/>
        </w:rPr>
        <w:t xml:space="preserve">les ha garantizado el libre ejercicio de sus derechos sin temor a sufrir actos de violencia. </w:t>
      </w:r>
      <w:r w:rsidR="007F5CDE" w:rsidRPr="00262C80">
        <w:rPr>
          <w:rFonts w:asciiTheme="majorHAnsi" w:hAnsiTheme="majorHAnsi"/>
          <w:sz w:val="20"/>
          <w:szCs w:val="20"/>
          <w:lang w:val="es-ES_tradnl"/>
        </w:rPr>
        <w:t>Además,</w:t>
      </w:r>
      <w:r w:rsidR="00E5425D" w:rsidRPr="00262C80">
        <w:rPr>
          <w:rFonts w:asciiTheme="majorHAnsi" w:hAnsiTheme="majorHAnsi"/>
          <w:sz w:val="20"/>
          <w:szCs w:val="20"/>
          <w:lang w:val="es-ES_tradnl"/>
        </w:rPr>
        <w:t xml:space="preserve"> en la petición no se indica de manera clara ni contundente los casos concretos en los cuales se haya violado su derecho a la propiedad, </w:t>
      </w:r>
      <w:r w:rsidR="00C640FD" w:rsidRPr="00262C80">
        <w:rPr>
          <w:rFonts w:asciiTheme="majorHAnsi" w:hAnsiTheme="majorHAnsi"/>
          <w:sz w:val="20"/>
          <w:szCs w:val="20"/>
          <w:lang w:val="es-ES_tradnl"/>
        </w:rPr>
        <w:t>considerando</w:t>
      </w:r>
      <w:r w:rsidR="00655466" w:rsidRPr="00262C80">
        <w:rPr>
          <w:rFonts w:asciiTheme="majorHAnsi" w:hAnsiTheme="majorHAnsi"/>
          <w:sz w:val="20"/>
          <w:szCs w:val="20"/>
          <w:lang w:val="es-ES_tradnl"/>
        </w:rPr>
        <w:t xml:space="preserve"> contradictorio el que </w:t>
      </w:r>
      <w:r w:rsidR="00E5425D" w:rsidRPr="00262C80">
        <w:rPr>
          <w:rFonts w:asciiTheme="majorHAnsi" w:hAnsiTheme="majorHAnsi"/>
          <w:sz w:val="20"/>
          <w:szCs w:val="20"/>
          <w:lang w:val="es-ES_tradnl"/>
        </w:rPr>
        <w:t xml:space="preserve">los peticionarios </w:t>
      </w:r>
      <w:r w:rsidR="00655466" w:rsidRPr="00262C80">
        <w:rPr>
          <w:rFonts w:asciiTheme="majorHAnsi" w:hAnsiTheme="majorHAnsi"/>
          <w:sz w:val="20"/>
          <w:szCs w:val="20"/>
          <w:lang w:val="es-ES_tradnl"/>
        </w:rPr>
        <w:t>indiquen</w:t>
      </w:r>
      <w:r w:rsidR="00E5425D" w:rsidRPr="00262C80">
        <w:rPr>
          <w:rFonts w:asciiTheme="majorHAnsi" w:hAnsiTheme="majorHAnsi"/>
          <w:sz w:val="20"/>
          <w:szCs w:val="20"/>
          <w:lang w:val="es-ES_tradnl"/>
        </w:rPr>
        <w:t xml:space="preserve"> </w:t>
      </w:r>
      <w:r w:rsidR="00655466" w:rsidRPr="00262C80">
        <w:rPr>
          <w:rFonts w:asciiTheme="majorHAnsi" w:hAnsiTheme="majorHAnsi"/>
          <w:sz w:val="20"/>
          <w:szCs w:val="20"/>
          <w:lang w:val="es-ES_tradnl"/>
        </w:rPr>
        <w:t xml:space="preserve">que </w:t>
      </w:r>
      <w:r w:rsidR="00E5425D" w:rsidRPr="00262C80">
        <w:rPr>
          <w:rFonts w:asciiTheme="majorHAnsi" w:hAnsiTheme="majorHAnsi"/>
          <w:sz w:val="20"/>
          <w:szCs w:val="20"/>
          <w:lang w:val="es-ES_tradnl"/>
        </w:rPr>
        <w:t>fracasó la Ley de Reforma Agraria y al mismo tiempo sost</w:t>
      </w:r>
      <w:r w:rsidR="00655466" w:rsidRPr="00262C80">
        <w:rPr>
          <w:rFonts w:asciiTheme="majorHAnsi" w:hAnsiTheme="majorHAnsi"/>
          <w:sz w:val="20"/>
          <w:szCs w:val="20"/>
          <w:lang w:val="es-ES_tradnl"/>
        </w:rPr>
        <w:t>engan que el Estado realizó</w:t>
      </w:r>
      <w:r w:rsidR="00E5425D" w:rsidRPr="00262C80">
        <w:rPr>
          <w:rFonts w:asciiTheme="majorHAnsi" w:hAnsiTheme="majorHAnsi"/>
          <w:sz w:val="20"/>
          <w:szCs w:val="20"/>
          <w:lang w:val="es-ES_tradnl"/>
        </w:rPr>
        <w:t xml:space="preserve"> la titulación de 1</w:t>
      </w:r>
      <w:r w:rsidR="007F5CDE" w:rsidRPr="00262C80">
        <w:rPr>
          <w:rFonts w:asciiTheme="majorHAnsi" w:hAnsiTheme="majorHAnsi"/>
          <w:sz w:val="20"/>
          <w:szCs w:val="20"/>
          <w:lang w:val="es-ES_tradnl"/>
        </w:rPr>
        <w:t>.</w:t>
      </w:r>
      <w:r w:rsidR="00E5425D" w:rsidRPr="00262C80">
        <w:rPr>
          <w:rFonts w:asciiTheme="majorHAnsi" w:hAnsiTheme="majorHAnsi"/>
          <w:sz w:val="20"/>
          <w:szCs w:val="20"/>
          <w:lang w:val="es-ES_tradnl"/>
        </w:rPr>
        <w:t>124 hectáreas en la zona del Bajo Agu</w:t>
      </w:r>
      <w:r w:rsidR="00C640FD" w:rsidRPr="00262C80">
        <w:rPr>
          <w:rFonts w:asciiTheme="majorHAnsi" w:hAnsiTheme="majorHAnsi"/>
          <w:sz w:val="20"/>
          <w:szCs w:val="20"/>
          <w:lang w:val="es-ES_tradnl"/>
        </w:rPr>
        <w:t>á</w:t>
      </w:r>
      <w:r w:rsidR="00E5425D" w:rsidRPr="00262C80">
        <w:rPr>
          <w:rFonts w:asciiTheme="majorHAnsi" w:hAnsiTheme="majorHAnsi"/>
          <w:sz w:val="20"/>
          <w:szCs w:val="20"/>
          <w:lang w:val="es-ES_tradnl"/>
        </w:rPr>
        <w:t>n</w:t>
      </w:r>
      <w:r w:rsidR="00655466" w:rsidRPr="00262C80">
        <w:rPr>
          <w:rFonts w:asciiTheme="majorHAnsi" w:hAnsiTheme="majorHAnsi"/>
          <w:sz w:val="20"/>
          <w:szCs w:val="20"/>
          <w:lang w:val="es-ES_tradnl"/>
        </w:rPr>
        <w:t xml:space="preserve">. </w:t>
      </w:r>
    </w:p>
    <w:p w14:paraId="54878D86" w14:textId="5C38F808" w:rsidR="00A11E44" w:rsidRPr="00262C80" w:rsidRDefault="00E5425D" w:rsidP="00A73F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 Finalmente, s</w:t>
      </w:r>
      <w:r w:rsidR="007A2EFB" w:rsidRPr="00262C80">
        <w:rPr>
          <w:rFonts w:asciiTheme="majorHAnsi" w:hAnsiTheme="majorHAnsi"/>
          <w:sz w:val="20"/>
          <w:szCs w:val="20"/>
          <w:lang w:val="es-ES_tradnl"/>
        </w:rPr>
        <w:t xml:space="preserve">obre los alegados daños psicológicos sufridos por los niños </w:t>
      </w:r>
      <w:r w:rsidRPr="00262C80">
        <w:rPr>
          <w:rFonts w:asciiTheme="majorHAnsi" w:hAnsiTheme="majorHAnsi"/>
          <w:sz w:val="20"/>
          <w:szCs w:val="20"/>
          <w:lang w:val="es-ES_tradnl"/>
        </w:rPr>
        <w:t>derivados</w:t>
      </w:r>
      <w:r w:rsidR="007A2EFB" w:rsidRPr="00262C80">
        <w:rPr>
          <w:rFonts w:asciiTheme="majorHAnsi" w:hAnsiTheme="majorHAnsi"/>
          <w:sz w:val="20"/>
          <w:szCs w:val="20"/>
          <w:lang w:val="es-ES_tradnl"/>
        </w:rPr>
        <w:t xml:space="preserve"> del conflicto por la tenencia de la tierra entre campesinos y las empresas Dinant y Orión, y </w:t>
      </w:r>
      <w:r w:rsidRPr="00262C80">
        <w:rPr>
          <w:rFonts w:asciiTheme="majorHAnsi" w:hAnsiTheme="majorHAnsi"/>
          <w:sz w:val="20"/>
          <w:szCs w:val="20"/>
          <w:lang w:val="es-ES_tradnl"/>
        </w:rPr>
        <w:t xml:space="preserve">la vulneración del derecho al trabajo, sostiene que </w:t>
      </w:r>
      <w:r w:rsidR="00537A83" w:rsidRPr="00262C80">
        <w:rPr>
          <w:rFonts w:asciiTheme="majorHAnsi" w:hAnsiTheme="majorHAnsi"/>
          <w:sz w:val="20"/>
          <w:szCs w:val="20"/>
          <w:lang w:val="es-ES_tradnl"/>
        </w:rPr>
        <w:t xml:space="preserve">de </w:t>
      </w:r>
      <w:r w:rsidR="007A2EFB" w:rsidRPr="00262C80">
        <w:rPr>
          <w:rFonts w:asciiTheme="majorHAnsi" w:hAnsiTheme="majorHAnsi"/>
          <w:sz w:val="20"/>
          <w:szCs w:val="20"/>
          <w:lang w:val="es-ES_tradnl"/>
        </w:rPr>
        <w:t xml:space="preserve">los hechos descritos </w:t>
      </w:r>
      <w:r w:rsidRPr="00262C80">
        <w:rPr>
          <w:rFonts w:asciiTheme="majorHAnsi" w:hAnsiTheme="majorHAnsi"/>
          <w:sz w:val="20"/>
          <w:szCs w:val="20"/>
          <w:lang w:val="es-ES_tradnl"/>
        </w:rPr>
        <w:t xml:space="preserve">y los argumentos presentados </w:t>
      </w:r>
      <w:r w:rsidR="007A2EFB" w:rsidRPr="00262C80">
        <w:rPr>
          <w:rFonts w:asciiTheme="majorHAnsi" w:hAnsiTheme="majorHAnsi"/>
          <w:sz w:val="20"/>
          <w:szCs w:val="20"/>
          <w:lang w:val="es-ES_tradnl"/>
        </w:rPr>
        <w:t>en la petición no se desprende el incumplimiento de sus obligaciones internacionales</w:t>
      </w:r>
      <w:r w:rsidR="00537A83" w:rsidRPr="00262C80">
        <w:rPr>
          <w:rFonts w:asciiTheme="majorHAnsi" w:hAnsiTheme="majorHAnsi"/>
          <w:sz w:val="20"/>
          <w:szCs w:val="20"/>
          <w:lang w:val="es-ES_tradnl"/>
        </w:rPr>
        <w:t xml:space="preserve">. </w:t>
      </w:r>
    </w:p>
    <w:p w14:paraId="6F4D4171" w14:textId="61F41104" w:rsidR="003239B8" w:rsidRPr="00262C80" w:rsidRDefault="003239B8" w:rsidP="003239B8">
      <w:pPr>
        <w:spacing w:before="240" w:after="240"/>
        <w:ind w:firstLine="720"/>
        <w:jc w:val="both"/>
        <w:rPr>
          <w:rFonts w:asciiTheme="majorHAnsi" w:hAnsiTheme="majorHAnsi"/>
          <w:sz w:val="20"/>
          <w:szCs w:val="20"/>
          <w:lang w:val="es-ES_tradnl"/>
        </w:rPr>
      </w:pPr>
      <w:r w:rsidRPr="00262C80">
        <w:rPr>
          <w:rFonts w:asciiTheme="majorHAnsi" w:eastAsia="Cambria" w:hAnsiTheme="majorHAnsi" w:cs="Cambria"/>
          <w:b/>
          <w:bCs/>
          <w:sz w:val="20"/>
          <w:szCs w:val="20"/>
          <w:u w:color="000000"/>
          <w:lang w:val="es-ES_tradnl" w:eastAsia="es-ES"/>
        </w:rPr>
        <w:t>VI.</w:t>
      </w:r>
      <w:r w:rsidRPr="00262C80">
        <w:rPr>
          <w:rFonts w:asciiTheme="majorHAnsi" w:eastAsia="Cambria" w:hAnsiTheme="majorHAnsi" w:cs="Cambria"/>
          <w:b/>
          <w:bCs/>
          <w:sz w:val="20"/>
          <w:szCs w:val="20"/>
          <w:u w:color="000000"/>
          <w:lang w:val="es-ES_tradnl" w:eastAsia="es-ES"/>
        </w:rPr>
        <w:tab/>
      </w:r>
      <w:r w:rsidR="004A6A54" w:rsidRPr="00262C80">
        <w:rPr>
          <w:rFonts w:asciiTheme="majorHAnsi" w:hAnsiTheme="majorHAnsi"/>
          <w:b/>
          <w:bCs/>
          <w:sz w:val="20"/>
          <w:szCs w:val="20"/>
          <w:lang w:val="es-ES_tradnl"/>
        </w:rPr>
        <w:t xml:space="preserve">ANÁLISIS DE </w:t>
      </w:r>
      <w:r w:rsidR="00C21FEF" w:rsidRPr="00262C80">
        <w:rPr>
          <w:rFonts w:asciiTheme="majorHAnsi" w:hAnsiTheme="majorHAnsi"/>
          <w:b/>
          <w:sz w:val="20"/>
          <w:szCs w:val="20"/>
          <w:lang w:val="es-ES_tradnl"/>
        </w:rPr>
        <w:t>AGOTAMIENTO DE LOS RECURSOS INTERNOS Y PLAZO DE PRESENTACIÓN</w:t>
      </w:r>
      <w:r w:rsidR="00C21FEF" w:rsidRPr="00262C80">
        <w:rPr>
          <w:rFonts w:asciiTheme="majorHAnsi" w:eastAsia="Cambria" w:hAnsiTheme="majorHAnsi" w:cs="Cambria"/>
          <w:b/>
          <w:bCs/>
          <w:sz w:val="20"/>
          <w:szCs w:val="20"/>
          <w:u w:color="000000"/>
          <w:lang w:val="es-ES_tradnl" w:eastAsia="es-ES"/>
        </w:rPr>
        <w:t xml:space="preserve"> </w:t>
      </w:r>
    </w:p>
    <w:p w14:paraId="21317385" w14:textId="063AA5FE" w:rsidR="00655466" w:rsidRPr="00262C80" w:rsidRDefault="00655466" w:rsidP="00655466">
      <w:pPr>
        <w:pStyle w:val="ListParagraph"/>
        <w:numPr>
          <w:ilvl w:val="0"/>
          <w:numId w:val="103"/>
        </w:numPr>
        <w:spacing w:before="240" w:after="240"/>
        <w:jc w:val="both"/>
        <w:rPr>
          <w:rFonts w:asciiTheme="majorHAnsi" w:hAnsiTheme="majorHAnsi"/>
          <w:iCs/>
          <w:color w:val="auto"/>
          <w:sz w:val="20"/>
          <w:szCs w:val="20"/>
          <w:lang w:val="es-ES_tradnl"/>
        </w:rPr>
      </w:pPr>
      <w:r w:rsidRPr="00262C80">
        <w:rPr>
          <w:rFonts w:asciiTheme="majorHAnsi" w:hAnsiTheme="majorHAnsi"/>
          <w:iCs/>
          <w:color w:val="auto"/>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los peticionarios son en lo fundamental: (a) la falta de investigación juzgamiento y sanción de los responsables de la masacre ocurrida en las inmediaciones de la finca El Tumbador, en la que fueron asesinadas cinco personas y resultaron </w:t>
      </w:r>
      <w:r w:rsidR="00CF6897" w:rsidRPr="00262C80">
        <w:rPr>
          <w:rFonts w:asciiTheme="majorHAnsi" w:hAnsiTheme="majorHAnsi"/>
          <w:iCs/>
          <w:color w:val="auto"/>
          <w:sz w:val="20"/>
          <w:szCs w:val="20"/>
          <w:lang w:val="es-ES_tradnl"/>
        </w:rPr>
        <w:t>heridas</w:t>
      </w:r>
      <w:r w:rsidRPr="00262C80">
        <w:rPr>
          <w:rFonts w:asciiTheme="majorHAnsi" w:hAnsiTheme="majorHAnsi"/>
          <w:iCs/>
          <w:color w:val="auto"/>
          <w:sz w:val="20"/>
          <w:szCs w:val="20"/>
          <w:lang w:val="es-ES_tradnl"/>
        </w:rPr>
        <w:t xml:space="preserve"> otras cinco; y (b) la alegada falta de proceso penal a través del cual se pudiera determinar la responsabilidad sobre las alegadas lesiones, amenazas y malos tratos sufridos por las presuntas víctimas mujeres. </w:t>
      </w:r>
    </w:p>
    <w:p w14:paraId="6BC26494" w14:textId="79D794C4" w:rsidR="000D28F6" w:rsidRPr="00262C80" w:rsidRDefault="0089633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Los peticionarios afirman que el último acto procesal fue la decisión de sobreseimiento provisional de la causa dictado el 18 de enero de 2013, </w:t>
      </w:r>
      <w:r w:rsidR="00C640FD" w:rsidRPr="00262C80">
        <w:rPr>
          <w:rFonts w:asciiTheme="majorHAnsi" w:hAnsiTheme="majorHAnsi"/>
          <w:sz w:val="20"/>
          <w:szCs w:val="20"/>
          <w:lang w:val="es-ES_tradnl"/>
        </w:rPr>
        <w:t>no obstante,</w:t>
      </w:r>
      <w:r w:rsidR="000D28F6" w:rsidRPr="00262C80">
        <w:rPr>
          <w:rFonts w:asciiTheme="majorHAnsi" w:hAnsiTheme="majorHAnsi"/>
          <w:sz w:val="20"/>
          <w:szCs w:val="20"/>
          <w:lang w:val="es-ES_tradnl"/>
        </w:rPr>
        <w:t xml:space="preserve"> ante la falta de introducción de nuevas pruebas por parte del Ministerio Público</w:t>
      </w:r>
      <w:r w:rsidR="00C640FD" w:rsidRPr="00262C80">
        <w:rPr>
          <w:rFonts w:asciiTheme="majorHAnsi" w:hAnsiTheme="majorHAnsi"/>
          <w:sz w:val="20"/>
          <w:szCs w:val="20"/>
          <w:lang w:val="es-ES_tradnl"/>
        </w:rPr>
        <w:t xml:space="preserve"> </w:t>
      </w:r>
      <w:r w:rsidR="00655466" w:rsidRPr="00262C80">
        <w:rPr>
          <w:rFonts w:asciiTheme="majorHAnsi" w:hAnsiTheme="majorHAnsi"/>
          <w:sz w:val="20"/>
          <w:szCs w:val="20"/>
          <w:lang w:val="es-ES_tradnl"/>
        </w:rPr>
        <w:t>hubo una</w:t>
      </w:r>
      <w:r w:rsidR="000D28F6" w:rsidRPr="00262C80">
        <w:rPr>
          <w:rFonts w:asciiTheme="majorHAnsi" w:hAnsiTheme="majorHAnsi"/>
          <w:sz w:val="20"/>
          <w:szCs w:val="20"/>
          <w:lang w:val="es-ES_tradnl"/>
        </w:rPr>
        <w:t xml:space="preserve"> extinción de la acción penal el 18 de enero de 2018. </w:t>
      </w:r>
    </w:p>
    <w:p w14:paraId="40D3C5A2" w14:textId="6E6CE518" w:rsidR="00D50EE0" w:rsidRPr="00003919" w:rsidRDefault="002F0F14" w:rsidP="004004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Respecto del reclamo </w:t>
      </w:r>
      <w:r w:rsidRPr="00262C80">
        <w:rPr>
          <w:rFonts w:asciiTheme="majorHAnsi" w:hAnsiTheme="majorHAnsi"/>
          <w:iCs/>
          <w:sz w:val="20"/>
          <w:szCs w:val="20"/>
          <w:lang w:val="es-ES_tradnl"/>
        </w:rPr>
        <w:t>(a)</w:t>
      </w:r>
      <w:r w:rsidR="003607C0" w:rsidRPr="00262C80">
        <w:rPr>
          <w:rFonts w:asciiTheme="majorHAnsi" w:hAnsiTheme="majorHAnsi"/>
          <w:iCs/>
          <w:sz w:val="20"/>
          <w:szCs w:val="20"/>
          <w:lang w:val="es-ES_tradnl"/>
        </w:rPr>
        <w:t>,</w:t>
      </w:r>
      <w:r w:rsidRPr="00262C80">
        <w:rPr>
          <w:rFonts w:asciiTheme="majorHAnsi" w:hAnsiTheme="majorHAnsi"/>
          <w:iCs/>
          <w:sz w:val="20"/>
          <w:szCs w:val="20"/>
          <w:lang w:val="es-ES_tradnl"/>
        </w:rPr>
        <w:t xml:space="preserve"> referente a la falta de investigación juzgamiento y sanción de los responsables del homicidio de nueve de las presuntas víctimas</w:t>
      </w:r>
      <w:r w:rsidR="004004FA" w:rsidRPr="00262C80">
        <w:rPr>
          <w:rFonts w:asciiTheme="majorHAnsi" w:hAnsiTheme="majorHAnsi"/>
          <w:iCs/>
          <w:sz w:val="20"/>
          <w:szCs w:val="20"/>
          <w:lang w:val="es-ES_tradnl"/>
        </w:rPr>
        <w:t xml:space="preserve"> en las inmediaciones de la finca El Tumbador</w:t>
      </w:r>
      <w:r w:rsidRPr="00262C80">
        <w:rPr>
          <w:rFonts w:asciiTheme="majorHAnsi" w:hAnsiTheme="majorHAnsi"/>
          <w:iCs/>
          <w:sz w:val="20"/>
          <w:szCs w:val="20"/>
          <w:lang w:val="es-ES_tradnl"/>
        </w:rPr>
        <w:t xml:space="preserve">, </w:t>
      </w:r>
      <w:r w:rsidR="004004FA" w:rsidRPr="00262C80">
        <w:rPr>
          <w:rFonts w:asciiTheme="majorHAnsi" w:hAnsiTheme="majorHAnsi"/>
          <w:iCs/>
          <w:sz w:val="20"/>
          <w:szCs w:val="20"/>
          <w:lang w:val="es-ES_tradnl"/>
        </w:rPr>
        <w:t>l</w:t>
      </w:r>
      <w:r w:rsidR="00CA228F" w:rsidRPr="00262C80">
        <w:rPr>
          <w:rFonts w:asciiTheme="majorHAnsi" w:hAnsiTheme="majorHAnsi"/>
          <w:sz w:val="20"/>
          <w:szCs w:val="20"/>
          <w:lang w:val="es-ES_tradnl"/>
        </w:rPr>
        <w:t>a Comisión recuerda que toda vez que se cometan hechos que impliquen la violación del derecho a la vida y la integridad personal, el recurso idóneo que se debe agotar a nivel doméstico es la vía penal, mediante la realización oficiosa y diligente de investigaciones que permita esclarecer los hechos, juzgar a los responsables y establecer las sanciones penales correspondientes</w:t>
      </w:r>
      <w:r w:rsidR="00CA228F" w:rsidRPr="00262C80">
        <w:rPr>
          <w:rStyle w:val="FootnoteReference"/>
          <w:rFonts w:asciiTheme="majorHAnsi" w:hAnsiTheme="majorHAnsi"/>
          <w:sz w:val="20"/>
          <w:szCs w:val="20"/>
          <w:lang w:val="es-ES_tradnl"/>
        </w:rPr>
        <w:footnoteReference w:id="8"/>
      </w:r>
      <w:r w:rsidR="00CA228F" w:rsidRPr="00262C80">
        <w:rPr>
          <w:rFonts w:asciiTheme="majorHAnsi" w:hAnsiTheme="majorHAnsi"/>
          <w:sz w:val="20"/>
          <w:szCs w:val="20"/>
          <w:lang w:val="es-ES_tradnl"/>
        </w:rPr>
        <w:t>. Asimismo, enfatiza que tales tipos de crímenes resultan perseguibles de oficio</w:t>
      </w:r>
      <w:r w:rsidR="00B473D7" w:rsidRPr="00262C80">
        <w:rPr>
          <w:rFonts w:asciiTheme="majorHAnsi" w:hAnsiTheme="majorHAnsi"/>
          <w:sz w:val="20"/>
          <w:szCs w:val="20"/>
          <w:lang w:val="es-ES_tradnl"/>
        </w:rPr>
        <w:t>;</w:t>
      </w:r>
      <w:r w:rsidR="00CA228F" w:rsidRPr="00262C80">
        <w:rPr>
          <w:rFonts w:asciiTheme="majorHAnsi" w:hAnsiTheme="majorHAnsi"/>
          <w:sz w:val="20"/>
          <w:szCs w:val="20"/>
          <w:lang w:val="es-ES_tradnl"/>
        </w:rPr>
        <w:t xml:space="preserve"> y que como regla general</w:t>
      </w:r>
      <w:r w:rsidR="00B473D7" w:rsidRPr="00262C80">
        <w:rPr>
          <w:rFonts w:asciiTheme="majorHAnsi" w:hAnsiTheme="majorHAnsi"/>
          <w:sz w:val="20"/>
          <w:szCs w:val="20"/>
          <w:lang w:val="es-ES_tradnl"/>
        </w:rPr>
        <w:t xml:space="preserve"> </w:t>
      </w:r>
      <w:r w:rsidR="00CA228F" w:rsidRPr="00262C80">
        <w:rPr>
          <w:rFonts w:asciiTheme="majorHAnsi" w:hAnsiTheme="majorHAnsi"/>
          <w:sz w:val="20"/>
          <w:szCs w:val="20"/>
          <w:lang w:val="es-ES_tradnl"/>
        </w:rPr>
        <w:t>una investigación penal debe realizarse</w:t>
      </w:r>
      <w:r w:rsidR="00565FC1" w:rsidRPr="00262C80">
        <w:rPr>
          <w:rFonts w:asciiTheme="majorHAnsi" w:hAnsiTheme="majorHAnsi"/>
          <w:sz w:val="20"/>
          <w:szCs w:val="20"/>
          <w:lang w:val="es-ES_tradnl"/>
        </w:rPr>
        <w:t xml:space="preserve"> prontamente</w:t>
      </w:r>
      <w:r w:rsidR="00CA228F" w:rsidRPr="00262C80">
        <w:rPr>
          <w:rFonts w:asciiTheme="majorHAnsi" w:hAnsiTheme="majorHAnsi"/>
          <w:sz w:val="20"/>
          <w:szCs w:val="20"/>
          <w:lang w:val="es-ES_tradnl"/>
        </w:rPr>
        <w:t xml:space="preserve"> para </w:t>
      </w:r>
      <w:r w:rsidR="00CA228F" w:rsidRPr="00003919">
        <w:rPr>
          <w:rFonts w:asciiTheme="majorHAnsi" w:hAnsiTheme="majorHAnsi"/>
          <w:sz w:val="20"/>
          <w:szCs w:val="20"/>
          <w:lang w:val="es-ES_tradnl"/>
        </w:rPr>
        <w:lastRenderedPageBreak/>
        <w:t>proteger los intereses de las víctimas, preservar la prueba e incluso salvaguardar los derechos de toda persona que en el contexto de la investigación sea considerada sospechosa</w:t>
      </w:r>
      <w:r w:rsidR="00CA228F" w:rsidRPr="00003919">
        <w:rPr>
          <w:rStyle w:val="FootnoteReference"/>
          <w:rFonts w:asciiTheme="majorHAnsi" w:hAnsiTheme="majorHAnsi"/>
          <w:sz w:val="20"/>
          <w:szCs w:val="20"/>
          <w:lang w:val="es-ES_tradnl"/>
        </w:rPr>
        <w:footnoteReference w:id="9"/>
      </w:r>
      <w:r w:rsidR="00CA228F" w:rsidRPr="00003919">
        <w:rPr>
          <w:rFonts w:asciiTheme="majorHAnsi" w:hAnsiTheme="majorHAnsi"/>
          <w:sz w:val="20"/>
          <w:szCs w:val="20"/>
          <w:lang w:val="es-ES_tradnl"/>
        </w:rPr>
        <w:t>.</w:t>
      </w:r>
      <w:r w:rsidR="0003779B" w:rsidRPr="00003919">
        <w:rPr>
          <w:rFonts w:asciiTheme="majorHAnsi" w:hAnsiTheme="majorHAnsi"/>
          <w:sz w:val="20"/>
          <w:szCs w:val="20"/>
          <w:lang w:val="es-ES_tradnl"/>
        </w:rPr>
        <w:t xml:space="preserve"> </w:t>
      </w:r>
    </w:p>
    <w:p w14:paraId="3FDCCAB8" w14:textId="1B05BD99" w:rsidR="00931D44" w:rsidRPr="00003919" w:rsidRDefault="00931D44" w:rsidP="00931D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3919">
        <w:rPr>
          <w:rFonts w:asciiTheme="majorHAnsi" w:hAnsiTheme="majorHAnsi"/>
          <w:sz w:val="20"/>
          <w:szCs w:val="20"/>
          <w:lang w:val="es-ES_tradnl"/>
        </w:rPr>
        <w:t>Aunado a lo anterior, la CIDH recuerda que cuando un Estado alega la falta de agotamiento de los recursos internos por parte de los peticionarios, tiene la carga de identificar cuáles serían los recursos que deben agotarse y demostrar que los medios que no han sido agotados resultan ‘adecuados’ para subsanar la violación alegada</w:t>
      </w:r>
      <w:r w:rsidRPr="00003919">
        <w:rPr>
          <w:rStyle w:val="FootnoteReference"/>
          <w:rFonts w:asciiTheme="majorHAnsi" w:hAnsiTheme="majorHAnsi"/>
          <w:sz w:val="20"/>
          <w:szCs w:val="20"/>
          <w:lang w:val="es-ES_tradnl"/>
        </w:rPr>
        <w:footnoteReference w:id="10"/>
      </w:r>
      <w:r w:rsidRPr="00003919">
        <w:rPr>
          <w:rFonts w:asciiTheme="majorHAnsi" w:hAnsiTheme="majorHAnsi"/>
          <w:sz w:val="20"/>
          <w:szCs w:val="20"/>
          <w:lang w:val="es-ES_tradnl"/>
        </w:rPr>
        <w:t>. En el presente caso, el Estado no ha opuesto en su defensa la falta de cumplimiento del requisito de agotamiento de los recursos internos ni el incumplimiento del requisito del plazo de presentación.</w:t>
      </w:r>
    </w:p>
    <w:p w14:paraId="18A6B2F9" w14:textId="186DEC6C" w:rsidR="00931D44" w:rsidRPr="00003919" w:rsidRDefault="00931D44" w:rsidP="00D50EE0">
      <w:pPr>
        <w:pStyle w:val="ListParagraph"/>
        <w:numPr>
          <w:ilvl w:val="0"/>
          <w:numId w:val="103"/>
        </w:numPr>
        <w:suppressAutoHyphens/>
        <w:spacing w:before="240" w:after="240"/>
        <w:jc w:val="both"/>
        <w:rPr>
          <w:bCs/>
          <w:sz w:val="20"/>
          <w:szCs w:val="20"/>
          <w:lang w:val="es-ES_tradnl"/>
        </w:rPr>
      </w:pPr>
      <w:r w:rsidRPr="00003919">
        <w:rPr>
          <w:bCs/>
          <w:sz w:val="20"/>
          <w:szCs w:val="20"/>
          <w:lang w:val="es-ES_tradnl"/>
        </w:rPr>
        <w:t xml:space="preserve">En conclusión, la Comisión observa que la última decisión judicial recaída en la jurisdicción interna con respecto al objeto de la presente petición es la decisión emitida </w:t>
      </w:r>
      <w:r w:rsidRPr="00003919">
        <w:rPr>
          <w:rFonts w:asciiTheme="majorHAnsi" w:hAnsiTheme="majorHAnsi"/>
          <w:sz w:val="20"/>
          <w:szCs w:val="20"/>
          <w:lang w:val="es-ES_tradnl"/>
        </w:rPr>
        <w:t xml:space="preserve">el 18 de enero de 2013, y que, como consecuencia de la falta de introducción de nuevas pruebas por parte del Ministerio Público, hubo una extinción de la acción penal el 18 de enero de 2018. En este sentido y sin prejuzgar sobre la convencionalidad de los recursos internos, cuestión que será debatida en la etapa de fondo del presente caso, la Comisión considera que la presente petición cumple formalmente con el requisito establecido en el artículo 46.1.a) de la Convención Americana. Asimismo, tomando en cuenta que esta decisión empezó a surtir efectos a partir del 19 de enero de 2018, y que la presente petición fue recibida en la CIDH el 19 de julio de 2018, esta cumple con el requisito de plazo de presentación establecido en el artículo 46.1.b) de la Convención. </w:t>
      </w:r>
    </w:p>
    <w:p w14:paraId="13E36AA6" w14:textId="038A7837" w:rsidR="00366FCB" w:rsidRPr="00262C80" w:rsidRDefault="00B10234" w:rsidP="002F0F14">
      <w:pPr>
        <w:pStyle w:val="ListParagraph"/>
        <w:numPr>
          <w:ilvl w:val="0"/>
          <w:numId w:val="103"/>
        </w:numPr>
        <w:spacing w:before="240" w:after="240"/>
        <w:jc w:val="both"/>
        <w:rPr>
          <w:rFonts w:asciiTheme="majorHAnsi" w:hAnsiTheme="majorHAnsi"/>
          <w:iCs/>
          <w:color w:val="auto"/>
          <w:sz w:val="20"/>
          <w:szCs w:val="20"/>
          <w:lang w:val="es-ES_tradnl"/>
        </w:rPr>
      </w:pPr>
      <w:r w:rsidRPr="00262C80">
        <w:rPr>
          <w:rFonts w:asciiTheme="majorHAnsi" w:hAnsiTheme="majorHAnsi"/>
          <w:iCs/>
          <w:color w:val="auto"/>
          <w:sz w:val="20"/>
          <w:szCs w:val="20"/>
          <w:lang w:val="es-ES_tradnl"/>
        </w:rPr>
        <w:t>Con relación al reclamo b) relativo a la alegada falta de proceso penal a través del cual se pudiera determinar la responsabilidad sobre las alegadas lesiones, amenazas y malos tratos sufridas por las Sras.</w:t>
      </w:r>
      <w:r w:rsidR="00366FCB" w:rsidRPr="00262C80">
        <w:rPr>
          <w:rFonts w:asciiTheme="majorHAnsi" w:hAnsiTheme="majorHAnsi"/>
          <w:color w:val="auto"/>
          <w:sz w:val="20"/>
          <w:szCs w:val="20"/>
          <w:lang w:val="es-ES_tradnl"/>
        </w:rPr>
        <w:t xml:space="preserve"> </w:t>
      </w:r>
      <w:r w:rsidR="004004FA" w:rsidRPr="00262C80">
        <w:rPr>
          <w:rFonts w:asciiTheme="majorHAnsi" w:hAnsiTheme="majorHAnsi"/>
          <w:color w:val="auto"/>
          <w:sz w:val="20"/>
          <w:szCs w:val="20"/>
          <w:lang w:val="es-ES_tradnl"/>
        </w:rPr>
        <w:t>Apolinaria Urrea, Lilian Elizabeth Urrea, Jesús Regalado y María Arcadia</w:t>
      </w:r>
      <w:r w:rsidR="00366FCB" w:rsidRPr="00262C80">
        <w:rPr>
          <w:rFonts w:asciiTheme="majorHAnsi" w:hAnsiTheme="majorHAnsi"/>
          <w:color w:val="auto"/>
          <w:sz w:val="20"/>
          <w:szCs w:val="20"/>
          <w:lang w:val="es-ES_tradnl"/>
        </w:rPr>
        <w:t xml:space="preserve">, la Comisión observa que fueron detenidas por un periodo de aproximadamente tres horas </w:t>
      </w:r>
      <w:r w:rsidR="00503CDC" w:rsidRPr="00262C80">
        <w:rPr>
          <w:rFonts w:asciiTheme="majorHAnsi" w:hAnsiTheme="majorHAnsi"/>
          <w:color w:val="auto"/>
          <w:sz w:val="20"/>
          <w:szCs w:val="20"/>
          <w:lang w:val="es-ES_tradnl"/>
        </w:rPr>
        <w:t>en las que</w:t>
      </w:r>
      <w:r w:rsidR="00366FCB" w:rsidRPr="00262C80">
        <w:rPr>
          <w:rFonts w:asciiTheme="majorHAnsi" w:hAnsiTheme="majorHAnsi"/>
          <w:color w:val="auto"/>
          <w:sz w:val="20"/>
          <w:szCs w:val="20"/>
          <w:lang w:val="es-ES_tradnl"/>
        </w:rPr>
        <w:t xml:space="preserve"> </w:t>
      </w:r>
      <w:r w:rsidR="00503CDC" w:rsidRPr="00262C80">
        <w:rPr>
          <w:rFonts w:asciiTheme="majorHAnsi" w:hAnsiTheme="majorHAnsi"/>
          <w:color w:val="auto"/>
          <w:sz w:val="20"/>
          <w:szCs w:val="20"/>
          <w:lang w:val="es-ES_tradnl"/>
        </w:rPr>
        <w:t>habrían sido</w:t>
      </w:r>
      <w:r w:rsidR="00366FCB" w:rsidRPr="00262C80">
        <w:rPr>
          <w:rFonts w:asciiTheme="majorHAnsi" w:hAnsiTheme="majorHAnsi"/>
          <w:color w:val="auto"/>
          <w:sz w:val="20"/>
          <w:szCs w:val="20"/>
          <w:lang w:val="es-ES_tradnl"/>
        </w:rPr>
        <w:t xml:space="preserve"> amenaza</w:t>
      </w:r>
      <w:r w:rsidRPr="00262C80">
        <w:rPr>
          <w:rFonts w:asciiTheme="majorHAnsi" w:hAnsiTheme="majorHAnsi"/>
          <w:color w:val="auto"/>
          <w:sz w:val="20"/>
          <w:szCs w:val="20"/>
          <w:lang w:val="es-ES_tradnl"/>
        </w:rPr>
        <w:t>da</w:t>
      </w:r>
      <w:r w:rsidR="00366FCB" w:rsidRPr="00262C80">
        <w:rPr>
          <w:rFonts w:asciiTheme="majorHAnsi" w:hAnsiTheme="majorHAnsi"/>
          <w:color w:val="auto"/>
          <w:sz w:val="20"/>
          <w:szCs w:val="20"/>
          <w:lang w:val="es-ES_tradnl"/>
        </w:rPr>
        <w:t xml:space="preserve">s de muerte y violación sexual, y </w:t>
      </w:r>
      <w:r w:rsidR="004004FA" w:rsidRPr="00262C80">
        <w:rPr>
          <w:rFonts w:asciiTheme="majorHAnsi" w:hAnsiTheme="majorHAnsi"/>
          <w:color w:val="auto"/>
          <w:sz w:val="20"/>
          <w:szCs w:val="20"/>
          <w:lang w:val="es-ES_tradnl"/>
        </w:rPr>
        <w:t xml:space="preserve">sometidas a actos de </w:t>
      </w:r>
      <w:r w:rsidR="00366FCB" w:rsidRPr="00262C80">
        <w:rPr>
          <w:rFonts w:asciiTheme="majorHAnsi" w:hAnsiTheme="majorHAnsi"/>
          <w:color w:val="auto"/>
          <w:sz w:val="20"/>
          <w:szCs w:val="20"/>
          <w:lang w:val="es-ES_tradnl"/>
        </w:rPr>
        <w:t xml:space="preserve">agresión física. Asimismo, la Comisión observa que las presuntas víctimas denunciaron los hechos ante </w:t>
      </w:r>
      <w:r w:rsidRPr="00262C80">
        <w:rPr>
          <w:rFonts w:asciiTheme="majorHAnsi" w:hAnsiTheme="majorHAnsi"/>
          <w:color w:val="auto"/>
          <w:sz w:val="20"/>
          <w:szCs w:val="20"/>
          <w:lang w:val="es-ES_tradnl"/>
        </w:rPr>
        <w:t xml:space="preserve">la Fiscalía Especial de Derechos Humanos </w:t>
      </w:r>
      <w:r w:rsidR="00366FCB" w:rsidRPr="00262C80">
        <w:rPr>
          <w:rFonts w:asciiTheme="majorHAnsi" w:hAnsiTheme="majorHAnsi"/>
          <w:color w:val="auto"/>
          <w:sz w:val="20"/>
          <w:szCs w:val="20"/>
          <w:lang w:val="es-ES_tradnl"/>
        </w:rPr>
        <w:t>sin que se iniciara alguna investigación al respecto.</w:t>
      </w:r>
      <w:r w:rsidR="00823C31" w:rsidRPr="00262C80">
        <w:rPr>
          <w:rFonts w:asciiTheme="majorHAnsi" w:hAnsiTheme="majorHAnsi"/>
          <w:color w:val="auto"/>
          <w:sz w:val="20"/>
          <w:szCs w:val="20"/>
          <w:lang w:val="es-ES_tradnl"/>
        </w:rPr>
        <w:t xml:space="preserve"> De hecho, el Estado en su respuesta manifiesta conocer de la denuncia interpuesta y señala que esta debió haber sido presentada ante la Fiscalía de Delitos Comunes o la Fiscalía de la Mujer. </w:t>
      </w:r>
      <w:r w:rsidR="00ED7B51" w:rsidRPr="00262C80">
        <w:rPr>
          <w:rFonts w:asciiTheme="majorHAnsi" w:hAnsiTheme="majorHAnsi"/>
          <w:color w:val="auto"/>
          <w:sz w:val="20"/>
          <w:szCs w:val="20"/>
          <w:lang w:val="es-ES_tradnl"/>
        </w:rPr>
        <w:t>Justificando así el hecho de que no se procedió a iniciar</w:t>
      </w:r>
      <w:r w:rsidR="004B2760" w:rsidRPr="00262C80">
        <w:rPr>
          <w:rFonts w:asciiTheme="majorHAnsi" w:hAnsiTheme="majorHAnsi"/>
          <w:color w:val="auto"/>
          <w:sz w:val="20"/>
          <w:szCs w:val="20"/>
          <w:lang w:val="es-ES_tradnl"/>
        </w:rPr>
        <w:t xml:space="preserve"> alguna investigación.</w:t>
      </w:r>
    </w:p>
    <w:p w14:paraId="090A2008" w14:textId="77777777" w:rsidR="00F447C2" w:rsidRPr="00262C80" w:rsidRDefault="00366FCB" w:rsidP="00F447C2">
      <w:pPr>
        <w:pStyle w:val="ListParagraph"/>
        <w:numPr>
          <w:ilvl w:val="0"/>
          <w:numId w:val="103"/>
        </w:numPr>
        <w:spacing w:before="240" w:after="240"/>
        <w:jc w:val="both"/>
        <w:rPr>
          <w:rFonts w:asciiTheme="majorHAnsi" w:hAnsiTheme="majorHAnsi"/>
          <w:iCs/>
          <w:color w:val="auto"/>
          <w:sz w:val="20"/>
          <w:szCs w:val="20"/>
          <w:lang w:val="es-ES_tradnl"/>
        </w:rPr>
      </w:pPr>
      <w:r w:rsidRPr="00262C80">
        <w:rPr>
          <w:rFonts w:asciiTheme="majorHAnsi" w:hAnsiTheme="majorHAnsi"/>
          <w:iCs/>
          <w:color w:val="auto"/>
          <w:sz w:val="20"/>
          <w:szCs w:val="20"/>
          <w:lang w:val="es-ES_tradnl"/>
        </w:rPr>
        <w:t>En estas circunstancias, la Comisión considera que se puede concluir que las autoridades fueron alertadas sobre la situación de las presuntas víctimas</w:t>
      </w:r>
      <w:r w:rsidR="004B2760" w:rsidRPr="00262C80">
        <w:rPr>
          <w:rFonts w:asciiTheme="majorHAnsi" w:hAnsiTheme="majorHAnsi"/>
          <w:iCs/>
          <w:color w:val="auto"/>
          <w:sz w:val="20"/>
          <w:szCs w:val="20"/>
          <w:lang w:val="es-ES_tradnl"/>
        </w:rPr>
        <w:t>,</w:t>
      </w:r>
      <w:r w:rsidRPr="00262C80">
        <w:rPr>
          <w:rFonts w:asciiTheme="majorHAnsi" w:hAnsiTheme="majorHAnsi"/>
          <w:iCs/>
          <w:color w:val="auto"/>
          <w:sz w:val="20"/>
          <w:szCs w:val="20"/>
          <w:lang w:val="es-ES_tradnl"/>
        </w:rPr>
        <w:t xml:space="preserve"> y recuerda que, en casos donde se alega que se cometió un presunto delito perseguible de oficio, el proceso interno que debe agotarse es la investigación penal, la cual debe ser asumida e impulsada por el Estado</w:t>
      </w:r>
      <w:r w:rsidRPr="00262C80">
        <w:rPr>
          <w:rStyle w:val="FootnoteReference"/>
          <w:rFonts w:asciiTheme="majorHAnsi" w:hAnsiTheme="majorHAnsi"/>
          <w:iCs/>
          <w:color w:val="auto"/>
          <w:sz w:val="20"/>
          <w:szCs w:val="20"/>
          <w:lang w:val="es-ES_tradnl"/>
        </w:rPr>
        <w:footnoteReference w:id="11"/>
      </w:r>
      <w:r w:rsidRPr="00262C80">
        <w:rPr>
          <w:rFonts w:asciiTheme="majorHAnsi" w:hAnsiTheme="majorHAnsi"/>
          <w:iCs/>
          <w:color w:val="auto"/>
          <w:sz w:val="20"/>
          <w:szCs w:val="20"/>
          <w:lang w:val="es-ES_tradnl"/>
        </w:rPr>
        <w:t>.</w:t>
      </w:r>
      <w:r w:rsidR="004004FA" w:rsidRPr="00262C80">
        <w:rPr>
          <w:rFonts w:asciiTheme="majorHAnsi" w:hAnsiTheme="majorHAnsi"/>
          <w:iCs/>
          <w:color w:val="auto"/>
          <w:sz w:val="20"/>
          <w:szCs w:val="20"/>
          <w:lang w:val="es-ES_tradnl"/>
        </w:rPr>
        <w:t xml:space="preserve"> </w:t>
      </w:r>
      <w:r w:rsidR="004B2760" w:rsidRPr="00262C80">
        <w:rPr>
          <w:rFonts w:asciiTheme="majorHAnsi" w:hAnsiTheme="majorHAnsi"/>
          <w:iCs/>
          <w:color w:val="auto"/>
          <w:sz w:val="20"/>
          <w:szCs w:val="20"/>
          <w:lang w:val="es-ES_tradnl"/>
        </w:rPr>
        <w:t>Asimismo, la Comisión obser</w:t>
      </w:r>
      <w:r w:rsidR="00A03625" w:rsidRPr="00262C80">
        <w:rPr>
          <w:rFonts w:asciiTheme="majorHAnsi" w:hAnsiTheme="majorHAnsi"/>
          <w:iCs/>
          <w:color w:val="auto"/>
          <w:sz w:val="20"/>
          <w:szCs w:val="20"/>
          <w:lang w:val="es-ES_tradnl"/>
        </w:rPr>
        <w:t xml:space="preserve">va que Honduras </w:t>
      </w:r>
      <w:r w:rsidR="002555BD" w:rsidRPr="00262C80">
        <w:rPr>
          <w:rFonts w:asciiTheme="majorHAnsi" w:hAnsiTheme="majorHAnsi"/>
          <w:iCs/>
          <w:color w:val="auto"/>
          <w:sz w:val="20"/>
          <w:szCs w:val="20"/>
          <w:lang w:val="es-ES_tradnl"/>
        </w:rPr>
        <w:t>ya era</w:t>
      </w:r>
      <w:r w:rsidR="00A03625" w:rsidRPr="00262C80">
        <w:rPr>
          <w:rFonts w:asciiTheme="majorHAnsi" w:hAnsiTheme="majorHAnsi"/>
          <w:iCs/>
          <w:color w:val="auto"/>
          <w:sz w:val="20"/>
          <w:szCs w:val="20"/>
          <w:lang w:val="es-ES_tradnl"/>
        </w:rPr>
        <w:t xml:space="preserve"> Estado parte de la Convención de Belem do Pará, </w:t>
      </w:r>
      <w:r w:rsidR="002555BD" w:rsidRPr="00262C80">
        <w:rPr>
          <w:rFonts w:asciiTheme="majorHAnsi" w:hAnsiTheme="majorHAnsi"/>
          <w:iCs/>
          <w:color w:val="auto"/>
          <w:sz w:val="20"/>
          <w:szCs w:val="20"/>
          <w:lang w:val="es-ES_tradnl"/>
        </w:rPr>
        <w:t>al momento de estos hechos, con lo cual había ac</w:t>
      </w:r>
      <w:r w:rsidR="007B0A6A" w:rsidRPr="00262C80">
        <w:rPr>
          <w:rFonts w:asciiTheme="majorHAnsi" w:hAnsiTheme="majorHAnsi"/>
          <w:iCs/>
          <w:color w:val="auto"/>
          <w:sz w:val="20"/>
          <w:szCs w:val="20"/>
          <w:lang w:val="es-ES_tradnl"/>
        </w:rPr>
        <w:t xml:space="preserve">eptado una obligación </w:t>
      </w:r>
      <w:r w:rsidR="00FB33E2" w:rsidRPr="00262C80">
        <w:rPr>
          <w:rFonts w:asciiTheme="majorHAnsi" w:hAnsiTheme="majorHAnsi"/>
          <w:iCs/>
          <w:color w:val="auto"/>
          <w:sz w:val="20"/>
          <w:szCs w:val="20"/>
          <w:lang w:val="es-ES_tradnl"/>
        </w:rPr>
        <w:t xml:space="preserve">específica </w:t>
      </w:r>
      <w:r w:rsidR="007B0A6A" w:rsidRPr="00262C80">
        <w:rPr>
          <w:rFonts w:asciiTheme="majorHAnsi" w:hAnsiTheme="majorHAnsi"/>
          <w:iCs/>
          <w:color w:val="auto"/>
          <w:sz w:val="20"/>
          <w:szCs w:val="20"/>
          <w:lang w:val="es-ES_tradnl"/>
        </w:rPr>
        <w:t xml:space="preserve">aún mayor de investigar este tipo de </w:t>
      </w:r>
      <w:r w:rsidR="00FB33E2" w:rsidRPr="00262C80">
        <w:rPr>
          <w:rFonts w:asciiTheme="majorHAnsi" w:hAnsiTheme="majorHAnsi"/>
          <w:iCs/>
          <w:color w:val="auto"/>
          <w:sz w:val="20"/>
          <w:szCs w:val="20"/>
          <w:lang w:val="es-ES_tradnl"/>
        </w:rPr>
        <w:t>alegados actos de violencia contra mujeres.</w:t>
      </w:r>
    </w:p>
    <w:p w14:paraId="27F722DA" w14:textId="26588151" w:rsidR="00366FCB" w:rsidRPr="00262C80" w:rsidRDefault="00F447C2" w:rsidP="00F447C2">
      <w:pPr>
        <w:pStyle w:val="ListParagraph"/>
        <w:numPr>
          <w:ilvl w:val="0"/>
          <w:numId w:val="103"/>
        </w:numPr>
        <w:spacing w:before="240" w:after="240"/>
        <w:jc w:val="both"/>
        <w:rPr>
          <w:rFonts w:asciiTheme="majorHAnsi" w:hAnsiTheme="majorHAnsi"/>
          <w:iCs/>
          <w:color w:val="auto"/>
          <w:sz w:val="20"/>
          <w:szCs w:val="20"/>
          <w:lang w:val="es-ES_tradnl"/>
        </w:rPr>
      </w:pPr>
      <w:r w:rsidRPr="00262C80">
        <w:rPr>
          <w:rFonts w:asciiTheme="majorHAnsi" w:hAnsiTheme="majorHAnsi"/>
          <w:iCs/>
          <w:color w:val="auto"/>
          <w:sz w:val="20"/>
          <w:szCs w:val="20"/>
          <w:lang w:val="es-ES_tradnl"/>
        </w:rPr>
        <w:t xml:space="preserve">Así, </w:t>
      </w:r>
      <w:r w:rsidRPr="00262C80">
        <w:rPr>
          <w:rFonts w:asciiTheme="majorHAnsi" w:hAnsiTheme="majorHAnsi"/>
          <w:iCs/>
          <w:sz w:val="20"/>
          <w:szCs w:val="20"/>
          <w:lang w:val="es-ES_tradnl"/>
        </w:rPr>
        <w:t>d</w:t>
      </w:r>
      <w:r w:rsidR="004004FA" w:rsidRPr="00262C80">
        <w:rPr>
          <w:rFonts w:asciiTheme="majorHAnsi" w:hAnsiTheme="majorHAnsi"/>
          <w:iCs/>
          <w:sz w:val="20"/>
          <w:szCs w:val="20"/>
          <w:lang w:val="es-ES_tradnl"/>
        </w:rPr>
        <w:t xml:space="preserve">ado que no hay ninguna información sobre una investigación iniciada por el Estado dirigida a investigar los hechos, la Comisión concluye que se aplica la excepción </w:t>
      </w:r>
      <w:r w:rsidRPr="00262C80">
        <w:rPr>
          <w:rFonts w:asciiTheme="majorHAnsi" w:hAnsiTheme="majorHAnsi"/>
          <w:iCs/>
          <w:sz w:val="20"/>
          <w:szCs w:val="20"/>
          <w:lang w:val="es-ES_tradnl"/>
        </w:rPr>
        <w:t xml:space="preserve">de retardo injustificado </w:t>
      </w:r>
      <w:r w:rsidR="004004FA" w:rsidRPr="00262C80">
        <w:rPr>
          <w:rFonts w:asciiTheme="majorHAnsi" w:hAnsiTheme="majorHAnsi"/>
          <w:iCs/>
          <w:sz w:val="20"/>
          <w:szCs w:val="20"/>
          <w:lang w:val="es-ES_tradnl"/>
        </w:rPr>
        <w:t>prevista en el artículo 46.2.c) de la Convención</w:t>
      </w:r>
      <w:r w:rsidR="00BD12A8" w:rsidRPr="00262C80">
        <w:rPr>
          <w:rFonts w:asciiTheme="majorHAnsi" w:hAnsiTheme="majorHAnsi"/>
          <w:iCs/>
          <w:sz w:val="20"/>
          <w:szCs w:val="20"/>
          <w:lang w:val="es-ES_tradnl"/>
        </w:rPr>
        <w:t xml:space="preserve"> Americana</w:t>
      </w:r>
      <w:r w:rsidR="004004FA" w:rsidRPr="00262C80">
        <w:rPr>
          <w:rFonts w:asciiTheme="majorHAnsi" w:hAnsiTheme="majorHAnsi"/>
          <w:iCs/>
          <w:sz w:val="20"/>
          <w:szCs w:val="20"/>
          <w:lang w:val="es-ES_tradnl"/>
        </w:rPr>
        <w:t>.</w:t>
      </w:r>
    </w:p>
    <w:p w14:paraId="6B8582E1" w14:textId="77777777" w:rsidR="00D302BE" w:rsidRPr="00262C80" w:rsidRDefault="00D302BE" w:rsidP="00D302BE">
      <w:pPr>
        <w:pStyle w:val="ListParagraph"/>
        <w:numPr>
          <w:ilvl w:val="0"/>
          <w:numId w:val="103"/>
        </w:numPr>
        <w:spacing w:before="240" w:after="240"/>
        <w:jc w:val="both"/>
        <w:rPr>
          <w:iCs/>
          <w:sz w:val="20"/>
          <w:szCs w:val="20"/>
          <w:lang w:val="es-ES_tradnl"/>
        </w:rPr>
      </w:pPr>
      <w:r w:rsidRPr="00262C80">
        <w:rPr>
          <w:iCs/>
          <w:sz w:val="20"/>
          <w:szCs w:val="20"/>
          <w:lang w:val="es-ES_tradnl"/>
        </w:rPr>
        <w:t>Con respecto al requisito del plazo razonable, de acuerdo con el artículo 46.2 de la Convención Americana el requisito específico del artículo 46.1.b)</w:t>
      </w:r>
      <w:r w:rsidRPr="00262C80">
        <w:rPr>
          <w:rStyle w:val="FootnoteReference"/>
          <w:iCs/>
          <w:sz w:val="20"/>
          <w:szCs w:val="20"/>
          <w:lang w:val="es-ES_tradnl"/>
        </w:rPr>
        <w:footnoteReference w:id="12"/>
      </w:r>
      <w:r w:rsidRPr="00262C80">
        <w:rPr>
          <w:iCs/>
          <w:sz w:val="20"/>
          <w:szCs w:val="20"/>
          <w:lang w:val="es-ES_tradnl"/>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Pr="00262C80">
        <w:rPr>
          <w:i/>
          <w:sz w:val="20"/>
          <w:szCs w:val="20"/>
          <w:lang w:val="es-ES_tradnl"/>
        </w:rPr>
        <w:t>a petición deberá presentarse dentro de un plazo razonable, a criterio de la Comisión. A tal efecto, la Comisión considerará la fecha en que haya ocurrido la presunta violación de los derechos y las circunstancias de cada caso</w:t>
      </w:r>
      <w:r w:rsidRPr="00262C80">
        <w:rPr>
          <w:iCs/>
          <w:sz w:val="20"/>
          <w:szCs w:val="20"/>
          <w:lang w:val="es-ES_tradnl"/>
        </w:rPr>
        <w:t xml:space="preserve">”. </w:t>
      </w:r>
    </w:p>
    <w:p w14:paraId="0F3C5E95" w14:textId="2A26D832" w:rsidR="005D105A" w:rsidRPr="00262C80" w:rsidRDefault="005D105A" w:rsidP="005D105A">
      <w:pPr>
        <w:pStyle w:val="ListParagraph"/>
        <w:numPr>
          <w:ilvl w:val="0"/>
          <w:numId w:val="103"/>
        </w:numPr>
        <w:spacing w:before="240" w:after="240"/>
        <w:jc w:val="both"/>
        <w:rPr>
          <w:iCs/>
          <w:sz w:val="20"/>
          <w:szCs w:val="20"/>
          <w:lang w:val="es-ES_tradnl"/>
        </w:rPr>
      </w:pPr>
      <w:r w:rsidRPr="00262C80">
        <w:rPr>
          <w:iCs/>
          <w:sz w:val="20"/>
          <w:szCs w:val="20"/>
          <w:lang w:val="es-ES_tradnl"/>
        </w:rPr>
        <w:lastRenderedPageBreak/>
        <w:t>En el presente caso, la Comisión observa que la petición fue recibida el 19 de julio de 2018, los hechos denunciados relativos a la masacre ocurrieron el 15 de noviembre de 2010, y las consecuencias de estos se extenderían hasta el presente</w:t>
      </w:r>
      <w:r w:rsidR="00AC1A16" w:rsidRPr="00262C80">
        <w:rPr>
          <w:iCs/>
          <w:sz w:val="20"/>
          <w:szCs w:val="20"/>
          <w:lang w:val="es-ES_tradnl"/>
        </w:rPr>
        <w:t>;</w:t>
      </w:r>
      <w:r w:rsidRPr="00262C80">
        <w:rPr>
          <w:iCs/>
          <w:sz w:val="20"/>
          <w:szCs w:val="20"/>
          <w:lang w:val="es-ES_tradnl"/>
        </w:rPr>
        <w:t xml:space="preserve"> por lo que en atención a todas estas consideraciones la Comisión considera que la presente petición fue presentada dentro de un plazo razonable en los términos del artículo 32.2 de la Convención Americana. </w:t>
      </w:r>
    </w:p>
    <w:p w14:paraId="4FFBE378" w14:textId="64322DE9" w:rsidR="003239B8" w:rsidRPr="00262C80" w:rsidRDefault="003239B8" w:rsidP="003239B8">
      <w:pPr>
        <w:pStyle w:val="ListParagraph"/>
        <w:spacing w:before="240" w:after="240"/>
        <w:jc w:val="both"/>
        <w:rPr>
          <w:rFonts w:asciiTheme="majorHAnsi" w:hAnsiTheme="majorHAnsi"/>
          <w:b/>
          <w:color w:val="auto"/>
          <w:sz w:val="20"/>
          <w:szCs w:val="20"/>
          <w:lang w:val="es-ES_tradnl"/>
        </w:rPr>
      </w:pPr>
      <w:r w:rsidRPr="00262C80">
        <w:rPr>
          <w:rFonts w:asciiTheme="majorHAnsi" w:hAnsiTheme="majorHAnsi"/>
          <w:b/>
          <w:bCs/>
          <w:color w:val="auto"/>
          <w:sz w:val="20"/>
          <w:szCs w:val="20"/>
          <w:lang w:val="es-ES_tradnl"/>
        </w:rPr>
        <w:t>VII.</w:t>
      </w:r>
      <w:r w:rsidRPr="00262C80">
        <w:rPr>
          <w:rFonts w:asciiTheme="majorHAnsi" w:hAnsiTheme="majorHAnsi"/>
          <w:b/>
          <w:bCs/>
          <w:color w:val="auto"/>
          <w:sz w:val="20"/>
          <w:szCs w:val="20"/>
          <w:lang w:val="es-ES_tradnl"/>
        </w:rPr>
        <w:tab/>
      </w:r>
      <w:r w:rsidR="004A6A54" w:rsidRPr="00262C80">
        <w:rPr>
          <w:rFonts w:asciiTheme="majorHAnsi" w:hAnsiTheme="majorHAnsi"/>
          <w:b/>
          <w:bCs/>
          <w:color w:val="auto"/>
          <w:sz w:val="20"/>
          <w:szCs w:val="20"/>
          <w:lang w:val="es-ES_tradnl"/>
        </w:rPr>
        <w:t xml:space="preserve">ANÁLISIS DE </w:t>
      </w:r>
      <w:r w:rsidR="00C21FEF" w:rsidRPr="00262C80">
        <w:rPr>
          <w:rFonts w:asciiTheme="majorHAnsi" w:hAnsiTheme="majorHAnsi"/>
          <w:b/>
          <w:bCs/>
          <w:color w:val="auto"/>
          <w:sz w:val="20"/>
          <w:szCs w:val="20"/>
          <w:lang w:val="es-ES_tradnl"/>
        </w:rPr>
        <w:t>CARACTERIZACIÓN DE LOS HECHOS ALEGADOS</w:t>
      </w:r>
    </w:p>
    <w:p w14:paraId="10E6D803" w14:textId="1D244082" w:rsidR="006226FD" w:rsidRPr="00262C80" w:rsidRDefault="00026100" w:rsidP="006226FD">
      <w:pPr>
        <w:pStyle w:val="ListParagraph"/>
        <w:numPr>
          <w:ilvl w:val="0"/>
          <w:numId w:val="103"/>
        </w:numPr>
        <w:jc w:val="both"/>
        <w:rPr>
          <w:rFonts w:asciiTheme="majorHAnsi" w:hAnsiTheme="majorHAnsi"/>
          <w:color w:val="auto"/>
          <w:sz w:val="20"/>
          <w:szCs w:val="20"/>
          <w:lang w:val="es-ES_tradnl"/>
        </w:rPr>
      </w:pPr>
      <w:r w:rsidRPr="00262C80">
        <w:rPr>
          <w:rFonts w:asciiTheme="majorHAnsi" w:hAnsiTheme="majorHAnsi"/>
          <w:color w:val="auto"/>
          <w:sz w:val="20"/>
          <w:szCs w:val="20"/>
          <w:lang w:val="es-ES_tradnl"/>
        </w:rPr>
        <w:t>En el presente caso los peticionarios alega</w:t>
      </w:r>
      <w:r w:rsidR="006226FD" w:rsidRPr="00262C80">
        <w:rPr>
          <w:rFonts w:asciiTheme="majorHAnsi" w:hAnsiTheme="majorHAnsi"/>
          <w:color w:val="auto"/>
          <w:sz w:val="20"/>
          <w:szCs w:val="20"/>
          <w:lang w:val="es-ES_tradnl"/>
        </w:rPr>
        <w:t>n la</w:t>
      </w:r>
      <w:r w:rsidRPr="00262C80">
        <w:rPr>
          <w:rFonts w:asciiTheme="majorHAnsi" w:hAnsiTheme="majorHAnsi"/>
          <w:color w:val="auto"/>
          <w:sz w:val="20"/>
          <w:szCs w:val="20"/>
          <w:lang w:val="es-ES_tradnl"/>
        </w:rPr>
        <w:t xml:space="preserve"> falta de investigación seria, pronta y eficaz destinada a esclarecer los hechos y circunstancias de las muertes y vulneraciones a la integridad personal de las presuntas víctimas</w:t>
      </w:r>
      <w:r w:rsidR="00BE3464" w:rsidRPr="00262C80">
        <w:rPr>
          <w:rFonts w:asciiTheme="majorHAnsi" w:hAnsiTheme="majorHAnsi"/>
          <w:color w:val="auto"/>
          <w:sz w:val="20"/>
          <w:szCs w:val="20"/>
          <w:lang w:val="es-ES_tradnl"/>
        </w:rPr>
        <w:t>. El Estado</w:t>
      </w:r>
      <w:r w:rsidR="00726071" w:rsidRPr="00262C80">
        <w:rPr>
          <w:rFonts w:asciiTheme="majorHAnsi" w:hAnsiTheme="majorHAnsi"/>
          <w:color w:val="auto"/>
          <w:sz w:val="20"/>
          <w:szCs w:val="20"/>
          <w:lang w:val="es-ES_tradnl"/>
        </w:rPr>
        <w:t>,</w:t>
      </w:r>
      <w:r w:rsidR="00BE3464" w:rsidRPr="00262C80">
        <w:rPr>
          <w:rFonts w:asciiTheme="majorHAnsi" w:hAnsiTheme="majorHAnsi"/>
          <w:color w:val="auto"/>
          <w:sz w:val="20"/>
          <w:szCs w:val="20"/>
          <w:lang w:val="es-ES_tradnl"/>
        </w:rPr>
        <w:t xml:space="preserve"> por su parte</w:t>
      </w:r>
      <w:r w:rsidR="00726071" w:rsidRPr="00262C80">
        <w:rPr>
          <w:rFonts w:asciiTheme="majorHAnsi" w:hAnsiTheme="majorHAnsi"/>
          <w:color w:val="auto"/>
          <w:sz w:val="20"/>
          <w:szCs w:val="20"/>
          <w:lang w:val="es-ES_tradnl"/>
        </w:rPr>
        <w:t>,</w:t>
      </w:r>
      <w:r w:rsidR="00BE3464" w:rsidRPr="00262C80">
        <w:rPr>
          <w:rFonts w:asciiTheme="majorHAnsi" w:hAnsiTheme="majorHAnsi"/>
          <w:color w:val="auto"/>
          <w:sz w:val="20"/>
          <w:szCs w:val="20"/>
          <w:lang w:val="es-ES_tradnl"/>
        </w:rPr>
        <w:t xml:space="preserve"> replica que ha cumplido con el deber de investigar toda situación en la que se hayan violado derechos humanos, y que tal y como lo exige la jurisprudencia interamericana, la obligación de investigar es de medio</w:t>
      </w:r>
      <w:r w:rsidR="00C640FD" w:rsidRPr="00262C80">
        <w:rPr>
          <w:rFonts w:asciiTheme="majorHAnsi" w:hAnsiTheme="majorHAnsi"/>
          <w:color w:val="auto"/>
          <w:sz w:val="20"/>
          <w:szCs w:val="20"/>
          <w:lang w:val="es-ES_tradnl"/>
        </w:rPr>
        <w:t>s</w:t>
      </w:r>
      <w:r w:rsidR="00BE3464" w:rsidRPr="00262C80">
        <w:rPr>
          <w:rFonts w:asciiTheme="majorHAnsi" w:hAnsiTheme="majorHAnsi"/>
          <w:color w:val="auto"/>
          <w:sz w:val="20"/>
          <w:szCs w:val="20"/>
          <w:lang w:val="es-ES_tradnl"/>
        </w:rPr>
        <w:t xml:space="preserve"> más no de resultados.</w:t>
      </w:r>
      <w:r w:rsidR="006226FD" w:rsidRPr="00262C80">
        <w:rPr>
          <w:rFonts w:asciiTheme="majorHAnsi" w:hAnsiTheme="majorHAnsi"/>
          <w:color w:val="auto"/>
          <w:sz w:val="20"/>
          <w:szCs w:val="20"/>
          <w:lang w:val="es-ES_tradnl"/>
        </w:rPr>
        <w:t xml:space="preserve"> </w:t>
      </w:r>
    </w:p>
    <w:p w14:paraId="42760E19" w14:textId="77777777" w:rsidR="006226FD" w:rsidRPr="00262C80" w:rsidRDefault="006226FD" w:rsidP="009E3454">
      <w:pPr>
        <w:jc w:val="both"/>
        <w:rPr>
          <w:rFonts w:asciiTheme="majorHAnsi" w:hAnsiTheme="majorHAnsi"/>
          <w:sz w:val="20"/>
          <w:szCs w:val="20"/>
          <w:lang w:val="es-ES_tradnl"/>
        </w:rPr>
      </w:pPr>
    </w:p>
    <w:p w14:paraId="49FA8C8D" w14:textId="77777777" w:rsidR="00995445" w:rsidRPr="00262C80" w:rsidRDefault="00995445" w:rsidP="009954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La Comisión recuerda que </w:t>
      </w:r>
      <w:r w:rsidRPr="00262C80">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262C80">
        <w:rPr>
          <w:rFonts w:asciiTheme="majorHAnsi" w:hAnsiTheme="majorHAnsi" w:cs="Calibri"/>
          <w:i/>
          <w:iCs/>
          <w:sz w:val="20"/>
          <w:szCs w:val="20"/>
          <w:lang w:val="es-ES_tradnl"/>
        </w:rPr>
        <w:t>prima facie</w:t>
      </w:r>
      <w:r w:rsidRPr="00262C80">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262C80">
        <w:rPr>
          <w:rStyle w:val="FootnoteReference"/>
          <w:rFonts w:asciiTheme="majorHAnsi" w:hAnsiTheme="majorHAnsi" w:cs="Calibri"/>
          <w:sz w:val="20"/>
          <w:szCs w:val="20"/>
          <w:lang w:val="es-ES_tradnl"/>
        </w:rPr>
        <w:footnoteReference w:id="13"/>
      </w:r>
      <w:r w:rsidRPr="00262C80">
        <w:rPr>
          <w:rFonts w:asciiTheme="majorHAnsi" w:hAnsiTheme="majorHAnsi" w:cs="Calibri"/>
          <w:sz w:val="20"/>
          <w:szCs w:val="20"/>
          <w:lang w:val="es-ES_tradnl"/>
        </w:rPr>
        <w:t>.</w:t>
      </w:r>
    </w:p>
    <w:p w14:paraId="306068E2" w14:textId="2E09B8E6" w:rsidR="00F622CA" w:rsidRPr="00262C80" w:rsidRDefault="00F622CA" w:rsidP="0002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La CIDH ha dado seguimiento a la situación del Bajo Aguán desde hace varios años, debido al conflicto de tierras que acontece desde larga data en dicha zona. En sus observaciones preliminares </w:t>
      </w:r>
      <w:r w:rsidR="009E3454" w:rsidRPr="00262C80">
        <w:rPr>
          <w:rFonts w:asciiTheme="majorHAnsi" w:hAnsiTheme="majorHAnsi"/>
          <w:sz w:val="20"/>
          <w:szCs w:val="20"/>
          <w:lang w:val="es-ES_tradnl"/>
        </w:rPr>
        <w:t>sobre</w:t>
      </w:r>
      <w:r w:rsidRPr="00262C80">
        <w:rPr>
          <w:rFonts w:asciiTheme="majorHAnsi" w:hAnsiTheme="majorHAnsi"/>
          <w:sz w:val="20"/>
          <w:szCs w:val="20"/>
          <w:lang w:val="es-ES_tradnl"/>
        </w:rPr>
        <w:t xml:space="preserve"> la visita a Honduras realizada en 2010, la Comisión constató que, a partir de diciembre de 20</w:t>
      </w:r>
      <w:r w:rsidR="0024081A">
        <w:rPr>
          <w:rFonts w:asciiTheme="majorHAnsi" w:hAnsiTheme="majorHAnsi"/>
          <w:sz w:val="20"/>
          <w:szCs w:val="20"/>
          <w:lang w:val="es-ES_tradnl"/>
        </w:rPr>
        <w:t>0</w:t>
      </w:r>
      <w:r w:rsidRPr="00262C80">
        <w:rPr>
          <w:rFonts w:asciiTheme="majorHAnsi" w:hAnsiTheme="majorHAnsi"/>
          <w:sz w:val="20"/>
          <w:szCs w:val="20"/>
          <w:lang w:val="es-ES_tradnl"/>
        </w:rPr>
        <w:t>9, el referido conflicto experimentó una agudización por la militarización de la zona</w:t>
      </w:r>
      <w:r w:rsidRPr="00262C80">
        <w:rPr>
          <w:rStyle w:val="FootnoteReference"/>
          <w:rFonts w:asciiTheme="majorHAnsi" w:hAnsiTheme="majorHAnsi"/>
          <w:sz w:val="20"/>
          <w:szCs w:val="20"/>
          <w:lang w:val="es-ES_tradnl"/>
        </w:rPr>
        <w:footnoteReference w:id="14"/>
      </w:r>
      <w:r w:rsidRPr="00262C80">
        <w:rPr>
          <w:rFonts w:asciiTheme="majorHAnsi" w:hAnsiTheme="majorHAnsi"/>
          <w:sz w:val="20"/>
          <w:szCs w:val="20"/>
          <w:lang w:val="es-ES_tradnl"/>
        </w:rPr>
        <w:t>. Asimismo, la Comisión destacó que la situación de impunidad en el Bajo Aguán es alarmante. A pesar de una serie de patrones de violencia que las mismas organizaciones campesinas han identificado sobre la posible participación de autoridades estatales en los hechos denunciados, los testimonios recibidos dan cuenta de la falta de efectividad para responder a las denuncias de graves violaciones a sus derechos</w:t>
      </w:r>
      <w:r w:rsidRPr="00262C80">
        <w:rPr>
          <w:rStyle w:val="FootnoteReference"/>
          <w:rFonts w:asciiTheme="majorHAnsi" w:hAnsiTheme="majorHAnsi"/>
          <w:sz w:val="20"/>
          <w:szCs w:val="20"/>
          <w:lang w:val="es-ES_tradnl"/>
        </w:rPr>
        <w:footnoteReference w:id="15"/>
      </w:r>
      <w:r w:rsidRPr="00262C80">
        <w:rPr>
          <w:rFonts w:asciiTheme="majorHAnsi" w:hAnsiTheme="majorHAnsi"/>
          <w:sz w:val="20"/>
          <w:szCs w:val="20"/>
          <w:lang w:val="es-ES_tradnl"/>
        </w:rPr>
        <w:t>. Debido a ello, la CIDH recomendó al Estado reformar la investigación de los hechos de violencia ocurrido en el Bajo Aguán, y sancionar a los responsables materiales e intelectuales y en particular dilucidar responsabilidad en caso de una posible participación de las fuerzas estatales</w:t>
      </w:r>
      <w:r w:rsidRPr="00262C80">
        <w:rPr>
          <w:rStyle w:val="FootnoteReference"/>
          <w:rFonts w:asciiTheme="majorHAnsi" w:hAnsiTheme="majorHAnsi"/>
          <w:sz w:val="20"/>
          <w:szCs w:val="20"/>
          <w:lang w:val="es-ES_tradnl"/>
        </w:rPr>
        <w:footnoteReference w:id="16"/>
      </w:r>
      <w:r w:rsidRPr="00262C80">
        <w:rPr>
          <w:rFonts w:asciiTheme="majorHAnsi" w:hAnsiTheme="majorHAnsi"/>
          <w:sz w:val="20"/>
          <w:szCs w:val="20"/>
          <w:lang w:val="es-ES_tradnl"/>
        </w:rPr>
        <w:t>.</w:t>
      </w:r>
    </w:p>
    <w:p w14:paraId="399997A4" w14:textId="4937F703" w:rsidR="00F622CA" w:rsidRPr="00262C80" w:rsidRDefault="00F622CA" w:rsidP="0002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Finalmente, la CIDH </w:t>
      </w:r>
      <w:r w:rsidR="00F8031A" w:rsidRPr="00262C80">
        <w:rPr>
          <w:rFonts w:asciiTheme="majorHAnsi" w:hAnsiTheme="majorHAnsi"/>
          <w:sz w:val="20"/>
          <w:szCs w:val="20"/>
          <w:lang w:val="es-ES_tradnl"/>
        </w:rPr>
        <w:t xml:space="preserve">en su informe de país sobre la situación de derechos humanos en Honduras del 2019, </w:t>
      </w:r>
      <w:r w:rsidRPr="00262C80">
        <w:rPr>
          <w:rFonts w:asciiTheme="majorHAnsi" w:hAnsiTheme="majorHAnsi"/>
          <w:sz w:val="20"/>
          <w:szCs w:val="20"/>
          <w:lang w:val="es-ES_tradnl"/>
        </w:rPr>
        <w:t xml:space="preserve">resaltó que no había recibido información actualizada con relación a la investigación de las muertes ocurridas en el Bajo Aguán en los últimos </w:t>
      </w:r>
      <w:r w:rsidR="00C513A5" w:rsidRPr="00262C80">
        <w:rPr>
          <w:rFonts w:asciiTheme="majorHAnsi" w:hAnsiTheme="majorHAnsi"/>
          <w:sz w:val="20"/>
          <w:szCs w:val="20"/>
          <w:lang w:val="es-ES_tradnl"/>
        </w:rPr>
        <w:t>diez</w:t>
      </w:r>
      <w:r w:rsidRPr="00262C80">
        <w:rPr>
          <w:rFonts w:asciiTheme="majorHAnsi" w:hAnsiTheme="majorHAnsi"/>
          <w:sz w:val="20"/>
          <w:szCs w:val="20"/>
          <w:lang w:val="es-ES_tradnl"/>
        </w:rPr>
        <w:t xml:space="preserve"> años y destacó que la aparente renuencia por parte de algunos familiares de las víctimas a coadyuvar en las investigaciones refleja el alto nivel de desconfianza en las instituciones estatales a cargo del proceso</w:t>
      </w:r>
      <w:r w:rsidR="00F8031A" w:rsidRPr="00262C80">
        <w:rPr>
          <w:rStyle w:val="FootnoteReference"/>
          <w:rFonts w:asciiTheme="majorHAnsi" w:hAnsiTheme="majorHAnsi"/>
          <w:sz w:val="20"/>
          <w:szCs w:val="20"/>
          <w:lang w:val="es-ES_tradnl"/>
        </w:rPr>
        <w:footnoteReference w:id="17"/>
      </w:r>
      <w:r w:rsidRPr="00262C80">
        <w:rPr>
          <w:rFonts w:asciiTheme="majorHAnsi" w:hAnsiTheme="majorHAnsi"/>
          <w:sz w:val="20"/>
          <w:szCs w:val="20"/>
          <w:lang w:val="es-ES_tradnl"/>
        </w:rPr>
        <w:t xml:space="preserve">. En </w:t>
      </w:r>
      <w:r w:rsidR="00F8031A" w:rsidRPr="00262C80">
        <w:rPr>
          <w:rFonts w:asciiTheme="majorHAnsi" w:hAnsiTheme="majorHAnsi"/>
          <w:sz w:val="20"/>
          <w:szCs w:val="20"/>
          <w:lang w:val="es-ES_tradnl"/>
        </w:rPr>
        <w:t>razón</w:t>
      </w:r>
      <w:r w:rsidRPr="00262C80">
        <w:rPr>
          <w:rFonts w:asciiTheme="majorHAnsi" w:hAnsiTheme="majorHAnsi"/>
          <w:sz w:val="20"/>
          <w:szCs w:val="20"/>
          <w:lang w:val="es-ES_tradnl"/>
        </w:rPr>
        <w:t xml:space="preserve"> a ello, reiteró su llamado al </w:t>
      </w:r>
      <w:r w:rsidR="00F8031A" w:rsidRPr="00262C80">
        <w:rPr>
          <w:rFonts w:asciiTheme="majorHAnsi" w:hAnsiTheme="majorHAnsi"/>
          <w:sz w:val="20"/>
          <w:szCs w:val="20"/>
          <w:lang w:val="es-ES_tradnl"/>
        </w:rPr>
        <w:t>Estado de cumplir con la obligación de investigar con debida diligencia las muertes ocurridas en el Aguán, así como los actos de amedrantamiento y desprestigio en contra de personas defensoras de derechos humanos</w:t>
      </w:r>
      <w:r w:rsidR="00F8031A" w:rsidRPr="00262C80">
        <w:rPr>
          <w:rStyle w:val="FootnoteReference"/>
          <w:rFonts w:asciiTheme="majorHAnsi" w:hAnsiTheme="majorHAnsi"/>
          <w:sz w:val="20"/>
          <w:szCs w:val="20"/>
          <w:lang w:val="es-ES_tradnl"/>
        </w:rPr>
        <w:footnoteReference w:id="18"/>
      </w:r>
      <w:r w:rsidR="00F8031A" w:rsidRPr="00262C80">
        <w:rPr>
          <w:rFonts w:asciiTheme="majorHAnsi" w:hAnsiTheme="majorHAnsi"/>
          <w:sz w:val="20"/>
          <w:szCs w:val="20"/>
          <w:lang w:val="es-ES_tradnl"/>
        </w:rPr>
        <w:t xml:space="preserve">. </w:t>
      </w:r>
    </w:p>
    <w:p w14:paraId="0D92F5B2" w14:textId="030C09BB" w:rsidR="00F8031A" w:rsidRPr="00262C80" w:rsidRDefault="00F8031A" w:rsidP="0002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En igual sentido</w:t>
      </w:r>
      <w:r w:rsidR="00C513A5" w:rsidRPr="00262C80">
        <w:rPr>
          <w:rFonts w:asciiTheme="majorHAnsi" w:hAnsiTheme="majorHAnsi"/>
          <w:sz w:val="20"/>
          <w:szCs w:val="20"/>
          <w:lang w:val="es-ES_tradnl"/>
        </w:rPr>
        <w:t>,</w:t>
      </w:r>
      <w:r w:rsidRPr="00262C80">
        <w:rPr>
          <w:rFonts w:asciiTheme="majorHAnsi" w:hAnsiTheme="majorHAnsi"/>
          <w:sz w:val="20"/>
          <w:szCs w:val="20"/>
          <w:lang w:val="es-ES_tradnl"/>
        </w:rPr>
        <w:t xml:space="preserve"> y de manera paralela a los informes de país y comunicados de prensa, la CIDH ha otorgado diversas medidas cautelares debido a la situación en la región del Bajo Aguán. De este modo, el 8 de mayo de 2014 la Comisión otorgó la MC-50-14, en favor de los miembros identificados de las organizaciones MOCRA, MCRG y MARCA. Posteriormente, el 6 de diciembre de 2016, la Comisión decidió la ampliación de medidas cautelares para otros beneficiarios vinculados a los movimientos campesinos del Bajo Aguán. </w:t>
      </w:r>
    </w:p>
    <w:p w14:paraId="55B768C2" w14:textId="70038EB6" w:rsidR="006226FD" w:rsidRPr="00262C80" w:rsidRDefault="006226FD" w:rsidP="0002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lastRenderedPageBreak/>
        <w:t xml:space="preserve">En relación con la responsabilidad internacional del Estado, </w:t>
      </w:r>
      <w:r w:rsidR="00C640FD" w:rsidRPr="00262C80">
        <w:rPr>
          <w:rFonts w:asciiTheme="majorHAnsi" w:hAnsiTheme="majorHAnsi"/>
          <w:sz w:val="20"/>
          <w:szCs w:val="20"/>
          <w:lang w:val="es-ES_tradnl"/>
        </w:rPr>
        <w:t>la</w:t>
      </w:r>
      <w:r w:rsidRPr="00262C80">
        <w:rPr>
          <w:rFonts w:asciiTheme="majorHAnsi" w:hAnsiTheme="majorHAnsi"/>
          <w:sz w:val="20"/>
          <w:szCs w:val="20"/>
          <w:lang w:val="es-ES_tradnl"/>
        </w:rPr>
        <w:t xml:space="preserve"> Comisión ha manifestado que un hecho ilícito violatorio de los derechos humanos que inicialmente no resulte imputable directamente a un Estado, por ejemplo, por ser obra de un particular o por no haberse identificado al autor de la transgresión, puede acarrear la responsabilidad internacional del Estado, no por ese hecho en sí mismo, sino por la falta de la debida diligencia para prevenir la violación o para tratarla en los términos requeridos por la Convención. De ahí que, como regla general, una investigación penal debe realizarse prontamente para proteger los intereses de las víctimas, preservar la prueba e incluso salvaguardar los derechos de toda persona que en </w:t>
      </w:r>
      <w:r w:rsidR="00C640FD" w:rsidRPr="00262C80">
        <w:rPr>
          <w:rFonts w:asciiTheme="majorHAnsi" w:hAnsiTheme="majorHAnsi"/>
          <w:sz w:val="20"/>
          <w:szCs w:val="20"/>
          <w:lang w:val="es-ES_tradnl"/>
        </w:rPr>
        <w:t>el</w:t>
      </w:r>
      <w:r w:rsidRPr="00262C80">
        <w:rPr>
          <w:rFonts w:asciiTheme="majorHAnsi" w:hAnsiTheme="majorHAnsi"/>
          <w:sz w:val="20"/>
          <w:szCs w:val="20"/>
          <w:lang w:val="es-ES_tradnl"/>
        </w:rPr>
        <w:t xml:space="preserve"> contexto de la investigación sea considerada sospechosa</w:t>
      </w:r>
      <w:r w:rsidRPr="00262C80">
        <w:rPr>
          <w:rStyle w:val="FootnoteReference"/>
          <w:rFonts w:asciiTheme="majorHAnsi" w:hAnsiTheme="majorHAnsi"/>
          <w:sz w:val="20"/>
          <w:szCs w:val="20"/>
          <w:lang w:val="es-ES_tradnl"/>
        </w:rPr>
        <w:footnoteReference w:id="19"/>
      </w:r>
      <w:r w:rsidRPr="00262C80">
        <w:rPr>
          <w:rFonts w:asciiTheme="majorHAnsi" w:hAnsiTheme="majorHAnsi"/>
          <w:sz w:val="20"/>
          <w:szCs w:val="20"/>
          <w:lang w:val="es-ES_tradnl"/>
        </w:rPr>
        <w:t>.</w:t>
      </w:r>
    </w:p>
    <w:p w14:paraId="0D524F5C" w14:textId="789E8F5D" w:rsidR="00A11E44" w:rsidRPr="00262C80" w:rsidRDefault="008C5E2D" w:rsidP="001271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En aten</w:t>
      </w:r>
      <w:r w:rsidR="00C25ADB" w:rsidRPr="00262C80">
        <w:rPr>
          <w:rFonts w:asciiTheme="majorHAnsi" w:hAnsiTheme="majorHAnsi"/>
          <w:sz w:val="20"/>
          <w:szCs w:val="20"/>
          <w:lang w:val="es-ES_tradnl"/>
        </w:rPr>
        <w:t xml:space="preserve">ción a estas consideraciones y </w:t>
      </w:r>
      <w:r w:rsidRPr="00262C80">
        <w:rPr>
          <w:rFonts w:asciiTheme="majorHAnsi" w:hAnsiTheme="majorHAnsi"/>
          <w:sz w:val="20"/>
          <w:szCs w:val="20"/>
          <w:lang w:val="es-ES_tradnl"/>
        </w:rPr>
        <w:t>tras examinar los elementos de hecho y de derecho expuestos por las partes</w:t>
      </w:r>
      <w:r w:rsidR="009E3454" w:rsidRPr="00262C80">
        <w:rPr>
          <w:rFonts w:asciiTheme="majorHAnsi" w:hAnsiTheme="majorHAnsi"/>
          <w:sz w:val="20"/>
          <w:szCs w:val="20"/>
          <w:lang w:val="es-ES_tradnl"/>
        </w:rPr>
        <w:t xml:space="preserve">, y la información </w:t>
      </w:r>
      <w:r w:rsidR="00B14EFC" w:rsidRPr="00262C80">
        <w:rPr>
          <w:rFonts w:asciiTheme="majorHAnsi" w:hAnsiTheme="majorHAnsi"/>
          <w:sz w:val="20"/>
          <w:szCs w:val="20"/>
          <w:lang w:val="es-ES_tradnl"/>
        </w:rPr>
        <w:t xml:space="preserve">de contexto </w:t>
      </w:r>
      <w:r w:rsidR="009E3454" w:rsidRPr="00262C80">
        <w:rPr>
          <w:rFonts w:asciiTheme="majorHAnsi" w:hAnsiTheme="majorHAnsi"/>
          <w:sz w:val="20"/>
          <w:szCs w:val="20"/>
          <w:lang w:val="es-ES_tradnl"/>
        </w:rPr>
        <w:t xml:space="preserve">con la que cuenta la CIDH a partir del ejercicio de sus funciones de monitoreo en Honduras, considera que </w:t>
      </w:r>
      <w:r w:rsidRPr="00262C80">
        <w:rPr>
          <w:rFonts w:asciiTheme="majorHAnsi" w:hAnsiTheme="majorHAnsi"/>
          <w:sz w:val="20"/>
          <w:szCs w:val="20"/>
          <w:lang w:val="es-ES_tradnl"/>
        </w:rPr>
        <w:t xml:space="preserve">las alegaciones de la parte peticionaria no resultan manifiestamente infundadas y requieren un estudio de fondo pues los hechos alegados, de corroborarse como ciertos podrían caracterizar violaciones a los artículos </w:t>
      </w:r>
      <w:r w:rsidR="00BD7341" w:rsidRPr="00262C80">
        <w:rPr>
          <w:rFonts w:asciiTheme="majorHAnsi" w:hAnsiTheme="majorHAnsi"/>
          <w:sz w:val="20"/>
          <w:szCs w:val="20"/>
          <w:lang w:val="es-ES_tradnl"/>
        </w:rPr>
        <w:t>4 (vida), 5 (integridad personal), 8 (garantías judiciales)</w:t>
      </w:r>
      <w:r w:rsidR="0066290B" w:rsidRPr="00262C80">
        <w:rPr>
          <w:rFonts w:asciiTheme="majorHAnsi" w:hAnsiTheme="majorHAnsi"/>
          <w:sz w:val="20"/>
          <w:szCs w:val="20"/>
          <w:lang w:val="es-ES_tradnl"/>
        </w:rPr>
        <w:t>, 19 (derechos del niño)</w:t>
      </w:r>
      <w:r w:rsidR="00FE3574" w:rsidRPr="00262C80">
        <w:rPr>
          <w:rFonts w:asciiTheme="majorHAnsi" w:hAnsiTheme="majorHAnsi"/>
          <w:sz w:val="20"/>
          <w:szCs w:val="20"/>
          <w:lang w:val="es-ES_tradnl"/>
        </w:rPr>
        <w:t xml:space="preserve"> y</w:t>
      </w:r>
      <w:r w:rsidR="00BD7341" w:rsidRPr="00262C80">
        <w:rPr>
          <w:rFonts w:asciiTheme="majorHAnsi" w:hAnsiTheme="majorHAnsi"/>
          <w:sz w:val="20"/>
          <w:szCs w:val="20"/>
          <w:lang w:val="es-ES_tradnl"/>
        </w:rPr>
        <w:t xml:space="preserve"> 25 (protección judicial)</w:t>
      </w:r>
      <w:r w:rsidR="00736100" w:rsidRPr="00262C80">
        <w:rPr>
          <w:rFonts w:asciiTheme="majorHAnsi" w:hAnsiTheme="majorHAnsi"/>
          <w:sz w:val="20"/>
          <w:szCs w:val="20"/>
          <w:lang w:val="es-ES_tradnl"/>
        </w:rPr>
        <w:t xml:space="preserve"> </w:t>
      </w:r>
      <w:r w:rsidR="00BD7341" w:rsidRPr="00262C80">
        <w:rPr>
          <w:rFonts w:asciiTheme="majorHAnsi" w:hAnsiTheme="majorHAnsi"/>
          <w:sz w:val="20"/>
          <w:szCs w:val="20"/>
          <w:lang w:val="es-ES_tradnl"/>
        </w:rPr>
        <w:t>de la Convención Americana</w:t>
      </w:r>
      <w:r w:rsidR="0066290B" w:rsidRPr="00262C80">
        <w:rPr>
          <w:rFonts w:asciiTheme="majorHAnsi" w:hAnsiTheme="majorHAnsi"/>
          <w:sz w:val="20"/>
          <w:szCs w:val="20"/>
          <w:lang w:val="es-ES_tradnl"/>
        </w:rPr>
        <w:t>,</w:t>
      </w:r>
      <w:r w:rsidR="00BD7341" w:rsidRPr="00262C80">
        <w:rPr>
          <w:rFonts w:asciiTheme="majorHAnsi" w:hAnsiTheme="majorHAnsi"/>
          <w:sz w:val="20"/>
          <w:szCs w:val="20"/>
          <w:lang w:val="es-ES_tradnl"/>
        </w:rPr>
        <w:t xml:space="preserve"> en relación con </w:t>
      </w:r>
      <w:r w:rsidR="0066290B" w:rsidRPr="00262C80">
        <w:rPr>
          <w:rFonts w:asciiTheme="majorHAnsi" w:hAnsiTheme="majorHAnsi"/>
          <w:sz w:val="20"/>
          <w:szCs w:val="20"/>
          <w:lang w:val="es-ES_tradnl"/>
        </w:rPr>
        <w:t>su</w:t>
      </w:r>
      <w:r w:rsidR="00BD7341" w:rsidRPr="00262C80">
        <w:rPr>
          <w:rFonts w:asciiTheme="majorHAnsi" w:hAnsiTheme="majorHAnsi"/>
          <w:sz w:val="20"/>
          <w:szCs w:val="20"/>
          <w:lang w:val="es-ES_tradnl"/>
        </w:rPr>
        <w:t xml:space="preserve"> artículo 1.1 (obligación de respetar y garantizar los derechos), en perjuicio de</w:t>
      </w:r>
      <w:r w:rsidR="005F7422" w:rsidRPr="00262C80">
        <w:rPr>
          <w:rFonts w:asciiTheme="majorHAnsi" w:hAnsiTheme="majorHAnsi"/>
          <w:sz w:val="20"/>
          <w:szCs w:val="20"/>
          <w:lang w:val="es-ES_tradnl"/>
        </w:rPr>
        <w:t xml:space="preserve"> </w:t>
      </w:r>
      <w:r w:rsidR="00C640FD" w:rsidRPr="00262C80">
        <w:rPr>
          <w:rFonts w:asciiTheme="majorHAnsi" w:hAnsiTheme="majorHAnsi"/>
          <w:sz w:val="20"/>
          <w:szCs w:val="20"/>
          <w:lang w:val="es-ES_tradnl"/>
        </w:rPr>
        <w:t xml:space="preserve">los Sres. Ciriaco de Jesús Muñoz, Raúl Castillo, Teodoro Acosta, José Luis Salcedo e Ignacio Reyes, quienes fueron asesinados; y de Francisco Seledonio Ramírez, Pedro Deras, Marvin Jerónimo Méndez, Abraham Martínez Ventura y José Luis Dubón, quienes resultaron heridos; </w:t>
      </w:r>
      <w:r w:rsidR="009D69B9" w:rsidRPr="00262C80">
        <w:rPr>
          <w:rFonts w:asciiTheme="majorHAnsi" w:hAnsiTheme="majorHAnsi"/>
          <w:sz w:val="20"/>
          <w:szCs w:val="20"/>
          <w:lang w:val="es-ES_tradnl"/>
        </w:rPr>
        <w:t>en los términos del presente informe</w:t>
      </w:r>
      <w:r w:rsidR="00C640FD" w:rsidRPr="00262C80">
        <w:rPr>
          <w:rFonts w:asciiTheme="majorHAnsi" w:hAnsiTheme="majorHAnsi"/>
          <w:sz w:val="20"/>
          <w:szCs w:val="20"/>
          <w:lang w:val="es-ES_tradnl"/>
        </w:rPr>
        <w:t xml:space="preserve">. </w:t>
      </w:r>
    </w:p>
    <w:p w14:paraId="42E388C2" w14:textId="514E9FCC" w:rsidR="00BD7341" w:rsidRPr="00262C80" w:rsidRDefault="00BD7341" w:rsidP="001271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As</w:t>
      </w:r>
      <w:r w:rsidR="00C84671" w:rsidRPr="00262C80">
        <w:rPr>
          <w:rFonts w:asciiTheme="majorHAnsi" w:hAnsiTheme="majorHAnsi"/>
          <w:sz w:val="20"/>
          <w:szCs w:val="20"/>
          <w:lang w:val="es-ES_tradnl"/>
        </w:rPr>
        <w:t>i</w:t>
      </w:r>
      <w:r w:rsidRPr="00262C80">
        <w:rPr>
          <w:rFonts w:asciiTheme="majorHAnsi" w:hAnsiTheme="majorHAnsi"/>
          <w:sz w:val="20"/>
          <w:szCs w:val="20"/>
          <w:lang w:val="es-ES_tradnl"/>
        </w:rPr>
        <w:t xml:space="preserve">mismo, la CIDH considera que los alegatos relacionados con </w:t>
      </w:r>
      <w:r w:rsidR="007D1406" w:rsidRPr="00262C80">
        <w:rPr>
          <w:rFonts w:asciiTheme="majorHAnsi" w:hAnsiTheme="majorHAnsi"/>
          <w:sz w:val="20"/>
          <w:szCs w:val="20"/>
          <w:lang w:val="es-ES_tradnl"/>
        </w:rPr>
        <w:t xml:space="preserve">la detención ilegal y las amenazas de violación sexual y </w:t>
      </w:r>
      <w:r w:rsidR="007F5CDE" w:rsidRPr="00262C80">
        <w:rPr>
          <w:rFonts w:asciiTheme="majorHAnsi" w:hAnsiTheme="majorHAnsi"/>
          <w:sz w:val="20"/>
          <w:szCs w:val="20"/>
          <w:lang w:val="es-ES_tradnl"/>
        </w:rPr>
        <w:t>muertes sufridas</w:t>
      </w:r>
      <w:r w:rsidR="007D1406" w:rsidRPr="00262C80">
        <w:rPr>
          <w:rFonts w:asciiTheme="majorHAnsi" w:hAnsiTheme="majorHAnsi"/>
          <w:sz w:val="20"/>
          <w:szCs w:val="20"/>
          <w:lang w:val="es-ES_tradnl"/>
        </w:rPr>
        <w:t xml:space="preserve"> por las Sras. </w:t>
      </w:r>
      <w:r w:rsidR="005F7422" w:rsidRPr="00262C80">
        <w:rPr>
          <w:rFonts w:asciiTheme="majorHAnsi" w:hAnsiTheme="majorHAnsi"/>
          <w:sz w:val="20"/>
          <w:szCs w:val="20"/>
          <w:lang w:val="es-ES_tradnl"/>
        </w:rPr>
        <w:t>Apolinaria Urrea, Lilian Elizabeth Urrea, Jesús Regalado y María Arcadia,</w:t>
      </w:r>
      <w:r w:rsidR="007D1406" w:rsidRPr="00262C80">
        <w:rPr>
          <w:rFonts w:asciiTheme="majorHAnsi" w:hAnsiTheme="majorHAnsi"/>
          <w:sz w:val="20"/>
          <w:szCs w:val="20"/>
          <w:lang w:val="es-ES_tradnl"/>
        </w:rPr>
        <w:t xml:space="preserve"> caracterizarían </w:t>
      </w:r>
      <w:r w:rsidR="00C84671" w:rsidRPr="00262C80">
        <w:rPr>
          <w:rFonts w:asciiTheme="majorHAnsi" w:hAnsiTheme="majorHAnsi"/>
          <w:sz w:val="20"/>
          <w:szCs w:val="20"/>
          <w:lang w:val="es-ES_tradnl"/>
        </w:rPr>
        <w:t xml:space="preserve">además </w:t>
      </w:r>
      <w:r w:rsidR="007D1406" w:rsidRPr="00262C80">
        <w:rPr>
          <w:rFonts w:asciiTheme="majorHAnsi" w:hAnsiTheme="majorHAnsi"/>
          <w:sz w:val="20"/>
          <w:szCs w:val="20"/>
          <w:lang w:val="es-ES_tradnl"/>
        </w:rPr>
        <w:t xml:space="preserve">posibles violaciones del artículo 7 de la Convención Belém do Pará. </w:t>
      </w:r>
    </w:p>
    <w:p w14:paraId="1DFB7915" w14:textId="75C5D63D" w:rsidR="007D1406" w:rsidRPr="00262C80" w:rsidRDefault="007D1406" w:rsidP="007D1406">
      <w:pPr>
        <w:pStyle w:val="ListParagraph"/>
        <w:numPr>
          <w:ilvl w:val="0"/>
          <w:numId w:val="103"/>
        </w:numPr>
        <w:spacing w:before="240" w:after="240"/>
        <w:jc w:val="both"/>
        <w:rPr>
          <w:rFonts w:asciiTheme="majorHAnsi" w:hAnsiTheme="majorHAnsi"/>
          <w:b/>
          <w:color w:val="auto"/>
          <w:sz w:val="20"/>
          <w:szCs w:val="20"/>
          <w:lang w:val="es-ES_tradnl"/>
        </w:rPr>
      </w:pPr>
      <w:r w:rsidRPr="00262C80">
        <w:rPr>
          <w:rFonts w:asciiTheme="majorHAnsi" w:hAnsiTheme="majorHAnsi"/>
          <w:color w:val="auto"/>
          <w:sz w:val="20"/>
          <w:szCs w:val="20"/>
          <w:lang w:val="es-ES_tradnl"/>
        </w:rPr>
        <w:t xml:space="preserve">En cuanto al reclamo sobre la presunta violación de los artículos 11 </w:t>
      </w:r>
      <w:r w:rsidR="00C640FD" w:rsidRPr="00262C80">
        <w:rPr>
          <w:rFonts w:asciiTheme="majorHAnsi" w:hAnsiTheme="majorHAnsi"/>
          <w:color w:val="auto"/>
          <w:sz w:val="20"/>
          <w:szCs w:val="20"/>
          <w:lang w:val="es-ES_tradnl"/>
        </w:rPr>
        <w:t>(</w:t>
      </w:r>
      <w:r w:rsidRPr="00262C80">
        <w:rPr>
          <w:rFonts w:asciiTheme="majorHAnsi" w:hAnsiTheme="majorHAnsi"/>
          <w:color w:val="auto"/>
          <w:sz w:val="20"/>
          <w:szCs w:val="20"/>
          <w:lang w:val="es-ES_tradnl"/>
        </w:rPr>
        <w:t xml:space="preserve">honra y dignidad), 13 (libertad de pensamiento y expresión) 15 (reunión), 16 (asociación), 17 (protección a la familia), 21 (propiedad privada), 24 (igualdad ante la ley) y 26 (desarrollo progresivo) de la Convención Americana; la Comisión </w:t>
      </w:r>
      <w:r w:rsidR="004E4316" w:rsidRPr="00262C80">
        <w:rPr>
          <w:rFonts w:asciiTheme="majorHAnsi" w:hAnsiTheme="majorHAnsi"/>
          <w:color w:val="auto"/>
          <w:sz w:val="20"/>
          <w:szCs w:val="20"/>
          <w:lang w:val="es-ES_tradnl"/>
        </w:rPr>
        <w:t xml:space="preserve">considera </w:t>
      </w:r>
      <w:r w:rsidRPr="00262C80">
        <w:rPr>
          <w:rFonts w:asciiTheme="majorHAnsi" w:hAnsiTheme="majorHAnsi"/>
          <w:color w:val="auto"/>
          <w:sz w:val="20"/>
          <w:szCs w:val="20"/>
          <w:lang w:val="es-ES_tradnl"/>
        </w:rPr>
        <w:t xml:space="preserve">que los peticionarios no han ofrecido alegatos o sustento suficiente que permita considerar </w:t>
      </w:r>
      <w:r w:rsidRPr="00262C80">
        <w:rPr>
          <w:rFonts w:asciiTheme="majorHAnsi" w:hAnsiTheme="majorHAnsi"/>
          <w:i/>
          <w:color w:val="auto"/>
          <w:sz w:val="20"/>
          <w:szCs w:val="20"/>
          <w:lang w:val="es-ES_tradnl"/>
        </w:rPr>
        <w:t>prima facie</w:t>
      </w:r>
      <w:r w:rsidRPr="00262C80">
        <w:rPr>
          <w:rFonts w:asciiTheme="majorHAnsi" w:hAnsiTheme="majorHAnsi"/>
          <w:color w:val="auto"/>
          <w:sz w:val="20"/>
          <w:szCs w:val="20"/>
          <w:lang w:val="es-ES_tradnl"/>
        </w:rPr>
        <w:t xml:space="preserve"> su posible violación.</w:t>
      </w:r>
    </w:p>
    <w:p w14:paraId="6A1403B8" w14:textId="510C6B08" w:rsidR="001271C8" w:rsidRPr="00262C80" w:rsidRDefault="001271C8" w:rsidP="00BD7341">
      <w:pPr>
        <w:pStyle w:val="ListParagraph"/>
        <w:numPr>
          <w:ilvl w:val="0"/>
          <w:numId w:val="103"/>
        </w:numPr>
        <w:spacing w:before="240" w:after="240"/>
        <w:jc w:val="both"/>
        <w:rPr>
          <w:rFonts w:asciiTheme="majorHAnsi" w:hAnsiTheme="majorHAnsi"/>
          <w:color w:val="auto"/>
          <w:sz w:val="20"/>
          <w:szCs w:val="20"/>
          <w:lang w:val="es-ES_tradnl"/>
        </w:rPr>
      </w:pPr>
      <w:r w:rsidRPr="00262C80">
        <w:rPr>
          <w:rFonts w:asciiTheme="majorHAnsi" w:hAnsiTheme="majorHAnsi"/>
          <w:color w:val="auto"/>
          <w:sz w:val="20"/>
          <w:szCs w:val="20"/>
          <w:lang w:val="es-ES_tradnl"/>
        </w:rPr>
        <w:t xml:space="preserve">En cuanto a los alegatos sobre violaciones a los artículos 6 y 7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 </w:t>
      </w:r>
    </w:p>
    <w:p w14:paraId="65E2B6AB" w14:textId="77777777" w:rsidR="009E3454" w:rsidRPr="00262C80" w:rsidRDefault="009E3454" w:rsidP="00451D00">
      <w:pPr>
        <w:pStyle w:val="ListParagraph"/>
        <w:numPr>
          <w:ilvl w:val="0"/>
          <w:numId w:val="103"/>
        </w:numPr>
        <w:jc w:val="both"/>
        <w:rPr>
          <w:rFonts w:asciiTheme="majorHAnsi" w:hAnsiTheme="majorHAnsi"/>
          <w:color w:val="auto"/>
          <w:sz w:val="20"/>
          <w:szCs w:val="20"/>
          <w:lang w:val="es-ES_tradnl"/>
        </w:rPr>
      </w:pPr>
      <w:r w:rsidRPr="00262C80">
        <w:rPr>
          <w:rFonts w:asciiTheme="majorHAnsi" w:hAnsiTheme="majorHAnsi"/>
          <w:color w:val="auto"/>
          <w:sz w:val="20"/>
          <w:szCs w:val="20"/>
          <w:lang w:val="es-ES_tradnl"/>
        </w:rPr>
        <w:t>Por otra parte, en relación con los demás instrumentos internacionales alegados por los peticionarios, la Comisión carece de competencia para establecer violaciones a las normas de dichos tratados, sin perjuicio de lo cual podría tomarlos en cuenta como parte de su ejercicio interpretativo de las normas de la Convención Americana en la etapa de fondo del presente caso, en los términos del artículo 29 de la Convención Americana.</w:t>
      </w:r>
    </w:p>
    <w:p w14:paraId="29BB41F5" w14:textId="77777777" w:rsidR="003239B8" w:rsidRPr="00262C80" w:rsidRDefault="003239B8" w:rsidP="003239B8">
      <w:pPr>
        <w:pStyle w:val="ListParagraph"/>
        <w:spacing w:before="240" w:after="240"/>
        <w:jc w:val="both"/>
        <w:rPr>
          <w:rFonts w:asciiTheme="majorHAnsi" w:hAnsiTheme="majorHAnsi"/>
          <w:b/>
          <w:bCs/>
          <w:color w:val="auto"/>
          <w:sz w:val="20"/>
          <w:szCs w:val="20"/>
          <w:lang w:val="es-ES_tradnl"/>
        </w:rPr>
      </w:pPr>
      <w:r w:rsidRPr="00262C80">
        <w:rPr>
          <w:rFonts w:asciiTheme="majorHAnsi" w:hAnsiTheme="majorHAnsi"/>
          <w:b/>
          <w:bCs/>
          <w:color w:val="auto"/>
          <w:sz w:val="20"/>
          <w:szCs w:val="20"/>
          <w:lang w:val="es-ES_tradnl"/>
        </w:rPr>
        <w:t xml:space="preserve">VIII. </w:t>
      </w:r>
      <w:r w:rsidRPr="00262C80">
        <w:rPr>
          <w:rFonts w:asciiTheme="majorHAnsi" w:hAnsiTheme="majorHAnsi"/>
          <w:b/>
          <w:bCs/>
          <w:color w:val="auto"/>
          <w:sz w:val="20"/>
          <w:szCs w:val="20"/>
          <w:lang w:val="es-ES_tradnl"/>
        </w:rPr>
        <w:tab/>
        <w:t>DECISIÓN</w:t>
      </w:r>
    </w:p>
    <w:p w14:paraId="0FDE1D10" w14:textId="60260C78" w:rsidR="003239B8" w:rsidRPr="00262C8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t xml:space="preserve">Declarar admisible la presente petición en relación con </w:t>
      </w:r>
      <w:r w:rsidR="007D1406" w:rsidRPr="00262C80">
        <w:rPr>
          <w:rFonts w:asciiTheme="majorHAnsi" w:hAnsiTheme="majorHAnsi"/>
          <w:sz w:val="20"/>
          <w:szCs w:val="20"/>
          <w:lang w:val="es-ES_tradnl"/>
        </w:rPr>
        <w:t>los artículos 4, 5, 8</w:t>
      </w:r>
      <w:r w:rsidR="00FE3574" w:rsidRPr="00262C80">
        <w:rPr>
          <w:rFonts w:asciiTheme="majorHAnsi" w:hAnsiTheme="majorHAnsi"/>
          <w:sz w:val="20"/>
          <w:szCs w:val="20"/>
          <w:lang w:val="es-ES_tradnl"/>
        </w:rPr>
        <w:t>, 19</w:t>
      </w:r>
      <w:r w:rsidR="007D1406" w:rsidRPr="00262C80">
        <w:rPr>
          <w:rFonts w:asciiTheme="majorHAnsi" w:hAnsiTheme="majorHAnsi"/>
          <w:sz w:val="20"/>
          <w:szCs w:val="20"/>
          <w:lang w:val="es-ES_tradnl"/>
        </w:rPr>
        <w:t xml:space="preserve"> y 25</w:t>
      </w:r>
      <w:r w:rsidR="005F7422" w:rsidRPr="00262C80">
        <w:rPr>
          <w:rFonts w:asciiTheme="majorHAnsi" w:hAnsiTheme="majorHAnsi"/>
          <w:sz w:val="20"/>
          <w:szCs w:val="20"/>
          <w:lang w:val="es-ES_tradnl"/>
        </w:rPr>
        <w:t xml:space="preserve"> de la Convención Americana</w:t>
      </w:r>
      <w:r w:rsidR="001D7048" w:rsidRPr="00262C80">
        <w:rPr>
          <w:rFonts w:asciiTheme="majorHAnsi" w:hAnsiTheme="majorHAnsi"/>
          <w:sz w:val="20"/>
          <w:szCs w:val="20"/>
          <w:lang w:val="es-ES_tradnl"/>
        </w:rPr>
        <w:t>,</w:t>
      </w:r>
      <w:r w:rsidR="005F7422" w:rsidRPr="00262C80">
        <w:rPr>
          <w:rFonts w:asciiTheme="majorHAnsi" w:hAnsiTheme="majorHAnsi"/>
          <w:sz w:val="20"/>
          <w:szCs w:val="20"/>
          <w:lang w:val="es-ES_tradnl"/>
        </w:rPr>
        <w:t xml:space="preserve"> en concordancia con su artículo 1</w:t>
      </w:r>
      <w:r w:rsidR="001D7048" w:rsidRPr="00262C80">
        <w:rPr>
          <w:rFonts w:asciiTheme="majorHAnsi" w:hAnsiTheme="majorHAnsi"/>
          <w:sz w:val="20"/>
          <w:szCs w:val="20"/>
          <w:lang w:val="es-ES_tradnl"/>
        </w:rPr>
        <w:t>.1</w:t>
      </w:r>
      <w:r w:rsidR="009E3454" w:rsidRPr="00262C80">
        <w:rPr>
          <w:rFonts w:asciiTheme="majorHAnsi" w:hAnsiTheme="majorHAnsi"/>
          <w:sz w:val="20"/>
          <w:szCs w:val="20"/>
          <w:lang w:val="es-ES_tradnl"/>
        </w:rPr>
        <w:t>.</w:t>
      </w:r>
      <w:r w:rsidR="00F76E15">
        <w:rPr>
          <w:rFonts w:asciiTheme="majorHAnsi" w:hAnsiTheme="majorHAnsi"/>
          <w:sz w:val="20"/>
          <w:szCs w:val="20"/>
          <w:lang w:val="es-ES_tradnl"/>
        </w:rPr>
        <w:t>;</w:t>
      </w:r>
    </w:p>
    <w:p w14:paraId="570DA61C" w14:textId="6445F68B" w:rsidR="000419AD" w:rsidRPr="00262C80" w:rsidRDefault="000419AD" w:rsidP="009727A3">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262C80">
        <w:rPr>
          <w:rFonts w:asciiTheme="majorHAnsi" w:eastAsia="Arial Unicode MS" w:hAnsiTheme="majorHAnsi" w:cs="Times New Roman"/>
          <w:color w:val="auto"/>
          <w:sz w:val="20"/>
          <w:szCs w:val="20"/>
          <w:lang w:val="es-ES_tradnl" w:eastAsia="en-US"/>
        </w:rPr>
        <w:t>Declarar inadmisible la presente petición en relación con</w:t>
      </w:r>
      <w:r w:rsidR="007D1406" w:rsidRPr="00262C80">
        <w:rPr>
          <w:rFonts w:asciiTheme="majorHAnsi" w:eastAsia="Arial Unicode MS" w:hAnsiTheme="majorHAnsi" w:cs="Times New Roman"/>
          <w:color w:val="auto"/>
          <w:sz w:val="20"/>
          <w:szCs w:val="20"/>
          <w:lang w:val="es-ES_tradnl" w:eastAsia="en-US"/>
        </w:rPr>
        <w:t xml:space="preserve"> los artículos </w:t>
      </w:r>
      <w:r w:rsidR="007D1406" w:rsidRPr="00262C80">
        <w:rPr>
          <w:rFonts w:asciiTheme="majorHAnsi" w:hAnsiTheme="majorHAnsi"/>
          <w:color w:val="auto"/>
          <w:sz w:val="20"/>
          <w:szCs w:val="20"/>
          <w:lang w:val="es-ES_tradnl"/>
        </w:rPr>
        <w:t>11, 13, 15, 16, 17, 21, 24 y 26</w:t>
      </w:r>
      <w:r w:rsidR="005F7422" w:rsidRPr="00262C80">
        <w:rPr>
          <w:rFonts w:asciiTheme="majorHAnsi" w:eastAsia="Arial Unicode MS" w:hAnsiTheme="majorHAnsi" w:cs="Times New Roman"/>
          <w:color w:val="auto"/>
          <w:sz w:val="20"/>
          <w:szCs w:val="20"/>
          <w:lang w:val="es-ES_tradnl" w:eastAsia="en-US"/>
        </w:rPr>
        <w:t xml:space="preserve"> de la Convención Americana</w:t>
      </w:r>
      <w:r w:rsidR="00F76E15">
        <w:rPr>
          <w:rFonts w:asciiTheme="majorHAnsi" w:eastAsia="Arial Unicode MS" w:hAnsiTheme="majorHAnsi" w:cs="Times New Roman"/>
          <w:color w:val="auto"/>
          <w:sz w:val="20"/>
          <w:szCs w:val="20"/>
          <w:lang w:val="es-ES_tradnl" w:eastAsia="en-US"/>
        </w:rPr>
        <w:t>, y;</w:t>
      </w:r>
    </w:p>
    <w:p w14:paraId="41AA5BF6" w14:textId="77777777" w:rsidR="000419AD" w:rsidRPr="00262C80"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62C80">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6232F910" w14:textId="4E99D868" w:rsidR="00F76E15" w:rsidRPr="008231F0" w:rsidRDefault="00F76E15" w:rsidP="008231F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31 días del mes de octubre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8231F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53128D2" w14:textId="77777777" w:rsidR="00F76E15" w:rsidRPr="00262C80" w:rsidRDefault="00F76E15" w:rsidP="00F76E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F76E15" w:rsidRPr="00262C80" w:rsidSect="00150CDE">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A9B6" w14:textId="77777777" w:rsidR="00150CDE" w:rsidRDefault="00150CDE">
      <w:r>
        <w:separator/>
      </w:r>
    </w:p>
  </w:endnote>
  <w:endnote w:type="continuationSeparator" w:id="0">
    <w:p w14:paraId="4DE69047" w14:textId="77777777" w:rsidR="00150CDE" w:rsidRDefault="0015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4A0B" w14:textId="77777777" w:rsidR="00150CDE" w:rsidRPr="000F35ED" w:rsidRDefault="00150C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EF4AE3" w14:textId="77777777" w:rsidR="00150CDE" w:rsidRPr="000F35ED" w:rsidRDefault="00150CDE" w:rsidP="000F35ED">
      <w:pPr>
        <w:rPr>
          <w:rFonts w:asciiTheme="majorHAnsi" w:hAnsiTheme="majorHAnsi"/>
          <w:sz w:val="16"/>
          <w:szCs w:val="16"/>
        </w:rPr>
      </w:pPr>
      <w:r w:rsidRPr="000F35ED">
        <w:rPr>
          <w:rFonts w:asciiTheme="majorHAnsi" w:hAnsiTheme="majorHAnsi"/>
          <w:sz w:val="16"/>
          <w:szCs w:val="16"/>
        </w:rPr>
        <w:separator/>
      </w:r>
    </w:p>
    <w:p w14:paraId="5518DAC1" w14:textId="77777777" w:rsidR="00150CDE" w:rsidRPr="000F35ED" w:rsidRDefault="00150CD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872384" w14:textId="77777777" w:rsidR="00150CDE" w:rsidRPr="000F35ED" w:rsidRDefault="00150C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05167" w14:textId="7EA08E8C" w:rsidR="007C27E5" w:rsidRPr="009077FE" w:rsidRDefault="007C27E5" w:rsidP="00451D00">
      <w:pPr>
        <w:pStyle w:val="FootnoteText"/>
        <w:ind w:firstLine="720"/>
        <w:jc w:val="both"/>
        <w:rPr>
          <w:rFonts w:asciiTheme="majorHAnsi" w:hAnsiTheme="majorHAnsi"/>
          <w:sz w:val="16"/>
          <w:szCs w:val="16"/>
          <w:lang w:val="es-BO"/>
        </w:rPr>
      </w:pPr>
      <w:r w:rsidRPr="009077FE">
        <w:rPr>
          <w:rStyle w:val="FootnoteReference"/>
          <w:rFonts w:asciiTheme="majorHAnsi" w:hAnsiTheme="majorHAnsi"/>
          <w:sz w:val="16"/>
          <w:szCs w:val="16"/>
        </w:rPr>
        <w:footnoteRef/>
      </w:r>
      <w:r w:rsidRPr="009077FE">
        <w:rPr>
          <w:rFonts w:asciiTheme="majorHAnsi" w:hAnsiTheme="majorHAnsi"/>
          <w:sz w:val="16"/>
          <w:szCs w:val="16"/>
          <w:lang w:val="es-BO"/>
        </w:rPr>
        <w:t xml:space="preserve"> En adelante “</w:t>
      </w:r>
      <w:r w:rsidR="00994D36" w:rsidRPr="009077FE">
        <w:rPr>
          <w:rFonts w:asciiTheme="majorHAnsi" w:hAnsiTheme="majorHAnsi"/>
          <w:sz w:val="16"/>
          <w:szCs w:val="16"/>
          <w:lang w:val="es-BO"/>
        </w:rPr>
        <w:t>l</w:t>
      </w:r>
      <w:r w:rsidRPr="009077FE">
        <w:rPr>
          <w:rFonts w:asciiTheme="majorHAnsi" w:hAnsiTheme="majorHAnsi"/>
          <w:sz w:val="16"/>
          <w:szCs w:val="16"/>
          <w:lang w:val="es-BO"/>
        </w:rPr>
        <w:t>a Convención” o “</w:t>
      </w:r>
      <w:r w:rsidR="00994D36" w:rsidRPr="009077FE">
        <w:rPr>
          <w:rFonts w:asciiTheme="majorHAnsi" w:hAnsiTheme="majorHAnsi"/>
          <w:sz w:val="16"/>
          <w:szCs w:val="16"/>
          <w:lang w:val="es-BO"/>
        </w:rPr>
        <w:t xml:space="preserve">la </w:t>
      </w:r>
      <w:r w:rsidRPr="009077FE">
        <w:rPr>
          <w:rFonts w:asciiTheme="majorHAnsi" w:hAnsiTheme="majorHAnsi"/>
          <w:sz w:val="16"/>
          <w:szCs w:val="16"/>
          <w:lang w:val="es-BO"/>
        </w:rPr>
        <w:t>Convención Americana”.</w:t>
      </w:r>
    </w:p>
  </w:footnote>
  <w:footnote w:id="3">
    <w:p w14:paraId="7EC228C1" w14:textId="1D2DEB8D" w:rsidR="00994D36" w:rsidRPr="009077FE" w:rsidRDefault="00994D36" w:rsidP="00451D00">
      <w:pPr>
        <w:pStyle w:val="FootnoteText"/>
        <w:ind w:firstLine="720"/>
        <w:jc w:val="both"/>
        <w:rPr>
          <w:rFonts w:asciiTheme="majorHAnsi" w:hAnsiTheme="majorHAnsi"/>
          <w:sz w:val="16"/>
          <w:szCs w:val="16"/>
          <w:lang w:val="es-ES"/>
        </w:rPr>
      </w:pPr>
      <w:r w:rsidRPr="009077FE">
        <w:rPr>
          <w:rStyle w:val="FootnoteReference"/>
          <w:rFonts w:asciiTheme="majorHAnsi" w:hAnsiTheme="majorHAnsi"/>
          <w:sz w:val="16"/>
          <w:szCs w:val="16"/>
        </w:rPr>
        <w:footnoteRef/>
      </w:r>
      <w:r w:rsidRPr="009077FE">
        <w:rPr>
          <w:rFonts w:asciiTheme="majorHAnsi" w:hAnsiTheme="majorHAnsi"/>
          <w:sz w:val="16"/>
          <w:szCs w:val="16"/>
          <w:lang w:val="es-ES"/>
        </w:rPr>
        <w:t xml:space="preserve"> Pacto Internacional de Derechos Económicos Sociales y Culturales, artículo 11.</w:t>
      </w:r>
    </w:p>
  </w:footnote>
  <w:footnote w:id="4">
    <w:p w14:paraId="79F07139" w14:textId="77777777" w:rsidR="008E3BFE" w:rsidRPr="009077FE" w:rsidRDefault="008E3BFE" w:rsidP="00451D00">
      <w:pPr>
        <w:pStyle w:val="FootnoteText"/>
        <w:spacing w:after="120"/>
        <w:ind w:firstLine="720"/>
        <w:jc w:val="both"/>
        <w:rPr>
          <w:rFonts w:asciiTheme="majorHAnsi" w:hAnsiTheme="majorHAnsi"/>
          <w:sz w:val="16"/>
          <w:szCs w:val="16"/>
          <w:lang w:val="es-ES"/>
        </w:rPr>
      </w:pPr>
      <w:r w:rsidRPr="009077FE">
        <w:rPr>
          <w:rStyle w:val="FootnoteReference"/>
          <w:rFonts w:asciiTheme="majorHAnsi" w:hAnsiTheme="majorHAnsi"/>
          <w:sz w:val="16"/>
          <w:szCs w:val="16"/>
        </w:rPr>
        <w:footnoteRef/>
      </w:r>
      <w:r w:rsidRPr="009077FE">
        <w:rPr>
          <w:rFonts w:asciiTheme="majorHAnsi" w:hAnsiTheme="majorHAnsi"/>
          <w:sz w:val="16"/>
          <w:szCs w:val="16"/>
          <w:lang w:val="es-ES"/>
        </w:rPr>
        <w:t xml:space="preserve"> Las observaciones de cada parte fueron debidamente trasladadas a la parte contraria.</w:t>
      </w:r>
    </w:p>
  </w:footnote>
  <w:footnote w:id="5">
    <w:p w14:paraId="2C546438" w14:textId="256B90E1" w:rsidR="00E55FE1" w:rsidRPr="00E55FE1" w:rsidRDefault="00E55FE1" w:rsidP="00451D00">
      <w:pPr>
        <w:pStyle w:val="FootnoteText"/>
        <w:ind w:firstLine="720"/>
        <w:jc w:val="both"/>
        <w:rPr>
          <w:rFonts w:asciiTheme="majorHAnsi" w:hAnsiTheme="majorHAnsi"/>
          <w:sz w:val="16"/>
          <w:szCs w:val="16"/>
          <w:lang w:val="es-MX"/>
        </w:rPr>
      </w:pPr>
      <w:r w:rsidRPr="00E55FE1">
        <w:rPr>
          <w:rStyle w:val="FootnoteReference"/>
          <w:rFonts w:asciiTheme="majorHAnsi" w:hAnsiTheme="majorHAnsi"/>
          <w:sz w:val="16"/>
          <w:szCs w:val="16"/>
        </w:rPr>
        <w:footnoteRef/>
      </w:r>
      <w:r w:rsidRPr="00E55FE1">
        <w:rPr>
          <w:rFonts w:asciiTheme="majorHAnsi" w:hAnsiTheme="majorHAnsi"/>
          <w:sz w:val="16"/>
          <w:szCs w:val="16"/>
          <w:lang w:val="es-CO"/>
        </w:rPr>
        <w:t xml:space="preserve"> </w:t>
      </w:r>
      <w:r w:rsidRPr="00E55FE1">
        <w:rPr>
          <w:rFonts w:asciiTheme="majorHAnsi" w:hAnsiTheme="majorHAnsi"/>
          <w:sz w:val="16"/>
          <w:szCs w:val="16"/>
          <w:lang w:val="es-AR"/>
        </w:rPr>
        <w:t>Ciriaco de Jesús Muñoz, Raúl Castillo, Teodoro Acosta, José Luis Salcedo e Ignacio Reyes.</w:t>
      </w:r>
    </w:p>
  </w:footnote>
  <w:footnote w:id="6">
    <w:p w14:paraId="5F34CD2C" w14:textId="1E718971" w:rsidR="00E55FE1" w:rsidRPr="00E55FE1" w:rsidRDefault="00E55FE1" w:rsidP="00451D00">
      <w:pPr>
        <w:pStyle w:val="FootnoteText"/>
        <w:ind w:firstLine="720"/>
        <w:jc w:val="both"/>
        <w:rPr>
          <w:rFonts w:asciiTheme="majorHAnsi" w:hAnsiTheme="majorHAnsi"/>
          <w:sz w:val="16"/>
          <w:szCs w:val="16"/>
          <w:lang w:val="es-CO"/>
        </w:rPr>
      </w:pPr>
      <w:r w:rsidRPr="00E55FE1">
        <w:rPr>
          <w:rStyle w:val="FootnoteReference"/>
          <w:rFonts w:asciiTheme="majorHAnsi" w:hAnsiTheme="majorHAnsi"/>
          <w:sz w:val="16"/>
          <w:szCs w:val="16"/>
        </w:rPr>
        <w:footnoteRef/>
      </w:r>
      <w:r w:rsidRPr="00E55FE1">
        <w:rPr>
          <w:rFonts w:asciiTheme="majorHAnsi" w:hAnsiTheme="majorHAnsi"/>
          <w:sz w:val="16"/>
          <w:szCs w:val="16"/>
          <w:lang w:val="es-CO"/>
        </w:rPr>
        <w:t xml:space="preserve"> </w:t>
      </w:r>
      <w:r w:rsidRPr="00E55FE1">
        <w:rPr>
          <w:rFonts w:asciiTheme="majorHAnsi" w:hAnsiTheme="majorHAnsi"/>
          <w:sz w:val="16"/>
          <w:szCs w:val="16"/>
          <w:lang w:val="es-AR"/>
        </w:rPr>
        <w:t>Francisco Seledonio Ramírez, Pedro Deras, Marvin Jerónimo Méndez</w:t>
      </w:r>
      <w:r w:rsidR="00CF6897">
        <w:rPr>
          <w:rFonts w:asciiTheme="majorHAnsi" w:hAnsiTheme="majorHAnsi"/>
          <w:sz w:val="16"/>
          <w:szCs w:val="16"/>
          <w:lang w:val="es-AR"/>
        </w:rPr>
        <w:t xml:space="preserve">, </w:t>
      </w:r>
      <w:r w:rsidRPr="00E55FE1">
        <w:rPr>
          <w:rFonts w:asciiTheme="majorHAnsi" w:hAnsiTheme="majorHAnsi"/>
          <w:sz w:val="16"/>
          <w:szCs w:val="16"/>
          <w:lang w:val="es-AR"/>
        </w:rPr>
        <w:t>Abraham Martínez Ventura y José Luis Dubón.</w:t>
      </w:r>
    </w:p>
  </w:footnote>
  <w:footnote w:id="7">
    <w:p w14:paraId="51609576" w14:textId="74CB5218" w:rsidR="00E55FE1" w:rsidRPr="00E55FE1" w:rsidRDefault="00E55FE1" w:rsidP="00451D00">
      <w:pPr>
        <w:pStyle w:val="FootnoteText"/>
        <w:ind w:firstLine="720"/>
        <w:jc w:val="both"/>
        <w:rPr>
          <w:lang w:val="es-CO"/>
        </w:rPr>
      </w:pPr>
      <w:r w:rsidRPr="00E55FE1">
        <w:rPr>
          <w:rStyle w:val="FootnoteReference"/>
          <w:rFonts w:asciiTheme="majorHAnsi" w:hAnsiTheme="majorHAnsi"/>
          <w:sz w:val="16"/>
          <w:szCs w:val="16"/>
        </w:rPr>
        <w:footnoteRef/>
      </w:r>
      <w:r w:rsidRPr="00E55FE1">
        <w:rPr>
          <w:rFonts w:asciiTheme="majorHAnsi" w:hAnsiTheme="majorHAnsi"/>
          <w:sz w:val="16"/>
          <w:szCs w:val="16"/>
          <w:lang w:val="es-CO"/>
        </w:rPr>
        <w:t xml:space="preserve"> </w:t>
      </w:r>
      <w:r w:rsidRPr="00E55FE1">
        <w:rPr>
          <w:rFonts w:asciiTheme="majorHAnsi" w:hAnsiTheme="majorHAnsi"/>
          <w:sz w:val="16"/>
          <w:szCs w:val="16"/>
          <w:lang w:val="es-AR"/>
        </w:rPr>
        <w:t>Apolinaria Urrea, Lilian Elizabeth Urrea, Jesús Regalado y María Arcadia Ramos.</w:t>
      </w:r>
      <w:r>
        <w:rPr>
          <w:rFonts w:asciiTheme="majorHAnsi" w:hAnsiTheme="majorHAnsi"/>
          <w:lang w:val="es-AR"/>
        </w:rPr>
        <w:t xml:space="preserve"> </w:t>
      </w:r>
    </w:p>
  </w:footnote>
  <w:footnote w:id="8">
    <w:p w14:paraId="7A7D3DA7" w14:textId="77777777" w:rsidR="00CA228F" w:rsidRPr="009077FE" w:rsidRDefault="00CA228F"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Informe No. 72/18, Petición 1131-08. Admisibilidad. Moisés de Jesús Hernández Pinto y familia. Guatemala. 20 de junio de 2018, párr. 10.</w:t>
      </w:r>
    </w:p>
  </w:footnote>
  <w:footnote w:id="9">
    <w:p w14:paraId="31B32814" w14:textId="77777777" w:rsidR="00CA228F" w:rsidRPr="009077FE" w:rsidRDefault="00CA228F" w:rsidP="00451D00">
      <w:pPr>
        <w:pStyle w:val="FootnoteText"/>
        <w:ind w:firstLine="720"/>
        <w:jc w:val="both"/>
        <w:rPr>
          <w:rFonts w:asciiTheme="majorHAnsi" w:hAnsiTheme="majorHAnsi"/>
          <w:sz w:val="16"/>
          <w:szCs w:val="16"/>
          <w:lang w:val="es-MX"/>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Informe No. 235/22. Petición. 991-10. Admisibilidad. Fabián Andrés Cáceres Palencia. Colombia. 15 de septiembre de 2022, párr. 23.</w:t>
      </w:r>
    </w:p>
  </w:footnote>
  <w:footnote w:id="10">
    <w:p w14:paraId="23E2B272" w14:textId="77777777" w:rsidR="00931D44" w:rsidRPr="00931D44" w:rsidRDefault="00931D44" w:rsidP="00931D44">
      <w:pPr>
        <w:pStyle w:val="FootnoteText"/>
        <w:ind w:firstLine="720"/>
        <w:rPr>
          <w:rFonts w:asciiTheme="majorHAnsi" w:hAnsiTheme="majorHAnsi"/>
          <w:sz w:val="16"/>
          <w:szCs w:val="16"/>
          <w:lang w:val="es-MX"/>
        </w:rPr>
      </w:pPr>
      <w:r w:rsidRPr="00931D44">
        <w:rPr>
          <w:rStyle w:val="FootnoteReference"/>
          <w:rFonts w:asciiTheme="majorHAnsi" w:hAnsiTheme="majorHAnsi"/>
          <w:sz w:val="16"/>
          <w:szCs w:val="16"/>
        </w:rPr>
        <w:footnoteRef/>
      </w:r>
      <w:r w:rsidRPr="00003919">
        <w:rPr>
          <w:rFonts w:asciiTheme="majorHAnsi" w:hAnsiTheme="majorHAnsi"/>
          <w:sz w:val="16"/>
          <w:szCs w:val="16"/>
          <w:lang w:val="es-ES"/>
        </w:rPr>
        <w:t xml:space="preserve"> CIDH, Informe No. 26/16, Petición 932-03. Inadmisibilidad. Rómulo Jonás Ponce Santamaría. Perú. 15 de abril de 2016, párr. 25.</w:t>
      </w:r>
    </w:p>
  </w:footnote>
  <w:footnote w:id="11">
    <w:p w14:paraId="648FF935" w14:textId="41BFDEED" w:rsidR="00366FCB" w:rsidRPr="009077FE" w:rsidRDefault="00366FCB"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w:t>
      </w:r>
      <w:r w:rsidR="004004FA" w:rsidRPr="009077FE">
        <w:rPr>
          <w:rFonts w:asciiTheme="majorHAnsi" w:hAnsiTheme="majorHAnsi"/>
          <w:sz w:val="16"/>
          <w:szCs w:val="16"/>
          <w:lang w:val="es-ES"/>
        </w:rPr>
        <w:t>CIDH, Informe No. 144/17. Petición 49-12. Ernestina Ascencio Rosario y otras. México. 26 de octubre de 2017, párr. 6</w:t>
      </w:r>
    </w:p>
  </w:footnote>
  <w:footnote w:id="12">
    <w:p w14:paraId="7BFAF216" w14:textId="77777777" w:rsidR="00D302BE" w:rsidRPr="00A11B3B" w:rsidRDefault="00D302BE" w:rsidP="00451D00">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46.1.b) de la Convención Americana dispone: 1. 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p>
  </w:footnote>
  <w:footnote w:id="13">
    <w:p w14:paraId="2BEED411" w14:textId="77777777" w:rsidR="00995445" w:rsidRPr="009077FE" w:rsidRDefault="00995445" w:rsidP="00451D00">
      <w:pPr>
        <w:pStyle w:val="FootnoteText"/>
        <w:ind w:firstLine="720"/>
        <w:jc w:val="both"/>
        <w:rPr>
          <w:rFonts w:asciiTheme="majorHAnsi" w:hAnsiTheme="majorHAnsi"/>
          <w:sz w:val="16"/>
          <w:szCs w:val="16"/>
          <w:lang w:val="es-ES"/>
        </w:rPr>
      </w:pPr>
      <w:r w:rsidRPr="009077FE">
        <w:rPr>
          <w:rStyle w:val="FootnoteReference"/>
          <w:rFonts w:asciiTheme="majorHAnsi" w:hAnsiTheme="majorHAnsi"/>
          <w:sz w:val="16"/>
          <w:szCs w:val="16"/>
        </w:rPr>
        <w:footnoteRef/>
      </w:r>
      <w:r w:rsidRPr="009077FE">
        <w:rPr>
          <w:rFonts w:asciiTheme="majorHAnsi" w:hAnsiTheme="majorHAnsi"/>
          <w:sz w:val="16"/>
          <w:szCs w:val="16"/>
          <w:lang w:val="es-ES"/>
        </w:rPr>
        <w:t xml:space="preserve"> </w:t>
      </w:r>
      <w:r w:rsidRPr="009077FE">
        <w:rPr>
          <w:rFonts w:asciiTheme="majorHAnsi" w:hAnsiTheme="majorHAnsi"/>
          <w:sz w:val="16"/>
          <w:szCs w:val="16"/>
          <w:lang w:val="es-ES_tradnl"/>
        </w:rPr>
        <w:t>CIDH, Informe No. 69/08, Petición 681-00. Admisibilidad. Guillermo Patricio Lynn. Argentina. 16 de octubre de 2008, párr. 48.</w:t>
      </w:r>
    </w:p>
  </w:footnote>
  <w:footnote w:id="14">
    <w:p w14:paraId="02D70E32" w14:textId="5B13BA42" w:rsidR="00F622CA" w:rsidRPr="009077FE" w:rsidRDefault="00F622CA"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Observaciones Preliminares de la Comisión Interamericana de Derechos Humanos sobre su Visita a Honduras realizada del 15 al 18 de mayo de 2010. 3 de junio de 2010, párrafo 118</w:t>
      </w:r>
      <w:r w:rsidR="00262C80">
        <w:rPr>
          <w:rFonts w:asciiTheme="majorHAnsi" w:hAnsiTheme="majorHAnsi"/>
          <w:sz w:val="16"/>
          <w:szCs w:val="16"/>
          <w:lang w:val="es-CO"/>
        </w:rPr>
        <w:t>.</w:t>
      </w:r>
    </w:p>
  </w:footnote>
  <w:footnote w:id="15">
    <w:p w14:paraId="04DF05CD" w14:textId="3B8D654B" w:rsidR="00F622CA" w:rsidRPr="009077FE" w:rsidRDefault="00F622CA"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Situación de derechos humanos en Honduras. 31 de diciembre de 2015, párrafo 171.</w:t>
      </w:r>
    </w:p>
  </w:footnote>
  <w:footnote w:id="16">
    <w:p w14:paraId="07C9DA6B" w14:textId="6DD9DFC4" w:rsidR="00F622CA" w:rsidRPr="009077FE" w:rsidRDefault="00F622CA"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Situación de derechos humanos en Honduras. 31 de diciembre de 2015, párrafo 175. </w:t>
      </w:r>
    </w:p>
  </w:footnote>
  <w:footnote w:id="17">
    <w:p w14:paraId="047D01B3" w14:textId="4AB6EBBF" w:rsidR="00F8031A" w:rsidRPr="009077FE" w:rsidRDefault="00F8031A" w:rsidP="00451D00">
      <w:pPr>
        <w:pStyle w:val="FootnoteText"/>
        <w:ind w:firstLine="720"/>
        <w:jc w:val="both"/>
        <w:rPr>
          <w:rFonts w:asciiTheme="majorHAnsi" w:hAnsiTheme="majorHAnsi"/>
          <w:sz w:val="16"/>
          <w:szCs w:val="16"/>
          <w:lang w:val="pt-BR"/>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Situación de derechos humanos en Honduras. </w:t>
      </w:r>
      <w:r w:rsidRPr="009077FE">
        <w:rPr>
          <w:rFonts w:asciiTheme="majorHAnsi" w:hAnsiTheme="majorHAnsi"/>
          <w:sz w:val="16"/>
          <w:szCs w:val="16"/>
          <w:lang w:val="pt-BR"/>
        </w:rPr>
        <w:t>27 de agosto de 2019, párrafo 177.</w:t>
      </w:r>
    </w:p>
  </w:footnote>
  <w:footnote w:id="18">
    <w:p w14:paraId="29E3EA22" w14:textId="61CAD1A4" w:rsidR="00F8031A" w:rsidRPr="009077FE" w:rsidRDefault="00F8031A"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pt-BR"/>
        </w:rPr>
        <w:t xml:space="preserve"> CIDH. </w:t>
      </w:r>
      <w:r w:rsidRPr="009077FE">
        <w:rPr>
          <w:rFonts w:asciiTheme="majorHAnsi" w:hAnsiTheme="majorHAnsi"/>
          <w:sz w:val="16"/>
          <w:szCs w:val="16"/>
          <w:lang w:val="es-CO"/>
        </w:rPr>
        <w:t xml:space="preserve">Situación de derechos humanos en Honduras. 27 de agosto de 2019, párrafo 179. </w:t>
      </w:r>
    </w:p>
  </w:footnote>
  <w:footnote w:id="19">
    <w:p w14:paraId="6C6D3335" w14:textId="40875AE6" w:rsidR="006226FD" w:rsidRPr="009077FE" w:rsidRDefault="006226FD" w:rsidP="00451D00">
      <w:pPr>
        <w:pStyle w:val="FootnoteText"/>
        <w:ind w:firstLine="720"/>
        <w:jc w:val="both"/>
        <w:rPr>
          <w:rFonts w:asciiTheme="majorHAnsi" w:hAnsiTheme="majorHAnsi"/>
          <w:sz w:val="16"/>
          <w:szCs w:val="16"/>
          <w:lang w:val="es-CO"/>
        </w:rPr>
      </w:pPr>
      <w:r w:rsidRPr="009077FE">
        <w:rPr>
          <w:rStyle w:val="FootnoteReference"/>
          <w:rFonts w:asciiTheme="majorHAnsi" w:hAnsiTheme="majorHAnsi"/>
          <w:sz w:val="16"/>
          <w:szCs w:val="16"/>
        </w:rPr>
        <w:footnoteRef/>
      </w:r>
      <w:r w:rsidRPr="009077FE">
        <w:rPr>
          <w:rFonts w:asciiTheme="majorHAnsi" w:hAnsiTheme="majorHAnsi"/>
          <w:sz w:val="16"/>
          <w:szCs w:val="16"/>
          <w:lang w:val="es-CO"/>
        </w:rPr>
        <w:t xml:space="preserve"> CIDH, Informe N. 44/18, Petición 840-07. Admisibilidad. Masacre de Pijiguay. Colombia. 4 de mayo de 2018, párr. </w:t>
      </w:r>
      <w:r w:rsidRPr="009077FE">
        <w:rPr>
          <w:rFonts w:asciiTheme="majorHAnsi" w:hAnsiTheme="majorHAnsi"/>
          <w:sz w:val="16"/>
          <w:szCs w:val="16"/>
        </w:rPr>
        <w:t>11</w:t>
      </w:r>
      <w:r w:rsidR="009727A3">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93D4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2C8F1BE"/>
    <w:lvl w:ilvl="0" w:tplc="8ACC5B9A">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9916173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729837040">
    <w:abstractNumId w:val="5"/>
  </w:num>
  <w:num w:numId="3" w16cid:durableId="111172860">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7269133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578028295">
    <w:abstractNumId w:val="7"/>
  </w:num>
  <w:num w:numId="6" w16cid:durableId="1594166313">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983510549">
    <w:abstractNumId w:val="60"/>
  </w:num>
  <w:num w:numId="8" w16cid:durableId="1789012475">
    <w:abstractNumId w:val="23"/>
  </w:num>
  <w:num w:numId="9" w16cid:durableId="2020426418">
    <w:abstractNumId w:val="51"/>
  </w:num>
  <w:num w:numId="10" w16cid:durableId="136683204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732922158">
    <w:abstractNumId w:val="29"/>
  </w:num>
  <w:num w:numId="12" w16cid:durableId="469444677">
    <w:abstractNumId w:val="58"/>
  </w:num>
  <w:num w:numId="13" w16cid:durableId="115795626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58047831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994604170">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38969750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735464320">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8457028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67087311">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163395784">
    <w:abstractNumId w:val="8"/>
  </w:num>
  <w:num w:numId="21" w16cid:durableId="409429792">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71801006">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355884275">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33556747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00022711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1279760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752582578">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228570119">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60053468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785530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5769552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139540">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6692076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166555351">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91344112">
    <w:abstractNumId w:val="19"/>
  </w:num>
  <w:num w:numId="36" w16cid:durableId="192167009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7685426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41493587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0828286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99537908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089348956">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408961654">
    <w:abstractNumId w:val="41"/>
  </w:num>
  <w:num w:numId="43" w16cid:durableId="400955752">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2434402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32355285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032808412">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5616875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49126508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25389792">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027251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6457396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685595777">
    <w:abstractNumId w:val="45"/>
  </w:num>
  <w:num w:numId="53" w16cid:durableId="1615358793">
    <w:abstractNumId w:val="0"/>
  </w:num>
  <w:num w:numId="54" w16cid:durableId="1348946510">
    <w:abstractNumId w:val="40"/>
  </w:num>
  <w:num w:numId="55" w16cid:durableId="757363626">
    <w:abstractNumId w:val="41"/>
  </w:num>
  <w:num w:numId="56" w16cid:durableId="1546138817">
    <w:abstractNumId w:val="47"/>
  </w:num>
  <w:num w:numId="57" w16cid:durableId="931858589">
    <w:abstractNumId w:val="1"/>
  </w:num>
  <w:num w:numId="58" w16cid:durableId="1983579331">
    <w:abstractNumId w:val="2"/>
  </w:num>
  <w:num w:numId="59" w16cid:durableId="454299754">
    <w:abstractNumId w:val="9"/>
  </w:num>
  <w:num w:numId="60" w16cid:durableId="762578801">
    <w:abstractNumId w:val="10"/>
  </w:num>
  <w:num w:numId="61" w16cid:durableId="1675641940">
    <w:abstractNumId w:val="11"/>
  </w:num>
  <w:num w:numId="62" w16cid:durableId="105076885">
    <w:abstractNumId w:val="12"/>
  </w:num>
  <w:num w:numId="63" w16cid:durableId="1205681144">
    <w:abstractNumId w:val="13"/>
  </w:num>
  <w:num w:numId="64" w16cid:durableId="1324577665">
    <w:abstractNumId w:val="15"/>
  </w:num>
  <w:num w:numId="65" w16cid:durableId="929001004">
    <w:abstractNumId w:val="16"/>
  </w:num>
  <w:num w:numId="66" w16cid:durableId="1446273606">
    <w:abstractNumId w:val="17"/>
  </w:num>
  <w:num w:numId="67" w16cid:durableId="1574510064">
    <w:abstractNumId w:val="18"/>
  </w:num>
  <w:num w:numId="68" w16cid:durableId="1462260438">
    <w:abstractNumId w:val="20"/>
  </w:num>
  <w:num w:numId="69" w16cid:durableId="766266047">
    <w:abstractNumId w:val="21"/>
  </w:num>
  <w:num w:numId="70" w16cid:durableId="1986812434">
    <w:abstractNumId w:val="24"/>
  </w:num>
  <w:num w:numId="71" w16cid:durableId="1204908724">
    <w:abstractNumId w:val="25"/>
  </w:num>
  <w:num w:numId="72" w16cid:durableId="1685597951">
    <w:abstractNumId w:val="26"/>
  </w:num>
  <w:num w:numId="73" w16cid:durableId="1192188539">
    <w:abstractNumId w:val="28"/>
  </w:num>
  <w:num w:numId="74" w16cid:durableId="80413231">
    <w:abstractNumId w:val="30"/>
  </w:num>
  <w:num w:numId="75" w16cid:durableId="594166382">
    <w:abstractNumId w:val="32"/>
  </w:num>
  <w:num w:numId="76" w16cid:durableId="500003574">
    <w:abstractNumId w:val="33"/>
  </w:num>
  <w:num w:numId="77" w16cid:durableId="1373920978">
    <w:abstractNumId w:val="34"/>
  </w:num>
  <w:num w:numId="78" w16cid:durableId="1549536981">
    <w:abstractNumId w:val="35"/>
  </w:num>
  <w:num w:numId="79" w16cid:durableId="1728795754">
    <w:abstractNumId w:val="36"/>
  </w:num>
  <w:num w:numId="80" w16cid:durableId="35592242">
    <w:abstractNumId w:val="37"/>
  </w:num>
  <w:num w:numId="81" w16cid:durableId="1018235660">
    <w:abstractNumId w:val="38"/>
  </w:num>
  <w:num w:numId="82" w16cid:durableId="429394426">
    <w:abstractNumId w:val="42"/>
  </w:num>
  <w:num w:numId="83" w16cid:durableId="1935746853">
    <w:abstractNumId w:val="43"/>
  </w:num>
  <w:num w:numId="84" w16cid:durableId="890188734">
    <w:abstractNumId w:val="49"/>
  </w:num>
  <w:num w:numId="85" w16cid:durableId="1470124915">
    <w:abstractNumId w:val="52"/>
  </w:num>
  <w:num w:numId="86" w16cid:durableId="1591281009">
    <w:abstractNumId w:val="55"/>
  </w:num>
  <w:num w:numId="87" w16cid:durableId="1956403227">
    <w:abstractNumId w:val="57"/>
  </w:num>
  <w:num w:numId="88" w16cid:durableId="966544470">
    <w:abstractNumId w:val="59"/>
  </w:num>
  <w:num w:numId="89" w16cid:durableId="746655311">
    <w:abstractNumId w:val="61"/>
  </w:num>
  <w:num w:numId="90" w16cid:durableId="1292981729">
    <w:abstractNumId w:val="62"/>
  </w:num>
  <w:num w:numId="91" w16cid:durableId="1653947043">
    <w:abstractNumId w:val="63"/>
  </w:num>
  <w:num w:numId="92" w16cid:durableId="833185698">
    <w:abstractNumId w:val="64"/>
  </w:num>
  <w:num w:numId="93" w16cid:durableId="108739765">
    <w:abstractNumId w:val="66"/>
  </w:num>
  <w:num w:numId="94" w16cid:durableId="85081112">
    <w:abstractNumId w:val="22"/>
  </w:num>
  <w:num w:numId="95" w16cid:durableId="704254366">
    <w:abstractNumId w:val="44"/>
  </w:num>
  <w:num w:numId="96" w16cid:durableId="1969974609">
    <w:abstractNumId w:val="56"/>
  </w:num>
  <w:num w:numId="97" w16cid:durableId="907619933">
    <w:abstractNumId w:val="53"/>
  </w:num>
  <w:num w:numId="98" w16cid:durableId="405104178">
    <w:abstractNumId w:val="48"/>
  </w:num>
  <w:num w:numId="99" w16cid:durableId="1943032611">
    <w:abstractNumId w:val="39"/>
  </w:num>
  <w:num w:numId="100" w16cid:durableId="209388220">
    <w:abstractNumId w:val="3"/>
  </w:num>
  <w:num w:numId="101" w16cid:durableId="851454890">
    <w:abstractNumId w:val="27"/>
  </w:num>
  <w:num w:numId="102" w16cid:durableId="893663209">
    <w:abstractNumId w:val="50"/>
  </w:num>
  <w:num w:numId="103" w16cid:durableId="855075651">
    <w:abstractNumId w:val="6"/>
  </w:num>
  <w:num w:numId="104" w16cid:durableId="364912931">
    <w:abstractNumId w:val="65"/>
  </w:num>
  <w:num w:numId="105" w16cid:durableId="1101142112">
    <w:abstractNumId w:val="54"/>
  </w:num>
  <w:num w:numId="106" w16cid:durableId="951131532">
    <w:abstractNumId w:val="4"/>
  </w:num>
  <w:num w:numId="107" w16cid:durableId="1291395019">
    <w:abstractNumId w:val="31"/>
  </w:num>
  <w:num w:numId="108" w16cid:durableId="398482825">
    <w:abstractNumId w:val="14"/>
  </w:num>
  <w:num w:numId="109" w16cid:durableId="111509785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919"/>
    <w:rsid w:val="000069EA"/>
    <w:rsid w:val="00006E1F"/>
    <w:rsid w:val="00006FDC"/>
    <w:rsid w:val="000070D7"/>
    <w:rsid w:val="0001788C"/>
    <w:rsid w:val="00026100"/>
    <w:rsid w:val="000337EF"/>
    <w:rsid w:val="0003779B"/>
    <w:rsid w:val="00040C3A"/>
    <w:rsid w:val="000419AD"/>
    <w:rsid w:val="00042E89"/>
    <w:rsid w:val="0004334F"/>
    <w:rsid w:val="000433C9"/>
    <w:rsid w:val="000470FE"/>
    <w:rsid w:val="00067CA6"/>
    <w:rsid w:val="000716C5"/>
    <w:rsid w:val="00075E23"/>
    <w:rsid w:val="00084930"/>
    <w:rsid w:val="0009344A"/>
    <w:rsid w:val="00095878"/>
    <w:rsid w:val="000A392E"/>
    <w:rsid w:val="000A575F"/>
    <w:rsid w:val="000B062C"/>
    <w:rsid w:val="000C3A72"/>
    <w:rsid w:val="000D05CB"/>
    <w:rsid w:val="000D10DB"/>
    <w:rsid w:val="000D28F6"/>
    <w:rsid w:val="000E1308"/>
    <w:rsid w:val="000E3A36"/>
    <w:rsid w:val="000E5EB5"/>
    <w:rsid w:val="000F35ED"/>
    <w:rsid w:val="000F62B5"/>
    <w:rsid w:val="000F6DBF"/>
    <w:rsid w:val="00100754"/>
    <w:rsid w:val="00103380"/>
    <w:rsid w:val="00107131"/>
    <w:rsid w:val="0010736F"/>
    <w:rsid w:val="00113F73"/>
    <w:rsid w:val="00121CC2"/>
    <w:rsid w:val="001271C8"/>
    <w:rsid w:val="001306BE"/>
    <w:rsid w:val="00131425"/>
    <w:rsid w:val="00133EE5"/>
    <w:rsid w:val="00144C69"/>
    <w:rsid w:val="00150CDE"/>
    <w:rsid w:val="00167A34"/>
    <w:rsid w:val="001A7870"/>
    <w:rsid w:val="001B3A00"/>
    <w:rsid w:val="001C1863"/>
    <w:rsid w:val="001C1B41"/>
    <w:rsid w:val="001D20D8"/>
    <w:rsid w:val="001D65EF"/>
    <w:rsid w:val="001D7048"/>
    <w:rsid w:val="001D7945"/>
    <w:rsid w:val="001E3688"/>
    <w:rsid w:val="001E49E7"/>
    <w:rsid w:val="001F7201"/>
    <w:rsid w:val="0020412E"/>
    <w:rsid w:val="002101E4"/>
    <w:rsid w:val="00211C1C"/>
    <w:rsid w:val="0021572E"/>
    <w:rsid w:val="00223A29"/>
    <w:rsid w:val="002250A3"/>
    <w:rsid w:val="00235217"/>
    <w:rsid w:val="0024081A"/>
    <w:rsid w:val="00242269"/>
    <w:rsid w:val="002469D2"/>
    <w:rsid w:val="00246D1F"/>
    <w:rsid w:val="00247403"/>
    <w:rsid w:val="00247542"/>
    <w:rsid w:val="00247779"/>
    <w:rsid w:val="002555BD"/>
    <w:rsid w:val="0026020D"/>
    <w:rsid w:val="00262C80"/>
    <w:rsid w:val="00263311"/>
    <w:rsid w:val="00263341"/>
    <w:rsid w:val="00266B61"/>
    <w:rsid w:val="0026712A"/>
    <w:rsid w:val="00267B4D"/>
    <w:rsid w:val="002704DB"/>
    <w:rsid w:val="00277B43"/>
    <w:rsid w:val="00287544"/>
    <w:rsid w:val="002A0AAE"/>
    <w:rsid w:val="002A5820"/>
    <w:rsid w:val="002D2B26"/>
    <w:rsid w:val="002D5EE1"/>
    <w:rsid w:val="002D7EA2"/>
    <w:rsid w:val="002E187C"/>
    <w:rsid w:val="002F0F14"/>
    <w:rsid w:val="00302733"/>
    <w:rsid w:val="00314078"/>
    <w:rsid w:val="0031535D"/>
    <w:rsid w:val="003239B8"/>
    <w:rsid w:val="0032756D"/>
    <w:rsid w:val="0033169F"/>
    <w:rsid w:val="00344977"/>
    <w:rsid w:val="003467A3"/>
    <w:rsid w:val="00346C95"/>
    <w:rsid w:val="0034752B"/>
    <w:rsid w:val="00356185"/>
    <w:rsid w:val="00360380"/>
    <w:rsid w:val="003607C0"/>
    <w:rsid w:val="00366FCB"/>
    <w:rsid w:val="0037519E"/>
    <w:rsid w:val="00386CF0"/>
    <w:rsid w:val="003A2328"/>
    <w:rsid w:val="003A31E2"/>
    <w:rsid w:val="003A344E"/>
    <w:rsid w:val="003B70FB"/>
    <w:rsid w:val="003B7572"/>
    <w:rsid w:val="003C676B"/>
    <w:rsid w:val="003D3BC2"/>
    <w:rsid w:val="003E6CA1"/>
    <w:rsid w:val="004004FA"/>
    <w:rsid w:val="004005E7"/>
    <w:rsid w:val="00405F9C"/>
    <w:rsid w:val="004065A8"/>
    <w:rsid w:val="00412E8E"/>
    <w:rsid w:val="004165C2"/>
    <w:rsid w:val="00441524"/>
    <w:rsid w:val="00441ECB"/>
    <w:rsid w:val="00445193"/>
    <w:rsid w:val="004516AF"/>
    <w:rsid w:val="00451D00"/>
    <w:rsid w:val="004534FA"/>
    <w:rsid w:val="004552F5"/>
    <w:rsid w:val="0046195E"/>
    <w:rsid w:val="00462C1B"/>
    <w:rsid w:val="00467B7E"/>
    <w:rsid w:val="00473BB4"/>
    <w:rsid w:val="00474DAF"/>
    <w:rsid w:val="00477592"/>
    <w:rsid w:val="00486F1C"/>
    <w:rsid w:val="0049419D"/>
    <w:rsid w:val="004A1301"/>
    <w:rsid w:val="004A68E8"/>
    <w:rsid w:val="004A6A54"/>
    <w:rsid w:val="004B2760"/>
    <w:rsid w:val="004B414D"/>
    <w:rsid w:val="004B6770"/>
    <w:rsid w:val="004C0FD6"/>
    <w:rsid w:val="004C20D2"/>
    <w:rsid w:val="004C2312"/>
    <w:rsid w:val="004C4B62"/>
    <w:rsid w:val="004C54C9"/>
    <w:rsid w:val="004C5A7C"/>
    <w:rsid w:val="004D4ABA"/>
    <w:rsid w:val="004D6025"/>
    <w:rsid w:val="004E2649"/>
    <w:rsid w:val="004E4316"/>
    <w:rsid w:val="004F2CC4"/>
    <w:rsid w:val="004F40F5"/>
    <w:rsid w:val="004F4305"/>
    <w:rsid w:val="004F520A"/>
    <w:rsid w:val="004F626F"/>
    <w:rsid w:val="00501399"/>
    <w:rsid w:val="005035D8"/>
    <w:rsid w:val="00503CDC"/>
    <w:rsid w:val="0050633D"/>
    <w:rsid w:val="00507BC4"/>
    <w:rsid w:val="005128E4"/>
    <w:rsid w:val="005133DB"/>
    <w:rsid w:val="00514504"/>
    <w:rsid w:val="00516DC9"/>
    <w:rsid w:val="005210F3"/>
    <w:rsid w:val="00525560"/>
    <w:rsid w:val="00537A83"/>
    <w:rsid w:val="00540488"/>
    <w:rsid w:val="005422E2"/>
    <w:rsid w:val="00544C49"/>
    <w:rsid w:val="00547335"/>
    <w:rsid w:val="005516A1"/>
    <w:rsid w:val="005559EF"/>
    <w:rsid w:val="005564B7"/>
    <w:rsid w:val="00563557"/>
    <w:rsid w:val="00565FC1"/>
    <w:rsid w:val="005726BE"/>
    <w:rsid w:val="0057402A"/>
    <w:rsid w:val="005771D0"/>
    <w:rsid w:val="00584BD9"/>
    <w:rsid w:val="0059191A"/>
    <w:rsid w:val="005921FF"/>
    <w:rsid w:val="005A24ED"/>
    <w:rsid w:val="005A254F"/>
    <w:rsid w:val="005A6D0E"/>
    <w:rsid w:val="005A7A6A"/>
    <w:rsid w:val="005B52B0"/>
    <w:rsid w:val="005B6806"/>
    <w:rsid w:val="005C4225"/>
    <w:rsid w:val="005D105A"/>
    <w:rsid w:val="005D38F9"/>
    <w:rsid w:val="005E5776"/>
    <w:rsid w:val="005F0DAD"/>
    <w:rsid w:val="005F0F33"/>
    <w:rsid w:val="005F1AD1"/>
    <w:rsid w:val="005F7422"/>
    <w:rsid w:val="00600DEB"/>
    <w:rsid w:val="006226FD"/>
    <w:rsid w:val="00627C9F"/>
    <w:rsid w:val="006311E9"/>
    <w:rsid w:val="00632354"/>
    <w:rsid w:val="00633223"/>
    <w:rsid w:val="00635421"/>
    <w:rsid w:val="00642810"/>
    <w:rsid w:val="00652333"/>
    <w:rsid w:val="00655466"/>
    <w:rsid w:val="0066290B"/>
    <w:rsid w:val="00677339"/>
    <w:rsid w:val="0068009E"/>
    <w:rsid w:val="00685EFD"/>
    <w:rsid w:val="00692219"/>
    <w:rsid w:val="00695281"/>
    <w:rsid w:val="006A17D2"/>
    <w:rsid w:val="006A47AF"/>
    <w:rsid w:val="006A73E6"/>
    <w:rsid w:val="006B1310"/>
    <w:rsid w:val="006B2D5C"/>
    <w:rsid w:val="006B42B7"/>
    <w:rsid w:val="006B50F8"/>
    <w:rsid w:val="006B5519"/>
    <w:rsid w:val="006C154F"/>
    <w:rsid w:val="006C417F"/>
    <w:rsid w:val="006C4EB1"/>
    <w:rsid w:val="006C6122"/>
    <w:rsid w:val="006D2CFA"/>
    <w:rsid w:val="006D5B19"/>
    <w:rsid w:val="006D6BFA"/>
    <w:rsid w:val="006E0166"/>
    <w:rsid w:val="006E2FFB"/>
    <w:rsid w:val="006E7B34"/>
    <w:rsid w:val="0070253E"/>
    <w:rsid w:val="00702FD4"/>
    <w:rsid w:val="0070697F"/>
    <w:rsid w:val="00714E29"/>
    <w:rsid w:val="007163DF"/>
    <w:rsid w:val="0072199C"/>
    <w:rsid w:val="00722C9F"/>
    <w:rsid w:val="007253B8"/>
    <w:rsid w:val="00726071"/>
    <w:rsid w:val="00736100"/>
    <w:rsid w:val="0073741F"/>
    <w:rsid w:val="0074469A"/>
    <w:rsid w:val="0075326C"/>
    <w:rsid w:val="00754E49"/>
    <w:rsid w:val="00756806"/>
    <w:rsid w:val="007573D0"/>
    <w:rsid w:val="0076643F"/>
    <w:rsid w:val="007763A5"/>
    <w:rsid w:val="00777F63"/>
    <w:rsid w:val="0078785D"/>
    <w:rsid w:val="00790CCA"/>
    <w:rsid w:val="007A054D"/>
    <w:rsid w:val="007A2EFB"/>
    <w:rsid w:val="007A5817"/>
    <w:rsid w:val="007B05C4"/>
    <w:rsid w:val="007B0A6A"/>
    <w:rsid w:val="007B1CBF"/>
    <w:rsid w:val="007B3725"/>
    <w:rsid w:val="007B60E9"/>
    <w:rsid w:val="007B6CC3"/>
    <w:rsid w:val="007B76D3"/>
    <w:rsid w:val="007C27E5"/>
    <w:rsid w:val="007C3334"/>
    <w:rsid w:val="007C7056"/>
    <w:rsid w:val="007D1406"/>
    <w:rsid w:val="007D2B98"/>
    <w:rsid w:val="007D4D5D"/>
    <w:rsid w:val="007D6FDB"/>
    <w:rsid w:val="007E21BC"/>
    <w:rsid w:val="007E3811"/>
    <w:rsid w:val="007E7C82"/>
    <w:rsid w:val="007F2AA1"/>
    <w:rsid w:val="007F4111"/>
    <w:rsid w:val="007F588D"/>
    <w:rsid w:val="007F5CDE"/>
    <w:rsid w:val="00803F1C"/>
    <w:rsid w:val="0080600E"/>
    <w:rsid w:val="00810FE9"/>
    <w:rsid w:val="00814688"/>
    <w:rsid w:val="0081525F"/>
    <w:rsid w:val="008160E0"/>
    <w:rsid w:val="00817612"/>
    <w:rsid w:val="008231F0"/>
    <w:rsid w:val="00823C31"/>
    <w:rsid w:val="00831943"/>
    <w:rsid w:val="008338A4"/>
    <w:rsid w:val="00834D49"/>
    <w:rsid w:val="008362F6"/>
    <w:rsid w:val="00837C45"/>
    <w:rsid w:val="00841712"/>
    <w:rsid w:val="00844730"/>
    <w:rsid w:val="008457C2"/>
    <w:rsid w:val="00852802"/>
    <w:rsid w:val="00857A82"/>
    <w:rsid w:val="00863290"/>
    <w:rsid w:val="00867314"/>
    <w:rsid w:val="00873836"/>
    <w:rsid w:val="00885737"/>
    <w:rsid w:val="00890650"/>
    <w:rsid w:val="00893D4D"/>
    <w:rsid w:val="0089633E"/>
    <w:rsid w:val="00897E12"/>
    <w:rsid w:val="008A3C34"/>
    <w:rsid w:val="008A7E0F"/>
    <w:rsid w:val="008B12F5"/>
    <w:rsid w:val="008B28AF"/>
    <w:rsid w:val="008B631C"/>
    <w:rsid w:val="008C3DE2"/>
    <w:rsid w:val="008C5E2D"/>
    <w:rsid w:val="008D768D"/>
    <w:rsid w:val="008E3759"/>
    <w:rsid w:val="008E3BFE"/>
    <w:rsid w:val="008F1912"/>
    <w:rsid w:val="0090270B"/>
    <w:rsid w:val="009041DC"/>
    <w:rsid w:val="009063D1"/>
    <w:rsid w:val="009077FE"/>
    <w:rsid w:val="00917B5A"/>
    <w:rsid w:val="00920A58"/>
    <w:rsid w:val="00920A8C"/>
    <w:rsid w:val="00924C85"/>
    <w:rsid w:val="00931D44"/>
    <w:rsid w:val="00934A2C"/>
    <w:rsid w:val="0094207D"/>
    <w:rsid w:val="0096706E"/>
    <w:rsid w:val="009727A3"/>
    <w:rsid w:val="00974491"/>
    <w:rsid w:val="00974963"/>
    <w:rsid w:val="00975C4E"/>
    <w:rsid w:val="00981FBA"/>
    <w:rsid w:val="009852F2"/>
    <w:rsid w:val="00990422"/>
    <w:rsid w:val="00994D36"/>
    <w:rsid w:val="00995445"/>
    <w:rsid w:val="00996252"/>
    <w:rsid w:val="00997BC5"/>
    <w:rsid w:val="009A4405"/>
    <w:rsid w:val="009A4F41"/>
    <w:rsid w:val="009B381B"/>
    <w:rsid w:val="009D1753"/>
    <w:rsid w:val="009D5391"/>
    <w:rsid w:val="009D56C3"/>
    <w:rsid w:val="009D69B9"/>
    <w:rsid w:val="009D7611"/>
    <w:rsid w:val="009E0B61"/>
    <w:rsid w:val="009E3454"/>
    <w:rsid w:val="009E53DE"/>
    <w:rsid w:val="00A03625"/>
    <w:rsid w:val="00A045FC"/>
    <w:rsid w:val="00A11212"/>
    <w:rsid w:val="00A11E44"/>
    <w:rsid w:val="00A30100"/>
    <w:rsid w:val="00A328B3"/>
    <w:rsid w:val="00A50FCF"/>
    <w:rsid w:val="00A528D1"/>
    <w:rsid w:val="00A610CD"/>
    <w:rsid w:val="00A62B11"/>
    <w:rsid w:val="00A6463E"/>
    <w:rsid w:val="00A73FC5"/>
    <w:rsid w:val="00A758AA"/>
    <w:rsid w:val="00A92A79"/>
    <w:rsid w:val="00A94087"/>
    <w:rsid w:val="00A97B2A"/>
    <w:rsid w:val="00AA09A2"/>
    <w:rsid w:val="00AA0FA8"/>
    <w:rsid w:val="00AA3FCB"/>
    <w:rsid w:val="00AA6726"/>
    <w:rsid w:val="00AA7996"/>
    <w:rsid w:val="00AC19CB"/>
    <w:rsid w:val="00AC1A16"/>
    <w:rsid w:val="00AC6B2B"/>
    <w:rsid w:val="00AD7B8D"/>
    <w:rsid w:val="00AE20D7"/>
    <w:rsid w:val="00AE5488"/>
    <w:rsid w:val="00AE6F91"/>
    <w:rsid w:val="00AF5571"/>
    <w:rsid w:val="00B04F6D"/>
    <w:rsid w:val="00B06DF3"/>
    <w:rsid w:val="00B07341"/>
    <w:rsid w:val="00B10234"/>
    <w:rsid w:val="00B11D56"/>
    <w:rsid w:val="00B123A9"/>
    <w:rsid w:val="00B14EFC"/>
    <w:rsid w:val="00B30539"/>
    <w:rsid w:val="00B314DB"/>
    <w:rsid w:val="00B361F2"/>
    <w:rsid w:val="00B3718B"/>
    <w:rsid w:val="00B3745F"/>
    <w:rsid w:val="00B4632A"/>
    <w:rsid w:val="00B473D7"/>
    <w:rsid w:val="00B52588"/>
    <w:rsid w:val="00B530F1"/>
    <w:rsid w:val="00B74BF1"/>
    <w:rsid w:val="00B77295"/>
    <w:rsid w:val="00B83C4A"/>
    <w:rsid w:val="00B84E00"/>
    <w:rsid w:val="00BA276C"/>
    <w:rsid w:val="00BB306F"/>
    <w:rsid w:val="00BB608F"/>
    <w:rsid w:val="00BD12A8"/>
    <w:rsid w:val="00BD4B89"/>
    <w:rsid w:val="00BD5922"/>
    <w:rsid w:val="00BD7341"/>
    <w:rsid w:val="00BE3464"/>
    <w:rsid w:val="00BF02CB"/>
    <w:rsid w:val="00BF6FD8"/>
    <w:rsid w:val="00C022DB"/>
    <w:rsid w:val="00C03680"/>
    <w:rsid w:val="00C054DF"/>
    <w:rsid w:val="00C1177D"/>
    <w:rsid w:val="00C150E7"/>
    <w:rsid w:val="00C167E6"/>
    <w:rsid w:val="00C16F88"/>
    <w:rsid w:val="00C21762"/>
    <w:rsid w:val="00C21FEF"/>
    <w:rsid w:val="00C23BA4"/>
    <w:rsid w:val="00C24543"/>
    <w:rsid w:val="00C256A2"/>
    <w:rsid w:val="00C25ADB"/>
    <w:rsid w:val="00C33333"/>
    <w:rsid w:val="00C36F1D"/>
    <w:rsid w:val="00C449AF"/>
    <w:rsid w:val="00C513A5"/>
    <w:rsid w:val="00C51515"/>
    <w:rsid w:val="00C5660B"/>
    <w:rsid w:val="00C63A3B"/>
    <w:rsid w:val="00C640FD"/>
    <w:rsid w:val="00C65EC1"/>
    <w:rsid w:val="00C66B72"/>
    <w:rsid w:val="00C75A95"/>
    <w:rsid w:val="00C77E3C"/>
    <w:rsid w:val="00C83537"/>
    <w:rsid w:val="00C84671"/>
    <w:rsid w:val="00C86520"/>
    <w:rsid w:val="00C87AC4"/>
    <w:rsid w:val="00C9567A"/>
    <w:rsid w:val="00C97CC7"/>
    <w:rsid w:val="00CA228F"/>
    <w:rsid w:val="00CB212D"/>
    <w:rsid w:val="00CB2660"/>
    <w:rsid w:val="00CC0B5A"/>
    <w:rsid w:val="00CC5E90"/>
    <w:rsid w:val="00CC61B8"/>
    <w:rsid w:val="00CD046C"/>
    <w:rsid w:val="00CD177C"/>
    <w:rsid w:val="00CE076C"/>
    <w:rsid w:val="00CE13B3"/>
    <w:rsid w:val="00CE5199"/>
    <w:rsid w:val="00CE66D5"/>
    <w:rsid w:val="00CF637A"/>
    <w:rsid w:val="00CF6897"/>
    <w:rsid w:val="00D059DE"/>
    <w:rsid w:val="00D05ABD"/>
    <w:rsid w:val="00D13FCE"/>
    <w:rsid w:val="00D14ADC"/>
    <w:rsid w:val="00D26C7B"/>
    <w:rsid w:val="00D302BE"/>
    <w:rsid w:val="00D306D1"/>
    <w:rsid w:val="00D30800"/>
    <w:rsid w:val="00D3306F"/>
    <w:rsid w:val="00D34786"/>
    <w:rsid w:val="00D36EC4"/>
    <w:rsid w:val="00D37BFC"/>
    <w:rsid w:val="00D40731"/>
    <w:rsid w:val="00D47A8E"/>
    <w:rsid w:val="00D50EE0"/>
    <w:rsid w:val="00D5263B"/>
    <w:rsid w:val="00D52D14"/>
    <w:rsid w:val="00D65184"/>
    <w:rsid w:val="00D712D3"/>
    <w:rsid w:val="00D71422"/>
    <w:rsid w:val="00D72DC6"/>
    <w:rsid w:val="00D7558D"/>
    <w:rsid w:val="00D81D92"/>
    <w:rsid w:val="00D876F9"/>
    <w:rsid w:val="00DA7B5F"/>
    <w:rsid w:val="00DC11E7"/>
    <w:rsid w:val="00DC24E3"/>
    <w:rsid w:val="00DC7023"/>
    <w:rsid w:val="00DC769A"/>
    <w:rsid w:val="00DD3D86"/>
    <w:rsid w:val="00DD4AD2"/>
    <w:rsid w:val="00DE3C68"/>
    <w:rsid w:val="00DE5101"/>
    <w:rsid w:val="00DF1EC4"/>
    <w:rsid w:val="00DF241D"/>
    <w:rsid w:val="00E0340B"/>
    <w:rsid w:val="00E04A90"/>
    <w:rsid w:val="00E0551F"/>
    <w:rsid w:val="00E21121"/>
    <w:rsid w:val="00E219C7"/>
    <w:rsid w:val="00E21C86"/>
    <w:rsid w:val="00E4118C"/>
    <w:rsid w:val="00E43157"/>
    <w:rsid w:val="00E4351D"/>
    <w:rsid w:val="00E461CE"/>
    <w:rsid w:val="00E5425D"/>
    <w:rsid w:val="00E55FE1"/>
    <w:rsid w:val="00E573E4"/>
    <w:rsid w:val="00E61728"/>
    <w:rsid w:val="00E64C3D"/>
    <w:rsid w:val="00E720CA"/>
    <w:rsid w:val="00E82DDC"/>
    <w:rsid w:val="00E84EB5"/>
    <w:rsid w:val="00E85662"/>
    <w:rsid w:val="00E8789F"/>
    <w:rsid w:val="00E95B49"/>
    <w:rsid w:val="00E96A1B"/>
    <w:rsid w:val="00E97B71"/>
    <w:rsid w:val="00EA094C"/>
    <w:rsid w:val="00EA3D34"/>
    <w:rsid w:val="00EB454D"/>
    <w:rsid w:val="00EB6A61"/>
    <w:rsid w:val="00EC4CB1"/>
    <w:rsid w:val="00EC70DD"/>
    <w:rsid w:val="00ED37A2"/>
    <w:rsid w:val="00ED549D"/>
    <w:rsid w:val="00ED76BE"/>
    <w:rsid w:val="00ED7B51"/>
    <w:rsid w:val="00EE00E9"/>
    <w:rsid w:val="00EF1AAA"/>
    <w:rsid w:val="00EF619B"/>
    <w:rsid w:val="00F00B55"/>
    <w:rsid w:val="00F02AD1"/>
    <w:rsid w:val="00F253CC"/>
    <w:rsid w:val="00F37106"/>
    <w:rsid w:val="00F447C2"/>
    <w:rsid w:val="00F44E25"/>
    <w:rsid w:val="00F4541C"/>
    <w:rsid w:val="00F47AB1"/>
    <w:rsid w:val="00F519CF"/>
    <w:rsid w:val="00F55F7A"/>
    <w:rsid w:val="00F56BA5"/>
    <w:rsid w:val="00F572D5"/>
    <w:rsid w:val="00F60E22"/>
    <w:rsid w:val="00F622CA"/>
    <w:rsid w:val="00F76E15"/>
    <w:rsid w:val="00F8031A"/>
    <w:rsid w:val="00F81395"/>
    <w:rsid w:val="00F81BB8"/>
    <w:rsid w:val="00F870D0"/>
    <w:rsid w:val="00F90C64"/>
    <w:rsid w:val="00F917D1"/>
    <w:rsid w:val="00F9577C"/>
    <w:rsid w:val="00F9653B"/>
    <w:rsid w:val="00FB33E2"/>
    <w:rsid w:val="00FB516A"/>
    <w:rsid w:val="00FB62CF"/>
    <w:rsid w:val="00FD3C3B"/>
    <w:rsid w:val="00FD5A5E"/>
    <w:rsid w:val="00FE07DD"/>
    <w:rsid w:val="00FE357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4F2CC4"/>
    <w:rPr>
      <w:sz w:val="16"/>
      <w:szCs w:val="16"/>
    </w:rPr>
  </w:style>
  <w:style w:type="paragraph" w:styleId="CommentText">
    <w:name w:val="annotation text"/>
    <w:basedOn w:val="Normal"/>
    <w:link w:val="CommentTextChar"/>
    <w:uiPriority w:val="99"/>
    <w:unhideWhenUsed/>
    <w:rsid w:val="004F2CC4"/>
    <w:rPr>
      <w:sz w:val="20"/>
      <w:szCs w:val="20"/>
    </w:rPr>
  </w:style>
  <w:style w:type="character" w:customStyle="1" w:styleId="CommentTextChar">
    <w:name w:val="Comment Text Char"/>
    <w:basedOn w:val="DefaultParagraphFont"/>
    <w:link w:val="CommentText"/>
    <w:uiPriority w:val="99"/>
    <w:rsid w:val="004F2CC4"/>
    <w:rPr>
      <w:lang w:val="en-US" w:eastAsia="en-US"/>
    </w:rPr>
  </w:style>
  <w:style w:type="paragraph" w:styleId="CommentSubject">
    <w:name w:val="annotation subject"/>
    <w:basedOn w:val="CommentText"/>
    <w:next w:val="CommentText"/>
    <w:link w:val="CommentSubjectChar"/>
    <w:uiPriority w:val="99"/>
    <w:semiHidden/>
    <w:unhideWhenUsed/>
    <w:rsid w:val="004F2CC4"/>
    <w:rPr>
      <w:b/>
      <w:bCs/>
    </w:rPr>
  </w:style>
  <w:style w:type="character" w:customStyle="1" w:styleId="CommentSubjectChar">
    <w:name w:val="Comment Subject Char"/>
    <w:basedOn w:val="CommentTextChar"/>
    <w:link w:val="CommentSubject"/>
    <w:uiPriority w:val="99"/>
    <w:semiHidden/>
    <w:rsid w:val="004F2CC4"/>
    <w:rPr>
      <w:b/>
      <w:bCs/>
      <w:lang w:val="en-US" w:eastAsia="en-US"/>
    </w:rPr>
  </w:style>
  <w:style w:type="paragraph" w:customStyle="1" w:styleId="paragraph">
    <w:name w:val="paragraph"/>
    <w:basedOn w:val="Normal"/>
    <w:rsid w:val="00F76E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76E15"/>
  </w:style>
  <w:style w:type="character" w:customStyle="1" w:styleId="eop">
    <w:name w:val="eop"/>
    <w:basedOn w:val="DefaultParagraphFont"/>
    <w:rsid w:val="00F7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B0D"/>
    <w:rsid w:val="00082D2D"/>
    <w:rsid w:val="00200821"/>
    <w:rsid w:val="00201CE6"/>
    <w:rsid w:val="00242489"/>
    <w:rsid w:val="0025245B"/>
    <w:rsid w:val="002A3923"/>
    <w:rsid w:val="00394049"/>
    <w:rsid w:val="004B5BBB"/>
    <w:rsid w:val="004F2DF8"/>
    <w:rsid w:val="005B76F9"/>
    <w:rsid w:val="006F24A1"/>
    <w:rsid w:val="00863920"/>
    <w:rsid w:val="009321EC"/>
    <w:rsid w:val="009A261B"/>
    <w:rsid w:val="00AA2E17"/>
    <w:rsid w:val="00AC15A4"/>
    <w:rsid w:val="00AC7B47"/>
    <w:rsid w:val="00B0336C"/>
    <w:rsid w:val="00B30277"/>
    <w:rsid w:val="00BB3F88"/>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4745</Words>
  <Characters>27048</Characters>
  <Application>Microsoft Office Word</Application>
  <DocSecurity>0</DocSecurity>
  <Lines>225</Lines>
  <Paragraphs>63</Paragraphs>
  <ScaleCrop>false</ScaleCrop>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2024-01-18T15:37:00Z</dcterms:created>
  <dcterms:modified xsi:type="dcterms:W3CDTF">2024-01-18T15:37:00Z</dcterms:modified>
</cp:coreProperties>
</file>