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0"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96BF4"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58244"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1"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147C9E1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0B6343">
                              <w:rPr>
                                <w:rFonts w:asciiTheme="majorHAnsi" w:hAnsiTheme="majorHAnsi" w:cs="Arial"/>
                                <w:b/>
                                <w:bCs/>
                                <w:color w:val="0D0D0D" w:themeColor="text1" w:themeTint="F2"/>
                                <w:sz w:val="36"/>
                                <w:szCs w:val="22"/>
                                <w:lang w:val="es-ES_tradnl"/>
                              </w:rPr>
                              <w:t>187</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E82DDC">
                              <w:rPr>
                                <w:rFonts w:asciiTheme="majorHAnsi" w:hAnsiTheme="majorHAnsi" w:cs="Arial"/>
                                <w:b/>
                                <w:bCs/>
                                <w:color w:val="0D0D0D" w:themeColor="text1" w:themeTint="F2"/>
                                <w:sz w:val="36"/>
                                <w:szCs w:val="22"/>
                                <w:lang w:val="es-ES_tradnl"/>
                              </w:rPr>
                              <w:t>3</w:t>
                            </w:r>
                          </w:p>
                          <w:p w14:paraId="09C54AB3" w14:textId="4E134BAD"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A254F">
                              <w:rPr>
                                <w:rFonts w:asciiTheme="majorHAnsi" w:hAnsiTheme="majorHAnsi" w:cs="Arial"/>
                                <w:b/>
                                <w:color w:val="0D0D0D" w:themeColor="text1" w:themeTint="F2"/>
                                <w:sz w:val="36"/>
                                <w:szCs w:val="22"/>
                                <w:lang w:val="es-ES_tradnl"/>
                              </w:rPr>
                              <w:t>26</w:t>
                            </w:r>
                            <w:r w:rsidR="00D13A3A">
                              <w:rPr>
                                <w:rFonts w:asciiTheme="majorHAnsi" w:hAnsiTheme="majorHAnsi" w:cs="Arial"/>
                                <w:b/>
                                <w:color w:val="0D0D0D" w:themeColor="text1" w:themeTint="F2"/>
                                <w:sz w:val="36"/>
                                <w:szCs w:val="22"/>
                                <w:lang w:val="es-ES_tradnl"/>
                              </w:rPr>
                              <w:t>31</w:t>
                            </w:r>
                            <w:r w:rsidR="00246D1F" w:rsidRPr="004E2649">
                              <w:rPr>
                                <w:rFonts w:asciiTheme="majorHAnsi" w:hAnsiTheme="majorHAnsi" w:cs="Arial"/>
                                <w:b/>
                                <w:color w:val="0D0D0D" w:themeColor="text1" w:themeTint="F2"/>
                                <w:sz w:val="36"/>
                                <w:szCs w:val="22"/>
                                <w:lang w:val="es-ES_tradnl"/>
                              </w:rPr>
                              <w:t>-</w:t>
                            </w:r>
                            <w:r w:rsidR="005A254F">
                              <w:rPr>
                                <w:rFonts w:asciiTheme="majorHAnsi" w:hAnsiTheme="majorHAnsi" w:cs="Arial"/>
                                <w:b/>
                                <w:color w:val="0D0D0D" w:themeColor="text1" w:themeTint="F2"/>
                                <w:sz w:val="36"/>
                                <w:szCs w:val="22"/>
                                <w:lang w:val="es-ES_tradnl"/>
                              </w:rPr>
                              <w:t>1</w:t>
                            </w:r>
                            <w:r w:rsidR="00D13A3A">
                              <w:rPr>
                                <w:rFonts w:asciiTheme="majorHAnsi" w:hAnsiTheme="majorHAnsi" w:cs="Arial"/>
                                <w:b/>
                                <w:color w:val="0D0D0D" w:themeColor="text1" w:themeTint="F2"/>
                                <w:sz w:val="36"/>
                                <w:szCs w:val="22"/>
                                <w:lang w:val="es-ES_tradnl"/>
                              </w:rPr>
                              <w:t>6</w:t>
                            </w:r>
                            <w:r w:rsidR="00246D1F" w:rsidRPr="004E2649">
                              <w:rPr>
                                <w:rFonts w:asciiTheme="majorHAnsi" w:hAnsiTheme="majorHAnsi" w:cs="Arial"/>
                                <w:b/>
                                <w:color w:val="0D0D0D" w:themeColor="text1" w:themeTint="F2"/>
                                <w:sz w:val="36"/>
                                <w:szCs w:val="22"/>
                                <w:lang w:val="es-ES_tradnl"/>
                              </w:rPr>
                              <w:t xml:space="preserve"> </w:t>
                            </w:r>
                          </w:p>
                          <w:p w14:paraId="70CF6833" w14:textId="116BF36F"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26A3E74E" w:rsidR="005B52B0" w:rsidRPr="0010736F" w:rsidRDefault="00D13A3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JOSÉ ISABEL MORALES</w:t>
                            </w:r>
                            <w:r w:rsidR="006066F2">
                              <w:rPr>
                                <w:rFonts w:asciiTheme="majorHAnsi" w:hAnsiTheme="majorHAnsi" w:cs="Arial"/>
                                <w:color w:val="0D0D0D" w:themeColor="text1" w:themeTint="F2"/>
                                <w:szCs w:val="22"/>
                                <w:lang w:val="es-ES_tradnl"/>
                              </w:rPr>
                              <w:t xml:space="preserve"> Y FAMILIARES</w:t>
                            </w:r>
                          </w:p>
                          <w:bookmarkEnd w:id="0"/>
                          <w:p w14:paraId="35068D0D" w14:textId="3C488782" w:rsidR="005B52B0" w:rsidRPr="0010736F" w:rsidRDefault="005A254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HONDURAS</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147C9E1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0B6343">
                        <w:rPr>
                          <w:rFonts w:asciiTheme="majorHAnsi" w:hAnsiTheme="majorHAnsi" w:cs="Arial"/>
                          <w:b/>
                          <w:bCs/>
                          <w:color w:val="0D0D0D" w:themeColor="text1" w:themeTint="F2"/>
                          <w:sz w:val="36"/>
                          <w:szCs w:val="22"/>
                          <w:lang w:val="es-ES_tradnl"/>
                        </w:rPr>
                        <w:t>187</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E82DDC">
                        <w:rPr>
                          <w:rFonts w:asciiTheme="majorHAnsi" w:hAnsiTheme="majorHAnsi" w:cs="Arial"/>
                          <w:b/>
                          <w:bCs/>
                          <w:color w:val="0D0D0D" w:themeColor="text1" w:themeTint="F2"/>
                          <w:sz w:val="36"/>
                          <w:szCs w:val="22"/>
                          <w:lang w:val="es-ES_tradnl"/>
                        </w:rPr>
                        <w:t>3</w:t>
                      </w:r>
                    </w:p>
                    <w:p w14:paraId="09C54AB3" w14:textId="4E134BAD"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A254F">
                        <w:rPr>
                          <w:rFonts w:asciiTheme="majorHAnsi" w:hAnsiTheme="majorHAnsi" w:cs="Arial"/>
                          <w:b/>
                          <w:color w:val="0D0D0D" w:themeColor="text1" w:themeTint="F2"/>
                          <w:sz w:val="36"/>
                          <w:szCs w:val="22"/>
                          <w:lang w:val="es-ES_tradnl"/>
                        </w:rPr>
                        <w:t>26</w:t>
                      </w:r>
                      <w:r w:rsidR="00D13A3A">
                        <w:rPr>
                          <w:rFonts w:asciiTheme="majorHAnsi" w:hAnsiTheme="majorHAnsi" w:cs="Arial"/>
                          <w:b/>
                          <w:color w:val="0D0D0D" w:themeColor="text1" w:themeTint="F2"/>
                          <w:sz w:val="36"/>
                          <w:szCs w:val="22"/>
                          <w:lang w:val="es-ES_tradnl"/>
                        </w:rPr>
                        <w:t>31</w:t>
                      </w:r>
                      <w:r w:rsidR="00246D1F" w:rsidRPr="004E2649">
                        <w:rPr>
                          <w:rFonts w:asciiTheme="majorHAnsi" w:hAnsiTheme="majorHAnsi" w:cs="Arial"/>
                          <w:b/>
                          <w:color w:val="0D0D0D" w:themeColor="text1" w:themeTint="F2"/>
                          <w:sz w:val="36"/>
                          <w:szCs w:val="22"/>
                          <w:lang w:val="es-ES_tradnl"/>
                        </w:rPr>
                        <w:t>-</w:t>
                      </w:r>
                      <w:r w:rsidR="005A254F">
                        <w:rPr>
                          <w:rFonts w:asciiTheme="majorHAnsi" w:hAnsiTheme="majorHAnsi" w:cs="Arial"/>
                          <w:b/>
                          <w:color w:val="0D0D0D" w:themeColor="text1" w:themeTint="F2"/>
                          <w:sz w:val="36"/>
                          <w:szCs w:val="22"/>
                          <w:lang w:val="es-ES_tradnl"/>
                        </w:rPr>
                        <w:t>1</w:t>
                      </w:r>
                      <w:r w:rsidR="00D13A3A">
                        <w:rPr>
                          <w:rFonts w:asciiTheme="majorHAnsi" w:hAnsiTheme="majorHAnsi" w:cs="Arial"/>
                          <w:b/>
                          <w:color w:val="0D0D0D" w:themeColor="text1" w:themeTint="F2"/>
                          <w:sz w:val="36"/>
                          <w:szCs w:val="22"/>
                          <w:lang w:val="es-ES_tradnl"/>
                        </w:rPr>
                        <w:t>6</w:t>
                      </w:r>
                      <w:r w:rsidR="00246D1F" w:rsidRPr="004E2649">
                        <w:rPr>
                          <w:rFonts w:asciiTheme="majorHAnsi" w:hAnsiTheme="majorHAnsi" w:cs="Arial"/>
                          <w:b/>
                          <w:color w:val="0D0D0D" w:themeColor="text1" w:themeTint="F2"/>
                          <w:sz w:val="36"/>
                          <w:szCs w:val="22"/>
                          <w:lang w:val="es-ES_tradnl"/>
                        </w:rPr>
                        <w:t xml:space="preserve"> </w:t>
                      </w:r>
                    </w:p>
                    <w:p w14:paraId="70CF6833" w14:textId="116BF36F"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26A3E74E" w:rsidR="005B52B0" w:rsidRPr="0010736F" w:rsidRDefault="00D13A3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JOSÉ ISABEL MORALES</w:t>
                      </w:r>
                      <w:r w:rsidR="006066F2">
                        <w:rPr>
                          <w:rFonts w:asciiTheme="majorHAnsi" w:hAnsiTheme="majorHAnsi" w:cs="Arial"/>
                          <w:color w:val="0D0D0D" w:themeColor="text1" w:themeTint="F2"/>
                          <w:szCs w:val="22"/>
                          <w:lang w:val="es-ES_tradnl"/>
                        </w:rPr>
                        <w:t xml:space="preserve"> Y FAMILIARES</w:t>
                      </w:r>
                    </w:p>
                    <w:bookmarkEnd w:id="1"/>
                    <w:p w14:paraId="35068D0D" w14:textId="3C488782" w:rsidR="005B52B0" w:rsidRPr="0010736F" w:rsidRDefault="005A254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HONDURAS</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58243"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603CAA48" w:rsidR="00627C9F" w:rsidRPr="004F1725" w:rsidRDefault="00834D49" w:rsidP="007A5817">
                            <w:pPr>
                              <w:spacing w:line="276" w:lineRule="auto"/>
                              <w:jc w:val="right"/>
                              <w:rPr>
                                <w:rFonts w:asciiTheme="minorHAnsi" w:hAnsiTheme="minorHAnsi"/>
                                <w:color w:val="FFFFFF" w:themeColor="background1"/>
                                <w:sz w:val="22"/>
                                <w:lang w:val="es-AR"/>
                              </w:rPr>
                            </w:pPr>
                            <w:r w:rsidRPr="004F1725">
                              <w:rPr>
                                <w:rFonts w:asciiTheme="minorHAnsi" w:hAnsiTheme="minorHAnsi"/>
                                <w:color w:val="FFFFFF" w:themeColor="background1"/>
                                <w:sz w:val="22"/>
                                <w:lang w:val="es-AR"/>
                              </w:rPr>
                              <w:t>OEA/Ser.L/V/II</w:t>
                            </w:r>
                          </w:p>
                          <w:p w14:paraId="6A41611B" w14:textId="537C1906" w:rsidR="00627C9F" w:rsidRPr="004F1725" w:rsidRDefault="00627C9F" w:rsidP="007A5817">
                            <w:pPr>
                              <w:spacing w:line="276" w:lineRule="auto"/>
                              <w:jc w:val="right"/>
                              <w:rPr>
                                <w:rFonts w:asciiTheme="minorHAnsi" w:hAnsiTheme="minorHAnsi"/>
                                <w:color w:val="FFFFFF" w:themeColor="background1"/>
                                <w:sz w:val="22"/>
                                <w:lang w:val="es-AR"/>
                              </w:rPr>
                            </w:pPr>
                            <w:r w:rsidRPr="004F1725">
                              <w:rPr>
                                <w:rFonts w:asciiTheme="minorHAnsi" w:hAnsiTheme="minorHAnsi"/>
                                <w:color w:val="FFFFFF" w:themeColor="background1"/>
                                <w:sz w:val="22"/>
                                <w:lang w:val="es-AR"/>
                              </w:rPr>
                              <w:t xml:space="preserve">Doc. </w:t>
                            </w:r>
                            <w:r w:rsidR="00887FAD" w:rsidRPr="004F1725">
                              <w:rPr>
                                <w:rFonts w:asciiTheme="minorHAnsi" w:hAnsiTheme="minorHAnsi"/>
                                <w:color w:val="FFFFFF" w:themeColor="background1"/>
                                <w:sz w:val="22"/>
                                <w:lang w:val="es-AR"/>
                              </w:rPr>
                              <w:t>204</w:t>
                            </w:r>
                          </w:p>
                          <w:p w14:paraId="69373ED2" w14:textId="7FE40918" w:rsidR="00627C9F" w:rsidRPr="00C25ADB" w:rsidRDefault="00887FA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 septiembre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E82DDC">
                              <w:rPr>
                                <w:rFonts w:asciiTheme="minorHAnsi" w:hAnsiTheme="minorHAnsi"/>
                                <w:color w:val="FFFFFF" w:themeColor="background1"/>
                                <w:sz w:val="22"/>
                                <w:lang w:val="es-PA"/>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603CAA48" w:rsidR="00627C9F" w:rsidRPr="004F1725" w:rsidRDefault="00834D49" w:rsidP="007A5817">
                      <w:pPr>
                        <w:spacing w:line="276" w:lineRule="auto"/>
                        <w:jc w:val="right"/>
                        <w:rPr>
                          <w:rFonts w:asciiTheme="minorHAnsi" w:hAnsiTheme="minorHAnsi"/>
                          <w:color w:val="FFFFFF" w:themeColor="background1"/>
                          <w:sz w:val="22"/>
                          <w:lang w:val="es-AR"/>
                        </w:rPr>
                      </w:pPr>
                      <w:r w:rsidRPr="004F1725">
                        <w:rPr>
                          <w:rFonts w:asciiTheme="minorHAnsi" w:hAnsiTheme="minorHAnsi"/>
                          <w:color w:val="FFFFFF" w:themeColor="background1"/>
                          <w:sz w:val="22"/>
                          <w:lang w:val="es-AR"/>
                        </w:rPr>
                        <w:t>OEA/Ser.L/V/II</w:t>
                      </w:r>
                    </w:p>
                    <w:p w14:paraId="6A41611B" w14:textId="537C1906" w:rsidR="00627C9F" w:rsidRPr="004F1725" w:rsidRDefault="00627C9F" w:rsidP="007A5817">
                      <w:pPr>
                        <w:spacing w:line="276" w:lineRule="auto"/>
                        <w:jc w:val="right"/>
                        <w:rPr>
                          <w:rFonts w:asciiTheme="minorHAnsi" w:hAnsiTheme="minorHAnsi"/>
                          <w:color w:val="FFFFFF" w:themeColor="background1"/>
                          <w:sz w:val="22"/>
                          <w:lang w:val="es-AR"/>
                        </w:rPr>
                      </w:pPr>
                      <w:r w:rsidRPr="004F1725">
                        <w:rPr>
                          <w:rFonts w:asciiTheme="minorHAnsi" w:hAnsiTheme="minorHAnsi"/>
                          <w:color w:val="FFFFFF" w:themeColor="background1"/>
                          <w:sz w:val="22"/>
                          <w:lang w:val="es-AR"/>
                        </w:rPr>
                        <w:t xml:space="preserve">Doc. </w:t>
                      </w:r>
                      <w:r w:rsidR="00887FAD" w:rsidRPr="004F1725">
                        <w:rPr>
                          <w:rFonts w:asciiTheme="minorHAnsi" w:hAnsiTheme="minorHAnsi"/>
                          <w:color w:val="FFFFFF" w:themeColor="background1"/>
                          <w:sz w:val="22"/>
                          <w:lang w:val="es-AR"/>
                        </w:rPr>
                        <w:t>204</w:t>
                      </w:r>
                    </w:p>
                    <w:p w14:paraId="69373ED2" w14:textId="7FE40918" w:rsidR="00627C9F" w:rsidRPr="00C25ADB" w:rsidRDefault="00887FA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 septiembre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E82DDC">
                        <w:rPr>
                          <w:rFonts w:asciiTheme="minorHAnsi" w:hAnsiTheme="minorHAnsi"/>
                          <w:color w:val="FFFFFF" w:themeColor="background1"/>
                          <w:sz w:val="22"/>
                          <w:lang w:val="es-PA"/>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2"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75FC694B" w:rsidR="00DD3D86" w:rsidRPr="00890650" w:rsidRDefault="00DD3D86" w:rsidP="00D13A3A">
                            <w:pPr>
                              <w:tabs>
                                <w:tab w:val="center" w:pos="5400"/>
                              </w:tabs>
                              <w:suppressAutoHyphens/>
                              <w:spacing w:before="60"/>
                              <w:jc w:val="both"/>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887FAD">
                              <w:rPr>
                                <w:rFonts w:asciiTheme="majorHAnsi" w:hAnsiTheme="majorHAnsi"/>
                                <w:color w:val="0D0D0D" w:themeColor="text1" w:themeTint="F2"/>
                                <w:sz w:val="18"/>
                                <w:szCs w:val="22"/>
                                <w:lang w:val="es-ES"/>
                              </w:rPr>
                              <w:t>26</w:t>
                            </w:r>
                            <w:r w:rsidRPr="00890650">
                              <w:rPr>
                                <w:rFonts w:asciiTheme="majorHAnsi" w:hAnsiTheme="majorHAnsi"/>
                                <w:color w:val="0D0D0D" w:themeColor="text1" w:themeTint="F2"/>
                                <w:sz w:val="18"/>
                                <w:szCs w:val="22"/>
                                <w:lang w:val="es-ES"/>
                              </w:rPr>
                              <w:t xml:space="preserve"> de </w:t>
                            </w:r>
                            <w:r w:rsidR="00887FAD">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A254F">
                              <w:rPr>
                                <w:rFonts w:asciiTheme="majorHAnsi" w:hAnsiTheme="majorHAnsi"/>
                                <w:color w:val="0D0D0D" w:themeColor="text1" w:themeTint="F2"/>
                                <w:sz w:val="18"/>
                                <w:szCs w:val="22"/>
                                <w:lang w:val="es-ES"/>
                              </w:rPr>
                              <w:t>3</w:t>
                            </w:r>
                            <w:r w:rsidR="00887FAD">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75FC694B" w:rsidR="00DD3D86" w:rsidRPr="00890650" w:rsidRDefault="00DD3D86" w:rsidP="00D13A3A">
                      <w:pPr>
                        <w:tabs>
                          <w:tab w:val="center" w:pos="5400"/>
                        </w:tabs>
                        <w:suppressAutoHyphens/>
                        <w:spacing w:before="60"/>
                        <w:jc w:val="both"/>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887FAD">
                        <w:rPr>
                          <w:rFonts w:asciiTheme="majorHAnsi" w:hAnsiTheme="majorHAnsi"/>
                          <w:color w:val="0D0D0D" w:themeColor="text1" w:themeTint="F2"/>
                          <w:sz w:val="18"/>
                          <w:szCs w:val="22"/>
                          <w:lang w:val="es-ES"/>
                        </w:rPr>
                        <w:t>26</w:t>
                      </w:r>
                      <w:r w:rsidRPr="00890650">
                        <w:rPr>
                          <w:rFonts w:asciiTheme="majorHAnsi" w:hAnsiTheme="majorHAnsi"/>
                          <w:color w:val="0D0D0D" w:themeColor="text1" w:themeTint="F2"/>
                          <w:sz w:val="18"/>
                          <w:szCs w:val="22"/>
                          <w:lang w:val="es-ES"/>
                        </w:rPr>
                        <w:t xml:space="preserve"> de </w:t>
                      </w:r>
                      <w:r w:rsidR="00887FAD">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A254F">
                        <w:rPr>
                          <w:rFonts w:asciiTheme="majorHAnsi" w:hAnsiTheme="majorHAnsi"/>
                          <w:color w:val="0D0D0D" w:themeColor="text1" w:themeTint="F2"/>
                          <w:sz w:val="18"/>
                          <w:szCs w:val="22"/>
                          <w:lang w:val="es-ES"/>
                        </w:rPr>
                        <w:t>3</w:t>
                      </w:r>
                      <w:r w:rsidR="00887FAD">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58245"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3D449FCC" w:rsidR="00113F73" w:rsidRPr="007B05C4" w:rsidRDefault="00113F73" w:rsidP="00D13A3A">
                            <w:pPr>
                              <w:spacing w:line="276" w:lineRule="auto"/>
                              <w:jc w:val="both"/>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87FAD" w:rsidRPr="00887FAD">
                              <w:rPr>
                                <w:rFonts w:asciiTheme="majorHAnsi" w:hAnsiTheme="majorHAnsi"/>
                                <w:color w:val="595959" w:themeColor="text1" w:themeTint="A6"/>
                                <w:sz w:val="18"/>
                                <w:szCs w:val="18"/>
                                <w:lang w:val="pt-BR"/>
                              </w:rPr>
                              <w:t>187</w:t>
                            </w:r>
                            <w:r w:rsidR="007B05C4" w:rsidRPr="00887FAD">
                              <w:rPr>
                                <w:rFonts w:asciiTheme="majorHAnsi" w:hAnsiTheme="majorHAnsi"/>
                                <w:color w:val="595959" w:themeColor="text1" w:themeTint="A6"/>
                                <w:sz w:val="18"/>
                                <w:szCs w:val="18"/>
                                <w:lang w:val="pt-BR"/>
                              </w:rPr>
                              <w:t>/</w:t>
                            </w:r>
                            <w:r w:rsidR="00887FAD" w:rsidRPr="00887FAD">
                              <w:rPr>
                                <w:rFonts w:asciiTheme="majorHAnsi" w:hAnsiTheme="majorHAnsi"/>
                                <w:color w:val="595959" w:themeColor="text1" w:themeTint="A6"/>
                                <w:sz w:val="18"/>
                                <w:szCs w:val="18"/>
                                <w:lang w:val="pt-BR"/>
                              </w:rPr>
                              <w:t>23</w:t>
                            </w:r>
                            <w:r w:rsidRPr="00887FAD">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5A254F">
                              <w:rPr>
                                <w:rFonts w:asciiTheme="majorHAnsi" w:hAnsiTheme="majorHAnsi"/>
                                <w:color w:val="595959" w:themeColor="text1" w:themeTint="A6"/>
                                <w:sz w:val="18"/>
                                <w:szCs w:val="18"/>
                                <w:lang w:val="es-ES"/>
                              </w:rPr>
                              <w:t>26</w:t>
                            </w:r>
                            <w:r w:rsidR="00D13A3A">
                              <w:rPr>
                                <w:rFonts w:asciiTheme="majorHAnsi" w:hAnsiTheme="majorHAnsi"/>
                                <w:color w:val="595959" w:themeColor="text1" w:themeTint="A6"/>
                                <w:sz w:val="18"/>
                                <w:szCs w:val="18"/>
                                <w:lang w:val="es-ES"/>
                              </w:rPr>
                              <w:t>31-16</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D13A3A">
                              <w:rPr>
                                <w:rFonts w:asciiTheme="majorHAnsi" w:hAnsiTheme="majorHAnsi"/>
                                <w:color w:val="595959" w:themeColor="text1" w:themeTint="A6"/>
                                <w:sz w:val="18"/>
                                <w:szCs w:val="18"/>
                                <w:lang w:val="es-ES_tradnl"/>
                              </w:rPr>
                              <w:t>José Isabel Morales</w:t>
                            </w:r>
                            <w:r w:rsidR="006066F2">
                              <w:rPr>
                                <w:rFonts w:asciiTheme="majorHAnsi" w:hAnsiTheme="majorHAnsi"/>
                                <w:color w:val="595959" w:themeColor="text1" w:themeTint="A6"/>
                                <w:sz w:val="18"/>
                                <w:szCs w:val="18"/>
                                <w:lang w:val="es-ES_tradnl"/>
                              </w:rPr>
                              <w:t xml:space="preserve"> y familiares</w:t>
                            </w:r>
                            <w:r w:rsidRPr="00890650">
                              <w:rPr>
                                <w:rFonts w:asciiTheme="majorHAnsi" w:hAnsiTheme="majorHAnsi"/>
                                <w:color w:val="595959" w:themeColor="text1" w:themeTint="A6"/>
                                <w:sz w:val="18"/>
                                <w:szCs w:val="18"/>
                                <w:lang w:val="es-ES_tradnl"/>
                              </w:rPr>
                              <w:t xml:space="preserve">. </w:t>
                            </w:r>
                            <w:r w:rsidR="005A254F">
                              <w:rPr>
                                <w:rFonts w:asciiTheme="majorHAnsi" w:hAnsiTheme="majorHAnsi"/>
                                <w:color w:val="595959" w:themeColor="text1" w:themeTint="A6"/>
                                <w:sz w:val="18"/>
                                <w:szCs w:val="18"/>
                                <w:lang w:val="es-ES_tradnl"/>
                              </w:rPr>
                              <w:t>Honduras</w:t>
                            </w:r>
                            <w:r w:rsidRPr="00890650">
                              <w:rPr>
                                <w:rFonts w:asciiTheme="majorHAnsi" w:hAnsiTheme="majorHAnsi"/>
                                <w:color w:val="595959" w:themeColor="text1" w:themeTint="A6"/>
                                <w:sz w:val="18"/>
                                <w:szCs w:val="18"/>
                                <w:lang w:val="es-ES_tradnl"/>
                              </w:rPr>
                              <w:t xml:space="preserve">. </w:t>
                            </w:r>
                            <w:r w:rsidR="00887FAD">
                              <w:rPr>
                                <w:rFonts w:asciiTheme="majorHAnsi" w:hAnsiTheme="majorHAnsi"/>
                                <w:color w:val="595959" w:themeColor="text1" w:themeTint="A6"/>
                                <w:sz w:val="18"/>
                                <w:szCs w:val="18"/>
                                <w:lang w:val="es-ES"/>
                              </w:rPr>
                              <w:t>26 de septiembre de 2023</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3D449FCC" w:rsidR="00113F73" w:rsidRPr="007B05C4" w:rsidRDefault="00113F73" w:rsidP="00D13A3A">
                      <w:pPr>
                        <w:spacing w:line="276" w:lineRule="auto"/>
                        <w:jc w:val="both"/>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87FAD" w:rsidRPr="00887FAD">
                        <w:rPr>
                          <w:rFonts w:asciiTheme="majorHAnsi" w:hAnsiTheme="majorHAnsi"/>
                          <w:color w:val="595959" w:themeColor="text1" w:themeTint="A6"/>
                          <w:sz w:val="18"/>
                          <w:szCs w:val="18"/>
                          <w:lang w:val="pt-BR"/>
                        </w:rPr>
                        <w:t>187</w:t>
                      </w:r>
                      <w:r w:rsidR="007B05C4" w:rsidRPr="00887FAD">
                        <w:rPr>
                          <w:rFonts w:asciiTheme="majorHAnsi" w:hAnsiTheme="majorHAnsi"/>
                          <w:color w:val="595959" w:themeColor="text1" w:themeTint="A6"/>
                          <w:sz w:val="18"/>
                          <w:szCs w:val="18"/>
                          <w:lang w:val="pt-BR"/>
                        </w:rPr>
                        <w:t>/</w:t>
                      </w:r>
                      <w:r w:rsidR="00887FAD" w:rsidRPr="00887FAD">
                        <w:rPr>
                          <w:rFonts w:asciiTheme="majorHAnsi" w:hAnsiTheme="majorHAnsi"/>
                          <w:color w:val="595959" w:themeColor="text1" w:themeTint="A6"/>
                          <w:sz w:val="18"/>
                          <w:szCs w:val="18"/>
                          <w:lang w:val="pt-BR"/>
                        </w:rPr>
                        <w:t>23</w:t>
                      </w:r>
                      <w:r w:rsidRPr="00887FAD">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5A254F">
                        <w:rPr>
                          <w:rFonts w:asciiTheme="majorHAnsi" w:hAnsiTheme="majorHAnsi"/>
                          <w:color w:val="595959" w:themeColor="text1" w:themeTint="A6"/>
                          <w:sz w:val="18"/>
                          <w:szCs w:val="18"/>
                          <w:lang w:val="es-ES"/>
                        </w:rPr>
                        <w:t>26</w:t>
                      </w:r>
                      <w:r w:rsidR="00D13A3A">
                        <w:rPr>
                          <w:rFonts w:asciiTheme="majorHAnsi" w:hAnsiTheme="majorHAnsi"/>
                          <w:color w:val="595959" w:themeColor="text1" w:themeTint="A6"/>
                          <w:sz w:val="18"/>
                          <w:szCs w:val="18"/>
                          <w:lang w:val="es-ES"/>
                        </w:rPr>
                        <w:t>31-16</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D13A3A">
                        <w:rPr>
                          <w:rFonts w:asciiTheme="majorHAnsi" w:hAnsiTheme="majorHAnsi"/>
                          <w:color w:val="595959" w:themeColor="text1" w:themeTint="A6"/>
                          <w:sz w:val="18"/>
                          <w:szCs w:val="18"/>
                          <w:lang w:val="es-ES_tradnl"/>
                        </w:rPr>
                        <w:t>José Isabel Morales</w:t>
                      </w:r>
                      <w:r w:rsidR="006066F2">
                        <w:rPr>
                          <w:rFonts w:asciiTheme="majorHAnsi" w:hAnsiTheme="majorHAnsi"/>
                          <w:color w:val="595959" w:themeColor="text1" w:themeTint="A6"/>
                          <w:sz w:val="18"/>
                          <w:szCs w:val="18"/>
                          <w:lang w:val="es-ES_tradnl"/>
                        </w:rPr>
                        <w:t xml:space="preserve"> y familiares</w:t>
                      </w:r>
                      <w:r w:rsidRPr="00890650">
                        <w:rPr>
                          <w:rFonts w:asciiTheme="majorHAnsi" w:hAnsiTheme="majorHAnsi"/>
                          <w:color w:val="595959" w:themeColor="text1" w:themeTint="A6"/>
                          <w:sz w:val="18"/>
                          <w:szCs w:val="18"/>
                          <w:lang w:val="es-ES_tradnl"/>
                        </w:rPr>
                        <w:t xml:space="preserve">. </w:t>
                      </w:r>
                      <w:r w:rsidR="005A254F">
                        <w:rPr>
                          <w:rFonts w:asciiTheme="majorHAnsi" w:hAnsiTheme="majorHAnsi"/>
                          <w:color w:val="595959" w:themeColor="text1" w:themeTint="A6"/>
                          <w:sz w:val="18"/>
                          <w:szCs w:val="18"/>
                          <w:lang w:val="es-ES_tradnl"/>
                        </w:rPr>
                        <w:t>Honduras</w:t>
                      </w:r>
                      <w:r w:rsidRPr="00890650">
                        <w:rPr>
                          <w:rFonts w:asciiTheme="majorHAnsi" w:hAnsiTheme="majorHAnsi"/>
                          <w:color w:val="595959" w:themeColor="text1" w:themeTint="A6"/>
                          <w:sz w:val="18"/>
                          <w:szCs w:val="18"/>
                          <w:lang w:val="es-ES_tradnl"/>
                        </w:rPr>
                        <w:t xml:space="preserve">. </w:t>
                      </w:r>
                      <w:r w:rsidR="00887FAD">
                        <w:rPr>
                          <w:rFonts w:asciiTheme="majorHAnsi" w:hAnsiTheme="majorHAnsi"/>
                          <w:color w:val="595959" w:themeColor="text1" w:themeTint="A6"/>
                          <w:sz w:val="18"/>
                          <w:szCs w:val="18"/>
                          <w:lang w:val="es-ES"/>
                        </w:rPr>
                        <w:t>26 de septiembre de 2023</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2977F06A"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lang w:val="es-419" w:eastAsia="es-419"/>
        </w:rPr>
        <mc:AlternateContent>
          <mc:Choice Requires="wps">
            <w:drawing>
              <wp:anchor distT="0" distB="0" distL="114300" distR="114300" simplePos="0" relativeHeight="251658247" behindDoc="0" locked="0" layoutInCell="1" allowOverlap="1" wp14:anchorId="02EDA5EE" wp14:editId="6124A2A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794EDA96" w:rsidR="0070697F" w:rsidRDefault="00931D37"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lang w:val="es-419" w:eastAsia="es-419"/>
        </w:rPr>
        <mc:AlternateContent>
          <mc:Choice Requires="wps">
            <w:drawing>
              <wp:anchor distT="0" distB="0" distL="114300" distR="114300" simplePos="0" relativeHeight="251658246" behindDoc="0" locked="0" layoutInCell="1" allowOverlap="1" wp14:anchorId="50472543" wp14:editId="0C784339">
                <wp:simplePos x="0" y="0"/>
                <wp:positionH relativeFrom="column">
                  <wp:posOffset>1301750</wp:posOffset>
                </wp:positionH>
                <wp:positionV relativeFrom="paragraph">
                  <wp:posOffset>529268</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02F40298" w:rsidR="00D72DC6" w:rsidRPr="00D72DC6" w:rsidRDefault="00160AFF" w:rsidP="00F02AD1">
                            <w:pPr>
                              <w:rPr>
                                <w:color w:val="FFFFFF" w:themeColor="background1"/>
                                <w14:textFill>
                                  <w14:noFill/>
                                </w14:textFill>
                              </w:rPr>
                            </w:pPr>
                            <w:r>
                              <w:rPr>
                                <w:noProof/>
                                <w:color w:val="FFFFFF" w:themeColor="background1"/>
                              </w:rPr>
                              <w:drawing>
                                <wp:inline distT="0" distB="0" distL="0" distR="0" wp14:anchorId="6614252F" wp14:editId="2DE35D1C">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2.5pt;margin-top:41.65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" fillcolor="white [3201]" stroked="f" strokeweight=".5pt">
                <v:textbox>
                  <w:txbxContent>
                    <w:p w14:paraId="2A1ECD3C" w14:textId="02F40298" w:rsidR="00D72DC6" w:rsidRPr="00D72DC6" w:rsidRDefault="00160AFF" w:rsidP="00F02AD1">
                      <w:pPr>
                        <w:rPr>
                          <w:color w:val="FFFFFF" w:themeColor="background1"/>
                          <w14:textFill>
                            <w14:noFill/>
                          </w14:textFill>
                        </w:rPr>
                      </w:pPr>
                      <w:r>
                        <w:rPr>
                          <w:noProof/>
                          <w:color w:val="FFFFFF" w:themeColor="background1"/>
                        </w:rPr>
                        <w:drawing>
                          <wp:inline distT="0" distB="0" distL="0" distR="0" wp14:anchorId="6614252F" wp14:editId="2DE35D1C">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4F1725"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52AE47EA" w:rsidR="003239B8" w:rsidRPr="00D13A3A" w:rsidRDefault="00D13A3A" w:rsidP="008D2290">
            <w:pPr>
              <w:jc w:val="both"/>
              <w:rPr>
                <w:rFonts w:asciiTheme="majorHAnsi" w:hAnsiTheme="majorHAnsi"/>
                <w:bCs/>
                <w:sz w:val="20"/>
                <w:szCs w:val="20"/>
                <w:lang w:val="es-US"/>
              </w:rPr>
            </w:pPr>
            <w:r w:rsidRPr="00D13A3A">
              <w:rPr>
                <w:rFonts w:asciiTheme="majorHAnsi" w:hAnsiTheme="majorHAnsi"/>
                <w:sz w:val="20"/>
                <w:szCs w:val="20"/>
                <w:lang w:val="es-US"/>
              </w:rPr>
              <w:t>Equipo de Reflexión, Investigación y Comunicación de la Compañía de Jesús en Honduras (ERIC-SJ) y Clínica de Derechos Humanos Internacionales de la Facultad de Derecho de la Universidad de California Los Ángeles (UCLA)</w:t>
            </w:r>
          </w:p>
        </w:tc>
      </w:tr>
      <w:tr w:rsidR="003239B8" w:rsidRPr="004F1725"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2E7F77"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0B660999" w:rsidR="003239B8" w:rsidRPr="000D05CB" w:rsidRDefault="00D13A3A" w:rsidP="008D2290">
            <w:pPr>
              <w:jc w:val="both"/>
              <w:rPr>
                <w:rFonts w:ascii="Cambria" w:hAnsi="Cambria"/>
                <w:bCs/>
                <w:sz w:val="20"/>
                <w:szCs w:val="20"/>
                <w:lang w:val="es-ES"/>
              </w:rPr>
            </w:pPr>
            <w:r>
              <w:rPr>
                <w:rFonts w:ascii="Cambria" w:hAnsi="Cambria"/>
                <w:bCs/>
                <w:sz w:val="20"/>
                <w:szCs w:val="20"/>
                <w:lang w:val="es-ES"/>
              </w:rPr>
              <w:t>José Isabel Morales</w:t>
            </w:r>
            <w:r w:rsidR="00D44543">
              <w:rPr>
                <w:rFonts w:ascii="Cambria" w:hAnsi="Cambria"/>
                <w:bCs/>
                <w:sz w:val="20"/>
                <w:szCs w:val="20"/>
                <w:lang w:val="es-ES"/>
              </w:rPr>
              <w:t xml:space="preserve"> y familiares </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5C6D20B6" w:rsidR="003239B8" w:rsidRPr="000D05CB" w:rsidRDefault="005564B7" w:rsidP="008D2290">
            <w:pPr>
              <w:jc w:val="both"/>
              <w:rPr>
                <w:rFonts w:ascii="Cambria" w:hAnsi="Cambria"/>
                <w:bCs/>
                <w:sz w:val="20"/>
                <w:szCs w:val="20"/>
              </w:rPr>
            </w:pPr>
            <w:r>
              <w:rPr>
                <w:rFonts w:ascii="Cambria" w:hAnsi="Cambria"/>
                <w:bCs/>
                <w:sz w:val="20"/>
                <w:szCs w:val="20"/>
              </w:rPr>
              <w:t>Honduras</w:t>
            </w:r>
          </w:p>
        </w:tc>
      </w:tr>
      <w:tr w:rsidR="00223A29" w:rsidRPr="004F1725"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5E466F67" w:rsidR="00223A29" w:rsidRPr="006453A0" w:rsidRDefault="00A573C1" w:rsidP="008D2290">
            <w:pPr>
              <w:jc w:val="both"/>
              <w:rPr>
                <w:rFonts w:ascii="Cambria" w:hAnsi="Cambria"/>
                <w:bCs/>
                <w:sz w:val="20"/>
                <w:szCs w:val="20"/>
                <w:lang w:val="es-AR"/>
              </w:rPr>
            </w:pPr>
            <w:r w:rsidRPr="00A96579">
              <w:rPr>
                <w:rFonts w:asciiTheme="majorHAnsi" w:hAnsiTheme="majorHAnsi"/>
                <w:bCs/>
                <w:sz w:val="20"/>
                <w:szCs w:val="20"/>
                <w:lang w:val="es-MX"/>
              </w:rPr>
              <w:t>A</w:t>
            </w:r>
            <w:r w:rsidR="00A96579" w:rsidRPr="00A96579">
              <w:rPr>
                <w:rFonts w:asciiTheme="majorHAnsi" w:hAnsiTheme="majorHAnsi"/>
                <w:sz w:val="20"/>
                <w:szCs w:val="20"/>
                <w:lang w:val="es-ES"/>
              </w:rPr>
              <w:t>rtículos 5 (</w:t>
            </w:r>
            <w:r w:rsidR="00A96579" w:rsidRPr="00A96579">
              <w:rPr>
                <w:rFonts w:asciiTheme="majorHAnsi" w:hAnsiTheme="majorHAnsi"/>
                <w:sz w:val="20"/>
                <w:szCs w:val="20"/>
                <w:lang w:val="es-AR"/>
              </w:rPr>
              <w:t>derecho a la integridad personal), 7 (libertad personal), 8 (garantías judiciales) y 25 (protección judicial)</w:t>
            </w:r>
            <w:r w:rsidR="00D13A3A" w:rsidRPr="00A96579">
              <w:rPr>
                <w:rFonts w:asciiTheme="majorHAnsi" w:hAnsiTheme="majorHAnsi"/>
                <w:bCs/>
                <w:sz w:val="20"/>
                <w:szCs w:val="20"/>
                <w:lang w:val="es-MX"/>
              </w:rPr>
              <w:t xml:space="preserve"> </w:t>
            </w:r>
            <w:r w:rsidRPr="00A96579">
              <w:rPr>
                <w:rFonts w:asciiTheme="majorHAnsi" w:hAnsiTheme="majorHAnsi"/>
                <w:bCs/>
                <w:sz w:val="20"/>
                <w:szCs w:val="20"/>
                <w:lang w:val="es-MX"/>
              </w:rPr>
              <w:t>de la Convención Americana sobre Derechos Humanos</w:t>
            </w:r>
            <w:r w:rsidRPr="006453A0">
              <w:rPr>
                <w:rStyle w:val="FootnoteReference"/>
                <w:rFonts w:asciiTheme="majorHAnsi" w:hAnsiTheme="majorHAnsi"/>
                <w:bCs/>
                <w:sz w:val="20"/>
                <w:szCs w:val="20"/>
                <w:lang w:val="es-MX"/>
              </w:rPr>
              <w:footnoteReference w:id="2"/>
            </w:r>
            <w:r w:rsidR="005F00B3">
              <w:rPr>
                <w:rFonts w:asciiTheme="majorHAnsi" w:hAnsiTheme="majorHAnsi"/>
                <w:bCs/>
                <w:sz w:val="20"/>
                <w:szCs w:val="20"/>
                <w:lang w:val="es-MX"/>
              </w:rPr>
              <w:t>,</w:t>
            </w:r>
            <w:r w:rsidR="006453A0" w:rsidRPr="006453A0">
              <w:rPr>
                <w:rFonts w:asciiTheme="majorHAnsi" w:hAnsiTheme="majorHAnsi"/>
                <w:bCs/>
                <w:sz w:val="20"/>
                <w:szCs w:val="20"/>
                <w:lang w:val="es-MX"/>
              </w:rPr>
              <w:t xml:space="preserve"> </w:t>
            </w:r>
            <w:r w:rsidR="006453A0" w:rsidRPr="006453A0">
              <w:rPr>
                <w:rFonts w:asciiTheme="majorHAnsi" w:hAnsiTheme="majorHAnsi"/>
                <w:sz w:val="20"/>
                <w:szCs w:val="20"/>
                <w:lang w:val="es-AR"/>
              </w:rPr>
              <w:t>en relación con sus artículos 1.1. (obligación de respetar los derechos) y 2 (deber de adoptar disposiciones de derecho interno)</w:t>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6C375831" w:rsidR="004C2312" w:rsidRPr="003239B8" w:rsidRDefault="00D13A3A" w:rsidP="002625EA">
            <w:pPr>
              <w:jc w:val="both"/>
              <w:rPr>
                <w:rFonts w:ascii="Cambria" w:hAnsi="Cambria"/>
                <w:bCs/>
                <w:sz w:val="20"/>
                <w:szCs w:val="20"/>
                <w:lang w:val="es-ES"/>
              </w:rPr>
            </w:pPr>
            <w:r>
              <w:rPr>
                <w:rFonts w:ascii="Cambria" w:hAnsi="Cambria"/>
                <w:bCs/>
                <w:sz w:val="20"/>
                <w:szCs w:val="20"/>
                <w:lang w:val="es-ES"/>
              </w:rPr>
              <w:t>9</w:t>
            </w:r>
            <w:r w:rsidR="00866E07">
              <w:rPr>
                <w:rFonts w:ascii="Cambria" w:hAnsi="Cambria"/>
                <w:bCs/>
                <w:sz w:val="20"/>
                <w:szCs w:val="20"/>
                <w:lang w:val="es-ES"/>
              </w:rPr>
              <w:t xml:space="preserve"> de </w:t>
            </w:r>
            <w:r>
              <w:rPr>
                <w:rFonts w:ascii="Cambria" w:hAnsi="Cambria"/>
                <w:bCs/>
                <w:sz w:val="20"/>
                <w:szCs w:val="20"/>
                <w:lang w:val="es-ES"/>
              </w:rPr>
              <w:t>noviembre</w:t>
            </w:r>
            <w:r w:rsidR="00866E07">
              <w:rPr>
                <w:rFonts w:ascii="Cambria" w:hAnsi="Cambria"/>
                <w:bCs/>
                <w:sz w:val="20"/>
                <w:szCs w:val="20"/>
                <w:lang w:val="es-ES"/>
              </w:rPr>
              <w:t xml:space="preserve"> de 201</w:t>
            </w:r>
            <w:r>
              <w:rPr>
                <w:rFonts w:ascii="Cambria" w:hAnsi="Cambria"/>
                <w:bCs/>
                <w:sz w:val="20"/>
                <w:szCs w:val="20"/>
                <w:lang w:val="es-ES"/>
              </w:rPr>
              <w:t>6</w:t>
            </w:r>
          </w:p>
        </w:tc>
      </w:tr>
      <w:tr w:rsidR="00131425" w:rsidRPr="00866E07"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30151270" w14:textId="0594982A" w:rsidR="00131425" w:rsidRPr="003239B8" w:rsidRDefault="00C934ED" w:rsidP="002625EA">
            <w:pPr>
              <w:jc w:val="both"/>
              <w:rPr>
                <w:rFonts w:ascii="Cambria" w:hAnsi="Cambria"/>
                <w:bCs/>
                <w:sz w:val="20"/>
                <w:szCs w:val="20"/>
                <w:lang w:val="es-ES"/>
              </w:rPr>
            </w:pPr>
            <w:r>
              <w:rPr>
                <w:rFonts w:ascii="Cambria" w:hAnsi="Cambria"/>
                <w:bCs/>
                <w:sz w:val="20"/>
                <w:szCs w:val="20"/>
                <w:lang w:val="es-ES"/>
              </w:rPr>
              <w:t>23</w:t>
            </w:r>
            <w:r w:rsidR="00A573C1">
              <w:rPr>
                <w:rFonts w:ascii="Cambria" w:hAnsi="Cambria"/>
                <w:bCs/>
                <w:sz w:val="20"/>
                <w:szCs w:val="20"/>
                <w:lang w:val="es-ES"/>
              </w:rPr>
              <w:t xml:space="preserve"> de </w:t>
            </w:r>
            <w:r>
              <w:rPr>
                <w:rFonts w:ascii="Cambria" w:hAnsi="Cambria"/>
                <w:bCs/>
                <w:sz w:val="20"/>
                <w:szCs w:val="20"/>
                <w:lang w:val="es-ES"/>
              </w:rPr>
              <w:t>noviembre</w:t>
            </w:r>
            <w:r w:rsidR="00A573C1">
              <w:rPr>
                <w:rFonts w:ascii="Cambria" w:hAnsi="Cambria"/>
                <w:bCs/>
                <w:sz w:val="20"/>
                <w:szCs w:val="20"/>
                <w:lang w:val="es-ES"/>
              </w:rPr>
              <w:t xml:space="preserve"> de 20</w:t>
            </w:r>
            <w:r w:rsidR="002C077F">
              <w:rPr>
                <w:rFonts w:ascii="Cambria" w:hAnsi="Cambria"/>
                <w:bCs/>
                <w:sz w:val="20"/>
                <w:szCs w:val="20"/>
                <w:lang w:val="es-ES"/>
              </w:rPr>
              <w:t>20</w:t>
            </w:r>
          </w:p>
        </w:tc>
      </w:tr>
      <w:tr w:rsidR="004C2312" w:rsidRPr="00A573C1"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07264A7C" w:rsidR="004C2312" w:rsidRPr="003239B8" w:rsidRDefault="00E93616" w:rsidP="008D2290">
            <w:pPr>
              <w:jc w:val="both"/>
              <w:rPr>
                <w:rFonts w:ascii="Cambria" w:hAnsi="Cambria"/>
                <w:bCs/>
                <w:sz w:val="20"/>
                <w:szCs w:val="20"/>
                <w:lang w:val="es-ES"/>
              </w:rPr>
            </w:pPr>
            <w:r>
              <w:rPr>
                <w:rFonts w:ascii="Cambria" w:hAnsi="Cambria"/>
                <w:bCs/>
                <w:sz w:val="20"/>
                <w:szCs w:val="20"/>
                <w:lang w:val="es-ES"/>
              </w:rPr>
              <w:t>11</w:t>
            </w:r>
            <w:r w:rsidR="00A573C1">
              <w:rPr>
                <w:rFonts w:ascii="Cambria" w:hAnsi="Cambria"/>
                <w:bCs/>
                <w:sz w:val="20"/>
                <w:szCs w:val="20"/>
                <w:lang w:val="es-ES"/>
              </w:rPr>
              <w:t xml:space="preserve"> de ma</w:t>
            </w:r>
            <w:r>
              <w:rPr>
                <w:rFonts w:ascii="Cambria" w:hAnsi="Cambria"/>
                <w:bCs/>
                <w:sz w:val="20"/>
                <w:szCs w:val="20"/>
                <w:lang w:val="es-ES"/>
              </w:rPr>
              <w:t>rzo</w:t>
            </w:r>
            <w:r w:rsidR="00A573C1">
              <w:rPr>
                <w:rFonts w:ascii="Cambria" w:hAnsi="Cambria"/>
                <w:bCs/>
                <w:sz w:val="20"/>
                <w:szCs w:val="20"/>
                <w:lang w:val="es-ES"/>
              </w:rPr>
              <w:t xml:space="preserve"> de 2022</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1B3A581B" w:rsidR="004C2312" w:rsidRPr="003239B8" w:rsidRDefault="008353B5" w:rsidP="008D2290">
            <w:pPr>
              <w:jc w:val="both"/>
              <w:rPr>
                <w:rFonts w:ascii="Cambria" w:hAnsi="Cambria"/>
                <w:bCs/>
                <w:sz w:val="20"/>
                <w:szCs w:val="20"/>
                <w:lang w:val="es-ES"/>
              </w:rPr>
            </w:pPr>
            <w:r>
              <w:rPr>
                <w:rFonts w:ascii="Cambria" w:hAnsi="Cambria"/>
                <w:bCs/>
                <w:sz w:val="20"/>
                <w:szCs w:val="20"/>
                <w:lang w:val="es-ES"/>
              </w:rPr>
              <w:t>10</w:t>
            </w:r>
            <w:r w:rsidR="00A573C1">
              <w:rPr>
                <w:rFonts w:ascii="Cambria" w:hAnsi="Cambria"/>
                <w:bCs/>
                <w:sz w:val="20"/>
                <w:szCs w:val="20"/>
                <w:lang w:val="es-ES"/>
              </w:rPr>
              <w:t xml:space="preserve"> de </w:t>
            </w:r>
            <w:r>
              <w:rPr>
                <w:rFonts w:ascii="Cambria" w:hAnsi="Cambria"/>
                <w:bCs/>
                <w:sz w:val="20"/>
                <w:szCs w:val="20"/>
                <w:lang w:val="es-ES"/>
              </w:rPr>
              <w:t>junio</w:t>
            </w:r>
            <w:r w:rsidR="00A573C1">
              <w:rPr>
                <w:rFonts w:ascii="Cambria" w:hAnsi="Cambria"/>
                <w:bCs/>
                <w:sz w:val="20"/>
                <w:szCs w:val="20"/>
                <w:lang w:val="es-ES"/>
              </w:rPr>
              <w:t xml:space="preserve"> de 2022</w:t>
            </w:r>
          </w:p>
        </w:tc>
      </w:tr>
      <w:tr w:rsidR="001E49E7" w:rsidRPr="007B76D3" w14:paraId="0F502B44" w14:textId="77777777" w:rsidTr="004A6A54">
        <w:tc>
          <w:tcPr>
            <w:tcW w:w="3600" w:type="dxa"/>
            <w:tcBorders>
              <w:top w:val="single" w:sz="6" w:space="0" w:color="auto"/>
              <w:bottom w:val="single" w:sz="6" w:space="0" w:color="auto"/>
            </w:tcBorders>
            <w:shd w:val="clear" w:color="auto" w:fill="386294"/>
            <w:vAlign w:val="center"/>
          </w:tcPr>
          <w:p w14:paraId="046FEDC0" w14:textId="71E42F00"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760" w:type="dxa"/>
            <w:vAlign w:val="center"/>
          </w:tcPr>
          <w:p w14:paraId="5500808B" w14:textId="29EC49DE" w:rsidR="001E49E7" w:rsidRPr="003239B8" w:rsidRDefault="001217E4" w:rsidP="002625EA">
            <w:pPr>
              <w:jc w:val="both"/>
              <w:rPr>
                <w:rFonts w:ascii="Cambria" w:hAnsi="Cambria"/>
                <w:bCs/>
                <w:sz w:val="20"/>
                <w:szCs w:val="20"/>
                <w:lang w:val="es-ES"/>
              </w:rPr>
            </w:pPr>
            <w:r>
              <w:rPr>
                <w:rFonts w:ascii="Cambria" w:hAnsi="Cambria"/>
                <w:bCs/>
                <w:sz w:val="20"/>
                <w:szCs w:val="20"/>
                <w:lang w:val="es-ES"/>
              </w:rPr>
              <w:t>23</w:t>
            </w:r>
            <w:r w:rsidR="00A573C1">
              <w:rPr>
                <w:rFonts w:ascii="Cambria" w:hAnsi="Cambria"/>
                <w:bCs/>
                <w:sz w:val="20"/>
                <w:szCs w:val="20"/>
                <w:lang w:val="es-ES"/>
              </w:rPr>
              <w:t xml:space="preserve"> de </w:t>
            </w:r>
            <w:r>
              <w:rPr>
                <w:rFonts w:ascii="Cambria" w:hAnsi="Cambria"/>
                <w:bCs/>
                <w:sz w:val="20"/>
                <w:szCs w:val="20"/>
                <w:lang w:val="es-ES"/>
              </w:rPr>
              <w:t>octubre</w:t>
            </w:r>
            <w:r w:rsidR="00A573C1">
              <w:rPr>
                <w:rFonts w:ascii="Cambria" w:hAnsi="Cambria"/>
                <w:bCs/>
                <w:sz w:val="20"/>
                <w:szCs w:val="20"/>
                <w:lang w:val="es-ES"/>
              </w:rPr>
              <w:t xml:space="preserve"> de 2020</w:t>
            </w:r>
          </w:p>
        </w:tc>
      </w:tr>
      <w:tr w:rsidR="001E49E7" w:rsidRPr="00A573C1" w14:paraId="789A7AF7" w14:textId="77777777" w:rsidTr="004A6A54">
        <w:tc>
          <w:tcPr>
            <w:tcW w:w="3600" w:type="dxa"/>
            <w:tcBorders>
              <w:top w:val="single" w:sz="6" w:space="0" w:color="auto"/>
              <w:bottom w:val="single" w:sz="6" w:space="0" w:color="auto"/>
            </w:tcBorders>
            <w:shd w:val="clear" w:color="auto" w:fill="386294"/>
            <w:vAlign w:val="center"/>
          </w:tcPr>
          <w:p w14:paraId="11989038" w14:textId="59EC032B"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760" w:type="dxa"/>
            <w:vAlign w:val="center"/>
          </w:tcPr>
          <w:p w14:paraId="24E176E2" w14:textId="533ED76B" w:rsidR="001E49E7" w:rsidRPr="003239B8" w:rsidRDefault="001217E4" w:rsidP="002625EA">
            <w:pPr>
              <w:jc w:val="both"/>
              <w:rPr>
                <w:rFonts w:ascii="Cambria" w:hAnsi="Cambria"/>
                <w:bCs/>
                <w:sz w:val="20"/>
                <w:szCs w:val="20"/>
                <w:lang w:val="es-ES"/>
              </w:rPr>
            </w:pPr>
            <w:r>
              <w:rPr>
                <w:rFonts w:ascii="Cambria" w:hAnsi="Cambria"/>
                <w:bCs/>
                <w:sz w:val="20"/>
                <w:szCs w:val="20"/>
                <w:lang w:val="es-ES"/>
              </w:rPr>
              <w:t>4</w:t>
            </w:r>
            <w:r w:rsidR="00A573C1">
              <w:rPr>
                <w:rFonts w:ascii="Cambria" w:hAnsi="Cambria"/>
                <w:bCs/>
                <w:sz w:val="20"/>
                <w:szCs w:val="20"/>
                <w:lang w:val="es-ES"/>
              </w:rPr>
              <w:t xml:space="preserve"> de </w:t>
            </w:r>
            <w:r>
              <w:rPr>
                <w:rFonts w:ascii="Cambria" w:hAnsi="Cambria"/>
                <w:bCs/>
                <w:sz w:val="20"/>
                <w:szCs w:val="20"/>
                <w:lang w:val="es-ES"/>
              </w:rPr>
              <w:t>noviembre</w:t>
            </w:r>
            <w:r w:rsidR="00A573C1">
              <w:rPr>
                <w:rFonts w:ascii="Cambria" w:hAnsi="Cambria"/>
                <w:bCs/>
                <w:sz w:val="20"/>
                <w:szCs w:val="20"/>
                <w:lang w:val="es-ES"/>
              </w:rPr>
              <w:t xml:space="preserve"> de 202</w:t>
            </w:r>
            <w:r>
              <w:rPr>
                <w:rFonts w:ascii="Cambria" w:hAnsi="Cambria"/>
                <w:bCs/>
                <w:sz w:val="20"/>
                <w:szCs w:val="20"/>
                <w:lang w:val="es-ES"/>
              </w:rPr>
              <w:t>0</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540F17" w14:paraId="072532AD" w14:textId="77777777" w:rsidTr="009D49C6">
        <w:trPr>
          <w:cantSplit/>
        </w:trPr>
        <w:tc>
          <w:tcPr>
            <w:tcW w:w="3561"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76" w:type="dxa"/>
            <w:vAlign w:val="center"/>
          </w:tcPr>
          <w:p w14:paraId="7707F3E9" w14:textId="00AECCBF" w:rsidR="003239B8" w:rsidRPr="00B3745F" w:rsidRDefault="00A573C1" w:rsidP="008D2290">
            <w:pPr>
              <w:rPr>
                <w:rFonts w:ascii="Cambria" w:hAnsi="Cambria"/>
                <w:bCs/>
                <w:sz w:val="20"/>
                <w:szCs w:val="20"/>
              </w:rPr>
            </w:pPr>
            <w:r>
              <w:rPr>
                <w:rFonts w:ascii="Cambria" w:hAnsi="Cambria"/>
                <w:bCs/>
                <w:sz w:val="20"/>
                <w:szCs w:val="20"/>
              </w:rPr>
              <w:t>Sí</w:t>
            </w:r>
          </w:p>
        </w:tc>
      </w:tr>
      <w:tr w:rsidR="003239B8" w:rsidRPr="00540F17" w14:paraId="4B8802DA" w14:textId="77777777" w:rsidTr="009D49C6">
        <w:trPr>
          <w:cantSplit/>
        </w:trPr>
        <w:tc>
          <w:tcPr>
            <w:tcW w:w="3561"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76" w:type="dxa"/>
            <w:vAlign w:val="center"/>
          </w:tcPr>
          <w:p w14:paraId="12C931CB" w14:textId="67870B51" w:rsidR="003239B8" w:rsidRPr="00B3745F" w:rsidRDefault="00A573C1" w:rsidP="008D2290">
            <w:pPr>
              <w:rPr>
                <w:rFonts w:ascii="Cambria" w:hAnsi="Cambria"/>
                <w:bCs/>
                <w:sz w:val="20"/>
                <w:szCs w:val="20"/>
              </w:rPr>
            </w:pPr>
            <w:r>
              <w:rPr>
                <w:rFonts w:ascii="Cambria" w:hAnsi="Cambria"/>
                <w:bCs/>
                <w:sz w:val="20"/>
                <w:szCs w:val="20"/>
              </w:rPr>
              <w:t>Sí</w:t>
            </w:r>
          </w:p>
        </w:tc>
      </w:tr>
      <w:tr w:rsidR="003239B8" w:rsidRPr="00540F17" w14:paraId="4362FDF3" w14:textId="77777777" w:rsidTr="009D49C6">
        <w:trPr>
          <w:cantSplit/>
        </w:trPr>
        <w:tc>
          <w:tcPr>
            <w:tcW w:w="3561"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76" w:type="dxa"/>
            <w:vAlign w:val="center"/>
          </w:tcPr>
          <w:p w14:paraId="6F8B059B" w14:textId="5AC863E6" w:rsidR="003239B8" w:rsidRPr="00B3745F" w:rsidRDefault="00A573C1" w:rsidP="008D2290">
            <w:pPr>
              <w:rPr>
                <w:rFonts w:ascii="Cambria" w:hAnsi="Cambria"/>
                <w:bCs/>
                <w:sz w:val="20"/>
                <w:szCs w:val="20"/>
              </w:rPr>
            </w:pPr>
            <w:r>
              <w:rPr>
                <w:rFonts w:ascii="Cambria" w:hAnsi="Cambria"/>
                <w:bCs/>
                <w:sz w:val="20"/>
                <w:szCs w:val="20"/>
              </w:rPr>
              <w:t>Sí</w:t>
            </w:r>
          </w:p>
        </w:tc>
      </w:tr>
      <w:tr w:rsidR="003239B8" w:rsidRPr="004F1725" w14:paraId="30ABEC3E" w14:textId="77777777" w:rsidTr="009D49C6">
        <w:trPr>
          <w:cantSplit/>
        </w:trPr>
        <w:tc>
          <w:tcPr>
            <w:tcW w:w="3561"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76" w:type="dxa"/>
            <w:vAlign w:val="center"/>
          </w:tcPr>
          <w:p w14:paraId="0C122F44" w14:textId="7AADA3AB" w:rsidR="003239B8" w:rsidRPr="00B3745F" w:rsidRDefault="00A573C1" w:rsidP="008D2290">
            <w:pPr>
              <w:jc w:val="both"/>
              <w:rPr>
                <w:rFonts w:ascii="Cambria" w:hAnsi="Cambria"/>
                <w:bCs/>
                <w:sz w:val="20"/>
                <w:szCs w:val="20"/>
                <w:lang w:val="es-ES"/>
              </w:rPr>
            </w:pPr>
            <w:r>
              <w:rPr>
                <w:rFonts w:ascii="Cambria" w:hAnsi="Cambria"/>
                <w:bCs/>
                <w:sz w:val="20"/>
                <w:szCs w:val="20"/>
                <w:lang w:val="es-ES"/>
              </w:rPr>
              <w:t>Sí, Convención Americana (depósito del instrumento de ratificación realizado el 8 de septiembre de 1977)</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5"/>
        <w:gridCol w:w="5772"/>
      </w:tblGrid>
      <w:tr w:rsidR="00EE00E9" w:rsidRPr="0079588C" w14:paraId="1231C988" w14:textId="77777777" w:rsidTr="009D49C6">
        <w:trPr>
          <w:cantSplit/>
        </w:trPr>
        <w:tc>
          <w:tcPr>
            <w:tcW w:w="3565"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72" w:type="dxa"/>
            <w:vAlign w:val="center"/>
          </w:tcPr>
          <w:p w14:paraId="240941E6" w14:textId="4231BEC4" w:rsidR="00EE00E9" w:rsidRPr="00DC24E3" w:rsidRDefault="003101CB" w:rsidP="008D2290">
            <w:pPr>
              <w:jc w:val="both"/>
              <w:rPr>
                <w:rFonts w:ascii="Cambria" w:hAnsi="Cambria"/>
                <w:bCs/>
                <w:sz w:val="20"/>
                <w:szCs w:val="20"/>
                <w:lang w:val="es-ES"/>
              </w:rPr>
            </w:pPr>
            <w:r>
              <w:rPr>
                <w:rFonts w:ascii="Cambria" w:hAnsi="Cambria"/>
                <w:bCs/>
                <w:sz w:val="20"/>
                <w:szCs w:val="20"/>
                <w:lang w:val="es-ES"/>
              </w:rPr>
              <w:t>No</w:t>
            </w:r>
          </w:p>
        </w:tc>
      </w:tr>
      <w:tr w:rsidR="003239B8" w:rsidRPr="005F00B3" w14:paraId="15FAA7D1" w14:textId="77777777" w:rsidTr="009D49C6">
        <w:trPr>
          <w:cantSplit/>
        </w:trPr>
        <w:tc>
          <w:tcPr>
            <w:tcW w:w="3565"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72" w:type="dxa"/>
            <w:vAlign w:val="center"/>
          </w:tcPr>
          <w:p w14:paraId="6310C8F7" w14:textId="7FE06317" w:rsidR="003239B8" w:rsidRPr="006A2B71" w:rsidRDefault="004176E6" w:rsidP="008D2290">
            <w:pPr>
              <w:jc w:val="both"/>
              <w:rPr>
                <w:rFonts w:ascii="Cambria" w:hAnsi="Cambria"/>
                <w:bCs/>
                <w:sz w:val="20"/>
                <w:szCs w:val="20"/>
                <w:lang w:val="es-AR"/>
              </w:rPr>
            </w:pPr>
            <w:r w:rsidRPr="004176E6">
              <w:rPr>
                <w:rFonts w:asciiTheme="majorHAnsi" w:hAnsiTheme="majorHAnsi"/>
                <w:sz w:val="20"/>
                <w:szCs w:val="20"/>
                <w:lang w:val="es-AR"/>
              </w:rPr>
              <w:t>A</w:t>
            </w:r>
            <w:r w:rsidRPr="00A96579">
              <w:rPr>
                <w:rFonts w:asciiTheme="majorHAnsi" w:hAnsiTheme="majorHAnsi"/>
                <w:sz w:val="20"/>
                <w:szCs w:val="20"/>
                <w:lang w:val="es-ES"/>
              </w:rPr>
              <w:t>rtículos</w:t>
            </w:r>
            <w:r w:rsidR="006A2B71" w:rsidRPr="00A96579">
              <w:rPr>
                <w:rFonts w:asciiTheme="majorHAnsi" w:hAnsiTheme="majorHAnsi"/>
                <w:sz w:val="20"/>
                <w:szCs w:val="20"/>
                <w:lang w:val="es-ES"/>
              </w:rPr>
              <w:t xml:space="preserve"> 5 (</w:t>
            </w:r>
            <w:r w:rsidR="006A2B71" w:rsidRPr="00A96579">
              <w:rPr>
                <w:rFonts w:asciiTheme="majorHAnsi" w:hAnsiTheme="majorHAnsi"/>
                <w:sz w:val="20"/>
                <w:szCs w:val="20"/>
                <w:lang w:val="es-AR"/>
              </w:rPr>
              <w:t>integridad personal), 7 (libertad personal), 8 (garantías judiciales) y 25 (protección judicial)</w:t>
            </w:r>
            <w:r w:rsidR="006A2B71" w:rsidRPr="00A96579">
              <w:rPr>
                <w:rFonts w:asciiTheme="majorHAnsi" w:hAnsiTheme="majorHAnsi"/>
                <w:bCs/>
                <w:sz w:val="20"/>
                <w:szCs w:val="20"/>
                <w:lang w:val="es-MX"/>
              </w:rPr>
              <w:t xml:space="preserve"> de la Convención</w:t>
            </w:r>
            <w:r w:rsidR="005F00B3">
              <w:rPr>
                <w:rFonts w:asciiTheme="majorHAnsi" w:hAnsiTheme="majorHAnsi"/>
                <w:bCs/>
                <w:sz w:val="20"/>
                <w:szCs w:val="20"/>
                <w:lang w:val="es-MX"/>
              </w:rPr>
              <w:t>,</w:t>
            </w:r>
            <w:r w:rsidR="006A2B71" w:rsidRPr="00A96579">
              <w:rPr>
                <w:rFonts w:asciiTheme="majorHAnsi" w:hAnsiTheme="majorHAnsi"/>
                <w:bCs/>
                <w:sz w:val="20"/>
                <w:szCs w:val="20"/>
                <w:lang w:val="es-MX"/>
              </w:rPr>
              <w:t xml:space="preserve"> </w:t>
            </w:r>
            <w:r w:rsidR="006A2B71" w:rsidRPr="006453A0">
              <w:rPr>
                <w:rFonts w:asciiTheme="majorHAnsi" w:hAnsiTheme="majorHAnsi"/>
                <w:sz w:val="20"/>
                <w:szCs w:val="20"/>
                <w:lang w:val="es-AR"/>
              </w:rPr>
              <w:t xml:space="preserve">en relación con su artículo 1.1. (obligación de respetar los derechos) </w:t>
            </w:r>
          </w:p>
        </w:tc>
      </w:tr>
      <w:tr w:rsidR="003239B8" w:rsidRPr="00BB38B1" w14:paraId="4EFD141E" w14:textId="77777777" w:rsidTr="009D49C6">
        <w:trPr>
          <w:cantSplit/>
        </w:trPr>
        <w:tc>
          <w:tcPr>
            <w:tcW w:w="3565"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72" w:type="dxa"/>
            <w:vAlign w:val="center"/>
          </w:tcPr>
          <w:p w14:paraId="69C53E8A" w14:textId="4D8D5E84" w:rsidR="003239B8" w:rsidRPr="00DC24E3" w:rsidRDefault="003101CB" w:rsidP="008D2290">
            <w:pPr>
              <w:rPr>
                <w:rFonts w:ascii="Cambria" w:hAnsi="Cambria"/>
                <w:bCs/>
                <w:sz w:val="20"/>
                <w:szCs w:val="20"/>
                <w:lang w:val="es-ES"/>
              </w:rPr>
            </w:pPr>
            <w:r>
              <w:rPr>
                <w:rFonts w:ascii="Cambria" w:hAnsi="Cambria"/>
                <w:bCs/>
                <w:sz w:val="20"/>
                <w:szCs w:val="20"/>
                <w:lang w:val="es-ES"/>
              </w:rPr>
              <w:t>Sí</w:t>
            </w:r>
          </w:p>
        </w:tc>
      </w:tr>
      <w:tr w:rsidR="003239B8" w:rsidRPr="008169CD" w14:paraId="52B5BA17" w14:textId="77777777" w:rsidTr="009D49C6">
        <w:trPr>
          <w:cantSplit/>
        </w:trPr>
        <w:tc>
          <w:tcPr>
            <w:tcW w:w="3565"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72" w:type="dxa"/>
            <w:vAlign w:val="center"/>
          </w:tcPr>
          <w:p w14:paraId="4A2A4569" w14:textId="44BDEF33" w:rsidR="003239B8" w:rsidRPr="004176E6" w:rsidRDefault="003101CB" w:rsidP="008D2290">
            <w:pPr>
              <w:rPr>
                <w:rFonts w:ascii="Cambria" w:hAnsi="Cambria"/>
                <w:bCs/>
                <w:sz w:val="20"/>
                <w:szCs w:val="20"/>
                <w:lang w:val="es-AR"/>
              </w:rPr>
            </w:pPr>
            <w:r w:rsidRPr="004176E6">
              <w:rPr>
                <w:rFonts w:ascii="Cambria" w:hAnsi="Cambria"/>
                <w:bCs/>
                <w:sz w:val="20"/>
                <w:szCs w:val="20"/>
                <w:lang w:val="es-AR"/>
              </w:rPr>
              <w:t>Sí</w:t>
            </w:r>
          </w:p>
        </w:tc>
      </w:tr>
    </w:tbl>
    <w:p w14:paraId="0D2D8753" w14:textId="77777777" w:rsidR="004176E6" w:rsidRDefault="004176E6" w:rsidP="00B20569">
      <w:pPr>
        <w:spacing w:before="240" w:after="240"/>
        <w:ind w:firstLine="720"/>
        <w:jc w:val="both"/>
        <w:rPr>
          <w:rFonts w:asciiTheme="majorHAnsi" w:hAnsiTheme="majorHAnsi"/>
          <w:b/>
          <w:sz w:val="20"/>
          <w:szCs w:val="20"/>
          <w:lang w:val="es-UY"/>
        </w:rPr>
      </w:pPr>
    </w:p>
    <w:p w14:paraId="3E94D4EB" w14:textId="77777777" w:rsidR="00790364" w:rsidRDefault="00790364" w:rsidP="00B20569">
      <w:pPr>
        <w:spacing w:before="240" w:after="240"/>
        <w:ind w:firstLine="720"/>
        <w:jc w:val="both"/>
        <w:rPr>
          <w:rFonts w:asciiTheme="majorHAnsi" w:hAnsiTheme="majorHAnsi"/>
          <w:b/>
          <w:sz w:val="20"/>
          <w:szCs w:val="20"/>
          <w:lang w:val="es-UY"/>
        </w:rPr>
      </w:pPr>
    </w:p>
    <w:p w14:paraId="70E0840A" w14:textId="7628901C" w:rsidR="00B20569" w:rsidRPr="003E1644" w:rsidRDefault="00223A29" w:rsidP="003C08E3">
      <w:pPr>
        <w:spacing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867314" w:rsidRPr="003E1644">
        <w:rPr>
          <w:rFonts w:asciiTheme="majorHAnsi" w:hAnsiTheme="majorHAnsi"/>
          <w:b/>
          <w:sz w:val="20"/>
          <w:szCs w:val="20"/>
          <w:lang w:val="es-UY"/>
        </w:rPr>
        <w:t>POSICIÓN DE LAS PARTES</w:t>
      </w:r>
    </w:p>
    <w:p w14:paraId="4D7666A4" w14:textId="265B288C" w:rsidR="00054F0C" w:rsidRPr="003E1644" w:rsidRDefault="00DE6DD8" w:rsidP="003C08E3">
      <w:pPr>
        <w:spacing w:after="240"/>
        <w:ind w:firstLine="720"/>
        <w:jc w:val="both"/>
        <w:rPr>
          <w:rFonts w:asciiTheme="majorHAnsi" w:hAnsiTheme="majorHAnsi"/>
          <w:bCs/>
          <w:i/>
          <w:iCs/>
          <w:sz w:val="20"/>
          <w:szCs w:val="20"/>
          <w:lang w:val="es-UY"/>
        </w:rPr>
      </w:pPr>
      <w:r w:rsidRPr="003E1644">
        <w:rPr>
          <w:rFonts w:asciiTheme="majorHAnsi" w:hAnsiTheme="majorHAnsi"/>
          <w:bCs/>
          <w:i/>
          <w:iCs/>
          <w:sz w:val="20"/>
          <w:szCs w:val="20"/>
          <w:lang w:val="es-UY"/>
        </w:rPr>
        <w:t xml:space="preserve">Alegatos de la parte peticionaria </w:t>
      </w:r>
    </w:p>
    <w:p w14:paraId="21A02D4C" w14:textId="3E62E58C" w:rsidR="00412C48" w:rsidRPr="003E1644" w:rsidRDefault="0079588C" w:rsidP="003C08E3">
      <w:pPr>
        <w:pStyle w:val="ListParagraph"/>
        <w:numPr>
          <w:ilvl w:val="0"/>
          <w:numId w:val="103"/>
        </w:numPr>
        <w:spacing w:after="240"/>
        <w:jc w:val="both"/>
        <w:rPr>
          <w:rFonts w:asciiTheme="majorHAnsi" w:hAnsiTheme="majorHAnsi" w:cstheme="majorHAnsi"/>
          <w:sz w:val="20"/>
          <w:szCs w:val="20"/>
          <w:lang w:val="es-AR"/>
        </w:rPr>
      </w:pPr>
      <w:r w:rsidRPr="003E1644">
        <w:rPr>
          <w:rFonts w:asciiTheme="majorHAnsi" w:hAnsiTheme="majorHAnsi" w:cstheme="majorHAnsi"/>
          <w:sz w:val="20"/>
          <w:szCs w:val="20"/>
          <w:lang w:val="es-ES"/>
        </w:rPr>
        <w:t xml:space="preserve">La parte peticionaria alega </w:t>
      </w:r>
      <w:r w:rsidR="008A1CF7" w:rsidRPr="003E1644">
        <w:rPr>
          <w:rFonts w:asciiTheme="majorHAnsi" w:hAnsiTheme="majorHAnsi" w:cstheme="majorHAnsi"/>
          <w:sz w:val="20"/>
          <w:szCs w:val="20"/>
          <w:lang w:val="es-AR"/>
        </w:rPr>
        <w:t xml:space="preserve">que el </w:t>
      </w:r>
      <w:r w:rsidRPr="003E1644">
        <w:rPr>
          <w:rFonts w:asciiTheme="majorHAnsi" w:hAnsiTheme="majorHAnsi" w:cstheme="majorHAnsi"/>
          <w:sz w:val="20"/>
          <w:szCs w:val="20"/>
          <w:lang w:val="es-AR"/>
        </w:rPr>
        <w:t xml:space="preserve">señor José Isabel Morales </w:t>
      </w:r>
      <w:r w:rsidR="008A1CF7" w:rsidRPr="003E1644">
        <w:rPr>
          <w:rFonts w:asciiTheme="majorHAnsi" w:hAnsiTheme="majorHAnsi" w:cstheme="majorHAnsi"/>
          <w:sz w:val="20"/>
          <w:szCs w:val="20"/>
          <w:lang w:val="es-AR"/>
        </w:rPr>
        <w:t xml:space="preserve">fue sometido </w:t>
      </w:r>
      <w:r w:rsidRPr="003E1644">
        <w:rPr>
          <w:rFonts w:asciiTheme="majorHAnsi" w:hAnsiTheme="majorHAnsi" w:cstheme="majorHAnsi"/>
          <w:sz w:val="20"/>
          <w:szCs w:val="20"/>
          <w:lang w:val="es-AR"/>
        </w:rPr>
        <w:t xml:space="preserve">a un proceso penal </w:t>
      </w:r>
      <w:r w:rsidR="00050168" w:rsidRPr="003E1644">
        <w:rPr>
          <w:rFonts w:asciiTheme="majorHAnsi" w:hAnsiTheme="majorHAnsi" w:cstheme="majorHAnsi"/>
          <w:sz w:val="20"/>
          <w:szCs w:val="20"/>
          <w:lang w:val="es-AR"/>
        </w:rPr>
        <w:t xml:space="preserve">arbitrario que se sustentó en pruebas </w:t>
      </w:r>
      <w:r w:rsidR="00DA6E9A" w:rsidRPr="003E1644">
        <w:rPr>
          <w:rFonts w:asciiTheme="majorHAnsi" w:hAnsiTheme="majorHAnsi" w:cstheme="majorHAnsi"/>
          <w:sz w:val="20"/>
          <w:szCs w:val="20"/>
          <w:lang w:val="es-AR"/>
        </w:rPr>
        <w:t>dudosas</w:t>
      </w:r>
      <w:r w:rsidR="008A1CF7" w:rsidRPr="003E1644">
        <w:rPr>
          <w:rFonts w:asciiTheme="majorHAnsi" w:hAnsiTheme="majorHAnsi" w:cstheme="majorHAnsi"/>
          <w:sz w:val="20"/>
          <w:szCs w:val="20"/>
          <w:lang w:val="es-AR"/>
        </w:rPr>
        <w:t>. En consecuencia, estuvo privado de su libertad durante</w:t>
      </w:r>
      <w:r w:rsidRPr="003E1644">
        <w:rPr>
          <w:rFonts w:asciiTheme="majorHAnsi" w:hAnsiTheme="majorHAnsi" w:cstheme="majorHAnsi"/>
          <w:sz w:val="20"/>
          <w:szCs w:val="20"/>
          <w:lang w:val="es-AR"/>
        </w:rPr>
        <w:t xml:space="preserve"> </w:t>
      </w:r>
      <w:r w:rsidR="008169CD" w:rsidRPr="003E1644">
        <w:rPr>
          <w:rFonts w:asciiTheme="majorHAnsi" w:hAnsiTheme="majorHAnsi" w:cstheme="majorHAnsi"/>
          <w:sz w:val="20"/>
          <w:szCs w:val="20"/>
          <w:lang w:val="es-AR"/>
        </w:rPr>
        <w:t xml:space="preserve">casi </w:t>
      </w:r>
      <w:r w:rsidR="008164D1" w:rsidRPr="003E1644">
        <w:rPr>
          <w:rFonts w:asciiTheme="majorHAnsi" w:hAnsiTheme="majorHAnsi" w:cstheme="majorHAnsi"/>
          <w:sz w:val="20"/>
          <w:szCs w:val="20"/>
          <w:lang w:val="es-AR"/>
        </w:rPr>
        <w:t>siete</w:t>
      </w:r>
      <w:r w:rsidRPr="003E1644">
        <w:rPr>
          <w:rFonts w:asciiTheme="majorHAnsi" w:hAnsiTheme="majorHAnsi" w:cstheme="majorHAnsi"/>
          <w:sz w:val="20"/>
          <w:szCs w:val="20"/>
          <w:lang w:val="es-AR"/>
        </w:rPr>
        <w:t xml:space="preserve"> años </w:t>
      </w:r>
      <w:r w:rsidR="00291A50" w:rsidRPr="003E1644">
        <w:rPr>
          <w:rFonts w:asciiTheme="majorHAnsi" w:hAnsiTheme="majorHAnsi" w:cstheme="majorHAnsi"/>
          <w:sz w:val="20"/>
          <w:szCs w:val="20"/>
          <w:lang w:val="es-AR"/>
        </w:rPr>
        <w:t>debido a</w:t>
      </w:r>
      <w:r w:rsidR="00050168" w:rsidRPr="003E1644">
        <w:rPr>
          <w:rFonts w:asciiTheme="majorHAnsi" w:hAnsiTheme="majorHAnsi" w:cstheme="majorHAnsi"/>
          <w:sz w:val="20"/>
          <w:szCs w:val="20"/>
          <w:lang w:val="es-AR"/>
        </w:rPr>
        <w:t xml:space="preserve"> un proceso que finalizó con la declaración de su inocencia. Además, alega haber sufrido malos tratos durante su detención. </w:t>
      </w:r>
    </w:p>
    <w:p w14:paraId="39217ADB" w14:textId="470DAF76" w:rsidR="00000593" w:rsidRPr="003E1644" w:rsidRDefault="008169CD" w:rsidP="003C08E3">
      <w:pPr>
        <w:pStyle w:val="ListParagraph"/>
        <w:numPr>
          <w:ilvl w:val="0"/>
          <w:numId w:val="103"/>
        </w:numPr>
        <w:spacing w:after="240"/>
        <w:jc w:val="both"/>
        <w:rPr>
          <w:rFonts w:asciiTheme="majorHAnsi" w:hAnsiTheme="majorHAnsi" w:cstheme="majorHAnsi"/>
          <w:sz w:val="20"/>
          <w:szCs w:val="20"/>
          <w:lang w:val="es-AR"/>
        </w:rPr>
      </w:pPr>
      <w:r w:rsidRPr="003E1644">
        <w:rPr>
          <w:rFonts w:asciiTheme="majorHAnsi" w:hAnsiTheme="majorHAnsi" w:cstheme="majorHAnsi"/>
          <w:sz w:val="20"/>
          <w:szCs w:val="20"/>
          <w:lang w:val="es-AR"/>
        </w:rPr>
        <w:t xml:space="preserve">A modo de contexto, </w:t>
      </w:r>
      <w:r w:rsidR="00B31685" w:rsidRPr="003E1644">
        <w:rPr>
          <w:rFonts w:asciiTheme="majorHAnsi" w:hAnsiTheme="majorHAnsi" w:cstheme="majorHAnsi"/>
          <w:sz w:val="20"/>
          <w:szCs w:val="20"/>
          <w:lang w:val="es-AR"/>
        </w:rPr>
        <w:t>los peticionarios</w:t>
      </w:r>
      <w:r w:rsidR="00711895" w:rsidRPr="003E1644">
        <w:rPr>
          <w:rFonts w:asciiTheme="majorHAnsi" w:hAnsiTheme="majorHAnsi" w:cstheme="majorHAnsi"/>
          <w:sz w:val="20"/>
          <w:szCs w:val="20"/>
          <w:lang w:val="es-AR"/>
        </w:rPr>
        <w:t xml:space="preserve"> indic</w:t>
      </w:r>
      <w:r w:rsidR="00B31685" w:rsidRPr="003E1644">
        <w:rPr>
          <w:rFonts w:asciiTheme="majorHAnsi" w:hAnsiTheme="majorHAnsi" w:cstheme="majorHAnsi"/>
          <w:sz w:val="20"/>
          <w:szCs w:val="20"/>
          <w:lang w:val="es-AR"/>
        </w:rPr>
        <w:t>an</w:t>
      </w:r>
      <w:r w:rsidR="00711895" w:rsidRPr="003E1644">
        <w:rPr>
          <w:rFonts w:asciiTheme="majorHAnsi" w:hAnsiTheme="majorHAnsi" w:cstheme="majorHAnsi"/>
          <w:sz w:val="20"/>
          <w:szCs w:val="20"/>
          <w:lang w:val="es-AR"/>
        </w:rPr>
        <w:t xml:space="preserve"> que e</w:t>
      </w:r>
      <w:r w:rsidR="00CF686F" w:rsidRPr="003E1644">
        <w:rPr>
          <w:rFonts w:asciiTheme="majorHAnsi" w:hAnsiTheme="majorHAnsi" w:cstheme="majorHAnsi"/>
          <w:sz w:val="20"/>
          <w:szCs w:val="20"/>
          <w:lang w:val="es-AR"/>
        </w:rPr>
        <w:t>l señor José Isabel</w:t>
      </w:r>
      <w:r w:rsidRPr="003E1644">
        <w:rPr>
          <w:rFonts w:asciiTheme="majorHAnsi" w:hAnsiTheme="majorHAnsi" w:cstheme="majorHAnsi"/>
          <w:sz w:val="20"/>
          <w:szCs w:val="20"/>
          <w:lang w:val="es-AR"/>
        </w:rPr>
        <w:t xml:space="preserve"> Morales</w:t>
      </w:r>
      <w:r w:rsidR="0054509D" w:rsidRPr="003E1644">
        <w:rPr>
          <w:rFonts w:asciiTheme="majorHAnsi" w:hAnsiTheme="majorHAnsi" w:cstheme="majorHAnsi"/>
          <w:sz w:val="20"/>
          <w:szCs w:val="20"/>
          <w:lang w:val="es-AR"/>
        </w:rPr>
        <w:t xml:space="preserve"> (en adelante “el señor Morales”</w:t>
      </w:r>
      <w:r w:rsidR="0094346C" w:rsidRPr="003E1644">
        <w:rPr>
          <w:rFonts w:asciiTheme="majorHAnsi" w:hAnsiTheme="majorHAnsi" w:cstheme="majorHAnsi"/>
          <w:sz w:val="20"/>
          <w:szCs w:val="20"/>
          <w:lang w:val="es-AR"/>
        </w:rPr>
        <w:t xml:space="preserve">) </w:t>
      </w:r>
      <w:r w:rsidR="00711895" w:rsidRPr="003E1644">
        <w:rPr>
          <w:rFonts w:asciiTheme="majorHAnsi" w:hAnsiTheme="majorHAnsi" w:cstheme="majorHAnsi"/>
          <w:sz w:val="20"/>
          <w:szCs w:val="20"/>
          <w:lang w:val="es-AR"/>
        </w:rPr>
        <w:t xml:space="preserve">formó </w:t>
      </w:r>
      <w:r w:rsidR="00CF686F" w:rsidRPr="003E1644">
        <w:rPr>
          <w:rFonts w:asciiTheme="majorHAnsi" w:hAnsiTheme="majorHAnsi" w:cstheme="majorHAnsi"/>
          <w:sz w:val="20"/>
          <w:szCs w:val="20"/>
          <w:lang w:val="es-AR"/>
        </w:rPr>
        <w:t xml:space="preserve">parte del </w:t>
      </w:r>
      <w:r w:rsidR="00CF686F" w:rsidRPr="003E1644">
        <w:rPr>
          <w:rFonts w:asciiTheme="majorHAnsi" w:hAnsiTheme="majorHAnsi"/>
          <w:sz w:val="20"/>
          <w:szCs w:val="20"/>
          <w:lang w:val="es-AR"/>
        </w:rPr>
        <w:t xml:space="preserve">Movimiento Campesino del </w:t>
      </w:r>
      <w:r w:rsidR="000B366E" w:rsidRPr="003E1644">
        <w:rPr>
          <w:rFonts w:asciiTheme="majorHAnsi" w:hAnsiTheme="majorHAnsi"/>
          <w:sz w:val="20"/>
          <w:szCs w:val="20"/>
          <w:lang w:val="es-AR"/>
        </w:rPr>
        <w:t>B</w:t>
      </w:r>
      <w:r w:rsidR="00CF686F" w:rsidRPr="003E1644">
        <w:rPr>
          <w:rFonts w:asciiTheme="majorHAnsi" w:hAnsiTheme="majorHAnsi"/>
          <w:sz w:val="20"/>
          <w:szCs w:val="20"/>
          <w:lang w:val="es-AR"/>
        </w:rPr>
        <w:t>ajo Aguán y de la Comunidad agraria “Guadalupe Carney”</w:t>
      </w:r>
      <w:r w:rsidR="0094346C" w:rsidRPr="003E1644">
        <w:rPr>
          <w:rFonts w:asciiTheme="majorHAnsi" w:hAnsiTheme="majorHAnsi"/>
          <w:sz w:val="20"/>
          <w:szCs w:val="20"/>
          <w:lang w:val="es-AR"/>
        </w:rPr>
        <w:t>, agrupación de campesinos a quienes el Estado le</w:t>
      </w:r>
      <w:r w:rsidR="007179B8" w:rsidRPr="003E1644">
        <w:rPr>
          <w:rFonts w:asciiTheme="majorHAnsi" w:hAnsiTheme="majorHAnsi"/>
          <w:sz w:val="20"/>
          <w:szCs w:val="20"/>
          <w:lang w:val="es-AR"/>
        </w:rPr>
        <w:t>s</w:t>
      </w:r>
      <w:r w:rsidR="0094346C" w:rsidRPr="003E1644">
        <w:rPr>
          <w:rFonts w:asciiTheme="majorHAnsi" w:hAnsiTheme="majorHAnsi"/>
          <w:sz w:val="20"/>
          <w:szCs w:val="20"/>
          <w:lang w:val="es-AR"/>
        </w:rPr>
        <w:t xml:space="preserve"> había otorgado unas tierras mediante un decreto </w:t>
      </w:r>
      <w:r w:rsidR="00E376B6" w:rsidRPr="003E1644">
        <w:rPr>
          <w:rFonts w:asciiTheme="majorHAnsi" w:hAnsiTheme="majorHAnsi"/>
          <w:sz w:val="20"/>
          <w:szCs w:val="20"/>
          <w:lang w:val="es-AR"/>
        </w:rPr>
        <w:t>del 29 de abril de</w:t>
      </w:r>
      <w:r w:rsidR="0094346C" w:rsidRPr="003E1644">
        <w:rPr>
          <w:rFonts w:asciiTheme="majorHAnsi" w:hAnsiTheme="majorHAnsi"/>
          <w:sz w:val="20"/>
          <w:szCs w:val="20"/>
          <w:lang w:val="es-AR"/>
        </w:rPr>
        <w:t xml:space="preserve"> 2008. Sin embargo, los propietarios anteriores de esas tierras las siguieron ocupando por medio de la fuerza, resistencia que ejercían amparados en la inacción del </w:t>
      </w:r>
      <w:r w:rsidR="00BA6FA2" w:rsidRPr="003E1644">
        <w:rPr>
          <w:rFonts w:asciiTheme="majorHAnsi" w:hAnsiTheme="majorHAnsi"/>
          <w:sz w:val="20"/>
          <w:szCs w:val="20"/>
          <w:lang w:val="es-AR"/>
        </w:rPr>
        <w:t xml:space="preserve">propio </w:t>
      </w:r>
      <w:r w:rsidR="0094346C" w:rsidRPr="003E1644">
        <w:rPr>
          <w:rFonts w:asciiTheme="majorHAnsi" w:hAnsiTheme="majorHAnsi"/>
          <w:sz w:val="20"/>
          <w:szCs w:val="20"/>
          <w:lang w:val="es-AR"/>
        </w:rPr>
        <w:t>Estado. Es</w:t>
      </w:r>
      <w:r w:rsidR="00C4299F" w:rsidRPr="003E1644">
        <w:rPr>
          <w:rFonts w:asciiTheme="majorHAnsi" w:hAnsiTheme="majorHAnsi"/>
          <w:sz w:val="20"/>
          <w:szCs w:val="20"/>
          <w:lang w:val="es-AR"/>
        </w:rPr>
        <w:t>t</w:t>
      </w:r>
      <w:r w:rsidR="0094346C" w:rsidRPr="003E1644">
        <w:rPr>
          <w:rFonts w:asciiTheme="majorHAnsi" w:hAnsiTheme="majorHAnsi"/>
          <w:sz w:val="20"/>
          <w:szCs w:val="20"/>
          <w:lang w:val="es-AR"/>
        </w:rPr>
        <w:t xml:space="preserve">a situación generó </w:t>
      </w:r>
      <w:r w:rsidR="001F4AFF" w:rsidRPr="003E1644">
        <w:rPr>
          <w:rFonts w:asciiTheme="majorHAnsi" w:hAnsiTheme="majorHAnsi"/>
          <w:sz w:val="20"/>
          <w:szCs w:val="20"/>
          <w:lang w:val="es-AR"/>
        </w:rPr>
        <w:t xml:space="preserve">un creciente clima de tensión y confrontación entre las familias campesinas y los propietarios </w:t>
      </w:r>
      <w:r w:rsidR="00365298" w:rsidRPr="003E1644">
        <w:rPr>
          <w:rFonts w:asciiTheme="majorHAnsi" w:hAnsiTheme="majorHAnsi"/>
          <w:sz w:val="20"/>
          <w:szCs w:val="20"/>
          <w:lang w:val="es-AR"/>
        </w:rPr>
        <w:t>originales</w:t>
      </w:r>
      <w:r w:rsidR="001F4AFF" w:rsidRPr="003E1644">
        <w:rPr>
          <w:rFonts w:asciiTheme="majorHAnsi" w:hAnsiTheme="majorHAnsi"/>
          <w:sz w:val="20"/>
          <w:szCs w:val="20"/>
          <w:lang w:val="es-AR"/>
        </w:rPr>
        <w:t xml:space="preserve">, </w:t>
      </w:r>
      <w:r w:rsidR="0094346C" w:rsidRPr="003E1644">
        <w:rPr>
          <w:rFonts w:asciiTheme="majorHAnsi" w:hAnsiTheme="majorHAnsi"/>
          <w:sz w:val="20"/>
          <w:szCs w:val="20"/>
          <w:lang w:val="es-AR"/>
        </w:rPr>
        <w:t>qu</w:t>
      </w:r>
      <w:r w:rsidR="002C79DF" w:rsidRPr="003E1644">
        <w:rPr>
          <w:rFonts w:asciiTheme="majorHAnsi" w:hAnsiTheme="majorHAnsi"/>
          <w:sz w:val="20"/>
          <w:szCs w:val="20"/>
          <w:lang w:val="es-AR"/>
        </w:rPr>
        <w:t>i</w:t>
      </w:r>
      <w:r w:rsidR="0094346C" w:rsidRPr="003E1644">
        <w:rPr>
          <w:rFonts w:asciiTheme="majorHAnsi" w:hAnsiTheme="majorHAnsi"/>
          <w:sz w:val="20"/>
          <w:szCs w:val="20"/>
          <w:lang w:val="es-AR"/>
        </w:rPr>
        <w:t>e</w:t>
      </w:r>
      <w:r w:rsidR="002C79DF" w:rsidRPr="003E1644">
        <w:rPr>
          <w:rFonts w:asciiTheme="majorHAnsi" w:hAnsiTheme="majorHAnsi"/>
          <w:sz w:val="20"/>
          <w:szCs w:val="20"/>
          <w:lang w:val="es-AR"/>
        </w:rPr>
        <w:t>nes</w:t>
      </w:r>
      <w:r w:rsidR="0094346C" w:rsidRPr="003E1644">
        <w:rPr>
          <w:rFonts w:asciiTheme="majorHAnsi" w:hAnsiTheme="majorHAnsi"/>
          <w:sz w:val="20"/>
          <w:szCs w:val="20"/>
          <w:lang w:val="es-AR"/>
        </w:rPr>
        <w:t xml:space="preserve"> reclamaban esas mismas tierras</w:t>
      </w:r>
    </w:p>
    <w:p w14:paraId="3D3EFDFC" w14:textId="324ABCC9" w:rsidR="00D85474" w:rsidRPr="003E1644" w:rsidRDefault="00BF5123" w:rsidP="003C08E3">
      <w:pPr>
        <w:pStyle w:val="ListParagraph"/>
        <w:numPr>
          <w:ilvl w:val="0"/>
          <w:numId w:val="103"/>
        </w:numPr>
        <w:spacing w:after="240"/>
        <w:jc w:val="both"/>
        <w:rPr>
          <w:rFonts w:asciiTheme="majorHAnsi" w:hAnsiTheme="majorHAnsi" w:cstheme="majorHAnsi"/>
          <w:sz w:val="20"/>
          <w:szCs w:val="20"/>
          <w:lang w:val="es-AR"/>
        </w:rPr>
      </w:pPr>
      <w:r w:rsidRPr="003E1644">
        <w:rPr>
          <w:rFonts w:asciiTheme="majorHAnsi" w:hAnsiTheme="majorHAnsi"/>
          <w:sz w:val="20"/>
          <w:szCs w:val="20"/>
          <w:lang w:val="es-AR"/>
        </w:rPr>
        <w:t>En este contexto, e</w:t>
      </w:r>
      <w:r w:rsidR="007D5F0B" w:rsidRPr="003E1644">
        <w:rPr>
          <w:rFonts w:asciiTheme="majorHAnsi" w:hAnsiTheme="majorHAnsi"/>
          <w:sz w:val="20"/>
          <w:szCs w:val="20"/>
          <w:lang w:val="es-AR"/>
        </w:rPr>
        <w:t>l 3 de agosto</w:t>
      </w:r>
      <w:r w:rsidR="0043194D" w:rsidRPr="003E1644">
        <w:rPr>
          <w:rFonts w:asciiTheme="majorHAnsi" w:hAnsiTheme="majorHAnsi"/>
          <w:sz w:val="20"/>
          <w:szCs w:val="20"/>
          <w:lang w:val="es-AR"/>
        </w:rPr>
        <w:t xml:space="preserve"> de 2008,</w:t>
      </w:r>
      <w:r w:rsidR="007D5F0B" w:rsidRPr="003E1644">
        <w:rPr>
          <w:rFonts w:asciiTheme="majorHAnsi" w:hAnsiTheme="majorHAnsi"/>
          <w:sz w:val="20"/>
          <w:szCs w:val="20"/>
          <w:lang w:val="es-AR"/>
        </w:rPr>
        <w:t xml:space="preserve"> en la finca de </w:t>
      </w:r>
      <w:r w:rsidR="0043194D" w:rsidRPr="003E1644">
        <w:rPr>
          <w:rFonts w:asciiTheme="majorHAnsi" w:hAnsiTheme="majorHAnsi"/>
          <w:sz w:val="20"/>
          <w:szCs w:val="20"/>
          <w:lang w:val="es-AR"/>
        </w:rPr>
        <w:t>los</w:t>
      </w:r>
      <w:r w:rsidR="007D5F0B" w:rsidRPr="003E1644">
        <w:rPr>
          <w:rFonts w:asciiTheme="majorHAnsi" w:hAnsiTheme="majorHAnsi"/>
          <w:sz w:val="20"/>
          <w:szCs w:val="20"/>
          <w:lang w:val="es-AR"/>
        </w:rPr>
        <w:t xml:space="preserve"> Osorto, </w:t>
      </w:r>
      <w:r w:rsidRPr="003E1644">
        <w:rPr>
          <w:rFonts w:asciiTheme="majorHAnsi" w:hAnsiTheme="majorHAnsi"/>
          <w:sz w:val="20"/>
          <w:szCs w:val="20"/>
          <w:lang w:val="es-AR"/>
        </w:rPr>
        <w:t xml:space="preserve">murió </w:t>
      </w:r>
      <w:r w:rsidR="007D5F0B" w:rsidRPr="003E1644">
        <w:rPr>
          <w:rFonts w:asciiTheme="majorHAnsi" w:hAnsiTheme="majorHAnsi"/>
          <w:sz w:val="20"/>
          <w:szCs w:val="20"/>
          <w:lang w:val="es-AR"/>
        </w:rPr>
        <w:t xml:space="preserve">un campesino de nombre </w:t>
      </w:r>
      <w:r w:rsidR="007D5F0B" w:rsidRPr="003E1644">
        <w:rPr>
          <w:rFonts w:asciiTheme="majorHAnsi" w:hAnsiTheme="majorHAnsi" w:cstheme="majorHAnsi"/>
          <w:sz w:val="20"/>
          <w:szCs w:val="20"/>
          <w:lang w:val="es-AR"/>
        </w:rPr>
        <w:t>Arnulfo Guevara</w:t>
      </w:r>
      <w:r w:rsidR="007D5F0B" w:rsidRPr="003E1644">
        <w:rPr>
          <w:rFonts w:asciiTheme="majorHAnsi" w:hAnsiTheme="majorHAnsi"/>
          <w:sz w:val="20"/>
          <w:szCs w:val="20"/>
          <w:lang w:val="es-AR"/>
        </w:rPr>
        <w:t xml:space="preserve">. Debido a este episodio varios campesinos decidieron enfrentar a los familiares y guardias de seguridad de dicha familia, quienes les habrían impedido recoger el cadáver. Trescientos campesinos armados con palos, machetes y armas pequeñas entraron a la </w:t>
      </w:r>
      <w:r w:rsidR="00454E47" w:rsidRPr="003E1644">
        <w:rPr>
          <w:rFonts w:asciiTheme="majorHAnsi" w:hAnsiTheme="majorHAnsi"/>
          <w:sz w:val="20"/>
          <w:szCs w:val="20"/>
          <w:lang w:val="es-AR"/>
        </w:rPr>
        <w:t>propiedad</w:t>
      </w:r>
      <w:r w:rsidR="007D5F0B" w:rsidRPr="003E1644">
        <w:rPr>
          <w:rFonts w:asciiTheme="majorHAnsi" w:hAnsiTheme="majorHAnsi"/>
          <w:sz w:val="20"/>
          <w:szCs w:val="20"/>
          <w:lang w:val="es-AR"/>
        </w:rPr>
        <w:t xml:space="preserve"> de la familia Osorto</w:t>
      </w:r>
      <w:r w:rsidR="007179B8" w:rsidRPr="003E1644">
        <w:rPr>
          <w:rFonts w:asciiTheme="majorHAnsi" w:hAnsiTheme="majorHAnsi"/>
          <w:sz w:val="20"/>
          <w:szCs w:val="20"/>
          <w:lang w:val="es-AR"/>
        </w:rPr>
        <w:t xml:space="preserve">. Ese mismo día, luego del conflicto, el señor Morales recibió la noticia de la muerte su amigo Arnulfo Guevara, y conmovido por la situación decidió ir a la finca de la familia Osorto y llevarse el cadáver.   </w:t>
      </w:r>
    </w:p>
    <w:p w14:paraId="1E30DF10" w14:textId="685C25BF" w:rsidR="0079588C" w:rsidRPr="003E1644" w:rsidRDefault="00D85474" w:rsidP="003C08E3">
      <w:pPr>
        <w:pStyle w:val="ListParagraph"/>
        <w:spacing w:after="240"/>
        <w:jc w:val="both"/>
        <w:rPr>
          <w:rFonts w:asciiTheme="majorHAnsi" w:hAnsiTheme="majorHAnsi" w:cstheme="majorHAnsi"/>
          <w:i/>
          <w:iCs/>
          <w:sz w:val="20"/>
          <w:szCs w:val="20"/>
          <w:lang w:val="es-AR"/>
        </w:rPr>
      </w:pPr>
      <w:r w:rsidRPr="003E1644">
        <w:rPr>
          <w:rFonts w:asciiTheme="majorHAnsi" w:hAnsiTheme="majorHAnsi" w:cstheme="majorHAnsi"/>
          <w:i/>
          <w:iCs/>
          <w:sz w:val="20"/>
          <w:szCs w:val="20"/>
          <w:lang w:val="es-AR"/>
        </w:rPr>
        <w:t>Detención y procesamiento penal del señor Morales</w:t>
      </w:r>
      <w:bookmarkStart w:id="2" w:name="_Hlk142407059"/>
    </w:p>
    <w:p w14:paraId="222B07D1" w14:textId="7A3ECD53" w:rsidR="0079588C" w:rsidRPr="003E1644" w:rsidRDefault="00B31685" w:rsidP="003C08E3">
      <w:pPr>
        <w:pStyle w:val="ListParagraph"/>
        <w:numPr>
          <w:ilvl w:val="0"/>
          <w:numId w:val="103"/>
        </w:numPr>
        <w:spacing w:after="240"/>
        <w:jc w:val="both"/>
        <w:rPr>
          <w:rFonts w:asciiTheme="majorHAnsi" w:hAnsiTheme="majorHAnsi" w:cstheme="majorHAnsi"/>
          <w:sz w:val="20"/>
          <w:szCs w:val="20"/>
          <w:lang w:val="es-AR"/>
        </w:rPr>
      </w:pPr>
      <w:r w:rsidRPr="003E1644">
        <w:rPr>
          <w:rFonts w:asciiTheme="majorHAnsi" w:hAnsiTheme="majorHAnsi" w:cstheme="majorHAnsi"/>
          <w:color w:val="auto"/>
          <w:sz w:val="20"/>
          <w:szCs w:val="20"/>
          <w:lang w:val="es-AR"/>
        </w:rPr>
        <w:t>La</w:t>
      </w:r>
      <w:r w:rsidR="0079588C" w:rsidRPr="003E1644">
        <w:rPr>
          <w:rFonts w:asciiTheme="majorHAnsi" w:hAnsiTheme="majorHAnsi" w:cstheme="majorHAnsi"/>
          <w:color w:val="auto"/>
          <w:sz w:val="20"/>
          <w:szCs w:val="20"/>
          <w:lang w:val="es-AR"/>
        </w:rPr>
        <w:t xml:space="preserve"> presunta víctima fue </w:t>
      </w:r>
      <w:r w:rsidR="007179B8" w:rsidRPr="003E1644">
        <w:rPr>
          <w:rFonts w:asciiTheme="majorHAnsi" w:hAnsiTheme="majorHAnsi" w:cstheme="majorHAnsi"/>
          <w:color w:val="auto"/>
          <w:sz w:val="20"/>
          <w:szCs w:val="20"/>
          <w:lang w:val="es-AR"/>
        </w:rPr>
        <w:t>detenida</w:t>
      </w:r>
      <w:r w:rsidR="0079588C" w:rsidRPr="003E1644">
        <w:rPr>
          <w:rFonts w:asciiTheme="majorHAnsi" w:hAnsiTheme="majorHAnsi" w:cstheme="majorHAnsi"/>
          <w:color w:val="auto"/>
          <w:sz w:val="20"/>
          <w:szCs w:val="20"/>
          <w:lang w:val="es-AR"/>
        </w:rPr>
        <w:t xml:space="preserve"> el </w:t>
      </w:r>
      <w:r w:rsidR="00ED331F" w:rsidRPr="003E1644">
        <w:rPr>
          <w:rFonts w:asciiTheme="majorHAnsi" w:hAnsiTheme="majorHAnsi" w:cstheme="majorHAnsi"/>
          <w:color w:val="auto"/>
          <w:sz w:val="20"/>
          <w:szCs w:val="20"/>
          <w:lang w:val="es-AR"/>
        </w:rPr>
        <w:t>17</w:t>
      </w:r>
      <w:r w:rsidR="00CC083B" w:rsidRPr="003E1644">
        <w:rPr>
          <w:rFonts w:asciiTheme="majorHAnsi" w:hAnsiTheme="majorHAnsi" w:cstheme="majorHAnsi"/>
          <w:color w:val="auto"/>
          <w:sz w:val="20"/>
          <w:szCs w:val="20"/>
          <w:lang w:val="es-AR"/>
        </w:rPr>
        <w:t xml:space="preserve"> </w:t>
      </w:r>
      <w:r w:rsidR="0079588C" w:rsidRPr="003E1644">
        <w:rPr>
          <w:rFonts w:asciiTheme="majorHAnsi" w:hAnsiTheme="majorHAnsi" w:cstheme="majorHAnsi"/>
          <w:color w:val="auto"/>
          <w:sz w:val="20"/>
          <w:szCs w:val="20"/>
          <w:lang w:val="es-AR"/>
        </w:rPr>
        <w:t>de octubre de 2008 en virtud de una orden de captura librada por el Juzgado de Letras Seccional de Trujillo. Fue acusado por el Ministerio Público</w:t>
      </w:r>
      <w:r w:rsidR="001E25E7" w:rsidRPr="003E1644">
        <w:rPr>
          <w:rFonts w:asciiTheme="majorHAnsi" w:hAnsiTheme="majorHAnsi" w:cstheme="majorHAnsi"/>
          <w:color w:val="auto"/>
          <w:sz w:val="20"/>
          <w:szCs w:val="20"/>
          <w:lang w:val="es-AR"/>
        </w:rPr>
        <w:t xml:space="preserve"> </w:t>
      </w:r>
      <w:r w:rsidR="0079588C" w:rsidRPr="003E1644">
        <w:rPr>
          <w:rFonts w:asciiTheme="majorHAnsi" w:hAnsiTheme="majorHAnsi" w:cstheme="majorHAnsi"/>
          <w:color w:val="auto"/>
          <w:sz w:val="20"/>
          <w:szCs w:val="20"/>
          <w:lang w:val="es-AR"/>
        </w:rPr>
        <w:t xml:space="preserve">como supuesto autor de </w:t>
      </w:r>
      <w:r w:rsidR="001E25E7" w:rsidRPr="003E1644">
        <w:rPr>
          <w:rFonts w:asciiTheme="majorHAnsi" w:hAnsiTheme="majorHAnsi" w:cstheme="majorHAnsi"/>
          <w:color w:val="auto"/>
          <w:sz w:val="20"/>
          <w:szCs w:val="20"/>
          <w:lang w:val="es-AR"/>
        </w:rPr>
        <w:t xml:space="preserve">varios delitos: </w:t>
      </w:r>
      <w:r w:rsidR="0079588C" w:rsidRPr="003E1644">
        <w:rPr>
          <w:rFonts w:asciiTheme="majorHAnsi" w:hAnsiTheme="majorHAnsi" w:cstheme="majorHAnsi"/>
          <w:color w:val="auto"/>
          <w:sz w:val="20"/>
          <w:szCs w:val="20"/>
          <w:lang w:val="es-AR"/>
        </w:rPr>
        <w:t xml:space="preserve">diez asesinatos, un homicidio, una tentativa de asesinato, </w:t>
      </w:r>
      <w:r w:rsidR="00110526" w:rsidRPr="003E1644">
        <w:rPr>
          <w:rFonts w:asciiTheme="majorHAnsi" w:hAnsiTheme="majorHAnsi" w:cstheme="majorHAnsi"/>
          <w:color w:val="auto"/>
          <w:sz w:val="20"/>
          <w:szCs w:val="20"/>
          <w:lang w:val="es-AR"/>
        </w:rPr>
        <w:t xml:space="preserve">e </w:t>
      </w:r>
      <w:r w:rsidR="00185B4A" w:rsidRPr="003E1644">
        <w:rPr>
          <w:rFonts w:asciiTheme="majorHAnsi" w:hAnsiTheme="majorHAnsi" w:cstheme="majorHAnsi"/>
          <w:color w:val="auto"/>
          <w:sz w:val="20"/>
          <w:szCs w:val="20"/>
          <w:lang w:val="es-ES"/>
        </w:rPr>
        <w:t xml:space="preserve">g </w:t>
      </w:r>
      <w:r w:rsidR="0079588C" w:rsidRPr="003E1644">
        <w:rPr>
          <w:rFonts w:asciiTheme="majorHAnsi" w:hAnsiTheme="majorHAnsi" w:cstheme="majorHAnsi"/>
          <w:color w:val="auto"/>
          <w:sz w:val="20"/>
          <w:szCs w:val="20"/>
          <w:lang w:val="es-AR"/>
        </w:rPr>
        <w:t>incendio y robo agravado</w:t>
      </w:r>
      <w:r w:rsidR="00110526" w:rsidRPr="003E1644">
        <w:rPr>
          <w:rFonts w:asciiTheme="majorHAnsi" w:hAnsiTheme="majorHAnsi" w:cstheme="majorHAnsi"/>
          <w:color w:val="auto"/>
          <w:sz w:val="20"/>
          <w:szCs w:val="20"/>
          <w:lang w:val="es-AR"/>
        </w:rPr>
        <w:t>s</w:t>
      </w:r>
      <w:r w:rsidR="0079588C" w:rsidRPr="003E1644">
        <w:rPr>
          <w:rFonts w:asciiTheme="majorHAnsi" w:hAnsiTheme="majorHAnsi" w:cstheme="majorHAnsi"/>
          <w:color w:val="auto"/>
          <w:sz w:val="20"/>
          <w:szCs w:val="20"/>
          <w:lang w:val="es-AR"/>
        </w:rPr>
        <w:t>.</w:t>
      </w:r>
      <w:r w:rsidR="000A33AC" w:rsidRPr="003E1644">
        <w:rPr>
          <w:rFonts w:asciiTheme="majorHAnsi" w:hAnsiTheme="majorHAnsi" w:cstheme="majorHAnsi"/>
          <w:color w:val="auto"/>
          <w:sz w:val="20"/>
          <w:szCs w:val="20"/>
          <w:lang w:val="es-AR"/>
        </w:rPr>
        <w:t xml:space="preserve"> </w:t>
      </w:r>
      <w:r w:rsidR="00000593" w:rsidRPr="003E1644">
        <w:rPr>
          <w:rFonts w:asciiTheme="majorHAnsi" w:hAnsiTheme="majorHAnsi" w:cstheme="majorHAnsi"/>
          <w:color w:val="auto"/>
          <w:sz w:val="20"/>
          <w:szCs w:val="20"/>
          <w:lang w:val="es-AR"/>
        </w:rPr>
        <w:t>La parte peticionaria alega que dichas</w:t>
      </w:r>
      <w:r w:rsidR="000A33AC" w:rsidRPr="003E1644">
        <w:rPr>
          <w:rFonts w:asciiTheme="majorHAnsi" w:hAnsiTheme="majorHAnsi" w:cstheme="majorHAnsi"/>
          <w:color w:val="auto"/>
          <w:sz w:val="20"/>
          <w:szCs w:val="20"/>
          <w:lang w:val="es-AR"/>
        </w:rPr>
        <w:t xml:space="preserve"> acusaciones se </w:t>
      </w:r>
      <w:r w:rsidR="004D5B3F" w:rsidRPr="003E1644">
        <w:rPr>
          <w:rFonts w:asciiTheme="majorHAnsi" w:hAnsiTheme="majorHAnsi" w:cstheme="majorHAnsi"/>
          <w:color w:val="auto"/>
          <w:sz w:val="20"/>
          <w:szCs w:val="20"/>
          <w:lang w:val="es-AR"/>
        </w:rPr>
        <w:t>dieron</w:t>
      </w:r>
      <w:r w:rsidR="000A33AC" w:rsidRPr="003E1644">
        <w:rPr>
          <w:rFonts w:asciiTheme="majorHAnsi" w:hAnsiTheme="majorHAnsi" w:cstheme="majorHAnsi"/>
          <w:color w:val="auto"/>
          <w:sz w:val="20"/>
          <w:szCs w:val="20"/>
          <w:lang w:val="es-AR"/>
        </w:rPr>
        <w:t xml:space="preserve"> en un contexto </w:t>
      </w:r>
      <w:r w:rsidR="00000593" w:rsidRPr="003E1644">
        <w:rPr>
          <w:rFonts w:asciiTheme="majorHAnsi" w:hAnsiTheme="majorHAnsi" w:cstheme="majorHAnsi"/>
          <w:color w:val="auto"/>
          <w:sz w:val="20"/>
          <w:szCs w:val="20"/>
          <w:lang w:val="es-AR"/>
        </w:rPr>
        <w:t xml:space="preserve">social </w:t>
      </w:r>
      <w:r w:rsidR="000A33AC" w:rsidRPr="003E1644">
        <w:rPr>
          <w:rFonts w:asciiTheme="majorHAnsi" w:hAnsiTheme="majorHAnsi" w:cstheme="majorHAnsi"/>
          <w:color w:val="auto"/>
          <w:sz w:val="20"/>
          <w:szCs w:val="20"/>
          <w:lang w:val="es-AR"/>
        </w:rPr>
        <w:t>que</w:t>
      </w:r>
      <w:r w:rsidR="000A33AC" w:rsidRPr="003E1644">
        <w:rPr>
          <w:rFonts w:asciiTheme="majorHAnsi" w:hAnsiTheme="majorHAnsi"/>
          <w:sz w:val="20"/>
          <w:szCs w:val="20"/>
          <w:lang w:val="es-AR"/>
        </w:rPr>
        <w:t xml:space="preserve"> refleja la participación de todo el sistema de justicia en Honduras en la criminalización de un campesino como un mensaje intimidatorio para todo el movimiento campesino en el país</w:t>
      </w:r>
      <w:r w:rsidR="00080B97" w:rsidRPr="003E1644">
        <w:rPr>
          <w:rFonts w:asciiTheme="majorHAnsi" w:hAnsiTheme="majorHAnsi"/>
          <w:sz w:val="20"/>
          <w:szCs w:val="20"/>
          <w:lang w:val="es-AR"/>
        </w:rPr>
        <w:t xml:space="preserve">. </w:t>
      </w:r>
    </w:p>
    <w:p w14:paraId="332829D2" w14:textId="54B37DC9" w:rsidR="001A0F02" w:rsidRPr="003E1644" w:rsidRDefault="00D85474" w:rsidP="003C08E3">
      <w:pPr>
        <w:pStyle w:val="ListParagraph"/>
        <w:numPr>
          <w:ilvl w:val="0"/>
          <w:numId w:val="103"/>
        </w:numPr>
        <w:spacing w:after="240"/>
        <w:jc w:val="both"/>
        <w:rPr>
          <w:rFonts w:asciiTheme="majorHAnsi" w:hAnsiTheme="majorHAnsi"/>
          <w:sz w:val="20"/>
          <w:szCs w:val="20"/>
          <w:lang w:val="es-AR"/>
        </w:rPr>
      </w:pPr>
      <w:r w:rsidRPr="003E1644">
        <w:rPr>
          <w:rFonts w:asciiTheme="majorHAnsi" w:hAnsiTheme="majorHAnsi" w:cstheme="majorHAnsi"/>
          <w:sz w:val="20"/>
          <w:szCs w:val="20"/>
          <w:lang w:val="es-AR"/>
        </w:rPr>
        <w:t xml:space="preserve">El 14 de junio de 2010 </w:t>
      </w:r>
      <w:r w:rsidR="007D52C6" w:rsidRPr="003E1644">
        <w:rPr>
          <w:rFonts w:asciiTheme="majorHAnsi" w:hAnsiTheme="majorHAnsi" w:cstheme="majorHAnsi"/>
          <w:sz w:val="20"/>
          <w:szCs w:val="20"/>
          <w:lang w:val="es-AR"/>
        </w:rPr>
        <w:t xml:space="preserve">se realizó el juicio oral y público </w:t>
      </w:r>
      <w:r w:rsidR="00E75B72" w:rsidRPr="003E1644">
        <w:rPr>
          <w:rFonts w:asciiTheme="majorHAnsi" w:hAnsiTheme="majorHAnsi" w:cstheme="majorHAnsi"/>
          <w:sz w:val="20"/>
          <w:szCs w:val="20"/>
          <w:lang w:val="es-AR"/>
        </w:rPr>
        <w:t>en el q</w:t>
      </w:r>
      <w:r w:rsidR="00C26801" w:rsidRPr="003E1644">
        <w:rPr>
          <w:rFonts w:asciiTheme="majorHAnsi" w:hAnsiTheme="majorHAnsi" w:cstheme="majorHAnsi"/>
          <w:sz w:val="20"/>
          <w:szCs w:val="20"/>
          <w:lang w:val="es-AR"/>
        </w:rPr>
        <w:t>ue</w:t>
      </w:r>
      <w:r w:rsidR="007D52C6" w:rsidRPr="003E1644">
        <w:rPr>
          <w:rFonts w:asciiTheme="majorHAnsi" w:hAnsiTheme="majorHAnsi" w:cstheme="majorHAnsi"/>
          <w:sz w:val="20"/>
          <w:szCs w:val="20"/>
          <w:lang w:val="es-AR"/>
        </w:rPr>
        <w:t xml:space="preserve"> </w:t>
      </w:r>
      <w:r w:rsidRPr="003E1644">
        <w:rPr>
          <w:rFonts w:asciiTheme="majorHAnsi" w:hAnsiTheme="majorHAnsi" w:cstheme="majorHAnsi"/>
          <w:sz w:val="20"/>
          <w:szCs w:val="20"/>
          <w:lang w:val="es-AR"/>
        </w:rPr>
        <w:t xml:space="preserve">el señor Morales fue declarado culpable de homicidio en perjuicio </w:t>
      </w:r>
      <w:r w:rsidR="00C63108" w:rsidRPr="003E1644">
        <w:rPr>
          <w:rFonts w:asciiTheme="majorHAnsi" w:hAnsiTheme="majorHAnsi" w:cstheme="majorHAnsi"/>
          <w:sz w:val="20"/>
          <w:szCs w:val="20"/>
          <w:lang w:val="es-AR"/>
        </w:rPr>
        <w:t xml:space="preserve">del </w:t>
      </w:r>
      <w:r w:rsidR="008B1D2D" w:rsidRPr="003E1644">
        <w:rPr>
          <w:rFonts w:asciiTheme="majorHAnsi" w:hAnsiTheme="majorHAnsi" w:cstheme="majorHAnsi"/>
          <w:sz w:val="20"/>
          <w:szCs w:val="20"/>
          <w:lang w:val="es-AR"/>
        </w:rPr>
        <w:t>ganadero</w:t>
      </w:r>
      <w:r w:rsidR="007D52C6" w:rsidRPr="003E1644">
        <w:rPr>
          <w:rFonts w:asciiTheme="majorHAnsi" w:hAnsiTheme="majorHAnsi" w:cstheme="majorHAnsi"/>
          <w:sz w:val="20"/>
          <w:szCs w:val="20"/>
          <w:lang w:val="es-AR"/>
        </w:rPr>
        <w:t xml:space="preserve"> Carlos Manrique Osorto Castillo</w:t>
      </w:r>
      <w:r w:rsidRPr="003E1644">
        <w:rPr>
          <w:rFonts w:asciiTheme="majorHAnsi" w:hAnsiTheme="majorHAnsi" w:cstheme="majorHAnsi"/>
          <w:sz w:val="20"/>
          <w:szCs w:val="20"/>
          <w:lang w:val="es-AR"/>
        </w:rPr>
        <w:t xml:space="preserve">. </w:t>
      </w:r>
      <w:r w:rsidR="007D52C6" w:rsidRPr="003E1644">
        <w:rPr>
          <w:rFonts w:asciiTheme="majorHAnsi" w:hAnsiTheme="majorHAnsi" w:cstheme="majorHAnsi"/>
          <w:sz w:val="20"/>
          <w:szCs w:val="20"/>
          <w:lang w:val="es-AR"/>
        </w:rPr>
        <w:t>L</w:t>
      </w:r>
      <w:r w:rsidR="007D52C6" w:rsidRPr="003E1644">
        <w:rPr>
          <w:rFonts w:asciiTheme="majorHAnsi" w:hAnsiTheme="majorHAnsi"/>
          <w:sz w:val="20"/>
          <w:szCs w:val="20"/>
          <w:lang w:val="es-AR"/>
        </w:rPr>
        <w:t xml:space="preserve">a audiencia terminó </w:t>
      </w:r>
      <w:r w:rsidR="00772C91" w:rsidRPr="003E1644">
        <w:rPr>
          <w:rFonts w:asciiTheme="majorHAnsi" w:hAnsiTheme="majorHAnsi"/>
          <w:sz w:val="20"/>
          <w:szCs w:val="20"/>
          <w:lang w:val="es-AR"/>
        </w:rPr>
        <w:t>el 25</w:t>
      </w:r>
      <w:r w:rsidR="007D52C6" w:rsidRPr="003E1644">
        <w:rPr>
          <w:rFonts w:asciiTheme="majorHAnsi" w:hAnsiTheme="majorHAnsi"/>
          <w:sz w:val="20"/>
          <w:szCs w:val="20"/>
          <w:lang w:val="es-AR"/>
        </w:rPr>
        <w:t xml:space="preserve"> </w:t>
      </w:r>
      <w:r w:rsidR="00566A0C" w:rsidRPr="003E1644">
        <w:rPr>
          <w:rFonts w:asciiTheme="majorHAnsi" w:hAnsiTheme="majorHAnsi"/>
          <w:sz w:val="20"/>
          <w:szCs w:val="20"/>
          <w:lang w:val="es-AR"/>
        </w:rPr>
        <w:t>de junio de 2010</w:t>
      </w:r>
      <w:r w:rsidR="007D52C6" w:rsidRPr="003E1644">
        <w:rPr>
          <w:rFonts w:asciiTheme="majorHAnsi" w:hAnsiTheme="majorHAnsi"/>
          <w:sz w:val="20"/>
          <w:szCs w:val="20"/>
          <w:lang w:val="es-AR"/>
        </w:rPr>
        <w:t xml:space="preserve">, </w:t>
      </w:r>
      <w:r w:rsidR="00A90FB0" w:rsidRPr="003E1644">
        <w:rPr>
          <w:rFonts w:asciiTheme="majorHAnsi" w:hAnsiTheme="majorHAnsi"/>
          <w:sz w:val="20"/>
          <w:szCs w:val="20"/>
          <w:lang w:val="es-AR"/>
        </w:rPr>
        <w:t xml:space="preserve">pero </w:t>
      </w:r>
      <w:r w:rsidR="007D52C6" w:rsidRPr="003E1644">
        <w:rPr>
          <w:rFonts w:asciiTheme="majorHAnsi" w:hAnsiTheme="majorHAnsi"/>
          <w:sz w:val="20"/>
          <w:szCs w:val="20"/>
          <w:lang w:val="es-AR"/>
        </w:rPr>
        <w:t>la sentencia</w:t>
      </w:r>
      <w:r w:rsidR="00772C91" w:rsidRPr="003E1644">
        <w:rPr>
          <w:rFonts w:asciiTheme="majorHAnsi" w:hAnsiTheme="majorHAnsi"/>
          <w:sz w:val="20"/>
          <w:szCs w:val="20"/>
          <w:lang w:val="es-AR"/>
        </w:rPr>
        <w:t xml:space="preserve"> que condenó al señor Morales a </w:t>
      </w:r>
      <w:r w:rsidR="00A90FB0" w:rsidRPr="003E1644">
        <w:rPr>
          <w:rFonts w:asciiTheme="majorHAnsi" w:hAnsiTheme="majorHAnsi"/>
          <w:sz w:val="20"/>
          <w:szCs w:val="20"/>
          <w:lang w:val="es-AR"/>
        </w:rPr>
        <w:t>veinte</w:t>
      </w:r>
      <w:r w:rsidR="00772C91" w:rsidRPr="003E1644">
        <w:rPr>
          <w:rFonts w:asciiTheme="majorHAnsi" w:hAnsiTheme="majorHAnsi"/>
          <w:sz w:val="20"/>
          <w:szCs w:val="20"/>
          <w:lang w:val="es-AR"/>
        </w:rPr>
        <w:t xml:space="preserve"> años de reclusión</w:t>
      </w:r>
      <w:r w:rsidR="007D52C6" w:rsidRPr="003E1644">
        <w:rPr>
          <w:rFonts w:asciiTheme="majorHAnsi" w:hAnsiTheme="majorHAnsi"/>
          <w:sz w:val="20"/>
          <w:szCs w:val="20"/>
          <w:lang w:val="es-AR"/>
        </w:rPr>
        <w:t xml:space="preserve"> no fue emitida sino hasta </w:t>
      </w:r>
      <w:r w:rsidR="00772C91" w:rsidRPr="003E1644">
        <w:rPr>
          <w:rFonts w:asciiTheme="majorHAnsi" w:hAnsiTheme="majorHAnsi"/>
          <w:sz w:val="20"/>
          <w:szCs w:val="20"/>
          <w:lang w:val="es-AR"/>
        </w:rPr>
        <w:t xml:space="preserve">el 20 </w:t>
      </w:r>
      <w:r w:rsidR="007D52C6" w:rsidRPr="003E1644">
        <w:rPr>
          <w:rFonts w:asciiTheme="majorHAnsi" w:hAnsiTheme="majorHAnsi"/>
          <w:sz w:val="20"/>
          <w:szCs w:val="20"/>
          <w:lang w:val="es-AR"/>
        </w:rPr>
        <w:t>julio del año 2012, es decir, dos años después.</w:t>
      </w:r>
      <w:r w:rsidR="00D40720" w:rsidRPr="003E1644">
        <w:rPr>
          <w:rFonts w:asciiTheme="majorHAnsi" w:hAnsiTheme="majorHAnsi"/>
          <w:sz w:val="20"/>
          <w:szCs w:val="20"/>
          <w:lang w:val="es-AR"/>
        </w:rPr>
        <w:t xml:space="preserve"> Los peticionarios señalan que</w:t>
      </w:r>
      <w:r w:rsidR="007D52C6" w:rsidRPr="003E1644">
        <w:rPr>
          <w:rFonts w:asciiTheme="majorHAnsi" w:hAnsiTheme="majorHAnsi"/>
          <w:sz w:val="20"/>
          <w:szCs w:val="20"/>
          <w:lang w:val="es-AR"/>
        </w:rPr>
        <w:t xml:space="preserve"> </w:t>
      </w:r>
      <w:r w:rsidR="00D40720" w:rsidRPr="003E1644">
        <w:rPr>
          <w:rFonts w:asciiTheme="majorHAnsi" w:hAnsiTheme="majorHAnsi" w:cstheme="majorHAnsi"/>
          <w:sz w:val="20"/>
          <w:szCs w:val="20"/>
          <w:lang w:val="es-AR"/>
        </w:rPr>
        <w:t xml:space="preserve">el Código </w:t>
      </w:r>
      <w:r w:rsidR="00566A0C" w:rsidRPr="003E1644">
        <w:rPr>
          <w:rFonts w:asciiTheme="majorHAnsi" w:hAnsiTheme="majorHAnsi" w:cstheme="majorHAnsi"/>
          <w:sz w:val="20"/>
          <w:szCs w:val="20"/>
          <w:lang w:val="es-AR"/>
        </w:rPr>
        <w:t>P</w:t>
      </w:r>
      <w:r w:rsidR="00D40720" w:rsidRPr="003E1644">
        <w:rPr>
          <w:rFonts w:asciiTheme="majorHAnsi" w:hAnsiTheme="majorHAnsi" w:cstheme="majorHAnsi"/>
          <w:sz w:val="20"/>
          <w:szCs w:val="20"/>
          <w:lang w:val="es-AR"/>
        </w:rPr>
        <w:t xml:space="preserve">rocesal Penal en sus artículos 338, 342 y 343 establece </w:t>
      </w:r>
      <w:r w:rsidR="005D5402" w:rsidRPr="003E1644">
        <w:rPr>
          <w:rFonts w:asciiTheme="majorHAnsi" w:hAnsiTheme="majorHAnsi" w:cstheme="majorHAnsi"/>
          <w:sz w:val="20"/>
          <w:szCs w:val="20"/>
          <w:lang w:val="es-AR"/>
        </w:rPr>
        <w:t xml:space="preserve">el término máximo </w:t>
      </w:r>
      <w:r w:rsidR="00D40720" w:rsidRPr="003E1644">
        <w:rPr>
          <w:rFonts w:asciiTheme="majorHAnsi" w:hAnsiTheme="majorHAnsi" w:cstheme="majorHAnsi"/>
          <w:sz w:val="20"/>
          <w:szCs w:val="20"/>
          <w:lang w:val="es-AR"/>
        </w:rPr>
        <w:t xml:space="preserve">de </w:t>
      </w:r>
      <w:r w:rsidR="006B280F" w:rsidRPr="003E1644">
        <w:rPr>
          <w:rFonts w:asciiTheme="majorHAnsi" w:hAnsiTheme="majorHAnsi" w:cstheme="majorHAnsi"/>
          <w:sz w:val="20"/>
          <w:szCs w:val="20"/>
          <w:lang w:val="es-AR"/>
        </w:rPr>
        <w:t>treinta y cinco</w:t>
      </w:r>
      <w:r w:rsidR="00D40720" w:rsidRPr="003E1644">
        <w:rPr>
          <w:rFonts w:asciiTheme="majorHAnsi" w:hAnsiTheme="majorHAnsi" w:cstheme="majorHAnsi"/>
          <w:sz w:val="20"/>
          <w:szCs w:val="20"/>
          <w:lang w:val="es-AR"/>
        </w:rPr>
        <w:t xml:space="preserve"> días hábiles</w:t>
      </w:r>
      <w:r w:rsidR="005D5402" w:rsidRPr="003E1644">
        <w:rPr>
          <w:rFonts w:asciiTheme="majorHAnsi" w:hAnsiTheme="majorHAnsi" w:cstheme="majorHAnsi"/>
          <w:sz w:val="20"/>
          <w:szCs w:val="20"/>
          <w:lang w:val="es-AR"/>
        </w:rPr>
        <w:t xml:space="preserve"> para dictar sentencia luego</w:t>
      </w:r>
      <w:r w:rsidR="00D40720" w:rsidRPr="003E1644">
        <w:rPr>
          <w:rFonts w:asciiTheme="majorHAnsi" w:hAnsiTheme="majorHAnsi" w:cstheme="majorHAnsi"/>
          <w:sz w:val="20"/>
          <w:szCs w:val="20"/>
          <w:lang w:val="es-AR"/>
        </w:rPr>
        <w:t xml:space="preserve"> de finalizado el debate</w:t>
      </w:r>
      <w:r w:rsidR="005D5402" w:rsidRPr="003E1644">
        <w:rPr>
          <w:rFonts w:asciiTheme="majorHAnsi" w:hAnsiTheme="majorHAnsi" w:cstheme="majorHAnsi"/>
          <w:sz w:val="20"/>
          <w:szCs w:val="20"/>
          <w:lang w:val="es-AR"/>
        </w:rPr>
        <w:t xml:space="preserve"> del juicio</w:t>
      </w:r>
      <w:r w:rsidR="00D40720" w:rsidRPr="003E1644">
        <w:rPr>
          <w:rFonts w:asciiTheme="majorHAnsi" w:hAnsiTheme="majorHAnsi" w:cstheme="majorHAnsi"/>
          <w:sz w:val="20"/>
          <w:szCs w:val="20"/>
          <w:lang w:val="es-AR"/>
        </w:rPr>
        <w:t>.</w:t>
      </w:r>
      <w:r w:rsidR="003B4582" w:rsidRPr="003E1644">
        <w:rPr>
          <w:rFonts w:asciiTheme="majorHAnsi" w:hAnsiTheme="majorHAnsi" w:cstheme="majorHAnsi"/>
          <w:sz w:val="20"/>
          <w:szCs w:val="20"/>
          <w:lang w:val="es-AR"/>
        </w:rPr>
        <w:t xml:space="preserve"> Este hecho lo alegan como una irregularidad muy evidente en el proceso.</w:t>
      </w:r>
    </w:p>
    <w:p w14:paraId="21CFD248" w14:textId="01099181" w:rsidR="0079588C" w:rsidRPr="003E1644" w:rsidRDefault="001A0F02" w:rsidP="003C08E3">
      <w:pPr>
        <w:pStyle w:val="ListParagraph"/>
        <w:numPr>
          <w:ilvl w:val="0"/>
          <w:numId w:val="103"/>
        </w:numPr>
        <w:spacing w:after="240"/>
        <w:jc w:val="both"/>
        <w:rPr>
          <w:rFonts w:asciiTheme="majorHAnsi" w:hAnsiTheme="majorHAnsi"/>
          <w:sz w:val="20"/>
          <w:szCs w:val="20"/>
          <w:lang w:val="es-AR"/>
        </w:rPr>
      </w:pPr>
      <w:r w:rsidRPr="003E1644">
        <w:rPr>
          <w:rFonts w:asciiTheme="majorHAnsi" w:hAnsiTheme="majorHAnsi"/>
          <w:sz w:val="20"/>
          <w:szCs w:val="20"/>
          <w:lang w:val="es-AR"/>
        </w:rPr>
        <w:t xml:space="preserve">El 13 de enero de 2011, cuando el señor Morales ya había permanecido privado de su libertad </w:t>
      </w:r>
      <w:r w:rsidR="00843B63" w:rsidRPr="003E1644">
        <w:rPr>
          <w:rFonts w:asciiTheme="majorHAnsi" w:hAnsiTheme="majorHAnsi"/>
          <w:sz w:val="20"/>
          <w:szCs w:val="20"/>
          <w:lang w:val="es-AR"/>
        </w:rPr>
        <w:t>dos</w:t>
      </w:r>
      <w:r w:rsidRPr="003E1644">
        <w:rPr>
          <w:rFonts w:asciiTheme="majorHAnsi" w:hAnsiTheme="majorHAnsi"/>
          <w:sz w:val="20"/>
          <w:szCs w:val="20"/>
          <w:lang w:val="es-AR"/>
        </w:rPr>
        <w:t xml:space="preserve"> años y </w:t>
      </w:r>
      <w:r w:rsidR="00843B63" w:rsidRPr="003E1644">
        <w:rPr>
          <w:rFonts w:asciiTheme="majorHAnsi" w:hAnsiTheme="majorHAnsi"/>
          <w:sz w:val="20"/>
          <w:szCs w:val="20"/>
          <w:lang w:val="es-AR"/>
        </w:rPr>
        <w:t>tres</w:t>
      </w:r>
      <w:r w:rsidRPr="003E1644">
        <w:rPr>
          <w:rFonts w:asciiTheme="majorHAnsi" w:hAnsiTheme="majorHAnsi"/>
          <w:sz w:val="20"/>
          <w:szCs w:val="20"/>
          <w:lang w:val="es-AR"/>
        </w:rPr>
        <w:t xml:space="preserve"> meses, su representante legal solicitó una audiencia para la sustitución de la medida</w:t>
      </w:r>
      <w:r w:rsidR="00843B63" w:rsidRPr="003E1644">
        <w:rPr>
          <w:rFonts w:asciiTheme="majorHAnsi" w:hAnsiTheme="majorHAnsi"/>
          <w:sz w:val="20"/>
          <w:szCs w:val="20"/>
          <w:lang w:val="es-AR"/>
        </w:rPr>
        <w:t>;</w:t>
      </w:r>
      <w:r w:rsidRPr="003E1644">
        <w:rPr>
          <w:rFonts w:asciiTheme="majorHAnsi" w:hAnsiTheme="majorHAnsi"/>
          <w:sz w:val="20"/>
          <w:szCs w:val="20"/>
          <w:lang w:val="es-AR"/>
        </w:rPr>
        <w:t xml:space="preserve"> </w:t>
      </w:r>
      <w:r w:rsidR="00E533C4" w:rsidRPr="003E1644">
        <w:rPr>
          <w:rFonts w:asciiTheme="majorHAnsi" w:hAnsiTheme="majorHAnsi"/>
          <w:sz w:val="20"/>
          <w:szCs w:val="20"/>
          <w:lang w:val="es-AR"/>
        </w:rPr>
        <w:t>pero,</w:t>
      </w:r>
      <w:r w:rsidRPr="003E1644">
        <w:rPr>
          <w:rFonts w:asciiTheme="majorHAnsi" w:hAnsiTheme="majorHAnsi"/>
          <w:sz w:val="20"/>
          <w:szCs w:val="20"/>
          <w:lang w:val="es-AR"/>
        </w:rPr>
        <w:t xml:space="preserve"> el 18 de febrero de 2011</w:t>
      </w:r>
      <w:r w:rsidR="00E533C4" w:rsidRPr="003E1644">
        <w:rPr>
          <w:rFonts w:asciiTheme="majorHAnsi" w:hAnsiTheme="majorHAnsi"/>
          <w:sz w:val="20"/>
          <w:szCs w:val="20"/>
          <w:lang w:val="es-AR"/>
        </w:rPr>
        <w:t>,</w:t>
      </w:r>
      <w:r w:rsidRPr="003E1644">
        <w:rPr>
          <w:rFonts w:asciiTheme="majorHAnsi" w:hAnsiTheme="majorHAnsi"/>
          <w:sz w:val="20"/>
          <w:szCs w:val="20"/>
          <w:lang w:val="es-AR"/>
        </w:rPr>
        <w:t xml:space="preserve"> el Tribunal de la causa decidió declarar sin lugar la solicitud, </w:t>
      </w:r>
      <w:r w:rsidR="00E533C4" w:rsidRPr="003E1644">
        <w:rPr>
          <w:rFonts w:asciiTheme="majorHAnsi" w:hAnsiTheme="majorHAnsi"/>
          <w:sz w:val="20"/>
          <w:szCs w:val="20"/>
          <w:lang w:val="es-AR"/>
        </w:rPr>
        <w:t>esgrimiendo un supuesto</w:t>
      </w:r>
      <w:r w:rsidRPr="003E1644">
        <w:rPr>
          <w:rFonts w:asciiTheme="majorHAnsi" w:hAnsiTheme="majorHAnsi"/>
          <w:sz w:val="20"/>
          <w:szCs w:val="20"/>
          <w:lang w:val="es-AR"/>
        </w:rPr>
        <w:t xml:space="preserve"> peligro de fuga fundamentado en la gravedad del delito de homicidio. Además, los peticionarios explican que el Código Procesal Penal establece la obligatoriedad del tribunal de realizar</w:t>
      </w:r>
      <w:r w:rsidR="00666DD1" w:rsidRPr="003E1644">
        <w:rPr>
          <w:rFonts w:asciiTheme="majorHAnsi" w:hAnsiTheme="majorHAnsi"/>
          <w:sz w:val="20"/>
          <w:szCs w:val="20"/>
          <w:lang w:val="es-AR"/>
        </w:rPr>
        <w:t xml:space="preserve"> de oficio</w:t>
      </w:r>
      <w:r w:rsidRPr="003E1644">
        <w:rPr>
          <w:rFonts w:asciiTheme="majorHAnsi" w:hAnsiTheme="majorHAnsi"/>
          <w:sz w:val="20"/>
          <w:szCs w:val="20"/>
          <w:lang w:val="es-AR"/>
        </w:rPr>
        <w:t xml:space="preserve"> la revisión de la medida</w:t>
      </w:r>
      <w:r w:rsidR="00666DD1" w:rsidRPr="003E1644">
        <w:rPr>
          <w:rFonts w:asciiTheme="majorHAnsi" w:hAnsiTheme="majorHAnsi"/>
          <w:sz w:val="20"/>
          <w:szCs w:val="20"/>
          <w:lang w:val="es-AR"/>
        </w:rPr>
        <w:t xml:space="preserve"> cautelar</w:t>
      </w:r>
      <w:r w:rsidRPr="003E1644">
        <w:rPr>
          <w:rFonts w:asciiTheme="majorHAnsi" w:hAnsiTheme="majorHAnsi"/>
          <w:sz w:val="20"/>
          <w:szCs w:val="20"/>
          <w:lang w:val="es-AR"/>
        </w:rPr>
        <w:t xml:space="preserve"> cuando haya transcurrido el plazo máximo de duración de la prisión preventiva. </w:t>
      </w:r>
      <w:r w:rsidR="000E093A" w:rsidRPr="003E1644">
        <w:rPr>
          <w:rFonts w:asciiTheme="majorHAnsi" w:hAnsiTheme="majorHAnsi"/>
          <w:sz w:val="20"/>
          <w:szCs w:val="20"/>
          <w:lang w:val="es-AR"/>
        </w:rPr>
        <w:t>Así, e</w:t>
      </w:r>
      <w:r w:rsidRPr="003E1644">
        <w:rPr>
          <w:rFonts w:asciiTheme="majorHAnsi" w:hAnsiTheme="majorHAnsi"/>
          <w:sz w:val="20"/>
          <w:szCs w:val="20"/>
          <w:lang w:val="es-AR"/>
        </w:rPr>
        <w:t>l 12 de agosto de 2011 la defensa del señor Morales solicitó nuevamente que se fijara una audiencia a tal fin</w:t>
      </w:r>
      <w:r w:rsidR="000E093A" w:rsidRPr="003E1644">
        <w:rPr>
          <w:rFonts w:asciiTheme="majorHAnsi" w:hAnsiTheme="majorHAnsi"/>
          <w:sz w:val="20"/>
          <w:szCs w:val="20"/>
          <w:lang w:val="es-AR"/>
        </w:rPr>
        <w:t>; pero</w:t>
      </w:r>
      <w:r w:rsidRPr="003E1644">
        <w:rPr>
          <w:rFonts w:asciiTheme="majorHAnsi" w:hAnsiTheme="majorHAnsi"/>
          <w:sz w:val="20"/>
          <w:szCs w:val="20"/>
          <w:lang w:val="es-AR"/>
        </w:rPr>
        <w:t xml:space="preserve"> el 26 de agosto de 2011 el </w:t>
      </w:r>
      <w:r w:rsidR="00A75176" w:rsidRPr="003E1644">
        <w:rPr>
          <w:rFonts w:asciiTheme="majorHAnsi" w:hAnsiTheme="majorHAnsi"/>
          <w:sz w:val="20"/>
          <w:szCs w:val="20"/>
          <w:lang w:val="es-AR"/>
        </w:rPr>
        <w:t>t</w:t>
      </w:r>
      <w:r w:rsidRPr="003E1644">
        <w:rPr>
          <w:rFonts w:asciiTheme="majorHAnsi" w:hAnsiTheme="majorHAnsi"/>
          <w:sz w:val="20"/>
          <w:szCs w:val="20"/>
          <w:lang w:val="es-AR"/>
        </w:rPr>
        <w:t xml:space="preserve">ribunal </w:t>
      </w:r>
      <w:r w:rsidR="0030790D" w:rsidRPr="003E1644">
        <w:rPr>
          <w:rFonts w:asciiTheme="majorHAnsi" w:hAnsiTheme="majorHAnsi"/>
          <w:sz w:val="20"/>
          <w:szCs w:val="20"/>
          <w:lang w:val="es-AR"/>
        </w:rPr>
        <w:t xml:space="preserve">de juicio </w:t>
      </w:r>
      <w:r w:rsidRPr="003E1644">
        <w:rPr>
          <w:rFonts w:asciiTheme="majorHAnsi" w:hAnsiTheme="majorHAnsi"/>
          <w:sz w:val="20"/>
          <w:szCs w:val="20"/>
          <w:lang w:val="es-AR"/>
        </w:rPr>
        <w:t xml:space="preserve">negó la solicitud de sustitución de la medida cautelar. </w:t>
      </w:r>
    </w:p>
    <w:p w14:paraId="67A72AE6" w14:textId="4595E6EC" w:rsidR="008F03B1" w:rsidRPr="003E1644" w:rsidRDefault="006164D9" w:rsidP="003C08E3">
      <w:pPr>
        <w:pStyle w:val="ListParagraph"/>
        <w:numPr>
          <w:ilvl w:val="0"/>
          <w:numId w:val="103"/>
        </w:numPr>
        <w:spacing w:after="240"/>
        <w:jc w:val="both"/>
        <w:rPr>
          <w:rFonts w:asciiTheme="majorHAnsi" w:hAnsiTheme="majorHAnsi" w:cstheme="majorHAnsi"/>
          <w:sz w:val="20"/>
          <w:szCs w:val="20"/>
          <w:lang w:val="es-AR"/>
        </w:rPr>
      </w:pPr>
      <w:r w:rsidRPr="003E1644">
        <w:rPr>
          <w:rFonts w:asciiTheme="majorHAnsi" w:hAnsiTheme="majorHAnsi" w:cstheme="majorHAnsi"/>
          <w:sz w:val="20"/>
          <w:szCs w:val="20"/>
          <w:lang w:val="es-AR"/>
        </w:rPr>
        <w:t>El tribunal</w:t>
      </w:r>
      <w:r w:rsidR="0079588C" w:rsidRPr="003E1644">
        <w:rPr>
          <w:rFonts w:asciiTheme="majorHAnsi" w:hAnsiTheme="majorHAnsi" w:cstheme="majorHAnsi"/>
          <w:sz w:val="20"/>
          <w:szCs w:val="20"/>
          <w:lang w:val="es-AR"/>
        </w:rPr>
        <w:t xml:space="preserve"> </w:t>
      </w:r>
      <w:r w:rsidR="00892DA0" w:rsidRPr="003E1644">
        <w:rPr>
          <w:rFonts w:asciiTheme="majorHAnsi" w:hAnsiTheme="majorHAnsi" w:cstheme="majorHAnsi"/>
          <w:sz w:val="20"/>
          <w:szCs w:val="20"/>
          <w:lang w:val="es-AR"/>
        </w:rPr>
        <w:t>habría considerado</w:t>
      </w:r>
      <w:r w:rsidR="0079588C" w:rsidRPr="003E1644">
        <w:rPr>
          <w:rFonts w:asciiTheme="majorHAnsi" w:hAnsiTheme="majorHAnsi" w:cstheme="majorHAnsi"/>
          <w:sz w:val="20"/>
          <w:szCs w:val="20"/>
          <w:lang w:val="es-AR"/>
        </w:rPr>
        <w:t xml:space="preserve"> fundamental la declaración del “testigo A-2”. Sin embargo, según </w:t>
      </w:r>
      <w:r w:rsidR="00B31685" w:rsidRPr="003E1644">
        <w:rPr>
          <w:rFonts w:asciiTheme="majorHAnsi" w:hAnsiTheme="majorHAnsi" w:cstheme="majorHAnsi"/>
          <w:sz w:val="20"/>
          <w:szCs w:val="20"/>
          <w:lang w:val="es-AR"/>
        </w:rPr>
        <w:t>los peticionarios</w:t>
      </w:r>
      <w:r w:rsidR="0079588C" w:rsidRPr="003E1644">
        <w:rPr>
          <w:rFonts w:asciiTheme="majorHAnsi" w:hAnsiTheme="majorHAnsi" w:cstheme="majorHAnsi"/>
          <w:sz w:val="20"/>
          <w:szCs w:val="20"/>
          <w:lang w:val="es-AR"/>
        </w:rPr>
        <w:t xml:space="preserve"> estas declaraciones fueron contradictorias. Dicho testigo </w:t>
      </w:r>
      <w:r w:rsidR="00892DA0" w:rsidRPr="003E1644">
        <w:rPr>
          <w:rFonts w:asciiTheme="majorHAnsi" w:hAnsiTheme="majorHAnsi" w:cstheme="majorHAnsi"/>
          <w:sz w:val="20"/>
          <w:szCs w:val="20"/>
          <w:lang w:val="es-AR"/>
        </w:rPr>
        <w:t>habría declarado</w:t>
      </w:r>
      <w:r w:rsidR="0079588C" w:rsidRPr="003E1644">
        <w:rPr>
          <w:rFonts w:asciiTheme="majorHAnsi" w:hAnsiTheme="majorHAnsi" w:cstheme="majorHAnsi"/>
          <w:sz w:val="20"/>
          <w:szCs w:val="20"/>
          <w:lang w:val="es-AR"/>
        </w:rPr>
        <w:t xml:space="preserve"> </w:t>
      </w:r>
      <w:r w:rsidR="000A07BF" w:rsidRPr="003E1644">
        <w:rPr>
          <w:rFonts w:asciiTheme="majorHAnsi" w:hAnsiTheme="majorHAnsi" w:cstheme="majorHAnsi"/>
          <w:sz w:val="20"/>
          <w:szCs w:val="20"/>
          <w:lang w:val="es-AR"/>
        </w:rPr>
        <w:t>en el juicio que el señor Morales</w:t>
      </w:r>
      <w:r w:rsidR="0079588C" w:rsidRPr="003E1644">
        <w:rPr>
          <w:rFonts w:asciiTheme="majorHAnsi" w:hAnsiTheme="majorHAnsi" w:cstheme="majorHAnsi"/>
          <w:sz w:val="20"/>
          <w:szCs w:val="20"/>
          <w:lang w:val="es-AR"/>
        </w:rPr>
        <w:t xml:space="preserve"> le disparó a</w:t>
      </w:r>
      <w:r w:rsidR="000A07BF" w:rsidRPr="003E1644">
        <w:rPr>
          <w:rFonts w:asciiTheme="majorHAnsi" w:hAnsiTheme="majorHAnsi" w:cstheme="majorHAnsi"/>
          <w:sz w:val="20"/>
          <w:szCs w:val="20"/>
          <w:lang w:val="es-AR"/>
        </w:rPr>
        <w:t>l señor</w:t>
      </w:r>
      <w:r w:rsidR="0079588C" w:rsidRPr="003E1644">
        <w:rPr>
          <w:rFonts w:asciiTheme="majorHAnsi" w:hAnsiTheme="majorHAnsi" w:cstheme="majorHAnsi"/>
          <w:sz w:val="20"/>
          <w:szCs w:val="20"/>
          <w:lang w:val="es-AR"/>
        </w:rPr>
        <w:t xml:space="preserve"> Carlos Osorto Castillo</w:t>
      </w:r>
      <w:r w:rsidR="000A07BF" w:rsidRPr="003E1644">
        <w:rPr>
          <w:rFonts w:asciiTheme="majorHAnsi" w:hAnsiTheme="majorHAnsi" w:cstheme="majorHAnsi"/>
          <w:sz w:val="20"/>
          <w:szCs w:val="20"/>
          <w:lang w:val="es-AR"/>
        </w:rPr>
        <w:t>. S</w:t>
      </w:r>
      <w:r w:rsidR="00892DA0" w:rsidRPr="003E1644">
        <w:rPr>
          <w:rFonts w:asciiTheme="majorHAnsi" w:hAnsiTheme="majorHAnsi" w:cstheme="majorHAnsi"/>
          <w:sz w:val="20"/>
          <w:szCs w:val="20"/>
          <w:lang w:val="es-AR"/>
        </w:rPr>
        <w:t xml:space="preserve">in embargo, </w:t>
      </w:r>
      <w:r w:rsidR="000A07BF" w:rsidRPr="003E1644">
        <w:rPr>
          <w:rFonts w:asciiTheme="majorHAnsi" w:hAnsiTheme="majorHAnsi" w:cstheme="majorHAnsi"/>
          <w:sz w:val="20"/>
          <w:szCs w:val="20"/>
          <w:lang w:val="es-AR"/>
        </w:rPr>
        <w:t>ante los agentes de la Dirección Nacional de Investigación Criminal solamente dijo que el Señor Morales habría prendido fuego unos carros</w:t>
      </w:r>
      <w:r w:rsidR="000A07BF" w:rsidRPr="003E1644">
        <w:rPr>
          <w:rFonts w:asciiTheme="majorHAnsi" w:hAnsiTheme="majorHAnsi" w:cstheme="majorHAnsi"/>
          <w:spacing w:val="1"/>
          <w:sz w:val="20"/>
          <w:szCs w:val="20"/>
          <w:lang w:val="es-AR"/>
        </w:rPr>
        <w:t>.</w:t>
      </w:r>
      <w:r w:rsidR="0079588C" w:rsidRPr="003E1644">
        <w:rPr>
          <w:rFonts w:asciiTheme="majorHAnsi" w:hAnsiTheme="majorHAnsi" w:cstheme="majorHAnsi"/>
          <w:sz w:val="20"/>
          <w:szCs w:val="20"/>
          <w:lang w:val="es-AR"/>
        </w:rPr>
        <w:t xml:space="preserve"> Además, </w:t>
      </w:r>
      <w:r w:rsidRPr="003E1644">
        <w:rPr>
          <w:rFonts w:asciiTheme="majorHAnsi" w:hAnsiTheme="majorHAnsi" w:cstheme="majorHAnsi"/>
          <w:sz w:val="20"/>
          <w:szCs w:val="20"/>
          <w:lang w:val="es-AR"/>
        </w:rPr>
        <w:t xml:space="preserve">dicho testigo </w:t>
      </w:r>
      <w:r w:rsidR="0079588C" w:rsidRPr="003E1644">
        <w:rPr>
          <w:rFonts w:asciiTheme="majorHAnsi" w:hAnsiTheme="majorHAnsi" w:cstheme="majorHAnsi"/>
          <w:sz w:val="20"/>
          <w:szCs w:val="20"/>
          <w:lang w:val="es-AR"/>
        </w:rPr>
        <w:t xml:space="preserve">en el dictamen psicológico </w:t>
      </w:r>
      <w:r w:rsidR="00B36826" w:rsidRPr="003E1644">
        <w:rPr>
          <w:rFonts w:asciiTheme="majorHAnsi" w:hAnsiTheme="majorHAnsi" w:cstheme="majorHAnsi"/>
          <w:sz w:val="20"/>
          <w:szCs w:val="20"/>
          <w:lang w:val="es-AR"/>
        </w:rPr>
        <w:t>habría dicho</w:t>
      </w:r>
      <w:r w:rsidR="0079588C" w:rsidRPr="003E1644">
        <w:rPr>
          <w:rFonts w:asciiTheme="majorHAnsi" w:hAnsiTheme="majorHAnsi" w:cstheme="majorHAnsi"/>
          <w:sz w:val="20"/>
          <w:szCs w:val="20"/>
          <w:lang w:val="es-AR"/>
        </w:rPr>
        <w:t xml:space="preserve"> que a </w:t>
      </w:r>
      <w:r w:rsidR="0079588C" w:rsidRPr="003E1644">
        <w:rPr>
          <w:rFonts w:asciiTheme="majorHAnsi" w:hAnsiTheme="majorHAnsi"/>
          <w:sz w:val="20"/>
          <w:szCs w:val="20"/>
          <w:lang w:val="es-AR"/>
        </w:rPr>
        <w:t>Carlos Osorto le disparó “</w:t>
      </w:r>
      <w:r w:rsidR="0079588C" w:rsidRPr="003E1644">
        <w:rPr>
          <w:rFonts w:asciiTheme="majorHAnsi" w:hAnsiTheme="majorHAnsi"/>
          <w:i/>
          <w:iCs/>
          <w:sz w:val="20"/>
          <w:szCs w:val="20"/>
          <w:lang w:val="es-AR"/>
        </w:rPr>
        <w:t xml:space="preserve">alguien trigueño, </w:t>
      </w:r>
      <w:r w:rsidR="0079588C" w:rsidRPr="003E1644">
        <w:rPr>
          <w:rFonts w:asciiTheme="majorHAnsi" w:hAnsiTheme="majorHAnsi"/>
          <w:i/>
          <w:iCs/>
          <w:sz w:val="20"/>
          <w:szCs w:val="20"/>
          <w:lang w:val="es-AR"/>
        </w:rPr>
        <w:lastRenderedPageBreak/>
        <w:t>de estatura</w:t>
      </w:r>
      <w:r w:rsidR="0079588C" w:rsidRPr="003E1644">
        <w:rPr>
          <w:rFonts w:asciiTheme="majorHAnsi" w:hAnsiTheme="majorHAnsi"/>
          <w:i/>
          <w:iCs/>
          <w:spacing w:val="1"/>
          <w:sz w:val="20"/>
          <w:szCs w:val="20"/>
          <w:lang w:val="es-AR"/>
        </w:rPr>
        <w:t xml:space="preserve"> </w:t>
      </w:r>
      <w:r w:rsidR="0079588C" w:rsidRPr="003E1644">
        <w:rPr>
          <w:rFonts w:asciiTheme="majorHAnsi" w:hAnsiTheme="majorHAnsi"/>
          <w:i/>
          <w:iCs/>
          <w:sz w:val="20"/>
          <w:szCs w:val="20"/>
          <w:lang w:val="es-AR"/>
        </w:rPr>
        <w:t>mediana, pelo liso y corto, medio fornido y que vestía pantalón azul</w:t>
      </w:r>
      <w:r w:rsidR="0079588C" w:rsidRPr="003E1644">
        <w:rPr>
          <w:rFonts w:asciiTheme="majorHAnsi" w:hAnsiTheme="majorHAnsi"/>
          <w:sz w:val="20"/>
          <w:szCs w:val="20"/>
          <w:lang w:val="es-AR"/>
        </w:rPr>
        <w:t>”, descripción física</w:t>
      </w:r>
      <w:r w:rsidR="0079588C" w:rsidRPr="003E1644">
        <w:rPr>
          <w:rFonts w:asciiTheme="majorHAnsi" w:hAnsiTheme="majorHAnsi"/>
          <w:spacing w:val="1"/>
          <w:sz w:val="20"/>
          <w:szCs w:val="20"/>
          <w:lang w:val="es-AR"/>
        </w:rPr>
        <w:t xml:space="preserve"> </w:t>
      </w:r>
      <w:r w:rsidR="0079588C" w:rsidRPr="003E1644">
        <w:rPr>
          <w:rFonts w:asciiTheme="majorHAnsi" w:hAnsiTheme="majorHAnsi"/>
          <w:sz w:val="20"/>
          <w:szCs w:val="20"/>
          <w:lang w:val="es-AR"/>
        </w:rPr>
        <w:t xml:space="preserve">que no concuerda con </w:t>
      </w:r>
      <w:r w:rsidR="00DC1D59" w:rsidRPr="003E1644">
        <w:rPr>
          <w:rFonts w:asciiTheme="majorHAnsi" w:hAnsiTheme="majorHAnsi"/>
          <w:sz w:val="20"/>
          <w:szCs w:val="20"/>
          <w:lang w:val="es-AR"/>
        </w:rPr>
        <w:t>la del</w:t>
      </w:r>
      <w:r w:rsidR="000A07BF" w:rsidRPr="003E1644">
        <w:rPr>
          <w:rFonts w:asciiTheme="majorHAnsi" w:hAnsiTheme="majorHAnsi"/>
          <w:sz w:val="20"/>
          <w:szCs w:val="20"/>
          <w:lang w:val="es-AR"/>
        </w:rPr>
        <w:t xml:space="preserve"> señor</w:t>
      </w:r>
      <w:r w:rsidR="0079588C" w:rsidRPr="003E1644">
        <w:rPr>
          <w:rFonts w:asciiTheme="majorHAnsi" w:hAnsiTheme="majorHAnsi"/>
          <w:sz w:val="20"/>
          <w:szCs w:val="20"/>
          <w:lang w:val="es-AR"/>
        </w:rPr>
        <w:t xml:space="preserve"> Morales. </w:t>
      </w:r>
      <w:r w:rsidRPr="003E1644">
        <w:rPr>
          <w:rFonts w:asciiTheme="majorHAnsi" w:hAnsiTheme="majorHAnsi"/>
          <w:sz w:val="20"/>
          <w:szCs w:val="20"/>
          <w:lang w:val="es-AR"/>
        </w:rPr>
        <w:t>El mismo</w:t>
      </w:r>
      <w:r w:rsidR="00D7487A" w:rsidRPr="003E1644">
        <w:rPr>
          <w:rFonts w:asciiTheme="majorHAnsi" w:hAnsiTheme="majorHAnsi"/>
          <w:sz w:val="20"/>
          <w:szCs w:val="20"/>
          <w:lang w:val="es-AR"/>
        </w:rPr>
        <w:t xml:space="preserve"> dictamen habría </w:t>
      </w:r>
      <w:r w:rsidR="0079588C" w:rsidRPr="003E1644">
        <w:rPr>
          <w:rFonts w:asciiTheme="majorHAnsi" w:hAnsiTheme="majorHAnsi"/>
          <w:sz w:val="20"/>
          <w:szCs w:val="20"/>
          <w:lang w:val="es-AR"/>
        </w:rPr>
        <w:t>determin</w:t>
      </w:r>
      <w:r w:rsidR="00D7487A" w:rsidRPr="003E1644">
        <w:rPr>
          <w:rFonts w:asciiTheme="majorHAnsi" w:hAnsiTheme="majorHAnsi"/>
          <w:sz w:val="20"/>
          <w:szCs w:val="20"/>
          <w:lang w:val="es-AR"/>
        </w:rPr>
        <w:t>ado</w:t>
      </w:r>
      <w:r w:rsidR="0079588C" w:rsidRPr="003E1644">
        <w:rPr>
          <w:rFonts w:asciiTheme="majorHAnsi" w:hAnsiTheme="majorHAnsi"/>
          <w:sz w:val="20"/>
          <w:szCs w:val="20"/>
          <w:lang w:val="es-AR"/>
        </w:rPr>
        <w:t xml:space="preserve"> que </w:t>
      </w:r>
      <w:r w:rsidR="00C95B4E" w:rsidRPr="003E1644">
        <w:rPr>
          <w:rFonts w:asciiTheme="majorHAnsi" w:hAnsiTheme="majorHAnsi"/>
          <w:sz w:val="20"/>
          <w:szCs w:val="20"/>
          <w:lang w:val="es-AR"/>
        </w:rPr>
        <w:t>este testigo</w:t>
      </w:r>
      <w:r w:rsidR="0079588C" w:rsidRPr="003E1644">
        <w:rPr>
          <w:rFonts w:asciiTheme="majorHAnsi" w:hAnsiTheme="majorHAnsi"/>
          <w:sz w:val="20"/>
          <w:szCs w:val="20"/>
          <w:lang w:val="es-AR"/>
        </w:rPr>
        <w:t xml:space="preserve"> no podría recordar personas </w:t>
      </w:r>
      <w:r w:rsidR="00D7487A" w:rsidRPr="003E1644">
        <w:rPr>
          <w:rFonts w:asciiTheme="majorHAnsi" w:hAnsiTheme="majorHAnsi"/>
          <w:sz w:val="20"/>
          <w:szCs w:val="20"/>
          <w:lang w:val="es-AR"/>
        </w:rPr>
        <w:t xml:space="preserve">producto de </w:t>
      </w:r>
      <w:r w:rsidR="00511792" w:rsidRPr="003E1644">
        <w:rPr>
          <w:rFonts w:asciiTheme="majorHAnsi" w:hAnsiTheme="majorHAnsi"/>
          <w:sz w:val="20"/>
          <w:szCs w:val="20"/>
          <w:lang w:val="es-AR"/>
        </w:rPr>
        <w:t>una</w:t>
      </w:r>
      <w:r w:rsidR="00D7487A" w:rsidRPr="003E1644">
        <w:rPr>
          <w:rFonts w:asciiTheme="majorHAnsi" w:hAnsiTheme="majorHAnsi"/>
          <w:sz w:val="20"/>
          <w:szCs w:val="20"/>
          <w:lang w:val="es-AR"/>
        </w:rPr>
        <w:t xml:space="preserve"> herida de bala</w:t>
      </w:r>
      <w:r w:rsidR="00511792" w:rsidRPr="003E1644">
        <w:rPr>
          <w:rFonts w:asciiTheme="majorHAnsi" w:hAnsiTheme="majorHAnsi"/>
          <w:sz w:val="20"/>
          <w:szCs w:val="20"/>
          <w:lang w:val="es-AR"/>
        </w:rPr>
        <w:t>;</w:t>
      </w:r>
      <w:r w:rsidR="00B36826" w:rsidRPr="003E1644">
        <w:rPr>
          <w:rFonts w:asciiTheme="majorHAnsi" w:hAnsiTheme="majorHAnsi"/>
          <w:sz w:val="20"/>
          <w:szCs w:val="20"/>
          <w:lang w:val="es-AR"/>
        </w:rPr>
        <w:t xml:space="preserve"> </w:t>
      </w:r>
      <w:r w:rsidR="00511792" w:rsidRPr="003E1644">
        <w:rPr>
          <w:rFonts w:asciiTheme="majorHAnsi" w:hAnsiTheme="majorHAnsi"/>
          <w:sz w:val="20"/>
          <w:szCs w:val="20"/>
          <w:lang w:val="es-AR"/>
        </w:rPr>
        <w:t>n</w:t>
      </w:r>
      <w:r w:rsidR="0079588C" w:rsidRPr="003E1644">
        <w:rPr>
          <w:rFonts w:asciiTheme="majorHAnsi" w:hAnsiTheme="majorHAnsi"/>
          <w:sz w:val="20"/>
          <w:szCs w:val="20"/>
          <w:lang w:val="es-AR"/>
        </w:rPr>
        <w:t xml:space="preserve">o obstante, </w:t>
      </w:r>
      <w:r w:rsidR="00511792" w:rsidRPr="003E1644">
        <w:rPr>
          <w:rFonts w:asciiTheme="majorHAnsi" w:hAnsiTheme="majorHAnsi"/>
          <w:sz w:val="20"/>
          <w:szCs w:val="20"/>
          <w:lang w:val="es-AR"/>
        </w:rPr>
        <w:t>este</w:t>
      </w:r>
      <w:r w:rsidR="0079588C" w:rsidRPr="003E1644">
        <w:rPr>
          <w:rFonts w:asciiTheme="majorHAnsi" w:hAnsiTheme="majorHAnsi"/>
          <w:sz w:val="20"/>
          <w:szCs w:val="20"/>
          <w:lang w:val="es-AR"/>
        </w:rPr>
        <w:t xml:space="preserve"> testigo</w:t>
      </w:r>
      <w:r w:rsidR="00D7487A" w:rsidRPr="003E1644">
        <w:rPr>
          <w:rFonts w:asciiTheme="majorHAnsi" w:hAnsiTheme="majorHAnsi"/>
          <w:sz w:val="20"/>
          <w:szCs w:val="20"/>
          <w:lang w:val="es-AR"/>
        </w:rPr>
        <w:t xml:space="preserve"> </w:t>
      </w:r>
      <w:r w:rsidR="001464CC" w:rsidRPr="003E1644">
        <w:rPr>
          <w:rFonts w:asciiTheme="majorHAnsi" w:hAnsiTheme="majorHAnsi"/>
          <w:sz w:val="20"/>
          <w:szCs w:val="20"/>
          <w:lang w:val="es-AR"/>
        </w:rPr>
        <w:t xml:space="preserve">supuestamente </w:t>
      </w:r>
      <w:r w:rsidR="00D7487A" w:rsidRPr="003E1644">
        <w:rPr>
          <w:rFonts w:asciiTheme="majorHAnsi" w:hAnsiTheme="majorHAnsi"/>
          <w:sz w:val="20"/>
          <w:szCs w:val="20"/>
          <w:lang w:val="es-AR"/>
        </w:rPr>
        <w:t>había</w:t>
      </w:r>
      <w:r w:rsidR="0079588C" w:rsidRPr="003E1644">
        <w:rPr>
          <w:rFonts w:asciiTheme="majorHAnsi" w:hAnsiTheme="majorHAnsi"/>
          <w:sz w:val="20"/>
          <w:szCs w:val="20"/>
          <w:lang w:val="es-AR"/>
        </w:rPr>
        <w:t xml:space="preserve"> memorizado el rostro de </w:t>
      </w:r>
      <w:r w:rsidR="00031648" w:rsidRPr="003E1644">
        <w:rPr>
          <w:rFonts w:asciiTheme="majorHAnsi" w:hAnsiTheme="majorHAnsi"/>
          <w:sz w:val="20"/>
          <w:szCs w:val="20"/>
          <w:lang w:val="es-AR"/>
        </w:rPr>
        <w:t>veintiséis</w:t>
      </w:r>
      <w:r w:rsidR="0079588C" w:rsidRPr="003E1644">
        <w:rPr>
          <w:rFonts w:asciiTheme="majorHAnsi" w:hAnsiTheme="majorHAnsi"/>
          <w:sz w:val="20"/>
          <w:szCs w:val="20"/>
          <w:lang w:val="es-AR"/>
        </w:rPr>
        <w:t xml:space="preserve"> personas</w:t>
      </w:r>
      <w:r w:rsidR="00D7487A" w:rsidRPr="003E1644">
        <w:rPr>
          <w:rFonts w:asciiTheme="majorHAnsi" w:hAnsiTheme="majorHAnsi"/>
          <w:sz w:val="20"/>
          <w:szCs w:val="20"/>
          <w:lang w:val="es-AR"/>
        </w:rPr>
        <w:t xml:space="preserve">. </w:t>
      </w:r>
      <w:r w:rsidR="0079588C" w:rsidRPr="003E1644">
        <w:rPr>
          <w:rFonts w:asciiTheme="majorHAnsi" w:hAnsiTheme="majorHAnsi" w:cstheme="majorHAnsi"/>
          <w:sz w:val="20"/>
          <w:szCs w:val="20"/>
          <w:lang w:val="es-AR"/>
        </w:rPr>
        <w:t>Otro testimonio</w:t>
      </w:r>
      <w:r w:rsidR="0032651B" w:rsidRPr="003E1644">
        <w:rPr>
          <w:rFonts w:asciiTheme="majorHAnsi" w:hAnsiTheme="majorHAnsi" w:cstheme="majorHAnsi"/>
          <w:sz w:val="20"/>
          <w:szCs w:val="20"/>
          <w:lang w:val="es-AR"/>
        </w:rPr>
        <w:t xml:space="preserve"> </w:t>
      </w:r>
      <w:r w:rsidR="00CE5146" w:rsidRPr="003E1644">
        <w:rPr>
          <w:rFonts w:asciiTheme="majorHAnsi" w:hAnsiTheme="majorHAnsi" w:cstheme="majorHAnsi"/>
          <w:sz w:val="20"/>
          <w:szCs w:val="20"/>
          <w:lang w:val="es-AR"/>
        </w:rPr>
        <w:t>que destacan los peticionarios</w:t>
      </w:r>
      <w:r w:rsidR="0079588C" w:rsidRPr="003E1644">
        <w:rPr>
          <w:rFonts w:asciiTheme="majorHAnsi" w:hAnsiTheme="majorHAnsi" w:cstheme="majorHAnsi"/>
          <w:sz w:val="20"/>
          <w:szCs w:val="20"/>
          <w:lang w:val="es-AR"/>
        </w:rPr>
        <w:t xml:space="preserve"> </w:t>
      </w:r>
      <w:r w:rsidR="00CE5146" w:rsidRPr="003E1644">
        <w:rPr>
          <w:rFonts w:asciiTheme="majorHAnsi" w:hAnsiTheme="majorHAnsi" w:cstheme="majorHAnsi"/>
          <w:sz w:val="20"/>
          <w:szCs w:val="20"/>
          <w:lang w:val="es-AR"/>
        </w:rPr>
        <w:t>es</w:t>
      </w:r>
      <w:r w:rsidR="0079588C" w:rsidRPr="003E1644">
        <w:rPr>
          <w:rFonts w:asciiTheme="majorHAnsi" w:hAnsiTheme="majorHAnsi" w:cstheme="majorHAnsi"/>
          <w:sz w:val="20"/>
          <w:szCs w:val="20"/>
          <w:lang w:val="es-AR"/>
        </w:rPr>
        <w:t xml:space="preserve"> el de </w:t>
      </w:r>
      <w:r w:rsidR="00743DE9" w:rsidRPr="003E1644">
        <w:rPr>
          <w:rFonts w:asciiTheme="majorHAnsi" w:hAnsiTheme="majorHAnsi" w:cstheme="majorHAnsi"/>
          <w:sz w:val="20"/>
          <w:szCs w:val="20"/>
          <w:lang w:val="es-AR"/>
        </w:rPr>
        <w:t>“</w:t>
      </w:r>
      <w:r w:rsidR="0079588C" w:rsidRPr="003E1644">
        <w:rPr>
          <w:rFonts w:asciiTheme="majorHAnsi" w:hAnsiTheme="majorHAnsi" w:cstheme="majorHAnsi"/>
          <w:sz w:val="20"/>
          <w:szCs w:val="20"/>
          <w:lang w:val="es-AR"/>
        </w:rPr>
        <w:t>J</w:t>
      </w:r>
      <w:r w:rsidR="00DA6E9A" w:rsidRPr="003E1644">
        <w:rPr>
          <w:rFonts w:asciiTheme="majorHAnsi" w:hAnsiTheme="majorHAnsi" w:cstheme="majorHAnsi"/>
          <w:sz w:val="20"/>
          <w:szCs w:val="20"/>
          <w:lang w:val="es-AR"/>
        </w:rPr>
        <w:t>.A.</w:t>
      </w:r>
      <w:r w:rsidR="00743DE9" w:rsidRPr="003E1644">
        <w:rPr>
          <w:rFonts w:asciiTheme="majorHAnsi" w:hAnsiTheme="majorHAnsi" w:cstheme="majorHAnsi"/>
          <w:sz w:val="20"/>
          <w:szCs w:val="20"/>
          <w:lang w:val="es-AR"/>
        </w:rPr>
        <w:t>”</w:t>
      </w:r>
      <w:r w:rsidR="00DA6E9A" w:rsidRPr="003E1644">
        <w:rPr>
          <w:rFonts w:asciiTheme="majorHAnsi" w:hAnsiTheme="majorHAnsi" w:cstheme="majorHAnsi"/>
          <w:sz w:val="20"/>
          <w:szCs w:val="20"/>
          <w:lang w:val="es-AR"/>
        </w:rPr>
        <w:t xml:space="preserve">, </w:t>
      </w:r>
      <w:r w:rsidR="0079588C" w:rsidRPr="003E1644">
        <w:rPr>
          <w:rFonts w:asciiTheme="majorHAnsi" w:hAnsiTheme="majorHAnsi" w:cstheme="majorHAnsi"/>
          <w:sz w:val="20"/>
          <w:szCs w:val="20"/>
          <w:lang w:val="es-AR"/>
        </w:rPr>
        <w:t xml:space="preserve">el agente de Dirección Nacional de Investigación criminal </w:t>
      </w:r>
      <w:r w:rsidR="001464CC" w:rsidRPr="003E1644">
        <w:rPr>
          <w:rFonts w:asciiTheme="majorHAnsi" w:hAnsiTheme="majorHAnsi" w:cstheme="majorHAnsi"/>
          <w:sz w:val="20"/>
          <w:szCs w:val="20"/>
          <w:lang w:val="es-AR"/>
        </w:rPr>
        <w:t>que</w:t>
      </w:r>
      <w:r w:rsidR="0079588C" w:rsidRPr="003E1644">
        <w:rPr>
          <w:rFonts w:asciiTheme="majorHAnsi" w:hAnsiTheme="majorHAnsi" w:cstheme="majorHAnsi"/>
          <w:sz w:val="20"/>
          <w:szCs w:val="20"/>
          <w:lang w:val="es-AR"/>
        </w:rPr>
        <w:t xml:space="preserve"> </w:t>
      </w:r>
      <w:r w:rsidRPr="003E1644">
        <w:rPr>
          <w:rFonts w:asciiTheme="majorHAnsi" w:hAnsiTheme="majorHAnsi" w:cstheme="majorHAnsi"/>
          <w:sz w:val="20"/>
          <w:szCs w:val="20"/>
          <w:lang w:val="es-AR"/>
        </w:rPr>
        <w:t xml:space="preserve">había indicado </w:t>
      </w:r>
      <w:r w:rsidR="0079588C" w:rsidRPr="003E1644">
        <w:rPr>
          <w:rFonts w:asciiTheme="majorHAnsi" w:hAnsiTheme="majorHAnsi" w:cstheme="majorHAnsi"/>
          <w:sz w:val="20"/>
          <w:szCs w:val="20"/>
          <w:lang w:val="es-AR"/>
        </w:rPr>
        <w:t xml:space="preserve">que no había evidencia física que vinculara al señor </w:t>
      </w:r>
      <w:r w:rsidRPr="003E1644">
        <w:rPr>
          <w:rFonts w:asciiTheme="majorHAnsi" w:hAnsiTheme="majorHAnsi" w:cstheme="majorHAnsi"/>
          <w:sz w:val="20"/>
          <w:szCs w:val="20"/>
          <w:lang w:val="es-AR"/>
        </w:rPr>
        <w:t>M</w:t>
      </w:r>
      <w:r w:rsidR="0079588C" w:rsidRPr="003E1644">
        <w:rPr>
          <w:rFonts w:asciiTheme="majorHAnsi" w:hAnsiTheme="majorHAnsi" w:cstheme="majorHAnsi"/>
          <w:sz w:val="20"/>
          <w:szCs w:val="20"/>
          <w:lang w:val="es-AR"/>
        </w:rPr>
        <w:t>orales con los hechos.</w:t>
      </w:r>
    </w:p>
    <w:p w14:paraId="04EB06FE" w14:textId="2AD59698" w:rsidR="0079588C" w:rsidRPr="003E1644" w:rsidRDefault="00C57E10" w:rsidP="003C08E3">
      <w:pPr>
        <w:pStyle w:val="BodyText"/>
        <w:numPr>
          <w:ilvl w:val="0"/>
          <w:numId w:val="103"/>
        </w:numPr>
        <w:spacing w:after="240"/>
        <w:jc w:val="both"/>
        <w:rPr>
          <w:rFonts w:asciiTheme="majorHAnsi" w:hAnsiTheme="majorHAnsi"/>
          <w:sz w:val="20"/>
          <w:szCs w:val="20"/>
          <w:lang w:val="es-AR"/>
        </w:rPr>
      </w:pPr>
      <w:r w:rsidRPr="003E1644">
        <w:rPr>
          <w:rFonts w:asciiTheme="majorHAnsi" w:hAnsiTheme="majorHAnsi"/>
          <w:sz w:val="20"/>
          <w:szCs w:val="20"/>
          <w:lang w:val="es-AR"/>
        </w:rPr>
        <w:t>El 28 de agosto de 2012 la defensa</w:t>
      </w:r>
      <w:r w:rsidR="002603F9" w:rsidRPr="003E1644">
        <w:rPr>
          <w:rFonts w:asciiTheme="majorHAnsi" w:hAnsiTheme="majorHAnsi"/>
          <w:sz w:val="20"/>
          <w:szCs w:val="20"/>
          <w:lang w:val="es-AR"/>
        </w:rPr>
        <w:t xml:space="preserve"> del Sr. Morales</w:t>
      </w:r>
      <w:r w:rsidRPr="003E1644">
        <w:rPr>
          <w:rFonts w:asciiTheme="majorHAnsi" w:hAnsiTheme="majorHAnsi"/>
          <w:sz w:val="20"/>
          <w:szCs w:val="20"/>
          <w:lang w:val="es-AR"/>
        </w:rPr>
        <w:t xml:space="preserve"> interpuso un recurso de casación ante </w:t>
      </w:r>
      <w:r w:rsidR="00A80A1F" w:rsidRPr="003E1644">
        <w:rPr>
          <w:rFonts w:asciiTheme="majorHAnsi" w:hAnsiTheme="majorHAnsi"/>
          <w:sz w:val="20"/>
          <w:szCs w:val="20"/>
          <w:lang w:val="es-AR"/>
        </w:rPr>
        <w:t>la</w:t>
      </w:r>
      <w:r w:rsidR="00167DA4" w:rsidRPr="003E1644">
        <w:rPr>
          <w:rFonts w:asciiTheme="majorHAnsi" w:hAnsiTheme="majorHAnsi"/>
          <w:sz w:val="20"/>
          <w:szCs w:val="20"/>
          <w:lang w:val="es-AR"/>
        </w:rPr>
        <w:t xml:space="preserve"> Sala Penal de la</w:t>
      </w:r>
      <w:r w:rsidR="00A80A1F" w:rsidRPr="003E1644">
        <w:rPr>
          <w:rFonts w:asciiTheme="majorHAnsi" w:hAnsiTheme="majorHAnsi"/>
          <w:sz w:val="20"/>
          <w:szCs w:val="20"/>
          <w:lang w:val="es-AR"/>
        </w:rPr>
        <w:t xml:space="preserve"> Corte Suprema de Justicia</w:t>
      </w:r>
      <w:r w:rsidR="00167DA4" w:rsidRPr="003E1644">
        <w:rPr>
          <w:rFonts w:asciiTheme="majorHAnsi" w:hAnsiTheme="majorHAnsi"/>
          <w:sz w:val="20"/>
          <w:szCs w:val="20"/>
          <w:lang w:val="es-AR"/>
        </w:rPr>
        <w:t xml:space="preserve"> debido a las inconsistencias en el testimonio de</w:t>
      </w:r>
      <w:r w:rsidR="00013D66" w:rsidRPr="003E1644">
        <w:rPr>
          <w:rFonts w:asciiTheme="majorHAnsi" w:hAnsiTheme="majorHAnsi"/>
          <w:sz w:val="20"/>
          <w:szCs w:val="20"/>
          <w:lang w:val="es-AR"/>
        </w:rPr>
        <w:t xml:space="preserve"> aquel testigo principal</w:t>
      </w:r>
      <w:r w:rsidR="00A80A1F" w:rsidRPr="003E1644">
        <w:rPr>
          <w:rFonts w:asciiTheme="majorHAnsi" w:hAnsiTheme="majorHAnsi"/>
          <w:sz w:val="20"/>
          <w:szCs w:val="20"/>
          <w:lang w:val="es-AR"/>
        </w:rPr>
        <w:t>. Los peticionarios alegan</w:t>
      </w:r>
      <w:r w:rsidRPr="003E1644">
        <w:rPr>
          <w:rFonts w:asciiTheme="majorHAnsi" w:hAnsiTheme="majorHAnsi"/>
          <w:sz w:val="20"/>
          <w:szCs w:val="20"/>
          <w:lang w:val="es-AR"/>
        </w:rPr>
        <w:t xml:space="preserve"> que la sentencia condenatoria impugnada llegó incluso a inventar hechos que nunca fueron develados en la audiencia de juicio, co</w:t>
      </w:r>
      <w:r w:rsidRPr="003E1644">
        <w:rPr>
          <w:rFonts w:asciiTheme="majorHAnsi" w:hAnsiTheme="majorHAnsi" w:cstheme="majorHAnsi"/>
          <w:sz w:val="20"/>
          <w:szCs w:val="20"/>
          <w:lang w:val="es-AR"/>
        </w:rPr>
        <w:t xml:space="preserve">mo que el señor Morales utilizó un machete para causarle la muerte a Carlos Manrique Osorto. </w:t>
      </w:r>
      <w:r w:rsidR="005D5402" w:rsidRPr="003E1644">
        <w:rPr>
          <w:rFonts w:asciiTheme="majorHAnsi" w:hAnsiTheme="majorHAnsi"/>
          <w:sz w:val="20"/>
          <w:szCs w:val="20"/>
          <w:lang w:val="es-AR"/>
        </w:rPr>
        <w:t>El 28 de noviembre de 20</w:t>
      </w:r>
      <w:r w:rsidR="001A0F02" w:rsidRPr="003E1644">
        <w:rPr>
          <w:rFonts w:asciiTheme="majorHAnsi" w:hAnsiTheme="majorHAnsi"/>
          <w:sz w:val="20"/>
          <w:szCs w:val="20"/>
          <w:lang w:val="es-AR"/>
        </w:rPr>
        <w:t>1</w:t>
      </w:r>
      <w:r w:rsidR="005D5402" w:rsidRPr="003E1644">
        <w:rPr>
          <w:rFonts w:asciiTheme="majorHAnsi" w:hAnsiTheme="majorHAnsi"/>
          <w:sz w:val="20"/>
          <w:szCs w:val="20"/>
          <w:lang w:val="es-AR"/>
        </w:rPr>
        <w:t>3</w:t>
      </w:r>
      <w:r w:rsidR="00744167" w:rsidRPr="003E1644">
        <w:rPr>
          <w:rFonts w:asciiTheme="majorHAnsi" w:hAnsiTheme="majorHAnsi"/>
          <w:sz w:val="20"/>
          <w:szCs w:val="20"/>
          <w:lang w:val="es-AR"/>
        </w:rPr>
        <w:t xml:space="preserve"> </w:t>
      </w:r>
      <w:r w:rsidR="00BA06C4" w:rsidRPr="003E1644">
        <w:rPr>
          <w:rFonts w:asciiTheme="majorHAnsi" w:hAnsiTheme="majorHAnsi"/>
          <w:sz w:val="20"/>
          <w:szCs w:val="20"/>
          <w:lang w:val="es-AR"/>
        </w:rPr>
        <w:t>la sala</w:t>
      </w:r>
      <w:r w:rsidR="00B36826" w:rsidRPr="003E1644">
        <w:rPr>
          <w:rFonts w:asciiTheme="majorHAnsi" w:hAnsiTheme="majorHAnsi"/>
          <w:sz w:val="20"/>
          <w:szCs w:val="20"/>
          <w:lang w:val="es-AR"/>
        </w:rPr>
        <w:t xml:space="preserve"> </w:t>
      </w:r>
      <w:r w:rsidR="006164D9" w:rsidRPr="003E1644">
        <w:rPr>
          <w:rFonts w:asciiTheme="majorHAnsi" w:hAnsiTheme="majorHAnsi"/>
          <w:sz w:val="20"/>
          <w:szCs w:val="20"/>
          <w:lang w:val="es-AR"/>
        </w:rPr>
        <w:t xml:space="preserve">declaró </w:t>
      </w:r>
      <w:r w:rsidR="00744167" w:rsidRPr="003E1644">
        <w:rPr>
          <w:rFonts w:asciiTheme="majorHAnsi" w:hAnsiTheme="majorHAnsi"/>
          <w:sz w:val="20"/>
          <w:szCs w:val="20"/>
          <w:lang w:val="es-AR"/>
        </w:rPr>
        <w:t>con lugar el recurso</w:t>
      </w:r>
      <w:r w:rsidR="00B36826" w:rsidRPr="003E1644">
        <w:rPr>
          <w:rFonts w:asciiTheme="majorHAnsi" w:hAnsiTheme="majorHAnsi"/>
          <w:sz w:val="20"/>
          <w:szCs w:val="20"/>
          <w:lang w:val="es-AR"/>
        </w:rPr>
        <w:t>,</w:t>
      </w:r>
      <w:r w:rsidR="00744167" w:rsidRPr="003E1644">
        <w:rPr>
          <w:rFonts w:asciiTheme="majorHAnsi" w:hAnsiTheme="majorHAnsi"/>
          <w:sz w:val="20"/>
          <w:szCs w:val="20"/>
          <w:lang w:val="es-AR"/>
        </w:rPr>
        <w:t xml:space="preserve"> debido a la violación de la presunción de inocencia</w:t>
      </w:r>
      <w:r w:rsidR="00D7487A" w:rsidRPr="003E1644">
        <w:rPr>
          <w:rFonts w:asciiTheme="majorHAnsi" w:hAnsiTheme="majorHAnsi"/>
          <w:sz w:val="20"/>
          <w:szCs w:val="20"/>
          <w:lang w:val="es-AR"/>
        </w:rPr>
        <w:t xml:space="preserve"> </w:t>
      </w:r>
      <w:r w:rsidR="00744167" w:rsidRPr="003E1644">
        <w:rPr>
          <w:rFonts w:asciiTheme="majorHAnsi" w:hAnsiTheme="majorHAnsi"/>
          <w:sz w:val="20"/>
          <w:szCs w:val="20"/>
          <w:lang w:val="es-AR"/>
        </w:rPr>
        <w:t>e irregularidades en el proceso penal</w:t>
      </w:r>
      <w:r w:rsidR="00276314" w:rsidRPr="003E1644">
        <w:rPr>
          <w:rFonts w:asciiTheme="majorHAnsi" w:hAnsiTheme="majorHAnsi"/>
          <w:sz w:val="20"/>
          <w:szCs w:val="20"/>
          <w:lang w:val="es-AR"/>
        </w:rPr>
        <w:t>,</w:t>
      </w:r>
      <w:r w:rsidR="005D5402" w:rsidRPr="003E1644">
        <w:rPr>
          <w:rFonts w:asciiTheme="majorHAnsi" w:hAnsiTheme="majorHAnsi"/>
          <w:sz w:val="20"/>
          <w:szCs w:val="20"/>
          <w:lang w:val="es-AR"/>
        </w:rPr>
        <w:t xml:space="preserve"> y </w:t>
      </w:r>
      <w:r w:rsidR="00276314" w:rsidRPr="003E1644">
        <w:rPr>
          <w:rFonts w:asciiTheme="majorHAnsi" w:hAnsiTheme="majorHAnsi"/>
          <w:sz w:val="20"/>
          <w:szCs w:val="20"/>
          <w:lang w:val="es-AR"/>
        </w:rPr>
        <w:t>dispuso la realización de</w:t>
      </w:r>
      <w:r w:rsidR="00744167" w:rsidRPr="003E1644">
        <w:rPr>
          <w:rFonts w:asciiTheme="majorHAnsi" w:hAnsiTheme="majorHAnsi"/>
          <w:sz w:val="20"/>
          <w:szCs w:val="20"/>
          <w:lang w:val="es-AR"/>
        </w:rPr>
        <w:t xml:space="preserve"> un nuevo juicio</w:t>
      </w:r>
      <w:r w:rsidR="005D5402" w:rsidRPr="003E1644">
        <w:rPr>
          <w:rFonts w:asciiTheme="majorHAnsi" w:hAnsiTheme="majorHAnsi"/>
          <w:sz w:val="20"/>
          <w:szCs w:val="20"/>
          <w:lang w:val="es-AR"/>
        </w:rPr>
        <w:t>. Por tal motivo, e</w:t>
      </w:r>
      <w:r w:rsidR="00744167" w:rsidRPr="003E1644">
        <w:rPr>
          <w:rFonts w:asciiTheme="majorHAnsi" w:hAnsiTheme="majorHAnsi"/>
          <w:sz w:val="20"/>
          <w:szCs w:val="20"/>
          <w:lang w:val="es-AR"/>
        </w:rPr>
        <w:t xml:space="preserve">l expediente retornó al Tribunal de Sentencia de Trujillo.  </w:t>
      </w:r>
    </w:p>
    <w:p w14:paraId="1BDD62FD" w14:textId="0FB91A43" w:rsidR="0079588C" w:rsidRPr="003E1644" w:rsidRDefault="0079588C" w:rsidP="003C08E3">
      <w:pPr>
        <w:pStyle w:val="ListParagraph"/>
        <w:numPr>
          <w:ilvl w:val="0"/>
          <w:numId w:val="103"/>
        </w:numPr>
        <w:spacing w:after="240"/>
        <w:jc w:val="both"/>
        <w:rPr>
          <w:rFonts w:asciiTheme="majorHAnsi" w:hAnsiTheme="majorHAnsi"/>
          <w:color w:val="auto"/>
          <w:sz w:val="20"/>
          <w:szCs w:val="20"/>
          <w:lang w:val="es-AR"/>
        </w:rPr>
      </w:pPr>
      <w:r w:rsidRPr="003E1644">
        <w:rPr>
          <w:rFonts w:asciiTheme="majorHAnsi" w:hAnsiTheme="majorHAnsi"/>
          <w:sz w:val="20"/>
          <w:szCs w:val="20"/>
          <w:lang w:val="es-AR"/>
        </w:rPr>
        <w:t xml:space="preserve">El </w:t>
      </w:r>
      <w:r w:rsidR="00744167" w:rsidRPr="003E1644">
        <w:rPr>
          <w:rFonts w:asciiTheme="majorHAnsi" w:hAnsiTheme="majorHAnsi"/>
          <w:sz w:val="20"/>
          <w:szCs w:val="20"/>
          <w:lang w:val="es-AR"/>
        </w:rPr>
        <w:t>9</w:t>
      </w:r>
      <w:r w:rsidRPr="003E1644">
        <w:rPr>
          <w:rFonts w:asciiTheme="majorHAnsi" w:hAnsiTheme="majorHAnsi"/>
          <w:sz w:val="20"/>
          <w:szCs w:val="20"/>
          <w:lang w:val="es-AR"/>
        </w:rPr>
        <w:t xml:space="preserve"> de diciembre de 2013</w:t>
      </w:r>
      <w:r w:rsidR="006164D9" w:rsidRPr="003E1644">
        <w:rPr>
          <w:rFonts w:asciiTheme="majorHAnsi" w:hAnsiTheme="majorHAnsi"/>
          <w:sz w:val="20"/>
          <w:szCs w:val="20"/>
          <w:lang w:val="es-AR"/>
        </w:rPr>
        <w:t xml:space="preserve"> </w:t>
      </w:r>
      <w:r w:rsidRPr="003E1644">
        <w:rPr>
          <w:rFonts w:asciiTheme="majorHAnsi" w:hAnsiTheme="majorHAnsi"/>
          <w:sz w:val="20"/>
          <w:szCs w:val="20"/>
          <w:lang w:val="es-AR"/>
        </w:rPr>
        <w:t>la defensa</w:t>
      </w:r>
      <w:r w:rsidR="006164D9" w:rsidRPr="003E1644">
        <w:rPr>
          <w:rFonts w:asciiTheme="majorHAnsi" w:hAnsiTheme="majorHAnsi"/>
          <w:sz w:val="20"/>
          <w:szCs w:val="20"/>
          <w:lang w:val="es-AR"/>
        </w:rPr>
        <w:t xml:space="preserve"> </w:t>
      </w:r>
      <w:r w:rsidR="007A6D1B" w:rsidRPr="003E1644">
        <w:rPr>
          <w:rFonts w:asciiTheme="majorHAnsi" w:hAnsiTheme="majorHAnsi"/>
          <w:sz w:val="20"/>
          <w:szCs w:val="20"/>
          <w:lang w:val="es-AR"/>
        </w:rPr>
        <w:t>presentó</w:t>
      </w:r>
      <w:r w:rsidRPr="003E1644">
        <w:rPr>
          <w:rFonts w:asciiTheme="majorHAnsi" w:hAnsiTheme="majorHAnsi"/>
          <w:sz w:val="20"/>
          <w:szCs w:val="20"/>
          <w:lang w:val="es-AR"/>
        </w:rPr>
        <w:t xml:space="preserve"> </w:t>
      </w:r>
      <w:r w:rsidR="007037BF" w:rsidRPr="003E1644">
        <w:rPr>
          <w:rFonts w:asciiTheme="majorHAnsi" w:hAnsiTheme="majorHAnsi"/>
          <w:sz w:val="20"/>
          <w:szCs w:val="20"/>
          <w:lang w:val="es-AR"/>
        </w:rPr>
        <w:t xml:space="preserve">un recurso </w:t>
      </w:r>
      <w:r w:rsidR="007037BF" w:rsidRPr="003E1644">
        <w:rPr>
          <w:rFonts w:asciiTheme="majorHAnsi" w:hAnsiTheme="majorHAnsi"/>
          <w:i/>
          <w:iCs/>
          <w:sz w:val="20"/>
          <w:szCs w:val="20"/>
          <w:lang w:val="es-AR"/>
        </w:rPr>
        <w:t>de habeas corpus</w:t>
      </w:r>
      <w:r w:rsidR="007037BF" w:rsidRPr="003E1644">
        <w:rPr>
          <w:rFonts w:asciiTheme="majorHAnsi" w:hAnsiTheme="majorHAnsi"/>
          <w:sz w:val="20"/>
          <w:szCs w:val="20"/>
          <w:lang w:val="es-AR"/>
        </w:rPr>
        <w:t xml:space="preserve"> para la liberación del señor Morales </w:t>
      </w:r>
      <w:r w:rsidR="00C57E10" w:rsidRPr="003E1644">
        <w:rPr>
          <w:rFonts w:asciiTheme="majorHAnsi" w:hAnsiTheme="majorHAnsi"/>
          <w:color w:val="auto"/>
          <w:sz w:val="20"/>
          <w:szCs w:val="20"/>
          <w:lang w:val="es-AR"/>
        </w:rPr>
        <w:t xml:space="preserve">ante el Tribunal de Sentencia de Trujillo </w:t>
      </w:r>
      <w:r w:rsidR="00744167" w:rsidRPr="003E1644">
        <w:rPr>
          <w:rFonts w:asciiTheme="majorHAnsi" w:hAnsiTheme="majorHAnsi"/>
          <w:sz w:val="20"/>
          <w:szCs w:val="20"/>
          <w:lang w:val="es-AR"/>
        </w:rPr>
        <w:t xml:space="preserve">con base al artículo </w:t>
      </w:r>
      <w:r w:rsidRPr="003E1644">
        <w:rPr>
          <w:rFonts w:asciiTheme="majorHAnsi" w:hAnsiTheme="majorHAnsi"/>
          <w:sz w:val="20"/>
          <w:szCs w:val="20"/>
          <w:lang w:val="es-AR"/>
        </w:rPr>
        <w:t>181 del Código Procesal Penal</w:t>
      </w:r>
      <w:r w:rsidR="007A6D1B" w:rsidRPr="003E1644">
        <w:rPr>
          <w:rFonts w:asciiTheme="majorHAnsi" w:hAnsiTheme="majorHAnsi"/>
          <w:sz w:val="20"/>
          <w:szCs w:val="20"/>
          <w:lang w:val="es-AR"/>
        </w:rPr>
        <w:t xml:space="preserve">. </w:t>
      </w:r>
      <w:r w:rsidR="00B31685" w:rsidRPr="003E1644">
        <w:rPr>
          <w:rFonts w:asciiTheme="majorHAnsi" w:hAnsiTheme="majorHAnsi"/>
          <w:sz w:val="20"/>
          <w:szCs w:val="20"/>
          <w:lang w:val="es-AR"/>
        </w:rPr>
        <w:t>Dicho</w:t>
      </w:r>
      <w:r w:rsidR="007A6D1B" w:rsidRPr="003E1644">
        <w:rPr>
          <w:rFonts w:asciiTheme="majorHAnsi" w:hAnsiTheme="majorHAnsi"/>
          <w:sz w:val="20"/>
          <w:szCs w:val="20"/>
          <w:lang w:val="es-AR"/>
        </w:rPr>
        <w:t xml:space="preserve"> artículo establece dos años</w:t>
      </w:r>
      <w:r w:rsidRPr="003E1644">
        <w:rPr>
          <w:rFonts w:asciiTheme="majorHAnsi" w:hAnsiTheme="majorHAnsi"/>
          <w:sz w:val="20"/>
          <w:szCs w:val="20"/>
          <w:lang w:val="es-AR"/>
        </w:rPr>
        <w:t xml:space="preserve"> como límite máximo de la prisión preventiva</w:t>
      </w:r>
      <w:r w:rsidR="007A6D1B" w:rsidRPr="003E1644">
        <w:rPr>
          <w:rFonts w:asciiTheme="majorHAnsi" w:hAnsiTheme="majorHAnsi"/>
          <w:sz w:val="20"/>
          <w:szCs w:val="20"/>
          <w:lang w:val="es-AR"/>
        </w:rPr>
        <w:t>. A esa fecha, el señor</w:t>
      </w:r>
      <w:r w:rsidR="000D50AA" w:rsidRPr="003E1644">
        <w:rPr>
          <w:rFonts w:asciiTheme="majorHAnsi" w:hAnsiTheme="majorHAnsi"/>
          <w:sz w:val="20"/>
          <w:szCs w:val="20"/>
          <w:lang w:val="es-AR"/>
        </w:rPr>
        <w:t xml:space="preserve"> Morales ya </w:t>
      </w:r>
      <w:r w:rsidRPr="003E1644">
        <w:rPr>
          <w:rFonts w:asciiTheme="majorHAnsi" w:hAnsiTheme="majorHAnsi"/>
          <w:sz w:val="20"/>
          <w:szCs w:val="20"/>
          <w:lang w:val="es-AR"/>
        </w:rPr>
        <w:t xml:space="preserve">doblaba </w:t>
      </w:r>
      <w:r w:rsidR="00C56CA4" w:rsidRPr="003E1644">
        <w:rPr>
          <w:rFonts w:asciiTheme="majorHAnsi" w:hAnsiTheme="majorHAnsi"/>
          <w:sz w:val="20"/>
          <w:szCs w:val="20"/>
          <w:lang w:val="es-AR"/>
        </w:rPr>
        <w:t>ese</w:t>
      </w:r>
      <w:r w:rsidRPr="003E1644">
        <w:rPr>
          <w:rFonts w:asciiTheme="majorHAnsi" w:hAnsiTheme="majorHAnsi"/>
          <w:sz w:val="20"/>
          <w:szCs w:val="20"/>
          <w:lang w:val="es-AR"/>
        </w:rPr>
        <w:t xml:space="preserve"> término</w:t>
      </w:r>
      <w:r w:rsidR="000D50AA" w:rsidRPr="003E1644">
        <w:rPr>
          <w:rFonts w:asciiTheme="majorHAnsi" w:hAnsiTheme="majorHAnsi"/>
          <w:sz w:val="20"/>
          <w:szCs w:val="20"/>
          <w:lang w:val="es-AR"/>
        </w:rPr>
        <w:t xml:space="preserve"> </w:t>
      </w:r>
      <w:r w:rsidR="001F2DEA" w:rsidRPr="003E1644">
        <w:rPr>
          <w:rFonts w:asciiTheme="majorHAnsi" w:hAnsiTheme="majorHAnsi"/>
          <w:sz w:val="20"/>
          <w:szCs w:val="20"/>
          <w:lang w:val="es-AR"/>
        </w:rPr>
        <w:t xml:space="preserve">estando </w:t>
      </w:r>
      <w:r w:rsidR="000D50AA" w:rsidRPr="003E1644">
        <w:rPr>
          <w:rFonts w:asciiTheme="majorHAnsi" w:hAnsiTheme="majorHAnsi"/>
          <w:sz w:val="20"/>
          <w:szCs w:val="20"/>
          <w:lang w:val="es-AR"/>
        </w:rPr>
        <w:t xml:space="preserve">privado de su libertad. </w:t>
      </w:r>
      <w:r w:rsidR="007037BF" w:rsidRPr="003E1644">
        <w:rPr>
          <w:rFonts w:asciiTheme="majorHAnsi" w:hAnsiTheme="majorHAnsi"/>
          <w:color w:val="auto"/>
          <w:sz w:val="20"/>
          <w:szCs w:val="20"/>
          <w:lang w:val="es-AR"/>
        </w:rPr>
        <w:t>Dicho recurso fue negado y el 6 de enero de 2014</w:t>
      </w:r>
      <w:r w:rsidR="00FA2ECB" w:rsidRPr="003E1644">
        <w:rPr>
          <w:rFonts w:asciiTheme="majorHAnsi" w:hAnsiTheme="majorHAnsi"/>
          <w:color w:val="auto"/>
          <w:sz w:val="20"/>
          <w:szCs w:val="20"/>
          <w:lang w:val="es-AR"/>
        </w:rPr>
        <w:t>, el Tribunal de Sentencia de Trujillo</w:t>
      </w:r>
      <w:r w:rsidR="006D7B42" w:rsidRPr="003E1644">
        <w:rPr>
          <w:rFonts w:asciiTheme="majorHAnsi" w:hAnsiTheme="majorHAnsi"/>
          <w:sz w:val="20"/>
          <w:szCs w:val="20"/>
          <w:lang w:val="es-AR"/>
        </w:rPr>
        <w:t xml:space="preserve"> ratificó la prisión preventiva a</w:t>
      </w:r>
      <w:r w:rsidR="007037BF" w:rsidRPr="003E1644">
        <w:rPr>
          <w:rFonts w:asciiTheme="majorHAnsi" w:hAnsiTheme="majorHAnsi"/>
          <w:sz w:val="20"/>
          <w:szCs w:val="20"/>
          <w:lang w:val="es-AR"/>
        </w:rPr>
        <w:t xml:space="preserve">l señor </w:t>
      </w:r>
      <w:r w:rsidR="006D7B42" w:rsidRPr="003E1644">
        <w:rPr>
          <w:rFonts w:asciiTheme="majorHAnsi" w:hAnsiTheme="majorHAnsi"/>
          <w:sz w:val="20"/>
          <w:szCs w:val="20"/>
          <w:lang w:val="es-AR"/>
        </w:rPr>
        <w:t>Morales</w:t>
      </w:r>
      <w:r w:rsidR="007037BF" w:rsidRPr="003E1644">
        <w:rPr>
          <w:rFonts w:asciiTheme="majorHAnsi" w:hAnsiTheme="majorHAnsi"/>
          <w:sz w:val="20"/>
          <w:szCs w:val="20"/>
          <w:lang w:val="es-AR"/>
        </w:rPr>
        <w:t>, bajo el argumento de que habían sido seguidos los canales procesales correspondientes al solicitar la defensa la revisión de la medida de prisión y el Tribunal al señalar audiencia.</w:t>
      </w:r>
    </w:p>
    <w:p w14:paraId="51F3C340" w14:textId="4E90E5C5" w:rsidR="0079588C" w:rsidRPr="003E1644" w:rsidRDefault="000D50AA" w:rsidP="003C08E3">
      <w:pPr>
        <w:pStyle w:val="ListParagraph"/>
        <w:numPr>
          <w:ilvl w:val="0"/>
          <w:numId w:val="103"/>
        </w:numPr>
        <w:spacing w:after="240"/>
        <w:jc w:val="both"/>
        <w:rPr>
          <w:rFonts w:asciiTheme="majorHAnsi" w:hAnsiTheme="majorHAnsi"/>
          <w:sz w:val="20"/>
          <w:szCs w:val="20"/>
          <w:lang w:val="es-AR"/>
        </w:rPr>
      </w:pPr>
      <w:r w:rsidRPr="003E1644">
        <w:rPr>
          <w:rFonts w:asciiTheme="majorHAnsi" w:hAnsiTheme="majorHAnsi"/>
          <w:sz w:val="20"/>
          <w:szCs w:val="20"/>
          <w:lang w:val="es-AR"/>
        </w:rPr>
        <w:t xml:space="preserve">Entre enero y febrero de 2014 se </w:t>
      </w:r>
      <w:r w:rsidR="00DA6E9A" w:rsidRPr="003E1644">
        <w:rPr>
          <w:rFonts w:asciiTheme="majorHAnsi" w:hAnsiTheme="majorHAnsi"/>
          <w:sz w:val="20"/>
          <w:szCs w:val="20"/>
          <w:lang w:val="es-AR"/>
        </w:rPr>
        <w:t>desarrolló</w:t>
      </w:r>
      <w:r w:rsidRPr="003E1644">
        <w:rPr>
          <w:rFonts w:asciiTheme="majorHAnsi" w:hAnsiTheme="majorHAnsi"/>
          <w:sz w:val="20"/>
          <w:szCs w:val="20"/>
          <w:lang w:val="es-AR"/>
        </w:rPr>
        <w:t xml:space="preserve"> </w:t>
      </w:r>
      <w:r w:rsidR="0079588C" w:rsidRPr="003E1644">
        <w:rPr>
          <w:rFonts w:asciiTheme="majorHAnsi" w:hAnsiTheme="majorHAnsi"/>
          <w:sz w:val="20"/>
          <w:szCs w:val="20"/>
          <w:lang w:val="es-AR"/>
        </w:rPr>
        <w:t>el segundo juicio</w:t>
      </w:r>
      <w:r w:rsidR="0060205E" w:rsidRPr="003E1644">
        <w:rPr>
          <w:rFonts w:asciiTheme="majorHAnsi" w:hAnsiTheme="majorHAnsi"/>
          <w:sz w:val="20"/>
          <w:szCs w:val="20"/>
          <w:lang w:val="es-AR"/>
        </w:rPr>
        <w:t xml:space="preserve"> ante el Tribunal de Sentencia de Trujillo</w:t>
      </w:r>
      <w:r w:rsidR="00A80A1F" w:rsidRPr="003E1644">
        <w:rPr>
          <w:rFonts w:asciiTheme="majorHAnsi" w:hAnsiTheme="majorHAnsi"/>
          <w:sz w:val="20"/>
          <w:szCs w:val="20"/>
          <w:lang w:val="es-AR"/>
        </w:rPr>
        <w:t>.</w:t>
      </w:r>
      <w:r w:rsidR="0000597D" w:rsidRPr="003E1644">
        <w:rPr>
          <w:rFonts w:asciiTheme="majorHAnsi" w:hAnsiTheme="majorHAnsi"/>
          <w:sz w:val="20"/>
          <w:szCs w:val="20"/>
          <w:lang w:val="es-AR"/>
        </w:rPr>
        <w:t xml:space="preserve"> </w:t>
      </w:r>
      <w:r w:rsidR="00EF2140" w:rsidRPr="003E1644">
        <w:rPr>
          <w:rFonts w:asciiTheme="majorHAnsi" w:hAnsiTheme="majorHAnsi"/>
          <w:sz w:val="20"/>
          <w:szCs w:val="20"/>
          <w:lang w:val="es-AR"/>
        </w:rPr>
        <w:t>Dicho</w:t>
      </w:r>
      <w:r w:rsidR="0000597D" w:rsidRPr="003E1644">
        <w:rPr>
          <w:rFonts w:asciiTheme="majorHAnsi" w:hAnsiTheme="majorHAnsi"/>
          <w:sz w:val="20"/>
          <w:szCs w:val="20"/>
          <w:lang w:val="es-AR"/>
        </w:rPr>
        <w:t xml:space="preserve"> tribunal </w:t>
      </w:r>
      <w:r w:rsidR="00B36826" w:rsidRPr="003E1644">
        <w:rPr>
          <w:rFonts w:asciiTheme="majorHAnsi" w:hAnsiTheme="majorHAnsi"/>
          <w:sz w:val="20"/>
          <w:szCs w:val="20"/>
          <w:lang w:val="es-AR"/>
        </w:rPr>
        <w:t>condenó</w:t>
      </w:r>
      <w:r w:rsidR="0000597D" w:rsidRPr="003E1644">
        <w:rPr>
          <w:rFonts w:asciiTheme="majorHAnsi" w:hAnsiTheme="majorHAnsi"/>
          <w:sz w:val="20"/>
          <w:szCs w:val="20"/>
          <w:lang w:val="es-AR"/>
        </w:rPr>
        <w:t xml:space="preserve"> al señor Morales a </w:t>
      </w:r>
      <w:r w:rsidR="007C6D88" w:rsidRPr="003E1644">
        <w:rPr>
          <w:rFonts w:asciiTheme="majorHAnsi" w:hAnsiTheme="majorHAnsi"/>
          <w:sz w:val="20"/>
          <w:szCs w:val="20"/>
          <w:lang w:val="es-AR"/>
        </w:rPr>
        <w:t>diecisiete</w:t>
      </w:r>
      <w:r w:rsidR="0000597D" w:rsidRPr="003E1644">
        <w:rPr>
          <w:rFonts w:asciiTheme="majorHAnsi" w:hAnsiTheme="majorHAnsi"/>
          <w:sz w:val="20"/>
          <w:szCs w:val="20"/>
          <w:lang w:val="es-AR"/>
        </w:rPr>
        <w:t xml:space="preserve"> años y </w:t>
      </w:r>
      <w:r w:rsidR="007C6D88" w:rsidRPr="003E1644">
        <w:rPr>
          <w:rFonts w:asciiTheme="majorHAnsi" w:hAnsiTheme="majorHAnsi"/>
          <w:sz w:val="20"/>
          <w:szCs w:val="20"/>
          <w:lang w:val="es-AR"/>
        </w:rPr>
        <w:t>seis</w:t>
      </w:r>
      <w:r w:rsidR="0000597D" w:rsidRPr="003E1644">
        <w:rPr>
          <w:rFonts w:asciiTheme="majorHAnsi" w:hAnsiTheme="majorHAnsi"/>
          <w:sz w:val="20"/>
          <w:szCs w:val="20"/>
          <w:lang w:val="es-AR"/>
        </w:rPr>
        <w:t xml:space="preserve"> meses de prisión</w:t>
      </w:r>
      <w:r w:rsidR="006C33E0" w:rsidRPr="003E1644">
        <w:rPr>
          <w:rFonts w:asciiTheme="majorHAnsi" w:hAnsiTheme="majorHAnsi"/>
          <w:sz w:val="20"/>
          <w:szCs w:val="20"/>
          <w:lang w:val="es-AR"/>
        </w:rPr>
        <w:t xml:space="preserve"> como responsable del homicidio</w:t>
      </w:r>
      <w:r w:rsidR="00490994" w:rsidRPr="003E1644">
        <w:rPr>
          <w:rFonts w:asciiTheme="majorHAnsi" w:hAnsiTheme="majorHAnsi"/>
          <w:sz w:val="20"/>
          <w:szCs w:val="20"/>
          <w:lang w:val="es-AR"/>
        </w:rPr>
        <w:t xml:space="preserve"> </w:t>
      </w:r>
      <w:r w:rsidR="006C33E0" w:rsidRPr="003E1644">
        <w:rPr>
          <w:rFonts w:asciiTheme="majorHAnsi" w:hAnsiTheme="majorHAnsi"/>
          <w:sz w:val="20"/>
          <w:szCs w:val="20"/>
          <w:lang w:val="es-AR"/>
        </w:rPr>
        <w:t>del señor</w:t>
      </w:r>
      <w:r w:rsidR="00EF2140" w:rsidRPr="003E1644">
        <w:rPr>
          <w:rFonts w:asciiTheme="majorHAnsi" w:hAnsiTheme="majorHAnsi"/>
          <w:sz w:val="20"/>
          <w:szCs w:val="20"/>
          <w:lang w:val="es-AR"/>
        </w:rPr>
        <w:t xml:space="preserve"> Carlos Manrique Osorto Castillo</w:t>
      </w:r>
      <w:r w:rsidR="00490994" w:rsidRPr="003E1644">
        <w:rPr>
          <w:rFonts w:asciiTheme="majorHAnsi" w:hAnsiTheme="majorHAnsi"/>
          <w:sz w:val="20"/>
          <w:szCs w:val="20"/>
          <w:lang w:val="es-AR"/>
        </w:rPr>
        <w:t xml:space="preserve">, basándose principalmente en </w:t>
      </w:r>
      <w:r w:rsidR="00842E61" w:rsidRPr="003E1644">
        <w:rPr>
          <w:rFonts w:asciiTheme="majorHAnsi" w:hAnsiTheme="majorHAnsi"/>
          <w:sz w:val="20"/>
          <w:szCs w:val="20"/>
          <w:lang w:val="es-AR"/>
        </w:rPr>
        <w:t>dichos de</w:t>
      </w:r>
      <w:r w:rsidR="00CA7C15" w:rsidRPr="003E1644">
        <w:rPr>
          <w:rFonts w:asciiTheme="majorHAnsi" w:hAnsiTheme="majorHAnsi"/>
          <w:sz w:val="20"/>
          <w:szCs w:val="20"/>
          <w:lang w:val="es-AR"/>
        </w:rPr>
        <w:t>l</w:t>
      </w:r>
      <w:r w:rsidR="00842E61" w:rsidRPr="003E1644">
        <w:rPr>
          <w:rFonts w:asciiTheme="majorHAnsi" w:hAnsiTheme="majorHAnsi"/>
          <w:sz w:val="20"/>
          <w:szCs w:val="20"/>
          <w:lang w:val="es-AR"/>
        </w:rPr>
        <w:t xml:space="preserve"> testigo protegido </w:t>
      </w:r>
      <w:r w:rsidR="00CA7C15" w:rsidRPr="003E1644">
        <w:rPr>
          <w:rFonts w:asciiTheme="majorHAnsi" w:hAnsiTheme="majorHAnsi"/>
          <w:sz w:val="20"/>
          <w:szCs w:val="20"/>
          <w:lang w:val="es-AR"/>
        </w:rPr>
        <w:t>“</w:t>
      </w:r>
      <w:r w:rsidR="00842E61" w:rsidRPr="003E1644">
        <w:rPr>
          <w:rFonts w:asciiTheme="majorHAnsi" w:hAnsiTheme="majorHAnsi"/>
          <w:sz w:val="20"/>
          <w:szCs w:val="20"/>
          <w:lang w:val="es-AR"/>
        </w:rPr>
        <w:t>A-2</w:t>
      </w:r>
      <w:r w:rsidR="00CA7C15" w:rsidRPr="003E1644">
        <w:rPr>
          <w:rFonts w:asciiTheme="majorHAnsi" w:hAnsiTheme="majorHAnsi"/>
          <w:sz w:val="20"/>
          <w:szCs w:val="20"/>
          <w:lang w:val="es-AR"/>
        </w:rPr>
        <w:t>”</w:t>
      </w:r>
      <w:r w:rsidR="00842E61" w:rsidRPr="003E1644">
        <w:rPr>
          <w:rFonts w:asciiTheme="majorHAnsi" w:hAnsiTheme="majorHAnsi"/>
          <w:sz w:val="20"/>
          <w:szCs w:val="20"/>
          <w:lang w:val="es-AR"/>
        </w:rPr>
        <w:t>. Dicho testigo habría presenciado los hechos y señaló a los campesinos de la comunidad “Guadalupe Carney” como autores de la masacre</w:t>
      </w:r>
      <w:r w:rsidR="00B97196" w:rsidRPr="003E1644">
        <w:rPr>
          <w:rFonts w:asciiTheme="majorHAnsi" w:hAnsiTheme="majorHAnsi"/>
          <w:sz w:val="20"/>
          <w:szCs w:val="20"/>
          <w:lang w:val="es-AR"/>
        </w:rPr>
        <w:t>,</w:t>
      </w:r>
      <w:r w:rsidR="00842E61" w:rsidRPr="003E1644">
        <w:rPr>
          <w:rFonts w:asciiTheme="majorHAnsi" w:hAnsiTheme="majorHAnsi"/>
          <w:sz w:val="20"/>
          <w:szCs w:val="20"/>
          <w:lang w:val="es-AR"/>
        </w:rPr>
        <w:t xml:space="preserve"> </w:t>
      </w:r>
      <w:r w:rsidR="00B97196" w:rsidRPr="003E1644">
        <w:rPr>
          <w:rFonts w:asciiTheme="majorHAnsi" w:hAnsiTheme="majorHAnsi"/>
          <w:sz w:val="20"/>
          <w:szCs w:val="20"/>
          <w:lang w:val="es-AR"/>
        </w:rPr>
        <w:t>señalando al</w:t>
      </w:r>
      <w:r w:rsidR="00455227" w:rsidRPr="003E1644">
        <w:rPr>
          <w:rFonts w:asciiTheme="majorHAnsi" w:hAnsiTheme="majorHAnsi"/>
          <w:sz w:val="20"/>
          <w:szCs w:val="20"/>
          <w:lang w:val="es-AR"/>
        </w:rPr>
        <w:t xml:space="preserve"> señor Morales </w:t>
      </w:r>
      <w:r w:rsidR="00B97196" w:rsidRPr="003E1644">
        <w:rPr>
          <w:rFonts w:asciiTheme="majorHAnsi" w:hAnsiTheme="majorHAnsi"/>
          <w:sz w:val="20"/>
          <w:szCs w:val="20"/>
          <w:lang w:val="es-AR"/>
        </w:rPr>
        <w:t>como</w:t>
      </w:r>
      <w:r w:rsidR="00455227" w:rsidRPr="003E1644">
        <w:rPr>
          <w:rFonts w:asciiTheme="majorHAnsi" w:hAnsiTheme="majorHAnsi"/>
          <w:sz w:val="20"/>
          <w:szCs w:val="20"/>
          <w:lang w:val="es-AR"/>
        </w:rPr>
        <w:t xml:space="preserve"> líder de </w:t>
      </w:r>
      <w:r w:rsidR="00B97196" w:rsidRPr="003E1644">
        <w:rPr>
          <w:rFonts w:asciiTheme="majorHAnsi" w:hAnsiTheme="majorHAnsi"/>
          <w:sz w:val="20"/>
          <w:szCs w:val="20"/>
          <w:lang w:val="es-AR"/>
        </w:rPr>
        <w:t>esa</w:t>
      </w:r>
      <w:r w:rsidR="00455227" w:rsidRPr="003E1644">
        <w:rPr>
          <w:rFonts w:asciiTheme="majorHAnsi" w:hAnsiTheme="majorHAnsi"/>
          <w:sz w:val="20"/>
          <w:szCs w:val="20"/>
          <w:lang w:val="es-AR"/>
        </w:rPr>
        <w:t xml:space="preserve"> comunidad. Además, </w:t>
      </w:r>
      <w:r w:rsidR="00B97196" w:rsidRPr="003E1644">
        <w:rPr>
          <w:rFonts w:asciiTheme="majorHAnsi" w:hAnsiTheme="majorHAnsi"/>
          <w:sz w:val="20"/>
          <w:szCs w:val="20"/>
          <w:lang w:val="es-AR"/>
        </w:rPr>
        <w:t>dijo</w:t>
      </w:r>
      <w:r w:rsidR="00455227" w:rsidRPr="003E1644">
        <w:rPr>
          <w:rFonts w:asciiTheme="majorHAnsi" w:hAnsiTheme="majorHAnsi"/>
          <w:sz w:val="20"/>
          <w:szCs w:val="20"/>
          <w:lang w:val="es-AR"/>
        </w:rPr>
        <w:t xml:space="preserve"> que el señor Morales era la persona que abrió los tanques de los carros</w:t>
      </w:r>
      <w:r w:rsidR="00183859" w:rsidRPr="003E1644">
        <w:rPr>
          <w:rFonts w:asciiTheme="majorHAnsi" w:hAnsiTheme="majorHAnsi"/>
          <w:sz w:val="20"/>
          <w:szCs w:val="20"/>
          <w:lang w:val="es-AR"/>
        </w:rPr>
        <w:t>;</w:t>
      </w:r>
      <w:r w:rsidR="00455227" w:rsidRPr="003E1644">
        <w:rPr>
          <w:rFonts w:asciiTheme="majorHAnsi" w:hAnsiTheme="majorHAnsi"/>
          <w:sz w:val="20"/>
          <w:szCs w:val="20"/>
          <w:lang w:val="es-AR"/>
        </w:rPr>
        <w:t xml:space="preserve"> andaba con una escopeta</w:t>
      </w:r>
      <w:r w:rsidR="00183859" w:rsidRPr="003E1644">
        <w:rPr>
          <w:rFonts w:asciiTheme="majorHAnsi" w:hAnsiTheme="majorHAnsi"/>
          <w:sz w:val="20"/>
          <w:szCs w:val="20"/>
          <w:lang w:val="es-AR"/>
        </w:rPr>
        <w:t>;</w:t>
      </w:r>
      <w:r w:rsidR="00455227" w:rsidRPr="003E1644">
        <w:rPr>
          <w:rFonts w:asciiTheme="majorHAnsi" w:hAnsiTheme="majorHAnsi"/>
          <w:sz w:val="20"/>
          <w:szCs w:val="20"/>
          <w:lang w:val="es-AR"/>
        </w:rPr>
        <w:t xml:space="preserve"> y </w:t>
      </w:r>
      <w:r w:rsidR="00183859" w:rsidRPr="003E1644">
        <w:rPr>
          <w:rFonts w:asciiTheme="majorHAnsi" w:hAnsiTheme="majorHAnsi"/>
          <w:sz w:val="20"/>
          <w:szCs w:val="20"/>
          <w:lang w:val="es-AR"/>
        </w:rPr>
        <w:t>que</w:t>
      </w:r>
      <w:r w:rsidR="00455227" w:rsidRPr="003E1644">
        <w:rPr>
          <w:rFonts w:asciiTheme="majorHAnsi" w:hAnsiTheme="majorHAnsi"/>
          <w:sz w:val="20"/>
          <w:szCs w:val="20"/>
          <w:lang w:val="es-AR"/>
        </w:rPr>
        <w:t xml:space="preserve"> hirió </w:t>
      </w:r>
      <w:r w:rsidR="001F2DE6" w:rsidRPr="003E1644">
        <w:rPr>
          <w:rFonts w:asciiTheme="majorHAnsi" w:hAnsiTheme="majorHAnsi"/>
          <w:sz w:val="20"/>
          <w:szCs w:val="20"/>
          <w:lang w:val="es-AR"/>
        </w:rPr>
        <w:t>a un pariente del propio testigo</w:t>
      </w:r>
      <w:r w:rsidR="00455227" w:rsidRPr="003E1644">
        <w:rPr>
          <w:rFonts w:asciiTheme="majorHAnsi" w:hAnsiTheme="majorHAnsi"/>
          <w:sz w:val="20"/>
          <w:szCs w:val="20"/>
          <w:lang w:val="es-AR"/>
        </w:rPr>
        <w:t xml:space="preserve">. Además, </w:t>
      </w:r>
      <w:r w:rsidR="001F2DE6" w:rsidRPr="003E1644">
        <w:rPr>
          <w:rFonts w:asciiTheme="majorHAnsi" w:hAnsiTheme="majorHAnsi"/>
          <w:sz w:val="20"/>
          <w:szCs w:val="20"/>
          <w:lang w:val="es-AR"/>
        </w:rPr>
        <w:t>otra persona de identidad protegida</w:t>
      </w:r>
      <w:r w:rsidR="00455227" w:rsidRPr="003E1644">
        <w:rPr>
          <w:rFonts w:asciiTheme="majorHAnsi" w:hAnsiTheme="majorHAnsi"/>
          <w:sz w:val="20"/>
          <w:szCs w:val="20"/>
          <w:lang w:val="es-AR"/>
        </w:rPr>
        <w:t xml:space="preserve"> </w:t>
      </w:r>
      <w:r w:rsidR="00504924" w:rsidRPr="003E1644">
        <w:rPr>
          <w:rFonts w:asciiTheme="majorHAnsi" w:hAnsiTheme="majorHAnsi"/>
          <w:sz w:val="20"/>
          <w:szCs w:val="20"/>
          <w:lang w:val="es-AR"/>
        </w:rPr>
        <w:t>habría ubicado</w:t>
      </w:r>
      <w:r w:rsidR="00455227" w:rsidRPr="003E1644">
        <w:rPr>
          <w:rFonts w:asciiTheme="majorHAnsi" w:hAnsiTheme="majorHAnsi"/>
          <w:sz w:val="20"/>
          <w:szCs w:val="20"/>
          <w:lang w:val="es-AR"/>
        </w:rPr>
        <w:t xml:space="preserve"> al señor Morales en el lugar de los hecho</w:t>
      </w:r>
      <w:r w:rsidR="00C22EDD" w:rsidRPr="003E1644">
        <w:rPr>
          <w:rFonts w:asciiTheme="majorHAnsi" w:hAnsiTheme="majorHAnsi"/>
          <w:sz w:val="20"/>
          <w:szCs w:val="20"/>
          <w:lang w:val="es-AR"/>
        </w:rPr>
        <w:t>s.</w:t>
      </w:r>
    </w:p>
    <w:p w14:paraId="57F51A9C" w14:textId="5C7BD7F3" w:rsidR="00C621E2" w:rsidRPr="003E1644" w:rsidRDefault="00504924" w:rsidP="003C08E3">
      <w:pPr>
        <w:pStyle w:val="BodyText"/>
        <w:numPr>
          <w:ilvl w:val="0"/>
          <w:numId w:val="103"/>
        </w:numPr>
        <w:spacing w:after="240"/>
        <w:jc w:val="both"/>
        <w:rPr>
          <w:rFonts w:asciiTheme="majorHAnsi" w:hAnsiTheme="majorHAnsi"/>
          <w:spacing w:val="2"/>
          <w:sz w:val="20"/>
          <w:szCs w:val="20"/>
          <w:lang w:val="es-AR"/>
        </w:rPr>
      </w:pPr>
      <w:r w:rsidRPr="003E1644">
        <w:rPr>
          <w:rFonts w:asciiTheme="majorHAnsi" w:hAnsiTheme="majorHAnsi"/>
          <w:sz w:val="20"/>
          <w:szCs w:val="20"/>
          <w:lang w:val="es-AR"/>
        </w:rPr>
        <w:t xml:space="preserve">Frente a esta nueva condena, </w:t>
      </w:r>
      <w:r w:rsidR="0079588C" w:rsidRPr="003E1644">
        <w:rPr>
          <w:rFonts w:asciiTheme="majorHAnsi" w:hAnsiTheme="majorHAnsi"/>
          <w:sz w:val="20"/>
          <w:szCs w:val="20"/>
          <w:lang w:val="es-AR"/>
        </w:rPr>
        <w:t>la</w:t>
      </w:r>
      <w:r w:rsidR="0079588C" w:rsidRPr="003E1644">
        <w:rPr>
          <w:rFonts w:asciiTheme="majorHAnsi" w:hAnsiTheme="majorHAnsi"/>
          <w:spacing w:val="-2"/>
          <w:sz w:val="20"/>
          <w:szCs w:val="20"/>
          <w:lang w:val="es-AR"/>
        </w:rPr>
        <w:t xml:space="preserve"> </w:t>
      </w:r>
      <w:r w:rsidR="0079588C" w:rsidRPr="003E1644">
        <w:rPr>
          <w:rFonts w:asciiTheme="majorHAnsi" w:hAnsiTheme="majorHAnsi"/>
          <w:sz w:val="20"/>
          <w:szCs w:val="20"/>
          <w:lang w:val="es-AR"/>
        </w:rPr>
        <w:t>defensa</w:t>
      </w:r>
      <w:r w:rsidR="0079588C" w:rsidRPr="003E1644">
        <w:rPr>
          <w:rFonts w:asciiTheme="majorHAnsi" w:hAnsiTheme="majorHAnsi"/>
          <w:spacing w:val="-3"/>
          <w:sz w:val="20"/>
          <w:szCs w:val="20"/>
          <w:lang w:val="es-AR"/>
        </w:rPr>
        <w:t xml:space="preserve"> </w:t>
      </w:r>
      <w:r w:rsidR="0079588C" w:rsidRPr="003E1644">
        <w:rPr>
          <w:rFonts w:asciiTheme="majorHAnsi" w:hAnsiTheme="majorHAnsi"/>
          <w:sz w:val="20"/>
          <w:szCs w:val="20"/>
          <w:lang w:val="es-AR"/>
        </w:rPr>
        <w:t>presentó</w:t>
      </w:r>
      <w:r w:rsidRPr="003E1644">
        <w:rPr>
          <w:rFonts w:asciiTheme="majorHAnsi" w:hAnsiTheme="majorHAnsi"/>
          <w:sz w:val="20"/>
          <w:szCs w:val="20"/>
          <w:lang w:val="es-AR"/>
        </w:rPr>
        <w:t xml:space="preserve"> el 3 de abril de 2014</w:t>
      </w:r>
      <w:r w:rsidR="0079588C" w:rsidRPr="003E1644">
        <w:rPr>
          <w:rFonts w:asciiTheme="majorHAnsi" w:hAnsiTheme="majorHAnsi"/>
          <w:spacing w:val="-3"/>
          <w:sz w:val="20"/>
          <w:szCs w:val="20"/>
          <w:lang w:val="es-AR"/>
        </w:rPr>
        <w:t xml:space="preserve"> </w:t>
      </w:r>
      <w:r w:rsidR="0079588C" w:rsidRPr="003E1644">
        <w:rPr>
          <w:rFonts w:asciiTheme="majorHAnsi" w:hAnsiTheme="majorHAnsi"/>
          <w:sz w:val="20"/>
          <w:szCs w:val="20"/>
          <w:lang w:val="es-AR"/>
        </w:rPr>
        <w:t>otro recurso de casación</w:t>
      </w:r>
      <w:r w:rsidR="0044664F" w:rsidRPr="003E1644">
        <w:rPr>
          <w:rFonts w:asciiTheme="majorHAnsi" w:hAnsiTheme="majorHAnsi"/>
          <w:sz w:val="20"/>
          <w:szCs w:val="20"/>
          <w:lang w:val="es-AR"/>
        </w:rPr>
        <w:t xml:space="preserve"> por violación del principio de la presunción de inocencia del señor Morales</w:t>
      </w:r>
      <w:r w:rsidR="00C152C1" w:rsidRPr="003E1644">
        <w:rPr>
          <w:rFonts w:asciiTheme="majorHAnsi" w:hAnsiTheme="majorHAnsi"/>
          <w:sz w:val="20"/>
          <w:szCs w:val="20"/>
          <w:lang w:val="es-AR"/>
        </w:rPr>
        <w:t xml:space="preserve"> y del debido proceso</w:t>
      </w:r>
      <w:r w:rsidR="0044664F" w:rsidRPr="003E1644">
        <w:rPr>
          <w:rFonts w:asciiTheme="majorHAnsi" w:hAnsiTheme="majorHAnsi"/>
          <w:sz w:val="20"/>
          <w:szCs w:val="20"/>
          <w:lang w:val="es-AR"/>
        </w:rPr>
        <w:t xml:space="preserve"> ante la Sala Penal de la Corte Suprema de Justicia.</w:t>
      </w:r>
      <w:r w:rsidR="0000597D" w:rsidRPr="003E1644">
        <w:rPr>
          <w:rFonts w:asciiTheme="majorHAnsi" w:hAnsiTheme="majorHAnsi"/>
          <w:sz w:val="20"/>
          <w:szCs w:val="20"/>
          <w:lang w:val="es-AR"/>
        </w:rPr>
        <w:t xml:space="preserve"> El 14 de abril de 2015, </w:t>
      </w:r>
      <w:r w:rsidR="0044664F" w:rsidRPr="003E1644">
        <w:rPr>
          <w:rFonts w:asciiTheme="majorHAnsi" w:hAnsiTheme="majorHAnsi"/>
          <w:sz w:val="20"/>
          <w:szCs w:val="20"/>
          <w:lang w:val="es-AR"/>
        </w:rPr>
        <w:t xml:space="preserve">dicho organismo </w:t>
      </w:r>
      <w:r w:rsidR="00B36826" w:rsidRPr="003E1644">
        <w:rPr>
          <w:rFonts w:asciiTheme="majorHAnsi" w:hAnsiTheme="majorHAnsi"/>
          <w:sz w:val="20"/>
          <w:szCs w:val="20"/>
          <w:lang w:val="es-AR"/>
        </w:rPr>
        <w:t>determinó</w:t>
      </w:r>
      <w:r w:rsidR="0079588C" w:rsidRPr="003E1644">
        <w:rPr>
          <w:rFonts w:asciiTheme="majorHAnsi" w:hAnsiTheme="majorHAnsi"/>
          <w:sz w:val="20"/>
          <w:szCs w:val="20"/>
          <w:lang w:val="es-AR"/>
        </w:rPr>
        <w:t xml:space="preserve"> que</w:t>
      </w:r>
      <w:r w:rsidR="0000597D" w:rsidRPr="003E1644">
        <w:rPr>
          <w:rFonts w:asciiTheme="majorHAnsi" w:hAnsiTheme="majorHAnsi"/>
          <w:sz w:val="20"/>
          <w:szCs w:val="20"/>
          <w:lang w:val="es-AR"/>
        </w:rPr>
        <w:t xml:space="preserve"> se vulneró el</w:t>
      </w:r>
      <w:r w:rsidR="0079588C" w:rsidRPr="003E1644">
        <w:rPr>
          <w:rFonts w:asciiTheme="majorHAnsi" w:hAnsiTheme="majorHAnsi"/>
          <w:sz w:val="20"/>
          <w:szCs w:val="20"/>
          <w:lang w:val="es-AR"/>
        </w:rPr>
        <w:t xml:space="preserve"> derecho a la defensa y al debido proceso</w:t>
      </w:r>
      <w:r w:rsidR="00D763BE" w:rsidRPr="003E1644">
        <w:rPr>
          <w:rFonts w:asciiTheme="majorHAnsi" w:hAnsiTheme="majorHAnsi"/>
          <w:sz w:val="20"/>
          <w:szCs w:val="20"/>
          <w:lang w:val="es-AR"/>
        </w:rPr>
        <w:t xml:space="preserve">; y </w:t>
      </w:r>
      <w:r w:rsidR="0079588C" w:rsidRPr="003E1644">
        <w:rPr>
          <w:rFonts w:asciiTheme="majorHAnsi" w:hAnsiTheme="majorHAnsi"/>
          <w:sz w:val="20"/>
          <w:szCs w:val="20"/>
          <w:lang w:val="es-AR"/>
        </w:rPr>
        <w:t>ordenó</w:t>
      </w:r>
      <w:r w:rsidR="005B16A7" w:rsidRPr="003E1644">
        <w:rPr>
          <w:rFonts w:asciiTheme="majorHAnsi" w:hAnsiTheme="majorHAnsi"/>
          <w:sz w:val="20"/>
          <w:szCs w:val="20"/>
          <w:lang w:val="es-AR"/>
        </w:rPr>
        <w:t xml:space="preserve"> nuevamente</w:t>
      </w:r>
      <w:r w:rsidR="0079588C" w:rsidRPr="003E1644">
        <w:rPr>
          <w:rFonts w:asciiTheme="majorHAnsi" w:hAnsiTheme="majorHAnsi"/>
          <w:sz w:val="20"/>
          <w:szCs w:val="20"/>
          <w:lang w:val="es-AR"/>
        </w:rPr>
        <w:t xml:space="preserve"> la</w:t>
      </w:r>
      <w:r w:rsidR="0079588C" w:rsidRPr="003E1644">
        <w:rPr>
          <w:rFonts w:asciiTheme="majorHAnsi" w:hAnsiTheme="majorHAnsi"/>
          <w:spacing w:val="-8"/>
          <w:sz w:val="20"/>
          <w:szCs w:val="20"/>
          <w:lang w:val="es-AR"/>
        </w:rPr>
        <w:t xml:space="preserve"> </w:t>
      </w:r>
      <w:r w:rsidR="0079588C" w:rsidRPr="003E1644">
        <w:rPr>
          <w:rFonts w:asciiTheme="majorHAnsi" w:hAnsiTheme="majorHAnsi"/>
          <w:sz w:val="20"/>
          <w:szCs w:val="20"/>
          <w:lang w:val="es-AR"/>
        </w:rPr>
        <w:t>repetición</w:t>
      </w:r>
      <w:r w:rsidR="0079588C" w:rsidRPr="003E1644">
        <w:rPr>
          <w:rFonts w:asciiTheme="majorHAnsi" w:hAnsiTheme="majorHAnsi"/>
          <w:spacing w:val="-5"/>
          <w:sz w:val="20"/>
          <w:szCs w:val="20"/>
          <w:lang w:val="es-AR"/>
        </w:rPr>
        <w:t xml:space="preserve"> </w:t>
      </w:r>
      <w:r w:rsidR="0079588C" w:rsidRPr="003E1644">
        <w:rPr>
          <w:rFonts w:asciiTheme="majorHAnsi" w:hAnsiTheme="majorHAnsi"/>
          <w:sz w:val="20"/>
          <w:szCs w:val="20"/>
          <w:lang w:val="es-AR"/>
        </w:rPr>
        <w:t>del</w:t>
      </w:r>
      <w:r w:rsidR="0079588C" w:rsidRPr="003E1644">
        <w:rPr>
          <w:rFonts w:asciiTheme="majorHAnsi" w:hAnsiTheme="majorHAnsi"/>
          <w:spacing w:val="-2"/>
          <w:sz w:val="20"/>
          <w:szCs w:val="20"/>
          <w:lang w:val="es-AR"/>
        </w:rPr>
        <w:t xml:space="preserve"> </w:t>
      </w:r>
      <w:r w:rsidR="0079588C" w:rsidRPr="003E1644">
        <w:rPr>
          <w:rFonts w:asciiTheme="majorHAnsi" w:hAnsiTheme="majorHAnsi"/>
          <w:sz w:val="20"/>
          <w:szCs w:val="20"/>
          <w:lang w:val="es-AR"/>
        </w:rPr>
        <w:t>juicio.</w:t>
      </w:r>
      <w:r w:rsidR="0000597D" w:rsidRPr="003E1644">
        <w:rPr>
          <w:rFonts w:asciiTheme="majorHAnsi" w:hAnsiTheme="majorHAnsi"/>
          <w:spacing w:val="2"/>
          <w:sz w:val="20"/>
          <w:szCs w:val="20"/>
          <w:lang w:val="es-AR"/>
        </w:rPr>
        <w:t xml:space="preserve"> </w:t>
      </w:r>
      <w:r w:rsidR="0000597D" w:rsidRPr="003E1644">
        <w:rPr>
          <w:rFonts w:asciiTheme="majorHAnsi" w:hAnsiTheme="majorHAnsi"/>
          <w:sz w:val="20"/>
          <w:szCs w:val="20"/>
          <w:lang w:val="es-AR"/>
        </w:rPr>
        <w:t>En</w:t>
      </w:r>
      <w:r w:rsidR="0079588C" w:rsidRPr="003E1644">
        <w:rPr>
          <w:rFonts w:asciiTheme="majorHAnsi" w:hAnsiTheme="majorHAnsi"/>
          <w:sz w:val="20"/>
          <w:szCs w:val="20"/>
          <w:lang w:val="es-AR"/>
        </w:rPr>
        <w:t xml:space="preserve"> julio de 2015 el Tribunal de Sentencia</w:t>
      </w:r>
      <w:r w:rsidR="0044664F" w:rsidRPr="003E1644">
        <w:rPr>
          <w:rFonts w:asciiTheme="majorHAnsi" w:hAnsiTheme="majorHAnsi"/>
          <w:sz w:val="20"/>
          <w:szCs w:val="20"/>
          <w:lang w:val="es-AR"/>
        </w:rPr>
        <w:t xml:space="preserve"> de Trujillo</w:t>
      </w:r>
      <w:r w:rsidR="0000597D" w:rsidRPr="003E1644">
        <w:rPr>
          <w:rFonts w:asciiTheme="majorHAnsi" w:hAnsiTheme="majorHAnsi"/>
          <w:sz w:val="20"/>
          <w:szCs w:val="20"/>
          <w:lang w:val="es-AR"/>
        </w:rPr>
        <w:t xml:space="preserve"> </w:t>
      </w:r>
      <w:r w:rsidR="00B36826" w:rsidRPr="003E1644">
        <w:rPr>
          <w:rFonts w:asciiTheme="majorHAnsi" w:hAnsiTheme="majorHAnsi"/>
          <w:sz w:val="20"/>
          <w:szCs w:val="20"/>
          <w:lang w:val="es-AR"/>
        </w:rPr>
        <w:t>decidió</w:t>
      </w:r>
      <w:r w:rsidR="0079588C" w:rsidRPr="003E1644">
        <w:rPr>
          <w:rFonts w:asciiTheme="majorHAnsi" w:hAnsiTheme="majorHAnsi"/>
          <w:sz w:val="20"/>
          <w:szCs w:val="20"/>
          <w:lang w:val="es-AR"/>
        </w:rPr>
        <w:t xml:space="preserve"> revocar la medida de prisión preventiva</w:t>
      </w:r>
      <w:r w:rsidR="0044664F" w:rsidRPr="003E1644">
        <w:rPr>
          <w:rFonts w:asciiTheme="majorHAnsi" w:hAnsiTheme="majorHAnsi"/>
          <w:sz w:val="20"/>
          <w:szCs w:val="20"/>
          <w:lang w:val="es-AR"/>
        </w:rPr>
        <w:t xml:space="preserve"> ya que había alcanzado características de una pena anticipada y la sustituyó por las medidas de presentación al tribunal una vez por semana, quedar al cuidado y vigilancia de su apoderado legal</w:t>
      </w:r>
      <w:r w:rsidR="0000597D" w:rsidRPr="003E1644">
        <w:rPr>
          <w:rFonts w:asciiTheme="majorHAnsi" w:hAnsiTheme="majorHAnsi"/>
          <w:sz w:val="20"/>
          <w:szCs w:val="20"/>
          <w:lang w:val="es-AR"/>
        </w:rPr>
        <w:t xml:space="preserve">. </w:t>
      </w:r>
      <w:r w:rsidR="007133F4" w:rsidRPr="003E1644">
        <w:rPr>
          <w:rFonts w:asciiTheme="majorHAnsi" w:hAnsiTheme="majorHAnsi"/>
          <w:sz w:val="20"/>
          <w:szCs w:val="20"/>
          <w:lang w:val="es-AR"/>
        </w:rPr>
        <w:t xml:space="preserve">El 28 de septiembre de 2015 se celebró el último juicio oral y público, pero fue suspendido el 2 de octubre, dado que el Ministerio Público no habría podido localizar a dos de sus testigos. </w:t>
      </w:r>
      <w:r w:rsidR="00E1732B" w:rsidRPr="003E1644">
        <w:rPr>
          <w:rFonts w:asciiTheme="majorHAnsi" w:hAnsiTheme="majorHAnsi"/>
          <w:sz w:val="20"/>
          <w:szCs w:val="20"/>
          <w:lang w:val="es-AR"/>
        </w:rPr>
        <w:t>Finalmente, e</w:t>
      </w:r>
      <w:r w:rsidR="007133F4" w:rsidRPr="003E1644">
        <w:rPr>
          <w:rFonts w:asciiTheme="majorHAnsi" w:hAnsiTheme="majorHAnsi"/>
          <w:sz w:val="20"/>
          <w:szCs w:val="20"/>
          <w:lang w:val="es-AR"/>
        </w:rPr>
        <w:t xml:space="preserve">l 26 de abril de 2016 el Tribunal de Sentencia de Trujillo determinó la inocencia del señor Morales, siendo las partes notificadas el 9 y 20 de mayo del mismo año. </w:t>
      </w:r>
    </w:p>
    <w:p w14:paraId="1EAAAC9F" w14:textId="16255DDB" w:rsidR="00561637" w:rsidRPr="003E1644" w:rsidRDefault="00944595" w:rsidP="003C08E3">
      <w:pPr>
        <w:pStyle w:val="BodyText"/>
        <w:numPr>
          <w:ilvl w:val="0"/>
          <w:numId w:val="103"/>
        </w:numPr>
        <w:spacing w:after="240"/>
        <w:jc w:val="both"/>
        <w:rPr>
          <w:rFonts w:asciiTheme="majorHAnsi" w:hAnsiTheme="majorHAnsi"/>
          <w:spacing w:val="2"/>
          <w:sz w:val="20"/>
          <w:szCs w:val="20"/>
          <w:lang w:val="es-AR"/>
        </w:rPr>
      </w:pPr>
      <w:r w:rsidRPr="003E1644">
        <w:rPr>
          <w:rFonts w:asciiTheme="majorHAnsi" w:hAnsiTheme="majorHAnsi"/>
          <w:sz w:val="20"/>
          <w:szCs w:val="20"/>
          <w:lang w:val="es-AR"/>
        </w:rPr>
        <w:t xml:space="preserve">Los peticionarios alegan </w:t>
      </w:r>
      <w:r w:rsidR="00561637" w:rsidRPr="003E1644">
        <w:rPr>
          <w:rFonts w:asciiTheme="majorHAnsi" w:hAnsiTheme="majorHAnsi"/>
          <w:sz w:val="20"/>
          <w:szCs w:val="20"/>
          <w:lang w:val="es-AR"/>
        </w:rPr>
        <w:t xml:space="preserve">que se </w:t>
      </w:r>
      <w:r w:rsidR="0044664F" w:rsidRPr="003E1644">
        <w:rPr>
          <w:rFonts w:asciiTheme="majorHAnsi" w:hAnsiTheme="majorHAnsi"/>
          <w:sz w:val="20"/>
          <w:szCs w:val="20"/>
          <w:lang w:val="es-AR"/>
        </w:rPr>
        <w:t>vulneró</w:t>
      </w:r>
      <w:r w:rsidR="00561637" w:rsidRPr="003E1644">
        <w:rPr>
          <w:rFonts w:asciiTheme="majorHAnsi" w:hAnsiTheme="majorHAnsi"/>
          <w:sz w:val="20"/>
          <w:szCs w:val="20"/>
          <w:lang w:val="es-AR"/>
        </w:rPr>
        <w:t xml:space="preserve"> el derecho del señor </w:t>
      </w:r>
      <w:r w:rsidR="007D64E6">
        <w:rPr>
          <w:rFonts w:asciiTheme="majorHAnsi" w:hAnsiTheme="majorHAnsi"/>
          <w:sz w:val="20"/>
          <w:szCs w:val="20"/>
          <w:lang w:val="es-AR"/>
        </w:rPr>
        <w:t>M</w:t>
      </w:r>
      <w:r w:rsidR="00561637" w:rsidRPr="003E1644">
        <w:rPr>
          <w:rFonts w:asciiTheme="majorHAnsi" w:hAnsiTheme="majorHAnsi"/>
          <w:sz w:val="20"/>
          <w:szCs w:val="20"/>
          <w:lang w:val="es-AR"/>
        </w:rPr>
        <w:t>orales a su libertad personal</w:t>
      </w:r>
      <w:r w:rsidR="00091B83" w:rsidRPr="003E1644">
        <w:rPr>
          <w:rFonts w:asciiTheme="majorHAnsi" w:hAnsiTheme="majorHAnsi"/>
          <w:sz w:val="20"/>
          <w:szCs w:val="20"/>
          <w:lang w:val="es-AR"/>
        </w:rPr>
        <w:t>,</w:t>
      </w:r>
      <w:r w:rsidR="00561637" w:rsidRPr="003E1644">
        <w:rPr>
          <w:rFonts w:asciiTheme="majorHAnsi" w:hAnsiTheme="majorHAnsi"/>
          <w:sz w:val="20"/>
          <w:szCs w:val="20"/>
          <w:lang w:val="es-AR"/>
        </w:rPr>
        <w:t xml:space="preserve"> dado que permaneció privado de libertad por seis años, nueve meses y siete días, sin que en ningún momento se haya justificado que existían indicios suficientes para presumir su responsabilidad por los hechos de que se le acusaban o que la adopción de esta medida era necesaria. Prueba de ello </w:t>
      </w:r>
      <w:r w:rsidR="00E83254" w:rsidRPr="003E1644">
        <w:rPr>
          <w:rFonts w:asciiTheme="majorHAnsi" w:hAnsiTheme="majorHAnsi"/>
          <w:sz w:val="20"/>
          <w:szCs w:val="20"/>
          <w:lang w:val="es-AR"/>
        </w:rPr>
        <w:t>sería</w:t>
      </w:r>
      <w:r w:rsidR="00561637" w:rsidRPr="003E1644">
        <w:rPr>
          <w:rFonts w:asciiTheme="majorHAnsi" w:hAnsiTheme="majorHAnsi"/>
          <w:sz w:val="20"/>
          <w:szCs w:val="20"/>
          <w:lang w:val="es-AR"/>
        </w:rPr>
        <w:t xml:space="preserve"> que luego de haber transcurrido el tiempo señalado el juez a cargo de la causa decidió sustituir la medida de prisión preventiva</w:t>
      </w:r>
      <w:r w:rsidR="00E83254" w:rsidRPr="003E1644">
        <w:rPr>
          <w:rFonts w:asciiTheme="majorHAnsi" w:hAnsiTheme="majorHAnsi"/>
          <w:sz w:val="20"/>
          <w:szCs w:val="20"/>
          <w:lang w:val="es-AR"/>
        </w:rPr>
        <w:t>;</w:t>
      </w:r>
      <w:r w:rsidR="00561637" w:rsidRPr="003E1644">
        <w:rPr>
          <w:rFonts w:asciiTheme="majorHAnsi" w:hAnsiTheme="majorHAnsi"/>
          <w:sz w:val="20"/>
          <w:szCs w:val="20"/>
          <w:lang w:val="es-AR"/>
        </w:rPr>
        <w:t xml:space="preserve"> y </w:t>
      </w:r>
      <w:r w:rsidR="00E83254" w:rsidRPr="003E1644">
        <w:rPr>
          <w:rFonts w:asciiTheme="majorHAnsi" w:hAnsiTheme="majorHAnsi"/>
          <w:sz w:val="20"/>
          <w:szCs w:val="20"/>
          <w:lang w:val="es-AR"/>
        </w:rPr>
        <w:t xml:space="preserve">que </w:t>
      </w:r>
      <w:r w:rsidR="00561637" w:rsidRPr="003E1644">
        <w:rPr>
          <w:rFonts w:asciiTheme="majorHAnsi" w:hAnsiTheme="majorHAnsi"/>
          <w:sz w:val="20"/>
          <w:szCs w:val="20"/>
          <w:lang w:val="es-AR"/>
        </w:rPr>
        <w:t>finalmente el señor José Isabel Morales fue absuelto de los cargos.</w:t>
      </w:r>
    </w:p>
    <w:p w14:paraId="5DECAFD9" w14:textId="73A48560" w:rsidR="00F66492" w:rsidRPr="003E1644" w:rsidRDefault="00561637" w:rsidP="003C08E3">
      <w:pPr>
        <w:pStyle w:val="ListParagraph"/>
        <w:numPr>
          <w:ilvl w:val="0"/>
          <w:numId w:val="103"/>
        </w:numPr>
        <w:spacing w:after="240"/>
        <w:jc w:val="both"/>
        <w:rPr>
          <w:rFonts w:asciiTheme="majorHAnsi" w:hAnsiTheme="majorHAnsi" w:cstheme="majorHAnsi"/>
          <w:sz w:val="20"/>
          <w:szCs w:val="20"/>
          <w:lang w:val="es-AR"/>
        </w:rPr>
      </w:pPr>
      <w:r w:rsidRPr="003E1644">
        <w:rPr>
          <w:rFonts w:asciiTheme="majorHAnsi" w:hAnsiTheme="majorHAnsi"/>
          <w:sz w:val="20"/>
          <w:szCs w:val="20"/>
          <w:lang w:val="es-AR"/>
        </w:rPr>
        <w:t xml:space="preserve">Finalmente, </w:t>
      </w:r>
      <w:r w:rsidR="00944595" w:rsidRPr="003E1644">
        <w:rPr>
          <w:rFonts w:asciiTheme="majorHAnsi" w:hAnsiTheme="majorHAnsi"/>
          <w:sz w:val="20"/>
          <w:szCs w:val="20"/>
          <w:lang w:val="es-AR"/>
        </w:rPr>
        <w:t xml:space="preserve">los peticionarios alegan </w:t>
      </w:r>
      <w:r w:rsidRPr="003E1644">
        <w:rPr>
          <w:rFonts w:asciiTheme="majorHAnsi" w:hAnsiTheme="majorHAnsi"/>
          <w:sz w:val="20"/>
          <w:szCs w:val="20"/>
          <w:lang w:val="es-AR"/>
        </w:rPr>
        <w:t xml:space="preserve">que Honduras no </w:t>
      </w:r>
      <w:r w:rsidR="0044664F" w:rsidRPr="003E1644">
        <w:rPr>
          <w:rFonts w:asciiTheme="majorHAnsi" w:hAnsiTheme="majorHAnsi"/>
          <w:sz w:val="20"/>
          <w:szCs w:val="20"/>
          <w:lang w:val="es-AR"/>
        </w:rPr>
        <w:t>acat</w:t>
      </w:r>
      <w:r w:rsidR="000A1409" w:rsidRPr="003E1644">
        <w:rPr>
          <w:rFonts w:asciiTheme="majorHAnsi" w:hAnsiTheme="majorHAnsi"/>
          <w:sz w:val="20"/>
          <w:szCs w:val="20"/>
          <w:lang w:val="es-AR"/>
        </w:rPr>
        <w:t>ó</w:t>
      </w:r>
      <w:r w:rsidR="0044664F" w:rsidRPr="003E1644">
        <w:rPr>
          <w:rFonts w:asciiTheme="majorHAnsi" w:hAnsiTheme="majorHAnsi"/>
          <w:sz w:val="20"/>
          <w:szCs w:val="20"/>
          <w:lang w:val="es-AR"/>
        </w:rPr>
        <w:t xml:space="preserve"> el mandato de la Convención </w:t>
      </w:r>
      <w:r w:rsidR="00F66492" w:rsidRPr="003E1644">
        <w:rPr>
          <w:rFonts w:asciiTheme="majorHAnsi" w:hAnsiTheme="majorHAnsi"/>
          <w:sz w:val="20"/>
          <w:szCs w:val="20"/>
          <w:lang w:val="es-AR"/>
        </w:rPr>
        <w:t xml:space="preserve">durante todo el proceso. </w:t>
      </w:r>
      <w:r w:rsidR="008055E6" w:rsidRPr="003E1644">
        <w:rPr>
          <w:rFonts w:asciiTheme="majorHAnsi" w:hAnsiTheme="majorHAnsi"/>
          <w:sz w:val="20"/>
          <w:szCs w:val="20"/>
          <w:lang w:val="es-AR"/>
        </w:rPr>
        <w:t xml:space="preserve">En el transcurso del </w:t>
      </w:r>
      <w:r w:rsidR="00F66492" w:rsidRPr="003E1644">
        <w:rPr>
          <w:rFonts w:asciiTheme="majorHAnsi" w:hAnsiTheme="majorHAnsi"/>
          <w:sz w:val="20"/>
          <w:szCs w:val="20"/>
          <w:lang w:val="es-AR"/>
        </w:rPr>
        <w:t xml:space="preserve">juicio sucedieron una serie de hechos que violaron los principios más elementales del debido proceso. No existían pruebas fehacientes de la autoría de los hechos imputados a la presunta víctima y se veía afectada la presunción de inocencia al permitir la detención preventiva. Además, las conclusiones a las que arribó el Tribunal de Sentencia de Trujillo que condenó a José Isabel Morales, habrían </w:t>
      </w:r>
      <w:r w:rsidR="00F66492" w:rsidRPr="003E1644">
        <w:rPr>
          <w:rFonts w:asciiTheme="majorHAnsi" w:hAnsiTheme="majorHAnsi"/>
          <w:sz w:val="20"/>
          <w:szCs w:val="20"/>
          <w:lang w:val="es-AR"/>
        </w:rPr>
        <w:lastRenderedPageBreak/>
        <w:t>carecido de racionalidad violentando las reglas de la sana crítica, hasta el punto de convertirse en arbitrarias</w:t>
      </w:r>
      <w:r w:rsidR="0084242A" w:rsidRPr="003E1644">
        <w:rPr>
          <w:rFonts w:asciiTheme="majorHAnsi" w:hAnsiTheme="majorHAnsi"/>
          <w:sz w:val="20"/>
          <w:szCs w:val="20"/>
          <w:lang w:val="es-AR"/>
        </w:rPr>
        <w:t>,</w:t>
      </w:r>
      <w:r w:rsidR="00F66492" w:rsidRPr="003E1644">
        <w:rPr>
          <w:rFonts w:asciiTheme="majorHAnsi" w:hAnsiTheme="majorHAnsi"/>
          <w:sz w:val="20"/>
          <w:szCs w:val="20"/>
          <w:lang w:val="es-AR"/>
        </w:rPr>
        <w:t xml:space="preserve"> por no derivarse en modo alguno de la prueba que fue vertida en juicio. Además, </w:t>
      </w:r>
      <w:r w:rsidR="001A2FDC" w:rsidRPr="003E1644">
        <w:rPr>
          <w:rFonts w:asciiTheme="majorHAnsi" w:hAnsiTheme="majorHAnsi"/>
          <w:sz w:val="20"/>
          <w:szCs w:val="20"/>
          <w:lang w:val="es-AR"/>
        </w:rPr>
        <w:t>denuncian</w:t>
      </w:r>
      <w:r w:rsidR="00F66492" w:rsidRPr="003E1644">
        <w:rPr>
          <w:rFonts w:asciiTheme="majorHAnsi" w:hAnsiTheme="majorHAnsi"/>
          <w:sz w:val="20"/>
          <w:szCs w:val="20"/>
          <w:lang w:val="es-AR"/>
        </w:rPr>
        <w:t xml:space="preserve"> una demora en todas las instancias judiciales internas. Este retraso tuvo como consecuencia que el señor José Isabel Morales permaneciera privado de su libertad por </w:t>
      </w:r>
      <w:r w:rsidR="00AD2725" w:rsidRPr="003E1644">
        <w:rPr>
          <w:rFonts w:asciiTheme="majorHAnsi" w:hAnsiTheme="majorHAnsi"/>
          <w:sz w:val="20"/>
          <w:szCs w:val="20"/>
          <w:lang w:val="es-AR"/>
        </w:rPr>
        <w:t>seis</w:t>
      </w:r>
      <w:r w:rsidR="00F66492" w:rsidRPr="003E1644">
        <w:rPr>
          <w:rFonts w:asciiTheme="majorHAnsi" w:hAnsiTheme="majorHAnsi"/>
          <w:sz w:val="20"/>
          <w:szCs w:val="20"/>
          <w:lang w:val="es-AR"/>
        </w:rPr>
        <w:t xml:space="preserve"> años y </w:t>
      </w:r>
      <w:r w:rsidR="00AD2725" w:rsidRPr="003E1644">
        <w:rPr>
          <w:rFonts w:asciiTheme="majorHAnsi" w:hAnsiTheme="majorHAnsi"/>
          <w:sz w:val="20"/>
          <w:szCs w:val="20"/>
          <w:lang w:val="es-AR"/>
        </w:rPr>
        <w:t>seis</w:t>
      </w:r>
      <w:r w:rsidR="00F66492" w:rsidRPr="003E1644">
        <w:rPr>
          <w:rFonts w:asciiTheme="majorHAnsi" w:hAnsiTheme="majorHAnsi"/>
          <w:sz w:val="20"/>
          <w:szCs w:val="20"/>
          <w:lang w:val="es-AR"/>
        </w:rPr>
        <w:t xml:space="preserve"> meses</w:t>
      </w:r>
      <w:r w:rsidR="00AD2725" w:rsidRPr="003E1644">
        <w:rPr>
          <w:rFonts w:asciiTheme="majorHAnsi" w:hAnsiTheme="majorHAnsi"/>
          <w:sz w:val="20"/>
          <w:szCs w:val="20"/>
          <w:lang w:val="es-AR"/>
        </w:rPr>
        <w:t>; permaneciendo procesado por</w:t>
      </w:r>
      <w:r w:rsidR="00F66492" w:rsidRPr="003E1644">
        <w:rPr>
          <w:rFonts w:asciiTheme="majorHAnsi" w:hAnsiTheme="majorHAnsi"/>
          <w:sz w:val="20"/>
          <w:szCs w:val="20"/>
          <w:lang w:val="es-AR"/>
        </w:rPr>
        <w:t xml:space="preserve"> </w:t>
      </w:r>
      <w:r w:rsidR="00AD2725" w:rsidRPr="003E1644">
        <w:rPr>
          <w:rFonts w:asciiTheme="majorHAnsi" w:hAnsiTheme="majorHAnsi"/>
          <w:sz w:val="20"/>
          <w:szCs w:val="20"/>
          <w:lang w:val="es-AR"/>
        </w:rPr>
        <w:t>siete</w:t>
      </w:r>
      <w:r w:rsidR="00F66492" w:rsidRPr="003E1644">
        <w:rPr>
          <w:rFonts w:asciiTheme="majorHAnsi" w:hAnsiTheme="majorHAnsi"/>
          <w:sz w:val="20"/>
          <w:szCs w:val="20"/>
          <w:lang w:val="es-AR"/>
        </w:rPr>
        <w:t xml:space="preserve"> años y </w:t>
      </w:r>
      <w:r w:rsidR="00AD2725" w:rsidRPr="003E1644">
        <w:rPr>
          <w:rFonts w:asciiTheme="majorHAnsi" w:hAnsiTheme="majorHAnsi"/>
          <w:sz w:val="20"/>
          <w:szCs w:val="20"/>
          <w:lang w:val="es-AR"/>
        </w:rPr>
        <w:t>dos</w:t>
      </w:r>
      <w:r w:rsidR="00F66492" w:rsidRPr="003E1644">
        <w:rPr>
          <w:rFonts w:asciiTheme="majorHAnsi" w:hAnsiTheme="majorHAnsi"/>
          <w:sz w:val="20"/>
          <w:szCs w:val="20"/>
          <w:lang w:val="es-AR"/>
        </w:rPr>
        <w:t xml:space="preserve"> meses, lo cual afectó varios de sus derechos, entre ellos, el derecho al acceso a la justicia contenido en el artículo 25 de la Convención Americana y el derecho a las garantías judiciales contenido en </w:t>
      </w:r>
      <w:r w:rsidR="002C2F2F" w:rsidRPr="003E1644">
        <w:rPr>
          <w:rFonts w:asciiTheme="majorHAnsi" w:hAnsiTheme="majorHAnsi"/>
          <w:sz w:val="20"/>
          <w:szCs w:val="20"/>
          <w:lang w:val="es-AR"/>
        </w:rPr>
        <w:t>su</w:t>
      </w:r>
      <w:r w:rsidR="00F66492" w:rsidRPr="003E1644">
        <w:rPr>
          <w:rFonts w:asciiTheme="majorHAnsi" w:hAnsiTheme="majorHAnsi"/>
          <w:sz w:val="20"/>
          <w:szCs w:val="20"/>
          <w:lang w:val="es-AR"/>
        </w:rPr>
        <w:t xml:space="preserve"> artículo 8.</w:t>
      </w:r>
    </w:p>
    <w:p w14:paraId="32486C8B" w14:textId="4D75BB20" w:rsidR="00966EBB" w:rsidRPr="003E1644" w:rsidRDefault="00966EBB" w:rsidP="003C08E3">
      <w:pPr>
        <w:pStyle w:val="ListParagraph"/>
        <w:spacing w:after="240"/>
        <w:jc w:val="both"/>
        <w:rPr>
          <w:rFonts w:asciiTheme="majorHAnsi" w:hAnsiTheme="majorHAnsi"/>
          <w:i/>
          <w:iCs/>
          <w:sz w:val="20"/>
          <w:szCs w:val="20"/>
          <w:lang w:val="es-AR"/>
        </w:rPr>
      </w:pPr>
      <w:r w:rsidRPr="003E1644">
        <w:rPr>
          <w:rFonts w:asciiTheme="majorHAnsi" w:hAnsiTheme="majorHAnsi"/>
          <w:i/>
          <w:iCs/>
          <w:color w:val="auto"/>
          <w:sz w:val="20"/>
          <w:szCs w:val="20"/>
          <w:lang w:val="es-AR"/>
        </w:rPr>
        <w:t xml:space="preserve">Alegados </w:t>
      </w:r>
      <w:r w:rsidRPr="003E1644">
        <w:rPr>
          <w:rFonts w:asciiTheme="majorHAnsi" w:hAnsiTheme="majorHAnsi"/>
          <w:i/>
          <w:iCs/>
          <w:sz w:val="20"/>
          <w:szCs w:val="20"/>
          <w:lang w:val="es-AR"/>
        </w:rPr>
        <w:t>malos tratos sufridos por el señor Morales durante su detención</w:t>
      </w:r>
    </w:p>
    <w:p w14:paraId="502F81D0" w14:textId="4C3CF6CC" w:rsidR="000A1307" w:rsidRPr="003E1644" w:rsidRDefault="007B6A92" w:rsidP="003C08E3">
      <w:pPr>
        <w:pStyle w:val="ListParagraph"/>
        <w:numPr>
          <w:ilvl w:val="0"/>
          <w:numId w:val="103"/>
        </w:numPr>
        <w:spacing w:after="240"/>
        <w:jc w:val="both"/>
        <w:rPr>
          <w:rFonts w:asciiTheme="majorHAnsi" w:hAnsiTheme="majorHAnsi"/>
          <w:sz w:val="20"/>
          <w:szCs w:val="20"/>
          <w:lang w:val="es-AR"/>
        </w:rPr>
      </w:pPr>
      <w:r w:rsidRPr="003E1644">
        <w:rPr>
          <w:rFonts w:asciiTheme="majorHAnsi" w:hAnsiTheme="majorHAnsi"/>
          <w:sz w:val="20"/>
          <w:szCs w:val="20"/>
          <w:lang w:val="es-AR"/>
        </w:rPr>
        <w:t xml:space="preserve">Los peticionarios </w:t>
      </w:r>
      <w:r w:rsidR="00AC2874" w:rsidRPr="003E1644">
        <w:rPr>
          <w:rFonts w:asciiTheme="majorHAnsi" w:hAnsiTheme="majorHAnsi"/>
          <w:sz w:val="20"/>
          <w:szCs w:val="20"/>
          <w:lang w:val="es-AR"/>
        </w:rPr>
        <w:t>alegan</w:t>
      </w:r>
      <w:r w:rsidR="00966EBB" w:rsidRPr="003E1644">
        <w:rPr>
          <w:rFonts w:asciiTheme="majorHAnsi" w:hAnsiTheme="majorHAnsi"/>
          <w:sz w:val="20"/>
          <w:szCs w:val="20"/>
          <w:lang w:val="es-AR"/>
        </w:rPr>
        <w:t xml:space="preserve"> </w:t>
      </w:r>
      <w:r w:rsidR="000A1307" w:rsidRPr="003E1644">
        <w:rPr>
          <w:rFonts w:asciiTheme="majorHAnsi" w:hAnsiTheme="majorHAnsi"/>
          <w:sz w:val="20"/>
          <w:szCs w:val="20"/>
          <w:lang w:val="es-AR"/>
        </w:rPr>
        <w:t>que el señor Morales habría sufrido</w:t>
      </w:r>
      <w:r w:rsidR="000A1307" w:rsidRPr="003E1644">
        <w:rPr>
          <w:rFonts w:asciiTheme="majorHAnsi" w:hAnsiTheme="majorHAnsi"/>
          <w:spacing w:val="-2"/>
          <w:sz w:val="20"/>
          <w:szCs w:val="20"/>
          <w:lang w:val="es-AR"/>
        </w:rPr>
        <w:t xml:space="preserve"> </w:t>
      </w:r>
      <w:r w:rsidR="000A1307" w:rsidRPr="003E1644">
        <w:rPr>
          <w:rFonts w:asciiTheme="majorHAnsi" w:hAnsiTheme="majorHAnsi"/>
          <w:sz w:val="20"/>
          <w:szCs w:val="20"/>
          <w:lang w:val="es-AR"/>
        </w:rPr>
        <w:t>múltiples</w:t>
      </w:r>
      <w:r w:rsidR="000A1307" w:rsidRPr="003E1644">
        <w:rPr>
          <w:rFonts w:asciiTheme="majorHAnsi" w:hAnsiTheme="majorHAnsi"/>
          <w:spacing w:val="-3"/>
          <w:sz w:val="20"/>
          <w:szCs w:val="20"/>
          <w:lang w:val="es-AR"/>
        </w:rPr>
        <w:t xml:space="preserve"> </w:t>
      </w:r>
      <w:r w:rsidR="000A1307" w:rsidRPr="003E1644">
        <w:rPr>
          <w:rFonts w:asciiTheme="majorHAnsi" w:hAnsiTheme="majorHAnsi"/>
          <w:sz w:val="20"/>
          <w:szCs w:val="20"/>
          <w:lang w:val="es-AR"/>
        </w:rPr>
        <w:t>amenazas</w:t>
      </w:r>
      <w:r w:rsidR="000A1307" w:rsidRPr="003E1644">
        <w:rPr>
          <w:rFonts w:asciiTheme="majorHAnsi" w:hAnsiTheme="majorHAnsi"/>
          <w:spacing w:val="-13"/>
          <w:sz w:val="20"/>
          <w:szCs w:val="20"/>
          <w:lang w:val="es-AR"/>
        </w:rPr>
        <w:t xml:space="preserve"> </w:t>
      </w:r>
      <w:r w:rsidR="000A1307" w:rsidRPr="003E1644">
        <w:rPr>
          <w:rFonts w:asciiTheme="majorHAnsi" w:hAnsiTheme="majorHAnsi"/>
          <w:sz w:val="20"/>
          <w:szCs w:val="20"/>
          <w:lang w:val="es-AR"/>
        </w:rPr>
        <w:t>a</w:t>
      </w:r>
      <w:r w:rsidR="000A1307" w:rsidRPr="003E1644">
        <w:rPr>
          <w:rFonts w:asciiTheme="majorHAnsi" w:hAnsiTheme="majorHAnsi"/>
          <w:spacing w:val="-3"/>
          <w:sz w:val="20"/>
          <w:szCs w:val="20"/>
          <w:lang w:val="es-AR"/>
        </w:rPr>
        <w:t xml:space="preserve"> </w:t>
      </w:r>
      <w:r w:rsidR="00296F22" w:rsidRPr="003E1644">
        <w:rPr>
          <w:rFonts w:asciiTheme="majorHAnsi" w:hAnsiTheme="majorHAnsi"/>
          <w:sz w:val="20"/>
          <w:szCs w:val="20"/>
          <w:lang w:val="es-AR"/>
        </w:rPr>
        <w:t>su</w:t>
      </w:r>
      <w:r w:rsidR="000A1307" w:rsidRPr="003E1644">
        <w:rPr>
          <w:rFonts w:asciiTheme="majorHAnsi" w:hAnsiTheme="majorHAnsi"/>
          <w:spacing w:val="-7"/>
          <w:sz w:val="20"/>
          <w:szCs w:val="20"/>
          <w:lang w:val="es-AR"/>
        </w:rPr>
        <w:t xml:space="preserve"> </w:t>
      </w:r>
      <w:r w:rsidR="000A1307" w:rsidRPr="003E1644">
        <w:rPr>
          <w:rFonts w:asciiTheme="majorHAnsi" w:hAnsiTheme="majorHAnsi"/>
          <w:sz w:val="20"/>
          <w:szCs w:val="20"/>
          <w:lang w:val="es-AR"/>
        </w:rPr>
        <w:t>vida</w:t>
      </w:r>
      <w:r w:rsidR="000A1307" w:rsidRPr="003E1644">
        <w:rPr>
          <w:rFonts w:asciiTheme="majorHAnsi" w:hAnsiTheme="majorHAnsi"/>
          <w:spacing w:val="-3"/>
          <w:sz w:val="20"/>
          <w:szCs w:val="20"/>
          <w:lang w:val="es-AR"/>
        </w:rPr>
        <w:t xml:space="preserve"> </w:t>
      </w:r>
      <w:r w:rsidR="00F74061" w:rsidRPr="003E1644">
        <w:rPr>
          <w:rFonts w:asciiTheme="majorHAnsi" w:hAnsiTheme="majorHAnsi"/>
          <w:sz w:val="20"/>
          <w:szCs w:val="20"/>
          <w:lang w:val="es-AR"/>
        </w:rPr>
        <w:t>e</w:t>
      </w:r>
      <w:r w:rsidR="000A1307" w:rsidRPr="003E1644">
        <w:rPr>
          <w:rFonts w:asciiTheme="majorHAnsi" w:hAnsiTheme="majorHAnsi"/>
          <w:spacing w:val="-2"/>
          <w:sz w:val="20"/>
          <w:szCs w:val="20"/>
          <w:lang w:val="es-AR"/>
        </w:rPr>
        <w:t xml:space="preserve"> </w:t>
      </w:r>
      <w:r w:rsidR="000A1307" w:rsidRPr="003E1644">
        <w:rPr>
          <w:rFonts w:asciiTheme="majorHAnsi" w:hAnsiTheme="majorHAnsi"/>
          <w:sz w:val="20"/>
          <w:szCs w:val="20"/>
          <w:lang w:val="es-AR"/>
        </w:rPr>
        <w:t>integridad</w:t>
      </w:r>
      <w:r w:rsidR="000A1307" w:rsidRPr="003E1644">
        <w:rPr>
          <w:rFonts w:asciiTheme="majorHAnsi" w:hAnsiTheme="majorHAnsi"/>
          <w:spacing w:val="-5"/>
          <w:sz w:val="20"/>
          <w:szCs w:val="20"/>
          <w:lang w:val="es-AR"/>
        </w:rPr>
        <w:t xml:space="preserve"> </w:t>
      </w:r>
      <w:r w:rsidR="000A1307" w:rsidRPr="003E1644">
        <w:rPr>
          <w:rFonts w:asciiTheme="majorHAnsi" w:hAnsiTheme="majorHAnsi"/>
          <w:sz w:val="20"/>
          <w:szCs w:val="20"/>
          <w:lang w:val="es-AR"/>
        </w:rPr>
        <w:t>física,</w:t>
      </w:r>
      <w:r w:rsidR="000A1307" w:rsidRPr="003E1644">
        <w:rPr>
          <w:rFonts w:asciiTheme="majorHAnsi" w:hAnsiTheme="majorHAnsi"/>
          <w:spacing w:val="-6"/>
          <w:sz w:val="20"/>
          <w:szCs w:val="20"/>
          <w:lang w:val="es-AR"/>
        </w:rPr>
        <w:t xml:space="preserve"> </w:t>
      </w:r>
      <w:r w:rsidR="000A1307" w:rsidRPr="003E1644">
        <w:rPr>
          <w:rFonts w:asciiTheme="majorHAnsi" w:hAnsiTheme="majorHAnsi"/>
          <w:sz w:val="20"/>
          <w:szCs w:val="20"/>
          <w:lang w:val="es-AR"/>
        </w:rPr>
        <w:t xml:space="preserve">psíquica </w:t>
      </w:r>
      <w:r w:rsidR="000A1307" w:rsidRPr="003E1644">
        <w:rPr>
          <w:rFonts w:asciiTheme="majorHAnsi" w:hAnsiTheme="majorHAnsi"/>
          <w:spacing w:val="-64"/>
          <w:sz w:val="20"/>
          <w:szCs w:val="20"/>
          <w:lang w:val="es-AR"/>
        </w:rPr>
        <w:t xml:space="preserve">    </w:t>
      </w:r>
      <w:r w:rsidR="000A1307" w:rsidRPr="003E1644">
        <w:rPr>
          <w:rFonts w:asciiTheme="majorHAnsi" w:hAnsiTheme="majorHAnsi"/>
          <w:sz w:val="20"/>
          <w:szCs w:val="20"/>
          <w:lang w:val="es-AR"/>
        </w:rPr>
        <w:t>y</w:t>
      </w:r>
      <w:r w:rsidR="000A1307" w:rsidRPr="003E1644">
        <w:rPr>
          <w:rFonts w:asciiTheme="majorHAnsi" w:hAnsiTheme="majorHAnsi"/>
          <w:spacing w:val="-7"/>
          <w:sz w:val="20"/>
          <w:szCs w:val="20"/>
          <w:lang w:val="es-AR"/>
        </w:rPr>
        <w:t xml:space="preserve"> </w:t>
      </w:r>
      <w:r w:rsidR="000A1307" w:rsidRPr="003E1644">
        <w:rPr>
          <w:rFonts w:asciiTheme="majorHAnsi" w:hAnsiTheme="majorHAnsi"/>
          <w:sz w:val="20"/>
          <w:szCs w:val="20"/>
          <w:lang w:val="es-AR"/>
        </w:rPr>
        <w:t>moral durante el tiempo que estuvo en prisión preventiva</w:t>
      </w:r>
      <w:r w:rsidR="00300B75" w:rsidRPr="003E1644">
        <w:rPr>
          <w:rFonts w:asciiTheme="majorHAnsi" w:hAnsiTheme="majorHAnsi"/>
          <w:sz w:val="20"/>
          <w:szCs w:val="20"/>
          <w:lang w:val="es-AR"/>
        </w:rPr>
        <w:t xml:space="preserve"> en </w:t>
      </w:r>
      <w:r w:rsidR="00D95DD4" w:rsidRPr="003E1644">
        <w:rPr>
          <w:rFonts w:asciiTheme="majorHAnsi" w:hAnsiTheme="majorHAnsi"/>
          <w:sz w:val="20"/>
          <w:szCs w:val="20"/>
          <w:lang w:val="es-AR"/>
        </w:rPr>
        <w:t>la Granja Penal de El Porvenir, departamento de Atlántida</w:t>
      </w:r>
      <w:r w:rsidR="000A1307" w:rsidRPr="003E1644">
        <w:rPr>
          <w:rFonts w:asciiTheme="majorHAnsi" w:hAnsiTheme="majorHAnsi"/>
          <w:sz w:val="20"/>
          <w:szCs w:val="20"/>
          <w:lang w:val="es-AR"/>
        </w:rPr>
        <w:t xml:space="preserve">. </w:t>
      </w:r>
      <w:r w:rsidR="00AC2874" w:rsidRPr="003E1644">
        <w:rPr>
          <w:rFonts w:asciiTheme="majorHAnsi" w:hAnsiTheme="majorHAnsi"/>
          <w:sz w:val="20"/>
          <w:szCs w:val="20"/>
          <w:lang w:val="es-AR"/>
        </w:rPr>
        <w:t>Narran que v</w:t>
      </w:r>
      <w:r w:rsidR="000A1307" w:rsidRPr="003E1644">
        <w:rPr>
          <w:rFonts w:asciiTheme="majorHAnsi" w:hAnsiTheme="majorHAnsi"/>
          <w:sz w:val="20"/>
          <w:szCs w:val="20"/>
          <w:lang w:val="es-AR"/>
        </w:rPr>
        <w:t>arios</w:t>
      </w:r>
      <w:r w:rsidR="000A1307" w:rsidRPr="003E1644">
        <w:rPr>
          <w:rFonts w:asciiTheme="majorHAnsi" w:hAnsiTheme="majorHAnsi"/>
          <w:spacing w:val="-8"/>
          <w:sz w:val="20"/>
          <w:szCs w:val="20"/>
          <w:lang w:val="es-AR"/>
        </w:rPr>
        <w:t xml:space="preserve"> </w:t>
      </w:r>
      <w:r w:rsidR="000A1307" w:rsidRPr="003E1644">
        <w:rPr>
          <w:rFonts w:asciiTheme="majorHAnsi" w:hAnsiTheme="majorHAnsi"/>
          <w:sz w:val="20"/>
          <w:szCs w:val="20"/>
          <w:lang w:val="es-AR"/>
        </w:rPr>
        <w:t>reclusos</w:t>
      </w:r>
      <w:r w:rsidR="000A1307" w:rsidRPr="003E1644">
        <w:rPr>
          <w:rFonts w:asciiTheme="majorHAnsi" w:hAnsiTheme="majorHAnsi"/>
          <w:spacing w:val="-8"/>
          <w:sz w:val="20"/>
          <w:szCs w:val="20"/>
          <w:lang w:val="es-AR"/>
        </w:rPr>
        <w:t xml:space="preserve"> </w:t>
      </w:r>
      <w:r w:rsidR="000A1307" w:rsidRPr="003E1644">
        <w:rPr>
          <w:rFonts w:asciiTheme="majorHAnsi" w:hAnsiTheme="majorHAnsi"/>
          <w:sz w:val="20"/>
          <w:szCs w:val="20"/>
          <w:lang w:val="es-AR"/>
        </w:rPr>
        <w:t>lo amenazaban</w:t>
      </w:r>
      <w:r w:rsidR="000A1307" w:rsidRPr="003E1644">
        <w:rPr>
          <w:rFonts w:asciiTheme="majorHAnsi" w:hAnsiTheme="majorHAnsi"/>
          <w:spacing w:val="-5"/>
          <w:sz w:val="20"/>
          <w:szCs w:val="20"/>
          <w:lang w:val="es-AR"/>
        </w:rPr>
        <w:t xml:space="preserve"> </w:t>
      </w:r>
      <w:r w:rsidR="00BD7E7A" w:rsidRPr="003E1644">
        <w:rPr>
          <w:rFonts w:asciiTheme="majorHAnsi" w:hAnsiTheme="majorHAnsi"/>
          <w:sz w:val="20"/>
          <w:szCs w:val="20"/>
          <w:lang w:val="es-AR"/>
        </w:rPr>
        <w:t>de muerte</w:t>
      </w:r>
      <w:r w:rsidR="000A1307" w:rsidRPr="003E1644">
        <w:rPr>
          <w:rFonts w:asciiTheme="majorHAnsi" w:hAnsiTheme="majorHAnsi"/>
          <w:sz w:val="20"/>
          <w:szCs w:val="20"/>
          <w:lang w:val="es-AR"/>
        </w:rPr>
        <w:t xml:space="preserve">. </w:t>
      </w:r>
      <w:r w:rsidR="00282C3C" w:rsidRPr="003E1644">
        <w:rPr>
          <w:rFonts w:asciiTheme="majorHAnsi" w:hAnsiTheme="majorHAnsi"/>
          <w:sz w:val="20"/>
          <w:szCs w:val="20"/>
          <w:lang w:val="es-AR"/>
        </w:rPr>
        <w:t>Incluso, en su</w:t>
      </w:r>
      <w:r w:rsidR="000A1307" w:rsidRPr="003E1644">
        <w:rPr>
          <w:rFonts w:asciiTheme="majorHAnsi" w:hAnsiTheme="majorHAnsi"/>
          <w:sz w:val="20"/>
          <w:szCs w:val="20"/>
          <w:lang w:val="es-AR"/>
        </w:rPr>
        <w:t xml:space="preserve"> primer año de prisión preventiva un teniente retirado le </w:t>
      </w:r>
      <w:r w:rsidR="00B0121B" w:rsidRPr="003E1644">
        <w:rPr>
          <w:rFonts w:asciiTheme="majorHAnsi" w:hAnsiTheme="majorHAnsi"/>
          <w:sz w:val="20"/>
          <w:szCs w:val="20"/>
          <w:lang w:val="es-AR"/>
        </w:rPr>
        <w:t>puso</w:t>
      </w:r>
      <w:r w:rsidR="000A1307" w:rsidRPr="003E1644">
        <w:rPr>
          <w:rFonts w:asciiTheme="majorHAnsi" w:hAnsiTheme="majorHAnsi"/>
          <w:sz w:val="20"/>
          <w:szCs w:val="20"/>
          <w:lang w:val="es-AR"/>
        </w:rPr>
        <w:t xml:space="preserve"> un machete en el cuello y le dijo “</w:t>
      </w:r>
      <w:r w:rsidR="0093516B" w:rsidRPr="003E1644">
        <w:rPr>
          <w:rFonts w:asciiTheme="majorHAnsi" w:hAnsiTheme="majorHAnsi"/>
          <w:sz w:val="20"/>
          <w:szCs w:val="20"/>
          <w:lang w:val="es-AR"/>
        </w:rPr>
        <w:t>h</w:t>
      </w:r>
      <w:r w:rsidR="000A1307" w:rsidRPr="003E1644">
        <w:rPr>
          <w:rFonts w:asciiTheme="majorHAnsi" w:hAnsiTheme="majorHAnsi"/>
          <w:sz w:val="20"/>
          <w:szCs w:val="20"/>
          <w:lang w:val="es-AR"/>
        </w:rPr>
        <w:t>asta aquí llegaste”. Había un rumor que Henry Osorto</w:t>
      </w:r>
      <w:r w:rsidR="0015447B" w:rsidRPr="003E1644">
        <w:rPr>
          <w:rFonts w:asciiTheme="majorHAnsi" w:hAnsiTheme="majorHAnsi"/>
          <w:sz w:val="20"/>
          <w:szCs w:val="20"/>
          <w:lang w:val="es-AR"/>
        </w:rPr>
        <w:t xml:space="preserve">, pariente del finado </w:t>
      </w:r>
      <w:r w:rsidR="00933984" w:rsidRPr="003E1644">
        <w:rPr>
          <w:rFonts w:asciiTheme="majorHAnsi" w:hAnsiTheme="majorHAnsi"/>
          <w:sz w:val="20"/>
          <w:szCs w:val="20"/>
          <w:lang w:val="es-AR"/>
        </w:rPr>
        <w:t>Carlos Osorto,</w:t>
      </w:r>
      <w:r w:rsidR="000A1307" w:rsidRPr="003E1644">
        <w:rPr>
          <w:rFonts w:asciiTheme="majorHAnsi" w:hAnsiTheme="majorHAnsi"/>
          <w:sz w:val="20"/>
          <w:szCs w:val="20"/>
          <w:lang w:val="es-AR"/>
        </w:rPr>
        <w:t xml:space="preserve"> había prometido un pago por la cabeza del señor Morales.</w:t>
      </w:r>
      <w:r w:rsidR="00B0121B" w:rsidRPr="003E1644">
        <w:rPr>
          <w:rFonts w:asciiTheme="majorHAnsi" w:hAnsiTheme="majorHAnsi"/>
          <w:sz w:val="20"/>
          <w:szCs w:val="20"/>
          <w:lang w:val="es-AR"/>
        </w:rPr>
        <w:t xml:space="preserve"> El</w:t>
      </w:r>
      <w:r w:rsidR="000A1307" w:rsidRPr="003E1644">
        <w:rPr>
          <w:rFonts w:asciiTheme="majorHAnsi" w:hAnsiTheme="majorHAnsi"/>
          <w:sz w:val="20"/>
          <w:szCs w:val="20"/>
          <w:lang w:val="es-AR"/>
        </w:rPr>
        <w:t xml:space="preserve"> </w:t>
      </w:r>
      <w:r w:rsidR="00B0121B" w:rsidRPr="003E1644">
        <w:rPr>
          <w:rFonts w:asciiTheme="majorHAnsi" w:hAnsiTheme="majorHAnsi"/>
          <w:sz w:val="20"/>
          <w:szCs w:val="20"/>
          <w:lang w:val="es-AR"/>
        </w:rPr>
        <w:t xml:space="preserve">director del penal lo habría separado en una celda de aislamiento durante cuatro meses, bajo el argumento de proteger su vida, pero usualmente se </w:t>
      </w:r>
      <w:r w:rsidR="00DA6E9A" w:rsidRPr="003E1644">
        <w:rPr>
          <w:rFonts w:asciiTheme="majorHAnsi" w:hAnsiTheme="majorHAnsi"/>
          <w:sz w:val="20"/>
          <w:szCs w:val="20"/>
          <w:lang w:val="es-AR"/>
        </w:rPr>
        <w:t xml:space="preserve">utilizaba </w:t>
      </w:r>
      <w:r w:rsidR="00B0121B" w:rsidRPr="003E1644">
        <w:rPr>
          <w:rFonts w:asciiTheme="majorHAnsi" w:hAnsiTheme="majorHAnsi"/>
          <w:sz w:val="20"/>
          <w:szCs w:val="20"/>
          <w:lang w:val="es-AR"/>
        </w:rPr>
        <w:t xml:space="preserve">como medida para castigar. </w:t>
      </w:r>
      <w:r w:rsidR="00071F27" w:rsidRPr="003E1644">
        <w:rPr>
          <w:rFonts w:asciiTheme="majorHAnsi" w:hAnsiTheme="majorHAnsi"/>
          <w:sz w:val="20"/>
          <w:szCs w:val="20"/>
          <w:lang w:val="es-AR"/>
        </w:rPr>
        <w:t xml:space="preserve">El 1 de mayo de 2012, el señor Morales tuvo conocimiento que cuatro reclusos con los que compartía celda planeaban su muerte. </w:t>
      </w:r>
    </w:p>
    <w:p w14:paraId="0A37D743" w14:textId="4E2A72A6" w:rsidR="00071F27" w:rsidRPr="003E1644" w:rsidRDefault="00EF2140" w:rsidP="003C08E3">
      <w:pPr>
        <w:pStyle w:val="ListParagraph"/>
        <w:numPr>
          <w:ilvl w:val="0"/>
          <w:numId w:val="103"/>
        </w:numPr>
        <w:spacing w:after="240"/>
        <w:jc w:val="both"/>
        <w:rPr>
          <w:rFonts w:asciiTheme="majorHAnsi" w:hAnsiTheme="majorHAnsi"/>
          <w:sz w:val="20"/>
          <w:szCs w:val="20"/>
          <w:lang w:val="es-AR"/>
        </w:rPr>
      </w:pPr>
      <w:r w:rsidRPr="003E1644">
        <w:rPr>
          <w:rFonts w:asciiTheme="majorHAnsi" w:hAnsiTheme="majorHAnsi"/>
          <w:sz w:val="20"/>
          <w:szCs w:val="20"/>
          <w:lang w:val="es-AR"/>
        </w:rPr>
        <w:t xml:space="preserve">Asimismo, el alto oficial de la </w:t>
      </w:r>
      <w:r w:rsidR="00F85508">
        <w:rPr>
          <w:rFonts w:asciiTheme="majorHAnsi" w:hAnsiTheme="majorHAnsi"/>
          <w:sz w:val="20"/>
          <w:szCs w:val="20"/>
          <w:lang w:val="es-AR"/>
        </w:rPr>
        <w:t>p</w:t>
      </w:r>
      <w:r w:rsidRPr="003E1644">
        <w:rPr>
          <w:rFonts w:asciiTheme="majorHAnsi" w:hAnsiTheme="majorHAnsi"/>
          <w:sz w:val="20"/>
          <w:szCs w:val="20"/>
          <w:lang w:val="es-AR"/>
        </w:rPr>
        <w:t xml:space="preserve">olicía Henry Osorto, por esos días visitaba constantemente el centro penal desconociéndose el motivo de sus frecuentes visitas, las cuales generalmente hacía en horas de la noche. Esta situación resultaba psicológicamente aterrorizante para el señor Morales, </w:t>
      </w:r>
      <w:r w:rsidR="00D74372" w:rsidRPr="003E1644">
        <w:rPr>
          <w:rFonts w:asciiTheme="majorHAnsi" w:hAnsiTheme="majorHAnsi"/>
          <w:sz w:val="20"/>
          <w:szCs w:val="20"/>
          <w:lang w:val="es-AR"/>
        </w:rPr>
        <w:t>pues sabía que</w:t>
      </w:r>
      <w:r w:rsidRPr="003E1644">
        <w:rPr>
          <w:rFonts w:asciiTheme="majorHAnsi" w:hAnsiTheme="majorHAnsi"/>
          <w:sz w:val="20"/>
          <w:szCs w:val="20"/>
          <w:lang w:val="es-AR"/>
        </w:rPr>
        <w:t xml:space="preserve"> Henry Osorto tenía un enorme resentimiento por lo ocurrido a su familia. </w:t>
      </w:r>
      <w:r w:rsidR="002D3DCD" w:rsidRPr="003E1644">
        <w:rPr>
          <w:rFonts w:asciiTheme="majorHAnsi" w:hAnsiTheme="majorHAnsi"/>
          <w:sz w:val="20"/>
          <w:szCs w:val="20"/>
          <w:lang w:val="es-AR"/>
        </w:rPr>
        <w:t>Como reacción</w:t>
      </w:r>
      <w:r w:rsidR="008055E6" w:rsidRPr="003E1644">
        <w:rPr>
          <w:rFonts w:asciiTheme="majorHAnsi" w:hAnsiTheme="majorHAnsi"/>
          <w:sz w:val="20"/>
          <w:szCs w:val="20"/>
          <w:lang w:val="es-AR"/>
        </w:rPr>
        <w:t xml:space="preserve">, la defensa promovió un recurso de </w:t>
      </w:r>
      <w:r w:rsidR="008055E6" w:rsidRPr="0026738D">
        <w:rPr>
          <w:rFonts w:asciiTheme="majorHAnsi" w:hAnsiTheme="majorHAnsi"/>
          <w:i/>
          <w:iCs/>
          <w:sz w:val="20"/>
          <w:szCs w:val="20"/>
          <w:lang w:val="es-AR"/>
        </w:rPr>
        <w:t>h</w:t>
      </w:r>
      <w:r w:rsidR="0026738D" w:rsidRPr="0026738D">
        <w:rPr>
          <w:rFonts w:asciiTheme="majorHAnsi" w:hAnsiTheme="majorHAnsi"/>
          <w:i/>
          <w:iCs/>
          <w:sz w:val="20"/>
          <w:szCs w:val="20"/>
          <w:lang w:val="es-AR"/>
        </w:rPr>
        <w:t>a</w:t>
      </w:r>
      <w:r w:rsidR="008055E6" w:rsidRPr="0026738D">
        <w:rPr>
          <w:rFonts w:asciiTheme="majorHAnsi" w:hAnsiTheme="majorHAnsi"/>
          <w:i/>
          <w:iCs/>
          <w:sz w:val="20"/>
          <w:szCs w:val="20"/>
          <w:lang w:val="es-AR"/>
        </w:rPr>
        <w:t>beas corpus</w:t>
      </w:r>
      <w:r w:rsidR="008055E6" w:rsidRPr="003E1644">
        <w:rPr>
          <w:rFonts w:asciiTheme="majorHAnsi" w:hAnsiTheme="majorHAnsi"/>
          <w:sz w:val="20"/>
          <w:szCs w:val="20"/>
          <w:lang w:val="es-AR"/>
        </w:rPr>
        <w:t xml:space="preserve"> correctivo ante la Corte de Apelaciones Seccional de La Ceiba, para que se dispusieran las medidas de seguridad tendientes a garantizarle la vida </w:t>
      </w:r>
      <w:r w:rsidRPr="003E1644">
        <w:rPr>
          <w:rFonts w:asciiTheme="majorHAnsi" w:hAnsiTheme="majorHAnsi"/>
          <w:sz w:val="20"/>
          <w:szCs w:val="20"/>
          <w:lang w:val="es-AR"/>
        </w:rPr>
        <w:t xml:space="preserve">del señor </w:t>
      </w:r>
      <w:r w:rsidR="008055E6" w:rsidRPr="003E1644">
        <w:rPr>
          <w:rFonts w:asciiTheme="majorHAnsi" w:hAnsiTheme="majorHAnsi"/>
          <w:sz w:val="20"/>
          <w:szCs w:val="20"/>
          <w:lang w:val="es-AR"/>
        </w:rPr>
        <w:t>Morales, pero fue desestimado –en el expediente no se detalla el motivo</w:t>
      </w:r>
      <w:r w:rsidRPr="003E1644">
        <w:rPr>
          <w:rFonts w:asciiTheme="majorHAnsi" w:hAnsiTheme="majorHAnsi"/>
          <w:sz w:val="20"/>
          <w:szCs w:val="20"/>
          <w:lang w:val="es-AR"/>
        </w:rPr>
        <w:t xml:space="preserve"> ni la fecha exacta</w:t>
      </w:r>
      <w:r w:rsidR="00C304FB" w:rsidRPr="003E1644">
        <w:rPr>
          <w:rFonts w:asciiTheme="majorHAnsi" w:hAnsiTheme="majorHAnsi"/>
          <w:sz w:val="20"/>
          <w:szCs w:val="20"/>
          <w:lang w:val="es-AR"/>
        </w:rPr>
        <w:t>–</w:t>
      </w:r>
      <w:r w:rsidR="008055E6" w:rsidRPr="003E1644">
        <w:rPr>
          <w:rFonts w:asciiTheme="majorHAnsi" w:hAnsiTheme="majorHAnsi"/>
          <w:sz w:val="20"/>
          <w:szCs w:val="20"/>
          <w:lang w:val="es-AR"/>
        </w:rPr>
        <w:t>. Sin embargo, como otra anomalía del caso, la Corte de Apelaciones hizo una serie de recomendaciones a la Dirección del Centro Penal sin formalmente dar lugar al recurso, negándole en efecto la protección judicial al dar recomendaciones sin obligatoriedad.</w:t>
      </w:r>
    </w:p>
    <w:p w14:paraId="11C30A6F" w14:textId="16C8CABE" w:rsidR="00B0121B" w:rsidRPr="003E1644" w:rsidRDefault="00B0121B" w:rsidP="003C08E3">
      <w:pPr>
        <w:pStyle w:val="ListParagraph"/>
        <w:numPr>
          <w:ilvl w:val="0"/>
          <w:numId w:val="103"/>
        </w:numPr>
        <w:spacing w:after="240"/>
        <w:jc w:val="both"/>
        <w:rPr>
          <w:rFonts w:asciiTheme="majorHAnsi" w:hAnsiTheme="majorHAnsi"/>
          <w:sz w:val="20"/>
          <w:szCs w:val="20"/>
          <w:lang w:val="es-AR"/>
        </w:rPr>
      </w:pPr>
      <w:r w:rsidRPr="003E1644">
        <w:rPr>
          <w:rFonts w:asciiTheme="majorHAnsi" w:hAnsiTheme="majorHAnsi"/>
          <w:sz w:val="20"/>
          <w:szCs w:val="20"/>
          <w:lang w:val="es-AR"/>
        </w:rPr>
        <w:t>En otra ocasión, un guardia penitenciario le obsequió un pan</w:t>
      </w:r>
      <w:r w:rsidR="00E92EB2" w:rsidRPr="003E1644">
        <w:rPr>
          <w:rFonts w:asciiTheme="majorHAnsi" w:hAnsiTheme="majorHAnsi"/>
          <w:sz w:val="20"/>
          <w:szCs w:val="20"/>
          <w:lang w:val="es-AR"/>
        </w:rPr>
        <w:t xml:space="preserve"> al</w:t>
      </w:r>
      <w:r w:rsidR="00E376B6" w:rsidRPr="003E1644">
        <w:rPr>
          <w:rFonts w:asciiTheme="majorHAnsi" w:hAnsiTheme="majorHAnsi"/>
          <w:sz w:val="20"/>
          <w:szCs w:val="20"/>
          <w:lang w:val="es-AR"/>
        </w:rPr>
        <w:t xml:space="preserve"> señor</w:t>
      </w:r>
      <w:r w:rsidRPr="003E1644">
        <w:rPr>
          <w:rFonts w:asciiTheme="majorHAnsi" w:hAnsiTheme="majorHAnsi"/>
          <w:sz w:val="20"/>
          <w:szCs w:val="20"/>
          <w:lang w:val="es-AR"/>
        </w:rPr>
        <w:t xml:space="preserve"> Morales</w:t>
      </w:r>
      <w:r w:rsidR="00E376B6" w:rsidRPr="003E1644">
        <w:rPr>
          <w:rFonts w:asciiTheme="majorHAnsi" w:hAnsiTheme="majorHAnsi"/>
          <w:sz w:val="20"/>
          <w:szCs w:val="20"/>
          <w:lang w:val="es-AR"/>
        </w:rPr>
        <w:t xml:space="preserve">, </w:t>
      </w:r>
      <w:r w:rsidR="00451423" w:rsidRPr="003E1644">
        <w:rPr>
          <w:rFonts w:asciiTheme="majorHAnsi" w:hAnsiTheme="majorHAnsi"/>
          <w:sz w:val="20"/>
          <w:szCs w:val="20"/>
          <w:lang w:val="es-AR"/>
        </w:rPr>
        <w:t xml:space="preserve">el cuál este no comió, cediéndoselo a </w:t>
      </w:r>
      <w:r w:rsidRPr="003E1644">
        <w:rPr>
          <w:rFonts w:asciiTheme="majorHAnsi" w:hAnsiTheme="majorHAnsi"/>
          <w:sz w:val="20"/>
          <w:szCs w:val="20"/>
          <w:lang w:val="es-AR"/>
        </w:rPr>
        <w:t>otro guardia penitenciario</w:t>
      </w:r>
      <w:r w:rsidR="00451423" w:rsidRPr="003E1644">
        <w:rPr>
          <w:rFonts w:asciiTheme="majorHAnsi" w:hAnsiTheme="majorHAnsi"/>
          <w:sz w:val="20"/>
          <w:szCs w:val="20"/>
          <w:lang w:val="es-AR"/>
        </w:rPr>
        <w:t>,</w:t>
      </w:r>
      <w:r w:rsidRPr="003E1644">
        <w:rPr>
          <w:rFonts w:asciiTheme="majorHAnsi" w:hAnsiTheme="majorHAnsi"/>
          <w:sz w:val="20"/>
          <w:szCs w:val="20"/>
          <w:lang w:val="es-AR"/>
        </w:rPr>
        <w:t xml:space="preserve"> </w:t>
      </w:r>
      <w:r w:rsidR="00451423" w:rsidRPr="003E1644">
        <w:rPr>
          <w:rFonts w:asciiTheme="majorHAnsi" w:hAnsiTheme="majorHAnsi"/>
          <w:sz w:val="20"/>
          <w:szCs w:val="20"/>
          <w:lang w:val="es-AR"/>
        </w:rPr>
        <w:t>quien</w:t>
      </w:r>
      <w:r w:rsidRPr="003E1644">
        <w:rPr>
          <w:rFonts w:asciiTheme="majorHAnsi" w:hAnsiTheme="majorHAnsi"/>
          <w:sz w:val="20"/>
          <w:szCs w:val="20"/>
          <w:lang w:val="es-AR"/>
        </w:rPr>
        <w:t xml:space="preserve"> </w:t>
      </w:r>
      <w:r w:rsidR="00DD7D8B" w:rsidRPr="003E1644">
        <w:rPr>
          <w:rFonts w:asciiTheme="majorHAnsi" w:hAnsiTheme="majorHAnsi"/>
          <w:sz w:val="20"/>
          <w:szCs w:val="20"/>
          <w:lang w:val="es-AR"/>
        </w:rPr>
        <w:t>luego de</w:t>
      </w:r>
      <w:r w:rsidRPr="003E1644">
        <w:rPr>
          <w:rFonts w:asciiTheme="majorHAnsi" w:hAnsiTheme="majorHAnsi"/>
          <w:sz w:val="20"/>
          <w:szCs w:val="20"/>
          <w:lang w:val="es-AR"/>
        </w:rPr>
        <w:t xml:space="preserve"> ingerirlo comenzó a convulsionar</w:t>
      </w:r>
      <w:r w:rsidR="00DD7D8B" w:rsidRPr="003E1644">
        <w:rPr>
          <w:rFonts w:asciiTheme="majorHAnsi" w:hAnsiTheme="majorHAnsi"/>
          <w:sz w:val="20"/>
          <w:szCs w:val="20"/>
          <w:lang w:val="es-AR"/>
        </w:rPr>
        <w:t>;</w:t>
      </w:r>
      <w:r w:rsidRPr="003E1644">
        <w:rPr>
          <w:rFonts w:asciiTheme="majorHAnsi" w:hAnsiTheme="majorHAnsi"/>
          <w:sz w:val="20"/>
          <w:szCs w:val="20"/>
          <w:lang w:val="es-AR"/>
        </w:rPr>
        <w:t xml:space="preserve"> </w:t>
      </w:r>
      <w:r w:rsidR="00E376B6" w:rsidRPr="003E1644">
        <w:rPr>
          <w:rFonts w:asciiTheme="majorHAnsi" w:hAnsiTheme="majorHAnsi"/>
          <w:sz w:val="20"/>
          <w:szCs w:val="20"/>
          <w:lang w:val="es-AR"/>
        </w:rPr>
        <w:t>lo cual</w:t>
      </w:r>
      <w:r w:rsidR="00DD7D8B" w:rsidRPr="003E1644">
        <w:rPr>
          <w:rFonts w:asciiTheme="majorHAnsi" w:hAnsiTheme="majorHAnsi"/>
          <w:sz w:val="20"/>
          <w:szCs w:val="20"/>
          <w:lang w:val="es-AR"/>
        </w:rPr>
        <w:t>, a juicio de los peticionarios,</w:t>
      </w:r>
      <w:r w:rsidR="00E376B6" w:rsidRPr="003E1644">
        <w:rPr>
          <w:rFonts w:asciiTheme="majorHAnsi" w:hAnsiTheme="majorHAnsi"/>
          <w:sz w:val="20"/>
          <w:szCs w:val="20"/>
          <w:lang w:val="es-AR"/>
        </w:rPr>
        <w:t xml:space="preserve"> podría indicar</w:t>
      </w:r>
      <w:r w:rsidRPr="003E1644">
        <w:rPr>
          <w:rFonts w:asciiTheme="majorHAnsi" w:hAnsiTheme="majorHAnsi"/>
          <w:sz w:val="20"/>
          <w:szCs w:val="20"/>
          <w:lang w:val="es-AR"/>
        </w:rPr>
        <w:t xml:space="preserve"> que </w:t>
      </w:r>
      <w:r w:rsidR="00DD7D8B" w:rsidRPr="003E1644">
        <w:rPr>
          <w:rFonts w:asciiTheme="majorHAnsi" w:hAnsiTheme="majorHAnsi"/>
          <w:sz w:val="20"/>
          <w:szCs w:val="20"/>
          <w:lang w:val="es-AR"/>
        </w:rPr>
        <w:t>este alimento</w:t>
      </w:r>
      <w:r w:rsidRPr="003E1644">
        <w:rPr>
          <w:rFonts w:asciiTheme="majorHAnsi" w:hAnsiTheme="majorHAnsi"/>
          <w:sz w:val="20"/>
          <w:szCs w:val="20"/>
          <w:lang w:val="es-AR"/>
        </w:rPr>
        <w:t xml:space="preserve"> estaba envenenado. De esto se presentó la denuncia correspondiente ante el Ministerio Público, la </w:t>
      </w:r>
      <w:r w:rsidR="00E376B6" w:rsidRPr="003E1644">
        <w:rPr>
          <w:rFonts w:asciiTheme="majorHAnsi" w:hAnsiTheme="majorHAnsi"/>
          <w:sz w:val="20"/>
          <w:szCs w:val="20"/>
          <w:lang w:val="es-AR"/>
        </w:rPr>
        <w:t xml:space="preserve">cual </w:t>
      </w:r>
      <w:r w:rsidRPr="003E1644">
        <w:rPr>
          <w:rFonts w:asciiTheme="majorHAnsi" w:hAnsiTheme="majorHAnsi"/>
          <w:sz w:val="20"/>
          <w:szCs w:val="20"/>
          <w:lang w:val="es-AR"/>
        </w:rPr>
        <w:t xml:space="preserve">habría sido archivada </w:t>
      </w:r>
      <w:r w:rsidR="00E376B6" w:rsidRPr="003E1644">
        <w:rPr>
          <w:rFonts w:asciiTheme="majorHAnsi" w:hAnsiTheme="majorHAnsi"/>
          <w:sz w:val="20"/>
          <w:szCs w:val="20"/>
          <w:lang w:val="es-AR"/>
        </w:rPr>
        <w:t>–no consta en el expediente dicho documento</w:t>
      </w:r>
      <w:r w:rsidR="00CE03AB" w:rsidRPr="003E1644">
        <w:rPr>
          <w:rFonts w:asciiTheme="majorHAnsi" w:hAnsiTheme="majorHAnsi"/>
          <w:sz w:val="20"/>
          <w:szCs w:val="20"/>
          <w:lang w:val="es-AR"/>
        </w:rPr>
        <w:t>–</w:t>
      </w:r>
      <w:r w:rsidR="00E376B6" w:rsidRPr="003E1644">
        <w:rPr>
          <w:rFonts w:asciiTheme="majorHAnsi" w:hAnsiTheme="majorHAnsi"/>
          <w:sz w:val="20"/>
          <w:szCs w:val="20"/>
          <w:lang w:val="es-AR"/>
        </w:rPr>
        <w:t>.</w:t>
      </w:r>
    </w:p>
    <w:p w14:paraId="45075BBD" w14:textId="6A996FA1" w:rsidR="00E376B6" w:rsidRPr="003E1644" w:rsidRDefault="001F4AFF" w:rsidP="003C08E3">
      <w:pPr>
        <w:pStyle w:val="ListParagraph"/>
        <w:numPr>
          <w:ilvl w:val="0"/>
          <w:numId w:val="103"/>
        </w:numPr>
        <w:spacing w:after="240"/>
        <w:jc w:val="both"/>
        <w:rPr>
          <w:rFonts w:asciiTheme="majorHAnsi" w:hAnsiTheme="majorHAnsi"/>
          <w:sz w:val="20"/>
          <w:szCs w:val="20"/>
          <w:lang w:val="es-AR"/>
        </w:rPr>
      </w:pPr>
      <w:r w:rsidRPr="003E1644">
        <w:rPr>
          <w:rFonts w:asciiTheme="majorHAnsi" w:hAnsiTheme="majorHAnsi"/>
          <w:sz w:val="20"/>
          <w:szCs w:val="20"/>
          <w:lang w:val="es-AR"/>
        </w:rPr>
        <w:t xml:space="preserve">El </w:t>
      </w:r>
      <w:r w:rsidR="00071F27" w:rsidRPr="003E1644">
        <w:rPr>
          <w:rFonts w:asciiTheme="majorHAnsi" w:hAnsiTheme="majorHAnsi"/>
          <w:sz w:val="20"/>
          <w:szCs w:val="20"/>
          <w:lang w:val="es-AR"/>
        </w:rPr>
        <w:t>26 de agosto de 2012,</w:t>
      </w:r>
      <w:r w:rsidR="00782EF7" w:rsidRPr="003E1644">
        <w:rPr>
          <w:rFonts w:asciiTheme="majorHAnsi" w:hAnsiTheme="majorHAnsi"/>
          <w:sz w:val="20"/>
          <w:szCs w:val="20"/>
          <w:lang w:val="es-AR"/>
        </w:rPr>
        <w:t xml:space="preserve"> </w:t>
      </w:r>
      <w:r w:rsidR="008055E6" w:rsidRPr="003E1644">
        <w:rPr>
          <w:rFonts w:asciiTheme="majorHAnsi" w:hAnsiTheme="majorHAnsi"/>
          <w:sz w:val="20"/>
          <w:szCs w:val="20"/>
          <w:lang w:val="es-AR"/>
        </w:rPr>
        <w:t>estando preso</w:t>
      </w:r>
      <w:r w:rsidR="00D95DD4" w:rsidRPr="003E1644">
        <w:rPr>
          <w:rFonts w:asciiTheme="majorHAnsi" w:hAnsiTheme="majorHAnsi"/>
          <w:sz w:val="20"/>
          <w:szCs w:val="20"/>
          <w:lang w:val="es-AR"/>
        </w:rPr>
        <w:t>,</w:t>
      </w:r>
      <w:r w:rsidR="00782EF7" w:rsidRPr="003E1644">
        <w:rPr>
          <w:rFonts w:asciiTheme="majorHAnsi" w:hAnsiTheme="majorHAnsi"/>
          <w:sz w:val="20"/>
          <w:szCs w:val="20"/>
          <w:lang w:val="es-AR"/>
        </w:rPr>
        <w:t xml:space="preserve"> por la solicitud del director del establecimiento, el señor Morales comenzó a cortar el césped con una maquina en un lugar retirado con mucha basura. Mientras trabajaba, la maquina levantó un alambre de púas, lo cual atravesó con fuerza su cara, incrustándose en el ojo derecho, cortándole la lengua, los labios, la nariz, y dañando dos piezas de su dentadura. El trabajo no fue supervisado. El señor Morales cayó desmallado y después como pudo caminó unos </w:t>
      </w:r>
      <w:r w:rsidR="00852350" w:rsidRPr="003E1644">
        <w:rPr>
          <w:rFonts w:asciiTheme="majorHAnsi" w:hAnsiTheme="majorHAnsi"/>
          <w:sz w:val="20"/>
          <w:szCs w:val="20"/>
          <w:lang w:val="es-AR"/>
        </w:rPr>
        <w:t>cuatrocientos</w:t>
      </w:r>
      <w:r w:rsidR="00782EF7" w:rsidRPr="003E1644">
        <w:rPr>
          <w:rFonts w:asciiTheme="majorHAnsi" w:hAnsiTheme="majorHAnsi"/>
          <w:sz w:val="20"/>
          <w:szCs w:val="20"/>
          <w:lang w:val="es-AR"/>
        </w:rPr>
        <w:t xml:space="preserve"> metros, sosteniendo su ojo con su camisa, hasta encontrar un guardia y pedir auxilio. Por falta de </w:t>
      </w:r>
      <w:r w:rsidR="00CF6897" w:rsidRPr="003E1644">
        <w:rPr>
          <w:rFonts w:asciiTheme="majorHAnsi" w:hAnsiTheme="majorHAnsi"/>
          <w:sz w:val="20"/>
          <w:szCs w:val="20"/>
          <w:lang w:val="es-AR"/>
        </w:rPr>
        <w:t xml:space="preserve">un </w:t>
      </w:r>
      <w:r w:rsidR="00782EF7" w:rsidRPr="003E1644">
        <w:rPr>
          <w:rFonts w:asciiTheme="majorHAnsi" w:hAnsiTheme="majorHAnsi"/>
          <w:sz w:val="20"/>
          <w:szCs w:val="20"/>
          <w:lang w:val="es-AR"/>
        </w:rPr>
        <w:t xml:space="preserve">vehículo, el señor Morales no pudo ser atendido con la prontitud del caso, ya que el centro penal no contaba con personal médico, y queda a </w:t>
      </w:r>
      <w:r w:rsidR="00CF6897" w:rsidRPr="003E1644">
        <w:rPr>
          <w:rFonts w:asciiTheme="majorHAnsi" w:hAnsiTheme="majorHAnsi"/>
          <w:sz w:val="20"/>
          <w:szCs w:val="20"/>
          <w:lang w:val="es-AR"/>
        </w:rPr>
        <w:t>cuatro kilómetros</w:t>
      </w:r>
      <w:r w:rsidR="00782EF7" w:rsidRPr="003E1644">
        <w:rPr>
          <w:rFonts w:asciiTheme="majorHAnsi" w:hAnsiTheme="majorHAnsi"/>
          <w:sz w:val="20"/>
          <w:szCs w:val="20"/>
          <w:lang w:val="es-AR"/>
        </w:rPr>
        <w:t xml:space="preserve"> de la carretera principal que conduce a la Ceiba, Atlántida. Treinta minutos después, llegó un vehículo que vende jugos en el Penal y lo mandaron llevar el señor Morales al Hospital público de la zona. La atención médica fue deficiente. </w:t>
      </w:r>
      <w:r w:rsidR="00112A39" w:rsidRPr="003E1644">
        <w:rPr>
          <w:rFonts w:asciiTheme="majorHAnsi" w:hAnsiTheme="majorHAnsi"/>
          <w:sz w:val="20"/>
          <w:szCs w:val="20"/>
          <w:lang w:val="es-AR"/>
        </w:rPr>
        <w:t xml:space="preserve">Luego </w:t>
      </w:r>
      <w:r w:rsidR="00782EF7" w:rsidRPr="003E1644">
        <w:rPr>
          <w:rFonts w:asciiTheme="majorHAnsi" w:hAnsiTheme="majorHAnsi"/>
          <w:sz w:val="20"/>
          <w:szCs w:val="20"/>
          <w:lang w:val="es-AR"/>
        </w:rPr>
        <w:t>regresó al penal sin adecuadas medicinas ni precauciones para prevenir la infección. El ojo se infectó, agravando su daño y dolor. El señor Morales perdió la vista en su ojo derecho</w:t>
      </w:r>
      <w:r w:rsidR="00112A39" w:rsidRPr="003E1644">
        <w:rPr>
          <w:rFonts w:asciiTheme="majorHAnsi" w:hAnsiTheme="majorHAnsi"/>
          <w:sz w:val="20"/>
          <w:szCs w:val="20"/>
          <w:lang w:val="es-AR"/>
        </w:rPr>
        <w:t xml:space="preserve">, </w:t>
      </w:r>
      <w:r w:rsidR="00782EF7" w:rsidRPr="003E1644">
        <w:rPr>
          <w:rFonts w:asciiTheme="majorHAnsi" w:hAnsiTheme="majorHAnsi"/>
          <w:sz w:val="20"/>
          <w:szCs w:val="20"/>
          <w:lang w:val="es-AR"/>
        </w:rPr>
        <w:t>vari</w:t>
      </w:r>
      <w:r w:rsidR="00112A39" w:rsidRPr="003E1644">
        <w:rPr>
          <w:rFonts w:asciiTheme="majorHAnsi" w:hAnsiTheme="majorHAnsi"/>
          <w:sz w:val="20"/>
          <w:szCs w:val="20"/>
          <w:lang w:val="es-AR"/>
        </w:rPr>
        <w:t>os dientes y t</w:t>
      </w:r>
      <w:r w:rsidR="00782EF7" w:rsidRPr="003E1644">
        <w:rPr>
          <w:rFonts w:asciiTheme="majorHAnsi" w:hAnsiTheme="majorHAnsi"/>
          <w:sz w:val="20"/>
          <w:szCs w:val="20"/>
          <w:lang w:val="es-AR"/>
        </w:rPr>
        <w:t>ambién su lengua quedó con daño permanente por las laceraciones que sufrió. Aun así, y todavía recuperándose, l</w:t>
      </w:r>
      <w:r w:rsidR="00276B15" w:rsidRPr="003E1644">
        <w:rPr>
          <w:rFonts w:asciiTheme="majorHAnsi" w:hAnsiTheme="majorHAnsi"/>
          <w:sz w:val="20"/>
          <w:szCs w:val="20"/>
          <w:lang w:val="es-AR"/>
        </w:rPr>
        <w:t>o</w:t>
      </w:r>
      <w:r w:rsidR="00782EF7" w:rsidRPr="003E1644">
        <w:rPr>
          <w:rFonts w:asciiTheme="majorHAnsi" w:hAnsiTheme="majorHAnsi"/>
          <w:sz w:val="20"/>
          <w:szCs w:val="20"/>
          <w:lang w:val="es-AR"/>
        </w:rPr>
        <w:t xml:space="preserve"> pusieron a trabajar de nuevo a los dos meses del accidente. </w:t>
      </w:r>
    </w:p>
    <w:p w14:paraId="51D3555B" w14:textId="00B799C9" w:rsidR="009A3B96" w:rsidRPr="003E1644" w:rsidRDefault="001F4AFF" w:rsidP="003C08E3">
      <w:pPr>
        <w:pStyle w:val="ListParagraph"/>
        <w:numPr>
          <w:ilvl w:val="0"/>
          <w:numId w:val="103"/>
        </w:numPr>
        <w:spacing w:after="240"/>
        <w:jc w:val="both"/>
        <w:rPr>
          <w:rFonts w:asciiTheme="majorHAnsi" w:hAnsiTheme="majorHAnsi"/>
          <w:sz w:val="20"/>
          <w:szCs w:val="20"/>
          <w:lang w:val="es-AR"/>
        </w:rPr>
      </w:pPr>
      <w:r w:rsidRPr="003E1644">
        <w:rPr>
          <w:rFonts w:asciiTheme="majorHAnsi" w:hAnsiTheme="majorHAnsi"/>
          <w:sz w:val="20"/>
          <w:szCs w:val="20"/>
          <w:lang w:val="es-ES"/>
        </w:rPr>
        <w:t>Los peticionarios</w:t>
      </w:r>
      <w:r w:rsidR="00E376B6" w:rsidRPr="003E1644">
        <w:rPr>
          <w:rFonts w:asciiTheme="majorHAnsi" w:hAnsiTheme="majorHAnsi"/>
          <w:sz w:val="20"/>
          <w:szCs w:val="20"/>
          <w:lang w:val="es-ES"/>
        </w:rPr>
        <w:t xml:space="preserve"> </w:t>
      </w:r>
      <w:r w:rsidR="00276B15" w:rsidRPr="003E1644">
        <w:rPr>
          <w:rFonts w:asciiTheme="majorHAnsi" w:hAnsiTheme="majorHAnsi"/>
          <w:sz w:val="20"/>
          <w:szCs w:val="20"/>
          <w:lang w:val="es-ES"/>
        </w:rPr>
        <w:t>concluyen</w:t>
      </w:r>
      <w:r w:rsidR="00E376B6" w:rsidRPr="003E1644">
        <w:rPr>
          <w:rFonts w:asciiTheme="majorHAnsi" w:hAnsiTheme="majorHAnsi"/>
          <w:sz w:val="20"/>
          <w:szCs w:val="20"/>
          <w:lang w:val="es-ES"/>
        </w:rPr>
        <w:t xml:space="preserve"> que </w:t>
      </w:r>
      <w:r w:rsidR="00E376B6" w:rsidRPr="003E1644">
        <w:rPr>
          <w:rFonts w:asciiTheme="majorHAnsi" w:hAnsiTheme="majorHAnsi"/>
          <w:sz w:val="20"/>
          <w:szCs w:val="20"/>
          <w:lang w:val="es-AR"/>
        </w:rPr>
        <w:t xml:space="preserve">el señor Morales experimentó condiciones de detención que vulneraban su integridad física y su dignidad. </w:t>
      </w:r>
      <w:r w:rsidR="00E376B6" w:rsidRPr="003E1644">
        <w:rPr>
          <w:rFonts w:asciiTheme="majorHAnsi" w:hAnsiTheme="majorHAnsi"/>
          <w:spacing w:val="-1"/>
          <w:sz w:val="20"/>
          <w:szCs w:val="20"/>
          <w:lang w:val="es-AR"/>
        </w:rPr>
        <w:t>Asimismo,</w:t>
      </w:r>
      <w:r w:rsidR="00E376B6" w:rsidRPr="003E1644">
        <w:rPr>
          <w:rFonts w:asciiTheme="majorHAnsi" w:hAnsiTheme="majorHAnsi"/>
          <w:spacing w:val="-13"/>
          <w:sz w:val="20"/>
          <w:szCs w:val="20"/>
          <w:lang w:val="es-AR"/>
        </w:rPr>
        <w:t xml:space="preserve"> </w:t>
      </w:r>
      <w:r w:rsidR="00E376B6" w:rsidRPr="003E1644">
        <w:rPr>
          <w:rFonts w:asciiTheme="majorHAnsi" w:hAnsiTheme="majorHAnsi"/>
          <w:spacing w:val="-1"/>
          <w:sz w:val="20"/>
          <w:szCs w:val="20"/>
          <w:lang w:val="es-AR"/>
        </w:rPr>
        <w:t>debido a</w:t>
      </w:r>
      <w:r w:rsidR="00E376B6" w:rsidRPr="003E1644">
        <w:rPr>
          <w:rFonts w:asciiTheme="majorHAnsi" w:hAnsiTheme="majorHAnsi"/>
          <w:spacing w:val="-16"/>
          <w:sz w:val="20"/>
          <w:szCs w:val="20"/>
          <w:lang w:val="es-AR"/>
        </w:rPr>
        <w:t xml:space="preserve"> </w:t>
      </w:r>
      <w:r w:rsidR="00E376B6" w:rsidRPr="003E1644">
        <w:rPr>
          <w:rFonts w:asciiTheme="majorHAnsi" w:hAnsiTheme="majorHAnsi"/>
          <w:spacing w:val="-1"/>
          <w:sz w:val="20"/>
          <w:szCs w:val="20"/>
          <w:lang w:val="es-AR"/>
        </w:rPr>
        <w:t>la</w:t>
      </w:r>
      <w:r w:rsidR="00E376B6" w:rsidRPr="003E1644">
        <w:rPr>
          <w:rFonts w:asciiTheme="majorHAnsi" w:hAnsiTheme="majorHAnsi"/>
          <w:spacing w:val="-16"/>
          <w:sz w:val="20"/>
          <w:szCs w:val="20"/>
          <w:lang w:val="es-AR"/>
        </w:rPr>
        <w:t xml:space="preserve"> </w:t>
      </w:r>
      <w:r w:rsidR="00E376B6" w:rsidRPr="003E1644">
        <w:rPr>
          <w:rFonts w:asciiTheme="majorHAnsi" w:hAnsiTheme="majorHAnsi"/>
          <w:spacing w:val="-1"/>
          <w:sz w:val="20"/>
          <w:szCs w:val="20"/>
          <w:lang w:val="es-AR"/>
        </w:rPr>
        <w:t>detención</w:t>
      </w:r>
      <w:r w:rsidR="00E376B6" w:rsidRPr="003E1644">
        <w:rPr>
          <w:rFonts w:asciiTheme="majorHAnsi" w:hAnsiTheme="majorHAnsi"/>
          <w:spacing w:val="-15"/>
          <w:sz w:val="20"/>
          <w:szCs w:val="20"/>
          <w:lang w:val="es-AR"/>
        </w:rPr>
        <w:t xml:space="preserve"> </w:t>
      </w:r>
      <w:r w:rsidR="00E376B6" w:rsidRPr="003E1644">
        <w:rPr>
          <w:rFonts w:asciiTheme="majorHAnsi" w:hAnsiTheme="majorHAnsi"/>
          <w:spacing w:val="-1"/>
          <w:sz w:val="20"/>
          <w:szCs w:val="20"/>
          <w:lang w:val="es-AR"/>
        </w:rPr>
        <w:t>prolongada,</w:t>
      </w:r>
      <w:r w:rsidR="00E376B6" w:rsidRPr="003E1644">
        <w:rPr>
          <w:rFonts w:asciiTheme="majorHAnsi" w:hAnsiTheme="majorHAnsi"/>
          <w:spacing w:val="-14"/>
          <w:sz w:val="20"/>
          <w:szCs w:val="20"/>
          <w:lang w:val="es-AR"/>
        </w:rPr>
        <w:t xml:space="preserve"> </w:t>
      </w:r>
      <w:r w:rsidR="00E376B6" w:rsidRPr="003E1644">
        <w:rPr>
          <w:rFonts w:asciiTheme="majorHAnsi" w:hAnsiTheme="majorHAnsi"/>
          <w:sz w:val="20"/>
          <w:szCs w:val="20"/>
          <w:lang w:val="es-AR"/>
        </w:rPr>
        <w:t>sufrió</w:t>
      </w:r>
      <w:r w:rsidR="00E376B6" w:rsidRPr="003E1644">
        <w:rPr>
          <w:rFonts w:asciiTheme="majorHAnsi" w:hAnsiTheme="majorHAnsi"/>
          <w:spacing w:val="-16"/>
          <w:sz w:val="20"/>
          <w:szCs w:val="20"/>
          <w:lang w:val="es-AR"/>
        </w:rPr>
        <w:t xml:space="preserve"> </w:t>
      </w:r>
      <w:r w:rsidR="00E376B6" w:rsidRPr="003E1644">
        <w:rPr>
          <w:rFonts w:asciiTheme="majorHAnsi" w:hAnsiTheme="majorHAnsi"/>
          <w:sz w:val="20"/>
          <w:szCs w:val="20"/>
          <w:lang w:val="es-AR"/>
        </w:rPr>
        <w:t>la</w:t>
      </w:r>
      <w:r w:rsidR="00E376B6" w:rsidRPr="003E1644">
        <w:rPr>
          <w:rFonts w:asciiTheme="majorHAnsi" w:hAnsiTheme="majorHAnsi"/>
          <w:spacing w:val="-10"/>
          <w:sz w:val="20"/>
          <w:szCs w:val="20"/>
          <w:lang w:val="es-AR"/>
        </w:rPr>
        <w:t xml:space="preserve"> </w:t>
      </w:r>
      <w:r w:rsidR="00E376B6" w:rsidRPr="003E1644">
        <w:rPr>
          <w:rFonts w:asciiTheme="majorHAnsi" w:hAnsiTheme="majorHAnsi"/>
          <w:sz w:val="20"/>
          <w:szCs w:val="20"/>
          <w:lang w:val="es-AR"/>
        </w:rPr>
        <w:t>muerte de</w:t>
      </w:r>
      <w:r w:rsidR="00E376B6" w:rsidRPr="003E1644">
        <w:rPr>
          <w:rFonts w:asciiTheme="majorHAnsi" w:hAnsiTheme="majorHAnsi"/>
          <w:spacing w:val="-15"/>
          <w:sz w:val="20"/>
          <w:szCs w:val="20"/>
          <w:lang w:val="es-AR"/>
        </w:rPr>
        <w:t xml:space="preserve"> </w:t>
      </w:r>
      <w:r w:rsidR="00E376B6" w:rsidRPr="003E1644">
        <w:rPr>
          <w:rFonts w:asciiTheme="majorHAnsi" w:hAnsiTheme="majorHAnsi"/>
          <w:sz w:val="20"/>
          <w:szCs w:val="20"/>
          <w:lang w:val="es-AR"/>
        </w:rPr>
        <w:t>varios de sus familiares más cercanos,</w:t>
      </w:r>
      <w:r w:rsidR="00E376B6" w:rsidRPr="003E1644">
        <w:rPr>
          <w:rFonts w:asciiTheme="majorHAnsi" w:hAnsiTheme="majorHAnsi"/>
          <w:spacing w:val="-14"/>
          <w:sz w:val="20"/>
          <w:szCs w:val="20"/>
          <w:lang w:val="es-AR"/>
        </w:rPr>
        <w:t xml:space="preserve"> </w:t>
      </w:r>
      <w:r w:rsidR="00E376B6" w:rsidRPr="003E1644">
        <w:rPr>
          <w:rFonts w:asciiTheme="majorHAnsi" w:hAnsiTheme="majorHAnsi"/>
          <w:sz w:val="20"/>
          <w:szCs w:val="20"/>
          <w:lang w:val="es-AR"/>
        </w:rPr>
        <w:t>causándole</w:t>
      </w:r>
      <w:r w:rsidR="00E376B6" w:rsidRPr="003E1644">
        <w:rPr>
          <w:rFonts w:asciiTheme="majorHAnsi" w:hAnsiTheme="majorHAnsi"/>
          <w:spacing w:val="-16"/>
          <w:sz w:val="20"/>
          <w:szCs w:val="20"/>
          <w:lang w:val="es-AR"/>
        </w:rPr>
        <w:t xml:space="preserve"> </w:t>
      </w:r>
      <w:r w:rsidR="00E376B6" w:rsidRPr="003E1644">
        <w:rPr>
          <w:rFonts w:asciiTheme="majorHAnsi" w:hAnsiTheme="majorHAnsi"/>
          <w:sz w:val="20"/>
          <w:szCs w:val="20"/>
          <w:lang w:val="es-AR"/>
        </w:rPr>
        <w:t>grave</w:t>
      </w:r>
      <w:r w:rsidR="00E376B6" w:rsidRPr="003E1644">
        <w:rPr>
          <w:rFonts w:asciiTheme="majorHAnsi" w:hAnsiTheme="majorHAnsi"/>
          <w:spacing w:val="-15"/>
          <w:sz w:val="20"/>
          <w:szCs w:val="20"/>
          <w:lang w:val="es-AR"/>
        </w:rPr>
        <w:t xml:space="preserve"> </w:t>
      </w:r>
      <w:r w:rsidR="00E376B6" w:rsidRPr="003E1644">
        <w:rPr>
          <w:rFonts w:asciiTheme="majorHAnsi" w:hAnsiTheme="majorHAnsi"/>
          <w:sz w:val="20"/>
          <w:szCs w:val="20"/>
          <w:lang w:val="es-AR"/>
        </w:rPr>
        <w:t>daño</w:t>
      </w:r>
      <w:r w:rsidR="00E376B6" w:rsidRPr="003E1644">
        <w:rPr>
          <w:rFonts w:asciiTheme="majorHAnsi" w:hAnsiTheme="majorHAnsi"/>
          <w:spacing w:val="-16"/>
          <w:sz w:val="20"/>
          <w:szCs w:val="20"/>
          <w:lang w:val="es-AR"/>
        </w:rPr>
        <w:t xml:space="preserve"> </w:t>
      </w:r>
      <w:r w:rsidR="00E376B6" w:rsidRPr="003E1644">
        <w:rPr>
          <w:rFonts w:asciiTheme="majorHAnsi" w:hAnsiTheme="majorHAnsi"/>
          <w:sz w:val="20"/>
          <w:szCs w:val="20"/>
          <w:lang w:val="es-AR"/>
        </w:rPr>
        <w:t>psíquico</w:t>
      </w:r>
      <w:r w:rsidR="00E376B6" w:rsidRPr="003E1644">
        <w:rPr>
          <w:rFonts w:asciiTheme="majorHAnsi" w:hAnsiTheme="majorHAnsi"/>
          <w:spacing w:val="-16"/>
          <w:sz w:val="20"/>
          <w:szCs w:val="20"/>
          <w:lang w:val="es-AR"/>
        </w:rPr>
        <w:t xml:space="preserve"> </w:t>
      </w:r>
      <w:r w:rsidR="00E376B6" w:rsidRPr="003E1644">
        <w:rPr>
          <w:rFonts w:asciiTheme="majorHAnsi" w:hAnsiTheme="majorHAnsi"/>
          <w:sz w:val="20"/>
          <w:szCs w:val="20"/>
          <w:lang w:val="es-AR"/>
        </w:rPr>
        <w:t>y</w:t>
      </w:r>
      <w:r w:rsidR="00E376B6" w:rsidRPr="003E1644">
        <w:rPr>
          <w:rFonts w:asciiTheme="majorHAnsi" w:hAnsiTheme="majorHAnsi"/>
          <w:spacing w:val="-17"/>
          <w:sz w:val="20"/>
          <w:szCs w:val="20"/>
          <w:lang w:val="es-AR"/>
        </w:rPr>
        <w:t xml:space="preserve"> </w:t>
      </w:r>
      <w:r w:rsidR="00E376B6" w:rsidRPr="003E1644">
        <w:rPr>
          <w:rFonts w:asciiTheme="majorHAnsi" w:hAnsiTheme="majorHAnsi"/>
          <w:sz w:val="20"/>
          <w:szCs w:val="20"/>
          <w:lang w:val="es-AR"/>
        </w:rPr>
        <w:t>moral. El señor Morales ha quedado con trauma y trastornos de estrés postraumático.</w:t>
      </w:r>
    </w:p>
    <w:p w14:paraId="4AF16700" w14:textId="77777777" w:rsidR="00790364" w:rsidRDefault="00790364" w:rsidP="003C08E3">
      <w:pPr>
        <w:pStyle w:val="ListParagraph"/>
        <w:spacing w:after="240"/>
        <w:jc w:val="both"/>
        <w:rPr>
          <w:rFonts w:asciiTheme="majorHAnsi" w:hAnsiTheme="majorHAnsi"/>
          <w:i/>
          <w:iCs/>
          <w:sz w:val="20"/>
          <w:szCs w:val="20"/>
          <w:lang w:val="es-AR"/>
        </w:rPr>
      </w:pPr>
    </w:p>
    <w:p w14:paraId="21EE2A04" w14:textId="6EB90493" w:rsidR="00F75221" w:rsidRPr="003E1644" w:rsidRDefault="00A91D74" w:rsidP="003C08E3">
      <w:pPr>
        <w:pStyle w:val="ListParagraph"/>
        <w:spacing w:after="240"/>
        <w:jc w:val="both"/>
        <w:rPr>
          <w:rFonts w:asciiTheme="majorHAnsi" w:hAnsiTheme="majorHAnsi"/>
          <w:i/>
          <w:iCs/>
          <w:sz w:val="20"/>
          <w:szCs w:val="20"/>
          <w:lang w:val="es-AR"/>
        </w:rPr>
      </w:pPr>
      <w:r w:rsidRPr="003E1644">
        <w:rPr>
          <w:rFonts w:asciiTheme="majorHAnsi" w:hAnsiTheme="majorHAnsi"/>
          <w:i/>
          <w:iCs/>
          <w:sz w:val="20"/>
          <w:szCs w:val="20"/>
          <w:lang w:val="es-AR"/>
        </w:rPr>
        <w:lastRenderedPageBreak/>
        <w:t>Otros alegatos</w:t>
      </w:r>
    </w:p>
    <w:p w14:paraId="0D0BE309" w14:textId="49E7D2AE" w:rsidR="00276B15" w:rsidRPr="003E1644" w:rsidRDefault="00A91D74" w:rsidP="003C08E3">
      <w:pPr>
        <w:pStyle w:val="ListParagraph"/>
        <w:numPr>
          <w:ilvl w:val="0"/>
          <w:numId w:val="103"/>
        </w:numPr>
        <w:spacing w:after="240"/>
        <w:jc w:val="both"/>
        <w:rPr>
          <w:rFonts w:asciiTheme="majorHAnsi" w:hAnsiTheme="majorHAnsi"/>
          <w:sz w:val="20"/>
          <w:szCs w:val="20"/>
          <w:lang w:val="es-AR"/>
        </w:rPr>
      </w:pPr>
      <w:r w:rsidRPr="003E1644">
        <w:rPr>
          <w:rFonts w:asciiTheme="majorHAnsi" w:hAnsiTheme="majorHAnsi"/>
          <w:sz w:val="20"/>
          <w:szCs w:val="20"/>
          <w:lang w:val="es-AR"/>
        </w:rPr>
        <w:t>Los peticionarios indican que l</w:t>
      </w:r>
      <w:r w:rsidR="00944595" w:rsidRPr="003E1644">
        <w:rPr>
          <w:rFonts w:asciiTheme="majorHAnsi" w:hAnsiTheme="majorHAnsi"/>
          <w:sz w:val="20"/>
          <w:szCs w:val="20"/>
          <w:lang w:val="es-AR"/>
        </w:rPr>
        <w:t>a</w:t>
      </w:r>
      <w:r w:rsidR="00F75221" w:rsidRPr="003E1644">
        <w:rPr>
          <w:rFonts w:asciiTheme="majorHAnsi" w:hAnsiTheme="majorHAnsi"/>
          <w:sz w:val="20"/>
          <w:szCs w:val="20"/>
          <w:lang w:val="es-AR"/>
        </w:rPr>
        <w:t xml:space="preserve"> familia del señor Morales también </w:t>
      </w:r>
      <w:r w:rsidRPr="003E1644">
        <w:rPr>
          <w:rFonts w:asciiTheme="majorHAnsi" w:hAnsiTheme="majorHAnsi"/>
          <w:sz w:val="20"/>
          <w:szCs w:val="20"/>
          <w:lang w:val="es-AR"/>
        </w:rPr>
        <w:t>sufrió</w:t>
      </w:r>
      <w:r w:rsidR="00944595" w:rsidRPr="003E1644">
        <w:rPr>
          <w:rFonts w:asciiTheme="majorHAnsi" w:hAnsiTheme="majorHAnsi"/>
          <w:sz w:val="20"/>
          <w:szCs w:val="20"/>
          <w:lang w:val="es-AR"/>
        </w:rPr>
        <w:t xml:space="preserve"> amenazas, </w:t>
      </w:r>
      <w:r w:rsidR="00F75221" w:rsidRPr="003E1644">
        <w:rPr>
          <w:rFonts w:asciiTheme="majorHAnsi" w:hAnsiTheme="majorHAnsi"/>
          <w:sz w:val="20"/>
          <w:szCs w:val="20"/>
          <w:lang w:val="es-AR"/>
        </w:rPr>
        <w:t xml:space="preserve">daños psíquicos y </w:t>
      </w:r>
      <w:r w:rsidR="007D64E6">
        <w:rPr>
          <w:rFonts w:asciiTheme="majorHAnsi" w:hAnsiTheme="majorHAnsi"/>
          <w:sz w:val="20"/>
          <w:szCs w:val="20"/>
          <w:lang w:val="es-AR"/>
        </w:rPr>
        <w:t>M</w:t>
      </w:r>
      <w:r w:rsidR="00F75221" w:rsidRPr="003E1644">
        <w:rPr>
          <w:rFonts w:asciiTheme="majorHAnsi" w:hAnsiTheme="majorHAnsi"/>
          <w:sz w:val="20"/>
          <w:szCs w:val="20"/>
          <w:lang w:val="es-AR"/>
        </w:rPr>
        <w:t xml:space="preserve">orales causados por el trauma del proceso penal y la ruptura de la unidad familiar. Además, </w:t>
      </w:r>
      <w:r w:rsidR="00642FFC" w:rsidRPr="003E1644">
        <w:rPr>
          <w:rFonts w:asciiTheme="majorHAnsi" w:hAnsiTheme="majorHAnsi"/>
          <w:sz w:val="20"/>
          <w:szCs w:val="20"/>
          <w:lang w:val="es-AR"/>
        </w:rPr>
        <w:t xml:space="preserve">esta </w:t>
      </w:r>
      <w:r w:rsidR="00F75221" w:rsidRPr="003E1644">
        <w:rPr>
          <w:rFonts w:asciiTheme="majorHAnsi" w:hAnsiTheme="majorHAnsi"/>
          <w:sz w:val="20"/>
          <w:szCs w:val="20"/>
          <w:lang w:val="es-AR"/>
        </w:rPr>
        <w:t xml:space="preserve">era sostenida económicamente por </w:t>
      </w:r>
      <w:r w:rsidR="00642FFC" w:rsidRPr="003E1644">
        <w:rPr>
          <w:rFonts w:asciiTheme="majorHAnsi" w:hAnsiTheme="majorHAnsi"/>
          <w:sz w:val="20"/>
          <w:szCs w:val="20"/>
          <w:lang w:val="es-AR"/>
        </w:rPr>
        <w:t>aquel</w:t>
      </w:r>
      <w:r w:rsidR="00F75221" w:rsidRPr="003E1644">
        <w:rPr>
          <w:rFonts w:asciiTheme="majorHAnsi" w:hAnsiTheme="majorHAnsi"/>
          <w:sz w:val="20"/>
          <w:szCs w:val="20"/>
          <w:lang w:val="es-AR"/>
        </w:rPr>
        <w:t xml:space="preserve">, motivo por el cual luego de su detención </w:t>
      </w:r>
      <w:r w:rsidR="00013D84" w:rsidRPr="003E1644">
        <w:rPr>
          <w:rFonts w:asciiTheme="majorHAnsi" w:hAnsiTheme="majorHAnsi"/>
          <w:sz w:val="20"/>
          <w:szCs w:val="20"/>
          <w:lang w:val="es-AR"/>
        </w:rPr>
        <w:t xml:space="preserve">la familia </w:t>
      </w:r>
      <w:r w:rsidR="00F75221" w:rsidRPr="003E1644">
        <w:rPr>
          <w:rFonts w:asciiTheme="majorHAnsi" w:hAnsiTheme="majorHAnsi"/>
          <w:sz w:val="20"/>
          <w:szCs w:val="20"/>
          <w:lang w:val="es-AR"/>
        </w:rPr>
        <w:t xml:space="preserve">permaneció en la extrema pobreza. </w:t>
      </w:r>
      <w:r w:rsidRPr="003E1644">
        <w:rPr>
          <w:rFonts w:asciiTheme="majorHAnsi" w:hAnsiTheme="majorHAnsi"/>
          <w:sz w:val="20"/>
          <w:szCs w:val="20"/>
          <w:lang w:val="es-AR"/>
        </w:rPr>
        <w:t xml:space="preserve">La comunidad agrícola “Guadalupe Carney” también sufrió a raíz del </w:t>
      </w:r>
      <w:r w:rsidR="00013D84" w:rsidRPr="003E1644">
        <w:rPr>
          <w:rFonts w:asciiTheme="majorHAnsi" w:hAnsiTheme="majorHAnsi"/>
          <w:sz w:val="20"/>
          <w:szCs w:val="20"/>
          <w:lang w:val="es-AR"/>
        </w:rPr>
        <w:t xml:space="preserve">alegado </w:t>
      </w:r>
      <w:r w:rsidRPr="003E1644">
        <w:rPr>
          <w:rFonts w:asciiTheme="majorHAnsi" w:hAnsiTheme="majorHAnsi"/>
          <w:sz w:val="20"/>
          <w:szCs w:val="20"/>
          <w:lang w:val="es-AR"/>
        </w:rPr>
        <w:t xml:space="preserve">escarmiento que quisieron hacer del señor Morales para criminalizar toda la comunidad y </w:t>
      </w:r>
      <w:r w:rsidR="00013D84" w:rsidRPr="003E1644">
        <w:rPr>
          <w:rFonts w:asciiTheme="majorHAnsi" w:hAnsiTheme="majorHAnsi"/>
          <w:sz w:val="20"/>
          <w:szCs w:val="20"/>
          <w:lang w:val="es-AR"/>
        </w:rPr>
        <w:t xml:space="preserve">al </w:t>
      </w:r>
      <w:r w:rsidRPr="003E1644">
        <w:rPr>
          <w:rFonts w:asciiTheme="majorHAnsi" w:hAnsiTheme="majorHAnsi"/>
          <w:sz w:val="20"/>
          <w:szCs w:val="20"/>
          <w:lang w:val="es-AR"/>
        </w:rPr>
        <w:t xml:space="preserve">Movimiento Campesino del Aguán. Desde el inicio acusaron a </w:t>
      </w:r>
      <w:r w:rsidR="00013D84" w:rsidRPr="003E1644">
        <w:rPr>
          <w:rFonts w:asciiTheme="majorHAnsi" w:hAnsiTheme="majorHAnsi"/>
          <w:sz w:val="20"/>
          <w:szCs w:val="20"/>
          <w:lang w:val="es-AR"/>
        </w:rPr>
        <w:t>treinta y dos</w:t>
      </w:r>
      <w:r w:rsidRPr="003E1644">
        <w:rPr>
          <w:rFonts w:asciiTheme="majorHAnsi" w:hAnsiTheme="majorHAnsi"/>
          <w:sz w:val="20"/>
          <w:szCs w:val="20"/>
          <w:lang w:val="es-AR"/>
        </w:rPr>
        <w:t xml:space="preserve"> compañeros de la cooperativa del señor Morales. Muchos de la cooperativa no podían trabajar durante el primer año después de los hechos por las amenazas que había y por temor al clima conflictivo y al resentimiento del oficial Henry Osorto. Tuvieron que abandonar la tierra de la cooperativa y han quedado endeudados y con sus títulos de propiedad hipotecados </w:t>
      </w:r>
      <w:r w:rsidR="00347ADC" w:rsidRPr="003E1644">
        <w:rPr>
          <w:rFonts w:asciiTheme="majorHAnsi" w:hAnsiTheme="majorHAnsi"/>
          <w:sz w:val="20"/>
          <w:szCs w:val="20"/>
          <w:lang w:val="es-AR"/>
        </w:rPr>
        <w:t>por</w:t>
      </w:r>
      <w:r w:rsidRPr="003E1644">
        <w:rPr>
          <w:rFonts w:asciiTheme="majorHAnsi" w:hAnsiTheme="majorHAnsi"/>
          <w:sz w:val="20"/>
          <w:szCs w:val="20"/>
          <w:lang w:val="es-AR"/>
        </w:rPr>
        <w:t xml:space="preserve"> el Estado</w:t>
      </w:r>
      <w:r w:rsidR="00370F3E" w:rsidRPr="003E1644">
        <w:rPr>
          <w:rFonts w:asciiTheme="majorHAnsi" w:hAnsiTheme="majorHAnsi"/>
          <w:sz w:val="20"/>
          <w:szCs w:val="20"/>
          <w:lang w:val="es-AR"/>
        </w:rPr>
        <w:t>.</w:t>
      </w:r>
      <w:r w:rsidRPr="003E1644">
        <w:rPr>
          <w:rFonts w:asciiTheme="majorHAnsi" w:hAnsiTheme="majorHAnsi"/>
          <w:sz w:val="20"/>
          <w:szCs w:val="20"/>
          <w:lang w:val="es-AR"/>
        </w:rPr>
        <w:t xml:space="preserve"> </w:t>
      </w:r>
      <w:r w:rsidRPr="003E1644">
        <w:rPr>
          <w:rFonts w:asciiTheme="majorHAnsi" w:hAnsiTheme="majorHAnsi"/>
          <w:i/>
          <w:iCs/>
          <w:sz w:val="20"/>
          <w:szCs w:val="20"/>
          <w:lang w:val="es-AR"/>
        </w:rPr>
        <w:t>–</w:t>
      </w:r>
      <w:r w:rsidR="00370F3E" w:rsidRPr="003E1644">
        <w:rPr>
          <w:rFonts w:asciiTheme="majorHAnsi" w:hAnsiTheme="majorHAnsi"/>
          <w:sz w:val="20"/>
          <w:szCs w:val="20"/>
          <w:lang w:val="es-AR"/>
        </w:rPr>
        <w:t>E</w:t>
      </w:r>
      <w:r w:rsidRPr="003E1644">
        <w:rPr>
          <w:rFonts w:asciiTheme="majorHAnsi" w:hAnsiTheme="majorHAnsi"/>
          <w:sz w:val="20"/>
          <w:szCs w:val="20"/>
          <w:lang w:val="es-AR"/>
        </w:rPr>
        <w:t>stos alegatos fueron planteados de manera muy breve y en términos generales, al momento de la redacción del presente informe no hay más detalles</w:t>
      </w:r>
      <w:r w:rsidR="00370F3E" w:rsidRPr="003E1644">
        <w:rPr>
          <w:rFonts w:asciiTheme="majorHAnsi" w:hAnsiTheme="majorHAnsi"/>
          <w:sz w:val="20"/>
          <w:szCs w:val="20"/>
          <w:lang w:val="es-AR"/>
        </w:rPr>
        <w:t xml:space="preserve"> a este respecto</w:t>
      </w:r>
      <w:r w:rsidR="007652B4" w:rsidRPr="003E1644">
        <w:rPr>
          <w:rFonts w:asciiTheme="majorHAnsi" w:hAnsiTheme="majorHAnsi"/>
          <w:sz w:val="20"/>
          <w:szCs w:val="20"/>
          <w:lang w:val="es-AR"/>
        </w:rPr>
        <w:t>–</w:t>
      </w:r>
      <w:r w:rsidRPr="003E1644">
        <w:rPr>
          <w:rFonts w:asciiTheme="majorHAnsi" w:hAnsiTheme="majorHAnsi"/>
          <w:sz w:val="20"/>
          <w:szCs w:val="20"/>
          <w:lang w:val="es-AR"/>
        </w:rPr>
        <w:t>.</w:t>
      </w:r>
    </w:p>
    <w:p w14:paraId="0CA0CDF4" w14:textId="3CEB4421" w:rsidR="00B20569" w:rsidRPr="003E1644" w:rsidRDefault="00DE6DD8" w:rsidP="003C08E3">
      <w:pPr>
        <w:pStyle w:val="ListParagraph"/>
        <w:spacing w:after="240"/>
        <w:jc w:val="both"/>
        <w:rPr>
          <w:rFonts w:asciiTheme="majorHAnsi" w:hAnsiTheme="majorHAnsi"/>
          <w:i/>
          <w:iCs/>
          <w:sz w:val="20"/>
          <w:szCs w:val="20"/>
          <w:lang w:val="es-AR"/>
        </w:rPr>
      </w:pPr>
      <w:r w:rsidRPr="003E1644">
        <w:rPr>
          <w:rFonts w:asciiTheme="majorHAnsi" w:hAnsiTheme="majorHAnsi"/>
          <w:i/>
          <w:iCs/>
          <w:sz w:val="20"/>
          <w:szCs w:val="20"/>
          <w:lang w:val="es-AR"/>
        </w:rPr>
        <w:t xml:space="preserve">Alegatos del </w:t>
      </w:r>
      <w:r w:rsidR="00B52791" w:rsidRPr="003E1644">
        <w:rPr>
          <w:rFonts w:asciiTheme="majorHAnsi" w:hAnsiTheme="majorHAnsi"/>
          <w:i/>
          <w:iCs/>
          <w:sz w:val="20"/>
          <w:szCs w:val="20"/>
          <w:lang w:val="es-AR"/>
        </w:rPr>
        <w:t>E</w:t>
      </w:r>
      <w:r w:rsidRPr="003E1644">
        <w:rPr>
          <w:rFonts w:asciiTheme="majorHAnsi" w:hAnsiTheme="majorHAnsi"/>
          <w:i/>
          <w:iCs/>
          <w:sz w:val="20"/>
          <w:szCs w:val="20"/>
          <w:lang w:val="es-AR"/>
        </w:rPr>
        <w:t xml:space="preserve">stado </w:t>
      </w:r>
      <w:r w:rsidR="007652B4" w:rsidRPr="003E1644">
        <w:rPr>
          <w:rFonts w:asciiTheme="majorHAnsi" w:hAnsiTheme="majorHAnsi"/>
          <w:i/>
          <w:iCs/>
          <w:sz w:val="20"/>
          <w:szCs w:val="20"/>
          <w:lang w:val="es-AR"/>
        </w:rPr>
        <w:t>hondureño</w:t>
      </w:r>
    </w:p>
    <w:p w14:paraId="65241208" w14:textId="7C80A64C" w:rsidR="00AE2AE0" w:rsidRPr="003E1644" w:rsidRDefault="0000597D" w:rsidP="003C08E3">
      <w:pPr>
        <w:pStyle w:val="ListParagraph"/>
        <w:numPr>
          <w:ilvl w:val="0"/>
          <w:numId w:val="103"/>
        </w:numPr>
        <w:spacing w:after="240"/>
        <w:jc w:val="both"/>
        <w:rPr>
          <w:rFonts w:asciiTheme="majorHAnsi" w:hAnsiTheme="majorHAnsi"/>
          <w:sz w:val="20"/>
          <w:szCs w:val="20"/>
          <w:lang w:val="es-AR"/>
        </w:rPr>
      </w:pPr>
      <w:r w:rsidRPr="003E1644">
        <w:rPr>
          <w:rFonts w:asciiTheme="majorHAnsi" w:hAnsiTheme="majorHAnsi"/>
          <w:color w:val="auto"/>
          <w:sz w:val="20"/>
          <w:szCs w:val="20"/>
          <w:lang w:val="es-AR"/>
        </w:rPr>
        <w:t xml:space="preserve">El </w:t>
      </w:r>
      <w:r w:rsidR="007649C8" w:rsidRPr="003E1644">
        <w:rPr>
          <w:rFonts w:asciiTheme="majorHAnsi" w:hAnsiTheme="majorHAnsi"/>
          <w:color w:val="auto"/>
          <w:sz w:val="20"/>
          <w:szCs w:val="20"/>
          <w:lang w:val="es-AR"/>
        </w:rPr>
        <w:t>E</w:t>
      </w:r>
      <w:r w:rsidRPr="003E1644">
        <w:rPr>
          <w:rFonts w:asciiTheme="majorHAnsi" w:hAnsiTheme="majorHAnsi"/>
          <w:color w:val="auto"/>
          <w:sz w:val="20"/>
          <w:szCs w:val="20"/>
          <w:lang w:val="es-AR"/>
        </w:rPr>
        <w:t xml:space="preserve">stado </w:t>
      </w:r>
      <w:r w:rsidR="007A6D1B" w:rsidRPr="003E1644">
        <w:rPr>
          <w:rFonts w:asciiTheme="majorHAnsi" w:hAnsiTheme="majorHAnsi"/>
          <w:color w:val="auto"/>
          <w:sz w:val="20"/>
          <w:szCs w:val="20"/>
          <w:lang w:val="es-AR"/>
        </w:rPr>
        <w:t>explica</w:t>
      </w:r>
      <w:r w:rsidRPr="003E1644">
        <w:rPr>
          <w:rFonts w:asciiTheme="majorHAnsi" w:hAnsiTheme="majorHAnsi"/>
          <w:color w:val="auto"/>
          <w:sz w:val="20"/>
          <w:szCs w:val="20"/>
          <w:lang w:val="es-AR"/>
        </w:rPr>
        <w:t xml:space="preserve"> que e</w:t>
      </w:r>
      <w:r w:rsidR="00054F0C" w:rsidRPr="003E1644">
        <w:rPr>
          <w:rFonts w:asciiTheme="majorHAnsi" w:hAnsiTheme="majorHAnsi"/>
          <w:color w:val="auto"/>
          <w:sz w:val="20"/>
          <w:szCs w:val="20"/>
          <w:lang w:val="es-AR"/>
        </w:rPr>
        <w:t xml:space="preserve">l señor </w:t>
      </w:r>
      <w:r w:rsidR="00CC083B" w:rsidRPr="003E1644">
        <w:rPr>
          <w:rFonts w:asciiTheme="majorHAnsi" w:hAnsiTheme="majorHAnsi"/>
          <w:color w:val="auto"/>
          <w:sz w:val="20"/>
          <w:szCs w:val="20"/>
          <w:lang w:val="es-AR"/>
        </w:rPr>
        <w:t>M</w:t>
      </w:r>
      <w:r w:rsidR="00054F0C" w:rsidRPr="003E1644">
        <w:rPr>
          <w:rFonts w:asciiTheme="majorHAnsi" w:hAnsiTheme="majorHAnsi"/>
          <w:color w:val="auto"/>
          <w:sz w:val="20"/>
          <w:szCs w:val="20"/>
          <w:lang w:val="es-AR"/>
        </w:rPr>
        <w:t>orales fue capturado el</w:t>
      </w:r>
      <w:r w:rsidR="00CC083B" w:rsidRPr="003E1644">
        <w:rPr>
          <w:rFonts w:asciiTheme="majorHAnsi" w:hAnsiTheme="majorHAnsi"/>
          <w:color w:val="auto"/>
          <w:sz w:val="20"/>
          <w:szCs w:val="20"/>
          <w:lang w:val="es-AR"/>
        </w:rPr>
        <w:t xml:space="preserve"> </w:t>
      </w:r>
      <w:r w:rsidR="00356AA6" w:rsidRPr="003E1644">
        <w:rPr>
          <w:rFonts w:asciiTheme="majorHAnsi" w:hAnsiTheme="majorHAnsi"/>
          <w:color w:val="auto"/>
          <w:sz w:val="20"/>
          <w:szCs w:val="20"/>
          <w:lang w:val="es-AR"/>
        </w:rPr>
        <w:t xml:space="preserve">17 </w:t>
      </w:r>
      <w:r w:rsidR="00054F0C" w:rsidRPr="003E1644">
        <w:rPr>
          <w:rFonts w:asciiTheme="majorHAnsi" w:hAnsiTheme="majorHAnsi"/>
          <w:color w:val="auto"/>
          <w:sz w:val="20"/>
          <w:szCs w:val="20"/>
          <w:lang w:val="es-AR"/>
        </w:rPr>
        <w:t>de octubre del 2008</w:t>
      </w:r>
      <w:r w:rsidR="00360E4A" w:rsidRPr="003E1644">
        <w:rPr>
          <w:rFonts w:asciiTheme="majorHAnsi" w:hAnsiTheme="majorHAnsi"/>
          <w:color w:val="auto"/>
          <w:sz w:val="20"/>
          <w:szCs w:val="20"/>
          <w:lang w:val="es-AR"/>
        </w:rPr>
        <w:t>;</w:t>
      </w:r>
      <w:r w:rsidR="00054F0C" w:rsidRPr="003E1644">
        <w:rPr>
          <w:rFonts w:asciiTheme="majorHAnsi" w:hAnsiTheme="majorHAnsi"/>
          <w:color w:val="auto"/>
          <w:sz w:val="20"/>
          <w:szCs w:val="20"/>
          <w:lang w:val="es-AR"/>
        </w:rPr>
        <w:t xml:space="preserve"> declarado culpable por el delito de homicidio simple el</w:t>
      </w:r>
      <w:r w:rsidR="00356AA6" w:rsidRPr="003E1644">
        <w:rPr>
          <w:rFonts w:asciiTheme="majorHAnsi" w:hAnsiTheme="majorHAnsi"/>
          <w:color w:val="auto"/>
          <w:sz w:val="20"/>
          <w:szCs w:val="20"/>
          <w:lang w:val="es-AR"/>
        </w:rPr>
        <w:t xml:space="preserve"> 14 </w:t>
      </w:r>
      <w:r w:rsidR="00ED331F" w:rsidRPr="003E1644">
        <w:rPr>
          <w:rFonts w:asciiTheme="majorHAnsi" w:hAnsiTheme="majorHAnsi"/>
          <w:color w:val="auto"/>
          <w:sz w:val="20"/>
          <w:szCs w:val="20"/>
          <w:lang w:val="es-AR"/>
        </w:rPr>
        <w:t>d</w:t>
      </w:r>
      <w:r w:rsidR="00CC083B" w:rsidRPr="003E1644">
        <w:rPr>
          <w:rFonts w:asciiTheme="majorHAnsi" w:hAnsiTheme="majorHAnsi"/>
          <w:color w:val="auto"/>
          <w:sz w:val="20"/>
          <w:szCs w:val="20"/>
          <w:lang w:val="es-AR"/>
        </w:rPr>
        <w:t>e</w:t>
      </w:r>
      <w:r w:rsidR="007A6D1B" w:rsidRPr="003E1644">
        <w:rPr>
          <w:rFonts w:asciiTheme="majorHAnsi" w:hAnsiTheme="majorHAnsi"/>
          <w:color w:val="auto"/>
          <w:sz w:val="20"/>
          <w:szCs w:val="20"/>
          <w:lang w:val="es-AR"/>
        </w:rPr>
        <w:t xml:space="preserve"> </w:t>
      </w:r>
      <w:r w:rsidR="00054F0C" w:rsidRPr="003E1644">
        <w:rPr>
          <w:rFonts w:asciiTheme="majorHAnsi" w:hAnsiTheme="majorHAnsi"/>
          <w:color w:val="auto"/>
          <w:sz w:val="20"/>
          <w:szCs w:val="20"/>
          <w:lang w:val="es-AR"/>
        </w:rPr>
        <w:t>junio de 2010</w:t>
      </w:r>
      <w:r w:rsidR="00360E4A" w:rsidRPr="003E1644">
        <w:rPr>
          <w:rFonts w:asciiTheme="majorHAnsi" w:hAnsiTheme="majorHAnsi"/>
          <w:color w:val="auto"/>
          <w:sz w:val="20"/>
          <w:szCs w:val="20"/>
          <w:lang w:val="es-AR"/>
        </w:rPr>
        <w:t>;</w:t>
      </w:r>
      <w:r w:rsidR="00054F0C" w:rsidRPr="003E1644">
        <w:rPr>
          <w:rFonts w:asciiTheme="majorHAnsi" w:hAnsiTheme="majorHAnsi"/>
          <w:color w:val="auto"/>
          <w:sz w:val="20"/>
          <w:szCs w:val="20"/>
          <w:lang w:val="es-AR"/>
        </w:rPr>
        <w:t xml:space="preserve"> </w:t>
      </w:r>
      <w:r w:rsidR="00356AA6" w:rsidRPr="003E1644">
        <w:rPr>
          <w:rFonts w:asciiTheme="majorHAnsi" w:hAnsiTheme="majorHAnsi"/>
          <w:color w:val="auto"/>
          <w:sz w:val="20"/>
          <w:szCs w:val="20"/>
          <w:lang w:val="es-AR"/>
        </w:rPr>
        <w:t xml:space="preserve">y </w:t>
      </w:r>
      <w:r w:rsidR="00054F0C" w:rsidRPr="003E1644">
        <w:rPr>
          <w:rFonts w:asciiTheme="majorHAnsi" w:hAnsiTheme="majorHAnsi"/>
          <w:color w:val="auto"/>
          <w:sz w:val="20"/>
          <w:szCs w:val="20"/>
          <w:lang w:val="es-AR"/>
        </w:rPr>
        <w:t xml:space="preserve">condenado a </w:t>
      </w:r>
      <w:r w:rsidR="00360E4A" w:rsidRPr="003E1644">
        <w:rPr>
          <w:rFonts w:asciiTheme="majorHAnsi" w:hAnsiTheme="majorHAnsi"/>
          <w:color w:val="auto"/>
          <w:sz w:val="20"/>
          <w:szCs w:val="20"/>
          <w:lang w:val="es-AR"/>
        </w:rPr>
        <w:t>veinte</w:t>
      </w:r>
      <w:r w:rsidR="00356AA6" w:rsidRPr="003E1644">
        <w:rPr>
          <w:rFonts w:asciiTheme="majorHAnsi" w:hAnsiTheme="majorHAnsi"/>
          <w:color w:val="auto"/>
          <w:sz w:val="20"/>
          <w:szCs w:val="20"/>
          <w:lang w:val="es-AR"/>
        </w:rPr>
        <w:t xml:space="preserve"> </w:t>
      </w:r>
      <w:r w:rsidR="00054F0C" w:rsidRPr="003E1644">
        <w:rPr>
          <w:rFonts w:asciiTheme="majorHAnsi" w:hAnsiTheme="majorHAnsi"/>
          <w:color w:val="auto"/>
          <w:sz w:val="20"/>
          <w:szCs w:val="20"/>
          <w:lang w:val="es-AR"/>
        </w:rPr>
        <w:t>años de reclusión</w:t>
      </w:r>
      <w:r w:rsidR="003800EC" w:rsidRPr="003E1644">
        <w:rPr>
          <w:rFonts w:asciiTheme="majorHAnsi" w:hAnsiTheme="majorHAnsi"/>
          <w:color w:val="auto"/>
          <w:sz w:val="20"/>
          <w:szCs w:val="20"/>
          <w:lang w:val="es-AR"/>
        </w:rPr>
        <w:t xml:space="preserve"> el 20 de julio de 2012</w:t>
      </w:r>
      <w:r w:rsidR="00356AA6" w:rsidRPr="003E1644">
        <w:rPr>
          <w:rFonts w:asciiTheme="majorHAnsi" w:hAnsiTheme="majorHAnsi"/>
          <w:color w:val="auto"/>
          <w:sz w:val="20"/>
          <w:szCs w:val="20"/>
          <w:lang w:val="es-AR"/>
        </w:rPr>
        <w:t xml:space="preserve">. </w:t>
      </w:r>
      <w:r w:rsidR="00054F0C" w:rsidRPr="003E1644">
        <w:rPr>
          <w:rFonts w:asciiTheme="majorHAnsi" w:hAnsiTheme="majorHAnsi"/>
          <w:color w:val="auto"/>
          <w:sz w:val="20"/>
          <w:szCs w:val="20"/>
          <w:lang w:val="es-AR"/>
        </w:rPr>
        <w:t xml:space="preserve">Ante la sentencia emitida, </w:t>
      </w:r>
      <w:r w:rsidR="007A6D1B" w:rsidRPr="003E1644">
        <w:rPr>
          <w:rFonts w:asciiTheme="majorHAnsi" w:hAnsiTheme="majorHAnsi"/>
          <w:color w:val="auto"/>
          <w:sz w:val="20"/>
          <w:szCs w:val="20"/>
          <w:lang w:val="es-AR"/>
        </w:rPr>
        <w:t>se interpuso</w:t>
      </w:r>
      <w:r w:rsidR="00054F0C" w:rsidRPr="003E1644">
        <w:rPr>
          <w:rFonts w:asciiTheme="majorHAnsi" w:hAnsiTheme="majorHAnsi"/>
          <w:color w:val="auto"/>
          <w:sz w:val="20"/>
          <w:szCs w:val="20"/>
          <w:lang w:val="es-AR"/>
        </w:rPr>
        <w:t xml:space="preserve"> recurso de casación el </w:t>
      </w:r>
      <w:r w:rsidR="00356AA6" w:rsidRPr="003E1644">
        <w:rPr>
          <w:rFonts w:asciiTheme="majorHAnsi" w:hAnsiTheme="majorHAnsi"/>
          <w:color w:val="auto"/>
          <w:sz w:val="20"/>
          <w:szCs w:val="20"/>
          <w:lang w:val="es-AR"/>
        </w:rPr>
        <w:t>28 de agosto</w:t>
      </w:r>
      <w:r w:rsidR="00054F0C" w:rsidRPr="003E1644">
        <w:rPr>
          <w:rFonts w:asciiTheme="majorHAnsi" w:hAnsiTheme="majorHAnsi"/>
          <w:color w:val="auto"/>
          <w:sz w:val="20"/>
          <w:szCs w:val="20"/>
          <w:lang w:val="es-AR"/>
        </w:rPr>
        <w:t xml:space="preserve"> de 2012, el cual fue resulto el </w:t>
      </w:r>
      <w:r w:rsidR="007A6D1B" w:rsidRPr="003E1644">
        <w:rPr>
          <w:rFonts w:asciiTheme="majorHAnsi" w:hAnsiTheme="majorHAnsi"/>
          <w:color w:val="auto"/>
          <w:sz w:val="20"/>
          <w:szCs w:val="20"/>
          <w:lang w:val="es-AR"/>
        </w:rPr>
        <w:t>23</w:t>
      </w:r>
      <w:r w:rsidR="00054F0C" w:rsidRPr="003E1644">
        <w:rPr>
          <w:rFonts w:asciiTheme="majorHAnsi" w:hAnsiTheme="majorHAnsi"/>
          <w:color w:val="auto"/>
          <w:sz w:val="20"/>
          <w:szCs w:val="20"/>
          <w:lang w:val="es-AR"/>
        </w:rPr>
        <w:t xml:space="preserve"> de octubre de 2013, declarando la nulidad a la sentencia y mandando a repetir el juicio celebrado</w:t>
      </w:r>
      <w:r w:rsidR="006C0C4A" w:rsidRPr="003E1644">
        <w:rPr>
          <w:rFonts w:asciiTheme="majorHAnsi" w:hAnsiTheme="majorHAnsi"/>
          <w:color w:val="auto"/>
          <w:sz w:val="20"/>
          <w:szCs w:val="20"/>
          <w:lang w:val="es-AR"/>
        </w:rPr>
        <w:t xml:space="preserve">, dado que se vulneró el </w:t>
      </w:r>
      <w:r w:rsidR="00983C32">
        <w:rPr>
          <w:rFonts w:asciiTheme="majorHAnsi" w:hAnsiTheme="majorHAnsi"/>
          <w:color w:val="auto"/>
          <w:sz w:val="20"/>
          <w:szCs w:val="20"/>
          <w:lang w:val="es-AR"/>
        </w:rPr>
        <w:t>e</w:t>
      </w:r>
      <w:r w:rsidR="006C0C4A" w:rsidRPr="003E1644">
        <w:rPr>
          <w:rFonts w:asciiTheme="majorHAnsi" w:hAnsiTheme="majorHAnsi"/>
          <w:color w:val="auto"/>
          <w:sz w:val="20"/>
          <w:szCs w:val="20"/>
          <w:lang w:val="es-AR"/>
        </w:rPr>
        <w:t>stado de inocencia del señor Morales, y se había desarrollado un proceso con evidencia probatoria dudosa</w:t>
      </w:r>
      <w:r w:rsidR="00BB40B4" w:rsidRPr="003E1644">
        <w:rPr>
          <w:rFonts w:asciiTheme="majorHAnsi" w:hAnsiTheme="majorHAnsi"/>
          <w:color w:val="auto"/>
          <w:sz w:val="20"/>
          <w:szCs w:val="20"/>
          <w:lang w:val="es-AR"/>
        </w:rPr>
        <w:t>.</w:t>
      </w:r>
      <w:r w:rsidR="006C0C4A" w:rsidRPr="003E1644">
        <w:rPr>
          <w:rFonts w:asciiTheme="majorHAnsi" w:hAnsiTheme="majorHAnsi"/>
          <w:color w:val="auto"/>
          <w:sz w:val="20"/>
          <w:szCs w:val="20"/>
          <w:lang w:val="es-AR"/>
        </w:rPr>
        <w:t xml:space="preserve"> </w:t>
      </w:r>
      <w:r w:rsidR="007A6D1B" w:rsidRPr="003E1644">
        <w:rPr>
          <w:rFonts w:asciiTheme="majorHAnsi" w:hAnsiTheme="majorHAnsi"/>
          <w:sz w:val="20"/>
          <w:szCs w:val="20"/>
          <w:lang w:val="es-AR"/>
        </w:rPr>
        <w:t xml:space="preserve">El </w:t>
      </w:r>
      <w:r w:rsidR="00054F0C" w:rsidRPr="003E1644">
        <w:rPr>
          <w:rFonts w:asciiTheme="majorHAnsi" w:hAnsiTheme="majorHAnsi"/>
          <w:sz w:val="20"/>
          <w:szCs w:val="20"/>
          <w:lang w:val="es-AR"/>
        </w:rPr>
        <w:t xml:space="preserve">segundo juicio fue celebrado </w:t>
      </w:r>
      <w:r w:rsidR="007A6D1B" w:rsidRPr="003E1644">
        <w:rPr>
          <w:rFonts w:asciiTheme="majorHAnsi" w:hAnsiTheme="majorHAnsi"/>
          <w:sz w:val="20"/>
          <w:szCs w:val="20"/>
          <w:lang w:val="es-AR"/>
        </w:rPr>
        <w:t>el 27</w:t>
      </w:r>
      <w:r w:rsidR="00054F0C" w:rsidRPr="003E1644">
        <w:rPr>
          <w:rFonts w:asciiTheme="majorHAnsi" w:hAnsiTheme="majorHAnsi"/>
          <w:sz w:val="20"/>
          <w:szCs w:val="20"/>
          <w:lang w:val="es-AR"/>
        </w:rPr>
        <w:t xml:space="preserve"> de enero de 2014</w:t>
      </w:r>
      <w:r w:rsidR="007A6D1B" w:rsidRPr="003E1644">
        <w:rPr>
          <w:rFonts w:asciiTheme="majorHAnsi" w:hAnsiTheme="majorHAnsi"/>
          <w:sz w:val="20"/>
          <w:szCs w:val="20"/>
          <w:lang w:val="es-AR"/>
        </w:rPr>
        <w:t>. El señor Morales fue</w:t>
      </w:r>
      <w:r w:rsidR="00054F0C" w:rsidRPr="003E1644">
        <w:rPr>
          <w:rFonts w:asciiTheme="majorHAnsi" w:hAnsiTheme="majorHAnsi"/>
          <w:sz w:val="20"/>
          <w:szCs w:val="20"/>
          <w:lang w:val="es-AR"/>
        </w:rPr>
        <w:t xml:space="preserve"> declarado culpable por el delito de homicidio simple y condenado a </w:t>
      </w:r>
      <w:r w:rsidR="009E4A6D" w:rsidRPr="003E1644">
        <w:rPr>
          <w:rFonts w:asciiTheme="majorHAnsi" w:hAnsiTheme="majorHAnsi"/>
          <w:sz w:val="20"/>
          <w:szCs w:val="20"/>
          <w:lang w:val="es-AR"/>
        </w:rPr>
        <w:t>diecisiete</w:t>
      </w:r>
      <w:r w:rsidR="00356AA6" w:rsidRPr="003E1644">
        <w:rPr>
          <w:rFonts w:asciiTheme="majorHAnsi" w:hAnsiTheme="majorHAnsi"/>
          <w:sz w:val="20"/>
          <w:szCs w:val="20"/>
          <w:lang w:val="es-AR"/>
        </w:rPr>
        <w:t xml:space="preserve"> años</w:t>
      </w:r>
      <w:r w:rsidR="00054F0C" w:rsidRPr="003E1644">
        <w:rPr>
          <w:rFonts w:asciiTheme="majorHAnsi" w:hAnsiTheme="majorHAnsi"/>
          <w:sz w:val="20"/>
          <w:szCs w:val="20"/>
          <w:lang w:val="es-AR"/>
        </w:rPr>
        <w:t xml:space="preserve"> y </w:t>
      </w:r>
      <w:r w:rsidR="009E4A6D" w:rsidRPr="003E1644">
        <w:rPr>
          <w:rFonts w:asciiTheme="majorHAnsi" w:hAnsiTheme="majorHAnsi"/>
          <w:sz w:val="20"/>
          <w:szCs w:val="20"/>
          <w:lang w:val="es-AR"/>
        </w:rPr>
        <w:t>seis</w:t>
      </w:r>
      <w:r w:rsidR="00356AA6" w:rsidRPr="003E1644">
        <w:rPr>
          <w:rFonts w:asciiTheme="majorHAnsi" w:hAnsiTheme="majorHAnsi"/>
          <w:sz w:val="20"/>
          <w:szCs w:val="20"/>
          <w:lang w:val="es-AR"/>
        </w:rPr>
        <w:t xml:space="preserve"> meses</w:t>
      </w:r>
      <w:r w:rsidR="007A6D1B" w:rsidRPr="003E1644">
        <w:rPr>
          <w:rFonts w:asciiTheme="majorHAnsi" w:hAnsiTheme="majorHAnsi"/>
          <w:sz w:val="20"/>
          <w:szCs w:val="20"/>
          <w:lang w:val="es-AR"/>
        </w:rPr>
        <w:t xml:space="preserve"> de prisión</w:t>
      </w:r>
      <w:r w:rsidR="00356AA6" w:rsidRPr="003E1644">
        <w:rPr>
          <w:rFonts w:asciiTheme="majorHAnsi" w:hAnsiTheme="majorHAnsi"/>
          <w:sz w:val="20"/>
          <w:szCs w:val="20"/>
          <w:lang w:val="es-AR"/>
        </w:rPr>
        <w:t xml:space="preserve">. </w:t>
      </w:r>
      <w:r w:rsidR="00054F0C" w:rsidRPr="003E1644">
        <w:rPr>
          <w:rFonts w:asciiTheme="majorHAnsi" w:hAnsiTheme="majorHAnsi"/>
          <w:sz w:val="20"/>
          <w:szCs w:val="20"/>
          <w:lang w:val="es-AR"/>
        </w:rPr>
        <w:t xml:space="preserve">Los representantes interpusieron </w:t>
      </w:r>
      <w:r w:rsidR="009E4A6D" w:rsidRPr="003E1644">
        <w:rPr>
          <w:rFonts w:asciiTheme="majorHAnsi" w:hAnsiTheme="majorHAnsi"/>
          <w:sz w:val="20"/>
          <w:szCs w:val="20"/>
          <w:lang w:val="es-AR"/>
        </w:rPr>
        <w:t xml:space="preserve">un </w:t>
      </w:r>
      <w:r w:rsidR="00054F0C" w:rsidRPr="003E1644">
        <w:rPr>
          <w:rFonts w:asciiTheme="majorHAnsi" w:hAnsiTheme="majorHAnsi"/>
          <w:sz w:val="20"/>
          <w:szCs w:val="20"/>
          <w:lang w:val="es-AR"/>
        </w:rPr>
        <w:t>recurso de casación</w:t>
      </w:r>
      <w:r w:rsidR="00830977" w:rsidRPr="003E1644">
        <w:rPr>
          <w:rFonts w:asciiTheme="majorHAnsi" w:hAnsiTheme="majorHAnsi"/>
          <w:sz w:val="20"/>
          <w:szCs w:val="20"/>
          <w:lang w:val="es-AR"/>
        </w:rPr>
        <w:t xml:space="preserve"> por violación del precepto constitucional</w:t>
      </w:r>
      <w:r w:rsidR="00054F0C" w:rsidRPr="003E1644">
        <w:rPr>
          <w:rFonts w:asciiTheme="majorHAnsi" w:hAnsiTheme="majorHAnsi"/>
          <w:sz w:val="20"/>
          <w:szCs w:val="20"/>
          <w:lang w:val="es-AR"/>
        </w:rPr>
        <w:t xml:space="preserve"> ante la sentencia emitida el </w:t>
      </w:r>
      <w:r w:rsidR="007A6D1B" w:rsidRPr="003E1644">
        <w:rPr>
          <w:rFonts w:asciiTheme="majorHAnsi" w:hAnsiTheme="majorHAnsi"/>
          <w:sz w:val="20"/>
          <w:szCs w:val="20"/>
          <w:lang w:val="es-AR"/>
        </w:rPr>
        <w:t>3</w:t>
      </w:r>
      <w:r w:rsidR="00A3696C" w:rsidRPr="003E1644">
        <w:rPr>
          <w:rFonts w:asciiTheme="majorHAnsi" w:hAnsiTheme="majorHAnsi"/>
          <w:sz w:val="20"/>
          <w:szCs w:val="20"/>
          <w:lang w:val="es-AR"/>
        </w:rPr>
        <w:t xml:space="preserve"> </w:t>
      </w:r>
      <w:r w:rsidR="00054F0C" w:rsidRPr="003E1644">
        <w:rPr>
          <w:rFonts w:asciiTheme="majorHAnsi" w:hAnsiTheme="majorHAnsi"/>
          <w:sz w:val="20"/>
          <w:szCs w:val="20"/>
          <w:lang w:val="es-AR"/>
        </w:rPr>
        <w:t xml:space="preserve">de abril de 2014, siendo este resuelto el </w:t>
      </w:r>
      <w:r w:rsidR="007A6D1B" w:rsidRPr="003E1644">
        <w:rPr>
          <w:rFonts w:asciiTheme="majorHAnsi" w:hAnsiTheme="majorHAnsi"/>
          <w:sz w:val="20"/>
          <w:szCs w:val="20"/>
          <w:lang w:val="es-AR"/>
        </w:rPr>
        <w:t>14</w:t>
      </w:r>
      <w:r w:rsidR="00054F0C" w:rsidRPr="003E1644">
        <w:rPr>
          <w:rFonts w:asciiTheme="majorHAnsi" w:hAnsiTheme="majorHAnsi"/>
          <w:sz w:val="20"/>
          <w:szCs w:val="20"/>
          <w:lang w:val="es-AR"/>
        </w:rPr>
        <w:t xml:space="preserve"> de abril de 2015, declarando la nulidad de la sentencia </w:t>
      </w:r>
      <w:r w:rsidR="00356AA6" w:rsidRPr="003E1644">
        <w:rPr>
          <w:rFonts w:asciiTheme="majorHAnsi" w:hAnsiTheme="majorHAnsi"/>
          <w:sz w:val="20"/>
          <w:szCs w:val="20"/>
          <w:lang w:val="es-AR"/>
        </w:rPr>
        <w:t xml:space="preserve">y </w:t>
      </w:r>
      <w:r w:rsidR="009E4A6D" w:rsidRPr="003E1644">
        <w:rPr>
          <w:rFonts w:asciiTheme="majorHAnsi" w:hAnsiTheme="majorHAnsi"/>
          <w:sz w:val="20"/>
          <w:szCs w:val="20"/>
          <w:lang w:val="es-AR"/>
        </w:rPr>
        <w:t>disponiendo la celebración de</w:t>
      </w:r>
      <w:r w:rsidR="00054F0C" w:rsidRPr="003E1644">
        <w:rPr>
          <w:rFonts w:asciiTheme="majorHAnsi" w:hAnsiTheme="majorHAnsi"/>
          <w:sz w:val="20"/>
          <w:szCs w:val="20"/>
          <w:lang w:val="es-AR"/>
        </w:rPr>
        <w:t xml:space="preserve"> un nuevo juicio</w:t>
      </w:r>
      <w:r w:rsidR="00830977" w:rsidRPr="003E1644">
        <w:rPr>
          <w:rFonts w:asciiTheme="majorHAnsi" w:hAnsiTheme="majorHAnsi"/>
          <w:sz w:val="20"/>
          <w:szCs w:val="20"/>
          <w:lang w:val="es-AR"/>
        </w:rPr>
        <w:t>, debido a que los indicios para fundar el fallo no se encontraban debidamente fundados</w:t>
      </w:r>
      <w:r w:rsidR="00356AA6" w:rsidRPr="003E1644">
        <w:rPr>
          <w:rFonts w:asciiTheme="majorHAnsi" w:hAnsiTheme="majorHAnsi"/>
          <w:sz w:val="20"/>
          <w:szCs w:val="20"/>
          <w:lang w:val="es-AR"/>
        </w:rPr>
        <w:t xml:space="preserve">. </w:t>
      </w:r>
      <w:r w:rsidR="009B2135" w:rsidRPr="003E1644">
        <w:rPr>
          <w:rFonts w:asciiTheme="majorHAnsi" w:hAnsiTheme="majorHAnsi"/>
          <w:sz w:val="20"/>
          <w:szCs w:val="20"/>
          <w:lang w:val="es-AR"/>
        </w:rPr>
        <w:t>Luego, e</w:t>
      </w:r>
      <w:r w:rsidR="00356AA6" w:rsidRPr="003E1644">
        <w:rPr>
          <w:rFonts w:asciiTheme="majorHAnsi" w:hAnsiTheme="majorHAnsi"/>
          <w:sz w:val="20"/>
          <w:szCs w:val="20"/>
          <w:lang w:val="es-AR"/>
        </w:rPr>
        <w:t xml:space="preserve">l 24 </w:t>
      </w:r>
      <w:r w:rsidR="00054F0C" w:rsidRPr="003E1644">
        <w:rPr>
          <w:rFonts w:asciiTheme="majorHAnsi" w:hAnsiTheme="majorHAnsi"/>
          <w:sz w:val="20"/>
          <w:szCs w:val="20"/>
          <w:lang w:val="es-AR"/>
        </w:rPr>
        <w:t>de julio de 2015 se revocó la medida cautelar de prisión preventiva</w:t>
      </w:r>
      <w:r w:rsidR="007A6D1B" w:rsidRPr="003E1644">
        <w:rPr>
          <w:rFonts w:asciiTheme="majorHAnsi" w:hAnsiTheme="majorHAnsi"/>
          <w:sz w:val="20"/>
          <w:szCs w:val="20"/>
          <w:lang w:val="es-AR"/>
        </w:rPr>
        <w:t xml:space="preserve"> y el señor Morales</w:t>
      </w:r>
      <w:r w:rsidR="00054F0C" w:rsidRPr="003E1644">
        <w:rPr>
          <w:rFonts w:asciiTheme="majorHAnsi" w:hAnsiTheme="majorHAnsi"/>
          <w:sz w:val="20"/>
          <w:szCs w:val="20"/>
          <w:lang w:val="es-AR"/>
        </w:rPr>
        <w:t xml:space="preserve"> </w:t>
      </w:r>
      <w:r w:rsidR="007A6D1B" w:rsidRPr="003E1644">
        <w:rPr>
          <w:rFonts w:asciiTheme="majorHAnsi" w:hAnsiTheme="majorHAnsi"/>
          <w:sz w:val="20"/>
          <w:szCs w:val="20"/>
          <w:lang w:val="es-AR"/>
        </w:rPr>
        <w:t>quedó</w:t>
      </w:r>
      <w:r w:rsidR="00054F0C" w:rsidRPr="003E1644">
        <w:rPr>
          <w:rFonts w:asciiTheme="majorHAnsi" w:hAnsiTheme="majorHAnsi"/>
          <w:sz w:val="20"/>
          <w:szCs w:val="20"/>
          <w:lang w:val="es-AR"/>
        </w:rPr>
        <w:t xml:space="preserve"> en libertad</w:t>
      </w:r>
      <w:r w:rsidR="007A6D1B" w:rsidRPr="003E1644">
        <w:rPr>
          <w:rFonts w:asciiTheme="majorHAnsi" w:hAnsiTheme="majorHAnsi"/>
          <w:sz w:val="20"/>
          <w:szCs w:val="20"/>
          <w:lang w:val="es-AR"/>
        </w:rPr>
        <w:t xml:space="preserve">. </w:t>
      </w:r>
      <w:r w:rsidR="00054F0C" w:rsidRPr="003E1644">
        <w:rPr>
          <w:rFonts w:asciiTheme="majorHAnsi" w:hAnsiTheme="majorHAnsi"/>
          <w:sz w:val="20"/>
          <w:szCs w:val="20"/>
          <w:lang w:val="es-AR"/>
        </w:rPr>
        <w:t>El</w:t>
      </w:r>
      <w:r w:rsidR="00A3696C" w:rsidRPr="003E1644">
        <w:rPr>
          <w:rFonts w:asciiTheme="majorHAnsi" w:hAnsiTheme="majorHAnsi"/>
          <w:sz w:val="20"/>
          <w:szCs w:val="20"/>
          <w:lang w:val="es-AR"/>
        </w:rPr>
        <w:t xml:space="preserve"> </w:t>
      </w:r>
      <w:r w:rsidR="007A6D1B" w:rsidRPr="003E1644">
        <w:rPr>
          <w:rFonts w:asciiTheme="majorHAnsi" w:hAnsiTheme="majorHAnsi"/>
          <w:sz w:val="20"/>
          <w:szCs w:val="20"/>
          <w:lang w:val="es-AR"/>
        </w:rPr>
        <w:t>28</w:t>
      </w:r>
      <w:r w:rsidR="00A3696C" w:rsidRPr="003E1644">
        <w:rPr>
          <w:rFonts w:asciiTheme="majorHAnsi" w:hAnsiTheme="majorHAnsi"/>
          <w:sz w:val="20"/>
          <w:szCs w:val="20"/>
          <w:lang w:val="es-AR"/>
        </w:rPr>
        <w:t xml:space="preserve"> de </w:t>
      </w:r>
      <w:r w:rsidR="00054F0C" w:rsidRPr="003E1644">
        <w:rPr>
          <w:rFonts w:asciiTheme="majorHAnsi" w:hAnsiTheme="majorHAnsi"/>
          <w:sz w:val="20"/>
          <w:szCs w:val="20"/>
          <w:lang w:val="es-AR"/>
        </w:rPr>
        <w:t xml:space="preserve">septiembre de </w:t>
      </w:r>
      <w:r w:rsidR="000074F8" w:rsidRPr="003E1644">
        <w:rPr>
          <w:rFonts w:asciiTheme="majorHAnsi" w:hAnsiTheme="majorHAnsi"/>
          <w:sz w:val="20"/>
          <w:szCs w:val="20"/>
          <w:lang w:val="es-AR"/>
        </w:rPr>
        <w:t>ese mismo año</w:t>
      </w:r>
      <w:r w:rsidR="007133F4" w:rsidRPr="003E1644">
        <w:rPr>
          <w:rFonts w:asciiTheme="majorHAnsi" w:hAnsiTheme="majorHAnsi"/>
          <w:sz w:val="20"/>
          <w:szCs w:val="20"/>
          <w:lang w:val="es-AR"/>
        </w:rPr>
        <w:t xml:space="preserve"> se </w:t>
      </w:r>
      <w:r w:rsidR="00A53816" w:rsidRPr="003E1644">
        <w:rPr>
          <w:rFonts w:asciiTheme="majorHAnsi" w:hAnsiTheme="majorHAnsi"/>
          <w:sz w:val="20"/>
          <w:szCs w:val="20"/>
          <w:lang w:val="es-AR"/>
        </w:rPr>
        <w:t>celebró</w:t>
      </w:r>
      <w:r w:rsidR="007133F4" w:rsidRPr="003E1644">
        <w:rPr>
          <w:rFonts w:asciiTheme="majorHAnsi" w:hAnsiTheme="majorHAnsi"/>
          <w:sz w:val="20"/>
          <w:szCs w:val="20"/>
          <w:lang w:val="es-AR"/>
        </w:rPr>
        <w:t xml:space="preserve"> el tercer juicio oral y </w:t>
      </w:r>
      <w:r w:rsidR="00A53816" w:rsidRPr="003E1644">
        <w:rPr>
          <w:rFonts w:asciiTheme="majorHAnsi" w:hAnsiTheme="majorHAnsi"/>
          <w:sz w:val="20"/>
          <w:szCs w:val="20"/>
          <w:lang w:val="es-AR"/>
        </w:rPr>
        <w:t>público</w:t>
      </w:r>
      <w:r w:rsidR="000074F8" w:rsidRPr="003E1644">
        <w:rPr>
          <w:rFonts w:asciiTheme="majorHAnsi" w:hAnsiTheme="majorHAnsi"/>
          <w:sz w:val="20"/>
          <w:szCs w:val="20"/>
          <w:lang w:val="es-AR"/>
        </w:rPr>
        <w:t>;</w:t>
      </w:r>
      <w:r w:rsidR="00CC7E86" w:rsidRPr="003E1644">
        <w:rPr>
          <w:rFonts w:asciiTheme="majorHAnsi" w:hAnsiTheme="majorHAnsi"/>
          <w:sz w:val="20"/>
          <w:szCs w:val="20"/>
          <w:lang w:val="es-AR"/>
        </w:rPr>
        <w:t xml:space="preserve"> </w:t>
      </w:r>
      <w:r w:rsidR="000074F8" w:rsidRPr="003E1644">
        <w:rPr>
          <w:rFonts w:asciiTheme="majorHAnsi" w:hAnsiTheme="majorHAnsi"/>
          <w:sz w:val="20"/>
          <w:szCs w:val="20"/>
          <w:lang w:val="es-AR"/>
        </w:rPr>
        <w:t>en el cual,</w:t>
      </w:r>
      <w:r w:rsidR="00CC7E86" w:rsidRPr="003E1644">
        <w:rPr>
          <w:rFonts w:asciiTheme="majorHAnsi" w:hAnsiTheme="majorHAnsi"/>
          <w:sz w:val="20"/>
          <w:szCs w:val="20"/>
          <w:lang w:val="es-AR"/>
        </w:rPr>
        <w:t xml:space="preserve"> el 26 de abril de 2016 el </w:t>
      </w:r>
      <w:r w:rsidR="00DA6E9A" w:rsidRPr="003E1644">
        <w:rPr>
          <w:rFonts w:asciiTheme="majorHAnsi" w:hAnsiTheme="majorHAnsi"/>
          <w:sz w:val="20"/>
          <w:szCs w:val="20"/>
          <w:lang w:val="es-AR"/>
        </w:rPr>
        <w:t xml:space="preserve">Tribunal de Sentencia de Trujillo </w:t>
      </w:r>
      <w:r w:rsidR="00CC7E86" w:rsidRPr="003E1644">
        <w:rPr>
          <w:rFonts w:asciiTheme="majorHAnsi" w:hAnsiTheme="majorHAnsi"/>
          <w:sz w:val="20"/>
          <w:szCs w:val="20"/>
          <w:lang w:val="es-AR"/>
        </w:rPr>
        <w:t xml:space="preserve">dictó sentencia absolutoria definitiva a favor del señor Morales con motivo de falta de pruebas para determinar su culpabilidad. </w:t>
      </w:r>
    </w:p>
    <w:p w14:paraId="01103D60" w14:textId="76A1651D" w:rsidR="00AE2AE0" w:rsidRPr="003E1644" w:rsidRDefault="00AE2AE0" w:rsidP="003C08E3">
      <w:pPr>
        <w:pStyle w:val="ListParagraph"/>
        <w:numPr>
          <w:ilvl w:val="0"/>
          <w:numId w:val="103"/>
        </w:numPr>
        <w:spacing w:after="240"/>
        <w:jc w:val="both"/>
        <w:rPr>
          <w:rFonts w:asciiTheme="majorHAnsi" w:hAnsiTheme="majorHAnsi"/>
          <w:sz w:val="20"/>
          <w:szCs w:val="20"/>
          <w:lang w:val="es-AR"/>
        </w:rPr>
      </w:pPr>
      <w:r w:rsidRPr="003E1644">
        <w:rPr>
          <w:rFonts w:asciiTheme="majorHAnsi" w:hAnsiTheme="majorHAnsi"/>
          <w:sz w:val="20"/>
          <w:szCs w:val="20"/>
          <w:lang w:val="es-AR"/>
        </w:rPr>
        <w:t xml:space="preserve">El Estado </w:t>
      </w:r>
      <w:r w:rsidR="001F6244" w:rsidRPr="003E1644">
        <w:rPr>
          <w:rFonts w:asciiTheme="majorHAnsi" w:hAnsiTheme="majorHAnsi"/>
          <w:sz w:val="20"/>
          <w:szCs w:val="20"/>
          <w:lang w:val="es-AR"/>
        </w:rPr>
        <w:t>alega que</w:t>
      </w:r>
      <w:r w:rsidRPr="003E1644">
        <w:rPr>
          <w:rFonts w:asciiTheme="majorHAnsi" w:hAnsiTheme="majorHAnsi"/>
          <w:sz w:val="20"/>
          <w:szCs w:val="20"/>
          <w:lang w:val="es-AR"/>
        </w:rPr>
        <w:t xml:space="preserve"> cumplió con su normativa interna al investigar los hechos en cuestión. Sostiene que el señor Morales contó con un debido proceso</w:t>
      </w:r>
      <w:r w:rsidR="00830977" w:rsidRPr="003E1644">
        <w:rPr>
          <w:rFonts w:asciiTheme="majorHAnsi" w:hAnsiTheme="majorHAnsi"/>
          <w:sz w:val="20"/>
          <w:szCs w:val="20"/>
          <w:lang w:val="es-AR"/>
        </w:rPr>
        <w:t xml:space="preserve">, </w:t>
      </w:r>
      <w:r w:rsidRPr="003E1644">
        <w:rPr>
          <w:rFonts w:asciiTheme="majorHAnsi" w:hAnsiTheme="majorHAnsi"/>
          <w:sz w:val="20"/>
          <w:szCs w:val="20"/>
          <w:lang w:val="es-AR"/>
        </w:rPr>
        <w:t>con tribunales imparciales</w:t>
      </w:r>
      <w:r w:rsidR="00830977" w:rsidRPr="003E1644">
        <w:rPr>
          <w:rFonts w:asciiTheme="majorHAnsi" w:hAnsiTheme="majorHAnsi"/>
          <w:sz w:val="20"/>
          <w:szCs w:val="20"/>
          <w:lang w:val="es-AR"/>
        </w:rPr>
        <w:t xml:space="preserve">, </w:t>
      </w:r>
      <w:r w:rsidR="00F12290" w:rsidRPr="003E1644">
        <w:rPr>
          <w:rFonts w:asciiTheme="majorHAnsi" w:hAnsiTheme="majorHAnsi"/>
          <w:sz w:val="20"/>
          <w:szCs w:val="20"/>
          <w:lang w:val="es-AR"/>
        </w:rPr>
        <w:t xml:space="preserve">y </w:t>
      </w:r>
      <w:r w:rsidR="00830977" w:rsidRPr="003E1644">
        <w:rPr>
          <w:rFonts w:asciiTheme="majorHAnsi" w:hAnsiTheme="majorHAnsi"/>
          <w:sz w:val="20"/>
          <w:szCs w:val="20"/>
          <w:lang w:val="es-AR"/>
        </w:rPr>
        <w:t>con defensa técnica</w:t>
      </w:r>
      <w:r w:rsidR="00F12290" w:rsidRPr="003E1644">
        <w:rPr>
          <w:rFonts w:asciiTheme="majorHAnsi" w:hAnsiTheme="majorHAnsi"/>
          <w:sz w:val="20"/>
          <w:szCs w:val="20"/>
          <w:lang w:val="es-AR"/>
        </w:rPr>
        <w:t>;</w:t>
      </w:r>
      <w:r w:rsidR="00830977" w:rsidRPr="003E1644">
        <w:rPr>
          <w:rFonts w:asciiTheme="majorHAnsi" w:hAnsiTheme="majorHAnsi"/>
          <w:sz w:val="20"/>
          <w:szCs w:val="20"/>
          <w:lang w:val="es-AR"/>
        </w:rPr>
        <w:t xml:space="preserve"> </w:t>
      </w:r>
      <w:r w:rsidRPr="003E1644">
        <w:rPr>
          <w:rFonts w:asciiTheme="majorHAnsi" w:hAnsiTheme="majorHAnsi"/>
          <w:sz w:val="20"/>
          <w:szCs w:val="20"/>
          <w:lang w:val="es-AR"/>
        </w:rPr>
        <w:t xml:space="preserve">y </w:t>
      </w:r>
      <w:r w:rsidR="00F12290" w:rsidRPr="003E1644">
        <w:rPr>
          <w:rFonts w:asciiTheme="majorHAnsi" w:hAnsiTheme="majorHAnsi"/>
          <w:sz w:val="20"/>
          <w:szCs w:val="20"/>
          <w:lang w:val="es-AR"/>
        </w:rPr>
        <w:t xml:space="preserve">que </w:t>
      </w:r>
      <w:r w:rsidRPr="003E1644">
        <w:rPr>
          <w:rFonts w:asciiTheme="majorHAnsi" w:hAnsiTheme="majorHAnsi"/>
          <w:sz w:val="20"/>
          <w:szCs w:val="20"/>
          <w:lang w:val="es-AR"/>
        </w:rPr>
        <w:t xml:space="preserve">su detención no fue ilegal. </w:t>
      </w:r>
      <w:r w:rsidR="00F00DC3" w:rsidRPr="003E1644">
        <w:rPr>
          <w:rFonts w:asciiTheme="majorHAnsi" w:hAnsiTheme="majorHAnsi"/>
          <w:sz w:val="20"/>
          <w:szCs w:val="20"/>
          <w:lang w:val="es-AR"/>
        </w:rPr>
        <w:t>En el caso particular del señor Morales, se</w:t>
      </w:r>
      <w:r w:rsidRPr="003E1644">
        <w:rPr>
          <w:rFonts w:asciiTheme="majorHAnsi" w:hAnsiTheme="majorHAnsi"/>
          <w:sz w:val="20"/>
          <w:szCs w:val="20"/>
          <w:lang w:val="es-AR"/>
        </w:rPr>
        <w:t xml:space="preserve"> aplicó decreto número 144-83. Dicha disposición legal establece la pena de </w:t>
      </w:r>
      <w:r w:rsidR="00F12290" w:rsidRPr="003E1644">
        <w:rPr>
          <w:rFonts w:asciiTheme="majorHAnsi" w:hAnsiTheme="majorHAnsi"/>
          <w:sz w:val="20"/>
          <w:szCs w:val="20"/>
          <w:lang w:val="es-AR"/>
        </w:rPr>
        <w:t>quince</w:t>
      </w:r>
      <w:r w:rsidRPr="003E1644">
        <w:rPr>
          <w:rFonts w:asciiTheme="majorHAnsi" w:hAnsiTheme="majorHAnsi"/>
          <w:sz w:val="20"/>
          <w:szCs w:val="20"/>
          <w:lang w:val="es-AR"/>
        </w:rPr>
        <w:t xml:space="preserve"> a </w:t>
      </w:r>
      <w:r w:rsidR="00F12290" w:rsidRPr="003E1644">
        <w:rPr>
          <w:rFonts w:asciiTheme="majorHAnsi" w:hAnsiTheme="majorHAnsi"/>
          <w:sz w:val="20"/>
          <w:szCs w:val="20"/>
          <w:lang w:val="es-AR"/>
        </w:rPr>
        <w:t>veinte</w:t>
      </w:r>
      <w:r w:rsidRPr="003E1644">
        <w:rPr>
          <w:rFonts w:asciiTheme="majorHAnsi" w:hAnsiTheme="majorHAnsi"/>
          <w:sz w:val="20"/>
          <w:szCs w:val="20"/>
          <w:lang w:val="es-AR"/>
        </w:rPr>
        <w:t xml:space="preserve"> años para el delito de homicidio simple. </w:t>
      </w:r>
    </w:p>
    <w:p w14:paraId="380E1A8D" w14:textId="068A877E" w:rsidR="00F00DC3" w:rsidRPr="003E1644" w:rsidRDefault="00AE2AE0" w:rsidP="003C08E3">
      <w:pPr>
        <w:pStyle w:val="ListParagraph"/>
        <w:numPr>
          <w:ilvl w:val="0"/>
          <w:numId w:val="103"/>
        </w:numPr>
        <w:spacing w:after="240"/>
        <w:jc w:val="both"/>
        <w:rPr>
          <w:rFonts w:asciiTheme="majorHAnsi" w:hAnsiTheme="majorHAnsi"/>
          <w:sz w:val="20"/>
          <w:szCs w:val="20"/>
          <w:lang w:val="es-AR"/>
        </w:rPr>
      </w:pPr>
      <w:r w:rsidRPr="003E1644">
        <w:rPr>
          <w:rFonts w:asciiTheme="majorHAnsi" w:hAnsiTheme="majorHAnsi"/>
          <w:sz w:val="20"/>
          <w:szCs w:val="20"/>
          <w:lang w:val="es-AR"/>
        </w:rPr>
        <w:t xml:space="preserve">Asimismo, </w:t>
      </w:r>
      <w:r w:rsidR="003F3796" w:rsidRPr="003E1644">
        <w:rPr>
          <w:rFonts w:asciiTheme="majorHAnsi" w:hAnsiTheme="majorHAnsi"/>
          <w:sz w:val="20"/>
          <w:szCs w:val="20"/>
          <w:lang w:val="es-AR"/>
        </w:rPr>
        <w:t xml:space="preserve">el Sr. Morales </w:t>
      </w:r>
      <w:r w:rsidRPr="003E1644">
        <w:rPr>
          <w:rFonts w:asciiTheme="majorHAnsi" w:hAnsiTheme="majorHAnsi"/>
          <w:sz w:val="20"/>
          <w:szCs w:val="20"/>
          <w:lang w:val="es-AR"/>
        </w:rPr>
        <w:t xml:space="preserve">tuvo a su disposición </w:t>
      </w:r>
      <w:r w:rsidR="003F3796" w:rsidRPr="003E1644">
        <w:rPr>
          <w:rFonts w:asciiTheme="majorHAnsi" w:hAnsiTheme="majorHAnsi"/>
          <w:sz w:val="20"/>
          <w:szCs w:val="20"/>
          <w:lang w:val="es-AR"/>
        </w:rPr>
        <w:t xml:space="preserve">la </w:t>
      </w:r>
      <w:r w:rsidRPr="003E1644">
        <w:rPr>
          <w:rFonts w:asciiTheme="majorHAnsi" w:hAnsiTheme="majorHAnsi"/>
          <w:sz w:val="20"/>
          <w:szCs w:val="20"/>
          <w:lang w:val="es-AR"/>
        </w:rPr>
        <w:t xml:space="preserve">acción de </w:t>
      </w:r>
      <w:r w:rsidRPr="003E1644">
        <w:rPr>
          <w:rFonts w:asciiTheme="majorHAnsi" w:hAnsiTheme="majorHAnsi"/>
          <w:i/>
          <w:iCs/>
          <w:sz w:val="20"/>
          <w:szCs w:val="20"/>
          <w:lang w:val="es-AR"/>
        </w:rPr>
        <w:t>habeas corpus</w:t>
      </w:r>
      <w:r w:rsidRPr="003E1644">
        <w:rPr>
          <w:rFonts w:asciiTheme="majorHAnsi" w:hAnsiTheme="majorHAnsi"/>
          <w:sz w:val="20"/>
          <w:szCs w:val="20"/>
          <w:lang w:val="es-AR"/>
        </w:rPr>
        <w:t xml:space="preserve"> y </w:t>
      </w:r>
      <w:r w:rsidR="00E929B1" w:rsidRPr="003E1644">
        <w:rPr>
          <w:rFonts w:asciiTheme="majorHAnsi" w:hAnsiTheme="majorHAnsi"/>
          <w:sz w:val="20"/>
          <w:szCs w:val="20"/>
          <w:lang w:val="es-AR"/>
        </w:rPr>
        <w:t xml:space="preserve">el </w:t>
      </w:r>
      <w:r w:rsidRPr="003E1644">
        <w:rPr>
          <w:rFonts w:asciiTheme="majorHAnsi" w:hAnsiTheme="majorHAnsi"/>
          <w:sz w:val="20"/>
          <w:szCs w:val="20"/>
          <w:lang w:val="es-AR"/>
        </w:rPr>
        <w:t xml:space="preserve">recurso de casación. La defensa del señor Morales intentó en varias oportunidades interponer recursos para lograr revisar la sentencia. El </w:t>
      </w:r>
      <w:r w:rsidR="007649C8" w:rsidRPr="003E1644">
        <w:rPr>
          <w:rFonts w:asciiTheme="majorHAnsi" w:hAnsiTheme="majorHAnsi"/>
          <w:sz w:val="20"/>
          <w:szCs w:val="20"/>
          <w:lang w:val="es-AR"/>
        </w:rPr>
        <w:t>E</w:t>
      </w:r>
      <w:r w:rsidRPr="003E1644">
        <w:rPr>
          <w:rFonts w:asciiTheme="majorHAnsi" w:hAnsiTheme="majorHAnsi"/>
          <w:sz w:val="20"/>
          <w:szCs w:val="20"/>
          <w:lang w:val="es-AR"/>
        </w:rPr>
        <w:t>stado alega que la defensa del señor Morales tuvo éxito dado que se celebraron tres juicios para analizar el caso</w:t>
      </w:r>
      <w:r w:rsidR="00296E8E" w:rsidRPr="003E1644">
        <w:rPr>
          <w:rFonts w:asciiTheme="majorHAnsi" w:hAnsiTheme="majorHAnsi"/>
          <w:sz w:val="20"/>
          <w:szCs w:val="20"/>
          <w:lang w:val="es-AR"/>
        </w:rPr>
        <w:t>;</w:t>
      </w:r>
      <w:r w:rsidRPr="003E1644">
        <w:rPr>
          <w:rFonts w:asciiTheme="majorHAnsi" w:hAnsiTheme="majorHAnsi"/>
          <w:sz w:val="20"/>
          <w:szCs w:val="20"/>
          <w:lang w:val="es-AR"/>
        </w:rPr>
        <w:t xml:space="preserve"> se logró la libertad de su defendido</w:t>
      </w:r>
      <w:r w:rsidR="00296E8E" w:rsidRPr="003E1644">
        <w:rPr>
          <w:rFonts w:asciiTheme="majorHAnsi" w:hAnsiTheme="majorHAnsi"/>
          <w:sz w:val="20"/>
          <w:szCs w:val="20"/>
          <w:lang w:val="es-AR"/>
        </w:rPr>
        <w:t>;</w:t>
      </w:r>
      <w:r w:rsidRPr="003E1644">
        <w:rPr>
          <w:rFonts w:asciiTheme="majorHAnsi" w:hAnsiTheme="majorHAnsi"/>
          <w:sz w:val="20"/>
          <w:szCs w:val="20"/>
          <w:lang w:val="es-AR"/>
        </w:rPr>
        <w:t xml:space="preserve"> y fue declarado inocente. </w:t>
      </w:r>
      <w:r w:rsidR="00296E8E" w:rsidRPr="003E1644">
        <w:rPr>
          <w:rFonts w:asciiTheme="majorHAnsi" w:hAnsiTheme="majorHAnsi"/>
          <w:sz w:val="20"/>
          <w:szCs w:val="20"/>
          <w:lang w:val="es-AR"/>
        </w:rPr>
        <w:t>A</w:t>
      </w:r>
      <w:r w:rsidRPr="003E1644">
        <w:rPr>
          <w:rFonts w:asciiTheme="majorHAnsi" w:hAnsiTheme="majorHAnsi"/>
          <w:sz w:val="20"/>
          <w:szCs w:val="20"/>
          <w:lang w:val="es-AR"/>
        </w:rPr>
        <w:t xml:space="preserve">lega que el señor Morales no estuvo casi </w:t>
      </w:r>
      <w:r w:rsidR="00296E8E" w:rsidRPr="003E1644">
        <w:rPr>
          <w:rFonts w:asciiTheme="majorHAnsi" w:hAnsiTheme="majorHAnsi"/>
          <w:sz w:val="20"/>
          <w:szCs w:val="20"/>
          <w:lang w:val="es-AR"/>
        </w:rPr>
        <w:t>siete</w:t>
      </w:r>
      <w:r w:rsidRPr="003E1644">
        <w:rPr>
          <w:rFonts w:asciiTheme="majorHAnsi" w:hAnsiTheme="majorHAnsi"/>
          <w:sz w:val="20"/>
          <w:szCs w:val="20"/>
          <w:lang w:val="es-AR"/>
        </w:rPr>
        <w:t xml:space="preserve"> años en prisión preventiva</w:t>
      </w:r>
      <w:r w:rsidR="00296E8E" w:rsidRPr="003E1644">
        <w:rPr>
          <w:rFonts w:asciiTheme="majorHAnsi" w:hAnsiTheme="majorHAnsi"/>
          <w:sz w:val="20"/>
          <w:szCs w:val="20"/>
          <w:lang w:val="es-AR"/>
        </w:rPr>
        <w:t>,</w:t>
      </w:r>
      <w:r w:rsidRPr="003E1644">
        <w:rPr>
          <w:rFonts w:asciiTheme="majorHAnsi" w:hAnsiTheme="majorHAnsi"/>
          <w:sz w:val="20"/>
          <w:szCs w:val="20"/>
          <w:lang w:val="es-AR"/>
        </w:rPr>
        <w:t xml:space="preserve"> porque tal término finalizó cuando </w:t>
      </w:r>
      <w:r w:rsidR="00642E60" w:rsidRPr="003E1644">
        <w:rPr>
          <w:rFonts w:asciiTheme="majorHAnsi" w:hAnsiTheme="majorHAnsi"/>
          <w:sz w:val="20"/>
          <w:szCs w:val="20"/>
          <w:lang w:val="es-AR"/>
        </w:rPr>
        <w:t>este</w:t>
      </w:r>
      <w:r w:rsidRPr="003E1644">
        <w:rPr>
          <w:rFonts w:asciiTheme="majorHAnsi" w:hAnsiTheme="majorHAnsi"/>
          <w:sz w:val="20"/>
          <w:szCs w:val="20"/>
          <w:lang w:val="es-AR"/>
        </w:rPr>
        <w:t xml:space="preserve"> fue declarado culpable en la primera sentencia. </w:t>
      </w:r>
      <w:r w:rsidR="004222D4" w:rsidRPr="003E1644">
        <w:rPr>
          <w:rFonts w:asciiTheme="majorHAnsi" w:hAnsiTheme="majorHAnsi"/>
          <w:sz w:val="20"/>
          <w:szCs w:val="20"/>
          <w:lang w:val="es-AR"/>
        </w:rPr>
        <w:t>Al</w:t>
      </w:r>
      <w:r w:rsidR="00F53D49" w:rsidRPr="003E1644">
        <w:rPr>
          <w:rFonts w:asciiTheme="majorHAnsi" w:hAnsiTheme="majorHAnsi"/>
          <w:sz w:val="20"/>
          <w:szCs w:val="20"/>
          <w:lang w:val="es-AR"/>
        </w:rPr>
        <w:t xml:space="preserve"> existir dos sentencias condenatorias, el Estado alega que no es válido asumir que todo ese tiempo se debió a una prisión preventiva, ya que durante dos periodos de tiempo estuvo recluido en virtud de cumplía condena dictada en debida forma. </w:t>
      </w:r>
      <w:r w:rsidR="007649C8" w:rsidRPr="003E1644">
        <w:rPr>
          <w:rFonts w:asciiTheme="majorHAnsi" w:hAnsiTheme="majorHAnsi"/>
          <w:sz w:val="20"/>
          <w:szCs w:val="20"/>
          <w:lang w:val="es-ES"/>
        </w:rPr>
        <w:t xml:space="preserve"> </w:t>
      </w:r>
    </w:p>
    <w:p w14:paraId="194E2F73" w14:textId="2EA1821D" w:rsidR="0047235C" w:rsidRPr="003E1644" w:rsidRDefault="00F00DC3" w:rsidP="003C08E3">
      <w:pPr>
        <w:pStyle w:val="ListParagraph"/>
        <w:numPr>
          <w:ilvl w:val="0"/>
          <w:numId w:val="103"/>
        </w:numPr>
        <w:spacing w:after="240"/>
        <w:jc w:val="both"/>
        <w:rPr>
          <w:rFonts w:asciiTheme="majorHAnsi" w:hAnsiTheme="majorHAnsi"/>
          <w:sz w:val="20"/>
          <w:szCs w:val="20"/>
          <w:lang w:val="es-AR"/>
        </w:rPr>
      </w:pPr>
      <w:r w:rsidRPr="003E1644">
        <w:rPr>
          <w:rFonts w:asciiTheme="majorHAnsi" w:hAnsiTheme="majorHAnsi"/>
          <w:sz w:val="20"/>
          <w:szCs w:val="20"/>
          <w:lang w:val="es-AR"/>
        </w:rPr>
        <w:t xml:space="preserve">Con respecto a las condiciones de detención del señor Morales, el Estado alega que el </w:t>
      </w:r>
      <w:r w:rsidR="0047235C" w:rsidRPr="003E1644">
        <w:rPr>
          <w:rFonts w:asciiTheme="majorHAnsi" w:hAnsiTheme="majorHAnsi"/>
          <w:sz w:val="20"/>
          <w:szCs w:val="20"/>
          <w:lang w:val="es-AR"/>
        </w:rPr>
        <w:t>director</w:t>
      </w:r>
      <w:r w:rsidRPr="003E1644">
        <w:rPr>
          <w:rFonts w:asciiTheme="majorHAnsi" w:hAnsiTheme="majorHAnsi"/>
          <w:sz w:val="20"/>
          <w:szCs w:val="20"/>
          <w:lang w:val="es-AR"/>
        </w:rPr>
        <w:t xml:space="preserve"> del centro penal tuvo la finalidad de proteger la integridad física del señor Morales para que estuviera aislado de las amenazas y protegido de los daños que le pudieran ocasionar los otros reclusos. </w:t>
      </w:r>
      <w:r w:rsidR="0047235C" w:rsidRPr="003E1644">
        <w:rPr>
          <w:rFonts w:asciiTheme="majorHAnsi" w:hAnsiTheme="majorHAnsi"/>
          <w:sz w:val="20"/>
          <w:szCs w:val="20"/>
          <w:lang w:val="es-AR"/>
        </w:rPr>
        <w:t>En relación</w:t>
      </w:r>
      <w:r w:rsidRPr="003E1644">
        <w:rPr>
          <w:rFonts w:asciiTheme="majorHAnsi" w:hAnsiTheme="majorHAnsi"/>
          <w:sz w:val="20"/>
          <w:szCs w:val="20"/>
          <w:lang w:val="es-AR"/>
        </w:rPr>
        <w:t xml:space="preserve"> al accidente que sufrió el señor Morales el 26 de agosto de 2012 mientras cortaba el césped, </w:t>
      </w:r>
      <w:r w:rsidR="002718FA" w:rsidRPr="003E1644">
        <w:rPr>
          <w:rFonts w:asciiTheme="majorHAnsi" w:hAnsiTheme="majorHAnsi"/>
          <w:sz w:val="20"/>
          <w:szCs w:val="20"/>
          <w:lang w:val="es-AR"/>
        </w:rPr>
        <w:t xml:space="preserve">y </w:t>
      </w:r>
      <w:r w:rsidRPr="003E1644">
        <w:rPr>
          <w:rFonts w:asciiTheme="majorHAnsi" w:hAnsiTheme="majorHAnsi"/>
          <w:sz w:val="20"/>
          <w:szCs w:val="20"/>
          <w:lang w:val="es-AR"/>
        </w:rPr>
        <w:t xml:space="preserve">que le ocasionó </w:t>
      </w:r>
      <w:r w:rsidR="0047235C" w:rsidRPr="003E1644">
        <w:rPr>
          <w:rFonts w:asciiTheme="majorHAnsi" w:hAnsiTheme="majorHAnsi"/>
          <w:sz w:val="20"/>
          <w:szCs w:val="20"/>
          <w:lang w:val="es-AR"/>
        </w:rPr>
        <w:t>múltiples</w:t>
      </w:r>
      <w:r w:rsidRPr="003E1644">
        <w:rPr>
          <w:rFonts w:asciiTheme="majorHAnsi" w:hAnsiTheme="majorHAnsi"/>
          <w:sz w:val="20"/>
          <w:szCs w:val="20"/>
          <w:lang w:val="es-AR"/>
        </w:rPr>
        <w:t xml:space="preserve"> lesiones, el Estado alega que no era razonablemente previsible </w:t>
      </w:r>
      <w:r w:rsidR="0047235C" w:rsidRPr="003E1644">
        <w:rPr>
          <w:rFonts w:asciiTheme="majorHAnsi" w:hAnsiTheme="majorHAnsi"/>
          <w:sz w:val="20"/>
          <w:szCs w:val="20"/>
          <w:lang w:val="es-AR"/>
        </w:rPr>
        <w:t xml:space="preserve">para las autoridades del centro penitenciario que dicho accidente ocurriría. No obstante, en cuanto fue posible recibió la atención médica correspondiente. </w:t>
      </w:r>
    </w:p>
    <w:p w14:paraId="3FB148A4" w14:textId="77777777" w:rsidR="00790364" w:rsidRDefault="00790364" w:rsidP="00790364">
      <w:pPr>
        <w:pStyle w:val="ListParagraph"/>
        <w:spacing w:after="240"/>
        <w:jc w:val="both"/>
        <w:rPr>
          <w:rFonts w:asciiTheme="majorHAnsi" w:hAnsiTheme="majorHAnsi"/>
          <w:sz w:val="20"/>
          <w:szCs w:val="20"/>
          <w:lang w:val="es-AR"/>
        </w:rPr>
      </w:pPr>
    </w:p>
    <w:p w14:paraId="6EED130C" w14:textId="2A093E8C" w:rsidR="00AE2AE0" w:rsidRPr="003E1644" w:rsidRDefault="0047235C" w:rsidP="003C08E3">
      <w:pPr>
        <w:pStyle w:val="ListParagraph"/>
        <w:numPr>
          <w:ilvl w:val="0"/>
          <w:numId w:val="103"/>
        </w:numPr>
        <w:spacing w:after="240"/>
        <w:jc w:val="both"/>
        <w:rPr>
          <w:rFonts w:asciiTheme="majorHAnsi" w:hAnsiTheme="majorHAnsi"/>
          <w:sz w:val="20"/>
          <w:szCs w:val="20"/>
          <w:lang w:val="es-AR"/>
        </w:rPr>
      </w:pPr>
      <w:r w:rsidRPr="003E1644">
        <w:rPr>
          <w:rFonts w:asciiTheme="majorHAnsi" w:hAnsiTheme="majorHAnsi"/>
          <w:sz w:val="20"/>
          <w:szCs w:val="20"/>
          <w:lang w:val="es-AR"/>
        </w:rPr>
        <w:lastRenderedPageBreak/>
        <w:t xml:space="preserve">El Estado indica, con relación a la vulneración del derecho a la integridad psicológica y moral de la familia de la presunta víctima, que la ausencia del señor Morales de su círculo familiar se produce como consecuencia de un proceso penal y sentencias condenatorias. Por tal motivo, no sería válido responsabilizar al Estado hondureño por las consecuencias de la privación de su libertad. </w:t>
      </w:r>
    </w:p>
    <w:p w14:paraId="6BA75CE7" w14:textId="128F7361" w:rsidR="00AE2AE0" w:rsidRPr="003E1644" w:rsidRDefault="00AE2AE0" w:rsidP="003C08E3">
      <w:pPr>
        <w:spacing w:after="240"/>
        <w:ind w:firstLine="720"/>
        <w:jc w:val="both"/>
        <w:rPr>
          <w:rFonts w:asciiTheme="majorHAnsi" w:eastAsia="Cambria" w:hAnsiTheme="majorHAnsi" w:cs="Cambria"/>
          <w:b/>
          <w:bCs/>
          <w:color w:val="000000"/>
          <w:sz w:val="20"/>
          <w:szCs w:val="20"/>
          <w:u w:color="000000"/>
          <w:lang w:val="es-ES" w:eastAsia="es-ES"/>
        </w:rPr>
      </w:pPr>
      <w:r w:rsidRPr="003E1644">
        <w:rPr>
          <w:rFonts w:asciiTheme="majorHAnsi" w:eastAsia="Cambria" w:hAnsiTheme="majorHAnsi" w:cs="Cambria"/>
          <w:b/>
          <w:bCs/>
          <w:color w:val="000000"/>
          <w:sz w:val="20"/>
          <w:szCs w:val="20"/>
          <w:u w:color="000000"/>
          <w:lang w:val="es-ES" w:eastAsia="es-ES"/>
        </w:rPr>
        <w:t>VI.</w:t>
      </w:r>
      <w:r w:rsidRPr="003E1644">
        <w:rPr>
          <w:rFonts w:asciiTheme="majorHAnsi" w:eastAsia="Cambria" w:hAnsiTheme="majorHAnsi" w:cs="Cambria"/>
          <w:b/>
          <w:bCs/>
          <w:color w:val="000000"/>
          <w:sz w:val="20"/>
          <w:szCs w:val="20"/>
          <w:u w:color="000000"/>
          <w:lang w:val="es-ES" w:eastAsia="es-ES"/>
        </w:rPr>
        <w:tab/>
      </w:r>
      <w:r w:rsidRPr="003E1644">
        <w:rPr>
          <w:rFonts w:asciiTheme="majorHAnsi" w:hAnsiTheme="majorHAnsi"/>
          <w:b/>
          <w:bCs/>
          <w:sz w:val="20"/>
          <w:szCs w:val="20"/>
          <w:lang w:val="es-ES_tradnl"/>
        </w:rPr>
        <w:t xml:space="preserve">ANÁLISIS DE </w:t>
      </w:r>
      <w:r w:rsidRPr="003E1644">
        <w:rPr>
          <w:rFonts w:asciiTheme="majorHAnsi" w:hAnsiTheme="majorHAnsi"/>
          <w:b/>
          <w:sz w:val="20"/>
          <w:szCs w:val="20"/>
          <w:lang w:val="es-ES"/>
        </w:rPr>
        <w:t>AGOTAMIENTO DE LOS RECURSOS INTERNOS Y PLAZO DE PRESENTACIÓN</w:t>
      </w:r>
      <w:r w:rsidRPr="003E1644">
        <w:rPr>
          <w:rFonts w:asciiTheme="majorHAnsi" w:eastAsia="Cambria" w:hAnsiTheme="majorHAnsi" w:cs="Cambria"/>
          <w:b/>
          <w:bCs/>
          <w:color w:val="000000"/>
          <w:sz w:val="20"/>
          <w:szCs w:val="20"/>
          <w:u w:color="000000"/>
          <w:lang w:val="es-ES" w:eastAsia="es-ES"/>
        </w:rPr>
        <w:t xml:space="preserve"> </w:t>
      </w:r>
    </w:p>
    <w:p w14:paraId="6A82FBFD" w14:textId="78B2AD41" w:rsidR="00AE2AE0" w:rsidRPr="003E1644" w:rsidRDefault="00AE2AE0" w:rsidP="003C08E3">
      <w:pPr>
        <w:pStyle w:val="ListParagraph"/>
        <w:numPr>
          <w:ilvl w:val="0"/>
          <w:numId w:val="103"/>
        </w:numPr>
        <w:spacing w:after="240"/>
        <w:jc w:val="both"/>
        <w:rPr>
          <w:rFonts w:asciiTheme="majorHAnsi" w:hAnsiTheme="majorHAnsi"/>
          <w:sz w:val="20"/>
          <w:szCs w:val="20"/>
          <w:lang w:val="es-AR"/>
        </w:rPr>
      </w:pPr>
      <w:r w:rsidRPr="003E1644">
        <w:rPr>
          <w:rFonts w:asciiTheme="majorHAnsi" w:hAnsiTheme="majorHAnsi"/>
          <w:iCs/>
          <w:sz w:val="20"/>
          <w:szCs w:val="20"/>
          <w:lang w:val="es-ES_tradnl"/>
        </w:rPr>
        <w:t>Para el análisis del agotamiento de los recursos domésticos en el presente asunto, la CIDH recuerda que, según su práctica consolidada y reiterada, a efectos de identificar los recursos idóneos que debieron haber sido agotados por un peticionario antes de recurrir al Sistema Interamericano, el primer paso metodológico del análisis consiste en deslindar los distintos reclamos formulados en la correspondiente petición para proceder a su examen individualizado</w:t>
      </w:r>
      <w:r w:rsidR="0069231F">
        <w:rPr>
          <w:rStyle w:val="FootnoteReference"/>
          <w:rFonts w:asciiTheme="majorHAnsi" w:hAnsiTheme="majorHAnsi"/>
          <w:iCs/>
          <w:sz w:val="20"/>
          <w:szCs w:val="20"/>
          <w:lang w:val="es-ES_tradnl"/>
        </w:rPr>
        <w:footnoteReference w:id="4"/>
      </w:r>
      <w:r w:rsidRPr="003E1644">
        <w:rPr>
          <w:rFonts w:asciiTheme="majorHAnsi" w:hAnsiTheme="majorHAnsi"/>
          <w:iCs/>
          <w:sz w:val="20"/>
          <w:szCs w:val="20"/>
          <w:lang w:val="es-ES_tradnl"/>
        </w:rPr>
        <w:t>. En esta línea, en el presente procedimiento la CIDH observa que los reclamos formulados por los peticionarios son en lo fundamental: un proceso penal arbitrario con pruebas dudosas, un exceso en la prisión preventiva y malos tratos durante su detención.</w:t>
      </w:r>
    </w:p>
    <w:p w14:paraId="1A1B2A65" w14:textId="432050EA" w:rsidR="003800EC" w:rsidRPr="003E1644" w:rsidRDefault="00A641FF" w:rsidP="003C08E3">
      <w:pPr>
        <w:pStyle w:val="ListParagraph"/>
        <w:numPr>
          <w:ilvl w:val="0"/>
          <w:numId w:val="103"/>
        </w:numPr>
        <w:spacing w:after="240"/>
        <w:jc w:val="both"/>
        <w:rPr>
          <w:rFonts w:asciiTheme="majorHAnsi" w:hAnsiTheme="majorHAnsi"/>
          <w:sz w:val="20"/>
          <w:szCs w:val="20"/>
          <w:lang w:val="es-AR"/>
        </w:rPr>
      </w:pPr>
      <w:r w:rsidRPr="003E1644">
        <w:rPr>
          <w:rFonts w:asciiTheme="majorHAnsi" w:hAnsiTheme="majorHAnsi"/>
          <w:sz w:val="20"/>
          <w:szCs w:val="20"/>
          <w:lang w:val="es-AR"/>
        </w:rPr>
        <w:t>En relación al proceso penal arbitrario, l</w:t>
      </w:r>
      <w:r w:rsidR="00AE2AE0" w:rsidRPr="003E1644">
        <w:rPr>
          <w:rFonts w:asciiTheme="majorHAnsi" w:hAnsiTheme="majorHAnsi"/>
          <w:sz w:val="20"/>
          <w:szCs w:val="20"/>
          <w:lang w:val="es-AR"/>
        </w:rPr>
        <w:t>a CIDH observa que el último recurso agotado fue el recurso de casación interpuesto por la defensa privada del Señor José Isabel Morales</w:t>
      </w:r>
      <w:r w:rsidR="008D2122" w:rsidRPr="003E1644">
        <w:rPr>
          <w:rFonts w:asciiTheme="majorHAnsi" w:hAnsiTheme="majorHAnsi"/>
          <w:sz w:val="20"/>
          <w:szCs w:val="20"/>
          <w:lang w:val="es-AR"/>
        </w:rPr>
        <w:t>,</w:t>
      </w:r>
      <w:r w:rsidR="00AE2AE0" w:rsidRPr="003E1644">
        <w:rPr>
          <w:rFonts w:asciiTheme="majorHAnsi" w:hAnsiTheme="majorHAnsi"/>
          <w:sz w:val="20"/>
          <w:szCs w:val="20"/>
          <w:lang w:val="es-AR"/>
        </w:rPr>
        <w:t xml:space="preserve"> el 3 de abril de 2014, ante la Sala Penal de la Corte Suprema de Justicia de Honduras. El 14 de abril de 2015, la sentencia de dicho organismo judicial ordenó la celebración de un nuevo juicio. El 28 de septiembre de 2015 se celebró el último juicio oral y público, y la sentencia absolutoria definitiva del Tribunal de Sentencia de Trujillo se dictó el 26 de abril de 2016. Dicha sentencia absolutoria produce el agotamiento natural del proceso judicial a nivel interno y finaliza con la declaración de inocencia del señor Morales.</w:t>
      </w:r>
      <w:r w:rsidR="003800EC" w:rsidRPr="003E1644">
        <w:rPr>
          <w:rFonts w:asciiTheme="majorHAnsi" w:hAnsiTheme="majorHAnsi"/>
          <w:sz w:val="20"/>
          <w:szCs w:val="20"/>
          <w:lang w:val="es-AR"/>
        </w:rPr>
        <w:t xml:space="preserve"> </w:t>
      </w:r>
    </w:p>
    <w:p w14:paraId="05E582F9" w14:textId="2AF40BB7" w:rsidR="00302639" w:rsidRPr="003E1644" w:rsidRDefault="00A641FF" w:rsidP="003C08E3">
      <w:pPr>
        <w:pStyle w:val="ListParagraph"/>
        <w:numPr>
          <w:ilvl w:val="0"/>
          <w:numId w:val="103"/>
        </w:numPr>
        <w:spacing w:after="240"/>
        <w:jc w:val="both"/>
        <w:rPr>
          <w:rFonts w:asciiTheme="majorHAnsi" w:hAnsiTheme="majorHAnsi"/>
          <w:sz w:val="20"/>
          <w:szCs w:val="20"/>
          <w:lang w:val="es-AR"/>
        </w:rPr>
      </w:pPr>
      <w:r w:rsidRPr="003E1644">
        <w:rPr>
          <w:rFonts w:asciiTheme="majorHAnsi" w:hAnsiTheme="majorHAnsi"/>
          <w:sz w:val="20"/>
          <w:szCs w:val="20"/>
          <w:lang w:val="es-AR"/>
        </w:rPr>
        <w:t>Con respecto al exceso en la prisión preventiva,</w:t>
      </w:r>
      <w:r w:rsidR="009E687F" w:rsidRPr="003E1644">
        <w:rPr>
          <w:rFonts w:asciiTheme="majorHAnsi" w:hAnsiTheme="majorHAnsi"/>
          <w:sz w:val="20"/>
          <w:szCs w:val="20"/>
          <w:lang w:val="es-AR"/>
        </w:rPr>
        <w:t xml:space="preserve"> el 13 de enero de 2011</w:t>
      </w:r>
      <w:r w:rsidR="001A0F02" w:rsidRPr="003E1644">
        <w:rPr>
          <w:rFonts w:asciiTheme="majorHAnsi" w:hAnsiTheme="majorHAnsi"/>
          <w:sz w:val="20"/>
          <w:szCs w:val="20"/>
          <w:lang w:val="es-AR"/>
        </w:rPr>
        <w:t xml:space="preserve"> el abogado del señor Morales </w:t>
      </w:r>
      <w:r w:rsidR="009E687F" w:rsidRPr="003E1644">
        <w:rPr>
          <w:rFonts w:asciiTheme="majorHAnsi" w:hAnsiTheme="majorHAnsi"/>
          <w:sz w:val="20"/>
          <w:szCs w:val="20"/>
          <w:lang w:val="es-AR"/>
        </w:rPr>
        <w:t xml:space="preserve">solicitó una audiencia para la sustitución de la medida </w:t>
      </w:r>
      <w:r w:rsidR="00FD2FB5" w:rsidRPr="003E1644">
        <w:rPr>
          <w:rFonts w:asciiTheme="majorHAnsi" w:hAnsiTheme="majorHAnsi"/>
          <w:sz w:val="20"/>
          <w:szCs w:val="20"/>
          <w:lang w:val="es-AR"/>
        </w:rPr>
        <w:t>y el</w:t>
      </w:r>
      <w:r w:rsidR="006E1F3F" w:rsidRPr="003E1644">
        <w:rPr>
          <w:rFonts w:asciiTheme="majorHAnsi" w:hAnsiTheme="majorHAnsi"/>
          <w:sz w:val="20"/>
          <w:szCs w:val="20"/>
          <w:lang w:val="es-AR"/>
        </w:rPr>
        <w:t xml:space="preserve"> 18 de febrero de 2011 el Tribunal de la causa decidió declarar sin lugar la solicitud, con motivo del peligro de </w:t>
      </w:r>
      <w:r w:rsidR="001A0F02" w:rsidRPr="003E1644">
        <w:rPr>
          <w:rFonts w:asciiTheme="majorHAnsi" w:hAnsiTheme="majorHAnsi"/>
          <w:sz w:val="20"/>
          <w:szCs w:val="20"/>
          <w:lang w:val="es-AR"/>
        </w:rPr>
        <w:t xml:space="preserve">fuga, y encontrando fundamento en la gravedad del delito. </w:t>
      </w:r>
      <w:r w:rsidR="006E1F3F" w:rsidRPr="003E1644">
        <w:rPr>
          <w:rFonts w:asciiTheme="majorHAnsi" w:hAnsiTheme="majorHAnsi"/>
          <w:sz w:val="20"/>
          <w:szCs w:val="20"/>
          <w:lang w:val="es-AR"/>
        </w:rPr>
        <w:t xml:space="preserve">El 12 de agosto de 2011 la defensa del señor Morales solicitó nuevamente que se fijara una audiencia </w:t>
      </w:r>
      <w:r w:rsidR="00FD2FB5" w:rsidRPr="003E1644">
        <w:rPr>
          <w:rFonts w:asciiTheme="majorHAnsi" w:hAnsiTheme="majorHAnsi"/>
          <w:sz w:val="20"/>
          <w:szCs w:val="20"/>
          <w:lang w:val="es-AR"/>
        </w:rPr>
        <w:t xml:space="preserve">a tal fin, y </w:t>
      </w:r>
      <w:r w:rsidR="006E1F3F" w:rsidRPr="003E1644">
        <w:rPr>
          <w:rFonts w:asciiTheme="majorHAnsi" w:hAnsiTheme="majorHAnsi"/>
          <w:sz w:val="20"/>
          <w:szCs w:val="20"/>
          <w:lang w:val="es-AR"/>
        </w:rPr>
        <w:t>el 26 de agosto de 2011 el Tribunal ne</w:t>
      </w:r>
      <w:r w:rsidR="00FD2FB5" w:rsidRPr="003E1644">
        <w:rPr>
          <w:rFonts w:asciiTheme="majorHAnsi" w:hAnsiTheme="majorHAnsi"/>
          <w:sz w:val="20"/>
          <w:szCs w:val="20"/>
          <w:lang w:val="es-AR"/>
        </w:rPr>
        <w:t>gó</w:t>
      </w:r>
      <w:r w:rsidR="006E1F3F" w:rsidRPr="003E1644">
        <w:rPr>
          <w:rFonts w:asciiTheme="majorHAnsi" w:hAnsiTheme="majorHAnsi"/>
          <w:sz w:val="20"/>
          <w:szCs w:val="20"/>
          <w:lang w:val="es-AR"/>
        </w:rPr>
        <w:t xml:space="preserve"> la solicitud de sustitución de la medida cautelar. </w:t>
      </w:r>
      <w:r w:rsidR="001A0F02" w:rsidRPr="003E1644">
        <w:rPr>
          <w:rFonts w:asciiTheme="majorHAnsi" w:hAnsiTheme="majorHAnsi"/>
          <w:sz w:val="20"/>
          <w:szCs w:val="20"/>
          <w:lang w:val="es-AR"/>
        </w:rPr>
        <w:t xml:space="preserve">Estos intentos en una fase inicial del proceso continuaron luego de la primera y segunda sentencia, hasta que en el 20 de abril de 2015 la defensa del señor Morales solicitó la revisión de la medida cautelar y tribunal asignado ordenó la liberación del señor Morales. La CIDH considera </w:t>
      </w:r>
      <w:r w:rsidR="00302639" w:rsidRPr="003E1644">
        <w:rPr>
          <w:rFonts w:asciiTheme="majorHAnsi" w:hAnsiTheme="majorHAnsi"/>
          <w:sz w:val="20"/>
          <w:szCs w:val="20"/>
          <w:lang w:val="es-AR"/>
        </w:rPr>
        <w:t xml:space="preserve">que se agotaron los recursos internos con todas las solicitudes al tribunal para que el señor Morales obtuviera su libertad. </w:t>
      </w:r>
    </w:p>
    <w:p w14:paraId="6F87A28D" w14:textId="4214BDA4" w:rsidR="003800EC" w:rsidRPr="003E1644" w:rsidRDefault="00302639" w:rsidP="003C08E3">
      <w:pPr>
        <w:pStyle w:val="ListParagraph"/>
        <w:numPr>
          <w:ilvl w:val="0"/>
          <w:numId w:val="103"/>
        </w:numPr>
        <w:spacing w:after="240"/>
        <w:jc w:val="both"/>
        <w:rPr>
          <w:rFonts w:asciiTheme="majorHAnsi" w:hAnsiTheme="majorHAnsi"/>
          <w:sz w:val="20"/>
          <w:szCs w:val="20"/>
          <w:lang w:val="es-AR"/>
        </w:rPr>
      </w:pPr>
      <w:r w:rsidRPr="003E1644">
        <w:rPr>
          <w:rFonts w:asciiTheme="majorHAnsi" w:hAnsiTheme="majorHAnsi"/>
          <w:sz w:val="20"/>
          <w:szCs w:val="20"/>
          <w:lang w:val="es-AR"/>
        </w:rPr>
        <w:t xml:space="preserve">La Comisión observa, con relación a los malos tratos sufridos durante el tiempo que el señor </w:t>
      </w:r>
      <w:r w:rsidR="00907C44" w:rsidRPr="003E1644">
        <w:rPr>
          <w:rFonts w:asciiTheme="majorHAnsi" w:hAnsiTheme="majorHAnsi"/>
          <w:sz w:val="20"/>
          <w:szCs w:val="20"/>
          <w:lang w:val="es-AR"/>
        </w:rPr>
        <w:t>M</w:t>
      </w:r>
      <w:r w:rsidRPr="003E1644">
        <w:rPr>
          <w:rFonts w:asciiTheme="majorHAnsi" w:hAnsiTheme="majorHAnsi"/>
          <w:sz w:val="20"/>
          <w:szCs w:val="20"/>
          <w:lang w:val="es-AR"/>
        </w:rPr>
        <w:t xml:space="preserve">orales estuvo detenido, que la defensa promovió un recurso de </w:t>
      </w:r>
      <w:r w:rsidRPr="003E1644">
        <w:rPr>
          <w:rFonts w:asciiTheme="majorHAnsi" w:hAnsiTheme="majorHAnsi"/>
          <w:i/>
          <w:iCs/>
          <w:sz w:val="20"/>
          <w:szCs w:val="20"/>
          <w:lang w:val="es-AR"/>
        </w:rPr>
        <w:t>habeas corpus</w:t>
      </w:r>
      <w:r w:rsidRPr="003E1644">
        <w:rPr>
          <w:rFonts w:asciiTheme="majorHAnsi" w:hAnsiTheme="majorHAnsi"/>
          <w:sz w:val="20"/>
          <w:szCs w:val="20"/>
          <w:lang w:val="es-AR"/>
        </w:rPr>
        <w:t xml:space="preserve"> correctivo ante la Corte de Apelaciones Seccional de La Ceiba</w:t>
      </w:r>
      <w:r w:rsidR="00907C44" w:rsidRPr="003E1644">
        <w:rPr>
          <w:rFonts w:asciiTheme="majorHAnsi" w:hAnsiTheme="majorHAnsi"/>
          <w:sz w:val="20"/>
          <w:szCs w:val="20"/>
          <w:lang w:val="es-AR"/>
        </w:rPr>
        <w:t>. Dicho recurso se presentó con la finalidad</w:t>
      </w:r>
      <w:r w:rsidRPr="003E1644">
        <w:rPr>
          <w:rFonts w:asciiTheme="majorHAnsi" w:hAnsiTheme="majorHAnsi"/>
          <w:sz w:val="20"/>
          <w:szCs w:val="20"/>
          <w:lang w:val="es-AR"/>
        </w:rPr>
        <w:t xml:space="preserve"> que se dispusieran las medidas de seguridad tendientes a garantizarle la vida al señor</w:t>
      </w:r>
      <w:r w:rsidR="003800EC" w:rsidRPr="003E1644">
        <w:rPr>
          <w:rFonts w:asciiTheme="majorHAnsi" w:hAnsiTheme="majorHAnsi"/>
          <w:sz w:val="20"/>
          <w:szCs w:val="20"/>
          <w:lang w:val="es-AR"/>
        </w:rPr>
        <w:t xml:space="preserve"> </w:t>
      </w:r>
      <w:r w:rsidRPr="003E1644">
        <w:rPr>
          <w:rFonts w:asciiTheme="majorHAnsi" w:hAnsiTheme="majorHAnsi"/>
          <w:sz w:val="20"/>
          <w:szCs w:val="20"/>
          <w:lang w:val="es-AR"/>
        </w:rPr>
        <w:t xml:space="preserve">Morales. </w:t>
      </w:r>
      <w:r w:rsidR="00907C44" w:rsidRPr="003E1644">
        <w:rPr>
          <w:rFonts w:asciiTheme="majorHAnsi" w:hAnsiTheme="majorHAnsi"/>
          <w:sz w:val="20"/>
          <w:szCs w:val="20"/>
          <w:lang w:val="es-AR"/>
        </w:rPr>
        <w:t xml:space="preserve">La CIDH estima que </w:t>
      </w:r>
      <w:r w:rsidR="003800EC" w:rsidRPr="003E1644">
        <w:rPr>
          <w:rFonts w:asciiTheme="majorHAnsi" w:hAnsiTheme="majorHAnsi"/>
          <w:sz w:val="20"/>
          <w:szCs w:val="20"/>
          <w:lang w:val="es-ES"/>
        </w:rPr>
        <w:t xml:space="preserve">el recurso de </w:t>
      </w:r>
      <w:r w:rsidR="003800EC" w:rsidRPr="003E1644">
        <w:rPr>
          <w:rFonts w:asciiTheme="majorHAnsi" w:hAnsiTheme="majorHAnsi"/>
          <w:i/>
          <w:iCs/>
          <w:sz w:val="20"/>
          <w:szCs w:val="20"/>
          <w:lang w:val="es-ES"/>
        </w:rPr>
        <w:t>habeas corpus</w:t>
      </w:r>
      <w:r w:rsidR="003800EC" w:rsidRPr="003E1644">
        <w:rPr>
          <w:rFonts w:asciiTheme="majorHAnsi" w:hAnsiTheme="majorHAnsi"/>
          <w:sz w:val="20"/>
          <w:szCs w:val="20"/>
          <w:lang w:val="es-ES"/>
        </w:rPr>
        <w:t xml:space="preserve"> es la vía procesal fundamental para tutelar la libertad individual a nivel interno. En el presente caso, el señor Morales ha interpuesto dicho recurso, reconocido en el artículo 7.6 de la Convención </w:t>
      </w:r>
      <w:r w:rsidRPr="003E1644">
        <w:rPr>
          <w:rFonts w:asciiTheme="majorHAnsi" w:hAnsiTheme="majorHAnsi"/>
          <w:sz w:val="20"/>
          <w:szCs w:val="20"/>
          <w:lang w:val="es-AR"/>
        </w:rPr>
        <w:t>y fue agotado en forma oportuna</w:t>
      </w:r>
      <w:r w:rsidR="00907C44" w:rsidRPr="003E1644">
        <w:rPr>
          <w:rFonts w:asciiTheme="majorHAnsi" w:hAnsiTheme="majorHAnsi"/>
          <w:sz w:val="20"/>
          <w:szCs w:val="20"/>
          <w:lang w:val="es-AR"/>
        </w:rPr>
        <w:t>, pero</w:t>
      </w:r>
      <w:r w:rsidRPr="003E1644">
        <w:rPr>
          <w:rFonts w:asciiTheme="majorHAnsi" w:hAnsiTheme="majorHAnsi"/>
          <w:sz w:val="20"/>
          <w:szCs w:val="20"/>
          <w:lang w:val="es-AR"/>
        </w:rPr>
        <w:t xml:space="preserve"> </w:t>
      </w:r>
      <w:r w:rsidR="00907C44" w:rsidRPr="003E1644">
        <w:rPr>
          <w:rFonts w:asciiTheme="majorHAnsi" w:hAnsiTheme="majorHAnsi"/>
          <w:sz w:val="20"/>
          <w:szCs w:val="20"/>
          <w:lang w:val="es-AR"/>
        </w:rPr>
        <w:t>no prosperó ya que l</w:t>
      </w:r>
      <w:r w:rsidRPr="003E1644">
        <w:rPr>
          <w:rFonts w:asciiTheme="majorHAnsi" w:hAnsiTheme="majorHAnsi"/>
          <w:sz w:val="20"/>
          <w:szCs w:val="20"/>
          <w:lang w:val="es-AR"/>
        </w:rPr>
        <w:t>a Jueza Ejecutora desestimó el recurso al igual que también lo hizo la propia Corte de Apelaciones</w:t>
      </w:r>
      <w:r w:rsidR="00907C44" w:rsidRPr="003E1644">
        <w:rPr>
          <w:rFonts w:asciiTheme="majorHAnsi" w:hAnsiTheme="majorHAnsi"/>
          <w:sz w:val="20"/>
          <w:szCs w:val="20"/>
          <w:lang w:val="es-AR"/>
        </w:rPr>
        <w:t xml:space="preserve">. </w:t>
      </w:r>
    </w:p>
    <w:p w14:paraId="31DE2841" w14:textId="44020D7C" w:rsidR="00AE2AE0" w:rsidRPr="003E1644" w:rsidRDefault="00AE2AE0" w:rsidP="003C08E3">
      <w:pPr>
        <w:pStyle w:val="ListParagraph"/>
        <w:numPr>
          <w:ilvl w:val="0"/>
          <w:numId w:val="103"/>
        </w:numPr>
        <w:spacing w:after="240"/>
        <w:jc w:val="both"/>
        <w:rPr>
          <w:rFonts w:asciiTheme="majorHAnsi" w:hAnsiTheme="majorHAnsi"/>
          <w:sz w:val="20"/>
          <w:szCs w:val="20"/>
          <w:lang w:val="es-AR"/>
        </w:rPr>
      </w:pPr>
      <w:r w:rsidRPr="003E1644">
        <w:rPr>
          <w:rFonts w:asciiTheme="majorHAnsi" w:hAnsiTheme="majorHAnsi"/>
          <w:sz w:val="20"/>
          <w:szCs w:val="20"/>
          <w:lang w:val="es-AR"/>
        </w:rPr>
        <w:t xml:space="preserve">La Comisión observa que, si bien es cierto que el Estado habría puesto a disposición de la presunta víctima los recursos disponibles para llevar a cabo el debido proceso, todos resultaron </w:t>
      </w:r>
      <w:r w:rsidR="003800EC" w:rsidRPr="003E1644">
        <w:rPr>
          <w:rFonts w:asciiTheme="majorHAnsi" w:hAnsiTheme="majorHAnsi"/>
          <w:sz w:val="20"/>
          <w:szCs w:val="20"/>
          <w:lang w:val="es-AR"/>
        </w:rPr>
        <w:t>fueron agotados e inefectivos</w:t>
      </w:r>
      <w:r w:rsidRPr="003E1644">
        <w:rPr>
          <w:rFonts w:asciiTheme="majorHAnsi" w:hAnsiTheme="majorHAnsi"/>
          <w:sz w:val="20"/>
          <w:szCs w:val="20"/>
          <w:lang w:val="es-AR"/>
        </w:rPr>
        <w:t xml:space="preserve">. En relación al </w:t>
      </w:r>
      <w:r w:rsidRPr="003E1644">
        <w:rPr>
          <w:rFonts w:asciiTheme="majorHAnsi" w:hAnsiTheme="majorHAnsi"/>
          <w:i/>
          <w:iCs/>
          <w:sz w:val="20"/>
          <w:szCs w:val="20"/>
          <w:lang w:val="es-AR"/>
        </w:rPr>
        <w:t>habeas corpus</w:t>
      </w:r>
      <w:r w:rsidRPr="003E1644">
        <w:rPr>
          <w:rFonts w:asciiTheme="majorHAnsi" w:hAnsiTheme="majorHAnsi"/>
          <w:sz w:val="20"/>
          <w:szCs w:val="20"/>
          <w:lang w:val="es-AR"/>
        </w:rPr>
        <w:t xml:space="preserve">, no se logró la libertad del señor Morales y los recursos de casación interpuestos ordenaron un nuevo juicio, en lugar de dictar una sentencia definitiva por las violaciones </w:t>
      </w:r>
      <w:r w:rsidRPr="003E1644">
        <w:rPr>
          <w:rFonts w:asciiTheme="majorHAnsi" w:hAnsiTheme="majorHAnsi"/>
          <w:sz w:val="20"/>
          <w:szCs w:val="20"/>
          <w:lang w:val="es-AR"/>
        </w:rPr>
        <w:lastRenderedPageBreak/>
        <w:t xml:space="preserve">de los preceptos constitucionales.  Por dicha situación, la presunta víctima permaneció durante casi siete años privada de su libertad. </w:t>
      </w:r>
    </w:p>
    <w:p w14:paraId="5F5DE2F3" w14:textId="77886B5B" w:rsidR="00AE2AE0" w:rsidRPr="003E1644" w:rsidRDefault="00AE2AE0" w:rsidP="003C08E3">
      <w:pPr>
        <w:pStyle w:val="ListParagraph"/>
        <w:numPr>
          <w:ilvl w:val="0"/>
          <w:numId w:val="103"/>
        </w:numPr>
        <w:spacing w:after="240"/>
        <w:jc w:val="both"/>
        <w:rPr>
          <w:rFonts w:asciiTheme="majorHAnsi" w:hAnsiTheme="majorHAnsi"/>
          <w:sz w:val="20"/>
          <w:szCs w:val="20"/>
          <w:lang w:val="es-AR"/>
        </w:rPr>
      </w:pPr>
      <w:r w:rsidRPr="003E1644">
        <w:rPr>
          <w:rFonts w:asciiTheme="majorHAnsi" w:hAnsiTheme="majorHAnsi"/>
          <w:sz w:val="20"/>
          <w:szCs w:val="20"/>
          <w:lang w:val="es-AR"/>
        </w:rPr>
        <w:t>La notificación de la sentencia definitiva del tercer juicio que finalmente decretó la</w:t>
      </w:r>
      <w:r w:rsidRPr="003E1644">
        <w:rPr>
          <w:rFonts w:asciiTheme="majorHAnsi" w:hAnsiTheme="majorHAnsi"/>
          <w:spacing w:val="1"/>
          <w:sz w:val="20"/>
          <w:szCs w:val="20"/>
          <w:lang w:val="es-AR"/>
        </w:rPr>
        <w:t xml:space="preserve"> </w:t>
      </w:r>
      <w:r w:rsidRPr="003E1644">
        <w:rPr>
          <w:rFonts w:asciiTheme="majorHAnsi" w:hAnsiTheme="majorHAnsi"/>
          <w:sz w:val="20"/>
          <w:szCs w:val="20"/>
          <w:lang w:val="es-AR"/>
        </w:rPr>
        <w:t>absolución del señor José Isabel Morales el 9 de mayo de 2016, y la petición fue presentada el 9 de noviembre del mismo año, por lo cual</w:t>
      </w:r>
      <w:r w:rsidRPr="003E1644">
        <w:rPr>
          <w:rFonts w:asciiTheme="majorHAnsi" w:hAnsiTheme="majorHAnsi"/>
          <w:spacing w:val="1"/>
          <w:sz w:val="20"/>
          <w:szCs w:val="20"/>
          <w:lang w:val="es-AR"/>
        </w:rPr>
        <w:t xml:space="preserve"> </w:t>
      </w:r>
      <w:r w:rsidRPr="003E1644">
        <w:rPr>
          <w:rFonts w:asciiTheme="majorHAnsi" w:hAnsiTheme="majorHAnsi"/>
          <w:sz w:val="20"/>
          <w:szCs w:val="20"/>
          <w:lang w:val="es-AR"/>
        </w:rPr>
        <w:t>cumple</w:t>
      </w:r>
      <w:r w:rsidRPr="003E1644">
        <w:rPr>
          <w:rFonts w:asciiTheme="majorHAnsi" w:hAnsiTheme="majorHAnsi"/>
          <w:spacing w:val="-2"/>
          <w:sz w:val="20"/>
          <w:szCs w:val="20"/>
          <w:lang w:val="es-AR"/>
        </w:rPr>
        <w:t xml:space="preserve"> </w:t>
      </w:r>
      <w:r w:rsidRPr="003E1644">
        <w:rPr>
          <w:rFonts w:asciiTheme="majorHAnsi" w:hAnsiTheme="majorHAnsi"/>
          <w:sz w:val="20"/>
          <w:szCs w:val="20"/>
          <w:lang w:val="es-AR"/>
        </w:rPr>
        <w:t>el</w:t>
      </w:r>
      <w:r w:rsidRPr="003E1644">
        <w:rPr>
          <w:rFonts w:asciiTheme="majorHAnsi" w:hAnsiTheme="majorHAnsi"/>
          <w:spacing w:val="-5"/>
          <w:sz w:val="20"/>
          <w:szCs w:val="20"/>
          <w:lang w:val="es-AR"/>
        </w:rPr>
        <w:t xml:space="preserve"> </w:t>
      </w:r>
      <w:r w:rsidRPr="003E1644">
        <w:rPr>
          <w:rFonts w:asciiTheme="majorHAnsi" w:hAnsiTheme="majorHAnsi"/>
          <w:sz w:val="20"/>
          <w:szCs w:val="20"/>
          <w:lang w:val="es-AR"/>
        </w:rPr>
        <w:t>plazo</w:t>
      </w:r>
      <w:r w:rsidRPr="003E1644">
        <w:rPr>
          <w:rFonts w:asciiTheme="majorHAnsi" w:hAnsiTheme="majorHAnsi"/>
          <w:spacing w:val="-1"/>
          <w:sz w:val="20"/>
          <w:szCs w:val="20"/>
          <w:lang w:val="es-AR"/>
        </w:rPr>
        <w:t xml:space="preserve"> </w:t>
      </w:r>
      <w:r w:rsidRPr="003E1644">
        <w:rPr>
          <w:rFonts w:asciiTheme="majorHAnsi" w:hAnsiTheme="majorHAnsi"/>
          <w:sz w:val="20"/>
          <w:szCs w:val="20"/>
          <w:lang w:val="es-AR"/>
        </w:rPr>
        <w:t>de</w:t>
      </w:r>
      <w:r w:rsidRPr="003E1644">
        <w:rPr>
          <w:rFonts w:asciiTheme="majorHAnsi" w:hAnsiTheme="majorHAnsi"/>
          <w:spacing w:val="-1"/>
          <w:sz w:val="20"/>
          <w:szCs w:val="20"/>
          <w:lang w:val="es-AR"/>
        </w:rPr>
        <w:t xml:space="preserve"> </w:t>
      </w:r>
      <w:r w:rsidRPr="003E1644">
        <w:rPr>
          <w:rFonts w:asciiTheme="majorHAnsi" w:hAnsiTheme="majorHAnsi"/>
          <w:sz w:val="20"/>
          <w:szCs w:val="20"/>
          <w:lang w:val="es-AR"/>
        </w:rPr>
        <w:t>seis</w:t>
      </w:r>
      <w:r w:rsidRPr="003E1644">
        <w:rPr>
          <w:rFonts w:asciiTheme="majorHAnsi" w:hAnsiTheme="majorHAnsi"/>
          <w:spacing w:val="-2"/>
          <w:sz w:val="20"/>
          <w:szCs w:val="20"/>
          <w:lang w:val="es-AR"/>
        </w:rPr>
        <w:t xml:space="preserve"> </w:t>
      </w:r>
      <w:r w:rsidRPr="003E1644">
        <w:rPr>
          <w:rFonts w:asciiTheme="majorHAnsi" w:hAnsiTheme="majorHAnsi"/>
          <w:sz w:val="20"/>
          <w:szCs w:val="20"/>
          <w:lang w:val="es-AR"/>
        </w:rPr>
        <w:t>meses</w:t>
      </w:r>
      <w:r w:rsidRPr="003E1644">
        <w:rPr>
          <w:rFonts w:asciiTheme="majorHAnsi" w:hAnsiTheme="majorHAnsi"/>
          <w:spacing w:val="-2"/>
          <w:sz w:val="20"/>
          <w:szCs w:val="20"/>
          <w:lang w:val="es-AR"/>
        </w:rPr>
        <w:t xml:space="preserve"> </w:t>
      </w:r>
      <w:r w:rsidRPr="003E1644">
        <w:rPr>
          <w:rFonts w:asciiTheme="majorHAnsi" w:hAnsiTheme="majorHAnsi"/>
          <w:sz w:val="20"/>
          <w:szCs w:val="20"/>
          <w:lang w:val="es-AR"/>
        </w:rPr>
        <w:t>requerido por el artículo 46.1 b de la Convención.</w:t>
      </w:r>
    </w:p>
    <w:p w14:paraId="2CB08467" w14:textId="751D5D9C" w:rsidR="00AE2AE0" w:rsidRPr="003E1644" w:rsidRDefault="00AE2AE0" w:rsidP="003C08E3">
      <w:pPr>
        <w:pStyle w:val="ListParagraph"/>
        <w:spacing w:after="240"/>
        <w:jc w:val="both"/>
        <w:rPr>
          <w:rFonts w:asciiTheme="majorHAnsi" w:hAnsiTheme="majorHAnsi"/>
          <w:b/>
          <w:bCs/>
          <w:sz w:val="20"/>
          <w:szCs w:val="20"/>
          <w:lang w:val="es-UY"/>
        </w:rPr>
      </w:pPr>
      <w:r w:rsidRPr="003E1644">
        <w:rPr>
          <w:rFonts w:asciiTheme="majorHAnsi" w:hAnsiTheme="majorHAnsi"/>
          <w:b/>
          <w:bCs/>
          <w:sz w:val="20"/>
          <w:szCs w:val="20"/>
          <w:lang w:val="es-ES"/>
        </w:rPr>
        <w:t>VII.</w:t>
      </w:r>
      <w:r w:rsidRPr="003E1644">
        <w:rPr>
          <w:rFonts w:asciiTheme="majorHAnsi" w:hAnsiTheme="majorHAnsi"/>
          <w:b/>
          <w:bCs/>
          <w:sz w:val="20"/>
          <w:szCs w:val="20"/>
          <w:lang w:val="es-ES"/>
        </w:rPr>
        <w:tab/>
      </w:r>
      <w:r w:rsidRPr="003E1644">
        <w:rPr>
          <w:rFonts w:asciiTheme="majorHAnsi" w:hAnsiTheme="majorHAnsi"/>
          <w:b/>
          <w:bCs/>
          <w:sz w:val="20"/>
          <w:szCs w:val="20"/>
          <w:lang w:val="es-ES_tradnl"/>
        </w:rPr>
        <w:t xml:space="preserve">ANÁLISIS DE </w:t>
      </w:r>
      <w:r w:rsidRPr="003E1644">
        <w:rPr>
          <w:rFonts w:asciiTheme="majorHAnsi" w:hAnsiTheme="majorHAnsi"/>
          <w:b/>
          <w:bCs/>
          <w:sz w:val="20"/>
          <w:szCs w:val="20"/>
          <w:lang w:val="es-ES"/>
        </w:rPr>
        <w:t xml:space="preserve">CARACTERIZACIÓN </w:t>
      </w:r>
      <w:r w:rsidRPr="003E1644">
        <w:rPr>
          <w:rFonts w:asciiTheme="majorHAnsi" w:hAnsiTheme="majorHAnsi"/>
          <w:b/>
          <w:bCs/>
          <w:sz w:val="20"/>
          <w:szCs w:val="20"/>
          <w:lang w:val="es-UY"/>
        </w:rPr>
        <w:t>DE LOS HECHOS ALEGADOS</w:t>
      </w:r>
    </w:p>
    <w:bookmarkEnd w:id="2"/>
    <w:p w14:paraId="1F50E443" w14:textId="17B3D991" w:rsidR="00AE2AE0" w:rsidRPr="003E1644" w:rsidRDefault="00AE2AE0" w:rsidP="003C08E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3E1644">
        <w:rPr>
          <w:rFonts w:asciiTheme="majorHAnsi" w:hAnsiTheme="majorHAnsi"/>
          <w:sz w:val="20"/>
          <w:szCs w:val="20"/>
          <w:lang w:val="es-AR"/>
        </w:rPr>
        <w:t xml:space="preserve">En primer lugar, la Comisión reitera que el criterio de evaluación de la fase de admisibilidad difiere del que se utiliza para pronunciarse sobre el fondo de una petición; la CIDH debe realizar en esta etapa una evaluación </w:t>
      </w:r>
      <w:r w:rsidRPr="003E1644">
        <w:rPr>
          <w:rFonts w:asciiTheme="majorHAnsi" w:hAnsiTheme="majorHAnsi"/>
          <w:i/>
          <w:iCs/>
          <w:sz w:val="20"/>
          <w:szCs w:val="20"/>
          <w:lang w:val="es-AR"/>
        </w:rPr>
        <w:t>prima facie</w:t>
      </w:r>
      <w:r w:rsidRPr="003E1644">
        <w:rPr>
          <w:rFonts w:asciiTheme="majorHAnsi" w:hAnsiTheme="majorHAnsi"/>
          <w:sz w:val="20"/>
          <w:szCs w:val="20"/>
          <w:lang w:val="es-AR"/>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w:t>
      </w:r>
      <w:r w:rsidR="002878F6">
        <w:rPr>
          <w:rStyle w:val="FootnoteReference"/>
          <w:rFonts w:asciiTheme="majorHAnsi" w:hAnsiTheme="majorHAnsi"/>
          <w:sz w:val="20"/>
          <w:szCs w:val="20"/>
          <w:lang w:val="es-AR"/>
        </w:rPr>
        <w:footnoteReference w:id="5"/>
      </w:r>
      <w:r w:rsidRPr="003E1644">
        <w:rPr>
          <w:rFonts w:asciiTheme="majorHAnsi" w:hAnsiTheme="majorHAnsi"/>
          <w:sz w:val="20"/>
          <w:szCs w:val="20"/>
          <w:lang w:val="es-AR"/>
        </w:rPr>
        <w:t>. 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al 47.c) de la Convención Americana</w:t>
      </w:r>
    </w:p>
    <w:p w14:paraId="38DAA53D" w14:textId="0E73F3B4" w:rsidR="00B31685" w:rsidRPr="009D413C" w:rsidRDefault="00046918" w:rsidP="003C08E3">
      <w:pPr>
        <w:pStyle w:val="ListParagraph"/>
        <w:numPr>
          <w:ilvl w:val="0"/>
          <w:numId w:val="103"/>
        </w:numPr>
        <w:spacing w:after="240"/>
        <w:jc w:val="both"/>
        <w:rPr>
          <w:rFonts w:asciiTheme="majorHAnsi" w:hAnsiTheme="majorHAnsi" w:cstheme="majorHAnsi"/>
          <w:color w:val="auto"/>
          <w:sz w:val="20"/>
          <w:szCs w:val="20"/>
          <w:lang w:val="es-AR"/>
        </w:rPr>
      </w:pPr>
      <w:r w:rsidRPr="003E1644">
        <w:rPr>
          <w:rFonts w:asciiTheme="majorHAnsi" w:hAnsiTheme="majorHAnsi" w:cstheme="majorHAnsi"/>
          <w:sz w:val="20"/>
          <w:szCs w:val="20"/>
          <w:lang w:val="es-AR"/>
        </w:rPr>
        <w:t>En este sentido, l</w:t>
      </w:r>
      <w:r w:rsidR="00AE2AE0" w:rsidRPr="003E1644">
        <w:rPr>
          <w:rFonts w:asciiTheme="majorHAnsi" w:hAnsiTheme="majorHAnsi" w:cstheme="majorHAnsi"/>
          <w:sz w:val="20"/>
          <w:szCs w:val="20"/>
          <w:lang w:val="es-AR"/>
        </w:rPr>
        <w:t>a CIDH observa que las condiciones que se tuvo privado de libertad del señor Morales habrían sido contrarias a la dignidad humana de la presunta víctima, debido a los d</w:t>
      </w:r>
      <w:r w:rsidR="00AE2AE0" w:rsidRPr="003E1644">
        <w:rPr>
          <w:rFonts w:asciiTheme="majorHAnsi" w:hAnsiTheme="majorHAnsi"/>
          <w:sz w:val="20"/>
          <w:szCs w:val="20"/>
          <w:lang w:val="es-AR"/>
        </w:rPr>
        <w:t xml:space="preserve">años físicos bajo la custodia de las autoridades penitenciarias y el daño psicológico del señor Morales y sus familiares. Esto fue evidenciado con las amenazas constantes que recibía la presunta víctima y su familia, sumado a los malos tratos de los empleados penitenciarios y la falta de la debida diligencia para proteger su salud, lo que derivó en lesiones corporales irreparables. La Corte Interamericana ha señalado que una persona ilegalmente detenida se encuentra en una situación </w:t>
      </w:r>
      <w:r w:rsidR="00AE2AE0" w:rsidRPr="009D413C">
        <w:rPr>
          <w:rFonts w:asciiTheme="majorHAnsi" w:hAnsiTheme="majorHAnsi"/>
          <w:color w:val="auto"/>
          <w:sz w:val="20"/>
          <w:szCs w:val="20"/>
          <w:lang w:val="es-AR"/>
        </w:rPr>
        <w:t>agravada de vulnerabilidad, de la cual surge un riesgo cierto de que se le vulneren otros derechos, como el derecho a la integridad física y a ser tratada con dignidad</w:t>
      </w:r>
      <w:r w:rsidR="00AE2AE0" w:rsidRPr="009D413C">
        <w:rPr>
          <w:rStyle w:val="FootnoteReference"/>
          <w:rFonts w:asciiTheme="majorHAnsi" w:hAnsiTheme="majorHAnsi"/>
          <w:color w:val="auto"/>
          <w:sz w:val="20"/>
          <w:szCs w:val="20"/>
          <w:lang w:val="es-AR"/>
        </w:rPr>
        <w:footnoteReference w:id="6"/>
      </w:r>
      <w:r w:rsidR="00AE2AE0" w:rsidRPr="009D413C">
        <w:rPr>
          <w:rFonts w:asciiTheme="majorHAnsi" w:hAnsiTheme="majorHAnsi"/>
          <w:color w:val="auto"/>
          <w:sz w:val="20"/>
          <w:szCs w:val="20"/>
          <w:lang w:val="es-AR"/>
        </w:rPr>
        <w:t xml:space="preserve">. </w:t>
      </w:r>
    </w:p>
    <w:p w14:paraId="792EA8F9" w14:textId="65812B8E" w:rsidR="00A91D74" w:rsidRPr="009D413C" w:rsidRDefault="0069231F" w:rsidP="003C08E3">
      <w:pPr>
        <w:pStyle w:val="ListParagraph"/>
        <w:numPr>
          <w:ilvl w:val="0"/>
          <w:numId w:val="103"/>
        </w:numPr>
        <w:spacing w:after="240"/>
        <w:jc w:val="both"/>
        <w:rPr>
          <w:rFonts w:asciiTheme="majorHAnsi" w:hAnsiTheme="majorHAnsi" w:cstheme="majorHAnsi"/>
          <w:color w:val="auto"/>
          <w:sz w:val="20"/>
          <w:szCs w:val="20"/>
          <w:lang w:val="es-AR"/>
        </w:rPr>
      </w:pPr>
      <w:r w:rsidRPr="009D413C">
        <w:rPr>
          <w:rFonts w:asciiTheme="majorHAnsi" w:hAnsiTheme="majorHAnsi" w:cstheme="majorHAnsi"/>
          <w:color w:val="auto"/>
          <w:sz w:val="20"/>
          <w:szCs w:val="20"/>
          <w:lang w:val="es-AR"/>
        </w:rPr>
        <w:t>El</w:t>
      </w:r>
      <w:r w:rsidR="00AE2AE0" w:rsidRPr="009D413C">
        <w:rPr>
          <w:rFonts w:asciiTheme="majorHAnsi" w:hAnsiTheme="majorHAnsi" w:cstheme="majorHAnsi"/>
          <w:color w:val="auto"/>
          <w:sz w:val="20"/>
          <w:szCs w:val="20"/>
          <w:lang w:val="es-AR"/>
        </w:rPr>
        <w:t xml:space="preserve"> </w:t>
      </w:r>
      <w:r w:rsidRPr="009D413C">
        <w:rPr>
          <w:rFonts w:asciiTheme="majorHAnsi" w:hAnsiTheme="majorHAnsi"/>
          <w:color w:val="auto"/>
          <w:sz w:val="20"/>
          <w:szCs w:val="20"/>
          <w:lang w:val="es-AR"/>
        </w:rPr>
        <w:t>principio de presunción de inocencia constituye un fundamento de las garantías judiciales</w:t>
      </w:r>
      <w:r w:rsidR="00B761F6" w:rsidRPr="009D413C">
        <w:rPr>
          <w:rFonts w:asciiTheme="majorHAnsi" w:hAnsiTheme="majorHAnsi"/>
          <w:color w:val="auto"/>
          <w:sz w:val="20"/>
          <w:szCs w:val="20"/>
          <w:lang w:val="es-AR"/>
        </w:rPr>
        <w:t xml:space="preserve">. </w:t>
      </w:r>
      <w:r w:rsidRPr="009D413C">
        <w:rPr>
          <w:rFonts w:asciiTheme="majorHAnsi" w:hAnsiTheme="majorHAnsi"/>
          <w:color w:val="auto"/>
          <w:sz w:val="20"/>
          <w:szCs w:val="20"/>
          <w:lang w:val="es-AR"/>
        </w:rPr>
        <w:t>De lo dispuesto en el artículo 8.2 de la Convención</w:t>
      </w:r>
      <w:r w:rsidR="00B878FC" w:rsidRPr="009D413C">
        <w:rPr>
          <w:rFonts w:asciiTheme="majorHAnsi" w:hAnsiTheme="majorHAnsi"/>
          <w:color w:val="auto"/>
          <w:sz w:val="20"/>
          <w:szCs w:val="20"/>
          <w:lang w:val="es-AR"/>
        </w:rPr>
        <w:t>,</w:t>
      </w:r>
      <w:r w:rsidRPr="009D413C">
        <w:rPr>
          <w:rFonts w:asciiTheme="majorHAnsi" w:hAnsiTheme="majorHAnsi"/>
          <w:color w:val="auto"/>
          <w:sz w:val="20"/>
          <w:szCs w:val="20"/>
          <w:lang w:val="es-AR"/>
        </w:rPr>
        <w:t xml:space="preserve"> deriva la obligación estatal de no restringir la libertad del detenido más allá de los límites estrictamente necesarios para asegurar que aquél no impedirá el desarrollo eficiente de las investigaciones ni eludirá la acción de la justicia</w:t>
      </w:r>
      <w:r w:rsidRPr="009D413C">
        <w:rPr>
          <w:rStyle w:val="FootnoteReference"/>
          <w:rFonts w:asciiTheme="majorHAnsi" w:hAnsiTheme="majorHAnsi"/>
          <w:color w:val="auto"/>
          <w:sz w:val="20"/>
          <w:szCs w:val="20"/>
          <w:lang w:val="es-AR"/>
        </w:rPr>
        <w:footnoteReference w:id="7"/>
      </w:r>
      <w:r w:rsidRPr="009D413C">
        <w:rPr>
          <w:rFonts w:asciiTheme="majorHAnsi" w:hAnsiTheme="majorHAnsi"/>
          <w:color w:val="auto"/>
          <w:sz w:val="20"/>
          <w:szCs w:val="20"/>
          <w:lang w:val="es-AR"/>
        </w:rPr>
        <w:t xml:space="preserve">. </w:t>
      </w:r>
      <w:bookmarkStart w:id="3" w:name="_Hlk146761404"/>
      <w:r w:rsidRPr="009D413C">
        <w:rPr>
          <w:rFonts w:asciiTheme="majorHAnsi" w:hAnsiTheme="majorHAnsi"/>
          <w:color w:val="auto"/>
          <w:sz w:val="20"/>
          <w:szCs w:val="20"/>
          <w:lang w:val="es-AR"/>
        </w:rPr>
        <w:t>Además, las investigaciones habrían sido ineficaces</w:t>
      </w:r>
      <w:r w:rsidR="005B14AE" w:rsidRPr="009D413C">
        <w:rPr>
          <w:rFonts w:asciiTheme="majorHAnsi" w:hAnsiTheme="majorHAnsi"/>
          <w:color w:val="auto"/>
          <w:sz w:val="20"/>
          <w:szCs w:val="20"/>
          <w:lang w:val="es-AR"/>
        </w:rPr>
        <w:t>,</w:t>
      </w:r>
      <w:r w:rsidRPr="009D413C">
        <w:rPr>
          <w:rFonts w:asciiTheme="majorHAnsi" w:hAnsiTheme="majorHAnsi"/>
          <w:color w:val="auto"/>
          <w:sz w:val="20"/>
          <w:szCs w:val="20"/>
          <w:lang w:val="es-AR"/>
        </w:rPr>
        <w:t xml:space="preserve"> dado que el proceso se habría extendido indebidamente, rebasando los límites de la prisión preventiva, y finalizando con la declaración de la inocencia del señor Morales</w:t>
      </w:r>
      <w:bookmarkEnd w:id="3"/>
      <w:r w:rsidRPr="009D413C">
        <w:rPr>
          <w:rFonts w:asciiTheme="majorHAnsi" w:hAnsiTheme="majorHAnsi"/>
          <w:color w:val="auto"/>
          <w:sz w:val="20"/>
          <w:szCs w:val="20"/>
          <w:lang w:val="es-AR"/>
        </w:rPr>
        <w:t>. En atención a la necesidad de garantizar los derechos de las personas perjudicadas, una demora prolongada puede llegar a constituir, por sí misma, una violación de las garantías judiciales</w:t>
      </w:r>
      <w:r w:rsidRPr="009D413C">
        <w:rPr>
          <w:rStyle w:val="FootnoteReference"/>
          <w:rFonts w:asciiTheme="majorHAnsi" w:hAnsiTheme="majorHAnsi"/>
          <w:color w:val="auto"/>
          <w:sz w:val="20"/>
          <w:szCs w:val="20"/>
          <w:lang w:val="es-AR"/>
        </w:rPr>
        <w:footnoteReference w:id="8"/>
      </w:r>
      <w:r w:rsidRPr="009D413C">
        <w:rPr>
          <w:rFonts w:asciiTheme="majorHAnsi" w:hAnsiTheme="majorHAnsi"/>
          <w:color w:val="auto"/>
          <w:sz w:val="20"/>
          <w:szCs w:val="20"/>
          <w:lang w:val="es-AR"/>
        </w:rPr>
        <w:t>. Todos estos</w:t>
      </w:r>
      <w:r w:rsidR="00B878FC" w:rsidRPr="009D413C">
        <w:rPr>
          <w:rFonts w:asciiTheme="majorHAnsi" w:hAnsiTheme="majorHAnsi"/>
          <w:color w:val="auto"/>
          <w:sz w:val="20"/>
          <w:szCs w:val="20"/>
          <w:lang w:val="es-AR"/>
        </w:rPr>
        <w:t xml:space="preserve"> </w:t>
      </w:r>
      <w:r w:rsidRPr="009D413C">
        <w:rPr>
          <w:rFonts w:asciiTheme="majorHAnsi" w:hAnsiTheme="majorHAnsi"/>
          <w:color w:val="auto"/>
          <w:sz w:val="20"/>
          <w:szCs w:val="20"/>
          <w:lang w:val="es-AR"/>
        </w:rPr>
        <w:t>aspectos que</w:t>
      </w:r>
      <w:r w:rsidR="00B878FC" w:rsidRPr="009D413C">
        <w:rPr>
          <w:rFonts w:asciiTheme="majorHAnsi" w:hAnsiTheme="majorHAnsi"/>
          <w:color w:val="auto"/>
          <w:sz w:val="20"/>
          <w:szCs w:val="20"/>
          <w:lang w:val="es-AR"/>
        </w:rPr>
        <w:t>,</w:t>
      </w:r>
      <w:r w:rsidRPr="009D413C">
        <w:rPr>
          <w:rFonts w:asciiTheme="majorHAnsi" w:hAnsiTheme="majorHAnsi"/>
          <w:color w:val="auto"/>
          <w:sz w:val="20"/>
          <w:szCs w:val="20"/>
          <w:lang w:val="es-AR"/>
        </w:rPr>
        <w:t xml:space="preserve"> </w:t>
      </w:r>
      <w:r w:rsidRPr="009D413C">
        <w:rPr>
          <w:rFonts w:asciiTheme="majorHAnsi" w:hAnsiTheme="majorHAnsi"/>
          <w:i/>
          <w:iCs/>
          <w:color w:val="auto"/>
          <w:sz w:val="20"/>
          <w:szCs w:val="20"/>
          <w:lang w:val="es-AR"/>
        </w:rPr>
        <w:t>prima facie</w:t>
      </w:r>
      <w:r w:rsidR="00B878FC" w:rsidRPr="009D413C">
        <w:rPr>
          <w:rFonts w:asciiTheme="majorHAnsi" w:hAnsiTheme="majorHAnsi"/>
          <w:color w:val="auto"/>
          <w:sz w:val="20"/>
          <w:szCs w:val="20"/>
          <w:lang w:val="es-AR"/>
        </w:rPr>
        <w:t xml:space="preserve">, </w:t>
      </w:r>
      <w:r w:rsidRPr="009D413C">
        <w:rPr>
          <w:rFonts w:asciiTheme="majorHAnsi" w:hAnsiTheme="majorHAnsi"/>
          <w:color w:val="auto"/>
          <w:sz w:val="20"/>
          <w:szCs w:val="20"/>
          <w:lang w:val="es-AR"/>
        </w:rPr>
        <w:t>se presentan como potenciales violaciones a los derechos convencionales de la presunta víctima</w:t>
      </w:r>
      <w:r w:rsidR="00B878FC" w:rsidRPr="009D413C">
        <w:rPr>
          <w:rFonts w:asciiTheme="majorHAnsi" w:hAnsiTheme="majorHAnsi"/>
          <w:color w:val="auto"/>
          <w:sz w:val="20"/>
          <w:szCs w:val="20"/>
          <w:lang w:val="es-AR"/>
        </w:rPr>
        <w:t>, a</w:t>
      </w:r>
      <w:r w:rsidRPr="009D413C">
        <w:rPr>
          <w:rFonts w:asciiTheme="majorHAnsi" w:hAnsiTheme="majorHAnsi"/>
          <w:color w:val="auto"/>
          <w:sz w:val="20"/>
          <w:szCs w:val="20"/>
          <w:lang w:val="es-AR"/>
        </w:rPr>
        <w:t>meritan de un estudio de fondo por parte la CIDH</w:t>
      </w:r>
      <w:r w:rsidR="007D7EEA" w:rsidRPr="009D413C">
        <w:rPr>
          <w:rFonts w:asciiTheme="majorHAnsi" w:hAnsiTheme="majorHAnsi"/>
          <w:color w:val="auto"/>
          <w:sz w:val="20"/>
          <w:szCs w:val="20"/>
          <w:lang w:val="es-AR"/>
        </w:rPr>
        <w:t>.</w:t>
      </w:r>
    </w:p>
    <w:p w14:paraId="14FD27A1" w14:textId="5BB9B445" w:rsidR="0069231F" w:rsidRPr="009D413C" w:rsidRDefault="0069231F" w:rsidP="003C08E3">
      <w:pPr>
        <w:pStyle w:val="ListParagraph"/>
        <w:numPr>
          <w:ilvl w:val="0"/>
          <w:numId w:val="103"/>
        </w:numPr>
        <w:spacing w:after="240"/>
        <w:jc w:val="both"/>
        <w:rPr>
          <w:rFonts w:asciiTheme="majorHAnsi" w:hAnsiTheme="majorHAnsi" w:cstheme="majorHAnsi"/>
          <w:color w:val="auto"/>
          <w:sz w:val="20"/>
          <w:szCs w:val="20"/>
          <w:lang w:val="es-AR"/>
        </w:rPr>
      </w:pPr>
      <w:r w:rsidRPr="009D413C">
        <w:rPr>
          <w:color w:val="auto"/>
          <w:sz w:val="20"/>
          <w:szCs w:val="20"/>
          <w:lang w:val="es-ES_tradnl"/>
        </w:rPr>
        <w:t>Este sentido, la Comisión subraya el carácter complementario del sistema interamericano y resalta que, según lo ha indicado la Corte Interamericana, para que proceda una excepción de “cuarta instancia” sería necesario que se “</w:t>
      </w:r>
      <w:r w:rsidRPr="009D413C">
        <w:rPr>
          <w:i/>
          <w:iCs/>
          <w:color w:val="auto"/>
          <w:sz w:val="20"/>
          <w:szCs w:val="20"/>
          <w:lang w:val="es-ES_tradnl"/>
        </w:rPr>
        <w:t>busque que se revise el fallo de un tribunal interno en virtud de su incorrecta apreciación de la prueba, los hechos o el derecho interno, sin que, a la vez, se alegue que tal fallo incurrió en una violación de tratados internacionales [ …]</w:t>
      </w:r>
      <w:r w:rsidRPr="009D413C">
        <w:rPr>
          <w:color w:val="auto"/>
          <w:sz w:val="20"/>
          <w:szCs w:val="20"/>
          <w:lang w:val="es-ES_tradnl"/>
        </w:rPr>
        <w:t>”</w:t>
      </w:r>
      <w:r w:rsidRPr="009D413C">
        <w:rPr>
          <w:rStyle w:val="FootnoteReference"/>
          <w:color w:val="auto"/>
          <w:sz w:val="20"/>
          <w:szCs w:val="20"/>
          <w:lang w:val="es-ES_tradnl"/>
        </w:rPr>
        <w:footnoteReference w:id="9"/>
      </w:r>
      <w:r w:rsidRPr="009D413C">
        <w:rPr>
          <w:color w:val="auto"/>
          <w:sz w:val="20"/>
          <w:szCs w:val="20"/>
          <w:lang w:val="es-ES_tradnl"/>
        </w:rPr>
        <w:t xml:space="preserve">.  En el presente caso, la Comisión considera que, tal como lo ha indicado la Corte </w:t>
      </w:r>
      <w:r w:rsidRPr="009D413C">
        <w:rPr>
          <w:color w:val="auto"/>
          <w:sz w:val="20"/>
          <w:szCs w:val="20"/>
          <w:lang w:val="es-ES_tradnl"/>
        </w:rPr>
        <w:lastRenderedPageBreak/>
        <w:t>Interamericana, “</w:t>
      </w:r>
      <w:r w:rsidRPr="009D413C">
        <w:rPr>
          <w:i/>
          <w:iCs/>
          <w:color w:val="auto"/>
          <w:sz w:val="20"/>
          <w:szCs w:val="20"/>
          <w:lang w:val="es-ES_tradnl"/>
        </w:rPr>
        <w:t>le compete verificar si en los pasos efectivamente dados a nivel interno se violaron o no obligaciones internacionales del Estado derivadas de los instrumentos interamericanos que le otorgan competencia</w:t>
      </w:r>
      <w:r w:rsidRPr="009D413C">
        <w:rPr>
          <w:color w:val="auto"/>
          <w:sz w:val="20"/>
          <w:szCs w:val="20"/>
          <w:lang w:val="es-ES_tradnl"/>
        </w:rPr>
        <w:t>”</w:t>
      </w:r>
      <w:r w:rsidRPr="009D413C">
        <w:rPr>
          <w:color w:val="auto"/>
          <w:sz w:val="20"/>
          <w:szCs w:val="20"/>
          <w:vertAlign w:val="superscript"/>
        </w:rPr>
        <w:footnoteReference w:id="10"/>
      </w:r>
      <w:r w:rsidRPr="009D413C">
        <w:rPr>
          <w:color w:val="auto"/>
          <w:sz w:val="20"/>
          <w:szCs w:val="20"/>
          <w:lang w:val="es-ES_tradnl"/>
        </w:rPr>
        <w:t>.</w:t>
      </w:r>
      <w:r w:rsidR="00C73B6F" w:rsidRPr="009D413C">
        <w:rPr>
          <w:color w:val="auto"/>
          <w:sz w:val="20"/>
          <w:szCs w:val="20"/>
          <w:lang w:val="es-ES_tradnl"/>
        </w:rPr>
        <w:t xml:space="preserve"> </w:t>
      </w:r>
      <w:r w:rsidRPr="009D413C">
        <w:rPr>
          <w:color w:val="auto"/>
          <w:sz w:val="20"/>
          <w:szCs w:val="20"/>
          <w:lang w:val="es-ES_tradnl"/>
        </w:rPr>
        <w:t>Asimismo, le corresponde examinar “</w:t>
      </w:r>
      <w:r w:rsidRPr="009D413C">
        <w:rPr>
          <w:i/>
          <w:iCs/>
          <w:color w:val="auto"/>
          <w:sz w:val="20"/>
          <w:szCs w:val="20"/>
          <w:lang w:val="es-ES_tradnl"/>
        </w:rPr>
        <w:t>si las actuaciones de órganos judiciales constituyen o no una violación de las obligaciones internacionales del Estado, lo cual puede conducir a que deba ocuparse de examinar los respectivos procesos internos para establecer su compatibilidad con la Convención Americana</w:t>
      </w:r>
      <w:r w:rsidRPr="009D413C">
        <w:rPr>
          <w:color w:val="auto"/>
          <w:sz w:val="20"/>
          <w:szCs w:val="20"/>
          <w:lang w:val="es-ES_tradnl"/>
        </w:rPr>
        <w:t>”</w:t>
      </w:r>
      <w:r w:rsidRPr="009D413C">
        <w:rPr>
          <w:color w:val="auto"/>
          <w:sz w:val="20"/>
          <w:szCs w:val="20"/>
          <w:vertAlign w:val="superscript"/>
        </w:rPr>
        <w:footnoteReference w:id="11"/>
      </w:r>
      <w:r w:rsidRPr="009D413C">
        <w:rPr>
          <w:color w:val="auto"/>
          <w:sz w:val="20"/>
          <w:szCs w:val="20"/>
          <w:lang w:val="es-ES_tradnl"/>
        </w:rPr>
        <w:t>. En este sentido, el análisis sobre si el Estado incurrió en violaciones a la Convención Americana es una cuestión que corresponde ser decidida en el fondo del presente asunto.</w:t>
      </w:r>
    </w:p>
    <w:p w14:paraId="1C73D510" w14:textId="4BE3980D" w:rsidR="00BC6DA4" w:rsidRPr="003E1644" w:rsidRDefault="00A91D74" w:rsidP="003C08E3">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auto"/>
          <w:sz w:val="20"/>
          <w:szCs w:val="20"/>
          <w:lang w:val="es-ES"/>
        </w:rPr>
      </w:pPr>
      <w:r w:rsidRPr="009D413C">
        <w:rPr>
          <w:rFonts w:asciiTheme="majorHAnsi" w:hAnsiTheme="majorHAnsi"/>
          <w:color w:val="auto"/>
          <w:sz w:val="20"/>
          <w:szCs w:val="20"/>
          <w:lang w:val="es-AR"/>
        </w:rPr>
        <w:t xml:space="preserve">Igualmente, los hechos del presente caso se </w:t>
      </w:r>
      <w:r w:rsidR="00912884" w:rsidRPr="009D413C">
        <w:rPr>
          <w:rFonts w:asciiTheme="majorHAnsi" w:hAnsiTheme="majorHAnsi"/>
          <w:color w:val="auto"/>
          <w:sz w:val="20"/>
          <w:szCs w:val="20"/>
          <w:lang w:val="es-AR"/>
        </w:rPr>
        <w:t>producen</w:t>
      </w:r>
      <w:r w:rsidRPr="009D413C">
        <w:rPr>
          <w:rFonts w:asciiTheme="majorHAnsi" w:hAnsiTheme="majorHAnsi"/>
          <w:color w:val="auto"/>
          <w:sz w:val="20"/>
          <w:szCs w:val="20"/>
          <w:lang w:val="es-AR"/>
        </w:rPr>
        <w:t xml:space="preserve"> en un contexto que ya </w:t>
      </w:r>
      <w:r w:rsidR="00912884" w:rsidRPr="009D413C">
        <w:rPr>
          <w:rFonts w:asciiTheme="majorHAnsi" w:hAnsiTheme="majorHAnsi"/>
          <w:color w:val="auto"/>
          <w:sz w:val="20"/>
          <w:szCs w:val="20"/>
          <w:lang w:val="es-AR"/>
        </w:rPr>
        <w:t>ha sido objeto</w:t>
      </w:r>
      <w:r w:rsidRPr="009D413C">
        <w:rPr>
          <w:rFonts w:asciiTheme="majorHAnsi" w:hAnsiTheme="majorHAnsi"/>
          <w:color w:val="auto"/>
          <w:sz w:val="20"/>
          <w:szCs w:val="20"/>
          <w:lang w:val="es-AR"/>
        </w:rPr>
        <w:t xml:space="preserve"> de</w:t>
      </w:r>
      <w:r w:rsidR="002C148C" w:rsidRPr="009D413C">
        <w:rPr>
          <w:rFonts w:asciiTheme="majorHAnsi" w:hAnsiTheme="majorHAnsi"/>
          <w:color w:val="auto"/>
          <w:sz w:val="20"/>
          <w:szCs w:val="20"/>
          <w:lang w:val="es-AR"/>
        </w:rPr>
        <w:t xml:space="preserve"> monitoreo</w:t>
      </w:r>
      <w:r w:rsidR="00912884" w:rsidRPr="009D413C">
        <w:rPr>
          <w:rFonts w:asciiTheme="majorHAnsi" w:hAnsiTheme="majorHAnsi"/>
          <w:color w:val="auto"/>
          <w:sz w:val="20"/>
          <w:szCs w:val="20"/>
          <w:lang w:val="es-AR"/>
        </w:rPr>
        <w:t xml:space="preserve"> por parte de la CIDH</w:t>
      </w:r>
      <w:r w:rsidRPr="009D413C">
        <w:rPr>
          <w:rFonts w:asciiTheme="majorHAnsi" w:hAnsiTheme="majorHAnsi"/>
          <w:color w:val="auto"/>
          <w:sz w:val="20"/>
          <w:szCs w:val="20"/>
          <w:lang w:val="es-AR"/>
        </w:rPr>
        <w:t>. En el caso del conflicto se ha dicho</w:t>
      </w:r>
      <w:r w:rsidR="002C148C" w:rsidRPr="009D413C">
        <w:rPr>
          <w:rFonts w:asciiTheme="majorHAnsi" w:hAnsiTheme="majorHAnsi"/>
          <w:color w:val="auto"/>
          <w:sz w:val="20"/>
          <w:szCs w:val="20"/>
          <w:lang w:val="es-AR"/>
        </w:rPr>
        <w:t xml:space="preserve"> </w:t>
      </w:r>
      <w:r w:rsidR="002C148C" w:rsidRPr="009D413C">
        <w:rPr>
          <w:rFonts w:asciiTheme="majorHAnsi" w:hAnsiTheme="majorHAnsi" w:cs="Tahoma"/>
          <w:color w:val="auto"/>
          <w:sz w:val="20"/>
          <w:szCs w:val="20"/>
          <w:lang w:val="es-AR"/>
        </w:rPr>
        <w:t xml:space="preserve">que, en la región del Bajo Aguán, </w:t>
      </w:r>
      <w:r w:rsidR="00BA7D6A" w:rsidRPr="009D413C">
        <w:rPr>
          <w:rFonts w:asciiTheme="majorHAnsi" w:hAnsiTheme="majorHAnsi" w:cs="Tahoma"/>
          <w:color w:val="auto"/>
          <w:sz w:val="20"/>
          <w:szCs w:val="20"/>
          <w:lang w:val="es-AR"/>
        </w:rPr>
        <w:t xml:space="preserve">a </w:t>
      </w:r>
      <w:r w:rsidR="002C148C" w:rsidRPr="009D413C">
        <w:rPr>
          <w:rFonts w:asciiTheme="majorHAnsi" w:hAnsiTheme="majorHAnsi" w:cs="Tahoma"/>
          <w:color w:val="auto"/>
          <w:sz w:val="20"/>
          <w:szCs w:val="20"/>
          <w:lang w:val="es-AR"/>
        </w:rPr>
        <w:t>la pobreza y la exclusión en que vive la mayoría de las personas</w:t>
      </w:r>
      <w:r w:rsidR="002C148C" w:rsidRPr="003E1644">
        <w:rPr>
          <w:rFonts w:asciiTheme="majorHAnsi" w:hAnsiTheme="majorHAnsi" w:cs="Tahoma"/>
          <w:color w:val="auto"/>
          <w:sz w:val="20"/>
          <w:szCs w:val="20"/>
          <w:lang w:val="es-AR"/>
        </w:rPr>
        <w:t>, se suma una ausencia absoluta de esperanza, debido a la falta de oportunidades y la falta de acceso a la justicia para resolver los conflictos relacionados con la disputa por la tierra</w:t>
      </w:r>
      <w:r w:rsidR="002C148C" w:rsidRPr="003E1644">
        <w:rPr>
          <w:rFonts w:asciiTheme="majorHAnsi" w:hAnsiTheme="majorHAnsi" w:cs="Tahoma"/>
          <w:color w:val="auto"/>
          <w:sz w:val="20"/>
          <w:szCs w:val="20"/>
          <w:shd w:val="clear" w:color="auto" w:fill="FFFFFF"/>
          <w:lang w:val="es-AR"/>
        </w:rPr>
        <w:t>.</w:t>
      </w:r>
      <w:r w:rsidR="0000275A" w:rsidRPr="003E1644">
        <w:rPr>
          <w:rFonts w:asciiTheme="majorHAnsi" w:hAnsiTheme="majorHAnsi" w:cs="Tahoma"/>
          <w:color w:val="auto"/>
          <w:sz w:val="20"/>
          <w:szCs w:val="20"/>
          <w:shd w:val="clear" w:color="auto" w:fill="FFFFFF"/>
          <w:lang w:val="es-AR"/>
        </w:rPr>
        <w:t xml:space="preserve"> </w:t>
      </w:r>
      <w:r w:rsidR="00A9300B" w:rsidRPr="003E1644">
        <w:rPr>
          <w:rFonts w:asciiTheme="majorHAnsi" w:hAnsiTheme="majorHAnsi"/>
          <w:sz w:val="20"/>
          <w:szCs w:val="20"/>
          <w:lang w:val="es-AR"/>
        </w:rPr>
        <w:t xml:space="preserve">En relación a los desalojos, mediante comunicado de </w:t>
      </w:r>
      <w:r w:rsidR="00A9300B" w:rsidRPr="003E1644">
        <w:rPr>
          <w:rFonts w:asciiTheme="majorHAnsi" w:hAnsiTheme="majorHAnsi"/>
          <w:color w:val="000000" w:themeColor="text1"/>
          <w:sz w:val="20"/>
          <w:szCs w:val="20"/>
          <w:lang w:val="es-AR"/>
        </w:rPr>
        <w:t>prensa</w:t>
      </w:r>
      <w:r w:rsidR="00A9300B" w:rsidRPr="003E1644">
        <w:rPr>
          <w:rFonts w:asciiTheme="majorHAnsi" w:hAnsiTheme="majorHAnsi"/>
          <w:sz w:val="20"/>
          <w:szCs w:val="20"/>
          <w:lang w:val="es-AR"/>
        </w:rPr>
        <w:t xml:space="preserve"> emitido en agosto de 2014, la CIDH manifestó su preocupación por una serie de desalojos violentos que habrían ocurrido en la zona</w:t>
      </w:r>
      <w:r w:rsidR="00BC6DA4" w:rsidRPr="003E1644">
        <w:rPr>
          <w:rStyle w:val="FootnoteReference"/>
          <w:rFonts w:asciiTheme="majorHAnsi" w:hAnsiTheme="majorHAnsi" w:cs="Tahoma"/>
          <w:color w:val="auto"/>
          <w:sz w:val="20"/>
          <w:szCs w:val="20"/>
          <w:lang w:val="es-AR"/>
        </w:rPr>
        <w:footnoteReference w:id="12"/>
      </w:r>
      <w:r w:rsidR="00BC6DA4" w:rsidRPr="003E1644">
        <w:rPr>
          <w:rFonts w:asciiTheme="majorHAnsi" w:hAnsiTheme="majorHAnsi"/>
          <w:sz w:val="20"/>
          <w:szCs w:val="20"/>
          <w:lang w:val="es-AR"/>
        </w:rPr>
        <w:t xml:space="preserve">. Además, en el informe de la CIDH de 2015 sobre la visita </w:t>
      </w:r>
      <w:r w:rsidR="00BC6DA4" w:rsidRPr="003E1644">
        <w:rPr>
          <w:rFonts w:asciiTheme="majorHAnsi" w:hAnsiTheme="majorHAnsi"/>
          <w:i/>
          <w:iCs/>
          <w:sz w:val="20"/>
          <w:szCs w:val="20"/>
          <w:lang w:val="es-AR"/>
        </w:rPr>
        <w:t>in loco</w:t>
      </w:r>
      <w:r w:rsidR="00BC6DA4" w:rsidRPr="003E1644">
        <w:rPr>
          <w:rFonts w:asciiTheme="majorHAnsi" w:hAnsiTheme="majorHAnsi"/>
          <w:sz w:val="20"/>
          <w:szCs w:val="20"/>
          <w:lang w:val="es-AR"/>
        </w:rPr>
        <w:t xml:space="preserve"> a Honduras la Comisión señala que, en la zona del Bajo Aguán, Tocoa, existe un conflicto de tierras de larga data entre campesinos y empresarios en donde se habrían registrado un alarmante número de muertes, amenazas, hostigamientos e intimidaciones contra campesinos que se han dedicado a defender sus territorios e inclusive desapariciones de personas</w:t>
      </w:r>
      <w:r w:rsidR="00BC6DA4" w:rsidRPr="003E1644">
        <w:rPr>
          <w:rStyle w:val="FootnoteReference"/>
          <w:rFonts w:asciiTheme="majorHAnsi" w:hAnsiTheme="majorHAnsi"/>
          <w:color w:val="auto"/>
          <w:sz w:val="20"/>
          <w:szCs w:val="20"/>
          <w:lang w:val="es-AR"/>
        </w:rPr>
        <w:footnoteReference w:id="13"/>
      </w:r>
      <w:r w:rsidR="00BC6DA4" w:rsidRPr="003E1644">
        <w:rPr>
          <w:rFonts w:asciiTheme="majorHAnsi" w:hAnsiTheme="majorHAnsi"/>
          <w:sz w:val="20"/>
          <w:szCs w:val="20"/>
          <w:lang w:val="es-AR"/>
        </w:rPr>
        <w:t>.</w:t>
      </w:r>
    </w:p>
    <w:p w14:paraId="2A477EAF" w14:textId="39AEC95C" w:rsidR="00F155A7" w:rsidRPr="003E1644" w:rsidRDefault="00F155A7" w:rsidP="003C08E3">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auto"/>
          <w:sz w:val="20"/>
          <w:szCs w:val="20"/>
          <w:lang w:val="es-ES"/>
        </w:rPr>
      </w:pPr>
      <w:r w:rsidRPr="003E1644">
        <w:rPr>
          <w:rFonts w:asciiTheme="majorHAnsi" w:hAnsiTheme="majorHAnsi"/>
          <w:color w:val="auto"/>
          <w:sz w:val="20"/>
          <w:szCs w:val="20"/>
          <w:lang w:val="es-ES"/>
        </w:rPr>
        <w:t xml:space="preserve">Asimismo, la CIDH </w:t>
      </w:r>
      <w:r w:rsidR="008D03BF" w:rsidRPr="003E1644">
        <w:rPr>
          <w:rFonts w:asciiTheme="majorHAnsi" w:hAnsiTheme="majorHAnsi" w:cs="Calibri"/>
          <w:sz w:val="20"/>
          <w:szCs w:val="20"/>
          <w:shd w:val="clear" w:color="auto" w:fill="FFFFFF"/>
          <w:lang w:val="es-AR"/>
        </w:rPr>
        <w:t>en su</w:t>
      </w:r>
      <w:r w:rsidR="00D20E85" w:rsidRPr="003E1644">
        <w:rPr>
          <w:rFonts w:asciiTheme="majorHAnsi" w:hAnsiTheme="majorHAnsi" w:cs="Calibri"/>
          <w:sz w:val="20"/>
          <w:szCs w:val="20"/>
          <w:shd w:val="clear" w:color="auto" w:fill="FFFFFF"/>
          <w:lang w:val="es-AR"/>
        </w:rPr>
        <w:t xml:space="preserve"> informe del año 2019 sobre la situación de derechos humanos en Honduras</w:t>
      </w:r>
      <w:r w:rsidR="00090506" w:rsidRPr="003E1644">
        <w:rPr>
          <w:rFonts w:asciiTheme="majorHAnsi" w:hAnsiTheme="majorHAnsi" w:cs="Calibri"/>
          <w:sz w:val="20"/>
          <w:szCs w:val="20"/>
          <w:shd w:val="clear" w:color="auto" w:fill="FFFFFF"/>
          <w:lang w:val="es-AR"/>
        </w:rPr>
        <w:t xml:space="preserve"> se </w:t>
      </w:r>
      <w:r w:rsidR="00D20E85" w:rsidRPr="003E1644">
        <w:rPr>
          <w:rFonts w:asciiTheme="majorHAnsi" w:hAnsiTheme="majorHAnsi" w:cs="Calibri"/>
          <w:sz w:val="20"/>
          <w:szCs w:val="20"/>
          <w:shd w:val="clear" w:color="auto" w:fill="FFFFFF"/>
          <w:lang w:val="es-AR"/>
        </w:rPr>
        <w:t>refiere específicamente a</w:t>
      </w:r>
      <w:r w:rsidR="008D03BF" w:rsidRPr="003E1644">
        <w:rPr>
          <w:rFonts w:asciiTheme="majorHAnsi" w:hAnsiTheme="majorHAnsi" w:cs="Calibri"/>
          <w:sz w:val="20"/>
          <w:szCs w:val="20"/>
          <w:shd w:val="clear" w:color="auto" w:fill="FFFFFF"/>
          <w:lang w:val="es-AR"/>
        </w:rPr>
        <w:t xml:space="preserve"> la </w:t>
      </w:r>
      <w:r w:rsidR="00D20E85" w:rsidRPr="003E1644">
        <w:rPr>
          <w:rFonts w:asciiTheme="majorHAnsi" w:hAnsiTheme="majorHAnsi" w:cs="Calibri"/>
          <w:sz w:val="20"/>
          <w:szCs w:val="20"/>
          <w:shd w:val="clear" w:color="auto" w:fill="FFFFFF"/>
          <w:lang w:val="es-AR"/>
        </w:rPr>
        <w:t>situación</w:t>
      </w:r>
      <w:r w:rsidR="008D03BF" w:rsidRPr="003E1644">
        <w:rPr>
          <w:rFonts w:asciiTheme="majorHAnsi" w:hAnsiTheme="majorHAnsi" w:cs="Calibri"/>
          <w:sz w:val="20"/>
          <w:szCs w:val="20"/>
          <w:shd w:val="clear" w:color="auto" w:fill="FFFFFF"/>
          <w:lang w:val="es-AR"/>
        </w:rPr>
        <w:t xml:space="preserve"> del Bajo Aguán</w:t>
      </w:r>
      <w:r w:rsidRPr="003E1644">
        <w:rPr>
          <w:rStyle w:val="FootnoteReference"/>
          <w:rFonts w:asciiTheme="majorHAnsi" w:hAnsiTheme="majorHAnsi"/>
          <w:sz w:val="20"/>
          <w:szCs w:val="20"/>
          <w:lang w:val="es-AR"/>
        </w:rPr>
        <w:footnoteReference w:id="14"/>
      </w:r>
      <w:r w:rsidRPr="003E1644">
        <w:rPr>
          <w:rFonts w:asciiTheme="majorHAnsi" w:hAnsiTheme="majorHAnsi"/>
          <w:sz w:val="20"/>
          <w:szCs w:val="20"/>
          <w:lang w:val="es-AR"/>
        </w:rPr>
        <w:t xml:space="preserve">. Tanto en su visita al Bajo Aguán como a </w:t>
      </w:r>
      <w:r w:rsidR="00844994" w:rsidRPr="003E1644">
        <w:rPr>
          <w:rFonts w:asciiTheme="majorHAnsi" w:hAnsiTheme="majorHAnsi"/>
          <w:sz w:val="20"/>
          <w:szCs w:val="20"/>
          <w:lang w:val="es-AR"/>
        </w:rPr>
        <w:t xml:space="preserve">la </w:t>
      </w:r>
      <w:r w:rsidRPr="003E1644">
        <w:rPr>
          <w:rFonts w:asciiTheme="majorHAnsi" w:hAnsiTheme="majorHAnsi"/>
          <w:sz w:val="20"/>
          <w:szCs w:val="20"/>
          <w:lang w:val="es-AR"/>
        </w:rPr>
        <w:t>Atlántida, la Comisión recibió información sobre amenazas, hostigamientos y actos de violencia en contra de líderes campesinos y defensores y defensoras indígenas por su oposición a proyectos turísticos, agrarios, mineros o hidroeléctricos que afectan sus tierras, territorios o recursos naturales</w:t>
      </w:r>
      <w:r w:rsidR="00D20E85" w:rsidRPr="003E1644">
        <w:rPr>
          <w:rStyle w:val="FootnoteReference"/>
          <w:rFonts w:asciiTheme="majorHAnsi" w:hAnsiTheme="majorHAnsi"/>
          <w:sz w:val="20"/>
          <w:szCs w:val="20"/>
          <w:lang w:val="es-AR"/>
        </w:rPr>
        <w:footnoteReference w:id="15"/>
      </w:r>
      <w:r w:rsidR="00D20E85" w:rsidRPr="003E1644">
        <w:rPr>
          <w:rFonts w:asciiTheme="majorHAnsi" w:hAnsiTheme="majorHAnsi"/>
          <w:sz w:val="20"/>
          <w:szCs w:val="20"/>
          <w:lang w:val="es-AR"/>
        </w:rPr>
        <w:t>.</w:t>
      </w:r>
    </w:p>
    <w:p w14:paraId="519F7875" w14:textId="7F54FD67" w:rsidR="003B04FF" w:rsidRPr="003E1644" w:rsidRDefault="00AE6436" w:rsidP="003C08E3">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auto"/>
          <w:sz w:val="20"/>
          <w:szCs w:val="20"/>
          <w:lang w:val="es-ES"/>
        </w:rPr>
      </w:pPr>
      <w:r w:rsidRPr="003E1644">
        <w:rPr>
          <w:rFonts w:asciiTheme="majorHAnsi" w:hAnsiTheme="majorHAnsi"/>
          <w:sz w:val="20"/>
          <w:szCs w:val="20"/>
          <w:lang w:val="es-AR"/>
        </w:rPr>
        <w:t xml:space="preserve">El antecedente más reciente del trabajo de la CIDH relacionado con el conflicto del </w:t>
      </w:r>
      <w:r w:rsidR="00580DDF" w:rsidRPr="003E1644">
        <w:rPr>
          <w:rFonts w:asciiTheme="majorHAnsi" w:hAnsiTheme="majorHAnsi"/>
          <w:sz w:val="20"/>
          <w:szCs w:val="20"/>
          <w:lang w:val="es-AR"/>
        </w:rPr>
        <w:t>B</w:t>
      </w:r>
      <w:r w:rsidRPr="003E1644">
        <w:rPr>
          <w:rFonts w:asciiTheme="majorHAnsi" w:hAnsiTheme="majorHAnsi"/>
          <w:sz w:val="20"/>
          <w:szCs w:val="20"/>
          <w:lang w:val="es-AR"/>
        </w:rPr>
        <w:t xml:space="preserve">ajo </w:t>
      </w:r>
      <w:r w:rsidR="00580DDF" w:rsidRPr="003E1644">
        <w:rPr>
          <w:rFonts w:asciiTheme="majorHAnsi" w:hAnsiTheme="majorHAnsi"/>
          <w:sz w:val="20"/>
          <w:szCs w:val="20"/>
          <w:lang w:val="es-AR"/>
        </w:rPr>
        <w:t>A</w:t>
      </w:r>
      <w:r w:rsidRPr="003E1644">
        <w:rPr>
          <w:rFonts w:asciiTheme="majorHAnsi" w:hAnsiTheme="majorHAnsi"/>
          <w:sz w:val="20"/>
          <w:szCs w:val="20"/>
          <w:lang w:val="es-AR"/>
        </w:rPr>
        <w:t>gu</w:t>
      </w:r>
      <w:r w:rsidR="00580DDF" w:rsidRPr="003E1644">
        <w:rPr>
          <w:rFonts w:asciiTheme="majorHAnsi" w:hAnsiTheme="majorHAnsi"/>
          <w:sz w:val="20"/>
          <w:szCs w:val="20"/>
          <w:lang w:val="es-AR"/>
        </w:rPr>
        <w:t>á</w:t>
      </w:r>
      <w:r w:rsidRPr="003E1644">
        <w:rPr>
          <w:rFonts w:asciiTheme="majorHAnsi" w:hAnsiTheme="majorHAnsi"/>
          <w:sz w:val="20"/>
          <w:szCs w:val="20"/>
          <w:lang w:val="es-AR"/>
        </w:rPr>
        <w:t>n es</w:t>
      </w:r>
      <w:r w:rsidR="003B04FF" w:rsidRPr="003E1644">
        <w:rPr>
          <w:rFonts w:asciiTheme="majorHAnsi" w:hAnsiTheme="majorHAnsi"/>
          <w:sz w:val="20"/>
          <w:szCs w:val="20"/>
          <w:lang w:val="es-AR"/>
        </w:rPr>
        <w:t xml:space="preserve"> </w:t>
      </w:r>
      <w:r w:rsidRPr="003E1644">
        <w:rPr>
          <w:rFonts w:asciiTheme="majorHAnsi" w:hAnsiTheme="majorHAnsi"/>
          <w:sz w:val="20"/>
          <w:szCs w:val="20"/>
          <w:lang w:val="es-AR"/>
        </w:rPr>
        <w:t xml:space="preserve">de </w:t>
      </w:r>
      <w:r w:rsidR="003B04FF" w:rsidRPr="003E1644">
        <w:rPr>
          <w:rFonts w:asciiTheme="majorHAnsi" w:hAnsiTheme="majorHAnsi"/>
          <w:sz w:val="20"/>
          <w:szCs w:val="20"/>
          <w:lang w:val="es-AR"/>
        </w:rPr>
        <w:t xml:space="preserve">abril de 2023, </w:t>
      </w:r>
      <w:r w:rsidRPr="003E1644">
        <w:rPr>
          <w:rFonts w:asciiTheme="majorHAnsi" w:hAnsiTheme="majorHAnsi"/>
          <w:sz w:val="20"/>
          <w:szCs w:val="20"/>
          <w:lang w:val="es-AR"/>
        </w:rPr>
        <w:t>La Comisión ha realizado</w:t>
      </w:r>
      <w:r w:rsidR="003B04FF" w:rsidRPr="003E1644">
        <w:rPr>
          <w:rFonts w:asciiTheme="majorHAnsi" w:hAnsiTheme="majorHAnsi"/>
          <w:sz w:val="20"/>
          <w:szCs w:val="20"/>
          <w:lang w:val="es-AR"/>
        </w:rPr>
        <w:t xml:space="preserve"> </w:t>
      </w:r>
      <w:r w:rsidR="003B04FF" w:rsidRPr="003E1644">
        <w:rPr>
          <w:rFonts w:asciiTheme="majorHAnsi" w:hAnsiTheme="majorHAnsi" w:cs="Calibri"/>
          <w:sz w:val="20"/>
          <w:szCs w:val="20"/>
          <w:shd w:val="clear" w:color="auto" w:fill="FFFFFF"/>
          <w:lang w:val="es-AR"/>
        </w:rPr>
        <w:t>observaciones preliminares de la visita in loco</w:t>
      </w:r>
      <w:r w:rsidRPr="003E1644">
        <w:rPr>
          <w:rFonts w:asciiTheme="majorHAnsi" w:hAnsiTheme="majorHAnsi" w:cs="Calibri"/>
          <w:sz w:val="20"/>
          <w:szCs w:val="20"/>
          <w:shd w:val="clear" w:color="auto" w:fill="FFFFFF"/>
          <w:lang w:val="es-AR"/>
        </w:rPr>
        <w:t>, en la cual se evidenci</w:t>
      </w:r>
      <w:r w:rsidR="00580DDF" w:rsidRPr="003E1644">
        <w:rPr>
          <w:rFonts w:asciiTheme="majorHAnsi" w:hAnsiTheme="majorHAnsi" w:cs="Calibri"/>
          <w:sz w:val="20"/>
          <w:szCs w:val="20"/>
          <w:shd w:val="clear" w:color="auto" w:fill="FFFFFF"/>
          <w:lang w:val="es-AR"/>
        </w:rPr>
        <w:t>ó</w:t>
      </w:r>
      <w:r w:rsidRPr="003E1644">
        <w:rPr>
          <w:rFonts w:asciiTheme="majorHAnsi" w:hAnsiTheme="majorHAnsi" w:cs="Calibri"/>
          <w:sz w:val="20"/>
          <w:szCs w:val="20"/>
          <w:shd w:val="clear" w:color="auto" w:fill="FFFFFF"/>
          <w:lang w:val="es-AR"/>
        </w:rPr>
        <w:t xml:space="preserve"> </w:t>
      </w:r>
      <w:r w:rsidR="0026156D" w:rsidRPr="003E1644">
        <w:rPr>
          <w:rFonts w:asciiTheme="majorHAnsi" w:hAnsiTheme="majorHAnsi" w:cs="Calibri"/>
          <w:sz w:val="20"/>
          <w:szCs w:val="20"/>
          <w:shd w:val="clear" w:color="auto" w:fill="FFFFFF"/>
          <w:lang w:val="es-AR"/>
        </w:rPr>
        <w:t xml:space="preserve">que </w:t>
      </w:r>
      <w:r w:rsidR="003B04FF" w:rsidRPr="003E1644">
        <w:rPr>
          <w:rFonts w:asciiTheme="majorHAnsi" w:hAnsiTheme="majorHAnsi" w:cs="Calibri"/>
          <w:sz w:val="20"/>
          <w:szCs w:val="20"/>
          <w:shd w:val="clear" w:color="auto" w:fill="FFFFFF"/>
          <w:lang w:val="es-AR"/>
        </w:rPr>
        <w:t>la situación</w:t>
      </w:r>
      <w:r w:rsidR="0026156D" w:rsidRPr="003E1644">
        <w:rPr>
          <w:rFonts w:asciiTheme="majorHAnsi" w:hAnsiTheme="majorHAnsi" w:cs="Calibri"/>
          <w:sz w:val="20"/>
          <w:szCs w:val="20"/>
          <w:shd w:val="clear" w:color="auto" w:fill="FFFFFF"/>
          <w:lang w:val="es-AR"/>
        </w:rPr>
        <w:t xml:space="preserve"> es preocupante</w:t>
      </w:r>
      <w:r w:rsidR="003B04FF" w:rsidRPr="003E1644">
        <w:rPr>
          <w:rFonts w:asciiTheme="majorHAnsi" w:hAnsiTheme="majorHAnsi" w:cs="Calibri"/>
          <w:sz w:val="20"/>
          <w:szCs w:val="20"/>
          <w:shd w:val="clear" w:color="auto" w:fill="FFFFFF"/>
          <w:lang w:val="es-AR"/>
        </w:rPr>
        <w:t>.</w:t>
      </w:r>
      <w:r w:rsidRPr="003E1644">
        <w:rPr>
          <w:rFonts w:asciiTheme="majorHAnsi" w:hAnsiTheme="majorHAnsi" w:cs="Calibri"/>
          <w:sz w:val="20"/>
          <w:szCs w:val="20"/>
          <w:shd w:val="clear" w:color="auto" w:fill="FFFFFF"/>
          <w:lang w:val="es-AR"/>
        </w:rPr>
        <w:t xml:space="preserve"> </w:t>
      </w:r>
      <w:r w:rsidRPr="003E1644">
        <w:rPr>
          <w:rFonts w:asciiTheme="majorHAnsi" w:hAnsiTheme="majorHAnsi"/>
          <w:sz w:val="20"/>
          <w:szCs w:val="20"/>
          <w:lang w:val="es-AR"/>
        </w:rPr>
        <w:t>La CIDH recibió información sobre el incremento de la violencia y criminalización en contra de comunidades campesinas que defienden la tierra, el territorio y el medio ambiente en el Bajo Aguán</w:t>
      </w:r>
      <w:r w:rsidRPr="003E1644">
        <w:rPr>
          <w:rStyle w:val="FootnoteReference"/>
          <w:rFonts w:asciiTheme="majorHAnsi" w:hAnsiTheme="majorHAnsi"/>
          <w:sz w:val="20"/>
          <w:szCs w:val="20"/>
          <w:lang w:val="es-AR"/>
        </w:rPr>
        <w:footnoteReference w:id="16"/>
      </w:r>
      <w:r w:rsidRPr="003E1644">
        <w:rPr>
          <w:rFonts w:asciiTheme="majorHAnsi" w:hAnsiTheme="majorHAnsi"/>
          <w:sz w:val="20"/>
          <w:szCs w:val="20"/>
          <w:lang w:val="es-AR"/>
        </w:rPr>
        <w:t>.</w:t>
      </w:r>
    </w:p>
    <w:p w14:paraId="07093C82" w14:textId="638B6A61" w:rsidR="007649C8" w:rsidRPr="003E1644" w:rsidRDefault="00AE2AE0" w:rsidP="003C08E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3E1644">
        <w:rPr>
          <w:rFonts w:asciiTheme="majorHAnsi" w:hAnsiTheme="majorHAnsi"/>
          <w:sz w:val="20"/>
          <w:szCs w:val="20"/>
          <w:lang w:val="es-ES"/>
        </w:rPr>
        <w:t xml:space="preserve">En atención a estas consideraciones y tras examinar los elementos de hecho y de derecho expuestos por las partes la Comisión estima que las alegaciones de </w:t>
      </w:r>
      <w:r w:rsidR="00B31685" w:rsidRPr="003E1644">
        <w:rPr>
          <w:rFonts w:asciiTheme="majorHAnsi" w:hAnsiTheme="majorHAnsi"/>
          <w:sz w:val="20"/>
          <w:szCs w:val="20"/>
          <w:lang w:val="es-ES"/>
        </w:rPr>
        <w:t>los peticionarios</w:t>
      </w:r>
      <w:r w:rsidRPr="003E1644">
        <w:rPr>
          <w:rFonts w:asciiTheme="majorHAnsi" w:hAnsiTheme="majorHAnsi"/>
          <w:sz w:val="20"/>
          <w:szCs w:val="20"/>
          <w:lang w:val="es-ES"/>
        </w:rPr>
        <w:t xml:space="preserve"> no resultan manifiestamente infundadas y requieren un estudio de fondo pues los hechos alegados, de corroborarse como ciertos podrían caracterizar violaciones a los artículos 5 (</w:t>
      </w:r>
      <w:r w:rsidRPr="003E1644">
        <w:rPr>
          <w:rFonts w:asciiTheme="majorHAnsi" w:hAnsiTheme="majorHAnsi"/>
          <w:sz w:val="20"/>
          <w:szCs w:val="20"/>
          <w:lang w:val="es-AR"/>
        </w:rPr>
        <w:t xml:space="preserve">derecho a la integridad personal), 7 (libertad personal), 8 (derecho a las garantías judiciales) y 25 (derecho a la protección judicial), en relación con las obligaciones generales de respetar y garantizar los derechos establecidas en </w:t>
      </w:r>
      <w:r w:rsidR="004A71AD" w:rsidRPr="003E1644">
        <w:rPr>
          <w:rFonts w:asciiTheme="majorHAnsi" w:hAnsiTheme="majorHAnsi"/>
          <w:sz w:val="20"/>
          <w:szCs w:val="20"/>
          <w:lang w:val="es-AR"/>
        </w:rPr>
        <w:t>su</w:t>
      </w:r>
      <w:r w:rsidRPr="003E1644">
        <w:rPr>
          <w:rFonts w:asciiTheme="majorHAnsi" w:hAnsiTheme="majorHAnsi"/>
          <w:sz w:val="20"/>
          <w:szCs w:val="20"/>
          <w:lang w:val="es-AR"/>
        </w:rPr>
        <w:t xml:space="preserve"> artículo 1.1</w:t>
      </w:r>
      <w:r w:rsidR="004A71AD" w:rsidRPr="003E1644">
        <w:rPr>
          <w:rFonts w:asciiTheme="majorHAnsi" w:hAnsiTheme="majorHAnsi"/>
          <w:sz w:val="20"/>
          <w:szCs w:val="20"/>
          <w:lang w:val="es-AR"/>
        </w:rPr>
        <w:t xml:space="preserve">, en perjuicio del Sr. José Isabel Morales y sus familiares debidamente identificados en la etapa de fondo del presente </w:t>
      </w:r>
      <w:r w:rsidR="00811800" w:rsidRPr="003E1644">
        <w:rPr>
          <w:rFonts w:asciiTheme="majorHAnsi" w:hAnsiTheme="majorHAnsi"/>
          <w:sz w:val="20"/>
          <w:szCs w:val="20"/>
          <w:lang w:val="es-AR"/>
        </w:rPr>
        <w:t>procedimiento</w:t>
      </w:r>
      <w:r w:rsidR="004A71AD" w:rsidRPr="003E1644">
        <w:rPr>
          <w:rFonts w:asciiTheme="majorHAnsi" w:hAnsiTheme="majorHAnsi"/>
          <w:sz w:val="20"/>
          <w:szCs w:val="20"/>
          <w:lang w:val="es-AR"/>
        </w:rPr>
        <w:t xml:space="preserve">. </w:t>
      </w:r>
    </w:p>
    <w:p w14:paraId="249A517D" w14:textId="167D80C4" w:rsidR="3D33C8CF" w:rsidRDefault="3D33C8CF" w:rsidP="3D33C8CF">
      <w:pPr>
        <w:pStyle w:val="ListParagraph"/>
        <w:spacing w:after="240"/>
        <w:jc w:val="both"/>
        <w:rPr>
          <w:rFonts w:asciiTheme="majorHAnsi" w:hAnsiTheme="majorHAnsi"/>
          <w:b/>
          <w:bCs/>
          <w:sz w:val="20"/>
          <w:szCs w:val="20"/>
          <w:lang w:val="es-ES"/>
        </w:rPr>
      </w:pPr>
    </w:p>
    <w:p w14:paraId="1092BC1F" w14:textId="77777777" w:rsidR="005F4180" w:rsidRDefault="005F4180" w:rsidP="3D33C8CF">
      <w:pPr>
        <w:pStyle w:val="ListParagraph"/>
        <w:spacing w:after="240"/>
        <w:jc w:val="both"/>
        <w:rPr>
          <w:rFonts w:asciiTheme="majorHAnsi" w:hAnsiTheme="majorHAnsi"/>
          <w:b/>
          <w:bCs/>
          <w:sz w:val="20"/>
          <w:szCs w:val="20"/>
          <w:lang w:val="es-ES"/>
        </w:rPr>
      </w:pPr>
    </w:p>
    <w:p w14:paraId="34C3D538" w14:textId="2ED34358" w:rsidR="00AE2AE0" w:rsidRPr="003E1644" w:rsidRDefault="00AE2AE0" w:rsidP="003C08E3">
      <w:pPr>
        <w:pStyle w:val="ListParagraph"/>
        <w:spacing w:after="240"/>
        <w:jc w:val="both"/>
        <w:rPr>
          <w:rFonts w:asciiTheme="majorHAnsi" w:hAnsiTheme="majorHAnsi"/>
          <w:b/>
          <w:bCs/>
          <w:sz w:val="20"/>
          <w:szCs w:val="20"/>
          <w:lang w:val="es-ES"/>
        </w:rPr>
      </w:pPr>
      <w:r w:rsidRPr="003E1644">
        <w:rPr>
          <w:rFonts w:asciiTheme="majorHAnsi" w:hAnsiTheme="majorHAnsi"/>
          <w:b/>
          <w:bCs/>
          <w:sz w:val="20"/>
          <w:szCs w:val="20"/>
          <w:lang w:val="es-ES"/>
        </w:rPr>
        <w:lastRenderedPageBreak/>
        <w:t xml:space="preserve">VIII. </w:t>
      </w:r>
      <w:r w:rsidRPr="003E1644">
        <w:rPr>
          <w:rFonts w:asciiTheme="majorHAnsi" w:hAnsiTheme="majorHAnsi"/>
          <w:b/>
          <w:bCs/>
          <w:sz w:val="20"/>
          <w:szCs w:val="20"/>
          <w:lang w:val="es-ES"/>
        </w:rPr>
        <w:tab/>
        <w:t>DECISIÓN</w:t>
      </w:r>
    </w:p>
    <w:p w14:paraId="45DFFBD7" w14:textId="77777777" w:rsidR="009935EB" w:rsidRPr="003E1644" w:rsidRDefault="00EA0A2A" w:rsidP="003C08E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3E1644">
        <w:rPr>
          <w:rFonts w:asciiTheme="majorHAnsi" w:hAnsiTheme="majorHAnsi"/>
          <w:sz w:val="20"/>
          <w:szCs w:val="20"/>
          <w:lang w:val="es-ES"/>
        </w:rPr>
        <w:t>1.</w:t>
      </w:r>
      <w:r w:rsidRPr="003E1644">
        <w:rPr>
          <w:rFonts w:asciiTheme="majorHAnsi" w:hAnsiTheme="majorHAnsi"/>
          <w:sz w:val="20"/>
          <w:szCs w:val="20"/>
          <w:lang w:val="es-ES"/>
        </w:rPr>
        <w:tab/>
      </w:r>
      <w:r w:rsidR="00AE2AE0" w:rsidRPr="003E1644">
        <w:rPr>
          <w:rFonts w:asciiTheme="majorHAnsi" w:hAnsiTheme="majorHAnsi"/>
          <w:sz w:val="20"/>
          <w:szCs w:val="20"/>
          <w:lang w:val="es-ES"/>
        </w:rPr>
        <w:t>Declarar admisible la presente petición en relación con los artículos 5</w:t>
      </w:r>
      <w:r w:rsidR="009935EB" w:rsidRPr="003E1644">
        <w:rPr>
          <w:rFonts w:asciiTheme="majorHAnsi" w:hAnsiTheme="majorHAnsi"/>
          <w:sz w:val="20"/>
          <w:szCs w:val="20"/>
          <w:lang w:val="es-ES"/>
        </w:rPr>
        <w:t>, 7, 8 y 25 de la Convención Americana en relación con su artículo 1.1;</w:t>
      </w:r>
      <w:r w:rsidR="00AE2AE0" w:rsidRPr="003E1644">
        <w:rPr>
          <w:rFonts w:asciiTheme="majorHAnsi" w:hAnsiTheme="majorHAnsi"/>
          <w:sz w:val="20"/>
          <w:szCs w:val="20"/>
          <w:lang w:val="es-AR"/>
        </w:rPr>
        <w:t xml:space="preserve"> y</w:t>
      </w:r>
    </w:p>
    <w:p w14:paraId="6A63E4F1" w14:textId="780C30DA" w:rsidR="009D473A" w:rsidRDefault="009935EB" w:rsidP="3D33C8C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3E1644">
        <w:rPr>
          <w:rFonts w:asciiTheme="majorHAnsi" w:hAnsiTheme="majorHAnsi"/>
          <w:sz w:val="20"/>
          <w:szCs w:val="20"/>
          <w:lang w:val="es-ES"/>
        </w:rPr>
        <w:t>2.</w:t>
      </w:r>
      <w:r w:rsidRPr="004F1725">
        <w:rPr>
          <w:lang w:val="es-AR"/>
        </w:rPr>
        <w:tab/>
      </w:r>
      <w:r w:rsidR="00AE2AE0" w:rsidRPr="003E164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r w:rsidR="000A33AC" w:rsidRPr="003E1644">
        <w:rPr>
          <w:rFonts w:asciiTheme="majorHAnsi" w:hAnsiTheme="majorHAnsi"/>
          <w:sz w:val="20"/>
          <w:szCs w:val="20"/>
          <w:lang w:val="es-AR"/>
        </w:rPr>
        <w:t xml:space="preserve"> </w:t>
      </w:r>
    </w:p>
    <w:p w14:paraId="2145444A" w14:textId="4D12AC3F" w:rsidR="005F4180" w:rsidRPr="004F1725" w:rsidRDefault="008E43C1" w:rsidP="004F1725">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C85621">
        <w:rPr>
          <w:rStyle w:val="normaltextrun"/>
          <w:rFonts w:ascii="Cambria" w:hAnsi="Cambria" w:cs="Segoe UI"/>
          <w:sz w:val="20"/>
          <w:szCs w:val="20"/>
          <w:lang w:val="es-CL"/>
        </w:rPr>
        <w:t>26</w:t>
      </w:r>
      <w:r>
        <w:rPr>
          <w:rStyle w:val="normaltextrun"/>
          <w:rFonts w:ascii="Cambria" w:hAnsi="Cambria" w:cs="Segoe UI"/>
          <w:sz w:val="20"/>
          <w:szCs w:val="20"/>
          <w:lang w:val="es-CL"/>
        </w:rPr>
        <w:t xml:space="preserve"> días del mes de </w:t>
      </w:r>
      <w:r w:rsidR="00C85621">
        <w:rPr>
          <w:rStyle w:val="normaltextrun"/>
          <w:rFonts w:ascii="Cambria" w:hAnsi="Cambria" w:cs="Segoe UI"/>
          <w:sz w:val="20"/>
          <w:szCs w:val="20"/>
          <w:lang w:val="es-CL"/>
        </w:rPr>
        <w:t>septiembre</w:t>
      </w:r>
      <w:r>
        <w:rPr>
          <w:rStyle w:val="normaltextrun"/>
          <w:rFonts w:ascii="Cambria" w:hAnsi="Cambria" w:cs="Segoe UI"/>
          <w:sz w:val="20"/>
          <w:szCs w:val="20"/>
          <w:lang w:val="es-CL"/>
        </w:rPr>
        <w:t xml:space="preserve"> de 2023.  (Firmado): Esmeralda Arosemena de Troitiño, Primera Vicepresidenta; Julissa Mantilla Falcón, Stuardo Ralón Orellana</w:t>
      </w:r>
      <w:r w:rsidR="0059589F">
        <w:rPr>
          <w:rStyle w:val="normaltextrun"/>
          <w:rFonts w:ascii="Cambria" w:hAnsi="Cambria" w:cs="Segoe UI"/>
          <w:sz w:val="20"/>
          <w:szCs w:val="20"/>
          <w:lang w:val="es-CL"/>
        </w:rPr>
        <w:t xml:space="preserve"> y</w:t>
      </w:r>
      <w:r>
        <w:rPr>
          <w:rStyle w:val="normaltextrun"/>
          <w:rFonts w:ascii="Cambria" w:hAnsi="Cambria" w:cs="Segoe UI"/>
          <w:sz w:val="20"/>
          <w:szCs w:val="20"/>
          <w:lang w:val="es-CL"/>
        </w:rPr>
        <w:t xml:space="preserve"> Carlos Bernal Pulido, </w:t>
      </w:r>
      <w:r w:rsidR="004F1725">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p w14:paraId="380D9629" w14:textId="4A732368" w:rsidR="009D473A" w:rsidRDefault="009D473A" w:rsidP="3D33C8CF">
      <w:pPr>
        <w:pBdr>
          <w:top w:val="none" w:sz="0" w:space="0" w:color="auto"/>
          <w:left w:val="none" w:sz="0" w:space="0" w:color="auto"/>
          <w:bottom w:val="none" w:sz="0" w:space="0" w:color="auto"/>
          <w:right w:val="none" w:sz="0" w:space="0" w:color="auto"/>
          <w:between w:val="none" w:sz="0" w:space="0" w:color="auto"/>
          <w:bar w:val="none" w:sz="0" w:color="auto"/>
        </w:pBdr>
        <w:spacing w:after="240"/>
        <w:ind w:firstLine="720"/>
        <w:jc w:val="both"/>
        <w:rPr>
          <w:rFonts w:asciiTheme="majorHAnsi" w:hAnsiTheme="majorHAnsi"/>
          <w:sz w:val="20"/>
          <w:szCs w:val="20"/>
          <w:lang w:val="es-AR"/>
        </w:rPr>
      </w:pPr>
    </w:p>
    <w:sectPr w:rsidR="009D473A"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FE8F2" w14:textId="77777777" w:rsidR="00D53743" w:rsidRDefault="00D53743">
      <w:r>
        <w:separator/>
      </w:r>
    </w:p>
  </w:endnote>
  <w:endnote w:type="continuationSeparator" w:id="0">
    <w:p w14:paraId="4EDDEE19" w14:textId="77777777" w:rsidR="00D53743" w:rsidRDefault="00D53743">
      <w:r>
        <w:continuationSeparator/>
      </w:r>
    </w:p>
  </w:endnote>
  <w:endnote w:type="continuationNotice" w:id="1">
    <w:p w14:paraId="3EA61AEE" w14:textId="77777777" w:rsidR="00D53743" w:rsidRDefault="00D537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701AD" w14:textId="77777777" w:rsidR="00D53743" w:rsidRPr="000F35ED" w:rsidRDefault="00D5374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F4E3FA1" w14:textId="77777777" w:rsidR="00D53743" w:rsidRPr="000F35ED" w:rsidRDefault="00D53743" w:rsidP="000F35ED">
      <w:pPr>
        <w:rPr>
          <w:rFonts w:asciiTheme="majorHAnsi" w:hAnsiTheme="majorHAnsi"/>
          <w:sz w:val="16"/>
          <w:szCs w:val="16"/>
        </w:rPr>
      </w:pPr>
      <w:r w:rsidRPr="000F35ED">
        <w:rPr>
          <w:rFonts w:asciiTheme="majorHAnsi" w:hAnsiTheme="majorHAnsi"/>
          <w:sz w:val="16"/>
          <w:szCs w:val="16"/>
        </w:rPr>
        <w:separator/>
      </w:r>
    </w:p>
    <w:p w14:paraId="67EBE185" w14:textId="77777777" w:rsidR="00D53743" w:rsidRPr="000F35ED" w:rsidRDefault="00D53743"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57F81B3" w14:textId="77777777" w:rsidR="00D53743" w:rsidRPr="000F35ED" w:rsidRDefault="00D53743"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C4B8A63" w14:textId="2B35FD95" w:rsidR="00A573C1" w:rsidRPr="009D413C" w:rsidRDefault="00A573C1" w:rsidP="00B761F6">
      <w:pPr>
        <w:pStyle w:val="FootnoteText"/>
        <w:ind w:firstLine="720"/>
        <w:jc w:val="both"/>
        <w:rPr>
          <w:rFonts w:asciiTheme="majorHAnsi" w:hAnsiTheme="majorHAnsi"/>
          <w:color w:val="auto"/>
          <w:sz w:val="16"/>
          <w:szCs w:val="16"/>
          <w:lang w:val="es-BO"/>
        </w:rPr>
      </w:pPr>
      <w:r w:rsidRPr="009D413C">
        <w:rPr>
          <w:rStyle w:val="FootnoteReference"/>
          <w:rFonts w:asciiTheme="majorHAnsi" w:hAnsiTheme="majorHAnsi"/>
          <w:color w:val="auto"/>
          <w:sz w:val="16"/>
          <w:szCs w:val="16"/>
        </w:rPr>
        <w:footnoteRef/>
      </w:r>
      <w:r w:rsidRPr="009D413C">
        <w:rPr>
          <w:rFonts w:asciiTheme="majorHAnsi" w:hAnsiTheme="majorHAnsi"/>
          <w:color w:val="auto"/>
          <w:sz w:val="16"/>
          <w:szCs w:val="16"/>
          <w:lang w:val="es-BO"/>
        </w:rPr>
        <w:t xml:space="preserve"> En adelante “</w:t>
      </w:r>
      <w:r w:rsidR="009D413C">
        <w:rPr>
          <w:rFonts w:asciiTheme="majorHAnsi" w:hAnsiTheme="majorHAnsi"/>
          <w:color w:val="auto"/>
          <w:sz w:val="16"/>
          <w:szCs w:val="16"/>
          <w:lang w:val="es-BO"/>
        </w:rPr>
        <w:t>l</w:t>
      </w:r>
      <w:r w:rsidRPr="009D413C">
        <w:rPr>
          <w:rFonts w:asciiTheme="majorHAnsi" w:hAnsiTheme="majorHAnsi"/>
          <w:color w:val="auto"/>
          <w:sz w:val="16"/>
          <w:szCs w:val="16"/>
          <w:lang w:val="es-BO"/>
        </w:rPr>
        <w:t>a Convención” o “</w:t>
      </w:r>
      <w:r w:rsidR="009D413C">
        <w:rPr>
          <w:rFonts w:asciiTheme="majorHAnsi" w:hAnsiTheme="majorHAnsi"/>
          <w:color w:val="auto"/>
          <w:sz w:val="16"/>
          <w:szCs w:val="16"/>
          <w:lang w:val="es-BO"/>
        </w:rPr>
        <w:t xml:space="preserve">la </w:t>
      </w:r>
      <w:r w:rsidRPr="009D413C">
        <w:rPr>
          <w:rFonts w:asciiTheme="majorHAnsi" w:hAnsiTheme="majorHAnsi"/>
          <w:color w:val="auto"/>
          <w:sz w:val="16"/>
          <w:szCs w:val="16"/>
          <w:lang w:val="es-BO"/>
        </w:rPr>
        <w:t>Convención Americana”.</w:t>
      </w:r>
    </w:p>
  </w:footnote>
  <w:footnote w:id="3">
    <w:p w14:paraId="79F07139" w14:textId="77777777" w:rsidR="008E3BFE" w:rsidRPr="009D413C" w:rsidRDefault="008E3BFE" w:rsidP="00B761F6">
      <w:pPr>
        <w:pStyle w:val="FootnoteText"/>
        <w:ind w:firstLine="720"/>
        <w:jc w:val="both"/>
        <w:rPr>
          <w:rFonts w:asciiTheme="majorHAnsi" w:hAnsiTheme="majorHAnsi"/>
          <w:color w:val="auto"/>
          <w:sz w:val="16"/>
          <w:szCs w:val="16"/>
          <w:lang w:val="es-ES"/>
        </w:rPr>
      </w:pPr>
      <w:r w:rsidRPr="009D413C">
        <w:rPr>
          <w:rStyle w:val="FootnoteReference"/>
          <w:rFonts w:asciiTheme="majorHAnsi" w:hAnsiTheme="majorHAnsi"/>
          <w:color w:val="auto"/>
          <w:sz w:val="16"/>
          <w:szCs w:val="16"/>
        </w:rPr>
        <w:footnoteRef/>
      </w:r>
      <w:r w:rsidRPr="009D413C">
        <w:rPr>
          <w:rFonts w:asciiTheme="majorHAnsi" w:hAnsiTheme="majorHAnsi"/>
          <w:color w:val="auto"/>
          <w:sz w:val="16"/>
          <w:szCs w:val="16"/>
          <w:lang w:val="es-ES"/>
        </w:rPr>
        <w:t xml:space="preserve"> Las observaciones de cada parte fueron debidamente trasladadas a la parte contraria.</w:t>
      </w:r>
    </w:p>
  </w:footnote>
  <w:footnote w:id="4">
    <w:p w14:paraId="79AD8368" w14:textId="4E7F809E" w:rsidR="0069231F" w:rsidRPr="009D413C" w:rsidRDefault="0069231F" w:rsidP="00B761F6">
      <w:pPr>
        <w:pStyle w:val="FootnoteText"/>
        <w:ind w:firstLine="720"/>
        <w:jc w:val="both"/>
        <w:rPr>
          <w:rFonts w:asciiTheme="majorHAnsi" w:hAnsiTheme="majorHAnsi"/>
          <w:color w:val="auto"/>
          <w:sz w:val="16"/>
          <w:szCs w:val="16"/>
          <w:lang w:val="es-ES"/>
        </w:rPr>
      </w:pPr>
      <w:r w:rsidRPr="009D413C">
        <w:rPr>
          <w:rStyle w:val="FootnoteReference"/>
          <w:rFonts w:asciiTheme="majorHAnsi" w:hAnsiTheme="majorHAnsi"/>
          <w:color w:val="auto"/>
          <w:sz w:val="16"/>
          <w:szCs w:val="16"/>
        </w:rPr>
        <w:footnoteRef/>
      </w:r>
      <w:r w:rsidRPr="009D413C">
        <w:rPr>
          <w:rFonts w:asciiTheme="majorHAnsi" w:hAnsiTheme="majorHAnsi"/>
          <w:color w:val="auto"/>
          <w:sz w:val="16"/>
          <w:szCs w:val="16"/>
          <w:lang w:val="es-AR"/>
        </w:rPr>
        <w:t xml:space="preserve"> Informe No. 117/19. Petición 833-11. Admisibilidad. Trabajadores liberados de la Hacienda Boa-Fé Caru. Brasil. 7 de junio de 2019, párrs. 11, 12; Informe No. 4/19. Petición 673-11. Admisibilidad. Fernando Alcântara de Figueiredo y Laci Marinho de Araújo. Brasil. 3 de enero de 2019, párrs. 19 y ss; Informe No. 164/17. Admisibilidad. Santiago Adolfo Villegas Delgado. Venezuela. 30 de noviembre de 2017, párr. 12; Informe No. 57/17. Petición 406-04. Admisibilidad. Washington David Espino Muñoz. República Dominicana. 5 de junio de 2017, párrs. 26, 27; Informe No. 168/17. Admisibilidad. Miguel Ángel Morales Morales. Perú. 1 de diciembre de 2017, párrs. 15-16; Informe No. 122/17. Petición 156-08. Admisibilidad. Williams Mariano Paría Tapia. Perú. 7 de septiembre de 2017, párrs. 12 y ss; Informe No. 167/17. Admisibilidad. Alberto Patishtán Gómez. México. 1º de diciembre de 2017, párrs. 13 y ss; o Informe No. 114/19. Petición 1403-09. Admisibilidad. Carlos Pizarro Leongómez, María José Pizarro Rodríguez y sus familiares. Colombia. 7 de junio de 2019, párrs. 20 y ss.</w:t>
      </w:r>
    </w:p>
  </w:footnote>
  <w:footnote w:id="5">
    <w:p w14:paraId="54DA26DB" w14:textId="798CB899" w:rsidR="002878F6" w:rsidRPr="009D413C" w:rsidRDefault="002878F6" w:rsidP="00B761F6">
      <w:pPr>
        <w:pStyle w:val="FootnoteText"/>
        <w:ind w:firstLine="720"/>
        <w:jc w:val="both"/>
        <w:rPr>
          <w:rFonts w:asciiTheme="majorHAnsi" w:hAnsiTheme="majorHAnsi"/>
          <w:color w:val="auto"/>
          <w:sz w:val="16"/>
          <w:szCs w:val="16"/>
          <w:lang w:val="es-AR"/>
        </w:rPr>
      </w:pPr>
      <w:r w:rsidRPr="009D413C">
        <w:rPr>
          <w:rStyle w:val="FootnoteReference"/>
          <w:rFonts w:asciiTheme="majorHAnsi" w:hAnsiTheme="majorHAnsi"/>
          <w:color w:val="auto"/>
          <w:sz w:val="16"/>
          <w:szCs w:val="16"/>
        </w:rPr>
        <w:footnoteRef/>
      </w:r>
      <w:r w:rsidRPr="009D413C">
        <w:rPr>
          <w:rFonts w:asciiTheme="majorHAnsi" w:hAnsiTheme="majorHAnsi"/>
          <w:color w:val="auto"/>
          <w:sz w:val="16"/>
          <w:szCs w:val="16"/>
          <w:lang w:val="es-AR"/>
        </w:rPr>
        <w:t xml:space="preserve"> </w:t>
      </w:r>
      <w:r w:rsidRPr="009D413C">
        <w:rPr>
          <w:rFonts w:asciiTheme="majorHAnsi" w:hAnsiTheme="majorHAnsi"/>
          <w:color w:val="auto"/>
          <w:sz w:val="16"/>
          <w:szCs w:val="16"/>
          <w:lang w:val="es-ES_tradnl"/>
        </w:rPr>
        <w:t>Informe No. 69/08, Petición 681-00. Admisibilidad. Guillermo Patricio Lynn. Argentina. 16 de octubre de 2008, párr. 48</w:t>
      </w:r>
      <w:r w:rsidR="00A11467" w:rsidRPr="009D413C">
        <w:rPr>
          <w:rFonts w:asciiTheme="majorHAnsi" w:hAnsiTheme="majorHAnsi"/>
          <w:color w:val="auto"/>
          <w:sz w:val="16"/>
          <w:szCs w:val="16"/>
          <w:lang w:val="es-ES_tradnl"/>
        </w:rPr>
        <w:t>;</w:t>
      </w:r>
      <w:r w:rsidRPr="009D413C">
        <w:rPr>
          <w:rFonts w:asciiTheme="majorHAnsi" w:hAnsiTheme="majorHAnsi"/>
          <w:color w:val="auto"/>
          <w:sz w:val="16"/>
          <w:szCs w:val="16"/>
          <w:lang w:val="es-ES_tradnl"/>
        </w:rPr>
        <w:t xml:space="preserve"> I</w:t>
      </w:r>
      <w:r w:rsidR="000B5C70" w:rsidRPr="009D413C">
        <w:rPr>
          <w:rFonts w:asciiTheme="majorHAnsi" w:hAnsiTheme="majorHAnsi"/>
          <w:color w:val="auto"/>
          <w:sz w:val="16"/>
          <w:szCs w:val="16"/>
          <w:lang w:val="es-ES_tradnl"/>
        </w:rPr>
        <w:t>nforme</w:t>
      </w:r>
      <w:r w:rsidRPr="009D413C">
        <w:rPr>
          <w:rFonts w:asciiTheme="majorHAnsi" w:hAnsiTheme="majorHAnsi"/>
          <w:color w:val="auto"/>
          <w:sz w:val="16"/>
          <w:szCs w:val="16"/>
          <w:lang w:val="es-ES_tradnl"/>
        </w:rPr>
        <w:t xml:space="preserve"> No. 271/20</w:t>
      </w:r>
      <w:r w:rsidR="000B5C70" w:rsidRPr="009D413C">
        <w:rPr>
          <w:rFonts w:asciiTheme="majorHAnsi" w:hAnsiTheme="majorHAnsi"/>
          <w:color w:val="auto"/>
          <w:sz w:val="16"/>
          <w:szCs w:val="16"/>
          <w:lang w:val="es-ES_tradnl"/>
        </w:rPr>
        <w:t xml:space="preserve">, </w:t>
      </w:r>
      <w:r w:rsidRPr="009D413C">
        <w:rPr>
          <w:rFonts w:asciiTheme="majorHAnsi" w:hAnsiTheme="majorHAnsi"/>
          <w:color w:val="auto"/>
          <w:sz w:val="16"/>
          <w:szCs w:val="16"/>
          <w:lang w:val="es-ES_tradnl"/>
        </w:rPr>
        <w:t>Petición 1619-13, Admisibilidad</w:t>
      </w:r>
      <w:r w:rsidR="000B5C70" w:rsidRPr="009D413C">
        <w:rPr>
          <w:rFonts w:asciiTheme="majorHAnsi" w:hAnsiTheme="majorHAnsi"/>
          <w:color w:val="auto"/>
          <w:sz w:val="16"/>
          <w:szCs w:val="16"/>
          <w:lang w:val="es-ES_tradnl"/>
        </w:rPr>
        <w:t>, Gustavo Ángel Farías, 12 de octubre de 2020, párr 11.</w:t>
      </w:r>
      <w:r w:rsidR="00A11467" w:rsidRPr="009D413C">
        <w:rPr>
          <w:rFonts w:asciiTheme="majorHAnsi" w:hAnsiTheme="majorHAnsi"/>
          <w:color w:val="auto"/>
          <w:sz w:val="16"/>
          <w:szCs w:val="16"/>
          <w:lang w:val="es-ES_tradnl"/>
        </w:rPr>
        <w:t xml:space="preserve">; </w:t>
      </w:r>
      <w:r w:rsidR="000B5C70" w:rsidRPr="009D413C">
        <w:rPr>
          <w:rFonts w:asciiTheme="majorHAnsi" w:hAnsiTheme="majorHAnsi"/>
          <w:color w:val="auto"/>
          <w:sz w:val="16"/>
          <w:szCs w:val="16"/>
          <w:lang w:val="es-ES_tradnl"/>
        </w:rPr>
        <w:t>Informe No. 384/22, Petición 1573-14, Admisibilidad, P.E.M.M. Perú, 17 de diciembre de 2022, párr. 17.</w:t>
      </w:r>
    </w:p>
  </w:footnote>
  <w:footnote w:id="6">
    <w:p w14:paraId="0C37EB42" w14:textId="0B227161" w:rsidR="00AE2AE0" w:rsidRPr="009D413C" w:rsidRDefault="00AE2AE0" w:rsidP="00B761F6">
      <w:pPr>
        <w:pStyle w:val="FootnoteText"/>
        <w:ind w:firstLine="720"/>
        <w:jc w:val="both"/>
        <w:rPr>
          <w:rFonts w:asciiTheme="majorHAnsi" w:hAnsiTheme="majorHAnsi"/>
          <w:color w:val="auto"/>
          <w:sz w:val="16"/>
          <w:szCs w:val="16"/>
          <w:lang w:val="es-ES"/>
        </w:rPr>
      </w:pPr>
      <w:r w:rsidRPr="009D413C">
        <w:rPr>
          <w:rStyle w:val="FootnoteReference"/>
          <w:rFonts w:asciiTheme="majorHAnsi" w:hAnsiTheme="majorHAnsi"/>
          <w:color w:val="auto"/>
          <w:sz w:val="16"/>
          <w:szCs w:val="16"/>
        </w:rPr>
        <w:footnoteRef/>
      </w:r>
      <w:r w:rsidRPr="009D413C">
        <w:rPr>
          <w:rFonts w:asciiTheme="majorHAnsi" w:hAnsiTheme="majorHAnsi"/>
          <w:color w:val="auto"/>
          <w:sz w:val="16"/>
          <w:szCs w:val="16"/>
          <w:lang w:val="es-AR"/>
        </w:rPr>
        <w:t xml:space="preserve"> Corte Interamericana de Derechos Humanos. Caso Tibi vs. Ecuador. Excepciones Preliminares, Fondo, Reparaciones y Costas. Sentencia de 7 de septiembre de 2004, párr. 147; Íd. Caso de los Hermanos Gómez Paquiyauri vs. Perú. Sentencia de 8 de julio de 2004, párr. 108; Íd. Caso Maritza Urrutia vs. Guatemala. Sentencia de 27 de noviembre de 2003, párr. 87.</w:t>
      </w:r>
    </w:p>
  </w:footnote>
  <w:footnote w:id="7">
    <w:p w14:paraId="409829A0" w14:textId="77777777" w:rsidR="0069231F" w:rsidRPr="009D413C" w:rsidRDefault="0069231F" w:rsidP="00B761F6">
      <w:pPr>
        <w:pStyle w:val="FootnoteText"/>
        <w:ind w:firstLine="720"/>
        <w:jc w:val="both"/>
        <w:rPr>
          <w:rFonts w:asciiTheme="majorHAnsi" w:hAnsiTheme="majorHAnsi"/>
          <w:color w:val="auto"/>
          <w:sz w:val="16"/>
          <w:szCs w:val="16"/>
          <w:lang w:val="es-ES"/>
        </w:rPr>
      </w:pPr>
      <w:r w:rsidRPr="009D413C">
        <w:rPr>
          <w:rStyle w:val="FootnoteReference"/>
          <w:rFonts w:asciiTheme="majorHAnsi" w:hAnsiTheme="majorHAnsi"/>
          <w:color w:val="auto"/>
          <w:sz w:val="16"/>
          <w:szCs w:val="16"/>
        </w:rPr>
        <w:footnoteRef/>
      </w:r>
      <w:r w:rsidRPr="009D413C">
        <w:rPr>
          <w:rFonts w:asciiTheme="majorHAnsi" w:hAnsiTheme="majorHAnsi"/>
          <w:color w:val="auto"/>
          <w:sz w:val="16"/>
          <w:szCs w:val="16"/>
          <w:lang w:val="es-AR"/>
        </w:rPr>
        <w:t xml:space="preserve"> Corte Interamericana de Derechos Humanos. Caso López Álvarez vs. Honduras. Fondo, Reparaciones y Costas. Sentencia de 1 de febrero de 2006, párr. 69.</w:t>
      </w:r>
    </w:p>
  </w:footnote>
  <w:footnote w:id="8">
    <w:p w14:paraId="2881A9AE" w14:textId="77777777" w:rsidR="0069231F" w:rsidRPr="009D413C" w:rsidRDefault="0069231F" w:rsidP="00B761F6">
      <w:pPr>
        <w:pStyle w:val="FootnoteText"/>
        <w:ind w:firstLine="720"/>
        <w:jc w:val="both"/>
        <w:rPr>
          <w:rFonts w:asciiTheme="majorHAnsi" w:hAnsiTheme="majorHAnsi"/>
          <w:color w:val="auto"/>
          <w:sz w:val="16"/>
          <w:szCs w:val="16"/>
          <w:lang w:val="es-ES"/>
        </w:rPr>
      </w:pPr>
      <w:r w:rsidRPr="009D413C">
        <w:rPr>
          <w:rStyle w:val="FootnoteReference"/>
          <w:rFonts w:asciiTheme="majorHAnsi" w:hAnsiTheme="majorHAnsi"/>
          <w:color w:val="auto"/>
          <w:sz w:val="16"/>
          <w:szCs w:val="16"/>
        </w:rPr>
        <w:footnoteRef/>
      </w:r>
      <w:r w:rsidRPr="009D413C">
        <w:rPr>
          <w:rFonts w:asciiTheme="majorHAnsi" w:hAnsiTheme="majorHAnsi"/>
          <w:color w:val="auto"/>
          <w:sz w:val="16"/>
          <w:szCs w:val="16"/>
          <w:lang w:val="es-AR"/>
        </w:rPr>
        <w:t xml:space="preserve"> Corte Interamericana de Derechos Humanos. Caso Ibsen Cárdenas e Ibsen Peña vs. Bolivia. Fondo, Reparaciones y Costas. Sentencia de 1 de septiembre de 2010, párr. </w:t>
      </w:r>
      <w:r w:rsidRPr="009D413C">
        <w:rPr>
          <w:rFonts w:asciiTheme="majorHAnsi" w:hAnsiTheme="majorHAnsi"/>
          <w:color w:val="auto"/>
          <w:sz w:val="16"/>
          <w:szCs w:val="16"/>
          <w:lang w:val="es-ES"/>
        </w:rPr>
        <w:t>152.</w:t>
      </w:r>
    </w:p>
  </w:footnote>
  <w:footnote w:id="9">
    <w:p w14:paraId="7AF08C81" w14:textId="77777777" w:rsidR="0069231F" w:rsidRPr="009D413C" w:rsidRDefault="0069231F" w:rsidP="00B761F6">
      <w:pPr>
        <w:pStyle w:val="FootnoteText"/>
        <w:ind w:firstLine="720"/>
        <w:jc w:val="both"/>
        <w:rPr>
          <w:rFonts w:ascii="Cambria" w:hAnsi="Cambria"/>
          <w:color w:val="auto"/>
          <w:sz w:val="16"/>
          <w:szCs w:val="16"/>
          <w:lang w:val="es-ES_tradnl"/>
        </w:rPr>
      </w:pPr>
      <w:r w:rsidRPr="009D413C">
        <w:rPr>
          <w:rStyle w:val="FootnoteReference"/>
          <w:rFonts w:ascii="Cambria" w:hAnsi="Cambria"/>
          <w:color w:val="auto"/>
          <w:sz w:val="16"/>
          <w:szCs w:val="16"/>
        </w:rPr>
        <w:footnoteRef/>
      </w:r>
      <w:r w:rsidRPr="009D413C">
        <w:rPr>
          <w:rFonts w:ascii="Cambria" w:hAnsi="Cambria"/>
          <w:color w:val="auto"/>
          <w:sz w:val="16"/>
          <w:szCs w:val="16"/>
          <w:lang w:val="es-ES_tradnl"/>
        </w:rPr>
        <w:t xml:space="preserve"> Corte IDH. Caso Cabrera García y Montiel Flores Vs. México. Excepción Preliminar, Fondo, Reparaciones y Costas. Sentencia de 26 de noviembre de 2010. Serie C No. 220, párr. 18.</w:t>
      </w:r>
    </w:p>
  </w:footnote>
  <w:footnote w:id="10">
    <w:p w14:paraId="794B241A" w14:textId="77777777" w:rsidR="0069231F" w:rsidRPr="009D413C" w:rsidRDefault="0069231F" w:rsidP="00B761F6">
      <w:pPr>
        <w:pStyle w:val="FootnoteText"/>
        <w:ind w:firstLine="720"/>
        <w:jc w:val="both"/>
        <w:rPr>
          <w:rFonts w:ascii="Cambria" w:hAnsi="Cambria"/>
          <w:color w:val="auto"/>
          <w:sz w:val="16"/>
          <w:szCs w:val="16"/>
          <w:lang w:val="es-ES_tradnl"/>
        </w:rPr>
      </w:pPr>
      <w:r w:rsidRPr="009D413C">
        <w:rPr>
          <w:rStyle w:val="FootnoteReference"/>
          <w:rFonts w:ascii="Cambria" w:hAnsi="Cambria"/>
          <w:color w:val="auto"/>
          <w:sz w:val="16"/>
          <w:szCs w:val="16"/>
        </w:rPr>
        <w:footnoteRef/>
      </w:r>
      <w:r w:rsidRPr="009D413C">
        <w:rPr>
          <w:rFonts w:ascii="Cambria" w:hAnsi="Cambria"/>
          <w:color w:val="auto"/>
          <w:sz w:val="16"/>
          <w:szCs w:val="16"/>
          <w:lang w:val="es-ES_tradnl"/>
        </w:rPr>
        <w:t xml:space="preserve"> Corte IDH. Caso Cabrera García y Montiel Flores Vs. México. Excepción Preliminar, Fondo, Reparaciones y Costas. Sentencia de 26 de noviembre de 2010. Serie C No. 220, párr. 19.</w:t>
      </w:r>
    </w:p>
  </w:footnote>
  <w:footnote w:id="11">
    <w:p w14:paraId="52B4E15F" w14:textId="77777777" w:rsidR="0069231F" w:rsidRPr="009D413C" w:rsidRDefault="0069231F" w:rsidP="00B761F6">
      <w:pPr>
        <w:pStyle w:val="FootnoteText"/>
        <w:ind w:firstLine="720"/>
        <w:jc w:val="both"/>
        <w:rPr>
          <w:rFonts w:ascii="Cambria" w:hAnsi="Cambria"/>
          <w:color w:val="auto"/>
          <w:sz w:val="16"/>
          <w:szCs w:val="16"/>
          <w:lang w:val="es-ES_tradnl"/>
        </w:rPr>
      </w:pPr>
      <w:r w:rsidRPr="009D413C">
        <w:rPr>
          <w:rStyle w:val="FootnoteReference"/>
          <w:rFonts w:ascii="Cambria" w:hAnsi="Cambria"/>
          <w:color w:val="auto"/>
          <w:sz w:val="16"/>
          <w:szCs w:val="16"/>
        </w:rPr>
        <w:footnoteRef/>
      </w:r>
      <w:r w:rsidRPr="009D413C">
        <w:rPr>
          <w:rFonts w:ascii="Cambria" w:hAnsi="Cambria"/>
          <w:color w:val="auto"/>
          <w:sz w:val="16"/>
          <w:szCs w:val="16"/>
          <w:lang w:val="es-ES_tradnl"/>
        </w:rPr>
        <w:t xml:space="preserve"> Corte IDH. Caso Palma Mendoza y otros Vs. Ecuador. Excepción Preliminar y Fondo. Sentencia de 3 de septiembre de 2012. </w:t>
      </w:r>
      <w:r w:rsidRPr="004F1725">
        <w:rPr>
          <w:rFonts w:ascii="Cambria" w:hAnsi="Cambria"/>
          <w:color w:val="auto"/>
          <w:sz w:val="16"/>
          <w:szCs w:val="16"/>
          <w:lang w:val="pt-BR"/>
        </w:rPr>
        <w:t xml:space="preserve">Serie C No. 247, párr. 18; Corte IDH. Caso Rosadio Villavicencio Vs. </w:t>
      </w:r>
      <w:r w:rsidRPr="009D413C">
        <w:rPr>
          <w:rFonts w:ascii="Cambria" w:hAnsi="Cambria"/>
          <w:color w:val="auto"/>
          <w:sz w:val="16"/>
          <w:szCs w:val="16"/>
          <w:lang w:val="es-ES_tradnl"/>
        </w:rPr>
        <w:t xml:space="preserve">Perú. Excepciones Preliminares, Fondo, Reparaciones y Costas. </w:t>
      </w:r>
      <w:r w:rsidRPr="009D413C">
        <w:rPr>
          <w:rFonts w:ascii="Cambria" w:hAnsi="Cambria"/>
          <w:color w:val="auto"/>
          <w:sz w:val="16"/>
          <w:szCs w:val="16"/>
          <w:lang w:val="es-US"/>
        </w:rPr>
        <w:t xml:space="preserve">Sentencia de 14 de octubre de 2019. Serie C No. 388., párr. 24; </w:t>
      </w:r>
      <w:r w:rsidRPr="009D413C">
        <w:rPr>
          <w:rFonts w:ascii="Cambria" w:hAnsi="Cambria"/>
          <w:color w:val="auto"/>
          <w:sz w:val="16"/>
          <w:szCs w:val="16"/>
          <w:lang w:val="es-ES_tradnl"/>
        </w:rPr>
        <w:t xml:space="preserve">Corte IDH. Caso Cabrera García y Montiel Flores Vs. México. Excepción Preliminar, Fondo, Reparaciones y Costas. </w:t>
      </w:r>
      <w:r w:rsidRPr="009D413C">
        <w:rPr>
          <w:rFonts w:ascii="Cambria" w:hAnsi="Cambria"/>
          <w:color w:val="auto"/>
          <w:sz w:val="16"/>
          <w:szCs w:val="16"/>
          <w:lang w:val="es-US"/>
        </w:rPr>
        <w:t>Sentencia de 26 de noviembre de 2010. Serie C No. 220, párr. 19.</w:t>
      </w:r>
    </w:p>
  </w:footnote>
  <w:footnote w:id="12">
    <w:p w14:paraId="45096581" w14:textId="64FEDAB4" w:rsidR="00BC6DA4" w:rsidRPr="009D413C" w:rsidRDefault="00BC6DA4" w:rsidP="00B761F6">
      <w:pPr>
        <w:pStyle w:val="FootnoteText"/>
        <w:ind w:firstLine="720"/>
        <w:jc w:val="both"/>
        <w:rPr>
          <w:rFonts w:asciiTheme="majorHAnsi" w:hAnsiTheme="majorHAnsi" w:cs="Tahoma"/>
          <w:color w:val="auto"/>
          <w:sz w:val="16"/>
          <w:szCs w:val="16"/>
          <w:shd w:val="clear" w:color="auto" w:fill="FFFFFF"/>
          <w:lang w:val="es-AR"/>
        </w:rPr>
      </w:pPr>
      <w:r w:rsidRPr="009D413C">
        <w:rPr>
          <w:rStyle w:val="FootnoteReference"/>
          <w:rFonts w:asciiTheme="majorHAnsi" w:hAnsiTheme="majorHAnsi"/>
          <w:color w:val="auto"/>
          <w:sz w:val="16"/>
          <w:szCs w:val="16"/>
        </w:rPr>
        <w:footnoteRef/>
      </w:r>
      <w:r w:rsidRPr="009D413C">
        <w:rPr>
          <w:rFonts w:asciiTheme="majorHAnsi" w:hAnsiTheme="majorHAnsi"/>
          <w:color w:val="auto"/>
          <w:sz w:val="16"/>
          <w:szCs w:val="16"/>
          <w:lang w:val="es-AR"/>
        </w:rPr>
        <w:t xml:space="preserve"> Comunicado de prensa de la CIDH del 5 de diciembre de 2014. </w:t>
      </w:r>
      <w:r w:rsidRPr="009D413C">
        <w:rPr>
          <w:rFonts w:asciiTheme="majorHAnsi" w:hAnsiTheme="majorHAnsi" w:cs="Tahoma"/>
          <w:color w:val="auto"/>
          <w:sz w:val="16"/>
          <w:szCs w:val="16"/>
          <w:shd w:val="clear" w:color="auto" w:fill="FFFFFF"/>
          <w:lang w:val="es-AR"/>
        </w:rPr>
        <w:t xml:space="preserve">No. 146/14.  </w:t>
      </w:r>
    </w:p>
  </w:footnote>
  <w:footnote w:id="13">
    <w:p w14:paraId="73A97464" w14:textId="326A120F" w:rsidR="00F155A7" w:rsidRPr="009D413C" w:rsidRDefault="00BC6DA4" w:rsidP="00B761F6">
      <w:pPr>
        <w:pStyle w:val="FootnoteText"/>
        <w:ind w:firstLine="720"/>
        <w:jc w:val="both"/>
        <w:rPr>
          <w:rFonts w:asciiTheme="majorHAnsi" w:hAnsiTheme="majorHAnsi"/>
          <w:color w:val="auto"/>
          <w:sz w:val="16"/>
          <w:szCs w:val="16"/>
          <w:lang w:val="es-ES"/>
        </w:rPr>
      </w:pPr>
      <w:r w:rsidRPr="009D413C">
        <w:rPr>
          <w:rStyle w:val="FootnoteReference"/>
          <w:rFonts w:asciiTheme="majorHAnsi" w:hAnsiTheme="majorHAnsi"/>
          <w:color w:val="auto"/>
          <w:sz w:val="16"/>
          <w:szCs w:val="16"/>
        </w:rPr>
        <w:footnoteRef/>
      </w:r>
      <w:r w:rsidRPr="009D413C">
        <w:rPr>
          <w:rFonts w:asciiTheme="majorHAnsi" w:hAnsiTheme="majorHAnsi"/>
          <w:color w:val="auto"/>
          <w:sz w:val="16"/>
          <w:szCs w:val="16"/>
          <w:lang w:val="es-AR"/>
        </w:rPr>
        <w:t xml:space="preserve"> </w:t>
      </w:r>
      <w:r w:rsidR="00C22EDD" w:rsidRPr="009D413C">
        <w:rPr>
          <w:rFonts w:asciiTheme="majorHAnsi" w:hAnsiTheme="majorHAnsi"/>
          <w:color w:val="auto"/>
          <w:sz w:val="16"/>
          <w:szCs w:val="16"/>
          <w:lang w:val="es-ES"/>
        </w:rPr>
        <w:t>Informe de la CIDH del 2015 sobre la situación de derechos humanos en Honduras, página 71, párrafo 160.  OEA/Ser.L/V/II. Doc. 42/15, 31 diciembre 2015.</w:t>
      </w:r>
    </w:p>
  </w:footnote>
  <w:footnote w:id="14">
    <w:p w14:paraId="7D7398C8" w14:textId="767780EE" w:rsidR="00F155A7" w:rsidRPr="009D413C" w:rsidRDefault="00F155A7" w:rsidP="00B761F6">
      <w:pPr>
        <w:pStyle w:val="FootnoteText"/>
        <w:ind w:firstLine="720"/>
        <w:jc w:val="both"/>
        <w:rPr>
          <w:rFonts w:asciiTheme="majorHAnsi" w:hAnsiTheme="majorHAnsi"/>
          <w:color w:val="auto"/>
          <w:sz w:val="16"/>
          <w:szCs w:val="16"/>
          <w:lang w:val="es-ES"/>
        </w:rPr>
      </w:pPr>
      <w:r w:rsidRPr="009D413C">
        <w:rPr>
          <w:rStyle w:val="FootnoteReference"/>
          <w:rFonts w:asciiTheme="majorHAnsi" w:hAnsiTheme="majorHAnsi"/>
          <w:color w:val="auto"/>
          <w:sz w:val="16"/>
          <w:szCs w:val="16"/>
        </w:rPr>
        <w:footnoteRef/>
      </w:r>
      <w:r w:rsidRPr="009D413C">
        <w:rPr>
          <w:rFonts w:asciiTheme="majorHAnsi" w:hAnsiTheme="majorHAnsi"/>
          <w:color w:val="auto"/>
          <w:sz w:val="16"/>
          <w:szCs w:val="16"/>
          <w:lang w:val="es-AR"/>
        </w:rPr>
        <w:t xml:space="preserve"> </w:t>
      </w:r>
      <w:r w:rsidRPr="009D413C">
        <w:rPr>
          <w:rFonts w:asciiTheme="majorHAnsi" w:hAnsiTheme="majorHAnsi"/>
          <w:color w:val="auto"/>
          <w:sz w:val="16"/>
          <w:szCs w:val="16"/>
          <w:lang w:val="es-ES"/>
        </w:rPr>
        <w:t>Informe de la CIDH del 201</w:t>
      </w:r>
      <w:r w:rsidR="00AE6436" w:rsidRPr="009D413C">
        <w:rPr>
          <w:rFonts w:asciiTheme="majorHAnsi" w:hAnsiTheme="majorHAnsi"/>
          <w:color w:val="auto"/>
          <w:sz w:val="16"/>
          <w:szCs w:val="16"/>
          <w:lang w:val="es-ES"/>
        </w:rPr>
        <w:t>9</w:t>
      </w:r>
      <w:r w:rsidRPr="009D413C">
        <w:rPr>
          <w:rFonts w:asciiTheme="majorHAnsi" w:hAnsiTheme="majorHAnsi"/>
          <w:color w:val="auto"/>
          <w:sz w:val="16"/>
          <w:szCs w:val="16"/>
          <w:lang w:val="es-ES"/>
        </w:rPr>
        <w:t xml:space="preserve"> sobre la situación de derechos humanos en Honduras</w:t>
      </w:r>
      <w:r w:rsidRPr="009D413C">
        <w:rPr>
          <w:rFonts w:asciiTheme="majorHAnsi" w:hAnsiTheme="majorHAnsi"/>
          <w:color w:val="auto"/>
          <w:sz w:val="16"/>
          <w:szCs w:val="16"/>
          <w:lang w:val="es-AR"/>
        </w:rPr>
        <w:t xml:space="preserve">, página </w:t>
      </w:r>
      <w:r w:rsidR="00D20E85" w:rsidRPr="009D413C">
        <w:rPr>
          <w:rFonts w:asciiTheme="majorHAnsi" w:hAnsiTheme="majorHAnsi"/>
          <w:color w:val="auto"/>
          <w:sz w:val="16"/>
          <w:szCs w:val="16"/>
          <w:lang w:val="es-AR"/>
        </w:rPr>
        <w:t>11</w:t>
      </w:r>
      <w:r w:rsidRPr="009D413C">
        <w:rPr>
          <w:rFonts w:asciiTheme="majorHAnsi" w:hAnsiTheme="majorHAnsi"/>
          <w:color w:val="auto"/>
          <w:sz w:val="16"/>
          <w:szCs w:val="16"/>
          <w:lang w:val="es-AR"/>
        </w:rPr>
        <w:t>, párrafo 6.</w:t>
      </w:r>
      <w:r w:rsidR="00D20E85" w:rsidRPr="009D413C">
        <w:rPr>
          <w:rFonts w:asciiTheme="majorHAnsi" w:hAnsiTheme="majorHAnsi"/>
          <w:color w:val="auto"/>
          <w:sz w:val="16"/>
          <w:szCs w:val="16"/>
          <w:lang w:val="es-AR"/>
        </w:rPr>
        <w:t xml:space="preserve"> OEA/Ser.L/V/II. Doc. 146 27 agosto 2019.</w:t>
      </w:r>
    </w:p>
  </w:footnote>
  <w:footnote w:id="15">
    <w:p w14:paraId="75F80869" w14:textId="6CA615F6" w:rsidR="00D20E85" w:rsidRPr="009D413C" w:rsidRDefault="00D20E85" w:rsidP="00B761F6">
      <w:pPr>
        <w:pStyle w:val="FootnoteText"/>
        <w:ind w:firstLine="720"/>
        <w:jc w:val="both"/>
        <w:rPr>
          <w:rFonts w:asciiTheme="majorHAnsi" w:hAnsiTheme="majorHAnsi"/>
          <w:color w:val="auto"/>
          <w:sz w:val="16"/>
          <w:szCs w:val="16"/>
          <w:lang w:val="es-ES"/>
        </w:rPr>
      </w:pPr>
      <w:r w:rsidRPr="009D413C">
        <w:rPr>
          <w:rStyle w:val="FootnoteReference"/>
          <w:rFonts w:asciiTheme="majorHAnsi" w:hAnsiTheme="majorHAnsi"/>
          <w:color w:val="auto"/>
          <w:sz w:val="16"/>
          <w:szCs w:val="16"/>
        </w:rPr>
        <w:footnoteRef/>
      </w:r>
      <w:r w:rsidRPr="009D413C">
        <w:rPr>
          <w:rFonts w:asciiTheme="majorHAnsi" w:hAnsiTheme="majorHAnsi"/>
          <w:color w:val="auto"/>
          <w:sz w:val="16"/>
          <w:szCs w:val="16"/>
          <w:lang w:val="es-AR"/>
        </w:rPr>
        <w:t xml:space="preserve"> </w:t>
      </w:r>
      <w:r w:rsidRPr="009D413C">
        <w:rPr>
          <w:rFonts w:asciiTheme="majorHAnsi" w:hAnsiTheme="majorHAnsi"/>
          <w:color w:val="auto"/>
          <w:sz w:val="16"/>
          <w:szCs w:val="16"/>
          <w:lang w:val="es-ES"/>
        </w:rPr>
        <w:t>Informe de la CIDH del 201</w:t>
      </w:r>
      <w:r w:rsidR="00AE6436" w:rsidRPr="009D413C">
        <w:rPr>
          <w:rFonts w:asciiTheme="majorHAnsi" w:hAnsiTheme="majorHAnsi"/>
          <w:color w:val="auto"/>
          <w:sz w:val="16"/>
          <w:szCs w:val="16"/>
          <w:lang w:val="es-ES"/>
        </w:rPr>
        <w:t xml:space="preserve">9 </w:t>
      </w:r>
      <w:r w:rsidRPr="009D413C">
        <w:rPr>
          <w:rFonts w:asciiTheme="majorHAnsi" w:hAnsiTheme="majorHAnsi"/>
          <w:color w:val="auto"/>
          <w:sz w:val="16"/>
          <w:szCs w:val="16"/>
          <w:lang w:val="es-ES"/>
        </w:rPr>
        <w:t>sobre la situación de derechos humanos en Honduras</w:t>
      </w:r>
      <w:r w:rsidRPr="009D413C">
        <w:rPr>
          <w:rFonts w:asciiTheme="majorHAnsi" w:hAnsiTheme="majorHAnsi"/>
          <w:color w:val="auto"/>
          <w:sz w:val="16"/>
          <w:szCs w:val="16"/>
          <w:lang w:val="es-AR"/>
        </w:rPr>
        <w:t xml:space="preserve">, página 86, párrafo 150. OEA/Ser.L/V/II. Doc. 146 27 agosto 2019. </w:t>
      </w:r>
    </w:p>
  </w:footnote>
  <w:footnote w:id="16">
    <w:p w14:paraId="49023DEC" w14:textId="70C89591" w:rsidR="00AE6436" w:rsidRPr="009D413C" w:rsidRDefault="00AE6436" w:rsidP="00B761F6">
      <w:pPr>
        <w:pStyle w:val="FootnoteText"/>
        <w:ind w:firstLine="720"/>
        <w:jc w:val="both"/>
        <w:rPr>
          <w:rFonts w:asciiTheme="majorHAnsi" w:hAnsiTheme="majorHAnsi"/>
          <w:color w:val="auto"/>
          <w:sz w:val="16"/>
          <w:szCs w:val="16"/>
          <w:lang w:val="es-ES"/>
        </w:rPr>
      </w:pPr>
      <w:r w:rsidRPr="009D413C">
        <w:rPr>
          <w:rStyle w:val="FootnoteReference"/>
          <w:rFonts w:asciiTheme="majorHAnsi" w:hAnsiTheme="majorHAnsi"/>
          <w:color w:val="auto"/>
          <w:sz w:val="16"/>
          <w:szCs w:val="16"/>
        </w:rPr>
        <w:footnoteRef/>
      </w:r>
      <w:r w:rsidRPr="009D413C">
        <w:rPr>
          <w:rFonts w:asciiTheme="majorHAnsi" w:hAnsiTheme="majorHAnsi"/>
          <w:color w:val="auto"/>
          <w:sz w:val="16"/>
          <w:szCs w:val="16"/>
          <w:lang w:val="es-AR"/>
        </w:rPr>
        <w:t xml:space="preserve"> Observaciones preliminares, visita in loco a </w:t>
      </w:r>
      <w:r w:rsidR="00D67CC5" w:rsidRPr="009D413C">
        <w:rPr>
          <w:rFonts w:asciiTheme="majorHAnsi" w:hAnsiTheme="majorHAnsi"/>
          <w:color w:val="auto"/>
          <w:sz w:val="16"/>
          <w:szCs w:val="16"/>
          <w:lang w:val="es-AR"/>
        </w:rPr>
        <w:t>H</w:t>
      </w:r>
      <w:r w:rsidRPr="009D413C">
        <w:rPr>
          <w:rFonts w:asciiTheme="majorHAnsi" w:hAnsiTheme="majorHAnsi"/>
          <w:color w:val="auto"/>
          <w:sz w:val="16"/>
          <w:szCs w:val="16"/>
          <w:lang w:val="es-AR"/>
        </w:rPr>
        <w:t>onduras, 24 al 28 de abril de 20</w:t>
      </w:r>
      <w:r w:rsidR="00D43FD2" w:rsidRPr="009D413C">
        <w:rPr>
          <w:rFonts w:asciiTheme="majorHAnsi" w:hAnsiTheme="majorHAnsi"/>
          <w:color w:val="auto"/>
          <w:sz w:val="16"/>
          <w:szCs w:val="16"/>
          <w:lang w:val="es-AR"/>
        </w:rPr>
        <w:t>23</w:t>
      </w:r>
      <w:r w:rsidRPr="009D413C">
        <w:rPr>
          <w:rFonts w:asciiTheme="majorHAnsi" w:hAnsiTheme="majorHAnsi"/>
          <w:color w:val="auto"/>
          <w:sz w:val="16"/>
          <w:szCs w:val="16"/>
          <w:lang w:val="es-AR"/>
        </w:rPr>
        <w:t xml:space="preserve">, página 3, </w:t>
      </w:r>
      <w:r w:rsidRPr="009D413C">
        <w:rPr>
          <w:rFonts w:asciiTheme="majorHAnsi" w:hAnsiTheme="majorHAnsi"/>
          <w:color w:val="auto"/>
          <w:sz w:val="16"/>
          <w:szCs w:val="16"/>
          <w:lang w:val="es-ES"/>
        </w:rPr>
        <w:t>párrafo 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2E7F77"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BB88F6B8"/>
    <w:lvl w:ilvl="0" w:tplc="AD3439A6">
      <w:start w:val="1"/>
      <w:numFmt w:val="decimal"/>
      <w:lvlText w:val="%1."/>
      <w:lvlJc w:val="left"/>
      <w:pPr>
        <w:tabs>
          <w:tab w:val="num" w:pos="720"/>
        </w:tabs>
        <w:ind w:left="0" w:firstLine="720"/>
      </w:pPr>
      <w:rPr>
        <w:rFonts w:hint="default"/>
        <w:i w:val="0"/>
        <w:iCs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8D62E6E"/>
    <w:multiLevelType w:val="hybridMultilevel"/>
    <w:tmpl w:val="4A121338"/>
    <w:lvl w:ilvl="0" w:tplc="FFFFFFFF">
      <w:start w:val="1"/>
      <w:numFmt w:val="decimal"/>
      <w:lvlText w:val="%1."/>
      <w:lvlJc w:val="left"/>
      <w:pPr>
        <w:tabs>
          <w:tab w:val="num" w:pos="720"/>
        </w:tabs>
        <w:ind w:left="0" w:firstLine="72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65057153">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99000730">
    <w:abstractNumId w:val="5"/>
  </w:num>
  <w:num w:numId="3" w16cid:durableId="1377241164">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74292859">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20520311">
    <w:abstractNumId w:val="7"/>
  </w:num>
  <w:num w:numId="6" w16cid:durableId="233206698">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13266273">
    <w:abstractNumId w:val="61"/>
  </w:num>
  <w:num w:numId="8" w16cid:durableId="2068602545">
    <w:abstractNumId w:val="23"/>
  </w:num>
  <w:num w:numId="9" w16cid:durableId="1616525600">
    <w:abstractNumId w:val="52"/>
  </w:num>
  <w:num w:numId="10" w16cid:durableId="1097168266">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02403871">
    <w:abstractNumId w:val="30"/>
  </w:num>
  <w:num w:numId="12" w16cid:durableId="998582662">
    <w:abstractNumId w:val="59"/>
  </w:num>
  <w:num w:numId="13" w16cid:durableId="1175270658">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40526860">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3363596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4973994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0590903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89141467">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74995086">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142066646">
    <w:abstractNumId w:val="8"/>
  </w:num>
  <w:num w:numId="21" w16cid:durableId="954404290">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98673481">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31177379">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25145085">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41274347">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28008149">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42109799">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63240565">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22682712">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451537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58193735">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24832573">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6488650">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50809682">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1747358">
    <w:abstractNumId w:val="19"/>
  </w:num>
  <w:num w:numId="36" w16cid:durableId="480005394">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02371158">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94868507">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2920717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2705837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8628619">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25256902">
    <w:abstractNumId w:val="42"/>
  </w:num>
  <w:num w:numId="43" w16cid:durableId="73809638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05827895">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15064692">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737630465">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33913171">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797291766">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87574653">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448817741">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2886926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66940441">
    <w:abstractNumId w:val="46"/>
  </w:num>
  <w:num w:numId="53" w16cid:durableId="251017014">
    <w:abstractNumId w:val="0"/>
  </w:num>
  <w:num w:numId="54" w16cid:durableId="2134210098">
    <w:abstractNumId w:val="41"/>
  </w:num>
  <w:num w:numId="55" w16cid:durableId="608663301">
    <w:abstractNumId w:val="42"/>
  </w:num>
  <w:num w:numId="56" w16cid:durableId="255601910">
    <w:abstractNumId w:val="48"/>
  </w:num>
  <w:num w:numId="57" w16cid:durableId="1761757703">
    <w:abstractNumId w:val="1"/>
  </w:num>
  <w:num w:numId="58" w16cid:durableId="1186796706">
    <w:abstractNumId w:val="2"/>
  </w:num>
  <w:num w:numId="59" w16cid:durableId="1606693034">
    <w:abstractNumId w:val="9"/>
  </w:num>
  <w:num w:numId="60" w16cid:durableId="1738476247">
    <w:abstractNumId w:val="10"/>
  </w:num>
  <w:num w:numId="61" w16cid:durableId="1484001738">
    <w:abstractNumId w:val="11"/>
  </w:num>
  <w:num w:numId="62" w16cid:durableId="866941465">
    <w:abstractNumId w:val="12"/>
  </w:num>
  <w:num w:numId="63" w16cid:durableId="891114917">
    <w:abstractNumId w:val="13"/>
  </w:num>
  <w:num w:numId="64" w16cid:durableId="1852600886">
    <w:abstractNumId w:val="15"/>
  </w:num>
  <w:num w:numId="65" w16cid:durableId="925655403">
    <w:abstractNumId w:val="16"/>
  </w:num>
  <w:num w:numId="66" w16cid:durableId="1122456303">
    <w:abstractNumId w:val="17"/>
  </w:num>
  <w:num w:numId="67" w16cid:durableId="2034264947">
    <w:abstractNumId w:val="18"/>
  </w:num>
  <w:num w:numId="68" w16cid:durableId="943655646">
    <w:abstractNumId w:val="20"/>
  </w:num>
  <w:num w:numId="69" w16cid:durableId="48573556">
    <w:abstractNumId w:val="21"/>
  </w:num>
  <w:num w:numId="70" w16cid:durableId="1714845553">
    <w:abstractNumId w:val="24"/>
  </w:num>
  <w:num w:numId="71" w16cid:durableId="43258639">
    <w:abstractNumId w:val="25"/>
  </w:num>
  <w:num w:numId="72" w16cid:durableId="1533766946">
    <w:abstractNumId w:val="26"/>
  </w:num>
  <w:num w:numId="73" w16cid:durableId="1375960398">
    <w:abstractNumId w:val="28"/>
  </w:num>
  <w:num w:numId="74" w16cid:durableId="142351334">
    <w:abstractNumId w:val="31"/>
  </w:num>
  <w:num w:numId="75" w16cid:durableId="179467967">
    <w:abstractNumId w:val="33"/>
  </w:num>
  <w:num w:numId="76" w16cid:durableId="1445685242">
    <w:abstractNumId w:val="34"/>
  </w:num>
  <w:num w:numId="77" w16cid:durableId="2049792361">
    <w:abstractNumId w:val="35"/>
  </w:num>
  <w:num w:numId="78" w16cid:durableId="1766075673">
    <w:abstractNumId w:val="36"/>
  </w:num>
  <w:num w:numId="79" w16cid:durableId="1193613694">
    <w:abstractNumId w:val="37"/>
  </w:num>
  <w:num w:numId="80" w16cid:durableId="1731923604">
    <w:abstractNumId w:val="38"/>
  </w:num>
  <w:num w:numId="81" w16cid:durableId="1266036850">
    <w:abstractNumId w:val="39"/>
  </w:num>
  <w:num w:numId="82" w16cid:durableId="1881671385">
    <w:abstractNumId w:val="43"/>
  </w:num>
  <w:num w:numId="83" w16cid:durableId="1301611395">
    <w:abstractNumId w:val="44"/>
  </w:num>
  <w:num w:numId="84" w16cid:durableId="1131166778">
    <w:abstractNumId w:val="50"/>
  </w:num>
  <w:num w:numId="85" w16cid:durableId="507405131">
    <w:abstractNumId w:val="53"/>
  </w:num>
  <w:num w:numId="86" w16cid:durableId="147091870">
    <w:abstractNumId w:val="56"/>
  </w:num>
  <w:num w:numId="87" w16cid:durableId="655454458">
    <w:abstractNumId w:val="58"/>
  </w:num>
  <w:num w:numId="88" w16cid:durableId="1812089391">
    <w:abstractNumId w:val="60"/>
  </w:num>
  <w:num w:numId="89" w16cid:durableId="515115365">
    <w:abstractNumId w:val="62"/>
  </w:num>
  <w:num w:numId="90" w16cid:durableId="1221944455">
    <w:abstractNumId w:val="63"/>
  </w:num>
  <w:num w:numId="91" w16cid:durableId="908535618">
    <w:abstractNumId w:val="64"/>
  </w:num>
  <w:num w:numId="92" w16cid:durableId="825898735">
    <w:abstractNumId w:val="65"/>
  </w:num>
  <w:num w:numId="93" w16cid:durableId="49690932">
    <w:abstractNumId w:val="67"/>
  </w:num>
  <w:num w:numId="94" w16cid:durableId="2095399920">
    <w:abstractNumId w:val="22"/>
  </w:num>
  <w:num w:numId="95" w16cid:durableId="1435326325">
    <w:abstractNumId w:val="45"/>
  </w:num>
  <w:num w:numId="96" w16cid:durableId="935866318">
    <w:abstractNumId w:val="57"/>
  </w:num>
  <w:num w:numId="97" w16cid:durableId="2089502159">
    <w:abstractNumId w:val="54"/>
  </w:num>
  <w:num w:numId="98" w16cid:durableId="749347125">
    <w:abstractNumId w:val="49"/>
  </w:num>
  <w:num w:numId="99" w16cid:durableId="456994649">
    <w:abstractNumId w:val="40"/>
  </w:num>
  <w:num w:numId="100" w16cid:durableId="378870339">
    <w:abstractNumId w:val="3"/>
  </w:num>
  <w:num w:numId="101" w16cid:durableId="1289773468">
    <w:abstractNumId w:val="27"/>
  </w:num>
  <w:num w:numId="102" w16cid:durableId="1186287539">
    <w:abstractNumId w:val="51"/>
  </w:num>
  <w:num w:numId="103" w16cid:durableId="1458334191">
    <w:abstractNumId w:val="6"/>
  </w:num>
  <w:num w:numId="104" w16cid:durableId="913318813">
    <w:abstractNumId w:val="66"/>
  </w:num>
  <w:num w:numId="105" w16cid:durableId="589050340">
    <w:abstractNumId w:val="55"/>
  </w:num>
  <w:num w:numId="106" w16cid:durableId="836576904">
    <w:abstractNumId w:val="4"/>
  </w:num>
  <w:num w:numId="107" w16cid:durableId="1173912010">
    <w:abstractNumId w:val="32"/>
  </w:num>
  <w:num w:numId="108" w16cid:durableId="2116440378">
    <w:abstractNumId w:val="14"/>
  </w:num>
  <w:num w:numId="109" w16cid:durableId="1694842942">
    <w:abstractNumId w:val="47"/>
  </w:num>
  <w:num w:numId="110" w16cid:durableId="1907720071">
    <w:abstractNumId w:val="29"/>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593"/>
    <w:rsid w:val="00000CDA"/>
    <w:rsid w:val="0000275A"/>
    <w:rsid w:val="0000597D"/>
    <w:rsid w:val="00006E1F"/>
    <w:rsid w:val="000070D7"/>
    <w:rsid w:val="000074F8"/>
    <w:rsid w:val="00012A2C"/>
    <w:rsid w:val="00013D66"/>
    <w:rsid w:val="00013D84"/>
    <w:rsid w:val="00017550"/>
    <w:rsid w:val="0001788C"/>
    <w:rsid w:val="00021E86"/>
    <w:rsid w:val="00031648"/>
    <w:rsid w:val="000337EF"/>
    <w:rsid w:val="00040C3A"/>
    <w:rsid w:val="000419AD"/>
    <w:rsid w:val="000433C9"/>
    <w:rsid w:val="00046918"/>
    <w:rsid w:val="00050168"/>
    <w:rsid w:val="00054F0C"/>
    <w:rsid w:val="00065915"/>
    <w:rsid w:val="000716C5"/>
    <w:rsid w:val="00071F27"/>
    <w:rsid w:val="00072DB7"/>
    <w:rsid w:val="00075E23"/>
    <w:rsid w:val="00080B97"/>
    <w:rsid w:val="00090506"/>
    <w:rsid w:val="00091B83"/>
    <w:rsid w:val="0009344A"/>
    <w:rsid w:val="000952AB"/>
    <w:rsid w:val="000A07BF"/>
    <w:rsid w:val="000A1307"/>
    <w:rsid w:val="000A1409"/>
    <w:rsid w:val="000A33AC"/>
    <w:rsid w:val="000A392E"/>
    <w:rsid w:val="000A575F"/>
    <w:rsid w:val="000A6624"/>
    <w:rsid w:val="000B046A"/>
    <w:rsid w:val="000B366E"/>
    <w:rsid w:val="000B5C05"/>
    <w:rsid w:val="000B5C70"/>
    <w:rsid w:val="000B6343"/>
    <w:rsid w:val="000B7884"/>
    <w:rsid w:val="000D05CB"/>
    <w:rsid w:val="000D10DB"/>
    <w:rsid w:val="000D1E2B"/>
    <w:rsid w:val="000D50AA"/>
    <w:rsid w:val="000E093A"/>
    <w:rsid w:val="000E5EB5"/>
    <w:rsid w:val="000F16E3"/>
    <w:rsid w:val="000F35ED"/>
    <w:rsid w:val="00107131"/>
    <w:rsid w:val="0010736F"/>
    <w:rsid w:val="00110526"/>
    <w:rsid w:val="00112A39"/>
    <w:rsid w:val="00113F73"/>
    <w:rsid w:val="001217E4"/>
    <w:rsid w:val="00121CC2"/>
    <w:rsid w:val="00124323"/>
    <w:rsid w:val="00131425"/>
    <w:rsid w:val="001329EA"/>
    <w:rsid w:val="00133E6B"/>
    <w:rsid w:val="00133EE5"/>
    <w:rsid w:val="001414DD"/>
    <w:rsid w:val="001464CC"/>
    <w:rsid w:val="0015447B"/>
    <w:rsid w:val="00154E97"/>
    <w:rsid w:val="0015554C"/>
    <w:rsid w:val="00160AFF"/>
    <w:rsid w:val="00167A34"/>
    <w:rsid w:val="00167DA4"/>
    <w:rsid w:val="00167E58"/>
    <w:rsid w:val="0017621E"/>
    <w:rsid w:val="00183859"/>
    <w:rsid w:val="00185B4A"/>
    <w:rsid w:val="00187949"/>
    <w:rsid w:val="001A0F02"/>
    <w:rsid w:val="001A15DD"/>
    <w:rsid w:val="001A21BF"/>
    <w:rsid w:val="001A2FDC"/>
    <w:rsid w:val="001A357E"/>
    <w:rsid w:val="001A7870"/>
    <w:rsid w:val="001B08D9"/>
    <w:rsid w:val="001B3A00"/>
    <w:rsid w:val="001C1B41"/>
    <w:rsid w:val="001D65EF"/>
    <w:rsid w:val="001D6BAD"/>
    <w:rsid w:val="001E25E7"/>
    <w:rsid w:val="001E49E7"/>
    <w:rsid w:val="001F2DE6"/>
    <w:rsid w:val="001F2DEA"/>
    <w:rsid w:val="001F4AFF"/>
    <w:rsid w:val="001F6244"/>
    <w:rsid w:val="001F703E"/>
    <w:rsid w:val="001F7201"/>
    <w:rsid w:val="00203016"/>
    <w:rsid w:val="002131AC"/>
    <w:rsid w:val="00223A29"/>
    <w:rsid w:val="002250A3"/>
    <w:rsid w:val="00235217"/>
    <w:rsid w:val="002353D9"/>
    <w:rsid w:val="00246D1F"/>
    <w:rsid w:val="00247403"/>
    <w:rsid w:val="00247542"/>
    <w:rsid w:val="00257007"/>
    <w:rsid w:val="002603F9"/>
    <w:rsid w:val="0026100F"/>
    <w:rsid w:val="0026156D"/>
    <w:rsid w:val="00266B61"/>
    <w:rsid w:val="0026712A"/>
    <w:rsid w:val="0026738D"/>
    <w:rsid w:val="002704DB"/>
    <w:rsid w:val="002718FA"/>
    <w:rsid w:val="00276314"/>
    <w:rsid w:val="00276B15"/>
    <w:rsid w:val="00282C3C"/>
    <w:rsid w:val="002878F6"/>
    <w:rsid w:val="00291A50"/>
    <w:rsid w:val="00296E8E"/>
    <w:rsid w:val="00296F22"/>
    <w:rsid w:val="002A0160"/>
    <w:rsid w:val="002A0AAE"/>
    <w:rsid w:val="002A5820"/>
    <w:rsid w:val="002B32C5"/>
    <w:rsid w:val="002C077F"/>
    <w:rsid w:val="002C148C"/>
    <w:rsid w:val="002C2F2F"/>
    <w:rsid w:val="002C79DF"/>
    <w:rsid w:val="002D2B26"/>
    <w:rsid w:val="002D3DCD"/>
    <w:rsid w:val="002D7EA2"/>
    <w:rsid w:val="002E187C"/>
    <w:rsid w:val="002E649A"/>
    <w:rsid w:val="002E7F77"/>
    <w:rsid w:val="00300B75"/>
    <w:rsid w:val="00302639"/>
    <w:rsid w:val="00302733"/>
    <w:rsid w:val="0030790D"/>
    <w:rsid w:val="003101CB"/>
    <w:rsid w:val="00314078"/>
    <w:rsid w:val="0031535D"/>
    <w:rsid w:val="00315E96"/>
    <w:rsid w:val="00320213"/>
    <w:rsid w:val="00322981"/>
    <w:rsid w:val="003239B8"/>
    <w:rsid w:val="0032651B"/>
    <w:rsid w:val="003276FA"/>
    <w:rsid w:val="00330178"/>
    <w:rsid w:val="0033169F"/>
    <w:rsid w:val="00332A91"/>
    <w:rsid w:val="0034264C"/>
    <w:rsid w:val="00344977"/>
    <w:rsid w:val="00346C95"/>
    <w:rsid w:val="00347ADC"/>
    <w:rsid w:val="003516DF"/>
    <w:rsid w:val="00356185"/>
    <w:rsid w:val="00356AA6"/>
    <w:rsid w:val="00360380"/>
    <w:rsid w:val="00360E4A"/>
    <w:rsid w:val="0036132F"/>
    <w:rsid w:val="00365298"/>
    <w:rsid w:val="00370F3E"/>
    <w:rsid w:val="003739EA"/>
    <w:rsid w:val="0037519E"/>
    <w:rsid w:val="003800EC"/>
    <w:rsid w:val="00386CF0"/>
    <w:rsid w:val="00394049"/>
    <w:rsid w:val="003962D6"/>
    <w:rsid w:val="003B04FF"/>
    <w:rsid w:val="003B4582"/>
    <w:rsid w:val="003B70FB"/>
    <w:rsid w:val="003C08E3"/>
    <w:rsid w:val="003C676B"/>
    <w:rsid w:val="003C69E7"/>
    <w:rsid w:val="003D1BE9"/>
    <w:rsid w:val="003D3BC2"/>
    <w:rsid w:val="003D5A51"/>
    <w:rsid w:val="003E054E"/>
    <w:rsid w:val="003E0565"/>
    <w:rsid w:val="003E1644"/>
    <w:rsid w:val="003E6CA1"/>
    <w:rsid w:val="003F3796"/>
    <w:rsid w:val="003F3B0D"/>
    <w:rsid w:val="00405F9C"/>
    <w:rsid w:val="004065A8"/>
    <w:rsid w:val="00412C48"/>
    <w:rsid w:val="004165C2"/>
    <w:rsid w:val="004176E6"/>
    <w:rsid w:val="004222D4"/>
    <w:rsid w:val="0043194D"/>
    <w:rsid w:val="00432E97"/>
    <w:rsid w:val="00441524"/>
    <w:rsid w:val="00441ECB"/>
    <w:rsid w:val="00445193"/>
    <w:rsid w:val="0044664F"/>
    <w:rsid w:val="00450CF6"/>
    <w:rsid w:val="00451423"/>
    <w:rsid w:val="00454E47"/>
    <w:rsid w:val="00455227"/>
    <w:rsid w:val="00456837"/>
    <w:rsid w:val="00462C1B"/>
    <w:rsid w:val="00467B7E"/>
    <w:rsid w:val="0047235C"/>
    <w:rsid w:val="00472C97"/>
    <w:rsid w:val="00473BB4"/>
    <w:rsid w:val="00477592"/>
    <w:rsid w:val="00486F1C"/>
    <w:rsid w:val="00490994"/>
    <w:rsid w:val="0049419D"/>
    <w:rsid w:val="004A6A54"/>
    <w:rsid w:val="004A71AD"/>
    <w:rsid w:val="004B3E47"/>
    <w:rsid w:val="004B3EDC"/>
    <w:rsid w:val="004C20D2"/>
    <w:rsid w:val="004C2312"/>
    <w:rsid w:val="004C4B62"/>
    <w:rsid w:val="004C54C9"/>
    <w:rsid w:val="004D4ABA"/>
    <w:rsid w:val="004D5B3F"/>
    <w:rsid w:val="004D6025"/>
    <w:rsid w:val="004E2649"/>
    <w:rsid w:val="004F1725"/>
    <w:rsid w:val="004F626F"/>
    <w:rsid w:val="004F7B54"/>
    <w:rsid w:val="00501399"/>
    <w:rsid w:val="00504924"/>
    <w:rsid w:val="0050633D"/>
    <w:rsid w:val="00507BC4"/>
    <w:rsid w:val="00511792"/>
    <w:rsid w:val="0051180B"/>
    <w:rsid w:val="005128E4"/>
    <w:rsid w:val="005133DB"/>
    <w:rsid w:val="00514504"/>
    <w:rsid w:val="00525560"/>
    <w:rsid w:val="00544C49"/>
    <w:rsid w:val="0054509D"/>
    <w:rsid w:val="00547282"/>
    <w:rsid w:val="005516A1"/>
    <w:rsid w:val="005559EF"/>
    <w:rsid w:val="005564B7"/>
    <w:rsid w:val="0056067C"/>
    <w:rsid w:val="00561637"/>
    <w:rsid w:val="00563557"/>
    <w:rsid w:val="00566A0C"/>
    <w:rsid w:val="0057402A"/>
    <w:rsid w:val="005771D0"/>
    <w:rsid w:val="00580DDF"/>
    <w:rsid w:val="00587965"/>
    <w:rsid w:val="0059191A"/>
    <w:rsid w:val="005921FF"/>
    <w:rsid w:val="0059589F"/>
    <w:rsid w:val="00596937"/>
    <w:rsid w:val="005A24ED"/>
    <w:rsid w:val="005A254F"/>
    <w:rsid w:val="005A6D0E"/>
    <w:rsid w:val="005B14AE"/>
    <w:rsid w:val="005B16A7"/>
    <w:rsid w:val="005B52B0"/>
    <w:rsid w:val="005B6806"/>
    <w:rsid w:val="005C1B1F"/>
    <w:rsid w:val="005C4225"/>
    <w:rsid w:val="005D38F9"/>
    <w:rsid w:val="005D5402"/>
    <w:rsid w:val="005E16E4"/>
    <w:rsid w:val="005F00B3"/>
    <w:rsid w:val="005F0DAD"/>
    <w:rsid w:val="005F0F33"/>
    <w:rsid w:val="005F4180"/>
    <w:rsid w:val="00600DEB"/>
    <w:rsid w:val="00601EC8"/>
    <w:rsid w:val="0060205E"/>
    <w:rsid w:val="006066F2"/>
    <w:rsid w:val="006164D9"/>
    <w:rsid w:val="00623E49"/>
    <w:rsid w:val="00627C9F"/>
    <w:rsid w:val="006311E9"/>
    <w:rsid w:val="00632354"/>
    <w:rsid w:val="00632BB2"/>
    <w:rsid w:val="00635421"/>
    <w:rsid w:val="006402D6"/>
    <w:rsid w:val="00642810"/>
    <w:rsid w:val="00642E60"/>
    <w:rsid w:val="00642FFC"/>
    <w:rsid w:val="006433B3"/>
    <w:rsid w:val="006453A0"/>
    <w:rsid w:val="00647B3D"/>
    <w:rsid w:val="00652333"/>
    <w:rsid w:val="00663157"/>
    <w:rsid w:val="0066481A"/>
    <w:rsid w:val="00666DD1"/>
    <w:rsid w:val="0068009E"/>
    <w:rsid w:val="00691431"/>
    <w:rsid w:val="00692219"/>
    <w:rsid w:val="0069231F"/>
    <w:rsid w:val="006A17D2"/>
    <w:rsid w:val="006A2B71"/>
    <w:rsid w:val="006A73E6"/>
    <w:rsid w:val="006B1421"/>
    <w:rsid w:val="006B280F"/>
    <w:rsid w:val="006B2D5C"/>
    <w:rsid w:val="006B60E7"/>
    <w:rsid w:val="006B6B8E"/>
    <w:rsid w:val="006C0C4A"/>
    <w:rsid w:val="006C33E0"/>
    <w:rsid w:val="006C4EB1"/>
    <w:rsid w:val="006D1983"/>
    <w:rsid w:val="006D229C"/>
    <w:rsid w:val="006D7B42"/>
    <w:rsid w:val="006E0166"/>
    <w:rsid w:val="006E1F3F"/>
    <w:rsid w:val="006E2FFB"/>
    <w:rsid w:val="006E7B34"/>
    <w:rsid w:val="006F6D65"/>
    <w:rsid w:val="007037BF"/>
    <w:rsid w:val="0070697F"/>
    <w:rsid w:val="00711895"/>
    <w:rsid w:val="007133F4"/>
    <w:rsid w:val="007179B8"/>
    <w:rsid w:val="0072199C"/>
    <w:rsid w:val="00722C9F"/>
    <w:rsid w:val="007253B8"/>
    <w:rsid w:val="0072721F"/>
    <w:rsid w:val="007351BD"/>
    <w:rsid w:val="0073741F"/>
    <w:rsid w:val="00743DE9"/>
    <w:rsid w:val="00744167"/>
    <w:rsid w:val="007507E0"/>
    <w:rsid w:val="00750C09"/>
    <w:rsid w:val="007649C8"/>
    <w:rsid w:val="007652B4"/>
    <w:rsid w:val="0076643F"/>
    <w:rsid w:val="00772C91"/>
    <w:rsid w:val="00774B1B"/>
    <w:rsid w:val="00776DA0"/>
    <w:rsid w:val="00777F63"/>
    <w:rsid w:val="00782EF7"/>
    <w:rsid w:val="00783360"/>
    <w:rsid w:val="0078672A"/>
    <w:rsid w:val="00790364"/>
    <w:rsid w:val="00795558"/>
    <w:rsid w:val="0079588C"/>
    <w:rsid w:val="007A2B3D"/>
    <w:rsid w:val="007A5817"/>
    <w:rsid w:val="007A6D1B"/>
    <w:rsid w:val="007B05C4"/>
    <w:rsid w:val="007B60E9"/>
    <w:rsid w:val="007B6A92"/>
    <w:rsid w:val="007B6CC3"/>
    <w:rsid w:val="007B76D3"/>
    <w:rsid w:val="007C3334"/>
    <w:rsid w:val="007C6D88"/>
    <w:rsid w:val="007D251D"/>
    <w:rsid w:val="007D2B98"/>
    <w:rsid w:val="007D52C6"/>
    <w:rsid w:val="007D5F0B"/>
    <w:rsid w:val="007D64E6"/>
    <w:rsid w:val="007D6992"/>
    <w:rsid w:val="007D7EEA"/>
    <w:rsid w:val="007E21BC"/>
    <w:rsid w:val="007E6788"/>
    <w:rsid w:val="007E7C82"/>
    <w:rsid w:val="007F04B1"/>
    <w:rsid w:val="007F2AA1"/>
    <w:rsid w:val="007F588D"/>
    <w:rsid w:val="00802741"/>
    <w:rsid w:val="00803F1C"/>
    <w:rsid w:val="008055E6"/>
    <w:rsid w:val="0080600E"/>
    <w:rsid w:val="00811800"/>
    <w:rsid w:val="0081411B"/>
    <w:rsid w:val="00814688"/>
    <w:rsid w:val="008164D1"/>
    <w:rsid w:val="008169CD"/>
    <w:rsid w:val="00817612"/>
    <w:rsid w:val="00830977"/>
    <w:rsid w:val="008338A4"/>
    <w:rsid w:val="00834D49"/>
    <w:rsid w:val="008353B5"/>
    <w:rsid w:val="00837C45"/>
    <w:rsid w:val="0084242A"/>
    <w:rsid w:val="00842E61"/>
    <w:rsid w:val="00843B63"/>
    <w:rsid w:val="00844730"/>
    <w:rsid w:val="00844994"/>
    <w:rsid w:val="008457C2"/>
    <w:rsid w:val="00852350"/>
    <w:rsid w:val="008573A2"/>
    <w:rsid w:val="00857A82"/>
    <w:rsid w:val="00860493"/>
    <w:rsid w:val="00866E07"/>
    <w:rsid w:val="00867314"/>
    <w:rsid w:val="00873836"/>
    <w:rsid w:val="008767BC"/>
    <w:rsid w:val="00885737"/>
    <w:rsid w:val="00887FAD"/>
    <w:rsid w:val="00890650"/>
    <w:rsid w:val="00892DA0"/>
    <w:rsid w:val="008947AD"/>
    <w:rsid w:val="00897E12"/>
    <w:rsid w:val="008A1044"/>
    <w:rsid w:val="008A1CF7"/>
    <w:rsid w:val="008A3C87"/>
    <w:rsid w:val="008A7E0F"/>
    <w:rsid w:val="008B12F5"/>
    <w:rsid w:val="008B1D2D"/>
    <w:rsid w:val="008C5E2D"/>
    <w:rsid w:val="008D03BF"/>
    <w:rsid w:val="008D2122"/>
    <w:rsid w:val="008D768D"/>
    <w:rsid w:val="008E3759"/>
    <w:rsid w:val="008E3BFE"/>
    <w:rsid w:val="008E43C1"/>
    <w:rsid w:val="008F03B1"/>
    <w:rsid w:val="008F1912"/>
    <w:rsid w:val="009007D5"/>
    <w:rsid w:val="0090270B"/>
    <w:rsid w:val="00903142"/>
    <w:rsid w:val="009041DC"/>
    <w:rsid w:val="00907C44"/>
    <w:rsid w:val="00912884"/>
    <w:rsid w:val="00917B5A"/>
    <w:rsid w:val="00920A58"/>
    <w:rsid w:val="00920A8C"/>
    <w:rsid w:val="009221BE"/>
    <w:rsid w:val="00931D37"/>
    <w:rsid w:val="00933984"/>
    <w:rsid w:val="00933EBC"/>
    <w:rsid w:val="00934A2C"/>
    <w:rsid w:val="0093516B"/>
    <w:rsid w:val="009361FE"/>
    <w:rsid w:val="00936A5C"/>
    <w:rsid w:val="0094346C"/>
    <w:rsid w:val="00944595"/>
    <w:rsid w:val="00952195"/>
    <w:rsid w:val="009635EB"/>
    <w:rsid w:val="00966EBB"/>
    <w:rsid w:val="0096706E"/>
    <w:rsid w:val="009721CA"/>
    <w:rsid w:val="00974491"/>
    <w:rsid w:val="00975C4E"/>
    <w:rsid w:val="00981FBA"/>
    <w:rsid w:val="00983C32"/>
    <w:rsid w:val="009935EB"/>
    <w:rsid w:val="00997BC5"/>
    <w:rsid w:val="009A3B96"/>
    <w:rsid w:val="009A4F41"/>
    <w:rsid w:val="009B2135"/>
    <w:rsid w:val="009B381B"/>
    <w:rsid w:val="009D1753"/>
    <w:rsid w:val="009D413C"/>
    <w:rsid w:val="009D473A"/>
    <w:rsid w:val="009D49C6"/>
    <w:rsid w:val="009D7611"/>
    <w:rsid w:val="009E0B61"/>
    <w:rsid w:val="009E4A6D"/>
    <w:rsid w:val="009E53DE"/>
    <w:rsid w:val="009E687F"/>
    <w:rsid w:val="009F3A84"/>
    <w:rsid w:val="00A01050"/>
    <w:rsid w:val="00A11212"/>
    <w:rsid w:val="00A11467"/>
    <w:rsid w:val="00A11E44"/>
    <w:rsid w:val="00A179E7"/>
    <w:rsid w:val="00A26F99"/>
    <w:rsid w:val="00A30100"/>
    <w:rsid w:val="00A328B3"/>
    <w:rsid w:val="00A3696C"/>
    <w:rsid w:val="00A50FCF"/>
    <w:rsid w:val="00A528D1"/>
    <w:rsid w:val="00A53816"/>
    <w:rsid w:val="00A573C1"/>
    <w:rsid w:val="00A610CD"/>
    <w:rsid w:val="00A641FF"/>
    <w:rsid w:val="00A70785"/>
    <w:rsid w:val="00A75176"/>
    <w:rsid w:val="00A755B8"/>
    <w:rsid w:val="00A758AA"/>
    <w:rsid w:val="00A80A1F"/>
    <w:rsid w:val="00A8350E"/>
    <w:rsid w:val="00A90FB0"/>
    <w:rsid w:val="00A917DC"/>
    <w:rsid w:val="00A91D74"/>
    <w:rsid w:val="00A9300B"/>
    <w:rsid w:val="00A9459D"/>
    <w:rsid w:val="00A95FEA"/>
    <w:rsid w:val="00A96579"/>
    <w:rsid w:val="00AA09A2"/>
    <w:rsid w:val="00AA10B5"/>
    <w:rsid w:val="00AA7996"/>
    <w:rsid w:val="00AB1ADC"/>
    <w:rsid w:val="00AC19CB"/>
    <w:rsid w:val="00AC2874"/>
    <w:rsid w:val="00AC4043"/>
    <w:rsid w:val="00AC6CEA"/>
    <w:rsid w:val="00AD2725"/>
    <w:rsid w:val="00AE2AE0"/>
    <w:rsid w:val="00AE5488"/>
    <w:rsid w:val="00AE6436"/>
    <w:rsid w:val="00AE6F91"/>
    <w:rsid w:val="00AF0D59"/>
    <w:rsid w:val="00AF5571"/>
    <w:rsid w:val="00B0121B"/>
    <w:rsid w:val="00B0546A"/>
    <w:rsid w:val="00B07341"/>
    <w:rsid w:val="00B17754"/>
    <w:rsid w:val="00B20569"/>
    <w:rsid w:val="00B23B60"/>
    <w:rsid w:val="00B25097"/>
    <w:rsid w:val="00B26ED3"/>
    <w:rsid w:val="00B30539"/>
    <w:rsid w:val="00B314DB"/>
    <w:rsid w:val="00B31685"/>
    <w:rsid w:val="00B361F2"/>
    <w:rsid w:val="00B36826"/>
    <w:rsid w:val="00B3718B"/>
    <w:rsid w:val="00B3745F"/>
    <w:rsid w:val="00B4128C"/>
    <w:rsid w:val="00B4632A"/>
    <w:rsid w:val="00B52791"/>
    <w:rsid w:val="00B530F1"/>
    <w:rsid w:val="00B64D7A"/>
    <w:rsid w:val="00B761F6"/>
    <w:rsid w:val="00B878FC"/>
    <w:rsid w:val="00B90AF7"/>
    <w:rsid w:val="00B97196"/>
    <w:rsid w:val="00BA06C4"/>
    <w:rsid w:val="00BA276C"/>
    <w:rsid w:val="00BA6FA2"/>
    <w:rsid w:val="00BA7D6A"/>
    <w:rsid w:val="00BB306F"/>
    <w:rsid w:val="00BB38B1"/>
    <w:rsid w:val="00BB40B4"/>
    <w:rsid w:val="00BC2950"/>
    <w:rsid w:val="00BC6DA4"/>
    <w:rsid w:val="00BD4B89"/>
    <w:rsid w:val="00BD5922"/>
    <w:rsid w:val="00BD6F4C"/>
    <w:rsid w:val="00BD7E7A"/>
    <w:rsid w:val="00BF02CB"/>
    <w:rsid w:val="00BF5123"/>
    <w:rsid w:val="00BF6FD8"/>
    <w:rsid w:val="00C00D5B"/>
    <w:rsid w:val="00C03680"/>
    <w:rsid w:val="00C054DF"/>
    <w:rsid w:val="00C0553E"/>
    <w:rsid w:val="00C06B81"/>
    <w:rsid w:val="00C152C1"/>
    <w:rsid w:val="00C21762"/>
    <w:rsid w:val="00C21FEF"/>
    <w:rsid w:val="00C22EDD"/>
    <w:rsid w:val="00C23BA4"/>
    <w:rsid w:val="00C24543"/>
    <w:rsid w:val="00C24AE9"/>
    <w:rsid w:val="00C256A2"/>
    <w:rsid w:val="00C25ADB"/>
    <w:rsid w:val="00C26801"/>
    <w:rsid w:val="00C304FB"/>
    <w:rsid w:val="00C3790B"/>
    <w:rsid w:val="00C4299F"/>
    <w:rsid w:val="00C51515"/>
    <w:rsid w:val="00C5660B"/>
    <w:rsid w:val="00C56CA4"/>
    <w:rsid w:val="00C57E10"/>
    <w:rsid w:val="00C621E2"/>
    <w:rsid w:val="00C63108"/>
    <w:rsid w:val="00C65C97"/>
    <w:rsid w:val="00C66B72"/>
    <w:rsid w:val="00C73B6F"/>
    <w:rsid w:val="00C85621"/>
    <w:rsid w:val="00C862B6"/>
    <w:rsid w:val="00C871D9"/>
    <w:rsid w:val="00C87AC4"/>
    <w:rsid w:val="00C93144"/>
    <w:rsid w:val="00C934ED"/>
    <w:rsid w:val="00C9567A"/>
    <w:rsid w:val="00C95B4E"/>
    <w:rsid w:val="00CA52BE"/>
    <w:rsid w:val="00CA7C15"/>
    <w:rsid w:val="00CB1F22"/>
    <w:rsid w:val="00CB212D"/>
    <w:rsid w:val="00CB2660"/>
    <w:rsid w:val="00CB6446"/>
    <w:rsid w:val="00CB7B38"/>
    <w:rsid w:val="00CB7C9A"/>
    <w:rsid w:val="00CC083B"/>
    <w:rsid w:val="00CC5E90"/>
    <w:rsid w:val="00CC7E86"/>
    <w:rsid w:val="00CD046C"/>
    <w:rsid w:val="00CE03AB"/>
    <w:rsid w:val="00CE076C"/>
    <w:rsid w:val="00CE1797"/>
    <w:rsid w:val="00CE1A38"/>
    <w:rsid w:val="00CE5146"/>
    <w:rsid w:val="00CE5199"/>
    <w:rsid w:val="00CE66D5"/>
    <w:rsid w:val="00CF054D"/>
    <w:rsid w:val="00CF5681"/>
    <w:rsid w:val="00CF637A"/>
    <w:rsid w:val="00CF686F"/>
    <w:rsid w:val="00CF6897"/>
    <w:rsid w:val="00D059DE"/>
    <w:rsid w:val="00D05ABD"/>
    <w:rsid w:val="00D12309"/>
    <w:rsid w:val="00D13A3A"/>
    <w:rsid w:val="00D13FCE"/>
    <w:rsid w:val="00D20A71"/>
    <w:rsid w:val="00D20E85"/>
    <w:rsid w:val="00D267B6"/>
    <w:rsid w:val="00D306D1"/>
    <w:rsid w:val="00D30800"/>
    <w:rsid w:val="00D30857"/>
    <w:rsid w:val="00D34786"/>
    <w:rsid w:val="00D37BFC"/>
    <w:rsid w:val="00D40720"/>
    <w:rsid w:val="00D41704"/>
    <w:rsid w:val="00D43FD2"/>
    <w:rsid w:val="00D44543"/>
    <w:rsid w:val="00D47A8E"/>
    <w:rsid w:val="00D52D14"/>
    <w:rsid w:val="00D53743"/>
    <w:rsid w:val="00D55BD7"/>
    <w:rsid w:val="00D60E6A"/>
    <w:rsid w:val="00D67CC5"/>
    <w:rsid w:val="00D712D3"/>
    <w:rsid w:val="00D71422"/>
    <w:rsid w:val="00D72DC6"/>
    <w:rsid w:val="00D73395"/>
    <w:rsid w:val="00D74372"/>
    <w:rsid w:val="00D7487A"/>
    <w:rsid w:val="00D7558D"/>
    <w:rsid w:val="00D763BE"/>
    <w:rsid w:val="00D81D92"/>
    <w:rsid w:val="00D85474"/>
    <w:rsid w:val="00D876F9"/>
    <w:rsid w:val="00D947CE"/>
    <w:rsid w:val="00D95DD4"/>
    <w:rsid w:val="00DA679D"/>
    <w:rsid w:val="00DA6E9A"/>
    <w:rsid w:val="00DA7B5F"/>
    <w:rsid w:val="00DB310E"/>
    <w:rsid w:val="00DC11E7"/>
    <w:rsid w:val="00DC1D59"/>
    <w:rsid w:val="00DC24E3"/>
    <w:rsid w:val="00DC7023"/>
    <w:rsid w:val="00DC769A"/>
    <w:rsid w:val="00DD3D86"/>
    <w:rsid w:val="00DD4AD2"/>
    <w:rsid w:val="00DD7D8B"/>
    <w:rsid w:val="00DE4DB9"/>
    <w:rsid w:val="00DE6CAA"/>
    <w:rsid w:val="00DE6DD8"/>
    <w:rsid w:val="00DF1EC4"/>
    <w:rsid w:val="00E0340B"/>
    <w:rsid w:val="00E0341E"/>
    <w:rsid w:val="00E04A90"/>
    <w:rsid w:val="00E0551F"/>
    <w:rsid w:val="00E1732B"/>
    <w:rsid w:val="00E219C7"/>
    <w:rsid w:val="00E2396A"/>
    <w:rsid w:val="00E276CB"/>
    <w:rsid w:val="00E376B6"/>
    <w:rsid w:val="00E4118C"/>
    <w:rsid w:val="00E43157"/>
    <w:rsid w:val="00E461CE"/>
    <w:rsid w:val="00E4782E"/>
    <w:rsid w:val="00E533C4"/>
    <w:rsid w:val="00E573E4"/>
    <w:rsid w:val="00E64C3D"/>
    <w:rsid w:val="00E66E31"/>
    <w:rsid w:val="00E720CA"/>
    <w:rsid w:val="00E75B72"/>
    <w:rsid w:val="00E82DDC"/>
    <w:rsid w:val="00E83254"/>
    <w:rsid w:val="00E84EB5"/>
    <w:rsid w:val="00E85662"/>
    <w:rsid w:val="00E87376"/>
    <w:rsid w:val="00E8789F"/>
    <w:rsid w:val="00E929B1"/>
    <w:rsid w:val="00E92EB2"/>
    <w:rsid w:val="00E93616"/>
    <w:rsid w:val="00E958BF"/>
    <w:rsid w:val="00E97B71"/>
    <w:rsid w:val="00EA0A2A"/>
    <w:rsid w:val="00EA3D34"/>
    <w:rsid w:val="00EB454D"/>
    <w:rsid w:val="00EC61CE"/>
    <w:rsid w:val="00ED331F"/>
    <w:rsid w:val="00ED3F69"/>
    <w:rsid w:val="00ED461E"/>
    <w:rsid w:val="00ED549D"/>
    <w:rsid w:val="00ED76BE"/>
    <w:rsid w:val="00EE00E9"/>
    <w:rsid w:val="00EF1AAA"/>
    <w:rsid w:val="00EF2140"/>
    <w:rsid w:val="00EF619B"/>
    <w:rsid w:val="00F00B55"/>
    <w:rsid w:val="00F00DC3"/>
    <w:rsid w:val="00F024D4"/>
    <w:rsid w:val="00F02AD1"/>
    <w:rsid w:val="00F12290"/>
    <w:rsid w:val="00F155A7"/>
    <w:rsid w:val="00F167A6"/>
    <w:rsid w:val="00F253CC"/>
    <w:rsid w:val="00F34BAB"/>
    <w:rsid w:val="00F367B8"/>
    <w:rsid w:val="00F37106"/>
    <w:rsid w:val="00F42854"/>
    <w:rsid w:val="00F43E48"/>
    <w:rsid w:val="00F44E25"/>
    <w:rsid w:val="00F519CF"/>
    <w:rsid w:val="00F53D49"/>
    <w:rsid w:val="00F56BA5"/>
    <w:rsid w:val="00F60E22"/>
    <w:rsid w:val="00F64959"/>
    <w:rsid w:val="00F66492"/>
    <w:rsid w:val="00F74061"/>
    <w:rsid w:val="00F75221"/>
    <w:rsid w:val="00F75D84"/>
    <w:rsid w:val="00F81395"/>
    <w:rsid w:val="00F81BB8"/>
    <w:rsid w:val="00F85508"/>
    <w:rsid w:val="00F90C64"/>
    <w:rsid w:val="00F917D1"/>
    <w:rsid w:val="00F9653B"/>
    <w:rsid w:val="00FA2ECB"/>
    <w:rsid w:val="00FB62CF"/>
    <w:rsid w:val="00FB635C"/>
    <w:rsid w:val="00FC11B1"/>
    <w:rsid w:val="00FC6D3D"/>
    <w:rsid w:val="00FD1753"/>
    <w:rsid w:val="00FD2FB5"/>
    <w:rsid w:val="00FD3C3B"/>
    <w:rsid w:val="00FE0390"/>
    <w:rsid w:val="00FE07DD"/>
    <w:rsid w:val="00FE6B45"/>
    <w:rsid w:val="00FF55F3"/>
    <w:rsid w:val="00FF5851"/>
    <w:rsid w:val="00FF7B79"/>
    <w:rsid w:val="07D1E18F"/>
    <w:rsid w:val="3D33C8CF"/>
    <w:rsid w:val="4E760D9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1">
    <w:name w:val="List 21"/>
    <w:basedOn w:val="Estiloimportado19"/>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1">
    <w:name w:val="List 31"/>
    <w:basedOn w:val="Estiloimportado27"/>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1">
    <w:name w:val="List 41"/>
    <w:basedOn w:val="Estiloimportado37"/>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1">
    <w:name w:val="List 51"/>
    <w:basedOn w:val="Estiloimportado46"/>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uiPriority w:val="99"/>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uiPriority w:val="99"/>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79588C"/>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663157"/>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CommentReference">
    <w:name w:val="annotation reference"/>
    <w:basedOn w:val="DefaultParagraphFont"/>
    <w:uiPriority w:val="99"/>
    <w:semiHidden/>
    <w:unhideWhenUsed/>
    <w:rsid w:val="00021E86"/>
    <w:rPr>
      <w:sz w:val="16"/>
      <w:szCs w:val="16"/>
    </w:rPr>
  </w:style>
  <w:style w:type="paragraph" w:styleId="CommentText">
    <w:name w:val="annotation text"/>
    <w:basedOn w:val="Normal"/>
    <w:link w:val="CommentTextChar"/>
    <w:uiPriority w:val="99"/>
    <w:unhideWhenUsed/>
    <w:rsid w:val="00021E86"/>
    <w:rPr>
      <w:sz w:val="20"/>
      <w:szCs w:val="20"/>
    </w:rPr>
  </w:style>
  <w:style w:type="character" w:customStyle="1" w:styleId="CommentTextChar">
    <w:name w:val="Comment Text Char"/>
    <w:basedOn w:val="DefaultParagraphFont"/>
    <w:link w:val="CommentText"/>
    <w:uiPriority w:val="99"/>
    <w:rsid w:val="00021E86"/>
    <w:rPr>
      <w:lang w:val="en-US" w:eastAsia="en-US"/>
    </w:rPr>
  </w:style>
  <w:style w:type="paragraph" w:styleId="CommentSubject">
    <w:name w:val="annotation subject"/>
    <w:basedOn w:val="CommentText"/>
    <w:next w:val="CommentText"/>
    <w:link w:val="CommentSubjectChar"/>
    <w:uiPriority w:val="99"/>
    <w:semiHidden/>
    <w:unhideWhenUsed/>
    <w:rsid w:val="00021E86"/>
    <w:rPr>
      <w:b/>
      <w:bCs/>
    </w:rPr>
  </w:style>
  <w:style w:type="character" w:customStyle="1" w:styleId="CommentSubjectChar">
    <w:name w:val="Comment Subject Char"/>
    <w:basedOn w:val="CommentTextChar"/>
    <w:link w:val="CommentSubject"/>
    <w:uiPriority w:val="99"/>
    <w:semiHidden/>
    <w:rsid w:val="00021E86"/>
    <w:rPr>
      <w:b/>
      <w:bCs/>
      <w:lang w:val="en-US" w:eastAsia="en-US"/>
    </w:rPr>
  </w:style>
  <w:style w:type="character" w:styleId="UnresolvedMention">
    <w:name w:val="Unresolved Mention"/>
    <w:basedOn w:val="DefaultParagraphFont"/>
    <w:uiPriority w:val="99"/>
    <w:semiHidden/>
    <w:unhideWhenUsed/>
    <w:rsid w:val="0051180B"/>
    <w:rPr>
      <w:color w:val="605E5C"/>
      <w:shd w:val="clear" w:color="auto" w:fill="E1DFDD"/>
    </w:rPr>
  </w:style>
  <w:style w:type="numbering" w:customStyle="1" w:styleId="List210">
    <w:name w:val="List 210"/>
    <w:basedOn w:val="Estiloimportado19"/>
    <w:rsid w:val="00A917DC"/>
    <w:pPr>
      <w:numPr>
        <w:numId w:val="81"/>
      </w:numPr>
    </w:pPr>
  </w:style>
  <w:style w:type="numbering" w:customStyle="1" w:styleId="List310">
    <w:name w:val="List 310"/>
    <w:basedOn w:val="Estiloimportado27"/>
    <w:rsid w:val="00A917DC"/>
    <w:pPr>
      <w:numPr>
        <w:numId w:val="88"/>
      </w:numPr>
    </w:pPr>
  </w:style>
  <w:style w:type="numbering" w:customStyle="1" w:styleId="List410">
    <w:name w:val="List 410"/>
    <w:basedOn w:val="Estiloimportado37"/>
    <w:rsid w:val="00A917DC"/>
    <w:pPr>
      <w:numPr>
        <w:numId w:val="87"/>
      </w:numPr>
    </w:pPr>
  </w:style>
  <w:style w:type="numbering" w:customStyle="1" w:styleId="List510">
    <w:name w:val="List 510"/>
    <w:basedOn w:val="Estiloimportado46"/>
    <w:rsid w:val="00A917DC"/>
    <w:pPr>
      <w:numPr>
        <w:numId w:val="76"/>
      </w:numPr>
    </w:pPr>
  </w:style>
  <w:style w:type="paragraph" w:customStyle="1" w:styleId="paragraph">
    <w:name w:val="paragraph"/>
    <w:basedOn w:val="Normal"/>
    <w:rsid w:val="008E43C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8E43C1"/>
  </w:style>
  <w:style w:type="character" w:customStyle="1" w:styleId="eop">
    <w:name w:val="eop"/>
    <w:basedOn w:val="DefaultParagraphFont"/>
    <w:rsid w:val="008E4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1752C"/>
    <w:rsid w:val="00080BD6"/>
    <w:rsid w:val="000D5D1B"/>
    <w:rsid w:val="002004BB"/>
    <w:rsid w:val="00200821"/>
    <w:rsid w:val="0025245B"/>
    <w:rsid w:val="00266802"/>
    <w:rsid w:val="002A3923"/>
    <w:rsid w:val="002A7C9B"/>
    <w:rsid w:val="00394049"/>
    <w:rsid w:val="003A57F6"/>
    <w:rsid w:val="003B28BF"/>
    <w:rsid w:val="004117F3"/>
    <w:rsid w:val="00476769"/>
    <w:rsid w:val="004B5BBB"/>
    <w:rsid w:val="004D6B06"/>
    <w:rsid w:val="004F2DF8"/>
    <w:rsid w:val="00506A6B"/>
    <w:rsid w:val="005450A1"/>
    <w:rsid w:val="006815B9"/>
    <w:rsid w:val="006F24A1"/>
    <w:rsid w:val="006F741F"/>
    <w:rsid w:val="007258EB"/>
    <w:rsid w:val="00734082"/>
    <w:rsid w:val="0079527E"/>
    <w:rsid w:val="0087279B"/>
    <w:rsid w:val="00902EAF"/>
    <w:rsid w:val="00950D63"/>
    <w:rsid w:val="009A261B"/>
    <w:rsid w:val="00AA2E17"/>
    <w:rsid w:val="00AC15A4"/>
    <w:rsid w:val="00B0336C"/>
    <w:rsid w:val="00B90639"/>
    <w:rsid w:val="00D0211A"/>
    <w:rsid w:val="00D241E9"/>
    <w:rsid w:val="00D7750D"/>
    <w:rsid w:val="00DE6726"/>
    <w:rsid w:val="00E1324C"/>
    <w:rsid w:val="00E91C72"/>
    <w:rsid w:val="00F00D2F"/>
    <w:rsid w:val="00F128DF"/>
    <w:rsid w:val="00F147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4856</Words>
  <Characters>27684</Characters>
  <Application>Microsoft Office Word</Application>
  <DocSecurity>0</DocSecurity>
  <Lines>230</Lines>
  <Paragraphs>64</Paragraphs>
  <ScaleCrop>false</ScaleCrop>
  <Company/>
  <LinksUpToDate>false</LinksUpToDate>
  <CharactersWithSpaces>32476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2023-11-27T18:01:00Z</dcterms:created>
  <dcterms:modified xsi:type="dcterms:W3CDTF">2023-11-27T18:01:00Z</dcterms:modified>
</cp:coreProperties>
</file>