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DF425F" w:rsidRDefault="00D306D1" w:rsidP="00627C9F">
      <w:pPr>
        <w:jc w:val="both"/>
        <w:rPr>
          <w:rFonts w:asciiTheme="majorHAnsi" w:hAnsiTheme="majorHAnsi" w:cs="Univers"/>
          <w:b/>
          <w:bCs/>
          <w:sz w:val="22"/>
          <w:szCs w:val="22"/>
          <w:lang w:val="es-CO"/>
        </w:rPr>
      </w:pPr>
      <w:r w:rsidRPr="00DF425F">
        <w:rPr>
          <w:rFonts w:asciiTheme="majorHAnsi" w:hAnsiTheme="majorHAnsi"/>
          <w:noProof/>
          <w:sz w:val="22"/>
          <w:szCs w:val="22"/>
          <w:lang w:val="es-CO"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6E4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F425F">
        <w:rPr>
          <w:rFonts w:asciiTheme="majorHAnsi" w:hAnsiTheme="majorHAnsi"/>
          <w:noProof/>
          <w:sz w:val="22"/>
          <w:szCs w:val="22"/>
          <w:lang w:val="es-CO"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DF425F" w:rsidRDefault="00040C3A" w:rsidP="00040C3A">
      <w:pPr>
        <w:tabs>
          <w:tab w:val="center" w:pos="5400"/>
        </w:tabs>
        <w:suppressAutoHyphens/>
        <w:jc w:val="both"/>
        <w:rPr>
          <w:rFonts w:asciiTheme="majorHAnsi" w:hAnsiTheme="majorHAnsi"/>
          <w:sz w:val="22"/>
          <w:szCs w:val="22"/>
          <w:lang w:val="es-CO"/>
        </w:rPr>
      </w:pPr>
    </w:p>
    <w:p w14:paraId="5A87E141" w14:textId="77777777" w:rsidR="00040C3A" w:rsidRPr="00DF425F" w:rsidRDefault="00040C3A" w:rsidP="00040C3A">
      <w:pPr>
        <w:tabs>
          <w:tab w:val="center" w:pos="5400"/>
        </w:tabs>
        <w:suppressAutoHyphens/>
        <w:jc w:val="both"/>
        <w:rPr>
          <w:rFonts w:asciiTheme="majorHAnsi" w:hAnsiTheme="majorHAnsi"/>
          <w:sz w:val="22"/>
          <w:szCs w:val="22"/>
          <w:lang w:val="es-CO"/>
        </w:rPr>
      </w:pPr>
    </w:p>
    <w:p w14:paraId="29D95BCC" w14:textId="77777777" w:rsidR="005128E4" w:rsidRPr="00DF425F" w:rsidRDefault="005128E4" w:rsidP="00040C3A">
      <w:pPr>
        <w:tabs>
          <w:tab w:val="center" w:pos="5400"/>
        </w:tabs>
        <w:suppressAutoHyphens/>
        <w:rPr>
          <w:rFonts w:asciiTheme="majorHAnsi" w:hAnsiTheme="majorHAnsi"/>
          <w:sz w:val="22"/>
          <w:szCs w:val="22"/>
          <w:lang w:val="es-CO"/>
        </w:rPr>
      </w:pPr>
    </w:p>
    <w:p w14:paraId="12A36B24" w14:textId="77777777" w:rsidR="005128E4" w:rsidRPr="00DF425F" w:rsidRDefault="005128E4" w:rsidP="00040C3A">
      <w:pPr>
        <w:tabs>
          <w:tab w:val="center" w:pos="5400"/>
        </w:tabs>
        <w:suppressAutoHyphens/>
        <w:rPr>
          <w:rFonts w:asciiTheme="majorHAnsi" w:hAnsiTheme="majorHAnsi"/>
          <w:sz w:val="22"/>
          <w:szCs w:val="22"/>
          <w:lang w:val="es-CO"/>
        </w:rPr>
      </w:pPr>
    </w:p>
    <w:p w14:paraId="2252093D" w14:textId="77777777" w:rsidR="005128E4" w:rsidRPr="00DF425F" w:rsidRDefault="005128E4" w:rsidP="00040C3A">
      <w:pPr>
        <w:tabs>
          <w:tab w:val="center" w:pos="5400"/>
        </w:tabs>
        <w:suppressAutoHyphens/>
        <w:rPr>
          <w:rFonts w:asciiTheme="majorHAnsi" w:hAnsiTheme="majorHAnsi"/>
          <w:sz w:val="22"/>
          <w:szCs w:val="22"/>
          <w:lang w:val="es-CO"/>
        </w:rPr>
      </w:pPr>
    </w:p>
    <w:p w14:paraId="403935BD" w14:textId="77777777" w:rsidR="00040C3A" w:rsidRPr="00DF425F" w:rsidRDefault="00040C3A" w:rsidP="005128E4">
      <w:pPr>
        <w:tabs>
          <w:tab w:val="center" w:pos="5400"/>
        </w:tabs>
        <w:suppressAutoHyphens/>
        <w:jc w:val="center"/>
        <w:rPr>
          <w:rFonts w:asciiTheme="majorHAnsi" w:hAnsiTheme="majorHAnsi"/>
          <w:sz w:val="22"/>
          <w:szCs w:val="22"/>
          <w:lang w:val="es-CO"/>
        </w:rPr>
      </w:pPr>
    </w:p>
    <w:p w14:paraId="6DCF5F8F" w14:textId="77777777" w:rsidR="00040C3A" w:rsidRPr="00DF425F" w:rsidRDefault="00040C3A" w:rsidP="005128E4">
      <w:pPr>
        <w:tabs>
          <w:tab w:val="center" w:pos="5400"/>
        </w:tabs>
        <w:suppressAutoHyphens/>
        <w:jc w:val="center"/>
        <w:rPr>
          <w:rFonts w:asciiTheme="majorHAnsi" w:hAnsiTheme="majorHAnsi"/>
          <w:sz w:val="22"/>
          <w:szCs w:val="22"/>
          <w:lang w:val="es-CO"/>
        </w:rPr>
      </w:pPr>
    </w:p>
    <w:p w14:paraId="4791F13A" w14:textId="77777777" w:rsidR="005B52B0" w:rsidRPr="00DF425F" w:rsidRDefault="005B52B0" w:rsidP="005128E4">
      <w:pPr>
        <w:tabs>
          <w:tab w:val="center" w:pos="5400"/>
        </w:tabs>
        <w:suppressAutoHyphens/>
        <w:jc w:val="center"/>
        <w:rPr>
          <w:rFonts w:asciiTheme="majorHAnsi" w:hAnsiTheme="majorHAnsi"/>
          <w:sz w:val="22"/>
          <w:szCs w:val="22"/>
          <w:lang w:val="es-CO"/>
        </w:rPr>
      </w:pPr>
    </w:p>
    <w:p w14:paraId="44E016B6" w14:textId="77777777" w:rsidR="005B52B0" w:rsidRPr="00DF425F" w:rsidRDefault="005B52B0" w:rsidP="005128E4">
      <w:pPr>
        <w:tabs>
          <w:tab w:val="center" w:pos="5400"/>
        </w:tabs>
        <w:suppressAutoHyphens/>
        <w:jc w:val="center"/>
        <w:rPr>
          <w:rFonts w:asciiTheme="majorHAnsi" w:hAnsiTheme="majorHAnsi"/>
          <w:sz w:val="22"/>
          <w:szCs w:val="22"/>
          <w:lang w:val="es-CO"/>
        </w:rPr>
      </w:pPr>
    </w:p>
    <w:p w14:paraId="63D41962" w14:textId="77777777" w:rsidR="005B52B0" w:rsidRPr="00DF425F" w:rsidRDefault="005B52B0" w:rsidP="005128E4">
      <w:pPr>
        <w:tabs>
          <w:tab w:val="center" w:pos="5400"/>
        </w:tabs>
        <w:suppressAutoHyphens/>
        <w:jc w:val="center"/>
        <w:rPr>
          <w:rFonts w:asciiTheme="majorHAnsi" w:hAnsiTheme="majorHAnsi"/>
          <w:sz w:val="22"/>
          <w:szCs w:val="22"/>
          <w:lang w:val="es-CO"/>
        </w:rPr>
      </w:pPr>
    </w:p>
    <w:p w14:paraId="5ADEB990"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2D81B7E8"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64791D04" w14:textId="77777777" w:rsidR="00040C3A" w:rsidRPr="00DF425F" w:rsidRDefault="003D3BC2" w:rsidP="00040C3A">
      <w:pPr>
        <w:tabs>
          <w:tab w:val="center" w:pos="5400"/>
        </w:tabs>
        <w:suppressAutoHyphens/>
        <w:jc w:val="center"/>
        <w:rPr>
          <w:rFonts w:asciiTheme="majorHAnsi" w:hAnsiTheme="majorHAnsi"/>
          <w:sz w:val="22"/>
          <w:szCs w:val="22"/>
          <w:lang w:val="es-CO"/>
        </w:rPr>
      </w:pPr>
      <w:r w:rsidRPr="00DF425F">
        <w:rPr>
          <w:rFonts w:asciiTheme="majorHAnsi" w:hAnsiTheme="majorHAnsi"/>
          <w:noProof/>
          <w:sz w:val="22"/>
          <w:szCs w:val="22"/>
          <w:lang w:val="es-CO"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5308D3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7555">
                              <w:rPr>
                                <w:rFonts w:asciiTheme="majorHAnsi" w:hAnsiTheme="majorHAnsi" w:cs="Arial"/>
                                <w:b/>
                                <w:bCs/>
                                <w:color w:val="0D0D0D" w:themeColor="text1" w:themeTint="F2"/>
                                <w:sz w:val="36"/>
                                <w:szCs w:val="22"/>
                                <w:lang w:val="es-ES_tradnl"/>
                              </w:rPr>
                              <w:t>252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F7A71D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D0B62">
                              <w:rPr>
                                <w:rFonts w:asciiTheme="majorHAnsi" w:hAnsiTheme="majorHAnsi" w:cs="Arial"/>
                                <w:b/>
                                <w:color w:val="0D0D0D" w:themeColor="text1" w:themeTint="F2"/>
                                <w:sz w:val="36"/>
                                <w:szCs w:val="22"/>
                                <w:lang w:val="es-ES_tradnl"/>
                              </w:rPr>
                              <w:t>1998</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5B19">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51E3CF7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C21336">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EE68B8F" w:rsidR="005B52B0" w:rsidRPr="0010736F" w:rsidRDefault="00DE64A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GINA MARÍA GONZÁLEZ DOMÍNGUEZ </w:t>
                            </w:r>
                          </w:p>
                          <w:bookmarkEnd w:id="0"/>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5308D3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7555">
                        <w:rPr>
                          <w:rFonts w:asciiTheme="majorHAnsi" w:hAnsiTheme="majorHAnsi" w:cs="Arial"/>
                          <w:b/>
                          <w:bCs/>
                          <w:color w:val="0D0D0D" w:themeColor="text1" w:themeTint="F2"/>
                          <w:sz w:val="36"/>
                          <w:szCs w:val="22"/>
                          <w:lang w:val="es-ES_tradnl"/>
                        </w:rPr>
                        <w:t>252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F7A71D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D0B62">
                        <w:rPr>
                          <w:rFonts w:asciiTheme="majorHAnsi" w:hAnsiTheme="majorHAnsi" w:cs="Arial"/>
                          <w:b/>
                          <w:color w:val="0D0D0D" w:themeColor="text1" w:themeTint="F2"/>
                          <w:sz w:val="36"/>
                          <w:szCs w:val="22"/>
                          <w:lang w:val="es-ES_tradnl"/>
                        </w:rPr>
                        <w:t>1998</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5B19">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51E3CF7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sidR="00C21336">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EE68B8F" w:rsidR="005B52B0" w:rsidRPr="0010736F" w:rsidRDefault="00DE64A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GINA MARÍA GONZÁLEZ DOMÍNGUEZ </w:t>
                      </w:r>
                    </w:p>
                    <w:bookmarkEnd w:id="1"/>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F425F">
        <w:rPr>
          <w:rFonts w:asciiTheme="majorHAnsi" w:hAnsiTheme="majorHAnsi"/>
          <w:noProof/>
          <w:sz w:val="22"/>
          <w:szCs w:val="22"/>
          <w:lang w:val="es-CO"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7706D72" w:rsidR="00627C9F" w:rsidRPr="004B4773" w:rsidRDefault="00834D49" w:rsidP="007A5817">
                            <w:pPr>
                              <w:spacing w:line="276" w:lineRule="auto"/>
                              <w:jc w:val="right"/>
                              <w:rPr>
                                <w:rFonts w:asciiTheme="minorHAnsi" w:hAnsiTheme="minorHAnsi"/>
                                <w:color w:val="FFFFFF" w:themeColor="background1"/>
                                <w:sz w:val="22"/>
                                <w:lang w:val="es-AR"/>
                              </w:rPr>
                            </w:pPr>
                            <w:r w:rsidRPr="004B4773">
                              <w:rPr>
                                <w:rFonts w:asciiTheme="minorHAnsi" w:hAnsiTheme="minorHAnsi"/>
                                <w:color w:val="FFFFFF" w:themeColor="background1"/>
                                <w:sz w:val="22"/>
                                <w:lang w:val="es-AR"/>
                              </w:rPr>
                              <w:t>OEA/Ser.L/V/II</w:t>
                            </w:r>
                          </w:p>
                          <w:p w14:paraId="6A41611B" w14:textId="24E9F4E6" w:rsidR="00627C9F" w:rsidRPr="004B4773" w:rsidRDefault="00627C9F" w:rsidP="007A5817">
                            <w:pPr>
                              <w:spacing w:line="276" w:lineRule="auto"/>
                              <w:jc w:val="right"/>
                              <w:rPr>
                                <w:rFonts w:asciiTheme="minorHAnsi" w:hAnsiTheme="minorHAnsi"/>
                                <w:color w:val="FFFFFF" w:themeColor="background1"/>
                                <w:sz w:val="22"/>
                                <w:lang w:val="es-AR"/>
                              </w:rPr>
                            </w:pPr>
                            <w:r w:rsidRPr="004B4773">
                              <w:rPr>
                                <w:rFonts w:asciiTheme="minorHAnsi" w:hAnsiTheme="minorHAnsi"/>
                                <w:color w:val="FFFFFF" w:themeColor="background1"/>
                                <w:sz w:val="22"/>
                                <w:lang w:val="es-AR"/>
                              </w:rPr>
                              <w:t xml:space="preserve">Doc. </w:t>
                            </w:r>
                            <w:r w:rsidR="00890F46" w:rsidRPr="004B4773">
                              <w:rPr>
                                <w:rFonts w:asciiTheme="minorHAnsi" w:hAnsiTheme="minorHAnsi"/>
                                <w:color w:val="FFFFFF" w:themeColor="background1"/>
                                <w:sz w:val="22"/>
                                <w:lang w:val="es-AR"/>
                              </w:rPr>
                              <w:t>271</w:t>
                            </w:r>
                          </w:p>
                          <w:p w14:paraId="69373ED2" w14:textId="27C2143D" w:rsidR="00627C9F" w:rsidRPr="00C25ADB" w:rsidRDefault="00890F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7706D72" w:rsidR="00627C9F" w:rsidRPr="004B4773" w:rsidRDefault="00834D49" w:rsidP="007A5817">
                      <w:pPr>
                        <w:spacing w:line="276" w:lineRule="auto"/>
                        <w:jc w:val="right"/>
                        <w:rPr>
                          <w:rFonts w:asciiTheme="minorHAnsi" w:hAnsiTheme="minorHAnsi"/>
                          <w:color w:val="FFFFFF" w:themeColor="background1"/>
                          <w:sz w:val="22"/>
                          <w:lang w:val="es-AR"/>
                        </w:rPr>
                      </w:pPr>
                      <w:r w:rsidRPr="004B4773">
                        <w:rPr>
                          <w:rFonts w:asciiTheme="minorHAnsi" w:hAnsiTheme="minorHAnsi"/>
                          <w:color w:val="FFFFFF" w:themeColor="background1"/>
                          <w:sz w:val="22"/>
                          <w:lang w:val="es-AR"/>
                        </w:rPr>
                        <w:t>OEA/Ser.L/V/II</w:t>
                      </w:r>
                    </w:p>
                    <w:p w14:paraId="6A41611B" w14:textId="24E9F4E6" w:rsidR="00627C9F" w:rsidRPr="004B4773" w:rsidRDefault="00627C9F" w:rsidP="007A5817">
                      <w:pPr>
                        <w:spacing w:line="276" w:lineRule="auto"/>
                        <w:jc w:val="right"/>
                        <w:rPr>
                          <w:rFonts w:asciiTheme="minorHAnsi" w:hAnsiTheme="minorHAnsi"/>
                          <w:color w:val="FFFFFF" w:themeColor="background1"/>
                          <w:sz w:val="22"/>
                          <w:lang w:val="es-AR"/>
                        </w:rPr>
                      </w:pPr>
                      <w:r w:rsidRPr="004B4773">
                        <w:rPr>
                          <w:rFonts w:asciiTheme="minorHAnsi" w:hAnsiTheme="minorHAnsi"/>
                          <w:color w:val="FFFFFF" w:themeColor="background1"/>
                          <w:sz w:val="22"/>
                          <w:lang w:val="es-AR"/>
                        </w:rPr>
                        <w:t xml:space="preserve">Doc. </w:t>
                      </w:r>
                      <w:r w:rsidR="00890F46" w:rsidRPr="004B4773">
                        <w:rPr>
                          <w:rFonts w:asciiTheme="minorHAnsi" w:hAnsiTheme="minorHAnsi"/>
                          <w:color w:val="FFFFFF" w:themeColor="background1"/>
                          <w:sz w:val="22"/>
                          <w:lang w:val="es-AR"/>
                        </w:rPr>
                        <w:t>271</w:t>
                      </w:r>
                    </w:p>
                    <w:p w14:paraId="69373ED2" w14:textId="27C2143D" w:rsidR="00627C9F" w:rsidRPr="00C25ADB" w:rsidRDefault="00890F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5FE3AB87"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3C383BC0" w14:textId="77777777" w:rsidR="00040C3A" w:rsidRPr="00DF425F" w:rsidRDefault="00040C3A" w:rsidP="00040C3A">
      <w:pPr>
        <w:tabs>
          <w:tab w:val="center" w:pos="5400"/>
        </w:tabs>
        <w:suppressAutoHyphens/>
        <w:jc w:val="center"/>
        <w:rPr>
          <w:rFonts w:asciiTheme="majorHAnsi" w:hAnsiTheme="majorHAnsi" w:cs="Arial"/>
          <w:sz w:val="22"/>
          <w:szCs w:val="22"/>
          <w:lang w:val="es-CO"/>
        </w:rPr>
      </w:pPr>
    </w:p>
    <w:p w14:paraId="54590931"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76C291D6"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2161B44F"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3C4EEE07"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3B0E4647" w14:textId="77777777" w:rsidR="005128E4" w:rsidRPr="00DF425F" w:rsidRDefault="005128E4" w:rsidP="00040C3A">
      <w:pPr>
        <w:tabs>
          <w:tab w:val="center" w:pos="5400"/>
        </w:tabs>
        <w:suppressAutoHyphens/>
        <w:jc w:val="center"/>
        <w:rPr>
          <w:rFonts w:asciiTheme="majorHAnsi" w:hAnsiTheme="majorHAnsi"/>
          <w:sz w:val="22"/>
          <w:szCs w:val="22"/>
          <w:lang w:val="es-CO"/>
        </w:rPr>
      </w:pPr>
    </w:p>
    <w:p w14:paraId="2DAAF36D"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12496A14" w14:textId="77777777" w:rsidR="005128E4" w:rsidRPr="00DF425F" w:rsidRDefault="005128E4" w:rsidP="00040C3A">
      <w:pPr>
        <w:tabs>
          <w:tab w:val="center" w:pos="5400"/>
        </w:tabs>
        <w:suppressAutoHyphens/>
        <w:jc w:val="center"/>
        <w:rPr>
          <w:rFonts w:asciiTheme="majorHAnsi" w:hAnsiTheme="majorHAnsi"/>
          <w:sz w:val="22"/>
          <w:szCs w:val="22"/>
          <w:lang w:val="es-CO"/>
        </w:rPr>
      </w:pPr>
    </w:p>
    <w:p w14:paraId="25772DB3" w14:textId="77777777" w:rsidR="005128E4" w:rsidRPr="00DF425F" w:rsidRDefault="005128E4" w:rsidP="00040C3A">
      <w:pPr>
        <w:tabs>
          <w:tab w:val="center" w:pos="5400"/>
        </w:tabs>
        <w:suppressAutoHyphens/>
        <w:jc w:val="center"/>
        <w:rPr>
          <w:rFonts w:asciiTheme="majorHAnsi" w:hAnsiTheme="majorHAnsi"/>
          <w:sz w:val="22"/>
          <w:szCs w:val="22"/>
          <w:lang w:val="es-CO"/>
        </w:rPr>
      </w:pPr>
    </w:p>
    <w:p w14:paraId="6820FADA" w14:textId="77777777" w:rsidR="005128E4" w:rsidRPr="00DF425F" w:rsidRDefault="005128E4" w:rsidP="00040C3A">
      <w:pPr>
        <w:tabs>
          <w:tab w:val="center" w:pos="5400"/>
        </w:tabs>
        <w:suppressAutoHyphens/>
        <w:jc w:val="center"/>
        <w:rPr>
          <w:rFonts w:asciiTheme="majorHAnsi" w:hAnsiTheme="majorHAnsi"/>
          <w:sz w:val="22"/>
          <w:szCs w:val="22"/>
          <w:lang w:val="es-CO"/>
        </w:rPr>
      </w:pPr>
    </w:p>
    <w:p w14:paraId="54445A55"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5D4A4040" w14:textId="77777777" w:rsidR="00040C3A" w:rsidRPr="00DF425F" w:rsidRDefault="00040C3A" w:rsidP="00040C3A">
      <w:pPr>
        <w:tabs>
          <w:tab w:val="center" w:pos="5400"/>
        </w:tabs>
        <w:suppressAutoHyphens/>
        <w:jc w:val="center"/>
        <w:rPr>
          <w:rFonts w:asciiTheme="majorHAnsi" w:hAnsiTheme="majorHAnsi"/>
          <w:sz w:val="22"/>
          <w:szCs w:val="22"/>
          <w:lang w:val="es-CO"/>
        </w:rPr>
      </w:pPr>
    </w:p>
    <w:p w14:paraId="048FBB22"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190ABFB3"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4C690048"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733CA438"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7874DEEB"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3698D0D6"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1F907823"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045D9AC1"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16068EE5"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14A4A430"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0B3B735F"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02C5C441"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7806A2B0"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319C392B"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514A0182" w14:textId="77777777" w:rsidR="00A50FCF" w:rsidRPr="00DF425F" w:rsidRDefault="0090270B" w:rsidP="00040C3A">
      <w:pPr>
        <w:tabs>
          <w:tab w:val="center" w:pos="5400"/>
        </w:tabs>
        <w:suppressAutoHyphens/>
        <w:jc w:val="center"/>
        <w:rPr>
          <w:rFonts w:asciiTheme="majorHAnsi" w:hAnsiTheme="majorHAnsi"/>
          <w:sz w:val="18"/>
          <w:szCs w:val="22"/>
          <w:lang w:val="es-CO"/>
        </w:rPr>
      </w:pPr>
      <w:r w:rsidRPr="00DF425F">
        <w:rPr>
          <w:rFonts w:asciiTheme="majorHAnsi" w:hAnsiTheme="majorHAnsi"/>
          <w:noProof/>
          <w:sz w:val="22"/>
          <w:szCs w:val="22"/>
          <w:lang w:val="es-CO"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DBCD3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6148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16148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16148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DBCD3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6148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161488">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16148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7929D1FD"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5469D0BE"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7A79F059"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330672AE" w14:textId="77777777" w:rsidR="00A50FCF" w:rsidRPr="00DF425F" w:rsidRDefault="0090270B" w:rsidP="00040C3A">
      <w:pPr>
        <w:tabs>
          <w:tab w:val="center" w:pos="5400"/>
        </w:tabs>
        <w:suppressAutoHyphens/>
        <w:jc w:val="center"/>
        <w:rPr>
          <w:rFonts w:asciiTheme="majorHAnsi" w:hAnsiTheme="majorHAnsi"/>
          <w:sz w:val="18"/>
          <w:szCs w:val="22"/>
          <w:lang w:val="es-CO"/>
        </w:rPr>
      </w:pPr>
      <w:r w:rsidRPr="00DF425F">
        <w:rPr>
          <w:rFonts w:asciiTheme="majorHAnsi" w:hAnsiTheme="majorHAnsi"/>
          <w:noProof/>
          <w:sz w:val="18"/>
          <w:szCs w:val="22"/>
          <w:lang w:val="es-CO"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6B3A68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1488" w:rsidRPr="00161488">
                              <w:rPr>
                                <w:rFonts w:asciiTheme="majorHAnsi" w:hAnsiTheme="majorHAnsi"/>
                                <w:color w:val="595959" w:themeColor="text1" w:themeTint="A6"/>
                                <w:sz w:val="18"/>
                                <w:szCs w:val="18"/>
                                <w:lang w:val="pt-BR"/>
                              </w:rPr>
                              <w:t>252</w:t>
                            </w:r>
                            <w:r w:rsidR="007B05C4" w:rsidRPr="00161488">
                              <w:rPr>
                                <w:rFonts w:asciiTheme="majorHAnsi" w:hAnsiTheme="majorHAnsi"/>
                                <w:color w:val="595959" w:themeColor="text1" w:themeTint="A6"/>
                                <w:sz w:val="18"/>
                                <w:szCs w:val="18"/>
                                <w:lang w:val="pt-BR"/>
                              </w:rPr>
                              <w:t>/</w:t>
                            </w:r>
                            <w:r w:rsidR="00161488" w:rsidRPr="00161488">
                              <w:rPr>
                                <w:rFonts w:asciiTheme="majorHAnsi" w:hAnsiTheme="majorHAnsi"/>
                                <w:color w:val="595959" w:themeColor="text1" w:themeTint="A6"/>
                                <w:sz w:val="18"/>
                                <w:szCs w:val="18"/>
                                <w:lang w:val="pt-BR"/>
                              </w:rPr>
                              <w:t>23</w:t>
                            </w:r>
                            <w:r w:rsidRPr="0016148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2E89">
                              <w:rPr>
                                <w:rFonts w:asciiTheme="majorHAnsi" w:hAnsiTheme="majorHAnsi"/>
                                <w:color w:val="595959" w:themeColor="text1" w:themeTint="A6"/>
                                <w:sz w:val="18"/>
                                <w:szCs w:val="18"/>
                                <w:lang w:val="es-ES"/>
                              </w:rPr>
                              <w:t>1</w:t>
                            </w:r>
                            <w:r w:rsidR="008D0B62">
                              <w:rPr>
                                <w:rFonts w:asciiTheme="majorHAnsi" w:hAnsiTheme="majorHAnsi"/>
                                <w:color w:val="595959" w:themeColor="text1" w:themeTint="A6"/>
                                <w:sz w:val="18"/>
                                <w:szCs w:val="18"/>
                                <w:lang w:val="es-ES"/>
                              </w:rPr>
                              <w:t>998</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D0B62">
                              <w:rPr>
                                <w:rFonts w:asciiTheme="majorHAnsi" w:hAnsiTheme="majorHAnsi"/>
                                <w:color w:val="595959" w:themeColor="text1" w:themeTint="A6"/>
                                <w:sz w:val="18"/>
                                <w:szCs w:val="18"/>
                                <w:lang w:val="es-ES_tradnl"/>
                              </w:rPr>
                              <w:t>Gina María Gonzalez Domínguez</w:t>
                            </w:r>
                            <w:r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161488">
                              <w:rPr>
                                <w:rFonts w:asciiTheme="majorHAnsi" w:hAnsiTheme="majorHAnsi"/>
                                <w:color w:val="595959" w:themeColor="text1" w:themeTint="A6"/>
                                <w:sz w:val="18"/>
                                <w:szCs w:val="18"/>
                                <w:lang w:val="es-ES"/>
                              </w:rPr>
                              <w:t>10 de octubre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66B3A68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1488" w:rsidRPr="00161488">
                        <w:rPr>
                          <w:rFonts w:asciiTheme="majorHAnsi" w:hAnsiTheme="majorHAnsi"/>
                          <w:color w:val="595959" w:themeColor="text1" w:themeTint="A6"/>
                          <w:sz w:val="18"/>
                          <w:szCs w:val="18"/>
                          <w:lang w:val="pt-BR"/>
                        </w:rPr>
                        <w:t>252</w:t>
                      </w:r>
                      <w:r w:rsidR="007B05C4" w:rsidRPr="00161488">
                        <w:rPr>
                          <w:rFonts w:asciiTheme="majorHAnsi" w:hAnsiTheme="majorHAnsi"/>
                          <w:color w:val="595959" w:themeColor="text1" w:themeTint="A6"/>
                          <w:sz w:val="18"/>
                          <w:szCs w:val="18"/>
                          <w:lang w:val="pt-BR"/>
                        </w:rPr>
                        <w:t>/</w:t>
                      </w:r>
                      <w:r w:rsidR="00161488" w:rsidRPr="00161488">
                        <w:rPr>
                          <w:rFonts w:asciiTheme="majorHAnsi" w:hAnsiTheme="majorHAnsi"/>
                          <w:color w:val="595959" w:themeColor="text1" w:themeTint="A6"/>
                          <w:sz w:val="18"/>
                          <w:szCs w:val="18"/>
                          <w:lang w:val="pt-BR"/>
                        </w:rPr>
                        <w:t>23</w:t>
                      </w:r>
                      <w:r w:rsidRPr="0016148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2E89">
                        <w:rPr>
                          <w:rFonts w:asciiTheme="majorHAnsi" w:hAnsiTheme="majorHAnsi"/>
                          <w:color w:val="595959" w:themeColor="text1" w:themeTint="A6"/>
                          <w:sz w:val="18"/>
                          <w:szCs w:val="18"/>
                          <w:lang w:val="es-ES"/>
                        </w:rPr>
                        <w:t>1</w:t>
                      </w:r>
                      <w:r w:rsidR="008D0B62">
                        <w:rPr>
                          <w:rFonts w:asciiTheme="majorHAnsi" w:hAnsiTheme="majorHAnsi"/>
                          <w:color w:val="595959" w:themeColor="text1" w:themeTint="A6"/>
                          <w:sz w:val="18"/>
                          <w:szCs w:val="18"/>
                          <w:lang w:val="es-ES"/>
                        </w:rPr>
                        <w:t>998</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8D0B62">
                        <w:rPr>
                          <w:rFonts w:asciiTheme="majorHAnsi" w:hAnsiTheme="majorHAnsi"/>
                          <w:color w:val="595959" w:themeColor="text1" w:themeTint="A6"/>
                          <w:sz w:val="18"/>
                          <w:szCs w:val="18"/>
                          <w:lang w:val="es-ES_tradnl"/>
                        </w:rPr>
                        <w:t>Gina María Gonzalez Domínguez</w:t>
                      </w:r>
                      <w:r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161488">
                        <w:rPr>
                          <w:rFonts w:asciiTheme="majorHAnsi" w:hAnsiTheme="majorHAnsi"/>
                          <w:color w:val="595959" w:themeColor="text1" w:themeTint="A6"/>
                          <w:sz w:val="18"/>
                          <w:szCs w:val="18"/>
                          <w:lang w:val="es-ES"/>
                        </w:rPr>
                        <w:t>10 de octubre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DF425F" w:rsidRDefault="00A50FCF" w:rsidP="00040C3A">
      <w:pPr>
        <w:tabs>
          <w:tab w:val="center" w:pos="5400"/>
        </w:tabs>
        <w:suppressAutoHyphens/>
        <w:jc w:val="center"/>
        <w:rPr>
          <w:rFonts w:asciiTheme="majorHAnsi" w:hAnsiTheme="majorHAnsi"/>
          <w:sz w:val="18"/>
          <w:szCs w:val="22"/>
          <w:lang w:val="es-CO"/>
        </w:rPr>
      </w:pPr>
    </w:p>
    <w:p w14:paraId="1DA07629" w14:textId="13C300C3" w:rsidR="0090270B" w:rsidRPr="00DF425F" w:rsidRDefault="00D306D1" w:rsidP="005516A1">
      <w:pPr>
        <w:tabs>
          <w:tab w:val="center" w:pos="5400"/>
        </w:tabs>
        <w:suppressAutoHyphens/>
        <w:jc w:val="center"/>
        <w:rPr>
          <w:rFonts w:asciiTheme="majorHAnsi" w:hAnsiTheme="majorHAnsi"/>
          <w:b/>
          <w:sz w:val="20"/>
          <w:lang w:val="es-CO"/>
        </w:rPr>
      </w:pPr>
      <w:r w:rsidRPr="00DF425F">
        <w:rPr>
          <w:rFonts w:asciiTheme="majorHAnsi" w:hAnsiTheme="majorHAnsi"/>
          <w:noProof/>
          <w:sz w:val="22"/>
          <w:szCs w:val="22"/>
          <w:lang w:val="es-CO" w:eastAsia="es-419"/>
        </w:rPr>
        <mc:AlternateContent>
          <mc:Choice Requires="wps">
            <w:drawing>
              <wp:anchor distT="0" distB="0" distL="114300" distR="114300" simplePos="0" relativeHeight="251682816" behindDoc="0" locked="0" layoutInCell="1" allowOverlap="1" wp14:anchorId="02EDA5EE" wp14:editId="30A42C8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B010185" w:rsidR="0070697F" w:rsidRPr="00DF425F" w:rsidRDefault="001D4105" w:rsidP="005516A1">
      <w:pPr>
        <w:tabs>
          <w:tab w:val="center" w:pos="5400"/>
        </w:tabs>
        <w:suppressAutoHyphens/>
        <w:jc w:val="center"/>
        <w:rPr>
          <w:rFonts w:asciiTheme="majorHAnsi" w:hAnsiTheme="majorHAnsi"/>
          <w:b/>
          <w:sz w:val="20"/>
          <w:lang w:val="es-CO"/>
        </w:rPr>
        <w:sectPr w:rsidR="0070697F" w:rsidRPr="00DF425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F425F">
        <w:rPr>
          <w:rFonts w:asciiTheme="majorHAnsi" w:hAnsiTheme="majorHAnsi"/>
          <w:noProof/>
          <w:sz w:val="18"/>
          <w:szCs w:val="22"/>
          <w:lang w:val="es-CO" w:eastAsia="es-419"/>
        </w:rPr>
        <mc:AlternateContent>
          <mc:Choice Requires="wps">
            <w:drawing>
              <wp:anchor distT="0" distB="0" distL="114300" distR="114300" simplePos="0" relativeHeight="251680768" behindDoc="0" locked="0" layoutInCell="1" allowOverlap="1" wp14:anchorId="50472543" wp14:editId="6C0E894D">
                <wp:simplePos x="0" y="0"/>
                <wp:positionH relativeFrom="column">
                  <wp:posOffset>1320165</wp:posOffset>
                </wp:positionH>
                <wp:positionV relativeFrom="paragraph">
                  <wp:posOffset>546100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C461E52" w:rsidR="00D72DC6" w:rsidRPr="00D72DC6" w:rsidRDefault="001D4105" w:rsidP="00F02AD1">
                            <w:pPr>
                              <w:rPr>
                                <w:color w:val="FFFFFF" w:themeColor="background1"/>
                                <w14:textFill>
                                  <w14:noFill/>
                                </w14:textFill>
                              </w:rPr>
                            </w:pPr>
                            <w:r>
                              <w:rPr>
                                <w:noProof/>
                                <w:color w:val="FFFFFF" w:themeColor="background1"/>
                              </w:rPr>
                              <w:drawing>
                                <wp:inline distT="0" distB="0" distL="0" distR="0" wp14:anchorId="1905ED9C" wp14:editId="1379278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4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" fillcolor="white [3201]" stroked="f" strokeweight=".5pt">
                <v:textbox>
                  <w:txbxContent>
                    <w:p w14:paraId="2A1ECD3C" w14:textId="2C461E52" w:rsidR="00D72DC6" w:rsidRPr="00D72DC6" w:rsidRDefault="001D4105" w:rsidP="00F02AD1">
                      <w:pPr>
                        <w:rPr>
                          <w:color w:val="FFFFFF" w:themeColor="background1"/>
                          <w14:textFill>
                            <w14:noFill/>
                          </w14:textFill>
                        </w:rPr>
                      </w:pPr>
                      <w:r>
                        <w:rPr>
                          <w:noProof/>
                          <w:color w:val="FFFFFF" w:themeColor="background1"/>
                        </w:rPr>
                        <w:drawing>
                          <wp:inline distT="0" distB="0" distL="0" distR="0" wp14:anchorId="1905ED9C" wp14:editId="1379278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F425F">
        <w:rPr>
          <w:rFonts w:asciiTheme="majorHAnsi" w:hAnsiTheme="majorHAnsi"/>
          <w:b/>
          <w:sz w:val="20"/>
          <w:lang w:val="es-CO"/>
        </w:rPr>
        <w:tab/>
      </w:r>
    </w:p>
    <w:p w14:paraId="376DDC8B" w14:textId="77777777" w:rsidR="003239B8" w:rsidRPr="00DF425F" w:rsidRDefault="003239B8" w:rsidP="004A6A54">
      <w:pPr>
        <w:spacing w:after="240"/>
        <w:ind w:firstLine="720"/>
        <w:jc w:val="both"/>
        <w:rPr>
          <w:rFonts w:asciiTheme="majorHAnsi" w:hAnsiTheme="majorHAnsi"/>
          <w:b/>
          <w:bCs/>
          <w:sz w:val="20"/>
          <w:szCs w:val="20"/>
          <w:lang w:val="es-CO"/>
        </w:rPr>
      </w:pPr>
      <w:r w:rsidRPr="00DF425F">
        <w:rPr>
          <w:rFonts w:asciiTheme="majorHAnsi" w:hAnsiTheme="majorHAnsi"/>
          <w:b/>
          <w:bCs/>
          <w:sz w:val="20"/>
          <w:szCs w:val="20"/>
          <w:lang w:val="es-CO"/>
        </w:rPr>
        <w:lastRenderedPageBreak/>
        <w:t>I.</w:t>
      </w:r>
      <w:r w:rsidRPr="00DF425F">
        <w:rPr>
          <w:rFonts w:asciiTheme="majorHAnsi" w:hAnsiTheme="majorHAnsi"/>
          <w:b/>
          <w:bCs/>
          <w:sz w:val="20"/>
          <w:szCs w:val="20"/>
          <w:lang w:val="es-CO"/>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F425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DF425F" w:rsidRDefault="003239B8"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Parte peticionaria:</w:t>
            </w:r>
          </w:p>
        </w:tc>
        <w:tc>
          <w:tcPr>
            <w:tcW w:w="5760" w:type="dxa"/>
            <w:vAlign w:val="center"/>
          </w:tcPr>
          <w:p w14:paraId="3C5315D8" w14:textId="0E5450E3" w:rsidR="003239B8" w:rsidRPr="00DF425F" w:rsidRDefault="008C3DE2" w:rsidP="000C3A72">
            <w:pPr>
              <w:jc w:val="both"/>
              <w:rPr>
                <w:rFonts w:ascii="Cambria" w:hAnsi="Cambria"/>
                <w:bCs/>
                <w:sz w:val="20"/>
                <w:szCs w:val="20"/>
                <w:lang w:val="es-CO"/>
              </w:rPr>
            </w:pPr>
            <w:r w:rsidRPr="00DF425F">
              <w:rPr>
                <w:rFonts w:ascii="Cambria" w:hAnsi="Cambria"/>
                <w:bCs/>
                <w:sz w:val="20"/>
                <w:szCs w:val="20"/>
                <w:lang w:val="es-CO"/>
              </w:rPr>
              <w:t xml:space="preserve">Gina María </w:t>
            </w:r>
            <w:r w:rsidR="00DE64AC" w:rsidRPr="00DF425F">
              <w:rPr>
                <w:rFonts w:ascii="Cambria" w:hAnsi="Cambria"/>
                <w:bCs/>
                <w:sz w:val="20"/>
                <w:szCs w:val="20"/>
                <w:lang w:val="es-CO"/>
              </w:rPr>
              <w:t>González</w:t>
            </w:r>
            <w:r w:rsidRPr="00DF425F">
              <w:rPr>
                <w:rFonts w:ascii="Cambria" w:hAnsi="Cambria"/>
                <w:bCs/>
                <w:sz w:val="20"/>
                <w:szCs w:val="20"/>
                <w:lang w:val="es-CO"/>
              </w:rPr>
              <w:t xml:space="preserve"> Domínguez</w:t>
            </w:r>
          </w:p>
        </w:tc>
      </w:tr>
      <w:tr w:rsidR="003239B8" w:rsidRPr="00DF425F"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DF425F" w:rsidRDefault="007213B5" w:rsidP="008D2290">
            <w:pPr>
              <w:jc w:val="center"/>
              <w:rPr>
                <w:rFonts w:ascii="Cambria" w:hAnsi="Cambria"/>
                <w:b/>
                <w:bCs/>
                <w:color w:val="FFFFFF" w:themeColor="background1"/>
                <w:sz w:val="20"/>
                <w:szCs w:val="20"/>
                <w:lang w:val="es-CO"/>
              </w:rPr>
            </w:pPr>
            <w:sdt>
              <w:sdtPr>
                <w:rPr>
                  <w:rFonts w:ascii="Cambria" w:hAnsi="Cambria"/>
                  <w:b/>
                  <w:bCs/>
                  <w:color w:val="FFFFFF" w:themeColor="background1"/>
                  <w:sz w:val="20"/>
                  <w:szCs w:val="20"/>
                  <w:lang w:val="es-C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F425F">
                  <w:rPr>
                    <w:rFonts w:ascii="Cambria" w:hAnsi="Cambria"/>
                    <w:b/>
                    <w:bCs/>
                    <w:color w:val="FFFFFF" w:themeColor="background1"/>
                    <w:sz w:val="20"/>
                    <w:szCs w:val="20"/>
                    <w:lang w:val="es-CO"/>
                  </w:rPr>
                  <w:t>Presunta víctima</w:t>
                </w:r>
              </w:sdtContent>
            </w:sdt>
            <w:r w:rsidR="003239B8" w:rsidRPr="00DF425F">
              <w:rPr>
                <w:rFonts w:ascii="Cambria" w:hAnsi="Cambria"/>
                <w:b/>
                <w:bCs/>
                <w:color w:val="FFFFFF" w:themeColor="background1"/>
                <w:sz w:val="20"/>
                <w:szCs w:val="20"/>
                <w:lang w:val="es-CO"/>
              </w:rPr>
              <w:t>:</w:t>
            </w:r>
          </w:p>
        </w:tc>
        <w:tc>
          <w:tcPr>
            <w:tcW w:w="5760" w:type="dxa"/>
            <w:vAlign w:val="center"/>
          </w:tcPr>
          <w:p w14:paraId="4AEBF59E" w14:textId="63DB14B5" w:rsidR="003239B8" w:rsidRPr="00DF425F" w:rsidRDefault="008C3DE2" w:rsidP="008D2290">
            <w:pPr>
              <w:jc w:val="both"/>
              <w:rPr>
                <w:rFonts w:ascii="Cambria" w:hAnsi="Cambria"/>
                <w:bCs/>
                <w:sz w:val="20"/>
                <w:szCs w:val="20"/>
                <w:lang w:val="es-CO"/>
              </w:rPr>
            </w:pPr>
            <w:r w:rsidRPr="00DF425F">
              <w:rPr>
                <w:rFonts w:ascii="Cambria" w:hAnsi="Cambria"/>
                <w:bCs/>
                <w:sz w:val="20"/>
                <w:szCs w:val="20"/>
                <w:lang w:val="es-CO"/>
              </w:rPr>
              <w:t>Gina María Gonz</w:t>
            </w:r>
            <w:r w:rsidR="00874BEA">
              <w:rPr>
                <w:rFonts w:ascii="Cambria" w:hAnsi="Cambria"/>
                <w:bCs/>
                <w:sz w:val="20"/>
                <w:szCs w:val="20"/>
                <w:lang w:val="es-CO"/>
              </w:rPr>
              <w:t>á</w:t>
            </w:r>
            <w:r w:rsidRPr="00DF425F">
              <w:rPr>
                <w:rFonts w:ascii="Cambria" w:hAnsi="Cambria"/>
                <w:bCs/>
                <w:sz w:val="20"/>
                <w:szCs w:val="20"/>
                <w:lang w:val="es-CO"/>
              </w:rPr>
              <w:t>lez Domínguez</w:t>
            </w:r>
          </w:p>
        </w:tc>
      </w:tr>
      <w:tr w:rsidR="003239B8" w:rsidRPr="00DF425F"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DF425F" w:rsidRDefault="003239B8"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Estado denunciado:</w:t>
            </w:r>
          </w:p>
        </w:tc>
        <w:tc>
          <w:tcPr>
            <w:tcW w:w="5760" w:type="dxa"/>
            <w:vAlign w:val="center"/>
          </w:tcPr>
          <w:p w14:paraId="274C8A50" w14:textId="5C6D20B6" w:rsidR="003239B8" w:rsidRPr="00DF425F" w:rsidRDefault="005564B7" w:rsidP="008D2290">
            <w:pPr>
              <w:jc w:val="both"/>
              <w:rPr>
                <w:rFonts w:ascii="Cambria" w:hAnsi="Cambria"/>
                <w:bCs/>
                <w:sz w:val="20"/>
                <w:szCs w:val="20"/>
                <w:lang w:val="es-CO"/>
              </w:rPr>
            </w:pPr>
            <w:r w:rsidRPr="00DF425F">
              <w:rPr>
                <w:rFonts w:ascii="Cambria" w:hAnsi="Cambria"/>
                <w:bCs/>
                <w:sz w:val="20"/>
                <w:szCs w:val="20"/>
                <w:lang w:val="es-CO"/>
              </w:rPr>
              <w:t>Honduras</w:t>
            </w:r>
          </w:p>
        </w:tc>
      </w:tr>
      <w:tr w:rsidR="00223A29" w:rsidRPr="004B477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DF425F" w:rsidRDefault="001B3A00" w:rsidP="00E4118C">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 xml:space="preserve">Derechos </w:t>
            </w:r>
            <w:r w:rsidR="00E4118C" w:rsidRPr="00DF425F">
              <w:rPr>
                <w:rFonts w:ascii="Cambria" w:hAnsi="Cambria"/>
                <w:b/>
                <w:bCs/>
                <w:color w:val="FFFFFF" w:themeColor="background1"/>
                <w:sz w:val="20"/>
                <w:szCs w:val="20"/>
                <w:lang w:val="es-CO"/>
              </w:rPr>
              <w:t>invocados</w:t>
            </w:r>
            <w:r w:rsidRPr="00DF425F">
              <w:rPr>
                <w:rFonts w:ascii="Cambria" w:hAnsi="Cambria"/>
                <w:b/>
                <w:bCs/>
                <w:color w:val="FFFFFF" w:themeColor="background1"/>
                <w:sz w:val="20"/>
                <w:szCs w:val="20"/>
                <w:lang w:val="es-CO"/>
              </w:rPr>
              <w:t>:</w:t>
            </w:r>
          </w:p>
        </w:tc>
        <w:tc>
          <w:tcPr>
            <w:tcW w:w="5760" w:type="dxa"/>
            <w:vAlign w:val="center"/>
          </w:tcPr>
          <w:p w14:paraId="6DEE1EEB" w14:textId="6AB52D49" w:rsidR="00223A29" w:rsidRPr="006F3860" w:rsidRDefault="007C7056" w:rsidP="008D2290">
            <w:pPr>
              <w:jc w:val="both"/>
              <w:rPr>
                <w:rFonts w:ascii="Cambria" w:hAnsi="Cambria"/>
                <w:bCs/>
                <w:sz w:val="20"/>
                <w:szCs w:val="20"/>
                <w:lang w:val="es-ES"/>
              </w:rPr>
            </w:pPr>
            <w:r w:rsidRPr="00DF425F">
              <w:rPr>
                <w:rFonts w:ascii="Cambria" w:hAnsi="Cambria"/>
                <w:bCs/>
                <w:sz w:val="20"/>
                <w:szCs w:val="20"/>
                <w:lang w:val="es-CO"/>
              </w:rPr>
              <w:t xml:space="preserve">Artículos </w:t>
            </w:r>
            <w:r w:rsidR="00862CC0" w:rsidRPr="00DF425F">
              <w:rPr>
                <w:rFonts w:ascii="Cambria" w:hAnsi="Cambria"/>
                <w:bCs/>
                <w:sz w:val="20"/>
                <w:szCs w:val="20"/>
                <w:lang w:val="es-CO"/>
              </w:rPr>
              <w:t xml:space="preserve">8 (garantías judiciales), 24 (igualdad ante la ley) y 25 (protección judicial) </w:t>
            </w:r>
            <w:r w:rsidR="007C27E5" w:rsidRPr="00DF425F">
              <w:rPr>
                <w:rFonts w:ascii="Cambria" w:hAnsi="Cambria"/>
                <w:bCs/>
                <w:sz w:val="20"/>
                <w:szCs w:val="20"/>
                <w:lang w:val="es-CO"/>
              </w:rPr>
              <w:t>de la Convención Americana sobre Derechos Humanos</w:t>
            </w:r>
            <w:r w:rsidR="007C27E5" w:rsidRPr="00DF425F">
              <w:rPr>
                <w:rStyle w:val="FootnoteReference"/>
                <w:rFonts w:ascii="Cambria" w:hAnsi="Cambria"/>
                <w:bCs/>
                <w:sz w:val="20"/>
                <w:szCs w:val="20"/>
                <w:lang w:val="es-CO"/>
              </w:rPr>
              <w:footnoteReference w:id="2"/>
            </w:r>
            <w:r w:rsidR="00123001" w:rsidRPr="00DF425F">
              <w:rPr>
                <w:rFonts w:ascii="Cambria" w:hAnsi="Cambria"/>
                <w:bCs/>
                <w:sz w:val="20"/>
                <w:szCs w:val="20"/>
                <w:lang w:val="es-CO"/>
              </w:rPr>
              <w:t>; artículo XVIII (justicia) de la Declaración Americana de los Derechos y Deberes del Hombre</w:t>
            </w:r>
            <w:r w:rsidR="00DE64AC">
              <w:rPr>
                <w:rStyle w:val="FootnoteReference"/>
                <w:rFonts w:ascii="Cambria" w:hAnsi="Cambria"/>
                <w:bCs/>
                <w:sz w:val="20"/>
                <w:szCs w:val="20"/>
                <w:lang w:val="es-CO"/>
              </w:rPr>
              <w:footnoteReference w:id="3"/>
            </w:r>
            <w:r w:rsidR="00123001" w:rsidRPr="00DF425F">
              <w:rPr>
                <w:rFonts w:ascii="Cambria" w:hAnsi="Cambria"/>
                <w:bCs/>
                <w:sz w:val="20"/>
                <w:szCs w:val="20"/>
                <w:lang w:val="es-CO"/>
              </w:rPr>
              <w:t>: y artículos 3, 4, 5 y 7 de la Convención</w:t>
            </w:r>
            <w:r w:rsidR="00DE64AC">
              <w:rPr>
                <w:rFonts w:ascii="Cambria" w:hAnsi="Cambria"/>
                <w:bCs/>
                <w:sz w:val="20"/>
                <w:szCs w:val="20"/>
                <w:lang w:val="es-CO"/>
              </w:rPr>
              <w:t xml:space="preserve"> Interamericana para Prevenir, Sancionar y Erradicar la Violencia contra la Mujer</w:t>
            </w:r>
            <w:r w:rsidR="006F3860">
              <w:rPr>
                <w:rFonts w:ascii="Cambria" w:hAnsi="Cambria"/>
                <w:bCs/>
                <w:sz w:val="20"/>
                <w:szCs w:val="20"/>
                <w:lang w:val="es-CO"/>
              </w:rPr>
              <w:t xml:space="preserve"> (</w:t>
            </w:r>
            <w:r w:rsidR="006F3860" w:rsidRPr="006F3860">
              <w:rPr>
                <w:rFonts w:ascii="Cambria" w:hAnsi="Cambria"/>
                <w:bCs/>
                <w:sz w:val="20"/>
                <w:szCs w:val="20"/>
                <w:lang w:val="es-CO"/>
              </w:rPr>
              <w:t>“la Convención de Belém Do Pará”</w:t>
            </w:r>
            <w:r w:rsidR="006F3860">
              <w:rPr>
                <w:rFonts w:ascii="Cambria" w:hAnsi="Cambria"/>
                <w:bCs/>
                <w:sz w:val="20"/>
                <w:szCs w:val="20"/>
                <w:lang w:val="es-CO"/>
              </w:rPr>
              <w:t>)</w:t>
            </w:r>
          </w:p>
        </w:tc>
      </w:tr>
    </w:tbl>
    <w:p w14:paraId="20263696" w14:textId="77777777" w:rsidR="003239B8" w:rsidRPr="00DF425F" w:rsidRDefault="003239B8" w:rsidP="003239B8">
      <w:pPr>
        <w:spacing w:before="240" w:after="240"/>
        <w:ind w:firstLine="720"/>
        <w:jc w:val="both"/>
        <w:rPr>
          <w:rFonts w:asciiTheme="majorHAnsi" w:hAnsiTheme="majorHAnsi"/>
          <w:b/>
          <w:bCs/>
          <w:sz w:val="20"/>
          <w:szCs w:val="20"/>
          <w:lang w:val="es-CO"/>
        </w:rPr>
      </w:pPr>
      <w:r w:rsidRPr="00DF425F">
        <w:rPr>
          <w:rFonts w:asciiTheme="majorHAnsi" w:hAnsiTheme="majorHAnsi"/>
          <w:b/>
          <w:bCs/>
          <w:sz w:val="20"/>
          <w:szCs w:val="20"/>
          <w:lang w:val="es-CO"/>
        </w:rPr>
        <w:t>II.</w:t>
      </w:r>
      <w:r w:rsidRPr="00DF425F">
        <w:rPr>
          <w:rFonts w:asciiTheme="majorHAnsi" w:hAnsiTheme="majorHAnsi"/>
          <w:b/>
          <w:bCs/>
          <w:sz w:val="20"/>
          <w:szCs w:val="20"/>
          <w:lang w:val="es-CO"/>
        </w:rPr>
        <w:tab/>
        <w:t>TRÁMITE ANTE LA CIDH</w:t>
      </w:r>
      <w:r w:rsidR="008E3BFE" w:rsidRPr="00DF425F">
        <w:rPr>
          <w:rStyle w:val="FootnoteReference"/>
          <w:rFonts w:ascii="Cambria" w:hAnsi="Cambria"/>
          <w:b/>
          <w:sz w:val="20"/>
          <w:szCs w:val="20"/>
          <w:lang w:val="es-CO"/>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F425F"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DF425F" w:rsidRDefault="004A6A54" w:rsidP="004A6A54">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P</w:t>
            </w:r>
            <w:r w:rsidR="004C2312" w:rsidRPr="00DF425F">
              <w:rPr>
                <w:rFonts w:ascii="Cambria" w:hAnsi="Cambria"/>
                <w:b/>
                <w:bCs/>
                <w:color w:val="FFFFFF" w:themeColor="background1"/>
                <w:sz w:val="20"/>
                <w:szCs w:val="20"/>
                <w:lang w:val="es-CO"/>
              </w:rPr>
              <w:t>resentación de la petición:</w:t>
            </w:r>
          </w:p>
        </w:tc>
        <w:tc>
          <w:tcPr>
            <w:tcW w:w="5760" w:type="dxa"/>
            <w:vAlign w:val="center"/>
          </w:tcPr>
          <w:p w14:paraId="6E579153" w14:textId="49967044" w:rsidR="004C2312" w:rsidRPr="00DF425F" w:rsidRDefault="000F62B5" w:rsidP="002625EA">
            <w:pPr>
              <w:jc w:val="both"/>
              <w:rPr>
                <w:rFonts w:ascii="Cambria" w:hAnsi="Cambria"/>
                <w:bCs/>
                <w:sz w:val="20"/>
                <w:szCs w:val="20"/>
                <w:lang w:val="es-CO"/>
              </w:rPr>
            </w:pPr>
            <w:r w:rsidRPr="00DF425F">
              <w:rPr>
                <w:rFonts w:ascii="Cambria" w:hAnsi="Cambria"/>
                <w:bCs/>
                <w:sz w:val="20"/>
                <w:szCs w:val="20"/>
                <w:lang w:val="es-CO"/>
              </w:rPr>
              <w:t>2 de noviembre de 2017</w:t>
            </w:r>
          </w:p>
        </w:tc>
      </w:tr>
      <w:tr w:rsidR="008A3C34" w:rsidRPr="004B4773" w14:paraId="51A46188" w14:textId="77777777" w:rsidTr="004A6A54">
        <w:tc>
          <w:tcPr>
            <w:tcW w:w="3600" w:type="dxa"/>
            <w:tcBorders>
              <w:top w:val="single" w:sz="6" w:space="0" w:color="auto"/>
              <w:bottom w:val="single" w:sz="6" w:space="0" w:color="auto"/>
            </w:tcBorders>
            <w:shd w:val="clear" w:color="auto" w:fill="386294"/>
            <w:vAlign w:val="center"/>
          </w:tcPr>
          <w:p w14:paraId="119D69CD" w14:textId="4F27AEE8" w:rsidR="008A3C34" w:rsidRPr="00DF425F" w:rsidRDefault="00067CA6" w:rsidP="004A6A54">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Información adicional recibida durante la etapa de estudio:</w:t>
            </w:r>
          </w:p>
        </w:tc>
        <w:tc>
          <w:tcPr>
            <w:tcW w:w="5760" w:type="dxa"/>
            <w:vAlign w:val="center"/>
          </w:tcPr>
          <w:p w14:paraId="5EF0A986" w14:textId="4A027CE8" w:rsidR="008A3C34" w:rsidRPr="00DF425F" w:rsidRDefault="000E3A36" w:rsidP="002625EA">
            <w:pPr>
              <w:jc w:val="both"/>
              <w:rPr>
                <w:rFonts w:ascii="Cambria" w:hAnsi="Cambria"/>
                <w:bCs/>
                <w:sz w:val="20"/>
                <w:szCs w:val="20"/>
                <w:lang w:val="es-CO"/>
              </w:rPr>
            </w:pPr>
            <w:r w:rsidRPr="00DF425F">
              <w:rPr>
                <w:rFonts w:ascii="Cambria" w:hAnsi="Cambria"/>
                <w:bCs/>
                <w:sz w:val="20"/>
                <w:szCs w:val="20"/>
                <w:lang w:val="es-CO"/>
              </w:rPr>
              <w:t xml:space="preserve">11 de febrero de 2021 y </w:t>
            </w:r>
            <w:r w:rsidR="00067CA6" w:rsidRPr="00DF425F">
              <w:rPr>
                <w:rFonts w:ascii="Cambria" w:hAnsi="Cambria"/>
                <w:bCs/>
                <w:sz w:val="20"/>
                <w:szCs w:val="20"/>
                <w:lang w:val="es-CO"/>
              </w:rPr>
              <w:t>13 de junio de 2022</w:t>
            </w:r>
          </w:p>
        </w:tc>
      </w:tr>
      <w:tr w:rsidR="004C2312" w:rsidRPr="00DF425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DF425F" w:rsidRDefault="004A6A54" w:rsidP="004A6A54">
            <w:pPr>
              <w:jc w:val="center"/>
              <w:rPr>
                <w:rFonts w:ascii="Cambria" w:hAnsi="Cambria"/>
                <w:b/>
                <w:bCs/>
                <w:color w:val="FFFFFF" w:themeColor="background1"/>
                <w:sz w:val="20"/>
                <w:szCs w:val="20"/>
                <w:lang w:val="es-CO"/>
              </w:rPr>
            </w:pPr>
            <w:r w:rsidRPr="00DF425F">
              <w:rPr>
                <w:rFonts w:ascii="Cambria" w:hAnsi="Cambria"/>
                <w:b/>
                <w:color w:val="FFFFFF" w:themeColor="background1"/>
                <w:sz w:val="20"/>
                <w:szCs w:val="20"/>
                <w:lang w:val="es-CO"/>
              </w:rPr>
              <w:t>N</w:t>
            </w:r>
            <w:r w:rsidR="004C2312" w:rsidRPr="00DF425F">
              <w:rPr>
                <w:rFonts w:ascii="Cambria" w:hAnsi="Cambria"/>
                <w:b/>
                <w:color w:val="FFFFFF" w:themeColor="background1"/>
                <w:sz w:val="20"/>
                <w:szCs w:val="20"/>
                <w:lang w:val="es-CO"/>
              </w:rPr>
              <w:t>otificación de la petición al Estado:</w:t>
            </w:r>
          </w:p>
        </w:tc>
        <w:tc>
          <w:tcPr>
            <w:tcW w:w="5760" w:type="dxa"/>
            <w:vAlign w:val="center"/>
          </w:tcPr>
          <w:p w14:paraId="1519DA6A" w14:textId="623DB339" w:rsidR="004C2312" w:rsidRPr="00DF425F" w:rsidRDefault="00810FE9" w:rsidP="008D2290">
            <w:pPr>
              <w:jc w:val="both"/>
              <w:rPr>
                <w:rFonts w:ascii="Cambria" w:hAnsi="Cambria"/>
                <w:bCs/>
                <w:sz w:val="20"/>
                <w:szCs w:val="20"/>
                <w:lang w:val="es-CO"/>
              </w:rPr>
            </w:pPr>
            <w:r w:rsidRPr="00DF425F">
              <w:rPr>
                <w:rFonts w:ascii="Cambria" w:hAnsi="Cambria"/>
                <w:bCs/>
                <w:sz w:val="20"/>
                <w:szCs w:val="20"/>
                <w:lang w:val="es-CO"/>
              </w:rPr>
              <w:t>13 de junio de 2022</w:t>
            </w:r>
          </w:p>
        </w:tc>
      </w:tr>
      <w:tr w:rsidR="004C2312" w:rsidRPr="00DF425F"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DF425F" w:rsidRDefault="004A6A54" w:rsidP="004A6A54">
            <w:pPr>
              <w:jc w:val="center"/>
              <w:rPr>
                <w:rFonts w:ascii="Cambria" w:hAnsi="Cambria"/>
                <w:b/>
                <w:bCs/>
                <w:color w:val="FFFFFF" w:themeColor="background1"/>
                <w:sz w:val="20"/>
                <w:szCs w:val="20"/>
                <w:lang w:val="es-CO"/>
              </w:rPr>
            </w:pPr>
            <w:r w:rsidRPr="00DF425F">
              <w:rPr>
                <w:rFonts w:ascii="Cambria" w:hAnsi="Cambria"/>
                <w:b/>
                <w:color w:val="FFFFFF" w:themeColor="background1"/>
                <w:sz w:val="20"/>
                <w:szCs w:val="20"/>
                <w:lang w:val="es-CO"/>
              </w:rPr>
              <w:t>P</w:t>
            </w:r>
            <w:r w:rsidR="004C2312" w:rsidRPr="00DF425F">
              <w:rPr>
                <w:rFonts w:ascii="Cambria" w:hAnsi="Cambria"/>
                <w:b/>
                <w:color w:val="FFFFFF" w:themeColor="background1"/>
                <w:sz w:val="20"/>
                <w:szCs w:val="20"/>
                <w:lang w:val="es-CO"/>
              </w:rPr>
              <w:t>rimera respuesta del Estado:</w:t>
            </w:r>
          </w:p>
        </w:tc>
        <w:tc>
          <w:tcPr>
            <w:tcW w:w="5760" w:type="dxa"/>
            <w:vAlign w:val="center"/>
          </w:tcPr>
          <w:p w14:paraId="1972B99E" w14:textId="5EB13E47" w:rsidR="004C2312" w:rsidRPr="00DF425F" w:rsidRDefault="00BB608F" w:rsidP="008D2290">
            <w:pPr>
              <w:jc w:val="both"/>
              <w:rPr>
                <w:rFonts w:ascii="Cambria" w:hAnsi="Cambria"/>
                <w:bCs/>
                <w:sz w:val="20"/>
                <w:szCs w:val="20"/>
                <w:lang w:val="es-CO"/>
              </w:rPr>
            </w:pPr>
            <w:r w:rsidRPr="00DF425F">
              <w:rPr>
                <w:rFonts w:ascii="Cambria" w:hAnsi="Cambria"/>
                <w:bCs/>
                <w:sz w:val="20"/>
                <w:szCs w:val="20"/>
                <w:lang w:val="es-CO"/>
              </w:rPr>
              <w:t>14 de octubre de 2022</w:t>
            </w:r>
          </w:p>
        </w:tc>
      </w:tr>
      <w:tr w:rsidR="003A31E2" w:rsidRPr="00DF425F" w14:paraId="0E1C3DC1" w14:textId="77777777" w:rsidTr="004A6A54">
        <w:tc>
          <w:tcPr>
            <w:tcW w:w="3600" w:type="dxa"/>
            <w:tcBorders>
              <w:top w:val="single" w:sz="6" w:space="0" w:color="auto"/>
              <w:bottom w:val="single" w:sz="6" w:space="0" w:color="auto"/>
            </w:tcBorders>
            <w:shd w:val="clear" w:color="auto" w:fill="386294"/>
            <w:vAlign w:val="center"/>
          </w:tcPr>
          <w:p w14:paraId="55CCD3A5" w14:textId="4589F88B" w:rsidR="003A31E2" w:rsidRPr="00DF425F" w:rsidRDefault="00C167E6" w:rsidP="004A6A54">
            <w:pPr>
              <w:jc w:val="center"/>
              <w:rPr>
                <w:rFonts w:ascii="Cambria" w:hAnsi="Cambria"/>
                <w:b/>
                <w:color w:val="FFFFFF" w:themeColor="background1"/>
                <w:sz w:val="20"/>
                <w:szCs w:val="20"/>
                <w:lang w:val="es-CO"/>
              </w:rPr>
            </w:pPr>
            <w:r w:rsidRPr="00DF425F">
              <w:rPr>
                <w:rFonts w:ascii="Cambria" w:hAnsi="Cambria"/>
                <w:b/>
                <w:bCs/>
                <w:color w:val="FFFFFF" w:themeColor="background1"/>
                <w:sz w:val="20"/>
                <w:szCs w:val="20"/>
                <w:lang w:val="es-CO"/>
              </w:rPr>
              <w:t>Observaciones adicionales de la parte peticionaria:</w:t>
            </w:r>
          </w:p>
        </w:tc>
        <w:tc>
          <w:tcPr>
            <w:tcW w:w="5760" w:type="dxa"/>
            <w:vAlign w:val="center"/>
          </w:tcPr>
          <w:p w14:paraId="2DE039F5" w14:textId="047A60A4" w:rsidR="003A31E2" w:rsidRPr="00DF425F" w:rsidRDefault="00C75A95" w:rsidP="008D2290">
            <w:pPr>
              <w:jc w:val="both"/>
              <w:rPr>
                <w:rFonts w:ascii="Cambria" w:hAnsi="Cambria"/>
                <w:bCs/>
                <w:sz w:val="20"/>
                <w:szCs w:val="20"/>
                <w:lang w:val="es-CO"/>
              </w:rPr>
            </w:pPr>
            <w:r w:rsidRPr="00DF425F">
              <w:rPr>
                <w:rFonts w:ascii="Cambria" w:hAnsi="Cambria"/>
                <w:bCs/>
                <w:sz w:val="20"/>
                <w:szCs w:val="20"/>
                <w:lang w:val="es-CO"/>
              </w:rPr>
              <w:t>4 de enero de 2023</w:t>
            </w:r>
          </w:p>
        </w:tc>
      </w:tr>
      <w:tr w:rsidR="001E49E7" w:rsidRPr="00DF425F"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DF425F" w:rsidRDefault="004A6A54" w:rsidP="00DD4AD2">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A</w:t>
            </w:r>
            <w:r w:rsidR="001E49E7" w:rsidRPr="00DF425F">
              <w:rPr>
                <w:rFonts w:ascii="Cambria" w:hAnsi="Cambria"/>
                <w:b/>
                <w:bCs/>
                <w:color w:val="FFFFFF" w:themeColor="background1"/>
                <w:sz w:val="20"/>
                <w:szCs w:val="20"/>
                <w:lang w:val="es-CO"/>
              </w:rPr>
              <w:t>dvertencia sobre posible archivo:</w:t>
            </w:r>
          </w:p>
        </w:tc>
        <w:tc>
          <w:tcPr>
            <w:tcW w:w="5760" w:type="dxa"/>
            <w:vAlign w:val="center"/>
          </w:tcPr>
          <w:p w14:paraId="5500808B" w14:textId="7E17FA7F" w:rsidR="001E49E7" w:rsidRPr="00DF425F" w:rsidRDefault="008362F6" w:rsidP="002625EA">
            <w:pPr>
              <w:jc w:val="both"/>
              <w:rPr>
                <w:rFonts w:ascii="Cambria" w:hAnsi="Cambria"/>
                <w:bCs/>
                <w:sz w:val="20"/>
                <w:szCs w:val="20"/>
                <w:lang w:val="es-CO"/>
              </w:rPr>
            </w:pPr>
            <w:r w:rsidRPr="00DF425F">
              <w:rPr>
                <w:rFonts w:ascii="Cambria" w:hAnsi="Cambria"/>
                <w:bCs/>
                <w:sz w:val="20"/>
                <w:szCs w:val="20"/>
                <w:lang w:val="es-CO"/>
              </w:rPr>
              <w:t>12 de enero de 2021</w:t>
            </w:r>
          </w:p>
        </w:tc>
      </w:tr>
      <w:tr w:rsidR="001E49E7" w:rsidRPr="00DF425F"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DF425F" w:rsidRDefault="004A6A54" w:rsidP="004A6A54">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R</w:t>
            </w:r>
            <w:r w:rsidR="001E49E7" w:rsidRPr="00DF425F">
              <w:rPr>
                <w:rFonts w:ascii="Cambria" w:hAnsi="Cambria"/>
                <w:b/>
                <w:bCs/>
                <w:color w:val="FFFFFF" w:themeColor="background1"/>
                <w:sz w:val="20"/>
                <w:szCs w:val="20"/>
                <w:lang w:val="es-CO"/>
              </w:rPr>
              <w:t xml:space="preserve">espuesta de la parte peticionaria ante advertencia </w:t>
            </w:r>
            <w:r w:rsidR="00DD4AD2" w:rsidRPr="00DF425F">
              <w:rPr>
                <w:rFonts w:ascii="Cambria" w:hAnsi="Cambria"/>
                <w:b/>
                <w:bCs/>
                <w:color w:val="FFFFFF" w:themeColor="background1"/>
                <w:sz w:val="20"/>
                <w:szCs w:val="20"/>
                <w:lang w:val="es-CO"/>
              </w:rPr>
              <w:t xml:space="preserve">de </w:t>
            </w:r>
            <w:r w:rsidR="001E49E7" w:rsidRPr="00DF425F">
              <w:rPr>
                <w:rFonts w:ascii="Cambria" w:hAnsi="Cambria"/>
                <w:b/>
                <w:bCs/>
                <w:color w:val="FFFFFF" w:themeColor="background1"/>
                <w:sz w:val="20"/>
                <w:szCs w:val="20"/>
                <w:lang w:val="es-CO"/>
              </w:rPr>
              <w:t>posible archivo:</w:t>
            </w:r>
          </w:p>
        </w:tc>
        <w:tc>
          <w:tcPr>
            <w:tcW w:w="5760" w:type="dxa"/>
            <w:vAlign w:val="center"/>
          </w:tcPr>
          <w:p w14:paraId="24E176E2" w14:textId="7EB31521" w:rsidR="001E49E7" w:rsidRPr="00DF425F" w:rsidRDefault="008362F6" w:rsidP="002625EA">
            <w:pPr>
              <w:jc w:val="both"/>
              <w:rPr>
                <w:rFonts w:ascii="Cambria" w:hAnsi="Cambria"/>
                <w:bCs/>
                <w:sz w:val="20"/>
                <w:szCs w:val="20"/>
                <w:lang w:val="es-CO"/>
              </w:rPr>
            </w:pPr>
            <w:r w:rsidRPr="00DF425F">
              <w:rPr>
                <w:rFonts w:ascii="Cambria" w:hAnsi="Cambria"/>
                <w:bCs/>
                <w:sz w:val="20"/>
                <w:szCs w:val="20"/>
                <w:lang w:val="es-CO"/>
              </w:rPr>
              <w:t>28 de enero de 2021</w:t>
            </w:r>
          </w:p>
        </w:tc>
      </w:tr>
    </w:tbl>
    <w:p w14:paraId="21DAA666" w14:textId="77777777" w:rsidR="003239B8" w:rsidRPr="00DF425F" w:rsidRDefault="003239B8" w:rsidP="003239B8">
      <w:pPr>
        <w:spacing w:before="240" w:after="240"/>
        <w:ind w:firstLine="720"/>
        <w:jc w:val="both"/>
        <w:rPr>
          <w:rFonts w:asciiTheme="majorHAnsi" w:hAnsiTheme="majorHAnsi"/>
          <w:b/>
          <w:bCs/>
          <w:sz w:val="20"/>
          <w:szCs w:val="20"/>
          <w:lang w:val="es-CO"/>
        </w:rPr>
      </w:pPr>
      <w:r w:rsidRPr="00DF425F">
        <w:rPr>
          <w:rFonts w:asciiTheme="majorHAnsi" w:hAnsiTheme="majorHAnsi"/>
          <w:b/>
          <w:bCs/>
          <w:sz w:val="20"/>
          <w:szCs w:val="20"/>
          <w:lang w:val="es-CO"/>
        </w:rPr>
        <w:t xml:space="preserve">III. </w:t>
      </w:r>
      <w:r w:rsidRPr="00DF425F">
        <w:rPr>
          <w:rFonts w:asciiTheme="majorHAnsi" w:hAnsiTheme="majorHAnsi"/>
          <w:b/>
          <w:bCs/>
          <w:sz w:val="20"/>
          <w:szCs w:val="20"/>
          <w:lang w:val="es-CO"/>
        </w:rPr>
        <w:tab/>
        <w:t>COMPETENCIA</w:t>
      </w:r>
      <w:r w:rsidR="00EE00E9" w:rsidRPr="00DF425F">
        <w:rPr>
          <w:rFonts w:asciiTheme="majorHAnsi" w:hAnsiTheme="majorHAnsi"/>
          <w:b/>
          <w:bCs/>
          <w:sz w:val="20"/>
          <w:szCs w:val="20"/>
          <w:lang w:val="es-CO"/>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DF425F" w14:paraId="072532AD" w14:textId="77777777" w:rsidTr="00DC64C1">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DF425F" w:rsidRDefault="003239B8" w:rsidP="008D2290">
            <w:pPr>
              <w:jc w:val="center"/>
              <w:rPr>
                <w:rFonts w:ascii="Cambria" w:hAnsi="Cambria"/>
                <w:b/>
                <w:bCs/>
                <w:i/>
                <w:color w:val="FFFFFF" w:themeColor="background1"/>
                <w:sz w:val="20"/>
                <w:szCs w:val="20"/>
                <w:lang w:val="es-CO"/>
              </w:rPr>
            </w:pPr>
            <w:r w:rsidRPr="00DF425F">
              <w:rPr>
                <w:rFonts w:ascii="Cambria" w:hAnsi="Cambria"/>
                <w:b/>
                <w:bCs/>
                <w:color w:val="FFFFFF" w:themeColor="background1"/>
                <w:sz w:val="20"/>
                <w:szCs w:val="20"/>
                <w:lang w:val="es-CO"/>
              </w:rPr>
              <w:t>Competencia</w:t>
            </w:r>
            <w:r w:rsidRPr="00DF425F">
              <w:rPr>
                <w:rFonts w:ascii="Cambria" w:hAnsi="Cambria"/>
                <w:b/>
                <w:bCs/>
                <w:i/>
                <w:color w:val="FFFFFF" w:themeColor="background1"/>
                <w:sz w:val="20"/>
                <w:szCs w:val="20"/>
                <w:lang w:val="es-CO"/>
              </w:rPr>
              <w:t xml:space="preserve"> Ratione personae:</w:t>
            </w:r>
          </w:p>
        </w:tc>
        <w:tc>
          <w:tcPr>
            <w:tcW w:w="5776" w:type="dxa"/>
            <w:vAlign w:val="center"/>
          </w:tcPr>
          <w:p w14:paraId="7707F3E9" w14:textId="018D5870" w:rsidR="003239B8" w:rsidRPr="00DF425F" w:rsidRDefault="003467A3" w:rsidP="008D2290">
            <w:pPr>
              <w:rPr>
                <w:rFonts w:ascii="Cambria" w:hAnsi="Cambria"/>
                <w:bCs/>
                <w:sz w:val="20"/>
                <w:szCs w:val="20"/>
                <w:lang w:val="es-CO"/>
              </w:rPr>
            </w:pPr>
            <w:r w:rsidRPr="00DF425F">
              <w:rPr>
                <w:rFonts w:ascii="Cambria" w:hAnsi="Cambria"/>
                <w:bCs/>
                <w:sz w:val="20"/>
                <w:szCs w:val="20"/>
                <w:lang w:val="es-CO"/>
              </w:rPr>
              <w:t>Sí</w:t>
            </w:r>
          </w:p>
        </w:tc>
      </w:tr>
      <w:tr w:rsidR="003239B8" w:rsidRPr="00DF425F" w14:paraId="4B8802DA" w14:textId="77777777" w:rsidTr="00DC64C1">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DF425F" w:rsidRDefault="003239B8"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Competencia</w:t>
            </w:r>
            <w:r w:rsidRPr="00DF425F">
              <w:rPr>
                <w:rFonts w:ascii="Cambria" w:hAnsi="Cambria"/>
                <w:b/>
                <w:bCs/>
                <w:i/>
                <w:color w:val="FFFFFF" w:themeColor="background1"/>
                <w:sz w:val="20"/>
                <w:szCs w:val="20"/>
                <w:lang w:val="es-CO"/>
              </w:rPr>
              <w:t xml:space="preserve"> Ratione loci</w:t>
            </w:r>
            <w:r w:rsidRPr="00DF425F">
              <w:rPr>
                <w:rFonts w:ascii="Cambria" w:hAnsi="Cambria"/>
                <w:b/>
                <w:bCs/>
                <w:color w:val="FFFFFF" w:themeColor="background1"/>
                <w:sz w:val="20"/>
                <w:szCs w:val="20"/>
                <w:lang w:val="es-CO"/>
              </w:rPr>
              <w:t>:</w:t>
            </w:r>
          </w:p>
        </w:tc>
        <w:tc>
          <w:tcPr>
            <w:tcW w:w="5776" w:type="dxa"/>
            <w:vAlign w:val="center"/>
          </w:tcPr>
          <w:p w14:paraId="12C931CB" w14:textId="268684B9" w:rsidR="003239B8" w:rsidRPr="00DF425F" w:rsidRDefault="003467A3" w:rsidP="008D2290">
            <w:pPr>
              <w:rPr>
                <w:rFonts w:ascii="Cambria" w:hAnsi="Cambria"/>
                <w:bCs/>
                <w:sz w:val="20"/>
                <w:szCs w:val="20"/>
                <w:lang w:val="es-CO"/>
              </w:rPr>
            </w:pPr>
            <w:r w:rsidRPr="00DF425F">
              <w:rPr>
                <w:rFonts w:ascii="Cambria" w:hAnsi="Cambria"/>
                <w:bCs/>
                <w:sz w:val="20"/>
                <w:szCs w:val="20"/>
                <w:lang w:val="es-CO"/>
              </w:rPr>
              <w:t>Sí</w:t>
            </w:r>
          </w:p>
        </w:tc>
      </w:tr>
      <w:tr w:rsidR="003239B8" w:rsidRPr="00DF425F" w14:paraId="4362FDF3" w14:textId="77777777" w:rsidTr="00DC64C1">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DF425F" w:rsidRDefault="003239B8"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Competencia</w:t>
            </w:r>
            <w:r w:rsidRPr="00DF425F">
              <w:rPr>
                <w:rFonts w:ascii="Cambria" w:hAnsi="Cambria"/>
                <w:b/>
                <w:bCs/>
                <w:i/>
                <w:color w:val="FFFFFF" w:themeColor="background1"/>
                <w:sz w:val="20"/>
                <w:szCs w:val="20"/>
                <w:lang w:val="es-CO"/>
              </w:rPr>
              <w:t xml:space="preserve"> Ratione temporis</w:t>
            </w:r>
            <w:r w:rsidRPr="00DF425F">
              <w:rPr>
                <w:rFonts w:ascii="Cambria" w:hAnsi="Cambria"/>
                <w:b/>
                <w:bCs/>
                <w:color w:val="FFFFFF" w:themeColor="background1"/>
                <w:sz w:val="20"/>
                <w:szCs w:val="20"/>
                <w:lang w:val="es-CO"/>
              </w:rPr>
              <w:t>:</w:t>
            </w:r>
          </w:p>
        </w:tc>
        <w:tc>
          <w:tcPr>
            <w:tcW w:w="5776" w:type="dxa"/>
            <w:vAlign w:val="center"/>
          </w:tcPr>
          <w:p w14:paraId="6F8B059B" w14:textId="4E0F5275" w:rsidR="003239B8" w:rsidRPr="00DF425F" w:rsidRDefault="007C27E5" w:rsidP="008D2290">
            <w:pPr>
              <w:rPr>
                <w:rFonts w:ascii="Cambria" w:hAnsi="Cambria"/>
                <w:bCs/>
                <w:sz w:val="20"/>
                <w:szCs w:val="20"/>
                <w:lang w:val="es-CO"/>
              </w:rPr>
            </w:pPr>
            <w:r w:rsidRPr="00DF425F">
              <w:rPr>
                <w:rFonts w:ascii="Cambria" w:hAnsi="Cambria"/>
                <w:bCs/>
                <w:sz w:val="20"/>
                <w:szCs w:val="20"/>
                <w:lang w:val="es-CO"/>
              </w:rPr>
              <w:t>Sí</w:t>
            </w:r>
          </w:p>
        </w:tc>
      </w:tr>
      <w:tr w:rsidR="003239B8" w:rsidRPr="004B4773" w14:paraId="30ABEC3E" w14:textId="77777777" w:rsidTr="00DC64C1">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DF425F" w:rsidRDefault="003239B8"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Competencia</w:t>
            </w:r>
            <w:r w:rsidRPr="00DF425F">
              <w:rPr>
                <w:rFonts w:ascii="Cambria" w:hAnsi="Cambria"/>
                <w:b/>
                <w:bCs/>
                <w:i/>
                <w:color w:val="FFFFFF" w:themeColor="background1"/>
                <w:sz w:val="20"/>
                <w:szCs w:val="20"/>
                <w:lang w:val="es-CO"/>
              </w:rPr>
              <w:t xml:space="preserve"> Ratione materia</w:t>
            </w:r>
            <w:r w:rsidR="00EE00E9" w:rsidRPr="00DF425F">
              <w:rPr>
                <w:rFonts w:ascii="Cambria" w:hAnsi="Cambria"/>
                <w:b/>
                <w:bCs/>
                <w:i/>
                <w:color w:val="FFFFFF" w:themeColor="background1"/>
                <w:sz w:val="20"/>
                <w:szCs w:val="20"/>
                <w:lang w:val="es-CO"/>
              </w:rPr>
              <w:t>e</w:t>
            </w:r>
            <w:r w:rsidRPr="00DF425F">
              <w:rPr>
                <w:rFonts w:ascii="Cambria" w:hAnsi="Cambria"/>
                <w:b/>
                <w:bCs/>
                <w:color w:val="FFFFFF" w:themeColor="background1"/>
                <w:sz w:val="20"/>
                <w:szCs w:val="20"/>
                <w:lang w:val="es-CO"/>
              </w:rPr>
              <w:t>:</w:t>
            </w:r>
          </w:p>
        </w:tc>
        <w:tc>
          <w:tcPr>
            <w:tcW w:w="5776" w:type="dxa"/>
            <w:vAlign w:val="center"/>
          </w:tcPr>
          <w:p w14:paraId="0C122F44" w14:textId="403DF444" w:rsidR="003239B8" w:rsidRPr="00DF425F" w:rsidRDefault="003467A3" w:rsidP="008D2290">
            <w:pPr>
              <w:jc w:val="both"/>
              <w:rPr>
                <w:rFonts w:ascii="Cambria" w:hAnsi="Cambria"/>
                <w:bCs/>
                <w:sz w:val="20"/>
                <w:szCs w:val="20"/>
                <w:lang w:val="es-CO"/>
              </w:rPr>
            </w:pPr>
            <w:r w:rsidRPr="00DF425F">
              <w:rPr>
                <w:rFonts w:ascii="Cambria" w:hAnsi="Cambria"/>
                <w:bCs/>
                <w:sz w:val="20"/>
                <w:szCs w:val="20"/>
                <w:lang w:val="es-CO"/>
              </w:rPr>
              <w:t>Sí, Convención Americana (depósito del instrumento de ratificación realizado el 8 de septiembre de 1977)</w:t>
            </w:r>
            <w:r w:rsidR="00DE64AC">
              <w:rPr>
                <w:rFonts w:ascii="Cambria" w:hAnsi="Cambria"/>
                <w:bCs/>
                <w:sz w:val="20"/>
                <w:szCs w:val="20"/>
                <w:lang w:val="es-CO"/>
              </w:rPr>
              <w:t xml:space="preserve">, Declaración Americana (ratificación de la Carta de la OEA el </w:t>
            </w:r>
            <w:r w:rsidR="00363F62">
              <w:rPr>
                <w:rFonts w:ascii="Cambria" w:hAnsi="Cambria"/>
                <w:bCs/>
                <w:sz w:val="20"/>
                <w:szCs w:val="20"/>
                <w:lang w:val="es-CO"/>
              </w:rPr>
              <w:t>13 de enero</w:t>
            </w:r>
            <w:r w:rsidR="00DE64AC">
              <w:rPr>
                <w:rFonts w:ascii="Cambria" w:hAnsi="Cambria"/>
                <w:bCs/>
                <w:sz w:val="20"/>
                <w:szCs w:val="20"/>
                <w:lang w:val="es-CO"/>
              </w:rPr>
              <w:t xml:space="preserve"> de </w:t>
            </w:r>
            <w:r w:rsidR="00363F62">
              <w:rPr>
                <w:rFonts w:ascii="Cambria" w:hAnsi="Cambria"/>
                <w:bCs/>
                <w:sz w:val="20"/>
                <w:szCs w:val="20"/>
                <w:lang w:val="es-CO"/>
              </w:rPr>
              <w:t>1950</w:t>
            </w:r>
            <w:r w:rsidR="00DE64AC">
              <w:rPr>
                <w:rFonts w:ascii="Cambria" w:hAnsi="Cambria"/>
                <w:bCs/>
                <w:sz w:val="20"/>
                <w:szCs w:val="20"/>
                <w:lang w:val="es-CO"/>
              </w:rPr>
              <w:t xml:space="preserve">) y Convención de Belém do Pará (depósito de instrumento realizado el </w:t>
            </w:r>
            <w:r w:rsidR="00363F62">
              <w:rPr>
                <w:rFonts w:ascii="Cambria" w:hAnsi="Cambria"/>
                <w:bCs/>
                <w:sz w:val="20"/>
                <w:szCs w:val="20"/>
                <w:lang w:val="es-CO"/>
              </w:rPr>
              <w:t>12 de julio</w:t>
            </w:r>
            <w:r w:rsidR="00DE64AC">
              <w:rPr>
                <w:rFonts w:ascii="Cambria" w:hAnsi="Cambria"/>
                <w:bCs/>
                <w:sz w:val="20"/>
                <w:szCs w:val="20"/>
                <w:lang w:val="es-CO"/>
              </w:rPr>
              <w:t xml:space="preserve"> de 1995)</w:t>
            </w:r>
          </w:p>
        </w:tc>
      </w:tr>
    </w:tbl>
    <w:p w14:paraId="4E92C444" w14:textId="140CB1E7" w:rsidR="003239B8" w:rsidRPr="00DF425F" w:rsidRDefault="003239B8" w:rsidP="003239B8">
      <w:pPr>
        <w:spacing w:before="240" w:after="240"/>
        <w:ind w:firstLine="720"/>
        <w:jc w:val="both"/>
        <w:rPr>
          <w:rFonts w:asciiTheme="majorHAnsi" w:hAnsiTheme="majorHAnsi"/>
          <w:b/>
          <w:bCs/>
          <w:sz w:val="20"/>
          <w:szCs w:val="20"/>
          <w:lang w:val="es-CO"/>
        </w:rPr>
      </w:pPr>
      <w:r w:rsidRPr="00DF425F">
        <w:rPr>
          <w:rFonts w:asciiTheme="majorHAnsi" w:hAnsiTheme="majorHAnsi"/>
          <w:b/>
          <w:bCs/>
          <w:sz w:val="20"/>
          <w:szCs w:val="20"/>
          <w:lang w:val="es-CO"/>
        </w:rPr>
        <w:t xml:space="preserve">IV. </w:t>
      </w:r>
      <w:r w:rsidRPr="00DF425F">
        <w:rPr>
          <w:rFonts w:asciiTheme="majorHAnsi" w:hAnsiTheme="majorHAnsi"/>
          <w:b/>
          <w:bCs/>
          <w:sz w:val="20"/>
          <w:szCs w:val="20"/>
          <w:lang w:val="es-CO"/>
        </w:rPr>
        <w:tab/>
      </w:r>
      <w:r w:rsidR="00EE00E9" w:rsidRPr="00DF425F">
        <w:rPr>
          <w:rFonts w:asciiTheme="majorHAnsi" w:hAnsiTheme="majorHAnsi"/>
          <w:b/>
          <w:bCs/>
          <w:sz w:val="20"/>
          <w:szCs w:val="20"/>
          <w:lang w:val="es-CO"/>
        </w:rPr>
        <w:t>DUPLICACIÓN</w:t>
      </w:r>
      <w:r w:rsidR="00EE00E9" w:rsidRPr="00DF425F">
        <w:rPr>
          <w:rFonts w:asciiTheme="majorHAnsi" w:hAnsiTheme="majorHAnsi"/>
          <w:b/>
          <w:bCs/>
          <w:color w:val="FFFFFF" w:themeColor="background1"/>
          <w:sz w:val="20"/>
          <w:szCs w:val="20"/>
          <w:lang w:val="es-CO"/>
        </w:rPr>
        <w:t xml:space="preserve"> </w:t>
      </w:r>
      <w:r w:rsidR="00EE00E9" w:rsidRPr="00DF425F">
        <w:rPr>
          <w:rFonts w:asciiTheme="majorHAnsi" w:hAnsiTheme="majorHAnsi"/>
          <w:b/>
          <w:bCs/>
          <w:sz w:val="20"/>
          <w:szCs w:val="20"/>
          <w:lang w:val="es-CO"/>
        </w:rPr>
        <w:t>DE PROCEDIMIENTOS Y COSA JUZGADA</w:t>
      </w:r>
      <w:r w:rsidR="00EE00E9" w:rsidRPr="00DF425F">
        <w:rPr>
          <w:rFonts w:asciiTheme="majorHAnsi" w:hAnsiTheme="majorHAnsi"/>
          <w:b/>
          <w:bCs/>
          <w:i/>
          <w:sz w:val="20"/>
          <w:szCs w:val="20"/>
          <w:lang w:val="es-CO"/>
        </w:rPr>
        <w:t xml:space="preserve"> </w:t>
      </w:r>
      <w:r w:rsidR="00EE00E9" w:rsidRPr="00DF425F">
        <w:rPr>
          <w:rFonts w:asciiTheme="majorHAnsi" w:hAnsiTheme="majorHAnsi"/>
          <w:b/>
          <w:bCs/>
          <w:sz w:val="20"/>
          <w:szCs w:val="20"/>
          <w:lang w:val="es-CO"/>
        </w:rPr>
        <w:t>INTERNACIONAL</w:t>
      </w:r>
      <w:r w:rsidR="005D38F9" w:rsidRPr="00DF425F">
        <w:rPr>
          <w:rFonts w:asciiTheme="majorHAnsi" w:hAnsiTheme="majorHAnsi"/>
          <w:b/>
          <w:bCs/>
          <w:sz w:val="20"/>
          <w:szCs w:val="20"/>
          <w:lang w:val="es-CO"/>
        </w:rPr>
        <w:t>,</w:t>
      </w:r>
      <w:r w:rsidRPr="00DF425F">
        <w:rPr>
          <w:rFonts w:asciiTheme="majorHAnsi" w:hAnsiTheme="majorHAnsi"/>
          <w:b/>
          <w:bCs/>
          <w:sz w:val="20"/>
          <w:szCs w:val="20"/>
          <w:lang w:val="es-CO"/>
        </w:rPr>
        <w:t xml:space="preserve"> CARACTERIZACIÓN, </w:t>
      </w:r>
      <w:r w:rsidRPr="00DF425F">
        <w:rPr>
          <w:rFonts w:asciiTheme="majorHAnsi" w:hAnsiTheme="majorHAnsi"/>
          <w:b/>
          <w:sz w:val="20"/>
          <w:szCs w:val="20"/>
          <w:lang w:val="es-CO"/>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DF425F" w14:paraId="1231C988" w14:textId="77777777" w:rsidTr="00DC64C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F425F" w:rsidRDefault="00EE00E9"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Duplicación de procedimientos y cosa juzgada internacional:</w:t>
            </w:r>
          </w:p>
        </w:tc>
        <w:tc>
          <w:tcPr>
            <w:tcW w:w="5771" w:type="dxa"/>
            <w:vAlign w:val="center"/>
          </w:tcPr>
          <w:p w14:paraId="240941E6" w14:textId="699D3B97" w:rsidR="00EE00E9" w:rsidRPr="00DF425F" w:rsidRDefault="00123001" w:rsidP="008D2290">
            <w:pPr>
              <w:jc w:val="both"/>
              <w:rPr>
                <w:rFonts w:ascii="Cambria" w:hAnsi="Cambria"/>
                <w:bCs/>
                <w:sz w:val="20"/>
                <w:szCs w:val="20"/>
                <w:lang w:val="es-CO"/>
              </w:rPr>
            </w:pPr>
            <w:r w:rsidRPr="00DF425F">
              <w:rPr>
                <w:rFonts w:ascii="Cambria" w:hAnsi="Cambria"/>
                <w:bCs/>
                <w:sz w:val="20"/>
                <w:szCs w:val="20"/>
                <w:lang w:val="es-CO"/>
              </w:rPr>
              <w:t>No</w:t>
            </w:r>
          </w:p>
        </w:tc>
      </w:tr>
      <w:tr w:rsidR="003239B8" w:rsidRPr="00DF425F" w14:paraId="15FAA7D1" w14:textId="77777777" w:rsidTr="00DC64C1">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F425F" w:rsidRDefault="003239B8" w:rsidP="008D2290">
            <w:pPr>
              <w:jc w:val="center"/>
              <w:rPr>
                <w:rFonts w:ascii="Cambria" w:hAnsi="Cambria"/>
                <w:b/>
                <w:bCs/>
                <w:i/>
                <w:color w:val="FFFFFF" w:themeColor="background1"/>
                <w:sz w:val="20"/>
                <w:szCs w:val="20"/>
                <w:lang w:val="es-CO"/>
              </w:rPr>
            </w:pPr>
            <w:r w:rsidRPr="00DF425F">
              <w:rPr>
                <w:rFonts w:ascii="Cambria" w:hAnsi="Cambria"/>
                <w:b/>
                <w:bCs/>
                <w:color w:val="FFFFFF" w:themeColor="background1"/>
                <w:sz w:val="20"/>
                <w:szCs w:val="20"/>
                <w:lang w:val="es-CO"/>
              </w:rPr>
              <w:t>Derechos declarados admisibles</w:t>
            </w:r>
            <w:r w:rsidRPr="00DF425F">
              <w:rPr>
                <w:rFonts w:ascii="Cambria" w:hAnsi="Cambria"/>
                <w:b/>
                <w:bCs/>
                <w:i/>
                <w:color w:val="FFFFFF" w:themeColor="background1"/>
                <w:sz w:val="20"/>
                <w:szCs w:val="20"/>
                <w:lang w:val="es-CO"/>
              </w:rPr>
              <w:t>:</w:t>
            </w:r>
          </w:p>
        </w:tc>
        <w:tc>
          <w:tcPr>
            <w:tcW w:w="5771" w:type="dxa"/>
            <w:vAlign w:val="center"/>
          </w:tcPr>
          <w:p w14:paraId="6310C8F7" w14:textId="1AD1AD50" w:rsidR="003239B8" w:rsidRPr="00DF425F" w:rsidRDefault="00DE64AC" w:rsidP="008D2290">
            <w:pPr>
              <w:jc w:val="both"/>
              <w:rPr>
                <w:rFonts w:ascii="Cambria" w:hAnsi="Cambria"/>
                <w:bCs/>
                <w:sz w:val="20"/>
                <w:szCs w:val="20"/>
                <w:lang w:val="es-CO"/>
              </w:rPr>
            </w:pPr>
            <w:r>
              <w:rPr>
                <w:rFonts w:ascii="Cambria" w:hAnsi="Cambria"/>
                <w:bCs/>
                <w:sz w:val="20"/>
                <w:szCs w:val="20"/>
                <w:lang w:val="es-CO"/>
              </w:rPr>
              <w:t>Ninguno</w:t>
            </w:r>
          </w:p>
        </w:tc>
      </w:tr>
      <w:tr w:rsidR="003239B8" w:rsidRPr="00DF425F" w14:paraId="4EFD141E" w14:textId="77777777" w:rsidTr="00DC64C1">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F425F" w:rsidRDefault="003239B8"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Agotamiento de recursos internos</w:t>
            </w:r>
            <w:r w:rsidR="00EE00E9" w:rsidRPr="00DF425F">
              <w:rPr>
                <w:rFonts w:ascii="Cambria" w:hAnsi="Cambria"/>
                <w:b/>
                <w:bCs/>
                <w:color w:val="FFFFFF" w:themeColor="background1"/>
                <w:sz w:val="20"/>
                <w:szCs w:val="20"/>
                <w:lang w:val="es-CO"/>
              </w:rPr>
              <w:t xml:space="preserve"> o procedencia de una excepción</w:t>
            </w:r>
            <w:r w:rsidRPr="00DF425F">
              <w:rPr>
                <w:rFonts w:ascii="Cambria" w:hAnsi="Cambria"/>
                <w:b/>
                <w:bCs/>
                <w:color w:val="FFFFFF" w:themeColor="background1"/>
                <w:sz w:val="20"/>
                <w:szCs w:val="20"/>
                <w:lang w:val="es-CO"/>
              </w:rPr>
              <w:t>:</w:t>
            </w:r>
          </w:p>
        </w:tc>
        <w:tc>
          <w:tcPr>
            <w:tcW w:w="5771" w:type="dxa"/>
            <w:vAlign w:val="center"/>
          </w:tcPr>
          <w:p w14:paraId="69C53E8A" w14:textId="66EDE872" w:rsidR="003239B8" w:rsidRPr="00DF425F" w:rsidRDefault="00123001" w:rsidP="008D2290">
            <w:pPr>
              <w:rPr>
                <w:rFonts w:ascii="Cambria" w:hAnsi="Cambria"/>
                <w:bCs/>
                <w:sz w:val="20"/>
                <w:szCs w:val="20"/>
                <w:lang w:val="es-CO"/>
              </w:rPr>
            </w:pPr>
            <w:r w:rsidRPr="00DF425F">
              <w:rPr>
                <w:rFonts w:ascii="Cambria" w:hAnsi="Cambria"/>
                <w:bCs/>
                <w:sz w:val="20"/>
                <w:szCs w:val="20"/>
                <w:lang w:val="es-CO"/>
              </w:rPr>
              <w:t>Sí</w:t>
            </w:r>
          </w:p>
        </w:tc>
      </w:tr>
      <w:tr w:rsidR="003239B8" w:rsidRPr="00DF425F" w14:paraId="52B5BA17" w14:textId="77777777" w:rsidTr="00DC64C1">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F425F" w:rsidRDefault="003239B8" w:rsidP="008D2290">
            <w:pPr>
              <w:jc w:val="center"/>
              <w:rPr>
                <w:rFonts w:ascii="Cambria" w:hAnsi="Cambria"/>
                <w:b/>
                <w:bCs/>
                <w:color w:val="FFFFFF" w:themeColor="background1"/>
                <w:sz w:val="20"/>
                <w:szCs w:val="20"/>
                <w:lang w:val="es-CO"/>
              </w:rPr>
            </w:pPr>
            <w:r w:rsidRPr="00DF425F">
              <w:rPr>
                <w:rFonts w:ascii="Cambria" w:hAnsi="Cambria"/>
                <w:b/>
                <w:bCs/>
                <w:color w:val="FFFFFF" w:themeColor="background1"/>
                <w:sz w:val="20"/>
                <w:szCs w:val="20"/>
                <w:lang w:val="es-CO"/>
              </w:rPr>
              <w:t>Presentación dentro de plazo:</w:t>
            </w:r>
          </w:p>
        </w:tc>
        <w:tc>
          <w:tcPr>
            <w:tcW w:w="5771" w:type="dxa"/>
            <w:vAlign w:val="center"/>
          </w:tcPr>
          <w:p w14:paraId="4A2A4569" w14:textId="7566748E" w:rsidR="003239B8" w:rsidRPr="00DF425F" w:rsidRDefault="00123001" w:rsidP="008D2290">
            <w:pPr>
              <w:rPr>
                <w:rFonts w:ascii="Cambria" w:hAnsi="Cambria"/>
                <w:bCs/>
                <w:sz w:val="20"/>
                <w:szCs w:val="20"/>
                <w:lang w:val="es-CO"/>
              </w:rPr>
            </w:pPr>
            <w:r w:rsidRPr="00DF425F">
              <w:rPr>
                <w:rFonts w:ascii="Cambria" w:hAnsi="Cambria"/>
                <w:bCs/>
                <w:sz w:val="20"/>
                <w:szCs w:val="20"/>
                <w:lang w:val="es-CO"/>
              </w:rPr>
              <w:t>Sí</w:t>
            </w:r>
          </w:p>
        </w:tc>
      </w:tr>
    </w:tbl>
    <w:p w14:paraId="22081E3E" w14:textId="77777777" w:rsidR="00F10D86" w:rsidRDefault="00F10D86" w:rsidP="00B4637C">
      <w:pPr>
        <w:spacing w:before="240" w:after="240"/>
        <w:ind w:firstLine="720"/>
        <w:jc w:val="both"/>
        <w:rPr>
          <w:rFonts w:asciiTheme="majorHAnsi" w:hAnsiTheme="majorHAnsi"/>
          <w:b/>
          <w:sz w:val="20"/>
          <w:szCs w:val="20"/>
          <w:lang w:val="es-CO"/>
        </w:rPr>
      </w:pPr>
    </w:p>
    <w:p w14:paraId="53977EAC" w14:textId="4C242765" w:rsidR="00B4637C" w:rsidRPr="00391ABD" w:rsidRDefault="00223A29" w:rsidP="00B4637C">
      <w:pPr>
        <w:spacing w:before="240" w:after="240"/>
        <w:ind w:firstLine="720"/>
        <w:jc w:val="both"/>
        <w:rPr>
          <w:rFonts w:asciiTheme="majorHAnsi" w:hAnsiTheme="majorHAnsi"/>
          <w:b/>
          <w:sz w:val="20"/>
          <w:szCs w:val="20"/>
          <w:lang w:val="es-ES_tradnl"/>
        </w:rPr>
      </w:pPr>
      <w:r w:rsidRPr="00DF425F">
        <w:rPr>
          <w:rFonts w:asciiTheme="majorHAnsi" w:hAnsiTheme="majorHAnsi"/>
          <w:b/>
          <w:sz w:val="20"/>
          <w:szCs w:val="20"/>
          <w:lang w:val="es-CO"/>
        </w:rPr>
        <w:lastRenderedPageBreak/>
        <w:t xml:space="preserve">V. </w:t>
      </w:r>
      <w:r w:rsidRPr="00DF425F">
        <w:rPr>
          <w:rFonts w:asciiTheme="majorHAnsi" w:hAnsiTheme="majorHAnsi"/>
          <w:b/>
          <w:sz w:val="20"/>
          <w:szCs w:val="20"/>
          <w:lang w:val="es-CO"/>
        </w:rPr>
        <w:tab/>
      </w:r>
      <w:r w:rsidR="00867314" w:rsidRPr="00391ABD">
        <w:rPr>
          <w:rFonts w:asciiTheme="majorHAnsi" w:hAnsiTheme="majorHAnsi"/>
          <w:b/>
          <w:sz w:val="20"/>
          <w:szCs w:val="20"/>
          <w:lang w:val="es-ES_tradnl"/>
        </w:rPr>
        <w:t>POSICIÓN DE LAS PARTES</w:t>
      </w:r>
    </w:p>
    <w:p w14:paraId="0009D771" w14:textId="1B1E7C6E" w:rsidR="00B4637C" w:rsidRPr="00391ABD" w:rsidRDefault="00363F62" w:rsidP="003309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La presente petición se refiere</w:t>
      </w:r>
      <w:r w:rsidR="00AB7FC4" w:rsidRPr="00391ABD">
        <w:rPr>
          <w:rFonts w:ascii="Cambria" w:hAnsi="Cambria"/>
          <w:sz w:val="20"/>
          <w:szCs w:val="20"/>
          <w:lang w:val="es-ES_tradnl"/>
        </w:rPr>
        <w:t xml:space="preserve"> la alegada falta de acceso a la justicia </w:t>
      </w:r>
      <w:r w:rsidR="00A6510F" w:rsidRPr="00391ABD">
        <w:rPr>
          <w:rFonts w:ascii="Cambria" w:hAnsi="Cambria"/>
          <w:sz w:val="20"/>
          <w:szCs w:val="20"/>
          <w:lang w:val="es-ES_tradnl"/>
        </w:rPr>
        <w:t>y a</w:t>
      </w:r>
      <w:r w:rsidR="00AB7FC4" w:rsidRPr="00391ABD">
        <w:rPr>
          <w:rFonts w:ascii="Cambria" w:hAnsi="Cambria"/>
          <w:sz w:val="20"/>
          <w:szCs w:val="20"/>
          <w:lang w:val="es-ES_tradnl"/>
        </w:rPr>
        <w:t xml:space="preserve"> </w:t>
      </w:r>
      <w:r w:rsidR="00683ADB" w:rsidRPr="00391ABD">
        <w:rPr>
          <w:rFonts w:ascii="Cambria" w:hAnsi="Cambria"/>
          <w:sz w:val="20"/>
          <w:szCs w:val="20"/>
          <w:lang w:val="es-ES_tradnl"/>
        </w:rPr>
        <w:t xml:space="preserve">la vulneración de los derechos a las garantías judiciales y </w:t>
      </w:r>
      <w:r w:rsidR="00D6700E" w:rsidRPr="00391ABD">
        <w:rPr>
          <w:rFonts w:ascii="Cambria" w:hAnsi="Cambria"/>
          <w:sz w:val="20"/>
          <w:szCs w:val="20"/>
          <w:lang w:val="es-ES_tradnl"/>
        </w:rPr>
        <w:t xml:space="preserve">a la </w:t>
      </w:r>
      <w:r w:rsidR="00683ADB" w:rsidRPr="00391ABD">
        <w:rPr>
          <w:rFonts w:ascii="Cambria" w:hAnsi="Cambria"/>
          <w:sz w:val="20"/>
          <w:szCs w:val="20"/>
          <w:lang w:val="es-ES_tradnl"/>
        </w:rPr>
        <w:t xml:space="preserve">protección judicial de la </w:t>
      </w:r>
      <w:r w:rsidR="009F11CA" w:rsidRPr="00391ABD">
        <w:rPr>
          <w:rFonts w:ascii="Cambria" w:hAnsi="Cambria"/>
          <w:sz w:val="20"/>
          <w:szCs w:val="20"/>
          <w:lang w:val="es-ES_tradnl"/>
        </w:rPr>
        <w:t>Sra.</w:t>
      </w:r>
      <w:r w:rsidR="00683ADB" w:rsidRPr="00391ABD">
        <w:rPr>
          <w:rFonts w:ascii="Cambria" w:hAnsi="Cambria"/>
          <w:sz w:val="20"/>
          <w:szCs w:val="20"/>
          <w:lang w:val="es-ES_tradnl"/>
        </w:rPr>
        <w:t xml:space="preserve"> Gina María González Domínguez en el marco de un proceso </w:t>
      </w:r>
      <w:r w:rsidR="00B044C7" w:rsidRPr="00391ABD">
        <w:rPr>
          <w:rFonts w:ascii="Cambria" w:hAnsi="Cambria"/>
          <w:sz w:val="20"/>
          <w:szCs w:val="20"/>
          <w:lang w:val="es-ES_tradnl"/>
        </w:rPr>
        <w:t>penal por violencia intrafamiliar en el que denunció a su expareja</w:t>
      </w:r>
      <w:r w:rsidR="00683ADB" w:rsidRPr="00391ABD">
        <w:rPr>
          <w:rFonts w:ascii="Cambria" w:hAnsi="Cambria"/>
          <w:sz w:val="20"/>
          <w:szCs w:val="20"/>
          <w:lang w:val="es-ES_tradnl"/>
        </w:rPr>
        <w:t xml:space="preserve">, </w:t>
      </w:r>
      <w:r w:rsidR="00B044C7" w:rsidRPr="00391ABD">
        <w:rPr>
          <w:rFonts w:ascii="Cambria" w:hAnsi="Cambria"/>
          <w:sz w:val="20"/>
          <w:szCs w:val="20"/>
          <w:lang w:val="es-ES_tradnl"/>
        </w:rPr>
        <w:t>el cual</w:t>
      </w:r>
      <w:r w:rsidR="00683ADB" w:rsidRPr="00391ABD">
        <w:rPr>
          <w:rFonts w:ascii="Cambria" w:hAnsi="Cambria"/>
          <w:sz w:val="20"/>
          <w:szCs w:val="20"/>
          <w:lang w:val="es-ES_tradnl"/>
        </w:rPr>
        <w:t xml:space="preserve"> culminó con un fallo de casación que revocó la condena impuesta a este último. </w:t>
      </w:r>
    </w:p>
    <w:p w14:paraId="67801844" w14:textId="758B347A" w:rsidR="00683ADB" w:rsidRPr="00391ABD" w:rsidRDefault="00683ADB" w:rsidP="00683A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391ABD">
        <w:rPr>
          <w:rFonts w:ascii="Cambria" w:hAnsi="Cambria"/>
          <w:i/>
          <w:iCs/>
          <w:sz w:val="20"/>
          <w:szCs w:val="20"/>
          <w:lang w:val="es-ES_tradnl"/>
        </w:rPr>
        <w:t>Alegatos de la parte peticionaria</w:t>
      </w:r>
    </w:p>
    <w:p w14:paraId="4956BC86" w14:textId="1E4759D5" w:rsidR="008E2AEB" w:rsidRPr="00391ABD" w:rsidRDefault="003078C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La peticionaria indica que desde el 2004 hasta el 2007 tuvo una unión de hecho con el señor F.A.H.P, la cual finalizó por presuntos actos de violencia</w:t>
      </w:r>
      <w:r w:rsidR="008E2AEB" w:rsidRPr="00391ABD">
        <w:rPr>
          <w:rFonts w:ascii="Cambria" w:hAnsi="Cambria"/>
          <w:sz w:val="20"/>
          <w:szCs w:val="20"/>
          <w:lang w:val="es-ES_tradnl"/>
        </w:rPr>
        <w:t xml:space="preserve"> ejercidos </w:t>
      </w:r>
      <w:r w:rsidR="00991844" w:rsidRPr="00391ABD">
        <w:rPr>
          <w:rFonts w:ascii="Cambria" w:hAnsi="Cambria"/>
          <w:sz w:val="20"/>
          <w:szCs w:val="20"/>
          <w:lang w:val="es-ES_tradnl"/>
        </w:rPr>
        <w:t xml:space="preserve">por este </w:t>
      </w:r>
      <w:r w:rsidR="008E2AEB" w:rsidRPr="00391ABD">
        <w:rPr>
          <w:rFonts w:ascii="Cambria" w:hAnsi="Cambria"/>
          <w:sz w:val="20"/>
          <w:szCs w:val="20"/>
          <w:lang w:val="es-ES_tradnl"/>
        </w:rPr>
        <w:t>en su contra</w:t>
      </w:r>
      <w:r w:rsidRPr="00391ABD">
        <w:rPr>
          <w:rFonts w:ascii="Cambria" w:hAnsi="Cambria"/>
          <w:sz w:val="20"/>
          <w:szCs w:val="20"/>
          <w:lang w:val="es-ES_tradnl"/>
        </w:rPr>
        <w:t xml:space="preserve">. A partir de ese momento </w:t>
      </w:r>
      <w:r w:rsidR="009F11CA" w:rsidRPr="00391ABD">
        <w:rPr>
          <w:rFonts w:ascii="Cambria" w:hAnsi="Cambria"/>
          <w:sz w:val="20"/>
          <w:szCs w:val="20"/>
          <w:lang w:val="es-ES_tradnl"/>
        </w:rPr>
        <w:t>su expareja</w:t>
      </w:r>
      <w:r w:rsidRPr="00391ABD">
        <w:rPr>
          <w:rFonts w:ascii="Cambria" w:hAnsi="Cambria"/>
          <w:sz w:val="20"/>
          <w:szCs w:val="20"/>
          <w:lang w:val="es-ES_tradnl"/>
        </w:rPr>
        <w:t xml:space="preserve"> inició con una serie de amenazas, persecuciones y acciones de desprestigio </w:t>
      </w:r>
      <w:r w:rsidR="009F11CA" w:rsidRPr="00391ABD">
        <w:rPr>
          <w:rFonts w:ascii="Cambria" w:hAnsi="Cambria"/>
          <w:sz w:val="20"/>
          <w:szCs w:val="20"/>
          <w:lang w:val="es-ES_tradnl"/>
        </w:rPr>
        <w:t xml:space="preserve">en su contra </w:t>
      </w:r>
      <w:r w:rsidRPr="00391ABD">
        <w:rPr>
          <w:rFonts w:ascii="Cambria" w:hAnsi="Cambria"/>
          <w:sz w:val="20"/>
          <w:szCs w:val="20"/>
          <w:lang w:val="es-ES_tradnl"/>
        </w:rPr>
        <w:t>consistentes en interposición de una serie de denuncias</w:t>
      </w:r>
      <w:r w:rsidR="00363F62" w:rsidRPr="00391ABD">
        <w:rPr>
          <w:rFonts w:ascii="Cambria" w:hAnsi="Cambria"/>
          <w:sz w:val="20"/>
          <w:szCs w:val="20"/>
          <w:lang w:val="es-ES_tradnl"/>
        </w:rPr>
        <w:t xml:space="preserve"> </w:t>
      </w:r>
      <w:r w:rsidRPr="00391ABD">
        <w:rPr>
          <w:rFonts w:ascii="Cambria" w:hAnsi="Cambria"/>
          <w:sz w:val="20"/>
          <w:szCs w:val="20"/>
          <w:lang w:val="es-ES_tradnl"/>
        </w:rPr>
        <w:t xml:space="preserve">falsas </w:t>
      </w:r>
      <w:r w:rsidR="009F11CA" w:rsidRPr="00391ABD">
        <w:rPr>
          <w:rFonts w:ascii="Cambria" w:hAnsi="Cambria"/>
          <w:sz w:val="20"/>
          <w:szCs w:val="20"/>
          <w:lang w:val="es-ES_tradnl"/>
        </w:rPr>
        <w:t xml:space="preserve">ante </w:t>
      </w:r>
      <w:r w:rsidRPr="00391ABD">
        <w:rPr>
          <w:rFonts w:ascii="Cambria" w:hAnsi="Cambria"/>
          <w:sz w:val="20"/>
          <w:szCs w:val="20"/>
          <w:lang w:val="es-ES_tradnl"/>
        </w:rPr>
        <w:t>distintas entidades</w:t>
      </w:r>
      <w:r w:rsidR="00D67233" w:rsidRPr="00391ABD">
        <w:rPr>
          <w:rFonts w:ascii="Cambria" w:hAnsi="Cambria"/>
          <w:sz w:val="20"/>
          <w:szCs w:val="20"/>
          <w:lang w:val="es-ES_tradnl"/>
        </w:rPr>
        <w:t>, contenidas en</w:t>
      </w:r>
      <w:r w:rsidR="00363F62" w:rsidRPr="00391ABD">
        <w:rPr>
          <w:rFonts w:ascii="Cambria" w:hAnsi="Cambria"/>
          <w:sz w:val="20"/>
          <w:szCs w:val="20"/>
          <w:lang w:val="es-ES_tradnl"/>
        </w:rPr>
        <w:t xml:space="preserve"> los expedientes</w:t>
      </w:r>
      <w:r w:rsidR="00736B42" w:rsidRPr="00391ABD">
        <w:rPr>
          <w:rFonts w:ascii="Cambria" w:hAnsi="Cambria"/>
          <w:sz w:val="20"/>
          <w:szCs w:val="20"/>
          <w:lang w:val="es-ES_tradnl"/>
        </w:rPr>
        <w:t>:</w:t>
      </w:r>
      <w:r w:rsidR="00363F62" w:rsidRPr="00391ABD">
        <w:rPr>
          <w:rFonts w:ascii="Cambria" w:hAnsi="Cambria"/>
          <w:sz w:val="20"/>
          <w:szCs w:val="20"/>
          <w:lang w:val="es-ES_tradnl"/>
        </w:rPr>
        <w:t xml:space="preserve"> 0801-2010-15771 por el delito de apropiación indebida</w:t>
      </w:r>
      <w:r w:rsidR="00736B42" w:rsidRPr="00391ABD">
        <w:rPr>
          <w:rFonts w:ascii="Cambria" w:hAnsi="Cambria"/>
          <w:sz w:val="20"/>
          <w:szCs w:val="20"/>
          <w:lang w:val="es-ES_tradnl"/>
        </w:rPr>
        <w:t>;</w:t>
      </w:r>
      <w:r w:rsidR="00363F62" w:rsidRPr="00391ABD">
        <w:rPr>
          <w:rFonts w:ascii="Cambria" w:hAnsi="Cambria"/>
          <w:sz w:val="20"/>
          <w:szCs w:val="20"/>
          <w:lang w:val="es-ES_tradnl"/>
        </w:rPr>
        <w:t xml:space="preserve"> 2045-11 por falsificación de documentos públicos</w:t>
      </w:r>
      <w:r w:rsidR="00430DC7" w:rsidRPr="00391ABD">
        <w:rPr>
          <w:rFonts w:ascii="Cambria" w:hAnsi="Cambria"/>
          <w:sz w:val="20"/>
          <w:szCs w:val="20"/>
          <w:lang w:val="es-ES_tradnl"/>
        </w:rPr>
        <w:t>;</w:t>
      </w:r>
      <w:r w:rsidR="00363F62" w:rsidRPr="00391ABD">
        <w:rPr>
          <w:rFonts w:ascii="Cambria" w:hAnsi="Cambria"/>
          <w:sz w:val="20"/>
          <w:szCs w:val="20"/>
          <w:lang w:val="es-ES_tradnl"/>
        </w:rPr>
        <w:t xml:space="preserve"> 3470-2014 por desobediencia</w:t>
      </w:r>
      <w:r w:rsidR="005673C0" w:rsidRPr="00391ABD">
        <w:rPr>
          <w:rFonts w:ascii="Cambria" w:hAnsi="Cambria"/>
          <w:sz w:val="20"/>
          <w:szCs w:val="20"/>
          <w:lang w:val="es-ES_tradnl"/>
        </w:rPr>
        <w:t>;</w:t>
      </w:r>
      <w:r w:rsidR="00363F62" w:rsidRPr="00391ABD">
        <w:rPr>
          <w:rFonts w:ascii="Cambria" w:hAnsi="Cambria"/>
          <w:sz w:val="20"/>
          <w:szCs w:val="20"/>
          <w:lang w:val="es-ES_tradnl"/>
        </w:rPr>
        <w:t xml:space="preserve"> TST 0801-2011-03388/TST 0801-2011-03388 por difamación y calumnia</w:t>
      </w:r>
      <w:r w:rsidR="00691ECD" w:rsidRPr="00391ABD">
        <w:rPr>
          <w:rFonts w:ascii="Cambria" w:hAnsi="Cambria"/>
          <w:sz w:val="20"/>
          <w:szCs w:val="20"/>
          <w:lang w:val="es-ES_tradnl"/>
        </w:rPr>
        <w:t>;</w:t>
      </w:r>
      <w:r w:rsidR="00363F62" w:rsidRPr="00391ABD">
        <w:rPr>
          <w:rFonts w:ascii="Cambria" w:hAnsi="Cambria"/>
          <w:sz w:val="20"/>
          <w:szCs w:val="20"/>
          <w:lang w:val="es-ES_tradnl"/>
        </w:rPr>
        <w:t xml:space="preserve"> </w:t>
      </w:r>
      <w:r w:rsidRPr="00391ABD">
        <w:rPr>
          <w:rFonts w:ascii="Cambria" w:hAnsi="Cambria"/>
          <w:sz w:val="20"/>
          <w:szCs w:val="20"/>
          <w:lang w:val="es-ES_tradnl"/>
        </w:rPr>
        <w:t>con el objeto de perjudicarl</w:t>
      </w:r>
      <w:r w:rsidR="00691ECD" w:rsidRPr="00391ABD">
        <w:rPr>
          <w:rFonts w:ascii="Cambria" w:hAnsi="Cambria"/>
          <w:sz w:val="20"/>
          <w:szCs w:val="20"/>
          <w:lang w:val="es-ES_tradnl"/>
        </w:rPr>
        <w:t>a</w:t>
      </w:r>
      <w:r w:rsidRPr="00391ABD">
        <w:rPr>
          <w:rFonts w:ascii="Cambria" w:hAnsi="Cambria"/>
          <w:sz w:val="20"/>
          <w:szCs w:val="20"/>
          <w:lang w:val="es-ES_tradnl"/>
        </w:rPr>
        <w:t xml:space="preserve"> personal y profesionalmente, lo que </w:t>
      </w:r>
      <w:r w:rsidR="007C4DC8" w:rsidRPr="00391ABD">
        <w:rPr>
          <w:rFonts w:ascii="Cambria" w:hAnsi="Cambria"/>
          <w:sz w:val="20"/>
          <w:szCs w:val="20"/>
          <w:lang w:val="es-ES_tradnl"/>
        </w:rPr>
        <w:t xml:space="preserve">le </w:t>
      </w:r>
      <w:r w:rsidRPr="00391ABD">
        <w:rPr>
          <w:rFonts w:ascii="Cambria" w:hAnsi="Cambria"/>
          <w:sz w:val="20"/>
          <w:szCs w:val="20"/>
          <w:lang w:val="es-ES_tradnl"/>
        </w:rPr>
        <w:t>causó perjuicios psicológicos y patrimoniales.</w:t>
      </w:r>
    </w:p>
    <w:p w14:paraId="7141635A" w14:textId="053D97BC" w:rsidR="00183646" w:rsidRPr="00391ABD" w:rsidRDefault="00991844" w:rsidP="009918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 xml:space="preserve">En diciembre de 2005 junto con el señor F.A.H.P constituyó la Sociedad Mercantil Inversiones Géminis S.A. de C.V. No obstante, indica que ella y sus hijos fueron despojados de </w:t>
      </w:r>
      <w:r w:rsidR="00183646" w:rsidRPr="00391ABD">
        <w:rPr>
          <w:rFonts w:ascii="Cambria" w:hAnsi="Cambria"/>
          <w:sz w:val="20"/>
          <w:szCs w:val="20"/>
          <w:lang w:val="es-ES_tradnl"/>
        </w:rPr>
        <w:t>las partes</w:t>
      </w:r>
      <w:r w:rsidRPr="00391ABD">
        <w:rPr>
          <w:rFonts w:ascii="Cambria" w:hAnsi="Cambria"/>
          <w:sz w:val="20"/>
          <w:szCs w:val="20"/>
          <w:lang w:val="es-ES_tradnl"/>
        </w:rPr>
        <w:t xml:space="preserve"> que les correspondía en la sociedad por parte de</w:t>
      </w:r>
      <w:r w:rsidR="00157745" w:rsidRPr="00391ABD">
        <w:rPr>
          <w:rFonts w:ascii="Cambria" w:hAnsi="Cambria"/>
          <w:sz w:val="20"/>
          <w:szCs w:val="20"/>
          <w:lang w:val="es-ES_tradnl"/>
        </w:rPr>
        <w:t xml:space="preserve"> su expareja</w:t>
      </w:r>
      <w:r w:rsidR="00351314" w:rsidRPr="00391ABD">
        <w:rPr>
          <w:rFonts w:ascii="Cambria" w:hAnsi="Cambria"/>
          <w:sz w:val="20"/>
          <w:szCs w:val="20"/>
          <w:lang w:val="es-ES_tradnl"/>
        </w:rPr>
        <w:t xml:space="preserve"> (en una empresa de telecomunicaciones)</w:t>
      </w:r>
      <w:r w:rsidRPr="00391ABD">
        <w:rPr>
          <w:rFonts w:ascii="Cambria" w:hAnsi="Cambria"/>
          <w:sz w:val="20"/>
          <w:szCs w:val="20"/>
          <w:lang w:val="es-ES_tradnl"/>
        </w:rPr>
        <w:t xml:space="preserve">. </w:t>
      </w:r>
      <w:r w:rsidR="00183646" w:rsidRPr="00391ABD">
        <w:rPr>
          <w:rFonts w:ascii="Cambria" w:hAnsi="Cambria"/>
          <w:sz w:val="20"/>
          <w:szCs w:val="20"/>
          <w:lang w:val="es-ES_tradnl"/>
        </w:rPr>
        <w:t xml:space="preserve">El 4 de febrero de 2013 la peticionaria solicitó la nulidad de la resolución AS455/10 del 11 de noviembre de 2010 emitida por </w:t>
      </w:r>
      <w:r w:rsidR="00CF6840" w:rsidRPr="00391ABD">
        <w:rPr>
          <w:rFonts w:ascii="Cambria" w:hAnsi="Cambria"/>
          <w:sz w:val="20"/>
          <w:szCs w:val="20"/>
          <w:lang w:val="es-ES_tradnl"/>
        </w:rPr>
        <w:t>la Comisión Nacional de Telecomunicaciones (</w:t>
      </w:r>
      <w:r w:rsidR="00183646" w:rsidRPr="00391ABD">
        <w:rPr>
          <w:rFonts w:ascii="Cambria" w:hAnsi="Cambria"/>
          <w:sz w:val="20"/>
          <w:szCs w:val="20"/>
          <w:lang w:val="es-ES_tradnl"/>
        </w:rPr>
        <w:t>CONATEL</w:t>
      </w:r>
      <w:r w:rsidR="00CF6840" w:rsidRPr="00391ABD">
        <w:rPr>
          <w:rFonts w:ascii="Cambria" w:hAnsi="Cambria"/>
          <w:sz w:val="20"/>
          <w:szCs w:val="20"/>
          <w:lang w:val="es-ES_tradnl"/>
        </w:rPr>
        <w:t>)</w:t>
      </w:r>
      <w:r w:rsidR="00183646" w:rsidRPr="00391ABD">
        <w:rPr>
          <w:rFonts w:ascii="Cambria" w:hAnsi="Cambria"/>
          <w:sz w:val="20"/>
          <w:szCs w:val="20"/>
          <w:lang w:val="es-ES_tradnl"/>
        </w:rPr>
        <w:t xml:space="preserve"> por vulneración del ordenamiento jurídico. Posteriormente</w:t>
      </w:r>
      <w:r w:rsidR="003E4216" w:rsidRPr="00391ABD">
        <w:rPr>
          <w:rFonts w:ascii="Cambria" w:hAnsi="Cambria"/>
          <w:sz w:val="20"/>
          <w:szCs w:val="20"/>
          <w:lang w:val="es-ES_tradnl"/>
        </w:rPr>
        <w:t>,</w:t>
      </w:r>
      <w:r w:rsidR="00183646" w:rsidRPr="00391ABD">
        <w:rPr>
          <w:rFonts w:ascii="Cambria" w:hAnsi="Cambria"/>
          <w:sz w:val="20"/>
          <w:szCs w:val="20"/>
          <w:lang w:val="es-ES_tradnl"/>
        </w:rPr>
        <w:t xml:space="preserve"> e</w:t>
      </w:r>
      <w:r w:rsidR="00C43C68" w:rsidRPr="00391ABD">
        <w:rPr>
          <w:rFonts w:ascii="Cambria" w:hAnsi="Cambria"/>
          <w:sz w:val="20"/>
          <w:szCs w:val="20"/>
          <w:lang w:val="es-ES_tradnl"/>
        </w:rPr>
        <w:t>l 11 de junio de 2014 el Juzgado de Letras de lo Contencioso Administrativo dictó sentencia definitiv</w:t>
      </w:r>
      <w:r w:rsidR="00183646" w:rsidRPr="00391ABD">
        <w:rPr>
          <w:rFonts w:ascii="Cambria" w:hAnsi="Cambria"/>
          <w:sz w:val="20"/>
          <w:szCs w:val="20"/>
          <w:lang w:val="es-ES_tradnl"/>
        </w:rPr>
        <w:t>a en la cual declaró procedente la acción interpuesta por la peticionaria y anuló la mencionada resolución</w:t>
      </w:r>
      <w:r w:rsidR="00D1318F" w:rsidRPr="00391ABD">
        <w:rPr>
          <w:rFonts w:ascii="Cambria" w:hAnsi="Cambria"/>
          <w:sz w:val="20"/>
          <w:szCs w:val="20"/>
          <w:lang w:val="es-ES_tradnl"/>
        </w:rPr>
        <w:t>,</w:t>
      </w:r>
      <w:r w:rsidR="002F1AAE" w:rsidRPr="00391ABD">
        <w:rPr>
          <w:rFonts w:ascii="Cambria" w:hAnsi="Cambria"/>
          <w:sz w:val="20"/>
          <w:szCs w:val="20"/>
          <w:lang w:val="es-ES_tradnl"/>
        </w:rPr>
        <w:t xml:space="preserve"> la cual fue confirmada por la Sala Laboral-Contencioso Administrativo de la Corte Suprema de Justicia,</w:t>
      </w:r>
      <w:r w:rsidR="00D1318F" w:rsidRPr="00391ABD">
        <w:rPr>
          <w:rFonts w:ascii="Cambria" w:hAnsi="Cambria"/>
          <w:sz w:val="20"/>
          <w:szCs w:val="20"/>
          <w:lang w:val="es-ES_tradnl"/>
        </w:rPr>
        <w:t xml:space="preserve"> no </w:t>
      </w:r>
      <w:r w:rsidR="004B4773" w:rsidRPr="00391ABD">
        <w:rPr>
          <w:rFonts w:ascii="Cambria" w:hAnsi="Cambria"/>
          <w:sz w:val="20"/>
          <w:szCs w:val="20"/>
          <w:lang w:val="es-ES_tradnl"/>
        </w:rPr>
        <w:t>obstante,</w:t>
      </w:r>
      <w:r w:rsidR="00D1318F" w:rsidRPr="00391ABD">
        <w:rPr>
          <w:rFonts w:ascii="Cambria" w:hAnsi="Cambria"/>
          <w:sz w:val="20"/>
          <w:szCs w:val="20"/>
          <w:lang w:val="es-ES_tradnl"/>
        </w:rPr>
        <w:t xml:space="preserve"> menciona que no ha podido recuperar la empresa y sus activos pues al parecer desaparecieron. </w:t>
      </w:r>
    </w:p>
    <w:p w14:paraId="5FC5584E" w14:textId="28633F5B" w:rsidR="002F1AAE" w:rsidRPr="00391ABD" w:rsidRDefault="002F1AAE" w:rsidP="00683A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391ABD">
        <w:rPr>
          <w:rFonts w:ascii="Cambria" w:hAnsi="Cambria"/>
          <w:i/>
          <w:iCs/>
          <w:sz w:val="20"/>
          <w:szCs w:val="20"/>
          <w:lang w:val="es-ES_tradnl"/>
        </w:rPr>
        <w:t xml:space="preserve">Proceso </w:t>
      </w:r>
      <w:r w:rsidR="00683ADB" w:rsidRPr="00391ABD">
        <w:rPr>
          <w:rFonts w:ascii="Cambria" w:hAnsi="Cambria"/>
          <w:i/>
          <w:iCs/>
          <w:sz w:val="20"/>
          <w:szCs w:val="20"/>
          <w:lang w:val="es-ES_tradnl"/>
        </w:rPr>
        <w:t xml:space="preserve">judicial </w:t>
      </w:r>
      <w:r w:rsidRPr="00391ABD">
        <w:rPr>
          <w:rFonts w:ascii="Cambria" w:hAnsi="Cambria"/>
          <w:i/>
          <w:iCs/>
          <w:sz w:val="20"/>
          <w:szCs w:val="20"/>
          <w:lang w:val="es-ES_tradnl"/>
        </w:rPr>
        <w:t>por violencia intrafamiliar</w:t>
      </w:r>
    </w:p>
    <w:p w14:paraId="44B8C0E0" w14:textId="7F5E8B41" w:rsidR="00C14AB7" w:rsidRPr="00391ABD" w:rsidRDefault="002F1AAE" w:rsidP="00C14A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El 3 de noviembre de 2008 la</w:t>
      </w:r>
      <w:r w:rsidR="003C1E7D" w:rsidRPr="00391ABD">
        <w:rPr>
          <w:rFonts w:ascii="Cambria" w:hAnsi="Cambria"/>
          <w:sz w:val="20"/>
          <w:szCs w:val="20"/>
          <w:lang w:val="es-ES_tradnl"/>
        </w:rPr>
        <w:t xml:space="preserve"> </w:t>
      </w:r>
      <w:r w:rsidR="00157745" w:rsidRPr="00391ABD">
        <w:rPr>
          <w:rFonts w:ascii="Cambria" w:hAnsi="Cambria"/>
          <w:sz w:val="20"/>
          <w:szCs w:val="20"/>
          <w:lang w:val="es-ES_tradnl"/>
        </w:rPr>
        <w:t>Sra.</w:t>
      </w:r>
      <w:r w:rsidR="003C1E7D" w:rsidRPr="00391ABD">
        <w:rPr>
          <w:rFonts w:ascii="Cambria" w:hAnsi="Cambria"/>
          <w:sz w:val="20"/>
          <w:szCs w:val="20"/>
          <w:lang w:val="es-ES_tradnl"/>
        </w:rPr>
        <w:t xml:space="preserve"> González interpuso</w:t>
      </w:r>
      <w:r w:rsidR="001B4FFF" w:rsidRPr="00391ABD">
        <w:rPr>
          <w:rFonts w:ascii="Cambria" w:hAnsi="Cambria"/>
          <w:sz w:val="20"/>
          <w:szCs w:val="20"/>
          <w:lang w:val="es-ES_tradnl"/>
        </w:rPr>
        <w:t xml:space="preserve"> una</w:t>
      </w:r>
      <w:r w:rsidR="003C1E7D" w:rsidRPr="00391ABD">
        <w:rPr>
          <w:rFonts w:ascii="Cambria" w:hAnsi="Cambria"/>
          <w:sz w:val="20"/>
          <w:szCs w:val="20"/>
          <w:lang w:val="es-ES_tradnl"/>
        </w:rPr>
        <w:t xml:space="preserve"> denuncia </w:t>
      </w:r>
      <w:r w:rsidR="00895101" w:rsidRPr="00391ABD">
        <w:rPr>
          <w:rFonts w:ascii="Cambria" w:hAnsi="Cambria"/>
          <w:sz w:val="20"/>
          <w:szCs w:val="20"/>
          <w:lang w:val="es-ES_tradnl"/>
        </w:rPr>
        <w:t>(</w:t>
      </w:r>
      <w:r w:rsidRPr="00391ABD">
        <w:rPr>
          <w:rFonts w:ascii="Cambria" w:hAnsi="Cambria"/>
          <w:sz w:val="20"/>
          <w:szCs w:val="20"/>
          <w:lang w:val="es-ES_tradnl"/>
        </w:rPr>
        <w:t>expediente 6327-08</w:t>
      </w:r>
      <w:r w:rsidR="00895101" w:rsidRPr="00391ABD">
        <w:rPr>
          <w:rFonts w:ascii="Cambria" w:hAnsi="Cambria"/>
          <w:sz w:val="20"/>
          <w:szCs w:val="20"/>
          <w:lang w:val="es-ES_tradnl"/>
        </w:rPr>
        <w:t>)</w:t>
      </w:r>
      <w:r w:rsidRPr="00391ABD">
        <w:rPr>
          <w:rFonts w:ascii="Cambria" w:hAnsi="Cambria"/>
          <w:sz w:val="20"/>
          <w:szCs w:val="20"/>
          <w:lang w:val="es-ES_tradnl"/>
        </w:rPr>
        <w:t xml:space="preserve"> </w:t>
      </w:r>
      <w:r w:rsidR="003C1E7D" w:rsidRPr="00391ABD">
        <w:rPr>
          <w:rFonts w:ascii="Cambria" w:hAnsi="Cambria"/>
          <w:sz w:val="20"/>
          <w:szCs w:val="20"/>
          <w:lang w:val="es-ES_tradnl"/>
        </w:rPr>
        <w:t>ante la Fiscalía Especial de la Mujer por el delito de violencia intrafamiliar</w:t>
      </w:r>
      <w:r w:rsidR="00220063" w:rsidRPr="00391ABD">
        <w:rPr>
          <w:rFonts w:ascii="Cambria" w:hAnsi="Cambria"/>
          <w:sz w:val="20"/>
          <w:szCs w:val="20"/>
          <w:lang w:val="es-ES_tradnl"/>
        </w:rPr>
        <w:t xml:space="preserve">. </w:t>
      </w:r>
      <w:r w:rsidRPr="00391ABD">
        <w:rPr>
          <w:rFonts w:ascii="Cambria" w:hAnsi="Cambria"/>
          <w:sz w:val="20"/>
          <w:szCs w:val="20"/>
          <w:lang w:val="es-ES_tradnl"/>
        </w:rPr>
        <w:t>Posteriormente</w:t>
      </w:r>
      <w:r w:rsidR="00014CA2" w:rsidRPr="00391ABD">
        <w:rPr>
          <w:rFonts w:ascii="Cambria" w:hAnsi="Cambria"/>
          <w:sz w:val="20"/>
          <w:szCs w:val="20"/>
          <w:lang w:val="es-ES_tradnl"/>
        </w:rPr>
        <w:t>,</w:t>
      </w:r>
      <w:r w:rsidR="009F50C7" w:rsidRPr="00391ABD">
        <w:rPr>
          <w:rFonts w:ascii="Cambria" w:hAnsi="Cambria"/>
          <w:sz w:val="20"/>
          <w:szCs w:val="20"/>
          <w:lang w:val="es-ES_tradnl"/>
        </w:rPr>
        <w:t xml:space="preserve"> el 19 de noviembre de 2008 </w:t>
      </w:r>
      <w:r w:rsidR="00220063" w:rsidRPr="00391ABD">
        <w:rPr>
          <w:rFonts w:ascii="Cambria" w:hAnsi="Cambria"/>
          <w:sz w:val="20"/>
          <w:szCs w:val="20"/>
          <w:lang w:val="es-ES_tradnl"/>
        </w:rPr>
        <w:t xml:space="preserve">el Juzgado de Violencia Domestica del Departamento de Francisco Morazán dictó sentencia condenatoria contra el señor F.A.H.P., sancionándolo con la prestación de servicios comunitarios por dos meses, </w:t>
      </w:r>
      <w:r w:rsidR="009F50C7" w:rsidRPr="00391ABD">
        <w:rPr>
          <w:rFonts w:ascii="Cambria" w:hAnsi="Cambria"/>
          <w:sz w:val="20"/>
          <w:szCs w:val="20"/>
          <w:lang w:val="es-ES_tradnl"/>
        </w:rPr>
        <w:t>providencia que fue expedida el 19 de noviembre de 2010</w:t>
      </w:r>
      <w:r w:rsidR="009467F0" w:rsidRPr="00391ABD">
        <w:rPr>
          <w:rFonts w:ascii="Cambria" w:hAnsi="Cambria"/>
          <w:sz w:val="20"/>
          <w:szCs w:val="20"/>
          <w:lang w:val="es-ES_tradnl"/>
        </w:rPr>
        <w:t>;</w:t>
      </w:r>
      <w:r w:rsidR="00C14AB7" w:rsidRPr="00391ABD">
        <w:rPr>
          <w:rFonts w:ascii="Cambria" w:hAnsi="Cambria"/>
          <w:sz w:val="20"/>
          <w:szCs w:val="20"/>
          <w:lang w:val="es-ES_tradnl"/>
        </w:rPr>
        <w:t xml:space="preserve"> </w:t>
      </w:r>
      <w:r w:rsidR="00220063" w:rsidRPr="00391ABD">
        <w:rPr>
          <w:rFonts w:ascii="Cambria" w:hAnsi="Cambria"/>
          <w:sz w:val="20"/>
          <w:szCs w:val="20"/>
          <w:lang w:val="es-ES_tradnl"/>
        </w:rPr>
        <w:t xml:space="preserve">la cual </w:t>
      </w:r>
      <w:r w:rsidR="008D33C6" w:rsidRPr="00391ABD">
        <w:rPr>
          <w:rFonts w:ascii="Cambria" w:hAnsi="Cambria"/>
          <w:sz w:val="20"/>
          <w:szCs w:val="20"/>
          <w:lang w:val="es-ES_tradnl"/>
        </w:rPr>
        <w:t xml:space="preserve">este </w:t>
      </w:r>
      <w:r w:rsidR="00220063" w:rsidRPr="00391ABD">
        <w:rPr>
          <w:rFonts w:ascii="Cambria" w:hAnsi="Cambria"/>
          <w:sz w:val="20"/>
          <w:szCs w:val="20"/>
          <w:lang w:val="es-ES_tradnl"/>
        </w:rPr>
        <w:t xml:space="preserve">no </w:t>
      </w:r>
      <w:r w:rsidR="009467F0" w:rsidRPr="00391ABD">
        <w:rPr>
          <w:rFonts w:ascii="Cambria" w:hAnsi="Cambria"/>
          <w:sz w:val="20"/>
          <w:szCs w:val="20"/>
          <w:lang w:val="es-ES_tradnl"/>
        </w:rPr>
        <w:t xml:space="preserve">habría </w:t>
      </w:r>
      <w:r w:rsidR="008D33C6" w:rsidRPr="00391ABD">
        <w:rPr>
          <w:rFonts w:ascii="Cambria" w:hAnsi="Cambria"/>
          <w:sz w:val="20"/>
          <w:szCs w:val="20"/>
          <w:lang w:val="es-ES_tradnl"/>
        </w:rPr>
        <w:t>cumplido</w:t>
      </w:r>
      <w:r w:rsidR="00220063" w:rsidRPr="00391ABD">
        <w:rPr>
          <w:rFonts w:ascii="Cambria" w:hAnsi="Cambria"/>
          <w:sz w:val="20"/>
          <w:szCs w:val="20"/>
          <w:lang w:val="es-ES_tradnl"/>
        </w:rPr>
        <w:t xml:space="preserve">. </w:t>
      </w:r>
      <w:r w:rsidR="00C14AB7" w:rsidRPr="00391ABD">
        <w:rPr>
          <w:rFonts w:ascii="Cambria" w:hAnsi="Cambria"/>
          <w:sz w:val="20"/>
          <w:szCs w:val="20"/>
          <w:lang w:val="es-ES_tradnl"/>
        </w:rPr>
        <w:t xml:space="preserve">Ante </w:t>
      </w:r>
      <w:r w:rsidR="00220063" w:rsidRPr="00391ABD">
        <w:rPr>
          <w:rFonts w:ascii="Cambria" w:hAnsi="Cambria"/>
          <w:sz w:val="20"/>
          <w:szCs w:val="20"/>
          <w:lang w:val="es-ES_tradnl"/>
        </w:rPr>
        <w:t>las acciones reincidentes de</w:t>
      </w:r>
      <w:r w:rsidR="00157745" w:rsidRPr="00391ABD">
        <w:rPr>
          <w:rFonts w:ascii="Cambria" w:hAnsi="Cambria"/>
          <w:sz w:val="20"/>
          <w:szCs w:val="20"/>
          <w:lang w:val="es-ES_tradnl"/>
        </w:rPr>
        <w:t xml:space="preserve"> su expareja</w:t>
      </w:r>
      <w:r w:rsidR="00220063" w:rsidRPr="00391ABD">
        <w:rPr>
          <w:rFonts w:ascii="Cambria" w:hAnsi="Cambria"/>
          <w:sz w:val="20"/>
          <w:szCs w:val="20"/>
          <w:lang w:val="es-ES_tradnl"/>
        </w:rPr>
        <w:t xml:space="preserve"> la</w:t>
      </w:r>
      <w:r w:rsidR="00157745" w:rsidRPr="00391ABD">
        <w:rPr>
          <w:rFonts w:ascii="Cambria" w:hAnsi="Cambria"/>
          <w:sz w:val="20"/>
          <w:szCs w:val="20"/>
          <w:lang w:val="es-ES_tradnl"/>
        </w:rPr>
        <w:t xml:space="preserve"> Sra.</w:t>
      </w:r>
      <w:r w:rsidR="00220063" w:rsidRPr="00391ABD">
        <w:rPr>
          <w:rFonts w:ascii="Cambria" w:hAnsi="Cambria"/>
          <w:sz w:val="20"/>
          <w:szCs w:val="20"/>
          <w:lang w:val="es-ES_tradnl"/>
        </w:rPr>
        <w:t xml:space="preserve"> González interpuso nuevamente denuncia por el delito de violencia intrafamiliar ante la </w:t>
      </w:r>
      <w:r w:rsidRPr="00391ABD">
        <w:rPr>
          <w:rFonts w:ascii="Cambria" w:hAnsi="Cambria"/>
          <w:sz w:val="20"/>
          <w:szCs w:val="20"/>
          <w:lang w:val="es-ES_tradnl"/>
        </w:rPr>
        <w:t>Fiscalía</w:t>
      </w:r>
      <w:r w:rsidR="00220063" w:rsidRPr="00391ABD">
        <w:rPr>
          <w:rFonts w:ascii="Cambria" w:hAnsi="Cambria"/>
          <w:sz w:val="20"/>
          <w:szCs w:val="20"/>
          <w:lang w:val="es-ES_tradnl"/>
        </w:rPr>
        <w:t xml:space="preserve"> Especial de la Mujer, por lo que </w:t>
      </w:r>
      <w:r w:rsidR="0074361F" w:rsidRPr="00391ABD">
        <w:rPr>
          <w:rFonts w:ascii="Cambria" w:hAnsi="Cambria"/>
          <w:sz w:val="20"/>
          <w:szCs w:val="20"/>
          <w:lang w:val="es-ES_tradnl"/>
        </w:rPr>
        <w:t>s</w:t>
      </w:r>
      <w:r w:rsidR="00220063" w:rsidRPr="00391ABD">
        <w:rPr>
          <w:rFonts w:ascii="Cambria" w:hAnsi="Cambria"/>
          <w:sz w:val="20"/>
          <w:szCs w:val="20"/>
          <w:lang w:val="es-ES_tradnl"/>
        </w:rPr>
        <w:t xml:space="preserve">e declaró procedente la acción penal ante el Juzgado de Letras de lo Penal de Francisco Morazán. </w:t>
      </w:r>
    </w:p>
    <w:p w14:paraId="4398FF1C" w14:textId="0B499460" w:rsidR="003C1E7D" w:rsidRDefault="00913776" w:rsidP="00DF6D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E</w:t>
      </w:r>
      <w:r w:rsidR="00C14AB7" w:rsidRPr="00391ABD">
        <w:rPr>
          <w:rFonts w:ascii="Cambria" w:hAnsi="Cambria"/>
          <w:sz w:val="20"/>
          <w:szCs w:val="20"/>
          <w:lang w:val="es-ES_tradnl"/>
        </w:rPr>
        <w:t>l 30 de abril de 2014</w:t>
      </w:r>
      <w:r w:rsidR="00220063" w:rsidRPr="00391ABD">
        <w:rPr>
          <w:rFonts w:ascii="Cambria" w:hAnsi="Cambria"/>
          <w:sz w:val="20"/>
          <w:szCs w:val="20"/>
          <w:lang w:val="es-ES_tradnl"/>
        </w:rPr>
        <w:t xml:space="preserve"> el Tribunal de Sentencia de Tegucigalpa dictó sentencia condenatoria No. 39-2014</w:t>
      </w:r>
      <w:r w:rsidRPr="00391ABD">
        <w:rPr>
          <w:rFonts w:ascii="Cambria" w:hAnsi="Cambria"/>
          <w:sz w:val="20"/>
          <w:szCs w:val="20"/>
          <w:lang w:val="es-ES_tradnl"/>
        </w:rPr>
        <w:t>,</w:t>
      </w:r>
      <w:r w:rsidR="00220063" w:rsidRPr="00391ABD">
        <w:rPr>
          <w:rFonts w:ascii="Cambria" w:hAnsi="Cambria"/>
          <w:sz w:val="20"/>
          <w:szCs w:val="20"/>
          <w:lang w:val="es-ES_tradnl"/>
        </w:rPr>
        <w:t xml:space="preserve"> dentro del expediente No. 8-477-2012, </w:t>
      </w:r>
      <w:r w:rsidR="00C14AB7" w:rsidRPr="00391ABD">
        <w:rPr>
          <w:rFonts w:ascii="Cambria" w:hAnsi="Cambria"/>
          <w:sz w:val="20"/>
          <w:szCs w:val="20"/>
          <w:lang w:val="es-ES_tradnl"/>
        </w:rPr>
        <w:t>condenando</w:t>
      </w:r>
      <w:r w:rsidRPr="00391ABD">
        <w:rPr>
          <w:rFonts w:ascii="Cambria" w:hAnsi="Cambria"/>
          <w:sz w:val="20"/>
          <w:szCs w:val="20"/>
          <w:lang w:val="es-ES_tradnl"/>
        </w:rPr>
        <w:t xml:space="preserve"> al señor F.A.H.P</w:t>
      </w:r>
      <w:r w:rsidR="00C14AB7" w:rsidRPr="00391ABD">
        <w:rPr>
          <w:rFonts w:ascii="Cambria" w:hAnsi="Cambria"/>
          <w:sz w:val="20"/>
          <w:szCs w:val="20"/>
          <w:lang w:val="es-ES_tradnl"/>
        </w:rPr>
        <w:t xml:space="preserve"> a</w:t>
      </w:r>
      <w:r w:rsidR="00220063" w:rsidRPr="00391ABD">
        <w:rPr>
          <w:rFonts w:ascii="Cambria" w:hAnsi="Cambria"/>
          <w:sz w:val="20"/>
          <w:szCs w:val="20"/>
          <w:lang w:val="es-ES_tradnl"/>
        </w:rPr>
        <w:t xml:space="preserve"> una pena de un año de</w:t>
      </w:r>
      <w:r w:rsidR="00C14AB7" w:rsidRPr="00391ABD">
        <w:rPr>
          <w:rFonts w:ascii="Cambria" w:hAnsi="Cambria"/>
          <w:sz w:val="20"/>
          <w:szCs w:val="20"/>
          <w:lang w:val="es-ES_tradnl"/>
        </w:rPr>
        <w:t xml:space="preserve"> reclusión por el delito de violencia intrafamiliar, además de declararlo civilmente responsable de la compensación e indemnización de los daños y perjuicios causados por el delito por el que fue condenado. El 28 de mayo de 2014 la defensa del señor F.A.H.P interpuso recurso extraordinario de casación contra la sentencia condenatoria por no valorar en debida forma las pruebas aportadas al juicio, por lo que e</w:t>
      </w:r>
      <w:r w:rsidR="00220063" w:rsidRPr="00391ABD">
        <w:rPr>
          <w:rFonts w:ascii="Cambria" w:hAnsi="Cambria"/>
          <w:sz w:val="20"/>
          <w:szCs w:val="20"/>
          <w:lang w:val="es-ES_tradnl"/>
        </w:rPr>
        <w:t>l 29 de marzo de 2017 la Sala Penal de la Corte Suprema de Justicia</w:t>
      </w:r>
      <w:r w:rsidR="002129B4" w:rsidRPr="00391ABD">
        <w:rPr>
          <w:rFonts w:ascii="Cambria" w:hAnsi="Cambria"/>
          <w:sz w:val="20"/>
          <w:szCs w:val="20"/>
          <w:lang w:val="es-ES_tradnl"/>
        </w:rPr>
        <w:t>,</w:t>
      </w:r>
      <w:r w:rsidR="00220063" w:rsidRPr="00391ABD">
        <w:rPr>
          <w:rFonts w:ascii="Cambria" w:hAnsi="Cambria"/>
          <w:sz w:val="20"/>
          <w:szCs w:val="20"/>
          <w:lang w:val="es-ES_tradnl"/>
        </w:rPr>
        <w:t xml:space="preserve"> a través de resolución</w:t>
      </w:r>
      <w:r w:rsidR="002129B4" w:rsidRPr="00391ABD">
        <w:rPr>
          <w:rFonts w:ascii="Cambria" w:hAnsi="Cambria"/>
          <w:sz w:val="20"/>
          <w:szCs w:val="20"/>
          <w:lang w:val="es-ES_tradnl"/>
        </w:rPr>
        <w:t>,</w:t>
      </w:r>
      <w:r w:rsidR="00220063" w:rsidRPr="00391ABD">
        <w:rPr>
          <w:rFonts w:ascii="Cambria" w:hAnsi="Cambria"/>
          <w:sz w:val="20"/>
          <w:szCs w:val="20"/>
          <w:lang w:val="es-ES_tradnl"/>
        </w:rPr>
        <w:t xml:space="preserve"> </w:t>
      </w:r>
      <w:r w:rsidR="00E3747B" w:rsidRPr="00391ABD">
        <w:rPr>
          <w:rFonts w:ascii="Cambria" w:hAnsi="Cambria"/>
          <w:sz w:val="20"/>
          <w:szCs w:val="20"/>
          <w:lang w:val="es-ES_tradnl"/>
        </w:rPr>
        <w:t xml:space="preserve">decidió </w:t>
      </w:r>
      <w:r w:rsidR="00C14AB7" w:rsidRPr="00391ABD">
        <w:rPr>
          <w:rFonts w:ascii="Cambria" w:hAnsi="Cambria"/>
          <w:sz w:val="20"/>
          <w:szCs w:val="20"/>
          <w:lang w:val="es-ES_tradnl"/>
        </w:rPr>
        <w:t>revocar</w:t>
      </w:r>
      <w:r w:rsidR="00E3747B" w:rsidRPr="00391ABD">
        <w:rPr>
          <w:rFonts w:ascii="Cambria" w:hAnsi="Cambria"/>
          <w:sz w:val="20"/>
          <w:szCs w:val="20"/>
          <w:lang w:val="es-ES_tradnl"/>
        </w:rPr>
        <w:t xml:space="preserve"> la sentencia </w:t>
      </w:r>
      <w:r w:rsidR="00C14AB7" w:rsidRPr="00391ABD">
        <w:rPr>
          <w:rFonts w:ascii="Cambria" w:hAnsi="Cambria"/>
          <w:sz w:val="20"/>
          <w:szCs w:val="20"/>
          <w:lang w:val="es-ES_tradnl"/>
        </w:rPr>
        <w:t xml:space="preserve">emitida por el Tribunal de Sentencia </w:t>
      </w:r>
      <w:r w:rsidR="00E3747B" w:rsidRPr="00391ABD">
        <w:rPr>
          <w:rFonts w:ascii="Cambria" w:hAnsi="Cambria"/>
          <w:sz w:val="20"/>
          <w:szCs w:val="20"/>
          <w:lang w:val="es-ES_tradnl"/>
        </w:rPr>
        <w:t>por error en la apreciación de la prueba, al considerar que</w:t>
      </w:r>
      <w:r w:rsidR="00363F62" w:rsidRPr="00391ABD">
        <w:rPr>
          <w:rFonts w:ascii="Cambria" w:hAnsi="Cambria"/>
          <w:sz w:val="20"/>
          <w:szCs w:val="20"/>
          <w:lang w:val="es-ES_tradnl"/>
        </w:rPr>
        <w:t xml:space="preserve"> de</w:t>
      </w:r>
      <w:r w:rsidR="00E3747B" w:rsidRPr="00391ABD">
        <w:rPr>
          <w:rFonts w:ascii="Cambria" w:hAnsi="Cambria"/>
          <w:sz w:val="20"/>
          <w:szCs w:val="20"/>
          <w:lang w:val="es-ES_tradnl"/>
        </w:rPr>
        <w:t xml:space="preserve"> los hechos probados no concurrían los elementos para que se configurara el delito de violencia intrafamiliar</w:t>
      </w:r>
      <w:r w:rsidR="00363F62" w:rsidRPr="00391ABD">
        <w:rPr>
          <w:rFonts w:ascii="Cambria" w:hAnsi="Cambria"/>
          <w:sz w:val="20"/>
          <w:szCs w:val="20"/>
          <w:lang w:val="es-ES_tradnl"/>
        </w:rPr>
        <w:t>. D</w:t>
      </w:r>
      <w:r w:rsidR="00C14AB7" w:rsidRPr="00391ABD">
        <w:rPr>
          <w:rFonts w:ascii="Cambria" w:hAnsi="Cambria"/>
          <w:sz w:val="20"/>
          <w:szCs w:val="20"/>
          <w:lang w:val="es-ES_tradnl"/>
        </w:rPr>
        <w:t xml:space="preserve">e este modo </w:t>
      </w:r>
      <w:r w:rsidR="00E3747B" w:rsidRPr="00391ABD">
        <w:rPr>
          <w:rFonts w:ascii="Cambria" w:hAnsi="Cambria"/>
          <w:sz w:val="20"/>
          <w:szCs w:val="20"/>
          <w:lang w:val="es-ES_tradnl"/>
        </w:rPr>
        <w:t xml:space="preserve">se revocó la pena de un año de prisión y se dejó vigente la declaración de responsabilidad civil y la compensación e indemnización por daños y perjuicios causados. </w:t>
      </w:r>
      <w:r w:rsidR="00E47843" w:rsidRPr="00391ABD">
        <w:rPr>
          <w:rFonts w:ascii="Cambria" w:hAnsi="Cambria"/>
          <w:sz w:val="20"/>
          <w:szCs w:val="20"/>
          <w:lang w:val="es-ES_tradnl"/>
        </w:rPr>
        <w:t xml:space="preserve">La decisión fue notificada el 5 de mayo de 2017. </w:t>
      </w:r>
    </w:p>
    <w:p w14:paraId="76494325" w14:textId="77777777" w:rsidR="00425B4E" w:rsidRPr="00391ABD" w:rsidRDefault="00425B4E" w:rsidP="00425B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p>
    <w:p w14:paraId="22E0DDB0" w14:textId="74C51423" w:rsidR="006D460E" w:rsidRPr="00391ABD" w:rsidRDefault="006C4E2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lastRenderedPageBreak/>
        <w:t>Finalmente</w:t>
      </w:r>
      <w:r w:rsidR="002B2C58" w:rsidRPr="00391ABD">
        <w:rPr>
          <w:rFonts w:ascii="Cambria" w:hAnsi="Cambria"/>
          <w:sz w:val="20"/>
          <w:szCs w:val="20"/>
          <w:lang w:val="es-ES_tradnl"/>
        </w:rPr>
        <w:t>,</w:t>
      </w:r>
      <w:r w:rsidRPr="00391ABD">
        <w:rPr>
          <w:rFonts w:ascii="Cambria" w:hAnsi="Cambria"/>
          <w:sz w:val="20"/>
          <w:szCs w:val="20"/>
          <w:lang w:val="es-ES_tradnl"/>
        </w:rPr>
        <w:t xml:space="preserve"> </w:t>
      </w:r>
      <w:r w:rsidR="002B2C58" w:rsidRPr="00391ABD">
        <w:rPr>
          <w:rFonts w:ascii="Cambria" w:hAnsi="Cambria"/>
          <w:sz w:val="20"/>
          <w:szCs w:val="20"/>
          <w:lang w:val="es-ES_tradnl"/>
        </w:rPr>
        <w:t xml:space="preserve">la Sra. González </w:t>
      </w:r>
      <w:r w:rsidRPr="00391ABD">
        <w:rPr>
          <w:rFonts w:ascii="Cambria" w:hAnsi="Cambria"/>
          <w:sz w:val="20"/>
          <w:szCs w:val="20"/>
          <w:lang w:val="es-ES_tradnl"/>
        </w:rPr>
        <w:t>indica que d</w:t>
      </w:r>
      <w:r w:rsidR="006D460E" w:rsidRPr="00391ABD">
        <w:rPr>
          <w:rFonts w:ascii="Cambria" w:hAnsi="Cambria"/>
          <w:sz w:val="20"/>
          <w:szCs w:val="20"/>
          <w:lang w:val="es-ES_tradnl"/>
        </w:rPr>
        <w:t>enunció a dos fiscales por faltas a sus deberes como funcionarios por ocultar medios de prueb</w:t>
      </w:r>
      <w:r w:rsidRPr="00391ABD">
        <w:rPr>
          <w:rFonts w:ascii="Cambria" w:hAnsi="Cambria"/>
          <w:sz w:val="20"/>
          <w:szCs w:val="20"/>
          <w:lang w:val="es-ES_tradnl"/>
        </w:rPr>
        <w:t>a dentro de algunos procesos iniciados por el señor F.A.H.P en su contra.</w:t>
      </w:r>
    </w:p>
    <w:p w14:paraId="0887669B" w14:textId="3416A49C" w:rsidR="000C0244" w:rsidRPr="00391ABD" w:rsidRDefault="00300289" w:rsidP="00AC3D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 xml:space="preserve">La </w:t>
      </w:r>
      <w:r w:rsidR="002B2C58" w:rsidRPr="00391ABD">
        <w:rPr>
          <w:rFonts w:ascii="Cambria" w:hAnsi="Cambria"/>
          <w:sz w:val="20"/>
          <w:szCs w:val="20"/>
          <w:lang w:val="es-ES_tradnl"/>
        </w:rPr>
        <w:t>peticionaria</w:t>
      </w:r>
      <w:r w:rsidRPr="00391ABD">
        <w:rPr>
          <w:rFonts w:ascii="Cambria" w:hAnsi="Cambria"/>
          <w:sz w:val="20"/>
          <w:szCs w:val="20"/>
          <w:lang w:val="es-ES_tradnl"/>
        </w:rPr>
        <w:t xml:space="preserve"> c</w:t>
      </w:r>
      <w:r w:rsidR="00E3747B" w:rsidRPr="00391ABD">
        <w:rPr>
          <w:rFonts w:ascii="Cambria" w:hAnsi="Cambria"/>
          <w:sz w:val="20"/>
          <w:szCs w:val="20"/>
          <w:lang w:val="es-ES_tradnl"/>
        </w:rPr>
        <w:t xml:space="preserve">onsidera que </w:t>
      </w:r>
      <w:r w:rsidRPr="00391ABD">
        <w:rPr>
          <w:rFonts w:ascii="Cambria" w:hAnsi="Cambria"/>
          <w:sz w:val="20"/>
          <w:szCs w:val="20"/>
          <w:lang w:val="es-ES_tradnl"/>
        </w:rPr>
        <w:t xml:space="preserve">la </w:t>
      </w:r>
      <w:r w:rsidR="009E5D53" w:rsidRPr="00391ABD">
        <w:rPr>
          <w:rFonts w:ascii="Cambria" w:hAnsi="Cambria"/>
          <w:sz w:val="20"/>
          <w:szCs w:val="20"/>
          <w:lang w:val="es-ES_tradnl"/>
        </w:rPr>
        <w:t xml:space="preserve">decisión de la </w:t>
      </w:r>
      <w:r w:rsidRPr="00391ABD">
        <w:rPr>
          <w:rFonts w:ascii="Cambria" w:hAnsi="Cambria"/>
          <w:sz w:val="20"/>
          <w:szCs w:val="20"/>
          <w:lang w:val="es-ES_tradnl"/>
        </w:rPr>
        <w:t>C</w:t>
      </w:r>
      <w:r w:rsidR="009E5D53" w:rsidRPr="00391ABD">
        <w:rPr>
          <w:rFonts w:ascii="Cambria" w:hAnsi="Cambria"/>
          <w:sz w:val="20"/>
          <w:szCs w:val="20"/>
          <w:lang w:val="es-ES_tradnl"/>
        </w:rPr>
        <w:t xml:space="preserve">orte </w:t>
      </w:r>
      <w:r w:rsidRPr="00391ABD">
        <w:rPr>
          <w:rFonts w:ascii="Cambria" w:hAnsi="Cambria"/>
          <w:sz w:val="20"/>
          <w:szCs w:val="20"/>
          <w:lang w:val="es-ES_tradnl"/>
        </w:rPr>
        <w:t>S</w:t>
      </w:r>
      <w:r w:rsidR="009E5D53" w:rsidRPr="00391ABD">
        <w:rPr>
          <w:rFonts w:ascii="Cambria" w:hAnsi="Cambria"/>
          <w:sz w:val="20"/>
          <w:szCs w:val="20"/>
          <w:lang w:val="es-ES_tradnl"/>
        </w:rPr>
        <w:t xml:space="preserve">uprema </w:t>
      </w:r>
      <w:r w:rsidRPr="00391ABD">
        <w:rPr>
          <w:rFonts w:ascii="Cambria" w:hAnsi="Cambria"/>
          <w:sz w:val="20"/>
          <w:szCs w:val="20"/>
          <w:lang w:val="es-ES_tradnl"/>
        </w:rPr>
        <w:t>no menciona qu</w:t>
      </w:r>
      <w:r w:rsidR="00B71109" w:rsidRPr="00391ABD">
        <w:rPr>
          <w:rFonts w:ascii="Cambria" w:hAnsi="Cambria"/>
          <w:sz w:val="20"/>
          <w:szCs w:val="20"/>
          <w:lang w:val="es-ES_tradnl"/>
        </w:rPr>
        <w:t>é</w:t>
      </w:r>
      <w:r w:rsidRPr="00391ABD">
        <w:rPr>
          <w:rFonts w:ascii="Cambria" w:hAnsi="Cambria"/>
          <w:sz w:val="20"/>
          <w:szCs w:val="20"/>
          <w:lang w:val="es-ES_tradnl"/>
        </w:rPr>
        <w:t xml:space="preserve"> ley o doctrina se consideró infringida por la sentencia del Tribunal, por lo que la decisión de revocar la sentencia del Tribunal fue injusta y arbitraria, lo que la dejó desprotegida dejando su caso en completa impunidad. Adicionalmente</w:t>
      </w:r>
      <w:r w:rsidR="00B71109" w:rsidRPr="00391ABD">
        <w:rPr>
          <w:rFonts w:ascii="Cambria" w:hAnsi="Cambria"/>
          <w:sz w:val="20"/>
          <w:szCs w:val="20"/>
          <w:lang w:val="es-ES_tradnl"/>
        </w:rPr>
        <w:t>,</w:t>
      </w:r>
      <w:r w:rsidRPr="00391ABD">
        <w:rPr>
          <w:rFonts w:ascii="Cambria" w:hAnsi="Cambria"/>
          <w:sz w:val="20"/>
          <w:szCs w:val="20"/>
          <w:lang w:val="es-ES_tradnl"/>
        </w:rPr>
        <w:t xml:space="preserve"> refiere que las acciones de</w:t>
      </w:r>
      <w:r w:rsidR="00874BEA" w:rsidRPr="00391ABD">
        <w:rPr>
          <w:rFonts w:ascii="Cambria" w:hAnsi="Cambria"/>
          <w:sz w:val="20"/>
          <w:szCs w:val="20"/>
          <w:lang w:val="es-ES_tradnl"/>
        </w:rPr>
        <w:t xml:space="preserve"> su expareja</w:t>
      </w:r>
      <w:r w:rsidRPr="00391ABD">
        <w:rPr>
          <w:rFonts w:ascii="Cambria" w:hAnsi="Cambria"/>
          <w:sz w:val="20"/>
          <w:szCs w:val="20"/>
          <w:lang w:val="es-ES_tradnl"/>
        </w:rPr>
        <w:t xml:space="preserve"> </w:t>
      </w:r>
      <w:r w:rsidR="009E5D53" w:rsidRPr="00391ABD">
        <w:rPr>
          <w:rFonts w:ascii="Cambria" w:hAnsi="Cambria"/>
          <w:sz w:val="20"/>
          <w:szCs w:val="20"/>
          <w:lang w:val="es-ES_tradnl"/>
        </w:rPr>
        <w:t xml:space="preserve">la han </w:t>
      </w:r>
      <w:r w:rsidRPr="00391ABD">
        <w:rPr>
          <w:rFonts w:ascii="Cambria" w:hAnsi="Cambria"/>
          <w:sz w:val="20"/>
          <w:szCs w:val="20"/>
          <w:lang w:val="es-ES_tradnl"/>
        </w:rPr>
        <w:t>perjudicado</w:t>
      </w:r>
      <w:r w:rsidR="009E5D53" w:rsidRPr="00391ABD">
        <w:rPr>
          <w:rFonts w:ascii="Cambria" w:hAnsi="Cambria"/>
          <w:sz w:val="20"/>
          <w:szCs w:val="20"/>
          <w:lang w:val="es-ES_tradnl"/>
        </w:rPr>
        <w:t xml:space="preserve"> profesionalmente ya que han interferido para que no pueda optar a importantes cargos a lo</w:t>
      </w:r>
      <w:r w:rsidR="00B01FCE" w:rsidRPr="00391ABD">
        <w:rPr>
          <w:rFonts w:ascii="Cambria" w:hAnsi="Cambria"/>
          <w:sz w:val="20"/>
          <w:szCs w:val="20"/>
          <w:lang w:val="es-ES_tradnl"/>
        </w:rPr>
        <w:t>s</w:t>
      </w:r>
      <w:r w:rsidR="009E5D53" w:rsidRPr="00391ABD">
        <w:rPr>
          <w:rFonts w:ascii="Cambria" w:hAnsi="Cambria"/>
          <w:sz w:val="20"/>
          <w:szCs w:val="20"/>
          <w:lang w:val="es-ES_tradnl"/>
        </w:rPr>
        <w:t xml:space="preserve"> que ha sido propuesta</w:t>
      </w:r>
      <w:r w:rsidR="009827E2">
        <w:rPr>
          <w:rFonts w:ascii="Cambria" w:hAnsi="Cambria"/>
          <w:sz w:val="20"/>
          <w:szCs w:val="20"/>
          <w:lang w:val="es-ES_tradnl"/>
        </w:rPr>
        <w:t>,</w:t>
      </w:r>
      <w:r w:rsidR="009E5D53" w:rsidRPr="00391ABD">
        <w:rPr>
          <w:rFonts w:ascii="Cambria" w:hAnsi="Cambria"/>
          <w:sz w:val="20"/>
          <w:szCs w:val="20"/>
          <w:lang w:val="es-ES_tradnl"/>
        </w:rPr>
        <w:t xml:space="preserve"> como </w:t>
      </w:r>
      <w:r w:rsidRPr="00391ABD">
        <w:rPr>
          <w:rFonts w:ascii="Cambria" w:hAnsi="Cambria"/>
          <w:sz w:val="20"/>
          <w:szCs w:val="20"/>
          <w:lang w:val="es-ES_tradnl"/>
        </w:rPr>
        <w:t>candidata</w:t>
      </w:r>
      <w:r w:rsidR="009E5D53" w:rsidRPr="00391ABD">
        <w:rPr>
          <w:rFonts w:ascii="Cambria" w:hAnsi="Cambria"/>
          <w:sz w:val="20"/>
          <w:szCs w:val="20"/>
          <w:lang w:val="es-ES_tradnl"/>
        </w:rPr>
        <w:t xml:space="preserve"> a magistrada de la </w:t>
      </w:r>
      <w:r w:rsidRPr="00391ABD">
        <w:rPr>
          <w:rFonts w:ascii="Cambria" w:hAnsi="Cambria"/>
          <w:sz w:val="20"/>
          <w:szCs w:val="20"/>
          <w:lang w:val="es-ES_tradnl"/>
        </w:rPr>
        <w:t>Corte Suprema de Justicia o F</w:t>
      </w:r>
      <w:r w:rsidR="009E5D53" w:rsidRPr="00391ABD">
        <w:rPr>
          <w:rFonts w:ascii="Cambria" w:hAnsi="Cambria"/>
          <w:sz w:val="20"/>
          <w:szCs w:val="20"/>
          <w:lang w:val="es-ES_tradnl"/>
        </w:rPr>
        <w:t xml:space="preserve">iscal de la </w:t>
      </w:r>
      <w:r w:rsidRPr="00391ABD">
        <w:rPr>
          <w:rFonts w:ascii="Cambria" w:hAnsi="Cambria"/>
          <w:sz w:val="20"/>
          <w:szCs w:val="20"/>
          <w:lang w:val="es-ES_tradnl"/>
        </w:rPr>
        <w:t>R</w:t>
      </w:r>
      <w:r w:rsidR="006D460E" w:rsidRPr="00391ABD">
        <w:rPr>
          <w:rFonts w:ascii="Cambria" w:hAnsi="Cambria"/>
          <w:sz w:val="20"/>
          <w:szCs w:val="20"/>
          <w:lang w:val="es-ES_tradnl"/>
        </w:rPr>
        <w:t>epública</w:t>
      </w:r>
      <w:r w:rsidR="009E5D53" w:rsidRPr="00391ABD">
        <w:rPr>
          <w:rFonts w:ascii="Cambria" w:hAnsi="Cambria"/>
          <w:sz w:val="20"/>
          <w:szCs w:val="20"/>
          <w:lang w:val="es-ES_tradnl"/>
        </w:rPr>
        <w:t xml:space="preserve">. </w:t>
      </w:r>
      <w:r w:rsidR="00CC2CC3" w:rsidRPr="00391ABD">
        <w:rPr>
          <w:rFonts w:ascii="Cambria" w:hAnsi="Cambria"/>
          <w:sz w:val="20"/>
          <w:szCs w:val="20"/>
          <w:lang w:val="es-ES_tradnl"/>
        </w:rPr>
        <w:t xml:space="preserve">Concluye señalando que todo lo anterior constituye una denegatoria de acceso a la justicia, que hubo un retardo injustificado en la tramitación del proceso y de los recursos, y </w:t>
      </w:r>
      <w:r w:rsidR="000C0244" w:rsidRPr="00391ABD">
        <w:rPr>
          <w:rFonts w:ascii="Cambria" w:hAnsi="Cambria"/>
          <w:sz w:val="20"/>
          <w:szCs w:val="20"/>
          <w:lang w:val="es-ES_tradnl"/>
        </w:rPr>
        <w:t>una vulneración a la Convención</w:t>
      </w:r>
      <w:r w:rsidR="00B01FCE" w:rsidRPr="00391ABD">
        <w:rPr>
          <w:rFonts w:ascii="Cambria" w:hAnsi="Cambria"/>
          <w:sz w:val="20"/>
          <w:szCs w:val="20"/>
          <w:lang w:val="es-ES_tradnl"/>
        </w:rPr>
        <w:t xml:space="preserve"> de</w:t>
      </w:r>
      <w:r w:rsidR="000C0244" w:rsidRPr="00391ABD">
        <w:rPr>
          <w:rFonts w:ascii="Cambria" w:hAnsi="Cambria"/>
          <w:sz w:val="20"/>
          <w:szCs w:val="20"/>
          <w:lang w:val="es-ES_tradnl"/>
        </w:rPr>
        <w:t xml:space="preserve"> Belem do Pará pues la falta de condena constituye un acto de tolerancia por parte del </w:t>
      </w:r>
      <w:r w:rsidR="00CC2CC3" w:rsidRPr="00391ABD">
        <w:rPr>
          <w:rFonts w:ascii="Cambria" w:hAnsi="Cambria"/>
          <w:sz w:val="20"/>
          <w:szCs w:val="20"/>
          <w:lang w:val="es-ES_tradnl"/>
        </w:rPr>
        <w:t>E</w:t>
      </w:r>
      <w:r w:rsidR="000C0244" w:rsidRPr="00391ABD">
        <w:rPr>
          <w:rFonts w:ascii="Cambria" w:hAnsi="Cambria"/>
          <w:sz w:val="20"/>
          <w:szCs w:val="20"/>
          <w:lang w:val="es-ES_tradnl"/>
        </w:rPr>
        <w:t xml:space="preserve">stado a las agresiones psicológicas sufridas </w:t>
      </w:r>
      <w:r w:rsidR="00CC2CC3" w:rsidRPr="00391ABD">
        <w:rPr>
          <w:rFonts w:ascii="Cambria" w:hAnsi="Cambria"/>
          <w:sz w:val="20"/>
          <w:szCs w:val="20"/>
          <w:lang w:val="es-ES_tradnl"/>
        </w:rPr>
        <w:t>y envía</w:t>
      </w:r>
      <w:r w:rsidR="000C0244" w:rsidRPr="00391ABD">
        <w:rPr>
          <w:rFonts w:ascii="Cambria" w:hAnsi="Cambria"/>
          <w:sz w:val="20"/>
          <w:szCs w:val="20"/>
          <w:lang w:val="es-ES_tradnl"/>
        </w:rPr>
        <w:t xml:space="preserve"> un mensaje al señor</w:t>
      </w:r>
      <w:r w:rsidR="00CC2CC3" w:rsidRPr="00391ABD">
        <w:rPr>
          <w:rFonts w:ascii="Cambria" w:hAnsi="Cambria"/>
          <w:sz w:val="20"/>
          <w:szCs w:val="20"/>
          <w:lang w:val="es-ES_tradnl"/>
        </w:rPr>
        <w:t xml:space="preserve"> F.A.H.P</w:t>
      </w:r>
      <w:r w:rsidR="000C0244" w:rsidRPr="00391ABD">
        <w:rPr>
          <w:rFonts w:ascii="Cambria" w:hAnsi="Cambria"/>
          <w:sz w:val="20"/>
          <w:szCs w:val="20"/>
          <w:lang w:val="es-ES_tradnl"/>
        </w:rPr>
        <w:t xml:space="preserve"> de que puede continuar cometiendo sus actuaciones</w:t>
      </w:r>
      <w:r w:rsidR="00CC2CC3" w:rsidRPr="00391ABD">
        <w:rPr>
          <w:rFonts w:ascii="Cambria" w:hAnsi="Cambria"/>
          <w:sz w:val="20"/>
          <w:szCs w:val="20"/>
          <w:lang w:val="es-ES_tradnl"/>
        </w:rPr>
        <w:t xml:space="preserve">, </w:t>
      </w:r>
      <w:r w:rsidR="000C0244" w:rsidRPr="00391ABD">
        <w:rPr>
          <w:rFonts w:ascii="Cambria" w:hAnsi="Cambria"/>
          <w:sz w:val="20"/>
          <w:szCs w:val="20"/>
          <w:lang w:val="es-ES_tradnl"/>
        </w:rPr>
        <w:t>perpetrando la violencia contra la mujer.</w:t>
      </w:r>
    </w:p>
    <w:p w14:paraId="5B02DC8A" w14:textId="50D7D439" w:rsidR="00D67233" w:rsidRPr="00391ABD" w:rsidRDefault="00D67233" w:rsidP="00D672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391ABD">
        <w:rPr>
          <w:rFonts w:ascii="Cambria" w:hAnsi="Cambria"/>
          <w:i/>
          <w:iCs/>
          <w:sz w:val="20"/>
          <w:szCs w:val="20"/>
          <w:lang w:val="es-ES_tradnl"/>
        </w:rPr>
        <w:t>Alegatos del Estado hondureño</w:t>
      </w:r>
    </w:p>
    <w:p w14:paraId="40969F67" w14:textId="0C0CE8F8" w:rsidR="006C4E28" w:rsidRPr="00391ABD" w:rsidRDefault="006C4E28" w:rsidP="00AC3D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Por su parte el Estado solicita que se declare la inadmisibilidad de la presente petición</w:t>
      </w:r>
      <w:r w:rsidR="00F61FCD" w:rsidRPr="00391ABD">
        <w:rPr>
          <w:rFonts w:ascii="Cambria" w:hAnsi="Cambria"/>
          <w:sz w:val="20"/>
          <w:szCs w:val="20"/>
          <w:lang w:val="es-ES_tradnl"/>
        </w:rPr>
        <w:t>,</w:t>
      </w:r>
      <w:r w:rsidRPr="00391ABD">
        <w:rPr>
          <w:rFonts w:ascii="Cambria" w:hAnsi="Cambria"/>
          <w:sz w:val="20"/>
          <w:szCs w:val="20"/>
          <w:lang w:val="es-ES_tradnl"/>
        </w:rPr>
        <w:t xml:space="preserve"> pues en el marco del proceso administrativo y contencioso administrativo en virtud de la resolución AS455/10 emitida por CONATEL se actuó conforme a derecho y se reparó la situación jurídica infringida. Respecto de la presunta vulneración de derechos por la expedición del fallo de la Sala Penal de la Corte Suprema de Justicia en el marco del proceso por violencia intrafamiliar, se observó el debido proceso, la providencia estuvo </w:t>
      </w:r>
      <w:r w:rsidR="00B01FCE" w:rsidRPr="00391ABD">
        <w:rPr>
          <w:rFonts w:ascii="Cambria" w:hAnsi="Cambria"/>
          <w:sz w:val="20"/>
          <w:szCs w:val="20"/>
          <w:lang w:val="es-ES_tradnl"/>
        </w:rPr>
        <w:t xml:space="preserve">debidamente </w:t>
      </w:r>
      <w:r w:rsidRPr="00391ABD">
        <w:rPr>
          <w:rFonts w:ascii="Cambria" w:hAnsi="Cambria"/>
          <w:sz w:val="20"/>
          <w:szCs w:val="20"/>
          <w:lang w:val="es-ES_tradnl"/>
        </w:rPr>
        <w:t>motivada</w:t>
      </w:r>
      <w:r w:rsidR="00325FC3" w:rsidRPr="00391ABD">
        <w:rPr>
          <w:rFonts w:ascii="Cambria" w:hAnsi="Cambria"/>
          <w:sz w:val="20"/>
          <w:szCs w:val="20"/>
          <w:lang w:val="es-ES_tradnl"/>
        </w:rPr>
        <w:t>,</w:t>
      </w:r>
      <w:r w:rsidRPr="00391ABD">
        <w:rPr>
          <w:rFonts w:ascii="Cambria" w:hAnsi="Cambria"/>
          <w:sz w:val="20"/>
          <w:szCs w:val="20"/>
          <w:lang w:val="es-ES_tradnl"/>
        </w:rPr>
        <w:t xml:space="preserve"> y se garantizó en todo momento la participación de la </w:t>
      </w:r>
      <w:r w:rsidR="00B01FCE" w:rsidRPr="00391ABD">
        <w:rPr>
          <w:rFonts w:ascii="Cambria" w:hAnsi="Cambria"/>
          <w:sz w:val="20"/>
          <w:szCs w:val="20"/>
          <w:lang w:val="es-ES_tradnl"/>
        </w:rPr>
        <w:t>Sra.</w:t>
      </w:r>
      <w:r w:rsidRPr="00391ABD">
        <w:rPr>
          <w:rFonts w:ascii="Cambria" w:hAnsi="Cambria"/>
          <w:sz w:val="20"/>
          <w:szCs w:val="20"/>
          <w:lang w:val="es-ES_tradnl"/>
        </w:rPr>
        <w:t xml:space="preserve"> González. </w:t>
      </w:r>
    </w:p>
    <w:p w14:paraId="685B0D3D" w14:textId="63B5CB10" w:rsidR="00E47843" w:rsidRPr="00391ABD" w:rsidRDefault="00280F97" w:rsidP="001C11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Concuerda</w:t>
      </w:r>
      <w:r w:rsidR="00E47843" w:rsidRPr="00391ABD">
        <w:rPr>
          <w:rFonts w:ascii="Cambria" w:hAnsi="Cambria"/>
          <w:sz w:val="20"/>
          <w:szCs w:val="20"/>
          <w:lang w:val="es-ES_tradnl"/>
        </w:rPr>
        <w:t xml:space="preserve"> en </w:t>
      </w:r>
      <w:r w:rsidRPr="00391ABD">
        <w:rPr>
          <w:rFonts w:ascii="Cambria" w:hAnsi="Cambria"/>
          <w:sz w:val="20"/>
          <w:szCs w:val="20"/>
          <w:lang w:val="es-ES_tradnl"/>
        </w:rPr>
        <w:t>que,</w:t>
      </w:r>
      <w:r w:rsidR="00E47843" w:rsidRPr="00391ABD">
        <w:rPr>
          <w:rFonts w:ascii="Cambria" w:hAnsi="Cambria"/>
          <w:sz w:val="20"/>
          <w:szCs w:val="20"/>
          <w:lang w:val="es-ES_tradnl"/>
        </w:rPr>
        <w:t xml:space="preserve"> </w:t>
      </w:r>
      <w:r w:rsidRPr="00391ABD">
        <w:rPr>
          <w:rFonts w:ascii="Cambria" w:hAnsi="Cambria"/>
          <w:sz w:val="20"/>
          <w:szCs w:val="20"/>
          <w:lang w:val="es-ES_tradnl"/>
        </w:rPr>
        <w:t xml:space="preserve">ante las </w:t>
      </w:r>
      <w:r w:rsidR="00E47843" w:rsidRPr="00391ABD">
        <w:rPr>
          <w:rFonts w:ascii="Cambria" w:hAnsi="Cambria"/>
          <w:sz w:val="20"/>
          <w:szCs w:val="20"/>
          <w:lang w:val="es-ES_tradnl"/>
        </w:rPr>
        <w:t xml:space="preserve">amenazas </w:t>
      </w:r>
      <w:r w:rsidRPr="00391ABD">
        <w:rPr>
          <w:rFonts w:ascii="Cambria" w:hAnsi="Cambria"/>
          <w:sz w:val="20"/>
          <w:szCs w:val="20"/>
          <w:lang w:val="es-ES_tradnl"/>
        </w:rPr>
        <w:t>de</w:t>
      </w:r>
      <w:r w:rsidR="00E47843" w:rsidRPr="00391ABD">
        <w:rPr>
          <w:rFonts w:ascii="Cambria" w:hAnsi="Cambria"/>
          <w:sz w:val="20"/>
          <w:szCs w:val="20"/>
          <w:lang w:val="es-ES_tradnl"/>
        </w:rPr>
        <w:t xml:space="preserve"> muerte, intimidaciones, persecución y otras manifestaciones violentas </w:t>
      </w:r>
      <w:r w:rsidRPr="00391ABD">
        <w:rPr>
          <w:rFonts w:ascii="Cambria" w:hAnsi="Cambria"/>
          <w:sz w:val="20"/>
          <w:szCs w:val="20"/>
          <w:lang w:val="es-ES_tradnl"/>
        </w:rPr>
        <w:t>realizadas por el señor F.A.H.P contra la peticionaria</w:t>
      </w:r>
      <w:r w:rsidR="00B01FCE" w:rsidRPr="00391ABD">
        <w:rPr>
          <w:rFonts w:ascii="Cambria" w:hAnsi="Cambria"/>
          <w:sz w:val="20"/>
          <w:szCs w:val="20"/>
          <w:lang w:val="es-ES_tradnl"/>
        </w:rPr>
        <w:t>,</w:t>
      </w:r>
      <w:r w:rsidRPr="00391ABD">
        <w:rPr>
          <w:rFonts w:ascii="Cambria" w:hAnsi="Cambria"/>
          <w:sz w:val="20"/>
          <w:szCs w:val="20"/>
          <w:lang w:val="es-ES_tradnl"/>
        </w:rPr>
        <w:t xml:space="preserve"> condujo a que esta </w:t>
      </w:r>
      <w:r w:rsidR="00E47843" w:rsidRPr="00391ABD">
        <w:rPr>
          <w:rFonts w:ascii="Cambria" w:hAnsi="Cambria"/>
          <w:sz w:val="20"/>
          <w:szCs w:val="20"/>
          <w:lang w:val="es-ES_tradnl"/>
        </w:rPr>
        <w:t xml:space="preserve">presentara denuncia ante los </w:t>
      </w:r>
      <w:r w:rsidRPr="00391ABD">
        <w:rPr>
          <w:rFonts w:ascii="Cambria" w:hAnsi="Cambria"/>
          <w:sz w:val="20"/>
          <w:szCs w:val="20"/>
          <w:lang w:val="es-ES_tradnl"/>
        </w:rPr>
        <w:t>J</w:t>
      </w:r>
      <w:r w:rsidR="00E47843" w:rsidRPr="00391ABD">
        <w:rPr>
          <w:rFonts w:ascii="Cambria" w:hAnsi="Cambria"/>
          <w:sz w:val="20"/>
          <w:szCs w:val="20"/>
          <w:lang w:val="es-ES_tradnl"/>
        </w:rPr>
        <w:t xml:space="preserve">uzgados de </w:t>
      </w:r>
      <w:r w:rsidRPr="00391ABD">
        <w:rPr>
          <w:rFonts w:ascii="Cambria" w:hAnsi="Cambria"/>
          <w:sz w:val="20"/>
          <w:szCs w:val="20"/>
          <w:lang w:val="es-ES_tradnl"/>
        </w:rPr>
        <w:t>V</w:t>
      </w:r>
      <w:r w:rsidR="00E47843" w:rsidRPr="00391ABD">
        <w:rPr>
          <w:rFonts w:ascii="Cambria" w:hAnsi="Cambria"/>
          <w:sz w:val="20"/>
          <w:szCs w:val="20"/>
          <w:lang w:val="es-ES_tradnl"/>
        </w:rPr>
        <w:t xml:space="preserve">iolencia </w:t>
      </w:r>
      <w:r w:rsidRPr="00391ABD">
        <w:rPr>
          <w:rFonts w:ascii="Cambria" w:hAnsi="Cambria"/>
          <w:sz w:val="20"/>
          <w:szCs w:val="20"/>
          <w:lang w:val="es-ES_tradnl"/>
        </w:rPr>
        <w:t>Doméstica. N</w:t>
      </w:r>
      <w:r w:rsidR="00E47843" w:rsidRPr="00391ABD">
        <w:rPr>
          <w:rFonts w:ascii="Cambria" w:hAnsi="Cambria"/>
          <w:sz w:val="20"/>
          <w:szCs w:val="20"/>
          <w:lang w:val="es-ES_tradnl"/>
        </w:rPr>
        <w:t xml:space="preserve">o </w:t>
      </w:r>
      <w:r w:rsidRPr="00391ABD">
        <w:rPr>
          <w:rFonts w:ascii="Cambria" w:hAnsi="Cambria"/>
          <w:sz w:val="20"/>
          <w:szCs w:val="20"/>
          <w:lang w:val="es-ES_tradnl"/>
        </w:rPr>
        <w:t>obstante,</w:t>
      </w:r>
      <w:r w:rsidR="00E47843" w:rsidRPr="00391ABD">
        <w:rPr>
          <w:rFonts w:ascii="Cambria" w:hAnsi="Cambria"/>
          <w:sz w:val="20"/>
          <w:szCs w:val="20"/>
          <w:lang w:val="es-ES_tradnl"/>
        </w:rPr>
        <w:t xml:space="preserve"> a pesar de haber obtenido sentencia condenatoria</w:t>
      </w:r>
      <w:r w:rsidR="00A03D63" w:rsidRPr="00391ABD">
        <w:rPr>
          <w:rFonts w:ascii="Cambria" w:hAnsi="Cambria"/>
          <w:sz w:val="20"/>
          <w:szCs w:val="20"/>
          <w:lang w:val="es-ES_tradnl"/>
        </w:rPr>
        <w:t>,</w:t>
      </w:r>
      <w:r w:rsidR="00E47843" w:rsidRPr="00391ABD">
        <w:rPr>
          <w:rFonts w:ascii="Cambria" w:hAnsi="Cambria"/>
          <w:sz w:val="20"/>
          <w:szCs w:val="20"/>
          <w:lang w:val="es-ES_tradnl"/>
        </w:rPr>
        <w:t xml:space="preserve"> continuaron las acciones de violencia</w:t>
      </w:r>
      <w:r w:rsidR="009450EC" w:rsidRPr="00391ABD">
        <w:rPr>
          <w:rFonts w:ascii="Cambria" w:hAnsi="Cambria"/>
          <w:sz w:val="20"/>
          <w:szCs w:val="20"/>
          <w:lang w:val="es-ES_tradnl"/>
        </w:rPr>
        <w:t>,</w:t>
      </w:r>
      <w:r w:rsidR="00E47843" w:rsidRPr="00391ABD">
        <w:rPr>
          <w:rFonts w:ascii="Cambria" w:hAnsi="Cambria"/>
          <w:sz w:val="20"/>
          <w:szCs w:val="20"/>
          <w:lang w:val="es-ES_tradnl"/>
        </w:rPr>
        <w:t xml:space="preserve"> motivo por el cual la peticionaria</w:t>
      </w:r>
      <w:r w:rsidRPr="00391ABD">
        <w:rPr>
          <w:rFonts w:ascii="Cambria" w:hAnsi="Cambria"/>
          <w:sz w:val="20"/>
          <w:szCs w:val="20"/>
          <w:lang w:val="es-ES_tradnl"/>
        </w:rPr>
        <w:t xml:space="preserve"> </w:t>
      </w:r>
      <w:r w:rsidR="00E47843" w:rsidRPr="00391ABD">
        <w:rPr>
          <w:rFonts w:ascii="Cambria" w:hAnsi="Cambria"/>
          <w:sz w:val="20"/>
          <w:szCs w:val="20"/>
          <w:lang w:val="es-ES_tradnl"/>
        </w:rPr>
        <w:t xml:space="preserve">denunció nuevamente </w:t>
      </w:r>
      <w:r w:rsidRPr="00391ABD">
        <w:rPr>
          <w:rFonts w:ascii="Cambria" w:hAnsi="Cambria"/>
          <w:sz w:val="20"/>
          <w:szCs w:val="20"/>
          <w:lang w:val="es-ES_tradnl"/>
        </w:rPr>
        <w:t>a</w:t>
      </w:r>
      <w:r w:rsidR="00B01FCE" w:rsidRPr="00391ABD">
        <w:rPr>
          <w:rFonts w:ascii="Cambria" w:hAnsi="Cambria"/>
          <w:sz w:val="20"/>
          <w:szCs w:val="20"/>
          <w:lang w:val="es-ES_tradnl"/>
        </w:rPr>
        <w:t xml:space="preserve"> su expareja </w:t>
      </w:r>
      <w:r w:rsidR="00E47843" w:rsidRPr="00391ABD">
        <w:rPr>
          <w:rFonts w:ascii="Cambria" w:hAnsi="Cambria"/>
          <w:sz w:val="20"/>
          <w:szCs w:val="20"/>
          <w:lang w:val="es-ES_tradnl"/>
        </w:rPr>
        <w:t xml:space="preserve">ante el </w:t>
      </w:r>
      <w:r w:rsidRPr="00391ABD">
        <w:rPr>
          <w:rFonts w:ascii="Cambria" w:hAnsi="Cambria"/>
          <w:sz w:val="20"/>
          <w:szCs w:val="20"/>
          <w:lang w:val="es-ES_tradnl"/>
        </w:rPr>
        <w:t>J</w:t>
      </w:r>
      <w:r w:rsidR="00E47843" w:rsidRPr="00391ABD">
        <w:rPr>
          <w:rFonts w:ascii="Cambria" w:hAnsi="Cambria"/>
          <w:sz w:val="20"/>
          <w:szCs w:val="20"/>
          <w:lang w:val="es-ES_tradnl"/>
        </w:rPr>
        <w:t xml:space="preserve">uzgado de </w:t>
      </w:r>
      <w:r w:rsidRPr="00391ABD">
        <w:rPr>
          <w:rFonts w:ascii="Cambria" w:hAnsi="Cambria"/>
          <w:sz w:val="20"/>
          <w:szCs w:val="20"/>
          <w:lang w:val="es-ES_tradnl"/>
        </w:rPr>
        <w:t>L</w:t>
      </w:r>
      <w:r w:rsidR="00E47843" w:rsidRPr="00391ABD">
        <w:rPr>
          <w:rFonts w:ascii="Cambria" w:hAnsi="Cambria"/>
          <w:sz w:val="20"/>
          <w:szCs w:val="20"/>
          <w:lang w:val="es-ES_tradnl"/>
        </w:rPr>
        <w:t>etra</w:t>
      </w:r>
      <w:r w:rsidR="009827E2">
        <w:rPr>
          <w:rFonts w:ascii="Cambria" w:hAnsi="Cambria"/>
          <w:sz w:val="20"/>
          <w:szCs w:val="20"/>
          <w:lang w:val="es-ES_tradnl"/>
        </w:rPr>
        <w:t>s</w:t>
      </w:r>
      <w:r w:rsidR="00E47843" w:rsidRPr="00391ABD">
        <w:rPr>
          <w:rFonts w:ascii="Cambria" w:hAnsi="Cambria"/>
          <w:sz w:val="20"/>
          <w:szCs w:val="20"/>
          <w:lang w:val="es-ES_tradnl"/>
        </w:rPr>
        <w:t xml:space="preserve"> </w:t>
      </w:r>
      <w:r w:rsidRPr="00391ABD">
        <w:rPr>
          <w:rFonts w:ascii="Cambria" w:hAnsi="Cambria"/>
          <w:sz w:val="20"/>
          <w:szCs w:val="20"/>
          <w:lang w:val="es-ES_tradnl"/>
        </w:rPr>
        <w:t>Pe</w:t>
      </w:r>
      <w:r w:rsidR="00E47843" w:rsidRPr="00391ABD">
        <w:rPr>
          <w:rFonts w:ascii="Cambria" w:hAnsi="Cambria"/>
          <w:sz w:val="20"/>
          <w:szCs w:val="20"/>
          <w:lang w:val="es-ES_tradnl"/>
        </w:rPr>
        <w:t xml:space="preserve">nal por el delito de violencia intrafamiliar, obteniendo fallo condenatorio emitido por el </w:t>
      </w:r>
      <w:r w:rsidR="00B01FCE" w:rsidRPr="00391ABD">
        <w:rPr>
          <w:rFonts w:ascii="Cambria" w:hAnsi="Cambria"/>
          <w:sz w:val="20"/>
          <w:szCs w:val="20"/>
          <w:lang w:val="es-ES_tradnl"/>
        </w:rPr>
        <w:t>T</w:t>
      </w:r>
      <w:r w:rsidR="00E47843" w:rsidRPr="00391ABD">
        <w:rPr>
          <w:rFonts w:ascii="Cambria" w:hAnsi="Cambria"/>
          <w:sz w:val="20"/>
          <w:szCs w:val="20"/>
          <w:lang w:val="es-ES_tradnl"/>
        </w:rPr>
        <w:t xml:space="preserve">ribunal de </w:t>
      </w:r>
      <w:r w:rsidR="00B01FCE" w:rsidRPr="00391ABD">
        <w:rPr>
          <w:rFonts w:ascii="Cambria" w:hAnsi="Cambria"/>
          <w:sz w:val="20"/>
          <w:szCs w:val="20"/>
          <w:lang w:val="es-ES_tradnl"/>
        </w:rPr>
        <w:t>S</w:t>
      </w:r>
      <w:r w:rsidR="00E47843" w:rsidRPr="00391ABD">
        <w:rPr>
          <w:rFonts w:ascii="Cambria" w:hAnsi="Cambria"/>
          <w:sz w:val="20"/>
          <w:szCs w:val="20"/>
          <w:lang w:val="es-ES_tradnl"/>
        </w:rPr>
        <w:t xml:space="preserve">entencia de Tegucigalpa en el expediente 8-477-2012. </w:t>
      </w:r>
      <w:r w:rsidRPr="00391ABD">
        <w:rPr>
          <w:rFonts w:ascii="Cambria" w:hAnsi="Cambria"/>
          <w:sz w:val="20"/>
          <w:szCs w:val="20"/>
          <w:lang w:val="es-ES_tradnl"/>
        </w:rPr>
        <w:t>Posteriormente</w:t>
      </w:r>
      <w:r w:rsidR="00E47843" w:rsidRPr="00391ABD">
        <w:rPr>
          <w:rFonts w:ascii="Cambria" w:hAnsi="Cambria"/>
          <w:sz w:val="20"/>
          <w:szCs w:val="20"/>
          <w:lang w:val="es-ES_tradnl"/>
        </w:rPr>
        <w:t xml:space="preserve"> la </w:t>
      </w:r>
      <w:r w:rsidRPr="00391ABD">
        <w:rPr>
          <w:rFonts w:ascii="Cambria" w:hAnsi="Cambria"/>
          <w:sz w:val="20"/>
          <w:szCs w:val="20"/>
          <w:lang w:val="es-ES_tradnl"/>
        </w:rPr>
        <w:t>S</w:t>
      </w:r>
      <w:r w:rsidR="00E47843" w:rsidRPr="00391ABD">
        <w:rPr>
          <w:rFonts w:ascii="Cambria" w:hAnsi="Cambria"/>
          <w:sz w:val="20"/>
          <w:szCs w:val="20"/>
          <w:lang w:val="es-ES_tradnl"/>
        </w:rPr>
        <w:t xml:space="preserve">ala </w:t>
      </w:r>
      <w:r w:rsidR="00B01FCE" w:rsidRPr="00391ABD">
        <w:rPr>
          <w:rFonts w:ascii="Cambria" w:hAnsi="Cambria"/>
          <w:sz w:val="20"/>
          <w:szCs w:val="20"/>
          <w:lang w:val="es-ES_tradnl"/>
        </w:rPr>
        <w:t>P</w:t>
      </w:r>
      <w:r w:rsidR="00E47843" w:rsidRPr="00391ABD">
        <w:rPr>
          <w:rFonts w:ascii="Cambria" w:hAnsi="Cambria"/>
          <w:sz w:val="20"/>
          <w:szCs w:val="20"/>
          <w:lang w:val="es-ES_tradnl"/>
        </w:rPr>
        <w:t xml:space="preserve">enal de la </w:t>
      </w:r>
      <w:r w:rsidRPr="00391ABD">
        <w:rPr>
          <w:rFonts w:ascii="Cambria" w:hAnsi="Cambria"/>
          <w:sz w:val="20"/>
          <w:szCs w:val="20"/>
          <w:lang w:val="es-ES_tradnl"/>
        </w:rPr>
        <w:t>C</w:t>
      </w:r>
      <w:r w:rsidR="00E47843" w:rsidRPr="00391ABD">
        <w:rPr>
          <w:rFonts w:ascii="Cambria" w:hAnsi="Cambria"/>
          <w:sz w:val="20"/>
          <w:szCs w:val="20"/>
          <w:lang w:val="es-ES_tradnl"/>
        </w:rPr>
        <w:t xml:space="preserve">orte </w:t>
      </w:r>
      <w:r w:rsidRPr="00391ABD">
        <w:rPr>
          <w:rFonts w:ascii="Cambria" w:hAnsi="Cambria"/>
          <w:sz w:val="20"/>
          <w:szCs w:val="20"/>
          <w:lang w:val="es-ES_tradnl"/>
        </w:rPr>
        <w:t>S</w:t>
      </w:r>
      <w:r w:rsidR="00E47843" w:rsidRPr="00391ABD">
        <w:rPr>
          <w:rFonts w:ascii="Cambria" w:hAnsi="Cambria"/>
          <w:sz w:val="20"/>
          <w:szCs w:val="20"/>
          <w:lang w:val="es-ES_tradnl"/>
        </w:rPr>
        <w:t xml:space="preserve">uprema resolvió a lugar el recurso de casación impuesto por el señor F.A.H.P, </w:t>
      </w:r>
      <w:r w:rsidRPr="00391ABD">
        <w:rPr>
          <w:rFonts w:ascii="Cambria" w:hAnsi="Cambria"/>
          <w:sz w:val="20"/>
          <w:szCs w:val="20"/>
          <w:lang w:val="es-ES_tradnl"/>
        </w:rPr>
        <w:t>absolviéndolo</w:t>
      </w:r>
      <w:r w:rsidR="00E47843" w:rsidRPr="00391ABD">
        <w:rPr>
          <w:rFonts w:ascii="Cambria" w:hAnsi="Cambria"/>
          <w:sz w:val="20"/>
          <w:szCs w:val="20"/>
          <w:lang w:val="es-ES_tradnl"/>
        </w:rPr>
        <w:t xml:space="preserve"> de toda responsabilidad y </w:t>
      </w:r>
      <w:r w:rsidR="009450EC" w:rsidRPr="00391ABD">
        <w:rPr>
          <w:rFonts w:ascii="Cambria" w:hAnsi="Cambria"/>
          <w:sz w:val="20"/>
          <w:szCs w:val="20"/>
          <w:lang w:val="es-ES_tradnl"/>
        </w:rPr>
        <w:t>revocando</w:t>
      </w:r>
      <w:r w:rsidR="00E47843" w:rsidRPr="00391ABD">
        <w:rPr>
          <w:rFonts w:ascii="Cambria" w:hAnsi="Cambria"/>
          <w:sz w:val="20"/>
          <w:szCs w:val="20"/>
          <w:lang w:val="es-ES_tradnl"/>
        </w:rPr>
        <w:t xml:space="preserve"> las medidas cautelares impuestas</w:t>
      </w:r>
      <w:r w:rsidR="00B01FCE" w:rsidRPr="00391ABD">
        <w:rPr>
          <w:rFonts w:ascii="Cambria" w:hAnsi="Cambria"/>
          <w:sz w:val="20"/>
          <w:szCs w:val="20"/>
          <w:lang w:val="es-ES_tradnl"/>
        </w:rPr>
        <w:t xml:space="preserve"> </w:t>
      </w:r>
      <w:r w:rsidR="00E47843" w:rsidRPr="00391ABD">
        <w:rPr>
          <w:rFonts w:ascii="Cambria" w:hAnsi="Cambria"/>
          <w:sz w:val="20"/>
          <w:szCs w:val="20"/>
          <w:lang w:val="es-ES_tradnl"/>
        </w:rPr>
        <w:t xml:space="preserve">por considerar </w:t>
      </w:r>
      <w:r w:rsidRPr="00391ABD">
        <w:rPr>
          <w:rFonts w:ascii="Cambria" w:hAnsi="Cambria"/>
          <w:sz w:val="20"/>
          <w:szCs w:val="20"/>
          <w:lang w:val="es-ES_tradnl"/>
        </w:rPr>
        <w:t xml:space="preserve">que se presentó una </w:t>
      </w:r>
      <w:r w:rsidR="00E47843" w:rsidRPr="00391ABD">
        <w:rPr>
          <w:rFonts w:ascii="Cambria" w:hAnsi="Cambria"/>
          <w:sz w:val="20"/>
          <w:szCs w:val="20"/>
          <w:lang w:val="es-ES_tradnl"/>
        </w:rPr>
        <w:t xml:space="preserve">infracción de la ley sustantiva. </w:t>
      </w:r>
      <w:r w:rsidRPr="00391ABD">
        <w:rPr>
          <w:rFonts w:ascii="Cambria" w:hAnsi="Cambria"/>
          <w:sz w:val="20"/>
          <w:szCs w:val="20"/>
          <w:lang w:val="es-ES_tradnl"/>
        </w:rPr>
        <w:t>Se</w:t>
      </w:r>
      <w:r w:rsidR="00CC36A4" w:rsidRPr="00391ABD">
        <w:rPr>
          <w:rFonts w:ascii="Cambria" w:hAnsi="Cambria"/>
          <w:sz w:val="20"/>
          <w:szCs w:val="20"/>
          <w:lang w:val="es-ES_tradnl"/>
        </w:rPr>
        <w:t xml:space="preserve">ñala que la peticionaria decidió denunciar ante la </w:t>
      </w:r>
      <w:r w:rsidRPr="00391ABD">
        <w:rPr>
          <w:rFonts w:ascii="Cambria" w:hAnsi="Cambria"/>
          <w:sz w:val="20"/>
          <w:szCs w:val="20"/>
          <w:lang w:val="es-ES_tradnl"/>
        </w:rPr>
        <w:t>I</w:t>
      </w:r>
      <w:r w:rsidR="00CC36A4" w:rsidRPr="00391ABD">
        <w:rPr>
          <w:rFonts w:ascii="Cambria" w:hAnsi="Cambria"/>
          <w:sz w:val="20"/>
          <w:szCs w:val="20"/>
          <w:lang w:val="es-ES_tradnl"/>
        </w:rPr>
        <w:t xml:space="preserve">nspectoría de </w:t>
      </w:r>
      <w:r w:rsidRPr="00391ABD">
        <w:rPr>
          <w:rFonts w:ascii="Cambria" w:hAnsi="Cambria"/>
          <w:sz w:val="20"/>
          <w:szCs w:val="20"/>
          <w:lang w:val="es-ES_tradnl"/>
        </w:rPr>
        <w:t>J</w:t>
      </w:r>
      <w:r w:rsidR="00CC36A4" w:rsidRPr="00391ABD">
        <w:rPr>
          <w:rFonts w:ascii="Cambria" w:hAnsi="Cambria"/>
          <w:sz w:val="20"/>
          <w:szCs w:val="20"/>
          <w:lang w:val="es-ES_tradnl"/>
        </w:rPr>
        <w:t xml:space="preserve">uzgados a los magistrados de la </w:t>
      </w:r>
      <w:r w:rsidR="001C1174" w:rsidRPr="00391ABD">
        <w:rPr>
          <w:rFonts w:ascii="Cambria" w:hAnsi="Cambria"/>
          <w:sz w:val="20"/>
          <w:szCs w:val="20"/>
          <w:lang w:val="es-ES_tradnl"/>
        </w:rPr>
        <w:t>S</w:t>
      </w:r>
      <w:r w:rsidR="00CC36A4" w:rsidRPr="00391ABD">
        <w:rPr>
          <w:rFonts w:ascii="Cambria" w:hAnsi="Cambria"/>
          <w:sz w:val="20"/>
          <w:szCs w:val="20"/>
          <w:lang w:val="es-ES_tradnl"/>
        </w:rPr>
        <w:t xml:space="preserve">ala </w:t>
      </w:r>
      <w:r w:rsidR="001C1174" w:rsidRPr="00391ABD">
        <w:rPr>
          <w:rFonts w:ascii="Cambria" w:hAnsi="Cambria"/>
          <w:sz w:val="20"/>
          <w:szCs w:val="20"/>
          <w:lang w:val="es-ES_tradnl"/>
        </w:rPr>
        <w:t>P</w:t>
      </w:r>
      <w:r w:rsidR="00CC36A4" w:rsidRPr="00391ABD">
        <w:rPr>
          <w:rFonts w:ascii="Cambria" w:hAnsi="Cambria"/>
          <w:sz w:val="20"/>
          <w:szCs w:val="20"/>
          <w:lang w:val="es-ES_tradnl"/>
        </w:rPr>
        <w:t xml:space="preserve">enal de la </w:t>
      </w:r>
      <w:r w:rsidR="001C1174" w:rsidRPr="00391ABD">
        <w:rPr>
          <w:rFonts w:ascii="Cambria" w:hAnsi="Cambria"/>
          <w:sz w:val="20"/>
          <w:szCs w:val="20"/>
          <w:lang w:val="es-ES_tradnl"/>
        </w:rPr>
        <w:t>C</w:t>
      </w:r>
      <w:r w:rsidR="00CC36A4" w:rsidRPr="00391ABD">
        <w:rPr>
          <w:rFonts w:ascii="Cambria" w:hAnsi="Cambria"/>
          <w:sz w:val="20"/>
          <w:szCs w:val="20"/>
          <w:lang w:val="es-ES_tradnl"/>
        </w:rPr>
        <w:t xml:space="preserve">orte </w:t>
      </w:r>
      <w:r w:rsidR="001C1174" w:rsidRPr="00391ABD">
        <w:rPr>
          <w:rFonts w:ascii="Cambria" w:hAnsi="Cambria"/>
          <w:sz w:val="20"/>
          <w:szCs w:val="20"/>
          <w:lang w:val="es-ES_tradnl"/>
        </w:rPr>
        <w:t>S</w:t>
      </w:r>
      <w:r w:rsidR="00CC36A4" w:rsidRPr="00391ABD">
        <w:rPr>
          <w:rFonts w:ascii="Cambria" w:hAnsi="Cambria"/>
          <w:sz w:val="20"/>
          <w:szCs w:val="20"/>
          <w:lang w:val="es-ES_tradnl"/>
        </w:rPr>
        <w:t xml:space="preserve">uprema de </w:t>
      </w:r>
      <w:r w:rsidR="001C1174" w:rsidRPr="00391ABD">
        <w:rPr>
          <w:rFonts w:ascii="Cambria" w:hAnsi="Cambria"/>
          <w:sz w:val="20"/>
          <w:szCs w:val="20"/>
          <w:lang w:val="es-ES_tradnl"/>
        </w:rPr>
        <w:t>Ju</w:t>
      </w:r>
      <w:r w:rsidR="00CC36A4" w:rsidRPr="00391ABD">
        <w:rPr>
          <w:rFonts w:ascii="Cambria" w:hAnsi="Cambria"/>
          <w:sz w:val="20"/>
          <w:szCs w:val="20"/>
          <w:lang w:val="es-ES_tradnl"/>
        </w:rPr>
        <w:t>sticia</w:t>
      </w:r>
      <w:r w:rsidR="001C1174" w:rsidRPr="00391ABD">
        <w:rPr>
          <w:rFonts w:ascii="Cambria" w:hAnsi="Cambria"/>
          <w:sz w:val="20"/>
          <w:szCs w:val="20"/>
          <w:lang w:val="es-ES_tradnl"/>
        </w:rPr>
        <w:t xml:space="preserve">. </w:t>
      </w:r>
    </w:p>
    <w:p w14:paraId="06B309EB" w14:textId="0C658FB8" w:rsidR="006004BF" w:rsidRPr="00391ABD" w:rsidRDefault="006004BF" w:rsidP="008562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 xml:space="preserve">En virtud de lo anterior considera el Estado que la peticionaria fue escuchada por los tribunales en condiciones de igualdad y no discriminación, se le respetaron sus derechos al debido proceso y tuvo acceso a recurrir los fallos y a los recursos disponibles en el ordenamiento interno. </w:t>
      </w:r>
      <w:r w:rsidR="001C1174" w:rsidRPr="00391ABD">
        <w:rPr>
          <w:rFonts w:ascii="Cambria" w:hAnsi="Cambria"/>
          <w:sz w:val="20"/>
          <w:szCs w:val="20"/>
          <w:lang w:val="es-ES_tradnl"/>
        </w:rPr>
        <w:t xml:space="preserve">En </w:t>
      </w:r>
      <w:r w:rsidR="00B01FCE" w:rsidRPr="00391ABD">
        <w:rPr>
          <w:rFonts w:ascii="Cambria" w:hAnsi="Cambria"/>
          <w:sz w:val="20"/>
          <w:szCs w:val="20"/>
          <w:lang w:val="es-ES_tradnl"/>
        </w:rPr>
        <w:t>ese sentido</w:t>
      </w:r>
      <w:r w:rsidR="001C1174" w:rsidRPr="00391ABD">
        <w:rPr>
          <w:rFonts w:ascii="Cambria" w:hAnsi="Cambria"/>
          <w:sz w:val="20"/>
          <w:szCs w:val="20"/>
          <w:lang w:val="es-ES_tradnl"/>
        </w:rPr>
        <w:t xml:space="preserve">, </w:t>
      </w:r>
      <w:r w:rsidRPr="00391ABD">
        <w:rPr>
          <w:rFonts w:ascii="Cambria" w:hAnsi="Cambria"/>
          <w:sz w:val="20"/>
          <w:szCs w:val="20"/>
          <w:lang w:val="es-ES_tradnl"/>
        </w:rPr>
        <w:t>señala que frente al fallo del 29 de marzo de 2017 en el recurso de casación por infracción de la ley interpuesto por el señor F.A.H.P</w:t>
      </w:r>
      <w:r w:rsidR="00344F7E" w:rsidRPr="00391ABD">
        <w:rPr>
          <w:rFonts w:ascii="Cambria" w:hAnsi="Cambria"/>
          <w:sz w:val="20"/>
          <w:szCs w:val="20"/>
          <w:lang w:val="es-ES_tradnl"/>
        </w:rPr>
        <w:t xml:space="preserve">, los magistrados de la Sala de lo Penal de la Corte Suprema de Justicia </w:t>
      </w:r>
      <w:r w:rsidR="001C1174" w:rsidRPr="00391ABD">
        <w:rPr>
          <w:rFonts w:ascii="Cambria" w:hAnsi="Cambria"/>
          <w:sz w:val="20"/>
          <w:szCs w:val="20"/>
          <w:lang w:val="es-ES_tradnl"/>
        </w:rPr>
        <w:t>consideraron</w:t>
      </w:r>
      <w:r w:rsidR="00344F7E" w:rsidRPr="00391ABD">
        <w:rPr>
          <w:rFonts w:ascii="Cambria" w:hAnsi="Cambria"/>
          <w:sz w:val="20"/>
          <w:szCs w:val="20"/>
          <w:lang w:val="es-ES_tradnl"/>
        </w:rPr>
        <w:t xml:space="preserve"> que entre los hechos probados en la sentencia y la calificación del tipo penal por parte del Tribunal</w:t>
      </w:r>
      <w:r w:rsidR="006C4E28" w:rsidRPr="00391ABD">
        <w:rPr>
          <w:rFonts w:ascii="Cambria" w:hAnsi="Cambria"/>
          <w:sz w:val="20"/>
          <w:szCs w:val="20"/>
          <w:lang w:val="es-ES_tradnl"/>
        </w:rPr>
        <w:t>,</w:t>
      </w:r>
      <w:r w:rsidR="00344F7E" w:rsidRPr="00391ABD">
        <w:rPr>
          <w:rFonts w:ascii="Cambria" w:hAnsi="Cambria"/>
          <w:sz w:val="20"/>
          <w:szCs w:val="20"/>
          <w:lang w:val="es-ES_tradnl"/>
        </w:rPr>
        <w:t xml:space="preserve"> se realiz</w:t>
      </w:r>
      <w:r w:rsidR="006C4E28" w:rsidRPr="00391ABD">
        <w:rPr>
          <w:rFonts w:ascii="Cambria" w:hAnsi="Cambria"/>
          <w:sz w:val="20"/>
          <w:szCs w:val="20"/>
          <w:lang w:val="es-ES_tradnl"/>
        </w:rPr>
        <w:t>ó una</w:t>
      </w:r>
      <w:r w:rsidR="00344F7E" w:rsidRPr="00391ABD">
        <w:rPr>
          <w:rFonts w:ascii="Cambria" w:hAnsi="Cambria"/>
          <w:sz w:val="20"/>
          <w:szCs w:val="20"/>
          <w:lang w:val="es-ES_tradnl"/>
        </w:rPr>
        <w:t xml:space="preserve"> aplicación indebida del precepto penal, pues las conductas descritas no eran subsumibles en los elementos objetivos del tipo penal, y por ende, decidieron absolver de toda responsabilidad penal al señor F.A.H.P, dejando vigente la responsabilidad civil </w:t>
      </w:r>
      <w:r w:rsidR="006C4E28" w:rsidRPr="00391ABD">
        <w:rPr>
          <w:rFonts w:ascii="Cambria" w:hAnsi="Cambria"/>
          <w:sz w:val="20"/>
          <w:szCs w:val="20"/>
          <w:lang w:val="es-ES_tradnl"/>
        </w:rPr>
        <w:t>y</w:t>
      </w:r>
      <w:r w:rsidR="00344F7E" w:rsidRPr="00391ABD">
        <w:rPr>
          <w:rFonts w:ascii="Cambria" w:hAnsi="Cambria"/>
          <w:sz w:val="20"/>
          <w:szCs w:val="20"/>
          <w:lang w:val="es-ES_tradnl"/>
        </w:rPr>
        <w:t xml:space="preserve"> el pago de los daños y perjuicios a favor de la peticionaria. </w:t>
      </w:r>
    </w:p>
    <w:p w14:paraId="718B09BA" w14:textId="48066F22" w:rsidR="00344F7E" w:rsidRPr="00391ABD" w:rsidRDefault="00344F7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 xml:space="preserve">Considera que el fallo emitido se realizó en virtud de la impugnación realizada por el señor F.A.H.P, donde </w:t>
      </w:r>
      <w:r w:rsidR="005B1FD5" w:rsidRPr="00391ABD">
        <w:rPr>
          <w:rFonts w:ascii="Cambria" w:hAnsi="Cambria"/>
          <w:sz w:val="20"/>
          <w:szCs w:val="20"/>
          <w:lang w:val="es-ES_tradnl"/>
        </w:rPr>
        <w:t xml:space="preserve">la peticionaria fue escuchada y pudo aportar pruebas. En igual sentido señala que la sentencia fue emitida por tres magistrados competentes y estuvo debidamente motivada. </w:t>
      </w:r>
    </w:p>
    <w:p w14:paraId="36A80FF1" w14:textId="74D9D6B0" w:rsidR="005B1FD5" w:rsidRDefault="003124D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Respecto</w:t>
      </w:r>
      <w:r w:rsidR="005B1FD5" w:rsidRPr="00391ABD">
        <w:rPr>
          <w:rFonts w:ascii="Cambria" w:hAnsi="Cambria"/>
          <w:sz w:val="20"/>
          <w:szCs w:val="20"/>
          <w:lang w:val="es-ES_tradnl"/>
        </w:rPr>
        <w:t xml:space="preserve"> de las denuncias entabladas</w:t>
      </w:r>
      <w:r w:rsidR="00D67233" w:rsidRPr="00391ABD">
        <w:rPr>
          <w:rFonts w:ascii="Cambria" w:hAnsi="Cambria"/>
          <w:sz w:val="20"/>
          <w:szCs w:val="20"/>
          <w:lang w:val="es-ES_tradnl"/>
        </w:rPr>
        <w:t xml:space="preserve"> por el señor F.A.H.P contra la </w:t>
      </w:r>
      <w:r w:rsidR="00874BEA" w:rsidRPr="00391ABD">
        <w:rPr>
          <w:rFonts w:ascii="Cambria" w:hAnsi="Cambria"/>
          <w:sz w:val="20"/>
          <w:szCs w:val="20"/>
          <w:lang w:val="es-ES_tradnl"/>
        </w:rPr>
        <w:t>Sra.</w:t>
      </w:r>
      <w:r w:rsidR="00D67233" w:rsidRPr="00391ABD">
        <w:rPr>
          <w:rFonts w:ascii="Cambria" w:hAnsi="Cambria"/>
          <w:sz w:val="20"/>
          <w:szCs w:val="20"/>
          <w:lang w:val="es-ES_tradnl"/>
        </w:rPr>
        <w:t xml:space="preserve"> González</w:t>
      </w:r>
      <w:r w:rsidR="005B1FD5" w:rsidRPr="00391ABD">
        <w:rPr>
          <w:rFonts w:ascii="Cambria" w:hAnsi="Cambria"/>
          <w:sz w:val="20"/>
          <w:szCs w:val="20"/>
          <w:lang w:val="es-ES_tradnl"/>
        </w:rPr>
        <w:t xml:space="preserve">, </w:t>
      </w:r>
      <w:r w:rsidR="00D67233" w:rsidRPr="00391ABD">
        <w:rPr>
          <w:rFonts w:ascii="Cambria" w:hAnsi="Cambria"/>
          <w:sz w:val="20"/>
          <w:szCs w:val="20"/>
          <w:lang w:val="es-ES_tradnl"/>
        </w:rPr>
        <w:t xml:space="preserve">que obran en los expedientes 13892-2010, 3470-2014, 1465309522-2016 y 151106181-2017, </w:t>
      </w:r>
      <w:r w:rsidR="005B1FD5" w:rsidRPr="00391ABD">
        <w:rPr>
          <w:rFonts w:ascii="Cambria" w:hAnsi="Cambria"/>
          <w:sz w:val="20"/>
          <w:szCs w:val="20"/>
          <w:lang w:val="es-ES_tradnl"/>
        </w:rPr>
        <w:t>señala que ninguna de ellas ha prosperado pues fueron cerradas por el ente fiscal, razón por la cual no han perjudicad</w:t>
      </w:r>
      <w:r w:rsidR="006C4E28" w:rsidRPr="00391ABD">
        <w:rPr>
          <w:rFonts w:ascii="Cambria" w:hAnsi="Cambria"/>
          <w:sz w:val="20"/>
          <w:szCs w:val="20"/>
          <w:lang w:val="es-ES_tradnl"/>
        </w:rPr>
        <w:t>o</w:t>
      </w:r>
      <w:r w:rsidR="005B1FD5" w:rsidRPr="00391ABD">
        <w:rPr>
          <w:rFonts w:ascii="Cambria" w:hAnsi="Cambria"/>
          <w:sz w:val="20"/>
          <w:szCs w:val="20"/>
          <w:lang w:val="es-ES_tradnl"/>
        </w:rPr>
        <w:t xml:space="preserve"> </w:t>
      </w:r>
      <w:r w:rsidR="006C4E28" w:rsidRPr="00391ABD">
        <w:rPr>
          <w:rFonts w:ascii="Cambria" w:hAnsi="Cambria"/>
          <w:sz w:val="20"/>
          <w:szCs w:val="20"/>
          <w:lang w:val="es-ES_tradnl"/>
        </w:rPr>
        <w:t>las</w:t>
      </w:r>
      <w:r w:rsidR="005B1FD5" w:rsidRPr="00391ABD">
        <w:rPr>
          <w:rFonts w:ascii="Cambria" w:hAnsi="Cambria"/>
          <w:sz w:val="20"/>
          <w:szCs w:val="20"/>
          <w:lang w:val="es-ES_tradnl"/>
        </w:rPr>
        <w:t xml:space="preserve"> postulaciones </w:t>
      </w:r>
      <w:r w:rsidR="006C4E28" w:rsidRPr="00391ABD">
        <w:rPr>
          <w:rFonts w:ascii="Cambria" w:hAnsi="Cambria"/>
          <w:sz w:val="20"/>
          <w:szCs w:val="20"/>
          <w:lang w:val="es-ES_tradnl"/>
        </w:rPr>
        <w:t xml:space="preserve">de la peticionaria </w:t>
      </w:r>
      <w:r w:rsidR="005B1FD5" w:rsidRPr="00391ABD">
        <w:rPr>
          <w:rFonts w:ascii="Cambria" w:hAnsi="Cambria"/>
          <w:sz w:val="20"/>
          <w:szCs w:val="20"/>
          <w:lang w:val="es-ES_tradnl"/>
        </w:rPr>
        <w:t xml:space="preserve">para ser Fiscal General de la República ni Magistrada de la Corte Suprema tal y como </w:t>
      </w:r>
      <w:r w:rsidR="006C4E28" w:rsidRPr="00391ABD">
        <w:rPr>
          <w:rFonts w:ascii="Cambria" w:hAnsi="Cambria"/>
          <w:sz w:val="20"/>
          <w:szCs w:val="20"/>
          <w:lang w:val="es-ES_tradnl"/>
        </w:rPr>
        <w:t>ella lo argumenta</w:t>
      </w:r>
      <w:r w:rsidR="005B1FD5" w:rsidRPr="00391ABD">
        <w:rPr>
          <w:rFonts w:ascii="Cambria" w:hAnsi="Cambria"/>
          <w:sz w:val="20"/>
          <w:szCs w:val="20"/>
          <w:lang w:val="es-ES_tradnl"/>
        </w:rPr>
        <w:t xml:space="preserve">. Por su parte, el requerimiento fiscal en contra de la </w:t>
      </w:r>
      <w:r w:rsidR="00874BEA" w:rsidRPr="00391ABD">
        <w:rPr>
          <w:rFonts w:ascii="Cambria" w:hAnsi="Cambria"/>
          <w:sz w:val="20"/>
          <w:szCs w:val="20"/>
          <w:lang w:val="es-ES_tradnl"/>
        </w:rPr>
        <w:t>Sra.</w:t>
      </w:r>
      <w:r w:rsidR="005B1FD5" w:rsidRPr="00391ABD">
        <w:rPr>
          <w:rFonts w:ascii="Cambria" w:hAnsi="Cambria"/>
          <w:sz w:val="20"/>
          <w:szCs w:val="20"/>
          <w:lang w:val="es-ES_tradnl"/>
        </w:rPr>
        <w:t xml:space="preserve"> González dentro del </w:t>
      </w:r>
      <w:r w:rsidR="005B1FD5" w:rsidRPr="00391ABD">
        <w:rPr>
          <w:rFonts w:ascii="Cambria" w:hAnsi="Cambria"/>
          <w:sz w:val="20"/>
          <w:szCs w:val="20"/>
          <w:lang w:val="es-ES_tradnl"/>
        </w:rPr>
        <w:lastRenderedPageBreak/>
        <w:t xml:space="preserve">expediente 2045/2011 del 9 de febrero de 2011, se encuentra pendiente de que se resuelva el amparo interpuesto. </w:t>
      </w:r>
    </w:p>
    <w:p w14:paraId="54878D86" w14:textId="406ED2DD" w:rsidR="00A11E44" w:rsidRPr="00391ABD" w:rsidRDefault="006C4E28" w:rsidP="006C4E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Finalmente,</w:t>
      </w:r>
      <w:r w:rsidR="003124DB" w:rsidRPr="00391ABD">
        <w:rPr>
          <w:rFonts w:ascii="Cambria" w:hAnsi="Cambria"/>
          <w:sz w:val="20"/>
          <w:szCs w:val="20"/>
          <w:lang w:val="es-ES_tradnl"/>
        </w:rPr>
        <w:t xml:space="preserve"> respecto de las denuncias interpuestas por la </w:t>
      </w:r>
      <w:r w:rsidR="00874BEA" w:rsidRPr="00391ABD">
        <w:rPr>
          <w:rFonts w:ascii="Cambria" w:hAnsi="Cambria"/>
          <w:sz w:val="20"/>
          <w:szCs w:val="20"/>
          <w:lang w:val="es-ES_tradnl"/>
        </w:rPr>
        <w:t xml:space="preserve">Sra. </w:t>
      </w:r>
      <w:r w:rsidR="003124DB" w:rsidRPr="00391ABD">
        <w:rPr>
          <w:rFonts w:ascii="Cambria" w:hAnsi="Cambria"/>
          <w:sz w:val="20"/>
          <w:szCs w:val="20"/>
          <w:lang w:val="es-ES_tradnl"/>
        </w:rPr>
        <w:t xml:space="preserve">González contra dos ficales por los delitos de abuso de autoridad y violación de los deberes de los funcionarios en perjuicio de la administración pública, que obran en los expedientes 019-2013 del 22 de octubre de 2013, 080-2014 del 18 de junio de 2014 y 147-2018 del 17 de enero de 2018; acumuladas bajo el No. SEDI 019-2013 y SIGEFI 16431419232022, se encuentran en investigación por encontrarse pendiente la remisión del informe por parte de la Unidad de Auditoria Forense de la Fiscalía Especial para el Enjuiciamiento de los Servidores y Funcionarios del Sector Justicia. </w:t>
      </w:r>
      <w:r w:rsidR="008C5E2D" w:rsidRPr="00391ABD">
        <w:rPr>
          <w:rFonts w:ascii="Cambria" w:hAnsi="Cambria"/>
          <w:sz w:val="20"/>
          <w:szCs w:val="20"/>
          <w:lang w:val="es-ES_tradnl"/>
        </w:rPr>
        <w:t xml:space="preserve"> </w:t>
      </w:r>
    </w:p>
    <w:p w14:paraId="6F4D4171" w14:textId="61F41104" w:rsidR="003239B8" w:rsidRPr="00391ABD" w:rsidRDefault="003239B8" w:rsidP="003239B8">
      <w:pPr>
        <w:spacing w:before="240" w:after="240"/>
        <w:ind w:firstLine="720"/>
        <w:jc w:val="both"/>
        <w:rPr>
          <w:rFonts w:ascii="Cambria" w:hAnsi="Cambria"/>
          <w:sz w:val="20"/>
          <w:szCs w:val="20"/>
          <w:lang w:val="es-ES_tradnl"/>
        </w:rPr>
      </w:pPr>
      <w:r w:rsidRPr="00391ABD">
        <w:rPr>
          <w:rFonts w:asciiTheme="majorHAnsi" w:eastAsia="Cambria" w:hAnsiTheme="majorHAnsi" w:cs="Cambria"/>
          <w:b/>
          <w:bCs/>
          <w:color w:val="000000"/>
          <w:sz w:val="20"/>
          <w:szCs w:val="20"/>
          <w:u w:color="000000"/>
          <w:lang w:val="es-ES_tradnl" w:eastAsia="es-ES"/>
        </w:rPr>
        <w:t>VI.</w:t>
      </w:r>
      <w:r w:rsidRPr="00391ABD">
        <w:rPr>
          <w:rFonts w:asciiTheme="majorHAnsi" w:eastAsia="Cambria" w:hAnsiTheme="majorHAnsi" w:cs="Cambria"/>
          <w:b/>
          <w:bCs/>
          <w:color w:val="000000"/>
          <w:sz w:val="20"/>
          <w:szCs w:val="20"/>
          <w:u w:color="000000"/>
          <w:lang w:val="es-ES_tradnl" w:eastAsia="es-ES"/>
        </w:rPr>
        <w:tab/>
      </w:r>
      <w:r w:rsidR="004A6A54" w:rsidRPr="00391ABD">
        <w:rPr>
          <w:rFonts w:asciiTheme="majorHAnsi" w:hAnsiTheme="majorHAnsi"/>
          <w:b/>
          <w:bCs/>
          <w:sz w:val="20"/>
          <w:szCs w:val="20"/>
          <w:lang w:val="es-ES_tradnl"/>
        </w:rPr>
        <w:t xml:space="preserve">ANÁLISIS DE </w:t>
      </w:r>
      <w:r w:rsidR="00C21FEF" w:rsidRPr="00391ABD">
        <w:rPr>
          <w:rFonts w:asciiTheme="majorHAnsi" w:hAnsiTheme="majorHAnsi"/>
          <w:b/>
          <w:sz w:val="20"/>
          <w:szCs w:val="20"/>
          <w:lang w:val="es-ES_tradnl"/>
        </w:rPr>
        <w:t>AGOTAMIENTO DE LOS RECURSOS INTERNOS Y PLAZO DE PRESENTACIÓN</w:t>
      </w:r>
      <w:r w:rsidR="00C21FEF" w:rsidRPr="00391ABD">
        <w:rPr>
          <w:rFonts w:asciiTheme="majorHAnsi" w:eastAsia="Cambria" w:hAnsiTheme="majorHAnsi" w:cs="Cambria"/>
          <w:b/>
          <w:bCs/>
          <w:color w:val="000000"/>
          <w:sz w:val="20"/>
          <w:szCs w:val="20"/>
          <w:u w:color="000000"/>
          <w:lang w:val="es-ES_tradnl" w:eastAsia="es-ES"/>
        </w:rPr>
        <w:t xml:space="preserve"> </w:t>
      </w:r>
    </w:p>
    <w:p w14:paraId="223A4953" w14:textId="650B3B17" w:rsidR="00B12044" w:rsidRPr="00391ABD" w:rsidRDefault="000161B8" w:rsidP="00AF06E8">
      <w:pPr>
        <w:pStyle w:val="ListParagraph"/>
        <w:numPr>
          <w:ilvl w:val="0"/>
          <w:numId w:val="103"/>
        </w:numPr>
        <w:spacing w:before="240" w:after="240"/>
        <w:jc w:val="both"/>
        <w:rPr>
          <w:sz w:val="20"/>
          <w:szCs w:val="20"/>
          <w:lang w:val="es-ES_tradnl"/>
        </w:rPr>
      </w:pPr>
      <w:r w:rsidRPr="00391ABD">
        <w:rPr>
          <w:sz w:val="20"/>
          <w:szCs w:val="20"/>
          <w:lang w:val="es-ES_tradnl"/>
        </w:rPr>
        <w:t xml:space="preserve">La peticionaria afirma que agotó todos los recursos de la jurisdicción interna para </w:t>
      </w:r>
      <w:r w:rsidR="00B12044" w:rsidRPr="00391ABD">
        <w:rPr>
          <w:sz w:val="20"/>
          <w:szCs w:val="20"/>
          <w:lang w:val="es-ES_tradnl"/>
        </w:rPr>
        <w:t xml:space="preserve">lograr la nulidad de la resolución AS455/10 de CONATEL, en la que se otorgó la transferencia sobre los derechos de permiso y licencia de las frecuencias radioeléctricas de la Sociedad Mercantil Inversiones Géminis S.A de C.V, así como </w:t>
      </w:r>
      <w:r w:rsidRPr="00391ABD">
        <w:rPr>
          <w:sz w:val="20"/>
          <w:szCs w:val="20"/>
          <w:lang w:val="es-ES_tradnl"/>
        </w:rPr>
        <w:t xml:space="preserve">interponer y seguir el proceso judicial por violencia intrafamiliar contra su expareja. Por su parte, el Estado arguye que se dio respuesta a las reclamaciones de la Sra. González en las instancias internas. </w:t>
      </w:r>
    </w:p>
    <w:p w14:paraId="38F1CB7D" w14:textId="54547722" w:rsidR="00AF06E8" w:rsidRPr="00391ABD" w:rsidRDefault="00AF06E8" w:rsidP="00AF06E8">
      <w:pPr>
        <w:pStyle w:val="ListParagraph"/>
        <w:numPr>
          <w:ilvl w:val="0"/>
          <w:numId w:val="103"/>
        </w:numPr>
        <w:spacing w:before="240" w:after="240"/>
        <w:jc w:val="both"/>
        <w:rPr>
          <w:sz w:val="20"/>
          <w:szCs w:val="20"/>
          <w:lang w:val="es-ES_tradnl"/>
        </w:rPr>
      </w:pPr>
      <w:r w:rsidRPr="00391ABD">
        <w:rPr>
          <w:sz w:val="20"/>
          <w:szCs w:val="20"/>
          <w:lang w:val="es-ES_tradnl"/>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p>
    <w:p w14:paraId="35B49B26" w14:textId="1CBBFF6C" w:rsidR="000161B8" w:rsidRPr="00391ABD" w:rsidRDefault="00AF06E8" w:rsidP="00520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1ABD">
        <w:rPr>
          <w:rFonts w:asciiTheme="majorHAnsi" w:hAnsiTheme="majorHAnsi"/>
          <w:sz w:val="20"/>
          <w:szCs w:val="20"/>
          <w:lang w:val="es-ES_tradnl"/>
        </w:rPr>
        <w:t>La C</w:t>
      </w:r>
      <w:r w:rsidR="00DF425F" w:rsidRPr="00391ABD">
        <w:rPr>
          <w:rFonts w:asciiTheme="majorHAnsi" w:hAnsiTheme="majorHAnsi"/>
          <w:sz w:val="20"/>
          <w:szCs w:val="20"/>
          <w:lang w:val="es-ES_tradnl"/>
        </w:rPr>
        <w:t xml:space="preserve">IDH </w:t>
      </w:r>
      <w:r w:rsidRPr="00391ABD">
        <w:rPr>
          <w:rFonts w:asciiTheme="majorHAnsi" w:hAnsiTheme="majorHAnsi"/>
          <w:sz w:val="20"/>
          <w:szCs w:val="20"/>
          <w:lang w:val="es-ES_tradnl"/>
        </w:rPr>
        <w:t xml:space="preserve">nota que la decisión definitiva </w:t>
      </w:r>
      <w:r w:rsidR="000161B8" w:rsidRPr="00391ABD">
        <w:rPr>
          <w:rFonts w:asciiTheme="majorHAnsi" w:hAnsiTheme="majorHAnsi"/>
          <w:sz w:val="20"/>
          <w:szCs w:val="20"/>
          <w:lang w:val="es-ES_tradnl"/>
        </w:rPr>
        <w:t>en el proceso penal por el delito de violencia intrafamiliar</w:t>
      </w:r>
      <w:r w:rsidR="00B01FCE" w:rsidRPr="00391ABD">
        <w:rPr>
          <w:rFonts w:asciiTheme="majorHAnsi" w:hAnsiTheme="majorHAnsi"/>
          <w:sz w:val="20"/>
          <w:szCs w:val="20"/>
          <w:lang w:val="es-ES_tradnl"/>
        </w:rPr>
        <w:t xml:space="preserve"> </w:t>
      </w:r>
      <w:r w:rsidR="000161B8" w:rsidRPr="00391ABD">
        <w:rPr>
          <w:rFonts w:asciiTheme="majorHAnsi" w:hAnsiTheme="majorHAnsi"/>
          <w:sz w:val="20"/>
          <w:szCs w:val="20"/>
          <w:lang w:val="es-ES_tradnl"/>
        </w:rPr>
        <w:t xml:space="preserve">fue </w:t>
      </w:r>
      <w:r w:rsidRPr="00391ABD">
        <w:rPr>
          <w:rFonts w:asciiTheme="majorHAnsi" w:hAnsiTheme="majorHAnsi"/>
          <w:sz w:val="20"/>
          <w:szCs w:val="20"/>
          <w:lang w:val="es-ES_tradnl"/>
        </w:rPr>
        <w:t>el fallo de casación que revoc</w:t>
      </w:r>
      <w:r w:rsidR="006830F1">
        <w:rPr>
          <w:rFonts w:asciiTheme="majorHAnsi" w:hAnsiTheme="majorHAnsi"/>
          <w:sz w:val="20"/>
          <w:szCs w:val="20"/>
          <w:lang w:val="es-ES_tradnl"/>
        </w:rPr>
        <w:t>ó</w:t>
      </w:r>
      <w:r w:rsidRPr="00391ABD">
        <w:rPr>
          <w:rFonts w:asciiTheme="majorHAnsi" w:hAnsiTheme="majorHAnsi"/>
          <w:sz w:val="20"/>
          <w:szCs w:val="20"/>
          <w:lang w:val="es-ES_tradnl"/>
        </w:rPr>
        <w:t xml:space="preserve"> la condena de un año de prisión impuesta al señor F.A.H.P</w:t>
      </w:r>
      <w:r w:rsidR="00DF425F" w:rsidRPr="00391ABD">
        <w:rPr>
          <w:rFonts w:asciiTheme="majorHAnsi" w:hAnsiTheme="majorHAnsi"/>
          <w:sz w:val="20"/>
          <w:szCs w:val="20"/>
          <w:lang w:val="es-ES_tradnl"/>
        </w:rPr>
        <w:t xml:space="preserve">, el cual fue </w:t>
      </w:r>
      <w:r w:rsidRPr="00391ABD">
        <w:rPr>
          <w:rFonts w:asciiTheme="majorHAnsi" w:hAnsiTheme="majorHAnsi"/>
          <w:sz w:val="20"/>
          <w:szCs w:val="20"/>
          <w:lang w:val="es-ES_tradnl"/>
        </w:rPr>
        <w:t>proferido el 29 de marzo de 2017 y notificad</w:t>
      </w:r>
      <w:r w:rsidR="006830F1">
        <w:rPr>
          <w:rFonts w:asciiTheme="majorHAnsi" w:hAnsiTheme="majorHAnsi"/>
          <w:sz w:val="20"/>
          <w:szCs w:val="20"/>
          <w:lang w:val="es-ES_tradnl"/>
        </w:rPr>
        <w:t>o</w:t>
      </w:r>
      <w:r w:rsidRPr="00391ABD">
        <w:rPr>
          <w:rFonts w:asciiTheme="majorHAnsi" w:hAnsiTheme="majorHAnsi"/>
          <w:sz w:val="20"/>
          <w:szCs w:val="20"/>
          <w:lang w:val="es-ES_tradnl"/>
        </w:rPr>
        <w:t xml:space="preserve"> el 5 de mayo de ese mismo año. </w:t>
      </w:r>
    </w:p>
    <w:p w14:paraId="67B22993" w14:textId="3EA40730" w:rsidR="00AF06E8" w:rsidRPr="00391ABD" w:rsidRDefault="00AF06E8" w:rsidP="005208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91ABD">
        <w:rPr>
          <w:rFonts w:ascii="Cambria" w:hAnsi="Cambria"/>
          <w:sz w:val="20"/>
          <w:szCs w:val="20"/>
          <w:lang w:val="es-ES_tradnl"/>
        </w:rPr>
        <w:t>En consecuencia y dado que la petición fue presentada el 2 de noviembre del 2017, la C</w:t>
      </w:r>
      <w:r w:rsidR="00DF425F" w:rsidRPr="00391ABD">
        <w:rPr>
          <w:rFonts w:ascii="Cambria" w:hAnsi="Cambria"/>
          <w:sz w:val="20"/>
          <w:szCs w:val="20"/>
          <w:lang w:val="es-ES_tradnl"/>
        </w:rPr>
        <w:t xml:space="preserve">omisión concluye que la presente petición cumple con los requisitos de agotamiento de los recursos internos y de plazo de presentación, establecidos en el artículo 46.1 (a) y (b) de la Convención Americana. </w:t>
      </w:r>
    </w:p>
    <w:p w14:paraId="4FFBE378" w14:textId="64322DE9" w:rsidR="003239B8" w:rsidRPr="00391ABD" w:rsidRDefault="003239B8" w:rsidP="003239B8">
      <w:pPr>
        <w:pStyle w:val="ListParagraph"/>
        <w:spacing w:before="240" w:after="240"/>
        <w:jc w:val="both"/>
        <w:rPr>
          <w:rFonts w:asciiTheme="majorHAnsi" w:hAnsiTheme="majorHAnsi"/>
          <w:b/>
          <w:sz w:val="20"/>
          <w:szCs w:val="20"/>
          <w:lang w:val="es-ES_tradnl"/>
        </w:rPr>
      </w:pPr>
      <w:r w:rsidRPr="00391ABD">
        <w:rPr>
          <w:rFonts w:asciiTheme="majorHAnsi" w:hAnsiTheme="majorHAnsi"/>
          <w:b/>
          <w:bCs/>
          <w:sz w:val="20"/>
          <w:szCs w:val="20"/>
          <w:lang w:val="es-ES_tradnl"/>
        </w:rPr>
        <w:t>VII.</w:t>
      </w:r>
      <w:r w:rsidRPr="00391ABD">
        <w:rPr>
          <w:rFonts w:asciiTheme="majorHAnsi" w:hAnsiTheme="majorHAnsi"/>
          <w:b/>
          <w:bCs/>
          <w:sz w:val="20"/>
          <w:szCs w:val="20"/>
          <w:lang w:val="es-ES_tradnl"/>
        </w:rPr>
        <w:tab/>
      </w:r>
      <w:r w:rsidR="004A6A54" w:rsidRPr="00391ABD">
        <w:rPr>
          <w:rFonts w:asciiTheme="majorHAnsi" w:hAnsiTheme="majorHAnsi"/>
          <w:b/>
          <w:bCs/>
          <w:sz w:val="20"/>
          <w:szCs w:val="20"/>
          <w:lang w:val="es-ES_tradnl"/>
        </w:rPr>
        <w:t xml:space="preserve">ANÁLISIS DE </w:t>
      </w:r>
      <w:r w:rsidR="00C21FEF" w:rsidRPr="00391ABD">
        <w:rPr>
          <w:rFonts w:asciiTheme="majorHAnsi" w:hAnsiTheme="majorHAnsi"/>
          <w:b/>
          <w:bCs/>
          <w:sz w:val="20"/>
          <w:szCs w:val="20"/>
          <w:lang w:val="es-ES_tradnl"/>
        </w:rPr>
        <w:t>CARACTERIZACIÓN DE LOS HECHOS ALEGADOS</w:t>
      </w:r>
    </w:p>
    <w:p w14:paraId="6B4D7EAE" w14:textId="5650E980" w:rsidR="00DF425F" w:rsidRPr="00391ABD" w:rsidRDefault="00DF425F" w:rsidP="00DF425F">
      <w:pPr>
        <w:pStyle w:val="ListParagraph"/>
        <w:numPr>
          <w:ilvl w:val="0"/>
          <w:numId w:val="103"/>
        </w:numPr>
        <w:spacing w:before="240" w:after="240"/>
        <w:jc w:val="both"/>
        <w:rPr>
          <w:rFonts w:cs="Calibri"/>
          <w:sz w:val="20"/>
          <w:szCs w:val="20"/>
          <w:lang w:val="es-ES_tradnl"/>
        </w:rPr>
      </w:pPr>
      <w:r w:rsidRPr="00391ABD">
        <w:rPr>
          <w:sz w:val="20"/>
          <w:szCs w:val="20"/>
          <w:lang w:val="es-ES_tradnl"/>
        </w:rPr>
        <w:t>La Comisión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p>
    <w:p w14:paraId="4ED8065C" w14:textId="4C90B3E1" w:rsidR="007E68F2" w:rsidRPr="00391ABD" w:rsidRDefault="004D7877" w:rsidP="007E68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1ABD">
        <w:rPr>
          <w:rFonts w:asciiTheme="majorHAnsi" w:hAnsiTheme="majorHAnsi"/>
          <w:sz w:val="20"/>
          <w:szCs w:val="20"/>
          <w:lang w:val="es-ES_tradnl"/>
        </w:rPr>
        <w:t>En el presente caso, la Comisión observa que los procesos administrativos y judiciales llevados a cabo en el ordenamiento interno</w:t>
      </w:r>
      <w:r w:rsidR="005522BB" w:rsidRPr="00391ABD">
        <w:rPr>
          <w:rFonts w:asciiTheme="majorHAnsi" w:hAnsiTheme="majorHAnsi"/>
          <w:sz w:val="20"/>
          <w:szCs w:val="20"/>
          <w:lang w:val="es-ES_tradnl"/>
        </w:rPr>
        <w:t>, particularmente</w:t>
      </w:r>
      <w:r w:rsidRPr="00391ABD">
        <w:rPr>
          <w:rFonts w:asciiTheme="majorHAnsi" w:hAnsiTheme="majorHAnsi"/>
          <w:sz w:val="20"/>
          <w:szCs w:val="20"/>
          <w:lang w:val="es-ES_tradnl"/>
        </w:rPr>
        <w:t xml:space="preserve"> la sentencia </w:t>
      </w:r>
      <w:r w:rsidR="005522BB" w:rsidRPr="00391ABD">
        <w:rPr>
          <w:rFonts w:asciiTheme="majorHAnsi" w:hAnsiTheme="majorHAnsi"/>
          <w:sz w:val="20"/>
          <w:szCs w:val="20"/>
          <w:lang w:val="es-ES_tradnl"/>
        </w:rPr>
        <w:t>contencioso-</w:t>
      </w:r>
      <w:r w:rsidRPr="00391ABD">
        <w:rPr>
          <w:rFonts w:asciiTheme="majorHAnsi" w:hAnsiTheme="majorHAnsi"/>
          <w:sz w:val="20"/>
          <w:szCs w:val="20"/>
          <w:lang w:val="es-ES_tradnl"/>
        </w:rPr>
        <w:t xml:space="preserve">administrativa de la declaratoria de nulidad de </w:t>
      </w:r>
      <w:r w:rsidR="005522BB" w:rsidRPr="00391ABD">
        <w:rPr>
          <w:rFonts w:asciiTheme="majorHAnsi" w:hAnsiTheme="majorHAnsi"/>
          <w:sz w:val="20"/>
          <w:szCs w:val="20"/>
          <w:lang w:val="es-ES_tradnl"/>
        </w:rPr>
        <w:t>la resolución AS455/10</w:t>
      </w:r>
      <w:r w:rsidR="00CB59A9" w:rsidRPr="00391ABD">
        <w:rPr>
          <w:rFonts w:asciiTheme="majorHAnsi" w:hAnsiTheme="majorHAnsi"/>
          <w:sz w:val="20"/>
          <w:szCs w:val="20"/>
          <w:lang w:val="es-ES_tradnl"/>
        </w:rPr>
        <w:t>;</w:t>
      </w:r>
      <w:r w:rsidRPr="00391ABD">
        <w:rPr>
          <w:rFonts w:asciiTheme="majorHAnsi" w:hAnsiTheme="majorHAnsi"/>
          <w:sz w:val="20"/>
          <w:szCs w:val="20"/>
          <w:lang w:val="es-ES_tradnl"/>
        </w:rPr>
        <w:t xml:space="preserve"> y el fallo de casación a través del cual se revoc</w:t>
      </w:r>
      <w:r w:rsidR="005522BB" w:rsidRPr="00391ABD">
        <w:rPr>
          <w:rFonts w:asciiTheme="majorHAnsi" w:hAnsiTheme="majorHAnsi"/>
          <w:sz w:val="20"/>
          <w:szCs w:val="20"/>
          <w:lang w:val="es-ES_tradnl"/>
        </w:rPr>
        <w:t>ó</w:t>
      </w:r>
      <w:r w:rsidRPr="00391ABD">
        <w:rPr>
          <w:rFonts w:asciiTheme="majorHAnsi" w:hAnsiTheme="majorHAnsi"/>
          <w:sz w:val="20"/>
          <w:szCs w:val="20"/>
          <w:lang w:val="es-ES_tradnl"/>
        </w:rPr>
        <w:t xml:space="preserve"> la condena de un año de reclusión de la expareja de la peticionaria</w:t>
      </w:r>
      <w:r w:rsidR="005522BB" w:rsidRPr="00391ABD">
        <w:rPr>
          <w:rFonts w:asciiTheme="majorHAnsi" w:hAnsiTheme="majorHAnsi"/>
          <w:sz w:val="20"/>
          <w:szCs w:val="20"/>
          <w:lang w:val="es-ES_tradnl"/>
        </w:rPr>
        <w:t>,</w:t>
      </w:r>
      <w:r w:rsidRPr="00391ABD">
        <w:rPr>
          <w:rFonts w:asciiTheme="majorHAnsi" w:hAnsiTheme="majorHAnsi"/>
          <w:sz w:val="20"/>
          <w:szCs w:val="20"/>
          <w:lang w:val="es-ES_tradnl"/>
        </w:rPr>
        <w:t xml:space="preserve"> contaron con una debida motivación</w:t>
      </w:r>
      <w:r w:rsidR="005522BB" w:rsidRPr="00391ABD">
        <w:rPr>
          <w:rFonts w:asciiTheme="majorHAnsi" w:hAnsiTheme="majorHAnsi"/>
          <w:sz w:val="20"/>
          <w:szCs w:val="20"/>
          <w:lang w:val="es-ES_tradnl"/>
        </w:rPr>
        <w:t xml:space="preserve"> y en ambos procesos la Sra. González ejerció su derecho de contradicción, aport</w:t>
      </w:r>
      <w:r w:rsidR="00E9797B" w:rsidRPr="00391ABD">
        <w:rPr>
          <w:rFonts w:asciiTheme="majorHAnsi" w:hAnsiTheme="majorHAnsi"/>
          <w:sz w:val="20"/>
          <w:szCs w:val="20"/>
          <w:lang w:val="es-ES_tradnl"/>
        </w:rPr>
        <w:t>ó</w:t>
      </w:r>
      <w:r w:rsidR="005522BB" w:rsidRPr="00391ABD">
        <w:rPr>
          <w:rFonts w:asciiTheme="majorHAnsi" w:hAnsiTheme="majorHAnsi"/>
          <w:sz w:val="20"/>
          <w:szCs w:val="20"/>
          <w:lang w:val="es-ES_tradnl"/>
        </w:rPr>
        <w:t xml:space="preserve"> pruebas y en general se le garantizó el debido proceso. </w:t>
      </w:r>
    </w:p>
    <w:p w14:paraId="435F532F" w14:textId="4B9BBF2D" w:rsidR="00191D19" w:rsidRPr="00391ABD" w:rsidRDefault="004D7877" w:rsidP="00EB5B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1ABD">
        <w:rPr>
          <w:rFonts w:asciiTheme="majorHAnsi" w:hAnsiTheme="majorHAnsi"/>
          <w:sz w:val="20"/>
          <w:szCs w:val="20"/>
          <w:lang w:val="es-ES_tradnl"/>
        </w:rPr>
        <w:t xml:space="preserve">De esta manera, la Comisión no encuentra alegatos concretos ni elementos suficientes dentro del presente trámite que sustenten </w:t>
      </w:r>
      <w:r w:rsidRPr="00391ABD">
        <w:rPr>
          <w:rFonts w:asciiTheme="majorHAnsi" w:hAnsiTheme="majorHAnsi"/>
          <w:i/>
          <w:iCs/>
          <w:sz w:val="20"/>
          <w:szCs w:val="20"/>
          <w:lang w:val="es-ES_tradnl"/>
        </w:rPr>
        <w:t>prima facie</w:t>
      </w:r>
      <w:r w:rsidRPr="00391ABD">
        <w:rPr>
          <w:rFonts w:asciiTheme="majorHAnsi" w:hAnsiTheme="majorHAnsi"/>
          <w:sz w:val="20"/>
          <w:szCs w:val="20"/>
          <w:lang w:val="es-ES_tradnl"/>
        </w:rPr>
        <w:t xml:space="preserve"> que los procedimientos </w:t>
      </w:r>
      <w:r w:rsidR="005522BB" w:rsidRPr="00391ABD">
        <w:rPr>
          <w:rFonts w:asciiTheme="majorHAnsi" w:hAnsiTheme="majorHAnsi"/>
          <w:sz w:val="20"/>
          <w:szCs w:val="20"/>
          <w:lang w:val="es-ES_tradnl"/>
        </w:rPr>
        <w:t xml:space="preserve">judiciales </w:t>
      </w:r>
      <w:r w:rsidRPr="00391ABD">
        <w:rPr>
          <w:rFonts w:asciiTheme="majorHAnsi" w:hAnsiTheme="majorHAnsi"/>
          <w:sz w:val="20"/>
          <w:szCs w:val="20"/>
          <w:lang w:val="es-ES_tradnl"/>
        </w:rPr>
        <w:t xml:space="preserve">adelantados </w:t>
      </w:r>
      <w:r w:rsidR="005522BB" w:rsidRPr="00391ABD">
        <w:rPr>
          <w:rFonts w:asciiTheme="majorHAnsi" w:hAnsiTheme="majorHAnsi"/>
          <w:sz w:val="20"/>
          <w:szCs w:val="20"/>
          <w:lang w:val="es-ES_tradnl"/>
        </w:rPr>
        <w:t>por</w:t>
      </w:r>
      <w:r w:rsidRPr="00391ABD">
        <w:rPr>
          <w:rFonts w:asciiTheme="majorHAnsi" w:hAnsiTheme="majorHAnsi"/>
          <w:sz w:val="20"/>
          <w:szCs w:val="20"/>
          <w:lang w:val="es-ES_tradnl"/>
        </w:rPr>
        <w:t xml:space="preserve"> el peticionario no respetaron sus garantías judiciales. Por el contrario, el Estado reseñó cómo las autoridades judiciales respondieron a cada alegato planteado a nivel interno</w:t>
      </w:r>
      <w:r w:rsidR="005522BB" w:rsidRPr="00391ABD">
        <w:rPr>
          <w:rFonts w:asciiTheme="majorHAnsi" w:hAnsiTheme="majorHAnsi"/>
          <w:sz w:val="20"/>
          <w:szCs w:val="20"/>
          <w:lang w:val="es-ES_tradnl"/>
        </w:rPr>
        <w:t xml:space="preserve">. </w:t>
      </w:r>
      <w:r w:rsidR="00906076" w:rsidRPr="00391ABD">
        <w:rPr>
          <w:rFonts w:asciiTheme="majorHAnsi" w:hAnsiTheme="majorHAnsi"/>
          <w:sz w:val="20"/>
          <w:szCs w:val="20"/>
          <w:lang w:val="es-ES_tradnl"/>
        </w:rPr>
        <w:t>Particularmente</w:t>
      </w:r>
      <w:r w:rsidR="00A60800" w:rsidRPr="00391ABD">
        <w:rPr>
          <w:rFonts w:asciiTheme="majorHAnsi" w:hAnsiTheme="majorHAnsi"/>
          <w:sz w:val="20"/>
          <w:szCs w:val="20"/>
          <w:lang w:val="es-ES_tradnl"/>
        </w:rPr>
        <w:t>, la</w:t>
      </w:r>
      <w:r w:rsidR="00906076" w:rsidRPr="00391ABD">
        <w:rPr>
          <w:rFonts w:asciiTheme="majorHAnsi" w:hAnsiTheme="majorHAnsi"/>
          <w:sz w:val="20"/>
          <w:szCs w:val="20"/>
          <w:lang w:val="es-ES_tradnl"/>
        </w:rPr>
        <w:t xml:space="preserve"> Comisión observa </w:t>
      </w:r>
      <w:r w:rsidR="00237C8F" w:rsidRPr="00391ABD">
        <w:rPr>
          <w:rFonts w:asciiTheme="majorHAnsi" w:hAnsiTheme="majorHAnsi"/>
          <w:sz w:val="20"/>
          <w:szCs w:val="20"/>
          <w:lang w:val="es-ES_tradnl"/>
        </w:rPr>
        <w:t xml:space="preserve">de las </w:t>
      </w:r>
      <w:r w:rsidR="00237C8F" w:rsidRPr="00391ABD">
        <w:rPr>
          <w:rFonts w:asciiTheme="majorHAnsi" w:hAnsiTheme="majorHAnsi"/>
          <w:sz w:val="20"/>
          <w:szCs w:val="20"/>
          <w:lang w:val="es-ES_tradnl"/>
        </w:rPr>
        <w:lastRenderedPageBreak/>
        <w:t>principales decisiones emitidas en el proceso de alegada violencia intrafamiliar, que los tribunales internos realizaron un examen exhaustivo de las pruebas y de los hechos denunciado</w:t>
      </w:r>
      <w:r w:rsidR="00EB5BAC" w:rsidRPr="00391ABD">
        <w:rPr>
          <w:rFonts w:asciiTheme="majorHAnsi" w:hAnsiTheme="majorHAnsi"/>
          <w:sz w:val="20"/>
          <w:szCs w:val="20"/>
          <w:lang w:val="es-ES_tradnl"/>
        </w:rPr>
        <w:t>s, sin que se verificase la comisión de dicho delito</w:t>
      </w:r>
      <w:r w:rsidR="0076521E" w:rsidRPr="00391ABD">
        <w:rPr>
          <w:rFonts w:asciiTheme="majorHAnsi" w:hAnsiTheme="majorHAnsi"/>
          <w:sz w:val="20"/>
          <w:szCs w:val="20"/>
          <w:lang w:val="es-ES_tradnl"/>
        </w:rPr>
        <w:t xml:space="preserve">; </w:t>
      </w:r>
      <w:r w:rsidR="00702492" w:rsidRPr="00391ABD">
        <w:rPr>
          <w:rFonts w:asciiTheme="majorHAnsi" w:hAnsiTheme="majorHAnsi"/>
          <w:sz w:val="20"/>
          <w:szCs w:val="20"/>
          <w:lang w:val="es-ES_tradnl"/>
        </w:rPr>
        <w:t xml:space="preserve">además, la Comisión no identifica </w:t>
      </w:r>
      <w:r w:rsidR="0076521E" w:rsidRPr="00391ABD">
        <w:rPr>
          <w:rFonts w:asciiTheme="majorHAnsi" w:hAnsiTheme="majorHAnsi"/>
          <w:i/>
          <w:iCs/>
          <w:sz w:val="20"/>
          <w:szCs w:val="20"/>
          <w:lang w:val="es-ES_tradnl"/>
        </w:rPr>
        <w:t>prima facie</w:t>
      </w:r>
      <w:r w:rsidR="0076521E" w:rsidRPr="00391ABD">
        <w:rPr>
          <w:rFonts w:asciiTheme="majorHAnsi" w:hAnsiTheme="majorHAnsi"/>
          <w:sz w:val="20"/>
          <w:szCs w:val="20"/>
          <w:lang w:val="es-ES_tradnl"/>
        </w:rPr>
        <w:t xml:space="preserve"> que las autoridades competentes hayan incurrido en faltas a su deber de investigar los hechos con la debida diligencia.</w:t>
      </w:r>
      <w:r w:rsidR="00A60800" w:rsidRPr="00391ABD">
        <w:rPr>
          <w:rFonts w:asciiTheme="majorHAnsi" w:hAnsiTheme="majorHAnsi"/>
          <w:sz w:val="20"/>
          <w:szCs w:val="20"/>
          <w:lang w:val="es-ES_tradnl"/>
        </w:rPr>
        <w:t xml:space="preserve"> </w:t>
      </w:r>
    </w:p>
    <w:p w14:paraId="4B8325B3" w14:textId="5EA0EB3E" w:rsidR="007E68F2" w:rsidRPr="00391ABD" w:rsidRDefault="007E68F2" w:rsidP="007E68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1ABD">
        <w:rPr>
          <w:rFonts w:ascii="Cambria" w:hAnsi="Cambria"/>
          <w:bCs/>
          <w:sz w:val="20"/>
          <w:szCs w:val="20"/>
          <w:lang w:val="es-ES_tradnl"/>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391ABD">
        <w:rPr>
          <w:rStyle w:val="FootnoteReference"/>
          <w:rFonts w:ascii="Cambria" w:hAnsi="Cambria"/>
          <w:bCs/>
          <w:sz w:val="20"/>
          <w:szCs w:val="20"/>
          <w:lang w:val="es-ES_tradnl"/>
        </w:rPr>
        <w:footnoteReference w:id="5"/>
      </w:r>
      <w:r w:rsidRPr="00391ABD">
        <w:rPr>
          <w:rFonts w:ascii="Cambria" w:hAnsi="Cambria"/>
          <w:bCs/>
          <w:sz w:val="20"/>
          <w:szCs w:val="20"/>
          <w:lang w:val="es-ES_tradnl"/>
        </w:rPr>
        <w:t xml:space="preserve">. </w:t>
      </w:r>
      <w:r w:rsidR="00906076" w:rsidRPr="00391ABD">
        <w:rPr>
          <w:rFonts w:ascii="Cambria" w:hAnsi="Cambria"/>
          <w:bCs/>
          <w:sz w:val="20"/>
          <w:szCs w:val="20"/>
          <w:lang w:val="es-ES_tradnl"/>
        </w:rPr>
        <w:t>L</w:t>
      </w:r>
      <w:r w:rsidRPr="00391ABD">
        <w:rPr>
          <w:rFonts w:ascii="Cambria" w:hAnsi="Cambria"/>
          <w:bCs/>
          <w:sz w:val="20"/>
          <w:szCs w:val="20"/>
          <w:lang w:val="es-ES_tradnl"/>
        </w:rPr>
        <w:t>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00391ABD">
        <w:rPr>
          <w:rStyle w:val="FootnoteReference"/>
          <w:rFonts w:ascii="Cambria" w:hAnsi="Cambria"/>
          <w:bCs/>
          <w:sz w:val="20"/>
          <w:szCs w:val="20"/>
          <w:lang w:val="es-ES_tradnl"/>
        </w:rPr>
        <w:footnoteReference w:id="6"/>
      </w:r>
      <w:r w:rsidRPr="00391ABD">
        <w:rPr>
          <w:rFonts w:ascii="Cambria" w:hAnsi="Cambria"/>
          <w:bCs/>
          <w:sz w:val="20"/>
          <w:szCs w:val="20"/>
          <w:lang w:val="es-ES_tradnl"/>
        </w:rPr>
        <w:t xml:space="preserve">.  </w:t>
      </w:r>
    </w:p>
    <w:p w14:paraId="47E2F106" w14:textId="125A6B7B" w:rsidR="00DF425F" w:rsidRPr="00391ABD" w:rsidRDefault="00DB6251" w:rsidP="00DF425F">
      <w:pPr>
        <w:pStyle w:val="ListParagraph"/>
        <w:numPr>
          <w:ilvl w:val="0"/>
          <w:numId w:val="103"/>
        </w:numPr>
        <w:spacing w:before="240" w:after="240"/>
        <w:jc w:val="both"/>
        <w:rPr>
          <w:rFonts w:cs="Calibri"/>
          <w:sz w:val="20"/>
          <w:szCs w:val="20"/>
          <w:lang w:val="es-ES_tradnl"/>
        </w:rPr>
      </w:pPr>
      <w:r w:rsidRPr="00391ABD">
        <w:rPr>
          <w:rFonts w:cs="Calibri"/>
          <w:sz w:val="20"/>
          <w:szCs w:val="20"/>
          <w:lang w:val="es-ES_tradnl"/>
        </w:rPr>
        <w:t>Con respecto al alegato sobre la violación a la Declaración Americana, en atención a lo dispuesto en los artículos 23 y 49 de su Reglamento, l</w:t>
      </w:r>
      <w:r w:rsidR="00DF425F" w:rsidRPr="00391ABD">
        <w:rPr>
          <w:rFonts w:cs="Calibri"/>
          <w:sz w:val="20"/>
          <w:szCs w:val="20"/>
          <w:lang w:val="es-ES_tradnl"/>
        </w:rPr>
        <w:t>a Comisión</w:t>
      </w:r>
      <w:r w:rsidRPr="00391ABD">
        <w:rPr>
          <w:rFonts w:cs="Calibri"/>
          <w:sz w:val="20"/>
          <w:szCs w:val="20"/>
          <w:lang w:val="es-ES_tradnl"/>
        </w:rPr>
        <w:t xml:space="preserve"> goza, en principio, de competencia </w:t>
      </w:r>
      <w:r w:rsidRPr="00391ABD">
        <w:rPr>
          <w:rFonts w:cs="Calibri"/>
          <w:i/>
          <w:iCs/>
          <w:sz w:val="20"/>
          <w:szCs w:val="20"/>
          <w:lang w:val="es-ES_tradnl"/>
        </w:rPr>
        <w:t>ratione materiae</w:t>
      </w:r>
      <w:r w:rsidRPr="00391ABD">
        <w:rPr>
          <w:rFonts w:cs="Calibri"/>
          <w:sz w:val="20"/>
          <w:szCs w:val="20"/>
          <w:lang w:val="es-ES_tradnl"/>
        </w:rPr>
        <w:t xml:space="preserve"> para examinar violaciones de los derechos consagrados por dicha Declaración. S</w:t>
      </w:r>
      <w:r w:rsidR="007E68F2" w:rsidRPr="00391ABD">
        <w:rPr>
          <w:rFonts w:cs="Calibri"/>
          <w:sz w:val="20"/>
          <w:szCs w:val="20"/>
          <w:lang w:val="es-ES_tradnl"/>
        </w:rPr>
        <w:t>i</w:t>
      </w:r>
      <w:r w:rsidRPr="00391ABD">
        <w:rPr>
          <w:rFonts w:cs="Calibri"/>
          <w:sz w:val="20"/>
          <w:szCs w:val="20"/>
          <w:lang w:val="es-ES_tradnl"/>
        </w:rPr>
        <w:t>n embargo, la CIDH</w:t>
      </w:r>
      <w:r w:rsidR="00DF425F" w:rsidRPr="00391ABD">
        <w:rPr>
          <w:rFonts w:cs="Calibri"/>
          <w:sz w:val="20"/>
          <w:szCs w:val="20"/>
          <w:lang w:val="es-ES_tradnl"/>
        </w:rPr>
        <w:t xml:space="preserve">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w:t>
      </w:r>
    </w:p>
    <w:p w14:paraId="3BEEA7F3" w14:textId="233642ED" w:rsidR="00DB6251" w:rsidRPr="00391ABD" w:rsidRDefault="00DB6251" w:rsidP="00DF425F">
      <w:pPr>
        <w:pStyle w:val="ListParagraph"/>
        <w:numPr>
          <w:ilvl w:val="0"/>
          <w:numId w:val="103"/>
        </w:numPr>
        <w:spacing w:before="240" w:after="240"/>
        <w:jc w:val="both"/>
        <w:rPr>
          <w:rFonts w:cs="Calibri"/>
          <w:sz w:val="20"/>
          <w:szCs w:val="20"/>
          <w:lang w:val="es-ES_tradnl"/>
        </w:rPr>
      </w:pPr>
      <w:r w:rsidRPr="00391ABD">
        <w:rPr>
          <w:rFonts w:cs="Calibri"/>
          <w:sz w:val="20"/>
          <w:szCs w:val="20"/>
          <w:lang w:val="es-ES_tradnl"/>
        </w:rPr>
        <w:t xml:space="preserve">Por otra parte, </w:t>
      </w:r>
      <w:r w:rsidR="00D1127C" w:rsidRPr="00391ABD">
        <w:rPr>
          <w:rFonts w:cs="Calibri"/>
          <w:sz w:val="20"/>
          <w:szCs w:val="20"/>
          <w:lang w:val="es-ES_tradnl"/>
        </w:rPr>
        <w:t xml:space="preserve">en cuanto al reclamo sobre la presunta violación del artículo 7 de la Convención Belém do Pará, la Comisión observa que la peticionaria no ha ofrecido alegatos o sustento suficiente que permita considerar </w:t>
      </w:r>
      <w:r w:rsidR="00D1127C" w:rsidRPr="00391ABD">
        <w:rPr>
          <w:rFonts w:cs="Calibri"/>
          <w:i/>
          <w:iCs/>
          <w:sz w:val="20"/>
          <w:szCs w:val="20"/>
          <w:lang w:val="es-ES_tradnl"/>
        </w:rPr>
        <w:t>prima facie</w:t>
      </w:r>
      <w:r w:rsidR="00D1127C" w:rsidRPr="00391ABD">
        <w:rPr>
          <w:rFonts w:cs="Calibri"/>
          <w:sz w:val="20"/>
          <w:szCs w:val="20"/>
          <w:lang w:val="es-ES_tradnl"/>
        </w:rPr>
        <w:t xml:space="preserve"> su posible violación. </w:t>
      </w:r>
      <w:r w:rsidR="00154E53" w:rsidRPr="00391ABD">
        <w:rPr>
          <w:rFonts w:cs="Calibri"/>
          <w:sz w:val="20"/>
          <w:szCs w:val="20"/>
          <w:lang w:val="es-ES_tradnl"/>
        </w:rPr>
        <w:t>En relación</w:t>
      </w:r>
      <w:r w:rsidR="00D1127C" w:rsidRPr="00391ABD">
        <w:rPr>
          <w:rFonts w:cs="Calibri"/>
          <w:sz w:val="20"/>
          <w:szCs w:val="20"/>
          <w:lang w:val="es-ES_tradnl"/>
        </w:rPr>
        <w:t xml:space="preserve"> </w:t>
      </w:r>
      <w:r w:rsidRPr="00391ABD">
        <w:rPr>
          <w:rFonts w:cs="Calibri"/>
          <w:sz w:val="20"/>
          <w:szCs w:val="20"/>
          <w:lang w:val="es-ES_tradnl"/>
        </w:rPr>
        <w:t xml:space="preserve">a la presunta violación de los artículos </w:t>
      </w:r>
      <w:r w:rsidR="007E68F2" w:rsidRPr="00391ABD">
        <w:rPr>
          <w:rFonts w:cs="Calibri"/>
          <w:sz w:val="20"/>
          <w:szCs w:val="20"/>
          <w:lang w:val="es-ES_tradnl"/>
        </w:rPr>
        <w:t xml:space="preserve">3, 4, 5 </w:t>
      </w:r>
      <w:r w:rsidRPr="00391ABD">
        <w:rPr>
          <w:rFonts w:cs="Calibri"/>
          <w:sz w:val="20"/>
          <w:szCs w:val="20"/>
          <w:lang w:val="es-ES_tradnl"/>
        </w:rPr>
        <w:t>de</w:t>
      </w:r>
      <w:r w:rsidR="00D1127C" w:rsidRPr="00391ABD">
        <w:rPr>
          <w:rFonts w:cs="Calibri"/>
          <w:sz w:val="20"/>
          <w:szCs w:val="20"/>
          <w:lang w:val="es-ES_tradnl"/>
        </w:rPr>
        <w:t xml:space="preserve">l </w:t>
      </w:r>
      <w:r w:rsidR="00154E53" w:rsidRPr="00391ABD">
        <w:rPr>
          <w:rFonts w:cs="Calibri"/>
          <w:sz w:val="20"/>
          <w:szCs w:val="20"/>
          <w:lang w:val="es-ES_tradnl"/>
        </w:rPr>
        <w:t>mismo</w:t>
      </w:r>
      <w:r w:rsidR="00D1127C" w:rsidRPr="00391ABD">
        <w:rPr>
          <w:rFonts w:cs="Calibri"/>
          <w:sz w:val="20"/>
          <w:szCs w:val="20"/>
          <w:lang w:val="es-ES_tradnl"/>
        </w:rPr>
        <w:t xml:space="preserve"> instrumento</w:t>
      </w:r>
      <w:r w:rsidRPr="00391ABD">
        <w:rPr>
          <w:rFonts w:cs="Calibri"/>
          <w:sz w:val="20"/>
          <w:szCs w:val="20"/>
          <w:lang w:val="es-ES_tradnl"/>
        </w:rPr>
        <w:t xml:space="preserve">, </w:t>
      </w:r>
      <w:r w:rsidR="004D7877" w:rsidRPr="00391ABD">
        <w:rPr>
          <w:rFonts w:cs="Calibri"/>
          <w:sz w:val="20"/>
          <w:szCs w:val="20"/>
          <w:lang w:val="es-ES_tradnl"/>
        </w:rPr>
        <w:t xml:space="preserve">la Comisión observa que, de conformidad con lo establecido en </w:t>
      </w:r>
      <w:r w:rsidR="00D1127C" w:rsidRPr="00391ABD">
        <w:rPr>
          <w:rFonts w:cs="Calibri"/>
          <w:sz w:val="20"/>
          <w:szCs w:val="20"/>
          <w:lang w:val="es-ES_tradnl"/>
        </w:rPr>
        <w:t>su</w:t>
      </w:r>
      <w:r w:rsidR="004D7877" w:rsidRPr="00391ABD">
        <w:rPr>
          <w:rFonts w:cs="Calibri"/>
          <w:sz w:val="20"/>
          <w:szCs w:val="20"/>
          <w:lang w:val="es-ES_tradnl"/>
        </w:rPr>
        <w:t xml:space="preserve"> artículo </w:t>
      </w:r>
      <w:r w:rsidR="007E68F2" w:rsidRPr="00391ABD">
        <w:rPr>
          <w:rFonts w:cs="Calibri"/>
          <w:sz w:val="20"/>
          <w:szCs w:val="20"/>
          <w:lang w:val="es-ES_tradnl"/>
        </w:rPr>
        <w:t>12</w:t>
      </w:r>
      <w:r w:rsidR="004D7877" w:rsidRPr="00391ABD">
        <w:rPr>
          <w:rFonts w:cs="Calibri"/>
          <w:sz w:val="20"/>
          <w:szCs w:val="20"/>
          <w:lang w:val="es-ES_tradnl"/>
        </w:rPr>
        <w:t xml:space="preserve">, </w:t>
      </w:r>
      <w:r w:rsidR="007E68F2" w:rsidRPr="00391ABD">
        <w:rPr>
          <w:rFonts w:cs="Calibri"/>
          <w:sz w:val="20"/>
          <w:szCs w:val="20"/>
          <w:lang w:val="es-ES_tradnl"/>
        </w:rPr>
        <w:t>para pronunciarse en el contexto de un caso individual</w:t>
      </w:r>
      <w:r w:rsidR="00D1127C" w:rsidRPr="00391ABD">
        <w:rPr>
          <w:rFonts w:cs="Calibri"/>
          <w:sz w:val="20"/>
          <w:szCs w:val="20"/>
          <w:lang w:val="es-ES_tradnl"/>
        </w:rPr>
        <w:t xml:space="preserve"> se limita al artículo 7</w:t>
      </w:r>
      <w:r w:rsidR="004D7877" w:rsidRPr="00391ABD">
        <w:rPr>
          <w:rFonts w:cs="Calibri"/>
          <w:sz w:val="20"/>
          <w:szCs w:val="20"/>
          <w:lang w:val="es-ES_tradnl"/>
        </w:rPr>
        <w:t xml:space="preserve">. </w:t>
      </w:r>
      <w:r w:rsidR="00D1127C" w:rsidRPr="00391ABD">
        <w:rPr>
          <w:rFonts w:cs="Calibri"/>
          <w:sz w:val="20"/>
          <w:szCs w:val="20"/>
          <w:lang w:val="es-ES_tradnl"/>
        </w:rPr>
        <w:t xml:space="preserve">Respecto a los demás artículos, de conformidad con </w:t>
      </w:r>
      <w:r w:rsidR="007E68F2" w:rsidRPr="00391ABD">
        <w:rPr>
          <w:rFonts w:cs="Calibri"/>
          <w:sz w:val="20"/>
          <w:szCs w:val="20"/>
          <w:lang w:val="es-ES_tradnl"/>
        </w:rPr>
        <w:t xml:space="preserve">el artículo 29 </w:t>
      </w:r>
      <w:r w:rsidR="004D7877" w:rsidRPr="00391ABD">
        <w:rPr>
          <w:rFonts w:cs="Calibri"/>
          <w:sz w:val="20"/>
          <w:szCs w:val="20"/>
          <w:lang w:val="es-ES_tradnl"/>
        </w:rPr>
        <w:t xml:space="preserve">de la Convención, la CIDH puede considerar dicha Convención en la interpretación de otras disposiciones aplicables de la Convención Americana y de otros tratados sobre los que sí tiene competencia </w:t>
      </w:r>
      <w:r w:rsidR="004D7877" w:rsidRPr="00391ABD">
        <w:rPr>
          <w:rFonts w:cs="Calibri"/>
          <w:i/>
          <w:iCs/>
          <w:sz w:val="20"/>
          <w:szCs w:val="20"/>
          <w:lang w:val="es-ES_tradnl"/>
        </w:rPr>
        <w:t>ratione materiae</w:t>
      </w:r>
      <w:r w:rsidR="004D7877" w:rsidRPr="00391ABD">
        <w:rPr>
          <w:rStyle w:val="FootnoteReference"/>
          <w:rFonts w:cs="Calibri"/>
          <w:sz w:val="20"/>
          <w:szCs w:val="20"/>
          <w:lang w:val="es-ES_tradnl"/>
        </w:rPr>
        <w:footnoteReference w:id="7"/>
      </w:r>
      <w:r w:rsidR="004D7877" w:rsidRPr="00391ABD">
        <w:rPr>
          <w:rFonts w:cs="Calibri"/>
          <w:sz w:val="20"/>
          <w:szCs w:val="20"/>
          <w:lang w:val="es-ES_tradnl"/>
        </w:rPr>
        <w:t>.</w:t>
      </w:r>
    </w:p>
    <w:p w14:paraId="540E135D" w14:textId="1151F2EB" w:rsidR="00982821" w:rsidRPr="00391ABD" w:rsidRDefault="00982821" w:rsidP="009828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1ABD">
        <w:rPr>
          <w:rFonts w:asciiTheme="majorHAnsi" w:hAnsiTheme="majorHAnsi"/>
          <w:sz w:val="20"/>
          <w:szCs w:val="20"/>
          <w:lang w:val="es-ES_tradnl"/>
        </w:rPr>
        <w:t xml:space="preserve">En consecuencia, la Comisión concluye que estos alegatos resultan inadmisibles con fundamento en el artículo 47 (b) de la Convención Americana, toda vez que de los hechos expuestos no se desprenden, ni siquiera prima facie, posibles violaciones a la Convención Americana. </w:t>
      </w:r>
    </w:p>
    <w:p w14:paraId="29BB41F5" w14:textId="55BD23AA" w:rsidR="003239B8" w:rsidRPr="00391ABD" w:rsidRDefault="003239B8" w:rsidP="003239B8">
      <w:pPr>
        <w:pStyle w:val="ListParagraph"/>
        <w:spacing w:before="240" w:after="240"/>
        <w:jc w:val="both"/>
        <w:rPr>
          <w:rFonts w:asciiTheme="majorHAnsi" w:hAnsiTheme="majorHAnsi"/>
          <w:b/>
          <w:bCs/>
          <w:sz w:val="20"/>
          <w:szCs w:val="20"/>
          <w:lang w:val="es-ES_tradnl"/>
        </w:rPr>
      </w:pPr>
      <w:r w:rsidRPr="00391ABD">
        <w:rPr>
          <w:rFonts w:asciiTheme="majorHAnsi" w:hAnsiTheme="majorHAnsi"/>
          <w:b/>
          <w:bCs/>
          <w:sz w:val="20"/>
          <w:szCs w:val="20"/>
          <w:lang w:val="es-ES_tradnl"/>
        </w:rPr>
        <w:t xml:space="preserve">VIII. </w:t>
      </w:r>
      <w:r w:rsidRPr="00391ABD">
        <w:rPr>
          <w:rFonts w:asciiTheme="majorHAnsi" w:hAnsiTheme="majorHAnsi"/>
          <w:b/>
          <w:bCs/>
          <w:sz w:val="20"/>
          <w:szCs w:val="20"/>
          <w:lang w:val="es-ES_tradnl"/>
        </w:rPr>
        <w:tab/>
        <w:t>DECISIÓN</w:t>
      </w:r>
    </w:p>
    <w:p w14:paraId="570DA61C" w14:textId="5AA48DA8" w:rsidR="000419AD" w:rsidRPr="00391ABD" w:rsidRDefault="000419AD" w:rsidP="003A3F50">
      <w:pPr>
        <w:pStyle w:val="ListParagraph"/>
        <w:numPr>
          <w:ilvl w:val="0"/>
          <w:numId w:val="109"/>
        </w:numPr>
        <w:jc w:val="both"/>
        <w:rPr>
          <w:rFonts w:eastAsia="Arial Unicode MS" w:cs="Times New Roman"/>
          <w:color w:val="auto"/>
          <w:sz w:val="20"/>
          <w:szCs w:val="20"/>
          <w:lang w:val="es-ES_tradnl" w:eastAsia="en-US"/>
        </w:rPr>
      </w:pPr>
      <w:r w:rsidRPr="00391ABD">
        <w:rPr>
          <w:rFonts w:eastAsia="Arial Unicode MS" w:cs="Times New Roman"/>
          <w:color w:val="auto"/>
          <w:sz w:val="20"/>
          <w:szCs w:val="20"/>
          <w:lang w:val="es-ES_tradnl" w:eastAsia="en-US"/>
        </w:rPr>
        <w:t>Declarar inadmisible</w:t>
      </w:r>
      <w:r w:rsidRPr="00391ABD">
        <w:rPr>
          <w:rFonts w:eastAsia="Arial Unicode MS" w:cs="Times New Roman"/>
          <w:color w:val="FF0000"/>
          <w:sz w:val="20"/>
          <w:szCs w:val="20"/>
          <w:lang w:val="es-ES_tradnl" w:eastAsia="en-US"/>
        </w:rPr>
        <w:t xml:space="preserve"> </w:t>
      </w:r>
      <w:r w:rsidRPr="00391ABD">
        <w:rPr>
          <w:rFonts w:eastAsia="Arial Unicode MS" w:cs="Times New Roman"/>
          <w:color w:val="auto"/>
          <w:sz w:val="20"/>
          <w:szCs w:val="20"/>
          <w:lang w:val="es-ES_tradnl" w:eastAsia="en-US"/>
        </w:rPr>
        <w:t xml:space="preserve">la presente petición en </w:t>
      </w:r>
      <w:r w:rsidR="00154E53" w:rsidRPr="00391ABD">
        <w:rPr>
          <w:rFonts w:eastAsia="Arial Unicode MS" w:cs="Times New Roman"/>
          <w:color w:val="auto"/>
          <w:sz w:val="20"/>
          <w:szCs w:val="20"/>
          <w:lang w:val="es-ES_tradnl" w:eastAsia="en-US"/>
        </w:rPr>
        <w:t xml:space="preserve">conforme al artículo </w:t>
      </w:r>
      <w:r w:rsidR="00F9508E" w:rsidRPr="00391ABD">
        <w:rPr>
          <w:rFonts w:eastAsia="Arial Unicode MS" w:cs="Times New Roman"/>
          <w:color w:val="auto"/>
          <w:sz w:val="20"/>
          <w:szCs w:val="20"/>
          <w:lang w:val="es-ES_tradnl" w:eastAsia="en-US"/>
        </w:rPr>
        <w:t xml:space="preserve">47. </w:t>
      </w:r>
      <w:r w:rsidR="00154E53" w:rsidRPr="00391ABD">
        <w:rPr>
          <w:rFonts w:eastAsia="Arial Unicode MS" w:cs="Times New Roman"/>
          <w:color w:val="auto"/>
          <w:sz w:val="20"/>
          <w:szCs w:val="20"/>
          <w:lang w:val="es-ES_tradnl" w:eastAsia="en-US"/>
        </w:rPr>
        <w:t>b) de la Convención Americana; y</w:t>
      </w:r>
    </w:p>
    <w:p w14:paraId="41AA5BF6" w14:textId="77777777" w:rsidR="000419AD" w:rsidRPr="00391ABD" w:rsidRDefault="000419AD" w:rsidP="000419AD">
      <w:pPr>
        <w:pStyle w:val="ListParagraph"/>
        <w:rPr>
          <w:rFonts w:eastAsia="Arial Unicode MS" w:cs="Times New Roman"/>
          <w:color w:val="auto"/>
          <w:sz w:val="20"/>
          <w:szCs w:val="20"/>
          <w:lang w:val="es-ES_tradnl" w:eastAsia="en-US"/>
        </w:rPr>
      </w:pP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91ABD">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AC80CA6" w14:textId="19AD9CEC" w:rsidR="00722C9F" w:rsidRPr="004B4773" w:rsidRDefault="0039335F" w:rsidP="004B477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512E39">
        <w:rPr>
          <w:rStyle w:val="normaltextrun"/>
          <w:rFonts w:ascii="Cambria" w:hAnsi="Cambria" w:cs="Segoe UI"/>
          <w:sz w:val="20"/>
          <w:szCs w:val="20"/>
          <w:lang w:val="es-CL"/>
        </w:rPr>
        <w:t>10</w:t>
      </w:r>
      <w:r>
        <w:rPr>
          <w:rStyle w:val="normaltextrun"/>
          <w:rFonts w:ascii="Cambria" w:hAnsi="Cambria" w:cs="Segoe UI"/>
          <w:sz w:val="20"/>
          <w:szCs w:val="20"/>
          <w:lang w:val="es-CL"/>
        </w:rPr>
        <w:t xml:space="preserve"> días del mes de </w:t>
      </w:r>
      <w:r w:rsidR="00512E39">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Margarette May Macaulay, Presidenta; Roberta Clarke, Segunda Vicepresidenta; Julissa Mantilla Falcón</w:t>
      </w:r>
      <w:r w:rsidR="00512E39">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Carlos Bernal Pulido, </w:t>
      </w:r>
      <w:r w:rsidR="004B477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722C9F" w:rsidRPr="004B47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0316" w14:textId="77777777" w:rsidR="00522BBD" w:rsidRDefault="00522BBD">
      <w:r>
        <w:separator/>
      </w:r>
    </w:p>
  </w:endnote>
  <w:endnote w:type="continuationSeparator" w:id="0">
    <w:p w14:paraId="34E54287" w14:textId="77777777" w:rsidR="00522BBD" w:rsidRDefault="0052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87F1" w14:textId="77777777" w:rsidR="00522BBD" w:rsidRPr="000F35ED" w:rsidRDefault="00522B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1D48C6" w14:textId="77777777" w:rsidR="00522BBD" w:rsidRPr="000F35ED" w:rsidRDefault="00522BBD" w:rsidP="000F35ED">
      <w:pPr>
        <w:rPr>
          <w:rFonts w:asciiTheme="majorHAnsi" w:hAnsiTheme="majorHAnsi"/>
          <w:sz w:val="16"/>
          <w:szCs w:val="16"/>
        </w:rPr>
      </w:pPr>
      <w:r w:rsidRPr="000F35ED">
        <w:rPr>
          <w:rFonts w:asciiTheme="majorHAnsi" w:hAnsiTheme="majorHAnsi"/>
          <w:sz w:val="16"/>
          <w:szCs w:val="16"/>
        </w:rPr>
        <w:separator/>
      </w:r>
    </w:p>
    <w:p w14:paraId="467DC60C" w14:textId="77777777" w:rsidR="00522BBD" w:rsidRPr="000F35ED" w:rsidRDefault="00522BB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7E57221" w14:textId="77777777" w:rsidR="00522BBD" w:rsidRPr="000F35ED" w:rsidRDefault="00522B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005167" w14:textId="3B59681D" w:rsidR="007C27E5" w:rsidRPr="00DE64AC" w:rsidRDefault="007C27E5" w:rsidP="001C48C7">
      <w:pPr>
        <w:pStyle w:val="FootnoteText"/>
        <w:ind w:firstLine="720"/>
        <w:jc w:val="both"/>
        <w:rPr>
          <w:rFonts w:asciiTheme="majorHAnsi" w:hAnsiTheme="majorHAnsi"/>
          <w:sz w:val="16"/>
          <w:szCs w:val="16"/>
          <w:lang w:val="es-BO"/>
        </w:rPr>
      </w:pPr>
      <w:r w:rsidRPr="00DE64AC">
        <w:rPr>
          <w:rStyle w:val="FootnoteReference"/>
          <w:rFonts w:asciiTheme="majorHAnsi" w:hAnsiTheme="majorHAnsi"/>
          <w:sz w:val="16"/>
          <w:szCs w:val="16"/>
        </w:rPr>
        <w:footnoteRef/>
      </w:r>
      <w:r w:rsidRPr="00DE64AC">
        <w:rPr>
          <w:rFonts w:asciiTheme="majorHAnsi" w:hAnsiTheme="majorHAnsi"/>
          <w:sz w:val="16"/>
          <w:szCs w:val="16"/>
          <w:lang w:val="es-BO"/>
        </w:rPr>
        <w:t xml:space="preserve"> En adelante “La Convención” o “</w:t>
      </w:r>
      <w:r w:rsidR="00F10D86">
        <w:rPr>
          <w:rFonts w:asciiTheme="majorHAnsi" w:hAnsiTheme="majorHAnsi"/>
          <w:sz w:val="16"/>
          <w:szCs w:val="16"/>
          <w:lang w:val="es-BO"/>
        </w:rPr>
        <w:t xml:space="preserve">la </w:t>
      </w:r>
      <w:r w:rsidRPr="00DE64AC">
        <w:rPr>
          <w:rFonts w:asciiTheme="majorHAnsi" w:hAnsiTheme="majorHAnsi"/>
          <w:sz w:val="16"/>
          <w:szCs w:val="16"/>
          <w:lang w:val="es-BO"/>
        </w:rPr>
        <w:t>Convención Americana”.</w:t>
      </w:r>
    </w:p>
  </w:footnote>
  <w:footnote w:id="3">
    <w:p w14:paraId="0F806616" w14:textId="6C8BF789" w:rsidR="00DE64AC" w:rsidRPr="00DE64AC" w:rsidRDefault="00DE64AC" w:rsidP="001C48C7">
      <w:pPr>
        <w:pStyle w:val="FootnoteText"/>
        <w:ind w:firstLine="720"/>
        <w:jc w:val="both"/>
        <w:rPr>
          <w:rFonts w:asciiTheme="majorHAnsi" w:hAnsiTheme="majorHAnsi"/>
          <w:sz w:val="16"/>
          <w:szCs w:val="16"/>
          <w:lang w:val="es-CO"/>
        </w:rPr>
      </w:pPr>
      <w:r w:rsidRPr="00DE64AC">
        <w:rPr>
          <w:rStyle w:val="FootnoteReference"/>
          <w:rFonts w:asciiTheme="majorHAnsi" w:hAnsiTheme="majorHAnsi"/>
          <w:sz w:val="16"/>
          <w:szCs w:val="16"/>
        </w:rPr>
        <w:footnoteRef/>
      </w:r>
      <w:r w:rsidRPr="00DE64AC">
        <w:rPr>
          <w:rFonts w:asciiTheme="majorHAnsi" w:hAnsiTheme="majorHAnsi"/>
          <w:sz w:val="16"/>
          <w:szCs w:val="16"/>
          <w:lang w:val="es-CO"/>
        </w:rPr>
        <w:t xml:space="preserve"> En adelante “</w:t>
      </w:r>
      <w:r w:rsidR="00F10D86">
        <w:rPr>
          <w:rFonts w:asciiTheme="majorHAnsi" w:hAnsiTheme="majorHAnsi"/>
          <w:sz w:val="16"/>
          <w:szCs w:val="16"/>
          <w:lang w:val="es-CO"/>
        </w:rPr>
        <w:t xml:space="preserve">la </w:t>
      </w:r>
      <w:r w:rsidRPr="00DE64AC">
        <w:rPr>
          <w:rFonts w:asciiTheme="majorHAnsi" w:hAnsiTheme="majorHAnsi"/>
          <w:sz w:val="16"/>
          <w:szCs w:val="16"/>
          <w:lang w:val="es-CO"/>
        </w:rPr>
        <w:t>Declaración” o “</w:t>
      </w:r>
      <w:r w:rsidR="00F10D86">
        <w:rPr>
          <w:rFonts w:asciiTheme="majorHAnsi" w:hAnsiTheme="majorHAnsi"/>
          <w:sz w:val="16"/>
          <w:szCs w:val="16"/>
          <w:lang w:val="es-CO"/>
        </w:rPr>
        <w:t xml:space="preserve">la </w:t>
      </w:r>
      <w:r w:rsidRPr="00DE64AC">
        <w:rPr>
          <w:rFonts w:asciiTheme="majorHAnsi" w:hAnsiTheme="majorHAnsi"/>
          <w:sz w:val="16"/>
          <w:szCs w:val="16"/>
          <w:lang w:val="es-CO"/>
        </w:rPr>
        <w:t>Declaración Americana”</w:t>
      </w:r>
    </w:p>
  </w:footnote>
  <w:footnote w:id="4">
    <w:p w14:paraId="79F07139" w14:textId="77777777" w:rsidR="008E3BFE" w:rsidRPr="003078CC" w:rsidRDefault="008E3BFE" w:rsidP="001C48C7">
      <w:pPr>
        <w:pStyle w:val="FootnoteText"/>
        <w:spacing w:after="120"/>
        <w:ind w:firstLine="720"/>
        <w:jc w:val="both"/>
        <w:rPr>
          <w:rFonts w:asciiTheme="majorHAnsi" w:hAnsiTheme="majorHAnsi"/>
          <w:sz w:val="16"/>
          <w:szCs w:val="16"/>
          <w:lang w:val="es-ES"/>
        </w:rPr>
      </w:pPr>
      <w:r w:rsidRPr="00DE64AC">
        <w:rPr>
          <w:rStyle w:val="FootnoteReference"/>
          <w:rFonts w:asciiTheme="majorHAnsi" w:hAnsiTheme="majorHAnsi"/>
          <w:sz w:val="16"/>
          <w:szCs w:val="16"/>
        </w:rPr>
        <w:footnoteRef/>
      </w:r>
      <w:r w:rsidRPr="00DE64AC">
        <w:rPr>
          <w:rFonts w:asciiTheme="majorHAnsi" w:hAnsiTheme="majorHAnsi"/>
          <w:sz w:val="16"/>
          <w:szCs w:val="16"/>
          <w:lang w:val="es-ES"/>
        </w:rPr>
        <w:t xml:space="preserve"> Las observaciones de cada parte fueron debidamente trasladadas a la parte contraria.</w:t>
      </w:r>
    </w:p>
  </w:footnote>
  <w:footnote w:id="5">
    <w:p w14:paraId="45517AB3" w14:textId="77777777" w:rsidR="007E68F2" w:rsidRPr="00A11B3B" w:rsidRDefault="007E68F2" w:rsidP="001C48C7">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 (Inadmisibilidad), Petición 644/00, Carlos Alberto López Urquía, Honduras, 24 de octubre de 2005, párr. </w:t>
      </w:r>
      <w:r w:rsidRPr="00A11B3B">
        <w:rPr>
          <w:rFonts w:ascii="Cambria" w:hAnsi="Cambria"/>
          <w:sz w:val="16"/>
          <w:szCs w:val="16"/>
          <w:lang w:val="es-ES"/>
        </w:rPr>
        <w:t>72.</w:t>
      </w:r>
    </w:p>
  </w:footnote>
  <w:footnote w:id="6">
    <w:p w14:paraId="61DCF9B2" w14:textId="77777777" w:rsidR="007E68F2" w:rsidRPr="00A11B3B" w:rsidRDefault="007E68F2" w:rsidP="001C48C7">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 (Admisibilidad), Petición 12.242, Clínica Pediátrica de la Región de los Lago, Brasil, 16 de octubre de 2008, párr. 47.</w:t>
      </w:r>
    </w:p>
  </w:footnote>
  <w:footnote w:id="7">
    <w:p w14:paraId="7843D601" w14:textId="013ED7B5" w:rsidR="004D7877" w:rsidRPr="004D7877" w:rsidRDefault="004D7877" w:rsidP="001C48C7">
      <w:pPr>
        <w:pStyle w:val="FootnoteText"/>
        <w:ind w:firstLine="720"/>
        <w:jc w:val="both"/>
        <w:rPr>
          <w:lang w:val="es-MX"/>
        </w:rPr>
      </w:pPr>
      <w:r w:rsidRPr="004D7877">
        <w:rPr>
          <w:rStyle w:val="FootnoteReference"/>
          <w:rFonts w:asciiTheme="majorHAnsi" w:hAnsiTheme="majorHAnsi"/>
          <w:sz w:val="16"/>
          <w:szCs w:val="16"/>
        </w:rPr>
        <w:footnoteRef/>
      </w:r>
      <w:r w:rsidRPr="004D7877">
        <w:rPr>
          <w:rFonts w:asciiTheme="majorHAnsi" w:hAnsiTheme="majorHAnsi"/>
          <w:sz w:val="16"/>
          <w:szCs w:val="16"/>
          <w:lang w:val="es-CO"/>
        </w:rPr>
        <w:t xml:space="preserve"> CIDH, Informe Nº 44/04 (Inadmisibilidad), Petición 2584-02, Laura Tena Colunga y otros, México, 13 de octubre de 2004, párrs. 39 y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213B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90472898">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10161607">
    <w:abstractNumId w:val="5"/>
  </w:num>
  <w:num w:numId="3" w16cid:durableId="996153375">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564220830">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13644960">
    <w:abstractNumId w:val="7"/>
  </w:num>
  <w:num w:numId="6" w16cid:durableId="578758832">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302782047">
    <w:abstractNumId w:val="60"/>
  </w:num>
  <w:num w:numId="8" w16cid:durableId="1878346795">
    <w:abstractNumId w:val="23"/>
  </w:num>
  <w:num w:numId="9" w16cid:durableId="17126722">
    <w:abstractNumId w:val="51"/>
  </w:num>
  <w:num w:numId="10" w16cid:durableId="1351878095">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700319871">
    <w:abstractNumId w:val="29"/>
  </w:num>
  <w:num w:numId="12" w16cid:durableId="841889997">
    <w:abstractNumId w:val="58"/>
  </w:num>
  <w:num w:numId="13" w16cid:durableId="9463882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46157253">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546484597">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8388647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281566128">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60103184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009796092">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65908725">
    <w:abstractNumId w:val="8"/>
  </w:num>
  <w:num w:numId="21" w16cid:durableId="1438519035">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548505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683441305">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595673448">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85179337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04159271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32698115">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564608293">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24630476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8294336">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96997413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638241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522082701">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4576625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604728520">
    <w:abstractNumId w:val="19"/>
  </w:num>
  <w:num w:numId="36" w16cid:durableId="10311744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719089493">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0123759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226450608">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3688046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7812854">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46637302">
    <w:abstractNumId w:val="41"/>
  </w:num>
  <w:num w:numId="43" w16cid:durableId="98641592">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5781683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2874671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897978288">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872768185">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9788355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89594136">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670406235">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3470451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13979271">
    <w:abstractNumId w:val="45"/>
  </w:num>
  <w:num w:numId="53" w16cid:durableId="1510409329">
    <w:abstractNumId w:val="0"/>
  </w:num>
  <w:num w:numId="54" w16cid:durableId="1888757812">
    <w:abstractNumId w:val="40"/>
  </w:num>
  <w:num w:numId="55" w16cid:durableId="1021122969">
    <w:abstractNumId w:val="41"/>
  </w:num>
  <w:num w:numId="56" w16cid:durableId="407923864">
    <w:abstractNumId w:val="47"/>
  </w:num>
  <w:num w:numId="57" w16cid:durableId="243925251">
    <w:abstractNumId w:val="1"/>
  </w:num>
  <w:num w:numId="58" w16cid:durableId="2014608272">
    <w:abstractNumId w:val="2"/>
  </w:num>
  <w:num w:numId="59" w16cid:durableId="800921820">
    <w:abstractNumId w:val="9"/>
  </w:num>
  <w:num w:numId="60" w16cid:durableId="1736320870">
    <w:abstractNumId w:val="10"/>
  </w:num>
  <w:num w:numId="61" w16cid:durableId="1554345600">
    <w:abstractNumId w:val="11"/>
  </w:num>
  <w:num w:numId="62" w16cid:durableId="836189191">
    <w:abstractNumId w:val="12"/>
  </w:num>
  <w:num w:numId="63" w16cid:durableId="951084493">
    <w:abstractNumId w:val="13"/>
  </w:num>
  <w:num w:numId="64" w16cid:durableId="43070090">
    <w:abstractNumId w:val="15"/>
  </w:num>
  <w:num w:numId="65" w16cid:durableId="871461244">
    <w:abstractNumId w:val="16"/>
  </w:num>
  <w:num w:numId="66" w16cid:durableId="2062710830">
    <w:abstractNumId w:val="17"/>
  </w:num>
  <w:num w:numId="67" w16cid:durableId="1092355736">
    <w:abstractNumId w:val="18"/>
  </w:num>
  <w:num w:numId="68" w16cid:durableId="2040542561">
    <w:abstractNumId w:val="20"/>
  </w:num>
  <w:num w:numId="69" w16cid:durableId="1105223696">
    <w:abstractNumId w:val="21"/>
  </w:num>
  <w:num w:numId="70" w16cid:durableId="356003200">
    <w:abstractNumId w:val="24"/>
  </w:num>
  <w:num w:numId="71" w16cid:durableId="263002996">
    <w:abstractNumId w:val="25"/>
  </w:num>
  <w:num w:numId="72" w16cid:durableId="145706940">
    <w:abstractNumId w:val="26"/>
  </w:num>
  <w:num w:numId="73" w16cid:durableId="897670380">
    <w:abstractNumId w:val="28"/>
  </w:num>
  <w:num w:numId="74" w16cid:durableId="1171749654">
    <w:abstractNumId w:val="30"/>
  </w:num>
  <w:num w:numId="75" w16cid:durableId="96557829">
    <w:abstractNumId w:val="32"/>
  </w:num>
  <w:num w:numId="76" w16cid:durableId="26805710">
    <w:abstractNumId w:val="33"/>
  </w:num>
  <w:num w:numId="77" w16cid:durableId="1297643304">
    <w:abstractNumId w:val="34"/>
  </w:num>
  <w:num w:numId="78" w16cid:durableId="831793017">
    <w:abstractNumId w:val="35"/>
  </w:num>
  <w:num w:numId="79" w16cid:durableId="586309711">
    <w:abstractNumId w:val="36"/>
  </w:num>
  <w:num w:numId="80" w16cid:durableId="1936202964">
    <w:abstractNumId w:val="37"/>
  </w:num>
  <w:num w:numId="81" w16cid:durableId="534926609">
    <w:abstractNumId w:val="38"/>
  </w:num>
  <w:num w:numId="82" w16cid:durableId="1323655494">
    <w:abstractNumId w:val="42"/>
  </w:num>
  <w:num w:numId="83" w16cid:durableId="2090887988">
    <w:abstractNumId w:val="43"/>
  </w:num>
  <w:num w:numId="84" w16cid:durableId="1106272219">
    <w:abstractNumId w:val="49"/>
  </w:num>
  <w:num w:numId="85" w16cid:durableId="289825108">
    <w:abstractNumId w:val="52"/>
  </w:num>
  <w:num w:numId="86" w16cid:durableId="80225030">
    <w:abstractNumId w:val="55"/>
  </w:num>
  <w:num w:numId="87" w16cid:durableId="753816013">
    <w:abstractNumId w:val="57"/>
  </w:num>
  <w:num w:numId="88" w16cid:durableId="907034899">
    <w:abstractNumId w:val="59"/>
  </w:num>
  <w:num w:numId="89" w16cid:durableId="1486896977">
    <w:abstractNumId w:val="61"/>
  </w:num>
  <w:num w:numId="90" w16cid:durableId="2115710514">
    <w:abstractNumId w:val="62"/>
  </w:num>
  <w:num w:numId="91" w16cid:durableId="2038578042">
    <w:abstractNumId w:val="63"/>
  </w:num>
  <w:num w:numId="92" w16cid:durableId="2034766628">
    <w:abstractNumId w:val="64"/>
  </w:num>
  <w:num w:numId="93" w16cid:durableId="1714034082">
    <w:abstractNumId w:val="66"/>
  </w:num>
  <w:num w:numId="94" w16cid:durableId="1443722158">
    <w:abstractNumId w:val="22"/>
  </w:num>
  <w:num w:numId="95" w16cid:durableId="1217473445">
    <w:abstractNumId w:val="44"/>
  </w:num>
  <w:num w:numId="96" w16cid:durableId="480343580">
    <w:abstractNumId w:val="56"/>
  </w:num>
  <w:num w:numId="97" w16cid:durableId="23210640">
    <w:abstractNumId w:val="53"/>
  </w:num>
  <w:num w:numId="98" w16cid:durableId="27723962">
    <w:abstractNumId w:val="48"/>
  </w:num>
  <w:num w:numId="99" w16cid:durableId="1805001181">
    <w:abstractNumId w:val="39"/>
  </w:num>
  <w:num w:numId="100" w16cid:durableId="1533108434">
    <w:abstractNumId w:val="3"/>
  </w:num>
  <w:num w:numId="101" w16cid:durableId="1176840714">
    <w:abstractNumId w:val="27"/>
  </w:num>
  <w:num w:numId="102" w16cid:durableId="1953900653">
    <w:abstractNumId w:val="50"/>
  </w:num>
  <w:num w:numId="103" w16cid:durableId="1782067935">
    <w:abstractNumId w:val="6"/>
  </w:num>
  <w:num w:numId="104" w16cid:durableId="1194460207">
    <w:abstractNumId w:val="65"/>
  </w:num>
  <w:num w:numId="105" w16cid:durableId="1867594832">
    <w:abstractNumId w:val="54"/>
  </w:num>
  <w:num w:numId="106" w16cid:durableId="326255065">
    <w:abstractNumId w:val="4"/>
  </w:num>
  <w:num w:numId="107" w16cid:durableId="928736126">
    <w:abstractNumId w:val="31"/>
  </w:num>
  <w:num w:numId="108" w16cid:durableId="10298780">
    <w:abstractNumId w:val="14"/>
  </w:num>
  <w:num w:numId="109" w16cid:durableId="146866511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9EA"/>
    <w:rsid w:val="00006E1F"/>
    <w:rsid w:val="000070D7"/>
    <w:rsid w:val="00014CA2"/>
    <w:rsid w:val="00016020"/>
    <w:rsid w:val="000161B8"/>
    <w:rsid w:val="0001788C"/>
    <w:rsid w:val="000337EF"/>
    <w:rsid w:val="00040C3A"/>
    <w:rsid w:val="000419AD"/>
    <w:rsid w:val="00042E89"/>
    <w:rsid w:val="000433C9"/>
    <w:rsid w:val="00067CA6"/>
    <w:rsid w:val="000716C5"/>
    <w:rsid w:val="00075E23"/>
    <w:rsid w:val="00083DCE"/>
    <w:rsid w:val="0009344A"/>
    <w:rsid w:val="0009589B"/>
    <w:rsid w:val="000A1F6A"/>
    <w:rsid w:val="000A392E"/>
    <w:rsid w:val="000A575F"/>
    <w:rsid w:val="000B062C"/>
    <w:rsid w:val="000B6A0B"/>
    <w:rsid w:val="000C0244"/>
    <w:rsid w:val="000C3A72"/>
    <w:rsid w:val="000D05CB"/>
    <w:rsid w:val="000D10DB"/>
    <w:rsid w:val="000E1A34"/>
    <w:rsid w:val="000E3A36"/>
    <w:rsid w:val="000E5EB5"/>
    <w:rsid w:val="000F35ED"/>
    <w:rsid w:val="000F62B5"/>
    <w:rsid w:val="00107131"/>
    <w:rsid w:val="0010736F"/>
    <w:rsid w:val="00113F73"/>
    <w:rsid w:val="00121CC2"/>
    <w:rsid w:val="00123001"/>
    <w:rsid w:val="00131425"/>
    <w:rsid w:val="00133EE5"/>
    <w:rsid w:val="00144C69"/>
    <w:rsid w:val="001451E0"/>
    <w:rsid w:val="00154E53"/>
    <w:rsid w:val="00157745"/>
    <w:rsid w:val="00161488"/>
    <w:rsid w:val="00167A34"/>
    <w:rsid w:val="00183646"/>
    <w:rsid w:val="00191D19"/>
    <w:rsid w:val="001A7870"/>
    <w:rsid w:val="001B3A00"/>
    <w:rsid w:val="001B4FFF"/>
    <w:rsid w:val="001C1174"/>
    <w:rsid w:val="001C1B41"/>
    <w:rsid w:val="001C48C7"/>
    <w:rsid w:val="001D3447"/>
    <w:rsid w:val="001D4105"/>
    <w:rsid w:val="001D65EF"/>
    <w:rsid w:val="001D7945"/>
    <w:rsid w:val="001E49E7"/>
    <w:rsid w:val="001F7201"/>
    <w:rsid w:val="0020664C"/>
    <w:rsid w:val="002129B4"/>
    <w:rsid w:val="00220063"/>
    <w:rsid w:val="00223A29"/>
    <w:rsid w:val="002250A3"/>
    <w:rsid w:val="00235217"/>
    <w:rsid w:val="00237C8F"/>
    <w:rsid w:val="00245261"/>
    <w:rsid w:val="002469D2"/>
    <w:rsid w:val="00246D1F"/>
    <w:rsid w:val="00247403"/>
    <w:rsid w:val="00247542"/>
    <w:rsid w:val="0026020D"/>
    <w:rsid w:val="00266B61"/>
    <w:rsid w:val="0026712A"/>
    <w:rsid w:val="002704DB"/>
    <w:rsid w:val="00280F97"/>
    <w:rsid w:val="002A0AAE"/>
    <w:rsid w:val="002A5820"/>
    <w:rsid w:val="002B2C58"/>
    <w:rsid w:val="002D2B26"/>
    <w:rsid w:val="002D7EA2"/>
    <w:rsid w:val="002E187C"/>
    <w:rsid w:val="002F1AAE"/>
    <w:rsid w:val="00300289"/>
    <w:rsid w:val="00302733"/>
    <w:rsid w:val="003078CC"/>
    <w:rsid w:val="003124DB"/>
    <w:rsid w:val="00314078"/>
    <w:rsid w:val="0031535D"/>
    <w:rsid w:val="003239B8"/>
    <w:rsid w:val="00325FC3"/>
    <w:rsid w:val="0033093C"/>
    <w:rsid w:val="003310DC"/>
    <w:rsid w:val="0033169F"/>
    <w:rsid w:val="00344977"/>
    <w:rsid w:val="00344F7E"/>
    <w:rsid w:val="003467A3"/>
    <w:rsid w:val="00346C95"/>
    <w:rsid w:val="00351314"/>
    <w:rsid w:val="00356185"/>
    <w:rsid w:val="00360380"/>
    <w:rsid w:val="00363F62"/>
    <w:rsid w:val="0037519E"/>
    <w:rsid w:val="00386CF0"/>
    <w:rsid w:val="00391ABD"/>
    <w:rsid w:val="0039335F"/>
    <w:rsid w:val="003A31E2"/>
    <w:rsid w:val="003A3F50"/>
    <w:rsid w:val="003A4A05"/>
    <w:rsid w:val="003B70FB"/>
    <w:rsid w:val="003B7572"/>
    <w:rsid w:val="003C1E7D"/>
    <w:rsid w:val="003C676B"/>
    <w:rsid w:val="003D3BC2"/>
    <w:rsid w:val="003E4216"/>
    <w:rsid w:val="003E6CA1"/>
    <w:rsid w:val="00405F9C"/>
    <w:rsid w:val="004065A8"/>
    <w:rsid w:val="004165C2"/>
    <w:rsid w:val="00425B4E"/>
    <w:rsid w:val="00430DC7"/>
    <w:rsid w:val="00441524"/>
    <w:rsid w:val="00441ECB"/>
    <w:rsid w:val="00445193"/>
    <w:rsid w:val="00462C1B"/>
    <w:rsid w:val="00467B7E"/>
    <w:rsid w:val="00473BB4"/>
    <w:rsid w:val="00477592"/>
    <w:rsid w:val="00486F1C"/>
    <w:rsid w:val="0049419D"/>
    <w:rsid w:val="00496FF8"/>
    <w:rsid w:val="004A6A54"/>
    <w:rsid w:val="004B23EB"/>
    <w:rsid w:val="004B4773"/>
    <w:rsid w:val="004C20D2"/>
    <w:rsid w:val="004C2312"/>
    <w:rsid w:val="004C4B62"/>
    <w:rsid w:val="004C54C9"/>
    <w:rsid w:val="004D4ABA"/>
    <w:rsid w:val="004D6025"/>
    <w:rsid w:val="004D7877"/>
    <w:rsid w:val="004E2649"/>
    <w:rsid w:val="004F626F"/>
    <w:rsid w:val="00501399"/>
    <w:rsid w:val="0050633D"/>
    <w:rsid w:val="00507BC4"/>
    <w:rsid w:val="005128E4"/>
    <w:rsid w:val="00512E39"/>
    <w:rsid w:val="005133DB"/>
    <w:rsid w:val="00514504"/>
    <w:rsid w:val="005151EF"/>
    <w:rsid w:val="00522BBD"/>
    <w:rsid w:val="00525560"/>
    <w:rsid w:val="00544C49"/>
    <w:rsid w:val="005516A1"/>
    <w:rsid w:val="005522BB"/>
    <w:rsid w:val="005559EF"/>
    <w:rsid w:val="005564B7"/>
    <w:rsid w:val="00563557"/>
    <w:rsid w:val="005673C0"/>
    <w:rsid w:val="0057402A"/>
    <w:rsid w:val="005771D0"/>
    <w:rsid w:val="00584BD9"/>
    <w:rsid w:val="0059191A"/>
    <w:rsid w:val="005921FF"/>
    <w:rsid w:val="005A24ED"/>
    <w:rsid w:val="005A254F"/>
    <w:rsid w:val="005A6D0E"/>
    <w:rsid w:val="005B1FD5"/>
    <w:rsid w:val="005B52B0"/>
    <w:rsid w:val="005B6806"/>
    <w:rsid w:val="005C4225"/>
    <w:rsid w:val="005D38F9"/>
    <w:rsid w:val="005F0DAD"/>
    <w:rsid w:val="005F0F33"/>
    <w:rsid w:val="006004BF"/>
    <w:rsid w:val="00600DEB"/>
    <w:rsid w:val="00627C9F"/>
    <w:rsid w:val="006311E9"/>
    <w:rsid w:val="00632354"/>
    <w:rsid w:val="00635421"/>
    <w:rsid w:val="00642810"/>
    <w:rsid w:val="00652333"/>
    <w:rsid w:val="0068009E"/>
    <w:rsid w:val="00682B18"/>
    <w:rsid w:val="006830F1"/>
    <w:rsid w:val="00683ADB"/>
    <w:rsid w:val="00691ECD"/>
    <w:rsid w:val="00692219"/>
    <w:rsid w:val="006A17D2"/>
    <w:rsid w:val="006A73E6"/>
    <w:rsid w:val="006B2D5C"/>
    <w:rsid w:val="006C4E28"/>
    <w:rsid w:val="006C4EB1"/>
    <w:rsid w:val="006D460E"/>
    <w:rsid w:val="006D5B19"/>
    <w:rsid w:val="006E0166"/>
    <w:rsid w:val="006E2FFB"/>
    <w:rsid w:val="006E7B34"/>
    <w:rsid w:val="006F3860"/>
    <w:rsid w:val="00702492"/>
    <w:rsid w:val="0070697F"/>
    <w:rsid w:val="007103C6"/>
    <w:rsid w:val="00714E29"/>
    <w:rsid w:val="007213B5"/>
    <w:rsid w:val="0072199C"/>
    <w:rsid w:val="00722C9F"/>
    <w:rsid w:val="007253B8"/>
    <w:rsid w:val="00736B42"/>
    <w:rsid w:val="0073741F"/>
    <w:rsid w:val="0074361F"/>
    <w:rsid w:val="0076521E"/>
    <w:rsid w:val="0076643F"/>
    <w:rsid w:val="00777F63"/>
    <w:rsid w:val="007A5817"/>
    <w:rsid w:val="007B05C4"/>
    <w:rsid w:val="007B60E9"/>
    <w:rsid w:val="007B6CC3"/>
    <w:rsid w:val="007B76D3"/>
    <w:rsid w:val="007C27E5"/>
    <w:rsid w:val="007C3334"/>
    <w:rsid w:val="007C4DC8"/>
    <w:rsid w:val="007C7056"/>
    <w:rsid w:val="007D2B98"/>
    <w:rsid w:val="007E21BC"/>
    <w:rsid w:val="007E68F2"/>
    <w:rsid w:val="007E7C82"/>
    <w:rsid w:val="007F2AA1"/>
    <w:rsid w:val="007F588D"/>
    <w:rsid w:val="00803F1C"/>
    <w:rsid w:val="0080600E"/>
    <w:rsid w:val="00810FE9"/>
    <w:rsid w:val="00814688"/>
    <w:rsid w:val="00817612"/>
    <w:rsid w:val="008338A4"/>
    <w:rsid w:val="00834D49"/>
    <w:rsid w:val="008362F6"/>
    <w:rsid w:val="00837C45"/>
    <w:rsid w:val="00844730"/>
    <w:rsid w:val="008457C2"/>
    <w:rsid w:val="00857A82"/>
    <w:rsid w:val="00862CC0"/>
    <w:rsid w:val="00867314"/>
    <w:rsid w:val="00873836"/>
    <w:rsid w:val="00874BEA"/>
    <w:rsid w:val="00885737"/>
    <w:rsid w:val="00890650"/>
    <w:rsid w:val="00890F46"/>
    <w:rsid w:val="00895101"/>
    <w:rsid w:val="00897E12"/>
    <w:rsid w:val="008A3C34"/>
    <w:rsid w:val="008A7E0F"/>
    <w:rsid w:val="008B12F5"/>
    <w:rsid w:val="008C3DE2"/>
    <w:rsid w:val="008C5E2D"/>
    <w:rsid w:val="008D0B62"/>
    <w:rsid w:val="008D33C6"/>
    <w:rsid w:val="008D768D"/>
    <w:rsid w:val="008E1D6C"/>
    <w:rsid w:val="008E2AEB"/>
    <w:rsid w:val="008E3759"/>
    <w:rsid w:val="008E3BFE"/>
    <w:rsid w:val="008F1912"/>
    <w:rsid w:val="0090270B"/>
    <w:rsid w:val="009041DC"/>
    <w:rsid w:val="00906076"/>
    <w:rsid w:val="009063D1"/>
    <w:rsid w:val="00913776"/>
    <w:rsid w:val="00917B5A"/>
    <w:rsid w:val="00920A58"/>
    <w:rsid w:val="00920A8C"/>
    <w:rsid w:val="00934A2C"/>
    <w:rsid w:val="009450EC"/>
    <w:rsid w:val="009467F0"/>
    <w:rsid w:val="0096706E"/>
    <w:rsid w:val="00974491"/>
    <w:rsid w:val="00975C4E"/>
    <w:rsid w:val="00981FBA"/>
    <w:rsid w:val="009827E2"/>
    <w:rsid w:val="00982821"/>
    <w:rsid w:val="00987DEB"/>
    <w:rsid w:val="00991844"/>
    <w:rsid w:val="00997512"/>
    <w:rsid w:val="00997BC5"/>
    <w:rsid w:val="009A4F41"/>
    <w:rsid w:val="009B381B"/>
    <w:rsid w:val="009D1753"/>
    <w:rsid w:val="009D7611"/>
    <w:rsid w:val="009E051B"/>
    <w:rsid w:val="009E0B61"/>
    <w:rsid w:val="009E53DE"/>
    <w:rsid w:val="009E5D53"/>
    <w:rsid w:val="009F11CA"/>
    <w:rsid w:val="009F50C7"/>
    <w:rsid w:val="00A03D63"/>
    <w:rsid w:val="00A11212"/>
    <w:rsid w:val="00A11E44"/>
    <w:rsid w:val="00A30100"/>
    <w:rsid w:val="00A328B3"/>
    <w:rsid w:val="00A50FCF"/>
    <w:rsid w:val="00A528D1"/>
    <w:rsid w:val="00A60800"/>
    <w:rsid w:val="00A610CD"/>
    <w:rsid w:val="00A6510F"/>
    <w:rsid w:val="00A67555"/>
    <w:rsid w:val="00A758AA"/>
    <w:rsid w:val="00A76AD7"/>
    <w:rsid w:val="00A84A44"/>
    <w:rsid w:val="00A92A79"/>
    <w:rsid w:val="00AA09A2"/>
    <w:rsid w:val="00AA6726"/>
    <w:rsid w:val="00AA7996"/>
    <w:rsid w:val="00AB7FC4"/>
    <w:rsid w:val="00AC19CB"/>
    <w:rsid w:val="00AE5488"/>
    <w:rsid w:val="00AE6F91"/>
    <w:rsid w:val="00AF06E8"/>
    <w:rsid w:val="00AF5571"/>
    <w:rsid w:val="00B01FCE"/>
    <w:rsid w:val="00B044C7"/>
    <w:rsid w:val="00B07341"/>
    <w:rsid w:val="00B12044"/>
    <w:rsid w:val="00B30539"/>
    <w:rsid w:val="00B314DB"/>
    <w:rsid w:val="00B361F2"/>
    <w:rsid w:val="00B3718B"/>
    <w:rsid w:val="00B3745F"/>
    <w:rsid w:val="00B4632A"/>
    <w:rsid w:val="00B4637C"/>
    <w:rsid w:val="00B51FD7"/>
    <w:rsid w:val="00B530F1"/>
    <w:rsid w:val="00B71109"/>
    <w:rsid w:val="00B71B3A"/>
    <w:rsid w:val="00BA276C"/>
    <w:rsid w:val="00BB306F"/>
    <w:rsid w:val="00BB608F"/>
    <w:rsid w:val="00BD4B89"/>
    <w:rsid w:val="00BD5922"/>
    <w:rsid w:val="00BF02CB"/>
    <w:rsid w:val="00BF6FD8"/>
    <w:rsid w:val="00C03680"/>
    <w:rsid w:val="00C054DF"/>
    <w:rsid w:val="00C14AB7"/>
    <w:rsid w:val="00C167E6"/>
    <w:rsid w:val="00C21336"/>
    <w:rsid w:val="00C21762"/>
    <w:rsid w:val="00C21FEF"/>
    <w:rsid w:val="00C23BA4"/>
    <w:rsid w:val="00C24543"/>
    <w:rsid w:val="00C256A2"/>
    <w:rsid w:val="00C25ADB"/>
    <w:rsid w:val="00C43C68"/>
    <w:rsid w:val="00C51515"/>
    <w:rsid w:val="00C5660B"/>
    <w:rsid w:val="00C66B72"/>
    <w:rsid w:val="00C75A95"/>
    <w:rsid w:val="00C87AC4"/>
    <w:rsid w:val="00C9567A"/>
    <w:rsid w:val="00CB212D"/>
    <w:rsid w:val="00CB2660"/>
    <w:rsid w:val="00CB59A9"/>
    <w:rsid w:val="00CC2CC3"/>
    <w:rsid w:val="00CC36A4"/>
    <w:rsid w:val="00CC5E90"/>
    <w:rsid w:val="00CC7B54"/>
    <w:rsid w:val="00CD046C"/>
    <w:rsid w:val="00CE076C"/>
    <w:rsid w:val="00CE13B3"/>
    <w:rsid w:val="00CE5199"/>
    <w:rsid w:val="00CE66D5"/>
    <w:rsid w:val="00CF637A"/>
    <w:rsid w:val="00CF6840"/>
    <w:rsid w:val="00D059DE"/>
    <w:rsid w:val="00D05ABD"/>
    <w:rsid w:val="00D1127C"/>
    <w:rsid w:val="00D1318F"/>
    <w:rsid w:val="00D13FCE"/>
    <w:rsid w:val="00D306D1"/>
    <w:rsid w:val="00D30800"/>
    <w:rsid w:val="00D34786"/>
    <w:rsid w:val="00D37BFC"/>
    <w:rsid w:val="00D47A8E"/>
    <w:rsid w:val="00D52D14"/>
    <w:rsid w:val="00D6700E"/>
    <w:rsid w:val="00D67233"/>
    <w:rsid w:val="00D712D3"/>
    <w:rsid w:val="00D71422"/>
    <w:rsid w:val="00D72DC6"/>
    <w:rsid w:val="00D7558D"/>
    <w:rsid w:val="00D81D92"/>
    <w:rsid w:val="00D876F9"/>
    <w:rsid w:val="00D91A90"/>
    <w:rsid w:val="00DA7B5F"/>
    <w:rsid w:val="00DB6251"/>
    <w:rsid w:val="00DC11E7"/>
    <w:rsid w:val="00DC24E3"/>
    <w:rsid w:val="00DC64C1"/>
    <w:rsid w:val="00DC7023"/>
    <w:rsid w:val="00DC769A"/>
    <w:rsid w:val="00DD3D86"/>
    <w:rsid w:val="00DD4AD2"/>
    <w:rsid w:val="00DE01A7"/>
    <w:rsid w:val="00DE64AC"/>
    <w:rsid w:val="00DF1EC4"/>
    <w:rsid w:val="00DF425F"/>
    <w:rsid w:val="00E0340B"/>
    <w:rsid w:val="00E04A90"/>
    <w:rsid w:val="00E0551F"/>
    <w:rsid w:val="00E219C7"/>
    <w:rsid w:val="00E25FE9"/>
    <w:rsid w:val="00E3747B"/>
    <w:rsid w:val="00E4118C"/>
    <w:rsid w:val="00E43157"/>
    <w:rsid w:val="00E461CE"/>
    <w:rsid w:val="00E47843"/>
    <w:rsid w:val="00E573E4"/>
    <w:rsid w:val="00E64C3D"/>
    <w:rsid w:val="00E720CA"/>
    <w:rsid w:val="00E82DDC"/>
    <w:rsid w:val="00E84EB5"/>
    <w:rsid w:val="00E85662"/>
    <w:rsid w:val="00E8789F"/>
    <w:rsid w:val="00E942DA"/>
    <w:rsid w:val="00E9797B"/>
    <w:rsid w:val="00E97B71"/>
    <w:rsid w:val="00EA3D34"/>
    <w:rsid w:val="00EB454D"/>
    <w:rsid w:val="00EB5BAC"/>
    <w:rsid w:val="00ED549D"/>
    <w:rsid w:val="00ED76BE"/>
    <w:rsid w:val="00EE00E9"/>
    <w:rsid w:val="00EF1AAA"/>
    <w:rsid w:val="00EF619B"/>
    <w:rsid w:val="00F00B55"/>
    <w:rsid w:val="00F02AD1"/>
    <w:rsid w:val="00F10D86"/>
    <w:rsid w:val="00F253CC"/>
    <w:rsid w:val="00F37106"/>
    <w:rsid w:val="00F44E25"/>
    <w:rsid w:val="00F519CF"/>
    <w:rsid w:val="00F56BA5"/>
    <w:rsid w:val="00F60D45"/>
    <w:rsid w:val="00F60E22"/>
    <w:rsid w:val="00F61FCD"/>
    <w:rsid w:val="00F81395"/>
    <w:rsid w:val="00F81BB8"/>
    <w:rsid w:val="00F90C64"/>
    <w:rsid w:val="00F917D1"/>
    <w:rsid w:val="00F9508E"/>
    <w:rsid w:val="00F9653B"/>
    <w:rsid w:val="00FA7142"/>
    <w:rsid w:val="00FB62CF"/>
    <w:rsid w:val="00FD3C3B"/>
    <w:rsid w:val="00FE07DD"/>
    <w:rsid w:val="00FE084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C27E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CC7B54"/>
    <w:rPr>
      <w:sz w:val="16"/>
      <w:szCs w:val="16"/>
    </w:rPr>
  </w:style>
  <w:style w:type="paragraph" w:styleId="CommentText">
    <w:name w:val="annotation text"/>
    <w:basedOn w:val="Normal"/>
    <w:link w:val="CommentTextChar"/>
    <w:uiPriority w:val="99"/>
    <w:unhideWhenUsed/>
    <w:rsid w:val="00CC7B54"/>
    <w:rPr>
      <w:sz w:val="20"/>
      <w:szCs w:val="20"/>
    </w:rPr>
  </w:style>
  <w:style w:type="character" w:customStyle="1" w:styleId="CommentTextChar">
    <w:name w:val="Comment Text Char"/>
    <w:basedOn w:val="DefaultParagraphFont"/>
    <w:link w:val="CommentText"/>
    <w:uiPriority w:val="99"/>
    <w:rsid w:val="00CC7B54"/>
    <w:rPr>
      <w:lang w:val="en-US" w:eastAsia="en-US"/>
    </w:rPr>
  </w:style>
  <w:style w:type="paragraph" w:styleId="CommentSubject">
    <w:name w:val="annotation subject"/>
    <w:basedOn w:val="CommentText"/>
    <w:next w:val="CommentText"/>
    <w:link w:val="CommentSubjectChar"/>
    <w:uiPriority w:val="99"/>
    <w:semiHidden/>
    <w:unhideWhenUsed/>
    <w:rsid w:val="00CC7B54"/>
    <w:rPr>
      <w:b/>
      <w:bCs/>
    </w:rPr>
  </w:style>
  <w:style w:type="character" w:customStyle="1" w:styleId="CommentSubjectChar">
    <w:name w:val="Comment Subject Char"/>
    <w:basedOn w:val="CommentTextChar"/>
    <w:link w:val="CommentSubject"/>
    <w:uiPriority w:val="99"/>
    <w:semiHidden/>
    <w:rsid w:val="00CC7B54"/>
    <w:rPr>
      <w:b/>
      <w:bCs/>
      <w:lang w:val="en-US" w:eastAsia="en-US"/>
    </w:rPr>
  </w:style>
  <w:style w:type="paragraph" w:customStyle="1" w:styleId="paragraph">
    <w:name w:val="paragraph"/>
    <w:basedOn w:val="Normal"/>
    <w:rsid w:val="003933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9335F"/>
  </w:style>
  <w:style w:type="character" w:customStyle="1" w:styleId="eop">
    <w:name w:val="eop"/>
    <w:basedOn w:val="DefaultParagraphFont"/>
    <w:rsid w:val="0039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4104">
      <w:bodyDiv w:val="1"/>
      <w:marLeft w:val="0"/>
      <w:marRight w:val="0"/>
      <w:marTop w:val="0"/>
      <w:marBottom w:val="0"/>
      <w:divBdr>
        <w:top w:val="none" w:sz="0" w:space="0" w:color="auto"/>
        <w:left w:val="none" w:sz="0" w:space="0" w:color="auto"/>
        <w:bottom w:val="none" w:sz="0" w:space="0" w:color="auto"/>
        <w:right w:val="none" w:sz="0" w:space="0" w:color="auto"/>
      </w:divBdr>
      <w:divsChild>
        <w:div w:id="766265597">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50214"/>
    <w:rsid w:val="00200821"/>
    <w:rsid w:val="00201CE6"/>
    <w:rsid w:val="0025245B"/>
    <w:rsid w:val="0025489C"/>
    <w:rsid w:val="002A3923"/>
    <w:rsid w:val="003364F6"/>
    <w:rsid w:val="00394049"/>
    <w:rsid w:val="004B5BBB"/>
    <w:rsid w:val="004F2DF8"/>
    <w:rsid w:val="005B76F9"/>
    <w:rsid w:val="006F24A1"/>
    <w:rsid w:val="00782FC6"/>
    <w:rsid w:val="009A261B"/>
    <w:rsid w:val="00AA2E17"/>
    <w:rsid w:val="00AC15A4"/>
    <w:rsid w:val="00B0336C"/>
    <w:rsid w:val="00B10761"/>
    <w:rsid w:val="00B30277"/>
    <w:rsid w:val="00D241E9"/>
    <w:rsid w:val="00D7750D"/>
    <w:rsid w:val="00D96C7C"/>
    <w:rsid w:val="00E94F5F"/>
    <w:rsid w:val="00EC6E8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2765</Words>
  <Characters>15766</Characters>
  <Application>Microsoft Office Word</Application>
  <DocSecurity>0</DocSecurity>
  <Lines>131</Lines>
  <Paragraphs>36</Paragraphs>
  <ScaleCrop>false</ScaleCrop>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2024-01-02T20:44:00Z</dcterms:created>
  <dcterms:modified xsi:type="dcterms:W3CDTF">2024-01-02T20:44:00Z</dcterms:modified>
</cp:coreProperties>
</file>