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9C00FB" w:rsidRDefault="00D306D1" w:rsidP="00627C9F">
      <w:pPr>
        <w:jc w:val="both"/>
        <w:rPr>
          <w:rFonts w:asciiTheme="majorHAnsi" w:hAnsiTheme="majorHAnsi" w:cs="Univers"/>
          <w:b/>
          <w:bCs/>
          <w:sz w:val="22"/>
          <w:szCs w:val="22"/>
        </w:rPr>
      </w:pPr>
      <w:r w:rsidRPr="009C00F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3E50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C00F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9C00FB">
        <w:rPr>
          <w:rFonts w:asciiTheme="majorHAnsi" w:hAnsiTheme="majorHAnsi" w:cs="Univers"/>
          <w:b/>
          <w:bCs/>
          <w:sz w:val="22"/>
          <w:szCs w:val="22"/>
        </w:rPr>
        <w:t>d</w:t>
      </w:r>
      <w:r w:rsidR="00071174" w:rsidRPr="009C00FB">
        <w:rPr>
          <w:rFonts w:asciiTheme="majorHAnsi" w:hAnsiTheme="majorHAnsi" w:cs="Univers"/>
          <w:b/>
          <w:bCs/>
          <w:sz w:val="22"/>
          <w:szCs w:val="22"/>
        </w:rPr>
        <w:t xml:space="preserve"> </w:t>
      </w:r>
    </w:p>
    <w:p w14:paraId="0B487E41" w14:textId="77777777" w:rsidR="00040C3A" w:rsidRPr="009C00FB" w:rsidRDefault="00040C3A" w:rsidP="00040C3A">
      <w:pPr>
        <w:tabs>
          <w:tab w:val="center" w:pos="5400"/>
        </w:tabs>
        <w:suppressAutoHyphens/>
        <w:jc w:val="both"/>
        <w:rPr>
          <w:rFonts w:asciiTheme="majorHAnsi" w:hAnsiTheme="majorHAnsi"/>
          <w:sz w:val="22"/>
          <w:szCs w:val="22"/>
        </w:rPr>
      </w:pPr>
    </w:p>
    <w:p w14:paraId="77202D1F" w14:textId="77777777" w:rsidR="00040C3A" w:rsidRPr="009C00FB" w:rsidRDefault="00040C3A" w:rsidP="00040C3A">
      <w:pPr>
        <w:tabs>
          <w:tab w:val="center" w:pos="5400"/>
        </w:tabs>
        <w:suppressAutoHyphens/>
        <w:jc w:val="both"/>
        <w:rPr>
          <w:rFonts w:asciiTheme="majorHAnsi" w:hAnsiTheme="majorHAnsi"/>
          <w:sz w:val="22"/>
          <w:szCs w:val="22"/>
        </w:rPr>
      </w:pPr>
    </w:p>
    <w:p w14:paraId="286FF03B" w14:textId="77777777" w:rsidR="005128E4" w:rsidRPr="009C00FB" w:rsidRDefault="005128E4" w:rsidP="00040C3A">
      <w:pPr>
        <w:tabs>
          <w:tab w:val="center" w:pos="5400"/>
        </w:tabs>
        <w:suppressAutoHyphens/>
        <w:rPr>
          <w:rFonts w:asciiTheme="majorHAnsi" w:hAnsiTheme="majorHAnsi"/>
          <w:sz w:val="22"/>
          <w:szCs w:val="22"/>
        </w:rPr>
      </w:pPr>
    </w:p>
    <w:p w14:paraId="695FC58C" w14:textId="77777777" w:rsidR="005128E4" w:rsidRPr="009C00FB" w:rsidRDefault="005128E4" w:rsidP="00040C3A">
      <w:pPr>
        <w:tabs>
          <w:tab w:val="center" w:pos="5400"/>
        </w:tabs>
        <w:suppressAutoHyphens/>
        <w:rPr>
          <w:rFonts w:asciiTheme="majorHAnsi" w:hAnsiTheme="majorHAnsi"/>
          <w:sz w:val="22"/>
          <w:szCs w:val="22"/>
        </w:rPr>
      </w:pPr>
    </w:p>
    <w:p w14:paraId="1A2A7BF4" w14:textId="77777777" w:rsidR="005128E4" w:rsidRPr="009C00FB" w:rsidRDefault="005128E4" w:rsidP="00040C3A">
      <w:pPr>
        <w:tabs>
          <w:tab w:val="center" w:pos="5400"/>
        </w:tabs>
        <w:suppressAutoHyphens/>
        <w:rPr>
          <w:rFonts w:asciiTheme="majorHAnsi" w:hAnsiTheme="majorHAnsi"/>
          <w:sz w:val="22"/>
          <w:szCs w:val="22"/>
        </w:rPr>
      </w:pPr>
    </w:p>
    <w:p w14:paraId="6AE20F49" w14:textId="77777777" w:rsidR="00040C3A" w:rsidRPr="009C00FB" w:rsidRDefault="00040C3A" w:rsidP="005128E4">
      <w:pPr>
        <w:tabs>
          <w:tab w:val="center" w:pos="5400"/>
        </w:tabs>
        <w:suppressAutoHyphens/>
        <w:jc w:val="center"/>
        <w:rPr>
          <w:rFonts w:asciiTheme="majorHAnsi" w:hAnsiTheme="majorHAnsi"/>
          <w:sz w:val="22"/>
          <w:szCs w:val="22"/>
        </w:rPr>
      </w:pPr>
    </w:p>
    <w:p w14:paraId="7D7166F1" w14:textId="77777777" w:rsidR="00040C3A" w:rsidRPr="009C00FB" w:rsidRDefault="00040C3A" w:rsidP="005128E4">
      <w:pPr>
        <w:tabs>
          <w:tab w:val="center" w:pos="5400"/>
        </w:tabs>
        <w:suppressAutoHyphens/>
        <w:jc w:val="center"/>
        <w:rPr>
          <w:rFonts w:asciiTheme="majorHAnsi" w:hAnsiTheme="majorHAnsi"/>
          <w:sz w:val="22"/>
          <w:szCs w:val="22"/>
        </w:rPr>
      </w:pPr>
    </w:p>
    <w:p w14:paraId="02871C79" w14:textId="77777777" w:rsidR="005B52B0" w:rsidRPr="009C00FB" w:rsidRDefault="005B52B0" w:rsidP="005128E4">
      <w:pPr>
        <w:tabs>
          <w:tab w:val="center" w:pos="5400"/>
        </w:tabs>
        <w:suppressAutoHyphens/>
        <w:jc w:val="center"/>
        <w:rPr>
          <w:rFonts w:asciiTheme="majorHAnsi" w:hAnsiTheme="majorHAnsi"/>
          <w:sz w:val="22"/>
          <w:szCs w:val="22"/>
        </w:rPr>
      </w:pPr>
    </w:p>
    <w:p w14:paraId="145BF73F" w14:textId="77777777" w:rsidR="005B52B0" w:rsidRPr="009C00FB" w:rsidRDefault="005B52B0" w:rsidP="005128E4">
      <w:pPr>
        <w:tabs>
          <w:tab w:val="center" w:pos="5400"/>
        </w:tabs>
        <w:suppressAutoHyphens/>
        <w:jc w:val="center"/>
        <w:rPr>
          <w:rFonts w:asciiTheme="majorHAnsi" w:hAnsiTheme="majorHAnsi"/>
          <w:sz w:val="22"/>
          <w:szCs w:val="22"/>
        </w:rPr>
      </w:pPr>
    </w:p>
    <w:p w14:paraId="2728E297" w14:textId="77777777" w:rsidR="005B52B0" w:rsidRPr="009C00FB" w:rsidRDefault="005B52B0" w:rsidP="005128E4">
      <w:pPr>
        <w:tabs>
          <w:tab w:val="center" w:pos="5400"/>
        </w:tabs>
        <w:suppressAutoHyphens/>
        <w:jc w:val="center"/>
        <w:rPr>
          <w:rFonts w:asciiTheme="majorHAnsi" w:hAnsiTheme="majorHAnsi"/>
          <w:sz w:val="22"/>
          <w:szCs w:val="22"/>
        </w:rPr>
      </w:pPr>
    </w:p>
    <w:p w14:paraId="668975E6" w14:textId="77777777" w:rsidR="00040C3A" w:rsidRPr="009C00FB" w:rsidRDefault="00040C3A" w:rsidP="00040C3A">
      <w:pPr>
        <w:tabs>
          <w:tab w:val="center" w:pos="5400"/>
        </w:tabs>
        <w:suppressAutoHyphens/>
        <w:jc w:val="center"/>
        <w:rPr>
          <w:rFonts w:asciiTheme="majorHAnsi" w:hAnsiTheme="majorHAnsi"/>
          <w:sz w:val="22"/>
          <w:szCs w:val="22"/>
        </w:rPr>
      </w:pPr>
    </w:p>
    <w:p w14:paraId="427CD77D" w14:textId="77777777" w:rsidR="00040C3A" w:rsidRPr="009C00FB" w:rsidRDefault="00040C3A" w:rsidP="00040C3A">
      <w:pPr>
        <w:tabs>
          <w:tab w:val="center" w:pos="5400"/>
        </w:tabs>
        <w:suppressAutoHyphens/>
        <w:jc w:val="center"/>
        <w:rPr>
          <w:rFonts w:asciiTheme="majorHAnsi" w:hAnsiTheme="majorHAnsi"/>
          <w:sz w:val="22"/>
          <w:szCs w:val="22"/>
        </w:rPr>
      </w:pPr>
    </w:p>
    <w:p w14:paraId="4A63B592" w14:textId="77777777" w:rsidR="00040C3A" w:rsidRPr="009C00FB" w:rsidRDefault="003D3BC2" w:rsidP="00040C3A">
      <w:pPr>
        <w:tabs>
          <w:tab w:val="center" w:pos="5400"/>
        </w:tabs>
        <w:suppressAutoHyphens/>
        <w:jc w:val="center"/>
        <w:rPr>
          <w:rFonts w:asciiTheme="majorHAnsi" w:hAnsiTheme="majorHAnsi"/>
          <w:sz w:val="22"/>
          <w:szCs w:val="22"/>
        </w:rPr>
      </w:pPr>
      <w:r w:rsidRPr="009C00F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0A82F547">
                <wp:simplePos x="0" y="0"/>
                <wp:positionH relativeFrom="column">
                  <wp:posOffset>1331449</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C45F0B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1757FD">
                              <w:rPr>
                                <w:rFonts w:asciiTheme="majorHAnsi" w:hAnsiTheme="majorHAnsi" w:cs="Arial"/>
                                <w:b/>
                                <w:bCs/>
                                <w:color w:val="0D0D0D" w:themeColor="text1" w:themeTint="F2"/>
                                <w:sz w:val="36"/>
                                <w:szCs w:val="40"/>
                                <w:lang w:val="es-ES_tradnl"/>
                              </w:rPr>
                              <w:t>.</w:t>
                            </w:r>
                            <w:r w:rsidR="007B05C4" w:rsidRPr="001757FD">
                              <w:rPr>
                                <w:rFonts w:asciiTheme="majorHAnsi" w:hAnsiTheme="majorHAnsi" w:cs="Arial"/>
                                <w:b/>
                                <w:bCs/>
                                <w:color w:val="0D0D0D" w:themeColor="text1" w:themeTint="F2"/>
                                <w:sz w:val="36"/>
                                <w:szCs w:val="22"/>
                                <w:lang w:val="es-ES_tradnl"/>
                              </w:rPr>
                              <w:t xml:space="preserve"> </w:t>
                            </w:r>
                            <w:r w:rsidR="00EE1B80">
                              <w:rPr>
                                <w:rFonts w:asciiTheme="majorHAnsi" w:hAnsiTheme="majorHAnsi" w:cs="Arial"/>
                                <w:b/>
                                <w:bCs/>
                                <w:color w:val="0D0D0D" w:themeColor="text1" w:themeTint="F2"/>
                                <w:sz w:val="36"/>
                                <w:szCs w:val="22"/>
                                <w:lang w:val="es-ES_tradnl"/>
                              </w:rPr>
                              <w:t>281</w:t>
                            </w:r>
                            <w:r w:rsidR="007B05C4" w:rsidRPr="001757FD">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4D8DCE0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E05B0">
                              <w:rPr>
                                <w:rFonts w:asciiTheme="majorHAnsi" w:hAnsiTheme="majorHAnsi" w:cs="Arial"/>
                                <w:b/>
                                <w:color w:val="0D0D0D" w:themeColor="text1" w:themeTint="F2"/>
                                <w:sz w:val="36"/>
                                <w:szCs w:val="22"/>
                                <w:lang w:val="es-ES_tradnl"/>
                              </w:rPr>
                              <w:t>1660</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1FD398F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66306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3C6A201" w:rsidR="005B52B0" w:rsidRPr="0010736F" w:rsidRDefault="00212D8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SÓCRATES LÓPEZ ESCOBAR Y </w:t>
                            </w:r>
                            <w:r w:rsidR="00D304F4">
                              <w:rPr>
                                <w:rFonts w:asciiTheme="majorHAnsi" w:hAnsiTheme="majorHAnsi" w:cs="Arial"/>
                                <w:color w:val="0D0D0D" w:themeColor="text1" w:themeTint="F2"/>
                                <w:szCs w:val="22"/>
                                <w:lang w:val="es-ES_tradnl"/>
                              </w:rPr>
                              <w:t>FRANCISCO JAVIER SOTO NÚÑEZ</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4.8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" filled="f" stroked="f" strokeweight=".5pt">
                <v:textbox>
                  <w:txbxContent>
                    <w:p w14:paraId="4E10340D" w14:textId="4C45F0B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1757FD">
                        <w:rPr>
                          <w:rFonts w:asciiTheme="majorHAnsi" w:hAnsiTheme="majorHAnsi" w:cs="Arial"/>
                          <w:b/>
                          <w:bCs/>
                          <w:color w:val="0D0D0D" w:themeColor="text1" w:themeTint="F2"/>
                          <w:sz w:val="36"/>
                          <w:szCs w:val="40"/>
                          <w:lang w:val="es-ES_tradnl"/>
                        </w:rPr>
                        <w:t>.</w:t>
                      </w:r>
                      <w:r w:rsidR="007B05C4" w:rsidRPr="001757FD">
                        <w:rPr>
                          <w:rFonts w:asciiTheme="majorHAnsi" w:hAnsiTheme="majorHAnsi" w:cs="Arial"/>
                          <w:b/>
                          <w:bCs/>
                          <w:color w:val="0D0D0D" w:themeColor="text1" w:themeTint="F2"/>
                          <w:sz w:val="36"/>
                          <w:szCs w:val="22"/>
                          <w:lang w:val="es-ES_tradnl"/>
                        </w:rPr>
                        <w:t xml:space="preserve"> </w:t>
                      </w:r>
                      <w:r w:rsidR="00EE1B80">
                        <w:rPr>
                          <w:rFonts w:asciiTheme="majorHAnsi" w:hAnsiTheme="majorHAnsi" w:cs="Arial"/>
                          <w:b/>
                          <w:bCs/>
                          <w:color w:val="0D0D0D" w:themeColor="text1" w:themeTint="F2"/>
                          <w:sz w:val="36"/>
                          <w:szCs w:val="22"/>
                          <w:lang w:val="es-ES_tradnl"/>
                        </w:rPr>
                        <w:t>281</w:t>
                      </w:r>
                      <w:r w:rsidR="007B05C4" w:rsidRPr="001757FD">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4D8DCE0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E05B0">
                        <w:rPr>
                          <w:rFonts w:asciiTheme="majorHAnsi" w:hAnsiTheme="majorHAnsi" w:cs="Arial"/>
                          <w:b/>
                          <w:color w:val="0D0D0D" w:themeColor="text1" w:themeTint="F2"/>
                          <w:sz w:val="36"/>
                          <w:szCs w:val="22"/>
                          <w:lang w:val="es-ES_tradnl"/>
                        </w:rPr>
                        <w:t>1660</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1FD398F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66306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3C6A201" w:rsidR="005B52B0" w:rsidRPr="0010736F" w:rsidRDefault="00212D8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SÓCRATES LÓPEZ ESCOBAR Y </w:t>
                      </w:r>
                      <w:r w:rsidR="00D304F4">
                        <w:rPr>
                          <w:rFonts w:asciiTheme="majorHAnsi" w:hAnsiTheme="majorHAnsi" w:cs="Arial"/>
                          <w:color w:val="0D0D0D" w:themeColor="text1" w:themeTint="F2"/>
                          <w:szCs w:val="22"/>
                          <w:lang w:val="es-ES_tradnl"/>
                        </w:rPr>
                        <w:t>FRANCISCO JAVIER SOTO NÚÑEZ</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C00F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CA300CC" w:rsidR="00627C9F" w:rsidRPr="00635CDB" w:rsidRDefault="00834D49" w:rsidP="007A5817">
                            <w:pPr>
                              <w:spacing w:line="276" w:lineRule="auto"/>
                              <w:jc w:val="right"/>
                              <w:rPr>
                                <w:rFonts w:asciiTheme="minorHAnsi" w:hAnsiTheme="minorHAnsi"/>
                                <w:color w:val="FFFFFF" w:themeColor="background1"/>
                                <w:sz w:val="22"/>
                              </w:rPr>
                            </w:pPr>
                            <w:r w:rsidRPr="00635CDB">
                              <w:rPr>
                                <w:rFonts w:asciiTheme="minorHAnsi" w:hAnsiTheme="minorHAnsi"/>
                                <w:color w:val="FFFFFF" w:themeColor="background1"/>
                                <w:sz w:val="22"/>
                              </w:rPr>
                              <w:t>OEA/Ser.L/V/II</w:t>
                            </w:r>
                          </w:p>
                          <w:p w14:paraId="28E8B0DD" w14:textId="46479CD9" w:rsidR="00627C9F" w:rsidRPr="00635CDB" w:rsidRDefault="00627C9F" w:rsidP="007A5817">
                            <w:pPr>
                              <w:spacing w:line="276" w:lineRule="auto"/>
                              <w:jc w:val="right"/>
                              <w:rPr>
                                <w:rFonts w:asciiTheme="minorHAnsi" w:hAnsiTheme="minorHAnsi"/>
                                <w:color w:val="FFFFFF" w:themeColor="background1"/>
                                <w:sz w:val="22"/>
                              </w:rPr>
                            </w:pPr>
                            <w:r w:rsidRPr="00635CDB">
                              <w:rPr>
                                <w:rFonts w:asciiTheme="minorHAnsi" w:hAnsiTheme="minorHAnsi"/>
                                <w:color w:val="FFFFFF" w:themeColor="background1"/>
                                <w:sz w:val="22"/>
                              </w:rPr>
                              <w:t>Doc.</w:t>
                            </w:r>
                            <w:r w:rsidR="008C15BE" w:rsidRPr="00635CDB">
                              <w:rPr>
                                <w:rFonts w:asciiTheme="minorHAnsi" w:hAnsiTheme="minorHAnsi"/>
                                <w:color w:val="FFFFFF" w:themeColor="background1"/>
                                <w:sz w:val="22"/>
                              </w:rPr>
                              <w:t xml:space="preserve"> </w:t>
                            </w:r>
                            <w:r w:rsidR="0046383A" w:rsidRPr="00635CDB">
                              <w:rPr>
                                <w:rFonts w:asciiTheme="minorHAnsi" w:hAnsiTheme="minorHAnsi"/>
                                <w:color w:val="FFFFFF" w:themeColor="background1"/>
                                <w:sz w:val="22"/>
                              </w:rPr>
                              <w:t>301</w:t>
                            </w:r>
                            <w:r w:rsidRPr="00635CDB">
                              <w:rPr>
                                <w:rFonts w:asciiTheme="minorHAnsi" w:hAnsiTheme="minorHAnsi"/>
                                <w:color w:val="FFFFFF" w:themeColor="background1"/>
                                <w:sz w:val="22"/>
                              </w:rPr>
                              <w:t xml:space="preserve"> </w:t>
                            </w:r>
                          </w:p>
                          <w:p w14:paraId="01D5CFED" w14:textId="12E76181" w:rsidR="00627C9F" w:rsidRPr="001757FD" w:rsidRDefault="0046383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1757FD">
                              <w:rPr>
                                <w:rFonts w:asciiTheme="minorHAnsi" w:hAnsiTheme="minorHAnsi"/>
                                <w:color w:val="FFFFFF" w:themeColor="background1"/>
                                <w:sz w:val="22"/>
                                <w:lang w:val="es-PA"/>
                              </w:rPr>
                              <w:t xml:space="preserve"> </w:t>
                            </w:r>
                            <w:r w:rsidR="00627C9F" w:rsidRPr="001757FD">
                              <w:rPr>
                                <w:rFonts w:asciiTheme="minorHAnsi" w:hAnsiTheme="minorHAnsi"/>
                                <w:color w:val="FFFFFF" w:themeColor="background1"/>
                                <w:sz w:val="22"/>
                                <w:lang w:val="es-PA"/>
                              </w:rPr>
                              <w:t>20</w:t>
                            </w:r>
                            <w:r w:rsidR="00C23BA4" w:rsidRPr="001757FD">
                              <w:rPr>
                                <w:rFonts w:asciiTheme="minorHAnsi" w:hAnsiTheme="minorHAnsi"/>
                                <w:color w:val="FFFFFF" w:themeColor="background1"/>
                                <w:sz w:val="22"/>
                                <w:lang w:val="es-PA"/>
                              </w:rPr>
                              <w:t>2</w:t>
                            </w:r>
                            <w:r w:rsidR="00F22B8D" w:rsidRPr="001757F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757FD">
                              <w:rPr>
                                <w:rFonts w:asciiTheme="minorHAnsi" w:hAnsiTheme="minorHAnsi"/>
                                <w:color w:val="FFFFFF" w:themeColor="background1"/>
                                <w:sz w:val="22"/>
                                <w:lang w:val="es-PA"/>
                              </w:rPr>
                              <w:t xml:space="preserve">Original: </w:t>
                            </w:r>
                            <w:r w:rsidR="008B12F5" w:rsidRPr="001757FD">
                              <w:rPr>
                                <w:rFonts w:asciiTheme="minorHAnsi" w:hAnsiTheme="minorHAnsi"/>
                                <w:color w:val="FFFFFF" w:themeColor="background1"/>
                                <w:sz w:val="22"/>
                                <w:lang w:val="es-PA"/>
                              </w:rPr>
                              <w:t>e</w:t>
                            </w:r>
                            <w:r w:rsidR="00627C9F" w:rsidRPr="001757FD">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CA300CC" w:rsidR="00627C9F" w:rsidRPr="00635CDB" w:rsidRDefault="00834D49" w:rsidP="007A5817">
                      <w:pPr>
                        <w:spacing w:line="276" w:lineRule="auto"/>
                        <w:jc w:val="right"/>
                        <w:rPr>
                          <w:rFonts w:asciiTheme="minorHAnsi" w:hAnsiTheme="minorHAnsi"/>
                          <w:color w:val="FFFFFF" w:themeColor="background1"/>
                          <w:sz w:val="22"/>
                        </w:rPr>
                      </w:pPr>
                      <w:r w:rsidRPr="00635CDB">
                        <w:rPr>
                          <w:rFonts w:asciiTheme="minorHAnsi" w:hAnsiTheme="minorHAnsi"/>
                          <w:color w:val="FFFFFF" w:themeColor="background1"/>
                          <w:sz w:val="22"/>
                        </w:rPr>
                        <w:t>OEA/Ser.L/V/II</w:t>
                      </w:r>
                    </w:p>
                    <w:p w14:paraId="28E8B0DD" w14:textId="46479CD9" w:rsidR="00627C9F" w:rsidRPr="00635CDB" w:rsidRDefault="00627C9F" w:rsidP="007A5817">
                      <w:pPr>
                        <w:spacing w:line="276" w:lineRule="auto"/>
                        <w:jc w:val="right"/>
                        <w:rPr>
                          <w:rFonts w:asciiTheme="minorHAnsi" w:hAnsiTheme="minorHAnsi"/>
                          <w:color w:val="FFFFFF" w:themeColor="background1"/>
                          <w:sz w:val="22"/>
                        </w:rPr>
                      </w:pPr>
                      <w:r w:rsidRPr="00635CDB">
                        <w:rPr>
                          <w:rFonts w:asciiTheme="minorHAnsi" w:hAnsiTheme="minorHAnsi"/>
                          <w:color w:val="FFFFFF" w:themeColor="background1"/>
                          <w:sz w:val="22"/>
                        </w:rPr>
                        <w:t>Doc.</w:t>
                      </w:r>
                      <w:r w:rsidR="008C15BE" w:rsidRPr="00635CDB">
                        <w:rPr>
                          <w:rFonts w:asciiTheme="minorHAnsi" w:hAnsiTheme="minorHAnsi"/>
                          <w:color w:val="FFFFFF" w:themeColor="background1"/>
                          <w:sz w:val="22"/>
                        </w:rPr>
                        <w:t xml:space="preserve"> </w:t>
                      </w:r>
                      <w:r w:rsidR="0046383A" w:rsidRPr="00635CDB">
                        <w:rPr>
                          <w:rFonts w:asciiTheme="minorHAnsi" w:hAnsiTheme="minorHAnsi"/>
                          <w:color w:val="FFFFFF" w:themeColor="background1"/>
                          <w:sz w:val="22"/>
                        </w:rPr>
                        <w:t>301</w:t>
                      </w:r>
                      <w:r w:rsidRPr="00635CDB">
                        <w:rPr>
                          <w:rFonts w:asciiTheme="minorHAnsi" w:hAnsiTheme="minorHAnsi"/>
                          <w:color w:val="FFFFFF" w:themeColor="background1"/>
                          <w:sz w:val="22"/>
                        </w:rPr>
                        <w:t xml:space="preserve"> </w:t>
                      </w:r>
                    </w:p>
                    <w:p w14:paraId="01D5CFED" w14:textId="12E76181" w:rsidR="00627C9F" w:rsidRPr="001757FD" w:rsidRDefault="0046383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1757FD">
                        <w:rPr>
                          <w:rFonts w:asciiTheme="minorHAnsi" w:hAnsiTheme="minorHAnsi"/>
                          <w:color w:val="FFFFFF" w:themeColor="background1"/>
                          <w:sz w:val="22"/>
                          <w:lang w:val="es-PA"/>
                        </w:rPr>
                        <w:t xml:space="preserve"> </w:t>
                      </w:r>
                      <w:r w:rsidR="00627C9F" w:rsidRPr="001757FD">
                        <w:rPr>
                          <w:rFonts w:asciiTheme="minorHAnsi" w:hAnsiTheme="minorHAnsi"/>
                          <w:color w:val="FFFFFF" w:themeColor="background1"/>
                          <w:sz w:val="22"/>
                          <w:lang w:val="es-PA"/>
                        </w:rPr>
                        <w:t>20</w:t>
                      </w:r>
                      <w:r w:rsidR="00C23BA4" w:rsidRPr="001757FD">
                        <w:rPr>
                          <w:rFonts w:asciiTheme="minorHAnsi" w:hAnsiTheme="minorHAnsi"/>
                          <w:color w:val="FFFFFF" w:themeColor="background1"/>
                          <w:sz w:val="22"/>
                          <w:lang w:val="es-PA"/>
                        </w:rPr>
                        <w:t>2</w:t>
                      </w:r>
                      <w:r w:rsidR="00F22B8D" w:rsidRPr="001757F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757FD">
                        <w:rPr>
                          <w:rFonts w:asciiTheme="minorHAnsi" w:hAnsiTheme="minorHAnsi"/>
                          <w:color w:val="FFFFFF" w:themeColor="background1"/>
                          <w:sz w:val="22"/>
                          <w:lang w:val="es-PA"/>
                        </w:rPr>
                        <w:t xml:space="preserve">Original: </w:t>
                      </w:r>
                      <w:r w:rsidR="008B12F5" w:rsidRPr="001757FD">
                        <w:rPr>
                          <w:rFonts w:asciiTheme="minorHAnsi" w:hAnsiTheme="minorHAnsi"/>
                          <w:color w:val="FFFFFF" w:themeColor="background1"/>
                          <w:sz w:val="22"/>
                          <w:lang w:val="es-PA"/>
                        </w:rPr>
                        <w:t>e</w:t>
                      </w:r>
                      <w:r w:rsidR="00627C9F" w:rsidRPr="001757FD">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6E396FBD" w14:textId="77777777" w:rsidR="00040C3A" w:rsidRPr="009C00FB" w:rsidRDefault="00040C3A" w:rsidP="00040C3A">
      <w:pPr>
        <w:tabs>
          <w:tab w:val="center" w:pos="5400"/>
        </w:tabs>
        <w:suppressAutoHyphens/>
        <w:jc w:val="center"/>
        <w:rPr>
          <w:rFonts w:asciiTheme="majorHAnsi" w:hAnsiTheme="majorHAnsi"/>
          <w:sz w:val="22"/>
          <w:szCs w:val="22"/>
        </w:rPr>
      </w:pPr>
    </w:p>
    <w:p w14:paraId="2C808D5D" w14:textId="77777777" w:rsidR="00040C3A" w:rsidRPr="009C00FB" w:rsidRDefault="00040C3A" w:rsidP="00040C3A">
      <w:pPr>
        <w:tabs>
          <w:tab w:val="center" w:pos="5400"/>
        </w:tabs>
        <w:suppressAutoHyphens/>
        <w:jc w:val="center"/>
        <w:rPr>
          <w:rFonts w:asciiTheme="majorHAnsi" w:hAnsiTheme="majorHAnsi"/>
          <w:sz w:val="22"/>
          <w:szCs w:val="22"/>
        </w:rPr>
      </w:pPr>
    </w:p>
    <w:p w14:paraId="5ABBEB3F" w14:textId="77777777" w:rsidR="00040C3A" w:rsidRPr="009C00FB"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9C00FB" w:rsidRDefault="00040C3A" w:rsidP="00040C3A">
      <w:pPr>
        <w:tabs>
          <w:tab w:val="center" w:pos="5400"/>
        </w:tabs>
        <w:suppressAutoHyphens/>
        <w:jc w:val="center"/>
        <w:rPr>
          <w:rFonts w:asciiTheme="majorHAnsi" w:hAnsiTheme="majorHAnsi"/>
          <w:sz w:val="22"/>
          <w:szCs w:val="22"/>
        </w:rPr>
      </w:pPr>
    </w:p>
    <w:p w14:paraId="10F1AE9D" w14:textId="77777777" w:rsidR="00040C3A" w:rsidRPr="009C00FB" w:rsidRDefault="00040C3A" w:rsidP="00040C3A">
      <w:pPr>
        <w:tabs>
          <w:tab w:val="center" w:pos="5400"/>
        </w:tabs>
        <w:suppressAutoHyphens/>
        <w:jc w:val="center"/>
        <w:rPr>
          <w:rFonts w:asciiTheme="majorHAnsi" w:hAnsiTheme="majorHAnsi"/>
          <w:sz w:val="22"/>
          <w:szCs w:val="22"/>
        </w:rPr>
      </w:pPr>
    </w:p>
    <w:p w14:paraId="22C4898A" w14:textId="77777777" w:rsidR="00040C3A" w:rsidRPr="009C00FB" w:rsidRDefault="00040C3A" w:rsidP="00040C3A">
      <w:pPr>
        <w:tabs>
          <w:tab w:val="center" w:pos="5400"/>
        </w:tabs>
        <w:suppressAutoHyphens/>
        <w:jc w:val="center"/>
        <w:rPr>
          <w:rFonts w:asciiTheme="majorHAnsi" w:hAnsiTheme="majorHAnsi"/>
          <w:sz w:val="22"/>
          <w:szCs w:val="22"/>
        </w:rPr>
      </w:pPr>
    </w:p>
    <w:p w14:paraId="68DD3811" w14:textId="77777777" w:rsidR="00040C3A" w:rsidRPr="009C00FB" w:rsidRDefault="00040C3A" w:rsidP="00040C3A">
      <w:pPr>
        <w:tabs>
          <w:tab w:val="center" w:pos="5400"/>
        </w:tabs>
        <w:suppressAutoHyphens/>
        <w:jc w:val="center"/>
        <w:rPr>
          <w:rFonts w:asciiTheme="majorHAnsi" w:hAnsiTheme="majorHAnsi"/>
          <w:sz w:val="22"/>
          <w:szCs w:val="22"/>
        </w:rPr>
      </w:pPr>
    </w:p>
    <w:p w14:paraId="09BCC237" w14:textId="77777777" w:rsidR="005128E4" w:rsidRPr="009C00FB" w:rsidRDefault="005128E4" w:rsidP="00040C3A">
      <w:pPr>
        <w:tabs>
          <w:tab w:val="center" w:pos="5400"/>
        </w:tabs>
        <w:suppressAutoHyphens/>
        <w:jc w:val="center"/>
        <w:rPr>
          <w:rFonts w:asciiTheme="majorHAnsi" w:hAnsiTheme="majorHAnsi"/>
          <w:sz w:val="22"/>
          <w:szCs w:val="22"/>
        </w:rPr>
      </w:pPr>
    </w:p>
    <w:p w14:paraId="297369E2" w14:textId="77777777" w:rsidR="00040C3A" w:rsidRPr="009C00FB" w:rsidRDefault="00040C3A" w:rsidP="00040C3A">
      <w:pPr>
        <w:tabs>
          <w:tab w:val="center" w:pos="5400"/>
        </w:tabs>
        <w:suppressAutoHyphens/>
        <w:jc w:val="center"/>
        <w:rPr>
          <w:rFonts w:asciiTheme="majorHAnsi" w:hAnsiTheme="majorHAnsi"/>
          <w:sz w:val="22"/>
          <w:szCs w:val="22"/>
        </w:rPr>
      </w:pPr>
    </w:p>
    <w:p w14:paraId="4BB1DBE4" w14:textId="77777777" w:rsidR="005128E4" w:rsidRPr="009C00FB" w:rsidRDefault="005128E4" w:rsidP="00040C3A">
      <w:pPr>
        <w:tabs>
          <w:tab w:val="center" w:pos="5400"/>
        </w:tabs>
        <w:suppressAutoHyphens/>
        <w:jc w:val="center"/>
        <w:rPr>
          <w:rFonts w:asciiTheme="majorHAnsi" w:hAnsiTheme="majorHAnsi"/>
          <w:sz w:val="22"/>
          <w:szCs w:val="22"/>
        </w:rPr>
      </w:pPr>
    </w:p>
    <w:p w14:paraId="014D9D0A" w14:textId="77777777" w:rsidR="005128E4" w:rsidRPr="009C00FB" w:rsidRDefault="005128E4" w:rsidP="00040C3A">
      <w:pPr>
        <w:tabs>
          <w:tab w:val="center" w:pos="5400"/>
        </w:tabs>
        <w:suppressAutoHyphens/>
        <w:jc w:val="center"/>
        <w:rPr>
          <w:rFonts w:asciiTheme="majorHAnsi" w:hAnsiTheme="majorHAnsi"/>
          <w:sz w:val="22"/>
          <w:szCs w:val="22"/>
        </w:rPr>
      </w:pPr>
    </w:p>
    <w:p w14:paraId="198E28A1" w14:textId="77777777" w:rsidR="005128E4" w:rsidRPr="009C00FB" w:rsidRDefault="005128E4" w:rsidP="00040C3A">
      <w:pPr>
        <w:tabs>
          <w:tab w:val="center" w:pos="5400"/>
        </w:tabs>
        <w:suppressAutoHyphens/>
        <w:jc w:val="center"/>
        <w:rPr>
          <w:rFonts w:asciiTheme="majorHAnsi" w:hAnsiTheme="majorHAnsi"/>
          <w:sz w:val="22"/>
          <w:szCs w:val="22"/>
        </w:rPr>
      </w:pPr>
    </w:p>
    <w:p w14:paraId="7DB97177" w14:textId="77777777" w:rsidR="00040C3A" w:rsidRPr="009C00FB" w:rsidRDefault="00040C3A" w:rsidP="00040C3A">
      <w:pPr>
        <w:tabs>
          <w:tab w:val="center" w:pos="5400"/>
        </w:tabs>
        <w:suppressAutoHyphens/>
        <w:jc w:val="center"/>
        <w:rPr>
          <w:rFonts w:asciiTheme="majorHAnsi" w:hAnsiTheme="majorHAnsi"/>
          <w:sz w:val="22"/>
          <w:szCs w:val="22"/>
        </w:rPr>
      </w:pPr>
    </w:p>
    <w:p w14:paraId="4E42EAC9" w14:textId="77777777" w:rsidR="00040C3A" w:rsidRPr="009C00FB" w:rsidRDefault="00040C3A" w:rsidP="00040C3A">
      <w:pPr>
        <w:tabs>
          <w:tab w:val="center" w:pos="5400"/>
        </w:tabs>
        <w:suppressAutoHyphens/>
        <w:jc w:val="center"/>
        <w:rPr>
          <w:rFonts w:asciiTheme="majorHAnsi" w:hAnsiTheme="majorHAnsi"/>
          <w:sz w:val="22"/>
          <w:szCs w:val="22"/>
        </w:rPr>
      </w:pPr>
    </w:p>
    <w:p w14:paraId="78360FAF" w14:textId="77777777" w:rsidR="00A50FCF" w:rsidRPr="009C00FB" w:rsidRDefault="00A50FCF" w:rsidP="00040C3A">
      <w:pPr>
        <w:tabs>
          <w:tab w:val="center" w:pos="5400"/>
        </w:tabs>
        <w:suppressAutoHyphens/>
        <w:jc w:val="center"/>
        <w:rPr>
          <w:rFonts w:asciiTheme="majorHAnsi" w:hAnsiTheme="majorHAnsi"/>
          <w:sz w:val="18"/>
          <w:szCs w:val="22"/>
        </w:rPr>
      </w:pPr>
    </w:p>
    <w:p w14:paraId="4D04B7A4" w14:textId="77777777" w:rsidR="00A50FCF" w:rsidRPr="009C00FB" w:rsidRDefault="00A50FCF" w:rsidP="00040C3A">
      <w:pPr>
        <w:tabs>
          <w:tab w:val="center" w:pos="5400"/>
        </w:tabs>
        <w:suppressAutoHyphens/>
        <w:jc w:val="center"/>
        <w:rPr>
          <w:rFonts w:asciiTheme="majorHAnsi" w:hAnsiTheme="majorHAnsi"/>
          <w:sz w:val="18"/>
          <w:szCs w:val="22"/>
        </w:rPr>
      </w:pPr>
    </w:p>
    <w:p w14:paraId="4905ED36" w14:textId="77777777" w:rsidR="00A50FCF" w:rsidRPr="009C00FB" w:rsidRDefault="00A50FCF" w:rsidP="00040C3A">
      <w:pPr>
        <w:tabs>
          <w:tab w:val="center" w:pos="5400"/>
        </w:tabs>
        <w:suppressAutoHyphens/>
        <w:jc w:val="center"/>
        <w:rPr>
          <w:rFonts w:asciiTheme="majorHAnsi" w:hAnsiTheme="majorHAnsi"/>
          <w:sz w:val="18"/>
          <w:szCs w:val="22"/>
        </w:rPr>
      </w:pPr>
    </w:p>
    <w:p w14:paraId="036A1A45" w14:textId="77777777" w:rsidR="00A50FCF" w:rsidRPr="009C00FB" w:rsidRDefault="00A50FCF" w:rsidP="00040C3A">
      <w:pPr>
        <w:tabs>
          <w:tab w:val="center" w:pos="5400"/>
        </w:tabs>
        <w:suppressAutoHyphens/>
        <w:jc w:val="center"/>
        <w:rPr>
          <w:rFonts w:asciiTheme="majorHAnsi" w:hAnsiTheme="majorHAnsi"/>
          <w:sz w:val="18"/>
          <w:szCs w:val="22"/>
        </w:rPr>
      </w:pPr>
    </w:p>
    <w:p w14:paraId="187E80E4" w14:textId="77777777" w:rsidR="00A50FCF" w:rsidRPr="009C00FB" w:rsidRDefault="00A50FCF" w:rsidP="00040C3A">
      <w:pPr>
        <w:tabs>
          <w:tab w:val="center" w:pos="5400"/>
        </w:tabs>
        <w:suppressAutoHyphens/>
        <w:jc w:val="center"/>
        <w:rPr>
          <w:rFonts w:asciiTheme="majorHAnsi" w:hAnsiTheme="majorHAnsi"/>
          <w:sz w:val="18"/>
          <w:szCs w:val="22"/>
        </w:rPr>
      </w:pPr>
    </w:p>
    <w:p w14:paraId="48236AAB" w14:textId="77777777" w:rsidR="00A50FCF" w:rsidRPr="009C00FB" w:rsidRDefault="00A50FCF" w:rsidP="00040C3A">
      <w:pPr>
        <w:tabs>
          <w:tab w:val="center" w:pos="5400"/>
        </w:tabs>
        <w:suppressAutoHyphens/>
        <w:jc w:val="center"/>
        <w:rPr>
          <w:rFonts w:asciiTheme="majorHAnsi" w:hAnsiTheme="majorHAnsi"/>
          <w:sz w:val="18"/>
          <w:szCs w:val="22"/>
        </w:rPr>
      </w:pPr>
    </w:p>
    <w:p w14:paraId="11BFF2AC" w14:textId="77777777" w:rsidR="00A50FCF" w:rsidRPr="009C00FB" w:rsidRDefault="00A50FCF" w:rsidP="00040C3A">
      <w:pPr>
        <w:tabs>
          <w:tab w:val="center" w:pos="5400"/>
        </w:tabs>
        <w:suppressAutoHyphens/>
        <w:jc w:val="center"/>
        <w:rPr>
          <w:rFonts w:asciiTheme="majorHAnsi" w:hAnsiTheme="majorHAnsi"/>
          <w:sz w:val="18"/>
          <w:szCs w:val="22"/>
        </w:rPr>
      </w:pPr>
    </w:p>
    <w:p w14:paraId="0BCD6E14" w14:textId="77777777" w:rsidR="00A50FCF" w:rsidRPr="009C00FB" w:rsidRDefault="00A50FCF" w:rsidP="00040C3A">
      <w:pPr>
        <w:tabs>
          <w:tab w:val="center" w:pos="5400"/>
        </w:tabs>
        <w:suppressAutoHyphens/>
        <w:jc w:val="center"/>
        <w:rPr>
          <w:rFonts w:asciiTheme="majorHAnsi" w:hAnsiTheme="majorHAnsi"/>
          <w:sz w:val="18"/>
          <w:szCs w:val="22"/>
        </w:rPr>
      </w:pPr>
    </w:p>
    <w:p w14:paraId="6304B494" w14:textId="77777777" w:rsidR="00A50FCF" w:rsidRPr="009C00FB" w:rsidRDefault="00A50FCF" w:rsidP="00040C3A">
      <w:pPr>
        <w:tabs>
          <w:tab w:val="center" w:pos="5400"/>
        </w:tabs>
        <w:suppressAutoHyphens/>
        <w:jc w:val="center"/>
        <w:rPr>
          <w:rFonts w:asciiTheme="majorHAnsi" w:hAnsiTheme="majorHAnsi"/>
          <w:sz w:val="18"/>
          <w:szCs w:val="22"/>
        </w:rPr>
      </w:pPr>
    </w:p>
    <w:p w14:paraId="46907E43" w14:textId="77777777" w:rsidR="00A50FCF" w:rsidRPr="009C00FB" w:rsidRDefault="00A50FCF" w:rsidP="00040C3A">
      <w:pPr>
        <w:tabs>
          <w:tab w:val="center" w:pos="5400"/>
        </w:tabs>
        <w:suppressAutoHyphens/>
        <w:jc w:val="center"/>
        <w:rPr>
          <w:rFonts w:asciiTheme="majorHAnsi" w:hAnsiTheme="majorHAnsi"/>
          <w:sz w:val="18"/>
          <w:szCs w:val="22"/>
        </w:rPr>
      </w:pPr>
    </w:p>
    <w:p w14:paraId="3048AAC8" w14:textId="77777777" w:rsidR="00A50FCF" w:rsidRPr="009C00FB" w:rsidRDefault="00A50FCF" w:rsidP="00040C3A">
      <w:pPr>
        <w:tabs>
          <w:tab w:val="center" w:pos="5400"/>
        </w:tabs>
        <w:suppressAutoHyphens/>
        <w:jc w:val="center"/>
        <w:rPr>
          <w:rFonts w:asciiTheme="majorHAnsi" w:hAnsiTheme="majorHAnsi"/>
          <w:sz w:val="18"/>
          <w:szCs w:val="22"/>
        </w:rPr>
      </w:pPr>
    </w:p>
    <w:p w14:paraId="6ECC7758" w14:textId="77777777" w:rsidR="00A50FCF" w:rsidRPr="009C00FB" w:rsidRDefault="00A50FCF" w:rsidP="00040C3A">
      <w:pPr>
        <w:tabs>
          <w:tab w:val="center" w:pos="5400"/>
        </w:tabs>
        <w:suppressAutoHyphens/>
        <w:jc w:val="center"/>
        <w:rPr>
          <w:rFonts w:asciiTheme="majorHAnsi" w:hAnsiTheme="majorHAnsi"/>
          <w:sz w:val="18"/>
          <w:szCs w:val="22"/>
        </w:rPr>
      </w:pPr>
    </w:p>
    <w:p w14:paraId="350B701E" w14:textId="77777777" w:rsidR="00A50FCF" w:rsidRPr="009C00FB" w:rsidRDefault="00A50FCF" w:rsidP="00040C3A">
      <w:pPr>
        <w:tabs>
          <w:tab w:val="center" w:pos="5400"/>
        </w:tabs>
        <w:suppressAutoHyphens/>
        <w:jc w:val="center"/>
        <w:rPr>
          <w:rFonts w:asciiTheme="majorHAnsi" w:hAnsiTheme="majorHAnsi"/>
          <w:sz w:val="18"/>
          <w:szCs w:val="22"/>
        </w:rPr>
      </w:pPr>
    </w:p>
    <w:p w14:paraId="12D90033" w14:textId="77777777" w:rsidR="00A50FCF" w:rsidRPr="009C00FB" w:rsidRDefault="00A50FCF" w:rsidP="00040C3A">
      <w:pPr>
        <w:tabs>
          <w:tab w:val="center" w:pos="5400"/>
        </w:tabs>
        <w:suppressAutoHyphens/>
        <w:jc w:val="center"/>
        <w:rPr>
          <w:rFonts w:asciiTheme="majorHAnsi" w:hAnsiTheme="majorHAnsi"/>
          <w:sz w:val="18"/>
          <w:szCs w:val="22"/>
        </w:rPr>
      </w:pPr>
    </w:p>
    <w:p w14:paraId="29E95B14" w14:textId="77777777" w:rsidR="00A50FCF" w:rsidRPr="009C00FB" w:rsidRDefault="0090270B" w:rsidP="00040C3A">
      <w:pPr>
        <w:tabs>
          <w:tab w:val="center" w:pos="5400"/>
        </w:tabs>
        <w:suppressAutoHyphens/>
        <w:jc w:val="center"/>
        <w:rPr>
          <w:rFonts w:asciiTheme="majorHAnsi" w:hAnsiTheme="majorHAnsi"/>
          <w:sz w:val="18"/>
          <w:szCs w:val="22"/>
        </w:rPr>
      </w:pPr>
      <w:r w:rsidRPr="009C00F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A71DE79"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w:t>
                            </w:r>
                            <w:r w:rsidRPr="00EE1B80">
                              <w:rPr>
                                <w:rFonts w:asciiTheme="majorHAnsi" w:hAnsiTheme="majorHAnsi"/>
                                <w:color w:val="0D0D0D" w:themeColor="text1" w:themeTint="F2"/>
                                <w:sz w:val="18"/>
                                <w:szCs w:val="22"/>
                              </w:rPr>
                              <w:t xml:space="preserve">la Comisión el </w:t>
                            </w:r>
                            <w:r w:rsidR="00EE1B80">
                              <w:rPr>
                                <w:rFonts w:asciiTheme="majorHAnsi" w:hAnsiTheme="majorHAnsi"/>
                                <w:color w:val="0D0D0D" w:themeColor="text1" w:themeTint="F2"/>
                                <w:sz w:val="18"/>
                                <w:szCs w:val="22"/>
                              </w:rPr>
                              <w:t>31</w:t>
                            </w:r>
                            <w:r w:rsidRPr="00EE1B80">
                              <w:rPr>
                                <w:rFonts w:asciiTheme="majorHAnsi" w:hAnsiTheme="majorHAnsi"/>
                                <w:color w:val="0D0D0D" w:themeColor="text1" w:themeTint="F2"/>
                                <w:sz w:val="18"/>
                                <w:szCs w:val="22"/>
                              </w:rPr>
                              <w:t xml:space="preserve"> de </w:t>
                            </w:r>
                            <w:r w:rsidR="00EE1B80">
                              <w:rPr>
                                <w:rFonts w:asciiTheme="majorHAnsi" w:hAnsiTheme="majorHAnsi"/>
                                <w:color w:val="0D0D0D" w:themeColor="text1" w:themeTint="F2"/>
                                <w:sz w:val="18"/>
                                <w:szCs w:val="22"/>
                              </w:rPr>
                              <w:t>octubre</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4944E4">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6A71DE79"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w:t>
                      </w:r>
                      <w:r w:rsidRPr="00EE1B80">
                        <w:rPr>
                          <w:rFonts w:asciiTheme="majorHAnsi" w:hAnsiTheme="majorHAnsi"/>
                          <w:color w:val="0D0D0D" w:themeColor="text1" w:themeTint="F2"/>
                          <w:sz w:val="18"/>
                          <w:szCs w:val="22"/>
                        </w:rPr>
                        <w:t xml:space="preserve">la Comisión el </w:t>
                      </w:r>
                      <w:r w:rsidR="00EE1B80">
                        <w:rPr>
                          <w:rFonts w:asciiTheme="majorHAnsi" w:hAnsiTheme="majorHAnsi"/>
                          <w:color w:val="0D0D0D" w:themeColor="text1" w:themeTint="F2"/>
                          <w:sz w:val="18"/>
                          <w:szCs w:val="22"/>
                        </w:rPr>
                        <w:t>31</w:t>
                      </w:r>
                      <w:r w:rsidRPr="00EE1B80">
                        <w:rPr>
                          <w:rFonts w:asciiTheme="majorHAnsi" w:hAnsiTheme="majorHAnsi"/>
                          <w:color w:val="0D0D0D" w:themeColor="text1" w:themeTint="F2"/>
                          <w:sz w:val="18"/>
                          <w:szCs w:val="22"/>
                        </w:rPr>
                        <w:t xml:space="preserve"> de </w:t>
                      </w:r>
                      <w:r w:rsidR="00EE1B80">
                        <w:rPr>
                          <w:rFonts w:asciiTheme="majorHAnsi" w:hAnsiTheme="majorHAnsi"/>
                          <w:color w:val="0D0D0D" w:themeColor="text1" w:themeTint="F2"/>
                          <w:sz w:val="18"/>
                          <w:szCs w:val="22"/>
                        </w:rPr>
                        <w:t>octubre</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4944E4">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9C00FB" w:rsidRDefault="00A50FCF" w:rsidP="00040C3A">
      <w:pPr>
        <w:tabs>
          <w:tab w:val="center" w:pos="5400"/>
        </w:tabs>
        <w:suppressAutoHyphens/>
        <w:jc w:val="center"/>
        <w:rPr>
          <w:rFonts w:asciiTheme="majorHAnsi" w:hAnsiTheme="majorHAnsi"/>
          <w:sz w:val="18"/>
          <w:szCs w:val="22"/>
        </w:rPr>
      </w:pPr>
    </w:p>
    <w:p w14:paraId="5B09582D" w14:textId="77777777" w:rsidR="00A50FCF" w:rsidRPr="009C00FB" w:rsidRDefault="00A50FCF" w:rsidP="00040C3A">
      <w:pPr>
        <w:tabs>
          <w:tab w:val="center" w:pos="5400"/>
        </w:tabs>
        <w:suppressAutoHyphens/>
        <w:jc w:val="center"/>
        <w:rPr>
          <w:rFonts w:asciiTheme="majorHAnsi" w:hAnsiTheme="majorHAnsi"/>
          <w:sz w:val="18"/>
          <w:szCs w:val="22"/>
        </w:rPr>
      </w:pPr>
    </w:p>
    <w:p w14:paraId="10889416" w14:textId="77777777" w:rsidR="00A50FCF" w:rsidRPr="009C00FB" w:rsidRDefault="00A50FCF" w:rsidP="00040C3A">
      <w:pPr>
        <w:tabs>
          <w:tab w:val="center" w:pos="5400"/>
        </w:tabs>
        <w:suppressAutoHyphens/>
        <w:jc w:val="center"/>
        <w:rPr>
          <w:rFonts w:asciiTheme="majorHAnsi" w:hAnsiTheme="majorHAnsi"/>
          <w:sz w:val="18"/>
          <w:szCs w:val="22"/>
        </w:rPr>
      </w:pPr>
    </w:p>
    <w:p w14:paraId="62A5CC62" w14:textId="5288760C" w:rsidR="00A50FCF" w:rsidRPr="009C00FB" w:rsidRDefault="00A50FCF" w:rsidP="00040C3A">
      <w:pPr>
        <w:tabs>
          <w:tab w:val="center" w:pos="5400"/>
        </w:tabs>
        <w:suppressAutoHyphens/>
        <w:jc w:val="center"/>
        <w:rPr>
          <w:rFonts w:asciiTheme="majorHAnsi" w:hAnsiTheme="majorHAnsi"/>
          <w:sz w:val="18"/>
          <w:szCs w:val="22"/>
        </w:rPr>
      </w:pPr>
    </w:p>
    <w:p w14:paraId="0D9EB4E1" w14:textId="55344D5B" w:rsidR="00A50FCF" w:rsidRPr="009C00FB" w:rsidRDefault="0090270B" w:rsidP="00040C3A">
      <w:pPr>
        <w:tabs>
          <w:tab w:val="center" w:pos="5400"/>
        </w:tabs>
        <w:suppressAutoHyphens/>
        <w:jc w:val="center"/>
        <w:rPr>
          <w:rFonts w:asciiTheme="majorHAnsi" w:hAnsiTheme="majorHAnsi"/>
          <w:sz w:val="18"/>
          <w:szCs w:val="22"/>
        </w:rPr>
      </w:pPr>
      <w:r w:rsidRPr="009C00F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AD81643" w:rsidR="00113F73" w:rsidRPr="00301CF7" w:rsidRDefault="00113F73" w:rsidP="00113F73">
                            <w:pPr>
                              <w:spacing w:line="276" w:lineRule="auto"/>
                              <w:rPr>
                                <w:rFonts w:asciiTheme="majorHAnsi" w:hAnsiTheme="majorHAnsi"/>
                                <w:color w:val="595959" w:themeColor="text1" w:themeTint="A6"/>
                                <w:sz w:val="18"/>
                                <w:szCs w:val="18"/>
                              </w:rPr>
                            </w:pPr>
                            <w:r w:rsidRPr="00212D8E">
                              <w:rPr>
                                <w:rFonts w:asciiTheme="majorHAnsi" w:hAnsiTheme="majorHAnsi"/>
                                <w:b/>
                                <w:color w:val="595959" w:themeColor="text1" w:themeTint="A6"/>
                                <w:sz w:val="18"/>
                                <w:szCs w:val="18"/>
                                <w:lang w:val="pt-BR"/>
                              </w:rPr>
                              <w:t>Citar como:</w:t>
                            </w:r>
                            <w:r w:rsidRPr="00212D8E">
                              <w:rPr>
                                <w:rFonts w:asciiTheme="majorHAnsi" w:hAnsiTheme="majorHAnsi"/>
                                <w:color w:val="595959" w:themeColor="text1" w:themeTint="A6"/>
                                <w:sz w:val="18"/>
                                <w:szCs w:val="18"/>
                                <w:lang w:val="pt-BR"/>
                              </w:rPr>
                              <w:t xml:space="preserve"> CIDH, Informe No. </w:t>
                            </w:r>
                            <w:r w:rsidR="00EE1B80" w:rsidRPr="00EE1B80">
                              <w:rPr>
                                <w:rFonts w:asciiTheme="majorHAnsi" w:hAnsiTheme="majorHAnsi"/>
                                <w:color w:val="595959" w:themeColor="text1" w:themeTint="A6"/>
                                <w:sz w:val="18"/>
                                <w:szCs w:val="18"/>
                                <w:lang w:val="pt-BR"/>
                              </w:rPr>
                              <w:t>281</w:t>
                            </w:r>
                            <w:r w:rsidR="007B05C4" w:rsidRPr="00EE1B80">
                              <w:rPr>
                                <w:rFonts w:asciiTheme="majorHAnsi" w:hAnsiTheme="majorHAnsi"/>
                                <w:color w:val="595959" w:themeColor="text1" w:themeTint="A6"/>
                                <w:sz w:val="18"/>
                                <w:szCs w:val="18"/>
                                <w:lang w:val="pt-BR"/>
                              </w:rPr>
                              <w:t>/</w:t>
                            </w:r>
                            <w:r w:rsidR="005C2CFE" w:rsidRPr="00EE1B80">
                              <w:rPr>
                                <w:rFonts w:asciiTheme="majorHAnsi" w:hAnsiTheme="majorHAnsi"/>
                                <w:color w:val="595959" w:themeColor="text1" w:themeTint="A6"/>
                                <w:sz w:val="18"/>
                                <w:szCs w:val="18"/>
                                <w:lang w:val="pt-BR"/>
                              </w:rPr>
                              <w:t>23</w:t>
                            </w:r>
                            <w:r w:rsidRPr="00EE1B80">
                              <w:rPr>
                                <w:rFonts w:asciiTheme="majorHAnsi" w:hAnsiTheme="majorHAnsi"/>
                                <w:color w:val="595959" w:themeColor="text1" w:themeTint="A6"/>
                                <w:sz w:val="18"/>
                                <w:szCs w:val="18"/>
                                <w:lang w:val="pt-BR"/>
                              </w:rPr>
                              <w:t xml:space="preserve">. </w:t>
                            </w:r>
                            <w:r w:rsidR="000433C9" w:rsidRPr="00212D8E">
                              <w:rPr>
                                <w:rFonts w:asciiTheme="majorHAnsi" w:hAnsiTheme="majorHAnsi"/>
                                <w:color w:val="595959" w:themeColor="text1" w:themeTint="A6"/>
                                <w:sz w:val="18"/>
                                <w:szCs w:val="18"/>
                              </w:rPr>
                              <w:t xml:space="preserve">Petición </w:t>
                            </w:r>
                            <w:r w:rsidR="002E05B0">
                              <w:rPr>
                                <w:rFonts w:asciiTheme="majorHAnsi" w:hAnsiTheme="majorHAnsi"/>
                                <w:color w:val="595959" w:themeColor="text1" w:themeTint="A6"/>
                                <w:sz w:val="18"/>
                                <w:szCs w:val="18"/>
                              </w:rPr>
                              <w:t>1660</w:t>
                            </w:r>
                            <w:r w:rsidR="000C1F14" w:rsidRPr="00212D8E">
                              <w:rPr>
                                <w:rFonts w:asciiTheme="majorHAnsi" w:hAnsiTheme="majorHAnsi"/>
                                <w:color w:val="595959" w:themeColor="text1" w:themeTint="A6"/>
                                <w:sz w:val="18"/>
                                <w:szCs w:val="18"/>
                              </w:rPr>
                              <w:t>-</w:t>
                            </w:r>
                            <w:r w:rsidR="00873482" w:rsidRPr="00212D8E">
                              <w:rPr>
                                <w:rFonts w:asciiTheme="majorHAnsi" w:hAnsiTheme="majorHAnsi"/>
                                <w:color w:val="595959" w:themeColor="text1" w:themeTint="A6"/>
                                <w:sz w:val="18"/>
                                <w:szCs w:val="18"/>
                              </w:rPr>
                              <w:t>13</w:t>
                            </w:r>
                            <w:r w:rsidR="000433C9" w:rsidRPr="00212D8E">
                              <w:rPr>
                                <w:rFonts w:asciiTheme="majorHAnsi" w:hAnsiTheme="majorHAnsi"/>
                                <w:color w:val="595959" w:themeColor="text1" w:themeTint="A6"/>
                                <w:sz w:val="18"/>
                                <w:szCs w:val="18"/>
                              </w:rPr>
                              <w:t xml:space="preserve">. </w:t>
                            </w:r>
                            <w:r w:rsidR="00547837" w:rsidRPr="00547837">
                              <w:rPr>
                                <w:rFonts w:asciiTheme="majorHAnsi" w:hAnsiTheme="majorHAnsi"/>
                                <w:color w:val="595959" w:themeColor="text1" w:themeTint="A6"/>
                                <w:sz w:val="18"/>
                                <w:szCs w:val="18"/>
                              </w:rPr>
                              <w:t>A</w:t>
                            </w:r>
                            <w:r w:rsidRPr="00547837">
                              <w:rPr>
                                <w:rFonts w:asciiTheme="majorHAnsi" w:hAnsiTheme="majorHAnsi"/>
                                <w:color w:val="595959" w:themeColor="text1" w:themeTint="A6"/>
                                <w:sz w:val="18"/>
                                <w:szCs w:val="18"/>
                              </w:rPr>
                              <w:t>dmisibilidad</w:t>
                            </w:r>
                            <w:r w:rsidRPr="00212D8E">
                              <w:rPr>
                                <w:rFonts w:asciiTheme="majorHAnsi" w:hAnsiTheme="majorHAnsi"/>
                                <w:color w:val="595959" w:themeColor="text1" w:themeTint="A6"/>
                                <w:sz w:val="18"/>
                                <w:szCs w:val="18"/>
                              </w:rPr>
                              <w:t>.</w:t>
                            </w:r>
                            <w:r w:rsidR="00301CF7" w:rsidRPr="00212D8E">
                              <w:rPr>
                                <w:rFonts w:asciiTheme="majorHAnsi" w:hAnsiTheme="majorHAnsi"/>
                                <w:color w:val="595959" w:themeColor="text1" w:themeTint="A6"/>
                                <w:sz w:val="18"/>
                                <w:szCs w:val="18"/>
                              </w:rPr>
                              <w:t xml:space="preserve"> </w:t>
                            </w:r>
                            <w:r w:rsidR="00212D8E" w:rsidRPr="00212D8E">
                              <w:rPr>
                                <w:rFonts w:asciiTheme="majorHAnsi" w:hAnsiTheme="majorHAnsi"/>
                                <w:color w:val="595959" w:themeColor="text1" w:themeTint="A6"/>
                                <w:sz w:val="18"/>
                                <w:szCs w:val="18"/>
                                <w:lang w:val="es-ES_tradnl"/>
                              </w:rPr>
                              <w:t xml:space="preserve">Sócrates López Escobar </w:t>
                            </w:r>
                            <w:r w:rsidR="00212D8E">
                              <w:rPr>
                                <w:rFonts w:asciiTheme="majorHAnsi" w:hAnsiTheme="majorHAnsi"/>
                                <w:color w:val="595959" w:themeColor="text1" w:themeTint="A6"/>
                                <w:sz w:val="18"/>
                                <w:szCs w:val="18"/>
                                <w:lang w:val="es-ES_tradnl"/>
                              </w:rPr>
                              <w:t>y</w:t>
                            </w:r>
                            <w:r w:rsidR="00212D8E" w:rsidRPr="00212D8E">
                              <w:rPr>
                                <w:rFonts w:asciiTheme="majorHAnsi" w:hAnsiTheme="majorHAnsi"/>
                                <w:color w:val="595959" w:themeColor="text1" w:themeTint="A6"/>
                                <w:sz w:val="18"/>
                                <w:szCs w:val="18"/>
                                <w:lang w:val="es-ES_tradnl"/>
                              </w:rPr>
                              <w:t xml:space="preserve"> </w:t>
                            </w:r>
                            <w:r w:rsidR="00353388">
                              <w:rPr>
                                <w:rFonts w:asciiTheme="majorHAnsi" w:hAnsiTheme="majorHAnsi"/>
                                <w:color w:val="595959" w:themeColor="text1" w:themeTint="A6"/>
                                <w:sz w:val="18"/>
                                <w:szCs w:val="18"/>
                                <w:lang w:val="es-ES_tradnl"/>
                              </w:rPr>
                              <w:t>Francisco Javier Soto Núñez</w:t>
                            </w:r>
                            <w:r w:rsidRPr="00212D8E">
                              <w:rPr>
                                <w:rFonts w:asciiTheme="majorHAnsi" w:hAnsiTheme="majorHAnsi"/>
                                <w:color w:val="595959" w:themeColor="text1" w:themeTint="A6"/>
                                <w:sz w:val="18"/>
                                <w:szCs w:val="18"/>
                              </w:rPr>
                              <w:t xml:space="preserve">. </w:t>
                            </w:r>
                            <w:r w:rsidR="000C1F14" w:rsidRPr="00212D8E">
                              <w:rPr>
                                <w:rFonts w:asciiTheme="majorHAnsi" w:hAnsiTheme="majorHAnsi"/>
                                <w:color w:val="595959" w:themeColor="text1" w:themeTint="A6"/>
                                <w:sz w:val="18"/>
                                <w:szCs w:val="18"/>
                              </w:rPr>
                              <w:t>México</w:t>
                            </w:r>
                            <w:r w:rsidRPr="00212D8E">
                              <w:rPr>
                                <w:rFonts w:asciiTheme="majorHAnsi" w:hAnsiTheme="majorHAnsi"/>
                                <w:color w:val="595959" w:themeColor="text1" w:themeTint="A6"/>
                                <w:sz w:val="18"/>
                                <w:szCs w:val="18"/>
                              </w:rPr>
                              <w:t xml:space="preserve">. </w:t>
                            </w:r>
                            <w:r w:rsidR="00EE1B80">
                              <w:rPr>
                                <w:rFonts w:asciiTheme="majorHAnsi" w:hAnsiTheme="majorHAnsi"/>
                                <w:color w:val="595959" w:themeColor="text1" w:themeTint="A6"/>
                                <w:sz w:val="18"/>
                                <w:szCs w:val="18"/>
                              </w:rPr>
                              <w:t>31 de octubre de 2023</w:t>
                            </w:r>
                            <w:r w:rsidRPr="00212D8E">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4375F82" w14:textId="0AD81643" w:rsidR="00113F73" w:rsidRPr="00301CF7" w:rsidRDefault="00113F73" w:rsidP="00113F73">
                      <w:pPr>
                        <w:spacing w:line="276" w:lineRule="auto"/>
                        <w:rPr>
                          <w:rFonts w:asciiTheme="majorHAnsi" w:hAnsiTheme="majorHAnsi"/>
                          <w:color w:val="595959" w:themeColor="text1" w:themeTint="A6"/>
                          <w:sz w:val="18"/>
                          <w:szCs w:val="18"/>
                        </w:rPr>
                      </w:pPr>
                      <w:r w:rsidRPr="00212D8E">
                        <w:rPr>
                          <w:rFonts w:asciiTheme="majorHAnsi" w:hAnsiTheme="majorHAnsi"/>
                          <w:b/>
                          <w:color w:val="595959" w:themeColor="text1" w:themeTint="A6"/>
                          <w:sz w:val="18"/>
                          <w:szCs w:val="18"/>
                          <w:lang w:val="pt-BR"/>
                        </w:rPr>
                        <w:t>Citar como:</w:t>
                      </w:r>
                      <w:r w:rsidRPr="00212D8E">
                        <w:rPr>
                          <w:rFonts w:asciiTheme="majorHAnsi" w:hAnsiTheme="majorHAnsi"/>
                          <w:color w:val="595959" w:themeColor="text1" w:themeTint="A6"/>
                          <w:sz w:val="18"/>
                          <w:szCs w:val="18"/>
                          <w:lang w:val="pt-BR"/>
                        </w:rPr>
                        <w:t xml:space="preserve"> CIDH, Informe No. </w:t>
                      </w:r>
                      <w:r w:rsidR="00EE1B80" w:rsidRPr="00EE1B80">
                        <w:rPr>
                          <w:rFonts w:asciiTheme="majorHAnsi" w:hAnsiTheme="majorHAnsi"/>
                          <w:color w:val="595959" w:themeColor="text1" w:themeTint="A6"/>
                          <w:sz w:val="18"/>
                          <w:szCs w:val="18"/>
                          <w:lang w:val="pt-BR"/>
                        </w:rPr>
                        <w:t>281</w:t>
                      </w:r>
                      <w:r w:rsidR="007B05C4" w:rsidRPr="00EE1B80">
                        <w:rPr>
                          <w:rFonts w:asciiTheme="majorHAnsi" w:hAnsiTheme="majorHAnsi"/>
                          <w:color w:val="595959" w:themeColor="text1" w:themeTint="A6"/>
                          <w:sz w:val="18"/>
                          <w:szCs w:val="18"/>
                          <w:lang w:val="pt-BR"/>
                        </w:rPr>
                        <w:t>/</w:t>
                      </w:r>
                      <w:r w:rsidR="005C2CFE" w:rsidRPr="00EE1B80">
                        <w:rPr>
                          <w:rFonts w:asciiTheme="majorHAnsi" w:hAnsiTheme="majorHAnsi"/>
                          <w:color w:val="595959" w:themeColor="text1" w:themeTint="A6"/>
                          <w:sz w:val="18"/>
                          <w:szCs w:val="18"/>
                          <w:lang w:val="pt-BR"/>
                        </w:rPr>
                        <w:t>23</w:t>
                      </w:r>
                      <w:r w:rsidRPr="00EE1B80">
                        <w:rPr>
                          <w:rFonts w:asciiTheme="majorHAnsi" w:hAnsiTheme="majorHAnsi"/>
                          <w:color w:val="595959" w:themeColor="text1" w:themeTint="A6"/>
                          <w:sz w:val="18"/>
                          <w:szCs w:val="18"/>
                          <w:lang w:val="pt-BR"/>
                        </w:rPr>
                        <w:t xml:space="preserve">. </w:t>
                      </w:r>
                      <w:r w:rsidR="000433C9" w:rsidRPr="00212D8E">
                        <w:rPr>
                          <w:rFonts w:asciiTheme="majorHAnsi" w:hAnsiTheme="majorHAnsi"/>
                          <w:color w:val="595959" w:themeColor="text1" w:themeTint="A6"/>
                          <w:sz w:val="18"/>
                          <w:szCs w:val="18"/>
                        </w:rPr>
                        <w:t xml:space="preserve">Petición </w:t>
                      </w:r>
                      <w:r w:rsidR="002E05B0">
                        <w:rPr>
                          <w:rFonts w:asciiTheme="majorHAnsi" w:hAnsiTheme="majorHAnsi"/>
                          <w:color w:val="595959" w:themeColor="text1" w:themeTint="A6"/>
                          <w:sz w:val="18"/>
                          <w:szCs w:val="18"/>
                        </w:rPr>
                        <w:t>1660</w:t>
                      </w:r>
                      <w:r w:rsidR="000C1F14" w:rsidRPr="00212D8E">
                        <w:rPr>
                          <w:rFonts w:asciiTheme="majorHAnsi" w:hAnsiTheme="majorHAnsi"/>
                          <w:color w:val="595959" w:themeColor="text1" w:themeTint="A6"/>
                          <w:sz w:val="18"/>
                          <w:szCs w:val="18"/>
                        </w:rPr>
                        <w:t>-</w:t>
                      </w:r>
                      <w:r w:rsidR="00873482" w:rsidRPr="00212D8E">
                        <w:rPr>
                          <w:rFonts w:asciiTheme="majorHAnsi" w:hAnsiTheme="majorHAnsi"/>
                          <w:color w:val="595959" w:themeColor="text1" w:themeTint="A6"/>
                          <w:sz w:val="18"/>
                          <w:szCs w:val="18"/>
                        </w:rPr>
                        <w:t>13</w:t>
                      </w:r>
                      <w:r w:rsidR="000433C9" w:rsidRPr="00212D8E">
                        <w:rPr>
                          <w:rFonts w:asciiTheme="majorHAnsi" w:hAnsiTheme="majorHAnsi"/>
                          <w:color w:val="595959" w:themeColor="text1" w:themeTint="A6"/>
                          <w:sz w:val="18"/>
                          <w:szCs w:val="18"/>
                        </w:rPr>
                        <w:t xml:space="preserve">. </w:t>
                      </w:r>
                      <w:r w:rsidR="00547837" w:rsidRPr="00547837">
                        <w:rPr>
                          <w:rFonts w:asciiTheme="majorHAnsi" w:hAnsiTheme="majorHAnsi"/>
                          <w:color w:val="595959" w:themeColor="text1" w:themeTint="A6"/>
                          <w:sz w:val="18"/>
                          <w:szCs w:val="18"/>
                        </w:rPr>
                        <w:t>A</w:t>
                      </w:r>
                      <w:r w:rsidRPr="00547837">
                        <w:rPr>
                          <w:rFonts w:asciiTheme="majorHAnsi" w:hAnsiTheme="majorHAnsi"/>
                          <w:color w:val="595959" w:themeColor="text1" w:themeTint="A6"/>
                          <w:sz w:val="18"/>
                          <w:szCs w:val="18"/>
                        </w:rPr>
                        <w:t>dmisibilidad</w:t>
                      </w:r>
                      <w:r w:rsidRPr="00212D8E">
                        <w:rPr>
                          <w:rFonts w:asciiTheme="majorHAnsi" w:hAnsiTheme="majorHAnsi"/>
                          <w:color w:val="595959" w:themeColor="text1" w:themeTint="A6"/>
                          <w:sz w:val="18"/>
                          <w:szCs w:val="18"/>
                        </w:rPr>
                        <w:t>.</w:t>
                      </w:r>
                      <w:r w:rsidR="00301CF7" w:rsidRPr="00212D8E">
                        <w:rPr>
                          <w:rFonts w:asciiTheme="majorHAnsi" w:hAnsiTheme="majorHAnsi"/>
                          <w:color w:val="595959" w:themeColor="text1" w:themeTint="A6"/>
                          <w:sz w:val="18"/>
                          <w:szCs w:val="18"/>
                        </w:rPr>
                        <w:t xml:space="preserve"> </w:t>
                      </w:r>
                      <w:r w:rsidR="00212D8E" w:rsidRPr="00212D8E">
                        <w:rPr>
                          <w:rFonts w:asciiTheme="majorHAnsi" w:hAnsiTheme="majorHAnsi"/>
                          <w:color w:val="595959" w:themeColor="text1" w:themeTint="A6"/>
                          <w:sz w:val="18"/>
                          <w:szCs w:val="18"/>
                          <w:lang w:val="es-ES_tradnl"/>
                        </w:rPr>
                        <w:t xml:space="preserve">Sócrates López Escobar </w:t>
                      </w:r>
                      <w:r w:rsidR="00212D8E">
                        <w:rPr>
                          <w:rFonts w:asciiTheme="majorHAnsi" w:hAnsiTheme="majorHAnsi"/>
                          <w:color w:val="595959" w:themeColor="text1" w:themeTint="A6"/>
                          <w:sz w:val="18"/>
                          <w:szCs w:val="18"/>
                          <w:lang w:val="es-ES_tradnl"/>
                        </w:rPr>
                        <w:t>y</w:t>
                      </w:r>
                      <w:r w:rsidR="00212D8E" w:rsidRPr="00212D8E">
                        <w:rPr>
                          <w:rFonts w:asciiTheme="majorHAnsi" w:hAnsiTheme="majorHAnsi"/>
                          <w:color w:val="595959" w:themeColor="text1" w:themeTint="A6"/>
                          <w:sz w:val="18"/>
                          <w:szCs w:val="18"/>
                          <w:lang w:val="es-ES_tradnl"/>
                        </w:rPr>
                        <w:t xml:space="preserve"> </w:t>
                      </w:r>
                      <w:r w:rsidR="00353388">
                        <w:rPr>
                          <w:rFonts w:asciiTheme="majorHAnsi" w:hAnsiTheme="majorHAnsi"/>
                          <w:color w:val="595959" w:themeColor="text1" w:themeTint="A6"/>
                          <w:sz w:val="18"/>
                          <w:szCs w:val="18"/>
                          <w:lang w:val="es-ES_tradnl"/>
                        </w:rPr>
                        <w:t>Francisco Javier Soto Núñez</w:t>
                      </w:r>
                      <w:r w:rsidRPr="00212D8E">
                        <w:rPr>
                          <w:rFonts w:asciiTheme="majorHAnsi" w:hAnsiTheme="majorHAnsi"/>
                          <w:color w:val="595959" w:themeColor="text1" w:themeTint="A6"/>
                          <w:sz w:val="18"/>
                          <w:szCs w:val="18"/>
                        </w:rPr>
                        <w:t xml:space="preserve">. </w:t>
                      </w:r>
                      <w:r w:rsidR="000C1F14" w:rsidRPr="00212D8E">
                        <w:rPr>
                          <w:rFonts w:asciiTheme="majorHAnsi" w:hAnsiTheme="majorHAnsi"/>
                          <w:color w:val="595959" w:themeColor="text1" w:themeTint="A6"/>
                          <w:sz w:val="18"/>
                          <w:szCs w:val="18"/>
                        </w:rPr>
                        <w:t>México</w:t>
                      </w:r>
                      <w:r w:rsidRPr="00212D8E">
                        <w:rPr>
                          <w:rFonts w:asciiTheme="majorHAnsi" w:hAnsiTheme="majorHAnsi"/>
                          <w:color w:val="595959" w:themeColor="text1" w:themeTint="A6"/>
                          <w:sz w:val="18"/>
                          <w:szCs w:val="18"/>
                        </w:rPr>
                        <w:t xml:space="preserve">. </w:t>
                      </w:r>
                      <w:r w:rsidR="00EE1B80">
                        <w:rPr>
                          <w:rFonts w:asciiTheme="majorHAnsi" w:hAnsiTheme="majorHAnsi"/>
                          <w:color w:val="595959" w:themeColor="text1" w:themeTint="A6"/>
                          <w:sz w:val="18"/>
                          <w:szCs w:val="18"/>
                        </w:rPr>
                        <w:t>31 de octubre de 2023</w:t>
                      </w:r>
                      <w:r w:rsidRPr="00212D8E">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9C00FB" w:rsidRDefault="00A50FCF" w:rsidP="00040C3A">
      <w:pPr>
        <w:tabs>
          <w:tab w:val="center" w:pos="5400"/>
        </w:tabs>
        <w:suppressAutoHyphens/>
        <w:jc w:val="center"/>
        <w:rPr>
          <w:rFonts w:asciiTheme="majorHAnsi" w:hAnsiTheme="majorHAnsi"/>
          <w:sz w:val="18"/>
          <w:szCs w:val="22"/>
        </w:rPr>
      </w:pPr>
    </w:p>
    <w:p w14:paraId="08811514" w14:textId="6EBA9F03" w:rsidR="0090270B" w:rsidRPr="009C00FB" w:rsidRDefault="00D306D1" w:rsidP="005516A1">
      <w:pPr>
        <w:tabs>
          <w:tab w:val="center" w:pos="5400"/>
        </w:tabs>
        <w:suppressAutoHyphens/>
        <w:jc w:val="center"/>
        <w:rPr>
          <w:rFonts w:asciiTheme="majorHAnsi" w:hAnsiTheme="majorHAnsi"/>
          <w:b/>
          <w:sz w:val="20"/>
        </w:rPr>
      </w:pPr>
      <w:r w:rsidRPr="009C00F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46CB8ED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873352C" w:rsidR="0070697F" w:rsidRPr="009C00FB" w:rsidRDefault="00353388" w:rsidP="005516A1">
      <w:pPr>
        <w:tabs>
          <w:tab w:val="center" w:pos="5400"/>
        </w:tabs>
        <w:suppressAutoHyphens/>
        <w:jc w:val="center"/>
        <w:rPr>
          <w:rFonts w:asciiTheme="majorHAnsi" w:hAnsiTheme="majorHAnsi"/>
          <w:b/>
          <w:sz w:val="20"/>
        </w:rPr>
        <w:sectPr w:rsidR="0070697F" w:rsidRPr="009C00FB" w:rsidSect="00B16ECE">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9C00F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6AADBCEA">
                <wp:simplePos x="0" y="0"/>
                <wp:positionH relativeFrom="column">
                  <wp:posOffset>1301115</wp:posOffset>
                </wp:positionH>
                <wp:positionV relativeFrom="paragraph">
                  <wp:posOffset>527050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2.45pt;margin-top:4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9C00FB">
        <w:rPr>
          <w:rFonts w:asciiTheme="majorHAnsi" w:hAnsiTheme="majorHAnsi"/>
          <w:b/>
          <w:sz w:val="20"/>
        </w:rPr>
        <w:tab/>
      </w:r>
    </w:p>
    <w:p w14:paraId="677724F6" w14:textId="77777777" w:rsidR="003239B8" w:rsidRPr="009C00FB" w:rsidRDefault="003239B8" w:rsidP="004A6A54">
      <w:pPr>
        <w:spacing w:after="240"/>
        <w:ind w:firstLine="720"/>
        <w:jc w:val="both"/>
        <w:rPr>
          <w:rFonts w:asciiTheme="majorHAnsi" w:hAnsiTheme="majorHAnsi"/>
          <w:b/>
          <w:bCs/>
          <w:sz w:val="20"/>
          <w:szCs w:val="20"/>
        </w:rPr>
      </w:pPr>
      <w:r w:rsidRPr="009C00FB">
        <w:rPr>
          <w:rFonts w:asciiTheme="majorHAnsi" w:hAnsiTheme="majorHAnsi"/>
          <w:b/>
          <w:bCs/>
          <w:sz w:val="20"/>
          <w:szCs w:val="20"/>
        </w:rPr>
        <w:lastRenderedPageBreak/>
        <w:t>I.</w:t>
      </w:r>
      <w:r w:rsidRPr="009C00FB">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C00FB"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9C00FB" w:rsidRDefault="003239B8" w:rsidP="008D2290">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Parte peticionaria:</w:t>
            </w:r>
          </w:p>
        </w:tc>
        <w:tc>
          <w:tcPr>
            <w:tcW w:w="5647" w:type="dxa"/>
            <w:vAlign w:val="center"/>
          </w:tcPr>
          <w:p w14:paraId="7124A019" w14:textId="23E618FD" w:rsidR="00241063" w:rsidRPr="009C00FB" w:rsidRDefault="00212D8E" w:rsidP="00E8537D">
            <w:pPr>
              <w:jc w:val="both"/>
              <w:rPr>
                <w:rFonts w:ascii="Cambria" w:hAnsi="Cambria"/>
                <w:bCs/>
                <w:sz w:val="20"/>
                <w:szCs w:val="20"/>
              </w:rPr>
            </w:pPr>
            <w:r w:rsidRPr="009C00FB">
              <w:rPr>
                <w:rFonts w:ascii="Cambria" w:hAnsi="Cambria"/>
                <w:bCs/>
                <w:sz w:val="20"/>
                <w:szCs w:val="20"/>
              </w:rPr>
              <w:t>Ramiro Ramírez Pacheco</w:t>
            </w:r>
          </w:p>
        </w:tc>
      </w:tr>
      <w:tr w:rsidR="003239B8" w:rsidRPr="009C00FB"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9C00FB" w:rsidRDefault="006F5E1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9C00FB">
                  <w:rPr>
                    <w:rFonts w:ascii="Cambria" w:hAnsi="Cambria"/>
                    <w:b/>
                    <w:bCs/>
                    <w:color w:val="FFFFFF" w:themeColor="background1"/>
                    <w:sz w:val="20"/>
                    <w:szCs w:val="20"/>
                  </w:rPr>
                  <w:t>Presunta víctima</w:t>
                </w:r>
              </w:sdtContent>
            </w:sdt>
            <w:r w:rsidR="003239B8" w:rsidRPr="009C00FB">
              <w:rPr>
                <w:rFonts w:ascii="Cambria" w:hAnsi="Cambria"/>
                <w:b/>
                <w:bCs/>
                <w:color w:val="FFFFFF" w:themeColor="background1"/>
                <w:sz w:val="20"/>
                <w:szCs w:val="20"/>
              </w:rPr>
              <w:t>:</w:t>
            </w:r>
          </w:p>
        </w:tc>
        <w:tc>
          <w:tcPr>
            <w:tcW w:w="5647" w:type="dxa"/>
            <w:vAlign w:val="center"/>
          </w:tcPr>
          <w:p w14:paraId="3B4F7E87" w14:textId="4646FC4B" w:rsidR="003239B8" w:rsidRPr="009C00FB" w:rsidRDefault="00212D8E" w:rsidP="008D2290">
            <w:pPr>
              <w:jc w:val="both"/>
              <w:rPr>
                <w:rFonts w:ascii="Cambria" w:hAnsi="Cambria"/>
                <w:bCs/>
                <w:sz w:val="20"/>
                <w:szCs w:val="20"/>
              </w:rPr>
            </w:pPr>
            <w:r w:rsidRPr="009C00FB">
              <w:rPr>
                <w:rFonts w:ascii="Cambria" w:hAnsi="Cambria"/>
                <w:bCs/>
                <w:sz w:val="20"/>
                <w:szCs w:val="20"/>
              </w:rPr>
              <w:t xml:space="preserve">Sócrates López Escobar y Francisco </w:t>
            </w:r>
            <w:r w:rsidR="00072753">
              <w:rPr>
                <w:rFonts w:ascii="Cambria" w:hAnsi="Cambria"/>
                <w:bCs/>
                <w:sz w:val="20"/>
                <w:szCs w:val="20"/>
              </w:rPr>
              <w:t xml:space="preserve">Javier </w:t>
            </w:r>
            <w:r w:rsidRPr="009C00FB">
              <w:rPr>
                <w:rFonts w:ascii="Cambria" w:hAnsi="Cambria"/>
                <w:bCs/>
                <w:sz w:val="20"/>
                <w:szCs w:val="20"/>
              </w:rPr>
              <w:t>Soto Núñez</w:t>
            </w:r>
          </w:p>
        </w:tc>
      </w:tr>
      <w:tr w:rsidR="003239B8" w:rsidRPr="009C00FB"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9C00FB" w:rsidRDefault="003239B8" w:rsidP="008D2290">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Estado denunciado:</w:t>
            </w:r>
          </w:p>
        </w:tc>
        <w:tc>
          <w:tcPr>
            <w:tcW w:w="5647" w:type="dxa"/>
            <w:vAlign w:val="center"/>
          </w:tcPr>
          <w:p w14:paraId="6BC7B459" w14:textId="50202F26" w:rsidR="003239B8" w:rsidRPr="009C00FB" w:rsidRDefault="000C1F14" w:rsidP="008D2290">
            <w:pPr>
              <w:jc w:val="both"/>
              <w:rPr>
                <w:rFonts w:ascii="Cambria" w:hAnsi="Cambria"/>
                <w:bCs/>
                <w:sz w:val="20"/>
                <w:szCs w:val="20"/>
              </w:rPr>
            </w:pPr>
            <w:r w:rsidRPr="009C00FB">
              <w:rPr>
                <w:rFonts w:asciiTheme="majorHAnsi" w:hAnsiTheme="majorHAnsi"/>
                <w:bCs/>
                <w:sz w:val="20"/>
                <w:szCs w:val="20"/>
              </w:rPr>
              <w:t>México</w:t>
            </w:r>
            <w:r w:rsidR="00AE387D" w:rsidRPr="009C00FB">
              <w:rPr>
                <w:rStyle w:val="FootnoteReference"/>
                <w:rFonts w:ascii="Cambria" w:hAnsi="Cambria"/>
                <w:bCs/>
                <w:sz w:val="20"/>
                <w:szCs w:val="20"/>
              </w:rPr>
              <w:footnoteReference w:id="2"/>
            </w:r>
          </w:p>
        </w:tc>
      </w:tr>
      <w:tr w:rsidR="00AE387D" w:rsidRPr="009C00FB"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AE387D" w:rsidRPr="009C00FB" w:rsidRDefault="00AE387D" w:rsidP="00AE387D">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Derechos invocados:</w:t>
            </w:r>
          </w:p>
        </w:tc>
        <w:tc>
          <w:tcPr>
            <w:tcW w:w="5647" w:type="dxa"/>
            <w:vAlign w:val="center"/>
          </w:tcPr>
          <w:p w14:paraId="4848044A" w14:textId="49A1AE86" w:rsidR="00AE387D" w:rsidRPr="009C00FB" w:rsidRDefault="00AE387D" w:rsidP="00AE387D">
            <w:pPr>
              <w:jc w:val="both"/>
              <w:rPr>
                <w:rFonts w:ascii="Cambria" w:hAnsi="Cambria"/>
                <w:bCs/>
                <w:sz w:val="20"/>
                <w:szCs w:val="20"/>
              </w:rPr>
            </w:pPr>
            <w:r w:rsidRPr="009C00FB">
              <w:rPr>
                <w:rFonts w:asciiTheme="majorHAnsi" w:hAnsiTheme="majorHAnsi"/>
                <w:bCs/>
                <w:sz w:val="20"/>
                <w:szCs w:val="20"/>
              </w:rPr>
              <w:t>No se especifican artículos de la Convención Americana sobre Derechos Humano</w:t>
            </w:r>
            <w:r w:rsidR="00703213">
              <w:rPr>
                <w:rFonts w:asciiTheme="majorHAnsi" w:hAnsiTheme="majorHAnsi"/>
                <w:bCs/>
                <w:sz w:val="20"/>
                <w:szCs w:val="20"/>
              </w:rPr>
              <w:t>s</w:t>
            </w:r>
            <w:r w:rsidRPr="009C00FB">
              <w:rPr>
                <w:rStyle w:val="FootnoteReference"/>
                <w:rFonts w:asciiTheme="majorHAnsi" w:eastAsia="Trebuchet MS" w:hAnsiTheme="majorHAnsi"/>
                <w:bCs/>
                <w:sz w:val="20"/>
                <w:szCs w:val="20"/>
              </w:rPr>
              <w:footnoteReference w:id="3"/>
            </w:r>
            <w:r w:rsidRPr="009C00FB">
              <w:rPr>
                <w:rFonts w:asciiTheme="majorHAnsi" w:hAnsiTheme="majorHAnsi"/>
                <w:bCs/>
                <w:sz w:val="20"/>
                <w:szCs w:val="20"/>
              </w:rPr>
              <w:t xml:space="preserve"> ni respecto algún otro tratado internacional sobre el cual la Comisión Interamericana tenga competencia</w:t>
            </w:r>
          </w:p>
        </w:tc>
      </w:tr>
    </w:tbl>
    <w:p w14:paraId="6719A8F7" w14:textId="77777777" w:rsidR="003239B8" w:rsidRPr="009C00FB" w:rsidRDefault="003239B8" w:rsidP="003239B8">
      <w:pPr>
        <w:spacing w:before="240" w:after="240"/>
        <w:ind w:firstLine="720"/>
        <w:jc w:val="both"/>
        <w:rPr>
          <w:rFonts w:asciiTheme="majorHAnsi" w:hAnsiTheme="majorHAnsi"/>
          <w:b/>
          <w:bCs/>
          <w:sz w:val="20"/>
          <w:szCs w:val="20"/>
        </w:rPr>
      </w:pPr>
      <w:r w:rsidRPr="009C00FB">
        <w:rPr>
          <w:rFonts w:asciiTheme="majorHAnsi" w:hAnsiTheme="majorHAnsi"/>
          <w:b/>
          <w:bCs/>
          <w:sz w:val="20"/>
          <w:szCs w:val="20"/>
        </w:rPr>
        <w:t>II.</w:t>
      </w:r>
      <w:r w:rsidRPr="009C00FB">
        <w:rPr>
          <w:rFonts w:asciiTheme="majorHAnsi" w:hAnsiTheme="majorHAnsi"/>
          <w:b/>
          <w:bCs/>
          <w:sz w:val="20"/>
          <w:szCs w:val="20"/>
        </w:rPr>
        <w:tab/>
        <w:t>TRÁMITE ANTE LA CIDH</w:t>
      </w:r>
      <w:r w:rsidR="008E3BFE" w:rsidRPr="009C00FB">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C00FB"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9C00FB" w:rsidRDefault="004A6A54" w:rsidP="004A6A54">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P</w:t>
            </w:r>
            <w:r w:rsidR="004C2312" w:rsidRPr="009C00FB">
              <w:rPr>
                <w:rFonts w:ascii="Cambria" w:hAnsi="Cambria"/>
                <w:b/>
                <w:bCs/>
                <w:color w:val="FFFFFF" w:themeColor="background1"/>
                <w:sz w:val="20"/>
                <w:szCs w:val="20"/>
              </w:rPr>
              <w:t>resentación de la petición:</w:t>
            </w:r>
          </w:p>
        </w:tc>
        <w:tc>
          <w:tcPr>
            <w:tcW w:w="5647" w:type="dxa"/>
            <w:vAlign w:val="center"/>
          </w:tcPr>
          <w:p w14:paraId="21574B66" w14:textId="28584B4F" w:rsidR="004C2312" w:rsidRPr="009C00FB" w:rsidRDefault="002E05B0" w:rsidP="002625EA">
            <w:pPr>
              <w:jc w:val="both"/>
              <w:rPr>
                <w:rFonts w:ascii="Cambria" w:hAnsi="Cambria"/>
                <w:bCs/>
                <w:sz w:val="20"/>
                <w:szCs w:val="20"/>
              </w:rPr>
            </w:pPr>
            <w:r>
              <w:rPr>
                <w:rFonts w:ascii="Cambria" w:hAnsi="Cambria"/>
                <w:bCs/>
                <w:sz w:val="20"/>
                <w:szCs w:val="20"/>
              </w:rPr>
              <w:t>7</w:t>
            </w:r>
            <w:r w:rsidR="00301B4C" w:rsidRPr="009C00FB">
              <w:rPr>
                <w:rFonts w:ascii="Cambria" w:hAnsi="Cambria"/>
                <w:bCs/>
                <w:sz w:val="20"/>
                <w:szCs w:val="20"/>
              </w:rPr>
              <w:t xml:space="preserve"> de octubre de 2013</w:t>
            </w:r>
          </w:p>
        </w:tc>
      </w:tr>
      <w:tr w:rsidR="00B42D5C" w:rsidRPr="009C00FB" w14:paraId="18B1B8FB" w14:textId="77777777" w:rsidTr="00D07089">
        <w:tc>
          <w:tcPr>
            <w:tcW w:w="3600" w:type="dxa"/>
            <w:tcBorders>
              <w:top w:val="single" w:sz="6" w:space="0" w:color="auto"/>
              <w:bottom w:val="single" w:sz="6" w:space="0" w:color="auto"/>
            </w:tcBorders>
            <w:shd w:val="clear" w:color="auto" w:fill="386294"/>
            <w:vAlign w:val="center"/>
          </w:tcPr>
          <w:p w14:paraId="76722CFA" w14:textId="14B1F14A" w:rsidR="00B42D5C" w:rsidRPr="009C00FB" w:rsidRDefault="00B42D5C"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Información adicional recibida durante la etapa de estudio: </w:t>
            </w:r>
          </w:p>
        </w:tc>
        <w:tc>
          <w:tcPr>
            <w:tcW w:w="5647" w:type="dxa"/>
            <w:vAlign w:val="center"/>
          </w:tcPr>
          <w:p w14:paraId="15347679" w14:textId="3BCA18DF" w:rsidR="00B42D5C" w:rsidRDefault="00B42D5C" w:rsidP="002625EA">
            <w:pPr>
              <w:jc w:val="both"/>
              <w:rPr>
                <w:rFonts w:ascii="Cambria" w:hAnsi="Cambria"/>
                <w:bCs/>
                <w:sz w:val="20"/>
                <w:szCs w:val="20"/>
              </w:rPr>
            </w:pPr>
            <w:r>
              <w:rPr>
                <w:rFonts w:ascii="Cambria" w:hAnsi="Cambria"/>
                <w:bCs/>
                <w:sz w:val="20"/>
                <w:szCs w:val="20"/>
              </w:rPr>
              <w:t>6 de diciembre de 2017</w:t>
            </w:r>
          </w:p>
        </w:tc>
      </w:tr>
      <w:tr w:rsidR="00B42D5C" w:rsidRPr="009C00FB"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B42D5C" w:rsidRPr="009C00FB" w:rsidRDefault="00B42D5C" w:rsidP="00B42D5C">
            <w:pPr>
              <w:jc w:val="center"/>
              <w:rPr>
                <w:rFonts w:ascii="Cambria" w:hAnsi="Cambria"/>
                <w:b/>
                <w:bCs/>
                <w:color w:val="FFFFFF" w:themeColor="background1"/>
                <w:sz w:val="20"/>
                <w:szCs w:val="20"/>
              </w:rPr>
            </w:pPr>
            <w:r w:rsidRPr="009C00FB">
              <w:rPr>
                <w:rFonts w:ascii="Cambria" w:hAnsi="Cambria"/>
                <w:b/>
                <w:color w:val="FFFFFF" w:themeColor="background1"/>
                <w:sz w:val="20"/>
                <w:szCs w:val="20"/>
              </w:rPr>
              <w:t>Notificación de la petición al Estado:</w:t>
            </w:r>
          </w:p>
        </w:tc>
        <w:tc>
          <w:tcPr>
            <w:tcW w:w="5647" w:type="dxa"/>
            <w:vAlign w:val="center"/>
          </w:tcPr>
          <w:p w14:paraId="27CD0DED" w14:textId="33D2A8F2" w:rsidR="00B42D5C" w:rsidRPr="009C00FB" w:rsidRDefault="00B42D5C" w:rsidP="00B42D5C">
            <w:pPr>
              <w:jc w:val="both"/>
              <w:rPr>
                <w:rFonts w:ascii="Cambria" w:hAnsi="Cambria"/>
                <w:bCs/>
                <w:sz w:val="20"/>
                <w:szCs w:val="20"/>
              </w:rPr>
            </w:pPr>
            <w:r>
              <w:rPr>
                <w:rFonts w:ascii="Cambria" w:hAnsi="Cambria"/>
                <w:bCs/>
                <w:sz w:val="20"/>
                <w:szCs w:val="20"/>
              </w:rPr>
              <w:t>6 de diciembre de 2018</w:t>
            </w:r>
          </w:p>
        </w:tc>
      </w:tr>
      <w:tr w:rsidR="00B42D5C" w:rsidRPr="009C00FB"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B42D5C" w:rsidRPr="009C00FB" w:rsidRDefault="00B42D5C" w:rsidP="00B42D5C">
            <w:pPr>
              <w:jc w:val="center"/>
              <w:rPr>
                <w:rFonts w:ascii="Cambria" w:hAnsi="Cambria"/>
                <w:b/>
                <w:bCs/>
                <w:color w:val="FFFFFF" w:themeColor="background1"/>
                <w:sz w:val="20"/>
                <w:szCs w:val="20"/>
              </w:rPr>
            </w:pPr>
            <w:r w:rsidRPr="009C00FB">
              <w:rPr>
                <w:rFonts w:ascii="Cambria" w:hAnsi="Cambria"/>
                <w:b/>
                <w:color w:val="FFFFFF" w:themeColor="background1"/>
                <w:sz w:val="20"/>
                <w:szCs w:val="20"/>
              </w:rPr>
              <w:t>Primera respuesta del Estado:</w:t>
            </w:r>
          </w:p>
        </w:tc>
        <w:tc>
          <w:tcPr>
            <w:tcW w:w="5647" w:type="dxa"/>
            <w:vAlign w:val="center"/>
          </w:tcPr>
          <w:p w14:paraId="137B66E1" w14:textId="4DF6D761" w:rsidR="00B42D5C" w:rsidRPr="009C00FB" w:rsidRDefault="003469B6" w:rsidP="00B42D5C">
            <w:pPr>
              <w:jc w:val="both"/>
              <w:rPr>
                <w:rFonts w:ascii="Cambria" w:hAnsi="Cambria"/>
                <w:bCs/>
                <w:sz w:val="20"/>
                <w:szCs w:val="20"/>
              </w:rPr>
            </w:pPr>
            <w:r>
              <w:rPr>
                <w:rFonts w:ascii="Cambria" w:hAnsi="Cambria"/>
                <w:bCs/>
                <w:sz w:val="20"/>
                <w:szCs w:val="20"/>
              </w:rPr>
              <w:t>20 de febrero de 2020</w:t>
            </w:r>
          </w:p>
        </w:tc>
      </w:tr>
      <w:tr w:rsidR="00B42D5C" w:rsidRPr="009C00FB" w14:paraId="047761AF" w14:textId="77777777" w:rsidTr="00D07089">
        <w:tc>
          <w:tcPr>
            <w:tcW w:w="3600" w:type="dxa"/>
            <w:tcBorders>
              <w:top w:val="single" w:sz="6" w:space="0" w:color="auto"/>
              <w:bottom w:val="single" w:sz="6" w:space="0" w:color="auto"/>
            </w:tcBorders>
            <w:shd w:val="clear" w:color="auto" w:fill="386294"/>
            <w:vAlign w:val="center"/>
          </w:tcPr>
          <w:p w14:paraId="6EC9A58F" w14:textId="56729DFC" w:rsidR="00B42D5C" w:rsidRPr="009C00FB" w:rsidRDefault="003469B6" w:rsidP="00B42D5C">
            <w:pPr>
              <w:ind w:left="204" w:right="-228" w:hanging="426"/>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647" w:type="dxa"/>
            <w:vAlign w:val="center"/>
          </w:tcPr>
          <w:p w14:paraId="48E14095" w14:textId="3BDFCBA6" w:rsidR="00B42D5C" w:rsidRPr="009C00FB" w:rsidRDefault="00CC360A" w:rsidP="00B42D5C">
            <w:pPr>
              <w:ind w:left="720" w:hanging="720"/>
              <w:jc w:val="both"/>
              <w:rPr>
                <w:rFonts w:ascii="Cambria" w:hAnsi="Cambria"/>
                <w:bCs/>
                <w:sz w:val="20"/>
                <w:szCs w:val="20"/>
              </w:rPr>
            </w:pPr>
            <w:r>
              <w:rPr>
                <w:rFonts w:ascii="Cambria" w:hAnsi="Cambria"/>
                <w:bCs/>
                <w:sz w:val="20"/>
                <w:szCs w:val="20"/>
              </w:rPr>
              <w:t>4 de febrero de 2021</w:t>
            </w:r>
          </w:p>
        </w:tc>
      </w:tr>
    </w:tbl>
    <w:p w14:paraId="3206ED75" w14:textId="77777777" w:rsidR="003239B8" w:rsidRPr="009C00FB" w:rsidRDefault="003239B8" w:rsidP="003239B8">
      <w:pPr>
        <w:spacing w:before="240" w:after="240"/>
        <w:ind w:firstLine="720"/>
        <w:jc w:val="both"/>
        <w:rPr>
          <w:rFonts w:asciiTheme="majorHAnsi" w:hAnsiTheme="majorHAnsi"/>
          <w:b/>
          <w:bCs/>
          <w:sz w:val="20"/>
          <w:szCs w:val="20"/>
        </w:rPr>
      </w:pPr>
      <w:r w:rsidRPr="009C00FB">
        <w:rPr>
          <w:rFonts w:asciiTheme="majorHAnsi" w:hAnsiTheme="majorHAnsi"/>
          <w:b/>
          <w:bCs/>
          <w:sz w:val="20"/>
          <w:szCs w:val="20"/>
        </w:rPr>
        <w:t xml:space="preserve">III. </w:t>
      </w:r>
      <w:r w:rsidRPr="009C00FB">
        <w:rPr>
          <w:rFonts w:asciiTheme="majorHAnsi" w:hAnsiTheme="majorHAnsi"/>
          <w:b/>
          <w:bCs/>
          <w:sz w:val="20"/>
          <w:szCs w:val="20"/>
        </w:rPr>
        <w:tab/>
        <w:t>COMPETENCIA</w:t>
      </w:r>
      <w:r w:rsidR="00EE00E9" w:rsidRPr="009C00F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9C00FB"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9C00FB" w:rsidRDefault="003239B8" w:rsidP="008D2290">
            <w:pPr>
              <w:jc w:val="center"/>
              <w:rPr>
                <w:rFonts w:ascii="Cambria" w:hAnsi="Cambria"/>
                <w:b/>
                <w:bCs/>
                <w:i/>
                <w:color w:val="FFFFFF" w:themeColor="background1"/>
                <w:sz w:val="20"/>
                <w:szCs w:val="20"/>
              </w:rPr>
            </w:pPr>
            <w:r w:rsidRPr="009C00FB">
              <w:rPr>
                <w:rFonts w:ascii="Cambria" w:hAnsi="Cambria"/>
                <w:b/>
                <w:bCs/>
                <w:color w:val="FFFFFF" w:themeColor="background1"/>
                <w:sz w:val="20"/>
                <w:szCs w:val="20"/>
              </w:rPr>
              <w:t>Competencia</w:t>
            </w:r>
            <w:r w:rsidRPr="009C00FB">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9C00FB" w:rsidRDefault="00B95B18" w:rsidP="008D2290">
            <w:pPr>
              <w:rPr>
                <w:rFonts w:ascii="Cambria" w:hAnsi="Cambria"/>
                <w:bCs/>
                <w:sz w:val="20"/>
                <w:szCs w:val="20"/>
              </w:rPr>
            </w:pPr>
            <w:r w:rsidRPr="009C00FB">
              <w:rPr>
                <w:rFonts w:ascii="Cambria" w:hAnsi="Cambria"/>
                <w:bCs/>
                <w:sz w:val="20"/>
                <w:szCs w:val="20"/>
              </w:rPr>
              <w:t>Sí</w:t>
            </w:r>
          </w:p>
        </w:tc>
      </w:tr>
      <w:tr w:rsidR="003239B8" w:rsidRPr="009C00FB"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9C00FB" w:rsidRDefault="003239B8" w:rsidP="008D2290">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Competencia</w:t>
            </w:r>
            <w:r w:rsidRPr="009C00FB">
              <w:rPr>
                <w:rFonts w:ascii="Cambria" w:hAnsi="Cambria"/>
                <w:b/>
                <w:bCs/>
                <w:i/>
                <w:color w:val="FFFFFF" w:themeColor="background1"/>
                <w:sz w:val="20"/>
                <w:szCs w:val="20"/>
              </w:rPr>
              <w:t xml:space="preserve"> Ratione loci</w:t>
            </w:r>
            <w:r w:rsidRPr="009C00FB">
              <w:rPr>
                <w:rFonts w:ascii="Cambria" w:hAnsi="Cambria"/>
                <w:b/>
                <w:bCs/>
                <w:color w:val="FFFFFF" w:themeColor="background1"/>
                <w:sz w:val="20"/>
                <w:szCs w:val="20"/>
              </w:rPr>
              <w:t>:</w:t>
            </w:r>
          </w:p>
        </w:tc>
        <w:tc>
          <w:tcPr>
            <w:tcW w:w="5760" w:type="dxa"/>
            <w:vAlign w:val="center"/>
          </w:tcPr>
          <w:p w14:paraId="35BA3CEC" w14:textId="444B1ABE" w:rsidR="003239B8" w:rsidRPr="009C00FB" w:rsidRDefault="00B95B18" w:rsidP="008D2290">
            <w:pPr>
              <w:rPr>
                <w:rFonts w:ascii="Cambria" w:hAnsi="Cambria"/>
                <w:bCs/>
                <w:sz w:val="20"/>
                <w:szCs w:val="20"/>
              </w:rPr>
            </w:pPr>
            <w:r w:rsidRPr="009C00FB">
              <w:rPr>
                <w:rFonts w:ascii="Cambria" w:hAnsi="Cambria"/>
                <w:bCs/>
                <w:sz w:val="20"/>
                <w:szCs w:val="20"/>
              </w:rPr>
              <w:t>Sí</w:t>
            </w:r>
          </w:p>
        </w:tc>
      </w:tr>
      <w:tr w:rsidR="003239B8" w:rsidRPr="009C00FB"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9C00FB" w:rsidRDefault="003239B8" w:rsidP="008D2290">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Competencia</w:t>
            </w:r>
            <w:r w:rsidRPr="009C00FB">
              <w:rPr>
                <w:rFonts w:ascii="Cambria" w:hAnsi="Cambria"/>
                <w:b/>
                <w:bCs/>
                <w:i/>
                <w:color w:val="FFFFFF" w:themeColor="background1"/>
                <w:sz w:val="20"/>
                <w:szCs w:val="20"/>
              </w:rPr>
              <w:t xml:space="preserve"> Ratione temporis</w:t>
            </w:r>
            <w:r w:rsidRPr="009C00FB">
              <w:rPr>
                <w:rFonts w:ascii="Cambria" w:hAnsi="Cambria"/>
                <w:b/>
                <w:bCs/>
                <w:color w:val="FFFFFF" w:themeColor="background1"/>
                <w:sz w:val="20"/>
                <w:szCs w:val="20"/>
              </w:rPr>
              <w:t>:</w:t>
            </w:r>
          </w:p>
        </w:tc>
        <w:tc>
          <w:tcPr>
            <w:tcW w:w="5760" w:type="dxa"/>
            <w:vAlign w:val="center"/>
          </w:tcPr>
          <w:p w14:paraId="4853F616" w14:textId="12E21FD2" w:rsidR="003239B8" w:rsidRPr="009C00FB" w:rsidRDefault="00B95B18" w:rsidP="008D2290">
            <w:pPr>
              <w:rPr>
                <w:rFonts w:ascii="Cambria" w:hAnsi="Cambria"/>
                <w:bCs/>
                <w:sz w:val="20"/>
                <w:szCs w:val="20"/>
              </w:rPr>
            </w:pPr>
            <w:r w:rsidRPr="009C00FB">
              <w:rPr>
                <w:rFonts w:ascii="Cambria" w:hAnsi="Cambria"/>
                <w:bCs/>
                <w:sz w:val="20"/>
                <w:szCs w:val="20"/>
              </w:rPr>
              <w:t>Sí</w:t>
            </w:r>
          </w:p>
        </w:tc>
      </w:tr>
      <w:tr w:rsidR="003239B8" w:rsidRPr="009C00FB"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9C00FB" w:rsidRDefault="003239B8" w:rsidP="008D2290">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Competencia</w:t>
            </w:r>
            <w:r w:rsidRPr="009C00FB">
              <w:rPr>
                <w:rFonts w:ascii="Cambria" w:hAnsi="Cambria"/>
                <w:b/>
                <w:bCs/>
                <w:i/>
                <w:color w:val="FFFFFF" w:themeColor="background1"/>
                <w:sz w:val="20"/>
                <w:szCs w:val="20"/>
              </w:rPr>
              <w:t xml:space="preserve"> Ratione materia</w:t>
            </w:r>
            <w:r w:rsidR="00EE00E9" w:rsidRPr="009C00FB">
              <w:rPr>
                <w:rFonts w:ascii="Cambria" w:hAnsi="Cambria"/>
                <w:b/>
                <w:bCs/>
                <w:i/>
                <w:color w:val="FFFFFF" w:themeColor="background1"/>
                <w:sz w:val="20"/>
                <w:szCs w:val="20"/>
              </w:rPr>
              <w:t>e</w:t>
            </w:r>
            <w:r w:rsidRPr="009C00FB">
              <w:rPr>
                <w:rFonts w:ascii="Cambria" w:hAnsi="Cambria"/>
                <w:b/>
                <w:bCs/>
                <w:color w:val="FFFFFF" w:themeColor="background1"/>
                <w:sz w:val="20"/>
                <w:szCs w:val="20"/>
              </w:rPr>
              <w:t>:</w:t>
            </w:r>
          </w:p>
        </w:tc>
        <w:tc>
          <w:tcPr>
            <w:tcW w:w="5760" w:type="dxa"/>
            <w:vAlign w:val="center"/>
          </w:tcPr>
          <w:p w14:paraId="497D5E0E" w14:textId="22E8B5A6" w:rsidR="003239B8" w:rsidRPr="009C00FB" w:rsidRDefault="00204D4E" w:rsidP="00E76064">
            <w:pPr>
              <w:jc w:val="both"/>
              <w:rPr>
                <w:rFonts w:asciiTheme="majorHAnsi" w:hAnsiTheme="majorHAnsi"/>
                <w:bCs/>
                <w:sz w:val="20"/>
                <w:szCs w:val="20"/>
              </w:rPr>
            </w:pPr>
            <w:r w:rsidRPr="009C00FB">
              <w:rPr>
                <w:rFonts w:asciiTheme="majorHAnsi" w:hAnsiTheme="majorHAnsi"/>
                <w:bCs/>
                <w:sz w:val="20"/>
                <w:szCs w:val="20"/>
              </w:rPr>
              <w:t>Sí, Convención Americana (depósito del instrumento de adhesión realizado el 24 de marzo de 1981)</w:t>
            </w:r>
            <w:r w:rsidR="008A60CB">
              <w:rPr>
                <w:rFonts w:asciiTheme="majorHAnsi" w:hAnsiTheme="majorHAnsi"/>
                <w:bCs/>
                <w:sz w:val="20"/>
                <w:szCs w:val="20"/>
              </w:rPr>
              <w:t xml:space="preserve"> </w:t>
            </w:r>
            <w:r w:rsidR="008A60CB" w:rsidRPr="00E34C7E">
              <w:rPr>
                <w:rFonts w:asciiTheme="majorHAnsi" w:hAnsiTheme="majorHAnsi"/>
                <w:bCs/>
                <w:sz w:val="20"/>
                <w:szCs w:val="20"/>
              </w:rPr>
              <w:t xml:space="preserve">y </w:t>
            </w:r>
            <w:r w:rsidR="008A60CB" w:rsidRPr="00125DE4">
              <w:rPr>
                <w:rFonts w:asciiTheme="majorHAnsi" w:hAnsiTheme="majorHAnsi"/>
                <w:bCs/>
                <w:sz w:val="20"/>
                <w:szCs w:val="20"/>
              </w:rPr>
              <w:t>Convención</w:t>
            </w:r>
            <w:r w:rsidR="008A60CB" w:rsidRPr="00E34C7E">
              <w:rPr>
                <w:rFonts w:asciiTheme="majorHAnsi" w:hAnsiTheme="majorHAnsi"/>
                <w:bCs/>
                <w:sz w:val="20"/>
                <w:szCs w:val="20"/>
              </w:rPr>
              <w:t xml:space="preserve"> Interamericana para Prevenir y Sancionar la Tortura (depósito del instrumento de ratificación realizado el 22 de junio de 1987</w:t>
            </w:r>
            <w:r w:rsidR="008A60CB">
              <w:rPr>
                <w:rFonts w:asciiTheme="majorHAnsi" w:hAnsiTheme="majorHAnsi"/>
                <w:bCs/>
                <w:sz w:val="20"/>
                <w:szCs w:val="20"/>
              </w:rPr>
              <w:t>)</w:t>
            </w:r>
          </w:p>
        </w:tc>
      </w:tr>
    </w:tbl>
    <w:p w14:paraId="090C088B" w14:textId="490ED3B3" w:rsidR="003239B8" w:rsidRPr="009C00FB" w:rsidRDefault="003239B8" w:rsidP="003239B8">
      <w:pPr>
        <w:spacing w:before="240" w:after="240"/>
        <w:ind w:firstLine="720"/>
        <w:jc w:val="both"/>
        <w:rPr>
          <w:rFonts w:asciiTheme="majorHAnsi" w:hAnsiTheme="majorHAnsi"/>
          <w:b/>
          <w:bCs/>
          <w:sz w:val="20"/>
          <w:szCs w:val="20"/>
        </w:rPr>
      </w:pPr>
      <w:r w:rsidRPr="009C00FB">
        <w:rPr>
          <w:rFonts w:asciiTheme="majorHAnsi" w:hAnsiTheme="majorHAnsi"/>
          <w:b/>
          <w:bCs/>
          <w:sz w:val="20"/>
          <w:szCs w:val="20"/>
        </w:rPr>
        <w:t xml:space="preserve">IV. </w:t>
      </w:r>
      <w:r w:rsidRPr="009C00FB">
        <w:rPr>
          <w:rFonts w:asciiTheme="majorHAnsi" w:hAnsiTheme="majorHAnsi"/>
          <w:b/>
          <w:bCs/>
          <w:sz w:val="20"/>
          <w:szCs w:val="20"/>
        </w:rPr>
        <w:tab/>
      </w:r>
      <w:r w:rsidR="00EE00E9" w:rsidRPr="009C00FB">
        <w:rPr>
          <w:rFonts w:asciiTheme="majorHAnsi" w:hAnsiTheme="majorHAnsi"/>
          <w:b/>
          <w:bCs/>
          <w:sz w:val="20"/>
          <w:szCs w:val="20"/>
        </w:rPr>
        <w:t>DUPLICACIÓN</w:t>
      </w:r>
      <w:r w:rsidR="00EE00E9" w:rsidRPr="009C00FB">
        <w:rPr>
          <w:rFonts w:asciiTheme="majorHAnsi" w:hAnsiTheme="majorHAnsi"/>
          <w:b/>
          <w:bCs/>
          <w:color w:val="FFFFFF" w:themeColor="background1"/>
          <w:sz w:val="20"/>
          <w:szCs w:val="20"/>
        </w:rPr>
        <w:t xml:space="preserve"> </w:t>
      </w:r>
      <w:r w:rsidR="00EE00E9" w:rsidRPr="009C00FB">
        <w:rPr>
          <w:rFonts w:asciiTheme="majorHAnsi" w:hAnsiTheme="majorHAnsi"/>
          <w:b/>
          <w:bCs/>
          <w:sz w:val="20"/>
          <w:szCs w:val="20"/>
        </w:rPr>
        <w:t>DE PROCEDIMIENTOS Y COSA JUZGADA</w:t>
      </w:r>
      <w:r w:rsidR="00EE00E9" w:rsidRPr="009C00FB">
        <w:rPr>
          <w:rFonts w:asciiTheme="majorHAnsi" w:hAnsiTheme="majorHAnsi"/>
          <w:b/>
          <w:bCs/>
          <w:i/>
          <w:sz w:val="20"/>
          <w:szCs w:val="20"/>
        </w:rPr>
        <w:t xml:space="preserve"> </w:t>
      </w:r>
      <w:r w:rsidR="00EE00E9" w:rsidRPr="009C00FB">
        <w:rPr>
          <w:rFonts w:asciiTheme="majorHAnsi" w:hAnsiTheme="majorHAnsi"/>
          <w:b/>
          <w:bCs/>
          <w:sz w:val="20"/>
          <w:szCs w:val="20"/>
        </w:rPr>
        <w:t xml:space="preserve">INTERNACIONAL, </w:t>
      </w:r>
      <w:r w:rsidRPr="009C00FB">
        <w:rPr>
          <w:rFonts w:asciiTheme="majorHAnsi" w:hAnsiTheme="majorHAnsi"/>
          <w:b/>
          <w:bCs/>
          <w:sz w:val="20"/>
          <w:szCs w:val="20"/>
        </w:rPr>
        <w:t xml:space="preserve">CARACTERIZACIÓN, </w:t>
      </w:r>
      <w:r w:rsidRPr="009C00F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C00FB"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9C00FB" w:rsidRDefault="00EE00E9" w:rsidP="008D2290">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9C00FB" w:rsidRDefault="004E54F2" w:rsidP="008D2290">
            <w:pPr>
              <w:jc w:val="both"/>
              <w:rPr>
                <w:rFonts w:ascii="Cambria" w:hAnsi="Cambria"/>
                <w:bCs/>
                <w:sz w:val="20"/>
                <w:szCs w:val="20"/>
              </w:rPr>
            </w:pPr>
            <w:r w:rsidRPr="009C00FB">
              <w:rPr>
                <w:rFonts w:ascii="Cambria" w:hAnsi="Cambria"/>
                <w:bCs/>
                <w:sz w:val="20"/>
                <w:szCs w:val="20"/>
              </w:rPr>
              <w:t>No</w:t>
            </w:r>
          </w:p>
        </w:tc>
      </w:tr>
      <w:tr w:rsidR="00927B71" w:rsidRPr="009C00FB"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927B71" w:rsidRPr="009C00FB" w:rsidRDefault="00927B71" w:rsidP="00927B71">
            <w:pPr>
              <w:jc w:val="center"/>
              <w:rPr>
                <w:rFonts w:ascii="Cambria" w:hAnsi="Cambria"/>
                <w:b/>
                <w:bCs/>
                <w:i/>
                <w:color w:val="FFFFFF" w:themeColor="background1"/>
                <w:sz w:val="20"/>
                <w:szCs w:val="20"/>
              </w:rPr>
            </w:pPr>
            <w:r w:rsidRPr="009C00FB">
              <w:rPr>
                <w:rFonts w:ascii="Cambria" w:hAnsi="Cambria"/>
                <w:b/>
                <w:bCs/>
                <w:color w:val="FFFFFF" w:themeColor="background1"/>
                <w:sz w:val="20"/>
                <w:szCs w:val="20"/>
              </w:rPr>
              <w:t>Derechos declarados admisibles</w:t>
            </w:r>
            <w:r w:rsidRPr="009C00FB">
              <w:rPr>
                <w:rFonts w:ascii="Cambria" w:hAnsi="Cambria"/>
                <w:b/>
                <w:bCs/>
                <w:i/>
                <w:color w:val="FFFFFF" w:themeColor="background1"/>
                <w:sz w:val="20"/>
                <w:szCs w:val="20"/>
              </w:rPr>
              <w:t>:</w:t>
            </w:r>
          </w:p>
        </w:tc>
        <w:tc>
          <w:tcPr>
            <w:tcW w:w="5677" w:type="dxa"/>
            <w:vAlign w:val="center"/>
          </w:tcPr>
          <w:p w14:paraId="384DA76B" w14:textId="703A8770" w:rsidR="00927B71" w:rsidRPr="009C00FB" w:rsidRDefault="00927B71" w:rsidP="00927B71">
            <w:pPr>
              <w:jc w:val="both"/>
              <w:rPr>
                <w:rFonts w:asciiTheme="majorHAnsi" w:hAnsiTheme="majorHAnsi"/>
                <w:bCs/>
                <w:sz w:val="20"/>
                <w:szCs w:val="20"/>
              </w:rPr>
            </w:pPr>
            <w:r w:rsidRPr="00125DE4">
              <w:rPr>
                <w:rFonts w:asciiTheme="majorHAnsi" w:hAnsiTheme="majorHAnsi"/>
                <w:bCs/>
                <w:sz w:val="20"/>
                <w:szCs w:val="20"/>
              </w:rPr>
              <w:t>Artículos</w:t>
            </w:r>
            <w:r w:rsidRPr="00AD369E">
              <w:rPr>
                <w:rFonts w:asciiTheme="majorHAnsi" w:hAnsiTheme="majorHAnsi"/>
                <w:bCs/>
                <w:sz w:val="20"/>
                <w:szCs w:val="20"/>
              </w:rPr>
              <w:t xml:space="preserve"> 5 (integridad personal), 7 </w:t>
            </w:r>
            <w:r w:rsidRPr="00AD369E">
              <w:rPr>
                <w:rFonts w:asciiTheme="majorHAnsi" w:hAnsiTheme="majorHAnsi"/>
                <w:sz w:val="20"/>
                <w:szCs w:val="20"/>
              </w:rPr>
              <w:t>(libertad personal), 8 (garantías judiciales) y 25 (protección judicial) de la Convención Americana, en relación con su artículo 1.1 (obligación de respetar los derechos); y artículos 1, 6 y 8 de la Convención Interamericana para Prevenir y Sancionar la Tortura</w:t>
            </w:r>
          </w:p>
        </w:tc>
      </w:tr>
      <w:tr w:rsidR="00927B71" w:rsidRPr="009C00FB"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927B71" w:rsidRPr="009C00FB" w:rsidRDefault="00927B71" w:rsidP="00927B71">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72FBF4C1" w:rsidR="00927B71" w:rsidRPr="00E1713E" w:rsidRDefault="00927B71" w:rsidP="00927B71">
            <w:pPr>
              <w:jc w:val="both"/>
              <w:rPr>
                <w:rFonts w:ascii="Cambria" w:hAnsi="Cambria"/>
                <w:bCs/>
                <w:sz w:val="20"/>
                <w:szCs w:val="20"/>
              </w:rPr>
            </w:pPr>
            <w:r w:rsidRPr="00E1713E">
              <w:rPr>
                <w:rFonts w:asciiTheme="majorHAnsi" w:hAnsiTheme="majorHAnsi"/>
                <w:bCs/>
                <w:sz w:val="20"/>
                <w:szCs w:val="20"/>
              </w:rPr>
              <w:t xml:space="preserve">Sí, </w:t>
            </w:r>
            <w:r w:rsidR="00E1713E" w:rsidRPr="00E1713E">
              <w:rPr>
                <w:rFonts w:asciiTheme="majorHAnsi" w:hAnsiTheme="majorHAnsi"/>
                <w:bCs/>
                <w:sz w:val="20"/>
                <w:szCs w:val="20"/>
              </w:rPr>
              <w:t>en los términos de la Sección VI</w:t>
            </w:r>
          </w:p>
        </w:tc>
      </w:tr>
      <w:tr w:rsidR="00927B71" w:rsidRPr="009C00FB"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927B71" w:rsidRPr="009C00FB" w:rsidRDefault="00927B71" w:rsidP="00927B71">
            <w:pPr>
              <w:jc w:val="center"/>
              <w:rPr>
                <w:rFonts w:ascii="Cambria" w:hAnsi="Cambria"/>
                <w:b/>
                <w:bCs/>
                <w:color w:val="FFFFFF" w:themeColor="background1"/>
                <w:sz w:val="20"/>
                <w:szCs w:val="20"/>
              </w:rPr>
            </w:pPr>
            <w:r w:rsidRPr="009C00FB">
              <w:rPr>
                <w:rFonts w:ascii="Cambria" w:hAnsi="Cambria"/>
                <w:b/>
                <w:bCs/>
                <w:color w:val="FFFFFF" w:themeColor="background1"/>
                <w:sz w:val="20"/>
                <w:szCs w:val="20"/>
              </w:rPr>
              <w:t>Presentación dentro de plazo:</w:t>
            </w:r>
          </w:p>
        </w:tc>
        <w:tc>
          <w:tcPr>
            <w:tcW w:w="5677" w:type="dxa"/>
            <w:vAlign w:val="center"/>
          </w:tcPr>
          <w:p w14:paraId="2B338EAC" w14:textId="5BB3B7E7" w:rsidR="00927B71" w:rsidRPr="00E1713E" w:rsidRDefault="00927B71" w:rsidP="00927B71">
            <w:pPr>
              <w:rPr>
                <w:rFonts w:ascii="Cambria" w:hAnsi="Cambria"/>
                <w:bCs/>
                <w:sz w:val="20"/>
                <w:szCs w:val="20"/>
              </w:rPr>
            </w:pPr>
            <w:r w:rsidRPr="00E1713E">
              <w:rPr>
                <w:rFonts w:ascii="Cambria" w:hAnsi="Cambria"/>
                <w:bCs/>
                <w:sz w:val="20"/>
                <w:szCs w:val="20"/>
              </w:rPr>
              <w:t xml:space="preserve">Sí, </w:t>
            </w:r>
            <w:r w:rsidR="00E1713E" w:rsidRPr="00E1713E">
              <w:rPr>
                <w:rFonts w:asciiTheme="majorHAnsi" w:hAnsiTheme="majorHAnsi"/>
                <w:bCs/>
                <w:sz w:val="20"/>
                <w:szCs w:val="20"/>
              </w:rPr>
              <w:t>en los términos de la Sección VI</w:t>
            </w:r>
          </w:p>
        </w:tc>
      </w:tr>
    </w:tbl>
    <w:p w14:paraId="0AD50C85" w14:textId="77777777" w:rsidR="00E52271" w:rsidRDefault="00E52271" w:rsidP="009E1B1F">
      <w:pPr>
        <w:spacing w:before="240" w:after="240"/>
        <w:ind w:firstLine="720"/>
        <w:jc w:val="both"/>
        <w:rPr>
          <w:rFonts w:asciiTheme="majorHAnsi" w:hAnsiTheme="majorHAnsi"/>
          <w:b/>
          <w:sz w:val="20"/>
          <w:szCs w:val="20"/>
        </w:rPr>
      </w:pPr>
    </w:p>
    <w:p w14:paraId="0E757641" w14:textId="77777777" w:rsidR="00E52271" w:rsidRDefault="00E52271">
      <w:pPr>
        <w:pBdr>
          <w:top w:val="nil"/>
          <w:left w:val="nil"/>
          <w:bottom w:val="nil"/>
          <w:right w:val="nil"/>
          <w:between w:val="nil"/>
          <w:bar w:val="nil"/>
        </w:pBdr>
        <w:rPr>
          <w:rFonts w:asciiTheme="majorHAnsi" w:hAnsiTheme="majorHAnsi"/>
          <w:b/>
          <w:sz w:val="20"/>
          <w:szCs w:val="20"/>
        </w:rPr>
      </w:pPr>
      <w:r>
        <w:rPr>
          <w:rFonts w:asciiTheme="majorHAnsi" w:hAnsiTheme="majorHAnsi"/>
          <w:b/>
          <w:sz w:val="20"/>
          <w:szCs w:val="20"/>
        </w:rPr>
        <w:br w:type="page"/>
      </w:r>
    </w:p>
    <w:p w14:paraId="20F8626A" w14:textId="2A4E0729" w:rsidR="003239B8" w:rsidRPr="009C00FB" w:rsidRDefault="00223A29" w:rsidP="009E1B1F">
      <w:pPr>
        <w:spacing w:before="240" w:after="240"/>
        <w:ind w:firstLine="720"/>
        <w:jc w:val="both"/>
        <w:rPr>
          <w:rFonts w:asciiTheme="majorHAnsi" w:hAnsiTheme="majorHAnsi"/>
          <w:b/>
          <w:sz w:val="20"/>
          <w:szCs w:val="20"/>
        </w:rPr>
      </w:pPr>
      <w:r w:rsidRPr="009C00FB">
        <w:rPr>
          <w:rFonts w:asciiTheme="majorHAnsi" w:hAnsiTheme="majorHAnsi"/>
          <w:b/>
          <w:sz w:val="20"/>
          <w:szCs w:val="20"/>
        </w:rPr>
        <w:lastRenderedPageBreak/>
        <w:t xml:space="preserve">V. </w:t>
      </w:r>
      <w:r w:rsidRPr="009C00FB">
        <w:rPr>
          <w:rFonts w:asciiTheme="majorHAnsi" w:hAnsiTheme="majorHAnsi"/>
          <w:b/>
          <w:sz w:val="20"/>
          <w:szCs w:val="20"/>
        </w:rPr>
        <w:tab/>
      </w:r>
      <w:r w:rsidR="007F3836" w:rsidRPr="009C00FB">
        <w:rPr>
          <w:rFonts w:asciiTheme="majorHAnsi" w:hAnsiTheme="majorHAnsi"/>
          <w:b/>
          <w:sz w:val="20"/>
          <w:szCs w:val="20"/>
        </w:rPr>
        <w:t>POSICIÓN DE LAS PARTES</w:t>
      </w:r>
      <w:r w:rsidR="003239B8" w:rsidRPr="009C00FB">
        <w:rPr>
          <w:rFonts w:asciiTheme="majorHAnsi" w:hAnsiTheme="majorHAnsi"/>
          <w:b/>
          <w:sz w:val="20"/>
          <w:szCs w:val="20"/>
        </w:rPr>
        <w:t xml:space="preserve"> </w:t>
      </w:r>
    </w:p>
    <w:p w14:paraId="1E2D5F54" w14:textId="15EFC3DE" w:rsidR="000444D9" w:rsidRPr="009C00FB" w:rsidRDefault="000444D9" w:rsidP="000444D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9C00FB">
        <w:rPr>
          <w:bCs/>
          <w:i/>
          <w:iCs/>
          <w:sz w:val="20"/>
          <w:szCs w:val="20"/>
          <w:lang w:val="es-ES"/>
        </w:rPr>
        <w:t>Posicionamiento de la parte peticionaria</w:t>
      </w:r>
    </w:p>
    <w:p w14:paraId="614EEA98" w14:textId="4D53761F" w:rsidR="0068492E" w:rsidRPr="00CC7220" w:rsidRDefault="0068492E" w:rsidP="00CC722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El peticionario</w:t>
      </w:r>
      <w:r w:rsidRPr="007B1B07">
        <w:rPr>
          <w:bCs/>
          <w:sz w:val="20"/>
          <w:szCs w:val="20"/>
          <w:lang w:val="es-ES"/>
        </w:rPr>
        <w:t xml:space="preserve"> argumenta que el Estado </w:t>
      </w:r>
      <w:r>
        <w:rPr>
          <w:bCs/>
          <w:sz w:val="20"/>
          <w:szCs w:val="20"/>
          <w:lang w:val="es-ES"/>
        </w:rPr>
        <w:t xml:space="preserve">mexicano </w:t>
      </w:r>
      <w:r w:rsidRPr="007B1B07">
        <w:rPr>
          <w:bCs/>
          <w:sz w:val="20"/>
          <w:szCs w:val="20"/>
          <w:lang w:val="es-ES"/>
        </w:rPr>
        <w:t xml:space="preserve">es </w:t>
      </w:r>
      <w:r>
        <w:rPr>
          <w:bCs/>
          <w:sz w:val="20"/>
          <w:szCs w:val="20"/>
          <w:lang w:val="es-ES"/>
        </w:rPr>
        <w:t xml:space="preserve">internacionalmente </w:t>
      </w:r>
      <w:r w:rsidRPr="007B1B07">
        <w:rPr>
          <w:bCs/>
          <w:sz w:val="20"/>
          <w:szCs w:val="20"/>
          <w:lang w:val="es-ES"/>
        </w:rPr>
        <w:t xml:space="preserve">responsable por la detención arbitraria y los actos de tortura sufridos </w:t>
      </w:r>
      <w:r w:rsidR="00B42988">
        <w:rPr>
          <w:bCs/>
          <w:sz w:val="20"/>
          <w:szCs w:val="20"/>
          <w:lang w:val="es-ES"/>
        </w:rPr>
        <w:t xml:space="preserve">por </w:t>
      </w:r>
      <w:r w:rsidR="00CC7220">
        <w:rPr>
          <w:bCs/>
          <w:sz w:val="20"/>
          <w:szCs w:val="20"/>
          <w:lang w:val="es-ES"/>
        </w:rPr>
        <w:t xml:space="preserve">los señores </w:t>
      </w:r>
      <w:r w:rsidR="00CC7220" w:rsidRPr="009C00FB">
        <w:rPr>
          <w:bCs/>
          <w:sz w:val="20"/>
          <w:szCs w:val="20"/>
          <w:lang w:val="es-ES"/>
        </w:rPr>
        <w:t xml:space="preserve">Sócrates López Escobar y Francisco </w:t>
      </w:r>
      <w:r w:rsidR="008F4FEC">
        <w:rPr>
          <w:bCs/>
          <w:sz w:val="20"/>
          <w:szCs w:val="20"/>
          <w:lang w:val="es-ES"/>
        </w:rPr>
        <w:t xml:space="preserve">Javier </w:t>
      </w:r>
      <w:r w:rsidR="00CC7220" w:rsidRPr="009C00FB">
        <w:rPr>
          <w:bCs/>
          <w:sz w:val="20"/>
          <w:szCs w:val="20"/>
          <w:lang w:val="es-ES"/>
        </w:rPr>
        <w:t>Soto Núñez</w:t>
      </w:r>
      <w:r w:rsidR="00CC7220">
        <w:rPr>
          <w:bCs/>
          <w:sz w:val="20"/>
          <w:szCs w:val="20"/>
          <w:lang w:val="es-ES"/>
        </w:rPr>
        <w:t xml:space="preserve"> (“</w:t>
      </w:r>
      <w:r w:rsidR="001F2A78">
        <w:rPr>
          <w:bCs/>
          <w:sz w:val="20"/>
          <w:szCs w:val="20"/>
          <w:lang w:val="es-ES"/>
        </w:rPr>
        <w:t xml:space="preserve">las </w:t>
      </w:r>
      <w:r w:rsidR="00CC7220">
        <w:rPr>
          <w:bCs/>
          <w:sz w:val="20"/>
          <w:szCs w:val="20"/>
          <w:lang w:val="es-ES"/>
        </w:rPr>
        <w:t>presuntas víctimas”)</w:t>
      </w:r>
      <w:r w:rsidRPr="00CC7220">
        <w:rPr>
          <w:bCs/>
          <w:sz w:val="20"/>
          <w:szCs w:val="20"/>
          <w:lang w:val="es-ES"/>
        </w:rPr>
        <w:t>, sostiene que hasta el momento no se ha llevado a cabo una investigación adecuada sobre estos hechos</w:t>
      </w:r>
      <w:r w:rsidR="00CC7220">
        <w:rPr>
          <w:bCs/>
          <w:sz w:val="20"/>
          <w:szCs w:val="20"/>
          <w:lang w:val="es-ES"/>
        </w:rPr>
        <w:t xml:space="preserve"> y que continúan privados de su libertad sin </w:t>
      </w:r>
      <w:r w:rsidR="00B42D5C">
        <w:rPr>
          <w:bCs/>
          <w:sz w:val="20"/>
          <w:szCs w:val="20"/>
          <w:lang w:val="es-ES"/>
        </w:rPr>
        <w:t xml:space="preserve">haberse dictado </w:t>
      </w:r>
      <w:r w:rsidR="00CC7220">
        <w:rPr>
          <w:bCs/>
          <w:sz w:val="20"/>
          <w:szCs w:val="20"/>
          <w:lang w:val="es-ES"/>
        </w:rPr>
        <w:t xml:space="preserve">una sentencia firme en su contra. </w:t>
      </w:r>
    </w:p>
    <w:p w14:paraId="70E478DF" w14:textId="770DF7E4" w:rsidR="003A1A07" w:rsidRPr="009C00FB" w:rsidRDefault="003A1A07" w:rsidP="003A1A0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9C00FB">
        <w:rPr>
          <w:bCs/>
          <w:i/>
          <w:iCs/>
          <w:sz w:val="20"/>
          <w:szCs w:val="20"/>
          <w:lang w:val="es-ES"/>
        </w:rPr>
        <w:t xml:space="preserve">Proceso penal </w:t>
      </w:r>
    </w:p>
    <w:p w14:paraId="6358FFBE" w14:textId="756DD799" w:rsidR="009C00FB" w:rsidRPr="009C00FB" w:rsidRDefault="000444D9" w:rsidP="00A717B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9C00FB">
        <w:rPr>
          <w:bCs/>
          <w:sz w:val="20"/>
          <w:szCs w:val="20"/>
          <w:lang w:val="es-ES"/>
        </w:rPr>
        <w:t>Se relata en la petición</w:t>
      </w:r>
      <w:r w:rsidR="00641429" w:rsidRPr="009C00FB">
        <w:rPr>
          <w:bCs/>
          <w:sz w:val="20"/>
          <w:szCs w:val="20"/>
          <w:lang w:val="es-ES"/>
        </w:rPr>
        <w:t xml:space="preserve">, </w:t>
      </w:r>
      <w:r w:rsidR="002773F8" w:rsidRPr="009C00FB">
        <w:rPr>
          <w:bCs/>
          <w:sz w:val="20"/>
          <w:szCs w:val="20"/>
          <w:lang w:val="es-ES"/>
        </w:rPr>
        <w:t>q</w:t>
      </w:r>
      <w:r w:rsidR="007C177F" w:rsidRPr="009C00FB">
        <w:rPr>
          <w:bCs/>
          <w:sz w:val="20"/>
          <w:szCs w:val="20"/>
          <w:lang w:val="es-ES"/>
        </w:rPr>
        <w:t>u</w:t>
      </w:r>
      <w:r w:rsidRPr="009C00FB">
        <w:rPr>
          <w:bCs/>
          <w:sz w:val="20"/>
          <w:szCs w:val="20"/>
          <w:lang w:val="es-ES"/>
        </w:rPr>
        <w:t xml:space="preserve">e </w:t>
      </w:r>
      <w:r w:rsidR="00641429" w:rsidRPr="009C00FB">
        <w:rPr>
          <w:bCs/>
          <w:sz w:val="20"/>
          <w:szCs w:val="20"/>
          <w:lang w:val="es-ES"/>
        </w:rPr>
        <w:t xml:space="preserve">el </w:t>
      </w:r>
      <w:r w:rsidR="00A07E4F" w:rsidRPr="009C00FB">
        <w:rPr>
          <w:bCs/>
          <w:sz w:val="20"/>
          <w:szCs w:val="20"/>
          <w:lang w:val="es-ES"/>
        </w:rPr>
        <w:t>13</w:t>
      </w:r>
      <w:r w:rsidR="00B62483" w:rsidRPr="009C00FB">
        <w:rPr>
          <w:bCs/>
          <w:sz w:val="20"/>
          <w:szCs w:val="20"/>
          <w:lang w:val="es-ES"/>
        </w:rPr>
        <w:t xml:space="preserve"> de </w:t>
      </w:r>
      <w:r w:rsidR="00A07E4F" w:rsidRPr="009C00FB">
        <w:rPr>
          <w:bCs/>
          <w:sz w:val="20"/>
          <w:szCs w:val="20"/>
          <w:lang w:val="es-ES"/>
        </w:rPr>
        <w:t>marzo</w:t>
      </w:r>
      <w:r w:rsidR="00B62483" w:rsidRPr="009C00FB">
        <w:rPr>
          <w:bCs/>
          <w:sz w:val="20"/>
          <w:szCs w:val="20"/>
          <w:lang w:val="es-ES"/>
        </w:rPr>
        <w:t xml:space="preserve"> de 2011, </w:t>
      </w:r>
      <w:r w:rsidR="00A717BC" w:rsidRPr="009C00FB">
        <w:rPr>
          <w:bCs/>
          <w:sz w:val="20"/>
          <w:szCs w:val="20"/>
          <w:lang w:val="es-ES"/>
        </w:rPr>
        <w:t>el señor Sócrates López Escobar (en adelante el “señor López”), quien fungía como teniente de infantería; y el señor Francisco</w:t>
      </w:r>
      <w:r w:rsidR="008F4FEC">
        <w:rPr>
          <w:bCs/>
          <w:sz w:val="20"/>
          <w:szCs w:val="20"/>
          <w:lang w:val="es-ES"/>
        </w:rPr>
        <w:t xml:space="preserve"> Javier</w:t>
      </w:r>
      <w:r w:rsidR="00A717BC" w:rsidRPr="009C00FB">
        <w:rPr>
          <w:bCs/>
          <w:sz w:val="20"/>
          <w:szCs w:val="20"/>
          <w:lang w:val="es-ES"/>
        </w:rPr>
        <w:t xml:space="preserve"> Soto Núñez (en adelante el “señor Soto”), quien fungía como subteniente de infantería, fueron </w:t>
      </w:r>
      <w:r w:rsidR="00A07E4F" w:rsidRPr="009C00FB">
        <w:rPr>
          <w:bCs/>
          <w:sz w:val="20"/>
          <w:szCs w:val="20"/>
          <w:lang w:val="es-ES"/>
        </w:rPr>
        <w:t>detenid</w:t>
      </w:r>
      <w:r w:rsidR="00905781" w:rsidRPr="009C00FB">
        <w:rPr>
          <w:bCs/>
          <w:sz w:val="20"/>
          <w:szCs w:val="20"/>
          <w:lang w:val="es-ES"/>
        </w:rPr>
        <w:t>o</w:t>
      </w:r>
      <w:r w:rsidR="00A07E4F" w:rsidRPr="009C00FB">
        <w:rPr>
          <w:bCs/>
          <w:sz w:val="20"/>
          <w:szCs w:val="20"/>
          <w:lang w:val="es-ES"/>
        </w:rPr>
        <w:t xml:space="preserve">s sin mediar una orden de aprehensión en su contra en el interior del </w:t>
      </w:r>
      <w:r w:rsidR="00327833">
        <w:rPr>
          <w:bCs/>
          <w:sz w:val="20"/>
          <w:szCs w:val="20"/>
          <w:lang w:val="es-ES"/>
        </w:rPr>
        <w:t>Sesenta y Nueve</w:t>
      </w:r>
      <w:r w:rsidR="00A07E4F" w:rsidRPr="009C00FB">
        <w:rPr>
          <w:bCs/>
          <w:sz w:val="20"/>
          <w:szCs w:val="20"/>
          <w:lang w:val="es-ES"/>
        </w:rPr>
        <w:t xml:space="preserve"> </w:t>
      </w:r>
      <w:r w:rsidR="000D52C5" w:rsidRPr="009C00FB">
        <w:rPr>
          <w:bCs/>
          <w:sz w:val="20"/>
          <w:szCs w:val="20"/>
          <w:lang w:val="es-ES"/>
        </w:rPr>
        <w:t>B</w:t>
      </w:r>
      <w:r w:rsidR="00A07E4F" w:rsidRPr="009C00FB">
        <w:rPr>
          <w:bCs/>
          <w:sz w:val="20"/>
          <w:szCs w:val="20"/>
          <w:lang w:val="es-ES"/>
        </w:rPr>
        <w:t xml:space="preserve">atallón </w:t>
      </w:r>
      <w:r w:rsidR="000D52C5" w:rsidRPr="009C00FB">
        <w:rPr>
          <w:bCs/>
          <w:sz w:val="20"/>
          <w:szCs w:val="20"/>
          <w:lang w:val="es-ES"/>
        </w:rPr>
        <w:t>de Infantería</w:t>
      </w:r>
      <w:r w:rsidR="00960284" w:rsidRPr="009C00FB">
        <w:rPr>
          <w:bCs/>
          <w:sz w:val="20"/>
          <w:szCs w:val="20"/>
          <w:lang w:val="es-ES"/>
        </w:rPr>
        <w:t>, ubicado en la ciudad de Saltillo, estado de Coahuila</w:t>
      </w:r>
      <w:r w:rsidR="000D52C5" w:rsidRPr="009C00FB">
        <w:rPr>
          <w:bCs/>
          <w:sz w:val="20"/>
          <w:szCs w:val="20"/>
          <w:lang w:val="es-ES"/>
        </w:rPr>
        <w:t>.</w:t>
      </w:r>
    </w:p>
    <w:p w14:paraId="5C089853" w14:textId="276503EB" w:rsidR="008919F1" w:rsidRPr="009C00FB" w:rsidRDefault="006F1485" w:rsidP="00A717B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9C00FB">
        <w:rPr>
          <w:bCs/>
          <w:sz w:val="20"/>
          <w:szCs w:val="20"/>
          <w:lang w:val="es-ES"/>
        </w:rPr>
        <w:t>El peticionario sostiene</w:t>
      </w:r>
      <w:r w:rsidR="007E7A5C" w:rsidRPr="009C00FB">
        <w:rPr>
          <w:bCs/>
          <w:sz w:val="20"/>
          <w:szCs w:val="20"/>
          <w:lang w:val="es-ES"/>
        </w:rPr>
        <w:t xml:space="preserve"> </w:t>
      </w:r>
      <w:r w:rsidR="00BC5F95" w:rsidRPr="009C00FB">
        <w:rPr>
          <w:bCs/>
          <w:sz w:val="20"/>
          <w:szCs w:val="20"/>
          <w:lang w:val="es-ES"/>
        </w:rPr>
        <w:t>que,</w:t>
      </w:r>
      <w:r w:rsidR="007E7A5C" w:rsidRPr="009C00FB">
        <w:rPr>
          <w:bCs/>
          <w:sz w:val="20"/>
          <w:szCs w:val="20"/>
          <w:lang w:val="es-ES"/>
        </w:rPr>
        <w:t xml:space="preserve"> del 13 al 16 de marzo de 2011, </w:t>
      </w:r>
      <w:r w:rsidR="0020647E" w:rsidRPr="009C00FB">
        <w:rPr>
          <w:bCs/>
          <w:sz w:val="20"/>
          <w:szCs w:val="20"/>
          <w:lang w:val="es-ES"/>
        </w:rPr>
        <w:t xml:space="preserve">las </w:t>
      </w:r>
      <w:r w:rsidR="00C21B06" w:rsidRPr="009C00FB">
        <w:rPr>
          <w:bCs/>
          <w:sz w:val="20"/>
          <w:szCs w:val="20"/>
          <w:lang w:val="es-ES"/>
        </w:rPr>
        <w:t>presuntas víctimas</w:t>
      </w:r>
      <w:r w:rsidR="0020647E" w:rsidRPr="009C00FB">
        <w:rPr>
          <w:bCs/>
          <w:sz w:val="20"/>
          <w:szCs w:val="20"/>
          <w:lang w:val="es-ES"/>
        </w:rPr>
        <w:t xml:space="preserve"> estuvieron privad</w:t>
      </w:r>
      <w:r w:rsidR="001F2A78">
        <w:rPr>
          <w:bCs/>
          <w:sz w:val="20"/>
          <w:szCs w:val="20"/>
          <w:lang w:val="es-ES"/>
        </w:rPr>
        <w:t>a</w:t>
      </w:r>
      <w:r w:rsidR="0020647E" w:rsidRPr="009C00FB">
        <w:rPr>
          <w:bCs/>
          <w:sz w:val="20"/>
          <w:szCs w:val="20"/>
          <w:lang w:val="es-ES"/>
        </w:rPr>
        <w:t>s de su libertad sin haber sido puestas a disposición de un juez o una autoridad competente</w:t>
      </w:r>
      <w:r w:rsidR="00FD12F6" w:rsidRPr="009C00FB">
        <w:rPr>
          <w:bCs/>
          <w:sz w:val="20"/>
          <w:szCs w:val="20"/>
          <w:lang w:val="es-ES"/>
        </w:rPr>
        <w:t>. Además, que en dicho periodo</w:t>
      </w:r>
      <w:r w:rsidR="007E7A5C" w:rsidRPr="009C00FB">
        <w:rPr>
          <w:bCs/>
          <w:sz w:val="20"/>
          <w:szCs w:val="20"/>
          <w:lang w:val="es-ES"/>
        </w:rPr>
        <w:t xml:space="preserve"> fueron objeto de tortura</w:t>
      </w:r>
      <w:r w:rsidR="0020647E" w:rsidRPr="009C00FB">
        <w:rPr>
          <w:bCs/>
          <w:sz w:val="20"/>
          <w:szCs w:val="20"/>
          <w:lang w:val="es-ES"/>
        </w:rPr>
        <w:t>s</w:t>
      </w:r>
      <w:r w:rsidR="007E7A5C" w:rsidRPr="009C00FB">
        <w:rPr>
          <w:bCs/>
          <w:sz w:val="20"/>
          <w:szCs w:val="20"/>
          <w:lang w:val="es-ES"/>
        </w:rPr>
        <w:t xml:space="preserve"> física</w:t>
      </w:r>
      <w:r w:rsidR="0020647E" w:rsidRPr="009C00FB">
        <w:rPr>
          <w:bCs/>
          <w:sz w:val="20"/>
          <w:szCs w:val="20"/>
          <w:lang w:val="es-ES"/>
        </w:rPr>
        <w:t>s</w:t>
      </w:r>
      <w:r w:rsidR="007E7A5C" w:rsidRPr="009C00FB">
        <w:rPr>
          <w:bCs/>
          <w:sz w:val="20"/>
          <w:szCs w:val="20"/>
          <w:lang w:val="es-ES"/>
        </w:rPr>
        <w:t xml:space="preserve"> y psicológica</w:t>
      </w:r>
      <w:r w:rsidR="0020647E" w:rsidRPr="009C00FB">
        <w:rPr>
          <w:bCs/>
          <w:sz w:val="20"/>
          <w:szCs w:val="20"/>
          <w:lang w:val="es-ES"/>
        </w:rPr>
        <w:t>s</w:t>
      </w:r>
      <w:r w:rsidR="007E7A5C" w:rsidRPr="009C00FB">
        <w:rPr>
          <w:bCs/>
          <w:sz w:val="20"/>
          <w:szCs w:val="20"/>
          <w:lang w:val="es-ES"/>
        </w:rPr>
        <w:t xml:space="preserve"> por parte de elementos de la Policía Judicial Federal Militar,</w:t>
      </w:r>
      <w:r w:rsidR="000730B9" w:rsidRPr="009C00FB">
        <w:rPr>
          <w:bCs/>
          <w:sz w:val="20"/>
          <w:szCs w:val="20"/>
          <w:lang w:val="es-ES"/>
        </w:rPr>
        <w:t xml:space="preserve"> </w:t>
      </w:r>
      <w:r w:rsidR="00F30F54" w:rsidRPr="009C00FB">
        <w:rPr>
          <w:bCs/>
          <w:sz w:val="20"/>
          <w:szCs w:val="20"/>
          <w:lang w:val="es-ES"/>
        </w:rPr>
        <w:t xml:space="preserve">con el objeto de </w:t>
      </w:r>
      <w:r w:rsidR="000730B9" w:rsidRPr="009C00FB">
        <w:rPr>
          <w:bCs/>
          <w:sz w:val="20"/>
          <w:szCs w:val="20"/>
          <w:lang w:val="es-ES"/>
        </w:rPr>
        <w:t xml:space="preserve">extraer de ellos </w:t>
      </w:r>
      <w:r w:rsidR="00C468CA" w:rsidRPr="009C00FB">
        <w:rPr>
          <w:bCs/>
          <w:sz w:val="20"/>
          <w:szCs w:val="20"/>
          <w:lang w:val="es-ES"/>
        </w:rPr>
        <w:t>una</w:t>
      </w:r>
      <w:r w:rsidR="000730B9" w:rsidRPr="009C00FB">
        <w:rPr>
          <w:bCs/>
          <w:sz w:val="20"/>
          <w:szCs w:val="20"/>
          <w:lang w:val="es-ES"/>
        </w:rPr>
        <w:t xml:space="preserve"> confesión </w:t>
      </w:r>
      <w:r w:rsidR="006D51B2" w:rsidRPr="009C00FB">
        <w:rPr>
          <w:bCs/>
          <w:sz w:val="20"/>
          <w:szCs w:val="20"/>
          <w:lang w:val="es-ES"/>
        </w:rPr>
        <w:t xml:space="preserve">de pertenecer a un grupo delictivo denominado los “Z”, así como para inculpar a otros militares pertenecientes al mismo batallón. </w:t>
      </w:r>
      <w:r w:rsidR="008919F1" w:rsidRPr="009C00FB">
        <w:rPr>
          <w:bCs/>
          <w:sz w:val="20"/>
          <w:szCs w:val="20"/>
          <w:lang w:val="es-ES"/>
        </w:rPr>
        <w:t xml:space="preserve">Respecto a los actos de tortura perpetrados en contra de </w:t>
      </w:r>
      <w:r w:rsidR="00927B71">
        <w:rPr>
          <w:bCs/>
          <w:sz w:val="20"/>
          <w:szCs w:val="20"/>
          <w:lang w:val="es-ES"/>
        </w:rPr>
        <w:t>las presuntas víctimas</w:t>
      </w:r>
      <w:r w:rsidR="008919F1" w:rsidRPr="009C00FB">
        <w:rPr>
          <w:bCs/>
          <w:sz w:val="20"/>
          <w:szCs w:val="20"/>
          <w:lang w:val="es-ES"/>
        </w:rPr>
        <w:t xml:space="preserve">, el peticionario establece que estos consistieron en asfixias con bolsas de plástico, </w:t>
      </w:r>
      <w:r w:rsidR="00BF20ED">
        <w:rPr>
          <w:bCs/>
          <w:sz w:val="20"/>
          <w:szCs w:val="20"/>
          <w:lang w:val="es-ES"/>
        </w:rPr>
        <w:t xml:space="preserve">y </w:t>
      </w:r>
      <w:r w:rsidR="008919F1" w:rsidRPr="009C00FB">
        <w:rPr>
          <w:bCs/>
          <w:sz w:val="20"/>
          <w:szCs w:val="20"/>
          <w:lang w:val="es-ES"/>
        </w:rPr>
        <w:t xml:space="preserve">que fueron inmovilizados para </w:t>
      </w:r>
      <w:r w:rsidR="00A614F6">
        <w:rPr>
          <w:bCs/>
          <w:sz w:val="20"/>
          <w:szCs w:val="20"/>
          <w:lang w:val="es-ES"/>
        </w:rPr>
        <w:t xml:space="preserve">después colocarles </w:t>
      </w:r>
      <w:r w:rsidR="008919F1" w:rsidRPr="009C00FB">
        <w:rPr>
          <w:bCs/>
          <w:sz w:val="20"/>
          <w:szCs w:val="20"/>
          <w:lang w:val="es-ES"/>
        </w:rPr>
        <w:t xml:space="preserve">un </w:t>
      </w:r>
      <w:r w:rsidR="00A614F6">
        <w:rPr>
          <w:bCs/>
          <w:sz w:val="20"/>
          <w:szCs w:val="20"/>
          <w:lang w:val="es-ES"/>
        </w:rPr>
        <w:t xml:space="preserve">pañuelo </w:t>
      </w:r>
      <w:r w:rsidR="008919F1" w:rsidRPr="009C00FB">
        <w:rPr>
          <w:bCs/>
          <w:sz w:val="20"/>
          <w:szCs w:val="20"/>
          <w:lang w:val="es-ES"/>
        </w:rPr>
        <w:t>mojado sobre la cara</w:t>
      </w:r>
      <w:r w:rsidR="00C810E9">
        <w:rPr>
          <w:bCs/>
          <w:sz w:val="20"/>
          <w:szCs w:val="20"/>
          <w:lang w:val="es-ES"/>
        </w:rPr>
        <w:t>,</w:t>
      </w:r>
      <w:r w:rsidR="008919F1" w:rsidRPr="009C00FB">
        <w:rPr>
          <w:bCs/>
          <w:sz w:val="20"/>
          <w:szCs w:val="20"/>
          <w:lang w:val="es-ES"/>
        </w:rPr>
        <w:t xml:space="preserve"> vertiendo agua sobre ellos. </w:t>
      </w:r>
    </w:p>
    <w:p w14:paraId="2C2EC850" w14:textId="52752B2C" w:rsidR="007705A7" w:rsidRPr="009C00FB" w:rsidRDefault="00BF20ED" w:rsidP="006866E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E</w:t>
      </w:r>
      <w:r w:rsidR="00182E18" w:rsidRPr="009C00FB">
        <w:rPr>
          <w:bCs/>
          <w:sz w:val="20"/>
          <w:szCs w:val="20"/>
          <w:lang w:val="es-ES"/>
        </w:rPr>
        <w:t xml:space="preserve">l 16 de marzo de 2011, </w:t>
      </w:r>
      <w:r w:rsidR="003A2B3A" w:rsidRPr="009C00FB">
        <w:rPr>
          <w:bCs/>
          <w:sz w:val="20"/>
          <w:szCs w:val="20"/>
          <w:lang w:val="es-ES"/>
        </w:rPr>
        <w:t xml:space="preserve">las presuntas víctimas </w:t>
      </w:r>
      <w:r w:rsidR="00182E18" w:rsidRPr="009C00FB">
        <w:rPr>
          <w:bCs/>
          <w:sz w:val="20"/>
          <w:szCs w:val="20"/>
          <w:lang w:val="es-ES"/>
        </w:rPr>
        <w:t>fueron trasladad</w:t>
      </w:r>
      <w:r w:rsidR="0015773C" w:rsidRPr="009C00FB">
        <w:rPr>
          <w:bCs/>
          <w:sz w:val="20"/>
          <w:szCs w:val="20"/>
          <w:lang w:val="es-ES"/>
        </w:rPr>
        <w:t>a</w:t>
      </w:r>
      <w:r w:rsidR="00182E18" w:rsidRPr="009C00FB">
        <w:rPr>
          <w:bCs/>
          <w:sz w:val="20"/>
          <w:szCs w:val="20"/>
          <w:lang w:val="es-ES"/>
        </w:rPr>
        <w:t xml:space="preserve">s a las instalaciones de la Subprocuraduría de Investigación Especializada </w:t>
      </w:r>
      <w:r w:rsidR="00977A8F" w:rsidRPr="009C00FB">
        <w:rPr>
          <w:bCs/>
          <w:sz w:val="20"/>
          <w:szCs w:val="20"/>
          <w:lang w:val="es-ES"/>
        </w:rPr>
        <w:t>en Delincuencia Organizada de la Ciudad de México (SIEDO)</w:t>
      </w:r>
      <w:r w:rsidR="007705A7" w:rsidRPr="009C00FB">
        <w:rPr>
          <w:bCs/>
          <w:sz w:val="20"/>
          <w:szCs w:val="20"/>
          <w:lang w:val="es-ES"/>
        </w:rPr>
        <w:t xml:space="preserve">. Según se desprende del expediente, </w:t>
      </w:r>
      <w:r w:rsidR="003319A9" w:rsidRPr="009C00FB">
        <w:rPr>
          <w:bCs/>
          <w:sz w:val="20"/>
          <w:szCs w:val="20"/>
          <w:lang w:val="es-ES"/>
        </w:rPr>
        <w:t xml:space="preserve">del 18 de marzo al 24 de mayo de 2011, </w:t>
      </w:r>
      <w:r w:rsidR="00927B71">
        <w:rPr>
          <w:bCs/>
          <w:sz w:val="20"/>
          <w:szCs w:val="20"/>
          <w:lang w:val="es-ES"/>
        </w:rPr>
        <w:t>las presuntas víctima</w:t>
      </w:r>
      <w:r w:rsidR="003319A9" w:rsidRPr="009C00FB">
        <w:rPr>
          <w:bCs/>
          <w:sz w:val="20"/>
          <w:szCs w:val="20"/>
          <w:lang w:val="es-ES"/>
        </w:rPr>
        <w:t>s fueron arraigad</w:t>
      </w:r>
      <w:r w:rsidR="00373290">
        <w:rPr>
          <w:bCs/>
          <w:sz w:val="20"/>
          <w:szCs w:val="20"/>
          <w:lang w:val="es-ES"/>
        </w:rPr>
        <w:t>a</w:t>
      </w:r>
      <w:r w:rsidR="003319A9" w:rsidRPr="009C00FB">
        <w:rPr>
          <w:bCs/>
          <w:sz w:val="20"/>
          <w:szCs w:val="20"/>
          <w:lang w:val="es-ES"/>
        </w:rPr>
        <w:t xml:space="preserve">s en el Centro de Investigaciones Federales. El </w:t>
      </w:r>
      <w:r w:rsidR="007705A7" w:rsidRPr="009C00FB">
        <w:rPr>
          <w:bCs/>
          <w:sz w:val="20"/>
          <w:szCs w:val="20"/>
          <w:lang w:val="es-ES"/>
        </w:rPr>
        <w:t>31 de mayo de 2011, la Procuraduría General de Justicia Militar ejerció acción penal en contra del señor López por su presunta responsabilidad en la comisión de los delitos contra la salud y delincuencia organizada; y en contra del señor Soto por los delitos de operaciones con recursos de procedencia ilícita y posesión de armas de fuego de uso exclusivo del Ejército, Fuerza Aérea y Armada, dentro de la averiguación previa SC/155/2011/IV.</w:t>
      </w:r>
      <w:r w:rsidR="006C71B1">
        <w:rPr>
          <w:bCs/>
          <w:sz w:val="20"/>
          <w:szCs w:val="20"/>
          <w:lang w:val="es-ES"/>
        </w:rPr>
        <w:t xml:space="preserve"> </w:t>
      </w:r>
      <w:r w:rsidR="007705A7" w:rsidRPr="009C00FB">
        <w:rPr>
          <w:bCs/>
          <w:sz w:val="20"/>
          <w:szCs w:val="20"/>
          <w:lang w:val="es-ES"/>
        </w:rPr>
        <w:t xml:space="preserve">El </w:t>
      </w:r>
      <w:r w:rsidR="003319A9" w:rsidRPr="009C00FB">
        <w:rPr>
          <w:bCs/>
          <w:sz w:val="20"/>
          <w:szCs w:val="20"/>
          <w:lang w:val="es-ES"/>
        </w:rPr>
        <w:t xml:space="preserve">3 de junio de 2011, el Juzgado Primero Militar libró orden de aprensión en contra de </w:t>
      </w:r>
      <w:r w:rsidR="00927B71">
        <w:rPr>
          <w:bCs/>
          <w:sz w:val="20"/>
          <w:szCs w:val="20"/>
          <w:lang w:val="es-ES"/>
        </w:rPr>
        <w:t>las presuntas víctimas</w:t>
      </w:r>
      <w:r w:rsidR="003319A9" w:rsidRPr="009C00FB">
        <w:rPr>
          <w:bCs/>
          <w:sz w:val="20"/>
          <w:szCs w:val="20"/>
          <w:lang w:val="es-ES"/>
        </w:rPr>
        <w:t>, la cual fue ejecuta</w:t>
      </w:r>
      <w:r w:rsidR="006C71B1">
        <w:rPr>
          <w:bCs/>
          <w:sz w:val="20"/>
          <w:szCs w:val="20"/>
          <w:lang w:val="es-ES"/>
        </w:rPr>
        <w:t>da</w:t>
      </w:r>
      <w:r w:rsidR="003319A9" w:rsidRPr="009C00FB">
        <w:rPr>
          <w:bCs/>
          <w:sz w:val="20"/>
          <w:szCs w:val="20"/>
          <w:lang w:val="es-ES"/>
        </w:rPr>
        <w:t xml:space="preserve"> ese mismo día por elementos de la Policía Judicial Federal Militar. </w:t>
      </w:r>
    </w:p>
    <w:p w14:paraId="050B59D0" w14:textId="32B32799" w:rsidR="00B24050" w:rsidRPr="009C00FB" w:rsidRDefault="00B24050" w:rsidP="00B2405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9C00FB">
        <w:rPr>
          <w:bCs/>
          <w:i/>
          <w:iCs/>
          <w:sz w:val="20"/>
          <w:szCs w:val="20"/>
          <w:lang w:val="es-ES"/>
        </w:rPr>
        <w:t>Queja ante la Comisión Nacional de Derechos Humanos</w:t>
      </w:r>
      <w:r w:rsidR="00F5103A" w:rsidRPr="009C00FB">
        <w:rPr>
          <w:bCs/>
          <w:i/>
          <w:iCs/>
          <w:sz w:val="20"/>
          <w:szCs w:val="20"/>
          <w:lang w:val="es-ES"/>
        </w:rPr>
        <w:t xml:space="preserve"> CNDH/2/2011/2506/Q</w:t>
      </w:r>
    </w:p>
    <w:p w14:paraId="5787D878" w14:textId="7DB8BD78" w:rsidR="00F5103A" w:rsidRPr="00A20427" w:rsidRDefault="00867481" w:rsidP="0002024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20427">
        <w:rPr>
          <w:bCs/>
          <w:sz w:val="20"/>
          <w:szCs w:val="20"/>
          <w:lang w:val="es-ES"/>
        </w:rPr>
        <w:t xml:space="preserve">Por otro lado, indica que el 16 de marzo de 2011, </w:t>
      </w:r>
      <w:r w:rsidR="00927B71" w:rsidRPr="00A20427">
        <w:rPr>
          <w:bCs/>
          <w:sz w:val="20"/>
          <w:szCs w:val="20"/>
          <w:lang w:val="es-ES"/>
        </w:rPr>
        <w:t>las presuntas víctimas</w:t>
      </w:r>
      <w:r w:rsidRPr="00A20427">
        <w:rPr>
          <w:bCs/>
          <w:sz w:val="20"/>
          <w:szCs w:val="20"/>
          <w:lang w:val="es-ES"/>
        </w:rPr>
        <w:t xml:space="preserve"> interpusieron una queja ante la Comisión Nacional de Derechos Humanos (CNDH) por los alegados actos de tortura física y psicológica infligidos en su contra. </w:t>
      </w:r>
      <w:r w:rsidR="00CD07D8" w:rsidRPr="00A20427">
        <w:rPr>
          <w:bCs/>
          <w:sz w:val="20"/>
          <w:szCs w:val="20"/>
          <w:lang w:val="es-ES"/>
        </w:rPr>
        <w:t xml:space="preserve">Al respecto, el peticionario, en su escrito de petición inicial, establece que: “[…] </w:t>
      </w:r>
      <w:r w:rsidR="00CD07D8" w:rsidRPr="00A20427">
        <w:rPr>
          <w:bCs/>
          <w:i/>
          <w:iCs/>
          <w:sz w:val="20"/>
          <w:szCs w:val="20"/>
          <w:lang w:val="es-ES"/>
        </w:rPr>
        <w:t xml:space="preserve">se acudió a la Comisión encargada de Proteger los Derechos Humanos en México, pero es el caso de que a la fecha, dos años seis meses después, no ha existido ningún tipo de resolución por parte de </w:t>
      </w:r>
      <w:r w:rsidR="00AE093E" w:rsidRPr="00A20427">
        <w:rPr>
          <w:bCs/>
          <w:i/>
          <w:iCs/>
          <w:sz w:val="20"/>
          <w:szCs w:val="20"/>
          <w:lang w:val="es-ES"/>
        </w:rPr>
        <w:t>es</w:t>
      </w:r>
      <w:r w:rsidR="00CD07D8" w:rsidRPr="00A20427">
        <w:rPr>
          <w:bCs/>
          <w:i/>
          <w:iCs/>
          <w:sz w:val="20"/>
          <w:szCs w:val="20"/>
          <w:lang w:val="es-ES"/>
        </w:rPr>
        <w:t>te organismo nacional, dicha queja está registrada bajo el expediente número CNDH/2/2011/2506/Q</w:t>
      </w:r>
      <w:r w:rsidR="00CD07D8" w:rsidRPr="00A20427">
        <w:rPr>
          <w:bCs/>
          <w:sz w:val="20"/>
          <w:szCs w:val="20"/>
          <w:lang w:val="es-ES"/>
        </w:rPr>
        <w:t xml:space="preserve"> […]”</w:t>
      </w:r>
      <w:r w:rsidR="0002024B" w:rsidRPr="00A20427">
        <w:rPr>
          <w:bCs/>
          <w:sz w:val="20"/>
          <w:szCs w:val="20"/>
          <w:lang w:val="es-ES"/>
        </w:rPr>
        <w:t>. No obstante, de la información contenida en el expediente se desprende que</w:t>
      </w:r>
      <w:r w:rsidRPr="00A20427">
        <w:rPr>
          <w:bCs/>
          <w:sz w:val="20"/>
          <w:szCs w:val="20"/>
          <w:lang w:val="es-ES"/>
        </w:rPr>
        <w:t xml:space="preserve"> </w:t>
      </w:r>
      <w:r w:rsidR="002871E3" w:rsidRPr="00A20427">
        <w:rPr>
          <w:bCs/>
          <w:sz w:val="20"/>
          <w:szCs w:val="20"/>
          <w:lang w:val="es-ES"/>
        </w:rPr>
        <w:t xml:space="preserve">el 28 de marzo de 2014, </w:t>
      </w:r>
      <w:r w:rsidRPr="00A20427">
        <w:rPr>
          <w:bCs/>
          <w:sz w:val="20"/>
          <w:szCs w:val="20"/>
          <w:lang w:val="es-ES"/>
        </w:rPr>
        <w:t xml:space="preserve">la CNDH </w:t>
      </w:r>
      <w:r w:rsidR="003E7F42" w:rsidRPr="00A20427">
        <w:rPr>
          <w:bCs/>
          <w:sz w:val="20"/>
          <w:szCs w:val="20"/>
          <w:lang w:val="es-ES"/>
        </w:rPr>
        <w:t>emitió</w:t>
      </w:r>
      <w:r w:rsidRPr="00A20427">
        <w:rPr>
          <w:bCs/>
          <w:sz w:val="20"/>
          <w:szCs w:val="20"/>
          <w:lang w:val="es-ES"/>
        </w:rPr>
        <w:t xml:space="preserve"> el oficio CNDH/2VG/DG/29/2014, en el cual concluyó </w:t>
      </w:r>
      <w:r w:rsidR="003E7F42" w:rsidRPr="00A20427">
        <w:rPr>
          <w:bCs/>
          <w:sz w:val="20"/>
          <w:szCs w:val="20"/>
          <w:lang w:val="es-ES"/>
        </w:rPr>
        <w:t>que los</w:t>
      </w:r>
      <w:r w:rsidR="00DC30F1" w:rsidRPr="00A20427">
        <w:rPr>
          <w:bCs/>
          <w:sz w:val="20"/>
          <w:szCs w:val="20"/>
          <w:lang w:val="es-ES"/>
        </w:rPr>
        <w:t xml:space="preserve"> referidos</w:t>
      </w:r>
      <w:r w:rsidR="003E7F42" w:rsidRPr="00A20427">
        <w:rPr>
          <w:bCs/>
          <w:sz w:val="20"/>
          <w:szCs w:val="20"/>
          <w:lang w:val="es-ES"/>
        </w:rPr>
        <w:t xml:space="preserve"> actos de tortura fueron investigados y sancionados por la jurisdicción militar, estableciendo textualmente lo</w:t>
      </w:r>
      <w:r w:rsidRPr="00A20427">
        <w:rPr>
          <w:bCs/>
          <w:sz w:val="20"/>
          <w:szCs w:val="20"/>
          <w:lang w:val="es-ES"/>
        </w:rPr>
        <w:t xml:space="preserve"> siguiente: </w:t>
      </w:r>
    </w:p>
    <w:p w14:paraId="3A24AB71" w14:textId="275462D8" w:rsidR="00867481" w:rsidRPr="009C00FB" w:rsidRDefault="00867481" w:rsidP="00DC30F1">
      <w:pPr>
        <w:pBdr>
          <w:top w:val="nil"/>
        </w:pBdr>
        <w:tabs>
          <w:tab w:val="left" w:pos="1440"/>
        </w:tabs>
        <w:spacing w:before="120" w:after="240"/>
        <w:ind w:left="720" w:right="720"/>
        <w:jc w:val="both"/>
        <w:rPr>
          <w:rFonts w:asciiTheme="majorHAnsi" w:eastAsia="MS Mincho" w:hAnsiTheme="majorHAnsi" w:cstheme="minorHAnsi"/>
          <w:color w:val="000000" w:themeColor="text1"/>
          <w:sz w:val="19"/>
          <w:szCs w:val="19"/>
          <w:u w:color="000000"/>
          <w:bdr w:val="nil"/>
          <w:lang w:eastAsia="es-ES"/>
        </w:rPr>
      </w:pPr>
      <w:r w:rsidRPr="009C00FB">
        <w:rPr>
          <w:rFonts w:asciiTheme="majorHAnsi" w:eastAsia="MS Mincho" w:hAnsiTheme="majorHAnsi" w:cstheme="minorHAnsi"/>
          <w:color w:val="000000" w:themeColor="text1"/>
          <w:sz w:val="19"/>
          <w:szCs w:val="19"/>
          <w:u w:color="000000"/>
          <w:bdr w:val="nil"/>
          <w:lang w:eastAsia="es-ES"/>
        </w:rPr>
        <w:t xml:space="preserve">En consecuencia, de la información recabada por este organismo nacional se advirtió que se encuentra acreditada </w:t>
      </w:r>
      <w:r w:rsidR="00DC30F1" w:rsidRPr="009C00FB">
        <w:rPr>
          <w:rFonts w:asciiTheme="majorHAnsi" w:eastAsia="MS Mincho" w:hAnsiTheme="majorHAnsi" w:cstheme="minorHAnsi"/>
          <w:color w:val="000000" w:themeColor="text1"/>
          <w:sz w:val="19"/>
          <w:szCs w:val="19"/>
          <w:u w:color="000000"/>
          <w:bdr w:val="nil"/>
          <w:lang w:eastAsia="es-ES"/>
        </w:rPr>
        <w:t>la</w:t>
      </w:r>
      <w:r w:rsidRPr="009C00FB">
        <w:rPr>
          <w:rFonts w:asciiTheme="majorHAnsi" w:eastAsia="MS Mincho" w:hAnsiTheme="majorHAnsi" w:cstheme="minorHAnsi"/>
          <w:color w:val="000000" w:themeColor="text1"/>
          <w:sz w:val="19"/>
          <w:szCs w:val="19"/>
          <w:u w:color="000000"/>
          <w:bdr w:val="nil"/>
          <w:lang w:eastAsia="es-ES"/>
        </w:rPr>
        <w:t xml:space="preserve"> violación a sus derechos humanos, sin embargo, en virtud de que la autoridad tomó acciones a fin de resarcir la violación a derecho humanos</w:t>
      </w:r>
      <w:r w:rsidR="0057359B">
        <w:rPr>
          <w:rFonts w:asciiTheme="majorHAnsi" w:eastAsia="MS Mincho" w:hAnsiTheme="majorHAnsi" w:cstheme="minorHAnsi"/>
          <w:color w:val="000000" w:themeColor="text1"/>
          <w:sz w:val="19"/>
          <w:szCs w:val="19"/>
          <w:u w:color="000000"/>
          <w:bdr w:val="nil"/>
          <w:lang w:eastAsia="es-ES"/>
        </w:rPr>
        <w:t xml:space="preserve"> (sic)</w:t>
      </w:r>
      <w:r w:rsidRPr="009C00FB">
        <w:rPr>
          <w:rFonts w:asciiTheme="majorHAnsi" w:eastAsia="MS Mincho" w:hAnsiTheme="majorHAnsi" w:cstheme="minorHAnsi"/>
          <w:color w:val="000000" w:themeColor="text1"/>
          <w:sz w:val="19"/>
          <w:szCs w:val="19"/>
          <w:u w:color="000000"/>
          <w:bdr w:val="nil"/>
          <w:lang w:eastAsia="es-ES"/>
        </w:rPr>
        <w:t xml:space="preserve">, consistentes en que el agente del Ministerio Público Militar, dio inicio a la averiguación previa PGJM/AMPME/30/2012-II; que el órgano interno de control en la Secretaría de la Defensa Nacional inició el procedimiento </w:t>
      </w:r>
      <w:r w:rsidRPr="009C00FB">
        <w:rPr>
          <w:rFonts w:asciiTheme="majorHAnsi" w:eastAsia="MS Mincho" w:hAnsiTheme="majorHAnsi" w:cstheme="minorHAnsi"/>
          <w:color w:val="000000" w:themeColor="text1"/>
          <w:sz w:val="19"/>
          <w:szCs w:val="19"/>
          <w:u w:color="000000"/>
          <w:bdr w:val="nil"/>
          <w:lang w:eastAsia="es-ES"/>
        </w:rPr>
        <w:lastRenderedPageBreak/>
        <w:t>administrativo de investigación 136/2013/C.N.D.H./QU; que se les ofreció la atención médica y psicológica; que el 24 de marzo del año en curso, se llevó a cabo la indemnización por reparación del daño, derivado de la tortura de que fueron objeto; aunado a que este Organismo Nacional dio vista de los hechos motivo de su queja a la Dirección General de Derechos Humanos de la SEDENA, a fin de que la Inspección y Contraloría General del Ejército y Fuerza Aérea realice la investigación respectiva y resuelva lo que en derecho proceda, respecto de la responsabilidad administrativa de los servidores públicos involucrados, el expediente ha quedado sin materia, de conformidad con lo dispuesto en el artículo 125, fracción VI, del Reglamento Interno de la Comisión Nacional de los Derechos Humanos.</w:t>
      </w:r>
    </w:p>
    <w:p w14:paraId="23900128" w14:textId="07B2F3FD" w:rsidR="009C4D63" w:rsidRPr="009C00FB" w:rsidRDefault="009C4D63" w:rsidP="00715B5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MS Mincho" w:hAnsiTheme="majorHAnsi" w:cstheme="minorHAnsi"/>
          <w:i/>
          <w:iCs/>
          <w:color w:val="000000" w:themeColor="text1"/>
          <w:sz w:val="19"/>
          <w:szCs w:val="19"/>
          <w:lang w:val="es-ES"/>
        </w:rPr>
      </w:pPr>
      <w:r w:rsidRPr="009C00FB">
        <w:rPr>
          <w:rFonts w:asciiTheme="majorHAnsi" w:eastAsia="MS Mincho" w:hAnsiTheme="majorHAnsi" w:cstheme="minorHAnsi"/>
          <w:i/>
          <w:iCs/>
          <w:color w:val="000000" w:themeColor="text1"/>
          <w:sz w:val="19"/>
          <w:szCs w:val="19"/>
          <w:lang w:val="es-ES"/>
        </w:rPr>
        <w:t>Particularidades del señor Francisco Soto Nú</w:t>
      </w:r>
      <w:r w:rsidR="00262DFC" w:rsidRPr="009C00FB">
        <w:rPr>
          <w:rFonts w:asciiTheme="majorHAnsi" w:eastAsia="MS Mincho" w:hAnsiTheme="majorHAnsi" w:cstheme="minorHAnsi"/>
          <w:i/>
          <w:iCs/>
          <w:color w:val="000000" w:themeColor="text1"/>
          <w:sz w:val="19"/>
          <w:szCs w:val="19"/>
          <w:lang w:val="es-ES"/>
        </w:rPr>
        <w:t>ñez</w:t>
      </w:r>
    </w:p>
    <w:p w14:paraId="66235C77" w14:textId="19869975" w:rsidR="00786D74" w:rsidRPr="009C00FB" w:rsidRDefault="00786D74" w:rsidP="009912A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9C00FB">
        <w:rPr>
          <w:bCs/>
          <w:sz w:val="20"/>
          <w:szCs w:val="20"/>
          <w:lang w:val="es-ES"/>
        </w:rPr>
        <w:t xml:space="preserve">Por otro lado, en comunicación de 6 de diciembre de 2017, la esposa del señor Soto refiere, entre otros, lo siguiente: </w:t>
      </w:r>
    </w:p>
    <w:p w14:paraId="116F858B" w14:textId="21AA3381" w:rsidR="00DB79CE" w:rsidRPr="009C00FB" w:rsidRDefault="00DB79CE" w:rsidP="00BE21F3">
      <w:pPr>
        <w:pBdr>
          <w:top w:val="nil"/>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bdr w:val="nil"/>
          <w:lang w:eastAsia="es-ES"/>
        </w:rPr>
      </w:pPr>
      <w:r w:rsidRPr="009C00FB">
        <w:rPr>
          <w:rFonts w:asciiTheme="majorHAnsi" w:eastAsia="MS Mincho" w:hAnsiTheme="majorHAnsi" w:cstheme="minorHAnsi"/>
          <w:color w:val="000000" w:themeColor="text1"/>
          <w:sz w:val="19"/>
          <w:szCs w:val="19"/>
          <w:u w:color="000000"/>
          <w:bdr w:val="nil"/>
          <w:lang w:eastAsia="es-ES"/>
        </w:rPr>
        <w:t>[…]</w:t>
      </w:r>
    </w:p>
    <w:p w14:paraId="0862E5DD" w14:textId="713821A4" w:rsidR="00BE21F3" w:rsidRPr="009C00FB" w:rsidRDefault="00BE21F3" w:rsidP="00BE21F3">
      <w:pPr>
        <w:pBdr>
          <w:top w:val="nil"/>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bdr w:val="nil"/>
          <w:lang w:eastAsia="es-ES"/>
        </w:rPr>
      </w:pPr>
      <w:r w:rsidRPr="009C00FB">
        <w:rPr>
          <w:rFonts w:asciiTheme="majorHAnsi" w:eastAsia="MS Mincho" w:hAnsiTheme="majorHAnsi" w:cstheme="minorHAnsi"/>
          <w:color w:val="000000" w:themeColor="text1"/>
          <w:sz w:val="19"/>
          <w:szCs w:val="19"/>
          <w:u w:color="000000"/>
          <w:bdr w:val="nil"/>
          <w:lang w:eastAsia="es-ES"/>
        </w:rPr>
        <w:t xml:space="preserve">Puse una queja en la Comisión Nacional de Derechos Humanos la cual le realizo el protocolo de Estambul de cual salió positivo a tortura el resultado de esta se nos comunicó hasta el 2014 donde la Comisión Nacional de Derechos Humanos militares (sic) ofreció un convenio y posteriormente la SEDENA —Secretaría de la Defensa Nacional— ordena un nuevo </w:t>
      </w:r>
      <w:r w:rsidR="00C11026" w:rsidRPr="009C00FB">
        <w:rPr>
          <w:rFonts w:asciiTheme="majorHAnsi" w:eastAsia="MS Mincho" w:hAnsiTheme="majorHAnsi" w:cstheme="minorHAnsi"/>
          <w:color w:val="000000" w:themeColor="text1"/>
          <w:sz w:val="19"/>
          <w:szCs w:val="19"/>
          <w:u w:color="000000"/>
          <w:bdr w:val="nil"/>
          <w:lang w:eastAsia="es-ES"/>
        </w:rPr>
        <w:t>estudio</w:t>
      </w:r>
      <w:r w:rsidRPr="009C00FB">
        <w:rPr>
          <w:rFonts w:asciiTheme="majorHAnsi" w:eastAsia="MS Mincho" w:hAnsiTheme="majorHAnsi" w:cstheme="minorHAnsi"/>
          <w:color w:val="000000" w:themeColor="text1"/>
          <w:sz w:val="19"/>
          <w:szCs w:val="19"/>
          <w:u w:color="000000"/>
          <w:bdr w:val="nil"/>
          <w:lang w:eastAsia="es-ES"/>
        </w:rPr>
        <w:t xml:space="preserve"> </w:t>
      </w:r>
      <w:r w:rsidR="00C11026" w:rsidRPr="009C00FB">
        <w:rPr>
          <w:rFonts w:asciiTheme="majorHAnsi" w:eastAsia="MS Mincho" w:hAnsiTheme="majorHAnsi" w:cstheme="minorHAnsi"/>
          <w:color w:val="000000" w:themeColor="text1"/>
          <w:sz w:val="19"/>
          <w:szCs w:val="19"/>
          <w:u w:color="000000"/>
          <w:bdr w:val="nil"/>
          <w:lang w:eastAsia="es-ES"/>
        </w:rPr>
        <w:t>psicológico</w:t>
      </w:r>
      <w:r w:rsidRPr="009C00FB">
        <w:rPr>
          <w:rFonts w:asciiTheme="majorHAnsi" w:eastAsia="MS Mincho" w:hAnsiTheme="majorHAnsi" w:cstheme="minorHAnsi"/>
          <w:color w:val="000000" w:themeColor="text1"/>
          <w:sz w:val="19"/>
          <w:szCs w:val="19"/>
          <w:u w:color="000000"/>
          <w:bdr w:val="nil"/>
          <w:lang w:eastAsia="es-ES"/>
        </w:rPr>
        <w:t xml:space="preserve"> del cual </w:t>
      </w:r>
      <w:r w:rsidR="00C11026" w:rsidRPr="009C00FB">
        <w:rPr>
          <w:rFonts w:asciiTheme="majorHAnsi" w:eastAsia="MS Mincho" w:hAnsiTheme="majorHAnsi" w:cstheme="minorHAnsi"/>
          <w:color w:val="000000" w:themeColor="text1"/>
          <w:sz w:val="19"/>
          <w:szCs w:val="19"/>
          <w:u w:color="000000"/>
          <w:bdr w:val="nil"/>
          <w:lang w:eastAsia="es-ES"/>
        </w:rPr>
        <w:t>también</w:t>
      </w:r>
      <w:r w:rsidRPr="009C00FB">
        <w:rPr>
          <w:rFonts w:asciiTheme="majorHAnsi" w:eastAsia="MS Mincho" w:hAnsiTheme="majorHAnsi" w:cstheme="minorHAnsi"/>
          <w:color w:val="000000" w:themeColor="text1"/>
          <w:sz w:val="19"/>
          <w:szCs w:val="19"/>
          <w:u w:color="000000"/>
          <w:bdr w:val="nil"/>
          <w:lang w:eastAsia="es-ES"/>
        </w:rPr>
        <w:t xml:space="preserve"> sale positivo a tortura (</w:t>
      </w:r>
      <w:r w:rsidR="00C11026" w:rsidRPr="009C00FB">
        <w:rPr>
          <w:rFonts w:asciiTheme="majorHAnsi" w:eastAsia="MS Mincho" w:hAnsiTheme="majorHAnsi" w:cstheme="minorHAnsi"/>
          <w:color w:val="000000" w:themeColor="text1"/>
          <w:sz w:val="19"/>
          <w:szCs w:val="19"/>
          <w:u w:color="000000"/>
          <w:bdr w:val="nil"/>
          <w:lang w:eastAsia="es-ES"/>
        </w:rPr>
        <w:t>estrés</w:t>
      </w:r>
      <w:r w:rsidRPr="009C00FB">
        <w:rPr>
          <w:rFonts w:asciiTheme="majorHAnsi" w:eastAsia="MS Mincho" w:hAnsiTheme="majorHAnsi" w:cstheme="minorHAnsi"/>
          <w:color w:val="000000" w:themeColor="text1"/>
          <w:sz w:val="19"/>
          <w:szCs w:val="19"/>
          <w:u w:color="000000"/>
          <w:bdr w:val="nil"/>
          <w:lang w:eastAsia="es-ES"/>
        </w:rPr>
        <w:t xml:space="preserve"> post-</w:t>
      </w:r>
      <w:r w:rsidR="00C11026" w:rsidRPr="009C00FB">
        <w:rPr>
          <w:rFonts w:asciiTheme="majorHAnsi" w:eastAsia="MS Mincho" w:hAnsiTheme="majorHAnsi" w:cstheme="minorHAnsi"/>
          <w:color w:val="000000" w:themeColor="text1"/>
          <w:sz w:val="19"/>
          <w:szCs w:val="19"/>
          <w:u w:color="000000"/>
          <w:bdr w:val="nil"/>
          <w:lang w:eastAsia="es-ES"/>
        </w:rPr>
        <w:t>traumático</w:t>
      </w:r>
      <w:r w:rsidRPr="009C00FB">
        <w:rPr>
          <w:rFonts w:asciiTheme="majorHAnsi" w:eastAsia="MS Mincho" w:hAnsiTheme="majorHAnsi" w:cstheme="minorHAnsi"/>
          <w:color w:val="000000" w:themeColor="text1"/>
          <w:sz w:val="19"/>
          <w:szCs w:val="19"/>
          <w:u w:color="000000"/>
          <w:bdr w:val="nil"/>
          <w:lang w:eastAsia="es-ES"/>
        </w:rPr>
        <w:t xml:space="preserve"> </w:t>
      </w:r>
      <w:r w:rsidR="00C11026" w:rsidRPr="009C00FB">
        <w:rPr>
          <w:rFonts w:asciiTheme="majorHAnsi" w:eastAsia="MS Mincho" w:hAnsiTheme="majorHAnsi" w:cstheme="minorHAnsi"/>
          <w:color w:val="000000" w:themeColor="text1"/>
          <w:sz w:val="19"/>
          <w:szCs w:val="19"/>
          <w:u w:color="000000"/>
          <w:bdr w:val="nil"/>
          <w:lang w:eastAsia="es-ES"/>
        </w:rPr>
        <w:t>crónico</w:t>
      </w:r>
      <w:r w:rsidRPr="009C00FB">
        <w:rPr>
          <w:rFonts w:asciiTheme="majorHAnsi" w:eastAsia="MS Mincho" w:hAnsiTheme="majorHAnsi" w:cstheme="minorHAnsi"/>
          <w:color w:val="000000" w:themeColor="text1"/>
          <w:sz w:val="19"/>
          <w:szCs w:val="19"/>
          <w:u w:color="000000"/>
          <w:bdr w:val="nil"/>
          <w:lang w:eastAsia="es-ES"/>
        </w:rPr>
        <w:t>).</w:t>
      </w:r>
    </w:p>
    <w:p w14:paraId="3A3B8AA3" w14:textId="2F06B515" w:rsidR="00BE21F3" w:rsidRPr="009C00FB" w:rsidRDefault="00BE21F3" w:rsidP="00BE21F3">
      <w:pPr>
        <w:pBdr>
          <w:top w:val="nil"/>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bdr w:val="nil"/>
          <w:lang w:eastAsia="es-ES"/>
        </w:rPr>
      </w:pPr>
      <w:r w:rsidRPr="009C00FB">
        <w:rPr>
          <w:rFonts w:asciiTheme="majorHAnsi" w:eastAsia="MS Mincho" w:hAnsiTheme="majorHAnsi" w:cstheme="minorHAnsi"/>
          <w:color w:val="000000" w:themeColor="text1"/>
          <w:sz w:val="19"/>
          <w:szCs w:val="19"/>
          <w:u w:color="000000"/>
          <w:bdr w:val="nil"/>
          <w:lang w:eastAsia="es-ES"/>
        </w:rPr>
        <w:t xml:space="preserve">No omito mencionar que uno de los torturadores de mi esposo fue identificado y </w:t>
      </w:r>
      <w:r w:rsidR="00583439" w:rsidRPr="009C00FB">
        <w:rPr>
          <w:rFonts w:asciiTheme="majorHAnsi" w:eastAsia="MS Mincho" w:hAnsiTheme="majorHAnsi" w:cstheme="minorHAnsi"/>
          <w:color w:val="000000" w:themeColor="text1"/>
          <w:sz w:val="19"/>
          <w:szCs w:val="19"/>
          <w:u w:color="000000"/>
          <w:bdr w:val="nil"/>
          <w:lang w:eastAsia="es-ES"/>
        </w:rPr>
        <w:t>denunciado,</w:t>
      </w:r>
      <w:r w:rsidRPr="009C00FB">
        <w:rPr>
          <w:rFonts w:asciiTheme="majorHAnsi" w:eastAsia="MS Mincho" w:hAnsiTheme="majorHAnsi" w:cstheme="minorHAnsi"/>
          <w:color w:val="000000" w:themeColor="text1"/>
          <w:sz w:val="19"/>
          <w:szCs w:val="19"/>
          <w:u w:color="000000"/>
          <w:bdr w:val="nil"/>
          <w:lang w:eastAsia="es-ES"/>
        </w:rPr>
        <w:t xml:space="preserve"> pero hasta la fecha</w:t>
      </w:r>
      <w:r w:rsidR="00C11026" w:rsidRPr="009C00FB">
        <w:rPr>
          <w:rFonts w:asciiTheme="majorHAnsi" w:eastAsia="MS Mincho" w:hAnsiTheme="majorHAnsi" w:cstheme="minorHAnsi"/>
          <w:color w:val="000000" w:themeColor="text1"/>
          <w:sz w:val="19"/>
          <w:szCs w:val="19"/>
          <w:u w:color="000000"/>
          <w:bdr w:val="nil"/>
          <w:lang w:eastAsia="es-ES"/>
        </w:rPr>
        <w:t xml:space="preserve"> </w:t>
      </w:r>
      <w:r w:rsidRPr="009C00FB">
        <w:rPr>
          <w:rFonts w:asciiTheme="majorHAnsi" w:eastAsia="MS Mincho" w:hAnsiTheme="majorHAnsi" w:cstheme="minorHAnsi"/>
          <w:color w:val="000000" w:themeColor="text1"/>
          <w:sz w:val="19"/>
          <w:szCs w:val="19"/>
          <w:u w:color="000000"/>
          <w:bdr w:val="nil"/>
          <w:lang w:eastAsia="es-ES"/>
        </w:rPr>
        <w:t xml:space="preserve">no se sabe nada de esta </w:t>
      </w:r>
      <w:r w:rsidR="00C11026" w:rsidRPr="009C00FB">
        <w:rPr>
          <w:rFonts w:asciiTheme="majorHAnsi" w:eastAsia="MS Mincho" w:hAnsiTheme="majorHAnsi" w:cstheme="minorHAnsi"/>
          <w:color w:val="000000" w:themeColor="text1"/>
          <w:sz w:val="19"/>
          <w:szCs w:val="19"/>
          <w:u w:color="000000"/>
          <w:bdr w:val="nil"/>
          <w:lang w:eastAsia="es-ES"/>
        </w:rPr>
        <w:t>investigación</w:t>
      </w:r>
      <w:r w:rsidRPr="009C00FB">
        <w:rPr>
          <w:rFonts w:asciiTheme="majorHAnsi" w:eastAsia="MS Mincho" w:hAnsiTheme="majorHAnsi" w:cstheme="minorHAnsi"/>
          <w:color w:val="000000" w:themeColor="text1"/>
          <w:sz w:val="19"/>
          <w:szCs w:val="19"/>
          <w:u w:color="000000"/>
          <w:bdr w:val="nil"/>
          <w:lang w:eastAsia="es-ES"/>
        </w:rPr>
        <w:t>.</w:t>
      </w:r>
    </w:p>
    <w:p w14:paraId="235214EF" w14:textId="398A49AD" w:rsidR="00BE21F3" w:rsidRPr="009C00FB" w:rsidRDefault="00BE21F3" w:rsidP="00BE21F3">
      <w:pPr>
        <w:pBdr>
          <w:top w:val="nil"/>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bdr w:val="nil"/>
          <w:lang w:eastAsia="es-ES"/>
        </w:rPr>
      </w:pPr>
      <w:r w:rsidRPr="009C00FB">
        <w:rPr>
          <w:rFonts w:asciiTheme="majorHAnsi" w:eastAsia="MS Mincho" w:hAnsiTheme="majorHAnsi" w:cstheme="minorHAnsi"/>
          <w:color w:val="000000" w:themeColor="text1"/>
          <w:sz w:val="19"/>
          <w:szCs w:val="19"/>
          <w:u w:color="000000"/>
          <w:bdr w:val="nil"/>
          <w:lang w:eastAsia="es-ES"/>
        </w:rPr>
        <w:t xml:space="preserve">El 16 de octubre del 2015 mi esposo fue trasladado al </w:t>
      </w:r>
      <w:r w:rsidR="00C11026" w:rsidRPr="009C00FB">
        <w:rPr>
          <w:rFonts w:asciiTheme="majorHAnsi" w:eastAsia="MS Mincho" w:hAnsiTheme="majorHAnsi" w:cstheme="minorHAnsi"/>
          <w:color w:val="000000" w:themeColor="text1"/>
          <w:sz w:val="19"/>
          <w:szCs w:val="19"/>
          <w:u w:color="000000"/>
          <w:bdr w:val="nil"/>
          <w:lang w:eastAsia="es-ES"/>
        </w:rPr>
        <w:t>CEFRESO</w:t>
      </w:r>
      <w:r w:rsidRPr="009C00FB">
        <w:rPr>
          <w:rFonts w:asciiTheme="majorHAnsi" w:eastAsia="MS Mincho" w:hAnsiTheme="majorHAnsi" w:cstheme="minorHAnsi"/>
          <w:color w:val="000000" w:themeColor="text1"/>
          <w:sz w:val="19"/>
          <w:szCs w:val="19"/>
          <w:u w:color="000000"/>
          <w:bdr w:val="nil"/>
          <w:lang w:eastAsia="es-ES"/>
        </w:rPr>
        <w:t xml:space="preserve"> 5 oriente de villa </w:t>
      </w:r>
      <w:r w:rsidR="00C6457A" w:rsidRPr="009C00FB">
        <w:rPr>
          <w:rFonts w:asciiTheme="majorHAnsi" w:eastAsia="MS Mincho" w:hAnsiTheme="majorHAnsi" w:cstheme="minorHAnsi"/>
          <w:color w:val="000000" w:themeColor="text1"/>
          <w:sz w:val="19"/>
          <w:szCs w:val="19"/>
          <w:u w:color="000000"/>
          <w:bdr w:val="nil"/>
          <w:lang w:eastAsia="es-ES"/>
        </w:rPr>
        <w:t>Aldama</w:t>
      </w:r>
      <w:r w:rsidRPr="009C00FB">
        <w:rPr>
          <w:rFonts w:asciiTheme="majorHAnsi" w:eastAsia="MS Mincho" w:hAnsiTheme="majorHAnsi" w:cstheme="minorHAnsi"/>
          <w:color w:val="000000" w:themeColor="text1"/>
          <w:sz w:val="19"/>
          <w:szCs w:val="19"/>
          <w:u w:color="000000"/>
          <w:bdr w:val="nil"/>
          <w:lang w:eastAsia="es-ES"/>
        </w:rPr>
        <w:t xml:space="preserve"> </w:t>
      </w:r>
      <w:r w:rsidR="00C6457A" w:rsidRPr="009C00FB">
        <w:rPr>
          <w:rFonts w:asciiTheme="majorHAnsi" w:eastAsia="MS Mincho" w:hAnsiTheme="majorHAnsi" w:cstheme="minorHAnsi"/>
          <w:color w:val="000000" w:themeColor="text1"/>
          <w:sz w:val="19"/>
          <w:szCs w:val="19"/>
          <w:u w:color="000000"/>
          <w:bdr w:val="nil"/>
          <w:lang w:eastAsia="es-ES"/>
        </w:rPr>
        <w:t>Veracruz</w:t>
      </w:r>
      <w:r w:rsidRPr="009C00FB">
        <w:rPr>
          <w:rFonts w:asciiTheme="majorHAnsi" w:eastAsia="MS Mincho" w:hAnsiTheme="majorHAnsi" w:cstheme="minorHAnsi"/>
          <w:color w:val="000000" w:themeColor="text1"/>
          <w:sz w:val="19"/>
          <w:szCs w:val="19"/>
          <w:u w:color="000000"/>
          <w:bdr w:val="nil"/>
          <w:lang w:eastAsia="es-ES"/>
        </w:rPr>
        <w:t>, no ha ten</w:t>
      </w:r>
      <w:r w:rsidR="00C11026" w:rsidRPr="009C00FB">
        <w:rPr>
          <w:rFonts w:asciiTheme="majorHAnsi" w:eastAsia="MS Mincho" w:hAnsiTheme="majorHAnsi" w:cstheme="minorHAnsi"/>
          <w:color w:val="000000" w:themeColor="text1"/>
          <w:sz w:val="19"/>
          <w:szCs w:val="19"/>
          <w:u w:color="000000"/>
          <w:bdr w:val="nil"/>
          <w:lang w:eastAsia="es-ES"/>
        </w:rPr>
        <w:t>ía</w:t>
      </w:r>
      <w:r w:rsidR="00FD72CE">
        <w:rPr>
          <w:rFonts w:asciiTheme="majorHAnsi" w:eastAsia="MS Mincho" w:hAnsiTheme="majorHAnsi" w:cstheme="minorHAnsi"/>
          <w:color w:val="000000" w:themeColor="text1"/>
          <w:sz w:val="19"/>
          <w:szCs w:val="19"/>
          <w:u w:color="000000"/>
          <w:bdr w:val="nil"/>
          <w:lang w:eastAsia="es-ES"/>
        </w:rPr>
        <w:t xml:space="preserve"> (sic)</w:t>
      </w:r>
      <w:r w:rsidRPr="009C00FB">
        <w:rPr>
          <w:rFonts w:asciiTheme="majorHAnsi" w:eastAsia="MS Mincho" w:hAnsiTheme="majorHAnsi" w:cstheme="minorHAnsi"/>
          <w:color w:val="000000" w:themeColor="text1"/>
          <w:sz w:val="19"/>
          <w:szCs w:val="19"/>
          <w:u w:color="000000"/>
          <w:bdr w:val="nil"/>
          <w:lang w:eastAsia="es-ES"/>
        </w:rPr>
        <w:t xml:space="preserve"> tratamiento </w:t>
      </w:r>
      <w:r w:rsidR="00C6457A" w:rsidRPr="009C00FB">
        <w:rPr>
          <w:rFonts w:asciiTheme="majorHAnsi" w:eastAsia="MS Mincho" w:hAnsiTheme="majorHAnsi" w:cstheme="minorHAnsi"/>
          <w:color w:val="000000" w:themeColor="text1"/>
          <w:sz w:val="19"/>
          <w:szCs w:val="19"/>
          <w:u w:color="000000"/>
          <w:bdr w:val="nil"/>
          <w:lang w:eastAsia="es-ES"/>
        </w:rPr>
        <w:t>psicológico</w:t>
      </w:r>
      <w:r w:rsidRPr="009C00FB">
        <w:rPr>
          <w:rFonts w:asciiTheme="majorHAnsi" w:eastAsia="MS Mincho" w:hAnsiTheme="majorHAnsi" w:cstheme="minorHAnsi"/>
          <w:color w:val="000000" w:themeColor="text1"/>
          <w:sz w:val="19"/>
          <w:szCs w:val="19"/>
          <w:u w:color="000000"/>
          <w:bdr w:val="nil"/>
          <w:lang w:eastAsia="es-ES"/>
        </w:rPr>
        <w:t>.</w:t>
      </w:r>
    </w:p>
    <w:p w14:paraId="7129B0C3" w14:textId="786623B6" w:rsidR="00BE21F3" w:rsidRPr="009C00FB" w:rsidRDefault="00BE21F3" w:rsidP="00C6457A">
      <w:pPr>
        <w:pBdr>
          <w:top w:val="nil"/>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bdr w:val="nil"/>
          <w:lang w:eastAsia="es-ES"/>
        </w:rPr>
      </w:pPr>
      <w:r w:rsidRPr="009C00FB">
        <w:rPr>
          <w:rFonts w:asciiTheme="majorHAnsi" w:eastAsia="MS Mincho" w:hAnsiTheme="majorHAnsi" w:cstheme="minorHAnsi"/>
          <w:color w:val="000000" w:themeColor="text1"/>
          <w:sz w:val="19"/>
          <w:szCs w:val="19"/>
          <w:u w:color="000000"/>
          <w:bdr w:val="nil"/>
          <w:lang w:eastAsia="es-ES"/>
        </w:rPr>
        <w:t xml:space="preserve">El 25 de abril del 2017 se </w:t>
      </w:r>
      <w:r w:rsidR="00C6457A" w:rsidRPr="009C00FB">
        <w:rPr>
          <w:rFonts w:asciiTheme="majorHAnsi" w:eastAsia="MS Mincho" w:hAnsiTheme="majorHAnsi" w:cstheme="minorHAnsi"/>
          <w:color w:val="000000" w:themeColor="text1"/>
          <w:sz w:val="19"/>
          <w:szCs w:val="19"/>
          <w:u w:color="000000"/>
          <w:bdr w:val="nil"/>
          <w:lang w:eastAsia="es-ES"/>
        </w:rPr>
        <w:t>llevó</w:t>
      </w:r>
      <w:r w:rsidRPr="009C00FB">
        <w:rPr>
          <w:rFonts w:asciiTheme="majorHAnsi" w:eastAsia="MS Mincho" w:hAnsiTheme="majorHAnsi" w:cstheme="minorHAnsi"/>
          <w:color w:val="000000" w:themeColor="text1"/>
          <w:sz w:val="19"/>
          <w:szCs w:val="19"/>
          <w:u w:color="000000"/>
          <w:bdr w:val="nil"/>
          <w:lang w:eastAsia="es-ES"/>
        </w:rPr>
        <w:t xml:space="preserve"> a cabo el consejo de guerra de mi esposo y lo sentenciaron a 26 años 3 mese</w:t>
      </w:r>
      <w:r w:rsidR="00C6457A" w:rsidRPr="009C00FB">
        <w:rPr>
          <w:rFonts w:asciiTheme="majorHAnsi" w:eastAsia="MS Mincho" w:hAnsiTheme="majorHAnsi" w:cstheme="minorHAnsi"/>
          <w:color w:val="000000" w:themeColor="text1"/>
          <w:sz w:val="19"/>
          <w:szCs w:val="19"/>
          <w:u w:color="000000"/>
          <w:bdr w:val="nil"/>
          <w:lang w:eastAsia="es-ES"/>
        </w:rPr>
        <w:t>s</w:t>
      </w:r>
      <w:r w:rsidRPr="009C00FB">
        <w:rPr>
          <w:rFonts w:asciiTheme="majorHAnsi" w:eastAsia="MS Mincho" w:hAnsiTheme="majorHAnsi" w:cstheme="minorHAnsi"/>
          <w:color w:val="000000" w:themeColor="text1"/>
          <w:sz w:val="19"/>
          <w:szCs w:val="19"/>
          <w:u w:color="000000"/>
          <w:bdr w:val="nil"/>
          <w:lang w:eastAsia="es-ES"/>
        </w:rPr>
        <w:t xml:space="preserve"> d</w:t>
      </w:r>
      <w:r w:rsidR="00C6457A" w:rsidRPr="009C00FB">
        <w:rPr>
          <w:rFonts w:asciiTheme="majorHAnsi" w:eastAsia="MS Mincho" w:hAnsiTheme="majorHAnsi" w:cstheme="minorHAnsi"/>
          <w:color w:val="000000" w:themeColor="text1"/>
          <w:sz w:val="19"/>
          <w:szCs w:val="19"/>
          <w:u w:color="000000"/>
          <w:bdr w:val="nil"/>
          <w:lang w:eastAsia="es-ES"/>
        </w:rPr>
        <w:t>e prisión</w:t>
      </w:r>
      <w:r w:rsidRPr="009C00FB">
        <w:rPr>
          <w:rFonts w:asciiTheme="majorHAnsi" w:eastAsia="MS Mincho" w:hAnsiTheme="majorHAnsi" w:cstheme="minorHAnsi"/>
          <w:color w:val="000000" w:themeColor="text1"/>
          <w:sz w:val="19"/>
          <w:szCs w:val="19"/>
          <w:u w:color="000000"/>
          <w:bdr w:val="nil"/>
          <w:lang w:eastAsia="es-ES"/>
        </w:rPr>
        <w:t xml:space="preserve"> sin tomar en cuenta la tortura a la que fue objeto.</w:t>
      </w:r>
    </w:p>
    <w:p w14:paraId="2D666F3E" w14:textId="4093E8ED" w:rsidR="009912AF" w:rsidRPr="009C00FB" w:rsidRDefault="00BE21F3" w:rsidP="00DB79CE">
      <w:pPr>
        <w:pBdr>
          <w:top w:val="nil"/>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bdr w:val="nil"/>
          <w:lang w:eastAsia="es-ES"/>
        </w:rPr>
      </w:pPr>
      <w:r w:rsidRPr="009C00FB">
        <w:rPr>
          <w:rFonts w:asciiTheme="majorHAnsi" w:eastAsia="MS Mincho" w:hAnsiTheme="majorHAnsi" w:cstheme="minorHAnsi"/>
          <w:color w:val="000000" w:themeColor="text1"/>
          <w:sz w:val="19"/>
          <w:szCs w:val="19"/>
          <w:u w:color="000000"/>
          <w:bdr w:val="nil"/>
          <w:lang w:eastAsia="es-ES"/>
        </w:rPr>
        <w:t xml:space="preserve">El 2 de octubre del 2017 se </w:t>
      </w:r>
      <w:r w:rsidR="00C6457A" w:rsidRPr="009C00FB">
        <w:rPr>
          <w:rFonts w:asciiTheme="majorHAnsi" w:eastAsia="MS Mincho" w:hAnsiTheme="majorHAnsi" w:cstheme="minorHAnsi"/>
          <w:color w:val="000000" w:themeColor="text1"/>
          <w:sz w:val="19"/>
          <w:szCs w:val="19"/>
          <w:u w:color="000000"/>
          <w:bdr w:val="nil"/>
          <w:lang w:eastAsia="es-ES"/>
        </w:rPr>
        <w:t>llevó</w:t>
      </w:r>
      <w:r w:rsidRPr="009C00FB">
        <w:rPr>
          <w:rFonts w:asciiTheme="majorHAnsi" w:eastAsia="MS Mincho" w:hAnsiTheme="majorHAnsi" w:cstheme="minorHAnsi"/>
          <w:color w:val="000000" w:themeColor="text1"/>
          <w:sz w:val="19"/>
          <w:szCs w:val="19"/>
          <w:u w:color="000000"/>
          <w:bdr w:val="nil"/>
          <w:lang w:eastAsia="es-ES"/>
        </w:rPr>
        <w:t xml:space="preserve"> a cabo la audiencia de vista de la </w:t>
      </w:r>
      <w:r w:rsidR="00C6457A" w:rsidRPr="009C00FB">
        <w:rPr>
          <w:rFonts w:asciiTheme="majorHAnsi" w:eastAsia="MS Mincho" w:hAnsiTheme="majorHAnsi" w:cstheme="minorHAnsi"/>
          <w:color w:val="000000" w:themeColor="text1"/>
          <w:sz w:val="19"/>
          <w:szCs w:val="19"/>
          <w:u w:color="000000"/>
          <w:bdr w:val="nil"/>
          <w:lang w:eastAsia="es-ES"/>
        </w:rPr>
        <w:t>apelación</w:t>
      </w:r>
      <w:r w:rsidRPr="009C00FB">
        <w:rPr>
          <w:rFonts w:asciiTheme="majorHAnsi" w:eastAsia="MS Mincho" w:hAnsiTheme="majorHAnsi" w:cstheme="minorHAnsi"/>
          <w:color w:val="000000" w:themeColor="text1"/>
          <w:sz w:val="19"/>
          <w:szCs w:val="19"/>
          <w:u w:color="000000"/>
          <w:bdr w:val="nil"/>
          <w:lang w:eastAsia="es-ES"/>
        </w:rPr>
        <w:t xml:space="preserve"> en contra de la sentencia y hasta la fecha no nos han </w:t>
      </w:r>
      <w:r w:rsidR="00C6457A" w:rsidRPr="009C00FB">
        <w:rPr>
          <w:rFonts w:asciiTheme="majorHAnsi" w:eastAsia="MS Mincho" w:hAnsiTheme="majorHAnsi" w:cstheme="minorHAnsi"/>
          <w:color w:val="000000" w:themeColor="text1"/>
          <w:sz w:val="19"/>
          <w:szCs w:val="19"/>
          <w:u w:color="000000"/>
          <w:bdr w:val="nil"/>
          <w:lang w:eastAsia="es-ES"/>
        </w:rPr>
        <w:t>resuelto.</w:t>
      </w:r>
    </w:p>
    <w:p w14:paraId="63A77247" w14:textId="042BE8D6" w:rsidR="00715B56" w:rsidRPr="009C00FB" w:rsidRDefault="00715B56" w:rsidP="00BE21F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MS Mincho" w:hAnsiTheme="majorHAnsi" w:cstheme="minorHAnsi"/>
          <w:i/>
          <w:iCs/>
          <w:color w:val="000000" w:themeColor="text1"/>
          <w:sz w:val="19"/>
          <w:szCs w:val="19"/>
          <w:lang w:val="es-ES"/>
        </w:rPr>
      </w:pPr>
      <w:r w:rsidRPr="009C00FB">
        <w:rPr>
          <w:rFonts w:asciiTheme="majorHAnsi" w:eastAsia="MS Mincho" w:hAnsiTheme="majorHAnsi" w:cstheme="minorHAnsi"/>
          <w:i/>
          <w:iCs/>
          <w:color w:val="000000" w:themeColor="text1"/>
          <w:sz w:val="19"/>
          <w:szCs w:val="19"/>
          <w:lang w:val="es-ES"/>
        </w:rPr>
        <w:t>Alegatos centrales de la parte peticionaria</w:t>
      </w:r>
    </w:p>
    <w:p w14:paraId="03DE1641" w14:textId="66F64DE3" w:rsidR="00CD07D8" w:rsidRPr="009C00FB" w:rsidRDefault="003A1A07" w:rsidP="00CD07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19"/>
          <w:szCs w:val="19"/>
          <w:lang w:val="es-ES"/>
        </w:rPr>
      </w:pPr>
      <w:r w:rsidRPr="009C00FB">
        <w:rPr>
          <w:rFonts w:asciiTheme="majorHAnsi" w:eastAsia="MS Mincho" w:hAnsiTheme="majorHAnsi" w:cstheme="minorHAnsi"/>
          <w:color w:val="000000" w:themeColor="text1"/>
          <w:sz w:val="19"/>
          <w:szCs w:val="19"/>
          <w:lang w:val="es-ES"/>
        </w:rPr>
        <w:t>En suma, la parte peticionaria alega</w:t>
      </w:r>
      <w:r w:rsidR="00C50EF9" w:rsidRPr="009C00FB">
        <w:rPr>
          <w:rFonts w:asciiTheme="majorHAnsi" w:eastAsia="MS Mincho" w:hAnsiTheme="majorHAnsi" w:cstheme="minorHAnsi"/>
          <w:color w:val="000000" w:themeColor="text1"/>
          <w:sz w:val="19"/>
          <w:szCs w:val="19"/>
          <w:lang w:val="es-ES"/>
        </w:rPr>
        <w:t>: (i)</w:t>
      </w:r>
      <w:r w:rsidRPr="009C00FB">
        <w:rPr>
          <w:rFonts w:asciiTheme="majorHAnsi" w:eastAsia="MS Mincho" w:hAnsiTheme="majorHAnsi" w:cstheme="minorHAnsi"/>
          <w:color w:val="000000" w:themeColor="text1"/>
          <w:sz w:val="19"/>
          <w:szCs w:val="19"/>
          <w:lang w:val="es-ES"/>
        </w:rPr>
        <w:t xml:space="preserve"> </w:t>
      </w:r>
      <w:r w:rsidR="00CB5C91" w:rsidRPr="009C496D">
        <w:rPr>
          <w:rFonts w:asciiTheme="majorHAnsi" w:hAnsiTheme="majorHAnsi"/>
          <w:sz w:val="20"/>
          <w:szCs w:val="20"/>
          <w:lang w:val="es-ES"/>
        </w:rPr>
        <w:t>violaciones a la libertad personal de las presuntas víctimas, debido a su detención</w:t>
      </w:r>
      <w:r w:rsidR="005907EE">
        <w:rPr>
          <w:rFonts w:asciiTheme="majorHAnsi" w:hAnsiTheme="majorHAnsi"/>
          <w:sz w:val="20"/>
          <w:szCs w:val="20"/>
          <w:lang w:val="es-ES"/>
        </w:rPr>
        <w:t>,</w:t>
      </w:r>
      <w:r w:rsidR="00CB5C91" w:rsidRPr="009C496D">
        <w:rPr>
          <w:rFonts w:asciiTheme="majorHAnsi" w:hAnsiTheme="majorHAnsi"/>
          <w:sz w:val="20"/>
          <w:szCs w:val="20"/>
          <w:lang w:val="es-ES"/>
        </w:rPr>
        <w:t xml:space="preserve"> sin mediar una orden judicial en su contra</w:t>
      </w:r>
      <w:r w:rsidR="00C50EF9" w:rsidRPr="009C00FB">
        <w:rPr>
          <w:rFonts w:asciiTheme="majorHAnsi" w:eastAsia="MS Mincho" w:hAnsiTheme="majorHAnsi" w:cstheme="minorHAnsi"/>
          <w:color w:val="000000" w:themeColor="text1"/>
          <w:sz w:val="19"/>
          <w:szCs w:val="19"/>
          <w:lang w:val="es-ES"/>
        </w:rPr>
        <w:t>;</w:t>
      </w:r>
      <w:r w:rsidR="00715B56" w:rsidRPr="009C00FB">
        <w:rPr>
          <w:rFonts w:asciiTheme="majorHAnsi" w:eastAsia="MS Mincho" w:hAnsiTheme="majorHAnsi" w:cstheme="minorHAnsi"/>
          <w:color w:val="000000" w:themeColor="text1"/>
          <w:sz w:val="19"/>
          <w:szCs w:val="19"/>
          <w:lang w:val="es-ES"/>
        </w:rPr>
        <w:t xml:space="preserve"> </w:t>
      </w:r>
      <w:r w:rsidR="00C50EF9" w:rsidRPr="009C00FB">
        <w:rPr>
          <w:rFonts w:asciiTheme="majorHAnsi" w:eastAsia="MS Mincho" w:hAnsiTheme="majorHAnsi" w:cstheme="minorHAnsi"/>
          <w:color w:val="000000" w:themeColor="text1"/>
          <w:sz w:val="19"/>
          <w:szCs w:val="19"/>
          <w:lang w:val="es-ES"/>
        </w:rPr>
        <w:t xml:space="preserve">(ii) </w:t>
      </w:r>
      <w:r w:rsidR="00CB5C91" w:rsidRPr="009C00FB">
        <w:rPr>
          <w:rFonts w:asciiTheme="majorHAnsi" w:eastAsia="MS Mincho" w:hAnsiTheme="majorHAnsi" w:cstheme="minorHAnsi"/>
          <w:color w:val="000000" w:themeColor="text1"/>
          <w:sz w:val="19"/>
          <w:szCs w:val="19"/>
          <w:lang w:val="es-ES"/>
        </w:rPr>
        <w:t xml:space="preserve">la falta de debida investigación y sanción de los actos de tortura infligidos en contra de </w:t>
      </w:r>
      <w:r w:rsidR="00CB5C91">
        <w:rPr>
          <w:rFonts w:asciiTheme="majorHAnsi" w:eastAsia="MS Mincho" w:hAnsiTheme="majorHAnsi" w:cstheme="minorHAnsi"/>
          <w:color w:val="000000" w:themeColor="text1"/>
          <w:sz w:val="19"/>
          <w:szCs w:val="19"/>
          <w:lang w:val="es-ES"/>
        </w:rPr>
        <w:t>las presuntas víctimas</w:t>
      </w:r>
      <w:r w:rsidR="00D901F1">
        <w:rPr>
          <w:rFonts w:asciiTheme="majorHAnsi" w:eastAsia="MS Mincho" w:hAnsiTheme="majorHAnsi" w:cstheme="minorHAnsi"/>
          <w:color w:val="000000" w:themeColor="text1"/>
          <w:sz w:val="19"/>
          <w:szCs w:val="19"/>
          <w:lang w:val="es-ES"/>
        </w:rPr>
        <w:t xml:space="preserve">; y (iii) que al 2021 se encontraba pendiente de emitirse una sentencia en firme en contra de las presuntas víctimas. </w:t>
      </w:r>
    </w:p>
    <w:p w14:paraId="2B732C7A" w14:textId="1867AAC7" w:rsidR="00A5482E" w:rsidRPr="009C00FB" w:rsidRDefault="004C3CF6" w:rsidP="001817F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F94445">
        <w:rPr>
          <w:rFonts w:asciiTheme="majorHAnsi" w:hAnsiTheme="majorHAnsi"/>
          <w:i/>
          <w:iCs/>
          <w:sz w:val="20"/>
          <w:szCs w:val="20"/>
          <w:lang w:val="es-ES"/>
        </w:rPr>
        <w:t>Posición</w:t>
      </w:r>
      <w:r w:rsidR="007E6F5D" w:rsidRPr="00F94445">
        <w:rPr>
          <w:rFonts w:asciiTheme="majorHAnsi" w:hAnsiTheme="majorHAnsi"/>
          <w:i/>
          <w:iCs/>
          <w:sz w:val="20"/>
          <w:szCs w:val="20"/>
          <w:lang w:val="es-ES"/>
        </w:rPr>
        <w:t xml:space="preserve"> del Estado </w:t>
      </w:r>
      <w:r w:rsidR="007E6F5D" w:rsidRPr="00F94445">
        <w:rPr>
          <w:rFonts w:asciiTheme="majorHAnsi" w:hAnsiTheme="majorHAnsi"/>
          <w:i/>
          <w:iCs/>
          <w:color w:val="auto"/>
          <w:sz w:val="20"/>
          <w:szCs w:val="20"/>
          <w:lang w:val="es-ES"/>
        </w:rPr>
        <w:t>mexicano</w:t>
      </w:r>
    </w:p>
    <w:p w14:paraId="7D2EA3D1" w14:textId="5BAED5C7" w:rsidR="00AA3ECF" w:rsidRPr="009C00FB" w:rsidRDefault="00AA3ECF" w:rsidP="00AA3ECF">
      <w:pPr>
        <w:pStyle w:val="ListParagraph"/>
        <w:suppressAutoHyphens/>
        <w:spacing w:after="240"/>
        <w:jc w:val="both"/>
        <w:rPr>
          <w:rFonts w:asciiTheme="majorHAnsi" w:eastAsia="MS Mincho" w:hAnsiTheme="majorHAnsi" w:cstheme="minorHAnsi"/>
          <w:i/>
          <w:iCs/>
          <w:color w:val="000000" w:themeColor="text1"/>
          <w:sz w:val="20"/>
          <w:szCs w:val="20"/>
          <w:lang w:val="es-ES"/>
        </w:rPr>
      </w:pPr>
      <w:r w:rsidRPr="009C00FB">
        <w:rPr>
          <w:rFonts w:asciiTheme="majorHAnsi" w:eastAsia="MS Mincho" w:hAnsiTheme="majorHAnsi" w:cstheme="minorHAnsi"/>
          <w:color w:val="000000" w:themeColor="text1"/>
          <w:sz w:val="20"/>
          <w:szCs w:val="20"/>
          <w:lang w:val="es-ES"/>
        </w:rPr>
        <w:tab/>
      </w:r>
      <w:r w:rsidRPr="009C00FB">
        <w:rPr>
          <w:rFonts w:asciiTheme="majorHAnsi" w:eastAsia="MS Mincho" w:hAnsiTheme="majorHAnsi" w:cstheme="minorHAnsi"/>
          <w:i/>
          <w:iCs/>
          <w:color w:val="000000" w:themeColor="text1"/>
          <w:sz w:val="20"/>
          <w:szCs w:val="20"/>
          <w:lang w:val="es-ES"/>
        </w:rPr>
        <w:t>i. Proceso penal 279/2011</w:t>
      </w:r>
    </w:p>
    <w:p w14:paraId="7DE636A8" w14:textId="7084265D" w:rsidR="00006F46" w:rsidRPr="009C00FB" w:rsidRDefault="005D21C7" w:rsidP="007E42CA">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9C00FB">
        <w:rPr>
          <w:rFonts w:asciiTheme="majorHAnsi" w:hAnsiTheme="majorHAnsi"/>
          <w:sz w:val="20"/>
          <w:szCs w:val="20"/>
          <w:lang w:val="es-ES"/>
        </w:rPr>
        <w:t xml:space="preserve">El Estado, en </w:t>
      </w:r>
      <w:r w:rsidR="00F869E1" w:rsidRPr="009C00FB">
        <w:rPr>
          <w:rFonts w:asciiTheme="majorHAnsi" w:hAnsiTheme="majorHAnsi"/>
          <w:sz w:val="20"/>
          <w:szCs w:val="20"/>
          <w:lang w:val="es-ES"/>
        </w:rPr>
        <w:t xml:space="preserve">su </w:t>
      </w:r>
      <w:r w:rsidR="00157903" w:rsidRPr="009C00FB">
        <w:rPr>
          <w:rFonts w:asciiTheme="majorHAnsi" w:hAnsiTheme="majorHAnsi"/>
          <w:sz w:val="20"/>
          <w:szCs w:val="20"/>
          <w:lang w:val="es-ES"/>
        </w:rPr>
        <w:t>respuesta</w:t>
      </w:r>
      <w:r w:rsidRPr="009C00FB">
        <w:rPr>
          <w:rFonts w:asciiTheme="majorHAnsi" w:hAnsiTheme="majorHAnsi"/>
          <w:sz w:val="20"/>
          <w:szCs w:val="20"/>
          <w:lang w:val="es-ES"/>
        </w:rPr>
        <w:t xml:space="preserve">, </w:t>
      </w:r>
      <w:r w:rsidR="00086675" w:rsidRPr="009C00FB">
        <w:rPr>
          <w:rFonts w:asciiTheme="majorHAnsi" w:hAnsiTheme="majorHAnsi"/>
          <w:sz w:val="20"/>
          <w:szCs w:val="20"/>
          <w:lang w:val="es-ES"/>
        </w:rPr>
        <w:t xml:space="preserve">detalla los antecedentes del proceso penal seguido en contra de </w:t>
      </w:r>
      <w:r w:rsidR="00927B71">
        <w:rPr>
          <w:rFonts w:asciiTheme="majorHAnsi" w:hAnsiTheme="majorHAnsi"/>
          <w:sz w:val="20"/>
          <w:szCs w:val="20"/>
          <w:lang w:val="es-ES"/>
        </w:rPr>
        <w:t>las presuntas víctimas</w:t>
      </w:r>
      <w:r w:rsidR="00086675" w:rsidRPr="009C00FB">
        <w:rPr>
          <w:rFonts w:asciiTheme="majorHAnsi" w:hAnsiTheme="majorHAnsi"/>
          <w:sz w:val="20"/>
          <w:szCs w:val="20"/>
          <w:lang w:val="es-ES"/>
        </w:rPr>
        <w:t xml:space="preserve">. Al respecto, señala que el 11 de marzo de 2011, elementos del ejército mexicano detuvieron a varios sujetos por posesión de armas de fuego, uniformes, vehículos y documentación militar, </w:t>
      </w:r>
      <w:r w:rsidR="00237599">
        <w:rPr>
          <w:rFonts w:asciiTheme="majorHAnsi" w:hAnsiTheme="majorHAnsi"/>
          <w:sz w:val="20"/>
          <w:szCs w:val="20"/>
          <w:lang w:val="es-ES"/>
        </w:rPr>
        <w:t>iniciando</w:t>
      </w:r>
      <w:r w:rsidR="00086675" w:rsidRPr="009C00FB">
        <w:rPr>
          <w:rFonts w:asciiTheme="majorHAnsi" w:hAnsiTheme="majorHAnsi"/>
          <w:sz w:val="20"/>
          <w:szCs w:val="20"/>
          <w:lang w:val="es-ES"/>
        </w:rPr>
        <w:t xml:space="preserve"> la averiguación previa PGR/SIEDO/UEIDCS/101/2011</w:t>
      </w:r>
      <w:r w:rsidR="00282C21" w:rsidRPr="009C00FB">
        <w:rPr>
          <w:rFonts w:asciiTheme="majorHAnsi" w:hAnsiTheme="majorHAnsi"/>
          <w:sz w:val="20"/>
          <w:szCs w:val="20"/>
          <w:lang w:val="es-ES"/>
        </w:rPr>
        <w:t xml:space="preserve">. Detalla que, entre los documentos encontrados, destacaban pagos periódicos a dieciséis militares, entre ellos los señores López Escobar y Soto Núñez. Derivado de ello, se </w:t>
      </w:r>
      <w:r w:rsidR="00313E18">
        <w:rPr>
          <w:rFonts w:asciiTheme="majorHAnsi" w:hAnsiTheme="majorHAnsi"/>
          <w:sz w:val="20"/>
          <w:szCs w:val="20"/>
          <w:lang w:val="es-ES"/>
        </w:rPr>
        <w:t>le</w:t>
      </w:r>
      <w:r w:rsidR="00B22C83">
        <w:rPr>
          <w:rFonts w:asciiTheme="majorHAnsi" w:hAnsiTheme="majorHAnsi"/>
          <w:sz w:val="20"/>
          <w:szCs w:val="20"/>
          <w:lang w:val="es-ES"/>
        </w:rPr>
        <w:t>s</w:t>
      </w:r>
      <w:r w:rsidR="00313E18">
        <w:rPr>
          <w:rFonts w:asciiTheme="majorHAnsi" w:hAnsiTheme="majorHAnsi"/>
          <w:sz w:val="20"/>
          <w:szCs w:val="20"/>
          <w:lang w:val="es-ES"/>
        </w:rPr>
        <w:t xml:space="preserve"> </w:t>
      </w:r>
      <w:r w:rsidR="00282C21" w:rsidRPr="009C00FB">
        <w:rPr>
          <w:rFonts w:asciiTheme="majorHAnsi" w:hAnsiTheme="majorHAnsi"/>
          <w:sz w:val="20"/>
          <w:szCs w:val="20"/>
          <w:lang w:val="es-ES"/>
        </w:rPr>
        <w:t xml:space="preserve">inició la causa penal 279/2011 ante el Juzgado </w:t>
      </w:r>
      <w:r w:rsidR="00014203">
        <w:rPr>
          <w:rFonts w:asciiTheme="majorHAnsi" w:hAnsiTheme="majorHAnsi"/>
          <w:sz w:val="20"/>
          <w:szCs w:val="20"/>
          <w:lang w:val="es-ES"/>
        </w:rPr>
        <w:t>P</w:t>
      </w:r>
      <w:r w:rsidR="00282C21" w:rsidRPr="009C00FB">
        <w:rPr>
          <w:rFonts w:asciiTheme="majorHAnsi" w:hAnsiTheme="majorHAnsi"/>
          <w:sz w:val="20"/>
          <w:szCs w:val="20"/>
          <w:lang w:val="es-ES"/>
        </w:rPr>
        <w:t xml:space="preserve">rimero Militar. </w:t>
      </w:r>
    </w:p>
    <w:p w14:paraId="3E6FDB8A" w14:textId="0B1942A6" w:rsidR="00282C21" w:rsidRPr="009C00FB" w:rsidRDefault="00282C21" w:rsidP="00A61B08">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9C00FB">
        <w:rPr>
          <w:rFonts w:asciiTheme="majorHAnsi" w:hAnsiTheme="majorHAnsi"/>
          <w:sz w:val="20"/>
          <w:szCs w:val="20"/>
          <w:lang w:val="es-ES"/>
        </w:rPr>
        <w:t xml:space="preserve">Continúa relatando que el 22 de mayo de 2013, el </w:t>
      </w:r>
      <w:r w:rsidR="00B22C83">
        <w:rPr>
          <w:rFonts w:asciiTheme="majorHAnsi" w:hAnsiTheme="majorHAnsi"/>
          <w:sz w:val="20"/>
          <w:szCs w:val="20"/>
          <w:lang w:val="es-ES"/>
        </w:rPr>
        <w:t>J</w:t>
      </w:r>
      <w:r w:rsidRPr="009C00FB">
        <w:rPr>
          <w:rFonts w:asciiTheme="majorHAnsi" w:hAnsiTheme="majorHAnsi"/>
          <w:sz w:val="20"/>
          <w:szCs w:val="20"/>
          <w:lang w:val="es-ES"/>
        </w:rPr>
        <w:t xml:space="preserve">uzgado Tercero de Distrito de Amparo en materia Penal de la Ciudad de México, dictó auto de libertad en favor del señor Soto por falta de elementos para determinar su culpabilidad en el delito de delincuencia organizada, </w:t>
      </w:r>
      <w:r w:rsidR="00A61B08">
        <w:rPr>
          <w:rFonts w:asciiTheme="majorHAnsi" w:hAnsiTheme="majorHAnsi"/>
          <w:sz w:val="20"/>
          <w:szCs w:val="20"/>
          <w:lang w:val="es-ES"/>
        </w:rPr>
        <w:t>a consecuencia de lo dictado</w:t>
      </w:r>
      <w:r w:rsidRPr="009C00FB">
        <w:rPr>
          <w:rFonts w:asciiTheme="majorHAnsi" w:hAnsiTheme="majorHAnsi"/>
          <w:sz w:val="20"/>
          <w:szCs w:val="20"/>
          <w:lang w:val="es-ES"/>
        </w:rPr>
        <w:t xml:space="preserve"> </w:t>
      </w:r>
      <w:r w:rsidR="00A61B08">
        <w:rPr>
          <w:rFonts w:asciiTheme="majorHAnsi" w:hAnsiTheme="majorHAnsi"/>
          <w:sz w:val="20"/>
          <w:szCs w:val="20"/>
          <w:lang w:val="es-ES"/>
        </w:rPr>
        <w:t>en el</w:t>
      </w:r>
      <w:r w:rsidRPr="009C00FB">
        <w:rPr>
          <w:rFonts w:asciiTheme="majorHAnsi" w:hAnsiTheme="majorHAnsi"/>
          <w:sz w:val="20"/>
          <w:szCs w:val="20"/>
          <w:lang w:val="es-ES"/>
        </w:rPr>
        <w:t xml:space="preserve"> juicio de amparo 620/2011-V, iniciado por el señor Soto. Por otro lado, indica que </w:t>
      </w:r>
      <w:r w:rsidR="00176489" w:rsidRPr="009C00FB">
        <w:rPr>
          <w:rFonts w:asciiTheme="majorHAnsi" w:hAnsiTheme="majorHAnsi"/>
          <w:sz w:val="20"/>
          <w:szCs w:val="20"/>
          <w:lang w:val="es-ES"/>
        </w:rPr>
        <w:t xml:space="preserve">el 29 de agosto de 2014, se dictó auto de libertad por falta de elementos para procesar al señor López Escobar por el mismo ilícito, en cumplimiento </w:t>
      </w:r>
      <w:r w:rsidR="00176489" w:rsidRPr="009C00FB">
        <w:rPr>
          <w:rFonts w:asciiTheme="majorHAnsi" w:hAnsiTheme="majorHAnsi"/>
          <w:sz w:val="20"/>
          <w:szCs w:val="20"/>
          <w:lang w:val="es-ES"/>
        </w:rPr>
        <w:lastRenderedPageBreak/>
        <w:t xml:space="preserve">a una sentencia dictada por el Juzgado </w:t>
      </w:r>
      <w:r w:rsidR="00003FFE" w:rsidRPr="009C00FB">
        <w:rPr>
          <w:rFonts w:asciiTheme="majorHAnsi" w:hAnsiTheme="majorHAnsi"/>
          <w:sz w:val="20"/>
          <w:szCs w:val="20"/>
          <w:lang w:val="es-ES"/>
        </w:rPr>
        <w:t>Décimo Tercero</w:t>
      </w:r>
      <w:r w:rsidR="001D14E7" w:rsidRPr="009C00FB">
        <w:rPr>
          <w:rFonts w:asciiTheme="majorHAnsi" w:hAnsiTheme="majorHAnsi"/>
          <w:sz w:val="20"/>
          <w:szCs w:val="20"/>
          <w:lang w:val="es-ES"/>
        </w:rPr>
        <w:t xml:space="preserve"> </w:t>
      </w:r>
      <w:r w:rsidR="00176489" w:rsidRPr="009C00FB">
        <w:rPr>
          <w:rFonts w:asciiTheme="majorHAnsi" w:hAnsiTheme="majorHAnsi"/>
          <w:sz w:val="20"/>
          <w:szCs w:val="20"/>
          <w:lang w:val="es-ES"/>
        </w:rPr>
        <w:t>de Distrito de Amparo en materia Penal en la Ciudad de México, dentro del juicio de amparo 675/2013.</w:t>
      </w:r>
      <w:r w:rsidR="00EA434E" w:rsidRPr="009C00FB">
        <w:rPr>
          <w:rFonts w:asciiTheme="majorHAnsi" w:hAnsiTheme="majorHAnsi"/>
          <w:sz w:val="20"/>
          <w:szCs w:val="20"/>
          <w:lang w:val="es-ES"/>
        </w:rPr>
        <w:t xml:space="preserve"> </w:t>
      </w:r>
    </w:p>
    <w:p w14:paraId="0A559C26" w14:textId="5513D47C" w:rsidR="00822354" w:rsidRPr="00CB5C91" w:rsidRDefault="006E2A53" w:rsidP="001905B0">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CB5C91">
        <w:rPr>
          <w:rFonts w:asciiTheme="majorHAnsi" w:hAnsiTheme="majorHAnsi"/>
          <w:sz w:val="20"/>
          <w:szCs w:val="20"/>
          <w:lang w:val="es-ES"/>
        </w:rPr>
        <w:t xml:space="preserve">Por otro lado, señala </w:t>
      </w:r>
      <w:r w:rsidR="00353388" w:rsidRPr="00CB5C91">
        <w:rPr>
          <w:rFonts w:asciiTheme="majorHAnsi" w:hAnsiTheme="majorHAnsi"/>
          <w:sz w:val="20"/>
          <w:szCs w:val="20"/>
          <w:lang w:val="es-ES"/>
        </w:rPr>
        <w:t>que,</w:t>
      </w:r>
      <w:r w:rsidRPr="00CB5C91">
        <w:rPr>
          <w:rFonts w:asciiTheme="majorHAnsi" w:hAnsiTheme="majorHAnsi"/>
          <w:sz w:val="20"/>
          <w:szCs w:val="20"/>
          <w:lang w:val="es-ES"/>
        </w:rPr>
        <w:t xml:space="preserve"> del 25 al 30 de abril de 2017, se celebró el Consejo de Guerra en el cual se determinó la responsabilidad de </w:t>
      </w:r>
      <w:r w:rsidR="00927B71" w:rsidRPr="00CB5C91">
        <w:rPr>
          <w:rFonts w:asciiTheme="majorHAnsi" w:hAnsiTheme="majorHAnsi"/>
          <w:sz w:val="20"/>
          <w:szCs w:val="20"/>
          <w:lang w:val="es-ES"/>
        </w:rPr>
        <w:t>las presuntas víctimas</w:t>
      </w:r>
      <w:r w:rsidRPr="00CB5C91">
        <w:rPr>
          <w:rFonts w:asciiTheme="majorHAnsi" w:hAnsiTheme="majorHAnsi"/>
          <w:sz w:val="20"/>
          <w:szCs w:val="20"/>
          <w:lang w:val="es-ES"/>
        </w:rPr>
        <w:t xml:space="preserve"> en la comisión de delitos contra la salud, por lo que ambos fueron condenados a veintiséis años y tres meses de prisión. </w:t>
      </w:r>
      <w:r w:rsidR="00124C55">
        <w:rPr>
          <w:rFonts w:asciiTheme="majorHAnsi" w:hAnsiTheme="majorHAnsi"/>
          <w:sz w:val="20"/>
          <w:szCs w:val="20"/>
          <w:lang w:val="es-ES"/>
        </w:rPr>
        <w:t>E</w:t>
      </w:r>
      <w:r w:rsidRPr="00CB5C91">
        <w:rPr>
          <w:rFonts w:asciiTheme="majorHAnsi" w:hAnsiTheme="majorHAnsi"/>
          <w:sz w:val="20"/>
          <w:szCs w:val="20"/>
          <w:lang w:val="es-ES"/>
        </w:rPr>
        <w:t xml:space="preserve">l Estado sostiene que dicha sentencia consideró sesenta pruebas testimoniales, treinta y dos documentales, doce careos y seis periciales, con las cuales se concluyó su culpabilidad. </w:t>
      </w:r>
      <w:r w:rsidR="00CE0560">
        <w:rPr>
          <w:rFonts w:asciiTheme="majorHAnsi" w:hAnsiTheme="majorHAnsi"/>
          <w:sz w:val="20"/>
          <w:szCs w:val="20"/>
          <w:lang w:val="es-ES"/>
        </w:rPr>
        <w:t>En contra de</w:t>
      </w:r>
      <w:r w:rsidR="001905B0" w:rsidRPr="00CB5C91">
        <w:rPr>
          <w:rFonts w:asciiTheme="majorHAnsi" w:hAnsiTheme="majorHAnsi"/>
          <w:sz w:val="20"/>
          <w:szCs w:val="20"/>
          <w:lang w:val="es-ES"/>
        </w:rPr>
        <w:t xml:space="preserve"> ello, </w:t>
      </w:r>
      <w:r w:rsidR="00927B71" w:rsidRPr="00CB5C91">
        <w:rPr>
          <w:rFonts w:asciiTheme="majorHAnsi" w:hAnsiTheme="majorHAnsi"/>
          <w:sz w:val="20"/>
          <w:szCs w:val="20"/>
          <w:lang w:val="es-ES"/>
        </w:rPr>
        <w:t>las presuntas víctimas</w:t>
      </w:r>
      <w:r w:rsidR="001905B0" w:rsidRPr="00CB5C91">
        <w:rPr>
          <w:rFonts w:asciiTheme="majorHAnsi" w:hAnsiTheme="majorHAnsi"/>
          <w:sz w:val="20"/>
          <w:szCs w:val="20"/>
          <w:lang w:val="es-ES"/>
        </w:rPr>
        <w:t xml:space="preserve"> interpusieron un recurso de apelación; no obstante, en sentencia de 12 de octubre de 2018, el Tribunal Superior Militar confirmó la sentencia apelada, dentro del toca de apelación 216/2017. </w:t>
      </w:r>
      <w:r w:rsidR="00C060B6" w:rsidRPr="00CB5C91">
        <w:rPr>
          <w:rFonts w:asciiTheme="majorHAnsi" w:hAnsiTheme="majorHAnsi"/>
          <w:sz w:val="20"/>
          <w:szCs w:val="20"/>
          <w:lang w:val="es-ES"/>
        </w:rPr>
        <w:t xml:space="preserve">Inconformes con lo anterior, </w:t>
      </w:r>
      <w:r w:rsidR="00927B71" w:rsidRPr="00CB5C91">
        <w:rPr>
          <w:rFonts w:asciiTheme="majorHAnsi" w:hAnsiTheme="majorHAnsi"/>
          <w:sz w:val="20"/>
          <w:szCs w:val="20"/>
          <w:lang w:val="es-ES"/>
        </w:rPr>
        <w:t>las presuntas víctimas</w:t>
      </w:r>
      <w:r w:rsidR="00C060B6" w:rsidRPr="00CB5C91">
        <w:rPr>
          <w:rFonts w:asciiTheme="majorHAnsi" w:hAnsiTheme="majorHAnsi"/>
          <w:sz w:val="20"/>
          <w:szCs w:val="20"/>
          <w:lang w:val="es-ES"/>
        </w:rPr>
        <w:t xml:space="preserve"> iniciaron un juicio de amparo directo, mismo que fue </w:t>
      </w:r>
      <w:r w:rsidR="00913F7A" w:rsidRPr="00CB5C91">
        <w:rPr>
          <w:rFonts w:asciiTheme="majorHAnsi" w:hAnsiTheme="majorHAnsi"/>
          <w:sz w:val="20"/>
          <w:szCs w:val="20"/>
          <w:lang w:val="es-ES"/>
        </w:rPr>
        <w:t>turnado ante el Séptimo Tribunal Colegiado en Materia Penal del Primer Circuito, radicado bajo el expediente 232/2018. Al respecto, el Estado señala que al momento de emitir su respuesta dicho juicio de amparo se encontraba pendiente de resolución</w:t>
      </w:r>
      <w:r w:rsidR="00822354" w:rsidRPr="00CB5C91">
        <w:rPr>
          <w:rFonts w:asciiTheme="majorHAnsi" w:hAnsiTheme="majorHAnsi"/>
          <w:sz w:val="20"/>
          <w:szCs w:val="20"/>
          <w:lang w:val="es-ES"/>
        </w:rPr>
        <w:t xml:space="preserve">. </w:t>
      </w:r>
    </w:p>
    <w:p w14:paraId="7DA04EF7" w14:textId="60C5AE4E" w:rsidR="002E05B0" w:rsidRPr="005945BF" w:rsidRDefault="002E05B0" w:rsidP="005945BF">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Pr>
          <w:rFonts w:asciiTheme="majorHAnsi" w:hAnsiTheme="majorHAnsi"/>
          <w:sz w:val="20"/>
          <w:szCs w:val="20"/>
          <w:lang w:val="es-ES"/>
        </w:rPr>
        <w:t xml:space="preserve">Acto seguido, México </w:t>
      </w:r>
      <w:r>
        <w:rPr>
          <w:rFonts w:asciiTheme="majorHAnsi" w:eastAsia="MS Mincho" w:hAnsiTheme="majorHAnsi" w:cstheme="minorHAnsi"/>
          <w:color w:val="000000" w:themeColor="text1"/>
          <w:sz w:val="20"/>
          <w:szCs w:val="20"/>
          <w:lang w:val="es-ES"/>
        </w:rPr>
        <w:t xml:space="preserve">solicita a la CIDH </w:t>
      </w:r>
      <w:r w:rsidR="0049676F">
        <w:rPr>
          <w:rFonts w:asciiTheme="majorHAnsi" w:eastAsia="MS Mincho" w:hAnsiTheme="majorHAnsi" w:cstheme="minorHAnsi"/>
          <w:color w:val="000000" w:themeColor="text1"/>
          <w:sz w:val="20"/>
          <w:szCs w:val="20"/>
          <w:lang w:val="es-ES"/>
        </w:rPr>
        <w:t xml:space="preserve">declare </w:t>
      </w:r>
      <w:r w:rsidR="00F7756E">
        <w:rPr>
          <w:rFonts w:asciiTheme="majorHAnsi" w:eastAsia="MS Mincho" w:hAnsiTheme="majorHAnsi" w:cstheme="minorHAnsi"/>
          <w:color w:val="000000" w:themeColor="text1"/>
          <w:sz w:val="20"/>
          <w:szCs w:val="20"/>
          <w:lang w:val="es-ES"/>
        </w:rPr>
        <w:t>inadmisible</w:t>
      </w:r>
      <w:r>
        <w:rPr>
          <w:rFonts w:asciiTheme="majorHAnsi" w:eastAsia="MS Mincho" w:hAnsiTheme="majorHAnsi" w:cstheme="minorHAnsi"/>
          <w:color w:val="000000" w:themeColor="text1"/>
          <w:sz w:val="20"/>
          <w:szCs w:val="20"/>
          <w:lang w:val="es-ES"/>
        </w:rPr>
        <w:t xml:space="preserve"> la petición por falta de agotamiento de los recursos internos. En el particular, </w:t>
      </w:r>
      <w:r w:rsidR="005945BF">
        <w:rPr>
          <w:rFonts w:asciiTheme="majorHAnsi" w:eastAsia="MS Mincho" w:hAnsiTheme="majorHAnsi" w:cstheme="minorHAnsi"/>
          <w:color w:val="000000" w:themeColor="text1"/>
          <w:sz w:val="20"/>
          <w:szCs w:val="20"/>
          <w:lang w:val="es-ES"/>
        </w:rPr>
        <w:t xml:space="preserve">aduce que la petición fue presentada mientras aún no se emitían las resoluciones de los juicios de amparo iniciados por las presuntas víctimas, contraviniendo con ello el principio de complementariedad e incumpliendo, además, lo previsto en el artículo 46 de la Convención Americana. Aunado a ello, </w:t>
      </w:r>
      <w:r w:rsidRPr="005945BF">
        <w:rPr>
          <w:rFonts w:asciiTheme="majorHAnsi" w:eastAsia="MS Mincho" w:hAnsiTheme="majorHAnsi" w:cstheme="minorHAnsi"/>
          <w:color w:val="000000" w:themeColor="text1"/>
          <w:sz w:val="20"/>
          <w:szCs w:val="20"/>
          <w:lang w:val="es-ES"/>
        </w:rPr>
        <w:t xml:space="preserve">sostiene que </w:t>
      </w:r>
      <w:r w:rsidR="005945BF">
        <w:rPr>
          <w:rFonts w:asciiTheme="majorHAnsi" w:eastAsia="MS Mincho" w:hAnsiTheme="majorHAnsi" w:cstheme="minorHAnsi"/>
          <w:color w:val="000000" w:themeColor="text1"/>
          <w:sz w:val="20"/>
          <w:szCs w:val="20"/>
          <w:lang w:val="es-ES"/>
        </w:rPr>
        <w:t>las presuntas víctimas</w:t>
      </w:r>
      <w:r w:rsidRPr="005945BF">
        <w:rPr>
          <w:rFonts w:asciiTheme="majorHAnsi" w:eastAsia="MS Mincho" w:hAnsiTheme="majorHAnsi" w:cstheme="minorHAnsi"/>
          <w:color w:val="000000" w:themeColor="text1"/>
          <w:sz w:val="20"/>
          <w:szCs w:val="20"/>
          <w:lang w:val="es-ES"/>
        </w:rPr>
        <w:t xml:space="preserve"> han tenido acceso a recursos domésticos destinados a resarcir las presuntas violaciones a sus derechos humanos, los cuales han sido efectivos y resueltos en un plazo razonable.</w:t>
      </w:r>
      <w:r w:rsidRPr="00F46890">
        <w:rPr>
          <w:rFonts w:asciiTheme="majorHAnsi" w:eastAsia="MS Mincho" w:hAnsiTheme="majorHAnsi" w:cstheme="minorHAnsi"/>
          <w:color w:val="000000" w:themeColor="text1"/>
          <w:sz w:val="20"/>
          <w:szCs w:val="20"/>
          <w:lang w:val="es-ES"/>
        </w:rPr>
        <w:t xml:space="preserve"> </w:t>
      </w:r>
    </w:p>
    <w:p w14:paraId="2B7177D2" w14:textId="083246D9" w:rsidR="000D3E80" w:rsidRPr="009C00FB" w:rsidRDefault="000D3E80" w:rsidP="000D3E80">
      <w:pPr>
        <w:pStyle w:val="ListParagraph"/>
        <w:suppressAutoHyphens/>
        <w:spacing w:after="240"/>
        <w:ind w:left="1440"/>
        <w:jc w:val="both"/>
        <w:rPr>
          <w:rFonts w:asciiTheme="majorHAnsi" w:eastAsia="MS Mincho" w:hAnsiTheme="majorHAnsi" w:cstheme="minorHAnsi"/>
          <w:i/>
          <w:iCs/>
          <w:color w:val="000000" w:themeColor="text1"/>
          <w:sz w:val="20"/>
          <w:szCs w:val="20"/>
          <w:lang w:val="es-ES"/>
        </w:rPr>
      </w:pPr>
      <w:r w:rsidRPr="009C00FB">
        <w:rPr>
          <w:rFonts w:asciiTheme="majorHAnsi" w:eastAsia="MS Mincho" w:hAnsiTheme="majorHAnsi" w:cstheme="minorHAnsi"/>
          <w:i/>
          <w:iCs/>
          <w:color w:val="000000" w:themeColor="text1"/>
          <w:sz w:val="20"/>
          <w:szCs w:val="20"/>
          <w:lang w:val="es-ES"/>
        </w:rPr>
        <w:t>ii. Alegados actos de tortura</w:t>
      </w:r>
    </w:p>
    <w:p w14:paraId="32CDAB30" w14:textId="784503B1" w:rsidR="00EE5CD2" w:rsidRPr="009C00FB" w:rsidRDefault="005875B1" w:rsidP="00EE5CD2">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Pr>
          <w:rFonts w:asciiTheme="majorHAnsi" w:hAnsiTheme="majorHAnsi"/>
          <w:sz w:val="20"/>
          <w:szCs w:val="20"/>
          <w:lang w:val="es-ES"/>
        </w:rPr>
        <w:t>Relativo</w:t>
      </w:r>
      <w:r w:rsidR="005074DF" w:rsidRPr="009C00FB">
        <w:rPr>
          <w:rFonts w:asciiTheme="majorHAnsi" w:eastAsia="MS Mincho" w:hAnsiTheme="majorHAnsi" w:cstheme="minorHAnsi"/>
          <w:color w:val="000000" w:themeColor="text1"/>
          <w:sz w:val="20"/>
          <w:szCs w:val="20"/>
          <w:lang w:val="es-ES"/>
        </w:rPr>
        <w:t xml:space="preserve"> a los actos de tortura sufridos por </w:t>
      </w:r>
      <w:r w:rsidR="00927B71">
        <w:rPr>
          <w:rFonts w:asciiTheme="majorHAnsi" w:eastAsia="MS Mincho" w:hAnsiTheme="majorHAnsi" w:cstheme="minorHAnsi"/>
          <w:color w:val="000000" w:themeColor="text1"/>
          <w:sz w:val="20"/>
          <w:szCs w:val="20"/>
          <w:lang w:val="es-ES"/>
        </w:rPr>
        <w:t>las presuntas víctimas</w:t>
      </w:r>
      <w:r w:rsidR="005074DF" w:rsidRPr="009C00FB">
        <w:rPr>
          <w:rFonts w:asciiTheme="majorHAnsi" w:eastAsia="MS Mincho" w:hAnsiTheme="majorHAnsi" w:cstheme="minorHAnsi"/>
          <w:color w:val="000000" w:themeColor="text1"/>
          <w:sz w:val="20"/>
          <w:szCs w:val="20"/>
          <w:lang w:val="es-ES"/>
        </w:rPr>
        <w:t xml:space="preserve">, el Estado expresa que el 15 </w:t>
      </w:r>
      <w:r w:rsidR="00EE5CD2" w:rsidRPr="009C00FB">
        <w:rPr>
          <w:rFonts w:asciiTheme="majorHAnsi" w:eastAsia="MS Mincho" w:hAnsiTheme="majorHAnsi" w:cstheme="minorHAnsi"/>
          <w:color w:val="000000" w:themeColor="text1"/>
          <w:sz w:val="20"/>
          <w:szCs w:val="20"/>
          <w:lang w:val="es-ES"/>
        </w:rPr>
        <w:t xml:space="preserve">de septiembre de 2014, la Procuraduría General de Justicia Militar inició la averiguación previa SC/75/2017-III. </w:t>
      </w:r>
      <w:r w:rsidR="006C6183" w:rsidRPr="009C00FB">
        <w:rPr>
          <w:rFonts w:asciiTheme="majorHAnsi" w:eastAsia="MS Mincho" w:hAnsiTheme="majorHAnsi" w:cstheme="minorHAnsi"/>
          <w:color w:val="000000" w:themeColor="text1"/>
          <w:sz w:val="20"/>
          <w:szCs w:val="20"/>
          <w:lang w:val="es-ES"/>
        </w:rPr>
        <w:t xml:space="preserve">Consecuentemente, el 29 de marzo de 2018, la Fiscalía General de Justicia Militar consignó la averiguación antes mencionada y ejerció acción penal en contra de un capitán y dos tenientes, quienes eran elementos de la Policía Judicial Federal Militar por </w:t>
      </w:r>
      <w:r w:rsidR="00A75C48">
        <w:rPr>
          <w:rFonts w:asciiTheme="majorHAnsi" w:eastAsia="MS Mincho" w:hAnsiTheme="majorHAnsi" w:cstheme="minorHAnsi"/>
          <w:color w:val="000000" w:themeColor="text1"/>
          <w:sz w:val="20"/>
          <w:szCs w:val="20"/>
          <w:lang w:val="es-ES"/>
        </w:rPr>
        <w:t>su presunta responsabilidad en la comisión del</w:t>
      </w:r>
      <w:r w:rsidR="006C6183" w:rsidRPr="009C00FB">
        <w:rPr>
          <w:rFonts w:asciiTheme="majorHAnsi" w:eastAsia="MS Mincho" w:hAnsiTheme="majorHAnsi" w:cstheme="minorHAnsi"/>
          <w:color w:val="000000" w:themeColor="text1"/>
          <w:sz w:val="20"/>
          <w:szCs w:val="20"/>
          <w:lang w:val="es-ES"/>
        </w:rPr>
        <w:t xml:space="preserve"> delito de tortura en agravio de </w:t>
      </w:r>
      <w:r w:rsidR="00927B71">
        <w:rPr>
          <w:rFonts w:asciiTheme="majorHAnsi" w:eastAsia="MS Mincho" w:hAnsiTheme="majorHAnsi" w:cstheme="minorHAnsi"/>
          <w:color w:val="000000" w:themeColor="text1"/>
          <w:sz w:val="20"/>
          <w:szCs w:val="20"/>
          <w:lang w:val="es-ES"/>
        </w:rPr>
        <w:t>las presuntas víctimas</w:t>
      </w:r>
      <w:r w:rsidR="00BB0325" w:rsidRPr="009C00FB">
        <w:rPr>
          <w:rFonts w:asciiTheme="majorHAnsi" w:eastAsia="MS Mincho" w:hAnsiTheme="majorHAnsi" w:cstheme="minorHAnsi"/>
          <w:color w:val="000000" w:themeColor="text1"/>
          <w:sz w:val="20"/>
          <w:szCs w:val="20"/>
          <w:lang w:val="es-ES"/>
        </w:rPr>
        <w:t xml:space="preserve">. Posteriormente, el 3 de abril de 2018, se </w:t>
      </w:r>
      <w:r w:rsidR="008B1F09" w:rsidRPr="009C00FB">
        <w:rPr>
          <w:rFonts w:asciiTheme="majorHAnsi" w:eastAsia="MS Mincho" w:hAnsiTheme="majorHAnsi" w:cstheme="minorHAnsi"/>
          <w:color w:val="000000" w:themeColor="text1"/>
          <w:sz w:val="20"/>
          <w:szCs w:val="20"/>
          <w:lang w:val="es-ES"/>
        </w:rPr>
        <w:t>inició</w:t>
      </w:r>
      <w:r w:rsidR="00BB0325" w:rsidRPr="009C00FB">
        <w:rPr>
          <w:rFonts w:asciiTheme="majorHAnsi" w:eastAsia="MS Mincho" w:hAnsiTheme="majorHAnsi" w:cstheme="minorHAnsi"/>
          <w:color w:val="000000" w:themeColor="text1"/>
          <w:sz w:val="20"/>
          <w:szCs w:val="20"/>
          <w:lang w:val="es-ES"/>
        </w:rPr>
        <w:t xml:space="preserve"> la causa penal 03/2018. </w:t>
      </w:r>
    </w:p>
    <w:p w14:paraId="05EE94C9" w14:textId="2E70DBFC" w:rsidR="00B87B35" w:rsidRDefault="008B1F09" w:rsidP="00EE5CD2">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9C00FB">
        <w:rPr>
          <w:rFonts w:asciiTheme="majorHAnsi" w:eastAsia="MS Mincho" w:hAnsiTheme="majorHAnsi" w:cstheme="minorHAnsi"/>
          <w:color w:val="000000" w:themeColor="text1"/>
          <w:sz w:val="20"/>
          <w:szCs w:val="20"/>
          <w:lang w:val="es-ES"/>
        </w:rPr>
        <w:t>E</w:t>
      </w:r>
      <w:r w:rsidR="00817F3F" w:rsidRPr="009C00FB">
        <w:rPr>
          <w:rFonts w:asciiTheme="majorHAnsi" w:eastAsia="MS Mincho" w:hAnsiTheme="majorHAnsi" w:cstheme="minorHAnsi"/>
          <w:color w:val="000000" w:themeColor="text1"/>
          <w:sz w:val="20"/>
          <w:szCs w:val="20"/>
          <w:lang w:val="es-ES"/>
        </w:rPr>
        <w:t xml:space="preserve">l 10 de septiembre de 2018, se dictó un auto, a través el cual se negó librar la orden de aprehensión solicitada en contra de los presuntos responsables, por no obrar </w:t>
      </w:r>
      <w:r w:rsidR="006336EF">
        <w:rPr>
          <w:rFonts w:asciiTheme="majorHAnsi" w:eastAsia="MS Mincho" w:hAnsiTheme="majorHAnsi" w:cstheme="minorHAnsi"/>
          <w:color w:val="000000" w:themeColor="text1"/>
          <w:sz w:val="20"/>
          <w:szCs w:val="20"/>
          <w:lang w:val="es-ES"/>
        </w:rPr>
        <w:t>pruebas</w:t>
      </w:r>
      <w:r w:rsidR="00817F3F" w:rsidRPr="009C00FB">
        <w:rPr>
          <w:rFonts w:asciiTheme="majorHAnsi" w:eastAsia="MS Mincho" w:hAnsiTheme="majorHAnsi" w:cstheme="minorHAnsi"/>
          <w:color w:val="000000" w:themeColor="text1"/>
          <w:sz w:val="20"/>
          <w:szCs w:val="20"/>
          <w:lang w:val="es-ES"/>
        </w:rPr>
        <w:t xml:space="preserve"> suficientes que acreditaran el cuerpo del ilícito y que acreditaran la responsabilidad de los </w:t>
      </w:r>
      <w:r w:rsidR="00C54BA9" w:rsidRPr="009C00FB">
        <w:rPr>
          <w:rFonts w:asciiTheme="majorHAnsi" w:eastAsia="MS Mincho" w:hAnsiTheme="majorHAnsi" w:cstheme="minorHAnsi"/>
          <w:color w:val="000000" w:themeColor="text1"/>
          <w:sz w:val="20"/>
          <w:szCs w:val="20"/>
          <w:lang w:val="es-ES"/>
        </w:rPr>
        <w:t>imputados</w:t>
      </w:r>
      <w:r w:rsidR="00817F3F" w:rsidRPr="009C00FB">
        <w:rPr>
          <w:rFonts w:asciiTheme="majorHAnsi" w:eastAsia="MS Mincho" w:hAnsiTheme="majorHAnsi" w:cstheme="minorHAnsi"/>
          <w:color w:val="000000" w:themeColor="text1"/>
          <w:sz w:val="20"/>
          <w:szCs w:val="20"/>
          <w:lang w:val="es-ES"/>
        </w:rPr>
        <w:t>.</w:t>
      </w:r>
      <w:r w:rsidR="009E2DE1" w:rsidRPr="009C00FB">
        <w:rPr>
          <w:rFonts w:asciiTheme="majorHAnsi" w:eastAsia="MS Mincho" w:hAnsiTheme="majorHAnsi" w:cstheme="minorHAnsi"/>
          <w:color w:val="000000" w:themeColor="text1"/>
          <w:sz w:val="20"/>
          <w:szCs w:val="20"/>
          <w:lang w:val="es-ES"/>
        </w:rPr>
        <w:t xml:space="preserve"> En contra de ello, el agente del Ministerio Público Militar interpuso recurso de apelación, remitiendo la causa penal al Tribunal Superior Militar, mismo que a la fecha de respuesta del Estado mexicano se encontraba pendiente de resolver, dentro del toca de apelación 146/2018. </w:t>
      </w:r>
    </w:p>
    <w:p w14:paraId="3C09544D" w14:textId="2191EE6A" w:rsidR="005875B1" w:rsidRPr="009C00FB" w:rsidRDefault="005875B1" w:rsidP="00EE5CD2">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Pr>
          <w:rFonts w:asciiTheme="majorHAnsi" w:eastAsia="MS Mincho" w:hAnsiTheme="majorHAnsi" w:cstheme="minorHAnsi"/>
          <w:color w:val="000000" w:themeColor="text1"/>
          <w:sz w:val="20"/>
          <w:szCs w:val="20"/>
          <w:lang w:val="es-ES"/>
        </w:rPr>
        <w:t xml:space="preserve">A ese respecto, aduce que </w:t>
      </w:r>
      <w:r w:rsidR="009745E9">
        <w:rPr>
          <w:rFonts w:asciiTheme="majorHAnsi" w:eastAsia="MS Mincho" w:hAnsiTheme="majorHAnsi" w:cstheme="minorHAnsi"/>
          <w:color w:val="000000" w:themeColor="text1"/>
          <w:sz w:val="20"/>
          <w:szCs w:val="20"/>
          <w:lang w:val="es-ES"/>
        </w:rPr>
        <w:t xml:space="preserve">al 2020 se encontraba pendiente de resolver el recurso de apelación interpuesto en contra de la negativa de aprehensión en contra de los presuntos responsables de los actos de tortura infligidos en su contra, la presente petición incumple con el requisito de agotamiento de los recursos internos previsto en el artículo 46 de la Convención Americana. </w:t>
      </w:r>
    </w:p>
    <w:p w14:paraId="6D922D26" w14:textId="78FC3497" w:rsidR="008B1F09" w:rsidRPr="009C00FB" w:rsidRDefault="00B87B35" w:rsidP="00B87B35">
      <w:pPr>
        <w:pStyle w:val="ListParagraph"/>
        <w:suppressAutoHyphens/>
        <w:spacing w:after="240"/>
        <w:ind w:left="1440"/>
        <w:jc w:val="both"/>
        <w:rPr>
          <w:rFonts w:asciiTheme="majorHAnsi" w:eastAsia="MS Mincho" w:hAnsiTheme="majorHAnsi" w:cstheme="minorHAnsi"/>
          <w:color w:val="000000" w:themeColor="text1"/>
          <w:sz w:val="20"/>
          <w:szCs w:val="20"/>
          <w:lang w:val="es-ES"/>
        </w:rPr>
      </w:pPr>
      <w:r w:rsidRPr="009C00FB">
        <w:rPr>
          <w:rFonts w:asciiTheme="majorHAnsi" w:eastAsia="MS Mincho" w:hAnsiTheme="majorHAnsi" w:cstheme="minorHAnsi"/>
          <w:i/>
          <w:iCs/>
          <w:color w:val="000000" w:themeColor="text1"/>
          <w:sz w:val="20"/>
          <w:szCs w:val="20"/>
          <w:lang w:val="es-ES"/>
        </w:rPr>
        <w:t xml:space="preserve">iii. </w:t>
      </w:r>
      <w:r w:rsidR="004338C7" w:rsidRPr="009C00FB">
        <w:rPr>
          <w:rFonts w:asciiTheme="majorHAnsi" w:eastAsia="MS Mincho" w:hAnsiTheme="majorHAnsi" w:cstheme="minorHAnsi"/>
          <w:i/>
          <w:iCs/>
          <w:color w:val="000000" w:themeColor="text1"/>
          <w:sz w:val="20"/>
          <w:szCs w:val="20"/>
          <w:lang w:val="es-ES"/>
        </w:rPr>
        <w:t>Queja ante la Comisión Nacional de Derechos Humanos</w:t>
      </w:r>
    </w:p>
    <w:p w14:paraId="2484EB32" w14:textId="01D8EFC2" w:rsidR="002D052E" w:rsidRDefault="004338C7" w:rsidP="002D05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20"/>
          <w:szCs w:val="20"/>
          <w:lang w:val="es-ES"/>
        </w:rPr>
      </w:pPr>
      <w:r w:rsidRPr="009C00FB">
        <w:rPr>
          <w:rFonts w:asciiTheme="majorHAnsi" w:eastAsia="MS Mincho" w:hAnsiTheme="majorHAnsi" w:cstheme="minorHAnsi"/>
          <w:color w:val="000000" w:themeColor="text1"/>
          <w:sz w:val="20"/>
          <w:szCs w:val="20"/>
          <w:lang w:val="es-ES"/>
        </w:rPr>
        <w:t xml:space="preserve">Expresa que el </w:t>
      </w:r>
      <w:r w:rsidR="00442600" w:rsidRPr="009C00FB">
        <w:rPr>
          <w:rFonts w:asciiTheme="majorHAnsi" w:eastAsia="MS Mincho" w:hAnsiTheme="majorHAnsi" w:cstheme="minorHAnsi"/>
          <w:color w:val="000000" w:themeColor="text1"/>
          <w:sz w:val="20"/>
          <w:szCs w:val="20"/>
          <w:lang w:val="es-ES"/>
        </w:rPr>
        <w:t>10 de abril de 2012, la Coordinación de Servicios Periciales de la Comisión Nacional de Derechos Humanos concluyó que</w:t>
      </w:r>
      <w:r w:rsidR="00671DF9">
        <w:rPr>
          <w:rFonts w:asciiTheme="majorHAnsi" w:eastAsia="MS Mincho" w:hAnsiTheme="majorHAnsi" w:cstheme="minorHAnsi"/>
          <w:color w:val="000000" w:themeColor="text1"/>
          <w:sz w:val="20"/>
          <w:szCs w:val="20"/>
          <w:lang w:val="es-ES"/>
        </w:rPr>
        <w:t xml:space="preserve"> </w:t>
      </w:r>
      <w:r w:rsidR="00927B71">
        <w:rPr>
          <w:rFonts w:asciiTheme="majorHAnsi" w:eastAsia="MS Mincho" w:hAnsiTheme="majorHAnsi" w:cstheme="minorHAnsi"/>
          <w:color w:val="000000" w:themeColor="text1"/>
          <w:sz w:val="20"/>
          <w:szCs w:val="20"/>
          <w:lang w:val="es-ES"/>
        </w:rPr>
        <w:t>las presuntas víctimas</w:t>
      </w:r>
      <w:r w:rsidR="00442600" w:rsidRPr="009C00FB">
        <w:rPr>
          <w:rFonts w:asciiTheme="majorHAnsi" w:eastAsia="MS Mincho" w:hAnsiTheme="majorHAnsi" w:cstheme="minorHAnsi"/>
          <w:color w:val="000000" w:themeColor="text1"/>
          <w:sz w:val="20"/>
          <w:szCs w:val="20"/>
          <w:lang w:val="es-ES"/>
        </w:rPr>
        <w:t xml:space="preserve"> fueron objeto de </w:t>
      </w:r>
      <w:r w:rsidR="005226F0">
        <w:rPr>
          <w:rFonts w:asciiTheme="majorHAnsi" w:eastAsia="MS Mincho" w:hAnsiTheme="majorHAnsi" w:cstheme="minorHAnsi"/>
          <w:color w:val="000000" w:themeColor="text1"/>
          <w:sz w:val="20"/>
          <w:szCs w:val="20"/>
          <w:lang w:val="es-ES"/>
        </w:rPr>
        <w:t xml:space="preserve">actos </w:t>
      </w:r>
      <w:r w:rsidR="00442600" w:rsidRPr="009C00FB">
        <w:rPr>
          <w:rFonts w:asciiTheme="majorHAnsi" w:eastAsia="MS Mincho" w:hAnsiTheme="majorHAnsi" w:cstheme="minorHAnsi"/>
          <w:color w:val="000000" w:themeColor="text1"/>
          <w:sz w:val="20"/>
          <w:szCs w:val="20"/>
          <w:lang w:val="es-ES"/>
        </w:rPr>
        <w:t xml:space="preserve">tortura. </w:t>
      </w:r>
      <w:r w:rsidR="002D052E" w:rsidRPr="009C00FB">
        <w:rPr>
          <w:rFonts w:asciiTheme="majorHAnsi" w:eastAsia="MS Mincho" w:hAnsiTheme="majorHAnsi" w:cstheme="minorHAnsi"/>
          <w:color w:val="000000" w:themeColor="text1"/>
          <w:sz w:val="20"/>
          <w:szCs w:val="20"/>
          <w:lang w:val="es-ES"/>
        </w:rPr>
        <w:t xml:space="preserve">Por otro lado, indica que, </w:t>
      </w:r>
      <w:r w:rsidR="004D1FA1">
        <w:rPr>
          <w:rFonts w:asciiTheme="majorHAnsi" w:eastAsia="MS Mincho" w:hAnsiTheme="majorHAnsi" w:cstheme="minorHAnsi"/>
          <w:color w:val="000000" w:themeColor="text1"/>
          <w:sz w:val="20"/>
          <w:szCs w:val="20"/>
          <w:lang w:val="es-ES"/>
        </w:rPr>
        <w:t>en vista</w:t>
      </w:r>
      <w:r w:rsidR="002D052E" w:rsidRPr="009C00FB">
        <w:rPr>
          <w:rFonts w:asciiTheme="majorHAnsi" w:eastAsia="MS Mincho" w:hAnsiTheme="majorHAnsi" w:cstheme="minorHAnsi"/>
          <w:color w:val="000000" w:themeColor="text1"/>
          <w:sz w:val="20"/>
          <w:szCs w:val="20"/>
          <w:lang w:val="es-ES"/>
        </w:rPr>
        <w:t xml:space="preserve"> de las recomendaciones emitidas por la CNDH, la Secretaría de la Defensa Nacional</w:t>
      </w:r>
      <w:r w:rsidR="007B3B0F">
        <w:rPr>
          <w:rFonts w:asciiTheme="majorHAnsi" w:eastAsia="MS Mincho" w:hAnsiTheme="majorHAnsi" w:cstheme="minorHAnsi"/>
          <w:color w:val="000000" w:themeColor="text1"/>
          <w:sz w:val="20"/>
          <w:szCs w:val="20"/>
          <w:lang w:val="es-ES"/>
        </w:rPr>
        <w:t xml:space="preserve"> (SEDENA)</w:t>
      </w:r>
      <w:r w:rsidR="002D052E" w:rsidRPr="009C00FB">
        <w:rPr>
          <w:rFonts w:asciiTheme="majorHAnsi" w:eastAsia="MS Mincho" w:hAnsiTheme="majorHAnsi" w:cstheme="minorHAnsi"/>
          <w:color w:val="000000" w:themeColor="text1"/>
          <w:sz w:val="20"/>
          <w:szCs w:val="20"/>
          <w:lang w:val="es-ES"/>
        </w:rPr>
        <w:t xml:space="preserve"> inició la averiguación previa PGJM/AMPME/30/2012 y el proceso administrativo 136/2013/CNDH/QU, y ordenó la atención médica y psicológica en favor de </w:t>
      </w:r>
      <w:r w:rsidR="00927B71">
        <w:rPr>
          <w:rFonts w:asciiTheme="majorHAnsi" w:eastAsia="MS Mincho" w:hAnsiTheme="majorHAnsi" w:cstheme="minorHAnsi"/>
          <w:color w:val="000000" w:themeColor="text1"/>
          <w:sz w:val="20"/>
          <w:szCs w:val="20"/>
          <w:lang w:val="es-ES"/>
        </w:rPr>
        <w:t>las presuntas víctimas</w:t>
      </w:r>
      <w:r w:rsidR="0017066F" w:rsidRPr="009C00FB">
        <w:rPr>
          <w:rFonts w:asciiTheme="majorHAnsi" w:eastAsia="MS Mincho" w:hAnsiTheme="majorHAnsi" w:cstheme="minorHAnsi"/>
          <w:color w:val="000000" w:themeColor="text1"/>
          <w:sz w:val="20"/>
          <w:szCs w:val="20"/>
          <w:lang w:val="es-ES"/>
        </w:rPr>
        <w:t>.</w:t>
      </w:r>
    </w:p>
    <w:p w14:paraId="5B19B632" w14:textId="3E2652F4" w:rsidR="00F94445" w:rsidRDefault="00F94445" w:rsidP="001F25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20"/>
          <w:szCs w:val="20"/>
          <w:lang w:val="es-ES"/>
        </w:rPr>
      </w:pPr>
      <w:r>
        <w:rPr>
          <w:rFonts w:asciiTheme="majorHAnsi" w:eastAsia="MS Mincho" w:hAnsiTheme="majorHAnsi" w:cstheme="minorHAnsi"/>
          <w:color w:val="000000" w:themeColor="text1"/>
          <w:sz w:val="20"/>
          <w:szCs w:val="20"/>
          <w:lang w:val="es-ES"/>
        </w:rPr>
        <w:t xml:space="preserve">En esa línea, sostiene que </w:t>
      </w:r>
      <w:r w:rsidR="00927B71">
        <w:rPr>
          <w:rFonts w:asciiTheme="majorHAnsi" w:eastAsia="MS Mincho" w:hAnsiTheme="majorHAnsi" w:cstheme="minorHAnsi"/>
          <w:color w:val="000000" w:themeColor="text1"/>
          <w:sz w:val="20"/>
          <w:szCs w:val="20"/>
          <w:lang w:val="es-ES"/>
        </w:rPr>
        <w:t>las presuntas víctimas</w:t>
      </w:r>
      <w:r>
        <w:rPr>
          <w:rFonts w:asciiTheme="majorHAnsi" w:eastAsia="MS Mincho" w:hAnsiTheme="majorHAnsi" w:cstheme="minorHAnsi"/>
          <w:color w:val="000000" w:themeColor="text1"/>
          <w:sz w:val="20"/>
          <w:szCs w:val="20"/>
          <w:lang w:val="es-ES"/>
        </w:rPr>
        <w:t xml:space="preserve"> han recibido atención médica continúa dentro del Centro Federal de Readaptación Social número 5 “Oriente”, en el estado de Veracruz</w:t>
      </w:r>
      <w:r w:rsidR="002C3BFB">
        <w:rPr>
          <w:rFonts w:asciiTheme="majorHAnsi" w:eastAsia="MS Mincho" w:hAnsiTheme="majorHAnsi" w:cstheme="minorHAnsi"/>
          <w:color w:val="000000" w:themeColor="text1"/>
          <w:sz w:val="20"/>
          <w:szCs w:val="20"/>
          <w:lang w:val="es-ES"/>
        </w:rPr>
        <w:t>.</w:t>
      </w:r>
      <w:r>
        <w:rPr>
          <w:rFonts w:asciiTheme="majorHAnsi" w:eastAsia="MS Mincho" w:hAnsiTheme="majorHAnsi" w:cstheme="minorHAnsi"/>
          <w:color w:val="000000" w:themeColor="text1"/>
          <w:sz w:val="20"/>
          <w:szCs w:val="20"/>
          <w:lang w:val="es-ES"/>
        </w:rPr>
        <w:t xml:space="preserve"> Además, expresa que el 24 de marzo de 2014, la SEDENA </w:t>
      </w:r>
      <w:r w:rsidR="00231306">
        <w:rPr>
          <w:rFonts w:asciiTheme="majorHAnsi" w:eastAsia="MS Mincho" w:hAnsiTheme="majorHAnsi" w:cstheme="minorHAnsi"/>
          <w:color w:val="000000" w:themeColor="text1"/>
          <w:sz w:val="20"/>
          <w:szCs w:val="20"/>
          <w:lang w:val="es-ES"/>
        </w:rPr>
        <w:t xml:space="preserve">celebró un convenio con </w:t>
      </w:r>
      <w:r w:rsidR="00927B71">
        <w:rPr>
          <w:rFonts w:asciiTheme="majorHAnsi" w:eastAsia="MS Mincho" w:hAnsiTheme="majorHAnsi" w:cstheme="minorHAnsi"/>
          <w:color w:val="000000" w:themeColor="text1"/>
          <w:sz w:val="20"/>
          <w:szCs w:val="20"/>
          <w:lang w:val="es-ES"/>
        </w:rPr>
        <w:t>las presuntas víctimas</w:t>
      </w:r>
      <w:r w:rsidR="00231306">
        <w:rPr>
          <w:rFonts w:asciiTheme="majorHAnsi" w:eastAsia="MS Mincho" w:hAnsiTheme="majorHAnsi" w:cstheme="minorHAnsi"/>
          <w:color w:val="000000" w:themeColor="text1"/>
          <w:sz w:val="20"/>
          <w:szCs w:val="20"/>
          <w:lang w:val="es-ES"/>
        </w:rPr>
        <w:t xml:space="preserve">, a quienes les </w:t>
      </w:r>
      <w:r w:rsidR="00231306">
        <w:rPr>
          <w:rFonts w:asciiTheme="majorHAnsi" w:eastAsia="MS Mincho" w:hAnsiTheme="majorHAnsi" w:cstheme="minorHAnsi"/>
          <w:color w:val="000000" w:themeColor="text1"/>
          <w:sz w:val="20"/>
          <w:szCs w:val="20"/>
          <w:lang w:val="es-ES"/>
        </w:rPr>
        <w:lastRenderedPageBreak/>
        <w:t>entregó la cantidad de $49,121.70 pesos mexicanos a cada uno, por concepto de reparación del daño.</w:t>
      </w:r>
      <w:r w:rsidR="00981062">
        <w:rPr>
          <w:rFonts w:asciiTheme="majorHAnsi" w:eastAsia="MS Mincho" w:hAnsiTheme="majorHAnsi" w:cstheme="minorHAnsi"/>
          <w:color w:val="000000" w:themeColor="text1"/>
          <w:sz w:val="20"/>
          <w:szCs w:val="20"/>
          <w:lang w:val="es-ES"/>
        </w:rPr>
        <w:t xml:space="preserve"> Derivado de ello, el 28 de marzo de 2014, </w:t>
      </w:r>
      <w:r w:rsidR="001F25E6">
        <w:rPr>
          <w:rFonts w:asciiTheme="majorHAnsi" w:eastAsia="MS Mincho" w:hAnsiTheme="majorHAnsi" w:cstheme="minorHAnsi"/>
          <w:color w:val="000000" w:themeColor="text1"/>
          <w:sz w:val="20"/>
          <w:szCs w:val="20"/>
          <w:lang w:val="es-ES"/>
        </w:rPr>
        <w:t>la CNDH</w:t>
      </w:r>
      <w:r w:rsidR="00981062">
        <w:rPr>
          <w:rFonts w:asciiTheme="majorHAnsi" w:eastAsia="MS Mincho" w:hAnsiTheme="majorHAnsi" w:cstheme="minorHAnsi"/>
          <w:color w:val="000000" w:themeColor="text1"/>
          <w:sz w:val="20"/>
          <w:szCs w:val="20"/>
          <w:lang w:val="es-ES"/>
        </w:rPr>
        <w:t xml:space="preserve"> concluyó el expediente de la queja por </w:t>
      </w:r>
      <w:r w:rsidR="001F25E6">
        <w:rPr>
          <w:rFonts w:asciiTheme="majorHAnsi" w:eastAsia="MS Mincho" w:hAnsiTheme="majorHAnsi" w:cstheme="minorHAnsi"/>
          <w:color w:val="000000" w:themeColor="text1"/>
          <w:sz w:val="20"/>
          <w:szCs w:val="20"/>
          <w:lang w:val="es-ES"/>
        </w:rPr>
        <w:t>haber</w:t>
      </w:r>
      <w:r w:rsidR="00981062">
        <w:rPr>
          <w:rFonts w:asciiTheme="majorHAnsi" w:eastAsia="MS Mincho" w:hAnsiTheme="majorHAnsi" w:cstheme="minorHAnsi"/>
          <w:color w:val="000000" w:themeColor="text1"/>
          <w:sz w:val="20"/>
          <w:szCs w:val="20"/>
          <w:lang w:val="es-ES"/>
        </w:rPr>
        <w:t xml:space="preserve"> </w:t>
      </w:r>
      <w:r w:rsidR="00981062" w:rsidRPr="001F25E6">
        <w:rPr>
          <w:rFonts w:asciiTheme="majorHAnsi" w:eastAsia="MS Mincho" w:hAnsiTheme="majorHAnsi" w:cstheme="minorHAnsi"/>
          <w:color w:val="000000" w:themeColor="text1"/>
          <w:sz w:val="20"/>
          <w:szCs w:val="20"/>
          <w:lang w:val="es-ES"/>
        </w:rPr>
        <w:t xml:space="preserve">quedado sin materia. </w:t>
      </w:r>
    </w:p>
    <w:p w14:paraId="597F8925" w14:textId="3B535BCE" w:rsidR="00327833" w:rsidRPr="00327833" w:rsidRDefault="00AF58FD" w:rsidP="0032783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MS Mincho" w:hAnsiTheme="majorHAnsi" w:cstheme="minorHAnsi"/>
          <w:i/>
          <w:iCs/>
          <w:color w:val="000000" w:themeColor="text1"/>
          <w:sz w:val="20"/>
          <w:szCs w:val="20"/>
          <w:lang w:val="es-ES"/>
        </w:rPr>
      </w:pPr>
      <w:r w:rsidRPr="00773235">
        <w:rPr>
          <w:rFonts w:asciiTheme="majorHAnsi" w:eastAsia="MS Mincho" w:hAnsiTheme="majorHAnsi" w:cstheme="minorHAnsi"/>
          <w:i/>
          <w:iCs/>
          <w:color w:val="000000" w:themeColor="text1"/>
          <w:sz w:val="20"/>
          <w:szCs w:val="20"/>
          <w:lang w:val="es-ES"/>
        </w:rPr>
        <w:t>Réplica de la parte</w:t>
      </w:r>
      <w:r w:rsidR="00327833" w:rsidRPr="00773235">
        <w:rPr>
          <w:rFonts w:asciiTheme="majorHAnsi" w:eastAsia="MS Mincho" w:hAnsiTheme="majorHAnsi" w:cstheme="minorHAnsi"/>
          <w:i/>
          <w:iCs/>
          <w:color w:val="000000" w:themeColor="text1"/>
          <w:sz w:val="20"/>
          <w:szCs w:val="20"/>
          <w:lang w:val="es-ES"/>
        </w:rPr>
        <w:t xml:space="preserve"> peticionari</w:t>
      </w:r>
      <w:r w:rsidRPr="00773235">
        <w:rPr>
          <w:rFonts w:asciiTheme="majorHAnsi" w:eastAsia="MS Mincho" w:hAnsiTheme="majorHAnsi" w:cstheme="minorHAnsi"/>
          <w:i/>
          <w:iCs/>
          <w:color w:val="000000" w:themeColor="text1"/>
          <w:sz w:val="20"/>
          <w:szCs w:val="20"/>
          <w:lang w:val="es-ES"/>
        </w:rPr>
        <w:t>a</w:t>
      </w:r>
    </w:p>
    <w:p w14:paraId="2DE18CC5" w14:textId="0B1B6F36" w:rsidR="00327833" w:rsidRDefault="00773235" w:rsidP="003278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20"/>
          <w:szCs w:val="20"/>
          <w:lang w:val="es-ES"/>
        </w:rPr>
      </w:pPr>
      <w:r>
        <w:rPr>
          <w:rFonts w:asciiTheme="majorHAnsi" w:eastAsia="MS Mincho" w:hAnsiTheme="majorHAnsi" w:cstheme="minorHAnsi"/>
          <w:color w:val="000000" w:themeColor="text1"/>
          <w:sz w:val="20"/>
          <w:szCs w:val="20"/>
          <w:lang w:val="es-ES"/>
        </w:rPr>
        <w:t>La parte peticionaria; en primer</w:t>
      </w:r>
      <w:r w:rsidR="002E5B75">
        <w:rPr>
          <w:rFonts w:asciiTheme="majorHAnsi" w:eastAsia="MS Mincho" w:hAnsiTheme="majorHAnsi" w:cstheme="minorHAnsi"/>
          <w:color w:val="000000" w:themeColor="text1"/>
          <w:sz w:val="20"/>
          <w:szCs w:val="20"/>
          <w:lang w:val="es-ES"/>
        </w:rPr>
        <w:t xml:space="preserve"> </w:t>
      </w:r>
      <w:r>
        <w:rPr>
          <w:rFonts w:asciiTheme="majorHAnsi" w:eastAsia="MS Mincho" w:hAnsiTheme="majorHAnsi" w:cstheme="minorHAnsi"/>
          <w:color w:val="000000" w:themeColor="text1"/>
          <w:sz w:val="20"/>
          <w:szCs w:val="20"/>
          <w:lang w:val="es-ES"/>
        </w:rPr>
        <w:t>l</w:t>
      </w:r>
      <w:r w:rsidR="002E5B75">
        <w:rPr>
          <w:rFonts w:asciiTheme="majorHAnsi" w:eastAsia="MS Mincho" w:hAnsiTheme="majorHAnsi" w:cstheme="minorHAnsi"/>
          <w:color w:val="000000" w:themeColor="text1"/>
          <w:sz w:val="20"/>
          <w:szCs w:val="20"/>
          <w:lang w:val="es-ES"/>
        </w:rPr>
        <w:t>ug</w:t>
      </w:r>
      <w:r>
        <w:rPr>
          <w:rFonts w:asciiTheme="majorHAnsi" w:eastAsia="MS Mincho" w:hAnsiTheme="majorHAnsi" w:cstheme="minorHAnsi"/>
          <w:color w:val="000000" w:themeColor="text1"/>
          <w:sz w:val="20"/>
          <w:szCs w:val="20"/>
          <w:lang w:val="es-ES"/>
        </w:rPr>
        <w:t xml:space="preserve">ar, establece que el </w:t>
      </w:r>
      <w:r w:rsidR="002E5B75">
        <w:rPr>
          <w:rFonts w:asciiTheme="majorHAnsi" w:eastAsia="MS Mincho" w:hAnsiTheme="majorHAnsi" w:cstheme="minorHAnsi"/>
          <w:color w:val="000000" w:themeColor="text1"/>
          <w:sz w:val="20"/>
          <w:szCs w:val="20"/>
          <w:lang w:val="es-ES"/>
        </w:rPr>
        <w:t xml:space="preserve">17 de junio de 2019, fue resuelto el recurso de apelación interpuesto dentro del expediente </w:t>
      </w:r>
      <w:r w:rsidR="002E5B75" w:rsidRPr="00126D97">
        <w:rPr>
          <w:rFonts w:asciiTheme="majorHAnsi" w:eastAsia="MS Mincho" w:hAnsiTheme="majorHAnsi" w:cstheme="minorHAnsi"/>
          <w:color w:val="000000" w:themeColor="text1"/>
          <w:sz w:val="20"/>
          <w:szCs w:val="20"/>
          <w:lang w:val="es-ES"/>
        </w:rPr>
        <w:t>146/2018</w:t>
      </w:r>
      <w:r w:rsidR="002E5B75">
        <w:rPr>
          <w:rFonts w:asciiTheme="majorHAnsi" w:eastAsia="MS Mincho" w:hAnsiTheme="majorHAnsi" w:cstheme="minorHAnsi"/>
          <w:color w:val="000000" w:themeColor="text1"/>
          <w:sz w:val="20"/>
          <w:szCs w:val="20"/>
          <w:lang w:val="es-ES"/>
        </w:rPr>
        <w:t xml:space="preserve">, confirmando la negativa de la orden de aprehensión en contra de los presuntos responsables de </w:t>
      </w:r>
      <w:r w:rsidR="002C3BFB">
        <w:rPr>
          <w:rFonts w:asciiTheme="majorHAnsi" w:eastAsia="MS Mincho" w:hAnsiTheme="majorHAnsi" w:cstheme="minorHAnsi"/>
          <w:color w:val="000000" w:themeColor="text1"/>
          <w:sz w:val="20"/>
          <w:szCs w:val="20"/>
          <w:lang w:val="es-ES"/>
        </w:rPr>
        <w:t>los actos de tortura</w:t>
      </w:r>
      <w:r w:rsidR="002E5B75">
        <w:rPr>
          <w:rFonts w:asciiTheme="majorHAnsi" w:eastAsia="MS Mincho" w:hAnsiTheme="majorHAnsi" w:cstheme="minorHAnsi"/>
          <w:color w:val="000000" w:themeColor="text1"/>
          <w:sz w:val="20"/>
          <w:szCs w:val="20"/>
          <w:lang w:val="es-ES"/>
        </w:rPr>
        <w:t xml:space="preserve"> cometid</w:t>
      </w:r>
      <w:r w:rsidR="002C3BFB">
        <w:rPr>
          <w:rFonts w:asciiTheme="majorHAnsi" w:eastAsia="MS Mincho" w:hAnsiTheme="majorHAnsi" w:cstheme="minorHAnsi"/>
          <w:color w:val="000000" w:themeColor="text1"/>
          <w:sz w:val="20"/>
          <w:szCs w:val="20"/>
          <w:lang w:val="es-ES"/>
        </w:rPr>
        <w:t>o</w:t>
      </w:r>
      <w:r w:rsidR="002E5B75">
        <w:rPr>
          <w:rFonts w:asciiTheme="majorHAnsi" w:eastAsia="MS Mincho" w:hAnsiTheme="majorHAnsi" w:cstheme="minorHAnsi"/>
          <w:color w:val="000000" w:themeColor="text1"/>
          <w:sz w:val="20"/>
          <w:szCs w:val="20"/>
          <w:lang w:val="es-ES"/>
        </w:rPr>
        <w:t>s en contra de las presuntas víctimas. Por otro lado, respecto al juicio de amparo directo 232/2018</w:t>
      </w:r>
      <w:r w:rsidR="00BE6B43">
        <w:rPr>
          <w:rFonts w:asciiTheme="majorHAnsi" w:eastAsia="MS Mincho" w:hAnsiTheme="majorHAnsi" w:cstheme="minorHAnsi"/>
          <w:color w:val="000000" w:themeColor="text1"/>
          <w:sz w:val="20"/>
          <w:szCs w:val="20"/>
          <w:lang w:val="es-ES"/>
        </w:rPr>
        <w:t>,</w:t>
      </w:r>
      <w:r w:rsidR="002E5B75">
        <w:rPr>
          <w:rFonts w:asciiTheme="majorHAnsi" w:eastAsia="MS Mincho" w:hAnsiTheme="majorHAnsi" w:cstheme="minorHAnsi"/>
          <w:color w:val="000000" w:themeColor="text1"/>
          <w:sz w:val="20"/>
          <w:szCs w:val="20"/>
          <w:lang w:val="es-ES"/>
        </w:rPr>
        <w:t xml:space="preserve"> expresa textualmente que: “[…] </w:t>
      </w:r>
      <w:r w:rsidR="002E5B75" w:rsidRPr="002E5B75">
        <w:rPr>
          <w:rFonts w:asciiTheme="majorHAnsi" w:eastAsia="MS Mincho" w:hAnsiTheme="majorHAnsi" w:cstheme="minorHAnsi"/>
          <w:i/>
          <w:iCs/>
          <w:color w:val="000000" w:themeColor="text1"/>
          <w:sz w:val="20"/>
          <w:szCs w:val="20"/>
          <w:lang w:val="es-ES"/>
        </w:rPr>
        <w:t>ya fue resuelto, pero en el mismo se ordenó la reposición del procedimiento hasta antes de la sentencia de primera instancia por violaciones formales; es decir, a la fecha, los quejosos, después de diez años presos, siguen en proceso ante el juez de primera instancia</w:t>
      </w:r>
      <w:r w:rsidR="002E5B75">
        <w:rPr>
          <w:rFonts w:asciiTheme="majorHAnsi" w:eastAsia="MS Mincho" w:hAnsiTheme="majorHAnsi" w:cstheme="minorHAnsi"/>
          <w:color w:val="000000" w:themeColor="text1"/>
          <w:sz w:val="20"/>
          <w:szCs w:val="20"/>
          <w:lang w:val="es-ES"/>
        </w:rPr>
        <w:t xml:space="preserve"> […]”. </w:t>
      </w:r>
      <w:r w:rsidR="004B06C9">
        <w:rPr>
          <w:rFonts w:asciiTheme="majorHAnsi" w:eastAsia="MS Mincho" w:hAnsiTheme="majorHAnsi" w:cstheme="minorHAnsi"/>
          <w:color w:val="000000" w:themeColor="text1"/>
          <w:sz w:val="20"/>
          <w:szCs w:val="20"/>
          <w:lang w:val="es-ES"/>
        </w:rPr>
        <w:t>En esa misma línea, aduce que las presuntas víctimas se encuentran privadas de libertad sin que a la fecha del presente se haya dictado una sentencia definitiva en su contra</w:t>
      </w:r>
      <w:r w:rsidR="001305DD">
        <w:rPr>
          <w:rFonts w:asciiTheme="majorHAnsi" w:eastAsia="MS Mincho" w:hAnsiTheme="majorHAnsi" w:cstheme="minorHAnsi"/>
          <w:color w:val="000000" w:themeColor="text1"/>
          <w:sz w:val="20"/>
          <w:szCs w:val="20"/>
          <w:lang w:val="es-ES"/>
        </w:rPr>
        <w:t xml:space="preserve"> —la parte peticionaria no aporta copias de las resoluciones dictadas en el marco del recurso de apelación 146/2018 ni del juicio de amparo directo 232/2018—</w:t>
      </w:r>
      <w:r w:rsidR="004B06C9">
        <w:rPr>
          <w:rFonts w:asciiTheme="majorHAnsi" w:eastAsia="MS Mincho" w:hAnsiTheme="majorHAnsi" w:cstheme="minorHAnsi"/>
          <w:color w:val="000000" w:themeColor="text1"/>
          <w:sz w:val="20"/>
          <w:szCs w:val="20"/>
          <w:lang w:val="es-ES"/>
        </w:rPr>
        <w:t xml:space="preserve">. </w:t>
      </w:r>
    </w:p>
    <w:p w14:paraId="27729A68" w14:textId="58B12ACE" w:rsidR="007E6F5D" w:rsidRPr="009C00FB" w:rsidRDefault="003239B8" w:rsidP="0074612B">
      <w:pPr>
        <w:spacing w:before="240" w:after="240"/>
        <w:ind w:firstLine="720"/>
        <w:jc w:val="both"/>
        <w:rPr>
          <w:rFonts w:asciiTheme="majorHAnsi" w:hAnsiTheme="majorHAnsi"/>
          <w:b/>
          <w:sz w:val="20"/>
          <w:szCs w:val="20"/>
        </w:rPr>
      </w:pPr>
      <w:r w:rsidRPr="009C00FB">
        <w:rPr>
          <w:rFonts w:asciiTheme="majorHAnsi" w:hAnsiTheme="majorHAnsi"/>
          <w:b/>
          <w:sz w:val="20"/>
          <w:szCs w:val="20"/>
        </w:rPr>
        <w:t>VI.</w:t>
      </w:r>
      <w:r w:rsidRPr="009C00FB">
        <w:rPr>
          <w:rFonts w:asciiTheme="majorHAnsi" w:hAnsiTheme="majorHAnsi"/>
          <w:b/>
          <w:sz w:val="20"/>
          <w:szCs w:val="20"/>
        </w:rPr>
        <w:tab/>
      </w:r>
      <w:r w:rsidR="004A6A54" w:rsidRPr="009C00FB">
        <w:rPr>
          <w:rFonts w:asciiTheme="majorHAnsi" w:hAnsiTheme="majorHAnsi"/>
          <w:b/>
          <w:sz w:val="20"/>
          <w:szCs w:val="20"/>
        </w:rPr>
        <w:t xml:space="preserve">ANÁLISIS DE </w:t>
      </w:r>
      <w:r w:rsidR="00C21FEF" w:rsidRPr="009C00FB">
        <w:rPr>
          <w:rFonts w:asciiTheme="majorHAnsi" w:hAnsiTheme="majorHAnsi"/>
          <w:b/>
          <w:sz w:val="20"/>
          <w:szCs w:val="20"/>
        </w:rPr>
        <w:t xml:space="preserve">AGOTAMIENTO DE LOS RECURSOS INTERNOS Y PLAZO DE PRESENTACIÓN </w:t>
      </w:r>
      <w:bookmarkStart w:id="2" w:name="_Hlk498707024"/>
    </w:p>
    <w:p w14:paraId="326CD0C4" w14:textId="3939F5E6" w:rsidR="006C78DD" w:rsidRPr="009C496D" w:rsidRDefault="006C78DD" w:rsidP="006C78DD">
      <w:pPr>
        <w:pStyle w:val="ListParagraph"/>
        <w:numPr>
          <w:ilvl w:val="0"/>
          <w:numId w:val="56"/>
        </w:numPr>
        <w:suppressAutoHyphens/>
        <w:spacing w:after="240"/>
        <w:ind w:left="0" w:firstLine="720"/>
        <w:jc w:val="both"/>
        <w:rPr>
          <w:rFonts w:asciiTheme="majorHAnsi" w:hAnsiTheme="majorHAnsi"/>
          <w:color w:val="auto"/>
          <w:sz w:val="20"/>
          <w:szCs w:val="20"/>
          <w:lang w:val="es-ES"/>
        </w:rPr>
      </w:pPr>
      <w:r w:rsidRPr="009C496D">
        <w:rPr>
          <w:rFonts w:asciiTheme="majorHAnsi" w:hAnsiTheme="majorHAnsi"/>
          <w:color w:val="auto"/>
          <w:sz w:val="20"/>
          <w:szCs w:val="20"/>
          <w:lang w:val="es-ES"/>
        </w:rPr>
        <w:t xml:space="preserve">Para el análisis de agotamiento de los recursos internos del presente asunto, la CIDH recuerda que, según su práctica consolidada y reiterada, a efectos de identificar los recursos idóneos que debieron haber sido agotados por un </w:t>
      </w:r>
      <w:r w:rsidRPr="009C496D">
        <w:rPr>
          <w:bCs/>
          <w:sz w:val="20"/>
          <w:szCs w:val="20"/>
          <w:lang w:val="es-ES"/>
        </w:rPr>
        <w:t>peticionario</w:t>
      </w:r>
      <w:r w:rsidRPr="009C496D">
        <w:rPr>
          <w:rFonts w:asciiTheme="majorHAnsi" w:hAnsiTheme="majorHAnsi"/>
          <w:color w:val="auto"/>
          <w:sz w:val="20"/>
          <w:szCs w:val="20"/>
          <w:lang w:val="es-ES"/>
        </w:rPr>
        <w:t xml:space="preserve"> antes de recurrir ante el Sistema Interamericano, el primer paso metodológico del análisis consiste en deslindar los distintos reclamos </w:t>
      </w:r>
      <w:r w:rsidRPr="009C496D">
        <w:rPr>
          <w:rFonts w:asciiTheme="majorHAnsi" w:hAnsiTheme="majorHAnsi"/>
          <w:sz w:val="20"/>
          <w:szCs w:val="20"/>
          <w:lang w:val="es-ES"/>
        </w:rPr>
        <w:t>formulados</w:t>
      </w:r>
      <w:r w:rsidRPr="009C496D">
        <w:rPr>
          <w:rFonts w:asciiTheme="majorHAnsi" w:hAnsiTheme="majorHAnsi"/>
          <w:color w:val="auto"/>
          <w:sz w:val="20"/>
          <w:szCs w:val="20"/>
          <w:lang w:val="es-ES"/>
        </w:rPr>
        <w:t xml:space="preserve"> en la presente petición para proceder a su examen individualizado</w:t>
      </w:r>
      <w:r w:rsidRPr="009C496D">
        <w:rPr>
          <w:rStyle w:val="FootnoteReference"/>
          <w:rFonts w:asciiTheme="majorHAnsi" w:hAnsiTheme="majorHAnsi"/>
          <w:color w:val="auto"/>
          <w:sz w:val="20"/>
          <w:szCs w:val="20"/>
          <w:lang w:val="es-ES"/>
        </w:rPr>
        <w:footnoteReference w:id="5"/>
      </w:r>
      <w:r w:rsidRPr="009C496D">
        <w:rPr>
          <w:rFonts w:asciiTheme="majorHAnsi" w:hAnsiTheme="majorHAnsi"/>
          <w:color w:val="auto"/>
          <w:sz w:val="20"/>
          <w:szCs w:val="20"/>
          <w:lang w:val="es-ES"/>
        </w:rPr>
        <w:t xml:space="preserve">. En el correspondiente caso, la parte peticionaria ha presentado ante la Comisión dos reclamos: (i) </w:t>
      </w:r>
      <w:r w:rsidRPr="009C496D">
        <w:rPr>
          <w:rFonts w:asciiTheme="majorHAnsi" w:hAnsiTheme="majorHAnsi"/>
          <w:sz w:val="20"/>
          <w:szCs w:val="20"/>
          <w:lang w:val="es-ES"/>
        </w:rPr>
        <w:t>violaciones a la libertad personal de las presuntas víctimas, debido a su detención sin mediar una orden judicial en su contra</w:t>
      </w:r>
      <w:r w:rsidR="00A71C77">
        <w:rPr>
          <w:rFonts w:asciiTheme="majorHAnsi" w:hAnsiTheme="majorHAnsi"/>
          <w:sz w:val="20"/>
          <w:szCs w:val="20"/>
          <w:lang w:val="es-ES"/>
        </w:rPr>
        <w:t>, así como de su posterior arraigo</w:t>
      </w:r>
      <w:r w:rsidRPr="009C496D">
        <w:rPr>
          <w:rFonts w:asciiTheme="majorHAnsi" w:hAnsiTheme="majorHAnsi"/>
          <w:sz w:val="20"/>
          <w:szCs w:val="20"/>
          <w:lang w:val="es-ES"/>
        </w:rPr>
        <w:t xml:space="preserve">; y (ii) la falta de investigación de los actos de tortura cometidos en contra </w:t>
      </w:r>
      <w:r w:rsidR="00675E94">
        <w:rPr>
          <w:rFonts w:asciiTheme="majorHAnsi" w:hAnsiTheme="majorHAnsi"/>
          <w:sz w:val="20"/>
          <w:szCs w:val="20"/>
          <w:lang w:val="es-ES"/>
        </w:rPr>
        <w:t xml:space="preserve">de las presuntas víctimas al interior del </w:t>
      </w:r>
      <w:r w:rsidR="008B4B06">
        <w:rPr>
          <w:rFonts w:asciiTheme="majorHAnsi" w:hAnsiTheme="majorHAnsi"/>
          <w:sz w:val="20"/>
          <w:szCs w:val="20"/>
          <w:lang w:val="es-ES"/>
        </w:rPr>
        <w:t>S</w:t>
      </w:r>
      <w:r w:rsidR="008B4B06">
        <w:rPr>
          <w:bCs/>
          <w:sz w:val="20"/>
          <w:szCs w:val="20"/>
          <w:lang w:val="es-ES"/>
        </w:rPr>
        <w:t>esenta y Nueve</w:t>
      </w:r>
      <w:r w:rsidR="008B4B06" w:rsidRPr="009C00FB">
        <w:rPr>
          <w:bCs/>
          <w:sz w:val="20"/>
          <w:szCs w:val="20"/>
          <w:lang w:val="es-ES"/>
        </w:rPr>
        <w:t xml:space="preserve"> Batallón de Infantería, ubicado en la ciudad de Saltillo, estado de Coahuila</w:t>
      </w:r>
      <w:r w:rsidRPr="009C496D">
        <w:rPr>
          <w:rFonts w:asciiTheme="majorHAnsi" w:hAnsiTheme="majorHAnsi"/>
          <w:sz w:val="20"/>
          <w:szCs w:val="20"/>
          <w:lang w:val="es-ES"/>
        </w:rPr>
        <w:t>.</w:t>
      </w:r>
      <w:r w:rsidR="00B04717" w:rsidRPr="009C496D">
        <w:rPr>
          <w:rFonts w:asciiTheme="majorHAnsi" w:hAnsiTheme="majorHAnsi"/>
          <w:sz w:val="20"/>
          <w:szCs w:val="20"/>
          <w:lang w:val="es-ES"/>
        </w:rPr>
        <w:t xml:space="preserve"> </w:t>
      </w:r>
    </w:p>
    <w:p w14:paraId="1AD51E8D" w14:textId="77777777" w:rsidR="006C78DD" w:rsidRPr="007B1B07" w:rsidRDefault="006C78DD" w:rsidP="006C78DD">
      <w:pPr>
        <w:pStyle w:val="ListParagraph"/>
        <w:numPr>
          <w:ilvl w:val="0"/>
          <w:numId w:val="56"/>
        </w:numPr>
        <w:suppressAutoHyphens/>
        <w:spacing w:after="240"/>
        <w:ind w:left="0" w:firstLine="720"/>
        <w:jc w:val="both"/>
        <w:rPr>
          <w:rFonts w:asciiTheme="majorHAnsi" w:hAnsiTheme="majorHAnsi"/>
          <w:sz w:val="20"/>
          <w:szCs w:val="20"/>
          <w:lang w:val="es-ES"/>
        </w:rPr>
      </w:pPr>
      <w:r w:rsidRPr="007B1B07">
        <w:rPr>
          <w:rFonts w:asciiTheme="majorHAnsi" w:hAnsiTheme="majorHAnsi"/>
          <w:sz w:val="20"/>
          <w:szCs w:val="20"/>
          <w:lang w:val="es-ES"/>
        </w:rPr>
        <w:t>Sobre el primer reclamo (</w:t>
      </w:r>
      <w:r>
        <w:rPr>
          <w:rFonts w:asciiTheme="majorHAnsi" w:hAnsiTheme="majorHAnsi"/>
          <w:sz w:val="20"/>
          <w:szCs w:val="20"/>
          <w:lang w:val="es-ES"/>
        </w:rPr>
        <w:t>i</w:t>
      </w:r>
      <w:r w:rsidRPr="007B1B07">
        <w:rPr>
          <w:rFonts w:asciiTheme="majorHAnsi" w:hAnsiTheme="majorHAnsi"/>
          <w:sz w:val="20"/>
          <w:szCs w:val="20"/>
          <w:lang w:val="es-ES"/>
        </w:rPr>
        <w:t xml:space="preserve">), la CIDH ha establecido en reiteradas decisiones que los recursos idóneos a agotar en casos en que se alegan </w:t>
      </w:r>
      <w:r w:rsidRPr="007B1B07">
        <w:rPr>
          <w:bCs/>
          <w:sz w:val="20"/>
          <w:szCs w:val="20"/>
          <w:lang w:val="es-ES"/>
        </w:rPr>
        <w:t>violaciones</w:t>
      </w:r>
      <w:r w:rsidRPr="007B1B07">
        <w:rPr>
          <w:rFonts w:asciiTheme="majorHAnsi" w:hAnsiTheme="majorHAnsi"/>
          <w:sz w:val="20"/>
          <w:szCs w:val="20"/>
          <w:lang w:val="es-ES"/>
        </w:rPr>
        <w:t xml:space="preserve"> de las garantías procesales, la libertad personal y otros derechos humanos</w:t>
      </w:r>
      <w:r>
        <w:rPr>
          <w:rFonts w:asciiTheme="majorHAnsi" w:hAnsiTheme="majorHAnsi"/>
          <w:sz w:val="20"/>
          <w:szCs w:val="20"/>
          <w:lang w:val="es-ES"/>
        </w:rPr>
        <w:t>,</w:t>
      </w:r>
      <w:r w:rsidRPr="007B1B07">
        <w:rPr>
          <w:rFonts w:asciiTheme="majorHAnsi" w:hAnsiTheme="majorHAnsi"/>
          <w:sz w:val="20"/>
          <w:szCs w:val="20"/>
          <w:lang w:val="es-ES"/>
        </w:rPr>
        <w:t xml:space="preserve"> en el curso de procesos penales</w:t>
      </w:r>
      <w:r>
        <w:rPr>
          <w:rFonts w:asciiTheme="majorHAnsi" w:hAnsiTheme="majorHAnsi"/>
          <w:sz w:val="20"/>
          <w:szCs w:val="20"/>
          <w:lang w:val="es-ES"/>
        </w:rPr>
        <w:t>,</w:t>
      </w:r>
      <w:r w:rsidRPr="007B1B07">
        <w:rPr>
          <w:rFonts w:asciiTheme="majorHAnsi" w:hAnsiTheme="majorHAnsi"/>
          <w:sz w:val="20"/>
          <w:szCs w:val="20"/>
          <w:lang w:val="es-ES"/>
        </w:rPr>
        <w:t xml:space="preserve"> son</w:t>
      </w:r>
      <w:r>
        <w:rPr>
          <w:rFonts w:asciiTheme="majorHAnsi" w:hAnsiTheme="majorHAnsi"/>
          <w:sz w:val="20"/>
          <w:szCs w:val="20"/>
          <w:lang w:val="es-ES"/>
        </w:rPr>
        <w:t xml:space="preserve"> </w:t>
      </w:r>
      <w:r w:rsidRPr="007B1B07">
        <w:rPr>
          <w:rFonts w:asciiTheme="majorHAnsi" w:hAnsiTheme="majorHAnsi"/>
          <w:sz w:val="20"/>
          <w:szCs w:val="20"/>
          <w:lang w:val="es-ES"/>
        </w:rPr>
        <w:t>por regla general</w:t>
      </w:r>
      <w:r>
        <w:rPr>
          <w:rFonts w:asciiTheme="majorHAnsi" w:hAnsiTheme="majorHAnsi"/>
          <w:sz w:val="20"/>
          <w:szCs w:val="20"/>
          <w:lang w:val="es-ES"/>
        </w:rPr>
        <w:t>,</w:t>
      </w:r>
      <w:r w:rsidRPr="007B1B07">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desarrollo </w:t>
      </w:r>
      <w:r>
        <w:rPr>
          <w:rFonts w:asciiTheme="majorHAnsi" w:hAnsiTheme="majorHAnsi"/>
          <w:sz w:val="20"/>
          <w:szCs w:val="20"/>
          <w:lang w:val="es-ES"/>
        </w:rPr>
        <w:t>de este</w:t>
      </w:r>
      <w:r w:rsidRPr="007B1B07">
        <w:rPr>
          <w:rFonts w:asciiTheme="majorHAnsi" w:hAnsiTheme="majorHAnsi"/>
          <w:sz w:val="20"/>
          <w:szCs w:val="20"/>
          <w:lang w:val="es-ES"/>
        </w:rPr>
        <w:t>, en particular los recursos judiciales ordinarios a los que haya lugar, o los extraordinarios si estos fueron interpuestos por las alegadas víctimas de las violaciones de la libertad y las garantías procesales para hacer valer sus derechos, los cuales, una vez agotados, dan cumplimiento al requisito del artículo 46.1.a) de la Convención Americana</w:t>
      </w:r>
      <w:r w:rsidRPr="007B1B07">
        <w:rPr>
          <w:rStyle w:val="FootnoteReference"/>
          <w:rFonts w:asciiTheme="majorHAnsi" w:hAnsiTheme="majorHAnsi"/>
          <w:sz w:val="20"/>
          <w:szCs w:val="20"/>
          <w:lang w:val="es-ES"/>
        </w:rPr>
        <w:footnoteReference w:id="6"/>
      </w:r>
      <w:r w:rsidRPr="007B1B07">
        <w:rPr>
          <w:rFonts w:asciiTheme="majorHAnsi" w:hAnsiTheme="majorHAnsi"/>
          <w:sz w:val="20"/>
          <w:szCs w:val="20"/>
          <w:lang w:val="es-ES"/>
        </w:rPr>
        <w:t xml:space="preserve">. </w:t>
      </w:r>
    </w:p>
    <w:p w14:paraId="60E98202" w14:textId="0BF73B79" w:rsidR="00362F7F" w:rsidRPr="00394193" w:rsidRDefault="00362F7F" w:rsidP="00394193">
      <w:pPr>
        <w:pStyle w:val="ListParagraph"/>
        <w:numPr>
          <w:ilvl w:val="0"/>
          <w:numId w:val="56"/>
        </w:numPr>
        <w:suppressAutoHyphens/>
        <w:spacing w:after="240"/>
        <w:ind w:left="0" w:firstLine="720"/>
        <w:jc w:val="both"/>
        <w:rPr>
          <w:rFonts w:asciiTheme="majorHAnsi" w:hAnsiTheme="majorHAnsi"/>
          <w:sz w:val="20"/>
          <w:szCs w:val="20"/>
          <w:lang w:val="es-ES"/>
        </w:rPr>
      </w:pPr>
      <w:r w:rsidRPr="009451FF">
        <w:rPr>
          <w:rFonts w:asciiTheme="majorHAnsi" w:hAnsiTheme="majorHAnsi"/>
          <w:sz w:val="20"/>
          <w:szCs w:val="20"/>
          <w:lang w:val="es-ES"/>
        </w:rPr>
        <w:t>En el presente caso, el peticionario ha establecido que las presuntas víctimas interpusieron diversos recursos en contra de la sentencia que lo</w:t>
      </w:r>
      <w:r w:rsidR="00CF3E53" w:rsidRPr="009451FF">
        <w:rPr>
          <w:rFonts w:asciiTheme="majorHAnsi" w:hAnsiTheme="majorHAnsi"/>
          <w:sz w:val="20"/>
          <w:szCs w:val="20"/>
          <w:lang w:val="es-ES"/>
        </w:rPr>
        <w:t>s</w:t>
      </w:r>
      <w:r w:rsidRPr="009451FF">
        <w:rPr>
          <w:rFonts w:asciiTheme="majorHAnsi" w:hAnsiTheme="majorHAnsi"/>
          <w:sz w:val="20"/>
          <w:szCs w:val="20"/>
          <w:lang w:val="es-ES"/>
        </w:rPr>
        <w:t xml:space="preserve"> condenó</w:t>
      </w:r>
      <w:r w:rsidR="000E63C9">
        <w:rPr>
          <w:rFonts w:asciiTheme="majorHAnsi" w:hAnsiTheme="majorHAnsi"/>
          <w:sz w:val="20"/>
          <w:szCs w:val="20"/>
          <w:lang w:val="es-ES"/>
        </w:rPr>
        <w:t xml:space="preserve"> en la jurisdicción militar</w:t>
      </w:r>
      <w:r w:rsidRPr="009451FF">
        <w:rPr>
          <w:rFonts w:asciiTheme="majorHAnsi" w:hAnsiTheme="majorHAnsi"/>
          <w:sz w:val="20"/>
          <w:szCs w:val="20"/>
          <w:lang w:val="es-ES"/>
        </w:rPr>
        <w:t xml:space="preserve"> a </w:t>
      </w:r>
      <w:r w:rsidR="00CF3E53" w:rsidRPr="009451FF">
        <w:rPr>
          <w:rFonts w:asciiTheme="majorHAnsi" w:hAnsiTheme="majorHAnsi"/>
          <w:sz w:val="20"/>
          <w:szCs w:val="20"/>
          <w:lang w:val="es-ES"/>
        </w:rPr>
        <w:t xml:space="preserve">veintiséis años y tres meses de prisión </w:t>
      </w:r>
      <w:r w:rsidRPr="009451FF">
        <w:rPr>
          <w:rFonts w:asciiTheme="majorHAnsi" w:hAnsiTheme="majorHAnsi"/>
          <w:sz w:val="20"/>
          <w:szCs w:val="20"/>
          <w:lang w:val="es-ES"/>
        </w:rPr>
        <w:t xml:space="preserve">por </w:t>
      </w:r>
      <w:r w:rsidR="00CF3E53" w:rsidRPr="009451FF">
        <w:rPr>
          <w:rFonts w:asciiTheme="majorHAnsi" w:hAnsiTheme="majorHAnsi"/>
          <w:sz w:val="20"/>
          <w:szCs w:val="20"/>
          <w:lang w:val="es-ES"/>
        </w:rPr>
        <w:t>su responsabilidad en la comisión de</w:t>
      </w:r>
      <w:r w:rsidRPr="009451FF">
        <w:rPr>
          <w:rFonts w:asciiTheme="majorHAnsi" w:hAnsiTheme="majorHAnsi"/>
          <w:sz w:val="20"/>
          <w:szCs w:val="20"/>
          <w:lang w:val="es-ES"/>
        </w:rPr>
        <w:t xml:space="preserve"> delitos </w:t>
      </w:r>
      <w:r w:rsidR="00CF3E53" w:rsidRPr="009451FF">
        <w:rPr>
          <w:rFonts w:asciiTheme="majorHAnsi" w:hAnsiTheme="majorHAnsi"/>
          <w:sz w:val="20"/>
          <w:szCs w:val="20"/>
          <w:lang w:val="es-ES"/>
        </w:rPr>
        <w:t>contra la salud</w:t>
      </w:r>
      <w:r w:rsidRPr="009451FF">
        <w:rPr>
          <w:rFonts w:asciiTheme="majorHAnsi" w:hAnsiTheme="majorHAnsi"/>
          <w:sz w:val="20"/>
          <w:szCs w:val="20"/>
          <w:lang w:val="es-ES"/>
        </w:rPr>
        <w:t xml:space="preserve">. En ese sentido, con base en la información contenida en el expediente, la Comisión observa que </w:t>
      </w:r>
      <w:r w:rsidR="001415FE" w:rsidRPr="009451FF">
        <w:rPr>
          <w:rFonts w:asciiTheme="majorHAnsi" w:hAnsiTheme="majorHAnsi"/>
          <w:sz w:val="20"/>
          <w:szCs w:val="20"/>
          <w:lang w:val="es-ES"/>
        </w:rPr>
        <w:t>las presuntas víctimas apelaron dicha sentencia condenatoria; no obstante, en sentencia de 12 de octubre de 2018, el Tribunal Superior Militar confirmó la sentencia apelad</w:t>
      </w:r>
      <w:r w:rsidR="00894CF3" w:rsidRPr="009451FF">
        <w:rPr>
          <w:rFonts w:asciiTheme="majorHAnsi" w:hAnsiTheme="majorHAnsi"/>
          <w:sz w:val="20"/>
          <w:szCs w:val="20"/>
          <w:lang w:val="es-ES"/>
        </w:rPr>
        <w:t xml:space="preserve">a. En contra de ello, las presuntas víctimas iniciaron un juicio de amparo directo, </w:t>
      </w:r>
      <w:r w:rsidR="00894CF3" w:rsidRPr="009451FF">
        <w:rPr>
          <w:rFonts w:asciiTheme="majorHAnsi" w:hAnsiTheme="majorHAnsi"/>
          <w:sz w:val="20"/>
          <w:szCs w:val="20"/>
          <w:lang w:val="es-ES"/>
        </w:rPr>
        <w:lastRenderedPageBreak/>
        <w:t>radicado bajo el expediente 232/2018. Al respecto, la parte peticionaria señala —sin indicar la fecha del resolutivo</w:t>
      </w:r>
      <w:r w:rsidR="009451FF">
        <w:rPr>
          <w:rFonts w:asciiTheme="majorHAnsi" w:hAnsiTheme="majorHAnsi"/>
          <w:sz w:val="20"/>
          <w:szCs w:val="20"/>
          <w:lang w:val="es-ES"/>
        </w:rPr>
        <w:t xml:space="preserve"> y sin obrar copia de </w:t>
      </w:r>
      <w:r w:rsidR="00C858CF">
        <w:rPr>
          <w:rFonts w:asciiTheme="majorHAnsi" w:hAnsiTheme="majorHAnsi"/>
          <w:sz w:val="20"/>
          <w:szCs w:val="20"/>
          <w:lang w:val="es-ES"/>
        </w:rPr>
        <w:t>esta</w:t>
      </w:r>
      <w:r w:rsidR="009451FF">
        <w:rPr>
          <w:rFonts w:asciiTheme="majorHAnsi" w:hAnsiTheme="majorHAnsi"/>
          <w:sz w:val="20"/>
          <w:szCs w:val="20"/>
          <w:lang w:val="es-ES"/>
        </w:rPr>
        <w:t xml:space="preserve"> en el expediente</w:t>
      </w:r>
      <w:r w:rsidR="00894CF3" w:rsidRPr="009451FF">
        <w:rPr>
          <w:rFonts w:asciiTheme="majorHAnsi" w:hAnsiTheme="majorHAnsi"/>
          <w:sz w:val="20"/>
          <w:szCs w:val="20"/>
          <w:lang w:val="es-ES"/>
        </w:rPr>
        <w:t>— que dicho amparo fue otorgado en favor de las presuntas víctimas por el Séptimo Tribunal Colegiado en Materia Penal del Primer Circuito</w:t>
      </w:r>
      <w:r w:rsidR="00324366" w:rsidRPr="009451FF">
        <w:rPr>
          <w:rFonts w:asciiTheme="majorHAnsi" w:hAnsiTheme="majorHAnsi"/>
          <w:sz w:val="20"/>
          <w:szCs w:val="20"/>
          <w:lang w:val="es-ES"/>
        </w:rPr>
        <w:t>, a efectos de reponer el procedimiento y, con ello, dictar una nueva sentencia de primera instancia en contra de las presuntas víctimas</w:t>
      </w:r>
      <w:r w:rsidRPr="009451FF">
        <w:rPr>
          <w:rFonts w:asciiTheme="majorHAnsi" w:eastAsia="Arial Unicode MS" w:hAnsiTheme="majorHAnsi"/>
          <w:sz w:val="20"/>
          <w:szCs w:val="20"/>
          <w:lang w:val="es-ES"/>
        </w:rPr>
        <w:t>. En consecuencia, y ante la falta de réplica del Estado sobre este punto, la CIDH considera que la</w:t>
      </w:r>
      <w:r w:rsidR="0019647E" w:rsidRPr="009451FF">
        <w:rPr>
          <w:rFonts w:asciiTheme="majorHAnsi" w:eastAsia="Arial Unicode MS" w:hAnsiTheme="majorHAnsi"/>
          <w:sz w:val="20"/>
          <w:szCs w:val="20"/>
          <w:lang w:val="es-ES"/>
        </w:rPr>
        <w:t>s</w:t>
      </w:r>
      <w:r w:rsidRPr="009451FF">
        <w:rPr>
          <w:rFonts w:asciiTheme="majorHAnsi" w:eastAsia="Arial Unicode MS" w:hAnsiTheme="majorHAnsi"/>
          <w:sz w:val="20"/>
          <w:szCs w:val="20"/>
          <w:lang w:val="es-ES"/>
        </w:rPr>
        <w:t xml:space="preserve"> presunta</w:t>
      </w:r>
      <w:r w:rsidR="0019647E" w:rsidRPr="009451FF">
        <w:rPr>
          <w:rFonts w:asciiTheme="majorHAnsi" w:eastAsia="Arial Unicode MS" w:hAnsiTheme="majorHAnsi"/>
          <w:sz w:val="20"/>
          <w:szCs w:val="20"/>
          <w:lang w:val="es-ES"/>
        </w:rPr>
        <w:t>s</w:t>
      </w:r>
      <w:r w:rsidRPr="009451FF">
        <w:rPr>
          <w:rFonts w:asciiTheme="majorHAnsi" w:eastAsia="Arial Unicode MS" w:hAnsiTheme="majorHAnsi"/>
          <w:sz w:val="20"/>
          <w:szCs w:val="20"/>
          <w:lang w:val="es-ES"/>
        </w:rPr>
        <w:t xml:space="preserve"> víctima</w:t>
      </w:r>
      <w:r w:rsidR="0019647E" w:rsidRPr="009451FF">
        <w:rPr>
          <w:rFonts w:asciiTheme="majorHAnsi" w:eastAsia="Arial Unicode MS" w:hAnsiTheme="majorHAnsi"/>
          <w:sz w:val="20"/>
          <w:szCs w:val="20"/>
          <w:lang w:val="es-ES"/>
        </w:rPr>
        <w:t>s</w:t>
      </w:r>
      <w:r w:rsidRPr="009451FF">
        <w:rPr>
          <w:rFonts w:asciiTheme="majorHAnsi" w:eastAsia="Arial Unicode MS" w:hAnsiTheme="majorHAnsi"/>
          <w:sz w:val="20"/>
          <w:szCs w:val="20"/>
          <w:lang w:val="es-ES"/>
        </w:rPr>
        <w:t xml:space="preserve"> utiliz</w:t>
      </w:r>
      <w:r w:rsidR="0019647E" w:rsidRPr="009451FF">
        <w:rPr>
          <w:rFonts w:asciiTheme="majorHAnsi" w:eastAsia="Arial Unicode MS" w:hAnsiTheme="majorHAnsi"/>
          <w:sz w:val="20"/>
          <w:szCs w:val="20"/>
          <w:lang w:val="es-ES"/>
        </w:rPr>
        <w:t>aron</w:t>
      </w:r>
      <w:r w:rsidRPr="009451FF">
        <w:rPr>
          <w:rFonts w:asciiTheme="majorHAnsi" w:eastAsia="Arial Unicode MS" w:hAnsiTheme="majorHAnsi"/>
          <w:sz w:val="20"/>
          <w:szCs w:val="20"/>
          <w:lang w:val="es-ES"/>
        </w:rPr>
        <w:t xml:space="preserve"> los recursos que se encontraban a su disposición para cuestionar la sentencia condenatoria en su contra, por lo que </w:t>
      </w:r>
      <w:r w:rsidR="009451FF" w:rsidRPr="009451FF">
        <w:rPr>
          <w:rFonts w:asciiTheme="majorHAnsi" w:eastAsia="Arial Unicode MS" w:hAnsiTheme="majorHAnsi"/>
          <w:sz w:val="20"/>
          <w:szCs w:val="20"/>
          <w:lang w:val="es-ES"/>
        </w:rPr>
        <w:t>este</w:t>
      </w:r>
      <w:r w:rsidRPr="009451FF">
        <w:rPr>
          <w:rFonts w:asciiTheme="majorHAnsi" w:eastAsia="Arial Unicode MS" w:hAnsiTheme="majorHAnsi"/>
          <w:sz w:val="20"/>
          <w:szCs w:val="20"/>
          <w:lang w:val="es-ES"/>
        </w:rPr>
        <w:t xml:space="preserve"> extremo de la petición cumple con el requisito establecido en el artículo 46.1.a) de la Convención. </w:t>
      </w:r>
      <w:r w:rsidRPr="00394193">
        <w:rPr>
          <w:rFonts w:asciiTheme="majorHAnsi" w:eastAsia="Arial Unicode MS" w:hAnsiTheme="majorHAnsi"/>
          <w:sz w:val="20"/>
          <w:szCs w:val="20"/>
          <w:lang w:val="es-ES"/>
        </w:rPr>
        <w:t xml:space="preserve">Asimismo, </w:t>
      </w:r>
      <w:r w:rsidR="00394193" w:rsidRPr="00394193">
        <w:rPr>
          <w:rFonts w:asciiTheme="majorHAnsi" w:eastAsia="Arial Unicode MS" w:hAnsiTheme="majorHAnsi"/>
          <w:sz w:val="20"/>
          <w:szCs w:val="20"/>
          <w:lang w:val="es-ES"/>
        </w:rPr>
        <w:t>relati</w:t>
      </w:r>
      <w:r w:rsidR="00394193">
        <w:rPr>
          <w:rFonts w:asciiTheme="majorHAnsi" w:eastAsia="Arial Unicode MS" w:hAnsiTheme="majorHAnsi"/>
          <w:sz w:val="20"/>
          <w:szCs w:val="20"/>
          <w:lang w:val="es-ES"/>
        </w:rPr>
        <w:t>v</w:t>
      </w:r>
      <w:r w:rsidR="00394193" w:rsidRPr="00394193">
        <w:rPr>
          <w:rFonts w:asciiTheme="majorHAnsi" w:eastAsia="Arial Unicode MS" w:hAnsiTheme="majorHAnsi"/>
          <w:sz w:val="20"/>
          <w:szCs w:val="20"/>
          <w:lang w:val="es-ES"/>
        </w:rPr>
        <w:t xml:space="preserve">o al plazo de presentación de la petición, </w:t>
      </w:r>
      <w:r w:rsidRPr="00394193">
        <w:rPr>
          <w:rFonts w:asciiTheme="majorHAnsi" w:eastAsia="Arial Unicode MS" w:hAnsiTheme="majorHAnsi"/>
          <w:sz w:val="20"/>
          <w:szCs w:val="20"/>
          <w:lang w:val="es-ES"/>
        </w:rPr>
        <w:t>tomando en cuenta que los recursos fueron agotados mientras la petición se encontraba bajo estudio, la CIDH concluye que se cumple con el plazo previsto en el artículo 46.1.b) de la Convención Americana.</w:t>
      </w:r>
    </w:p>
    <w:p w14:paraId="708EC720" w14:textId="7C8605A7" w:rsidR="00C858CF" w:rsidRPr="00D55B21" w:rsidRDefault="00C858CF" w:rsidP="00C858CF">
      <w:pPr>
        <w:pStyle w:val="ListParagraph"/>
        <w:numPr>
          <w:ilvl w:val="0"/>
          <w:numId w:val="56"/>
        </w:numPr>
        <w:suppressAutoHyphens/>
        <w:spacing w:before="240" w:after="240"/>
        <w:ind w:left="0" w:firstLine="720"/>
        <w:jc w:val="both"/>
        <w:rPr>
          <w:sz w:val="20"/>
          <w:szCs w:val="20"/>
          <w:bdr w:val="none" w:sz="0" w:space="0" w:color="auto"/>
          <w:lang w:val="es-ES"/>
        </w:rPr>
      </w:pPr>
      <w:r w:rsidRPr="003122A3">
        <w:rPr>
          <w:sz w:val="20"/>
          <w:szCs w:val="20"/>
          <w:lang w:val="es-ES"/>
        </w:rPr>
        <w:t>Con relación al punto (ii), relativo a los alegados actos de tortura infligidos en contra de</w:t>
      </w:r>
      <w:r>
        <w:rPr>
          <w:sz w:val="20"/>
          <w:szCs w:val="20"/>
          <w:lang w:val="es-ES"/>
        </w:rPr>
        <w:t xml:space="preserve"> </w:t>
      </w:r>
      <w:r w:rsidRPr="003122A3">
        <w:rPr>
          <w:sz w:val="20"/>
          <w:szCs w:val="20"/>
          <w:lang w:val="es-ES"/>
        </w:rPr>
        <w:t>l</w:t>
      </w:r>
      <w:r>
        <w:rPr>
          <w:sz w:val="20"/>
          <w:szCs w:val="20"/>
          <w:lang w:val="es-ES"/>
        </w:rPr>
        <w:t>as</w:t>
      </w:r>
      <w:r w:rsidRPr="003122A3">
        <w:rPr>
          <w:sz w:val="20"/>
          <w:szCs w:val="20"/>
          <w:lang w:val="es-ES"/>
        </w:rPr>
        <w:t xml:space="preserve"> </w:t>
      </w:r>
      <w:r>
        <w:rPr>
          <w:sz w:val="20"/>
          <w:szCs w:val="20"/>
          <w:lang w:val="es-ES"/>
        </w:rPr>
        <w:t>presuntas víctimas</w:t>
      </w:r>
      <w:r w:rsidRPr="003122A3">
        <w:rPr>
          <w:sz w:val="20"/>
          <w:szCs w:val="20"/>
          <w:lang w:val="es-ES"/>
        </w:rPr>
        <w:t>, la CIDH recuerda que, frente a posibles delitos contra la integridad personal cometidos por agentes del Estado, l</w:t>
      </w:r>
      <w:r w:rsidRPr="003122A3">
        <w:rPr>
          <w:rFonts w:eastAsia="Times New Roman"/>
          <w:sz w:val="20"/>
          <w:szCs w:val="20"/>
          <w:bdr w:val="none" w:sz="0" w:space="0" w:color="auto"/>
          <w:lang w:val="es-ES"/>
        </w:rPr>
        <w:t>os recursos internos que deben tomarse en cuenta a los efectos de la admisibilidad de las peticiones son los relacionados con la investigación penal y sanción de los responsables</w:t>
      </w:r>
      <w:r w:rsidRPr="003122A3">
        <w:rPr>
          <w:rStyle w:val="FootnoteReference"/>
          <w:rFonts w:eastAsia="Times New Roman"/>
          <w:sz w:val="20"/>
          <w:szCs w:val="20"/>
          <w:bdr w:val="none" w:sz="0" w:space="0" w:color="auto"/>
          <w:lang w:val="es-ES"/>
        </w:rPr>
        <w:footnoteReference w:id="7"/>
      </w:r>
      <w:r w:rsidRPr="003122A3">
        <w:rPr>
          <w:rFonts w:eastAsia="Times New Roman"/>
          <w:sz w:val="20"/>
          <w:szCs w:val="20"/>
          <w:bdr w:val="none" w:sz="0" w:space="0" w:color="auto"/>
          <w:lang w:val="es-ES"/>
        </w:rPr>
        <w:t xml:space="preserve">. En ese sentido, </w:t>
      </w:r>
      <w:r w:rsidRPr="003122A3">
        <w:rPr>
          <w:rFonts w:asciiTheme="majorHAnsi" w:hAnsiTheme="majorHAnsi"/>
          <w:sz w:val="20"/>
          <w:szCs w:val="20"/>
          <w:lang w:val="es-ES"/>
        </w:rPr>
        <w:t xml:space="preserve">la CIDH ha sostenido reiteradamente que toda vez que el Estado tenga conocimiento de la comisión de un delito perseguible de oficio, </w:t>
      </w:r>
      <w:r>
        <w:rPr>
          <w:rFonts w:asciiTheme="majorHAnsi" w:hAnsiTheme="majorHAnsi"/>
          <w:sz w:val="20"/>
          <w:szCs w:val="20"/>
          <w:lang w:val="es-ES"/>
        </w:rPr>
        <w:t xml:space="preserve">este </w:t>
      </w:r>
      <w:r w:rsidRPr="003122A3">
        <w:rPr>
          <w:rFonts w:asciiTheme="majorHAnsi" w:hAnsiTheme="majorHAnsi"/>
          <w:sz w:val="20"/>
          <w:szCs w:val="20"/>
          <w:lang w:val="es-ES"/>
        </w:rPr>
        <w:t xml:space="preserve">tiene la obligación de iniciar o presentar una acción penal, pues esta constituye el medio adecuado para esclarecer los hechos, procesar a los responsables y </w:t>
      </w:r>
      <w:r w:rsidRPr="003122A3">
        <w:rPr>
          <w:rFonts w:asciiTheme="majorHAnsi" w:hAnsiTheme="majorHAnsi"/>
          <w:sz w:val="20"/>
          <w:szCs w:val="20"/>
          <w:bdr w:val="none" w:sz="0" w:space="0" w:color="auto" w:frame="1"/>
          <w:lang w:val="es-ES"/>
        </w:rPr>
        <w:t>determinar</w:t>
      </w:r>
      <w:r w:rsidRPr="003122A3">
        <w:rPr>
          <w:rFonts w:asciiTheme="majorHAnsi" w:hAnsiTheme="majorHAnsi"/>
          <w:sz w:val="20"/>
          <w:szCs w:val="20"/>
          <w:lang w:val="es-ES"/>
        </w:rPr>
        <w:t xml:space="preserve">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Pr="007C48A5">
        <w:rPr>
          <w:sz w:val="20"/>
          <w:szCs w:val="20"/>
          <w:vertAlign w:val="superscript"/>
          <w:lang w:val="es-ES"/>
        </w:rPr>
        <w:footnoteReference w:id="8"/>
      </w:r>
      <w:r w:rsidRPr="003122A3">
        <w:rPr>
          <w:rFonts w:asciiTheme="majorHAnsi" w:hAnsiTheme="majorHAnsi"/>
          <w:sz w:val="20"/>
          <w:szCs w:val="20"/>
          <w:lang w:val="es-ES"/>
        </w:rPr>
        <w:t>.</w:t>
      </w:r>
    </w:p>
    <w:p w14:paraId="46180805" w14:textId="18B27B30" w:rsidR="00D55B21" w:rsidRPr="00D55B21" w:rsidRDefault="00D55B21" w:rsidP="00D55B21">
      <w:pPr>
        <w:pStyle w:val="ListParagraph"/>
        <w:numPr>
          <w:ilvl w:val="0"/>
          <w:numId w:val="56"/>
        </w:numPr>
        <w:suppressAutoHyphens/>
        <w:spacing w:before="240" w:after="240"/>
        <w:ind w:left="0" w:firstLine="720"/>
        <w:jc w:val="both"/>
        <w:rPr>
          <w:sz w:val="20"/>
          <w:szCs w:val="20"/>
          <w:bdr w:val="none" w:sz="0" w:space="0" w:color="auto"/>
          <w:lang w:val="es-ES_tradnl"/>
        </w:rPr>
      </w:pPr>
      <w:r w:rsidRPr="003122A3">
        <w:rPr>
          <w:rFonts w:asciiTheme="majorHAnsi" w:hAnsiTheme="majorHAnsi"/>
          <w:sz w:val="20"/>
          <w:szCs w:val="20"/>
          <w:lang w:val="es-ES"/>
        </w:rPr>
        <w:t xml:space="preserve">En el presente caso, el peticionario ha </w:t>
      </w:r>
      <w:r>
        <w:rPr>
          <w:rFonts w:asciiTheme="majorHAnsi" w:hAnsiTheme="majorHAnsi"/>
          <w:sz w:val="20"/>
          <w:szCs w:val="20"/>
          <w:lang w:val="es-ES"/>
        </w:rPr>
        <w:t>señalado que</w:t>
      </w:r>
      <w:r w:rsidR="000C739F">
        <w:rPr>
          <w:rFonts w:asciiTheme="majorHAnsi" w:hAnsiTheme="majorHAnsi"/>
          <w:sz w:val="20"/>
          <w:szCs w:val="20"/>
          <w:lang w:val="es-ES"/>
        </w:rPr>
        <w:t xml:space="preserve">, </w:t>
      </w:r>
      <w:r>
        <w:rPr>
          <w:rFonts w:asciiTheme="majorHAnsi" w:eastAsia="MS Mincho" w:hAnsiTheme="majorHAnsi" w:cstheme="minorHAnsi"/>
          <w:color w:val="000000" w:themeColor="text1"/>
          <w:sz w:val="20"/>
          <w:szCs w:val="20"/>
          <w:lang w:val="es-ES"/>
        </w:rPr>
        <w:t>derivado de una recomendación emitida por la Comisión Nacional de Derechos Humanos,</w:t>
      </w:r>
      <w:r w:rsidR="008C417C">
        <w:rPr>
          <w:rFonts w:asciiTheme="majorHAnsi" w:eastAsia="MS Mincho" w:hAnsiTheme="majorHAnsi" w:cstheme="minorHAnsi"/>
          <w:color w:val="000000" w:themeColor="text1"/>
          <w:sz w:val="20"/>
          <w:szCs w:val="20"/>
          <w:lang w:val="es-ES"/>
        </w:rPr>
        <w:t xml:space="preserve"> dentro del expediente </w:t>
      </w:r>
      <w:r w:rsidR="008C417C" w:rsidRPr="008C417C">
        <w:rPr>
          <w:rFonts w:asciiTheme="majorHAnsi" w:eastAsia="MS Mincho" w:hAnsiTheme="majorHAnsi" w:cstheme="minorHAnsi"/>
          <w:color w:val="000000" w:themeColor="text1"/>
          <w:sz w:val="20"/>
          <w:szCs w:val="20"/>
          <w:lang w:val="es-ES"/>
        </w:rPr>
        <w:t>CNDH/2/2011/2506/Q</w:t>
      </w:r>
      <w:r w:rsidR="008C417C">
        <w:rPr>
          <w:rFonts w:asciiTheme="majorHAnsi" w:eastAsia="MS Mincho" w:hAnsiTheme="majorHAnsi" w:cstheme="minorHAnsi"/>
          <w:color w:val="000000" w:themeColor="text1"/>
          <w:sz w:val="20"/>
          <w:szCs w:val="20"/>
          <w:lang w:val="es-ES"/>
        </w:rPr>
        <w:t>,</w:t>
      </w:r>
      <w:r>
        <w:rPr>
          <w:rFonts w:asciiTheme="majorHAnsi" w:eastAsia="MS Mincho" w:hAnsiTheme="majorHAnsi" w:cstheme="minorHAnsi"/>
          <w:color w:val="000000" w:themeColor="text1"/>
          <w:sz w:val="20"/>
          <w:szCs w:val="20"/>
          <w:lang w:val="es-ES"/>
        </w:rPr>
        <w:t xml:space="preserve"> </w:t>
      </w:r>
      <w:r w:rsidRPr="00D55B21">
        <w:rPr>
          <w:rFonts w:asciiTheme="majorHAnsi" w:eastAsia="MS Mincho" w:hAnsiTheme="majorHAnsi" w:cstheme="minorHAnsi"/>
          <w:color w:val="000000" w:themeColor="text1"/>
          <w:sz w:val="20"/>
          <w:szCs w:val="20"/>
          <w:lang w:val="es-ES"/>
        </w:rPr>
        <w:t xml:space="preserve">el 15 de septiembre de 2014, la Procuraduría General de Justicia Militar inició la averiguación previa SC/75/2017-III, con motivo de las denuncias de actos de tortura cometidos en agravio de las presuntas víctimas. </w:t>
      </w:r>
      <w:r w:rsidR="009339E9">
        <w:rPr>
          <w:rFonts w:asciiTheme="majorHAnsi" w:eastAsia="MS Mincho" w:hAnsiTheme="majorHAnsi" w:cstheme="minorHAnsi"/>
          <w:color w:val="000000" w:themeColor="text1"/>
          <w:sz w:val="20"/>
          <w:szCs w:val="20"/>
          <w:lang w:val="es-ES"/>
        </w:rPr>
        <w:t>E</w:t>
      </w:r>
      <w:r w:rsidRPr="00D55B21">
        <w:rPr>
          <w:rFonts w:asciiTheme="majorHAnsi" w:eastAsia="MS Mincho" w:hAnsiTheme="majorHAnsi" w:cstheme="minorHAnsi"/>
          <w:color w:val="000000" w:themeColor="text1"/>
          <w:sz w:val="20"/>
          <w:szCs w:val="20"/>
          <w:lang w:val="es-ES"/>
        </w:rPr>
        <w:t>l 29 de marzo de 2018, la Fiscalía General de Justicia Militar ejerció acción penal en contra de un capitán y dos tenientes pertenecientes a la Policía Judicial Federal Militar. Posteriormente, el 3 de abril de 2018, se inició la causa penal 03/2018. Consecuentemente, mediante auto de 10 de septiembre de 2018, se negó librar la orden de aprehensión solicitada en contra de los presuntos responsables por falta de pruebas que acreditaran el cuerpo del ilícito. En contra de ello, el agente del Ministerio Público Militar interpuso un recurso de apelación, dentro del toca de apelación 146/2018</w:t>
      </w:r>
      <w:r w:rsidR="001E0E24">
        <w:rPr>
          <w:rFonts w:asciiTheme="majorHAnsi" w:eastAsia="MS Mincho" w:hAnsiTheme="majorHAnsi" w:cstheme="minorHAnsi"/>
          <w:color w:val="000000" w:themeColor="text1"/>
          <w:sz w:val="20"/>
          <w:szCs w:val="20"/>
          <w:lang w:val="es-ES"/>
        </w:rPr>
        <w:t xml:space="preserve">; no obstante, </w:t>
      </w:r>
      <w:r w:rsidR="00A307C6">
        <w:rPr>
          <w:rFonts w:asciiTheme="majorHAnsi" w:eastAsia="MS Mincho" w:hAnsiTheme="majorHAnsi" w:cstheme="minorHAnsi"/>
          <w:color w:val="000000" w:themeColor="text1"/>
          <w:sz w:val="20"/>
          <w:szCs w:val="20"/>
          <w:lang w:val="es-ES"/>
        </w:rPr>
        <w:t>el</w:t>
      </w:r>
      <w:r w:rsidR="001E0E24">
        <w:rPr>
          <w:rFonts w:asciiTheme="majorHAnsi" w:eastAsia="MS Mincho" w:hAnsiTheme="majorHAnsi" w:cstheme="minorHAnsi"/>
          <w:color w:val="000000" w:themeColor="text1"/>
          <w:sz w:val="20"/>
          <w:szCs w:val="20"/>
          <w:lang w:val="es-ES"/>
        </w:rPr>
        <w:t xml:space="preserve"> 17 de junio de 2019, se confirmó la </w:t>
      </w:r>
      <w:r w:rsidR="00A307C6">
        <w:rPr>
          <w:rFonts w:asciiTheme="majorHAnsi" w:eastAsia="MS Mincho" w:hAnsiTheme="majorHAnsi" w:cstheme="minorHAnsi"/>
          <w:color w:val="000000" w:themeColor="text1"/>
          <w:sz w:val="20"/>
          <w:szCs w:val="20"/>
          <w:lang w:val="es-ES"/>
        </w:rPr>
        <w:t>resolución</w:t>
      </w:r>
      <w:r w:rsidR="001E0E24">
        <w:rPr>
          <w:rFonts w:asciiTheme="majorHAnsi" w:eastAsia="MS Mincho" w:hAnsiTheme="majorHAnsi" w:cstheme="minorHAnsi"/>
          <w:color w:val="000000" w:themeColor="text1"/>
          <w:sz w:val="20"/>
          <w:szCs w:val="20"/>
          <w:lang w:val="es-ES"/>
        </w:rPr>
        <w:t xml:space="preserve"> apelada. </w:t>
      </w:r>
    </w:p>
    <w:p w14:paraId="12709890" w14:textId="2B4D2461" w:rsidR="00C67464" w:rsidRDefault="0046099C" w:rsidP="00D46AA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bidi="ar-YE"/>
        </w:rPr>
      </w:pPr>
      <w:r>
        <w:rPr>
          <w:sz w:val="20"/>
          <w:szCs w:val="20"/>
          <w:bdr w:val="none" w:sz="0" w:space="0" w:color="auto"/>
          <w:lang w:val="es-ES"/>
        </w:rPr>
        <w:t>En estrecha relación con lo anterior</w:t>
      </w:r>
      <w:r w:rsidR="001E0E24">
        <w:rPr>
          <w:sz w:val="20"/>
          <w:szCs w:val="20"/>
          <w:bdr w:val="none" w:sz="0" w:space="0" w:color="auto"/>
          <w:lang w:val="es-ES"/>
        </w:rPr>
        <w:t>,</w:t>
      </w:r>
      <w:r w:rsidRPr="00126D97">
        <w:rPr>
          <w:sz w:val="20"/>
          <w:szCs w:val="20"/>
          <w:lang w:val="es-ES_tradnl" w:bidi="ar-YE"/>
        </w:rPr>
        <w:t xml:space="preserve"> la Comisión ha señalado de forma reiterada que las jurisdicciones especiales </w:t>
      </w:r>
      <w:r w:rsidR="00C67464">
        <w:rPr>
          <w:sz w:val="20"/>
          <w:szCs w:val="20"/>
          <w:lang w:val="es-ES_tradnl" w:bidi="ar-YE"/>
        </w:rPr>
        <w:t>—</w:t>
      </w:r>
      <w:r w:rsidRPr="00126D97">
        <w:rPr>
          <w:sz w:val="20"/>
          <w:szCs w:val="20"/>
          <w:lang w:val="es-ES_tradnl" w:bidi="ar-YE"/>
        </w:rPr>
        <w:t>militar o policial</w:t>
      </w:r>
      <w:r w:rsidR="00C67464">
        <w:rPr>
          <w:sz w:val="20"/>
          <w:szCs w:val="20"/>
          <w:lang w:val="es-ES_tradnl" w:bidi="ar-YE"/>
        </w:rPr>
        <w:t>—</w:t>
      </w:r>
      <w:r w:rsidRPr="00126D97">
        <w:rPr>
          <w:sz w:val="20"/>
          <w:szCs w:val="20"/>
          <w:lang w:val="es-ES_tradnl" w:bidi="ar-YE"/>
        </w:rPr>
        <w:t xml:space="preserve"> no constituyen un foro apropiado y</w:t>
      </w:r>
      <w:r w:rsidR="00C67464">
        <w:rPr>
          <w:sz w:val="20"/>
          <w:szCs w:val="20"/>
          <w:lang w:val="es-ES_tradnl" w:bidi="ar-YE"/>
        </w:rPr>
        <w:t xml:space="preserve">; </w:t>
      </w:r>
      <w:r w:rsidRPr="00126D97">
        <w:rPr>
          <w:sz w:val="20"/>
          <w:szCs w:val="20"/>
          <w:lang w:val="es-ES_tradnl" w:bidi="ar-YE"/>
        </w:rPr>
        <w:t>por lo tanto</w:t>
      </w:r>
      <w:r w:rsidR="00C67464">
        <w:rPr>
          <w:sz w:val="20"/>
          <w:szCs w:val="20"/>
          <w:lang w:val="es-ES_tradnl" w:bidi="ar-YE"/>
        </w:rPr>
        <w:t>,</w:t>
      </w:r>
      <w:r w:rsidRPr="00126D97">
        <w:rPr>
          <w:sz w:val="20"/>
          <w:szCs w:val="20"/>
          <w:lang w:val="es-ES_tradnl" w:bidi="ar-YE"/>
        </w:rPr>
        <w:t xml:space="preserve"> no brindan un recurso adecuado para investigar, juzgar y sancionar violaciones a los derechos humanos consagrados en la Convención Americana, presuntamente cometidas por miembros de la Fuerza Pública o con su colaboración o aquiescencia</w:t>
      </w:r>
      <w:r w:rsidR="00C67464">
        <w:rPr>
          <w:rStyle w:val="FootnoteReference"/>
          <w:sz w:val="20"/>
          <w:szCs w:val="20"/>
          <w:lang w:val="es-ES"/>
        </w:rPr>
        <w:footnoteReference w:id="9"/>
      </w:r>
      <w:r w:rsidRPr="00126D97">
        <w:rPr>
          <w:sz w:val="20"/>
          <w:szCs w:val="20"/>
          <w:lang w:val="es-ES_tradnl" w:bidi="ar-YE"/>
        </w:rPr>
        <w:t>.</w:t>
      </w:r>
      <w:r w:rsidR="00D46AAD">
        <w:rPr>
          <w:sz w:val="20"/>
          <w:szCs w:val="20"/>
          <w:lang w:val="es-ES_tradnl" w:bidi="ar-YE"/>
        </w:rPr>
        <w:t xml:space="preserve"> </w:t>
      </w:r>
      <w:r w:rsidR="00C67464" w:rsidRPr="00D46AAD">
        <w:rPr>
          <w:sz w:val="20"/>
          <w:szCs w:val="20"/>
          <w:lang w:val="es-ES"/>
        </w:rPr>
        <w:t xml:space="preserve">En el presente caso, la Comisión observa que </w:t>
      </w:r>
      <w:r w:rsidR="00D46AAD" w:rsidRPr="00D46AAD">
        <w:rPr>
          <w:sz w:val="20"/>
          <w:szCs w:val="20"/>
          <w:lang w:val="es-ES"/>
        </w:rPr>
        <w:t xml:space="preserve">el caso fue </w:t>
      </w:r>
      <w:r w:rsidR="00C67464" w:rsidRPr="00D46AAD">
        <w:rPr>
          <w:sz w:val="20"/>
          <w:szCs w:val="20"/>
          <w:lang w:val="es-ES"/>
        </w:rPr>
        <w:t xml:space="preserve">asumido por la jurisdicción militar </w:t>
      </w:r>
      <w:r w:rsidR="00D46AAD">
        <w:rPr>
          <w:sz w:val="20"/>
          <w:szCs w:val="20"/>
          <w:lang w:val="es-ES"/>
        </w:rPr>
        <w:t>en</w:t>
      </w:r>
      <w:r w:rsidR="00C67464" w:rsidRPr="00D46AAD">
        <w:rPr>
          <w:sz w:val="20"/>
          <w:szCs w:val="20"/>
          <w:lang w:val="es-ES"/>
        </w:rPr>
        <w:t xml:space="preserve"> 2014 y </w:t>
      </w:r>
      <w:r w:rsidR="00D46AAD">
        <w:rPr>
          <w:sz w:val="20"/>
          <w:szCs w:val="20"/>
          <w:lang w:val="es-ES"/>
        </w:rPr>
        <w:t>en</w:t>
      </w:r>
      <w:r w:rsidR="00C67464" w:rsidRPr="00D46AAD">
        <w:rPr>
          <w:sz w:val="20"/>
          <w:szCs w:val="20"/>
          <w:lang w:val="es-ES"/>
        </w:rPr>
        <w:t xml:space="preserve"> 201</w:t>
      </w:r>
      <w:r w:rsidR="005108C2">
        <w:rPr>
          <w:sz w:val="20"/>
          <w:szCs w:val="20"/>
          <w:lang w:val="es-ES"/>
        </w:rPr>
        <w:t>9,</w:t>
      </w:r>
      <w:r w:rsidR="00C67464" w:rsidRPr="00D46AAD">
        <w:rPr>
          <w:sz w:val="20"/>
          <w:szCs w:val="20"/>
          <w:lang w:val="es-ES"/>
        </w:rPr>
        <w:t xml:space="preserve"> concluyó que no existían elementos para determinar la responsabilidad de los presuntos responsables. </w:t>
      </w:r>
      <w:r w:rsidR="00D46AAD" w:rsidRPr="00D46AAD">
        <w:rPr>
          <w:sz w:val="20"/>
          <w:szCs w:val="20"/>
          <w:lang w:val="es-ES"/>
        </w:rPr>
        <w:t xml:space="preserve">En </w:t>
      </w:r>
      <w:r w:rsidR="00D46AAD">
        <w:rPr>
          <w:sz w:val="20"/>
          <w:szCs w:val="20"/>
          <w:lang w:val="es-ES"/>
        </w:rPr>
        <w:t>esa línea</w:t>
      </w:r>
      <w:r w:rsidR="00C67464" w:rsidRPr="00D46AAD">
        <w:rPr>
          <w:sz w:val="20"/>
          <w:szCs w:val="20"/>
          <w:lang w:val="es-ES"/>
        </w:rPr>
        <w:t xml:space="preserve">, </w:t>
      </w:r>
      <w:r w:rsidR="00D46AAD">
        <w:rPr>
          <w:sz w:val="20"/>
          <w:szCs w:val="20"/>
          <w:lang w:val="es-ES"/>
        </w:rPr>
        <w:t>considerando la falta de efectividad de las investigaciones en la jurisdicción militar, en este extremo de la petición</w:t>
      </w:r>
      <w:r w:rsidR="003802AE">
        <w:rPr>
          <w:sz w:val="20"/>
          <w:szCs w:val="20"/>
          <w:lang w:val="es-ES"/>
        </w:rPr>
        <w:t>, la CIDH considera aplicables</w:t>
      </w:r>
      <w:r w:rsidR="00C67464" w:rsidRPr="00D46AAD">
        <w:rPr>
          <w:sz w:val="20"/>
          <w:szCs w:val="20"/>
          <w:lang w:val="es-ES"/>
        </w:rPr>
        <w:t xml:space="preserve"> las excepciones establecidas en el </w:t>
      </w:r>
      <w:r w:rsidR="00D013CF">
        <w:rPr>
          <w:sz w:val="20"/>
          <w:szCs w:val="20"/>
          <w:lang w:val="es-ES"/>
        </w:rPr>
        <w:t xml:space="preserve">artículo </w:t>
      </w:r>
      <w:r w:rsidR="00C67464" w:rsidRPr="00D46AAD">
        <w:rPr>
          <w:sz w:val="20"/>
          <w:szCs w:val="20"/>
          <w:lang w:val="es-ES_tradnl" w:bidi="ar-YE"/>
        </w:rPr>
        <w:t xml:space="preserve">46.2.b) y c) de la Convención Americana. </w:t>
      </w:r>
    </w:p>
    <w:p w14:paraId="60878F75" w14:textId="26968D13" w:rsidR="007E6AA1" w:rsidRDefault="00150EAA" w:rsidP="007E6AA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Ahora</w:t>
      </w:r>
      <w:r w:rsidR="007E6AA1" w:rsidRPr="008F0B04">
        <w:rPr>
          <w:rFonts w:asciiTheme="majorHAnsi" w:hAnsiTheme="majorHAnsi"/>
          <w:sz w:val="20"/>
          <w:szCs w:val="20"/>
          <w:lang w:val="es-ES_tradnl"/>
        </w:rPr>
        <w:t>,</w:t>
      </w:r>
      <w:r>
        <w:rPr>
          <w:rFonts w:asciiTheme="majorHAnsi" w:hAnsiTheme="majorHAnsi"/>
          <w:sz w:val="20"/>
          <w:szCs w:val="20"/>
          <w:lang w:val="es-ES_tradnl"/>
        </w:rPr>
        <w:t xml:space="preserve"> respecto al plazo de presentación de la petición,</w:t>
      </w:r>
      <w:r w:rsidR="007E6AA1" w:rsidRPr="008F0B04">
        <w:rPr>
          <w:rFonts w:asciiTheme="majorHAnsi" w:hAnsiTheme="majorHAnsi"/>
          <w:sz w:val="20"/>
          <w:szCs w:val="20"/>
          <w:lang w:val="es-ES_tradnl"/>
        </w:rPr>
        <w:t xml:space="preserve"> teniendo en cuenta que la</w:t>
      </w:r>
      <w:r w:rsidR="007E6AA1">
        <w:rPr>
          <w:rFonts w:asciiTheme="majorHAnsi" w:hAnsiTheme="majorHAnsi"/>
          <w:sz w:val="20"/>
          <w:szCs w:val="20"/>
          <w:lang w:val="es-ES_tradnl"/>
        </w:rPr>
        <w:t>s</w:t>
      </w:r>
      <w:r w:rsidR="007E6AA1" w:rsidRPr="008F0B04">
        <w:rPr>
          <w:rFonts w:asciiTheme="majorHAnsi" w:hAnsiTheme="majorHAnsi"/>
          <w:sz w:val="20"/>
          <w:szCs w:val="20"/>
          <w:lang w:val="es-ES_tradnl"/>
        </w:rPr>
        <w:t xml:space="preserve"> </w:t>
      </w:r>
      <w:r w:rsidR="007E6AA1">
        <w:rPr>
          <w:rFonts w:asciiTheme="majorHAnsi" w:hAnsiTheme="majorHAnsi"/>
          <w:sz w:val="20"/>
          <w:szCs w:val="20"/>
          <w:lang w:val="es-ES_tradnl"/>
        </w:rPr>
        <w:t>investigaciones realizadas en la jurisdicción militar comenzaron en 2014</w:t>
      </w:r>
      <w:r w:rsidR="007E6AA1" w:rsidRPr="007E6AA1">
        <w:rPr>
          <w:rFonts w:asciiTheme="majorHAnsi" w:hAnsiTheme="majorHAnsi"/>
          <w:sz w:val="20"/>
          <w:szCs w:val="20"/>
          <w:lang w:val="es-ES_tradnl"/>
        </w:rPr>
        <w:t xml:space="preserve">; que la petición fue presentada ante la Secretaría Ejecutiva el </w:t>
      </w:r>
      <w:r w:rsidR="007E6AA1">
        <w:rPr>
          <w:rFonts w:asciiTheme="majorHAnsi" w:hAnsiTheme="majorHAnsi"/>
          <w:sz w:val="20"/>
          <w:szCs w:val="20"/>
          <w:lang w:val="es-ES_tradnl"/>
        </w:rPr>
        <w:t>7</w:t>
      </w:r>
      <w:r w:rsidR="007E6AA1" w:rsidRPr="007E6AA1">
        <w:rPr>
          <w:rFonts w:asciiTheme="majorHAnsi" w:hAnsiTheme="majorHAnsi"/>
          <w:sz w:val="20"/>
          <w:szCs w:val="20"/>
          <w:lang w:val="es-ES_tradnl"/>
        </w:rPr>
        <w:t xml:space="preserve"> de </w:t>
      </w:r>
      <w:r w:rsidR="007E6AA1">
        <w:rPr>
          <w:rFonts w:asciiTheme="majorHAnsi" w:hAnsiTheme="majorHAnsi"/>
          <w:sz w:val="20"/>
          <w:szCs w:val="20"/>
          <w:lang w:val="es-ES_tradnl"/>
        </w:rPr>
        <w:t>octubre</w:t>
      </w:r>
      <w:r w:rsidR="007E6AA1" w:rsidRPr="007E6AA1">
        <w:rPr>
          <w:rFonts w:asciiTheme="majorHAnsi" w:hAnsiTheme="majorHAnsi"/>
          <w:sz w:val="20"/>
          <w:szCs w:val="20"/>
          <w:lang w:val="es-ES_tradnl"/>
        </w:rPr>
        <w:t xml:space="preserve"> de 201</w:t>
      </w:r>
      <w:r w:rsidR="007E6AA1">
        <w:rPr>
          <w:rFonts w:asciiTheme="majorHAnsi" w:hAnsiTheme="majorHAnsi"/>
          <w:sz w:val="20"/>
          <w:szCs w:val="20"/>
          <w:lang w:val="es-ES_tradnl"/>
        </w:rPr>
        <w:t>3</w:t>
      </w:r>
      <w:r w:rsidR="007E6AA1" w:rsidRPr="007E6AA1">
        <w:rPr>
          <w:rFonts w:asciiTheme="majorHAnsi" w:hAnsiTheme="majorHAnsi"/>
          <w:sz w:val="20"/>
          <w:szCs w:val="20"/>
          <w:lang w:val="es-ES_tradnl"/>
        </w:rPr>
        <w:t xml:space="preserve">; y que los agravios que en ella se denuncian se han extendido hasta la fecha del presente, la CIDH considera que la petición fue presentada dentro de un término razonable a </w:t>
      </w:r>
      <w:r w:rsidR="007E6AA1" w:rsidRPr="007E6AA1">
        <w:rPr>
          <w:rFonts w:asciiTheme="majorHAnsi" w:hAnsiTheme="majorHAnsi"/>
          <w:sz w:val="20"/>
          <w:szCs w:val="20"/>
          <w:lang w:val="es-ES_tradnl"/>
        </w:rPr>
        <w:lastRenderedPageBreak/>
        <w:t xml:space="preserve">la luz de las circunstancias específicas del caso, en los términos del </w:t>
      </w:r>
      <w:r w:rsidR="0071490E">
        <w:rPr>
          <w:rFonts w:asciiTheme="majorHAnsi" w:hAnsiTheme="majorHAnsi"/>
          <w:sz w:val="20"/>
          <w:szCs w:val="20"/>
          <w:lang w:val="es-ES_tradnl"/>
        </w:rPr>
        <w:t>a</w:t>
      </w:r>
      <w:r w:rsidR="007E6AA1" w:rsidRPr="007E6AA1">
        <w:rPr>
          <w:rFonts w:asciiTheme="majorHAnsi" w:hAnsiTheme="majorHAnsi"/>
          <w:sz w:val="20"/>
          <w:szCs w:val="20"/>
          <w:lang w:val="es-ES_tradnl"/>
        </w:rPr>
        <w:t>rtículo 32.2 del Reglamento de la Comisión Interamericana.</w:t>
      </w:r>
    </w:p>
    <w:p w14:paraId="40B44D41" w14:textId="05D34BE6" w:rsidR="002F2AB7" w:rsidRPr="002F2AB7" w:rsidRDefault="002F2AB7" w:rsidP="002F2AB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2F2AB7">
        <w:rPr>
          <w:rFonts w:asciiTheme="majorHAnsi" w:hAnsiTheme="majorHAnsi"/>
          <w:sz w:val="20"/>
          <w:szCs w:val="20"/>
          <w:lang w:val="es-ES"/>
        </w:rPr>
        <w:t xml:space="preserve">El Estado, a su vez, ha indicado que la presente petición no cumple con el requisito de agotamiento de los recursos internos en ambos extremos de la petición, debido a que al momento de su presentación aún seguían en trámite el juicio de amparo directo 232/2018; y el recurso de apelación </w:t>
      </w:r>
      <w:r w:rsidRPr="002F2AB7">
        <w:rPr>
          <w:rFonts w:asciiTheme="majorHAnsi" w:eastAsia="MS Mincho" w:hAnsiTheme="majorHAnsi" w:cstheme="minorHAnsi"/>
          <w:color w:val="000000" w:themeColor="text1"/>
          <w:sz w:val="20"/>
          <w:szCs w:val="20"/>
          <w:lang w:val="es-ES"/>
        </w:rPr>
        <w:t>146/2018.</w:t>
      </w:r>
      <w:r w:rsidRPr="002F2AB7">
        <w:rPr>
          <w:bCs/>
          <w:sz w:val="20"/>
          <w:szCs w:val="20"/>
          <w:lang w:val="es-UY"/>
        </w:rPr>
        <w:t xml:space="preserve"> </w:t>
      </w:r>
      <w:r w:rsidR="00400158">
        <w:rPr>
          <w:bCs/>
          <w:sz w:val="20"/>
          <w:szCs w:val="20"/>
          <w:lang w:val="es-UY"/>
        </w:rPr>
        <w:t>L</w:t>
      </w:r>
      <w:r w:rsidRPr="002F2AB7">
        <w:rPr>
          <w:bCs/>
          <w:sz w:val="20"/>
          <w:szCs w:val="20"/>
          <w:lang w:val="es-UY"/>
        </w:rPr>
        <w:t>a Comisión recuerda que el</w:t>
      </w:r>
      <w:r w:rsidRPr="002F2AB7">
        <w:rPr>
          <w:sz w:val="20"/>
          <w:szCs w:val="20"/>
          <w:lang w:val="es-UY"/>
        </w:rPr>
        <w:t xml:space="preserve">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Pr="002F2AB7">
        <w:rPr>
          <w:rStyle w:val="FootnoteReference"/>
          <w:sz w:val="20"/>
          <w:szCs w:val="20"/>
          <w:lang w:val="es-UY"/>
        </w:rPr>
        <w:footnoteReference w:id="10"/>
      </w:r>
      <w:r w:rsidRPr="002F2AB7">
        <w:rPr>
          <w:sz w:val="20"/>
          <w:szCs w:val="20"/>
          <w:lang w:val="es-UY"/>
        </w:rPr>
        <w:t xml:space="preserve">. En este sentido, </w:t>
      </w:r>
      <w:r w:rsidRPr="002F2AB7">
        <w:rPr>
          <w:sz w:val="20"/>
          <w:szCs w:val="20"/>
          <w:lang w:val="es-ES"/>
        </w:rPr>
        <w:t>la CIDH ha sido consistente en señalar que “</w:t>
      </w:r>
      <w:r w:rsidRPr="002F2AB7">
        <w:rPr>
          <w:i/>
          <w:iCs/>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2F2AB7">
        <w:rPr>
          <w:sz w:val="20"/>
          <w:szCs w:val="20"/>
          <w:lang w:val="es-ES"/>
        </w:rPr>
        <w:t>”</w:t>
      </w:r>
      <w:r w:rsidRPr="002F2AB7">
        <w:rPr>
          <w:rStyle w:val="FootnoteReference"/>
          <w:sz w:val="20"/>
          <w:szCs w:val="20"/>
          <w:lang w:val="es-MX"/>
        </w:rPr>
        <w:footnoteReference w:id="11"/>
      </w:r>
      <w:r w:rsidRPr="002F2AB7">
        <w:rPr>
          <w:sz w:val="20"/>
          <w:szCs w:val="20"/>
          <w:lang w:val="es-ES"/>
        </w:rPr>
        <w:t>.</w:t>
      </w:r>
    </w:p>
    <w:p w14:paraId="1E0C7F97" w14:textId="60B4699A" w:rsidR="007E6AA1" w:rsidRPr="00D46AAD" w:rsidRDefault="007E6AA1" w:rsidP="00D46AA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bidi="ar-YE"/>
        </w:rPr>
      </w:pPr>
      <w:r>
        <w:rPr>
          <w:sz w:val="20"/>
          <w:szCs w:val="20"/>
          <w:lang w:val="es-ES_tradnl" w:bidi="ar-YE"/>
        </w:rPr>
        <w:t xml:space="preserve">Por último, </w:t>
      </w:r>
      <w:r w:rsidRPr="00DF6235">
        <w:rPr>
          <w:rFonts w:asciiTheme="majorHAnsi" w:hAnsiTheme="majorHAnsi"/>
          <w:sz w:val="20"/>
          <w:szCs w:val="20"/>
          <w:lang w:val="es-ES_tradnl"/>
        </w:rPr>
        <w:t>la Comisión recuerda que la regla del previo agotamiento de los recursos internos no debe conducir a que la actuación internacional en auxilio de las víctimas se detenga o se demore hasta la inutilidad</w:t>
      </w:r>
      <w:r w:rsidRPr="00DF6235">
        <w:rPr>
          <w:rStyle w:val="FootnoteReference"/>
          <w:rFonts w:asciiTheme="majorHAnsi" w:hAnsiTheme="majorHAnsi"/>
          <w:sz w:val="20"/>
          <w:szCs w:val="20"/>
        </w:rPr>
        <w:footnoteReference w:id="12"/>
      </w:r>
      <w:r w:rsidRPr="00DF6235">
        <w:rPr>
          <w:rFonts w:asciiTheme="majorHAnsi" w:hAnsiTheme="majorHAnsi"/>
          <w:sz w:val="20"/>
          <w:szCs w:val="20"/>
          <w:lang w:val="es-ES_tradnl"/>
        </w:rPr>
        <w:t>. En este punto es importante recordar que la invocación de las excepciones a la regla de agotamiento de los recursos internos previstas en el artículo 46.2 de la Convención Americana se encuentra estrechamente ligadas a la determinación de posibles violaciones a ciertos derechos en ella consagrados, tales como las garantías de acceso a la justicia y el derecho a la protección judicial efectiva</w:t>
      </w:r>
      <w:r w:rsidRPr="00DF6235">
        <w:rPr>
          <w:rStyle w:val="FootnoteReference"/>
          <w:rFonts w:asciiTheme="majorHAnsi" w:hAnsiTheme="majorHAnsi"/>
          <w:sz w:val="20"/>
          <w:szCs w:val="20"/>
        </w:rPr>
        <w:footnoteReference w:id="13"/>
      </w:r>
      <w:r w:rsidRPr="00DF6235">
        <w:rPr>
          <w:rFonts w:asciiTheme="majorHAnsi" w:hAnsiTheme="majorHAnsi"/>
          <w:sz w:val="20"/>
          <w:szCs w:val="20"/>
          <w:lang w:val="es-ES_tradnl"/>
        </w:rPr>
        <w:t xml:space="preserve">. Sin embargo, el artículo 46.2, por su naturaleza y objeto, es una norma con contenido autónomo </w:t>
      </w:r>
      <w:r w:rsidRPr="00DF6235">
        <w:rPr>
          <w:rFonts w:asciiTheme="majorHAnsi" w:hAnsiTheme="majorHAnsi"/>
          <w:i/>
          <w:iCs/>
          <w:sz w:val="20"/>
          <w:szCs w:val="20"/>
          <w:lang w:val="es-ES_tradnl"/>
        </w:rPr>
        <w:t>vis à vis</w:t>
      </w:r>
      <w:r w:rsidRPr="00DF6235">
        <w:rPr>
          <w:rFonts w:asciiTheme="majorHAnsi" w:hAnsiTheme="majorHAnsi"/>
          <w:sz w:val="20"/>
          <w:szCs w:val="20"/>
          <w:lang w:val="es-ES_tradnl"/>
        </w:rPr>
        <w:t xml:space="preserv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w:t>
      </w:r>
      <w:r w:rsidRPr="008F0B04">
        <w:rPr>
          <w:rFonts w:asciiTheme="majorHAnsi" w:hAnsiTheme="majorHAnsi"/>
          <w:sz w:val="20"/>
          <w:szCs w:val="20"/>
          <w:lang w:val="es-ES_tradnl"/>
        </w:rPr>
        <w:t xml:space="preserve"> de aqu</w:t>
      </w:r>
      <w:r w:rsidR="00833C1F">
        <w:rPr>
          <w:rFonts w:asciiTheme="majorHAnsi" w:hAnsiTheme="majorHAnsi"/>
          <w:sz w:val="20"/>
          <w:szCs w:val="20"/>
          <w:lang w:val="es-ES_tradnl"/>
        </w:rPr>
        <w:t>e</w:t>
      </w:r>
      <w:r w:rsidRPr="008F0B04">
        <w:rPr>
          <w:rFonts w:asciiTheme="majorHAnsi" w:hAnsiTheme="majorHAnsi"/>
          <w:sz w:val="20"/>
          <w:szCs w:val="20"/>
          <w:lang w:val="es-ES_tradnl"/>
        </w:rPr>
        <w:t>l utilizado para determinar la posible violación de los artículos 8 y 25 de la Convención. Esta determinación constituye un análisis primario, que no implica prejuzgar sobre el fondo del asunto</w:t>
      </w:r>
      <w:r w:rsidRPr="008F0B04">
        <w:rPr>
          <w:rStyle w:val="FootnoteReference"/>
          <w:rFonts w:asciiTheme="majorHAnsi" w:hAnsiTheme="majorHAnsi"/>
          <w:sz w:val="20"/>
          <w:szCs w:val="20"/>
        </w:rPr>
        <w:footnoteReference w:id="14"/>
      </w:r>
      <w:r w:rsidRPr="008F0B04">
        <w:rPr>
          <w:rFonts w:asciiTheme="majorHAnsi" w:hAnsiTheme="majorHAnsi"/>
          <w:sz w:val="20"/>
          <w:szCs w:val="20"/>
          <w:lang w:val="es-ES_tradnl"/>
        </w:rPr>
        <w:t>.</w:t>
      </w:r>
    </w:p>
    <w:bookmarkEnd w:id="2"/>
    <w:p w14:paraId="6E1E908E" w14:textId="78552CAC" w:rsidR="00325097" w:rsidRPr="009C00FB"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9C00FB">
        <w:rPr>
          <w:rFonts w:asciiTheme="majorHAnsi" w:hAnsiTheme="majorHAnsi"/>
          <w:b/>
          <w:bCs/>
          <w:sz w:val="20"/>
          <w:szCs w:val="20"/>
          <w:lang w:val="es-ES"/>
        </w:rPr>
        <w:t>VII.</w:t>
      </w:r>
      <w:r w:rsidRPr="009C00FB">
        <w:rPr>
          <w:rFonts w:asciiTheme="majorHAnsi" w:hAnsiTheme="majorHAnsi"/>
          <w:b/>
          <w:bCs/>
          <w:sz w:val="20"/>
          <w:szCs w:val="20"/>
          <w:lang w:val="es-ES"/>
        </w:rPr>
        <w:tab/>
      </w:r>
      <w:r w:rsidR="004A6A54" w:rsidRPr="009C00FB">
        <w:rPr>
          <w:rFonts w:asciiTheme="majorHAnsi" w:hAnsiTheme="majorHAnsi"/>
          <w:b/>
          <w:bCs/>
          <w:sz w:val="20"/>
          <w:szCs w:val="20"/>
          <w:lang w:val="es-ES"/>
        </w:rPr>
        <w:t xml:space="preserve">ANÁLISIS DE </w:t>
      </w:r>
      <w:r w:rsidR="00C21FEF" w:rsidRPr="009C00FB">
        <w:rPr>
          <w:rFonts w:asciiTheme="majorHAnsi" w:hAnsiTheme="majorHAnsi"/>
          <w:b/>
          <w:bCs/>
          <w:sz w:val="20"/>
          <w:szCs w:val="20"/>
          <w:lang w:val="es-ES"/>
        </w:rPr>
        <w:t>CARACTERIZACIÓN DE</w:t>
      </w:r>
      <w:r w:rsidR="00EA6917" w:rsidRPr="009C00FB">
        <w:rPr>
          <w:rFonts w:asciiTheme="majorHAnsi" w:hAnsiTheme="majorHAnsi"/>
          <w:b/>
          <w:bCs/>
          <w:sz w:val="20"/>
          <w:szCs w:val="20"/>
          <w:lang w:val="es-ES"/>
        </w:rPr>
        <w:t>L POSICIONAMIENTO DE LAS PARTES</w:t>
      </w:r>
    </w:p>
    <w:p w14:paraId="6EE03CC5" w14:textId="16135ECB" w:rsidR="007E6AA1" w:rsidRPr="00515F48" w:rsidRDefault="007E6AA1" w:rsidP="007E6AA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915C9D">
        <w:rPr>
          <w:sz w:val="20"/>
          <w:szCs w:val="20"/>
          <w:lang w:val="es-ES_tradnl"/>
        </w:rPr>
        <w:t xml:space="preserve">Como se ha establecido en las secciones precedentes, </w:t>
      </w:r>
      <w:r>
        <w:rPr>
          <w:sz w:val="20"/>
          <w:szCs w:val="20"/>
          <w:lang w:val="es-ES_tradnl"/>
        </w:rPr>
        <w:t>el objeto de la</w:t>
      </w:r>
      <w:r w:rsidRPr="00915C9D">
        <w:rPr>
          <w:sz w:val="20"/>
          <w:szCs w:val="20"/>
          <w:lang w:val="es-ES_tradnl"/>
        </w:rPr>
        <w:t xml:space="preserve"> </w:t>
      </w:r>
      <w:r>
        <w:rPr>
          <w:sz w:val="20"/>
          <w:szCs w:val="20"/>
          <w:lang w:val="es-ES_tradnl"/>
        </w:rPr>
        <w:t xml:space="preserve">presente </w:t>
      </w:r>
      <w:r w:rsidRPr="00915C9D">
        <w:rPr>
          <w:sz w:val="20"/>
          <w:szCs w:val="20"/>
          <w:lang w:val="es-ES_tradnl"/>
        </w:rPr>
        <w:t xml:space="preserve">petición </w:t>
      </w:r>
      <w:r>
        <w:rPr>
          <w:sz w:val="20"/>
          <w:szCs w:val="20"/>
          <w:lang w:val="es-ES_tradnl"/>
        </w:rPr>
        <w:t>consiste en</w:t>
      </w:r>
      <w:r w:rsidRPr="00915C9D">
        <w:rPr>
          <w:sz w:val="20"/>
          <w:szCs w:val="20"/>
          <w:lang w:val="es-ES_tradnl"/>
        </w:rPr>
        <w:t xml:space="preserve"> la detención arbitraria, </w:t>
      </w:r>
      <w:r w:rsidR="00F1404A">
        <w:rPr>
          <w:sz w:val="20"/>
          <w:szCs w:val="20"/>
          <w:lang w:val="es-ES_tradnl"/>
        </w:rPr>
        <w:t xml:space="preserve">arraigo, </w:t>
      </w:r>
      <w:r w:rsidRPr="00915C9D">
        <w:rPr>
          <w:sz w:val="20"/>
          <w:szCs w:val="20"/>
          <w:lang w:val="es-ES_tradnl"/>
        </w:rPr>
        <w:t xml:space="preserve">actos de tortura y </w:t>
      </w:r>
      <w:r>
        <w:rPr>
          <w:sz w:val="20"/>
          <w:szCs w:val="20"/>
          <w:lang w:val="es-ES_tradnl"/>
        </w:rPr>
        <w:t xml:space="preserve">las </w:t>
      </w:r>
      <w:r w:rsidRPr="00915C9D">
        <w:rPr>
          <w:sz w:val="20"/>
          <w:szCs w:val="20"/>
          <w:lang w:val="es-ES_tradnl"/>
        </w:rPr>
        <w:t xml:space="preserve">violaciones al debido proceso </w:t>
      </w:r>
      <w:r>
        <w:rPr>
          <w:sz w:val="20"/>
          <w:szCs w:val="20"/>
          <w:lang w:val="es-ES_tradnl"/>
        </w:rPr>
        <w:t xml:space="preserve">cometidos </w:t>
      </w:r>
      <w:r w:rsidRPr="00915C9D">
        <w:rPr>
          <w:sz w:val="20"/>
          <w:szCs w:val="20"/>
          <w:lang w:val="es-ES_tradnl"/>
        </w:rPr>
        <w:t>en contra de</w:t>
      </w:r>
      <w:r>
        <w:rPr>
          <w:sz w:val="20"/>
          <w:szCs w:val="20"/>
          <w:lang w:val="es-ES_tradnl"/>
        </w:rPr>
        <w:t xml:space="preserve"> </w:t>
      </w:r>
      <w:r w:rsidRPr="00915C9D">
        <w:rPr>
          <w:sz w:val="20"/>
          <w:szCs w:val="20"/>
          <w:lang w:val="es-ES_tradnl"/>
        </w:rPr>
        <w:t>l</w:t>
      </w:r>
      <w:r>
        <w:rPr>
          <w:sz w:val="20"/>
          <w:szCs w:val="20"/>
          <w:lang w:val="es-ES_tradnl"/>
        </w:rPr>
        <w:t>os</w:t>
      </w:r>
      <w:r w:rsidRPr="00915C9D">
        <w:rPr>
          <w:sz w:val="20"/>
          <w:szCs w:val="20"/>
          <w:lang w:val="es-ES_tradnl"/>
        </w:rPr>
        <w:t xml:space="preserve"> señor</w:t>
      </w:r>
      <w:r>
        <w:rPr>
          <w:sz w:val="20"/>
          <w:szCs w:val="20"/>
          <w:lang w:val="es-ES_tradnl"/>
        </w:rPr>
        <w:t>es Sócrates López Escobar y Francisco Javier Soto Núñez</w:t>
      </w:r>
      <w:r w:rsidRPr="00915C9D">
        <w:rPr>
          <w:sz w:val="20"/>
          <w:szCs w:val="20"/>
          <w:lang w:val="es-ES_tradnl"/>
        </w:rPr>
        <w:t>.</w:t>
      </w:r>
    </w:p>
    <w:p w14:paraId="564370E2" w14:textId="2B4BFF37" w:rsidR="007E6AA1" w:rsidRPr="00121AE5" w:rsidRDefault="001F1D48" w:rsidP="007E6AA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cs="Calibri"/>
          <w:sz w:val="20"/>
          <w:szCs w:val="20"/>
          <w:lang w:val="es-ES"/>
        </w:rPr>
        <w:t>Por una parte</w:t>
      </w:r>
      <w:r w:rsidR="007E6AA1" w:rsidRPr="00785056">
        <w:rPr>
          <w:rFonts w:asciiTheme="majorHAnsi" w:hAnsiTheme="majorHAnsi" w:cs="Calibri"/>
          <w:sz w:val="20"/>
          <w:szCs w:val="20"/>
          <w:lang w:val="es-ES"/>
        </w:rPr>
        <w:t>, respecto a</w:t>
      </w:r>
      <w:r w:rsidR="007E6AA1">
        <w:rPr>
          <w:rFonts w:asciiTheme="majorHAnsi" w:hAnsiTheme="majorHAnsi" w:cs="Calibri"/>
          <w:sz w:val="20"/>
          <w:szCs w:val="20"/>
          <w:lang w:val="es-ES"/>
        </w:rPr>
        <w:t>l arraigo al que fue</w:t>
      </w:r>
      <w:r w:rsidR="00E1713E">
        <w:rPr>
          <w:rFonts w:asciiTheme="majorHAnsi" w:hAnsiTheme="majorHAnsi" w:cs="Calibri"/>
          <w:sz w:val="20"/>
          <w:szCs w:val="20"/>
          <w:lang w:val="es-ES"/>
        </w:rPr>
        <w:t>ron</w:t>
      </w:r>
      <w:r w:rsidR="007E6AA1">
        <w:rPr>
          <w:rFonts w:asciiTheme="majorHAnsi" w:hAnsiTheme="majorHAnsi" w:cs="Calibri"/>
          <w:sz w:val="20"/>
          <w:szCs w:val="20"/>
          <w:lang w:val="es-ES"/>
        </w:rPr>
        <w:t xml:space="preserve"> sometid</w:t>
      </w:r>
      <w:r>
        <w:rPr>
          <w:rFonts w:asciiTheme="majorHAnsi" w:hAnsiTheme="majorHAnsi" w:cs="Calibri"/>
          <w:sz w:val="20"/>
          <w:szCs w:val="20"/>
          <w:lang w:val="es-ES"/>
        </w:rPr>
        <w:t>a</w:t>
      </w:r>
      <w:r w:rsidR="00E1713E">
        <w:rPr>
          <w:rFonts w:asciiTheme="majorHAnsi" w:hAnsiTheme="majorHAnsi" w:cs="Calibri"/>
          <w:sz w:val="20"/>
          <w:szCs w:val="20"/>
          <w:lang w:val="es-ES"/>
        </w:rPr>
        <w:t>s</w:t>
      </w:r>
      <w:r w:rsidR="007E6AA1">
        <w:rPr>
          <w:rFonts w:asciiTheme="majorHAnsi" w:hAnsiTheme="majorHAnsi" w:cs="Calibri"/>
          <w:sz w:val="20"/>
          <w:szCs w:val="20"/>
          <w:lang w:val="es-ES"/>
        </w:rPr>
        <w:t xml:space="preserve"> </w:t>
      </w:r>
      <w:r w:rsidR="00E1713E">
        <w:rPr>
          <w:rFonts w:asciiTheme="majorHAnsi" w:hAnsiTheme="majorHAnsi" w:cs="Calibri"/>
          <w:sz w:val="20"/>
          <w:szCs w:val="20"/>
          <w:lang w:val="es-ES"/>
        </w:rPr>
        <w:t>las presuntas víctimas</w:t>
      </w:r>
      <w:r w:rsidR="007E6AA1">
        <w:rPr>
          <w:rFonts w:asciiTheme="majorHAnsi" w:hAnsiTheme="majorHAnsi" w:cs="Calibri"/>
          <w:sz w:val="20"/>
          <w:szCs w:val="20"/>
          <w:lang w:val="es-ES"/>
        </w:rPr>
        <w:t xml:space="preserve"> en 2009, r</w:t>
      </w:r>
      <w:r w:rsidR="007E6AA1" w:rsidRPr="005A0DF6">
        <w:rPr>
          <w:rFonts w:asciiTheme="majorHAnsi" w:hAnsiTheme="majorHAnsi" w:cs="Calibri"/>
          <w:sz w:val="20"/>
          <w:szCs w:val="20"/>
          <w:lang w:val="es-ES"/>
        </w:rPr>
        <w:t xml:space="preserve">ecientemente la Corte Interamericana ha establecido que: </w:t>
      </w:r>
      <w:r w:rsidR="007E6AA1" w:rsidRPr="005A0DF6">
        <w:rPr>
          <w:rFonts w:asciiTheme="majorHAnsi" w:hAnsiTheme="majorHAnsi"/>
          <w:sz w:val="20"/>
          <w:szCs w:val="20"/>
          <w:lang w:val="es-ES"/>
        </w:rPr>
        <w:t xml:space="preserve">“[…] </w:t>
      </w:r>
      <w:r w:rsidR="007E6AA1" w:rsidRPr="005A0DF6">
        <w:rPr>
          <w:rFonts w:asciiTheme="majorHAnsi" w:hAnsiTheme="majorHAnsi"/>
          <w:i/>
          <w:iCs/>
          <w:sz w:val="20"/>
          <w:szCs w:val="20"/>
          <w:lang w:val="es-ES"/>
        </w:rPr>
        <w:t>en relación con la figura del arraigo como medida de naturaleza pre-procesal restrictiva de la libertad con fines investigativos, la Corte entiende que la misma resulta incompatible con la Convención Americana, puesto que los postulados que definen sus características inherentes no conviven de forma pacífica con los derechos a la libertad personal y a la presunción de inocencia [...]”</w:t>
      </w:r>
      <w:r w:rsidR="007E6AA1" w:rsidRPr="00785056">
        <w:rPr>
          <w:rStyle w:val="FootnoteReference"/>
          <w:rFonts w:asciiTheme="majorHAnsi" w:hAnsiTheme="majorHAnsi"/>
          <w:sz w:val="20"/>
          <w:szCs w:val="20"/>
          <w:lang w:val="es-ES"/>
        </w:rPr>
        <w:footnoteReference w:id="15"/>
      </w:r>
      <w:r w:rsidR="007E6AA1" w:rsidRPr="005A0DF6">
        <w:rPr>
          <w:rFonts w:asciiTheme="majorHAnsi" w:hAnsiTheme="majorHAnsi"/>
          <w:sz w:val="20"/>
          <w:szCs w:val="20"/>
          <w:lang w:val="es-ES"/>
        </w:rPr>
        <w:t>.</w:t>
      </w:r>
      <w:r w:rsidR="007E6AA1" w:rsidRPr="005A0DF6">
        <w:rPr>
          <w:rFonts w:asciiTheme="majorHAnsi" w:hAnsiTheme="majorHAnsi"/>
          <w:i/>
          <w:iCs/>
          <w:sz w:val="20"/>
          <w:szCs w:val="20"/>
          <w:lang w:val="es-ES"/>
        </w:rPr>
        <w:t xml:space="preserve"> </w:t>
      </w:r>
    </w:p>
    <w:p w14:paraId="432F834E" w14:textId="2EC9DDE9" w:rsidR="00121AE5" w:rsidRPr="00121AE5" w:rsidRDefault="00121AE5" w:rsidP="00121AE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Pr>
          <w:sz w:val="20"/>
          <w:szCs w:val="20"/>
          <w:lang w:val="es-ES_tradnl"/>
        </w:rPr>
        <w:lastRenderedPageBreak/>
        <w:t>Por otro lado</w:t>
      </w:r>
      <w:r w:rsidRPr="006647BF">
        <w:rPr>
          <w:sz w:val="20"/>
          <w:szCs w:val="20"/>
          <w:lang w:val="es-ES_tradnl"/>
        </w:rPr>
        <w:t xml:space="preserve">, la Comisión Interamericana analizará en la etapa de fondo del presente procedimiento los alegatos del </w:t>
      </w:r>
      <w:r w:rsidR="00EE4564">
        <w:rPr>
          <w:sz w:val="20"/>
          <w:szCs w:val="20"/>
          <w:lang w:val="es-ES_tradnl"/>
        </w:rPr>
        <w:t>peticionario</w:t>
      </w:r>
      <w:r w:rsidRPr="006647BF">
        <w:rPr>
          <w:sz w:val="20"/>
          <w:szCs w:val="20"/>
          <w:lang w:val="es-ES_tradnl"/>
        </w:rPr>
        <w:t xml:space="preserve"> que se basan en posibles violaciones </w:t>
      </w:r>
      <w:r w:rsidR="00EE4564">
        <w:rPr>
          <w:sz w:val="20"/>
          <w:szCs w:val="20"/>
          <w:lang w:val="es-ES_tradnl"/>
        </w:rPr>
        <w:t>a</w:t>
      </w:r>
      <w:r w:rsidRPr="006647BF">
        <w:rPr>
          <w:sz w:val="20"/>
          <w:szCs w:val="20"/>
          <w:lang w:val="es-ES_tradnl"/>
        </w:rPr>
        <w:t xml:space="preserve"> </w:t>
      </w:r>
      <w:r w:rsidR="00EE4564">
        <w:rPr>
          <w:sz w:val="20"/>
          <w:szCs w:val="20"/>
          <w:lang w:val="es-ES_tradnl"/>
        </w:rPr>
        <w:t>lo</w:t>
      </w:r>
      <w:r w:rsidRPr="006647BF">
        <w:rPr>
          <w:sz w:val="20"/>
          <w:szCs w:val="20"/>
          <w:lang w:val="es-ES_tradnl"/>
        </w:rPr>
        <w:t>s derechos a la libertad personal, a las garantías judiciales, a la protección judicial, y a la integridad personal</w:t>
      </w:r>
      <w:r w:rsidR="00EE4564">
        <w:rPr>
          <w:sz w:val="20"/>
          <w:szCs w:val="20"/>
          <w:lang w:val="es-ES_tradnl"/>
        </w:rPr>
        <w:t xml:space="preserve"> de las presuntas v</w:t>
      </w:r>
      <w:r w:rsidR="00EE4564">
        <w:rPr>
          <w:sz w:val="20"/>
          <w:szCs w:val="20"/>
          <w:lang w:val="es-ES"/>
        </w:rPr>
        <w:t>íctimas</w:t>
      </w:r>
      <w:r w:rsidRPr="006647BF">
        <w:rPr>
          <w:sz w:val="20"/>
          <w:szCs w:val="20"/>
          <w:lang w:val="es-ES_tradnl"/>
        </w:rPr>
        <w:t xml:space="preserve">, a saber: (i) las distintas razones por las cuales argumenta que </w:t>
      </w:r>
      <w:r w:rsidR="005F0EC8">
        <w:rPr>
          <w:sz w:val="20"/>
          <w:szCs w:val="20"/>
          <w:lang w:val="es-ES_tradnl"/>
        </w:rPr>
        <w:t>la</w:t>
      </w:r>
      <w:r w:rsidRPr="006647BF">
        <w:rPr>
          <w:sz w:val="20"/>
          <w:szCs w:val="20"/>
          <w:lang w:val="es-ES_tradnl"/>
        </w:rPr>
        <w:t xml:space="preserve"> detención inicial y arraigo lesionaron </w:t>
      </w:r>
      <w:r w:rsidR="005F0EC8">
        <w:rPr>
          <w:sz w:val="20"/>
          <w:szCs w:val="20"/>
          <w:lang w:val="es-ES_tradnl"/>
        </w:rPr>
        <w:t>los</w:t>
      </w:r>
      <w:r w:rsidRPr="006647BF">
        <w:rPr>
          <w:sz w:val="20"/>
          <w:szCs w:val="20"/>
          <w:lang w:val="es-ES_tradnl"/>
        </w:rPr>
        <w:t xml:space="preserve"> derechos humanos </w:t>
      </w:r>
      <w:r w:rsidR="005F0EC8">
        <w:rPr>
          <w:sz w:val="20"/>
          <w:szCs w:val="20"/>
          <w:lang w:val="es-ES_tradnl"/>
        </w:rPr>
        <w:t>de los señores López y Soto</w:t>
      </w:r>
      <w:r w:rsidRPr="006647BF">
        <w:rPr>
          <w:sz w:val="20"/>
          <w:szCs w:val="20"/>
          <w:lang w:val="es-ES_tradnl"/>
        </w:rPr>
        <w:t>; (ii) la extracción de una declaración autoinculpatoria al inicio del proceso mediante actos de tortura infligidos en su contra; y (iii) la falta de investigación y sanción de los servidores públicos responsables de estos hechos. En relación con este último punto, el Estado ha alegado que no se caracterizan violaciones de la Convención Americana en la petición debido a que el Estado habría realizado las actuaciones e investigaciones de manera diligente con la finalidad de esclarecer los hechos; en vista de este alegato, se ha trabado entre las partes una controversia de tipo fáctico y jurídico que deberá ser estudiada y resuelta por la CIDH en la etapa de fondo.</w:t>
      </w:r>
    </w:p>
    <w:p w14:paraId="744E623E" w14:textId="0D645EBE" w:rsidR="007E6AA1" w:rsidRPr="00422CBB" w:rsidRDefault="007E6AA1" w:rsidP="007E6AA1">
      <w:pPr>
        <w:pStyle w:val="ListParagraph"/>
        <w:numPr>
          <w:ilvl w:val="0"/>
          <w:numId w:val="56"/>
        </w:numPr>
        <w:suppressAutoHyphens/>
        <w:spacing w:before="240" w:after="240"/>
        <w:ind w:left="0" w:firstLine="720"/>
        <w:jc w:val="both"/>
        <w:rPr>
          <w:rFonts w:asciiTheme="majorHAnsi" w:hAnsiTheme="majorHAnsi"/>
          <w:sz w:val="20"/>
          <w:szCs w:val="20"/>
          <w:lang w:val="es-ES"/>
        </w:rPr>
      </w:pPr>
      <w:r>
        <w:rPr>
          <w:rFonts w:asciiTheme="majorHAnsi" w:hAnsiTheme="majorHAnsi"/>
          <w:sz w:val="20"/>
          <w:szCs w:val="20"/>
          <w:lang w:val="es-ES_tradnl"/>
        </w:rPr>
        <w:t>En</w:t>
      </w:r>
      <w:r w:rsidRPr="00A06359">
        <w:rPr>
          <w:rFonts w:asciiTheme="majorHAnsi" w:hAnsiTheme="majorHAnsi"/>
          <w:sz w:val="20"/>
          <w:szCs w:val="20"/>
          <w:lang w:val="es-ES_tradnl"/>
        </w:rPr>
        <w:t xml:space="preserve"> vista de los elementos de hecho y de derecho expuestos por las partes y </w:t>
      </w:r>
      <w:r>
        <w:rPr>
          <w:rFonts w:asciiTheme="majorHAnsi" w:hAnsiTheme="majorHAnsi"/>
          <w:sz w:val="20"/>
          <w:szCs w:val="20"/>
          <w:lang w:val="es-ES_tradnl"/>
        </w:rPr>
        <w:t xml:space="preserve">de </w:t>
      </w:r>
      <w:r w:rsidRPr="00A06359">
        <w:rPr>
          <w:rFonts w:asciiTheme="majorHAnsi" w:hAnsiTheme="majorHAnsi"/>
          <w:sz w:val="20"/>
          <w:szCs w:val="20"/>
          <w:lang w:val="es-ES_tradnl"/>
        </w:rPr>
        <w:t xml:space="preserve">la naturaleza del asunto puesto bajo su conocimiento, que es concordante con el contexto observado en México por la CIDH en el </w:t>
      </w:r>
      <w:r w:rsidRPr="00813D72">
        <w:rPr>
          <w:rFonts w:asciiTheme="majorHAnsi" w:hAnsiTheme="majorHAnsi"/>
          <w:sz w:val="20"/>
          <w:szCs w:val="20"/>
          <w:lang w:val="es-ES"/>
        </w:rPr>
        <w:t>ámbito</w:t>
      </w:r>
      <w:r w:rsidRPr="00A06359">
        <w:rPr>
          <w:rFonts w:asciiTheme="majorHAnsi" w:hAnsiTheme="majorHAnsi"/>
          <w:sz w:val="20"/>
          <w:szCs w:val="20"/>
          <w:lang w:val="es-ES_tradnl"/>
        </w:rPr>
        <w:t xml:space="preserve"> de la tortura con fines de investigación criminal y de ejercicio de la función penal</w:t>
      </w:r>
      <w:r>
        <w:rPr>
          <w:rStyle w:val="FootnoteReference"/>
          <w:rFonts w:asciiTheme="majorHAnsi" w:hAnsiTheme="majorHAnsi"/>
          <w:sz w:val="20"/>
          <w:szCs w:val="20"/>
          <w:lang w:val="es-ES_tradnl"/>
        </w:rPr>
        <w:footnoteReference w:id="16"/>
      </w:r>
      <w:r w:rsidRPr="00A06359">
        <w:rPr>
          <w:rFonts w:asciiTheme="majorHAnsi" w:hAnsiTheme="majorHAnsi"/>
          <w:sz w:val="20"/>
          <w:szCs w:val="20"/>
          <w:lang w:val="es-ES_tradnl"/>
        </w:rPr>
        <w:t>, la Comisión considera que de ser probados los hechos denunciados, estos podrían constituir violaciones a los derechos reconocidos en los artículos 5 (integridad personal), 7 (libertad personal), 8 (garantías judiciales) y 25 (protección judicial) de la Convención Americana, en relación con su artículo con su 1.1; y de los artículos 1, 6 y 8 de la Convención Interamericana para Prevenir y Sancionar la Tortura en perjuicio de</w:t>
      </w:r>
      <w:r w:rsidR="008F4FEC">
        <w:rPr>
          <w:rFonts w:asciiTheme="majorHAnsi" w:hAnsiTheme="majorHAnsi"/>
          <w:sz w:val="20"/>
          <w:szCs w:val="20"/>
          <w:lang w:val="es-ES_tradnl"/>
        </w:rPr>
        <w:t xml:space="preserve"> </w:t>
      </w:r>
      <w:r>
        <w:rPr>
          <w:rFonts w:asciiTheme="majorHAnsi" w:hAnsiTheme="majorHAnsi"/>
          <w:sz w:val="20"/>
          <w:szCs w:val="20"/>
          <w:lang w:val="es-ES_tradnl"/>
        </w:rPr>
        <w:t>l</w:t>
      </w:r>
      <w:r w:rsidR="008F4FEC">
        <w:rPr>
          <w:rFonts w:asciiTheme="majorHAnsi" w:hAnsiTheme="majorHAnsi"/>
          <w:sz w:val="20"/>
          <w:szCs w:val="20"/>
          <w:lang w:val="es-ES_tradnl"/>
        </w:rPr>
        <w:t>os</w:t>
      </w:r>
      <w:r w:rsidRPr="00A06359">
        <w:rPr>
          <w:rFonts w:asciiTheme="majorHAnsi" w:hAnsiTheme="majorHAnsi"/>
          <w:sz w:val="20"/>
          <w:szCs w:val="20"/>
          <w:lang w:val="es-ES_tradnl"/>
        </w:rPr>
        <w:t xml:space="preserve"> </w:t>
      </w:r>
      <w:r>
        <w:rPr>
          <w:rFonts w:asciiTheme="majorHAnsi" w:hAnsiTheme="majorHAnsi"/>
          <w:sz w:val="20"/>
          <w:szCs w:val="20"/>
          <w:lang w:val="es-ES_tradnl"/>
        </w:rPr>
        <w:t>señor</w:t>
      </w:r>
      <w:r w:rsidR="008F4FEC">
        <w:rPr>
          <w:rFonts w:asciiTheme="majorHAnsi" w:hAnsiTheme="majorHAnsi"/>
          <w:sz w:val="20"/>
          <w:szCs w:val="20"/>
          <w:lang w:val="es-ES_tradnl"/>
        </w:rPr>
        <w:t>es</w:t>
      </w:r>
      <w:r>
        <w:rPr>
          <w:rFonts w:asciiTheme="majorHAnsi" w:hAnsiTheme="majorHAnsi"/>
          <w:sz w:val="20"/>
          <w:szCs w:val="20"/>
          <w:lang w:val="es-ES_tradnl"/>
        </w:rPr>
        <w:t xml:space="preserve"> </w:t>
      </w:r>
      <w:r w:rsidR="008F4FEC" w:rsidRPr="009C00FB">
        <w:rPr>
          <w:bCs/>
          <w:sz w:val="20"/>
          <w:szCs w:val="20"/>
          <w:lang w:val="es-ES"/>
        </w:rPr>
        <w:t xml:space="preserve">Sócrates López Escobar y Francisco </w:t>
      </w:r>
      <w:r w:rsidR="008F4FEC">
        <w:rPr>
          <w:bCs/>
          <w:sz w:val="20"/>
          <w:szCs w:val="20"/>
          <w:lang w:val="es-ES"/>
        </w:rPr>
        <w:t xml:space="preserve">Javier </w:t>
      </w:r>
      <w:r w:rsidR="008F4FEC" w:rsidRPr="009C00FB">
        <w:rPr>
          <w:bCs/>
          <w:sz w:val="20"/>
          <w:szCs w:val="20"/>
          <w:lang w:val="es-ES"/>
        </w:rPr>
        <w:t>Soto Núñez</w:t>
      </w:r>
      <w:r>
        <w:rPr>
          <w:rFonts w:asciiTheme="majorHAnsi" w:hAnsiTheme="majorHAnsi"/>
          <w:sz w:val="20"/>
          <w:szCs w:val="20"/>
          <w:lang w:val="es-ES_tradnl"/>
        </w:rPr>
        <w:t>, en los términos del presente informe</w:t>
      </w:r>
      <w:r w:rsidRPr="00A06359">
        <w:rPr>
          <w:rFonts w:asciiTheme="majorHAnsi" w:hAnsiTheme="majorHAnsi"/>
          <w:sz w:val="20"/>
          <w:szCs w:val="20"/>
          <w:lang w:val="es-ES_tradnl"/>
        </w:rPr>
        <w:t>.</w:t>
      </w:r>
    </w:p>
    <w:p w14:paraId="0638BB16" w14:textId="762F4272" w:rsidR="00634A8D" w:rsidRPr="009C00FB" w:rsidRDefault="003239B8" w:rsidP="00634A8D">
      <w:pPr>
        <w:pStyle w:val="ListParagraph"/>
        <w:spacing w:before="240" w:after="240"/>
        <w:jc w:val="both"/>
        <w:rPr>
          <w:rFonts w:asciiTheme="majorHAnsi" w:hAnsiTheme="majorHAnsi"/>
          <w:b/>
          <w:bCs/>
          <w:sz w:val="20"/>
          <w:szCs w:val="20"/>
          <w:lang w:val="es-ES"/>
        </w:rPr>
      </w:pPr>
      <w:r w:rsidRPr="009C00FB">
        <w:rPr>
          <w:rFonts w:asciiTheme="majorHAnsi" w:hAnsiTheme="majorHAnsi"/>
          <w:b/>
          <w:bCs/>
          <w:sz w:val="20"/>
          <w:szCs w:val="20"/>
          <w:lang w:val="es-ES"/>
        </w:rPr>
        <w:t xml:space="preserve">VIII. </w:t>
      </w:r>
      <w:r w:rsidRPr="009C00FB">
        <w:rPr>
          <w:rFonts w:asciiTheme="majorHAnsi" w:hAnsiTheme="majorHAnsi"/>
          <w:b/>
          <w:bCs/>
          <w:sz w:val="20"/>
          <w:szCs w:val="20"/>
          <w:lang w:val="es-ES"/>
        </w:rPr>
        <w:tab/>
        <w:t>DECISIÓN</w:t>
      </w:r>
    </w:p>
    <w:p w14:paraId="2D43BE2C" w14:textId="4D7293B6" w:rsidR="00A74898" w:rsidRPr="009C00FB" w:rsidRDefault="00663060" w:rsidP="00A74898">
      <w:pPr>
        <w:pStyle w:val="ListParagraph"/>
        <w:numPr>
          <w:ilvl w:val="0"/>
          <w:numId w:val="55"/>
        </w:numPr>
        <w:spacing w:before="240" w:after="240"/>
        <w:jc w:val="both"/>
        <w:rPr>
          <w:rFonts w:eastAsia="Arial Unicode MS" w:cs="Times New Roman"/>
          <w:color w:val="000000" w:themeColor="text1"/>
          <w:sz w:val="20"/>
          <w:szCs w:val="20"/>
          <w:lang w:val="es-ES" w:eastAsia="en-US"/>
        </w:rPr>
      </w:pPr>
      <w:r w:rsidRPr="00663060">
        <w:rPr>
          <w:rFonts w:asciiTheme="majorHAnsi" w:hAnsiTheme="majorHAnsi"/>
          <w:sz w:val="20"/>
          <w:szCs w:val="20"/>
          <w:lang w:val="es-ES"/>
        </w:rPr>
        <w:t>Declarar admisible la presente petición en relación con los artículos 5, 7, 8 y 25 de la Convención Americana, en conexión con sus artículos 1.1;</w:t>
      </w:r>
      <w:r w:rsidR="00F27C55">
        <w:rPr>
          <w:rFonts w:asciiTheme="majorHAnsi" w:hAnsiTheme="majorHAnsi"/>
          <w:sz w:val="20"/>
          <w:szCs w:val="20"/>
          <w:lang w:val="es-ES"/>
        </w:rPr>
        <w:t xml:space="preserve"> y con</w:t>
      </w:r>
      <w:r w:rsidRPr="00663060">
        <w:rPr>
          <w:rFonts w:asciiTheme="majorHAnsi" w:hAnsiTheme="majorHAnsi"/>
          <w:sz w:val="20"/>
          <w:szCs w:val="20"/>
          <w:lang w:val="es-ES"/>
        </w:rPr>
        <w:t xml:space="preserve"> los artículos 1, 6 y 8 de la Convención Interamericana para Prevenir y Sancionar la Tortura; </w:t>
      </w:r>
      <w:r w:rsidR="00973EE2">
        <w:rPr>
          <w:rFonts w:asciiTheme="majorHAnsi" w:hAnsiTheme="majorHAnsi"/>
          <w:sz w:val="20"/>
          <w:szCs w:val="20"/>
          <w:lang w:val="es-ES"/>
        </w:rPr>
        <w:t>y</w:t>
      </w:r>
    </w:p>
    <w:p w14:paraId="018D6747" w14:textId="44BACDB6" w:rsidR="00722C9F" w:rsidRDefault="00A74898" w:rsidP="00A74898">
      <w:pPr>
        <w:numPr>
          <w:ilvl w:val="0"/>
          <w:numId w:val="55"/>
        </w:numPr>
        <w:suppressAutoHyphens/>
        <w:spacing w:before="240" w:after="240"/>
        <w:jc w:val="both"/>
        <w:rPr>
          <w:rFonts w:asciiTheme="majorHAnsi" w:hAnsiTheme="majorHAnsi"/>
          <w:color w:val="000000" w:themeColor="text1"/>
          <w:sz w:val="20"/>
          <w:szCs w:val="20"/>
        </w:rPr>
      </w:pPr>
      <w:r w:rsidRPr="009C00FB">
        <w:rPr>
          <w:rFonts w:asciiTheme="majorHAnsi" w:hAnsiTheme="majorHAnsi"/>
          <w:color w:val="000000" w:themeColor="text1"/>
          <w:sz w:val="20"/>
          <w:szCs w:val="20"/>
        </w:rPr>
        <w:t>Notificar a las partes la presente decisión; y publicar esta decisión e incluirla en su Informe Anual a la Asamblea General de la Organización de los Estados Americanos</w:t>
      </w:r>
      <w:r w:rsidR="00973EE2">
        <w:rPr>
          <w:rFonts w:asciiTheme="majorHAnsi" w:hAnsiTheme="majorHAnsi"/>
          <w:color w:val="000000" w:themeColor="text1"/>
          <w:sz w:val="20"/>
          <w:szCs w:val="20"/>
        </w:rPr>
        <w:t>.</w:t>
      </w:r>
    </w:p>
    <w:p w14:paraId="10C4196A" w14:textId="7C9ADC83" w:rsidR="00583439" w:rsidRPr="00583439" w:rsidRDefault="00973EE2" w:rsidP="0058343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10BC8">
        <w:rPr>
          <w:rStyle w:val="normaltextrun"/>
          <w:rFonts w:ascii="Cambria" w:hAnsi="Cambria" w:cs="Segoe UI"/>
          <w:sz w:val="20"/>
          <w:szCs w:val="20"/>
          <w:lang w:val="es-CL"/>
        </w:rPr>
        <w:t>31</w:t>
      </w:r>
      <w:r>
        <w:rPr>
          <w:rStyle w:val="normaltextrun"/>
          <w:rFonts w:ascii="Cambria" w:hAnsi="Cambria" w:cs="Segoe UI"/>
          <w:sz w:val="20"/>
          <w:szCs w:val="20"/>
          <w:lang w:val="es-CL"/>
        </w:rPr>
        <w:t xml:space="preserve"> días del mes de </w:t>
      </w:r>
      <w:r w:rsidR="00B10BC8">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Stuardo Ralón Orellana</w:t>
      </w:r>
      <w:r w:rsidR="008C730C">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Carlos Bernal Pulido, </w:t>
      </w:r>
      <w:r w:rsidR="0058343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04591E5" w14:textId="2F5DA592" w:rsidR="00973EE2" w:rsidRPr="00583439" w:rsidRDefault="00973EE2" w:rsidP="00973EE2">
      <w:pPr>
        <w:pStyle w:val="paragraph"/>
        <w:spacing w:before="0" w:beforeAutospacing="0" w:after="0" w:afterAutospacing="0"/>
        <w:jc w:val="center"/>
        <w:textAlignment w:val="baseline"/>
        <w:rPr>
          <w:rFonts w:asciiTheme="majorHAnsi" w:hAnsiTheme="majorHAnsi"/>
          <w:color w:val="000000" w:themeColor="text1"/>
          <w:sz w:val="20"/>
          <w:szCs w:val="20"/>
          <w:lang w:val="es-AR"/>
        </w:rPr>
      </w:pPr>
    </w:p>
    <w:sectPr w:rsidR="00973EE2" w:rsidRPr="00583439" w:rsidSect="00B16ECE">
      <w:type w:val="oddPage"/>
      <w:pgSz w:w="12240" w:h="15840"/>
      <w:pgMar w:top="1440" w:right="1440" w:bottom="1361"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39BA" w14:textId="77777777" w:rsidR="00B16ECE" w:rsidRDefault="00B16ECE">
      <w:r>
        <w:separator/>
      </w:r>
    </w:p>
  </w:endnote>
  <w:endnote w:type="continuationSeparator" w:id="0">
    <w:p w14:paraId="2BD9F4D1" w14:textId="77777777" w:rsidR="00B16ECE" w:rsidRDefault="00B1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69CE" w14:textId="77777777" w:rsidR="00B16ECE" w:rsidRPr="000F35ED" w:rsidRDefault="00B16E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6B31EF" w14:textId="77777777" w:rsidR="00B16ECE" w:rsidRPr="000F35ED" w:rsidRDefault="00B16ECE" w:rsidP="000F35ED">
      <w:pPr>
        <w:rPr>
          <w:rFonts w:asciiTheme="majorHAnsi" w:hAnsiTheme="majorHAnsi"/>
          <w:sz w:val="16"/>
          <w:szCs w:val="16"/>
        </w:rPr>
      </w:pPr>
      <w:r w:rsidRPr="000F35ED">
        <w:rPr>
          <w:rFonts w:asciiTheme="majorHAnsi" w:hAnsiTheme="majorHAnsi"/>
          <w:sz w:val="16"/>
          <w:szCs w:val="16"/>
        </w:rPr>
        <w:separator/>
      </w:r>
    </w:p>
    <w:p w14:paraId="6667A692" w14:textId="77777777" w:rsidR="00B16ECE" w:rsidRPr="000F35ED" w:rsidRDefault="00B16EC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E16B33" w14:textId="77777777" w:rsidR="00B16ECE" w:rsidRPr="000F35ED" w:rsidRDefault="00B16ECE"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DBD969F" w14:textId="55E0DB73" w:rsidR="00AE387D" w:rsidRPr="0057207E" w:rsidRDefault="00AE387D" w:rsidP="00D304F4">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 xml:space="preserve">Conforme a lo dispuesto en el artículo 17.2.a) del Reglamento de la Comisión, el Comisionado </w:t>
      </w:r>
      <w:r>
        <w:rPr>
          <w:rFonts w:asciiTheme="majorHAnsi" w:hAnsiTheme="majorHAnsi"/>
          <w:sz w:val="16"/>
          <w:szCs w:val="16"/>
          <w:lang w:val="es-ES"/>
        </w:rPr>
        <w:t>José Luis Caballero Ochoa</w:t>
      </w:r>
      <w:r w:rsidRPr="0057207E">
        <w:rPr>
          <w:rFonts w:asciiTheme="majorHAnsi" w:hAnsiTheme="majorHAnsi"/>
          <w:sz w:val="16"/>
          <w:szCs w:val="16"/>
          <w:lang w:val="es-ES"/>
        </w:rPr>
        <w:t xml:space="preserve">, de nacionalidad </w:t>
      </w:r>
      <w:r>
        <w:rPr>
          <w:rFonts w:asciiTheme="majorHAnsi" w:hAnsiTheme="majorHAnsi"/>
          <w:sz w:val="16"/>
          <w:szCs w:val="16"/>
          <w:lang w:val="es-ES"/>
        </w:rPr>
        <w:t>mexicana</w:t>
      </w:r>
      <w:r w:rsidRPr="0057207E">
        <w:rPr>
          <w:rFonts w:asciiTheme="majorHAnsi" w:hAnsiTheme="majorHAnsi"/>
          <w:sz w:val="16"/>
          <w:szCs w:val="16"/>
          <w:lang w:val="es-ES"/>
        </w:rPr>
        <w:t>, no participó en el debate ni en la decisión del presente asunto.</w:t>
      </w:r>
    </w:p>
  </w:footnote>
  <w:footnote w:id="3">
    <w:p w14:paraId="53AAC261" w14:textId="7397498B" w:rsidR="00AE387D" w:rsidRPr="003C32A6" w:rsidRDefault="00AE387D" w:rsidP="00D304F4">
      <w:pPr>
        <w:pStyle w:val="FootnoteText"/>
        <w:ind w:firstLine="720"/>
        <w:jc w:val="both"/>
        <w:rPr>
          <w:lang w:val="es-ES"/>
        </w:rPr>
      </w:pPr>
      <w:r w:rsidRPr="003C32A6">
        <w:rPr>
          <w:rFonts w:ascii="Cambria" w:hAnsi="Cambria"/>
          <w:sz w:val="16"/>
          <w:szCs w:val="16"/>
          <w:vertAlign w:val="superscript"/>
          <w:lang w:val="es-ES"/>
        </w:rPr>
        <w:footnoteRef/>
      </w:r>
      <w:r w:rsidRPr="003C32A6">
        <w:rPr>
          <w:rFonts w:ascii="Cambria" w:hAnsi="Cambria"/>
          <w:sz w:val="16"/>
          <w:szCs w:val="16"/>
          <w:lang w:val="es-ES"/>
        </w:rPr>
        <w:t xml:space="preserve"> En adelante “</w:t>
      </w:r>
      <w:r w:rsidR="003C0106">
        <w:rPr>
          <w:rFonts w:ascii="Cambria" w:hAnsi="Cambria"/>
          <w:sz w:val="16"/>
          <w:szCs w:val="16"/>
          <w:lang w:val="es-ES"/>
        </w:rPr>
        <w:t xml:space="preserve">la </w:t>
      </w:r>
      <w:r w:rsidRPr="003C32A6">
        <w:rPr>
          <w:rFonts w:ascii="Cambria" w:hAnsi="Cambria"/>
          <w:sz w:val="16"/>
          <w:szCs w:val="16"/>
          <w:lang w:val="es-ES"/>
        </w:rPr>
        <w:t>Convención” o “</w:t>
      </w:r>
      <w:r w:rsidR="003C0106">
        <w:rPr>
          <w:rFonts w:ascii="Cambria" w:hAnsi="Cambria"/>
          <w:sz w:val="16"/>
          <w:szCs w:val="16"/>
          <w:lang w:val="es-ES"/>
        </w:rPr>
        <w:t xml:space="preserve">la </w:t>
      </w:r>
      <w:r w:rsidRPr="003C32A6">
        <w:rPr>
          <w:rFonts w:ascii="Cambria" w:hAnsi="Cambria"/>
          <w:sz w:val="16"/>
          <w:szCs w:val="16"/>
          <w:lang w:val="es-ES"/>
        </w:rPr>
        <w:t>Convención Americana”.</w:t>
      </w:r>
    </w:p>
  </w:footnote>
  <w:footnote w:id="4">
    <w:p w14:paraId="60B3D662" w14:textId="6C7BA561" w:rsidR="008E3BFE" w:rsidRPr="00D40137" w:rsidRDefault="008E3BFE" w:rsidP="00D304F4">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r w:rsidR="003740B9">
        <w:rPr>
          <w:rFonts w:asciiTheme="majorHAnsi" w:hAnsiTheme="majorHAnsi"/>
          <w:sz w:val="16"/>
          <w:szCs w:val="16"/>
          <w:lang w:val="es-ES"/>
        </w:rPr>
        <w:t xml:space="preserve">En comunicación de 23 de febrero de 2016, la parte peticionaria manifestó su interés en el trámite de la petición. </w:t>
      </w:r>
    </w:p>
  </w:footnote>
  <w:footnote w:id="5">
    <w:p w14:paraId="1391B8B6" w14:textId="77777777" w:rsidR="006C78DD" w:rsidRPr="001842C0" w:rsidRDefault="006C78DD" w:rsidP="00D304F4">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6">
    <w:p w14:paraId="7D01BF57" w14:textId="77777777" w:rsidR="006C78DD" w:rsidRPr="007F7343" w:rsidRDefault="006C78DD" w:rsidP="00D304F4">
      <w:pPr>
        <w:pStyle w:val="FootnoteText"/>
        <w:ind w:firstLine="720"/>
        <w:jc w:val="both"/>
        <w:rPr>
          <w:rFonts w:asciiTheme="majorHAnsi" w:hAnsiTheme="majorHAnsi" w:cstheme="minorHAnsi"/>
          <w:sz w:val="16"/>
          <w:szCs w:val="16"/>
          <w:lang w:val="es-US"/>
        </w:rPr>
      </w:pPr>
      <w:r w:rsidRPr="007F7343">
        <w:rPr>
          <w:rStyle w:val="FootnoteReference"/>
          <w:rFonts w:asciiTheme="majorHAnsi" w:hAnsiTheme="majorHAnsi" w:cstheme="minorHAnsi"/>
          <w:sz w:val="16"/>
          <w:szCs w:val="16"/>
        </w:rPr>
        <w:footnoteRef/>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CIDH, Informe No. 168/17. Admisibilidad. Miguel Ángel Morales Morales. Perú. 1 de diciembre de 2017, párr. 15</w:t>
      </w:r>
      <w:r>
        <w:rPr>
          <w:rFonts w:asciiTheme="majorHAnsi" w:hAnsiTheme="majorHAnsi" w:cstheme="minorHAnsi"/>
          <w:sz w:val="16"/>
          <w:szCs w:val="16"/>
          <w:lang w:val="es-US"/>
        </w:rPr>
        <w:t>;</w:t>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Informe No. 108/19. Petición 81-09. Admisibilidad. Anael Fidel Sanjuanelo Polo y familia. Colombia. 28 de julio de 2019, párrs. 6, 15; </w:t>
      </w:r>
      <w:r w:rsidRPr="007F7343">
        <w:rPr>
          <w:rFonts w:asciiTheme="majorHAnsi" w:hAnsiTheme="majorHAnsi"/>
          <w:sz w:val="16"/>
          <w:szCs w:val="16"/>
          <w:lang w:val="es-US"/>
        </w:rPr>
        <w:t>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7">
    <w:p w14:paraId="3079FB8E" w14:textId="77777777" w:rsidR="00C858CF" w:rsidRPr="007D66CE" w:rsidRDefault="00C858CF" w:rsidP="00D304F4">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 w:id="8">
    <w:p w14:paraId="52B443D6" w14:textId="77777777" w:rsidR="00C858CF" w:rsidRPr="00A21ED8" w:rsidRDefault="00C858CF" w:rsidP="00D304F4">
      <w:pPr>
        <w:pStyle w:val="FootnoteText"/>
        <w:ind w:firstLine="720"/>
        <w:jc w:val="both"/>
        <w:rPr>
          <w:rFonts w:asciiTheme="majorHAnsi" w:hAnsiTheme="majorHAnsi" w:cstheme="minorHAnsi"/>
          <w:sz w:val="16"/>
          <w:szCs w:val="16"/>
          <w:lang w:val="es-US"/>
        </w:rPr>
      </w:pPr>
      <w:r w:rsidRPr="00A21ED8">
        <w:rPr>
          <w:rStyle w:val="FootnoteReference"/>
          <w:rFonts w:asciiTheme="majorHAnsi" w:hAnsiTheme="majorHAnsi" w:cstheme="minorHAnsi"/>
          <w:sz w:val="16"/>
          <w:szCs w:val="16"/>
        </w:rPr>
        <w:footnoteRef/>
      </w:r>
      <w:r w:rsidRPr="00A21ED8">
        <w:rPr>
          <w:rFonts w:asciiTheme="majorHAnsi" w:hAnsiTheme="majorHAnsi" w:cstheme="minorHAnsi"/>
          <w:sz w:val="16"/>
          <w:szCs w:val="16"/>
          <w:lang w:val="es-U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 w:id="9">
    <w:p w14:paraId="674B7952" w14:textId="77777777" w:rsidR="00C67464" w:rsidRPr="007B5C5E" w:rsidRDefault="00C67464" w:rsidP="00D304F4">
      <w:pPr>
        <w:pStyle w:val="FootnoteText"/>
        <w:spacing w:before="120"/>
        <w:ind w:firstLine="720"/>
        <w:jc w:val="both"/>
        <w:rPr>
          <w:rFonts w:asciiTheme="majorHAnsi" w:hAnsiTheme="majorHAnsi"/>
          <w:sz w:val="16"/>
          <w:szCs w:val="16"/>
          <w:lang w:val="es-BO"/>
        </w:rPr>
      </w:pPr>
      <w:r w:rsidRPr="007B5C5E">
        <w:rPr>
          <w:rStyle w:val="FootnoteReference"/>
          <w:rFonts w:asciiTheme="majorHAnsi" w:hAnsiTheme="majorHAnsi"/>
          <w:sz w:val="16"/>
          <w:szCs w:val="16"/>
        </w:rPr>
        <w:footnoteRef/>
      </w:r>
      <w:r w:rsidRPr="007B5C5E">
        <w:rPr>
          <w:rFonts w:asciiTheme="majorHAnsi" w:hAnsiTheme="majorHAnsi"/>
          <w:sz w:val="16"/>
          <w:szCs w:val="16"/>
          <w:lang w:val="es-BO"/>
        </w:rPr>
        <w:t xml:space="preserve"> CIDH, Informe No. 50/17. Petición 464-10B. Admisibilidad. José Ruperto Agudelo Ciro y Familia. </w:t>
      </w:r>
      <w:r w:rsidRPr="00C67464">
        <w:rPr>
          <w:rFonts w:asciiTheme="majorHAnsi" w:hAnsiTheme="majorHAnsi"/>
          <w:sz w:val="16"/>
          <w:szCs w:val="16"/>
          <w:lang w:val="es-ES"/>
        </w:rPr>
        <w:t>Colombia. 25 de mayo de 2017, párr. 9</w:t>
      </w:r>
    </w:p>
  </w:footnote>
  <w:footnote w:id="10">
    <w:p w14:paraId="2C068E37" w14:textId="77777777" w:rsidR="002F2AB7" w:rsidRPr="00A11B3B" w:rsidRDefault="002F2AB7" w:rsidP="00D304F4">
      <w:pPr>
        <w:pStyle w:val="FootnoteText"/>
        <w:ind w:firstLine="720"/>
        <w:jc w:val="both"/>
        <w:rPr>
          <w:rFonts w:ascii="Cambria" w:hAnsi="Cambria"/>
          <w:color w:val="auto"/>
          <w:sz w:val="16"/>
          <w:szCs w:val="16"/>
          <w:lang w:val="es-ES"/>
        </w:rPr>
      </w:pPr>
      <w:r w:rsidRPr="00A11B3B">
        <w:rPr>
          <w:rStyle w:val="FootnoteReference"/>
          <w:rFonts w:ascii="Cambria" w:hAnsi="Cambria"/>
          <w:color w:val="auto"/>
          <w:sz w:val="16"/>
          <w:szCs w:val="16"/>
        </w:rPr>
        <w:footnoteRef/>
      </w:r>
      <w:r w:rsidRPr="00A11B3B">
        <w:rPr>
          <w:rFonts w:ascii="Cambria" w:hAnsi="Cambria"/>
          <w:color w:val="auto"/>
          <w:sz w:val="16"/>
          <w:szCs w:val="16"/>
          <w:lang w:val="es-ES"/>
        </w:rPr>
        <w:t xml:space="preserve"> CIDH, Informe No. 35/16, Petición 4480-02. Admisibilidad. Carlos Manuel Veraza Urtusuástegui. México. 29 de julio de 2016, párr. 33</w:t>
      </w:r>
    </w:p>
  </w:footnote>
  <w:footnote w:id="11">
    <w:p w14:paraId="128AAFB2" w14:textId="77777777" w:rsidR="002F2AB7" w:rsidRPr="00A11B3B" w:rsidRDefault="002F2AB7" w:rsidP="00D304F4">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Style w:val="FootnoteReference"/>
          <w:rFonts w:ascii="Cambria" w:hAnsi="Cambria"/>
          <w:sz w:val="16"/>
          <w:szCs w:val="16"/>
        </w:rPr>
        <w:footnoteRef/>
      </w:r>
      <w:r w:rsidRPr="00A11B3B">
        <w:rPr>
          <w:rFonts w:ascii="Cambria" w:hAnsi="Cambria"/>
          <w:sz w:val="16"/>
          <w:szCs w:val="16"/>
          <w:lang w:val="es-ES"/>
        </w:rPr>
        <w:t xml:space="preserve"> Véase entre otros, CIDH. Informe 4/15, Admisibilidad, Petición 582/01, Raúl Rolando Romero Feris, Argentina, 29 de enero de 2015, párr. 40.</w:t>
      </w:r>
    </w:p>
  </w:footnote>
  <w:footnote w:id="12">
    <w:p w14:paraId="76269671" w14:textId="77777777" w:rsidR="007E6AA1" w:rsidRPr="002C4642" w:rsidRDefault="007E6AA1" w:rsidP="00D304F4">
      <w:pPr>
        <w:pStyle w:val="FootnoteText"/>
        <w:ind w:firstLine="720"/>
        <w:jc w:val="both"/>
        <w:rPr>
          <w:rFonts w:ascii="Cambria" w:hAnsi="Cambria"/>
          <w:sz w:val="16"/>
          <w:szCs w:val="16"/>
          <w:lang w:val="es-ES"/>
        </w:rPr>
      </w:pPr>
      <w:r w:rsidRPr="003E2578">
        <w:rPr>
          <w:rFonts w:ascii="Cambria" w:hAnsi="Cambria"/>
          <w:sz w:val="16"/>
          <w:szCs w:val="16"/>
          <w:vertAlign w:val="superscript"/>
          <w:lang w:val="es-ES"/>
        </w:rPr>
        <w:footnoteRef/>
      </w:r>
      <w:r w:rsidRPr="003E2578">
        <w:rPr>
          <w:rFonts w:ascii="Cambria" w:hAnsi="Cambria"/>
          <w:sz w:val="16"/>
          <w:szCs w:val="16"/>
          <w:lang w:val="es-ES"/>
        </w:rPr>
        <w:t xml:space="preserve"> CIDH, Informe No. 34/15, Petición 191-07 y otras. Admisibilidad. Álvaro Enrique Rodriguez Buitrago y otros. Colombia. 22 de julio de 2015, párr. 245</w:t>
      </w:r>
      <w:r>
        <w:rPr>
          <w:rFonts w:ascii="Cambria" w:hAnsi="Cambria"/>
          <w:sz w:val="16"/>
          <w:szCs w:val="16"/>
          <w:lang w:val="es-ES"/>
        </w:rPr>
        <w:t>.</w:t>
      </w:r>
    </w:p>
  </w:footnote>
  <w:footnote w:id="13">
    <w:p w14:paraId="41667485" w14:textId="77777777" w:rsidR="007E6AA1" w:rsidRPr="00CB2CBE" w:rsidRDefault="007E6AA1" w:rsidP="00D304F4">
      <w:pPr>
        <w:pStyle w:val="FootnoteText"/>
        <w:ind w:firstLine="720"/>
        <w:jc w:val="both"/>
        <w:rPr>
          <w:rFonts w:ascii="Cambria" w:hAnsi="Cambria"/>
          <w:sz w:val="16"/>
          <w:szCs w:val="16"/>
          <w:lang w:val="es-ES"/>
        </w:rPr>
      </w:pPr>
      <w:r w:rsidRPr="00DC60B6">
        <w:rPr>
          <w:rFonts w:ascii="Cambria" w:hAnsi="Cambria"/>
          <w:sz w:val="16"/>
          <w:szCs w:val="16"/>
          <w:vertAlign w:val="superscript"/>
          <w:lang w:val="es-ES"/>
        </w:rPr>
        <w:footnoteRef/>
      </w:r>
      <w:r w:rsidRPr="00DC60B6">
        <w:rPr>
          <w:rFonts w:ascii="Cambria" w:hAnsi="Cambria"/>
          <w:sz w:val="16"/>
          <w:szCs w:val="16"/>
          <w:lang w:val="es-ES"/>
        </w:rPr>
        <w:t xml:space="preserve"> </w:t>
      </w:r>
      <w:r w:rsidRPr="003667CF">
        <w:rPr>
          <w:rFonts w:ascii="Cambria" w:hAnsi="Cambria"/>
          <w:sz w:val="16"/>
          <w:szCs w:val="16"/>
          <w:lang w:val="es-ES"/>
        </w:rPr>
        <w:t>A título ilustrativo, se pueden consultar los siguientes informes de la CIDH:</w:t>
      </w:r>
      <w:r>
        <w:rPr>
          <w:rFonts w:ascii="Cambria" w:hAnsi="Cambria"/>
          <w:sz w:val="16"/>
          <w:szCs w:val="16"/>
          <w:lang w:val="es-ES"/>
        </w:rPr>
        <w:t xml:space="preserve"> </w:t>
      </w:r>
      <w:r w:rsidRPr="007947A1">
        <w:rPr>
          <w:rFonts w:ascii="Cambria" w:hAnsi="Cambria"/>
          <w:sz w:val="16"/>
          <w:szCs w:val="16"/>
          <w:lang w:val="es-419"/>
        </w:rPr>
        <w:t>CIDH, Informe No. 47/21. Petición 1260-11. Admisibilidad. Luis María Rojas Jara y familiares. Colombia. 9 de marzo de 2021</w:t>
      </w:r>
      <w:r>
        <w:rPr>
          <w:rFonts w:ascii="Cambria" w:hAnsi="Cambria"/>
          <w:sz w:val="16"/>
          <w:szCs w:val="16"/>
          <w:lang w:val="es-ES"/>
        </w:rPr>
        <w:t xml:space="preserve">, párr. 10; </w:t>
      </w:r>
      <w:r w:rsidRPr="007947A1">
        <w:rPr>
          <w:rFonts w:ascii="Cambria" w:hAnsi="Cambria"/>
          <w:sz w:val="16"/>
          <w:szCs w:val="16"/>
          <w:lang w:val="es-419"/>
        </w:rPr>
        <w:t>CIDH, Informe No. 260/20. Petición 796-10. Admisibilidad. Guillermo Monroy Molano y familiares. Colombia. 28 de septiembre de 2020</w:t>
      </w:r>
      <w:r>
        <w:rPr>
          <w:rFonts w:ascii="Cambria" w:hAnsi="Cambria"/>
          <w:sz w:val="16"/>
          <w:szCs w:val="16"/>
          <w:lang w:val="es-ES"/>
        </w:rPr>
        <w:t xml:space="preserve">, párr. 11; </w:t>
      </w:r>
      <w:r w:rsidRPr="007947A1">
        <w:rPr>
          <w:rFonts w:ascii="Cambria" w:hAnsi="Cambria"/>
          <w:sz w:val="16"/>
          <w:szCs w:val="16"/>
          <w:lang w:val="es-419"/>
        </w:rPr>
        <w:t>CIDH, Informe No. 36/19. Petición 1214-09. Admisibilidad. Franklin Bustamante Restrepo y Familiares. Colombia. 13 de abril de 2019</w:t>
      </w:r>
      <w:r>
        <w:rPr>
          <w:rFonts w:ascii="Cambria" w:hAnsi="Cambria"/>
          <w:sz w:val="16"/>
          <w:szCs w:val="16"/>
          <w:lang w:val="es-ES"/>
        </w:rPr>
        <w:t xml:space="preserve">, párr. 10; </w:t>
      </w:r>
      <w:r w:rsidRPr="007947A1">
        <w:rPr>
          <w:rFonts w:ascii="Cambria" w:hAnsi="Cambria"/>
          <w:sz w:val="16"/>
          <w:szCs w:val="16"/>
          <w:lang w:val="es-419"/>
        </w:rPr>
        <w:t>CIDH, Informe No. 30/17. Petición 1118-11. Admisibilidad. Comunidad Maya Q’eqchi’ Agua Caliente. Guatemala. 18 de marzo de 2017</w:t>
      </w:r>
      <w:r>
        <w:rPr>
          <w:rFonts w:ascii="Cambria" w:hAnsi="Cambria"/>
          <w:sz w:val="16"/>
          <w:szCs w:val="16"/>
          <w:lang w:val="es-ES"/>
        </w:rPr>
        <w:t xml:space="preserve">, párr. 45; </w:t>
      </w:r>
      <w:r w:rsidRPr="007947A1">
        <w:rPr>
          <w:rFonts w:ascii="Cambria" w:hAnsi="Cambria"/>
          <w:sz w:val="16"/>
          <w:szCs w:val="16"/>
          <w:lang w:val="es-419"/>
        </w:rPr>
        <w:t>CIDH, Informe No. 68/15, Petición 882-03. Admisibilidad. Víctimas de la dictadura militar. Panamá. 27 de octubre de 2015</w:t>
      </w:r>
      <w:r>
        <w:rPr>
          <w:rFonts w:ascii="Cambria" w:hAnsi="Cambria"/>
          <w:sz w:val="16"/>
          <w:szCs w:val="16"/>
          <w:lang w:val="es-ES"/>
        </w:rPr>
        <w:t>, párr. 46.</w:t>
      </w:r>
    </w:p>
  </w:footnote>
  <w:footnote w:id="14">
    <w:p w14:paraId="5F16714D" w14:textId="34B0C0DB" w:rsidR="007E6AA1" w:rsidRPr="002F2AB7" w:rsidRDefault="007E6AA1" w:rsidP="00D304F4">
      <w:pPr>
        <w:pStyle w:val="FootnoteText"/>
        <w:ind w:firstLine="720"/>
        <w:jc w:val="both"/>
        <w:rPr>
          <w:rFonts w:ascii="Cambria" w:hAnsi="Cambria"/>
          <w:sz w:val="16"/>
          <w:szCs w:val="16"/>
          <w:lang w:val="es-ES"/>
        </w:rPr>
      </w:pPr>
      <w:r w:rsidRPr="002C4642">
        <w:rPr>
          <w:rFonts w:ascii="Cambria" w:hAnsi="Cambria"/>
          <w:sz w:val="16"/>
          <w:szCs w:val="16"/>
          <w:vertAlign w:val="superscript"/>
          <w:lang w:val="es-ES"/>
        </w:rPr>
        <w:footnoteRef/>
      </w:r>
      <w:r w:rsidRPr="002C4642">
        <w:rPr>
          <w:rFonts w:ascii="Cambria" w:hAnsi="Cambria"/>
          <w:sz w:val="16"/>
          <w:szCs w:val="16"/>
          <w:lang w:val="es-ES"/>
        </w:rPr>
        <w:t xml:space="preserve"> CIDH, Informe No. 69/08, Petición 681-00. Admisibilidad. Guillermo Patricio Lynn. Argentina. 16 de octubre de 2008, párr. 48.</w:t>
      </w:r>
    </w:p>
  </w:footnote>
  <w:footnote w:id="15">
    <w:p w14:paraId="0F08A669" w14:textId="77777777" w:rsidR="007E6AA1" w:rsidRPr="008D2234" w:rsidRDefault="007E6AA1" w:rsidP="00D304F4">
      <w:pPr>
        <w:pStyle w:val="FootnoteText"/>
        <w:ind w:firstLine="720"/>
        <w:jc w:val="both"/>
        <w:rPr>
          <w:rFonts w:ascii="Cambria" w:hAnsi="Cambria"/>
          <w:sz w:val="16"/>
          <w:szCs w:val="16"/>
          <w:lang w:val="es-ES"/>
        </w:rPr>
      </w:pPr>
      <w:r w:rsidRPr="008D2234">
        <w:rPr>
          <w:rFonts w:ascii="Cambria" w:hAnsi="Cambria"/>
          <w:sz w:val="16"/>
          <w:szCs w:val="16"/>
          <w:vertAlign w:val="superscript"/>
          <w:lang w:val="es-ES"/>
        </w:rPr>
        <w:footnoteRef/>
      </w:r>
      <w:r w:rsidRPr="008D2234">
        <w:rPr>
          <w:rFonts w:ascii="Cambria" w:hAnsi="Cambria"/>
          <w:sz w:val="16"/>
          <w:szCs w:val="16"/>
          <w:lang w:val="es-ES"/>
        </w:rPr>
        <w:t xml:space="preserve"> Corte IDH. Corte IDH. Caso Tzompaxtle Tecpile y otros Vs. México. Excepción Preliminar, Fondo, Reparaciones y Costas. Sentencia de la Corte Interamericana de Derechos Humanos de 7 de noviembre de 2022. Sentencia adoptada en San José de Costa Rica, párr. 216; y Corte IDH. Caso García Rodríguez y otro Vs. México. Excepciones Preliminares, Fondo, Reparaciones y Costas. Sentencia de la Corte Interamericana de Derechos Humanos de 25 de enero de 2023. Sentencia adoptada en San José de Costa Rica, párr. 300.</w:t>
      </w:r>
    </w:p>
  </w:footnote>
  <w:footnote w:id="16">
    <w:p w14:paraId="59E4BBF8" w14:textId="77777777" w:rsidR="007E6AA1" w:rsidRPr="00CC0E1F" w:rsidRDefault="007E6AA1" w:rsidP="00D304F4">
      <w:pPr>
        <w:pStyle w:val="FootnoteText"/>
        <w:ind w:firstLine="720"/>
        <w:jc w:val="both"/>
        <w:rPr>
          <w:rFonts w:ascii="Cambria" w:hAnsi="Cambria"/>
          <w:sz w:val="16"/>
          <w:szCs w:val="16"/>
          <w:lang w:val="es-ES_tradnl"/>
        </w:rPr>
      </w:pPr>
      <w:r w:rsidRPr="008D2234">
        <w:rPr>
          <w:rFonts w:ascii="Cambria" w:hAnsi="Cambria"/>
          <w:sz w:val="16"/>
          <w:szCs w:val="16"/>
          <w:vertAlign w:val="superscript"/>
          <w:lang w:val="es-ES"/>
        </w:rPr>
        <w:footnoteRef/>
      </w:r>
      <w:r w:rsidRPr="008D2234">
        <w:rPr>
          <w:rFonts w:ascii="Cambria" w:hAnsi="Cambria"/>
          <w:sz w:val="16"/>
          <w:szCs w:val="16"/>
          <w:lang w:val="es-ES"/>
        </w:rPr>
        <w:t xml:space="preserve"> </w:t>
      </w:r>
      <w:r w:rsidRPr="008D2234">
        <w:rPr>
          <w:rFonts w:ascii="Cambria" w:hAnsi="Cambria"/>
          <w:color w:val="auto"/>
          <w:sz w:val="16"/>
          <w:szCs w:val="16"/>
          <w:lang w:val="es-ES"/>
        </w:rPr>
        <w:t>De manera ilustrativa</w:t>
      </w:r>
      <w:r w:rsidRPr="008D2234">
        <w:rPr>
          <w:rFonts w:asciiTheme="majorHAnsi" w:hAnsiTheme="majorHAnsi"/>
          <w:sz w:val="16"/>
          <w:szCs w:val="16"/>
          <w:lang w:val="es-ES"/>
        </w:rPr>
        <w:t xml:space="preserve">, se pueden consultar los siguientes informes de admisibilidad de la CIDH: CIDH, Informe No. 92/22. Petición 262-13. Admisibilidad. Manuel Ramírez Valdovinos. México. 28 de marzo de 2022; CIDH, Informe No. 91/22. Petición 84-13. Admisibilidad. Arturo Jaime Muro. México. 22 de marzo de 2022; </w:t>
      </w:r>
      <w:r w:rsidRPr="008D2234">
        <w:rPr>
          <w:rFonts w:ascii="Cambria" w:hAnsi="Cambria"/>
          <w:sz w:val="16"/>
          <w:szCs w:val="16"/>
          <w:lang w:val="es-ES"/>
        </w:rPr>
        <w:t>CIDH, Informe No. 45/22. Petición 1588-12. Admisibilidad. Maximiliano Castillo Almeida. México. 9 de marzo de 2022; y CIDH, Informe No. 44/22. Petición 1318-12. Admisibilidad. Reynaldo Esteban Cárdenas González y familiares. México. 5 de marzo de 2022.</w:t>
      </w:r>
      <w:r>
        <w:rPr>
          <w:rFonts w:ascii="Cambria" w:hAnsi="Cambri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6F5E1A" w:rsidP="00A50FCF">
    <w:pPr>
      <w:pStyle w:val="Header"/>
      <w:tabs>
        <w:tab w:val="clear" w:pos="4320"/>
        <w:tab w:val="clear" w:pos="8640"/>
      </w:tabs>
      <w:jc w:val="center"/>
      <w:rPr>
        <w:sz w:val="22"/>
        <w:szCs w:val="22"/>
      </w:rPr>
    </w:pPr>
    <w:r>
      <w:rPr>
        <w:noProof/>
        <w:sz w:val="22"/>
        <w:szCs w:val="22"/>
        <w:bdr w:val="nil"/>
      </w:rPr>
      <w:pict w14:anchorId="73227F3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F2A8914"/>
    <w:lvl w:ilvl="0" w:tplc="3ACE4168">
      <w:start w:val="1"/>
      <w:numFmt w:val="decimal"/>
      <w:lvlText w:val="%1."/>
      <w:lvlJc w:val="left"/>
      <w:pPr>
        <w:tabs>
          <w:tab w:val="num" w:pos="720"/>
        </w:tabs>
        <w:ind w:left="0" w:firstLine="720"/>
      </w:pPr>
      <w:rPr>
        <w:rFonts w:hint="default"/>
        <w:b w:val="0"/>
        <w:bCs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FB1399"/>
    <w:multiLevelType w:val="hybridMultilevel"/>
    <w:tmpl w:val="66C8697A"/>
    <w:lvl w:ilvl="0" w:tplc="E1B0D882">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5"/>
  </w:num>
  <w:num w:numId="3" w16cid:durableId="1668290177">
    <w:abstractNumId w:val="54"/>
  </w:num>
  <w:num w:numId="4" w16cid:durableId="1945452995">
    <w:abstractNumId w:val="21"/>
  </w:num>
  <w:num w:numId="5" w16cid:durableId="1582181831">
    <w:abstractNumId w:val="47"/>
  </w:num>
  <w:num w:numId="6" w16cid:durableId="2083066182">
    <w:abstractNumId w:val="26"/>
  </w:num>
  <w:num w:numId="7" w16cid:durableId="1854026783">
    <w:abstractNumId w:val="6"/>
  </w:num>
  <w:num w:numId="8" w16cid:durableId="1846895806">
    <w:abstractNumId w:val="17"/>
  </w:num>
  <w:num w:numId="9" w16cid:durableId="1228106973">
    <w:abstractNumId w:val="41"/>
  </w:num>
  <w:num w:numId="10" w16cid:durableId="170799947">
    <w:abstractNumId w:val="0"/>
  </w:num>
  <w:num w:numId="11" w16cid:durableId="1688864958">
    <w:abstractNumId w:val="36"/>
  </w:num>
  <w:num w:numId="12" w16cid:durableId="1282608130">
    <w:abstractNumId w:val="37"/>
  </w:num>
  <w:num w:numId="13" w16cid:durableId="1384522483">
    <w:abstractNumId w:val="43"/>
  </w:num>
  <w:num w:numId="14" w16cid:durableId="1819610198">
    <w:abstractNumId w:val="1"/>
  </w:num>
  <w:num w:numId="15" w16cid:durableId="114950191">
    <w:abstractNumId w:val="2"/>
  </w:num>
  <w:num w:numId="16" w16cid:durableId="1418209580">
    <w:abstractNumId w:val="7"/>
  </w:num>
  <w:num w:numId="17" w16cid:durableId="1371343407">
    <w:abstractNumId w:val="8"/>
  </w:num>
  <w:num w:numId="18" w16cid:durableId="2025857817">
    <w:abstractNumId w:val="9"/>
  </w:num>
  <w:num w:numId="19" w16cid:durableId="120926511">
    <w:abstractNumId w:val="10"/>
  </w:num>
  <w:num w:numId="20" w16cid:durableId="796684602">
    <w:abstractNumId w:val="11"/>
  </w:num>
  <w:num w:numId="21" w16cid:durableId="1794518178">
    <w:abstractNumId w:val="12"/>
  </w:num>
  <w:num w:numId="22" w16cid:durableId="1361197665">
    <w:abstractNumId w:val="13"/>
  </w:num>
  <w:num w:numId="23" w16cid:durableId="1598369510">
    <w:abstractNumId w:val="14"/>
  </w:num>
  <w:num w:numId="24" w16cid:durableId="1268344798">
    <w:abstractNumId w:val="15"/>
  </w:num>
  <w:num w:numId="25" w16cid:durableId="829902806">
    <w:abstractNumId w:val="18"/>
  </w:num>
  <w:num w:numId="26" w16cid:durableId="1018391739">
    <w:abstractNumId w:val="19"/>
  </w:num>
  <w:num w:numId="27" w16cid:durableId="157771250">
    <w:abstractNumId w:val="22"/>
  </w:num>
  <w:num w:numId="28" w16cid:durableId="1073819316">
    <w:abstractNumId w:val="23"/>
  </w:num>
  <w:num w:numId="29" w16cid:durableId="845166776">
    <w:abstractNumId w:val="24"/>
  </w:num>
  <w:num w:numId="30" w16cid:durableId="782303738">
    <w:abstractNumId w:val="25"/>
  </w:num>
  <w:num w:numId="31" w16cid:durableId="28190492">
    <w:abstractNumId w:val="27"/>
  </w:num>
  <w:num w:numId="32" w16cid:durableId="1720007105">
    <w:abstractNumId w:val="28"/>
  </w:num>
  <w:num w:numId="33" w16cid:durableId="1743138774">
    <w:abstractNumId w:val="29"/>
  </w:num>
  <w:num w:numId="34" w16cid:durableId="504327955">
    <w:abstractNumId w:val="30"/>
  </w:num>
  <w:num w:numId="35" w16cid:durableId="386299051">
    <w:abstractNumId w:val="31"/>
  </w:num>
  <w:num w:numId="36" w16cid:durableId="1603954712">
    <w:abstractNumId w:val="32"/>
  </w:num>
  <w:num w:numId="37" w16cid:durableId="2016296849">
    <w:abstractNumId w:val="34"/>
  </w:num>
  <w:num w:numId="38" w16cid:durableId="1123575761">
    <w:abstractNumId w:val="35"/>
  </w:num>
  <w:num w:numId="39" w16cid:durableId="885220084">
    <w:abstractNumId w:val="38"/>
  </w:num>
  <w:num w:numId="40" w16cid:durableId="1677882777">
    <w:abstractNumId w:val="39"/>
  </w:num>
  <w:num w:numId="41" w16cid:durableId="2080008191">
    <w:abstractNumId w:val="45"/>
  </w:num>
  <w:num w:numId="42" w16cid:durableId="2130512321">
    <w:abstractNumId w:val="48"/>
  </w:num>
  <w:num w:numId="43" w16cid:durableId="383873755">
    <w:abstractNumId w:val="50"/>
  </w:num>
  <w:num w:numId="44" w16cid:durableId="1151672333">
    <w:abstractNumId w:val="52"/>
  </w:num>
  <w:num w:numId="45" w16cid:durableId="1701393687">
    <w:abstractNumId w:val="53"/>
  </w:num>
  <w:num w:numId="46" w16cid:durableId="935747877">
    <w:abstractNumId w:val="55"/>
  </w:num>
  <w:num w:numId="47" w16cid:durableId="589967283">
    <w:abstractNumId w:val="56"/>
  </w:num>
  <w:num w:numId="48" w16cid:durableId="811559707">
    <w:abstractNumId w:val="57"/>
  </w:num>
  <w:num w:numId="49" w16cid:durableId="1911117000">
    <w:abstractNumId w:val="59"/>
  </w:num>
  <w:num w:numId="50" w16cid:durableId="1262568442">
    <w:abstractNumId w:val="60"/>
  </w:num>
  <w:num w:numId="51" w16cid:durableId="952663665">
    <w:abstractNumId w:val="20"/>
  </w:num>
  <w:num w:numId="52" w16cid:durableId="151526692">
    <w:abstractNumId w:val="40"/>
  </w:num>
  <w:num w:numId="53" w16cid:durableId="1812626778">
    <w:abstractNumId w:val="51"/>
  </w:num>
  <w:num w:numId="54" w16cid:durableId="1147821580">
    <w:abstractNumId w:val="44"/>
  </w:num>
  <w:num w:numId="55" w16cid:durableId="1410956972">
    <w:abstractNumId w:val="42"/>
  </w:num>
  <w:num w:numId="56" w16cid:durableId="1693795744">
    <w:abstractNumId w:val="16"/>
  </w:num>
  <w:num w:numId="57" w16cid:durableId="1454791892">
    <w:abstractNumId w:val="33"/>
  </w:num>
  <w:num w:numId="58" w16cid:durableId="41561694">
    <w:abstractNumId w:val="49"/>
  </w:num>
  <w:num w:numId="59" w16cid:durableId="425077072">
    <w:abstractNumId w:val="46"/>
  </w:num>
  <w:num w:numId="60" w16cid:durableId="802507539">
    <w:abstractNumId w:val="58"/>
  </w:num>
  <w:num w:numId="61" w16cid:durableId="215432624">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UY" w:vendorID="64" w:dllVersion="0" w:nlCheck="1" w:checkStyle="0"/>
  <w:activeWritingStyle w:appName="MSWord" w:lang="es-BO" w:vendorID="64" w:dllVersion="0" w:nlCheck="1" w:checkStyle="0"/>
  <w:activeWritingStyle w:appName="MSWord" w:lang="es-419"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E5D"/>
    <w:rsid w:val="00002790"/>
    <w:rsid w:val="000027B9"/>
    <w:rsid w:val="000030B3"/>
    <w:rsid w:val="00003BA1"/>
    <w:rsid w:val="00003D5B"/>
    <w:rsid w:val="00003FFE"/>
    <w:rsid w:val="0000411C"/>
    <w:rsid w:val="0000476F"/>
    <w:rsid w:val="00004C80"/>
    <w:rsid w:val="0000693F"/>
    <w:rsid w:val="00006D41"/>
    <w:rsid w:val="00006E1F"/>
    <w:rsid w:val="00006F46"/>
    <w:rsid w:val="000070D7"/>
    <w:rsid w:val="000074F7"/>
    <w:rsid w:val="0001054E"/>
    <w:rsid w:val="0001073E"/>
    <w:rsid w:val="0001100A"/>
    <w:rsid w:val="00011DC1"/>
    <w:rsid w:val="00011F7D"/>
    <w:rsid w:val="000120FE"/>
    <w:rsid w:val="0001269A"/>
    <w:rsid w:val="0001280B"/>
    <w:rsid w:val="00013352"/>
    <w:rsid w:val="000134B0"/>
    <w:rsid w:val="0001376F"/>
    <w:rsid w:val="00013FF7"/>
    <w:rsid w:val="00014203"/>
    <w:rsid w:val="0001703E"/>
    <w:rsid w:val="0001705E"/>
    <w:rsid w:val="0001788C"/>
    <w:rsid w:val="0002024B"/>
    <w:rsid w:val="00020255"/>
    <w:rsid w:val="000206BC"/>
    <w:rsid w:val="00020FD8"/>
    <w:rsid w:val="00021094"/>
    <w:rsid w:val="0002114F"/>
    <w:rsid w:val="00021297"/>
    <w:rsid w:val="0002158D"/>
    <w:rsid w:val="0002172A"/>
    <w:rsid w:val="00021B12"/>
    <w:rsid w:val="00022105"/>
    <w:rsid w:val="00022724"/>
    <w:rsid w:val="00022963"/>
    <w:rsid w:val="0002361C"/>
    <w:rsid w:val="00023750"/>
    <w:rsid w:val="0002471C"/>
    <w:rsid w:val="00024C80"/>
    <w:rsid w:val="00025AD7"/>
    <w:rsid w:val="00025EB8"/>
    <w:rsid w:val="0002605E"/>
    <w:rsid w:val="0002665C"/>
    <w:rsid w:val="00026C16"/>
    <w:rsid w:val="000275C4"/>
    <w:rsid w:val="00027F45"/>
    <w:rsid w:val="000300A7"/>
    <w:rsid w:val="00031177"/>
    <w:rsid w:val="00031210"/>
    <w:rsid w:val="0003172C"/>
    <w:rsid w:val="0003282C"/>
    <w:rsid w:val="00032942"/>
    <w:rsid w:val="00032ADB"/>
    <w:rsid w:val="00033556"/>
    <w:rsid w:val="000337EF"/>
    <w:rsid w:val="00034D00"/>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4D9"/>
    <w:rsid w:val="00044A9B"/>
    <w:rsid w:val="00045A73"/>
    <w:rsid w:val="00045C42"/>
    <w:rsid w:val="000467EF"/>
    <w:rsid w:val="000468FB"/>
    <w:rsid w:val="00046BD4"/>
    <w:rsid w:val="000470C7"/>
    <w:rsid w:val="00047BBE"/>
    <w:rsid w:val="000509DF"/>
    <w:rsid w:val="0005108A"/>
    <w:rsid w:val="000511F3"/>
    <w:rsid w:val="000519B4"/>
    <w:rsid w:val="00051E1A"/>
    <w:rsid w:val="000521F2"/>
    <w:rsid w:val="00052EDE"/>
    <w:rsid w:val="00053C42"/>
    <w:rsid w:val="00053D29"/>
    <w:rsid w:val="00054018"/>
    <w:rsid w:val="0005485E"/>
    <w:rsid w:val="00054EB1"/>
    <w:rsid w:val="00054FFA"/>
    <w:rsid w:val="00055648"/>
    <w:rsid w:val="00055CA1"/>
    <w:rsid w:val="00056FB9"/>
    <w:rsid w:val="000574CD"/>
    <w:rsid w:val="00057F92"/>
    <w:rsid w:val="00057FA9"/>
    <w:rsid w:val="00060E9F"/>
    <w:rsid w:val="0006100C"/>
    <w:rsid w:val="00061B13"/>
    <w:rsid w:val="000621E1"/>
    <w:rsid w:val="00062C62"/>
    <w:rsid w:val="00063911"/>
    <w:rsid w:val="00063972"/>
    <w:rsid w:val="000641AC"/>
    <w:rsid w:val="000644CE"/>
    <w:rsid w:val="00064A89"/>
    <w:rsid w:val="00064DB4"/>
    <w:rsid w:val="00064FFD"/>
    <w:rsid w:val="00065835"/>
    <w:rsid w:val="00066C65"/>
    <w:rsid w:val="00066E0E"/>
    <w:rsid w:val="00067C1D"/>
    <w:rsid w:val="00070CB1"/>
    <w:rsid w:val="00070F21"/>
    <w:rsid w:val="00071174"/>
    <w:rsid w:val="000714A1"/>
    <w:rsid w:val="000716C5"/>
    <w:rsid w:val="00071911"/>
    <w:rsid w:val="00072753"/>
    <w:rsid w:val="000728B5"/>
    <w:rsid w:val="00072DF4"/>
    <w:rsid w:val="000730B9"/>
    <w:rsid w:val="00073538"/>
    <w:rsid w:val="00074669"/>
    <w:rsid w:val="00075E23"/>
    <w:rsid w:val="000761D3"/>
    <w:rsid w:val="0007620A"/>
    <w:rsid w:val="00076C9E"/>
    <w:rsid w:val="000807DC"/>
    <w:rsid w:val="00081008"/>
    <w:rsid w:val="000816C9"/>
    <w:rsid w:val="0008237D"/>
    <w:rsid w:val="00082558"/>
    <w:rsid w:val="000839DF"/>
    <w:rsid w:val="00083E53"/>
    <w:rsid w:val="00083EFD"/>
    <w:rsid w:val="00084FE6"/>
    <w:rsid w:val="00085F4B"/>
    <w:rsid w:val="00086537"/>
    <w:rsid w:val="00086675"/>
    <w:rsid w:val="000876E3"/>
    <w:rsid w:val="000877AC"/>
    <w:rsid w:val="00090B5C"/>
    <w:rsid w:val="00091074"/>
    <w:rsid w:val="00092050"/>
    <w:rsid w:val="00092059"/>
    <w:rsid w:val="000920C5"/>
    <w:rsid w:val="0009240B"/>
    <w:rsid w:val="0009344A"/>
    <w:rsid w:val="00094432"/>
    <w:rsid w:val="00094840"/>
    <w:rsid w:val="00095AB2"/>
    <w:rsid w:val="00095BBA"/>
    <w:rsid w:val="00095F95"/>
    <w:rsid w:val="0009607B"/>
    <w:rsid w:val="0009612D"/>
    <w:rsid w:val="00097659"/>
    <w:rsid w:val="00097CA7"/>
    <w:rsid w:val="000A022D"/>
    <w:rsid w:val="000A1231"/>
    <w:rsid w:val="000A14D8"/>
    <w:rsid w:val="000A1E31"/>
    <w:rsid w:val="000A1F0D"/>
    <w:rsid w:val="000A27CD"/>
    <w:rsid w:val="000A300A"/>
    <w:rsid w:val="000A32A1"/>
    <w:rsid w:val="000A3922"/>
    <w:rsid w:val="000A392E"/>
    <w:rsid w:val="000A3B21"/>
    <w:rsid w:val="000A3BC4"/>
    <w:rsid w:val="000A575F"/>
    <w:rsid w:val="000A5E15"/>
    <w:rsid w:val="000A5F49"/>
    <w:rsid w:val="000A620E"/>
    <w:rsid w:val="000B07B9"/>
    <w:rsid w:val="000B16B5"/>
    <w:rsid w:val="000B2369"/>
    <w:rsid w:val="000B326C"/>
    <w:rsid w:val="000B351E"/>
    <w:rsid w:val="000B5D8E"/>
    <w:rsid w:val="000C0A25"/>
    <w:rsid w:val="000C1F14"/>
    <w:rsid w:val="000C2862"/>
    <w:rsid w:val="000C2EF9"/>
    <w:rsid w:val="000C3127"/>
    <w:rsid w:val="000C32B4"/>
    <w:rsid w:val="000C32F3"/>
    <w:rsid w:val="000C3337"/>
    <w:rsid w:val="000C33EC"/>
    <w:rsid w:val="000C372C"/>
    <w:rsid w:val="000C3EB9"/>
    <w:rsid w:val="000C43F4"/>
    <w:rsid w:val="000C465D"/>
    <w:rsid w:val="000C48C2"/>
    <w:rsid w:val="000C50A5"/>
    <w:rsid w:val="000C510C"/>
    <w:rsid w:val="000C5511"/>
    <w:rsid w:val="000C5D73"/>
    <w:rsid w:val="000C6936"/>
    <w:rsid w:val="000C7031"/>
    <w:rsid w:val="000C7207"/>
    <w:rsid w:val="000C739F"/>
    <w:rsid w:val="000C782A"/>
    <w:rsid w:val="000D0388"/>
    <w:rsid w:val="000D05CB"/>
    <w:rsid w:val="000D0CBA"/>
    <w:rsid w:val="000D10DB"/>
    <w:rsid w:val="000D1130"/>
    <w:rsid w:val="000D142F"/>
    <w:rsid w:val="000D21CB"/>
    <w:rsid w:val="000D2229"/>
    <w:rsid w:val="000D3E80"/>
    <w:rsid w:val="000D456B"/>
    <w:rsid w:val="000D52C5"/>
    <w:rsid w:val="000D63FB"/>
    <w:rsid w:val="000D6AEA"/>
    <w:rsid w:val="000E01E0"/>
    <w:rsid w:val="000E0BE4"/>
    <w:rsid w:val="000E0DCB"/>
    <w:rsid w:val="000E1780"/>
    <w:rsid w:val="000E1849"/>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3C9"/>
    <w:rsid w:val="000E6937"/>
    <w:rsid w:val="000E69A6"/>
    <w:rsid w:val="000E6D59"/>
    <w:rsid w:val="000E713E"/>
    <w:rsid w:val="000E7763"/>
    <w:rsid w:val="000E7CB6"/>
    <w:rsid w:val="000F037F"/>
    <w:rsid w:val="000F0748"/>
    <w:rsid w:val="000F158B"/>
    <w:rsid w:val="000F161E"/>
    <w:rsid w:val="000F1C89"/>
    <w:rsid w:val="000F1EC1"/>
    <w:rsid w:val="000F2906"/>
    <w:rsid w:val="000F2D50"/>
    <w:rsid w:val="000F35ED"/>
    <w:rsid w:val="000F364B"/>
    <w:rsid w:val="000F3826"/>
    <w:rsid w:val="000F3B1D"/>
    <w:rsid w:val="000F3E35"/>
    <w:rsid w:val="000F421F"/>
    <w:rsid w:val="000F43B2"/>
    <w:rsid w:val="000F5A3C"/>
    <w:rsid w:val="000F6529"/>
    <w:rsid w:val="000F6739"/>
    <w:rsid w:val="000F7538"/>
    <w:rsid w:val="000F799E"/>
    <w:rsid w:val="000F7D00"/>
    <w:rsid w:val="00100972"/>
    <w:rsid w:val="001012A6"/>
    <w:rsid w:val="0010140A"/>
    <w:rsid w:val="00101441"/>
    <w:rsid w:val="00101475"/>
    <w:rsid w:val="00101751"/>
    <w:rsid w:val="00101C26"/>
    <w:rsid w:val="0010333C"/>
    <w:rsid w:val="00103492"/>
    <w:rsid w:val="001042D4"/>
    <w:rsid w:val="0010441C"/>
    <w:rsid w:val="00105B52"/>
    <w:rsid w:val="00105C67"/>
    <w:rsid w:val="00106CD4"/>
    <w:rsid w:val="00106F10"/>
    <w:rsid w:val="00107131"/>
    <w:rsid w:val="0010736F"/>
    <w:rsid w:val="001114A9"/>
    <w:rsid w:val="001116D3"/>
    <w:rsid w:val="0011197C"/>
    <w:rsid w:val="001127D1"/>
    <w:rsid w:val="0011328C"/>
    <w:rsid w:val="00113558"/>
    <w:rsid w:val="00113F73"/>
    <w:rsid w:val="00114095"/>
    <w:rsid w:val="001140A1"/>
    <w:rsid w:val="001140D6"/>
    <w:rsid w:val="00114FEA"/>
    <w:rsid w:val="00115FA7"/>
    <w:rsid w:val="001161E2"/>
    <w:rsid w:val="0011645A"/>
    <w:rsid w:val="001174B9"/>
    <w:rsid w:val="0011760E"/>
    <w:rsid w:val="0012007B"/>
    <w:rsid w:val="00121870"/>
    <w:rsid w:val="00121AE5"/>
    <w:rsid w:val="00121CC2"/>
    <w:rsid w:val="00122523"/>
    <w:rsid w:val="00122EF7"/>
    <w:rsid w:val="00122F24"/>
    <w:rsid w:val="00123201"/>
    <w:rsid w:val="00124C55"/>
    <w:rsid w:val="0012556E"/>
    <w:rsid w:val="00125679"/>
    <w:rsid w:val="001258E6"/>
    <w:rsid w:val="001259C8"/>
    <w:rsid w:val="00125DE4"/>
    <w:rsid w:val="00126D97"/>
    <w:rsid w:val="001274AA"/>
    <w:rsid w:val="001278A9"/>
    <w:rsid w:val="00127ACE"/>
    <w:rsid w:val="001305DD"/>
    <w:rsid w:val="00130B5A"/>
    <w:rsid w:val="00130EAC"/>
    <w:rsid w:val="00131425"/>
    <w:rsid w:val="00131D21"/>
    <w:rsid w:val="00131F9A"/>
    <w:rsid w:val="0013237E"/>
    <w:rsid w:val="00132AF6"/>
    <w:rsid w:val="00133EE5"/>
    <w:rsid w:val="0013458C"/>
    <w:rsid w:val="00134870"/>
    <w:rsid w:val="00134CA8"/>
    <w:rsid w:val="00134E0E"/>
    <w:rsid w:val="001353D0"/>
    <w:rsid w:val="0013545A"/>
    <w:rsid w:val="001356DD"/>
    <w:rsid w:val="00135E48"/>
    <w:rsid w:val="001403C0"/>
    <w:rsid w:val="00140475"/>
    <w:rsid w:val="00140793"/>
    <w:rsid w:val="0014079B"/>
    <w:rsid w:val="001407BD"/>
    <w:rsid w:val="00141132"/>
    <w:rsid w:val="001415FE"/>
    <w:rsid w:val="00142997"/>
    <w:rsid w:val="00143EC1"/>
    <w:rsid w:val="00144243"/>
    <w:rsid w:val="00144441"/>
    <w:rsid w:val="001448CA"/>
    <w:rsid w:val="00144E8B"/>
    <w:rsid w:val="00145211"/>
    <w:rsid w:val="00145FBA"/>
    <w:rsid w:val="00146497"/>
    <w:rsid w:val="00147224"/>
    <w:rsid w:val="0014734C"/>
    <w:rsid w:val="00147AD1"/>
    <w:rsid w:val="00147C70"/>
    <w:rsid w:val="00150934"/>
    <w:rsid w:val="00150C8B"/>
    <w:rsid w:val="00150EAA"/>
    <w:rsid w:val="0015112C"/>
    <w:rsid w:val="00151F0B"/>
    <w:rsid w:val="0015220E"/>
    <w:rsid w:val="0015252F"/>
    <w:rsid w:val="001525AB"/>
    <w:rsid w:val="001525D0"/>
    <w:rsid w:val="001525D7"/>
    <w:rsid w:val="00152AB7"/>
    <w:rsid w:val="0015410A"/>
    <w:rsid w:val="001541AE"/>
    <w:rsid w:val="00154337"/>
    <w:rsid w:val="00154E0F"/>
    <w:rsid w:val="00155756"/>
    <w:rsid w:val="0015580D"/>
    <w:rsid w:val="0015621E"/>
    <w:rsid w:val="001563FD"/>
    <w:rsid w:val="001564EE"/>
    <w:rsid w:val="0015732D"/>
    <w:rsid w:val="0015773C"/>
    <w:rsid w:val="00157888"/>
    <w:rsid w:val="00157903"/>
    <w:rsid w:val="0015798A"/>
    <w:rsid w:val="001605C4"/>
    <w:rsid w:val="001605C5"/>
    <w:rsid w:val="00160B3B"/>
    <w:rsid w:val="00162A3A"/>
    <w:rsid w:val="00162F6F"/>
    <w:rsid w:val="001633B0"/>
    <w:rsid w:val="00163D47"/>
    <w:rsid w:val="0016452B"/>
    <w:rsid w:val="00164951"/>
    <w:rsid w:val="00164E74"/>
    <w:rsid w:val="001655F4"/>
    <w:rsid w:val="00165F12"/>
    <w:rsid w:val="0016676B"/>
    <w:rsid w:val="00166C50"/>
    <w:rsid w:val="00166E30"/>
    <w:rsid w:val="00166EAE"/>
    <w:rsid w:val="001677F0"/>
    <w:rsid w:val="00167A34"/>
    <w:rsid w:val="0017066F"/>
    <w:rsid w:val="00172ECB"/>
    <w:rsid w:val="00172ED3"/>
    <w:rsid w:val="00173826"/>
    <w:rsid w:val="00174221"/>
    <w:rsid w:val="00174597"/>
    <w:rsid w:val="001748E3"/>
    <w:rsid w:val="00174CC9"/>
    <w:rsid w:val="001757FD"/>
    <w:rsid w:val="00175B13"/>
    <w:rsid w:val="00175CE1"/>
    <w:rsid w:val="001762AB"/>
    <w:rsid w:val="00176472"/>
    <w:rsid w:val="00176489"/>
    <w:rsid w:val="00177660"/>
    <w:rsid w:val="001801ED"/>
    <w:rsid w:val="00181026"/>
    <w:rsid w:val="00181085"/>
    <w:rsid w:val="001817F4"/>
    <w:rsid w:val="00182284"/>
    <w:rsid w:val="00182754"/>
    <w:rsid w:val="00182E18"/>
    <w:rsid w:val="001833C9"/>
    <w:rsid w:val="00183581"/>
    <w:rsid w:val="001839FC"/>
    <w:rsid w:val="00183B60"/>
    <w:rsid w:val="00183D17"/>
    <w:rsid w:val="00183DEB"/>
    <w:rsid w:val="001842C0"/>
    <w:rsid w:val="00185747"/>
    <w:rsid w:val="001859B8"/>
    <w:rsid w:val="00186758"/>
    <w:rsid w:val="0018728F"/>
    <w:rsid w:val="001877D5"/>
    <w:rsid w:val="001879CE"/>
    <w:rsid w:val="001905B0"/>
    <w:rsid w:val="00190CA0"/>
    <w:rsid w:val="00191C12"/>
    <w:rsid w:val="00191DBA"/>
    <w:rsid w:val="00191FD2"/>
    <w:rsid w:val="001929BE"/>
    <w:rsid w:val="0019385A"/>
    <w:rsid w:val="00194F82"/>
    <w:rsid w:val="00195996"/>
    <w:rsid w:val="00195B9C"/>
    <w:rsid w:val="0019647E"/>
    <w:rsid w:val="00197A00"/>
    <w:rsid w:val="001A01A5"/>
    <w:rsid w:val="001A027D"/>
    <w:rsid w:val="001A09E8"/>
    <w:rsid w:val="001A0A49"/>
    <w:rsid w:val="001A0C72"/>
    <w:rsid w:val="001A148D"/>
    <w:rsid w:val="001A1FF6"/>
    <w:rsid w:val="001A2797"/>
    <w:rsid w:val="001A2A63"/>
    <w:rsid w:val="001A2AE3"/>
    <w:rsid w:val="001A3577"/>
    <w:rsid w:val="001A45FA"/>
    <w:rsid w:val="001A468D"/>
    <w:rsid w:val="001A4795"/>
    <w:rsid w:val="001A520D"/>
    <w:rsid w:val="001A5C54"/>
    <w:rsid w:val="001A5D26"/>
    <w:rsid w:val="001A63B2"/>
    <w:rsid w:val="001A69C3"/>
    <w:rsid w:val="001A6B23"/>
    <w:rsid w:val="001A6C0F"/>
    <w:rsid w:val="001A6CDB"/>
    <w:rsid w:val="001A7512"/>
    <w:rsid w:val="001A762A"/>
    <w:rsid w:val="001A7870"/>
    <w:rsid w:val="001B0590"/>
    <w:rsid w:val="001B11C2"/>
    <w:rsid w:val="001B1403"/>
    <w:rsid w:val="001B1A8F"/>
    <w:rsid w:val="001B1BC2"/>
    <w:rsid w:val="001B2810"/>
    <w:rsid w:val="001B2856"/>
    <w:rsid w:val="001B286E"/>
    <w:rsid w:val="001B2B57"/>
    <w:rsid w:val="001B31B3"/>
    <w:rsid w:val="001B3A00"/>
    <w:rsid w:val="001B5160"/>
    <w:rsid w:val="001B5A8A"/>
    <w:rsid w:val="001B6137"/>
    <w:rsid w:val="001B667C"/>
    <w:rsid w:val="001B6955"/>
    <w:rsid w:val="001B76E0"/>
    <w:rsid w:val="001B7800"/>
    <w:rsid w:val="001B7A81"/>
    <w:rsid w:val="001B7EC4"/>
    <w:rsid w:val="001B7F55"/>
    <w:rsid w:val="001C01B2"/>
    <w:rsid w:val="001C020F"/>
    <w:rsid w:val="001C0244"/>
    <w:rsid w:val="001C1B41"/>
    <w:rsid w:val="001C1DC1"/>
    <w:rsid w:val="001C251E"/>
    <w:rsid w:val="001C2718"/>
    <w:rsid w:val="001C2730"/>
    <w:rsid w:val="001C2741"/>
    <w:rsid w:val="001C2B05"/>
    <w:rsid w:val="001C2DF7"/>
    <w:rsid w:val="001C4153"/>
    <w:rsid w:val="001C451F"/>
    <w:rsid w:val="001C5BCD"/>
    <w:rsid w:val="001C6844"/>
    <w:rsid w:val="001C6DB4"/>
    <w:rsid w:val="001D14E7"/>
    <w:rsid w:val="001D232E"/>
    <w:rsid w:val="001D35EC"/>
    <w:rsid w:val="001D3632"/>
    <w:rsid w:val="001D4015"/>
    <w:rsid w:val="001D4C2C"/>
    <w:rsid w:val="001D4DD6"/>
    <w:rsid w:val="001D4ED9"/>
    <w:rsid w:val="001D574C"/>
    <w:rsid w:val="001D65EF"/>
    <w:rsid w:val="001D74AE"/>
    <w:rsid w:val="001D7B10"/>
    <w:rsid w:val="001D7B3A"/>
    <w:rsid w:val="001D7E3E"/>
    <w:rsid w:val="001E02D5"/>
    <w:rsid w:val="001E093E"/>
    <w:rsid w:val="001E0C91"/>
    <w:rsid w:val="001E0E24"/>
    <w:rsid w:val="001E13F8"/>
    <w:rsid w:val="001E271D"/>
    <w:rsid w:val="001E3183"/>
    <w:rsid w:val="001E3C5E"/>
    <w:rsid w:val="001E40BF"/>
    <w:rsid w:val="001E49E7"/>
    <w:rsid w:val="001E50DA"/>
    <w:rsid w:val="001E570A"/>
    <w:rsid w:val="001E7869"/>
    <w:rsid w:val="001E7870"/>
    <w:rsid w:val="001F0566"/>
    <w:rsid w:val="001F105A"/>
    <w:rsid w:val="001F1D48"/>
    <w:rsid w:val="001F25E6"/>
    <w:rsid w:val="001F275C"/>
    <w:rsid w:val="001F2797"/>
    <w:rsid w:val="001F2A78"/>
    <w:rsid w:val="001F3116"/>
    <w:rsid w:val="001F3AEC"/>
    <w:rsid w:val="001F415F"/>
    <w:rsid w:val="001F4199"/>
    <w:rsid w:val="001F48A4"/>
    <w:rsid w:val="001F542E"/>
    <w:rsid w:val="001F5E55"/>
    <w:rsid w:val="001F6959"/>
    <w:rsid w:val="001F6A95"/>
    <w:rsid w:val="001F6B3D"/>
    <w:rsid w:val="001F6F13"/>
    <w:rsid w:val="001F70D0"/>
    <w:rsid w:val="001F7201"/>
    <w:rsid w:val="001F7BAB"/>
    <w:rsid w:val="00200143"/>
    <w:rsid w:val="002002CE"/>
    <w:rsid w:val="002003C8"/>
    <w:rsid w:val="00200F2A"/>
    <w:rsid w:val="002018B1"/>
    <w:rsid w:val="002032A2"/>
    <w:rsid w:val="00203DC5"/>
    <w:rsid w:val="00204D4E"/>
    <w:rsid w:val="00205730"/>
    <w:rsid w:val="002058B8"/>
    <w:rsid w:val="00205D4A"/>
    <w:rsid w:val="0020647E"/>
    <w:rsid w:val="00207846"/>
    <w:rsid w:val="00210761"/>
    <w:rsid w:val="002107D5"/>
    <w:rsid w:val="00210FA8"/>
    <w:rsid w:val="00212503"/>
    <w:rsid w:val="00212D8E"/>
    <w:rsid w:val="002137E8"/>
    <w:rsid w:val="002139FB"/>
    <w:rsid w:val="00213F93"/>
    <w:rsid w:val="00214993"/>
    <w:rsid w:val="00214F73"/>
    <w:rsid w:val="00214FCD"/>
    <w:rsid w:val="00216A25"/>
    <w:rsid w:val="00216BCE"/>
    <w:rsid w:val="00216E91"/>
    <w:rsid w:val="002170CE"/>
    <w:rsid w:val="00217713"/>
    <w:rsid w:val="00217AA7"/>
    <w:rsid w:val="002201FD"/>
    <w:rsid w:val="002215B6"/>
    <w:rsid w:val="00221606"/>
    <w:rsid w:val="00221D65"/>
    <w:rsid w:val="002221C1"/>
    <w:rsid w:val="00222D19"/>
    <w:rsid w:val="00222FF7"/>
    <w:rsid w:val="00223A29"/>
    <w:rsid w:val="00225074"/>
    <w:rsid w:val="002250A3"/>
    <w:rsid w:val="00225589"/>
    <w:rsid w:val="0022591D"/>
    <w:rsid w:val="00225B0C"/>
    <w:rsid w:val="00226379"/>
    <w:rsid w:val="00226691"/>
    <w:rsid w:val="002267A6"/>
    <w:rsid w:val="00226C96"/>
    <w:rsid w:val="00226FDC"/>
    <w:rsid w:val="0022746C"/>
    <w:rsid w:val="00227542"/>
    <w:rsid w:val="00227754"/>
    <w:rsid w:val="00227F52"/>
    <w:rsid w:val="00227F6E"/>
    <w:rsid w:val="0023024E"/>
    <w:rsid w:val="00230D83"/>
    <w:rsid w:val="00231306"/>
    <w:rsid w:val="00232491"/>
    <w:rsid w:val="00233CAF"/>
    <w:rsid w:val="00234758"/>
    <w:rsid w:val="00235217"/>
    <w:rsid w:val="002352CB"/>
    <w:rsid w:val="00235786"/>
    <w:rsid w:val="002358CC"/>
    <w:rsid w:val="00235F4F"/>
    <w:rsid w:val="00236AA6"/>
    <w:rsid w:val="00236F36"/>
    <w:rsid w:val="00237599"/>
    <w:rsid w:val="0023762C"/>
    <w:rsid w:val="00237793"/>
    <w:rsid w:val="00241063"/>
    <w:rsid w:val="0024179E"/>
    <w:rsid w:val="00241D53"/>
    <w:rsid w:val="00241E2F"/>
    <w:rsid w:val="0024200B"/>
    <w:rsid w:val="00242A2A"/>
    <w:rsid w:val="00242A87"/>
    <w:rsid w:val="00242D55"/>
    <w:rsid w:val="00242D83"/>
    <w:rsid w:val="00243169"/>
    <w:rsid w:val="002434DA"/>
    <w:rsid w:val="00243C90"/>
    <w:rsid w:val="002456DE"/>
    <w:rsid w:val="002456EC"/>
    <w:rsid w:val="002457D7"/>
    <w:rsid w:val="00245AFD"/>
    <w:rsid w:val="0024640B"/>
    <w:rsid w:val="00246D1F"/>
    <w:rsid w:val="00247403"/>
    <w:rsid w:val="00247542"/>
    <w:rsid w:val="002503E6"/>
    <w:rsid w:val="00250827"/>
    <w:rsid w:val="002508AC"/>
    <w:rsid w:val="00250AC9"/>
    <w:rsid w:val="002512E8"/>
    <w:rsid w:val="0025136C"/>
    <w:rsid w:val="002525F9"/>
    <w:rsid w:val="002528B4"/>
    <w:rsid w:val="00252D52"/>
    <w:rsid w:val="00252DAB"/>
    <w:rsid w:val="0025302D"/>
    <w:rsid w:val="002532B8"/>
    <w:rsid w:val="00253A56"/>
    <w:rsid w:val="00254012"/>
    <w:rsid w:val="00254805"/>
    <w:rsid w:val="00254A6D"/>
    <w:rsid w:val="00254B78"/>
    <w:rsid w:val="00255FFF"/>
    <w:rsid w:val="002572FC"/>
    <w:rsid w:val="0026057C"/>
    <w:rsid w:val="00260935"/>
    <w:rsid w:val="00260A98"/>
    <w:rsid w:val="00261304"/>
    <w:rsid w:val="00261937"/>
    <w:rsid w:val="00261E8C"/>
    <w:rsid w:val="00261EA4"/>
    <w:rsid w:val="0026207B"/>
    <w:rsid w:val="00262AE3"/>
    <w:rsid w:val="00262DFC"/>
    <w:rsid w:val="002641F9"/>
    <w:rsid w:val="0026499E"/>
    <w:rsid w:val="002656C4"/>
    <w:rsid w:val="00265B59"/>
    <w:rsid w:val="00266351"/>
    <w:rsid w:val="00266B61"/>
    <w:rsid w:val="0026712A"/>
    <w:rsid w:val="00267D8D"/>
    <w:rsid w:val="002704DB"/>
    <w:rsid w:val="00270525"/>
    <w:rsid w:val="002714C2"/>
    <w:rsid w:val="00272099"/>
    <w:rsid w:val="00272B42"/>
    <w:rsid w:val="00274AFA"/>
    <w:rsid w:val="00274DCE"/>
    <w:rsid w:val="002766B9"/>
    <w:rsid w:val="00276CD0"/>
    <w:rsid w:val="002773F8"/>
    <w:rsid w:val="002806D0"/>
    <w:rsid w:val="002806ED"/>
    <w:rsid w:val="00281BE6"/>
    <w:rsid w:val="00282927"/>
    <w:rsid w:val="00282B01"/>
    <w:rsid w:val="00282C21"/>
    <w:rsid w:val="00282DCC"/>
    <w:rsid w:val="00283142"/>
    <w:rsid w:val="002837EF"/>
    <w:rsid w:val="00283D72"/>
    <w:rsid w:val="00284DA8"/>
    <w:rsid w:val="002850E9"/>
    <w:rsid w:val="00286FA6"/>
    <w:rsid w:val="00287016"/>
    <w:rsid w:val="002871E3"/>
    <w:rsid w:val="00287425"/>
    <w:rsid w:val="0028778B"/>
    <w:rsid w:val="00290002"/>
    <w:rsid w:val="00291CEA"/>
    <w:rsid w:val="002920D7"/>
    <w:rsid w:val="00292441"/>
    <w:rsid w:val="002926B0"/>
    <w:rsid w:val="0029279B"/>
    <w:rsid w:val="002935A4"/>
    <w:rsid w:val="00293B95"/>
    <w:rsid w:val="0029428B"/>
    <w:rsid w:val="002942A6"/>
    <w:rsid w:val="002942CC"/>
    <w:rsid w:val="0029448F"/>
    <w:rsid w:val="002944C2"/>
    <w:rsid w:val="002944CD"/>
    <w:rsid w:val="00294763"/>
    <w:rsid w:val="002957E0"/>
    <w:rsid w:val="00295899"/>
    <w:rsid w:val="00295C63"/>
    <w:rsid w:val="00295F64"/>
    <w:rsid w:val="00295F73"/>
    <w:rsid w:val="002966CC"/>
    <w:rsid w:val="00296DB3"/>
    <w:rsid w:val="00297C07"/>
    <w:rsid w:val="00297E00"/>
    <w:rsid w:val="00297E69"/>
    <w:rsid w:val="002A0AAE"/>
    <w:rsid w:val="002A0F87"/>
    <w:rsid w:val="002A1A7F"/>
    <w:rsid w:val="002A235F"/>
    <w:rsid w:val="002A28E9"/>
    <w:rsid w:val="002A3191"/>
    <w:rsid w:val="002A353C"/>
    <w:rsid w:val="002A4CB3"/>
    <w:rsid w:val="002A4F46"/>
    <w:rsid w:val="002A50F1"/>
    <w:rsid w:val="002A5820"/>
    <w:rsid w:val="002A5BC9"/>
    <w:rsid w:val="002A5F5A"/>
    <w:rsid w:val="002A6BD3"/>
    <w:rsid w:val="002B0C97"/>
    <w:rsid w:val="002B1709"/>
    <w:rsid w:val="002B2021"/>
    <w:rsid w:val="002B21B0"/>
    <w:rsid w:val="002B39AF"/>
    <w:rsid w:val="002B3FE0"/>
    <w:rsid w:val="002B4344"/>
    <w:rsid w:val="002B4AF7"/>
    <w:rsid w:val="002B5D92"/>
    <w:rsid w:val="002B631F"/>
    <w:rsid w:val="002B6D2A"/>
    <w:rsid w:val="002B785C"/>
    <w:rsid w:val="002B7981"/>
    <w:rsid w:val="002B7C19"/>
    <w:rsid w:val="002C114E"/>
    <w:rsid w:val="002C1ABF"/>
    <w:rsid w:val="002C1DB3"/>
    <w:rsid w:val="002C229C"/>
    <w:rsid w:val="002C2974"/>
    <w:rsid w:val="002C32D1"/>
    <w:rsid w:val="002C365D"/>
    <w:rsid w:val="002C39DD"/>
    <w:rsid w:val="002C3BFB"/>
    <w:rsid w:val="002C3C15"/>
    <w:rsid w:val="002C3C9F"/>
    <w:rsid w:val="002C5404"/>
    <w:rsid w:val="002C54DB"/>
    <w:rsid w:val="002C5532"/>
    <w:rsid w:val="002C5B87"/>
    <w:rsid w:val="002C6428"/>
    <w:rsid w:val="002C67CE"/>
    <w:rsid w:val="002C71BA"/>
    <w:rsid w:val="002C77DD"/>
    <w:rsid w:val="002C7E64"/>
    <w:rsid w:val="002D034B"/>
    <w:rsid w:val="002D052E"/>
    <w:rsid w:val="002D0776"/>
    <w:rsid w:val="002D200A"/>
    <w:rsid w:val="002D2A9D"/>
    <w:rsid w:val="002D2B26"/>
    <w:rsid w:val="002D398E"/>
    <w:rsid w:val="002D3D87"/>
    <w:rsid w:val="002D3EC8"/>
    <w:rsid w:val="002D49B0"/>
    <w:rsid w:val="002D597B"/>
    <w:rsid w:val="002D62AF"/>
    <w:rsid w:val="002D650E"/>
    <w:rsid w:val="002D69F4"/>
    <w:rsid w:val="002D7EA2"/>
    <w:rsid w:val="002E05B0"/>
    <w:rsid w:val="002E0B00"/>
    <w:rsid w:val="002E187C"/>
    <w:rsid w:val="002E18E8"/>
    <w:rsid w:val="002E2349"/>
    <w:rsid w:val="002E2CF4"/>
    <w:rsid w:val="002E46FD"/>
    <w:rsid w:val="002E4FCD"/>
    <w:rsid w:val="002E5530"/>
    <w:rsid w:val="002E55B6"/>
    <w:rsid w:val="002E5B2F"/>
    <w:rsid w:val="002E5B75"/>
    <w:rsid w:val="002E6510"/>
    <w:rsid w:val="002E7748"/>
    <w:rsid w:val="002E79CB"/>
    <w:rsid w:val="002E7C41"/>
    <w:rsid w:val="002F1120"/>
    <w:rsid w:val="002F1A73"/>
    <w:rsid w:val="002F1F8F"/>
    <w:rsid w:val="002F2100"/>
    <w:rsid w:val="002F2AB7"/>
    <w:rsid w:val="002F541A"/>
    <w:rsid w:val="002F5A56"/>
    <w:rsid w:val="002F6098"/>
    <w:rsid w:val="002F622B"/>
    <w:rsid w:val="002F66C7"/>
    <w:rsid w:val="002F73BD"/>
    <w:rsid w:val="002F73C4"/>
    <w:rsid w:val="002F7548"/>
    <w:rsid w:val="002F7AB9"/>
    <w:rsid w:val="002F7CB9"/>
    <w:rsid w:val="002F7E34"/>
    <w:rsid w:val="00300172"/>
    <w:rsid w:val="003003FB"/>
    <w:rsid w:val="00300E89"/>
    <w:rsid w:val="00301156"/>
    <w:rsid w:val="003017F8"/>
    <w:rsid w:val="003018BA"/>
    <w:rsid w:val="00301B4C"/>
    <w:rsid w:val="00301CF7"/>
    <w:rsid w:val="00302733"/>
    <w:rsid w:val="00303828"/>
    <w:rsid w:val="00304FDF"/>
    <w:rsid w:val="003051F3"/>
    <w:rsid w:val="00305835"/>
    <w:rsid w:val="00306448"/>
    <w:rsid w:val="00306634"/>
    <w:rsid w:val="003066D6"/>
    <w:rsid w:val="00306F33"/>
    <w:rsid w:val="0030786E"/>
    <w:rsid w:val="003106B8"/>
    <w:rsid w:val="00310B92"/>
    <w:rsid w:val="003119EE"/>
    <w:rsid w:val="003122A3"/>
    <w:rsid w:val="003131FF"/>
    <w:rsid w:val="003133A6"/>
    <w:rsid w:val="00313571"/>
    <w:rsid w:val="003138AD"/>
    <w:rsid w:val="00313E18"/>
    <w:rsid w:val="00313F84"/>
    <w:rsid w:val="00314078"/>
    <w:rsid w:val="003141AC"/>
    <w:rsid w:val="00314605"/>
    <w:rsid w:val="00314A53"/>
    <w:rsid w:val="00314BE2"/>
    <w:rsid w:val="00314C87"/>
    <w:rsid w:val="003150FE"/>
    <w:rsid w:val="0031535D"/>
    <w:rsid w:val="00315454"/>
    <w:rsid w:val="00315C8D"/>
    <w:rsid w:val="00316BA4"/>
    <w:rsid w:val="00316FDD"/>
    <w:rsid w:val="003172BE"/>
    <w:rsid w:val="00317E5E"/>
    <w:rsid w:val="00320484"/>
    <w:rsid w:val="00320E03"/>
    <w:rsid w:val="003213AE"/>
    <w:rsid w:val="00321479"/>
    <w:rsid w:val="00321B54"/>
    <w:rsid w:val="00322E93"/>
    <w:rsid w:val="00322F3C"/>
    <w:rsid w:val="003239B8"/>
    <w:rsid w:val="00324366"/>
    <w:rsid w:val="00324462"/>
    <w:rsid w:val="00325097"/>
    <w:rsid w:val="00325887"/>
    <w:rsid w:val="00326046"/>
    <w:rsid w:val="003263A9"/>
    <w:rsid w:val="0032659B"/>
    <w:rsid w:val="00326902"/>
    <w:rsid w:val="0032734B"/>
    <w:rsid w:val="00327833"/>
    <w:rsid w:val="003278DB"/>
    <w:rsid w:val="00327DD9"/>
    <w:rsid w:val="00330409"/>
    <w:rsid w:val="003309A9"/>
    <w:rsid w:val="00330EA0"/>
    <w:rsid w:val="003313B4"/>
    <w:rsid w:val="0033169F"/>
    <w:rsid w:val="003319A9"/>
    <w:rsid w:val="00331AB9"/>
    <w:rsid w:val="00331DFD"/>
    <w:rsid w:val="00331E0B"/>
    <w:rsid w:val="003324E7"/>
    <w:rsid w:val="00332DB3"/>
    <w:rsid w:val="00332E05"/>
    <w:rsid w:val="00333FCF"/>
    <w:rsid w:val="003344E5"/>
    <w:rsid w:val="00334E8C"/>
    <w:rsid w:val="00335380"/>
    <w:rsid w:val="00335BC6"/>
    <w:rsid w:val="0033663A"/>
    <w:rsid w:val="00336E76"/>
    <w:rsid w:val="00337730"/>
    <w:rsid w:val="0034065A"/>
    <w:rsid w:val="00340F2F"/>
    <w:rsid w:val="00341047"/>
    <w:rsid w:val="003416D9"/>
    <w:rsid w:val="003417FB"/>
    <w:rsid w:val="0034189E"/>
    <w:rsid w:val="00341F14"/>
    <w:rsid w:val="00342EE9"/>
    <w:rsid w:val="0034431E"/>
    <w:rsid w:val="00344977"/>
    <w:rsid w:val="00344C9B"/>
    <w:rsid w:val="00346409"/>
    <w:rsid w:val="003469B6"/>
    <w:rsid w:val="00346A33"/>
    <w:rsid w:val="00346C95"/>
    <w:rsid w:val="00350174"/>
    <w:rsid w:val="0035095D"/>
    <w:rsid w:val="00350D1A"/>
    <w:rsid w:val="00350ECC"/>
    <w:rsid w:val="003511AC"/>
    <w:rsid w:val="003513C2"/>
    <w:rsid w:val="0035186E"/>
    <w:rsid w:val="003523F9"/>
    <w:rsid w:val="003526FB"/>
    <w:rsid w:val="00352F3C"/>
    <w:rsid w:val="00352F71"/>
    <w:rsid w:val="00353388"/>
    <w:rsid w:val="0035392D"/>
    <w:rsid w:val="00353A80"/>
    <w:rsid w:val="00353DD2"/>
    <w:rsid w:val="0035563F"/>
    <w:rsid w:val="00355B3B"/>
    <w:rsid w:val="00355BEA"/>
    <w:rsid w:val="00355EAF"/>
    <w:rsid w:val="00356185"/>
    <w:rsid w:val="00356597"/>
    <w:rsid w:val="00356804"/>
    <w:rsid w:val="003569A4"/>
    <w:rsid w:val="00357081"/>
    <w:rsid w:val="0035767A"/>
    <w:rsid w:val="003576C2"/>
    <w:rsid w:val="003578F7"/>
    <w:rsid w:val="0036001A"/>
    <w:rsid w:val="00360380"/>
    <w:rsid w:val="0036075E"/>
    <w:rsid w:val="00360A54"/>
    <w:rsid w:val="00360B70"/>
    <w:rsid w:val="00360EA0"/>
    <w:rsid w:val="0036198D"/>
    <w:rsid w:val="003619A0"/>
    <w:rsid w:val="00361E33"/>
    <w:rsid w:val="0036222E"/>
    <w:rsid w:val="00362F7F"/>
    <w:rsid w:val="0036392D"/>
    <w:rsid w:val="00363E4D"/>
    <w:rsid w:val="00364243"/>
    <w:rsid w:val="00364C91"/>
    <w:rsid w:val="00365468"/>
    <w:rsid w:val="003660B3"/>
    <w:rsid w:val="0036626F"/>
    <w:rsid w:val="003663D0"/>
    <w:rsid w:val="00366C07"/>
    <w:rsid w:val="00366FC9"/>
    <w:rsid w:val="00367768"/>
    <w:rsid w:val="00367B76"/>
    <w:rsid w:val="00370460"/>
    <w:rsid w:val="003704D4"/>
    <w:rsid w:val="003704D9"/>
    <w:rsid w:val="00370860"/>
    <w:rsid w:val="00370CBD"/>
    <w:rsid w:val="003714F0"/>
    <w:rsid w:val="003716A5"/>
    <w:rsid w:val="00371732"/>
    <w:rsid w:val="00372103"/>
    <w:rsid w:val="003723F5"/>
    <w:rsid w:val="00373114"/>
    <w:rsid w:val="00373232"/>
    <w:rsid w:val="00373290"/>
    <w:rsid w:val="00373AB6"/>
    <w:rsid w:val="00374010"/>
    <w:rsid w:val="003740B9"/>
    <w:rsid w:val="003750DC"/>
    <w:rsid w:val="0037519E"/>
    <w:rsid w:val="0037606C"/>
    <w:rsid w:val="00377341"/>
    <w:rsid w:val="00377C2C"/>
    <w:rsid w:val="003802AE"/>
    <w:rsid w:val="003803EC"/>
    <w:rsid w:val="003807B8"/>
    <w:rsid w:val="00380A27"/>
    <w:rsid w:val="00380FA8"/>
    <w:rsid w:val="00381565"/>
    <w:rsid w:val="00381DD8"/>
    <w:rsid w:val="0038204F"/>
    <w:rsid w:val="00382817"/>
    <w:rsid w:val="00383BDE"/>
    <w:rsid w:val="00383E77"/>
    <w:rsid w:val="00383F0B"/>
    <w:rsid w:val="003849A9"/>
    <w:rsid w:val="00384FAD"/>
    <w:rsid w:val="00385327"/>
    <w:rsid w:val="003859BE"/>
    <w:rsid w:val="00386317"/>
    <w:rsid w:val="00386CF0"/>
    <w:rsid w:val="003872EC"/>
    <w:rsid w:val="00387E81"/>
    <w:rsid w:val="003906AD"/>
    <w:rsid w:val="0039083C"/>
    <w:rsid w:val="00391289"/>
    <w:rsid w:val="00391FFA"/>
    <w:rsid w:val="0039261D"/>
    <w:rsid w:val="00392E23"/>
    <w:rsid w:val="00393A51"/>
    <w:rsid w:val="00393BE7"/>
    <w:rsid w:val="00394193"/>
    <w:rsid w:val="00394658"/>
    <w:rsid w:val="003951DC"/>
    <w:rsid w:val="00395E1B"/>
    <w:rsid w:val="00396496"/>
    <w:rsid w:val="0039665B"/>
    <w:rsid w:val="00396EEC"/>
    <w:rsid w:val="003A097B"/>
    <w:rsid w:val="003A0FD1"/>
    <w:rsid w:val="003A15D4"/>
    <w:rsid w:val="003A17AE"/>
    <w:rsid w:val="003A1A07"/>
    <w:rsid w:val="003A24CA"/>
    <w:rsid w:val="003A2B3A"/>
    <w:rsid w:val="003A3045"/>
    <w:rsid w:val="003A3299"/>
    <w:rsid w:val="003A377C"/>
    <w:rsid w:val="003A4200"/>
    <w:rsid w:val="003A424A"/>
    <w:rsid w:val="003A444C"/>
    <w:rsid w:val="003A4E0E"/>
    <w:rsid w:val="003A4E4A"/>
    <w:rsid w:val="003A5A74"/>
    <w:rsid w:val="003A7080"/>
    <w:rsid w:val="003A71CD"/>
    <w:rsid w:val="003A7421"/>
    <w:rsid w:val="003A761C"/>
    <w:rsid w:val="003A79A1"/>
    <w:rsid w:val="003A7A2A"/>
    <w:rsid w:val="003B17A2"/>
    <w:rsid w:val="003B1C8C"/>
    <w:rsid w:val="003B23F7"/>
    <w:rsid w:val="003B26F4"/>
    <w:rsid w:val="003B276B"/>
    <w:rsid w:val="003B3959"/>
    <w:rsid w:val="003B3CE7"/>
    <w:rsid w:val="003B46BE"/>
    <w:rsid w:val="003B47CA"/>
    <w:rsid w:val="003B53EF"/>
    <w:rsid w:val="003B62C2"/>
    <w:rsid w:val="003B677B"/>
    <w:rsid w:val="003B6D8B"/>
    <w:rsid w:val="003B70FB"/>
    <w:rsid w:val="003C0106"/>
    <w:rsid w:val="003C06DC"/>
    <w:rsid w:val="003C0A16"/>
    <w:rsid w:val="003C0EB3"/>
    <w:rsid w:val="003C106B"/>
    <w:rsid w:val="003C1160"/>
    <w:rsid w:val="003C16C2"/>
    <w:rsid w:val="003C18FE"/>
    <w:rsid w:val="003C2263"/>
    <w:rsid w:val="003C3BD9"/>
    <w:rsid w:val="003C4FD6"/>
    <w:rsid w:val="003C5324"/>
    <w:rsid w:val="003C633A"/>
    <w:rsid w:val="003C676B"/>
    <w:rsid w:val="003C67A4"/>
    <w:rsid w:val="003C67AD"/>
    <w:rsid w:val="003C7314"/>
    <w:rsid w:val="003C7789"/>
    <w:rsid w:val="003C7874"/>
    <w:rsid w:val="003D05EE"/>
    <w:rsid w:val="003D06FC"/>
    <w:rsid w:val="003D0962"/>
    <w:rsid w:val="003D0A32"/>
    <w:rsid w:val="003D1F26"/>
    <w:rsid w:val="003D1F72"/>
    <w:rsid w:val="003D2450"/>
    <w:rsid w:val="003D2667"/>
    <w:rsid w:val="003D2966"/>
    <w:rsid w:val="003D3BC2"/>
    <w:rsid w:val="003D4190"/>
    <w:rsid w:val="003D4DA9"/>
    <w:rsid w:val="003D5A8B"/>
    <w:rsid w:val="003D5B09"/>
    <w:rsid w:val="003D5B20"/>
    <w:rsid w:val="003D5EF0"/>
    <w:rsid w:val="003D6E9E"/>
    <w:rsid w:val="003D6EF6"/>
    <w:rsid w:val="003D7BA1"/>
    <w:rsid w:val="003D7BB7"/>
    <w:rsid w:val="003E008E"/>
    <w:rsid w:val="003E03B4"/>
    <w:rsid w:val="003E05D7"/>
    <w:rsid w:val="003E0994"/>
    <w:rsid w:val="003E19A1"/>
    <w:rsid w:val="003E1B53"/>
    <w:rsid w:val="003E21BB"/>
    <w:rsid w:val="003E230A"/>
    <w:rsid w:val="003E369F"/>
    <w:rsid w:val="003E48CA"/>
    <w:rsid w:val="003E49D0"/>
    <w:rsid w:val="003E54A2"/>
    <w:rsid w:val="003E54A3"/>
    <w:rsid w:val="003E58E7"/>
    <w:rsid w:val="003E5A27"/>
    <w:rsid w:val="003E5F77"/>
    <w:rsid w:val="003E6A69"/>
    <w:rsid w:val="003E6C74"/>
    <w:rsid w:val="003E6CA1"/>
    <w:rsid w:val="003E6D72"/>
    <w:rsid w:val="003E7144"/>
    <w:rsid w:val="003E71EC"/>
    <w:rsid w:val="003E71F3"/>
    <w:rsid w:val="003E77D8"/>
    <w:rsid w:val="003E7F42"/>
    <w:rsid w:val="003F040F"/>
    <w:rsid w:val="003F0DEE"/>
    <w:rsid w:val="003F1EBA"/>
    <w:rsid w:val="003F22EC"/>
    <w:rsid w:val="003F2EB0"/>
    <w:rsid w:val="003F3B73"/>
    <w:rsid w:val="003F46CC"/>
    <w:rsid w:val="003F47DA"/>
    <w:rsid w:val="003F5154"/>
    <w:rsid w:val="003F5313"/>
    <w:rsid w:val="003F5A7B"/>
    <w:rsid w:val="003F5F1E"/>
    <w:rsid w:val="003F5F96"/>
    <w:rsid w:val="003F61EC"/>
    <w:rsid w:val="003F6C6A"/>
    <w:rsid w:val="003F6E1D"/>
    <w:rsid w:val="003F6EF8"/>
    <w:rsid w:val="003F7E89"/>
    <w:rsid w:val="00400158"/>
    <w:rsid w:val="00400731"/>
    <w:rsid w:val="00400D6C"/>
    <w:rsid w:val="00401694"/>
    <w:rsid w:val="0040266E"/>
    <w:rsid w:val="00404061"/>
    <w:rsid w:val="004040B7"/>
    <w:rsid w:val="004044A6"/>
    <w:rsid w:val="0040470F"/>
    <w:rsid w:val="00404E16"/>
    <w:rsid w:val="00405F9C"/>
    <w:rsid w:val="004065A8"/>
    <w:rsid w:val="00407D7D"/>
    <w:rsid w:val="00407DB9"/>
    <w:rsid w:val="0041075C"/>
    <w:rsid w:val="00410ADD"/>
    <w:rsid w:val="004122EA"/>
    <w:rsid w:val="004127EC"/>
    <w:rsid w:val="00412F45"/>
    <w:rsid w:val="00413D35"/>
    <w:rsid w:val="00414B1A"/>
    <w:rsid w:val="00414E02"/>
    <w:rsid w:val="00415A7F"/>
    <w:rsid w:val="004165C2"/>
    <w:rsid w:val="00416FAA"/>
    <w:rsid w:val="0041735A"/>
    <w:rsid w:val="004174CA"/>
    <w:rsid w:val="00417948"/>
    <w:rsid w:val="00417B83"/>
    <w:rsid w:val="00420F03"/>
    <w:rsid w:val="004218DD"/>
    <w:rsid w:val="00422CBB"/>
    <w:rsid w:val="00423406"/>
    <w:rsid w:val="00423613"/>
    <w:rsid w:val="00423AEF"/>
    <w:rsid w:val="00423B17"/>
    <w:rsid w:val="00423F5A"/>
    <w:rsid w:val="004247CB"/>
    <w:rsid w:val="004258F6"/>
    <w:rsid w:val="00425E3E"/>
    <w:rsid w:val="004263DB"/>
    <w:rsid w:val="00427144"/>
    <w:rsid w:val="004302A7"/>
    <w:rsid w:val="00430375"/>
    <w:rsid w:val="0043045B"/>
    <w:rsid w:val="00430F01"/>
    <w:rsid w:val="004311BE"/>
    <w:rsid w:val="004311D9"/>
    <w:rsid w:val="00431C0B"/>
    <w:rsid w:val="00432001"/>
    <w:rsid w:val="00432131"/>
    <w:rsid w:val="0043364D"/>
    <w:rsid w:val="004338A9"/>
    <w:rsid w:val="004338C7"/>
    <w:rsid w:val="00433EFC"/>
    <w:rsid w:val="004340D4"/>
    <w:rsid w:val="00434772"/>
    <w:rsid w:val="00435702"/>
    <w:rsid w:val="00437588"/>
    <w:rsid w:val="0043777D"/>
    <w:rsid w:val="00437997"/>
    <w:rsid w:val="00437A78"/>
    <w:rsid w:val="00437C32"/>
    <w:rsid w:val="00437C9F"/>
    <w:rsid w:val="004400CB"/>
    <w:rsid w:val="00441122"/>
    <w:rsid w:val="004413DD"/>
    <w:rsid w:val="00441659"/>
    <w:rsid w:val="00441CA8"/>
    <w:rsid w:val="00441ECB"/>
    <w:rsid w:val="00442324"/>
    <w:rsid w:val="00442600"/>
    <w:rsid w:val="00442AF8"/>
    <w:rsid w:val="0044358B"/>
    <w:rsid w:val="00445015"/>
    <w:rsid w:val="00445193"/>
    <w:rsid w:val="004454A6"/>
    <w:rsid w:val="00445A3E"/>
    <w:rsid w:val="00445EF6"/>
    <w:rsid w:val="00446575"/>
    <w:rsid w:val="00446B6A"/>
    <w:rsid w:val="00447BF2"/>
    <w:rsid w:val="004500FB"/>
    <w:rsid w:val="004504FF"/>
    <w:rsid w:val="00450CB3"/>
    <w:rsid w:val="00451E36"/>
    <w:rsid w:val="00451FE8"/>
    <w:rsid w:val="0045209F"/>
    <w:rsid w:val="0045404B"/>
    <w:rsid w:val="00454F7F"/>
    <w:rsid w:val="0045532E"/>
    <w:rsid w:val="00455475"/>
    <w:rsid w:val="00455763"/>
    <w:rsid w:val="004600D9"/>
    <w:rsid w:val="0046034F"/>
    <w:rsid w:val="00460969"/>
    <w:rsid w:val="0046099C"/>
    <w:rsid w:val="004613DA"/>
    <w:rsid w:val="0046191C"/>
    <w:rsid w:val="00461F03"/>
    <w:rsid w:val="00462131"/>
    <w:rsid w:val="00462C1B"/>
    <w:rsid w:val="004634E5"/>
    <w:rsid w:val="004635C9"/>
    <w:rsid w:val="0046383A"/>
    <w:rsid w:val="00463965"/>
    <w:rsid w:val="00463AAD"/>
    <w:rsid w:val="00463AF9"/>
    <w:rsid w:val="00463ED7"/>
    <w:rsid w:val="004653CD"/>
    <w:rsid w:val="0046575B"/>
    <w:rsid w:val="004658A8"/>
    <w:rsid w:val="00466359"/>
    <w:rsid w:val="0046646F"/>
    <w:rsid w:val="004668ED"/>
    <w:rsid w:val="00466B1C"/>
    <w:rsid w:val="004679B7"/>
    <w:rsid w:val="00467B7E"/>
    <w:rsid w:val="00470723"/>
    <w:rsid w:val="0047131C"/>
    <w:rsid w:val="004729E8"/>
    <w:rsid w:val="004731B0"/>
    <w:rsid w:val="00473BB4"/>
    <w:rsid w:val="00473C2E"/>
    <w:rsid w:val="00473ECD"/>
    <w:rsid w:val="0047435D"/>
    <w:rsid w:val="00474915"/>
    <w:rsid w:val="004755E9"/>
    <w:rsid w:val="00475A3A"/>
    <w:rsid w:val="00476B79"/>
    <w:rsid w:val="00476FD3"/>
    <w:rsid w:val="00477233"/>
    <w:rsid w:val="00477592"/>
    <w:rsid w:val="00477773"/>
    <w:rsid w:val="00477C62"/>
    <w:rsid w:val="00477E34"/>
    <w:rsid w:val="0048104D"/>
    <w:rsid w:val="00481891"/>
    <w:rsid w:val="00482574"/>
    <w:rsid w:val="00482FFF"/>
    <w:rsid w:val="00483643"/>
    <w:rsid w:val="00483A80"/>
    <w:rsid w:val="00484B23"/>
    <w:rsid w:val="00484D17"/>
    <w:rsid w:val="00484FCD"/>
    <w:rsid w:val="00485E30"/>
    <w:rsid w:val="00485FC5"/>
    <w:rsid w:val="004867E0"/>
    <w:rsid w:val="00486F1C"/>
    <w:rsid w:val="00487F8C"/>
    <w:rsid w:val="00490173"/>
    <w:rsid w:val="00490515"/>
    <w:rsid w:val="004909BE"/>
    <w:rsid w:val="00490F7C"/>
    <w:rsid w:val="00492268"/>
    <w:rsid w:val="004929C3"/>
    <w:rsid w:val="00492D21"/>
    <w:rsid w:val="004936B7"/>
    <w:rsid w:val="00493AB2"/>
    <w:rsid w:val="00493F29"/>
    <w:rsid w:val="0049419D"/>
    <w:rsid w:val="004944E4"/>
    <w:rsid w:val="004945DE"/>
    <w:rsid w:val="004949A0"/>
    <w:rsid w:val="00494F67"/>
    <w:rsid w:val="00495C21"/>
    <w:rsid w:val="0049676F"/>
    <w:rsid w:val="00496DB0"/>
    <w:rsid w:val="00497B40"/>
    <w:rsid w:val="004A0525"/>
    <w:rsid w:val="004A0C7F"/>
    <w:rsid w:val="004A14C9"/>
    <w:rsid w:val="004A168C"/>
    <w:rsid w:val="004A18B4"/>
    <w:rsid w:val="004A1FBB"/>
    <w:rsid w:val="004A2106"/>
    <w:rsid w:val="004A2F81"/>
    <w:rsid w:val="004A4157"/>
    <w:rsid w:val="004A557B"/>
    <w:rsid w:val="004A6473"/>
    <w:rsid w:val="004A67E6"/>
    <w:rsid w:val="004A6A54"/>
    <w:rsid w:val="004A725B"/>
    <w:rsid w:val="004A7513"/>
    <w:rsid w:val="004A798D"/>
    <w:rsid w:val="004A7AF4"/>
    <w:rsid w:val="004B06C9"/>
    <w:rsid w:val="004B1059"/>
    <w:rsid w:val="004B1B5F"/>
    <w:rsid w:val="004B211A"/>
    <w:rsid w:val="004B2295"/>
    <w:rsid w:val="004B2992"/>
    <w:rsid w:val="004B3241"/>
    <w:rsid w:val="004B3A7A"/>
    <w:rsid w:val="004B3DEB"/>
    <w:rsid w:val="004B421C"/>
    <w:rsid w:val="004B4920"/>
    <w:rsid w:val="004B4C68"/>
    <w:rsid w:val="004B5331"/>
    <w:rsid w:val="004B58D1"/>
    <w:rsid w:val="004B5F42"/>
    <w:rsid w:val="004B716E"/>
    <w:rsid w:val="004B76BE"/>
    <w:rsid w:val="004C003A"/>
    <w:rsid w:val="004C00FE"/>
    <w:rsid w:val="004C1AB1"/>
    <w:rsid w:val="004C203A"/>
    <w:rsid w:val="004C20D2"/>
    <w:rsid w:val="004C2312"/>
    <w:rsid w:val="004C2328"/>
    <w:rsid w:val="004C2C91"/>
    <w:rsid w:val="004C33D9"/>
    <w:rsid w:val="004C35F5"/>
    <w:rsid w:val="004C3C7D"/>
    <w:rsid w:val="004C3CF6"/>
    <w:rsid w:val="004C4B52"/>
    <w:rsid w:val="004C4B62"/>
    <w:rsid w:val="004C5190"/>
    <w:rsid w:val="004C54C9"/>
    <w:rsid w:val="004C5613"/>
    <w:rsid w:val="004C5C01"/>
    <w:rsid w:val="004C626D"/>
    <w:rsid w:val="004C6303"/>
    <w:rsid w:val="004C676F"/>
    <w:rsid w:val="004C6A0E"/>
    <w:rsid w:val="004C6CD3"/>
    <w:rsid w:val="004C6DC2"/>
    <w:rsid w:val="004C7220"/>
    <w:rsid w:val="004C7379"/>
    <w:rsid w:val="004C7719"/>
    <w:rsid w:val="004D073E"/>
    <w:rsid w:val="004D0F24"/>
    <w:rsid w:val="004D13C1"/>
    <w:rsid w:val="004D1D7B"/>
    <w:rsid w:val="004D1FA1"/>
    <w:rsid w:val="004D2471"/>
    <w:rsid w:val="004D3CC0"/>
    <w:rsid w:val="004D41B0"/>
    <w:rsid w:val="004D4ABA"/>
    <w:rsid w:val="004D4C37"/>
    <w:rsid w:val="004D4DAD"/>
    <w:rsid w:val="004D6025"/>
    <w:rsid w:val="004D673F"/>
    <w:rsid w:val="004D67B1"/>
    <w:rsid w:val="004D72E0"/>
    <w:rsid w:val="004D7396"/>
    <w:rsid w:val="004D76E6"/>
    <w:rsid w:val="004E03B8"/>
    <w:rsid w:val="004E1301"/>
    <w:rsid w:val="004E15CC"/>
    <w:rsid w:val="004E1DF7"/>
    <w:rsid w:val="004E2649"/>
    <w:rsid w:val="004E3611"/>
    <w:rsid w:val="004E3928"/>
    <w:rsid w:val="004E4096"/>
    <w:rsid w:val="004E485C"/>
    <w:rsid w:val="004E4A37"/>
    <w:rsid w:val="004E4C9B"/>
    <w:rsid w:val="004E54F2"/>
    <w:rsid w:val="004E578C"/>
    <w:rsid w:val="004E5D50"/>
    <w:rsid w:val="004E74D8"/>
    <w:rsid w:val="004F0620"/>
    <w:rsid w:val="004F0724"/>
    <w:rsid w:val="004F0A68"/>
    <w:rsid w:val="004F10F4"/>
    <w:rsid w:val="004F11B2"/>
    <w:rsid w:val="004F168F"/>
    <w:rsid w:val="004F20E1"/>
    <w:rsid w:val="004F2712"/>
    <w:rsid w:val="004F2DD3"/>
    <w:rsid w:val="004F38CE"/>
    <w:rsid w:val="004F3C92"/>
    <w:rsid w:val="004F3CC0"/>
    <w:rsid w:val="004F4369"/>
    <w:rsid w:val="004F4548"/>
    <w:rsid w:val="004F4DC2"/>
    <w:rsid w:val="004F522C"/>
    <w:rsid w:val="004F5AFC"/>
    <w:rsid w:val="004F5F57"/>
    <w:rsid w:val="004F626F"/>
    <w:rsid w:val="004F734C"/>
    <w:rsid w:val="004F770E"/>
    <w:rsid w:val="00500E7E"/>
    <w:rsid w:val="00501399"/>
    <w:rsid w:val="00501788"/>
    <w:rsid w:val="00501BAC"/>
    <w:rsid w:val="00502A76"/>
    <w:rsid w:val="0050406E"/>
    <w:rsid w:val="005041D6"/>
    <w:rsid w:val="00504288"/>
    <w:rsid w:val="005047ED"/>
    <w:rsid w:val="00504B30"/>
    <w:rsid w:val="00504C31"/>
    <w:rsid w:val="0050533F"/>
    <w:rsid w:val="005061DD"/>
    <w:rsid w:val="00506261"/>
    <w:rsid w:val="005062E3"/>
    <w:rsid w:val="0050633D"/>
    <w:rsid w:val="00506AFF"/>
    <w:rsid w:val="005074DF"/>
    <w:rsid w:val="00507BC4"/>
    <w:rsid w:val="005100D9"/>
    <w:rsid w:val="005101A7"/>
    <w:rsid w:val="005108C2"/>
    <w:rsid w:val="00510FC7"/>
    <w:rsid w:val="00511B11"/>
    <w:rsid w:val="00512814"/>
    <w:rsid w:val="005128E4"/>
    <w:rsid w:val="00512D06"/>
    <w:rsid w:val="00512D23"/>
    <w:rsid w:val="00513335"/>
    <w:rsid w:val="005133DB"/>
    <w:rsid w:val="0051381B"/>
    <w:rsid w:val="0051394A"/>
    <w:rsid w:val="00513BA9"/>
    <w:rsid w:val="00514504"/>
    <w:rsid w:val="0051544E"/>
    <w:rsid w:val="00515D31"/>
    <w:rsid w:val="00515F48"/>
    <w:rsid w:val="00516113"/>
    <w:rsid w:val="005165C9"/>
    <w:rsid w:val="00516BA1"/>
    <w:rsid w:val="00517291"/>
    <w:rsid w:val="00517518"/>
    <w:rsid w:val="0051752C"/>
    <w:rsid w:val="00517533"/>
    <w:rsid w:val="0052001A"/>
    <w:rsid w:val="0052023C"/>
    <w:rsid w:val="00520477"/>
    <w:rsid w:val="00520517"/>
    <w:rsid w:val="005207E3"/>
    <w:rsid w:val="00521E1F"/>
    <w:rsid w:val="005226F0"/>
    <w:rsid w:val="00522800"/>
    <w:rsid w:val="00522FF7"/>
    <w:rsid w:val="00525166"/>
    <w:rsid w:val="00525560"/>
    <w:rsid w:val="00525ACE"/>
    <w:rsid w:val="0052656F"/>
    <w:rsid w:val="00526A7B"/>
    <w:rsid w:val="005309D4"/>
    <w:rsid w:val="00530A56"/>
    <w:rsid w:val="005311F7"/>
    <w:rsid w:val="0053277E"/>
    <w:rsid w:val="00533E60"/>
    <w:rsid w:val="0053486D"/>
    <w:rsid w:val="00536183"/>
    <w:rsid w:val="00536262"/>
    <w:rsid w:val="0053636B"/>
    <w:rsid w:val="005363B6"/>
    <w:rsid w:val="00536666"/>
    <w:rsid w:val="00536B65"/>
    <w:rsid w:val="00536E98"/>
    <w:rsid w:val="00537699"/>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007"/>
    <w:rsid w:val="00544698"/>
    <w:rsid w:val="00544B8A"/>
    <w:rsid w:val="00544C49"/>
    <w:rsid w:val="00545153"/>
    <w:rsid w:val="00545FE6"/>
    <w:rsid w:val="00547679"/>
    <w:rsid w:val="00547837"/>
    <w:rsid w:val="00550E47"/>
    <w:rsid w:val="00550FE6"/>
    <w:rsid w:val="0055100E"/>
    <w:rsid w:val="00551437"/>
    <w:rsid w:val="005516A1"/>
    <w:rsid w:val="005517D7"/>
    <w:rsid w:val="00552C67"/>
    <w:rsid w:val="00552EAA"/>
    <w:rsid w:val="00555543"/>
    <w:rsid w:val="005559E2"/>
    <w:rsid w:val="005559EF"/>
    <w:rsid w:val="005573BE"/>
    <w:rsid w:val="005602B8"/>
    <w:rsid w:val="0056103D"/>
    <w:rsid w:val="00561568"/>
    <w:rsid w:val="005618E2"/>
    <w:rsid w:val="00561AED"/>
    <w:rsid w:val="00561CB0"/>
    <w:rsid w:val="00563557"/>
    <w:rsid w:val="005643CE"/>
    <w:rsid w:val="005647F1"/>
    <w:rsid w:val="005649D8"/>
    <w:rsid w:val="00564C7C"/>
    <w:rsid w:val="00565451"/>
    <w:rsid w:val="00565F20"/>
    <w:rsid w:val="00566CE3"/>
    <w:rsid w:val="00570219"/>
    <w:rsid w:val="005711AC"/>
    <w:rsid w:val="00571B51"/>
    <w:rsid w:val="005720AF"/>
    <w:rsid w:val="00573469"/>
    <w:rsid w:val="0057359B"/>
    <w:rsid w:val="00573FA7"/>
    <w:rsid w:val="0057402A"/>
    <w:rsid w:val="00574256"/>
    <w:rsid w:val="00574452"/>
    <w:rsid w:val="00574F9F"/>
    <w:rsid w:val="0057507B"/>
    <w:rsid w:val="00575BBD"/>
    <w:rsid w:val="00575CC7"/>
    <w:rsid w:val="0057641C"/>
    <w:rsid w:val="00576864"/>
    <w:rsid w:val="00576937"/>
    <w:rsid w:val="005771D0"/>
    <w:rsid w:val="00577AC8"/>
    <w:rsid w:val="00580201"/>
    <w:rsid w:val="0058027D"/>
    <w:rsid w:val="005802A5"/>
    <w:rsid w:val="005802C0"/>
    <w:rsid w:val="00580F0D"/>
    <w:rsid w:val="00581391"/>
    <w:rsid w:val="00581D39"/>
    <w:rsid w:val="00582A09"/>
    <w:rsid w:val="0058321A"/>
    <w:rsid w:val="0058323E"/>
    <w:rsid w:val="00583439"/>
    <w:rsid w:val="00584060"/>
    <w:rsid w:val="005844EB"/>
    <w:rsid w:val="005849D8"/>
    <w:rsid w:val="00585B1B"/>
    <w:rsid w:val="00585E6E"/>
    <w:rsid w:val="00586434"/>
    <w:rsid w:val="00586C38"/>
    <w:rsid w:val="005875B1"/>
    <w:rsid w:val="005875FA"/>
    <w:rsid w:val="00587697"/>
    <w:rsid w:val="005907EE"/>
    <w:rsid w:val="00590EF3"/>
    <w:rsid w:val="005912DB"/>
    <w:rsid w:val="0059191A"/>
    <w:rsid w:val="005921FF"/>
    <w:rsid w:val="00592DE3"/>
    <w:rsid w:val="00593003"/>
    <w:rsid w:val="00593A6E"/>
    <w:rsid w:val="0059423D"/>
    <w:rsid w:val="005945BF"/>
    <w:rsid w:val="00594AA8"/>
    <w:rsid w:val="0059500F"/>
    <w:rsid w:val="005951D2"/>
    <w:rsid w:val="00595253"/>
    <w:rsid w:val="00595BD3"/>
    <w:rsid w:val="00596543"/>
    <w:rsid w:val="00596953"/>
    <w:rsid w:val="005969CD"/>
    <w:rsid w:val="00596CB5"/>
    <w:rsid w:val="00596CC7"/>
    <w:rsid w:val="00596D38"/>
    <w:rsid w:val="00597808"/>
    <w:rsid w:val="00597D83"/>
    <w:rsid w:val="005A04FF"/>
    <w:rsid w:val="005A0911"/>
    <w:rsid w:val="005A0DF6"/>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605A"/>
    <w:rsid w:val="005A6D0E"/>
    <w:rsid w:val="005A6DD0"/>
    <w:rsid w:val="005A6E23"/>
    <w:rsid w:val="005B0B8F"/>
    <w:rsid w:val="005B1091"/>
    <w:rsid w:val="005B10EA"/>
    <w:rsid w:val="005B214B"/>
    <w:rsid w:val="005B325A"/>
    <w:rsid w:val="005B42F7"/>
    <w:rsid w:val="005B43A2"/>
    <w:rsid w:val="005B44D1"/>
    <w:rsid w:val="005B4DDA"/>
    <w:rsid w:val="005B50C4"/>
    <w:rsid w:val="005B52B0"/>
    <w:rsid w:val="005B58C5"/>
    <w:rsid w:val="005B5F4C"/>
    <w:rsid w:val="005B6806"/>
    <w:rsid w:val="005B6E81"/>
    <w:rsid w:val="005C0C09"/>
    <w:rsid w:val="005C2C10"/>
    <w:rsid w:val="005C2CFE"/>
    <w:rsid w:val="005C33B7"/>
    <w:rsid w:val="005C4225"/>
    <w:rsid w:val="005C4454"/>
    <w:rsid w:val="005C5DED"/>
    <w:rsid w:val="005C5E9E"/>
    <w:rsid w:val="005C65A6"/>
    <w:rsid w:val="005C6923"/>
    <w:rsid w:val="005C70B7"/>
    <w:rsid w:val="005C722B"/>
    <w:rsid w:val="005C78EB"/>
    <w:rsid w:val="005D1144"/>
    <w:rsid w:val="005D16C0"/>
    <w:rsid w:val="005D19AE"/>
    <w:rsid w:val="005D21C7"/>
    <w:rsid w:val="005D2481"/>
    <w:rsid w:val="005D39ED"/>
    <w:rsid w:val="005D3C45"/>
    <w:rsid w:val="005D461B"/>
    <w:rsid w:val="005D516F"/>
    <w:rsid w:val="005D5B98"/>
    <w:rsid w:val="005D5CC2"/>
    <w:rsid w:val="005E01A2"/>
    <w:rsid w:val="005E0682"/>
    <w:rsid w:val="005E09EF"/>
    <w:rsid w:val="005E0B7B"/>
    <w:rsid w:val="005E111C"/>
    <w:rsid w:val="005E1545"/>
    <w:rsid w:val="005E2756"/>
    <w:rsid w:val="005E2844"/>
    <w:rsid w:val="005E2BC0"/>
    <w:rsid w:val="005E2CB8"/>
    <w:rsid w:val="005E36BD"/>
    <w:rsid w:val="005E37A2"/>
    <w:rsid w:val="005E4EE4"/>
    <w:rsid w:val="005E4F88"/>
    <w:rsid w:val="005E55AB"/>
    <w:rsid w:val="005E5ED0"/>
    <w:rsid w:val="005E64A5"/>
    <w:rsid w:val="005E71F8"/>
    <w:rsid w:val="005E7D24"/>
    <w:rsid w:val="005F01EF"/>
    <w:rsid w:val="005F0D68"/>
    <w:rsid w:val="005F0DAD"/>
    <w:rsid w:val="005F0EC8"/>
    <w:rsid w:val="005F0F33"/>
    <w:rsid w:val="005F1EFD"/>
    <w:rsid w:val="005F1FDC"/>
    <w:rsid w:val="005F2606"/>
    <w:rsid w:val="005F26E9"/>
    <w:rsid w:val="005F27DD"/>
    <w:rsid w:val="005F27E9"/>
    <w:rsid w:val="005F2E3F"/>
    <w:rsid w:val="005F2E41"/>
    <w:rsid w:val="005F2F38"/>
    <w:rsid w:val="005F3062"/>
    <w:rsid w:val="005F3541"/>
    <w:rsid w:val="005F3772"/>
    <w:rsid w:val="005F3A0E"/>
    <w:rsid w:val="005F3E7D"/>
    <w:rsid w:val="005F5268"/>
    <w:rsid w:val="005F5367"/>
    <w:rsid w:val="005F5E12"/>
    <w:rsid w:val="005F5FC1"/>
    <w:rsid w:val="005F63D5"/>
    <w:rsid w:val="005F6DB2"/>
    <w:rsid w:val="00600DEB"/>
    <w:rsid w:val="006010D0"/>
    <w:rsid w:val="00602213"/>
    <w:rsid w:val="00602D52"/>
    <w:rsid w:val="006035A4"/>
    <w:rsid w:val="00604023"/>
    <w:rsid w:val="00604118"/>
    <w:rsid w:val="006046CC"/>
    <w:rsid w:val="006049A2"/>
    <w:rsid w:val="00604B1D"/>
    <w:rsid w:val="00605037"/>
    <w:rsid w:val="00605446"/>
    <w:rsid w:val="006063D1"/>
    <w:rsid w:val="00607C52"/>
    <w:rsid w:val="0061043F"/>
    <w:rsid w:val="00610476"/>
    <w:rsid w:val="0061098F"/>
    <w:rsid w:val="006114DE"/>
    <w:rsid w:val="006118FB"/>
    <w:rsid w:val="00611CA6"/>
    <w:rsid w:val="0061334B"/>
    <w:rsid w:val="00614057"/>
    <w:rsid w:val="0061459E"/>
    <w:rsid w:val="006145A2"/>
    <w:rsid w:val="0061476F"/>
    <w:rsid w:val="00615F3A"/>
    <w:rsid w:val="00616D98"/>
    <w:rsid w:val="00617937"/>
    <w:rsid w:val="006179BC"/>
    <w:rsid w:val="006201A6"/>
    <w:rsid w:val="0062137F"/>
    <w:rsid w:val="006213E7"/>
    <w:rsid w:val="006213EF"/>
    <w:rsid w:val="0062175F"/>
    <w:rsid w:val="00621A0E"/>
    <w:rsid w:val="00622220"/>
    <w:rsid w:val="006224F7"/>
    <w:rsid w:val="006232FC"/>
    <w:rsid w:val="00624863"/>
    <w:rsid w:val="00624CA4"/>
    <w:rsid w:val="00625278"/>
    <w:rsid w:val="0062590F"/>
    <w:rsid w:val="006264B7"/>
    <w:rsid w:val="0062658A"/>
    <w:rsid w:val="006265D3"/>
    <w:rsid w:val="006279B1"/>
    <w:rsid w:val="00627C9F"/>
    <w:rsid w:val="006311E9"/>
    <w:rsid w:val="0063172F"/>
    <w:rsid w:val="006317BF"/>
    <w:rsid w:val="00632354"/>
    <w:rsid w:val="006326C3"/>
    <w:rsid w:val="00632F72"/>
    <w:rsid w:val="006336EF"/>
    <w:rsid w:val="00633C3E"/>
    <w:rsid w:val="00633F12"/>
    <w:rsid w:val="0063400D"/>
    <w:rsid w:val="00634A8D"/>
    <w:rsid w:val="00634EC3"/>
    <w:rsid w:val="00635421"/>
    <w:rsid w:val="00635A97"/>
    <w:rsid w:val="00635CDB"/>
    <w:rsid w:val="00635F2F"/>
    <w:rsid w:val="006360A3"/>
    <w:rsid w:val="006378AC"/>
    <w:rsid w:val="006378E9"/>
    <w:rsid w:val="00637D56"/>
    <w:rsid w:val="00637FB6"/>
    <w:rsid w:val="00640387"/>
    <w:rsid w:val="00640C9D"/>
    <w:rsid w:val="00641429"/>
    <w:rsid w:val="00641D51"/>
    <w:rsid w:val="006422BF"/>
    <w:rsid w:val="0064240C"/>
    <w:rsid w:val="006424D5"/>
    <w:rsid w:val="00642810"/>
    <w:rsid w:val="0064432C"/>
    <w:rsid w:val="006451BB"/>
    <w:rsid w:val="006452A7"/>
    <w:rsid w:val="006460EF"/>
    <w:rsid w:val="00646C6F"/>
    <w:rsid w:val="00647807"/>
    <w:rsid w:val="00647BE5"/>
    <w:rsid w:val="00650032"/>
    <w:rsid w:val="00650360"/>
    <w:rsid w:val="00650404"/>
    <w:rsid w:val="00650561"/>
    <w:rsid w:val="006506CC"/>
    <w:rsid w:val="0065097B"/>
    <w:rsid w:val="00650B1F"/>
    <w:rsid w:val="00651249"/>
    <w:rsid w:val="00651B79"/>
    <w:rsid w:val="00652038"/>
    <w:rsid w:val="00652333"/>
    <w:rsid w:val="00652C93"/>
    <w:rsid w:val="00653DF7"/>
    <w:rsid w:val="00653FA1"/>
    <w:rsid w:val="0065579A"/>
    <w:rsid w:val="006558CD"/>
    <w:rsid w:val="006559A8"/>
    <w:rsid w:val="00655D3D"/>
    <w:rsid w:val="00656A19"/>
    <w:rsid w:val="00657D82"/>
    <w:rsid w:val="00660236"/>
    <w:rsid w:val="00660FD9"/>
    <w:rsid w:val="0066159F"/>
    <w:rsid w:val="00661F4B"/>
    <w:rsid w:val="00663060"/>
    <w:rsid w:val="006647BF"/>
    <w:rsid w:val="00665771"/>
    <w:rsid w:val="00665E6F"/>
    <w:rsid w:val="006669A7"/>
    <w:rsid w:val="00666AC8"/>
    <w:rsid w:val="00666EC0"/>
    <w:rsid w:val="00667290"/>
    <w:rsid w:val="00670AC8"/>
    <w:rsid w:val="00671DF9"/>
    <w:rsid w:val="00671E8A"/>
    <w:rsid w:val="00671FE1"/>
    <w:rsid w:val="0067290E"/>
    <w:rsid w:val="00672FC6"/>
    <w:rsid w:val="006757AD"/>
    <w:rsid w:val="00675B05"/>
    <w:rsid w:val="00675E94"/>
    <w:rsid w:val="00676BB0"/>
    <w:rsid w:val="00677C63"/>
    <w:rsid w:val="0068009E"/>
    <w:rsid w:val="00680EAE"/>
    <w:rsid w:val="00681845"/>
    <w:rsid w:val="00681B4E"/>
    <w:rsid w:val="0068207D"/>
    <w:rsid w:val="0068218E"/>
    <w:rsid w:val="00682C11"/>
    <w:rsid w:val="00683EE4"/>
    <w:rsid w:val="006846E9"/>
    <w:rsid w:val="0068492E"/>
    <w:rsid w:val="0068513C"/>
    <w:rsid w:val="00685467"/>
    <w:rsid w:val="0068617A"/>
    <w:rsid w:val="0068618A"/>
    <w:rsid w:val="006861AC"/>
    <w:rsid w:val="006866E0"/>
    <w:rsid w:val="00686A24"/>
    <w:rsid w:val="00686F19"/>
    <w:rsid w:val="00687098"/>
    <w:rsid w:val="00687A6F"/>
    <w:rsid w:val="00690262"/>
    <w:rsid w:val="006919E2"/>
    <w:rsid w:val="00691EFD"/>
    <w:rsid w:val="00692219"/>
    <w:rsid w:val="006924D0"/>
    <w:rsid w:val="006927FE"/>
    <w:rsid w:val="00692DEF"/>
    <w:rsid w:val="00695677"/>
    <w:rsid w:val="00695BE0"/>
    <w:rsid w:val="00695F8C"/>
    <w:rsid w:val="006963B8"/>
    <w:rsid w:val="00696933"/>
    <w:rsid w:val="00696ED5"/>
    <w:rsid w:val="006971BF"/>
    <w:rsid w:val="0069735F"/>
    <w:rsid w:val="0069749A"/>
    <w:rsid w:val="006A0099"/>
    <w:rsid w:val="006A050B"/>
    <w:rsid w:val="006A0BEB"/>
    <w:rsid w:val="006A1051"/>
    <w:rsid w:val="006A175D"/>
    <w:rsid w:val="006A17D2"/>
    <w:rsid w:val="006A2016"/>
    <w:rsid w:val="006A2492"/>
    <w:rsid w:val="006A400F"/>
    <w:rsid w:val="006A40A6"/>
    <w:rsid w:val="006A48E4"/>
    <w:rsid w:val="006A48F5"/>
    <w:rsid w:val="006A5296"/>
    <w:rsid w:val="006A5FBA"/>
    <w:rsid w:val="006A720B"/>
    <w:rsid w:val="006A73E6"/>
    <w:rsid w:val="006A7B28"/>
    <w:rsid w:val="006A7ED0"/>
    <w:rsid w:val="006B072E"/>
    <w:rsid w:val="006B07B5"/>
    <w:rsid w:val="006B0904"/>
    <w:rsid w:val="006B12FE"/>
    <w:rsid w:val="006B1B79"/>
    <w:rsid w:val="006B2C7D"/>
    <w:rsid w:val="006B2D5C"/>
    <w:rsid w:val="006B33C2"/>
    <w:rsid w:val="006B3EA4"/>
    <w:rsid w:val="006B4046"/>
    <w:rsid w:val="006B4201"/>
    <w:rsid w:val="006B581A"/>
    <w:rsid w:val="006B5BB3"/>
    <w:rsid w:val="006B665A"/>
    <w:rsid w:val="006B6FB3"/>
    <w:rsid w:val="006B7171"/>
    <w:rsid w:val="006B7C40"/>
    <w:rsid w:val="006B7DD1"/>
    <w:rsid w:val="006C0480"/>
    <w:rsid w:val="006C0ECF"/>
    <w:rsid w:val="006C12A0"/>
    <w:rsid w:val="006C1CB6"/>
    <w:rsid w:val="006C24A3"/>
    <w:rsid w:val="006C37A0"/>
    <w:rsid w:val="006C3B29"/>
    <w:rsid w:val="006C4554"/>
    <w:rsid w:val="006C4C42"/>
    <w:rsid w:val="006C4EB1"/>
    <w:rsid w:val="006C6183"/>
    <w:rsid w:val="006C6F02"/>
    <w:rsid w:val="006C71B1"/>
    <w:rsid w:val="006C78DD"/>
    <w:rsid w:val="006D0DDE"/>
    <w:rsid w:val="006D1100"/>
    <w:rsid w:val="006D1530"/>
    <w:rsid w:val="006D1674"/>
    <w:rsid w:val="006D22A5"/>
    <w:rsid w:val="006D25B5"/>
    <w:rsid w:val="006D25D7"/>
    <w:rsid w:val="006D25DB"/>
    <w:rsid w:val="006D2651"/>
    <w:rsid w:val="006D2C82"/>
    <w:rsid w:val="006D30C4"/>
    <w:rsid w:val="006D35A3"/>
    <w:rsid w:val="006D38FC"/>
    <w:rsid w:val="006D4B1B"/>
    <w:rsid w:val="006D51B2"/>
    <w:rsid w:val="006D521A"/>
    <w:rsid w:val="006D568C"/>
    <w:rsid w:val="006D568D"/>
    <w:rsid w:val="006D57AC"/>
    <w:rsid w:val="006D59F8"/>
    <w:rsid w:val="006D5B36"/>
    <w:rsid w:val="006D5BBB"/>
    <w:rsid w:val="006D5CE2"/>
    <w:rsid w:val="006D5EA7"/>
    <w:rsid w:val="006D5F81"/>
    <w:rsid w:val="006D635C"/>
    <w:rsid w:val="006D67DB"/>
    <w:rsid w:val="006D7352"/>
    <w:rsid w:val="006D7438"/>
    <w:rsid w:val="006D75F2"/>
    <w:rsid w:val="006D79DD"/>
    <w:rsid w:val="006D7F0C"/>
    <w:rsid w:val="006E0166"/>
    <w:rsid w:val="006E0F83"/>
    <w:rsid w:val="006E293B"/>
    <w:rsid w:val="006E2A53"/>
    <w:rsid w:val="006E2FFB"/>
    <w:rsid w:val="006E39BE"/>
    <w:rsid w:val="006E3B0E"/>
    <w:rsid w:val="006E3D4A"/>
    <w:rsid w:val="006E4379"/>
    <w:rsid w:val="006E4B2F"/>
    <w:rsid w:val="006E57A3"/>
    <w:rsid w:val="006E5D6C"/>
    <w:rsid w:val="006E5F60"/>
    <w:rsid w:val="006E5FC6"/>
    <w:rsid w:val="006E6EFF"/>
    <w:rsid w:val="006E7862"/>
    <w:rsid w:val="006E7B34"/>
    <w:rsid w:val="006F02D9"/>
    <w:rsid w:val="006F06F7"/>
    <w:rsid w:val="006F0FF1"/>
    <w:rsid w:val="006F1485"/>
    <w:rsid w:val="006F1DE7"/>
    <w:rsid w:val="006F3343"/>
    <w:rsid w:val="006F33E8"/>
    <w:rsid w:val="006F3A3A"/>
    <w:rsid w:val="006F3AFD"/>
    <w:rsid w:val="006F462F"/>
    <w:rsid w:val="006F4D00"/>
    <w:rsid w:val="006F5027"/>
    <w:rsid w:val="006F52D7"/>
    <w:rsid w:val="006F5E1A"/>
    <w:rsid w:val="006F5F40"/>
    <w:rsid w:val="006F6F00"/>
    <w:rsid w:val="006F7241"/>
    <w:rsid w:val="006F72F6"/>
    <w:rsid w:val="006F7804"/>
    <w:rsid w:val="0070020F"/>
    <w:rsid w:val="007003B2"/>
    <w:rsid w:val="00701415"/>
    <w:rsid w:val="007016FE"/>
    <w:rsid w:val="00701C53"/>
    <w:rsid w:val="007020CB"/>
    <w:rsid w:val="00702698"/>
    <w:rsid w:val="00702929"/>
    <w:rsid w:val="00702F55"/>
    <w:rsid w:val="00703213"/>
    <w:rsid w:val="0070388F"/>
    <w:rsid w:val="00703DD2"/>
    <w:rsid w:val="00704BED"/>
    <w:rsid w:val="00705817"/>
    <w:rsid w:val="00705893"/>
    <w:rsid w:val="007059C1"/>
    <w:rsid w:val="00705C44"/>
    <w:rsid w:val="0070697F"/>
    <w:rsid w:val="007069DD"/>
    <w:rsid w:val="00706A38"/>
    <w:rsid w:val="00707776"/>
    <w:rsid w:val="007102B2"/>
    <w:rsid w:val="007103C4"/>
    <w:rsid w:val="00710DE5"/>
    <w:rsid w:val="007110F8"/>
    <w:rsid w:val="007112AA"/>
    <w:rsid w:val="00712047"/>
    <w:rsid w:val="00713894"/>
    <w:rsid w:val="0071490E"/>
    <w:rsid w:val="007150D3"/>
    <w:rsid w:val="00715A7E"/>
    <w:rsid w:val="00715B56"/>
    <w:rsid w:val="00715BBF"/>
    <w:rsid w:val="0071607C"/>
    <w:rsid w:val="007163A4"/>
    <w:rsid w:val="00716494"/>
    <w:rsid w:val="00716DB8"/>
    <w:rsid w:val="00716E0C"/>
    <w:rsid w:val="00716EB4"/>
    <w:rsid w:val="00716FB8"/>
    <w:rsid w:val="007170FF"/>
    <w:rsid w:val="007204D9"/>
    <w:rsid w:val="00720B81"/>
    <w:rsid w:val="00720EB2"/>
    <w:rsid w:val="00720F99"/>
    <w:rsid w:val="0072199C"/>
    <w:rsid w:val="007221B7"/>
    <w:rsid w:val="00722213"/>
    <w:rsid w:val="00722C9F"/>
    <w:rsid w:val="0072323A"/>
    <w:rsid w:val="00723271"/>
    <w:rsid w:val="00723992"/>
    <w:rsid w:val="00723CD4"/>
    <w:rsid w:val="007244F5"/>
    <w:rsid w:val="00724651"/>
    <w:rsid w:val="007250D0"/>
    <w:rsid w:val="007253B8"/>
    <w:rsid w:val="0072593A"/>
    <w:rsid w:val="00726731"/>
    <w:rsid w:val="00726E18"/>
    <w:rsid w:val="007272F4"/>
    <w:rsid w:val="00727B83"/>
    <w:rsid w:val="00727F07"/>
    <w:rsid w:val="007309BC"/>
    <w:rsid w:val="007309BD"/>
    <w:rsid w:val="00731550"/>
    <w:rsid w:val="0073196F"/>
    <w:rsid w:val="0073197B"/>
    <w:rsid w:val="007324AA"/>
    <w:rsid w:val="00732FB2"/>
    <w:rsid w:val="00733CC3"/>
    <w:rsid w:val="00735F65"/>
    <w:rsid w:val="00736357"/>
    <w:rsid w:val="00736C54"/>
    <w:rsid w:val="0073741F"/>
    <w:rsid w:val="00737714"/>
    <w:rsid w:val="00741540"/>
    <w:rsid w:val="007416EB"/>
    <w:rsid w:val="007426DA"/>
    <w:rsid w:val="00742B21"/>
    <w:rsid w:val="00742E07"/>
    <w:rsid w:val="00743107"/>
    <w:rsid w:val="00743E24"/>
    <w:rsid w:val="00745272"/>
    <w:rsid w:val="00745A09"/>
    <w:rsid w:val="00745DDF"/>
    <w:rsid w:val="00745EAB"/>
    <w:rsid w:val="0074612B"/>
    <w:rsid w:val="00746927"/>
    <w:rsid w:val="00746B2D"/>
    <w:rsid w:val="00747DB4"/>
    <w:rsid w:val="007511FC"/>
    <w:rsid w:val="00751305"/>
    <w:rsid w:val="0075142D"/>
    <w:rsid w:val="0075156F"/>
    <w:rsid w:val="00751A24"/>
    <w:rsid w:val="0075201E"/>
    <w:rsid w:val="00752070"/>
    <w:rsid w:val="00752485"/>
    <w:rsid w:val="00752A2B"/>
    <w:rsid w:val="00754082"/>
    <w:rsid w:val="00754A6C"/>
    <w:rsid w:val="00755089"/>
    <w:rsid w:val="00755492"/>
    <w:rsid w:val="007554E6"/>
    <w:rsid w:val="00755696"/>
    <w:rsid w:val="00755DF8"/>
    <w:rsid w:val="00756938"/>
    <w:rsid w:val="00757F49"/>
    <w:rsid w:val="00760104"/>
    <w:rsid w:val="00760119"/>
    <w:rsid w:val="007603DA"/>
    <w:rsid w:val="00761A08"/>
    <w:rsid w:val="00761B8C"/>
    <w:rsid w:val="00761C59"/>
    <w:rsid w:val="00762129"/>
    <w:rsid w:val="00762500"/>
    <w:rsid w:val="007628E9"/>
    <w:rsid w:val="00762E74"/>
    <w:rsid w:val="00763358"/>
    <w:rsid w:val="0076348E"/>
    <w:rsid w:val="007636A2"/>
    <w:rsid w:val="00763FDE"/>
    <w:rsid w:val="00764542"/>
    <w:rsid w:val="0076643F"/>
    <w:rsid w:val="00767505"/>
    <w:rsid w:val="00767988"/>
    <w:rsid w:val="007700B6"/>
    <w:rsid w:val="007705A7"/>
    <w:rsid w:val="00771C21"/>
    <w:rsid w:val="00771CC9"/>
    <w:rsid w:val="0077237F"/>
    <w:rsid w:val="00772A40"/>
    <w:rsid w:val="00772DD9"/>
    <w:rsid w:val="00773235"/>
    <w:rsid w:val="00773310"/>
    <w:rsid w:val="007744EA"/>
    <w:rsid w:val="00774AC0"/>
    <w:rsid w:val="0077533F"/>
    <w:rsid w:val="007758EE"/>
    <w:rsid w:val="00775C1A"/>
    <w:rsid w:val="007767D0"/>
    <w:rsid w:val="007778E5"/>
    <w:rsid w:val="00777F63"/>
    <w:rsid w:val="00780101"/>
    <w:rsid w:val="00780715"/>
    <w:rsid w:val="00781362"/>
    <w:rsid w:val="00781FAD"/>
    <w:rsid w:val="007826D1"/>
    <w:rsid w:val="00782818"/>
    <w:rsid w:val="00782C2D"/>
    <w:rsid w:val="00783295"/>
    <w:rsid w:val="00783773"/>
    <w:rsid w:val="00783CD9"/>
    <w:rsid w:val="00783E2F"/>
    <w:rsid w:val="00784E1C"/>
    <w:rsid w:val="00785056"/>
    <w:rsid w:val="007850CD"/>
    <w:rsid w:val="00785CAF"/>
    <w:rsid w:val="007863A2"/>
    <w:rsid w:val="0078667F"/>
    <w:rsid w:val="00786D74"/>
    <w:rsid w:val="00786E88"/>
    <w:rsid w:val="0078788D"/>
    <w:rsid w:val="007879A1"/>
    <w:rsid w:val="00790629"/>
    <w:rsid w:val="00790C06"/>
    <w:rsid w:val="007910DD"/>
    <w:rsid w:val="00791C82"/>
    <w:rsid w:val="00792135"/>
    <w:rsid w:val="00793472"/>
    <w:rsid w:val="0079396E"/>
    <w:rsid w:val="00793970"/>
    <w:rsid w:val="007947BE"/>
    <w:rsid w:val="00794B33"/>
    <w:rsid w:val="00794F88"/>
    <w:rsid w:val="00795456"/>
    <w:rsid w:val="007957E9"/>
    <w:rsid w:val="00797304"/>
    <w:rsid w:val="007A0305"/>
    <w:rsid w:val="007A070A"/>
    <w:rsid w:val="007A1E81"/>
    <w:rsid w:val="007A21AD"/>
    <w:rsid w:val="007A2622"/>
    <w:rsid w:val="007A28CA"/>
    <w:rsid w:val="007A3012"/>
    <w:rsid w:val="007A3608"/>
    <w:rsid w:val="007A3B5B"/>
    <w:rsid w:val="007A423D"/>
    <w:rsid w:val="007A4747"/>
    <w:rsid w:val="007A487F"/>
    <w:rsid w:val="007A50A9"/>
    <w:rsid w:val="007A5113"/>
    <w:rsid w:val="007A5138"/>
    <w:rsid w:val="007A5479"/>
    <w:rsid w:val="007A57A9"/>
    <w:rsid w:val="007A57EF"/>
    <w:rsid w:val="007A5817"/>
    <w:rsid w:val="007A6189"/>
    <w:rsid w:val="007A62A7"/>
    <w:rsid w:val="007A648C"/>
    <w:rsid w:val="007A6DFC"/>
    <w:rsid w:val="007A7067"/>
    <w:rsid w:val="007A715F"/>
    <w:rsid w:val="007A7F89"/>
    <w:rsid w:val="007B05C4"/>
    <w:rsid w:val="007B0F93"/>
    <w:rsid w:val="007B11FC"/>
    <w:rsid w:val="007B123F"/>
    <w:rsid w:val="007B17EF"/>
    <w:rsid w:val="007B19A6"/>
    <w:rsid w:val="007B1B07"/>
    <w:rsid w:val="007B1ED1"/>
    <w:rsid w:val="007B1F9B"/>
    <w:rsid w:val="007B26E8"/>
    <w:rsid w:val="007B2FE9"/>
    <w:rsid w:val="007B336F"/>
    <w:rsid w:val="007B3559"/>
    <w:rsid w:val="007B3926"/>
    <w:rsid w:val="007B3B0F"/>
    <w:rsid w:val="007B3DF7"/>
    <w:rsid w:val="007B3EA9"/>
    <w:rsid w:val="007B47F4"/>
    <w:rsid w:val="007B4A52"/>
    <w:rsid w:val="007B60E9"/>
    <w:rsid w:val="007B6185"/>
    <w:rsid w:val="007B628E"/>
    <w:rsid w:val="007B659D"/>
    <w:rsid w:val="007B6CC3"/>
    <w:rsid w:val="007B76D3"/>
    <w:rsid w:val="007B7947"/>
    <w:rsid w:val="007C0B39"/>
    <w:rsid w:val="007C0BBC"/>
    <w:rsid w:val="007C15A6"/>
    <w:rsid w:val="007C177F"/>
    <w:rsid w:val="007C1FBB"/>
    <w:rsid w:val="007C2569"/>
    <w:rsid w:val="007C2FFA"/>
    <w:rsid w:val="007C3238"/>
    <w:rsid w:val="007C3334"/>
    <w:rsid w:val="007C3FE6"/>
    <w:rsid w:val="007C41A2"/>
    <w:rsid w:val="007C48A5"/>
    <w:rsid w:val="007C4A7D"/>
    <w:rsid w:val="007C61EB"/>
    <w:rsid w:val="007C6690"/>
    <w:rsid w:val="007C6ED8"/>
    <w:rsid w:val="007D0596"/>
    <w:rsid w:val="007D0765"/>
    <w:rsid w:val="007D1957"/>
    <w:rsid w:val="007D1A49"/>
    <w:rsid w:val="007D20EC"/>
    <w:rsid w:val="007D2B98"/>
    <w:rsid w:val="007D2D65"/>
    <w:rsid w:val="007D3012"/>
    <w:rsid w:val="007D3681"/>
    <w:rsid w:val="007D3818"/>
    <w:rsid w:val="007D3B21"/>
    <w:rsid w:val="007D4071"/>
    <w:rsid w:val="007D521F"/>
    <w:rsid w:val="007D52C0"/>
    <w:rsid w:val="007D6094"/>
    <w:rsid w:val="007D70FF"/>
    <w:rsid w:val="007D7D26"/>
    <w:rsid w:val="007E1D7C"/>
    <w:rsid w:val="007E21BC"/>
    <w:rsid w:val="007E23C1"/>
    <w:rsid w:val="007E2936"/>
    <w:rsid w:val="007E2C04"/>
    <w:rsid w:val="007E2C3A"/>
    <w:rsid w:val="007E3208"/>
    <w:rsid w:val="007E35CC"/>
    <w:rsid w:val="007E393B"/>
    <w:rsid w:val="007E3B65"/>
    <w:rsid w:val="007E415E"/>
    <w:rsid w:val="007E43B3"/>
    <w:rsid w:val="007E5447"/>
    <w:rsid w:val="007E544E"/>
    <w:rsid w:val="007E5866"/>
    <w:rsid w:val="007E5AA7"/>
    <w:rsid w:val="007E6199"/>
    <w:rsid w:val="007E63EF"/>
    <w:rsid w:val="007E6552"/>
    <w:rsid w:val="007E6713"/>
    <w:rsid w:val="007E6AA1"/>
    <w:rsid w:val="007E6D39"/>
    <w:rsid w:val="007E6EE3"/>
    <w:rsid w:val="007E6F5D"/>
    <w:rsid w:val="007E7327"/>
    <w:rsid w:val="007E7A5C"/>
    <w:rsid w:val="007E7C82"/>
    <w:rsid w:val="007F07B2"/>
    <w:rsid w:val="007F08D3"/>
    <w:rsid w:val="007F1583"/>
    <w:rsid w:val="007F1E47"/>
    <w:rsid w:val="007F20F9"/>
    <w:rsid w:val="007F2AA1"/>
    <w:rsid w:val="007F2CCD"/>
    <w:rsid w:val="007F2F30"/>
    <w:rsid w:val="007F3339"/>
    <w:rsid w:val="007F3836"/>
    <w:rsid w:val="007F475D"/>
    <w:rsid w:val="007F588D"/>
    <w:rsid w:val="007F623A"/>
    <w:rsid w:val="007F64DD"/>
    <w:rsid w:val="007F6C5A"/>
    <w:rsid w:val="007F7F60"/>
    <w:rsid w:val="0080006E"/>
    <w:rsid w:val="008006EE"/>
    <w:rsid w:val="00802039"/>
    <w:rsid w:val="00802289"/>
    <w:rsid w:val="008025C2"/>
    <w:rsid w:val="00802B1C"/>
    <w:rsid w:val="00802F3C"/>
    <w:rsid w:val="0080300B"/>
    <w:rsid w:val="008034F3"/>
    <w:rsid w:val="00803737"/>
    <w:rsid w:val="00803F1C"/>
    <w:rsid w:val="00804803"/>
    <w:rsid w:val="00804E35"/>
    <w:rsid w:val="008052F7"/>
    <w:rsid w:val="00805955"/>
    <w:rsid w:val="00805E79"/>
    <w:rsid w:val="0080600E"/>
    <w:rsid w:val="008062A4"/>
    <w:rsid w:val="0080687B"/>
    <w:rsid w:val="008068F6"/>
    <w:rsid w:val="0080761D"/>
    <w:rsid w:val="00810008"/>
    <w:rsid w:val="00810629"/>
    <w:rsid w:val="0081064F"/>
    <w:rsid w:val="008111E7"/>
    <w:rsid w:val="00811EF3"/>
    <w:rsid w:val="00812CD4"/>
    <w:rsid w:val="0081344E"/>
    <w:rsid w:val="00813D72"/>
    <w:rsid w:val="00814588"/>
    <w:rsid w:val="00814688"/>
    <w:rsid w:val="0081498B"/>
    <w:rsid w:val="00814D64"/>
    <w:rsid w:val="00815254"/>
    <w:rsid w:val="008157D4"/>
    <w:rsid w:val="008168BD"/>
    <w:rsid w:val="00817612"/>
    <w:rsid w:val="00817668"/>
    <w:rsid w:val="00817E2E"/>
    <w:rsid w:val="00817F3F"/>
    <w:rsid w:val="0082155B"/>
    <w:rsid w:val="00821B37"/>
    <w:rsid w:val="00821E1D"/>
    <w:rsid w:val="00822354"/>
    <w:rsid w:val="0082254D"/>
    <w:rsid w:val="00823104"/>
    <w:rsid w:val="00823289"/>
    <w:rsid w:val="00823373"/>
    <w:rsid w:val="008233BE"/>
    <w:rsid w:val="00823A0F"/>
    <w:rsid w:val="00823C1D"/>
    <w:rsid w:val="00824526"/>
    <w:rsid w:val="0082489B"/>
    <w:rsid w:val="00824B13"/>
    <w:rsid w:val="00825118"/>
    <w:rsid w:val="00825321"/>
    <w:rsid w:val="008269B7"/>
    <w:rsid w:val="00827C45"/>
    <w:rsid w:val="00830069"/>
    <w:rsid w:val="008306C7"/>
    <w:rsid w:val="00830A9E"/>
    <w:rsid w:val="00830A9F"/>
    <w:rsid w:val="0083174A"/>
    <w:rsid w:val="00831884"/>
    <w:rsid w:val="00831D8A"/>
    <w:rsid w:val="0083224A"/>
    <w:rsid w:val="008338A4"/>
    <w:rsid w:val="00833C1F"/>
    <w:rsid w:val="00834121"/>
    <w:rsid w:val="00834596"/>
    <w:rsid w:val="00834C11"/>
    <w:rsid w:val="00834D49"/>
    <w:rsid w:val="008352C4"/>
    <w:rsid w:val="00835352"/>
    <w:rsid w:val="00835819"/>
    <w:rsid w:val="00835BFA"/>
    <w:rsid w:val="00835F65"/>
    <w:rsid w:val="0083622B"/>
    <w:rsid w:val="00836D97"/>
    <w:rsid w:val="00837603"/>
    <w:rsid w:val="00837C45"/>
    <w:rsid w:val="00837ED9"/>
    <w:rsid w:val="00840DA4"/>
    <w:rsid w:val="00840EA0"/>
    <w:rsid w:val="00841107"/>
    <w:rsid w:val="0084270C"/>
    <w:rsid w:val="00843763"/>
    <w:rsid w:val="00844719"/>
    <w:rsid w:val="00844730"/>
    <w:rsid w:val="008457C2"/>
    <w:rsid w:val="008457D2"/>
    <w:rsid w:val="0084641D"/>
    <w:rsid w:val="00846D98"/>
    <w:rsid w:val="00847B69"/>
    <w:rsid w:val="00847CFF"/>
    <w:rsid w:val="00847E91"/>
    <w:rsid w:val="00850903"/>
    <w:rsid w:val="008510B2"/>
    <w:rsid w:val="00851423"/>
    <w:rsid w:val="008515BF"/>
    <w:rsid w:val="00851C97"/>
    <w:rsid w:val="0085394C"/>
    <w:rsid w:val="008539F7"/>
    <w:rsid w:val="00853CFA"/>
    <w:rsid w:val="008545DB"/>
    <w:rsid w:val="00854C79"/>
    <w:rsid w:val="00856DC9"/>
    <w:rsid w:val="0085719B"/>
    <w:rsid w:val="0085735B"/>
    <w:rsid w:val="00857A82"/>
    <w:rsid w:val="00857EDF"/>
    <w:rsid w:val="00861DFC"/>
    <w:rsid w:val="00862079"/>
    <w:rsid w:val="00862389"/>
    <w:rsid w:val="008627B6"/>
    <w:rsid w:val="00865DA0"/>
    <w:rsid w:val="008666D9"/>
    <w:rsid w:val="00866C6B"/>
    <w:rsid w:val="00866F87"/>
    <w:rsid w:val="00867247"/>
    <w:rsid w:val="00867481"/>
    <w:rsid w:val="00867758"/>
    <w:rsid w:val="0086778B"/>
    <w:rsid w:val="00867B31"/>
    <w:rsid w:val="00870DEA"/>
    <w:rsid w:val="00871076"/>
    <w:rsid w:val="00871139"/>
    <w:rsid w:val="0087188A"/>
    <w:rsid w:val="00871E1E"/>
    <w:rsid w:val="0087242F"/>
    <w:rsid w:val="00873482"/>
    <w:rsid w:val="0087355D"/>
    <w:rsid w:val="00873836"/>
    <w:rsid w:val="00873C7E"/>
    <w:rsid w:val="008749FC"/>
    <w:rsid w:val="00874D19"/>
    <w:rsid w:val="0087511A"/>
    <w:rsid w:val="008756B9"/>
    <w:rsid w:val="008757CE"/>
    <w:rsid w:val="00876829"/>
    <w:rsid w:val="008772E2"/>
    <w:rsid w:val="0088050A"/>
    <w:rsid w:val="0088068C"/>
    <w:rsid w:val="00880F4E"/>
    <w:rsid w:val="00881607"/>
    <w:rsid w:val="0088181C"/>
    <w:rsid w:val="0088185F"/>
    <w:rsid w:val="00881C2B"/>
    <w:rsid w:val="00881D1C"/>
    <w:rsid w:val="00882518"/>
    <w:rsid w:val="00882856"/>
    <w:rsid w:val="00882C9E"/>
    <w:rsid w:val="00882E9D"/>
    <w:rsid w:val="00883987"/>
    <w:rsid w:val="00884038"/>
    <w:rsid w:val="008845AF"/>
    <w:rsid w:val="00885737"/>
    <w:rsid w:val="00885D90"/>
    <w:rsid w:val="008868EB"/>
    <w:rsid w:val="00886D1E"/>
    <w:rsid w:val="0088712D"/>
    <w:rsid w:val="008876CB"/>
    <w:rsid w:val="00890650"/>
    <w:rsid w:val="008909D8"/>
    <w:rsid w:val="00890ADC"/>
    <w:rsid w:val="008911FD"/>
    <w:rsid w:val="008917B3"/>
    <w:rsid w:val="008919F1"/>
    <w:rsid w:val="00892635"/>
    <w:rsid w:val="00892AAC"/>
    <w:rsid w:val="00892C94"/>
    <w:rsid w:val="00892F96"/>
    <w:rsid w:val="008933C2"/>
    <w:rsid w:val="0089427A"/>
    <w:rsid w:val="008944DC"/>
    <w:rsid w:val="00894CF3"/>
    <w:rsid w:val="00894E6B"/>
    <w:rsid w:val="00896584"/>
    <w:rsid w:val="0089688D"/>
    <w:rsid w:val="00897825"/>
    <w:rsid w:val="008978ED"/>
    <w:rsid w:val="008978F3"/>
    <w:rsid w:val="00897E12"/>
    <w:rsid w:val="00897F78"/>
    <w:rsid w:val="008A0A0F"/>
    <w:rsid w:val="008A0BE2"/>
    <w:rsid w:val="008A17F6"/>
    <w:rsid w:val="008A214D"/>
    <w:rsid w:val="008A2445"/>
    <w:rsid w:val="008A33E2"/>
    <w:rsid w:val="008A3405"/>
    <w:rsid w:val="008A3C1D"/>
    <w:rsid w:val="008A408D"/>
    <w:rsid w:val="008A4AB8"/>
    <w:rsid w:val="008A4C56"/>
    <w:rsid w:val="008A4D1F"/>
    <w:rsid w:val="008A52D3"/>
    <w:rsid w:val="008A54F6"/>
    <w:rsid w:val="008A60CB"/>
    <w:rsid w:val="008A66E5"/>
    <w:rsid w:val="008A6E16"/>
    <w:rsid w:val="008A6EC1"/>
    <w:rsid w:val="008A7241"/>
    <w:rsid w:val="008A7C66"/>
    <w:rsid w:val="008A7E0F"/>
    <w:rsid w:val="008B0095"/>
    <w:rsid w:val="008B0A07"/>
    <w:rsid w:val="008B0E6F"/>
    <w:rsid w:val="008B10FE"/>
    <w:rsid w:val="008B12F5"/>
    <w:rsid w:val="008B1706"/>
    <w:rsid w:val="008B1818"/>
    <w:rsid w:val="008B1F09"/>
    <w:rsid w:val="008B2133"/>
    <w:rsid w:val="008B280E"/>
    <w:rsid w:val="008B32D2"/>
    <w:rsid w:val="008B3891"/>
    <w:rsid w:val="008B3EA1"/>
    <w:rsid w:val="008B40CD"/>
    <w:rsid w:val="008B4B06"/>
    <w:rsid w:val="008B4E40"/>
    <w:rsid w:val="008B4FAB"/>
    <w:rsid w:val="008B5FB1"/>
    <w:rsid w:val="008B60BF"/>
    <w:rsid w:val="008B6AD9"/>
    <w:rsid w:val="008C0344"/>
    <w:rsid w:val="008C0358"/>
    <w:rsid w:val="008C08D5"/>
    <w:rsid w:val="008C0A0B"/>
    <w:rsid w:val="008C0EE4"/>
    <w:rsid w:val="008C15BE"/>
    <w:rsid w:val="008C1CB2"/>
    <w:rsid w:val="008C1DFA"/>
    <w:rsid w:val="008C3D08"/>
    <w:rsid w:val="008C417C"/>
    <w:rsid w:val="008C49FB"/>
    <w:rsid w:val="008C52CD"/>
    <w:rsid w:val="008C537A"/>
    <w:rsid w:val="008C59C2"/>
    <w:rsid w:val="008C5E2D"/>
    <w:rsid w:val="008C6F1D"/>
    <w:rsid w:val="008C730C"/>
    <w:rsid w:val="008D0407"/>
    <w:rsid w:val="008D0ACD"/>
    <w:rsid w:val="008D20D0"/>
    <w:rsid w:val="008D2234"/>
    <w:rsid w:val="008D3100"/>
    <w:rsid w:val="008D4417"/>
    <w:rsid w:val="008D4C2B"/>
    <w:rsid w:val="008D56F2"/>
    <w:rsid w:val="008D59B4"/>
    <w:rsid w:val="008D5C75"/>
    <w:rsid w:val="008D622C"/>
    <w:rsid w:val="008D63B5"/>
    <w:rsid w:val="008D6B53"/>
    <w:rsid w:val="008D6EC4"/>
    <w:rsid w:val="008D768D"/>
    <w:rsid w:val="008D77E1"/>
    <w:rsid w:val="008D7935"/>
    <w:rsid w:val="008E08B6"/>
    <w:rsid w:val="008E0DBA"/>
    <w:rsid w:val="008E121F"/>
    <w:rsid w:val="008E1288"/>
    <w:rsid w:val="008E1AFA"/>
    <w:rsid w:val="008E3759"/>
    <w:rsid w:val="008E37D9"/>
    <w:rsid w:val="008E3BFE"/>
    <w:rsid w:val="008E5C1A"/>
    <w:rsid w:val="008E6B2D"/>
    <w:rsid w:val="008E6E88"/>
    <w:rsid w:val="008E7084"/>
    <w:rsid w:val="008F0DF4"/>
    <w:rsid w:val="008F0FE7"/>
    <w:rsid w:val="008F1912"/>
    <w:rsid w:val="008F1FA4"/>
    <w:rsid w:val="008F1FF3"/>
    <w:rsid w:val="008F2512"/>
    <w:rsid w:val="008F2B7D"/>
    <w:rsid w:val="008F31B4"/>
    <w:rsid w:val="008F3BDE"/>
    <w:rsid w:val="008F3D7B"/>
    <w:rsid w:val="008F3F82"/>
    <w:rsid w:val="008F428C"/>
    <w:rsid w:val="008F4D1C"/>
    <w:rsid w:val="008F4FEC"/>
    <w:rsid w:val="008F5655"/>
    <w:rsid w:val="008F63E9"/>
    <w:rsid w:val="008F71F3"/>
    <w:rsid w:val="008F7548"/>
    <w:rsid w:val="008F7B45"/>
    <w:rsid w:val="009004CA"/>
    <w:rsid w:val="00900A88"/>
    <w:rsid w:val="00901CD2"/>
    <w:rsid w:val="00901DC2"/>
    <w:rsid w:val="0090270B"/>
    <w:rsid w:val="0090367D"/>
    <w:rsid w:val="009041DC"/>
    <w:rsid w:val="00904D3E"/>
    <w:rsid w:val="0090506A"/>
    <w:rsid w:val="00905333"/>
    <w:rsid w:val="00905781"/>
    <w:rsid w:val="0090608B"/>
    <w:rsid w:val="00906267"/>
    <w:rsid w:val="009078BC"/>
    <w:rsid w:val="00910313"/>
    <w:rsid w:val="00910DE3"/>
    <w:rsid w:val="009118DB"/>
    <w:rsid w:val="00911CE0"/>
    <w:rsid w:val="00912A98"/>
    <w:rsid w:val="00912AA8"/>
    <w:rsid w:val="00913F7A"/>
    <w:rsid w:val="00914B36"/>
    <w:rsid w:val="00915926"/>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B09"/>
    <w:rsid w:val="00921CDB"/>
    <w:rsid w:val="00921F43"/>
    <w:rsid w:val="00921F76"/>
    <w:rsid w:val="0092269E"/>
    <w:rsid w:val="0092289F"/>
    <w:rsid w:val="00922BA1"/>
    <w:rsid w:val="00922CFB"/>
    <w:rsid w:val="00923D80"/>
    <w:rsid w:val="00923EBF"/>
    <w:rsid w:val="00924508"/>
    <w:rsid w:val="0092461E"/>
    <w:rsid w:val="00924B04"/>
    <w:rsid w:val="00925465"/>
    <w:rsid w:val="00925887"/>
    <w:rsid w:val="00926C45"/>
    <w:rsid w:val="00927B71"/>
    <w:rsid w:val="00927F69"/>
    <w:rsid w:val="00930A04"/>
    <w:rsid w:val="00931B63"/>
    <w:rsid w:val="00931F88"/>
    <w:rsid w:val="00932378"/>
    <w:rsid w:val="0093253E"/>
    <w:rsid w:val="00932CBA"/>
    <w:rsid w:val="00932DAB"/>
    <w:rsid w:val="009339E9"/>
    <w:rsid w:val="00933E90"/>
    <w:rsid w:val="00934535"/>
    <w:rsid w:val="00934A2C"/>
    <w:rsid w:val="009352A6"/>
    <w:rsid w:val="009353B2"/>
    <w:rsid w:val="00935F71"/>
    <w:rsid w:val="0093605A"/>
    <w:rsid w:val="009360FC"/>
    <w:rsid w:val="00936453"/>
    <w:rsid w:val="00936865"/>
    <w:rsid w:val="00937F37"/>
    <w:rsid w:val="0094165B"/>
    <w:rsid w:val="009420CD"/>
    <w:rsid w:val="00942396"/>
    <w:rsid w:val="0094301D"/>
    <w:rsid w:val="0094372A"/>
    <w:rsid w:val="0094409B"/>
    <w:rsid w:val="00944F24"/>
    <w:rsid w:val="00945119"/>
    <w:rsid w:val="009451FF"/>
    <w:rsid w:val="009456C5"/>
    <w:rsid w:val="0094583C"/>
    <w:rsid w:val="00945BA8"/>
    <w:rsid w:val="0094616B"/>
    <w:rsid w:val="00947F03"/>
    <w:rsid w:val="009514C3"/>
    <w:rsid w:val="0095164F"/>
    <w:rsid w:val="00951E35"/>
    <w:rsid w:val="009532F6"/>
    <w:rsid w:val="00953803"/>
    <w:rsid w:val="00953996"/>
    <w:rsid w:val="00953E4D"/>
    <w:rsid w:val="00954021"/>
    <w:rsid w:val="009543CD"/>
    <w:rsid w:val="00955B27"/>
    <w:rsid w:val="00955CF2"/>
    <w:rsid w:val="00956234"/>
    <w:rsid w:val="00960284"/>
    <w:rsid w:val="0096104D"/>
    <w:rsid w:val="0096140E"/>
    <w:rsid w:val="0096166D"/>
    <w:rsid w:val="00963156"/>
    <w:rsid w:val="009634F2"/>
    <w:rsid w:val="009639E6"/>
    <w:rsid w:val="0096451A"/>
    <w:rsid w:val="00964C1E"/>
    <w:rsid w:val="00965A80"/>
    <w:rsid w:val="00966A12"/>
    <w:rsid w:val="00966CD9"/>
    <w:rsid w:val="0096706E"/>
    <w:rsid w:val="00967813"/>
    <w:rsid w:val="0096791A"/>
    <w:rsid w:val="00967AA9"/>
    <w:rsid w:val="0097066C"/>
    <w:rsid w:val="00970BA5"/>
    <w:rsid w:val="00970CF5"/>
    <w:rsid w:val="00971B9F"/>
    <w:rsid w:val="00971CBC"/>
    <w:rsid w:val="0097299C"/>
    <w:rsid w:val="00973981"/>
    <w:rsid w:val="00973EE2"/>
    <w:rsid w:val="00974491"/>
    <w:rsid w:val="009745E9"/>
    <w:rsid w:val="009754CF"/>
    <w:rsid w:val="009759F0"/>
    <w:rsid w:val="00975C4E"/>
    <w:rsid w:val="009764B2"/>
    <w:rsid w:val="00976517"/>
    <w:rsid w:val="009766F5"/>
    <w:rsid w:val="00977021"/>
    <w:rsid w:val="009770B4"/>
    <w:rsid w:val="00977A8F"/>
    <w:rsid w:val="00980433"/>
    <w:rsid w:val="00980FFC"/>
    <w:rsid w:val="00981062"/>
    <w:rsid w:val="009811E1"/>
    <w:rsid w:val="00981D70"/>
    <w:rsid w:val="00981FBA"/>
    <w:rsid w:val="00982638"/>
    <w:rsid w:val="00982F73"/>
    <w:rsid w:val="00983633"/>
    <w:rsid w:val="00983E96"/>
    <w:rsid w:val="00985179"/>
    <w:rsid w:val="009851D9"/>
    <w:rsid w:val="00986371"/>
    <w:rsid w:val="0098673A"/>
    <w:rsid w:val="00986A6F"/>
    <w:rsid w:val="00986E4C"/>
    <w:rsid w:val="00986FF5"/>
    <w:rsid w:val="009905BE"/>
    <w:rsid w:val="009906C8"/>
    <w:rsid w:val="009907E4"/>
    <w:rsid w:val="0099114C"/>
    <w:rsid w:val="0099115F"/>
    <w:rsid w:val="009912AF"/>
    <w:rsid w:val="00991888"/>
    <w:rsid w:val="00992071"/>
    <w:rsid w:val="009920BB"/>
    <w:rsid w:val="00992376"/>
    <w:rsid w:val="009939F4"/>
    <w:rsid w:val="00994211"/>
    <w:rsid w:val="00994C73"/>
    <w:rsid w:val="009954E7"/>
    <w:rsid w:val="00995647"/>
    <w:rsid w:val="00996443"/>
    <w:rsid w:val="00996FBF"/>
    <w:rsid w:val="0099726C"/>
    <w:rsid w:val="00997BC5"/>
    <w:rsid w:val="009A0BC4"/>
    <w:rsid w:val="009A1042"/>
    <w:rsid w:val="009A10C3"/>
    <w:rsid w:val="009A1441"/>
    <w:rsid w:val="009A16BC"/>
    <w:rsid w:val="009A1B84"/>
    <w:rsid w:val="009A1C83"/>
    <w:rsid w:val="009A1DB0"/>
    <w:rsid w:val="009A2A90"/>
    <w:rsid w:val="009A2CA6"/>
    <w:rsid w:val="009A2DF7"/>
    <w:rsid w:val="009A4F41"/>
    <w:rsid w:val="009A5585"/>
    <w:rsid w:val="009A625E"/>
    <w:rsid w:val="009A68BA"/>
    <w:rsid w:val="009A78DB"/>
    <w:rsid w:val="009A7AB4"/>
    <w:rsid w:val="009A7FF0"/>
    <w:rsid w:val="009B106B"/>
    <w:rsid w:val="009B1298"/>
    <w:rsid w:val="009B2906"/>
    <w:rsid w:val="009B381B"/>
    <w:rsid w:val="009B5353"/>
    <w:rsid w:val="009B5674"/>
    <w:rsid w:val="009B5687"/>
    <w:rsid w:val="009B60A9"/>
    <w:rsid w:val="009B6292"/>
    <w:rsid w:val="009B7149"/>
    <w:rsid w:val="009B7437"/>
    <w:rsid w:val="009B74DB"/>
    <w:rsid w:val="009B7EF6"/>
    <w:rsid w:val="009C0044"/>
    <w:rsid w:val="009C00FB"/>
    <w:rsid w:val="009C0774"/>
    <w:rsid w:val="009C0CB0"/>
    <w:rsid w:val="009C0E6E"/>
    <w:rsid w:val="009C0F7F"/>
    <w:rsid w:val="009C1241"/>
    <w:rsid w:val="009C172D"/>
    <w:rsid w:val="009C1927"/>
    <w:rsid w:val="009C1ABD"/>
    <w:rsid w:val="009C1D63"/>
    <w:rsid w:val="009C1F0D"/>
    <w:rsid w:val="009C2C61"/>
    <w:rsid w:val="009C2FE1"/>
    <w:rsid w:val="009C36F7"/>
    <w:rsid w:val="009C38FE"/>
    <w:rsid w:val="009C3AD2"/>
    <w:rsid w:val="009C3D5F"/>
    <w:rsid w:val="009C4609"/>
    <w:rsid w:val="009C496D"/>
    <w:rsid w:val="009C4D63"/>
    <w:rsid w:val="009C5A19"/>
    <w:rsid w:val="009C5A1B"/>
    <w:rsid w:val="009C66C4"/>
    <w:rsid w:val="009C66F1"/>
    <w:rsid w:val="009C7A75"/>
    <w:rsid w:val="009C7A9D"/>
    <w:rsid w:val="009C7FE5"/>
    <w:rsid w:val="009D0899"/>
    <w:rsid w:val="009D0D14"/>
    <w:rsid w:val="009D0D8C"/>
    <w:rsid w:val="009D108D"/>
    <w:rsid w:val="009D1753"/>
    <w:rsid w:val="009D193B"/>
    <w:rsid w:val="009D2BF1"/>
    <w:rsid w:val="009D2F14"/>
    <w:rsid w:val="009D38B7"/>
    <w:rsid w:val="009D39CD"/>
    <w:rsid w:val="009D3F26"/>
    <w:rsid w:val="009D4168"/>
    <w:rsid w:val="009D62F8"/>
    <w:rsid w:val="009D655A"/>
    <w:rsid w:val="009D6D04"/>
    <w:rsid w:val="009D7611"/>
    <w:rsid w:val="009D7628"/>
    <w:rsid w:val="009E05FC"/>
    <w:rsid w:val="009E072E"/>
    <w:rsid w:val="009E08D8"/>
    <w:rsid w:val="009E0B61"/>
    <w:rsid w:val="009E17D5"/>
    <w:rsid w:val="009E1B1F"/>
    <w:rsid w:val="009E22F3"/>
    <w:rsid w:val="009E2C79"/>
    <w:rsid w:val="009E2DE1"/>
    <w:rsid w:val="009E2FEF"/>
    <w:rsid w:val="009E347B"/>
    <w:rsid w:val="009E3C50"/>
    <w:rsid w:val="009E3C72"/>
    <w:rsid w:val="009E44CA"/>
    <w:rsid w:val="009E4D3B"/>
    <w:rsid w:val="009E53DE"/>
    <w:rsid w:val="009E56A8"/>
    <w:rsid w:val="009E5942"/>
    <w:rsid w:val="009E77B0"/>
    <w:rsid w:val="009F00A6"/>
    <w:rsid w:val="009F0CAD"/>
    <w:rsid w:val="009F160C"/>
    <w:rsid w:val="009F2A4E"/>
    <w:rsid w:val="009F2FCB"/>
    <w:rsid w:val="009F3326"/>
    <w:rsid w:val="009F3800"/>
    <w:rsid w:val="009F396D"/>
    <w:rsid w:val="009F3B62"/>
    <w:rsid w:val="009F465A"/>
    <w:rsid w:val="009F4FB9"/>
    <w:rsid w:val="009F5662"/>
    <w:rsid w:val="009F6540"/>
    <w:rsid w:val="009F7398"/>
    <w:rsid w:val="00A00D61"/>
    <w:rsid w:val="00A011D9"/>
    <w:rsid w:val="00A02085"/>
    <w:rsid w:val="00A021FC"/>
    <w:rsid w:val="00A0253B"/>
    <w:rsid w:val="00A0319E"/>
    <w:rsid w:val="00A03ED4"/>
    <w:rsid w:val="00A03F28"/>
    <w:rsid w:val="00A03F9D"/>
    <w:rsid w:val="00A0400E"/>
    <w:rsid w:val="00A041C1"/>
    <w:rsid w:val="00A059B9"/>
    <w:rsid w:val="00A05E08"/>
    <w:rsid w:val="00A05FDA"/>
    <w:rsid w:val="00A075DF"/>
    <w:rsid w:val="00A07E4F"/>
    <w:rsid w:val="00A10347"/>
    <w:rsid w:val="00A103AA"/>
    <w:rsid w:val="00A11212"/>
    <w:rsid w:val="00A11460"/>
    <w:rsid w:val="00A1152C"/>
    <w:rsid w:val="00A11B27"/>
    <w:rsid w:val="00A11E44"/>
    <w:rsid w:val="00A12413"/>
    <w:rsid w:val="00A12694"/>
    <w:rsid w:val="00A12E46"/>
    <w:rsid w:val="00A13B79"/>
    <w:rsid w:val="00A14536"/>
    <w:rsid w:val="00A15251"/>
    <w:rsid w:val="00A15DB7"/>
    <w:rsid w:val="00A161A0"/>
    <w:rsid w:val="00A17609"/>
    <w:rsid w:val="00A17742"/>
    <w:rsid w:val="00A17BF5"/>
    <w:rsid w:val="00A20427"/>
    <w:rsid w:val="00A20F29"/>
    <w:rsid w:val="00A2101A"/>
    <w:rsid w:val="00A21CA6"/>
    <w:rsid w:val="00A22638"/>
    <w:rsid w:val="00A22AB2"/>
    <w:rsid w:val="00A22E8B"/>
    <w:rsid w:val="00A237D5"/>
    <w:rsid w:val="00A23B52"/>
    <w:rsid w:val="00A23F22"/>
    <w:rsid w:val="00A24D22"/>
    <w:rsid w:val="00A24D62"/>
    <w:rsid w:val="00A24E88"/>
    <w:rsid w:val="00A24F0A"/>
    <w:rsid w:val="00A260AE"/>
    <w:rsid w:val="00A26100"/>
    <w:rsid w:val="00A26163"/>
    <w:rsid w:val="00A262CE"/>
    <w:rsid w:val="00A2685E"/>
    <w:rsid w:val="00A26971"/>
    <w:rsid w:val="00A2767B"/>
    <w:rsid w:val="00A30100"/>
    <w:rsid w:val="00A3058A"/>
    <w:rsid w:val="00A307C6"/>
    <w:rsid w:val="00A311CE"/>
    <w:rsid w:val="00A317C2"/>
    <w:rsid w:val="00A31805"/>
    <w:rsid w:val="00A3239E"/>
    <w:rsid w:val="00A3262F"/>
    <w:rsid w:val="00A328B3"/>
    <w:rsid w:val="00A32F54"/>
    <w:rsid w:val="00A3422A"/>
    <w:rsid w:val="00A34555"/>
    <w:rsid w:val="00A35A54"/>
    <w:rsid w:val="00A36067"/>
    <w:rsid w:val="00A36424"/>
    <w:rsid w:val="00A36F70"/>
    <w:rsid w:val="00A373A1"/>
    <w:rsid w:val="00A40AE7"/>
    <w:rsid w:val="00A40D44"/>
    <w:rsid w:val="00A40DB5"/>
    <w:rsid w:val="00A40F45"/>
    <w:rsid w:val="00A41102"/>
    <w:rsid w:val="00A426D3"/>
    <w:rsid w:val="00A42A58"/>
    <w:rsid w:val="00A4336A"/>
    <w:rsid w:val="00A438E3"/>
    <w:rsid w:val="00A43EE8"/>
    <w:rsid w:val="00A45281"/>
    <w:rsid w:val="00A454E3"/>
    <w:rsid w:val="00A46D11"/>
    <w:rsid w:val="00A47EA9"/>
    <w:rsid w:val="00A50423"/>
    <w:rsid w:val="00A5076E"/>
    <w:rsid w:val="00A50BF3"/>
    <w:rsid w:val="00A50FCF"/>
    <w:rsid w:val="00A525D0"/>
    <w:rsid w:val="00A528D1"/>
    <w:rsid w:val="00A52B34"/>
    <w:rsid w:val="00A5314A"/>
    <w:rsid w:val="00A5482E"/>
    <w:rsid w:val="00A54CE2"/>
    <w:rsid w:val="00A54D7A"/>
    <w:rsid w:val="00A554A9"/>
    <w:rsid w:val="00A559CF"/>
    <w:rsid w:val="00A55D7F"/>
    <w:rsid w:val="00A56A8C"/>
    <w:rsid w:val="00A56CB4"/>
    <w:rsid w:val="00A575AB"/>
    <w:rsid w:val="00A57E7F"/>
    <w:rsid w:val="00A57F08"/>
    <w:rsid w:val="00A6000C"/>
    <w:rsid w:val="00A601E8"/>
    <w:rsid w:val="00A6022A"/>
    <w:rsid w:val="00A610CD"/>
    <w:rsid w:val="00A614F6"/>
    <w:rsid w:val="00A61B08"/>
    <w:rsid w:val="00A6251B"/>
    <w:rsid w:val="00A62F77"/>
    <w:rsid w:val="00A658C7"/>
    <w:rsid w:val="00A65E1C"/>
    <w:rsid w:val="00A66388"/>
    <w:rsid w:val="00A66DD8"/>
    <w:rsid w:val="00A66E4A"/>
    <w:rsid w:val="00A66E9E"/>
    <w:rsid w:val="00A674A5"/>
    <w:rsid w:val="00A70E64"/>
    <w:rsid w:val="00A71116"/>
    <w:rsid w:val="00A71275"/>
    <w:rsid w:val="00A717BC"/>
    <w:rsid w:val="00A71C77"/>
    <w:rsid w:val="00A72E7A"/>
    <w:rsid w:val="00A737D8"/>
    <w:rsid w:val="00A73ACD"/>
    <w:rsid w:val="00A73E97"/>
    <w:rsid w:val="00A74676"/>
    <w:rsid w:val="00A74898"/>
    <w:rsid w:val="00A74B66"/>
    <w:rsid w:val="00A74CAE"/>
    <w:rsid w:val="00A758AA"/>
    <w:rsid w:val="00A75940"/>
    <w:rsid w:val="00A75A4A"/>
    <w:rsid w:val="00A75C48"/>
    <w:rsid w:val="00A761EF"/>
    <w:rsid w:val="00A766D2"/>
    <w:rsid w:val="00A76837"/>
    <w:rsid w:val="00A76AA3"/>
    <w:rsid w:val="00A76B94"/>
    <w:rsid w:val="00A7781B"/>
    <w:rsid w:val="00A77AE6"/>
    <w:rsid w:val="00A77CAF"/>
    <w:rsid w:val="00A8020D"/>
    <w:rsid w:val="00A80FDD"/>
    <w:rsid w:val="00A81443"/>
    <w:rsid w:val="00A81F49"/>
    <w:rsid w:val="00A83B25"/>
    <w:rsid w:val="00A844FB"/>
    <w:rsid w:val="00A8561F"/>
    <w:rsid w:val="00A85721"/>
    <w:rsid w:val="00A86295"/>
    <w:rsid w:val="00A86845"/>
    <w:rsid w:val="00A879D2"/>
    <w:rsid w:val="00A87E04"/>
    <w:rsid w:val="00A90060"/>
    <w:rsid w:val="00A90F10"/>
    <w:rsid w:val="00A916E2"/>
    <w:rsid w:val="00A927E3"/>
    <w:rsid w:val="00A92A7F"/>
    <w:rsid w:val="00A934B6"/>
    <w:rsid w:val="00A9372B"/>
    <w:rsid w:val="00A93915"/>
    <w:rsid w:val="00A9412C"/>
    <w:rsid w:val="00A9474D"/>
    <w:rsid w:val="00A94F9C"/>
    <w:rsid w:val="00A973E7"/>
    <w:rsid w:val="00A97E20"/>
    <w:rsid w:val="00AA0983"/>
    <w:rsid w:val="00AA09A2"/>
    <w:rsid w:val="00AA0C83"/>
    <w:rsid w:val="00AA0E57"/>
    <w:rsid w:val="00AA1E0E"/>
    <w:rsid w:val="00AA1EED"/>
    <w:rsid w:val="00AA209B"/>
    <w:rsid w:val="00AA3C32"/>
    <w:rsid w:val="00AA3ECF"/>
    <w:rsid w:val="00AA573D"/>
    <w:rsid w:val="00AA5B19"/>
    <w:rsid w:val="00AA5F9C"/>
    <w:rsid w:val="00AA6C99"/>
    <w:rsid w:val="00AA7573"/>
    <w:rsid w:val="00AA75B2"/>
    <w:rsid w:val="00AA768B"/>
    <w:rsid w:val="00AA7996"/>
    <w:rsid w:val="00AA79B9"/>
    <w:rsid w:val="00AA7CE6"/>
    <w:rsid w:val="00AB0ABA"/>
    <w:rsid w:val="00AB0D0D"/>
    <w:rsid w:val="00AB0EF8"/>
    <w:rsid w:val="00AB192D"/>
    <w:rsid w:val="00AB1965"/>
    <w:rsid w:val="00AB2293"/>
    <w:rsid w:val="00AB2E9E"/>
    <w:rsid w:val="00AB31B3"/>
    <w:rsid w:val="00AB361E"/>
    <w:rsid w:val="00AB3A27"/>
    <w:rsid w:val="00AB450C"/>
    <w:rsid w:val="00AB48F0"/>
    <w:rsid w:val="00AB6CF1"/>
    <w:rsid w:val="00AB74CE"/>
    <w:rsid w:val="00AB76CC"/>
    <w:rsid w:val="00AB794A"/>
    <w:rsid w:val="00AC0ACB"/>
    <w:rsid w:val="00AC19CB"/>
    <w:rsid w:val="00AC2710"/>
    <w:rsid w:val="00AC30FF"/>
    <w:rsid w:val="00AC552F"/>
    <w:rsid w:val="00AC6FDD"/>
    <w:rsid w:val="00AC7386"/>
    <w:rsid w:val="00AC79AC"/>
    <w:rsid w:val="00AD0455"/>
    <w:rsid w:val="00AD128E"/>
    <w:rsid w:val="00AD15D7"/>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7B72"/>
    <w:rsid w:val="00AE093E"/>
    <w:rsid w:val="00AE123C"/>
    <w:rsid w:val="00AE1332"/>
    <w:rsid w:val="00AE13E3"/>
    <w:rsid w:val="00AE18C1"/>
    <w:rsid w:val="00AE1CE2"/>
    <w:rsid w:val="00AE1D4F"/>
    <w:rsid w:val="00AE220A"/>
    <w:rsid w:val="00AE2452"/>
    <w:rsid w:val="00AE316E"/>
    <w:rsid w:val="00AE387D"/>
    <w:rsid w:val="00AE3DE5"/>
    <w:rsid w:val="00AE3EEC"/>
    <w:rsid w:val="00AE4070"/>
    <w:rsid w:val="00AE5488"/>
    <w:rsid w:val="00AE5865"/>
    <w:rsid w:val="00AE6217"/>
    <w:rsid w:val="00AE67C3"/>
    <w:rsid w:val="00AE6F40"/>
    <w:rsid w:val="00AE6F91"/>
    <w:rsid w:val="00AE7E7C"/>
    <w:rsid w:val="00AF02BD"/>
    <w:rsid w:val="00AF0CB6"/>
    <w:rsid w:val="00AF129E"/>
    <w:rsid w:val="00AF133E"/>
    <w:rsid w:val="00AF2616"/>
    <w:rsid w:val="00AF2825"/>
    <w:rsid w:val="00AF28FF"/>
    <w:rsid w:val="00AF2C02"/>
    <w:rsid w:val="00AF34EA"/>
    <w:rsid w:val="00AF4A02"/>
    <w:rsid w:val="00AF4F45"/>
    <w:rsid w:val="00AF5571"/>
    <w:rsid w:val="00AF58FD"/>
    <w:rsid w:val="00AF5CF8"/>
    <w:rsid w:val="00AF60BA"/>
    <w:rsid w:val="00AF71FB"/>
    <w:rsid w:val="00AF735B"/>
    <w:rsid w:val="00AF7BAE"/>
    <w:rsid w:val="00B001F5"/>
    <w:rsid w:val="00B0030B"/>
    <w:rsid w:val="00B00811"/>
    <w:rsid w:val="00B0096B"/>
    <w:rsid w:val="00B02A98"/>
    <w:rsid w:val="00B034FE"/>
    <w:rsid w:val="00B045F0"/>
    <w:rsid w:val="00B04717"/>
    <w:rsid w:val="00B04D09"/>
    <w:rsid w:val="00B07341"/>
    <w:rsid w:val="00B073CD"/>
    <w:rsid w:val="00B10827"/>
    <w:rsid w:val="00B109DF"/>
    <w:rsid w:val="00B10BC8"/>
    <w:rsid w:val="00B10C87"/>
    <w:rsid w:val="00B10D6E"/>
    <w:rsid w:val="00B1159D"/>
    <w:rsid w:val="00B119D7"/>
    <w:rsid w:val="00B11FF7"/>
    <w:rsid w:val="00B12360"/>
    <w:rsid w:val="00B12D96"/>
    <w:rsid w:val="00B13962"/>
    <w:rsid w:val="00B13D65"/>
    <w:rsid w:val="00B13ED7"/>
    <w:rsid w:val="00B15459"/>
    <w:rsid w:val="00B1581A"/>
    <w:rsid w:val="00B16ECE"/>
    <w:rsid w:val="00B170B4"/>
    <w:rsid w:val="00B17738"/>
    <w:rsid w:val="00B17895"/>
    <w:rsid w:val="00B200D5"/>
    <w:rsid w:val="00B2058C"/>
    <w:rsid w:val="00B20A69"/>
    <w:rsid w:val="00B22654"/>
    <w:rsid w:val="00B22712"/>
    <w:rsid w:val="00B22C83"/>
    <w:rsid w:val="00B22EC4"/>
    <w:rsid w:val="00B24050"/>
    <w:rsid w:val="00B24682"/>
    <w:rsid w:val="00B24738"/>
    <w:rsid w:val="00B24DF4"/>
    <w:rsid w:val="00B2579E"/>
    <w:rsid w:val="00B25BEE"/>
    <w:rsid w:val="00B26D63"/>
    <w:rsid w:val="00B26FED"/>
    <w:rsid w:val="00B27D7A"/>
    <w:rsid w:val="00B27DB2"/>
    <w:rsid w:val="00B27F8B"/>
    <w:rsid w:val="00B30539"/>
    <w:rsid w:val="00B3086D"/>
    <w:rsid w:val="00B308C6"/>
    <w:rsid w:val="00B30DBA"/>
    <w:rsid w:val="00B313A3"/>
    <w:rsid w:val="00B314DB"/>
    <w:rsid w:val="00B31C00"/>
    <w:rsid w:val="00B31CAB"/>
    <w:rsid w:val="00B32D20"/>
    <w:rsid w:val="00B33187"/>
    <w:rsid w:val="00B33A08"/>
    <w:rsid w:val="00B33CDB"/>
    <w:rsid w:val="00B3496E"/>
    <w:rsid w:val="00B3527D"/>
    <w:rsid w:val="00B35302"/>
    <w:rsid w:val="00B3557F"/>
    <w:rsid w:val="00B35E00"/>
    <w:rsid w:val="00B3618C"/>
    <w:rsid w:val="00B361F2"/>
    <w:rsid w:val="00B36982"/>
    <w:rsid w:val="00B36B0B"/>
    <w:rsid w:val="00B36E66"/>
    <w:rsid w:val="00B3718B"/>
    <w:rsid w:val="00B3745F"/>
    <w:rsid w:val="00B40939"/>
    <w:rsid w:val="00B409D5"/>
    <w:rsid w:val="00B41D8B"/>
    <w:rsid w:val="00B42988"/>
    <w:rsid w:val="00B42A2B"/>
    <w:rsid w:val="00B42D5C"/>
    <w:rsid w:val="00B43755"/>
    <w:rsid w:val="00B4404D"/>
    <w:rsid w:val="00B451E6"/>
    <w:rsid w:val="00B45AF4"/>
    <w:rsid w:val="00B45C68"/>
    <w:rsid w:val="00B4632A"/>
    <w:rsid w:val="00B467CA"/>
    <w:rsid w:val="00B46CFB"/>
    <w:rsid w:val="00B50182"/>
    <w:rsid w:val="00B50A10"/>
    <w:rsid w:val="00B51732"/>
    <w:rsid w:val="00B51994"/>
    <w:rsid w:val="00B51B60"/>
    <w:rsid w:val="00B525C7"/>
    <w:rsid w:val="00B52761"/>
    <w:rsid w:val="00B530F1"/>
    <w:rsid w:val="00B53430"/>
    <w:rsid w:val="00B534F4"/>
    <w:rsid w:val="00B537C1"/>
    <w:rsid w:val="00B54C61"/>
    <w:rsid w:val="00B54F58"/>
    <w:rsid w:val="00B5531E"/>
    <w:rsid w:val="00B55990"/>
    <w:rsid w:val="00B559F2"/>
    <w:rsid w:val="00B55E30"/>
    <w:rsid w:val="00B55EA7"/>
    <w:rsid w:val="00B56A1E"/>
    <w:rsid w:val="00B56DB5"/>
    <w:rsid w:val="00B57173"/>
    <w:rsid w:val="00B5717E"/>
    <w:rsid w:val="00B572A4"/>
    <w:rsid w:val="00B572B2"/>
    <w:rsid w:val="00B57777"/>
    <w:rsid w:val="00B578BC"/>
    <w:rsid w:val="00B57A54"/>
    <w:rsid w:val="00B57E66"/>
    <w:rsid w:val="00B604A4"/>
    <w:rsid w:val="00B61221"/>
    <w:rsid w:val="00B61277"/>
    <w:rsid w:val="00B615BC"/>
    <w:rsid w:val="00B62483"/>
    <w:rsid w:val="00B62710"/>
    <w:rsid w:val="00B62C2C"/>
    <w:rsid w:val="00B62EEC"/>
    <w:rsid w:val="00B62F50"/>
    <w:rsid w:val="00B63B04"/>
    <w:rsid w:val="00B640C9"/>
    <w:rsid w:val="00B657D6"/>
    <w:rsid w:val="00B659B6"/>
    <w:rsid w:val="00B65C6E"/>
    <w:rsid w:val="00B65CA4"/>
    <w:rsid w:val="00B66014"/>
    <w:rsid w:val="00B66A0C"/>
    <w:rsid w:val="00B672EC"/>
    <w:rsid w:val="00B67A9F"/>
    <w:rsid w:val="00B700CB"/>
    <w:rsid w:val="00B70904"/>
    <w:rsid w:val="00B7122E"/>
    <w:rsid w:val="00B71240"/>
    <w:rsid w:val="00B715FA"/>
    <w:rsid w:val="00B71915"/>
    <w:rsid w:val="00B71970"/>
    <w:rsid w:val="00B71F8A"/>
    <w:rsid w:val="00B724B8"/>
    <w:rsid w:val="00B72EA4"/>
    <w:rsid w:val="00B72F3F"/>
    <w:rsid w:val="00B7369F"/>
    <w:rsid w:val="00B73B9D"/>
    <w:rsid w:val="00B7587C"/>
    <w:rsid w:val="00B77401"/>
    <w:rsid w:val="00B775BB"/>
    <w:rsid w:val="00B80AB3"/>
    <w:rsid w:val="00B82376"/>
    <w:rsid w:val="00B82563"/>
    <w:rsid w:val="00B82598"/>
    <w:rsid w:val="00B825BA"/>
    <w:rsid w:val="00B82DF7"/>
    <w:rsid w:val="00B83228"/>
    <w:rsid w:val="00B83EC4"/>
    <w:rsid w:val="00B848AC"/>
    <w:rsid w:val="00B84AB2"/>
    <w:rsid w:val="00B861FC"/>
    <w:rsid w:val="00B868E1"/>
    <w:rsid w:val="00B86A12"/>
    <w:rsid w:val="00B86CDC"/>
    <w:rsid w:val="00B86DF7"/>
    <w:rsid w:val="00B879D8"/>
    <w:rsid w:val="00B87B35"/>
    <w:rsid w:val="00B87C8C"/>
    <w:rsid w:val="00B903A1"/>
    <w:rsid w:val="00B90D28"/>
    <w:rsid w:val="00B91A02"/>
    <w:rsid w:val="00B92AA8"/>
    <w:rsid w:val="00B92F75"/>
    <w:rsid w:val="00B930F5"/>
    <w:rsid w:val="00B93375"/>
    <w:rsid w:val="00B93773"/>
    <w:rsid w:val="00B93D7F"/>
    <w:rsid w:val="00B941FD"/>
    <w:rsid w:val="00B94892"/>
    <w:rsid w:val="00B94B91"/>
    <w:rsid w:val="00B950C0"/>
    <w:rsid w:val="00B95A84"/>
    <w:rsid w:val="00B95B18"/>
    <w:rsid w:val="00B9664B"/>
    <w:rsid w:val="00B9731F"/>
    <w:rsid w:val="00B97381"/>
    <w:rsid w:val="00B97501"/>
    <w:rsid w:val="00B976F3"/>
    <w:rsid w:val="00B97A23"/>
    <w:rsid w:val="00BA0110"/>
    <w:rsid w:val="00BA02EC"/>
    <w:rsid w:val="00BA057C"/>
    <w:rsid w:val="00BA0A54"/>
    <w:rsid w:val="00BA0F7F"/>
    <w:rsid w:val="00BA1FAA"/>
    <w:rsid w:val="00BA276C"/>
    <w:rsid w:val="00BA28C7"/>
    <w:rsid w:val="00BA290D"/>
    <w:rsid w:val="00BA2A24"/>
    <w:rsid w:val="00BA4D3A"/>
    <w:rsid w:val="00BA4F96"/>
    <w:rsid w:val="00BA51E7"/>
    <w:rsid w:val="00BA55BF"/>
    <w:rsid w:val="00BA5ED2"/>
    <w:rsid w:val="00BA6348"/>
    <w:rsid w:val="00BA7939"/>
    <w:rsid w:val="00BB019D"/>
    <w:rsid w:val="00BB0325"/>
    <w:rsid w:val="00BB08B6"/>
    <w:rsid w:val="00BB0B21"/>
    <w:rsid w:val="00BB0E5B"/>
    <w:rsid w:val="00BB1B43"/>
    <w:rsid w:val="00BB306F"/>
    <w:rsid w:val="00BB340B"/>
    <w:rsid w:val="00BB3915"/>
    <w:rsid w:val="00BB3C95"/>
    <w:rsid w:val="00BB3E5A"/>
    <w:rsid w:val="00BB525D"/>
    <w:rsid w:val="00BB579C"/>
    <w:rsid w:val="00BB6347"/>
    <w:rsid w:val="00BB67F8"/>
    <w:rsid w:val="00BB6A79"/>
    <w:rsid w:val="00BB7186"/>
    <w:rsid w:val="00BB797E"/>
    <w:rsid w:val="00BC0D76"/>
    <w:rsid w:val="00BC0E77"/>
    <w:rsid w:val="00BC2C57"/>
    <w:rsid w:val="00BC32FA"/>
    <w:rsid w:val="00BC3DA0"/>
    <w:rsid w:val="00BC3E47"/>
    <w:rsid w:val="00BC3FF8"/>
    <w:rsid w:val="00BC4904"/>
    <w:rsid w:val="00BC5140"/>
    <w:rsid w:val="00BC5C3C"/>
    <w:rsid w:val="00BC5F95"/>
    <w:rsid w:val="00BC6DED"/>
    <w:rsid w:val="00BC783A"/>
    <w:rsid w:val="00BC7B12"/>
    <w:rsid w:val="00BC7BB4"/>
    <w:rsid w:val="00BC7C95"/>
    <w:rsid w:val="00BD001F"/>
    <w:rsid w:val="00BD0FF5"/>
    <w:rsid w:val="00BD158E"/>
    <w:rsid w:val="00BD1E66"/>
    <w:rsid w:val="00BD1FBD"/>
    <w:rsid w:val="00BD21AC"/>
    <w:rsid w:val="00BD23DA"/>
    <w:rsid w:val="00BD2692"/>
    <w:rsid w:val="00BD27B2"/>
    <w:rsid w:val="00BD352D"/>
    <w:rsid w:val="00BD4B7A"/>
    <w:rsid w:val="00BD4B89"/>
    <w:rsid w:val="00BD5922"/>
    <w:rsid w:val="00BD6D3A"/>
    <w:rsid w:val="00BD7208"/>
    <w:rsid w:val="00BD7CFD"/>
    <w:rsid w:val="00BD7D29"/>
    <w:rsid w:val="00BE06F1"/>
    <w:rsid w:val="00BE21F3"/>
    <w:rsid w:val="00BE2F5B"/>
    <w:rsid w:val="00BE3796"/>
    <w:rsid w:val="00BE3CDE"/>
    <w:rsid w:val="00BE3D84"/>
    <w:rsid w:val="00BE5447"/>
    <w:rsid w:val="00BE6025"/>
    <w:rsid w:val="00BE63D8"/>
    <w:rsid w:val="00BE6480"/>
    <w:rsid w:val="00BE6B43"/>
    <w:rsid w:val="00BF01B4"/>
    <w:rsid w:val="00BF02CB"/>
    <w:rsid w:val="00BF06E5"/>
    <w:rsid w:val="00BF06FC"/>
    <w:rsid w:val="00BF10B0"/>
    <w:rsid w:val="00BF20ED"/>
    <w:rsid w:val="00BF27C1"/>
    <w:rsid w:val="00BF29B0"/>
    <w:rsid w:val="00BF2A85"/>
    <w:rsid w:val="00BF3438"/>
    <w:rsid w:val="00BF3684"/>
    <w:rsid w:val="00BF3AC3"/>
    <w:rsid w:val="00BF3D05"/>
    <w:rsid w:val="00BF4F9C"/>
    <w:rsid w:val="00BF62E8"/>
    <w:rsid w:val="00BF6555"/>
    <w:rsid w:val="00BF66EB"/>
    <w:rsid w:val="00BF674F"/>
    <w:rsid w:val="00BF6AB6"/>
    <w:rsid w:val="00BF6CDB"/>
    <w:rsid w:val="00BF6FD8"/>
    <w:rsid w:val="00BF752F"/>
    <w:rsid w:val="00BF7DAF"/>
    <w:rsid w:val="00C00842"/>
    <w:rsid w:val="00C009F4"/>
    <w:rsid w:val="00C0164B"/>
    <w:rsid w:val="00C0192C"/>
    <w:rsid w:val="00C0197F"/>
    <w:rsid w:val="00C01D90"/>
    <w:rsid w:val="00C0238F"/>
    <w:rsid w:val="00C02684"/>
    <w:rsid w:val="00C028C8"/>
    <w:rsid w:val="00C02BB4"/>
    <w:rsid w:val="00C03090"/>
    <w:rsid w:val="00C03680"/>
    <w:rsid w:val="00C054DF"/>
    <w:rsid w:val="00C05AB3"/>
    <w:rsid w:val="00C05B5C"/>
    <w:rsid w:val="00C060B6"/>
    <w:rsid w:val="00C06424"/>
    <w:rsid w:val="00C06522"/>
    <w:rsid w:val="00C066FA"/>
    <w:rsid w:val="00C070B0"/>
    <w:rsid w:val="00C0762C"/>
    <w:rsid w:val="00C07FC5"/>
    <w:rsid w:val="00C11026"/>
    <w:rsid w:val="00C11B62"/>
    <w:rsid w:val="00C12445"/>
    <w:rsid w:val="00C13163"/>
    <w:rsid w:val="00C140D6"/>
    <w:rsid w:val="00C14543"/>
    <w:rsid w:val="00C14740"/>
    <w:rsid w:val="00C14F3B"/>
    <w:rsid w:val="00C15CA6"/>
    <w:rsid w:val="00C15E5C"/>
    <w:rsid w:val="00C15F70"/>
    <w:rsid w:val="00C16056"/>
    <w:rsid w:val="00C1620A"/>
    <w:rsid w:val="00C1683F"/>
    <w:rsid w:val="00C1685C"/>
    <w:rsid w:val="00C16C9F"/>
    <w:rsid w:val="00C16CB3"/>
    <w:rsid w:val="00C16EB1"/>
    <w:rsid w:val="00C17182"/>
    <w:rsid w:val="00C172B0"/>
    <w:rsid w:val="00C1757D"/>
    <w:rsid w:val="00C1764A"/>
    <w:rsid w:val="00C17901"/>
    <w:rsid w:val="00C17D03"/>
    <w:rsid w:val="00C17E12"/>
    <w:rsid w:val="00C17F6C"/>
    <w:rsid w:val="00C20851"/>
    <w:rsid w:val="00C20D38"/>
    <w:rsid w:val="00C21433"/>
    <w:rsid w:val="00C21762"/>
    <w:rsid w:val="00C21B06"/>
    <w:rsid w:val="00C21CE0"/>
    <w:rsid w:val="00C21FEF"/>
    <w:rsid w:val="00C2369E"/>
    <w:rsid w:val="00C23BA4"/>
    <w:rsid w:val="00C24468"/>
    <w:rsid w:val="00C24543"/>
    <w:rsid w:val="00C24A26"/>
    <w:rsid w:val="00C251ED"/>
    <w:rsid w:val="00C256A2"/>
    <w:rsid w:val="00C257BC"/>
    <w:rsid w:val="00C258B4"/>
    <w:rsid w:val="00C25ADB"/>
    <w:rsid w:val="00C25D7F"/>
    <w:rsid w:val="00C25F34"/>
    <w:rsid w:val="00C25FE9"/>
    <w:rsid w:val="00C2654C"/>
    <w:rsid w:val="00C26D0D"/>
    <w:rsid w:val="00C27710"/>
    <w:rsid w:val="00C2798E"/>
    <w:rsid w:val="00C30524"/>
    <w:rsid w:val="00C306A6"/>
    <w:rsid w:val="00C30F90"/>
    <w:rsid w:val="00C30FD8"/>
    <w:rsid w:val="00C3183F"/>
    <w:rsid w:val="00C31BFF"/>
    <w:rsid w:val="00C33C22"/>
    <w:rsid w:val="00C33CC3"/>
    <w:rsid w:val="00C346E9"/>
    <w:rsid w:val="00C3600B"/>
    <w:rsid w:val="00C36727"/>
    <w:rsid w:val="00C41B9D"/>
    <w:rsid w:val="00C4350F"/>
    <w:rsid w:val="00C4442F"/>
    <w:rsid w:val="00C444A1"/>
    <w:rsid w:val="00C45821"/>
    <w:rsid w:val="00C468CA"/>
    <w:rsid w:val="00C47033"/>
    <w:rsid w:val="00C47664"/>
    <w:rsid w:val="00C50DC8"/>
    <w:rsid w:val="00C50EF9"/>
    <w:rsid w:val="00C51515"/>
    <w:rsid w:val="00C51DAF"/>
    <w:rsid w:val="00C53032"/>
    <w:rsid w:val="00C5351E"/>
    <w:rsid w:val="00C536BA"/>
    <w:rsid w:val="00C53DBB"/>
    <w:rsid w:val="00C53E25"/>
    <w:rsid w:val="00C54BA9"/>
    <w:rsid w:val="00C55036"/>
    <w:rsid w:val="00C55868"/>
    <w:rsid w:val="00C55CB3"/>
    <w:rsid w:val="00C5660B"/>
    <w:rsid w:val="00C5665E"/>
    <w:rsid w:val="00C567EB"/>
    <w:rsid w:val="00C56CEF"/>
    <w:rsid w:val="00C57DFE"/>
    <w:rsid w:val="00C60ADE"/>
    <w:rsid w:val="00C6147F"/>
    <w:rsid w:val="00C61D64"/>
    <w:rsid w:val="00C61E56"/>
    <w:rsid w:val="00C634E2"/>
    <w:rsid w:val="00C63F2C"/>
    <w:rsid w:val="00C6457A"/>
    <w:rsid w:val="00C64B20"/>
    <w:rsid w:val="00C64C11"/>
    <w:rsid w:val="00C6559D"/>
    <w:rsid w:val="00C65711"/>
    <w:rsid w:val="00C65B77"/>
    <w:rsid w:val="00C661B6"/>
    <w:rsid w:val="00C6671D"/>
    <w:rsid w:val="00C66B0A"/>
    <w:rsid w:val="00C66B72"/>
    <w:rsid w:val="00C672BC"/>
    <w:rsid w:val="00C67464"/>
    <w:rsid w:val="00C709EE"/>
    <w:rsid w:val="00C70D53"/>
    <w:rsid w:val="00C71755"/>
    <w:rsid w:val="00C7306A"/>
    <w:rsid w:val="00C73518"/>
    <w:rsid w:val="00C738F1"/>
    <w:rsid w:val="00C73B25"/>
    <w:rsid w:val="00C74261"/>
    <w:rsid w:val="00C74436"/>
    <w:rsid w:val="00C744DE"/>
    <w:rsid w:val="00C74750"/>
    <w:rsid w:val="00C75324"/>
    <w:rsid w:val="00C75B77"/>
    <w:rsid w:val="00C75D79"/>
    <w:rsid w:val="00C77257"/>
    <w:rsid w:val="00C774B7"/>
    <w:rsid w:val="00C778D7"/>
    <w:rsid w:val="00C77918"/>
    <w:rsid w:val="00C77C1D"/>
    <w:rsid w:val="00C803E7"/>
    <w:rsid w:val="00C804EA"/>
    <w:rsid w:val="00C80946"/>
    <w:rsid w:val="00C80971"/>
    <w:rsid w:val="00C8101D"/>
    <w:rsid w:val="00C810E9"/>
    <w:rsid w:val="00C81335"/>
    <w:rsid w:val="00C81891"/>
    <w:rsid w:val="00C81A38"/>
    <w:rsid w:val="00C8265C"/>
    <w:rsid w:val="00C830CC"/>
    <w:rsid w:val="00C8318B"/>
    <w:rsid w:val="00C834AB"/>
    <w:rsid w:val="00C83B90"/>
    <w:rsid w:val="00C83FBC"/>
    <w:rsid w:val="00C852A4"/>
    <w:rsid w:val="00C858CF"/>
    <w:rsid w:val="00C85921"/>
    <w:rsid w:val="00C871D0"/>
    <w:rsid w:val="00C87A10"/>
    <w:rsid w:val="00C87AC4"/>
    <w:rsid w:val="00C87B95"/>
    <w:rsid w:val="00C87C98"/>
    <w:rsid w:val="00C87D2E"/>
    <w:rsid w:val="00C90849"/>
    <w:rsid w:val="00C9197A"/>
    <w:rsid w:val="00C91FEF"/>
    <w:rsid w:val="00C92B18"/>
    <w:rsid w:val="00C92E4E"/>
    <w:rsid w:val="00C92F2E"/>
    <w:rsid w:val="00C93010"/>
    <w:rsid w:val="00C936A5"/>
    <w:rsid w:val="00C93B9C"/>
    <w:rsid w:val="00C9474D"/>
    <w:rsid w:val="00C94806"/>
    <w:rsid w:val="00C94948"/>
    <w:rsid w:val="00C94D3E"/>
    <w:rsid w:val="00C9567A"/>
    <w:rsid w:val="00C95C16"/>
    <w:rsid w:val="00C95EF7"/>
    <w:rsid w:val="00C95FC4"/>
    <w:rsid w:val="00C962EE"/>
    <w:rsid w:val="00C968AA"/>
    <w:rsid w:val="00C96D07"/>
    <w:rsid w:val="00C96DD8"/>
    <w:rsid w:val="00C97720"/>
    <w:rsid w:val="00CA0F20"/>
    <w:rsid w:val="00CA108A"/>
    <w:rsid w:val="00CA13B0"/>
    <w:rsid w:val="00CA1477"/>
    <w:rsid w:val="00CA3439"/>
    <w:rsid w:val="00CA3964"/>
    <w:rsid w:val="00CA3D85"/>
    <w:rsid w:val="00CA3F8F"/>
    <w:rsid w:val="00CA40B2"/>
    <w:rsid w:val="00CA6A41"/>
    <w:rsid w:val="00CA6DCE"/>
    <w:rsid w:val="00CA78C1"/>
    <w:rsid w:val="00CB0182"/>
    <w:rsid w:val="00CB0798"/>
    <w:rsid w:val="00CB1364"/>
    <w:rsid w:val="00CB1C98"/>
    <w:rsid w:val="00CB212D"/>
    <w:rsid w:val="00CB24B6"/>
    <w:rsid w:val="00CB2660"/>
    <w:rsid w:val="00CB4779"/>
    <w:rsid w:val="00CB515E"/>
    <w:rsid w:val="00CB535B"/>
    <w:rsid w:val="00CB5C91"/>
    <w:rsid w:val="00CB6ACF"/>
    <w:rsid w:val="00CB7D92"/>
    <w:rsid w:val="00CC0E1F"/>
    <w:rsid w:val="00CC1C28"/>
    <w:rsid w:val="00CC1D27"/>
    <w:rsid w:val="00CC24DC"/>
    <w:rsid w:val="00CC31B2"/>
    <w:rsid w:val="00CC360A"/>
    <w:rsid w:val="00CC3D8F"/>
    <w:rsid w:val="00CC44CD"/>
    <w:rsid w:val="00CC4524"/>
    <w:rsid w:val="00CC5946"/>
    <w:rsid w:val="00CC5E90"/>
    <w:rsid w:val="00CC7220"/>
    <w:rsid w:val="00CD0197"/>
    <w:rsid w:val="00CD046C"/>
    <w:rsid w:val="00CD053D"/>
    <w:rsid w:val="00CD05A5"/>
    <w:rsid w:val="00CD07D8"/>
    <w:rsid w:val="00CD0C74"/>
    <w:rsid w:val="00CD0EAA"/>
    <w:rsid w:val="00CD11AA"/>
    <w:rsid w:val="00CD27CD"/>
    <w:rsid w:val="00CD2834"/>
    <w:rsid w:val="00CD3722"/>
    <w:rsid w:val="00CD3D7B"/>
    <w:rsid w:val="00CD41EF"/>
    <w:rsid w:val="00CD48B0"/>
    <w:rsid w:val="00CD58F2"/>
    <w:rsid w:val="00CD658A"/>
    <w:rsid w:val="00CD7572"/>
    <w:rsid w:val="00CD780F"/>
    <w:rsid w:val="00CE0560"/>
    <w:rsid w:val="00CE076C"/>
    <w:rsid w:val="00CE0CB5"/>
    <w:rsid w:val="00CE2CC6"/>
    <w:rsid w:val="00CE2CE1"/>
    <w:rsid w:val="00CE32A1"/>
    <w:rsid w:val="00CE33CC"/>
    <w:rsid w:val="00CE4751"/>
    <w:rsid w:val="00CE5199"/>
    <w:rsid w:val="00CE64B7"/>
    <w:rsid w:val="00CE6685"/>
    <w:rsid w:val="00CE66D5"/>
    <w:rsid w:val="00CE6A29"/>
    <w:rsid w:val="00CE6A5A"/>
    <w:rsid w:val="00CE6E75"/>
    <w:rsid w:val="00CE7122"/>
    <w:rsid w:val="00CF0310"/>
    <w:rsid w:val="00CF0979"/>
    <w:rsid w:val="00CF2291"/>
    <w:rsid w:val="00CF285C"/>
    <w:rsid w:val="00CF2AE7"/>
    <w:rsid w:val="00CF3E53"/>
    <w:rsid w:val="00CF3F6D"/>
    <w:rsid w:val="00CF4099"/>
    <w:rsid w:val="00CF40AD"/>
    <w:rsid w:val="00CF4196"/>
    <w:rsid w:val="00CF46F0"/>
    <w:rsid w:val="00CF4778"/>
    <w:rsid w:val="00CF4C6F"/>
    <w:rsid w:val="00CF637A"/>
    <w:rsid w:val="00CF6582"/>
    <w:rsid w:val="00CF66BF"/>
    <w:rsid w:val="00CF6BE1"/>
    <w:rsid w:val="00CF6FD7"/>
    <w:rsid w:val="00CF7111"/>
    <w:rsid w:val="00CF722D"/>
    <w:rsid w:val="00CF735D"/>
    <w:rsid w:val="00CF74FE"/>
    <w:rsid w:val="00CF7940"/>
    <w:rsid w:val="00CF7C8B"/>
    <w:rsid w:val="00D013CF"/>
    <w:rsid w:val="00D027B8"/>
    <w:rsid w:val="00D02943"/>
    <w:rsid w:val="00D0300C"/>
    <w:rsid w:val="00D03B3F"/>
    <w:rsid w:val="00D03C0D"/>
    <w:rsid w:val="00D0507B"/>
    <w:rsid w:val="00D0570F"/>
    <w:rsid w:val="00D059DE"/>
    <w:rsid w:val="00D05ABD"/>
    <w:rsid w:val="00D05F87"/>
    <w:rsid w:val="00D06374"/>
    <w:rsid w:val="00D069C4"/>
    <w:rsid w:val="00D06CF8"/>
    <w:rsid w:val="00D06D55"/>
    <w:rsid w:val="00D07089"/>
    <w:rsid w:val="00D07ADB"/>
    <w:rsid w:val="00D10A5E"/>
    <w:rsid w:val="00D11160"/>
    <w:rsid w:val="00D11904"/>
    <w:rsid w:val="00D120A1"/>
    <w:rsid w:val="00D12670"/>
    <w:rsid w:val="00D12C50"/>
    <w:rsid w:val="00D130B7"/>
    <w:rsid w:val="00D13A9C"/>
    <w:rsid w:val="00D13E67"/>
    <w:rsid w:val="00D13FCE"/>
    <w:rsid w:val="00D140C6"/>
    <w:rsid w:val="00D14AE5"/>
    <w:rsid w:val="00D15932"/>
    <w:rsid w:val="00D16682"/>
    <w:rsid w:val="00D16DDF"/>
    <w:rsid w:val="00D20307"/>
    <w:rsid w:val="00D20D33"/>
    <w:rsid w:val="00D210C4"/>
    <w:rsid w:val="00D2152E"/>
    <w:rsid w:val="00D21576"/>
    <w:rsid w:val="00D218B9"/>
    <w:rsid w:val="00D21C2F"/>
    <w:rsid w:val="00D21D0A"/>
    <w:rsid w:val="00D227F0"/>
    <w:rsid w:val="00D23B2E"/>
    <w:rsid w:val="00D240BF"/>
    <w:rsid w:val="00D2510B"/>
    <w:rsid w:val="00D261FB"/>
    <w:rsid w:val="00D2793D"/>
    <w:rsid w:val="00D304F4"/>
    <w:rsid w:val="00D306D1"/>
    <w:rsid w:val="00D30800"/>
    <w:rsid w:val="00D3128B"/>
    <w:rsid w:val="00D32026"/>
    <w:rsid w:val="00D34786"/>
    <w:rsid w:val="00D354E7"/>
    <w:rsid w:val="00D36BD8"/>
    <w:rsid w:val="00D36E7F"/>
    <w:rsid w:val="00D37718"/>
    <w:rsid w:val="00D37785"/>
    <w:rsid w:val="00D37960"/>
    <w:rsid w:val="00D37B3C"/>
    <w:rsid w:val="00D37B47"/>
    <w:rsid w:val="00D37BFC"/>
    <w:rsid w:val="00D40137"/>
    <w:rsid w:val="00D407BD"/>
    <w:rsid w:val="00D4102F"/>
    <w:rsid w:val="00D41852"/>
    <w:rsid w:val="00D4196A"/>
    <w:rsid w:val="00D421E7"/>
    <w:rsid w:val="00D4394B"/>
    <w:rsid w:val="00D43B49"/>
    <w:rsid w:val="00D43BF7"/>
    <w:rsid w:val="00D43C65"/>
    <w:rsid w:val="00D44B09"/>
    <w:rsid w:val="00D44B5A"/>
    <w:rsid w:val="00D44FE5"/>
    <w:rsid w:val="00D45684"/>
    <w:rsid w:val="00D46436"/>
    <w:rsid w:val="00D46AAD"/>
    <w:rsid w:val="00D47009"/>
    <w:rsid w:val="00D47111"/>
    <w:rsid w:val="00D47A8E"/>
    <w:rsid w:val="00D47E8F"/>
    <w:rsid w:val="00D508AC"/>
    <w:rsid w:val="00D50968"/>
    <w:rsid w:val="00D51516"/>
    <w:rsid w:val="00D51DF3"/>
    <w:rsid w:val="00D522EB"/>
    <w:rsid w:val="00D52D14"/>
    <w:rsid w:val="00D53030"/>
    <w:rsid w:val="00D53C7A"/>
    <w:rsid w:val="00D556F3"/>
    <w:rsid w:val="00D55B21"/>
    <w:rsid w:val="00D55DB6"/>
    <w:rsid w:val="00D56680"/>
    <w:rsid w:val="00D5674B"/>
    <w:rsid w:val="00D5684A"/>
    <w:rsid w:val="00D57200"/>
    <w:rsid w:val="00D57D25"/>
    <w:rsid w:val="00D60CBF"/>
    <w:rsid w:val="00D60D43"/>
    <w:rsid w:val="00D617B5"/>
    <w:rsid w:val="00D61CDC"/>
    <w:rsid w:val="00D63213"/>
    <w:rsid w:val="00D6343C"/>
    <w:rsid w:val="00D63791"/>
    <w:rsid w:val="00D63B8D"/>
    <w:rsid w:val="00D63DD6"/>
    <w:rsid w:val="00D645D8"/>
    <w:rsid w:val="00D66481"/>
    <w:rsid w:val="00D66AD2"/>
    <w:rsid w:val="00D66BEC"/>
    <w:rsid w:val="00D6720D"/>
    <w:rsid w:val="00D67BEF"/>
    <w:rsid w:val="00D70064"/>
    <w:rsid w:val="00D712D3"/>
    <w:rsid w:val="00D71422"/>
    <w:rsid w:val="00D72530"/>
    <w:rsid w:val="00D72DC6"/>
    <w:rsid w:val="00D72F1F"/>
    <w:rsid w:val="00D7353B"/>
    <w:rsid w:val="00D7360E"/>
    <w:rsid w:val="00D737BF"/>
    <w:rsid w:val="00D746A3"/>
    <w:rsid w:val="00D74801"/>
    <w:rsid w:val="00D752AA"/>
    <w:rsid w:val="00D7558D"/>
    <w:rsid w:val="00D75E4A"/>
    <w:rsid w:val="00D76591"/>
    <w:rsid w:val="00D77A99"/>
    <w:rsid w:val="00D806DF"/>
    <w:rsid w:val="00D817B0"/>
    <w:rsid w:val="00D81C59"/>
    <w:rsid w:val="00D81D92"/>
    <w:rsid w:val="00D82A87"/>
    <w:rsid w:val="00D83620"/>
    <w:rsid w:val="00D836CC"/>
    <w:rsid w:val="00D83ABF"/>
    <w:rsid w:val="00D83CA1"/>
    <w:rsid w:val="00D8455D"/>
    <w:rsid w:val="00D84A50"/>
    <w:rsid w:val="00D85D06"/>
    <w:rsid w:val="00D85DD3"/>
    <w:rsid w:val="00D876E2"/>
    <w:rsid w:val="00D876F9"/>
    <w:rsid w:val="00D87CE6"/>
    <w:rsid w:val="00D87ECC"/>
    <w:rsid w:val="00D901F1"/>
    <w:rsid w:val="00D90EDB"/>
    <w:rsid w:val="00D910D2"/>
    <w:rsid w:val="00D916C2"/>
    <w:rsid w:val="00D923A6"/>
    <w:rsid w:val="00D92437"/>
    <w:rsid w:val="00D92481"/>
    <w:rsid w:val="00D941A4"/>
    <w:rsid w:val="00D94F2C"/>
    <w:rsid w:val="00D96098"/>
    <w:rsid w:val="00D96127"/>
    <w:rsid w:val="00D96AB3"/>
    <w:rsid w:val="00D97413"/>
    <w:rsid w:val="00D976A2"/>
    <w:rsid w:val="00DA04F7"/>
    <w:rsid w:val="00DA17DF"/>
    <w:rsid w:val="00DA19FB"/>
    <w:rsid w:val="00DA1AFE"/>
    <w:rsid w:val="00DA337B"/>
    <w:rsid w:val="00DA3ED2"/>
    <w:rsid w:val="00DA4B6A"/>
    <w:rsid w:val="00DA4CA6"/>
    <w:rsid w:val="00DA5592"/>
    <w:rsid w:val="00DA57CF"/>
    <w:rsid w:val="00DA6A51"/>
    <w:rsid w:val="00DA71CE"/>
    <w:rsid w:val="00DA788E"/>
    <w:rsid w:val="00DA7A54"/>
    <w:rsid w:val="00DA7B5F"/>
    <w:rsid w:val="00DB0B5B"/>
    <w:rsid w:val="00DB13E1"/>
    <w:rsid w:val="00DB22A3"/>
    <w:rsid w:val="00DB241F"/>
    <w:rsid w:val="00DB2964"/>
    <w:rsid w:val="00DB2BEE"/>
    <w:rsid w:val="00DB3206"/>
    <w:rsid w:val="00DB3280"/>
    <w:rsid w:val="00DB36F2"/>
    <w:rsid w:val="00DB3FB1"/>
    <w:rsid w:val="00DB40F4"/>
    <w:rsid w:val="00DB4C22"/>
    <w:rsid w:val="00DB4D52"/>
    <w:rsid w:val="00DB7696"/>
    <w:rsid w:val="00DB79CE"/>
    <w:rsid w:val="00DB7E61"/>
    <w:rsid w:val="00DC05CE"/>
    <w:rsid w:val="00DC0B21"/>
    <w:rsid w:val="00DC1172"/>
    <w:rsid w:val="00DC11E7"/>
    <w:rsid w:val="00DC123D"/>
    <w:rsid w:val="00DC24E3"/>
    <w:rsid w:val="00DC2E42"/>
    <w:rsid w:val="00DC30F1"/>
    <w:rsid w:val="00DC31E0"/>
    <w:rsid w:val="00DC37CF"/>
    <w:rsid w:val="00DC386A"/>
    <w:rsid w:val="00DC55CA"/>
    <w:rsid w:val="00DC61C8"/>
    <w:rsid w:val="00DC6B4D"/>
    <w:rsid w:val="00DC6D12"/>
    <w:rsid w:val="00DC7023"/>
    <w:rsid w:val="00DC75ED"/>
    <w:rsid w:val="00DC762F"/>
    <w:rsid w:val="00DC769A"/>
    <w:rsid w:val="00DD0983"/>
    <w:rsid w:val="00DD0F58"/>
    <w:rsid w:val="00DD19B5"/>
    <w:rsid w:val="00DD1AE8"/>
    <w:rsid w:val="00DD1E33"/>
    <w:rsid w:val="00DD2B6B"/>
    <w:rsid w:val="00DD3C7D"/>
    <w:rsid w:val="00DD3D86"/>
    <w:rsid w:val="00DD40AA"/>
    <w:rsid w:val="00DD4136"/>
    <w:rsid w:val="00DD46EF"/>
    <w:rsid w:val="00DD4AD2"/>
    <w:rsid w:val="00DD6477"/>
    <w:rsid w:val="00DD6892"/>
    <w:rsid w:val="00DE0D13"/>
    <w:rsid w:val="00DE10F9"/>
    <w:rsid w:val="00DE122D"/>
    <w:rsid w:val="00DE1D34"/>
    <w:rsid w:val="00DE2064"/>
    <w:rsid w:val="00DE2862"/>
    <w:rsid w:val="00DE2A5C"/>
    <w:rsid w:val="00DE2A94"/>
    <w:rsid w:val="00DE37DE"/>
    <w:rsid w:val="00DE3BAE"/>
    <w:rsid w:val="00DE4769"/>
    <w:rsid w:val="00DE55B8"/>
    <w:rsid w:val="00DE5668"/>
    <w:rsid w:val="00DE5EC7"/>
    <w:rsid w:val="00DE6071"/>
    <w:rsid w:val="00DE695B"/>
    <w:rsid w:val="00DE70EA"/>
    <w:rsid w:val="00DE7DE8"/>
    <w:rsid w:val="00DF05AC"/>
    <w:rsid w:val="00DF1A9C"/>
    <w:rsid w:val="00DF1EC4"/>
    <w:rsid w:val="00DF201E"/>
    <w:rsid w:val="00DF39DC"/>
    <w:rsid w:val="00DF3CBE"/>
    <w:rsid w:val="00DF63F1"/>
    <w:rsid w:val="00DF64CB"/>
    <w:rsid w:val="00DF6F1F"/>
    <w:rsid w:val="00DF7A60"/>
    <w:rsid w:val="00E00885"/>
    <w:rsid w:val="00E01770"/>
    <w:rsid w:val="00E017A4"/>
    <w:rsid w:val="00E02786"/>
    <w:rsid w:val="00E02D93"/>
    <w:rsid w:val="00E03086"/>
    <w:rsid w:val="00E0340B"/>
    <w:rsid w:val="00E03A49"/>
    <w:rsid w:val="00E0411F"/>
    <w:rsid w:val="00E042AE"/>
    <w:rsid w:val="00E04A90"/>
    <w:rsid w:val="00E0551F"/>
    <w:rsid w:val="00E06B31"/>
    <w:rsid w:val="00E071AC"/>
    <w:rsid w:val="00E1024A"/>
    <w:rsid w:val="00E1090B"/>
    <w:rsid w:val="00E11A17"/>
    <w:rsid w:val="00E11A60"/>
    <w:rsid w:val="00E1308A"/>
    <w:rsid w:val="00E1308B"/>
    <w:rsid w:val="00E1374B"/>
    <w:rsid w:val="00E13FAD"/>
    <w:rsid w:val="00E146DA"/>
    <w:rsid w:val="00E149D3"/>
    <w:rsid w:val="00E15D4E"/>
    <w:rsid w:val="00E165FD"/>
    <w:rsid w:val="00E16F62"/>
    <w:rsid w:val="00E1713E"/>
    <w:rsid w:val="00E20D02"/>
    <w:rsid w:val="00E21199"/>
    <w:rsid w:val="00E215C6"/>
    <w:rsid w:val="00E219C7"/>
    <w:rsid w:val="00E21E13"/>
    <w:rsid w:val="00E22975"/>
    <w:rsid w:val="00E23881"/>
    <w:rsid w:val="00E241C9"/>
    <w:rsid w:val="00E25949"/>
    <w:rsid w:val="00E270F2"/>
    <w:rsid w:val="00E27D75"/>
    <w:rsid w:val="00E27EEC"/>
    <w:rsid w:val="00E30DE3"/>
    <w:rsid w:val="00E31186"/>
    <w:rsid w:val="00E3186B"/>
    <w:rsid w:val="00E31A97"/>
    <w:rsid w:val="00E31F6C"/>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401CF"/>
    <w:rsid w:val="00E40C08"/>
    <w:rsid w:val="00E40C4C"/>
    <w:rsid w:val="00E410C4"/>
    <w:rsid w:val="00E41150"/>
    <w:rsid w:val="00E4118C"/>
    <w:rsid w:val="00E4125E"/>
    <w:rsid w:val="00E42495"/>
    <w:rsid w:val="00E427AF"/>
    <w:rsid w:val="00E42AAB"/>
    <w:rsid w:val="00E43157"/>
    <w:rsid w:val="00E43E5A"/>
    <w:rsid w:val="00E447A8"/>
    <w:rsid w:val="00E44980"/>
    <w:rsid w:val="00E44ACF"/>
    <w:rsid w:val="00E450B0"/>
    <w:rsid w:val="00E45C22"/>
    <w:rsid w:val="00E45F87"/>
    <w:rsid w:val="00E461CE"/>
    <w:rsid w:val="00E46416"/>
    <w:rsid w:val="00E50450"/>
    <w:rsid w:val="00E50E8D"/>
    <w:rsid w:val="00E5210B"/>
    <w:rsid w:val="00E52271"/>
    <w:rsid w:val="00E52E7B"/>
    <w:rsid w:val="00E54737"/>
    <w:rsid w:val="00E55833"/>
    <w:rsid w:val="00E561C2"/>
    <w:rsid w:val="00E56A56"/>
    <w:rsid w:val="00E56C16"/>
    <w:rsid w:val="00E573E4"/>
    <w:rsid w:val="00E577F7"/>
    <w:rsid w:val="00E57C8E"/>
    <w:rsid w:val="00E57CF5"/>
    <w:rsid w:val="00E60196"/>
    <w:rsid w:val="00E602B7"/>
    <w:rsid w:val="00E60A87"/>
    <w:rsid w:val="00E60B9B"/>
    <w:rsid w:val="00E63122"/>
    <w:rsid w:val="00E633D6"/>
    <w:rsid w:val="00E64C3D"/>
    <w:rsid w:val="00E660DE"/>
    <w:rsid w:val="00E7010F"/>
    <w:rsid w:val="00E70553"/>
    <w:rsid w:val="00E708B4"/>
    <w:rsid w:val="00E712CD"/>
    <w:rsid w:val="00E720CA"/>
    <w:rsid w:val="00E72306"/>
    <w:rsid w:val="00E727FF"/>
    <w:rsid w:val="00E730E2"/>
    <w:rsid w:val="00E73435"/>
    <w:rsid w:val="00E73C4E"/>
    <w:rsid w:val="00E74745"/>
    <w:rsid w:val="00E75B4B"/>
    <w:rsid w:val="00E76064"/>
    <w:rsid w:val="00E76096"/>
    <w:rsid w:val="00E767EF"/>
    <w:rsid w:val="00E76EA8"/>
    <w:rsid w:val="00E77405"/>
    <w:rsid w:val="00E77700"/>
    <w:rsid w:val="00E77DC1"/>
    <w:rsid w:val="00E8112B"/>
    <w:rsid w:val="00E81225"/>
    <w:rsid w:val="00E820D8"/>
    <w:rsid w:val="00E83042"/>
    <w:rsid w:val="00E83107"/>
    <w:rsid w:val="00E833ED"/>
    <w:rsid w:val="00E84647"/>
    <w:rsid w:val="00E84EB5"/>
    <w:rsid w:val="00E8537D"/>
    <w:rsid w:val="00E85662"/>
    <w:rsid w:val="00E85A9E"/>
    <w:rsid w:val="00E86226"/>
    <w:rsid w:val="00E866EE"/>
    <w:rsid w:val="00E86EBD"/>
    <w:rsid w:val="00E8789F"/>
    <w:rsid w:val="00E87C0A"/>
    <w:rsid w:val="00E9002E"/>
    <w:rsid w:val="00E91A73"/>
    <w:rsid w:val="00E928C5"/>
    <w:rsid w:val="00E936FD"/>
    <w:rsid w:val="00E93737"/>
    <w:rsid w:val="00E941FC"/>
    <w:rsid w:val="00E94406"/>
    <w:rsid w:val="00E95348"/>
    <w:rsid w:val="00E956AA"/>
    <w:rsid w:val="00E961C1"/>
    <w:rsid w:val="00E962F5"/>
    <w:rsid w:val="00E96CE3"/>
    <w:rsid w:val="00E97375"/>
    <w:rsid w:val="00E97B71"/>
    <w:rsid w:val="00EA0DD4"/>
    <w:rsid w:val="00EA146C"/>
    <w:rsid w:val="00EA16B2"/>
    <w:rsid w:val="00EA21E3"/>
    <w:rsid w:val="00EA2457"/>
    <w:rsid w:val="00EA2525"/>
    <w:rsid w:val="00EA270E"/>
    <w:rsid w:val="00EA31D8"/>
    <w:rsid w:val="00EA3D34"/>
    <w:rsid w:val="00EA3F25"/>
    <w:rsid w:val="00EA4321"/>
    <w:rsid w:val="00EA434E"/>
    <w:rsid w:val="00EA4A84"/>
    <w:rsid w:val="00EA4B6C"/>
    <w:rsid w:val="00EA5B20"/>
    <w:rsid w:val="00EA5C04"/>
    <w:rsid w:val="00EA63E6"/>
    <w:rsid w:val="00EA6917"/>
    <w:rsid w:val="00EB27D6"/>
    <w:rsid w:val="00EB32BC"/>
    <w:rsid w:val="00EB41F9"/>
    <w:rsid w:val="00EB4228"/>
    <w:rsid w:val="00EB454D"/>
    <w:rsid w:val="00EB4FBB"/>
    <w:rsid w:val="00EB55E3"/>
    <w:rsid w:val="00EB58E5"/>
    <w:rsid w:val="00EB6C98"/>
    <w:rsid w:val="00EB6FF8"/>
    <w:rsid w:val="00EB7B55"/>
    <w:rsid w:val="00EC14D5"/>
    <w:rsid w:val="00EC16E6"/>
    <w:rsid w:val="00EC1B11"/>
    <w:rsid w:val="00EC243E"/>
    <w:rsid w:val="00EC2603"/>
    <w:rsid w:val="00EC2873"/>
    <w:rsid w:val="00EC2A7A"/>
    <w:rsid w:val="00EC3391"/>
    <w:rsid w:val="00EC354C"/>
    <w:rsid w:val="00EC3C5B"/>
    <w:rsid w:val="00EC4D05"/>
    <w:rsid w:val="00EC53A5"/>
    <w:rsid w:val="00EC59B6"/>
    <w:rsid w:val="00EC62BE"/>
    <w:rsid w:val="00EC7015"/>
    <w:rsid w:val="00EC77B0"/>
    <w:rsid w:val="00EC7CDA"/>
    <w:rsid w:val="00ED08FF"/>
    <w:rsid w:val="00ED14ED"/>
    <w:rsid w:val="00ED2436"/>
    <w:rsid w:val="00ED2580"/>
    <w:rsid w:val="00ED267C"/>
    <w:rsid w:val="00ED27CB"/>
    <w:rsid w:val="00ED2B95"/>
    <w:rsid w:val="00ED2C37"/>
    <w:rsid w:val="00ED3094"/>
    <w:rsid w:val="00ED331A"/>
    <w:rsid w:val="00ED3FF3"/>
    <w:rsid w:val="00ED43D6"/>
    <w:rsid w:val="00ED46D7"/>
    <w:rsid w:val="00ED549D"/>
    <w:rsid w:val="00ED5702"/>
    <w:rsid w:val="00ED5E10"/>
    <w:rsid w:val="00ED6949"/>
    <w:rsid w:val="00ED6AC2"/>
    <w:rsid w:val="00ED76BE"/>
    <w:rsid w:val="00ED7E9E"/>
    <w:rsid w:val="00EE00E9"/>
    <w:rsid w:val="00EE1B80"/>
    <w:rsid w:val="00EE1D7C"/>
    <w:rsid w:val="00EE1F45"/>
    <w:rsid w:val="00EE2B83"/>
    <w:rsid w:val="00EE2DA3"/>
    <w:rsid w:val="00EE3E06"/>
    <w:rsid w:val="00EE4564"/>
    <w:rsid w:val="00EE4632"/>
    <w:rsid w:val="00EE5CD2"/>
    <w:rsid w:val="00EE6430"/>
    <w:rsid w:val="00EE710D"/>
    <w:rsid w:val="00EE73D6"/>
    <w:rsid w:val="00EE7435"/>
    <w:rsid w:val="00EF059A"/>
    <w:rsid w:val="00EF08B0"/>
    <w:rsid w:val="00EF0C43"/>
    <w:rsid w:val="00EF1AAA"/>
    <w:rsid w:val="00EF1C12"/>
    <w:rsid w:val="00EF1D53"/>
    <w:rsid w:val="00EF2AFE"/>
    <w:rsid w:val="00EF2C03"/>
    <w:rsid w:val="00EF3636"/>
    <w:rsid w:val="00EF3899"/>
    <w:rsid w:val="00EF3EB6"/>
    <w:rsid w:val="00EF53BC"/>
    <w:rsid w:val="00EF5F83"/>
    <w:rsid w:val="00EF619B"/>
    <w:rsid w:val="00EF7C8F"/>
    <w:rsid w:val="00F00121"/>
    <w:rsid w:val="00F00644"/>
    <w:rsid w:val="00F00B55"/>
    <w:rsid w:val="00F01562"/>
    <w:rsid w:val="00F01690"/>
    <w:rsid w:val="00F0199D"/>
    <w:rsid w:val="00F01A61"/>
    <w:rsid w:val="00F025DB"/>
    <w:rsid w:val="00F02AD1"/>
    <w:rsid w:val="00F02CAB"/>
    <w:rsid w:val="00F02D3A"/>
    <w:rsid w:val="00F02F85"/>
    <w:rsid w:val="00F03755"/>
    <w:rsid w:val="00F04830"/>
    <w:rsid w:val="00F04E9B"/>
    <w:rsid w:val="00F06173"/>
    <w:rsid w:val="00F062AF"/>
    <w:rsid w:val="00F07566"/>
    <w:rsid w:val="00F07C66"/>
    <w:rsid w:val="00F1082E"/>
    <w:rsid w:val="00F1131C"/>
    <w:rsid w:val="00F1188E"/>
    <w:rsid w:val="00F11AC9"/>
    <w:rsid w:val="00F11DC7"/>
    <w:rsid w:val="00F12B36"/>
    <w:rsid w:val="00F12FA8"/>
    <w:rsid w:val="00F1404A"/>
    <w:rsid w:val="00F152CB"/>
    <w:rsid w:val="00F1604C"/>
    <w:rsid w:val="00F17AA3"/>
    <w:rsid w:val="00F21945"/>
    <w:rsid w:val="00F21FDF"/>
    <w:rsid w:val="00F220F2"/>
    <w:rsid w:val="00F22A3E"/>
    <w:rsid w:val="00F22B8D"/>
    <w:rsid w:val="00F22BB6"/>
    <w:rsid w:val="00F253CC"/>
    <w:rsid w:val="00F25408"/>
    <w:rsid w:val="00F25A79"/>
    <w:rsid w:val="00F25BD4"/>
    <w:rsid w:val="00F25CC8"/>
    <w:rsid w:val="00F26193"/>
    <w:rsid w:val="00F26349"/>
    <w:rsid w:val="00F26C0A"/>
    <w:rsid w:val="00F277E1"/>
    <w:rsid w:val="00F27C55"/>
    <w:rsid w:val="00F30C16"/>
    <w:rsid w:val="00F30F54"/>
    <w:rsid w:val="00F3107E"/>
    <w:rsid w:val="00F31277"/>
    <w:rsid w:val="00F319CA"/>
    <w:rsid w:val="00F31E8A"/>
    <w:rsid w:val="00F31FA5"/>
    <w:rsid w:val="00F321B5"/>
    <w:rsid w:val="00F32318"/>
    <w:rsid w:val="00F32983"/>
    <w:rsid w:val="00F32B22"/>
    <w:rsid w:val="00F32E50"/>
    <w:rsid w:val="00F32F06"/>
    <w:rsid w:val="00F32F0F"/>
    <w:rsid w:val="00F331B2"/>
    <w:rsid w:val="00F33BB3"/>
    <w:rsid w:val="00F3476A"/>
    <w:rsid w:val="00F34C16"/>
    <w:rsid w:val="00F34F33"/>
    <w:rsid w:val="00F355DE"/>
    <w:rsid w:val="00F35835"/>
    <w:rsid w:val="00F36C48"/>
    <w:rsid w:val="00F36E8E"/>
    <w:rsid w:val="00F37106"/>
    <w:rsid w:val="00F3718B"/>
    <w:rsid w:val="00F4073F"/>
    <w:rsid w:val="00F40C87"/>
    <w:rsid w:val="00F428E7"/>
    <w:rsid w:val="00F42C0A"/>
    <w:rsid w:val="00F42FCA"/>
    <w:rsid w:val="00F435ED"/>
    <w:rsid w:val="00F44288"/>
    <w:rsid w:val="00F444C1"/>
    <w:rsid w:val="00F4471E"/>
    <w:rsid w:val="00F44E25"/>
    <w:rsid w:val="00F45CB9"/>
    <w:rsid w:val="00F45FBE"/>
    <w:rsid w:val="00F46026"/>
    <w:rsid w:val="00F46250"/>
    <w:rsid w:val="00F46890"/>
    <w:rsid w:val="00F46959"/>
    <w:rsid w:val="00F46B5E"/>
    <w:rsid w:val="00F476F4"/>
    <w:rsid w:val="00F47DCA"/>
    <w:rsid w:val="00F47E34"/>
    <w:rsid w:val="00F505F2"/>
    <w:rsid w:val="00F509DD"/>
    <w:rsid w:val="00F5103A"/>
    <w:rsid w:val="00F519CF"/>
    <w:rsid w:val="00F51D46"/>
    <w:rsid w:val="00F51E25"/>
    <w:rsid w:val="00F52131"/>
    <w:rsid w:val="00F52C21"/>
    <w:rsid w:val="00F53736"/>
    <w:rsid w:val="00F5422F"/>
    <w:rsid w:val="00F543BB"/>
    <w:rsid w:val="00F5443D"/>
    <w:rsid w:val="00F55372"/>
    <w:rsid w:val="00F558B3"/>
    <w:rsid w:val="00F5626C"/>
    <w:rsid w:val="00F56929"/>
    <w:rsid w:val="00F56BA5"/>
    <w:rsid w:val="00F56D56"/>
    <w:rsid w:val="00F6085D"/>
    <w:rsid w:val="00F60A11"/>
    <w:rsid w:val="00F60E22"/>
    <w:rsid w:val="00F61591"/>
    <w:rsid w:val="00F61AC5"/>
    <w:rsid w:val="00F61EC9"/>
    <w:rsid w:val="00F63228"/>
    <w:rsid w:val="00F636BB"/>
    <w:rsid w:val="00F63799"/>
    <w:rsid w:val="00F63D24"/>
    <w:rsid w:val="00F64AF9"/>
    <w:rsid w:val="00F64C5A"/>
    <w:rsid w:val="00F64CBD"/>
    <w:rsid w:val="00F657A7"/>
    <w:rsid w:val="00F65FA2"/>
    <w:rsid w:val="00F6651E"/>
    <w:rsid w:val="00F666F0"/>
    <w:rsid w:val="00F702FF"/>
    <w:rsid w:val="00F704D6"/>
    <w:rsid w:val="00F706AF"/>
    <w:rsid w:val="00F70871"/>
    <w:rsid w:val="00F70D48"/>
    <w:rsid w:val="00F73786"/>
    <w:rsid w:val="00F74543"/>
    <w:rsid w:val="00F7542E"/>
    <w:rsid w:val="00F76196"/>
    <w:rsid w:val="00F76239"/>
    <w:rsid w:val="00F7667A"/>
    <w:rsid w:val="00F7756E"/>
    <w:rsid w:val="00F77A79"/>
    <w:rsid w:val="00F77B09"/>
    <w:rsid w:val="00F80FE1"/>
    <w:rsid w:val="00F81395"/>
    <w:rsid w:val="00F813AC"/>
    <w:rsid w:val="00F81BB8"/>
    <w:rsid w:val="00F825E7"/>
    <w:rsid w:val="00F82652"/>
    <w:rsid w:val="00F82737"/>
    <w:rsid w:val="00F83B6C"/>
    <w:rsid w:val="00F842B8"/>
    <w:rsid w:val="00F8485A"/>
    <w:rsid w:val="00F84FED"/>
    <w:rsid w:val="00F855B4"/>
    <w:rsid w:val="00F856CA"/>
    <w:rsid w:val="00F8588A"/>
    <w:rsid w:val="00F863C2"/>
    <w:rsid w:val="00F86458"/>
    <w:rsid w:val="00F869E1"/>
    <w:rsid w:val="00F8742B"/>
    <w:rsid w:val="00F87FC7"/>
    <w:rsid w:val="00F9006C"/>
    <w:rsid w:val="00F90B24"/>
    <w:rsid w:val="00F90C64"/>
    <w:rsid w:val="00F917D1"/>
    <w:rsid w:val="00F919FB"/>
    <w:rsid w:val="00F92386"/>
    <w:rsid w:val="00F9268B"/>
    <w:rsid w:val="00F9280F"/>
    <w:rsid w:val="00F92B39"/>
    <w:rsid w:val="00F94396"/>
    <w:rsid w:val="00F94445"/>
    <w:rsid w:val="00F94F1B"/>
    <w:rsid w:val="00F955AB"/>
    <w:rsid w:val="00F95C66"/>
    <w:rsid w:val="00F9651E"/>
    <w:rsid w:val="00F9653B"/>
    <w:rsid w:val="00F96C69"/>
    <w:rsid w:val="00F96DA8"/>
    <w:rsid w:val="00F9701D"/>
    <w:rsid w:val="00F970CE"/>
    <w:rsid w:val="00F97142"/>
    <w:rsid w:val="00FA0085"/>
    <w:rsid w:val="00FA01EF"/>
    <w:rsid w:val="00FA0387"/>
    <w:rsid w:val="00FA088C"/>
    <w:rsid w:val="00FA2864"/>
    <w:rsid w:val="00FA2D19"/>
    <w:rsid w:val="00FA2D67"/>
    <w:rsid w:val="00FA3363"/>
    <w:rsid w:val="00FA3F78"/>
    <w:rsid w:val="00FA5058"/>
    <w:rsid w:val="00FA58E7"/>
    <w:rsid w:val="00FA6CE7"/>
    <w:rsid w:val="00FB05B2"/>
    <w:rsid w:val="00FB1AAB"/>
    <w:rsid w:val="00FB246F"/>
    <w:rsid w:val="00FB25F2"/>
    <w:rsid w:val="00FB2EA9"/>
    <w:rsid w:val="00FB2F31"/>
    <w:rsid w:val="00FB3C11"/>
    <w:rsid w:val="00FB3E5D"/>
    <w:rsid w:val="00FB49B2"/>
    <w:rsid w:val="00FB5316"/>
    <w:rsid w:val="00FB5B01"/>
    <w:rsid w:val="00FB62CF"/>
    <w:rsid w:val="00FB6443"/>
    <w:rsid w:val="00FB64FA"/>
    <w:rsid w:val="00FB713A"/>
    <w:rsid w:val="00FB795E"/>
    <w:rsid w:val="00FB7FB2"/>
    <w:rsid w:val="00FC01B5"/>
    <w:rsid w:val="00FC1CE3"/>
    <w:rsid w:val="00FC3026"/>
    <w:rsid w:val="00FC3105"/>
    <w:rsid w:val="00FC40A8"/>
    <w:rsid w:val="00FC4C46"/>
    <w:rsid w:val="00FC4FBD"/>
    <w:rsid w:val="00FC6001"/>
    <w:rsid w:val="00FC675C"/>
    <w:rsid w:val="00FC6DAE"/>
    <w:rsid w:val="00FC754D"/>
    <w:rsid w:val="00FC7AA7"/>
    <w:rsid w:val="00FC7B06"/>
    <w:rsid w:val="00FD0918"/>
    <w:rsid w:val="00FD0A78"/>
    <w:rsid w:val="00FD0EE9"/>
    <w:rsid w:val="00FD0FE9"/>
    <w:rsid w:val="00FD12F6"/>
    <w:rsid w:val="00FD1749"/>
    <w:rsid w:val="00FD1C19"/>
    <w:rsid w:val="00FD1E55"/>
    <w:rsid w:val="00FD1ED0"/>
    <w:rsid w:val="00FD1FCE"/>
    <w:rsid w:val="00FD3548"/>
    <w:rsid w:val="00FD3C3B"/>
    <w:rsid w:val="00FD3F7C"/>
    <w:rsid w:val="00FD46DA"/>
    <w:rsid w:val="00FD50EB"/>
    <w:rsid w:val="00FD51B0"/>
    <w:rsid w:val="00FD5922"/>
    <w:rsid w:val="00FD5DFA"/>
    <w:rsid w:val="00FD6265"/>
    <w:rsid w:val="00FD68E0"/>
    <w:rsid w:val="00FD6C69"/>
    <w:rsid w:val="00FD7239"/>
    <w:rsid w:val="00FD72CE"/>
    <w:rsid w:val="00FD7A85"/>
    <w:rsid w:val="00FE0513"/>
    <w:rsid w:val="00FE07DD"/>
    <w:rsid w:val="00FE092D"/>
    <w:rsid w:val="00FE0E6F"/>
    <w:rsid w:val="00FE0FBE"/>
    <w:rsid w:val="00FE10E1"/>
    <w:rsid w:val="00FE110C"/>
    <w:rsid w:val="00FE11C4"/>
    <w:rsid w:val="00FE18AC"/>
    <w:rsid w:val="00FE26BE"/>
    <w:rsid w:val="00FE347F"/>
    <w:rsid w:val="00FE3DC7"/>
    <w:rsid w:val="00FE5413"/>
    <w:rsid w:val="00FE57E2"/>
    <w:rsid w:val="00FE5A98"/>
    <w:rsid w:val="00FE5E22"/>
    <w:rsid w:val="00FE6145"/>
    <w:rsid w:val="00FE68DC"/>
    <w:rsid w:val="00FE68FC"/>
    <w:rsid w:val="00FE6AEC"/>
    <w:rsid w:val="00FE6B45"/>
    <w:rsid w:val="00FF0D82"/>
    <w:rsid w:val="00FF2562"/>
    <w:rsid w:val="00FF26E4"/>
    <w:rsid w:val="00FF2A8B"/>
    <w:rsid w:val="00FF2FD6"/>
    <w:rsid w:val="00FF37B5"/>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paragraph" w:customStyle="1" w:styleId="paragraph">
    <w:name w:val="paragraph"/>
    <w:basedOn w:val="Normal"/>
    <w:rsid w:val="00973EE2"/>
    <w:pPr>
      <w:spacing w:before="100" w:beforeAutospacing="1" w:after="100" w:afterAutospacing="1"/>
    </w:pPr>
    <w:rPr>
      <w:lang w:val="en-US"/>
    </w:rPr>
  </w:style>
  <w:style w:type="character" w:customStyle="1" w:styleId="normaltextrun">
    <w:name w:val="normaltextrun"/>
    <w:basedOn w:val="DefaultParagraphFont"/>
    <w:rsid w:val="00973EE2"/>
  </w:style>
  <w:style w:type="character" w:customStyle="1" w:styleId="eop">
    <w:name w:val="eop"/>
    <w:basedOn w:val="DefaultParagraphFont"/>
    <w:rsid w:val="0097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69FD"/>
    <w:rsid w:val="000565E7"/>
    <w:rsid w:val="00093162"/>
    <w:rsid w:val="000B08A2"/>
    <w:rsid w:val="0010579B"/>
    <w:rsid w:val="001437D3"/>
    <w:rsid w:val="00190877"/>
    <w:rsid w:val="001C5380"/>
    <w:rsid w:val="001D2CFD"/>
    <w:rsid w:val="001D6019"/>
    <w:rsid w:val="00200821"/>
    <w:rsid w:val="00233DD3"/>
    <w:rsid w:val="002441E2"/>
    <w:rsid w:val="00244AD4"/>
    <w:rsid w:val="0025245B"/>
    <w:rsid w:val="002529DA"/>
    <w:rsid w:val="002A3923"/>
    <w:rsid w:val="002C6A28"/>
    <w:rsid w:val="002F6687"/>
    <w:rsid w:val="003457C8"/>
    <w:rsid w:val="003525DC"/>
    <w:rsid w:val="00394049"/>
    <w:rsid w:val="0039442D"/>
    <w:rsid w:val="003B0C71"/>
    <w:rsid w:val="003C189B"/>
    <w:rsid w:val="004525C0"/>
    <w:rsid w:val="004801D4"/>
    <w:rsid w:val="004B5BBB"/>
    <w:rsid w:val="004C2D2D"/>
    <w:rsid w:val="004F2D16"/>
    <w:rsid w:val="004F2DF8"/>
    <w:rsid w:val="00517E2A"/>
    <w:rsid w:val="005243A3"/>
    <w:rsid w:val="005D2ECE"/>
    <w:rsid w:val="0062572A"/>
    <w:rsid w:val="00655AAB"/>
    <w:rsid w:val="00691410"/>
    <w:rsid w:val="006F24A1"/>
    <w:rsid w:val="007224B4"/>
    <w:rsid w:val="007408AA"/>
    <w:rsid w:val="00755A49"/>
    <w:rsid w:val="00794422"/>
    <w:rsid w:val="007E5D3C"/>
    <w:rsid w:val="00825F82"/>
    <w:rsid w:val="00877E8D"/>
    <w:rsid w:val="008C77DA"/>
    <w:rsid w:val="009074EC"/>
    <w:rsid w:val="0092032D"/>
    <w:rsid w:val="00946BC9"/>
    <w:rsid w:val="00963FCC"/>
    <w:rsid w:val="00995A0F"/>
    <w:rsid w:val="009A261B"/>
    <w:rsid w:val="009B1A9A"/>
    <w:rsid w:val="00A066D4"/>
    <w:rsid w:val="00A12801"/>
    <w:rsid w:val="00A4559A"/>
    <w:rsid w:val="00A52C47"/>
    <w:rsid w:val="00A555E4"/>
    <w:rsid w:val="00A92789"/>
    <w:rsid w:val="00AA2E17"/>
    <w:rsid w:val="00AC15A4"/>
    <w:rsid w:val="00AD27CC"/>
    <w:rsid w:val="00AE1370"/>
    <w:rsid w:val="00B0336C"/>
    <w:rsid w:val="00B76197"/>
    <w:rsid w:val="00B82626"/>
    <w:rsid w:val="00BA1103"/>
    <w:rsid w:val="00BA36C0"/>
    <w:rsid w:val="00BC4CCE"/>
    <w:rsid w:val="00BD22CF"/>
    <w:rsid w:val="00BD429D"/>
    <w:rsid w:val="00BF0B6B"/>
    <w:rsid w:val="00BF2C54"/>
    <w:rsid w:val="00BF66E9"/>
    <w:rsid w:val="00C028FF"/>
    <w:rsid w:val="00C21A9B"/>
    <w:rsid w:val="00C22238"/>
    <w:rsid w:val="00C7298D"/>
    <w:rsid w:val="00CA1199"/>
    <w:rsid w:val="00CB5A0D"/>
    <w:rsid w:val="00CB5A12"/>
    <w:rsid w:val="00D101E4"/>
    <w:rsid w:val="00D133DB"/>
    <w:rsid w:val="00D241E9"/>
    <w:rsid w:val="00D312B8"/>
    <w:rsid w:val="00D7750D"/>
    <w:rsid w:val="00D96802"/>
    <w:rsid w:val="00DF48A0"/>
    <w:rsid w:val="00E31856"/>
    <w:rsid w:val="00E4713A"/>
    <w:rsid w:val="00E8092F"/>
    <w:rsid w:val="00E87B41"/>
    <w:rsid w:val="00ED45D0"/>
    <w:rsid w:val="00EE1D23"/>
    <w:rsid w:val="00F00D2F"/>
    <w:rsid w:val="00F128DF"/>
    <w:rsid w:val="00F27441"/>
    <w:rsid w:val="00F44514"/>
    <w:rsid w:val="00F57470"/>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4228</Words>
  <Characters>24102</Characters>
  <Application>Microsoft Office Word</Application>
  <DocSecurity>0</DocSecurity>
  <Lines>200</Lines>
  <Paragraphs>56</Paragraphs>
  <ScaleCrop>false</ScaleCrop>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2024-01-18T15:37:00Z</dcterms:created>
  <dcterms:modified xsi:type="dcterms:W3CDTF">2024-01-18T15:37:00Z</dcterms:modified>
</cp:coreProperties>
</file>