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DAC15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F8D88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6738B">
                              <w:rPr>
                                <w:rFonts w:asciiTheme="majorHAnsi" w:hAnsiTheme="majorHAnsi" w:cs="Arial"/>
                                <w:b/>
                                <w:bCs/>
                                <w:color w:val="0D0D0D" w:themeColor="text1" w:themeTint="F2"/>
                                <w:sz w:val="36"/>
                                <w:szCs w:val="22"/>
                                <w:lang w:val="es-ES_tradnl"/>
                              </w:rPr>
                              <w:t>82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7ABF15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5965">
                              <w:rPr>
                                <w:rFonts w:asciiTheme="majorHAnsi" w:hAnsiTheme="majorHAnsi" w:cs="Arial"/>
                                <w:b/>
                                <w:color w:val="0D0D0D" w:themeColor="text1" w:themeTint="F2"/>
                                <w:sz w:val="36"/>
                                <w:szCs w:val="22"/>
                                <w:lang w:val="es-ES_tradnl"/>
                              </w:rPr>
                              <w:t>230</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2C1788D4" w:rsidR="00A72E93" w:rsidRDefault="006B596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MART</w:t>
                            </w:r>
                            <w:r w:rsidR="00CA703A">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ALAMILLO QUINTERO</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F8D88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6738B">
                        <w:rPr>
                          <w:rFonts w:asciiTheme="majorHAnsi" w:hAnsiTheme="majorHAnsi" w:cs="Arial"/>
                          <w:b/>
                          <w:bCs/>
                          <w:color w:val="0D0D0D" w:themeColor="text1" w:themeTint="F2"/>
                          <w:sz w:val="36"/>
                          <w:szCs w:val="22"/>
                          <w:lang w:val="es-ES_tradnl"/>
                        </w:rPr>
                        <w:t>82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7ABF15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5965">
                        <w:rPr>
                          <w:rFonts w:asciiTheme="majorHAnsi" w:hAnsiTheme="majorHAnsi" w:cs="Arial"/>
                          <w:b/>
                          <w:color w:val="0D0D0D" w:themeColor="text1" w:themeTint="F2"/>
                          <w:sz w:val="36"/>
                          <w:szCs w:val="22"/>
                          <w:lang w:val="es-ES_tradnl"/>
                        </w:rPr>
                        <w:t>230</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2C1788D4" w:rsidR="00A72E93" w:rsidRDefault="006B596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MART</w:t>
                      </w:r>
                      <w:r w:rsidR="00CA703A">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ALAMILLO QUINTERO</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25B605D" w:rsidR="00627C9F" w:rsidRPr="00BC49AF" w:rsidRDefault="00834D49" w:rsidP="007A5817">
                            <w:pPr>
                              <w:spacing w:line="276" w:lineRule="auto"/>
                              <w:jc w:val="right"/>
                              <w:rPr>
                                <w:rFonts w:asciiTheme="minorHAnsi" w:hAnsiTheme="minorHAnsi"/>
                                <w:color w:val="FFFFFF" w:themeColor="background1"/>
                                <w:sz w:val="22"/>
                                <w:lang w:val="es-ES"/>
                              </w:rPr>
                            </w:pPr>
                            <w:r w:rsidRPr="00BC49AF">
                              <w:rPr>
                                <w:rFonts w:asciiTheme="minorHAnsi" w:hAnsiTheme="minorHAnsi"/>
                                <w:color w:val="FFFFFF" w:themeColor="background1"/>
                                <w:sz w:val="22"/>
                                <w:lang w:val="es-ES"/>
                              </w:rPr>
                              <w:t>OEA/Ser.L/V/II</w:t>
                            </w:r>
                          </w:p>
                          <w:p w14:paraId="71D2D5D2" w14:textId="639306C1" w:rsidR="00627C9F" w:rsidRPr="005A1F49" w:rsidRDefault="00627C9F" w:rsidP="007A5817">
                            <w:pPr>
                              <w:spacing w:line="276" w:lineRule="auto"/>
                              <w:jc w:val="right"/>
                              <w:rPr>
                                <w:rFonts w:asciiTheme="minorHAnsi" w:hAnsiTheme="minorHAnsi"/>
                                <w:color w:val="FFFFFF" w:themeColor="background1"/>
                                <w:sz w:val="22"/>
                                <w:lang w:val="es-ES"/>
                              </w:rPr>
                            </w:pPr>
                            <w:r w:rsidRPr="005A1F49">
                              <w:rPr>
                                <w:rFonts w:asciiTheme="minorHAnsi" w:hAnsiTheme="minorHAnsi"/>
                                <w:color w:val="FFFFFF" w:themeColor="background1"/>
                                <w:sz w:val="22"/>
                                <w:lang w:val="es-ES"/>
                              </w:rPr>
                              <w:t xml:space="preserve">Doc. </w:t>
                            </w:r>
                            <w:r w:rsidR="005A1F49" w:rsidRPr="005A1F49">
                              <w:rPr>
                                <w:rFonts w:asciiTheme="minorHAnsi" w:hAnsiTheme="minorHAnsi"/>
                                <w:color w:val="FFFFFF" w:themeColor="background1"/>
                                <w:sz w:val="22"/>
                                <w:lang w:val="es-ES"/>
                              </w:rPr>
                              <w:t>90</w:t>
                            </w:r>
                          </w:p>
                          <w:p w14:paraId="4061DBBD" w14:textId="0564C6EB" w:rsidR="00627C9F" w:rsidRPr="00C25ADB" w:rsidRDefault="005A1F4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4 junio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25B605D" w:rsidR="00627C9F" w:rsidRPr="00BC49AF" w:rsidRDefault="00834D49" w:rsidP="007A5817">
                      <w:pPr>
                        <w:spacing w:line="276" w:lineRule="auto"/>
                        <w:jc w:val="right"/>
                        <w:rPr>
                          <w:rFonts w:asciiTheme="minorHAnsi" w:hAnsiTheme="minorHAnsi"/>
                          <w:color w:val="FFFFFF" w:themeColor="background1"/>
                          <w:sz w:val="22"/>
                          <w:lang w:val="es-ES"/>
                        </w:rPr>
                      </w:pPr>
                      <w:r w:rsidRPr="00BC49AF">
                        <w:rPr>
                          <w:rFonts w:asciiTheme="minorHAnsi" w:hAnsiTheme="minorHAnsi"/>
                          <w:color w:val="FFFFFF" w:themeColor="background1"/>
                          <w:sz w:val="22"/>
                          <w:lang w:val="es-ES"/>
                        </w:rPr>
                        <w:t>OEA/Ser.L/V/II</w:t>
                      </w:r>
                    </w:p>
                    <w:p w14:paraId="71D2D5D2" w14:textId="639306C1" w:rsidR="00627C9F" w:rsidRPr="005A1F49" w:rsidRDefault="00627C9F" w:rsidP="007A5817">
                      <w:pPr>
                        <w:spacing w:line="276" w:lineRule="auto"/>
                        <w:jc w:val="right"/>
                        <w:rPr>
                          <w:rFonts w:asciiTheme="minorHAnsi" w:hAnsiTheme="minorHAnsi"/>
                          <w:color w:val="FFFFFF" w:themeColor="background1"/>
                          <w:sz w:val="22"/>
                          <w:lang w:val="es-ES"/>
                        </w:rPr>
                      </w:pPr>
                      <w:r w:rsidRPr="005A1F49">
                        <w:rPr>
                          <w:rFonts w:asciiTheme="minorHAnsi" w:hAnsiTheme="minorHAnsi"/>
                          <w:color w:val="FFFFFF" w:themeColor="background1"/>
                          <w:sz w:val="22"/>
                          <w:lang w:val="es-ES"/>
                        </w:rPr>
                        <w:t xml:space="preserve">Doc. </w:t>
                      </w:r>
                      <w:r w:rsidR="005A1F49" w:rsidRPr="005A1F49">
                        <w:rPr>
                          <w:rFonts w:asciiTheme="minorHAnsi" w:hAnsiTheme="minorHAnsi"/>
                          <w:color w:val="FFFFFF" w:themeColor="background1"/>
                          <w:sz w:val="22"/>
                          <w:lang w:val="es-ES"/>
                        </w:rPr>
                        <w:t>90</w:t>
                      </w:r>
                    </w:p>
                    <w:p w14:paraId="4061DBBD" w14:textId="0564C6EB" w:rsidR="00627C9F" w:rsidRPr="00C25ADB" w:rsidRDefault="005A1F4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4 junio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81DF5C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354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E354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0E354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81DF5C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354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E354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0E354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4DB88" w14:textId="08914C8E" w:rsidR="009E34A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354C" w:rsidRPr="009E34AC">
                              <w:rPr>
                                <w:rFonts w:asciiTheme="majorHAnsi" w:hAnsiTheme="majorHAnsi"/>
                                <w:color w:val="595959" w:themeColor="text1" w:themeTint="A6"/>
                                <w:sz w:val="18"/>
                                <w:szCs w:val="18"/>
                                <w:lang w:val="pt-BR"/>
                              </w:rPr>
                              <w:t>82</w:t>
                            </w:r>
                            <w:r w:rsidR="007B05C4" w:rsidRPr="009E34AC">
                              <w:rPr>
                                <w:rFonts w:asciiTheme="majorHAnsi" w:hAnsiTheme="majorHAnsi"/>
                                <w:color w:val="595959" w:themeColor="text1" w:themeTint="A6"/>
                                <w:sz w:val="18"/>
                                <w:szCs w:val="18"/>
                                <w:lang w:val="pt-BR"/>
                              </w:rPr>
                              <w:t>/</w:t>
                            </w:r>
                            <w:r w:rsidR="000E354C" w:rsidRPr="009E34AC">
                              <w:rPr>
                                <w:rFonts w:asciiTheme="majorHAnsi" w:hAnsiTheme="majorHAnsi"/>
                                <w:color w:val="595959" w:themeColor="text1" w:themeTint="A6"/>
                                <w:sz w:val="18"/>
                                <w:szCs w:val="18"/>
                                <w:lang w:val="pt-BR"/>
                              </w:rPr>
                              <w:t>2</w:t>
                            </w:r>
                            <w:r w:rsidR="0043538F">
                              <w:rPr>
                                <w:rFonts w:asciiTheme="majorHAnsi" w:hAnsiTheme="majorHAnsi"/>
                                <w:color w:val="595959" w:themeColor="text1" w:themeTint="A6"/>
                                <w:sz w:val="18"/>
                                <w:szCs w:val="18"/>
                                <w:lang w:val="pt-BR"/>
                              </w:rPr>
                              <w:t>3</w:t>
                            </w:r>
                            <w:r w:rsidRPr="009E34A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B5965">
                              <w:rPr>
                                <w:rFonts w:asciiTheme="majorHAnsi" w:hAnsiTheme="majorHAnsi"/>
                                <w:color w:val="595959" w:themeColor="text1" w:themeTint="A6"/>
                                <w:sz w:val="18"/>
                                <w:szCs w:val="18"/>
                                <w:lang w:val="es-ES"/>
                              </w:rPr>
                              <w:t>230</w:t>
                            </w:r>
                            <w:r w:rsidR="000431A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CEFE4BA" w:rsidR="00113F73" w:rsidRPr="007B05C4" w:rsidRDefault="006B596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Alberto Martin Alamillo Quintero.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Mexico</w:t>
                            </w:r>
                            <w:r w:rsidR="00113F73" w:rsidRPr="00890650">
                              <w:rPr>
                                <w:rFonts w:asciiTheme="majorHAnsi" w:hAnsiTheme="majorHAnsi"/>
                                <w:color w:val="595959" w:themeColor="text1" w:themeTint="A6"/>
                                <w:sz w:val="18"/>
                                <w:szCs w:val="18"/>
                                <w:lang w:val="es-ES_tradnl"/>
                              </w:rPr>
                              <w:t xml:space="preserve">. </w:t>
                            </w:r>
                            <w:r w:rsidR="009E34AC">
                              <w:rPr>
                                <w:rFonts w:asciiTheme="majorHAnsi" w:hAnsiTheme="majorHAnsi"/>
                                <w:color w:val="595959" w:themeColor="text1" w:themeTint="A6"/>
                                <w:sz w:val="18"/>
                                <w:szCs w:val="18"/>
                                <w:lang w:val="es-ES"/>
                              </w:rPr>
                              <w:t>4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34DB88" w14:textId="08914C8E" w:rsidR="009E34A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354C" w:rsidRPr="009E34AC">
                        <w:rPr>
                          <w:rFonts w:asciiTheme="majorHAnsi" w:hAnsiTheme="majorHAnsi"/>
                          <w:color w:val="595959" w:themeColor="text1" w:themeTint="A6"/>
                          <w:sz w:val="18"/>
                          <w:szCs w:val="18"/>
                          <w:lang w:val="pt-BR"/>
                        </w:rPr>
                        <w:t>82</w:t>
                      </w:r>
                      <w:r w:rsidR="007B05C4" w:rsidRPr="009E34AC">
                        <w:rPr>
                          <w:rFonts w:asciiTheme="majorHAnsi" w:hAnsiTheme="majorHAnsi"/>
                          <w:color w:val="595959" w:themeColor="text1" w:themeTint="A6"/>
                          <w:sz w:val="18"/>
                          <w:szCs w:val="18"/>
                          <w:lang w:val="pt-BR"/>
                        </w:rPr>
                        <w:t>/</w:t>
                      </w:r>
                      <w:r w:rsidR="000E354C" w:rsidRPr="009E34AC">
                        <w:rPr>
                          <w:rFonts w:asciiTheme="majorHAnsi" w:hAnsiTheme="majorHAnsi"/>
                          <w:color w:val="595959" w:themeColor="text1" w:themeTint="A6"/>
                          <w:sz w:val="18"/>
                          <w:szCs w:val="18"/>
                          <w:lang w:val="pt-BR"/>
                        </w:rPr>
                        <w:t>2</w:t>
                      </w:r>
                      <w:r w:rsidR="0043538F">
                        <w:rPr>
                          <w:rFonts w:asciiTheme="majorHAnsi" w:hAnsiTheme="majorHAnsi"/>
                          <w:color w:val="595959" w:themeColor="text1" w:themeTint="A6"/>
                          <w:sz w:val="18"/>
                          <w:szCs w:val="18"/>
                          <w:lang w:val="pt-BR"/>
                        </w:rPr>
                        <w:t>3</w:t>
                      </w:r>
                      <w:r w:rsidRPr="009E34A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B5965">
                        <w:rPr>
                          <w:rFonts w:asciiTheme="majorHAnsi" w:hAnsiTheme="majorHAnsi"/>
                          <w:color w:val="595959" w:themeColor="text1" w:themeTint="A6"/>
                          <w:sz w:val="18"/>
                          <w:szCs w:val="18"/>
                          <w:lang w:val="es-ES"/>
                        </w:rPr>
                        <w:t>230</w:t>
                      </w:r>
                      <w:r w:rsidR="000431A9">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CEFE4BA" w:rsidR="00113F73" w:rsidRPr="007B05C4" w:rsidRDefault="006B596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Alberto Martin Alamillo Quintero.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Mexico</w:t>
                      </w:r>
                      <w:r w:rsidR="00113F73" w:rsidRPr="00890650">
                        <w:rPr>
                          <w:rFonts w:asciiTheme="majorHAnsi" w:hAnsiTheme="majorHAnsi"/>
                          <w:color w:val="595959" w:themeColor="text1" w:themeTint="A6"/>
                          <w:sz w:val="18"/>
                          <w:szCs w:val="18"/>
                          <w:lang w:val="es-ES_tradnl"/>
                        </w:rPr>
                        <w:t xml:space="preserve">. </w:t>
                      </w:r>
                      <w:r w:rsidR="009E34AC">
                        <w:rPr>
                          <w:rFonts w:asciiTheme="majorHAnsi" w:hAnsiTheme="majorHAnsi"/>
                          <w:color w:val="595959" w:themeColor="text1" w:themeTint="A6"/>
                          <w:sz w:val="18"/>
                          <w:szCs w:val="18"/>
                          <w:lang w:val="es-ES"/>
                        </w:rPr>
                        <w:t>4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D5F940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214C7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6BF19A8" w:rsidR="0070697F" w:rsidRDefault="00FA1DE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35B0C24">
                <wp:simplePos x="0" y="0"/>
                <wp:positionH relativeFrom="column">
                  <wp:posOffset>1327150</wp:posOffset>
                </wp:positionH>
                <wp:positionV relativeFrom="paragraph">
                  <wp:posOffset>490220</wp:posOffset>
                </wp:positionV>
                <wp:extent cx="4096385" cy="619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963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89E35A3" w:rsidR="00D72DC6" w:rsidRPr="00D72DC6" w:rsidRDefault="00FA1DE0" w:rsidP="00F02AD1">
                            <w:pPr>
                              <w:rPr>
                                <w:color w:val="FFFFFF" w:themeColor="background1"/>
                                <w14:textFill>
                                  <w14:noFill/>
                                </w14:textFill>
                              </w:rPr>
                            </w:pPr>
                            <w:r>
                              <w:rPr>
                                <w:noProof/>
                              </w:rPr>
                              <w:drawing>
                                <wp:inline distT="0" distB="0" distL="0" distR="0" wp14:anchorId="087C5B8D" wp14:editId="25D0DF94">
                                  <wp:extent cx="1828800" cy="466725"/>
                                  <wp:effectExtent l="0" t="0" r="0" b="3175"/>
                                  <wp:docPr id="6" name="Picture 6"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5pt;margin-top:38.6pt;width:322.5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a8eAIAAGw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" fillcolor="white [3201]" stroked="f" strokeweight=".5pt">
                <v:textbox>
                  <w:txbxContent>
                    <w:p w14:paraId="16E85441" w14:textId="189E35A3" w:rsidR="00D72DC6" w:rsidRPr="00D72DC6" w:rsidRDefault="00FA1DE0" w:rsidP="00F02AD1">
                      <w:pPr>
                        <w:rPr>
                          <w:color w:val="FFFFFF" w:themeColor="background1"/>
                          <w14:textFill>
                            <w14:noFill/>
                          </w14:textFill>
                        </w:rPr>
                      </w:pPr>
                      <w:r>
                        <w:rPr>
                          <w:noProof/>
                        </w:rPr>
                        <w:drawing>
                          <wp:inline distT="0" distB="0" distL="0" distR="0" wp14:anchorId="087C5B8D" wp14:editId="25D0DF94">
                            <wp:extent cx="1828800" cy="466725"/>
                            <wp:effectExtent l="0" t="0" r="0" b="3175"/>
                            <wp:docPr id="6" name="Picture 6"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31A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Parte peticionaria:</w:t>
            </w:r>
          </w:p>
        </w:tc>
        <w:tc>
          <w:tcPr>
            <w:tcW w:w="5760" w:type="dxa"/>
            <w:vAlign w:val="center"/>
          </w:tcPr>
          <w:p w14:paraId="07DAAE2E" w14:textId="67FDACDD" w:rsidR="003239B8" w:rsidRPr="0098518F" w:rsidRDefault="00B24997" w:rsidP="008D2290">
            <w:pPr>
              <w:jc w:val="both"/>
              <w:rPr>
                <w:rFonts w:ascii="Cambria" w:hAnsi="Cambria"/>
                <w:bCs/>
                <w:sz w:val="20"/>
                <w:szCs w:val="20"/>
                <w:lang w:val="es-ES"/>
              </w:rPr>
            </w:pPr>
            <w:r>
              <w:rPr>
                <w:rFonts w:ascii="Cambria" w:hAnsi="Cambria"/>
                <w:bCs/>
                <w:sz w:val="20"/>
                <w:szCs w:val="20"/>
                <w:lang w:val="es-ES"/>
              </w:rPr>
              <w:t>Alberto Mart</w:t>
            </w:r>
            <w:r w:rsidR="002E3527">
              <w:rPr>
                <w:rFonts w:ascii="Cambria" w:hAnsi="Cambria"/>
                <w:bCs/>
                <w:sz w:val="20"/>
                <w:szCs w:val="20"/>
                <w:lang w:val="es-ES"/>
              </w:rPr>
              <w:t>í</w:t>
            </w:r>
            <w:r>
              <w:rPr>
                <w:rFonts w:ascii="Cambria" w:hAnsi="Cambria"/>
                <w:bCs/>
                <w:sz w:val="20"/>
                <w:szCs w:val="20"/>
                <w:lang w:val="es-ES"/>
              </w:rPr>
              <w:t>n Alamillo Quintero</w:t>
            </w:r>
          </w:p>
        </w:tc>
      </w:tr>
      <w:tr w:rsidR="003239B8" w:rsidRPr="006B5965"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91191E" w:rsidRDefault="0031019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91191E">
                  <w:rPr>
                    <w:rFonts w:ascii="Cambria" w:hAnsi="Cambria"/>
                    <w:b/>
                    <w:bCs/>
                    <w:color w:val="FFFFFF" w:themeColor="background1"/>
                    <w:sz w:val="20"/>
                    <w:szCs w:val="20"/>
                  </w:rPr>
                  <w:t>Presunta víctima</w:t>
                </w:r>
              </w:sdtContent>
            </w:sdt>
            <w:r w:rsidR="003239B8" w:rsidRPr="0091191E">
              <w:rPr>
                <w:rFonts w:ascii="Cambria" w:hAnsi="Cambria"/>
                <w:b/>
                <w:bCs/>
                <w:color w:val="FFFFFF" w:themeColor="background1"/>
                <w:sz w:val="20"/>
                <w:szCs w:val="20"/>
              </w:rPr>
              <w:t>:</w:t>
            </w:r>
          </w:p>
        </w:tc>
        <w:tc>
          <w:tcPr>
            <w:tcW w:w="5760" w:type="dxa"/>
            <w:vAlign w:val="center"/>
          </w:tcPr>
          <w:p w14:paraId="143D44A8" w14:textId="10385BBD" w:rsidR="00615A60" w:rsidRPr="006B5965" w:rsidRDefault="00B24997" w:rsidP="00615A60">
            <w:pPr>
              <w:jc w:val="both"/>
              <w:rPr>
                <w:rFonts w:ascii="Cambria" w:hAnsi="Cambria"/>
                <w:bCs/>
                <w:sz w:val="20"/>
                <w:szCs w:val="20"/>
                <w:lang w:val="es-ES"/>
              </w:rPr>
            </w:pPr>
            <w:r>
              <w:rPr>
                <w:rFonts w:ascii="Cambria" w:hAnsi="Cambria"/>
                <w:bCs/>
                <w:sz w:val="20"/>
                <w:szCs w:val="20"/>
                <w:lang w:val="es-ES"/>
              </w:rPr>
              <w:t>Alberto Mart</w:t>
            </w:r>
            <w:r w:rsidR="002E3527">
              <w:rPr>
                <w:rFonts w:ascii="Cambria" w:hAnsi="Cambria"/>
                <w:bCs/>
                <w:sz w:val="20"/>
                <w:szCs w:val="20"/>
                <w:lang w:val="es-ES"/>
              </w:rPr>
              <w:t>í</w:t>
            </w:r>
            <w:r>
              <w:rPr>
                <w:rFonts w:ascii="Cambria" w:hAnsi="Cambria"/>
                <w:bCs/>
                <w:sz w:val="20"/>
                <w:szCs w:val="20"/>
                <w:lang w:val="es-ES"/>
              </w:rPr>
              <w:t>n Alamillo Quintero</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Estado denunciado:</w:t>
            </w:r>
          </w:p>
        </w:tc>
        <w:tc>
          <w:tcPr>
            <w:tcW w:w="5760" w:type="dxa"/>
            <w:vAlign w:val="center"/>
          </w:tcPr>
          <w:p w14:paraId="5D0EC05D" w14:textId="7FEF52DC" w:rsidR="003239B8" w:rsidRPr="0091191E" w:rsidRDefault="006B5965" w:rsidP="008D2290">
            <w:pPr>
              <w:jc w:val="both"/>
              <w:rPr>
                <w:rFonts w:ascii="Cambria" w:hAnsi="Cambria"/>
                <w:bCs/>
                <w:sz w:val="20"/>
                <w:szCs w:val="20"/>
              </w:rPr>
            </w:pPr>
            <w:r>
              <w:rPr>
                <w:rFonts w:ascii="Cambria" w:hAnsi="Cambria"/>
                <w:bCs/>
                <w:sz w:val="20"/>
                <w:szCs w:val="20"/>
              </w:rPr>
              <w:t>M</w:t>
            </w:r>
            <w:r w:rsidR="00AA6175">
              <w:rPr>
                <w:rFonts w:ascii="Cambria" w:hAnsi="Cambria"/>
                <w:bCs/>
                <w:sz w:val="20"/>
                <w:szCs w:val="20"/>
              </w:rPr>
              <w:t>é</w:t>
            </w:r>
            <w:r>
              <w:rPr>
                <w:rFonts w:ascii="Cambria" w:hAnsi="Cambria"/>
                <w:bCs/>
                <w:sz w:val="20"/>
                <w:szCs w:val="20"/>
              </w:rPr>
              <w:t>xico</w:t>
            </w:r>
            <w:r w:rsidR="00BC49AF">
              <w:rPr>
                <w:rStyle w:val="FootnoteReference"/>
                <w:rFonts w:ascii="Cambria" w:hAnsi="Cambria"/>
                <w:bCs/>
                <w:sz w:val="20"/>
                <w:szCs w:val="20"/>
              </w:rPr>
              <w:footnoteReference w:id="2"/>
            </w:r>
          </w:p>
        </w:tc>
      </w:tr>
      <w:tr w:rsidR="00223A29" w:rsidRPr="0043538F"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91191E" w:rsidRDefault="001B3A00" w:rsidP="00E4118C">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 xml:space="preserve">Derechos </w:t>
            </w:r>
            <w:r w:rsidR="00E4118C" w:rsidRPr="0091191E">
              <w:rPr>
                <w:rFonts w:ascii="Cambria" w:hAnsi="Cambria"/>
                <w:b/>
                <w:bCs/>
                <w:color w:val="FFFFFF" w:themeColor="background1"/>
                <w:sz w:val="20"/>
                <w:szCs w:val="20"/>
              </w:rPr>
              <w:t>invocados</w:t>
            </w:r>
            <w:r w:rsidRPr="0091191E">
              <w:rPr>
                <w:rFonts w:ascii="Cambria" w:hAnsi="Cambria"/>
                <w:b/>
                <w:bCs/>
                <w:color w:val="FFFFFF" w:themeColor="background1"/>
                <w:sz w:val="20"/>
                <w:szCs w:val="20"/>
              </w:rPr>
              <w:t>:</w:t>
            </w:r>
          </w:p>
        </w:tc>
        <w:tc>
          <w:tcPr>
            <w:tcW w:w="5760" w:type="dxa"/>
            <w:vAlign w:val="center"/>
          </w:tcPr>
          <w:p w14:paraId="52B28392" w14:textId="4D42942A" w:rsidR="00442486" w:rsidRPr="00442486" w:rsidRDefault="00FB0DB7" w:rsidP="00C766C2">
            <w:pPr>
              <w:jc w:val="both"/>
              <w:rPr>
                <w:rFonts w:ascii="Cambria" w:hAnsi="Cambria"/>
                <w:sz w:val="20"/>
                <w:szCs w:val="20"/>
                <w:lang w:val="es-419"/>
              </w:rPr>
            </w:pPr>
            <w:r>
              <w:rPr>
                <w:rFonts w:ascii="Cambria" w:hAnsi="Cambria"/>
                <w:sz w:val="20"/>
                <w:szCs w:val="20"/>
                <w:lang w:val="es-419"/>
              </w:rPr>
              <w:t>El peticionario alega v</w:t>
            </w:r>
            <w:r w:rsidR="00442486">
              <w:rPr>
                <w:rFonts w:ascii="Cambria" w:hAnsi="Cambria"/>
                <w:sz w:val="20"/>
                <w:szCs w:val="20"/>
                <w:lang w:val="es-419"/>
              </w:rPr>
              <w:t>iolación de domicilio, privación ilegal de la libertad, lesiones físicas y psicológicas,</w:t>
            </w:r>
            <w:r w:rsidR="00BF2084">
              <w:rPr>
                <w:rFonts w:ascii="Cambria" w:hAnsi="Cambria"/>
                <w:sz w:val="20"/>
                <w:szCs w:val="20"/>
                <w:lang w:val="es-419"/>
              </w:rPr>
              <w:t xml:space="preserve"> y</w:t>
            </w:r>
            <w:r w:rsidR="00442486">
              <w:rPr>
                <w:rFonts w:ascii="Cambria" w:hAnsi="Cambria"/>
                <w:sz w:val="20"/>
                <w:szCs w:val="20"/>
                <w:lang w:val="es-419"/>
              </w:rPr>
              <w:t xml:space="preserve"> </w:t>
            </w:r>
            <w:r>
              <w:rPr>
                <w:rFonts w:ascii="Cambria" w:hAnsi="Cambria"/>
                <w:sz w:val="20"/>
                <w:szCs w:val="20"/>
                <w:lang w:val="es-419"/>
              </w:rPr>
              <w:t xml:space="preserve">la </w:t>
            </w:r>
            <w:r w:rsidR="00442486">
              <w:rPr>
                <w:rFonts w:ascii="Cambria" w:hAnsi="Cambria"/>
                <w:sz w:val="20"/>
                <w:szCs w:val="20"/>
                <w:lang w:val="es-419"/>
              </w:rPr>
              <w:t>presentación</w:t>
            </w:r>
            <w:r>
              <w:rPr>
                <w:rFonts w:ascii="Cambria" w:hAnsi="Cambria"/>
                <w:sz w:val="20"/>
                <w:szCs w:val="20"/>
                <w:lang w:val="es-419"/>
              </w:rPr>
              <w:t xml:space="preserve"> humillante</w:t>
            </w:r>
            <w:r w:rsidR="00442486">
              <w:rPr>
                <w:rFonts w:ascii="Cambria" w:hAnsi="Cambria"/>
                <w:sz w:val="20"/>
                <w:szCs w:val="20"/>
                <w:lang w:val="es-419"/>
              </w:rPr>
              <w:t xml:space="preserve"> ante los medios de comunicació</w:t>
            </w:r>
            <w:r>
              <w:rPr>
                <w:rFonts w:ascii="Cambria" w:hAnsi="Cambria"/>
                <w:sz w:val="20"/>
                <w:szCs w:val="20"/>
                <w:lang w:val="es-419"/>
              </w:rPr>
              <w:t>n</w:t>
            </w:r>
          </w:p>
        </w:tc>
      </w:tr>
    </w:tbl>
    <w:p w14:paraId="176FB213" w14:textId="267F595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BF2084">
        <w:rPr>
          <w:rStyle w:val="FootnoteReference"/>
          <w:rFonts w:asciiTheme="majorHAnsi" w:hAnsiTheme="majorHAnsi"/>
          <w:b/>
          <w:bCs/>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B5965"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6B5965" w:rsidRPr="0091191E" w:rsidRDefault="006B5965" w:rsidP="006B5965">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Presentación de la petición:</w:t>
            </w:r>
          </w:p>
        </w:tc>
        <w:tc>
          <w:tcPr>
            <w:tcW w:w="5760" w:type="dxa"/>
            <w:vAlign w:val="center"/>
          </w:tcPr>
          <w:p w14:paraId="6883A5F8" w14:textId="501DE232" w:rsidR="006B5965" w:rsidRPr="0091191E" w:rsidRDefault="00C71804" w:rsidP="006B5965">
            <w:pPr>
              <w:jc w:val="both"/>
              <w:rPr>
                <w:rFonts w:ascii="Cambria" w:hAnsi="Cambria"/>
                <w:bCs/>
                <w:sz w:val="20"/>
                <w:szCs w:val="20"/>
                <w:lang w:val="es-ES"/>
              </w:rPr>
            </w:pPr>
            <w:r>
              <w:rPr>
                <w:rFonts w:ascii="Cambria" w:hAnsi="Cambria"/>
                <w:bCs/>
                <w:sz w:val="20"/>
                <w:szCs w:val="20"/>
                <w:lang w:val="es-ES"/>
              </w:rPr>
              <w:t>13 de diciembre de 2012</w:t>
            </w:r>
          </w:p>
        </w:tc>
      </w:tr>
      <w:tr w:rsidR="00C71804" w:rsidRPr="00C71804" w14:paraId="169A697E" w14:textId="77777777" w:rsidTr="004A6A54">
        <w:tc>
          <w:tcPr>
            <w:tcW w:w="3600" w:type="dxa"/>
            <w:tcBorders>
              <w:top w:val="single" w:sz="6" w:space="0" w:color="auto"/>
              <w:bottom w:val="single" w:sz="6" w:space="0" w:color="auto"/>
            </w:tcBorders>
            <w:shd w:val="clear" w:color="auto" w:fill="386294"/>
            <w:vAlign w:val="center"/>
          </w:tcPr>
          <w:p w14:paraId="4301EAFB" w14:textId="0F822B4B" w:rsidR="00C71804" w:rsidRPr="0091191E" w:rsidRDefault="00C71804" w:rsidP="006B596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en etapa de estudio inicial:</w:t>
            </w:r>
          </w:p>
        </w:tc>
        <w:tc>
          <w:tcPr>
            <w:tcW w:w="5760" w:type="dxa"/>
            <w:vAlign w:val="center"/>
          </w:tcPr>
          <w:p w14:paraId="3BA07AF9" w14:textId="682433FA" w:rsidR="00C71804" w:rsidRDefault="00C71804" w:rsidP="006B5965">
            <w:pPr>
              <w:jc w:val="both"/>
              <w:rPr>
                <w:rFonts w:ascii="Cambria" w:hAnsi="Cambria"/>
                <w:bCs/>
                <w:sz w:val="20"/>
                <w:szCs w:val="20"/>
                <w:lang w:val="es-ES"/>
              </w:rPr>
            </w:pPr>
            <w:r>
              <w:rPr>
                <w:rFonts w:ascii="Cambria" w:hAnsi="Cambria"/>
                <w:bCs/>
                <w:sz w:val="20"/>
                <w:szCs w:val="20"/>
                <w:lang w:val="es-ES"/>
              </w:rPr>
              <w:t>15 de noviembre de 2013</w:t>
            </w:r>
            <w:r w:rsidR="00422E41">
              <w:rPr>
                <w:rFonts w:ascii="Cambria" w:hAnsi="Cambria"/>
                <w:bCs/>
                <w:sz w:val="20"/>
                <w:szCs w:val="20"/>
                <w:lang w:val="es-ES"/>
              </w:rPr>
              <w:t xml:space="preserve"> </w:t>
            </w:r>
          </w:p>
        </w:tc>
      </w:tr>
      <w:tr w:rsidR="006B5965" w:rsidRPr="00C71804"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6B5965" w:rsidRPr="0091191E" w:rsidRDefault="006B5965" w:rsidP="006B5965">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Notificación de la petición al Estado:</w:t>
            </w:r>
          </w:p>
        </w:tc>
        <w:tc>
          <w:tcPr>
            <w:tcW w:w="5760" w:type="dxa"/>
            <w:vAlign w:val="center"/>
          </w:tcPr>
          <w:p w14:paraId="58485921" w14:textId="53FCF20C" w:rsidR="006B5965" w:rsidRPr="0091191E" w:rsidRDefault="00C71804" w:rsidP="006B5965">
            <w:pPr>
              <w:jc w:val="both"/>
              <w:rPr>
                <w:rFonts w:ascii="Cambria" w:hAnsi="Cambria"/>
                <w:bCs/>
                <w:sz w:val="20"/>
                <w:szCs w:val="20"/>
                <w:lang w:val="es-ES"/>
              </w:rPr>
            </w:pPr>
            <w:r>
              <w:rPr>
                <w:rFonts w:ascii="Cambria" w:hAnsi="Cambria"/>
                <w:bCs/>
                <w:sz w:val="20"/>
                <w:szCs w:val="20"/>
                <w:lang w:val="es-ES"/>
              </w:rPr>
              <w:t>11 de enero de 2016</w:t>
            </w:r>
          </w:p>
        </w:tc>
      </w:tr>
      <w:tr w:rsidR="006B5965"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6B5965" w:rsidRPr="0091191E" w:rsidRDefault="006B5965" w:rsidP="006B5965">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Primera respuesta del Estado:</w:t>
            </w:r>
          </w:p>
        </w:tc>
        <w:tc>
          <w:tcPr>
            <w:tcW w:w="5760" w:type="dxa"/>
            <w:vAlign w:val="center"/>
          </w:tcPr>
          <w:p w14:paraId="6B47064C" w14:textId="78419164" w:rsidR="006B5965" w:rsidRPr="0091191E" w:rsidRDefault="00C71804" w:rsidP="006B5965">
            <w:pPr>
              <w:jc w:val="both"/>
              <w:rPr>
                <w:rFonts w:ascii="Cambria" w:hAnsi="Cambria"/>
                <w:bCs/>
                <w:sz w:val="20"/>
                <w:szCs w:val="20"/>
                <w:lang w:val="es-ES"/>
              </w:rPr>
            </w:pPr>
            <w:r>
              <w:rPr>
                <w:rFonts w:ascii="Cambria" w:hAnsi="Cambria"/>
                <w:bCs/>
                <w:sz w:val="20"/>
                <w:szCs w:val="20"/>
                <w:lang w:val="es-ES"/>
              </w:rPr>
              <w:t>16 de marzo de 2016</w:t>
            </w:r>
          </w:p>
        </w:tc>
      </w:tr>
      <w:tr w:rsidR="006B5965" w:rsidRPr="0043538F"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6B5965" w:rsidRPr="0091191E" w:rsidRDefault="006B5965" w:rsidP="006B5965">
            <w:pPr>
              <w:jc w:val="center"/>
              <w:rPr>
                <w:rFonts w:ascii="Cambria" w:hAnsi="Cambria"/>
                <w:b/>
                <w:color w:val="FFFFFF" w:themeColor="background1"/>
                <w:sz w:val="20"/>
                <w:szCs w:val="20"/>
                <w:lang w:val="es-ES"/>
              </w:rPr>
            </w:pPr>
            <w:r w:rsidRPr="0091191E">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3766887A" w:rsidR="006B5965" w:rsidRPr="0091191E" w:rsidRDefault="00C71804" w:rsidP="006B5965">
            <w:pPr>
              <w:jc w:val="both"/>
              <w:rPr>
                <w:rFonts w:ascii="Cambria" w:hAnsi="Cambria"/>
                <w:bCs/>
                <w:sz w:val="20"/>
                <w:szCs w:val="20"/>
                <w:lang w:val="es-ES"/>
              </w:rPr>
            </w:pPr>
            <w:r>
              <w:rPr>
                <w:rFonts w:ascii="Cambria" w:hAnsi="Cambria"/>
                <w:bCs/>
                <w:sz w:val="20"/>
                <w:szCs w:val="20"/>
                <w:lang w:val="es-ES"/>
              </w:rPr>
              <w:t xml:space="preserve">24 de diciembre de 2018, 18 de julio de 2019, 3 de febrero de 2020 </w:t>
            </w:r>
            <w:r w:rsidR="00AA6175">
              <w:rPr>
                <w:rFonts w:ascii="Cambria" w:hAnsi="Cambria"/>
                <w:bCs/>
                <w:sz w:val="20"/>
                <w:szCs w:val="20"/>
                <w:lang w:val="es-ES"/>
              </w:rPr>
              <w:t xml:space="preserve">y </w:t>
            </w:r>
            <w:r>
              <w:rPr>
                <w:rFonts w:ascii="Cambria" w:hAnsi="Cambria"/>
                <w:bCs/>
                <w:sz w:val="20"/>
                <w:szCs w:val="20"/>
                <w:lang w:val="es-ES"/>
              </w:rPr>
              <w:t>12 de octubre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540F17" w14:paraId="7D299FC7" w14:textId="77777777" w:rsidTr="004236AD">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personae:</w:t>
            </w:r>
          </w:p>
        </w:tc>
        <w:tc>
          <w:tcPr>
            <w:tcW w:w="5777" w:type="dxa"/>
            <w:vAlign w:val="center"/>
          </w:tcPr>
          <w:p w14:paraId="1E494D5D" w14:textId="47C0DB82"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54503A4F" w14:textId="77777777" w:rsidTr="004236AD">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loci</w:t>
            </w:r>
            <w:r w:rsidRPr="0091191E">
              <w:rPr>
                <w:rFonts w:ascii="Cambria" w:hAnsi="Cambria"/>
                <w:b/>
                <w:bCs/>
                <w:color w:val="FFFFFF" w:themeColor="background1"/>
                <w:sz w:val="20"/>
                <w:szCs w:val="20"/>
              </w:rPr>
              <w:t>:</w:t>
            </w:r>
          </w:p>
        </w:tc>
        <w:tc>
          <w:tcPr>
            <w:tcW w:w="5777" w:type="dxa"/>
            <w:vAlign w:val="center"/>
          </w:tcPr>
          <w:p w14:paraId="77C8256A" w14:textId="5E819D9D"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6618D96A" w14:textId="77777777" w:rsidTr="004236AD">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temporis</w:t>
            </w:r>
            <w:r w:rsidRPr="0091191E">
              <w:rPr>
                <w:rFonts w:ascii="Cambria" w:hAnsi="Cambria"/>
                <w:b/>
                <w:bCs/>
                <w:color w:val="FFFFFF" w:themeColor="background1"/>
                <w:sz w:val="20"/>
                <w:szCs w:val="20"/>
              </w:rPr>
              <w:t>:</w:t>
            </w:r>
          </w:p>
        </w:tc>
        <w:tc>
          <w:tcPr>
            <w:tcW w:w="5777" w:type="dxa"/>
            <w:vAlign w:val="center"/>
          </w:tcPr>
          <w:p w14:paraId="523F6BD6" w14:textId="69B6757A"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43538F" w14:paraId="34C2A0A9" w14:textId="77777777" w:rsidTr="004236AD">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materia</w:t>
            </w:r>
            <w:r w:rsidR="00EE00E9" w:rsidRPr="0091191E">
              <w:rPr>
                <w:rFonts w:ascii="Cambria" w:hAnsi="Cambria"/>
                <w:b/>
                <w:bCs/>
                <w:i/>
                <w:color w:val="FFFFFF" w:themeColor="background1"/>
                <w:sz w:val="20"/>
                <w:szCs w:val="20"/>
              </w:rPr>
              <w:t>e</w:t>
            </w:r>
            <w:r w:rsidRPr="0091191E">
              <w:rPr>
                <w:rFonts w:ascii="Cambria" w:hAnsi="Cambria"/>
                <w:b/>
                <w:bCs/>
                <w:color w:val="FFFFFF" w:themeColor="background1"/>
                <w:sz w:val="20"/>
                <w:szCs w:val="20"/>
              </w:rPr>
              <w:t>:</w:t>
            </w:r>
          </w:p>
        </w:tc>
        <w:tc>
          <w:tcPr>
            <w:tcW w:w="5777" w:type="dxa"/>
            <w:vAlign w:val="center"/>
          </w:tcPr>
          <w:p w14:paraId="257C8337" w14:textId="4BE87435" w:rsidR="003239B8" w:rsidRPr="0091191E" w:rsidRDefault="00A004BB" w:rsidP="008D2290">
            <w:pPr>
              <w:jc w:val="both"/>
              <w:rPr>
                <w:rFonts w:ascii="Cambria" w:hAnsi="Cambria"/>
                <w:bCs/>
                <w:sz w:val="20"/>
                <w:szCs w:val="20"/>
                <w:lang w:val="es-ES"/>
              </w:rPr>
            </w:pPr>
            <w:r w:rsidRPr="0091191E">
              <w:rPr>
                <w:rFonts w:ascii="Cambria" w:hAnsi="Cambria"/>
                <w:bCs/>
                <w:sz w:val="20"/>
                <w:szCs w:val="20"/>
                <w:lang w:val="es-ES" w:bidi="es-ES"/>
              </w:rPr>
              <w:t xml:space="preserve">Sí, </w:t>
            </w:r>
            <w:r w:rsidRPr="00AD2609">
              <w:rPr>
                <w:rFonts w:ascii="Cambria" w:hAnsi="Cambria"/>
                <w:bCs/>
                <w:sz w:val="20"/>
                <w:szCs w:val="20"/>
                <w:lang w:val="es-ES" w:bidi="es-ES"/>
              </w:rPr>
              <w:t xml:space="preserve">Convención Americana </w:t>
            </w:r>
            <w:r w:rsidR="00422E41">
              <w:rPr>
                <w:rFonts w:ascii="Cambria" w:hAnsi="Cambria"/>
                <w:bCs/>
                <w:sz w:val="20"/>
                <w:szCs w:val="20"/>
                <w:lang w:val="es-ES" w:bidi="es-ES"/>
              </w:rPr>
              <w:t>sobre Derechos Humanos</w:t>
            </w:r>
            <w:r w:rsidR="00333DB4">
              <w:rPr>
                <w:rStyle w:val="FootnoteReference"/>
                <w:rFonts w:ascii="Cambria" w:hAnsi="Cambria"/>
                <w:bCs/>
                <w:sz w:val="20"/>
                <w:szCs w:val="20"/>
                <w:lang w:val="es-ES" w:bidi="es-ES"/>
              </w:rPr>
              <w:footnoteReference w:id="4"/>
            </w:r>
            <w:r w:rsidR="00422E41">
              <w:rPr>
                <w:rFonts w:ascii="Cambria" w:hAnsi="Cambria"/>
                <w:bCs/>
                <w:sz w:val="20"/>
                <w:szCs w:val="20"/>
                <w:lang w:val="es-ES" w:bidi="es-ES"/>
              </w:rPr>
              <w:t xml:space="preserve"> </w:t>
            </w:r>
            <w:r w:rsidRPr="00AD2609">
              <w:rPr>
                <w:rFonts w:ascii="Cambria" w:hAnsi="Cambria"/>
                <w:bCs/>
                <w:sz w:val="20"/>
                <w:szCs w:val="20"/>
                <w:lang w:val="es-ES" w:bidi="es-ES"/>
              </w:rPr>
              <w:t>(depósito de</w:t>
            </w:r>
            <w:r w:rsidR="00422E41">
              <w:rPr>
                <w:rFonts w:ascii="Cambria" w:hAnsi="Cambria"/>
                <w:bCs/>
                <w:sz w:val="20"/>
                <w:szCs w:val="20"/>
                <w:lang w:val="es-ES" w:bidi="es-ES"/>
              </w:rPr>
              <w:t>l</w:t>
            </w:r>
            <w:r w:rsidRPr="00AD2609">
              <w:rPr>
                <w:rFonts w:ascii="Cambria" w:hAnsi="Cambria"/>
                <w:bCs/>
                <w:sz w:val="20"/>
                <w:szCs w:val="20"/>
                <w:lang w:val="es-ES" w:bidi="es-ES"/>
              </w:rPr>
              <w:t xml:space="preserve"> instrumento </w:t>
            </w:r>
            <w:r w:rsidR="00422E41">
              <w:rPr>
                <w:rFonts w:ascii="Cambria" w:hAnsi="Cambria"/>
                <w:bCs/>
                <w:sz w:val="20"/>
                <w:szCs w:val="20"/>
                <w:lang w:val="es-ES" w:bidi="es-ES"/>
              </w:rPr>
              <w:t xml:space="preserve">de adhesión </w:t>
            </w:r>
            <w:r w:rsidRPr="00AD2609">
              <w:rPr>
                <w:rFonts w:ascii="Cambria" w:hAnsi="Cambria"/>
                <w:bCs/>
                <w:sz w:val="20"/>
                <w:szCs w:val="20"/>
                <w:lang w:val="es-ES" w:bidi="es-ES"/>
              </w:rPr>
              <w:t xml:space="preserve">realizado el </w:t>
            </w:r>
            <w:r w:rsidR="006B5965" w:rsidRPr="006B5965">
              <w:rPr>
                <w:rFonts w:ascii="Cambria" w:hAnsi="Cambria"/>
                <w:bCs/>
                <w:sz w:val="20"/>
                <w:szCs w:val="20"/>
                <w:lang w:val="es-ES" w:bidi="es-ES"/>
              </w:rPr>
              <w:t>24 de marzo de 1981</w:t>
            </w:r>
            <w:r w:rsidRPr="00AD2609">
              <w:rPr>
                <w:rFonts w:ascii="Cambria" w:hAnsi="Cambria"/>
                <w:bCs/>
                <w:sz w:val="20"/>
                <w:szCs w:val="20"/>
                <w:lang w:val="es-ES" w:bidi="es-ES"/>
              </w:rPr>
              <w:t>)</w:t>
            </w:r>
            <w:r w:rsidR="00031A1C">
              <w:rPr>
                <w:rFonts w:ascii="Cambria" w:hAnsi="Cambria"/>
                <w:bCs/>
                <w:sz w:val="20"/>
                <w:szCs w:val="20"/>
                <w:lang w:val="es-ES" w:bidi="es-ES"/>
              </w:rPr>
              <w:t xml:space="preserve"> </w:t>
            </w:r>
            <w:r w:rsidR="00031A1C" w:rsidRPr="00031A1C">
              <w:rPr>
                <w:rFonts w:ascii="Cambria" w:hAnsi="Cambria"/>
                <w:bCs/>
                <w:sz w:val="20"/>
                <w:szCs w:val="20"/>
                <w:lang w:val="es-ES" w:bidi="es-ES"/>
              </w:rPr>
              <w:t>y Convención Interamericana para Prevenir y Sancionar la Tortura (depósito de instrumento de ratificación realizado el 22 de junio de 1987)</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E51E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1191E" w:rsidRDefault="00EE00E9"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03B40D1" w:rsidR="00EE00E9" w:rsidRPr="0091191E" w:rsidRDefault="00A004BB" w:rsidP="008D2290">
            <w:pPr>
              <w:jc w:val="both"/>
              <w:rPr>
                <w:rFonts w:ascii="Cambria" w:hAnsi="Cambria"/>
                <w:bCs/>
                <w:sz w:val="20"/>
                <w:szCs w:val="20"/>
                <w:lang w:val="es-ES"/>
              </w:rPr>
            </w:pPr>
            <w:r w:rsidRPr="0091191E">
              <w:rPr>
                <w:rFonts w:ascii="Cambria" w:hAnsi="Cambria"/>
                <w:bCs/>
                <w:sz w:val="20"/>
                <w:szCs w:val="20"/>
                <w:lang w:val="es-ES"/>
              </w:rPr>
              <w:t>No</w:t>
            </w:r>
          </w:p>
        </w:tc>
      </w:tr>
      <w:tr w:rsidR="003239B8" w:rsidRPr="0043538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Derechos declarados admisibles</w:t>
            </w:r>
            <w:r w:rsidRPr="0091191E">
              <w:rPr>
                <w:rFonts w:ascii="Cambria" w:hAnsi="Cambria"/>
                <w:b/>
                <w:bCs/>
                <w:i/>
                <w:color w:val="FFFFFF" w:themeColor="background1"/>
                <w:sz w:val="20"/>
                <w:szCs w:val="20"/>
              </w:rPr>
              <w:t>:</w:t>
            </w:r>
          </w:p>
        </w:tc>
        <w:tc>
          <w:tcPr>
            <w:tcW w:w="5760" w:type="dxa"/>
            <w:vAlign w:val="center"/>
          </w:tcPr>
          <w:p w14:paraId="4DAE9D4D" w14:textId="577EE384" w:rsidR="003239B8" w:rsidRPr="0091191E" w:rsidRDefault="0091191E" w:rsidP="008D2290">
            <w:pPr>
              <w:jc w:val="both"/>
              <w:rPr>
                <w:rFonts w:ascii="Cambria" w:hAnsi="Cambria"/>
                <w:bCs/>
                <w:sz w:val="20"/>
                <w:szCs w:val="20"/>
                <w:lang w:val="es-ES" w:bidi="es-ES"/>
              </w:rPr>
            </w:pPr>
            <w:r w:rsidRPr="00AD2609">
              <w:rPr>
                <w:rFonts w:ascii="Cambria" w:hAnsi="Cambria"/>
                <w:bCs/>
                <w:sz w:val="20"/>
                <w:szCs w:val="20"/>
                <w:lang w:val="es-ES" w:bidi="es-ES"/>
              </w:rPr>
              <w:t xml:space="preserve">Artículos </w:t>
            </w:r>
            <w:r w:rsidR="004407B1" w:rsidRPr="004407B1">
              <w:rPr>
                <w:rFonts w:ascii="Cambria" w:hAnsi="Cambria"/>
                <w:bCs/>
                <w:sz w:val="20"/>
                <w:szCs w:val="20"/>
                <w:lang w:val="es-ES" w:bidi="es-ES"/>
              </w:rPr>
              <w:t>5 (integridad personal), 7 (libertad personal), 8 (garantías judiciales)</w:t>
            </w:r>
            <w:r w:rsidR="00310BA5">
              <w:rPr>
                <w:rFonts w:ascii="Cambria" w:hAnsi="Cambria"/>
                <w:bCs/>
                <w:sz w:val="20"/>
                <w:szCs w:val="20"/>
                <w:lang w:val="es-ES" w:bidi="es-ES"/>
              </w:rPr>
              <w:t>, 11 (protección de la honra y dignidad)</w:t>
            </w:r>
            <w:r w:rsidR="004407B1" w:rsidRPr="004407B1">
              <w:rPr>
                <w:rFonts w:ascii="Cambria" w:hAnsi="Cambria"/>
                <w:bCs/>
                <w:sz w:val="20"/>
                <w:szCs w:val="20"/>
                <w:lang w:val="es-ES" w:bidi="es-ES"/>
              </w:rPr>
              <w:t xml:space="preserve"> y 25 (protección judicial), en relación con su artículo 1.1 (obligación de respetar los derechos) de la Convención Americana; y artículos 1</w:t>
            </w:r>
            <w:r w:rsidR="00AA6175">
              <w:rPr>
                <w:rFonts w:ascii="Cambria" w:hAnsi="Cambria"/>
                <w:bCs/>
                <w:sz w:val="20"/>
                <w:szCs w:val="20"/>
                <w:lang w:val="es-ES" w:bidi="es-ES"/>
              </w:rPr>
              <w:t>,</w:t>
            </w:r>
            <w:r w:rsidR="004407B1" w:rsidRPr="004407B1">
              <w:rPr>
                <w:rFonts w:ascii="Cambria" w:hAnsi="Cambria"/>
                <w:bCs/>
                <w:sz w:val="20"/>
                <w:szCs w:val="20"/>
                <w:lang w:val="es-ES" w:bidi="es-ES"/>
              </w:rPr>
              <w:t xml:space="preserve"> 6 </w:t>
            </w:r>
            <w:r w:rsidR="00AA6175">
              <w:rPr>
                <w:rFonts w:ascii="Cambria" w:hAnsi="Cambria"/>
                <w:bCs/>
                <w:sz w:val="20"/>
                <w:szCs w:val="20"/>
                <w:lang w:val="es-ES" w:bidi="es-ES"/>
              </w:rPr>
              <w:t xml:space="preserve">y 8 </w:t>
            </w:r>
            <w:r w:rsidR="004407B1" w:rsidRPr="004407B1">
              <w:rPr>
                <w:rFonts w:ascii="Cambria" w:hAnsi="Cambria"/>
                <w:bCs/>
                <w:sz w:val="20"/>
                <w:szCs w:val="20"/>
                <w:lang w:val="es-ES" w:bidi="es-ES"/>
              </w:rPr>
              <w:t xml:space="preserve">de la Convención </w:t>
            </w:r>
            <w:r w:rsidR="00422E41">
              <w:rPr>
                <w:rFonts w:ascii="Cambria" w:hAnsi="Cambria"/>
                <w:bCs/>
                <w:sz w:val="20"/>
                <w:szCs w:val="20"/>
                <w:lang w:val="es-ES" w:bidi="es-ES"/>
              </w:rPr>
              <w:t>Interamericana para Prevenir y Sancionar</w:t>
            </w:r>
            <w:r w:rsidR="004407B1" w:rsidRPr="004407B1">
              <w:rPr>
                <w:rFonts w:ascii="Cambria" w:hAnsi="Cambria"/>
                <w:bCs/>
                <w:sz w:val="20"/>
                <w:szCs w:val="20"/>
                <w:lang w:val="es-ES" w:bidi="es-ES"/>
              </w:rPr>
              <w:t xml:space="preserve"> la Tortura</w:t>
            </w:r>
          </w:p>
        </w:tc>
      </w:tr>
      <w:tr w:rsidR="003239B8" w:rsidRPr="0043538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1191E" w:rsidRDefault="003239B8"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Agotamiento de recursos internos</w:t>
            </w:r>
            <w:r w:rsidR="00EE00E9" w:rsidRPr="0091191E">
              <w:rPr>
                <w:rFonts w:ascii="Cambria" w:hAnsi="Cambria"/>
                <w:b/>
                <w:bCs/>
                <w:color w:val="FFFFFF" w:themeColor="background1"/>
                <w:sz w:val="20"/>
                <w:szCs w:val="20"/>
                <w:lang w:val="es-ES"/>
              </w:rPr>
              <w:t xml:space="preserve"> o procedencia de una excepción</w:t>
            </w:r>
            <w:r w:rsidRPr="0091191E">
              <w:rPr>
                <w:rFonts w:ascii="Cambria" w:hAnsi="Cambria"/>
                <w:b/>
                <w:bCs/>
                <w:color w:val="FFFFFF" w:themeColor="background1"/>
                <w:sz w:val="20"/>
                <w:szCs w:val="20"/>
                <w:lang w:val="es-ES"/>
              </w:rPr>
              <w:t>:</w:t>
            </w:r>
          </w:p>
        </w:tc>
        <w:tc>
          <w:tcPr>
            <w:tcW w:w="5760" w:type="dxa"/>
            <w:vAlign w:val="center"/>
          </w:tcPr>
          <w:p w14:paraId="7F7C1A19" w14:textId="15050D63"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 xml:space="preserve">Sí, </w:t>
            </w:r>
            <w:r w:rsidR="004407B1" w:rsidRPr="0091191E">
              <w:rPr>
                <w:rFonts w:ascii="Cambria" w:hAnsi="Cambria"/>
                <w:bCs/>
                <w:sz w:val="20"/>
                <w:szCs w:val="20"/>
                <w:lang w:val="es-ES" w:bidi="es-ES"/>
              </w:rPr>
              <w:t>en los términos de la sección VI</w:t>
            </w:r>
          </w:p>
        </w:tc>
      </w:tr>
      <w:tr w:rsidR="003239B8" w:rsidRPr="0043538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Presentación dentro de plazo:</w:t>
            </w:r>
          </w:p>
        </w:tc>
        <w:tc>
          <w:tcPr>
            <w:tcW w:w="5760" w:type="dxa"/>
            <w:vAlign w:val="center"/>
          </w:tcPr>
          <w:p w14:paraId="2AF0FC69" w14:textId="613F26D8"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 en los términos de la sección VI</w:t>
            </w:r>
          </w:p>
        </w:tc>
      </w:tr>
    </w:tbl>
    <w:p w14:paraId="27C77889" w14:textId="074E2C14" w:rsidR="00BF2084" w:rsidRDefault="00BF2084" w:rsidP="00CA703A">
      <w:pPr>
        <w:spacing w:before="240" w:after="240"/>
        <w:ind w:firstLine="720"/>
        <w:jc w:val="both"/>
        <w:rPr>
          <w:rFonts w:asciiTheme="majorHAnsi" w:hAnsiTheme="majorHAnsi"/>
          <w:b/>
          <w:sz w:val="20"/>
          <w:szCs w:val="20"/>
          <w:lang w:val="es-UY"/>
        </w:rPr>
      </w:pPr>
    </w:p>
    <w:p w14:paraId="7124CFBF" w14:textId="77777777" w:rsidR="00BF2084" w:rsidRDefault="00BF2084" w:rsidP="00CA703A">
      <w:pPr>
        <w:spacing w:before="240" w:after="240"/>
        <w:ind w:firstLine="720"/>
        <w:jc w:val="both"/>
        <w:rPr>
          <w:rFonts w:asciiTheme="majorHAnsi" w:hAnsiTheme="majorHAnsi"/>
          <w:b/>
          <w:sz w:val="20"/>
          <w:szCs w:val="20"/>
          <w:lang w:val="es-UY"/>
        </w:rPr>
      </w:pPr>
    </w:p>
    <w:p w14:paraId="1A6A9E78" w14:textId="77777777" w:rsidR="00BF2084" w:rsidRDefault="00BF2084" w:rsidP="00CA703A">
      <w:pPr>
        <w:spacing w:before="240" w:after="240"/>
        <w:ind w:firstLine="720"/>
        <w:jc w:val="both"/>
        <w:rPr>
          <w:rFonts w:asciiTheme="majorHAnsi" w:hAnsiTheme="majorHAnsi"/>
          <w:b/>
          <w:sz w:val="20"/>
          <w:szCs w:val="20"/>
          <w:lang w:val="es-UY"/>
        </w:rPr>
      </w:pPr>
    </w:p>
    <w:p w14:paraId="56FD5D57" w14:textId="2C42D177" w:rsidR="003239B8" w:rsidRPr="00A64EB1" w:rsidRDefault="00223A29" w:rsidP="00A64EB1">
      <w:pPr>
        <w:spacing w:after="240"/>
        <w:ind w:firstLine="720"/>
        <w:jc w:val="both"/>
        <w:rPr>
          <w:rFonts w:asciiTheme="majorHAnsi" w:hAnsiTheme="majorHAnsi"/>
          <w:b/>
          <w:sz w:val="20"/>
          <w:szCs w:val="20"/>
          <w:lang w:val="es-ES_tradnl" w:bidi="ar-YE"/>
        </w:rPr>
      </w:pPr>
      <w:r w:rsidRPr="00A64EB1">
        <w:rPr>
          <w:rFonts w:asciiTheme="majorHAnsi" w:hAnsiTheme="majorHAnsi"/>
          <w:b/>
          <w:sz w:val="20"/>
          <w:szCs w:val="20"/>
          <w:lang w:val="es-ES_tradnl" w:bidi="ar-YE"/>
        </w:rPr>
        <w:t xml:space="preserve">V. </w:t>
      </w:r>
      <w:r w:rsidRPr="00A64EB1">
        <w:rPr>
          <w:rFonts w:asciiTheme="majorHAnsi" w:hAnsiTheme="majorHAnsi"/>
          <w:b/>
          <w:sz w:val="20"/>
          <w:szCs w:val="20"/>
          <w:lang w:val="es-ES_tradnl" w:bidi="ar-YE"/>
        </w:rPr>
        <w:tab/>
      </w:r>
      <w:r w:rsidR="004241A0" w:rsidRPr="00A64EB1">
        <w:rPr>
          <w:rFonts w:asciiTheme="majorHAnsi" w:hAnsiTheme="majorHAnsi"/>
          <w:b/>
          <w:sz w:val="20"/>
          <w:szCs w:val="20"/>
          <w:lang w:val="es-ES_tradnl" w:bidi="ar-YE"/>
        </w:rPr>
        <w:t>POSICIÓN DE LAS PARTES</w:t>
      </w:r>
      <w:r w:rsidR="003239B8" w:rsidRPr="00A64EB1">
        <w:rPr>
          <w:rFonts w:asciiTheme="majorHAnsi" w:hAnsiTheme="majorHAnsi"/>
          <w:b/>
          <w:sz w:val="20"/>
          <w:szCs w:val="20"/>
          <w:lang w:val="es-ES_tradnl" w:bidi="ar-YE"/>
        </w:rPr>
        <w:t xml:space="preserve"> </w:t>
      </w:r>
    </w:p>
    <w:p w14:paraId="02ABDF56" w14:textId="74366A2B" w:rsidR="002213C3" w:rsidRPr="00A64EB1" w:rsidRDefault="002213C3" w:rsidP="00A64EB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es-ES_tradnl" w:bidi="ar-YE"/>
        </w:rPr>
      </w:pPr>
      <w:r w:rsidRPr="00A64EB1">
        <w:rPr>
          <w:i/>
          <w:iCs/>
          <w:sz w:val="20"/>
          <w:szCs w:val="20"/>
          <w:lang w:val="es-ES_tradnl" w:bidi="ar-YE"/>
        </w:rPr>
        <w:t>Posición de</w:t>
      </w:r>
      <w:r w:rsidR="00C71804" w:rsidRPr="00A64EB1">
        <w:rPr>
          <w:i/>
          <w:iCs/>
          <w:sz w:val="20"/>
          <w:szCs w:val="20"/>
          <w:lang w:val="es-ES_tradnl" w:bidi="ar-YE"/>
        </w:rPr>
        <w:t>l peticionario</w:t>
      </w:r>
      <w:r w:rsidR="00845182" w:rsidRPr="00A64EB1">
        <w:rPr>
          <w:rStyle w:val="FootnoteReference"/>
          <w:sz w:val="20"/>
          <w:szCs w:val="20"/>
          <w:lang w:val="es-ES_tradnl" w:bidi="ar-YE"/>
        </w:rPr>
        <w:footnoteReference w:id="5"/>
      </w:r>
    </w:p>
    <w:p w14:paraId="21785955" w14:textId="3F9F6349" w:rsidR="00C71804" w:rsidRPr="00A64EB1" w:rsidRDefault="00C71804"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 xml:space="preserve">El </w:t>
      </w:r>
      <w:r w:rsidR="003C242C" w:rsidRPr="00A64EB1">
        <w:rPr>
          <w:sz w:val="20"/>
          <w:szCs w:val="20"/>
          <w:lang w:val="es-ES_tradnl" w:bidi="ar-YE"/>
        </w:rPr>
        <w:t>Sr. Alberto Martín Alamillo Quintero</w:t>
      </w:r>
      <w:r w:rsidRPr="00A64EB1">
        <w:rPr>
          <w:sz w:val="20"/>
          <w:szCs w:val="20"/>
          <w:lang w:val="es-ES_tradnl" w:bidi="ar-YE"/>
        </w:rPr>
        <w:t xml:space="preserve"> denuncia la detención arbitraria y tortura en su contra con el objetivo de que confesara crímenes que afirma no haber cometido. Asimismo, denuncia la privación de su libertad en el marco de un proceso penal</w:t>
      </w:r>
      <w:r w:rsidR="00E13C82" w:rsidRPr="00A64EB1">
        <w:rPr>
          <w:sz w:val="20"/>
          <w:szCs w:val="20"/>
          <w:lang w:val="es-ES_tradnl" w:bidi="ar-YE"/>
        </w:rPr>
        <w:t xml:space="preserve"> contrario al debido proceso legal y</w:t>
      </w:r>
      <w:r w:rsidRPr="00A64EB1">
        <w:rPr>
          <w:sz w:val="20"/>
          <w:szCs w:val="20"/>
          <w:lang w:val="es-ES_tradnl" w:bidi="ar-YE"/>
        </w:rPr>
        <w:t xml:space="preserve"> fundado en </w:t>
      </w:r>
      <w:r w:rsidR="00427301" w:rsidRPr="00A64EB1">
        <w:rPr>
          <w:sz w:val="20"/>
          <w:szCs w:val="20"/>
          <w:lang w:val="es-ES_tradnl" w:bidi="ar-YE"/>
        </w:rPr>
        <w:t>una</w:t>
      </w:r>
      <w:r w:rsidRPr="00A64EB1">
        <w:rPr>
          <w:sz w:val="20"/>
          <w:szCs w:val="20"/>
          <w:lang w:val="es-ES_tradnl" w:bidi="ar-YE"/>
        </w:rPr>
        <w:t xml:space="preserve"> confesión obtenida mediante tortura.</w:t>
      </w:r>
      <w:r w:rsidR="00B2269E" w:rsidRPr="00A64EB1">
        <w:rPr>
          <w:sz w:val="20"/>
          <w:szCs w:val="20"/>
          <w:lang w:val="es-ES_tradnl" w:bidi="ar-YE"/>
        </w:rPr>
        <w:t xml:space="preserve"> </w:t>
      </w:r>
    </w:p>
    <w:p w14:paraId="0BEEB52A" w14:textId="524DE39D" w:rsidR="00C71804" w:rsidRPr="00A64EB1" w:rsidRDefault="00C4033E"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Con respecto a la detención arbitraria y tortura, e</w:t>
      </w:r>
      <w:r w:rsidR="009B6AA0" w:rsidRPr="00A64EB1">
        <w:rPr>
          <w:sz w:val="20"/>
          <w:szCs w:val="20"/>
          <w:lang w:val="es-ES_tradnl" w:bidi="ar-YE"/>
        </w:rPr>
        <w:t>l peticionario narra que aproximadamente a las 3</w:t>
      </w:r>
      <w:r w:rsidR="00503443" w:rsidRPr="00A64EB1">
        <w:rPr>
          <w:sz w:val="20"/>
          <w:szCs w:val="20"/>
          <w:lang w:val="es-ES_tradnl" w:bidi="ar-YE"/>
        </w:rPr>
        <w:t>:</w:t>
      </w:r>
      <w:r w:rsidR="009B6AA0" w:rsidRPr="00A64EB1">
        <w:rPr>
          <w:sz w:val="20"/>
          <w:szCs w:val="20"/>
          <w:lang w:val="es-ES_tradnl" w:bidi="ar-YE"/>
        </w:rPr>
        <w:t xml:space="preserve">30 </w:t>
      </w:r>
      <w:r w:rsidR="00503443" w:rsidRPr="00A64EB1">
        <w:rPr>
          <w:sz w:val="20"/>
          <w:szCs w:val="20"/>
          <w:lang w:val="es-ES_tradnl" w:bidi="ar-YE"/>
        </w:rPr>
        <w:t>horas</w:t>
      </w:r>
      <w:r w:rsidR="009B6AA0" w:rsidRPr="00A64EB1">
        <w:rPr>
          <w:sz w:val="20"/>
          <w:szCs w:val="20"/>
          <w:lang w:val="es-ES_tradnl" w:bidi="ar-YE"/>
        </w:rPr>
        <w:t xml:space="preserve"> del 10 de febrero de 2009, mientras descansaba en </w:t>
      </w:r>
      <w:r w:rsidR="00E65768" w:rsidRPr="00A64EB1">
        <w:rPr>
          <w:sz w:val="20"/>
          <w:szCs w:val="20"/>
          <w:lang w:val="es-ES_tradnl" w:bidi="ar-YE"/>
        </w:rPr>
        <w:t>su</w:t>
      </w:r>
      <w:r w:rsidR="009B6AA0" w:rsidRPr="00A64EB1">
        <w:rPr>
          <w:sz w:val="20"/>
          <w:szCs w:val="20"/>
          <w:lang w:val="es-ES_tradnl" w:bidi="ar-YE"/>
        </w:rPr>
        <w:t xml:space="preserve"> domicilio ubicado en el municipio de Tultitlán, donde también se encontraba el </w:t>
      </w:r>
      <w:r w:rsidR="00E13C82" w:rsidRPr="00A64EB1">
        <w:rPr>
          <w:sz w:val="20"/>
          <w:szCs w:val="20"/>
          <w:lang w:val="es-ES_tradnl" w:bidi="ar-YE"/>
        </w:rPr>
        <w:t>Sr.</w:t>
      </w:r>
      <w:r w:rsidR="009B6AA0" w:rsidRPr="00A64EB1">
        <w:rPr>
          <w:sz w:val="20"/>
          <w:szCs w:val="20"/>
          <w:lang w:val="es-ES_tradnl" w:bidi="ar-YE"/>
        </w:rPr>
        <w:t xml:space="preserve"> Jos</w:t>
      </w:r>
      <w:r w:rsidR="003C242C" w:rsidRPr="00A64EB1">
        <w:rPr>
          <w:sz w:val="20"/>
          <w:szCs w:val="20"/>
          <w:lang w:val="es-ES_tradnl" w:bidi="ar-YE"/>
        </w:rPr>
        <w:t>é</w:t>
      </w:r>
      <w:r w:rsidR="009B6AA0" w:rsidRPr="00A64EB1">
        <w:rPr>
          <w:sz w:val="20"/>
          <w:szCs w:val="20"/>
          <w:lang w:val="es-ES_tradnl" w:bidi="ar-YE"/>
        </w:rPr>
        <w:t xml:space="preserve"> Luis Montes, elementos que se ident</w:t>
      </w:r>
      <w:r w:rsidR="00C71804" w:rsidRPr="00A64EB1">
        <w:rPr>
          <w:sz w:val="20"/>
          <w:szCs w:val="20"/>
          <w:lang w:val="es-ES_tradnl" w:bidi="ar-YE"/>
        </w:rPr>
        <w:t>i</w:t>
      </w:r>
      <w:r w:rsidR="009B6AA0" w:rsidRPr="00A64EB1">
        <w:rPr>
          <w:sz w:val="20"/>
          <w:szCs w:val="20"/>
          <w:lang w:val="es-ES_tradnl" w:bidi="ar-YE"/>
        </w:rPr>
        <w:t xml:space="preserve">ficaron como policiales federales </w:t>
      </w:r>
      <w:r w:rsidR="00C71804" w:rsidRPr="00A64EB1">
        <w:rPr>
          <w:sz w:val="20"/>
          <w:szCs w:val="20"/>
          <w:lang w:val="es-ES_tradnl" w:bidi="ar-YE"/>
        </w:rPr>
        <w:t>irrumpieron</w:t>
      </w:r>
      <w:r w:rsidR="009B6AA0" w:rsidRPr="00A64EB1">
        <w:rPr>
          <w:sz w:val="20"/>
          <w:szCs w:val="20"/>
          <w:lang w:val="es-ES_tradnl" w:bidi="ar-YE"/>
        </w:rPr>
        <w:t xml:space="preserve"> y comenzaron a golpearlo, </w:t>
      </w:r>
      <w:r w:rsidR="00C71804" w:rsidRPr="00A64EB1">
        <w:rPr>
          <w:sz w:val="20"/>
          <w:szCs w:val="20"/>
          <w:lang w:val="es-ES_tradnl" w:bidi="ar-YE"/>
        </w:rPr>
        <w:t>esposándol</w:t>
      </w:r>
      <w:r w:rsidR="008E4E56" w:rsidRPr="00A64EB1">
        <w:rPr>
          <w:sz w:val="20"/>
          <w:szCs w:val="20"/>
          <w:lang w:val="es-ES_tradnl" w:bidi="ar-YE"/>
        </w:rPr>
        <w:t>o</w:t>
      </w:r>
      <w:r w:rsidR="009B6AA0" w:rsidRPr="00A64EB1">
        <w:rPr>
          <w:sz w:val="20"/>
          <w:szCs w:val="20"/>
          <w:lang w:val="es-ES_tradnl" w:bidi="ar-YE"/>
        </w:rPr>
        <w:t xml:space="preserve"> y </w:t>
      </w:r>
      <w:r w:rsidR="00C71804" w:rsidRPr="00A64EB1">
        <w:rPr>
          <w:sz w:val="20"/>
          <w:szCs w:val="20"/>
          <w:lang w:val="es-ES_tradnl" w:bidi="ar-YE"/>
        </w:rPr>
        <w:t>tirándol</w:t>
      </w:r>
      <w:r w:rsidR="008E4E56" w:rsidRPr="00A64EB1">
        <w:rPr>
          <w:sz w:val="20"/>
          <w:szCs w:val="20"/>
          <w:lang w:val="es-ES_tradnl" w:bidi="ar-YE"/>
        </w:rPr>
        <w:t>o</w:t>
      </w:r>
      <w:r w:rsidR="009B6AA0" w:rsidRPr="00A64EB1">
        <w:rPr>
          <w:sz w:val="20"/>
          <w:szCs w:val="20"/>
          <w:lang w:val="es-ES_tradnl" w:bidi="ar-YE"/>
        </w:rPr>
        <w:t xml:space="preserve"> al suelo, mientras preguntaban</w:t>
      </w:r>
      <w:r w:rsidR="00C71804" w:rsidRPr="00A64EB1">
        <w:rPr>
          <w:sz w:val="20"/>
          <w:szCs w:val="20"/>
          <w:lang w:val="es-ES_tradnl" w:bidi="ar-YE"/>
        </w:rPr>
        <w:t>:</w:t>
      </w:r>
      <w:r w:rsidR="009B6AA0" w:rsidRPr="00A64EB1">
        <w:rPr>
          <w:sz w:val="20"/>
          <w:szCs w:val="20"/>
          <w:lang w:val="es-ES_tradnl" w:bidi="ar-YE"/>
        </w:rPr>
        <w:t xml:space="preserve"> "Donde están las armas?"</w:t>
      </w:r>
      <w:r w:rsidR="008E4E56" w:rsidRPr="00A64EB1">
        <w:rPr>
          <w:sz w:val="20"/>
          <w:szCs w:val="20"/>
          <w:lang w:val="es-ES_tradnl" w:bidi="ar-YE"/>
        </w:rPr>
        <w:t>.</w:t>
      </w:r>
      <w:r w:rsidR="00C71804" w:rsidRPr="00A64EB1">
        <w:rPr>
          <w:sz w:val="20"/>
          <w:szCs w:val="20"/>
          <w:lang w:val="es-ES_tradnl" w:bidi="ar-YE"/>
        </w:rPr>
        <w:t xml:space="preserve"> </w:t>
      </w:r>
      <w:r w:rsidR="009B6AA0" w:rsidRPr="00A64EB1">
        <w:rPr>
          <w:sz w:val="20"/>
          <w:szCs w:val="20"/>
          <w:lang w:val="es-ES_tradnl" w:bidi="ar-YE"/>
        </w:rPr>
        <w:t xml:space="preserve">Los agentes no le mostraron orden de </w:t>
      </w:r>
      <w:r w:rsidR="00E2479A" w:rsidRPr="00A64EB1">
        <w:rPr>
          <w:sz w:val="20"/>
          <w:szCs w:val="20"/>
          <w:lang w:val="es-ES_tradnl" w:bidi="ar-YE"/>
        </w:rPr>
        <w:t>detención, allanamiento</w:t>
      </w:r>
      <w:r w:rsidR="009B6AA0" w:rsidRPr="00A64EB1">
        <w:rPr>
          <w:sz w:val="20"/>
          <w:szCs w:val="20"/>
          <w:lang w:val="es-ES_tradnl" w:bidi="ar-YE"/>
        </w:rPr>
        <w:t xml:space="preserve">, ni justificación </w:t>
      </w:r>
      <w:r w:rsidR="000A1F10" w:rsidRPr="00A64EB1">
        <w:rPr>
          <w:sz w:val="20"/>
          <w:szCs w:val="20"/>
          <w:lang w:val="es-ES_tradnl" w:bidi="ar-YE"/>
        </w:rPr>
        <w:t xml:space="preserve">legal alguna </w:t>
      </w:r>
      <w:r w:rsidR="009B6AA0" w:rsidRPr="00A64EB1">
        <w:rPr>
          <w:sz w:val="20"/>
          <w:szCs w:val="20"/>
          <w:lang w:val="es-ES_tradnl" w:bidi="ar-YE"/>
        </w:rPr>
        <w:t>para su entrada de manera violenta al domicilio mencionado. Estaban uniformizados, pero tenían los rostros cubiertos.</w:t>
      </w:r>
      <w:r w:rsidR="00C71804" w:rsidRPr="00A64EB1">
        <w:rPr>
          <w:sz w:val="20"/>
          <w:szCs w:val="20"/>
          <w:lang w:val="es-ES_tradnl" w:bidi="ar-YE"/>
        </w:rPr>
        <w:t xml:space="preserve"> </w:t>
      </w:r>
      <w:r w:rsidR="009B6AA0" w:rsidRPr="00A64EB1">
        <w:rPr>
          <w:sz w:val="20"/>
          <w:szCs w:val="20"/>
          <w:lang w:val="es-ES_tradnl" w:bidi="ar-YE"/>
        </w:rPr>
        <w:t>Luego de golpearlos y allanar el lugar, sin encontrar nada,</w:t>
      </w:r>
      <w:r w:rsidR="002B3F52" w:rsidRPr="00A64EB1">
        <w:rPr>
          <w:sz w:val="20"/>
          <w:szCs w:val="20"/>
          <w:lang w:val="es-ES_tradnl" w:bidi="ar-YE"/>
        </w:rPr>
        <w:t xml:space="preserve"> luego</w:t>
      </w:r>
      <w:r w:rsidR="009B6AA0" w:rsidRPr="00A64EB1">
        <w:rPr>
          <w:sz w:val="20"/>
          <w:szCs w:val="20"/>
          <w:lang w:val="es-ES_tradnl" w:bidi="ar-YE"/>
        </w:rPr>
        <w:t xml:space="preserve"> los agentes </w:t>
      </w:r>
      <w:r w:rsidR="002B3F52" w:rsidRPr="00A64EB1">
        <w:rPr>
          <w:sz w:val="20"/>
          <w:szCs w:val="20"/>
          <w:lang w:val="es-ES_tradnl" w:bidi="ar-YE"/>
        </w:rPr>
        <w:t>arrojaron</w:t>
      </w:r>
      <w:r w:rsidR="009B6AA0" w:rsidRPr="00A64EB1">
        <w:rPr>
          <w:sz w:val="20"/>
          <w:szCs w:val="20"/>
          <w:lang w:val="es-ES_tradnl" w:bidi="ar-YE"/>
        </w:rPr>
        <w:t xml:space="preserve"> por las escaleras </w:t>
      </w:r>
      <w:r w:rsidR="006D4202" w:rsidRPr="00A64EB1">
        <w:rPr>
          <w:sz w:val="20"/>
          <w:szCs w:val="20"/>
          <w:lang w:val="es-ES_tradnl" w:bidi="ar-YE"/>
        </w:rPr>
        <w:t>al Sr. Alberto Martín Alamillo</w:t>
      </w:r>
      <w:r w:rsidR="00E12E1B" w:rsidRPr="00A64EB1">
        <w:rPr>
          <w:sz w:val="20"/>
          <w:szCs w:val="20"/>
          <w:lang w:val="es-ES_tradnl" w:bidi="ar-YE"/>
        </w:rPr>
        <w:t xml:space="preserve"> estando esposado</w:t>
      </w:r>
      <w:r w:rsidR="009B6AA0" w:rsidRPr="00A64EB1">
        <w:rPr>
          <w:sz w:val="20"/>
          <w:szCs w:val="20"/>
          <w:lang w:val="es-ES_tradnl" w:bidi="ar-YE"/>
        </w:rPr>
        <w:t xml:space="preserve"> a la espalda. Continuaron torturándolo y lo dejaron tirado con la cara tapada. Los sacaron de la casa. Lo subieron a una camioneta donde lo tiraron boca abajo en un piso pequeño, para luego poner en marcha el vehículo. Hicieron un recorrido por las inmediaciones del lugar donde fue detenido. En varias ocasiones lo levantaron de los cabellos, abrieron las puertas de la camioneta y lo pusieron a la vista de otros sujetos para ver si </w:t>
      </w:r>
      <w:r w:rsidR="005D18A1" w:rsidRPr="00A64EB1">
        <w:rPr>
          <w:sz w:val="20"/>
          <w:szCs w:val="20"/>
          <w:lang w:val="es-ES_tradnl" w:bidi="ar-YE"/>
        </w:rPr>
        <w:t>estos lo</w:t>
      </w:r>
      <w:r w:rsidR="009B6AA0" w:rsidRPr="00A64EB1">
        <w:rPr>
          <w:sz w:val="20"/>
          <w:szCs w:val="20"/>
          <w:lang w:val="es-ES_tradnl" w:bidi="ar-YE"/>
        </w:rPr>
        <w:t xml:space="preserve"> identificaban</w:t>
      </w:r>
      <w:r w:rsidR="00357B34" w:rsidRPr="00A64EB1">
        <w:rPr>
          <w:sz w:val="20"/>
          <w:szCs w:val="20"/>
          <w:lang w:val="es-ES_tradnl" w:bidi="ar-YE"/>
        </w:rPr>
        <w:t xml:space="preserve"> </w:t>
      </w:r>
      <w:r w:rsidR="005D18A1" w:rsidRPr="00A64EB1">
        <w:rPr>
          <w:sz w:val="20"/>
          <w:szCs w:val="20"/>
          <w:lang w:val="es-ES_tradnl" w:bidi="ar-YE"/>
        </w:rPr>
        <w:t xml:space="preserve">a él </w:t>
      </w:r>
      <w:r w:rsidR="00357B34" w:rsidRPr="00A64EB1">
        <w:rPr>
          <w:sz w:val="20"/>
          <w:szCs w:val="20"/>
          <w:lang w:val="es-ES_tradnl" w:bidi="ar-YE"/>
        </w:rPr>
        <w:t xml:space="preserve">o si él los identificaba a ellos, pero </w:t>
      </w:r>
      <w:r w:rsidR="005D18A1" w:rsidRPr="00A64EB1">
        <w:rPr>
          <w:sz w:val="20"/>
          <w:szCs w:val="20"/>
          <w:lang w:val="es-ES_tradnl" w:bidi="ar-YE"/>
        </w:rPr>
        <w:t>sin ningún resultado</w:t>
      </w:r>
      <w:r w:rsidR="009B6AA0" w:rsidRPr="00A64EB1">
        <w:rPr>
          <w:sz w:val="20"/>
          <w:szCs w:val="20"/>
          <w:lang w:val="es-ES_tradnl" w:bidi="ar-YE"/>
        </w:rPr>
        <w:t>.</w:t>
      </w:r>
    </w:p>
    <w:p w14:paraId="574695AE" w14:textId="3FFCF72F" w:rsidR="00C4033E" w:rsidRPr="00A64EB1" w:rsidRDefault="00510FC5"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Así, e</w:t>
      </w:r>
      <w:r w:rsidR="009B6AA0" w:rsidRPr="00A64EB1">
        <w:rPr>
          <w:sz w:val="20"/>
          <w:szCs w:val="20"/>
          <w:lang w:val="es-ES_tradnl" w:bidi="ar-YE"/>
        </w:rPr>
        <w:t>ntre las 12</w:t>
      </w:r>
      <w:r w:rsidRPr="00A64EB1">
        <w:rPr>
          <w:sz w:val="20"/>
          <w:szCs w:val="20"/>
          <w:lang w:val="es-ES_tradnl" w:bidi="ar-YE"/>
        </w:rPr>
        <w:t>:00</w:t>
      </w:r>
      <w:r w:rsidR="009B6AA0" w:rsidRPr="00A64EB1">
        <w:rPr>
          <w:sz w:val="20"/>
          <w:szCs w:val="20"/>
          <w:lang w:val="es-ES_tradnl" w:bidi="ar-YE"/>
        </w:rPr>
        <w:t xml:space="preserve"> y las 13</w:t>
      </w:r>
      <w:r w:rsidRPr="00A64EB1">
        <w:rPr>
          <w:sz w:val="20"/>
          <w:szCs w:val="20"/>
          <w:lang w:val="es-ES_tradnl" w:bidi="ar-YE"/>
        </w:rPr>
        <w:t>:00</w:t>
      </w:r>
      <w:r w:rsidR="009B6AA0" w:rsidRPr="00A64EB1">
        <w:rPr>
          <w:sz w:val="20"/>
          <w:szCs w:val="20"/>
          <w:lang w:val="es-ES_tradnl" w:bidi="ar-YE"/>
        </w:rPr>
        <w:t xml:space="preserve"> horas </w:t>
      </w:r>
      <w:r w:rsidRPr="00A64EB1">
        <w:rPr>
          <w:sz w:val="20"/>
          <w:szCs w:val="20"/>
          <w:lang w:val="es-ES_tradnl" w:bidi="ar-YE"/>
        </w:rPr>
        <w:t>de ese día</w:t>
      </w:r>
      <w:r w:rsidR="009B6AA0" w:rsidRPr="00A64EB1">
        <w:rPr>
          <w:sz w:val="20"/>
          <w:szCs w:val="20"/>
          <w:lang w:val="es-ES_tradnl" w:bidi="ar-YE"/>
        </w:rPr>
        <w:t xml:space="preserve"> 10 de febrero</w:t>
      </w:r>
      <w:r w:rsidR="00BB5BC3" w:rsidRPr="00A64EB1">
        <w:rPr>
          <w:sz w:val="20"/>
          <w:szCs w:val="20"/>
          <w:lang w:val="es-ES_tradnl" w:bidi="ar-YE"/>
        </w:rPr>
        <w:t xml:space="preserve"> de 2009</w:t>
      </w:r>
      <w:r w:rsidR="009B6AA0" w:rsidRPr="00A64EB1">
        <w:rPr>
          <w:sz w:val="20"/>
          <w:szCs w:val="20"/>
          <w:lang w:val="es-ES_tradnl" w:bidi="ar-YE"/>
        </w:rPr>
        <w:t xml:space="preserve">, los agentes reunieron </w:t>
      </w:r>
      <w:r w:rsidR="007533C7" w:rsidRPr="00A64EB1">
        <w:rPr>
          <w:sz w:val="20"/>
          <w:szCs w:val="20"/>
          <w:lang w:val="es-ES_tradnl" w:bidi="ar-YE"/>
        </w:rPr>
        <w:t xml:space="preserve">a los detenidos </w:t>
      </w:r>
      <w:r w:rsidR="009B6AA0" w:rsidRPr="00A64EB1">
        <w:rPr>
          <w:sz w:val="20"/>
          <w:szCs w:val="20"/>
          <w:lang w:val="es-ES_tradnl" w:bidi="ar-YE"/>
        </w:rPr>
        <w:t>en las instalaciones</w:t>
      </w:r>
      <w:r w:rsidR="007533C7" w:rsidRPr="00A64EB1">
        <w:rPr>
          <w:sz w:val="20"/>
          <w:szCs w:val="20"/>
          <w:lang w:val="es-ES_tradnl" w:bidi="ar-YE"/>
        </w:rPr>
        <w:t xml:space="preserve"> de un centro de policía</w:t>
      </w:r>
      <w:r w:rsidR="009B6AA0" w:rsidRPr="00A64EB1">
        <w:rPr>
          <w:sz w:val="20"/>
          <w:szCs w:val="20"/>
          <w:lang w:val="es-ES_tradnl" w:bidi="ar-YE"/>
        </w:rPr>
        <w:t xml:space="preserve">, en un cubículo donde los tenían de rodillas, esposados con las manos a la espalda y de cara a la pared. </w:t>
      </w:r>
      <w:r w:rsidR="00CB22F6" w:rsidRPr="00A64EB1">
        <w:rPr>
          <w:sz w:val="20"/>
          <w:szCs w:val="20"/>
          <w:lang w:val="es-ES_tradnl" w:bidi="ar-YE"/>
        </w:rPr>
        <w:t>Luego llevaron al Sr. Alamillo Quintero</w:t>
      </w:r>
      <w:r w:rsidR="009B6AA0" w:rsidRPr="00A64EB1">
        <w:rPr>
          <w:sz w:val="20"/>
          <w:szCs w:val="20"/>
          <w:lang w:val="es-ES_tradnl" w:bidi="ar-YE"/>
        </w:rPr>
        <w:t xml:space="preserve"> a otra área donde había unos baños, y comenzaron una nueva sesión de tortura. Le mostraron mensajes escritos en cartulinas y le ordenaron leerlos diciendo que pertenecía a un grupo criminal</w:t>
      </w:r>
      <w:r w:rsidR="00D01BFA" w:rsidRPr="00A64EB1">
        <w:rPr>
          <w:sz w:val="20"/>
          <w:szCs w:val="20"/>
          <w:lang w:val="es-ES_tradnl" w:bidi="ar-YE"/>
        </w:rPr>
        <w:t>,</w:t>
      </w:r>
      <w:r w:rsidR="009B6AA0" w:rsidRPr="00A64EB1">
        <w:rPr>
          <w:sz w:val="20"/>
          <w:szCs w:val="20"/>
          <w:lang w:val="es-ES_tradnl" w:bidi="ar-YE"/>
        </w:rPr>
        <w:t xml:space="preserve"> mientras grababan videos. </w:t>
      </w:r>
      <w:r w:rsidR="007B51B9" w:rsidRPr="00A64EB1">
        <w:rPr>
          <w:sz w:val="20"/>
          <w:szCs w:val="20"/>
          <w:lang w:val="es-ES_tradnl" w:bidi="ar-YE"/>
        </w:rPr>
        <w:t>Allí, l</w:t>
      </w:r>
      <w:r w:rsidR="009B6AA0" w:rsidRPr="00A64EB1">
        <w:rPr>
          <w:sz w:val="20"/>
          <w:szCs w:val="20"/>
          <w:lang w:val="es-ES_tradnl" w:bidi="ar-YE"/>
        </w:rPr>
        <w:t xml:space="preserve">o golpearon, le echaron agua por la nariz, le metieron calcetines en la boca. Le dijeron que todo lo que le hacían decir lo tenía que volver a decir ante el </w:t>
      </w:r>
      <w:r w:rsidR="00C93104" w:rsidRPr="00A64EB1">
        <w:rPr>
          <w:sz w:val="20"/>
          <w:szCs w:val="20"/>
          <w:lang w:val="es-ES_tradnl" w:bidi="ar-YE"/>
        </w:rPr>
        <w:t>M</w:t>
      </w:r>
      <w:r w:rsidR="009B6AA0" w:rsidRPr="00A64EB1">
        <w:rPr>
          <w:sz w:val="20"/>
          <w:szCs w:val="20"/>
          <w:lang w:val="es-ES_tradnl" w:bidi="ar-YE"/>
        </w:rPr>
        <w:t xml:space="preserve">inisterio </w:t>
      </w:r>
      <w:r w:rsidR="00C93104" w:rsidRPr="00A64EB1">
        <w:rPr>
          <w:sz w:val="20"/>
          <w:szCs w:val="20"/>
          <w:lang w:val="es-ES_tradnl" w:bidi="ar-YE"/>
        </w:rPr>
        <w:t>P</w:t>
      </w:r>
      <w:r w:rsidR="009B6AA0" w:rsidRPr="00A64EB1">
        <w:rPr>
          <w:sz w:val="20"/>
          <w:szCs w:val="20"/>
          <w:lang w:val="es-ES_tradnl" w:bidi="ar-YE"/>
        </w:rPr>
        <w:t xml:space="preserve">úblico, de lo contrario </w:t>
      </w:r>
      <w:r w:rsidR="006679B6" w:rsidRPr="00A64EB1">
        <w:rPr>
          <w:sz w:val="20"/>
          <w:szCs w:val="20"/>
          <w:lang w:val="es-ES_tradnl" w:bidi="ar-YE"/>
        </w:rPr>
        <w:t xml:space="preserve">sufriría </w:t>
      </w:r>
      <w:r w:rsidR="009B6AA0" w:rsidRPr="00A64EB1">
        <w:rPr>
          <w:sz w:val="20"/>
          <w:szCs w:val="20"/>
          <w:lang w:val="es-ES_tradnl" w:bidi="ar-YE"/>
        </w:rPr>
        <w:t xml:space="preserve">las consecuencias. También </w:t>
      </w:r>
      <w:r w:rsidR="00057CA0" w:rsidRPr="00A64EB1">
        <w:rPr>
          <w:sz w:val="20"/>
          <w:szCs w:val="20"/>
          <w:lang w:val="es-ES_tradnl" w:bidi="ar-YE"/>
        </w:rPr>
        <w:t xml:space="preserve">le </w:t>
      </w:r>
      <w:r w:rsidR="009B6AA0" w:rsidRPr="00A64EB1">
        <w:rPr>
          <w:sz w:val="20"/>
          <w:szCs w:val="20"/>
          <w:lang w:val="es-ES_tradnl" w:bidi="ar-YE"/>
        </w:rPr>
        <w:t>dijeron que ya tenían a su familia localizada.</w:t>
      </w:r>
      <w:r w:rsidR="00C4033E" w:rsidRPr="00A64EB1">
        <w:rPr>
          <w:sz w:val="20"/>
          <w:szCs w:val="20"/>
          <w:lang w:val="es-ES_tradnl" w:bidi="ar-YE"/>
        </w:rPr>
        <w:t xml:space="preserve"> De esta manera, lograron </w:t>
      </w:r>
      <w:r w:rsidR="00403591" w:rsidRPr="00A64EB1">
        <w:rPr>
          <w:sz w:val="20"/>
          <w:szCs w:val="20"/>
          <w:lang w:val="es-ES_tradnl" w:bidi="ar-YE"/>
        </w:rPr>
        <w:t>extraerle</w:t>
      </w:r>
      <w:r w:rsidR="00C4033E" w:rsidRPr="00A64EB1">
        <w:rPr>
          <w:sz w:val="20"/>
          <w:szCs w:val="20"/>
          <w:lang w:val="es-ES_tradnl" w:bidi="ar-YE"/>
        </w:rPr>
        <w:t xml:space="preserve"> una confesión. El peticionario indica además</w:t>
      </w:r>
      <w:r w:rsidR="00057CA0" w:rsidRPr="00A64EB1">
        <w:rPr>
          <w:sz w:val="20"/>
          <w:szCs w:val="20"/>
          <w:lang w:val="es-ES_tradnl" w:bidi="ar-YE"/>
        </w:rPr>
        <w:t xml:space="preserve"> </w:t>
      </w:r>
      <w:r w:rsidR="00C4033E" w:rsidRPr="00A64EB1">
        <w:rPr>
          <w:sz w:val="20"/>
          <w:szCs w:val="20"/>
          <w:lang w:val="es-ES_tradnl" w:bidi="ar-YE"/>
        </w:rPr>
        <w:t xml:space="preserve">que fue presentado por la policía a los medios de comunicación, al lado de otras </w:t>
      </w:r>
      <w:r w:rsidR="003A6AFA" w:rsidRPr="00A64EB1">
        <w:rPr>
          <w:sz w:val="20"/>
          <w:szCs w:val="20"/>
          <w:lang w:val="es-ES_tradnl" w:bidi="ar-YE"/>
        </w:rPr>
        <w:t>ocho</w:t>
      </w:r>
      <w:r w:rsidR="00C4033E" w:rsidRPr="00A64EB1">
        <w:rPr>
          <w:sz w:val="20"/>
          <w:szCs w:val="20"/>
          <w:lang w:val="es-ES_tradnl" w:bidi="ar-YE"/>
        </w:rPr>
        <w:t xml:space="preserve"> personas</w:t>
      </w:r>
      <w:r w:rsidR="00430702" w:rsidRPr="00A64EB1">
        <w:rPr>
          <w:sz w:val="20"/>
          <w:szCs w:val="20"/>
          <w:lang w:val="es-ES_tradnl" w:bidi="ar-YE"/>
        </w:rPr>
        <w:t>, como si fueran un grupo criminal.</w:t>
      </w:r>
      <w:r w:rsidR="00BB5BC3" w:rsidRPr="00A64EB1">
        <w:rPr>
          <w:sz w:val="20"/>
          <w:szCs w:val="20"/>
          <w:lang w:val="es-ES_tradnl" w:bidi="ar-YE"/>
        </w:rPr>
        <w:t xml:space="preserve"> –La Comisión Interamericana toma nota de que la detención del Sr. Alamillo Quintero, al lado de otras nueve personas, fue noticiada el 11 de febrero de 2009 por la prensa local, y que las personas detenidas fueron reportadas como presuntos integrantes de una célula </w:t>
      </w:r>
      <w:r w:rsidR="007653D8" w:rsidRPr="00A64EB1">
        <w:rPr>
          <w:sz w:val="20"/>
          <w:szCs w:val="20"/>
          <w:lang w:val="es-ES_tradnl" w:bidi="ar-YE"/>
        </w:rPr>
        <w:t>del cartel</w:t>
      </w:r>
      <w:r w:rsidR="00BB5BC3" w:rsidRPr="00A64EB1">
        <w:rPr>
          <w:sz w:val="20"/>
          <w:szCs w:val="20"/>
          <w:lang w:val="es-ES_tradnl" w:bidi="ar-YE"/>
        </w:rPr>
        <w:t xml:space="preserve"> “La Familia”</w:t>
      </w:r>
      <w:r w:rsidR="00BB5BC3" w:rsidRPr="00A64EB1">
        <w:rPr>
          <w:rStyle w:val="FootnoteReference"/>
          <w:sz w:val="20"/>
          <w:szCs w:val="20"/>
          <w:lang w:val="es-ES_tradnl" w:bidi="ar-YE"/>
        </w:rPr>
        <w:footnoteReference w:id="6"/>
      </w:r>
      <w:r w:rsidR="00BB5BC3" w:rsidRPr="00A64EB1">
        <w:rPr>
          <w:sz w:val="20"/>
          <w:szCs w:val="20"/>
          <w:lang w:val="es-ES_tradnl" w:bidi="ar-YE"/>
        </w:rPr>
        <w:t xml:space="preserve">–. </w:t>
      </w:r>
    </w:p>
    <w:p w14:paraId="0D4765F6" w14:textId="089A27ED" w:rsidR="0006305D" w:rsidRPr="00A64EB1" w:rsidRDefault="0006305D"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 xml:space="preserve">De lo que se desprende de los escritos del peticionario, la tortura </w:t>
      </w:r>
      <w:r w:rsidR="00792D0D" w:rsidRPr="00A64EB1">
        <w:rPr>
          <w:sz w:val="20"/>
          <w:szCs w:val="20"/>
          <w:lang w:val="es-ES_tradnl" w:bidi="ar-YE"/>
        </w:rPr>
        <w:t>fue puesta en conocimiento</w:t>
      </w:r>
      <w:r w:rsidRPr="00A64EB1">
        <w:rPr>
          <w:sz w:val="20"/>
          <w:szCs w:val="20"/>
          <w:lang w:val="es-ES_tradnl" w:bidi="ar-YE"/>
        </w:rPr>
        <w:t xml:space="preserve"> del Estado</w:t>
      </w:r>
      <w:r w:rsidR="00792D0D" w:rsidRPr="00A64EB1">
        <w:rPr>
          <w:sz w:val="20"/>
          <w:szCs w:val="20"/>
          <w:lang w:val="es-ES_tradnl" w:bidi="ar-YE"/>
        </w:rPr>
        <w:t>,</w:t>
      </w:r>
      <w:r w:rsidRPr="00A64EB1">
        <w:rPr>
          <w:sz w:val="20"/>
          <w:szCs w:val="20"/>
          <w:lang w:val="es-ES_tradnl" w:bidi="ar-YE"/>
        </w:rPr>
        <w:t xml:space="preserve"> </w:t>
      </w:r>
      <w:r w:rsidR="00792D0D" w:rsidRPr="00A64EB1">
        <w:rPr>
          <w:sz w:val="20"/>
          <w:szCs w:val="20"/>
          <w:lang w:val="es-ES_tradnl" w:bidi="ar-YE"/>
        </w:rPr>
        <w:t>por ejemplo,</w:t>
      </w:r>
      <w:r w:rsidR="006A60A5" w:rsidRPr="00A64EB1">
        <w:rPr>
          <w:sz w:val="20"/>
          <w:szCs w:val="20"/>
          <w:lang w:val="es-ES_tradnl" w:bidi="ar-YE"/>
        </w:rPr>
        <w:t xml:space="preserve"> el 8 de julio de 2011 </w:t>
      </w:r>
      <w:r w:rsidR="007B3BEB" w:rsidRPr="00A64EB1">
        <w:rPr>
          <w:sz w:val="20"/>
          <w:szCs w:val="20"/>
          <w:lang w:val="es-ES_tradnl" w:bidi="ar-YE"/>
        </w:rPr>
        <w:t xml:space="preserve">cuando </w:t>
      </w:r>
      <w:r w:rsidR="006A60A5" w:rsidRPr="00A64EB1">
        <w:rPr>
          <w:sz w:val="20"/>
          <w:szCs w:val="20"/>
          <w:lang w:val="es-ES_tradnl" w:bidi="ar-YE"/>
        </w:rPr>
        <w:t xml:space="preserve">fue presentado un amparo </w:t>
      </w:r>
      <w:r w:rsidR="007C30FB" w:rsidRPr="00A64EB1">
        <w:rPr>
          <w:sz w:val="20"/>
          <w:szCs w:val="20"/>
          <w:lang w:val="es-ES_tradnl" w:bidi="ar-YE"/>
        </w:rPr>
        <w:t>a</w:t>
      </w:r>
      <w:r w:rsidR="006A60A5" w:rsidRPr="00A64EB1">
        <w:rPr>
          <w:sz w:val="20"/>
          <w:szCs w:val="20"/>
          <w:lang w:val="es-ES_tradnl" w:bidi="ar-YE"/>
        </w:rPr>
        <w:t xml:space="preserve"> </w:t>
      </w:r>
      <w:r w:rsidR="007B3BEB" w:rsidRPr="00A64EB1">
        <w:rPr>
          <w:sz w:val="20"/>
          <w:szCs w:val="20"/>
          <w:lang w:val="es-ES_tradnl" w:bidi="ar-YE"/>
        </w:rPr>
        <w:t xml:space="preserve">su </w:t>
      </w:r>
      <w:r w:rsidR="006A60A5" w:rsidRPr="00A64EB1">
        <w:rPr>
          <w:sz w:val="20"/>
          <w:szCs w:val="20"/>
          <w:lang w:val="es-ES_tradnl" w:bidi="ar-YE"/>
        </w:rPr>
        <w:t xml:space="preserve">favor </w:t>
      </w:r>
      <w:r w:rsidRPr="00A64EB1">
        <w:rPr>
          <w:sz w:val="20"/>
          <w:szCs w:val="20"/>
          <w:lang w:val="es-ES_tradnl" w:bidi="ar-YE"/>
        </w:rPr>
        <w:t>ante el Primer Tribunal Unitario del XXIV Circuito</w:t>
      </w:r>
      <w:r w:rsidR="00C84845" w:rsidRPr="00A64EB1">
        <w:rPr>
          <w:sz w:val="20"/>
          <w:szCs w:val="20"/>
          <w:lang w:val="es-ES_tradnl" w:bidi="ar-YE"/>
        </w:rPr>
        <w:t>,</w:t>
      </w:r>
      <w:r w:rsidRPr="00A64EB1">
        <w:rPr>
          <w:sz w:val="20"/>
          <w:szCs w:val="20"/>
          <w:lang w:val="es-ES_tradnl" w:bidi="ar-YE"/>
        </w:rPr>
        <w:t xml:space="preserve"> de Nayarit </w:t>
      </w:r>
      <w:r w:rsidR="006A60A5" w:rsidRPr="00A64EB1">
        <w:rPr>
          <w:sz w:val="20"/>
          <w:szCs w:val="20"/>
          <w:lang w:val="es-ES_tradnl" w:bidi="ar-YE"/>
        </w:rPr>
        <w:t xml:space="preserve">para solicitar la asignación de </w:t>
      </w:r>
      <w:r w:rsidR="00C761A8" w:rsidRPr="00A64EB1">
        <w:rPr>
          <w:sz w:val="20"/>
          <w:szCs w:val="20"/>
          <w:lang w:val="es-ES_tradnl" w:bidi="ar-YE"/>
        </w:rPr>
        <w:t xml:space="preserve">un </w:t>
      </w:r>
      <w:r w:rsidR="006A60A5" w:rsidRPr="00A64EB1">
        <w:rPr>
          <w:sz w:val="20"/>
          <w:szCs w:val="20"/>
          <w:lang w:val="es-ES_tradnl" w:bidi="ar-YE"/>
        </w:rPr>
        <w:t>peritaje que realizara la prueba psicológica de la tortura</w:t>
      </w:r>
      <w:r w:rsidRPr="00A64EB1">
        <w:rPr>
          <w:sz w:val="20"/>
          <w:szCs w:val="20"/>
          <w:lang w:val="es-ES_tradnl" w:bidi="ar-YE"/>
        </w:rPr>
        <w:t>.</w:t>
      </w:r>
      <w:r w:rsidR="006A60A5" w:rsidRPr="00A64EB1">
        <w:rPr>
          <w:sz w:val="20"/>
          <w:szCs w:val="20"/>
          <w:lang w:val="es-ES_tradnl" w:bidi="ar-YE"/>
        </w:rPr>
        <w:t xml:space="preserve"> Este amparo fue concedido el 23 de enero de 2012; sin embargo, señala el peticionario</w:t>
      </w:r>
      <w:r w:rsidR="003532B1" w:rsidRPr="00A64EB1">
        <w:rPr>
          <w:sz w:val="20"/>
          <w:szCs w:val="20"/>
          <w:lang w:val="es-ES_tradnl" w:bidi="ar-YE"/>
        </w:rPr>
        <w:t xml:space="preserve"> –</w:t>
      </w:r>
      <w:r w:rsidR="006A60A5" w:rsidRPr="00A64EB1">
        <w:rPr>
          <w:sz w:val="20"/>
          <w:szCs w:val="20"/>
          <w:lang w:val="es-ES_tradnl" w:bidi="ar-YE"/>
        </w:rPr>
        <w:t>en</w:t>
      </w:r>
      <w:r w:rsidR="007533C7" w:rsidRPr="00A64EB1">
        <w:rPr>
          <w:sz w:val="20"/>
          <w:szCs w:val="20"/>
          <w:lang w:val="es-ES_tradnl" w:bidi="ar-YE"/>
        </w:rPr>
        <w:t xml:space="preserve"> comunicación a la CIDH </w:t>
      </w:r>
      <w:r w:rsidR="00C761A8" w:rsidRPr="00A64EB1">
        <w:rPr>
          <w:sz w:val="20"/>
          <w:szCs w:val="20"/>
          <w:lang w:val="es-ES_tradnl" w:bidi="ar-YE"/>
        </w:rPr>
        <w:t>de</w:t>
      </w:r>
      <w:r w:rsidR="006A60A5" w:rsidRPr="00A64EB1">
        <w:rPr>
          <w:sz w:val="20"/>
          <w:szCs w:val="20"/>
          <w:lang w:val="es-ES_tradnl" w:bidi="ar-YE"/>
        </w:rPr>
        <w:t xml:space="preserve"> noviembre de 2013</w:t>
      </w:r>
      <w:r w:rsidR="003532B1" w:rsidRPr="00A64EB1">
        <w:rPr>
          <w:sz w:val="20"/>
          <w:szCs w:val="20"/>
          <w:lang w:val="es-ES_tradnl" w:bidi="ar-YE"/>
        </w:rPr>
        <w:t>–</w:t>
      </w:r>
      <w:r w:rsidR="006A60A5" w:rsidRPr="00A64EB1">
        <w:rPr>
          <w:sz w:val="20"/>
          <w:szCs w:val="20"/>
          <w:lang w:val="es-ES_tradnl" w:bidi="ar-YE"/>
        </w:rPr>
        <w:t xml:space="preserve">, </w:t>
      </w:r>
      <w:r w:rsidR="00C1039B" w:rsidRPr="00A64EB1">
        <w:rPr>
          <w:sz w:val="20"/>
          <w:szCs w:val="20"/>
          <w:lang w:val="es-ES_tradnl" w:bidi="ar-YE"/>
        </w:rPr>
        <w:t xml:space="preserve">que </w:t>
      </w:r>
      <w:r w:rsidR="006A60A5" w:rsidRPr="00A64EB1">
        <w:rPr>
          <w:sz w:val="20"/>
          <w:szCs w:val="20"/>
          <w:lang w:val="es-ES_tradnl" w:bidi="ar-YE"/>
        </w:rPr>
        <w:t>la diligencia no había sido realizada.</w:t>
      </w:r>
    </w:p>
    <w:p w14:paraId="170E2BCE" w14:textId="78FC3B99" w:rsidR="0040579B" w:rsidRPr="00A64EB1" w:rsidRDefault="006A60A5"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Específicamente a</w:t>
      </w:r>
      <w:r w:rsidR="00C4033E" w:rsidRPr="00A64EB1">
        <w:rPr>
          <w:sz w:val="20"/>
          <w:szCs w:val="20"/>
          <w:lang w:val="es-ES_tradnl" w:bidi="ar-YE"/>
        </w:rPr>
        <w:t xml:space="preserve">cerca del proceso penal, el peticionario señala que fue procesado por </w:t>
      </w:r>
      <w:r w:rsidR="003468F4" w:rsidRPr="00A64EB1">
        <w:rPr>
          <w:sz w:val="20"/>
          <w:szCs w:val="20"/>
          <w:lang w:val="es-ES_tradnl" w:bidi="ar-YE"/>
        </w:rPr>
        <w:t xml:space="preserve">los </w:t>
      </w:r>
      <w:r w:rsidR="00C4033E" w:rsidRPr="00A64EB1">
        <w:rPr>
          <w:sz w:val="20"/>
          <w:szCs w:val="20"/>
          <w:lang w:val="es-ES_tradnl" w:bidi="ar-YE"/>
        </w:rPr>
        <w:t xml:space="preserve">delitos </w:t>
      </w:r>
      <w:r w:rsidR="003468F4" w:rsidRPr="00A64EB1">
        <w:rPr>
          <w:sz w:val="20"/>
          <w:szCs w:val="20"/>
          <w:lang w:val="es-ES_tradnl" w:bidi="ar-YE"/>
        </w:rPr>
        <w:t>de</w:t>
      </w:r>
      <w:r w:rsidR="00C4033E" w:rsidRPr="00A64EB1">
        <w:rPr>
          <w:sz w:val="20"/>
          <w:szCs w:val="20"/>
          <w:lang w:val="es-ES_tradnl" w:bidi="ar-YE"/>
        </w:rPr>
        <w:t xml:space="preserve"> delincuencia organizada, crímenes contra la salud, posesión de cartuchos, portación de arma de fuego y acopio de armas.</w:t>
      </w:r>
      <w:r w:rsidR="0006305D" w:rsidRPr="00A64EB1">
        <w:rPr>
          <w:sz w:val="20"/>
          <w:szCs w:val="20"/>
          <w:lang w:val="es-ES_tradnl" w:bidi="ar-YE"/>
        </w:rPr>
        <w:t xml:space="preserve"> </w:t>
      </w:r>
      <w:r w:rsidR="0040579B" w:rsidRPr="00A64EB1">
        <w:rPr>
          <w:sz w:val="20"/>
          <w:szCs w:val="20"/>
          <w:lang w:val="es-ES_tradnl" w:bidi="ar-YE"/>
        </w:rPr>
        <w:t xml:space="preserve">Según </w:t>
      </w:r>
      <w:r w:rsidR="00330F69" w:rsidRPr="00A64EB1">
        <w:rPr>
          <w:sz w:val="20"/>
          <w:szCs w:val="20"/>
          <w:lang w:val="es-ES_tradnl" w:bidi="ar-YE"/>
        </w:rPr>
        <w:t>indica</w:t>
      </w:r>
      <w:r w:rsidR="0040579B" w:rsidRPr="00A64EB1">
        <w:rPr>
          <w:sz w:val="20"/>
          <w:szCs w:val="20"/>
          <w:lang w:val="es-ES_tradnl" w:bidi="ar-YE"/>
        </w:rPr>
        <w:t xml:space="preserve">, el 7 de noviembre de 2017 el Juzgado Primero de Nayarit emitió sentencia que i) declinó su competencia con respecto a los delitos conta la salud y acopio de armas de fuego, a favor del Juzgado Segundo de Naucalpan de </w:t>
      </w:r>
      <w:r w:rsidR="00C327DE" w:rsidRPr="00A64EB1">
        <w:rPr>
          <w:sz w:val="20"/>
          <w:szCs w:val="20"/>
          <w:lang w:val="es-ES_tradnl" w:bidi="ar-YE"/>
        </w:rPr>
        <w:t>Juárez</w:t>
      </w:r>
      <w:r w:rsidR="0040579B" w:rsidRPr="00A64EB1">
        <w:rPr>
          <w:sz w:val="20"/>
          <w:szCs w:val="20"/>
          <w:lang w:val="es-ES_tradnl" w:bidi="ar-YE"/>
        </w:rPr>
        <w:t xml:space="preserve">; y ii) absolvió el peticionario con respecto a los otros delitos, luego de determinar la exclusión de pruebas. Sobre este último punto, el escrito del peticionario no es claro </w:t>
      </w:r>
      <w:r w:rsidR="00886785" w:rsidRPr="00A64EB1">
        <w:rPr>
          <w:sz w:val="20"/>
          <w:szCs w:val="20"/>
          <w:lang w:val="es-ES_tradnl" w:bidi="ar-YE"/>
        </w:rPr>
        <w:t>con relación a</w:t>
      </w:r>
      <w:r w:rsidR="0040579B" w:rsidRPr="00A64EB1">
        <w:rPr>
          <w:sz w:val="20"/>
          <w:szCs w:val="20"/>
          <w:lang w:val="es-ES_tradnl" w:bidi="ar-YE"/>
        </w:rPr>
        <w:t xml:space="preserve"> cuáles pruebas fueron excluidas; sin embargo, afirma que esta exclusión de pruebas, y la consecuente </w:t>
      </w:r>
      <w:r w:rsidR="0040579B" w:rsidRPr="00A64EB1">
        <w:rPr>
          <w:sz w:val="20"/>
          <w:szCs w:val="20"/>
          <w:lang w:val="es-ES_tradnl" w:bidi="ar-YE"/>
        </w:rPr>
        <w:lastRenderedPageBreak/>
        <w:t>absolución, tienen como motivo que las pruebas habían sido obtenidas mediante tortura física y psicológica. Asimismo, el peticionario indica que la citada sentencia absolutoria fue confirmada por el Primer Tribunal Unitario del Vigésimo Cuarto Circuito, sin embargo, no indica la fecha de la confirmación.</w:t>
      </w:r>
    </w:p>
    <w:p w14:paraId="1563DD07" w14:textId="5E4A8E5E" w:rsidR="0040579B" w:rsidRPr="00A64EB1" w:rsidRDefault="0040579B"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 xml:space="preserve">El 13 de julio de 2018, el Juzgado Segundo de Naucalpan de </w:t>
      </w:r>
      <w:r w:rsidR="00FF2DBF" w:rsidRPr="00A64EB1">
        <w:rPr>
          <w:sz w:val="20"/>
          <w:szCs w:val="20"/>
          <w:lang w:val="es-ES_tradnl" w:bidi="ar-YE"/>
        </w:rPr>
        <w:t>Juárez</w:t>
      </w:r>
      <w:r w:rsidRPr="00A64EB1">
        <w:rPr>
          <w:sz w:val="20"/>
          <w:szCs w:val="20"/>
          <w:lang w:val="es-ES_tradnl" w:bidi="ar-YE"/>
        </w:rPr>
        <w:t xml:space="preserve"> dictó sentencia en la que, según el peticionario, injustamente lo encontró responsable de los delitos contra la salud en modalidad de colaboración al fomento, así como acopio de armas de fuego. El peticionario interpuso </w:t>
      </w:r>
      <w:r w:rsidR="00962ACD" w:rsidRPr="00A64EB1">
        <w:rPr>
          <w:sz w:val="20"/>
          <w:szCs w:val="20"/>
          <w:lang w:val="es-ES_tradnl" w:bidi="ar-YE"/>
        </w:rPr>
        <w:t xml:space="preserve">un </w:t>
      </w:r>
      <w:r w:rsidRPr="00A64EB1">
        <w:rPr>
          <w:sz w:val="20"/>
          <w:szCs w:val="20"/>
          <w:lang w:val="es-ES_tradnl" w:bidi="ar-YE"/>
        </w:rPr>
        <w:t>recurso de apelación, admitido el 10 de diciembre de 2018 por el Tribunal Unitario del Segundo Circuito. El 30 de septiembre de 2019, e</w:t>
      </w:r>
      <w:r w:rsidR="00412E6F" w:rsidRPr="00A64EB1">
        <w:rPr>
          <w:sz w:val="20"/>
          <w:szCs w:val="20"/>
          <w:lang w:val="es-ES_tradnl" w:bidi="ar-YE"/>
        </w:rPr>
        <w:t>ste</w:t>
      </w:r>
      <w:r w:rsidRPr="00A64EB1">
        <w:rPr>
          <w:sz w:val="20"/>
          <w:szCs w:val="20"/>
          <w:lang w:val="es-ES_tradnl" w:bidi="ar-YE"/>
        </w:rPr>
        <w:t xml:space="preserve"> </w:t>
      </w:r>
      <w:r w:rsidR="00412E6F" w:rsidRPr="00A64EB1">
        <w:rPr>
          <w:sz w:val="20"/>
          <w:szCs w:val="20"/>
          <w:lang w:val="es-ES_tradnl" w:bidi="ar-YE"/>
        </w:rPr>
        <w:t>t</w:t>
      </w:r>
      <w:r w:rsidRPr="00A64EB1">
        <w:rPr>
          <w:sz w:val="20"/>
          <w:szCs w:val="20"/>
          <w:lang w:val="es-ES_tradnl" w:bidi="ar-YE"/>
        </w:rPr>
        <w:t xml:space="preserve">ribunal </w:t>
      </w:r>
      <w:r w:rsidR="000B5E9B" w:rsidRPr="00A64EB1">
        <w:rPr>
          <w:sz w:val="20"/>
          <w:szCs w:val="20"/>
          <w:lang w:val="es-ES_tradnl" w:bidi="ar-YE"/>
        </w:rPr>
        <w:t>–</w:t>
      </w:r>
      <w:r w:rsidRPr="00A64EB1">
        <w:rPr>
          <w:sz w:val="20"/>
          <w:szCs w:val="20"/>
          <w:lang w:val="es-ES_tradnl" w:bidi="ar-YE"/>
        </w:rPr>
        <w:t>por una cuestión de competencia no suficientemente explicada por el peticionario</w:t>
      </w:r>
      <w:r w:rsidR="000B5E9B" w:rsidRPr="00A64EB1">
        <w:rPr>
          <w:sz w:val="20"/>
          <w:szCs w:val="20"/>
          <w:lang w:val="es-ES_tradnl" w:bidi="ar-YE"/>
        </w:rPr>
        <w:t>–</w:t>
      </w:r>
      <w:r w:rsidR="003F0BE6" w:rsidRPr="00A64EB1">
        <w:rPr>
          <w:sz w:val="20"/>
          <w:szCs w:val="20"/>
          <w:lang w:val="es-ES_tradnl" w:bidi="ar-YE"/>
        </w:rPr>
        <w:t>,</w:t>
      </w:r>
      <w:r w:rsidRPr="00A64EB1">
        <w:rPr>
          <w:sz w:val="20"/>
          <w:szCs w:val="20"/>
          <w:lang w:val="es-ES_tradnl" w:bidi="ar-YE"/>
        </w:rPr>
        <w:t xml:space="preserve"> determinó que el expediente fuera remetido a la autoridad que resolvió el delito de delincuencia organizada. De los hechos narrados por el peticionario, se desprende que esta autoridad es el Juzgado Primero de Nayarit. </w:t>
      </w:r>
      <w:r w:rsidR="009832B6" w:rsidRPr="00A64EB1">
        <w:rPr>
          <w:sz w:val="20"/>
          <w:szCs w:val="20"/>
          <w:lang w:val="es-ES_tradnl" w:bidi="ar-YE"/>
        </w:rPr>
        <w:t>–</w:t>
      </w:r>
      <w:r w:rsidRPr="00A64EB1">
        <w:rPr>
          <w:sz w:val="20"/>
          <w:szCs w:val="20"/>
          <w:lang w:val="es-ES_tradnl" w:bidi="ar-YE"/>
        </w:rPr>
        <w:t>Esta es la última información sobre el trámite de los procesos internos de carácter penal presentada por el peticionario</w:t>
      </w:r>
      <w:r w:rsidR="009832B6" w:rsidRPr="00A64EB1">
        <w:rPr>
          <w:sz w:val="20"/>
          <w:szCs w:val="20"/>
          <w:lang w:val="es-ES_tradnl" w:bidi="ar-YE"/>
        </w:rPr>
        <w:t>–</w:t>
      </w:r>
      <w:r w:rsidR="00CD324F" w:rsidRPr="00A64EB1">
        <w:rPr>
          <w:sz w:val="20"/>
          <w:szCs w:val="20"/>
          <w:lang w:val="es-ES_tradnl" w:bidi="ar-YE"/>
        </w:rPr>
        <w:t>.</w:t>
      </w:r>
    </w:p>
    <w:p w14:paraId="6393A117" w14:textId="58AFC669" w:rsidR="00C71804" w:rsidRPr="00A64EB1" w:rsidRDefault="00C4033E"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bidi="ar-YE"/>
        </w:rPr>
      </w:pPr>
      <w:r w:rsidRPr="00A64EB1">
        <w:rPr>
          <w:sz w:val="20"/>
          <w:szCs w:val="20"/>
          <w:lang w:val="es-ES_tradnl" w:bidi="ar-YE"/>
        </w:rPr>
        <w:t>Entre los delitos imputados,</w:t>
      </w:r>
      <w:r w:rsidR="0006305D" w:rsidRPr="00A64EB1">
        <w:rPr>
          <w:sz w:val="20"/>
          <w:szCs w:val="20"/>
          <w:lang w:val="es-ES_tradnl" w:bidi="ar-YE"/>
        </w:rPr>
        <w:t xml:space="preserve"> el peticionario</w:t>
      </w:r>
      <w:r w:rsidR="00457D49" w:rsidRPr="00A64EB1">
        <w:rPr>
          <w:sz w:val="20"/>
          <w:szCs w:val="20"/>
          <w:lang w:val="es-ES_tradnl" w:bidi="ar-YE"/>
        </w:rPr>
        <w:t xml:space="preserve"> informa</w:t>
      </w:r>
      <w:r w:rsidR="00B007C8" w:rsidRPr="00A64EB1">
        <w:rPr>
          <w:sz w:val="20"/>
          <w:szCs w:val="20"/>
          <w:lang w:val="es-ES_tradnl" w:bidi="ar-YE"/>
        </w:rPr>
        <w:t xml:space="preserve"> que</w:t>
      </w:r>
      <w:r w:rsidRPr="00A64EB1">
        <w:rPr>
          <w:sz w:val="20"/>
          <w:szCs w:val="20"/>
          <w:lang w:val="es-ES_tradnl" w:bidi="ar-YE"/>
        </w:rPr>
        <w:t xml:space="preserve"> el único que habría quedado firme fue el de acopio de armas. Asimismo, informa</w:t>
      </w:r>
      <w:r w:rsidR="00AC18B1" w:rsidRPr="00A64EB1">
        <w:rPr>
          <w:sz w:val="20"/>
          <w:szCs w:val="20"/>
          <w:lang w:val="es-ES_tradnl" w:bidi="ar-YE"/>
        </w:rPr>
        <w:t xml:space="preserve"> en su escrito a la CIDH de octubre de 2020,</w:t>
      </w:r>
      <w:r w:rsidRPr="00A64EB1">
        <w:rPr>
          <w:sz w:val="20"/>
          <w:szCs w:val="20"/>
          <w:lang w:val="es-ES_tradnl" w:bidi="ar-YE"/>
        </w:rPr>
        <w:t xml:space="preserve"> que</w:t>
      </w:r>
      <w:r w:rsidR="00AC18B1" w:rsidRPr="00A64EB1">
        <w:rPr>
          <w:sz w:val="20"/>
          <w:szCs w:val="20"/>
          <w:lang w:val="es-ES_tradnl" w:bidi="ar-YE"/>
        </w:rPr>
        <w:t xml:space="preserve"> </w:t>
      </w:r>
      <w:r w:rsidR="00106063" w:rsidRPr="00A64EB1">
        <w:rPr>
          <w:sz w:val="20"/>
          <w:szCs w:val="20"/>
          <w:lang w:val="es-ES_tradnl" w:bidi="ar-YE"/>
        </w:rPr>
        <w:t xml:space="preserve">fue sentenciado a 7 años y 6 meses de prisión, pero cumplió efectivamente 11 años y 4 días de prisión, y que </w:t>
      </w:r>
      <w:r w:rsidR="00AC18B1" w:rsidRPr="00A64EB1">
        <w:rPr>
          <w:sz w:val="20"/>
          <w:szCs w:val="20"/>
          <w:lang w:val="es-ES_tradnl" w:bidi="ar-YE"/>
        </w:rPr>
        <w:t>el proceso penal en su contra se encontraría en etapa de apelación.</w:t>
      </w:r>
      <w:bookmarkStart w:id="2" w:name="_Hlk135136893"/>
      <w:r w:rsidR="00534537" w:rsidRPr="00A64EB1">
        <w:rPr>
          <w:sz w:val="20"/>
          <w:szCs w:val="20"/>
          <w:lang w:val="es-ES_tradnl" w:bidi="ar-YE"/>
        </w:rPr>
        <w:t xml:space="preserve"> </w:t>
      </w:r>
      <w:r w:rsidR="0001648F" w:rsidRPr="00A64EB1">
        <w:rPr>
          <w:sz w:val="20"/>
          <w:szCs w:val="20"/>
          <w:lang w:val="es-ES_tradnl" w:bidi="ar-YE"/>
        </w:rPr>
        <w:t>–</w:t>
      </w:r>
      <w:bookmarkEnd w:id="2"/>
      <w:r w:rsidR="0001648F" w:rsidRPr="00A64EB1">
        <w:rPr>
          <w:sz w:val="20"/>
          <w:szCs w:val="20"/>
          <w:lang w:val="es-ES_tradnl" w:bidi="ar-YE"/>
        </w:rPr>
        <w:t>La CIDH nota que el peticionario no explica por qué cumplió una pena más larga de la que fue sentenciado</w:t>
      </w:r>
      <w:r w:rsidR="00534537" w:rsidRPr="00A64EB1">
        <w:rPr>
          <w:sz w:val="20"/>
          <w:szCs w:val="20"/>
          <w:lang w:val="es-ES_tradnl" w:bidi="ar-YE"/>
        </w:rPr>
        <w:t>–</w:t>
      </w:r>
      <w:r w:rsidR="0001648F" w:rsidRPr="00A64EB1">
        <w:rPr>
          <w:sz w:val="20"/>
          <w:szCs w:val="20"/>
          <w:lang w:val="es-ES_tradnl" w:bidi="ar-YE"/>
        </w:rPr>
        <w:t>.</w:t>
      </w:r>
      <w:r w:rsidRPr="00A64EB1">
        <w:rPr>
          <w:sz w:val="20"/>
          <w:szCs w:val="20"/>
          <w:lang w:val="es-ES_tradnl" w:bidi="ar-YE"/>
        </w:rPr>
        <w:t xml:space="preserve"> </w:t>
      </w:r>
      <w:r w:rsidR="0040579B" w:rsidRPr="00A64EB1">
        <w:rPr>
          <w:sz w:val="20"/>
          <w:szCs w:val="20"/>
          <w:lang w:val="es-ES_tradnl" w:bidi="ar-YE"/>
        </w:rPr>
        <w:t>El peticionario también argumenta que durante la tramitación del proceso hubo muchos cambios en los defensores públicos asignados para su defensa, lo que generó retraso procesal y debilidades en las diligencias de prueba. En conclusión, e</w:t>
      </w:r>
      <w:r w:rsidRPr="00A64EB1">
        <w:rPr>
          <w:sz w:val="20"/>
          <w:szCs w:val="20"/>
          <w:lang w:val="es-ES_tradnl" w:bidi="ar-YE"/>
        </w:rPr>
        <w:t xml:space="preserve">l peticionario destaca que la causa penal y </w:t>
      </w:r>
      <w:r w:rsidRPr="00A64EB1">
        <w:rPr>
          <w:rFonts w:eastAsia="Arial Unicode MS" w:cs="Times New Roman"/>
          <w:color w:val="auto"/>
          <w:sz w:val="20"/>
          <w:szCs w:val="20"/>
          <w:lang w:val="es-ES_tradnl" w:eastAsia="en-US" w:bidi="ar-YE"/>
        </w:rPr>
        <w:t>privación de libertad</w:t>
      </w:r>
      <w:r w:rsidR="00C71804" w:rsidRPr="00A64EB1">
        <w:rPr>
          <w:sz w:val="20"/>
          <w:szCs w:val="20"/>
          <w:lang w:val="es-ES_tradnl" w:bidi="ar-YE"/>
        </w:rPr>
        <w:t xml:space="preserve"> se derivan de </w:t>
      </w:r>
      <w:r w:rsidR="00852037" w:rsidRPr="00A64EB1">
        <w:rPr>
          <w:sz w:val="20"/>
          <w:szCs w:val="20"/>
          <w:lang w:val="es-ES_tradnl" w:bidi="ar-YE"/>
        </w:rPr>
        <w:t xml:space="preserve">la </w:t>
      </w:r>
      <w:r w:rsidR="00C71804" w:rsidRPr="00A64EB1">
        <w:rPr>
          <w:sz w:val="20"/>
          <w:szCs w:val="20"/>
          <w:lang w:val="es-ES_tradnl" w:bidi="ar-YE"/>
        </w:rPr>
        <w:t>fabricación de los hechos que le imputaron.</w:t>
      </w:r>
    </w:p>
    <w:p w14:paraId="41BFE62A" w14:textId="74E73107" w:rsidR="008C7A17" w:rsidRPr="00A64EB1" w:rsidRDefault="008C7A17" w:rsidP="00A64EB1">
      <w:pPr>
        <w:pStyle w:val="ListParagraph"/>
        <w:widowControl w:val="0"/>
        <w:spacing w:after="240"/>
        <w:jc w:val="both"/>
        <w:rPr>
          <w:i/>
          <w:iCs/>
          <w:sz w:val="20"/>
          <w:szCs w:val="20"/>
          <w:lang w:val="es-ES_tradnl" w:bidi="ar-YE"/>
        </w:rPr>
      </w:pPr>
      <w:r w:rsidRPr="00A64EB1">
        <w:rPr>
          <w:i/>
          <w:iCs/>
          <w:sz w:val="20"/>
          <w:szCs w:val="20"/>
          <w:lang w:val="es-ES_tradnl" w:bidi="ar-YE"/>
        </w:rPr>
        <w:t>Posición del Estado</w:t>
      </w:r>
      <w:r w:rsidR="00CE54AB" w:rsidRPr="00A64EB1">
        <w:rPr>
          <w:i/>
          <w:iCs/>
          <w:sz w:val="20"/>
          <w:szCs w:val="20"/>
          <w:lang w:val="es-ES_tradnl" w:bidi="ar-YE"/>
        </w:rPr>
        <w:t xml:space="preserve"> mexicano</w:t>
      </w:r>
    </w:p>
    <w:p w14:paraId="74060245" w14:textId="757202B1" w:rsidR="00B02FDF" w:rsidRPr="00A64EB1" w:rsidRDefault="0073501A"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 xml:space="preserve">El Estado </w:t>
      </w:r>
      <w:r w:rsidR="00CA7435" w:rsidRPr="00A64EB1">
        <w:rPr>
          <w:rFonts w:asciiTheme="majorHAnsi" w:hAnsiTheme="majorHAnsi"/>
          <w:sz w:val="20"/>
          <w:szCs w:val="20"/>
          <w:lang w:val="es-ES_tradnl" w:bidi="ar-YE"/>
        </w:rPr>
        <w:t xml:space="preserve">informa que </w:t>
      </w:r>
      <w:r w:rsidRPr="00A64EB1">
        <w:rPr>
          <w:rFonts w:asciiTheme="majorHAnsi" w:hAnsiTheme="majorHAnsi"/>
          <w:sz w:val="20"/>
          <w:szCs w:val="20"/>
          <w:lang w:val="es-ES_tradnl" w:bidi="ar-YE"/>
        </w:rPr>
        <w:t>inició la averiguación previa AP/PGR/SIEDO/UEDICS/060/2009</w:t>
      </w:r>
      <w:r w:rsidR="00CA7435" w:rsidRPr="00A64EB1">
        <w:rPr>
          <w:rFonts w:asciiTheme="majorHAnsi" w:hAnsiTheme="majorHAnsi"/>
          <w:sz w:val="20"/>
          <w:szCs w:val="20"/>
          <w:lang w:val="es-ES_tradnl" w:bidi="ar-YE"/>
        </w:rPr>
        <w:t>,</w:t>
      </w:r>
      <w:r w:rsidRPr="00A64EB1">
        <w:rPr>
          <w:rFonts w:asciiTheme="majorHAnsi" w:hAnsiTheme="majorHAnsi"/>
          <w:sz w:val="20"/>
          <w:szCs w:val="20"/>
          <w:lang w:val="es-ES_tradnl" w:bidi="ar-YE"/>
        </w:rPr>
        <w:t xml:space="preserve"> sin detenido, en contra </w:t>
      </w:r>
      <w:r w:rsidR="00ED1F64" w:rsidRPr="00A64EB1">
        <w:rPr>
          <w:rFonts w:asciiTheme="majorHAnsi" w:hAnsiTheme="majorHAnsi"/>
          <w:sz w:val="20"/>
          <w:szCs w:val="20"/>
          <w:lang w:val="es-ES_tradnl" w:bidi="ar-YE"/>
        </w:rPr>
        <w:t xml:space="preserve">del </w:t>
      </w:r>
      <w:r w:rsidR="00CA7435" w:rsidRPr="00A64EB1">
        <w:rPr>
          <w:rFonts w:asciiTheme="majorHAnsi" w:hAnsiTheme="majorHAnsi"/>
          <w:sz w:val="20"/>
          <w:szCs w:val="20"/>
          <w:lang w:val="es-ES_tradnl" w:bidi="ar-YE"/>
        </w:rPr>
        <w:t>Sr. Alberto Martín Alamillo Quintero</w:t>
      </w:r>
      <w:r w:rsidRPr="00A64EB1">
        <w:rPr>
          <w:rFonts w:asciiTheme="majorHAnsi" w:hAnsiTheme="majorHAnsi"/>
          <w:sz w:val="20"/>
          <w:szCs w:val="20"/>
          <w:lang w:val="es-ES_tradnl" w:bidi="ar-YE"/>
        </w:rPr>
        <w:t xml:space="preserve"> por los delitos de delincuencia organizada</w:t>
      </w:r>
      <w:r w:rsidR="00CA7435" w:rsidRPr="00A64EB1">
        <w:rPr>
          <w:rFonts w:asciiTheme="majorHAnsi" w:hAnsiTheme="majorHAnsi"/>
          <w:sz w:val="20"/>
          <w:szCs w:val="20"/>
          <w:lang w:val="es-ES_tradnl" w:bidi="ar-YE"/>
        </w:rPr>
        <w:t>,</w:t>
      </w:r>
      <w:r w:rsidRPr="00A64EB1">
        <w:rPr>
          <w:rFonts w:asciiTheme="majorHAnsi" w:hAnsiTheme="majorHAnsi"/>
          <w:sz w:val="20"/>
          <w:szCs w:val="20"/>
          <w:lang w:val="es-ES_tradnl" w:bidi="ar-YE"/>
        </w:rPr>
        <w:t xml:space="preserve"> contra la salud, así como portación y posesión de armas de fuego y cartuchos para armas de fuego de uso exclusivo de las fuerzas armadas, con base en indicios con los que contaban las autoridades federales encargadas de la persecución de </w:t>
      </w:r>
      <w:r w:rsidR="00890195" w:rsidRPr="00A64EB1">
        <w:rPr>
          <w:rFonts w:asciiTheme="majorHAnsi" w:hAnsiTheme="majorHAnsi"/>
          <w:sz w:val="20"/>
          <w:szCs w:val="20"/>
          <w:lang w:val="es-ES_tradnl" w:bidi="ar-YE"/>
        </w:rPr>
        <w:t>estos</w:t>
      </w:r>
      <w:r w:rsidRPr="00A64EB1">
        <w:rPr>
          <w:rFonts w:asciiTheme="majorHAnsi" w:hAnsiTheme="majorHAnsi"/>
          <w:sz w:val="20"/>
          <w:szCs w:val="20"/>
          <w:lang w:val="es-ES_tradnl" w:bidi="ar-YE"/>
        </w:rPr>
        <w:t xml:space="preserve"> delitos de orden federal. El 22 de abril de 2009 </w:t>
      </w:r>
      <w:r w:rsidR="00890195" w:rsidRPr="00A64EB1">
        <w:rPr>
          <w:rFonts w:asciiTheme="majorHAnsi" w:hAnsiTheme="majorHAnsi"/>
          <w:sz w:val="20"/>
          <w:szCs w:val="20"/>
          <w:lang w:val="es-ES_tradnl" w:bidi="ar-YE"/>
        </w:rPr>
        <w:t xml:space="preserve">esta </w:t>
      </w:r>
      <w:r w:rsidRPr="00A64EB1">
        <w:rPr>
          <w:rFonts w:asciiTheme="majorHAnsi" w:hAnsiTheme="majorHAnsi"/>
          <w:sz w:val="20"/>
          <w:szCs w:val="20"/>
          <w:lang w:val="es-ES_tradnl" w:bidi="ar-YE"/>
        </w:rPr>
        <w:t xml:space="preserve">averiguación previa se radicó bajo la causa penal 75/2009 </w:t>
      </w:r>
      <w:r w:rsidR="003E3F2E" w:rsidRPr="00A64EB1">
        <w:rPr>
          <w:rFonts w:asciiTheme="majorHAnsi" w:hAnsiTheme="majorHAnsi"/>
          <w:sz w:val="20"/>
          <w:szCs w:val="20"/>
          <w:lang w:val="es-ES_tradnl" w:bidi="ar-YE"/>
        </w:rPr>
        <w:t>en el</w:t>
      </w:r>
      <w:r w:rsidRPr="00A64EB1">
        <w:rPr>
          <w:rFonts w:asciiTheme="majorHAnsi" w:hAnsiTheme="majorHAnsi"/>
          <w:sz w:val="20"/>
          <w:szCs w:val="20"/>
          <w:lang w:val="es-ES_tradnl" w:bidi="ar-YE"/>
        </w:rPr>
        <w:t xml:space="preserve"> Juzgado Primero de Distrito en el estado de Nayarit. </w:t>
      </w:r>
    </w:p>
    <w:p w14:paraId="7AA1C92E" w14:textId="3B142A8E" w:rsidR="00952371" w:rsidRPr="00A64EB1" w:rsidRDefault="00890195"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Luego, m</w:t>
      </w:r>
      <w:r w:rsidR="0073501A" w:rsidRPr="00A64EB1">
        <w:rPr>
          <w:rFonts w:asciiTheme="majorHAnsi" w:hAnsiTheme="majorHAnsi"/>
          <w:sz w:val="20"/>
          <w:szCs w:val="20"/>
          <w:lang w:val="es-ES_tradnl" w:bidi="ar-YE"/>
        </w:rPr>
        <w:t xml:space="preserve">ediante resolución del 23 de abril de 2009 </w:t>
      </w:r>
      <w:r w:rsidR="00E836B4" w:rsidRPr="00A64EB1">
        <w:rPr>
          <w:rFonts w:asciiTheme="majorHAnsi" w:hAnsiTheme="majorHAnsi"/>
          <w:sz w:val="20"/>
          <w:szCs w:val="20"/>
          <w:lang w:val="es-ES_tradnl" w:bidi="ar-YE"/>
        </w:rPr>
        <w:t>el juzgado</w:t>
      </w:r>
      <w:r w:rsidR="0073501A" w:rsidRPr="00A64EB1">
        <w:rPr>
          <w:rFonts w:asciiTheme="majorHAnsi" w:hAnsiTheme="majorHAnsi"/>
          <w:sz w:val="20"/>
          <w:szCs w:val="20"/>
          <w:lang w:val="es-ES_tradnl" w:bidi="ar-YE"/>
        </w:rPr>
        <w:t xml:space="preserve"> giró orden de aprehensión contra del Sr. Alberto Martín Alamillo Quintero por los delitos mencionados.</w:t>
      </w:r>
      <w:r w:rsidR="00FD4A9D" w:rsidRPr="00A64EB1">
        <w:rPr>
          <w:rFonts w:asciiTheme="majorHAnsi" w:hAnsiTheme="majorHAnsi"/>
          <w:sz w:val="20"/>
          <w:szCs w:val="20"/>
          <w:lang w:val="es-ES_tradnl" w:bidi="ar-YE"/>
        </w:rPr>
        <w:t xml:space="preserve"> El 2 de mayo de 2009 fue emitido el respectivo auto formal de prisión por </w:t>
      </w:r>
      <w:r w:rsidR="00E836B4" w:rsidRPr="00A64EB1">
        <w:rPr>
          <w:rFonts w:asciiTheme="majorHAnsi" w:hAnsiTheme="majorHAnsi"/>
          <w:sz w:val="20"/>
          <w:szCs w:val="20"/>
          <w:lang w:val="es-ES_tradnl" w:bidi="ar-YE"/>
        </w:rPr>
        <w:t>su</w:t>
      </w:r>
      <w:r w:rsidR="00FD4A9D" w:rsidRPr="00A64EB1">
        <w:rPr>
          <w:rFonts w:asciiTheme="majorHAnsi" w:hAnsiTheme="majorHAnsi"/>
          <w:sz w:val="20"/>
          <w:szCs w:val="20"/>
          <w:lang w:val="es-ES_tradnl" w:bidi="ar-YE"/>
        </w:rPr>
        <w:t xml:space="preserve"> probable responsabilidad en la comisión de </w:t>
      </w:r>
      <w:r w:rsidR="00E836B4" w:rsidRPr="00A64EB1">
        <w:rPr>
          <w:rFonts w:asciiTheme="majorHAnsi" w:hAnsiTheme="majorHAnsi"/>
          <w:sz w:val="20"/>
          <w:szCs w:val="20"/>
          <w:lang w:val="es-ES_tradnl" w:bidi="ar-YE"/>
        </w:rPr>
        <w:t>tales</w:t>
      </w:r>
      <w:r w:rsidR="00FD4A9D" w:rsidRPr="00A64EB1">
        <w:rPr>
          <w:rFonts w:asciiTheme="majorHAnsi" w:hAnsiTheme="majorHAnsi"/>
          <w:sz w:val="20"/>
          <w:szCs w:val="20"/>
          <w:lang w:val="es-ES_tradnl" w:bidi="ar-YE"/>
        </w:rPr>
        <w:t xml:space="preserve"> delitos. Inconforme con la determinación, la defensora pública federal interpuso un recurso de apelación en nombre del peticionario, </w:t>
      </w:r>
      <w:r w:rsidR="00CA39F2" w:rsidRPr="00A64EB1">
        <w:rPr>
          <w:rFonts w:asciiTheme="majorHAnsi" w:hAnsiTheme="majorHAnsi"/>
          <w:sz w:val="20"/>
          <w:szCs w:val="20"/>
          <w:lang w:val="es-ES_tradnl" w:bidi="ar-YE"/>
        </w:rPr>
        <w:t>(</w:t>
      </w:r>
      <w:r w:rsidR="00FD4A9D" w:rsidRPr="00A64EB1">
        <w:rPr>
          <w:rFonts w:asciiTheme="majorHAnsi" w:hAnsiTheme="majorHAnsi"/>
          <w:sz w:val="20"/>
          <w:szCs w:val="20"/>
          <w:lang w:val="es-ES_tradnl" w:bidi="ar-YE"/>
        </w:rPr>
        <w:t>toca penal 338/2009</w:t>
      </w:r>
      <w:r w:rsidR="00CA39F2" w:rsidRPr="00A64EB1">
        <w:rPr>
          <w:rFonts w:asciiTheme="majorHAnsi" w:hAnsiTheme="majorHAnsi"/>
          <w:sz w:val="20"/>
          <w:szCs w:val="20"/>
          <w:lang w:val="es-ES_tradnl" w:bidi="ar-YE"/>
        </w:rPr>
        <w:t>)</w:t>
      </w:r>
      <w:r w:rsidR="00FD4A9D" w:rsidRPr="00A64EB1">
        <w:rPr>
          <w:rFonts w:asciiTheme="majorHAnsi" w:hAnsiTheme="majorHAnsi"/>
          <w:sz w:val="20"/>
          <w:szCs w:val="20"/>
          <w:lang w:val="es-ES_tradnl" w:bidi="ar-YE"/>
        </w:rPr>
        <w:t>. Este recurso fue resuelto el 9 de octubre de 2009 por el Primer Tribunal Unitario de Circuito del Centro Auxiliar de la Quinta Región, con sede en Culiacán, Sinaloa</w:t>
      </w:r>
      <w:r w:rsidR="00644D98" w:rsidRPr="00A64EB1">
        <w:rPr>
          <w:rFonts w:asciiTheme="majorHAnsi" w:hAnsiTheme="majorHAnsi"/>
          <w:sz w:val="20"/>
          <w:szCs w:val="20"/>
          <w:lang w:val="es-ES_tradnl" w:bidi="ar-YE"/>
        </w:rPr>
        <w:t xml:space="preserve">; que </w:t>
      </w:r>
      <w:r w:rsidR="00FD4A9D" w:rsidRPr="00A64EB1">
        <w:rPr>
          <w:rFonts w:asciiTheme="majorHAnsi" w:hAnsiTheme="majorHAnsi"/>
          <w:sz w:val="20"/>
          <w:szCs w:val="20"/>
          <w:lang w:val="es-ES_tradnl" w:bidi="ar-YE"/>
        </w:rPr>
        <w:t xml:space="preserve">confirmó </w:t>
      </w:r>
      <w:r w:rsidR="004A3B2A" w:rsidRPr="00A64EB1">
        <w:rPr>
          <w:rFonts w:asciiTheme="majorHAnsi" w:hAnsiTheme="majorHAnsi"/>
          <w:sz w:val="20"/>
          <w:szCs w:val="20"/>
          <w:lang w:val="es-ES_tradnl" w:bidi="ar-YE"/>
        </w:rPr>
        <w:t xml:space="preserve">el auto </w:t>
      </w:r>
      <w:r w:rsidR="00FD4A9D" w:rsidRPr="00A64EB1">
        <w:rPr>
          <w:rFonts w:asciiTheme="majorHAnsi" w:hAnsiTheme="majorHAnsi"/>
          <w:sz w:val="20"/>
          <w:szCs w:val="20"/>
          <w:lang w:val="es-ES_tradnl" w:bidi="ar-YE"/>
        </w:rPr>
        <w:t>dictado por el Juzgado Primero de Nayarit.</w:t>
      </w:r>
    </w:p>
    <w:p w14:paraId="7A813A55" w14:textId="5D25AA11" w:rsidR="00FD4A9D" w:rsidRPr="00A64EB1" w:rsidRDefault="00952371"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 xml:space="preserve">Adicionalmente, el Estado se refiere al recurso de amparo 39/2009, interpuesto por el peticionario en contra de la resolución que confirmó el auto. Según el Estado, el 24 de enero de 2011 el Primer Tribunal Unitario de Circuito </w:t>
      </w:r>
      <w:r w:rsidR="001F68E6" w:rsidRPr="00A64EB1">
        <w:rPr>
          <w:rFonts w:asciiTheme="majorHAnsi" w:hAnsiTheme="majorHAnsi"/>
          <w:sz w:val="20"/>
          <w:szCs w:val="20"/>
          <w:lang w:val="es-ES_tradnl" w:bidi="ar-YE"/>
        </w:rPr>
        <w:t xml:space="preserve">del </w:t>
      </w:r>
      <w:r w:rsidRPr="00A64EB1">
        <w:rPr>
          <w:rFonts w:asciiTheme="majorHAnsi" w:hAnsiTheme="majorHAnsi"/>
          <w:sz w:val="20"/>
          <w:szCs w:val="20"/>
          <w:lang w:val="es-ES_tradnl" w:bidi="ar-YE"/>
        </w:rPr>
        <w:t>estado de Jalisco conoció y concedió el amparo</w:t>
      </w:r>
      <w:r w:rsidR="001F68E6" w:rsidRPr="00A64EB1">
        <w:rPr>
          <w:rFonts w:asciiTheme="majorHAnsi" w:hAnsiTheme="majorHAnsi"/>
          <w:sz w:val="20"/>
          <w:szCs w:val="20"/>
          <w:lang w:val="es-ES_tradnl" w:bidi="ar-YE"/>
        </w:rPr>
        <w:t>.</w:t>
      </w:r>
      <w:r w:rsidRPr="00A64EB1">
        <w:rPr>
          <w:rFonts w:asciiTheme="majorHAnsi" w:hAnsiTheme="majorHAnsi"/>
          <w:sz w:val="20"/>
          <w:szCs w:val="20"/>
          <w:lang w:val="es-ES_tradnl" w:bidi="ar-YE"/>
        </w:rPr>
        <w:t xml:space="preserve"> Además, informa el Estado, el 29 de marzo de 2011 el Primer Tribunal Unitario del Vigésimo Cuarto Circuito dio cumplimento a la resolución de amparo. –La CIDH nota que el Estado no explica cuál era el objeto del amparo, cuáles fueron los efectos de la citada decisión, ni qué fue lo que el Primer Tribunal Unitario del Vigésimo Cuarto Circuito </w:t>
      </w:r>
      <w:r w:rsidR="00634026" w:rsidRPr="00A64EB1">
        <w:rPr>
          <w:rFonts w:asciiTheme="majorHAnsi" w:hAnsiTheme="majorHAnsi"/>
          <w:sz w:val="20"/>
          <w:szCs w:val="20"/>
          <w:lang w:val="es-ES_tradnl" w:bidi="ar-YE"/>
        </w:rPr>
        <w:t>cumplió</w:t>
      </w:r>
      <w:r w:rsidRPr="00A64EB1">
        <w:rPr>
          <w:rFonts w:asciiTheme="majorHAnsi" w:hAnsiTheme="majorHAnsi"/>
          <w:sz w:val="20"/>
          <w:szCs w:val="20"/>
          <w:lang w:val="es-ES_tradnl" w:bidi="ar-YE"/>
        </w:rPr>
        <w:t>–</w:t>
      </w:r>
      <w:r w:rsidR="009B0AAE">
        <w:rPr>
          <w:rFonts w:asciiTheme="majorHAnsi" w:hAnsiTheme="majorHAnsi"/>
          <w:sz w:val="20"/>
          <w:szCs w:val="20"/>
          <w:lang w:val="es-ES_tradnl" w:bidi="ar-YE"/>
        </w:rPr>
        <w:t>.</w:t>
      </w:r>
    </w:p>
    <w:p w14:paraId="16A54279" w14:textId="01656F19" w:rsidR="00B02FDF" w:rsidRPr="00A64EB1" w:rsidRDefault="00952371"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El Estado informa, asimismo, que el 12 de marzo de 2013 el peticionario presentó una demanda de amparo indirecto 18/2013-1, en contra de la resolución del 29 de marzo de 2011. Dicha demanda fue resuelta por el Tribunal Unitario del Vigésimo Cuarto Circuito, que confirmó el cumplimiento de la resolución de amparo del 24 de enero de 2011. En contra de dicha decisión, el peticionario interpuso el recurso de revisión 237/2013, que fue resuelto confirmando la sentencia de amparo. –La CIDH nota que el Estado no explica cuál era el contenido de la sentencia confirmada; sin embargo, es posible inferir</w:t>
      </w:r>
      <w:r w:rsidR="003A26DA" w:rsidRPr="00A64EB1">
        <w:rPr>
          <w:rFonts w:asciiTheme="majorHAnsi" w:hAnsiTheme="majorHAnsi"/>
          <w:sz w:val="20"/>
          <w:szCs w:val="20"/>
          <w:lang w:val="es-ES_tradnl" w:bidi="ar-YE"/>
        </w:rPr>
        <w:t xml:space="preserve"> que esta</w:t>
      </w:r>
      <w:r w:rsidRPr="00A64EB1">
        <w:rPr>
          <w:rFonts w:asciiTheme="majorHAnsi" w:hAnsiTheme="majorHAnsi"/>
          <w:sz w:val="20"/>
          <w:szCs w:val="20"/>
          <w:lang w:val="es-ES_tradnl" w:bidi="ar-YE"/>
        </w:rPr>
        <w:t xml:space="preserve"> </w:t>
      </w:r>
      <w:r w:rsidR="00DA694A" w:rsidRPr="00A64EB1">
        <w:rPr>
          <w:rFonts w:asciiTheme="majorHAnsi" w:hAnsiTheme="majorHAnsi"/>
          <w:sz w:val="20"/>
          <w:szCs w:val="20"/>
          <w:lang w:val="es-ES_tradnl" w:bidi="ar-YE"/>
        </w:rPr>
        <w:t xml:space="preserve">ratificaba el cumplimiento </w:t>
      </w:r>
      <w:r w:rsidR="004C7E95" w:rsidRPr="00A64EB1">
        <w:rPr>
          <w:rFonts w:asciiTheme="majorHAnsi" w:hAnsiTheme="majorHAnsi"/>
          <w:sz w:val="20"/>
          <w:szCs w:val="20"/>
          <w:lang w:val="es-ES_tradnl" w:bidi="ar-YE"/>
        </w:rPr>
        <w:t xml:space="preserve">de lo dispuesto en la decisión de amparo del 24 de enero de 2011 que </w:t>
      </w:r>
      <w:r w:rsidR="00886785">
        <w:rPr>
          <w:rFonts w:asciiTheme="majorHAnsi" w:hAnsiTheme="majorHAnsi"/>
          <w:sz w:val="20"/>
          <w:szCs w:val="20"/>
          <w:lang w:val="es-ES_tradnl" w:bidi="ar-YE"/>
        </w:rPr>
        <w:t>le</w:t>
      </w:r>
      <w:r w:rsidR="004C7E95" w:rsidRPr="00A64EB1">
        <w:rPr>
          <w:rFonts w:asciiTheme="majorHAnsi" w:hAnsiTheme="majorHAnsi"/>
          <w:sz w:val="20"/>
          <w:szCs w:val="20"/>
          <w:lang w:val="es-ES_tradnl" w:bidi="ar-YE"/>
        </w:rPr>
        <w:t xml:space="preserve"> fue favorable al peticionario</w:t>
      </w:r>
      <w:r w:rsidRPr="00A64EB1">
        <w:rPr>
          <w:rFonts w:asciiTheme="majorHAnsi" w:hAnsiTheme="majorHAnsi"/>
          <w:sz w:val="20"/>
          <w:szCs w:val="20"/>
          <w:lang w:val="es-ES_tradnl" w:bidi="ar-YE"/>
        </w:rPr>
        <w:t>–</w:t>
      </w:r>
      <w:r w:rsidR="00152E8F" w:rsidRPr="00A64EB1">
        <w:rPr>
          <w:rFonts w:asciiTheme="majorHAnsi" w:hAnsiTheme="majorHAnsi"/>
          <w:sz w:val="20"/>
          <w:szCs w:val="20"/>
          <w:lang w:val="es-ES_tradnl" w:bidi="ar-YE"/>
        </w:rPr>
        <w:t>.</w:t>
      </w:r>
      <w:r w:rsidR="00AC18B1" w:rsidRPr="00A64EB1">
        <w:rPr>
          <w:rFonts w:asciiTheme="majorHAnsi" w:hAnsiTheme="majorHAnsi"/>
          <w:sz w:val="20"/>
          <w:szCs w:val="20"/>
          <w:lang w:val="es-ES_tradnl" w:bidi="ar-YE"/>
        </w:rPr>
        <w:t xml:space="preserve"> </w:t>
      </w:r>
      <w:r w:rsidR="00B02FDF" w:rsidRPr="00A64EB1">
        <w:rPr>
          <w:rFonts w:asciiTheme="majorHAnsi" w:hAnsiTheme="majorHAnsi"/>
          <w:sz w:val="20"/>
          <w:szCs w:val="20"/>
          <w:lang w:val="es-ES_tradnl" w:bidi="ar-YE"/>
        </w:rPr>
        <w:t>El auto de formal prisión en contra del peticionario</w:t>
      </w:r>
      <w:r w:rsidRPr="00A64EB1">
        <w:rPr>
          <w:rFonts w:asciiTheme="majorHAnsi" w:hAnsiTheme="majorHAnsi"/>
          <w:sz w:val="20"/>
          <w:szCs w:val="20"/>
          <w:lang w:val="es-ES_tradnl" w:bidi="ar-YE"/>
        </w:rPr>
        <w:t>, continua el Estado,</w:t>
      </w:r>
      <w:r w:rsidR="00B02FDF" w:rsidRPr="00A64EB1">
        <w:rPr>
          <w:rFonts w:asciiTheme="majorHAnsi" w:hAnsiTheme="majorHAnsi"/>
          <w:sz w:val="20"/>
          <w:szCs w:val="20"/>
          <w:lang w:val="es-ES_tradnl" w:bidi="ar-YE"/>
        </w:rPr>
        <w:t xml:space="preserve"> fue dictado el 26 de junio </w:t>
      </w:r>
      <w:r w:rsidR="00B02FDF" w:rsidRPr="00A64EB1">
        <w:rPr>
          <w:rFonts w:asciiTheme="majorHAnsi" w:hAnsiTheme="majorHAnsi"/>
          <w:sz w:val="20"/>
          <w:szCs w:val="20"/>
          <w:lang w:val="es-ES_tradnl" w:bidi="ar-YE"/>
        </w:rPr>
        <w:lastRenderedPageBreak/>
        <w:t>de 2014. Inconform</w:t>
      </w:r>
      <w:r w:rsidR="0059126F" w:rsidRPr="00A64EB1">
        <w:rPr>
          <w:rFonts w:asciiTheme="majorHAnsi" w:hAnsiTheme="majorHAnsi"/>
          <w:sz w:val="20"/>
          <w:szCs w:val="20"/>
          <w:lang w:val="es-ES_tradnl" w:bidi="ar-YE"/>
        </w:rPr>
        <w:t>e</w:t>
      </w:r>
      <w:r w:rsidR="00B02FDF" w:rsidRPr="00A64EB1">
        <w:rPr>
          <w:rFonts w:asciiTheme="majorHAnsi" w:hAnsiTheme="majorHAnsi"/>
          <w:sz w:val="20"/>
          <w:szCs w:val="20"/>
          <w:lang w:val="es-ES_tradnl" w:bidi="ar-YE"/>
        </w:rPr>
        <w:t xml:space="preserve">, el peticionario y su defensor interpusieron un recurso de apelación conocido por el Primer Tribunal Unitario del Vigésimo Cuarto Circuito. Este tribunal resolvió, mediante sentencia del 25 de septiembre de 2014, mantener el auto de formal prisión. </w:t>
      </w:r>
    </w:p>
    <w:p w14:paraId="3787515F" w14:textId="33AE8EB3" w:rsidR="00430702" w:rsidRPr="00A64EB1" w:rsidRDefault="0059126F"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En consecuencia</w:t>
      </w:r>
      <w:r w:rsidR="00B02FDF" w:rsidRPr="00A64EB1">
        <w:rPr>
          <w:rFonts w:asciiTheme="majorHAnsi" w:hAnsiTheme="majorHAnsi"/>
          <w:sz w:val="20"/>
          <w:szCs w:val="20"/>
          <w:lang w:val="es-ES_tradnl" w:bidi="ar-YE"/>
        </w:rPr>
        <w:t>, el defensor del peticionario interpuso un juicio de amparo indirecto del cual conoció el Segundo Tribunal Unitario del Vigésimo Cuarto Circuito</w:t>
      </w:r>
      <w:r w:rsidRPr="00A64EB1">
        <w:rPr>
          <w:rFonts w:asciiTheme="majorHAnsi" w:hAnsiTheme="majorHAnsi"/>
          <w:sz w:val="20"/>
          <w:szCs w:val="20"/>
          <w:lang w:val="es-ES_tradnl" w:bidi="ar-YE"/>
        </w:rPr>
        <w:t>,</w:t>
      </w:r>
      <w:r w:rsidR="00B02FDF" w:rsidRPr="00A64EB1">
        <w:rPr>
          <w:rFonts w:asciiTheme="majorHAnsi" w:hAnsiTheme="majorHAnsi"/>
          <w:sz w:val="20"/>
          <w:szCs w:val="20"/>
          <w:lang w:val="es-ES_tradnl" w:bidi="ar-YE"/>
        </w:rPr>
        <w:t xml:space="preserve"> bajo el número 50/2014-I</w:t>
      </w:r>
      <w:r w:rsidR="008E0610" w:rsidRPr="00A64EB1">
        <w:rPr>
          <w:rFonts w:asciiTheme="majorHAnsi" w:hAnsiTheme="majorHAnsi"/>
          <w:sz w:val="20"/>
          <w:szCs w:val="20"/>
          <w:lang w:val="es-ES_tradnl" w:bidi="ar-YE"/>
        </w:rPr>
        <w:t>. Este Tribunal determinó conceder el amparo para dejar insubsistente la resolución del 25 de septiembre de 2014</w:t>
      </w:r>
      <w:r w:rsidR="00FC189A" w:rsidRPr="00A64EB1">
        <w:rPr>
          <w:rFonts w:asciiTheme="majorHAnsi" w:hAnsiTheme="majorHAnsi"/>
          <w:sz w:val="20"/>
          <w:szCs w:val="20"/>
          <w:lang w:val="es-ES_tradnl" w:bidi="ar-YE"/>
        </w:rPr>
        <w:t xml:space="preserve">, que </w:t>
      </w:r>
      <w:r w:rsidR="00C44574" w:rsidRPr="00A64EB1">
        <w:rPr>
          <w:rFonts w:asciiTheme="majorHAnsi" w:hAnsiTheme="majorHAnsi"/>
          <w:sz w:val="20"/>
          <w:szCs w:val="20"/>
          <w:lang w:val="es-ES_tradnl" w:bidi="ar-YE"/>
        </w:rPr>
        <w:t>mantenía el auto de formal prisión,</w:t>
      </w:r>
      <w:r w:rsidR="008E0610" w:rsidRPr="00A64EB1">
        <w:rPr>
          <w:rFonts w:asciiTheme="majorHAnsi" w:hAnsiTheme="majorHAnsi"/>
          <w:sz w:val="20"/>
          <w:szCs w:val="20"/>
          <w:lang w:val="es-ES_tradnl" w:bidi="ar-YE"/>
        </w:rPr>
        <w:t xml:space="preserve"> respecto al peticionario</w:t>
      </w:r>
      <w:r w:rsidR="00C44574" w:rsidRPr="00A64EB1">
        <w:rPr>
          <w:rFonts w:asciiTheme="majorHAnsi" w:hAnsiTheme="majorHAnsi"/>
          <w:sz w:val="20"/>
          <w:szCs w:val="20"/>
          <w:lang w:val="es-ES_tradnl" w:bidi="ar-YE"/>
        </w:rPr>
        <w:t>;</w:t>
      </w:r>
      <w:r w:rsidR="008E0610" w:rsidRPr="00A64EB1">
        <w:rPr>
          <w:rFonts w:asciiTheme="majorHAnsi" w:hAnsiTheme="majorHAnsi"/>
          <w:sz w:val="20"/>
          <w:szCs w:val="20"/>
          <w:lang w:val="es-ES_tradnl" w:bidi="ar-YE"/>
        </w:rPr>
        <w:t xml:space="preserve"> reponer el procedimiento para dejar sin efecto la declaración preparatoria del peticionario</w:t>
      </w:r>
      <w:r w:rsidR="00C44574" w:rsidRPr="00A64EB1">
        <w:rPr>
          <w:rFonts w:asciiTheme="majorHAnsi" w:hAnsiTheme="majorHAnsi"/>
          <w:sz w:val="20"/>
          <w:szCs w:val="20"/>
          <w:lang w:val="es-ES_tradnl" w:bidi="ar-YE"/>
        </w:rPr>
        <w:t>;</w:t>
      </w:r>
      <w:r w:rsidR="008E0610" w:rsidRPr="00A64EB1">
        <w:rPr>
          <w:rFonts w:asciiTheme="majorHAnsi" w:hAnsiTheme="majorHAnsi"/>
          <w:sz w:val="20"/>
          <w:szCs w:val="20"/>
          <w:lang w:val="es-ES_tradnl" w:bidi="ar-YE"/>
        </w:rPr>
        <w:t xml:space="preserve"> y determinar nueva diligencia destinada a recabar su declaración preparatoria. </w:t>
      </w:r>
    </w:p>
    <w:p w14:paraId="19AA83F0" w14:textId="47960D29" w:rsidR="004B28A9" w:rsidRPr="00A64EB1" w:rsidRDefault="008E0610" w:rsidP="00A64E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bidi="ar-YE"/>
        </w:rPr>
      </w:pPr>
      <w:r w:rsidRPr="00A64EB1">
        <w:rPr>
          <w:rFonts w:asciiTheme="majorHAnsi" w:hAnsiTheme="majorHAnsi"/>
          <w:sz w:val="20"/>
          <w:szCs w:val="20"/>
          <w:lang w:val="es-ES_tradnl" w:bidi="ar-YE"/>
        </w:rPr>
        <w:t xml:space="preserve">En cumplimiento a dicha decisión, el 17 de junio de 2015 fue recabada una nueva declaración preparatoria del peticionario, con la asistencia de su defensor. </w:t>
      </w:r>
      <w:r w:rsidR="0059126F" w:rsidRPr="00A64EB1">
        <w:rPr>
          <w:rFonts w:asciiTheme="majorHAnsi" w:hAnsiTheme="majorHAnsi"/>
          <w:sz w:val="20"/>
          <w:szCs w:val="20"/>
          <w:lang w:val="es-ES_tradnl" w:bidi="ar-YE"/>
        </w:rPr>
        <w:t>En consecuencia, e</w:t>
      </w:r>
      <w:r w:rsidRPr="00A64EB1">
        <w:rPr>
          <w:rFonts w:asciiTheme="majorHAnsi" w:hAnsiTheme="majorHAnsi"/>
          <w:sz w:val="20"/>
          <w:szCs w:val="20"/>
          <w:lang w:val="es-ES_tradnl" w:bidi="ar-YE"/>
        </w:rPr>
        <w:t>l 23 de junio de 2015,</w:t>
      </w:r>
      <w:r w:rsidR="008C42B4" w:rsidRPr="00A64EB1">
        <w:rPr>
          <w:rFonts w:asciiTheme="majorHAnsi" w:hAnsiTheme="majorHAnsi"/>
          <w:sz w:val="20"/>
          <w:szCs w:val="20"/>
          <w:lang w:val="es-ES_tradnl" w:bidi="ar-YE"/>
        </w:rPr>
        <w:t xml:space="preserve"> fue adoptada nueva resolución que, en resumen, dictó</w:t>
      </w:r>
      <w:r w:rsidR="002B1C4E" w:rsidRPr="00A64EB1">
        <w:rPr>
          <w:rFonts w:asciiTheme="majorHAnsi" w:hAnsiTheme="majorHAnsi"/>
          <w:sz w:val="20"/>
          <w:szCs w:val="20"/>
          <w:lang w:val="es-ES_tradnl" w:bidi="ar-YE"/>
        </w:rPr>
        <w:t>:</w:t>
      </w:r>
      <w:r w:rsidR="008C42B4" w:rsidRPr="00A64EB1">
        <w:rPr>
          <w:rFonts w:asciiTheme="majorHAnsi" w:hAnsiTheme="majorHAnsi"/>
          <w:sz w:val="20"/>
          <w:szCs w:val="20"/>
          <w:lang w:val="es-ES_tradnl" w:bidi="ar-YE"/>
        </w:rPr>
        <w:t xml:space="preserve"> i) auto de libertad en favor del peticionario con respecto al delito de portación de arma de fuego y cartuchos de uso exclusivo de las fuerzas armadas; </w:t>
      </w:r>
      <w:r w:rsidR="003553EB" w:rsidRPr="00A64EB1">
        <w:rPr>
          <w:rFonts w:asciiTheme="majorHAnsi" w:hAnsiTheme="majorHAnsi"/>
          <w:sz w:val="20"/>
          <w:szCs w:val="20"/>
          <w:lang w:val="es-ES_tradnl" w:bidi="ar-YE"/>
        </w:rPr>
        <w:t xml:space="preserve">y </w:t>
      </w:r>
      <w:r w:rsidR="008C42B4" w:rsidRPr="00A64EB1">
        <w:rPr>
          <w:rFonts w:asciiTheme="majorHAnsi" w:hAnsiTheme="majorHAnsi"/>
          <w:sz w:val="20"/>
          <w:szCs w:val="20"/>
          <w:lang w:val="es-ES_tradnl" w:bidi="ar-YE"/>
        </w:rPr>
        <w:t xml:space="preserve">ii) auto de formal prisión del peticionario por su probable responsabilidad penal en la comisión de los delitos contra la salud, acopio de armas de fuego, y delincuencia organizada. </w:t>
      </w:r>
      <w:r w:rsidRPr="00A64EB1">
        <w:rPr>
          <w:rFonts w:asciiTheme="majorHAnsi" w:hAnsiTheme="majorHAnsi"/>
          <w:sz w:val="20"/>
          <w:szCs w:val="20"/>
          <w:lang w:val="es-ES_tradnl" w:bidi="ar-YE"/>
        </w:rPr>
        <w:t xml:space="preserve">La resolución fue recurrida y confirmada por el Primer Tribunal Unitario del Vigésimo Cuarto Circuito. </w:t>
      </w:r>
      <w:r w:rsidR="008C42B4" w:rsidRPr="00A64EB1">
        <w:rPr>
          <w:rFonts w:asciiTheme="majorHAnsi" w:hAnsiTheme="majorHAnsi"/>
          <w:sz w:val="20"/>
          <w:szCs w:val="20"/>
          <w:lang w:val="es-ES_tradnl" w:bidi="ar-YE"/>
        </w:rPr>
        <w:t>A continuación,</w:t>
      </w:r>
      <w:r w:rsidR="0059126F" w:rsidRPr="00A64EB1">
        <w:rPr>
          <w:rFonts w:asciiTheme="majorHAnsi" w:hAnsiTheme="majorHAnsi"/>
          <w:sz w:val="20"/>
          <w:szCs w:val="20"/>
          <w:lang w:val="es-ES_tradnl" w:bidi="ar-YE"/>
        </w:rPr>
        <w:t xml:space="preserve"> i</w:t>
      </w:r>
      <w:r w:rsidRPr="00A64EB1">
        <w:rPr>
          <w:rFonts w:asciiTheme="majorHAnsi" w:hAnsiTheme="majorHAnsi"/>
          <w:sz w:val="20"/>
          <w:szCs w:val="20"/>
          <w:lang w:val="es-ES_tradnl" w:bidi="ar-YE"/>
        </w:rPr>
        <w:t>nforma el Estado</w:t>
      </w:r>
      <w:r w:rsidR="0059126F" w:rsidRPr="00A64EB1">
        <w:rPr>
          <w:rFonts w:asciiTheme="majorHAnsi" w:hAnsiTheme="majorHAnsi"/>
          <w:sz w:val="20"/>
          <w:szCs w:val="20"/>
          <w:lang w:val="es-ES_tradnl" w:bidi="ar-YE"/>
        </w:rPr>
        <w:t xml:space="preserve"> que</w:t>
      </w:r>
      <w:r w:rsidRPr="00A64EB1">
        <w:rPr>
          <w:rFonts w:asciiTheme="majorHAnsi" w:hAnsiTheme="majorHAnsi"/>
          <w:sz w:val="20"/>
          <w:szCs w:val="20"/>
          <w:lang w:val="es-ES_tradnl" w:bidi="ar-YE"/>
        </w:rPr>
        <w:t xml:space="preserve"> mediante proveído del 15 de enero de 2016 se agotó la etapa de instrucción de la causa penal</w:t>
      </w:r>
      <w:r w:rsidR="0059126F" w:rsidRPr="00A64EB1">
        <w:rPr>
          <w:rFonts w:asciiTheme="majorHAnsi" w:hAnsiTheme="majorHAnsi"/>
          <w:sz w:val="20"/>
          <w:szCs w:val="20"/>
          <w:lang w:val="es-ES_tradnl" w:bidi="ar-YE"/>
        </w:rPr>
        <w:t>.</w:t>
      </w:r>
      <w:r w:rsidR="00952371" w:rsidRPr="00A64EB1">
        <w:rPr>
          <w:rFonts w:asciiTheme="majorHAnsi" w:hAnsiTheme="majorHAnsi"/>
          <w:sz w:val="20"/>
          <w:szCs w:val="20"/>
          <w:lang w:val="es-ES_tradnl" w:bidi="ar-YE"/>
        </w:rPr>
        <w:t xml:space="preserve"> </w:t>
      </w:r>
      <w:r w:rsidR="004F427E" w:rsidRPr="00A64EB1">
        <w:rPr>
          <w:rFonts w:asciiTheme="majorHAnsi" w:hAnsiTheme="majorHAnsi"/>
          <w:sz w:val="20"/>
          <w:szCs w:val="20"/>
          <w:lang w:val="es-ES_tradnl" w:bidi="ar-YE"/>
        </w:rPr>
        <w:t>–</w:t>
      </w:r>
      <w:r w:rsidR="00952371" w:rsidRPr="00A64EB1">
        <w:rPr>
          <w:rFonts w:asciiTheme="majorHAnsi" w:hAnsiTheme="majorHAnsi"/>
          <w:sz w:val="20"/>
          <w:szCs w:val="20"/>
          <w:lang w:val="es-ES_tradnl" w:bidi="ar-YE"/>
        </w:rPr>
        <w:t>Esta es la última información sobre el proceso penal</w:t>
      </w:r>
      <w:r w:rsidR="004F427E" w:rsidRPr="00A64EB1">
        <w:rPr>
          <w:rFonts w:asciiTheme="majorHAnsi" w:hAnsiTheme="majorHAnsi"/>
          <w:sz w:val="20"/>
          <w:szCs w:val="20"/>
          <w:lang w:val="es-ES_tradnl" w:bidi="ar-YE"/>
        </w:rPr>
        <w:t>–</w:t>
      </w:r>
      <w:r w:rsidR="00952371" w:rsidRPr="00A64EB1">
        <w:rPr>
          <w:rFonts w:asciiTheme="majorHAnsi" w:hAnsiTheme="majorHAnsi"/>
          <w:sz w:val="20"/>
          <w:szCs w:val="20"/>
          <w:lang w:val="es-ES_tradnl" w:bidi="ar-YE"/>
        </w:rPr>
        <w:t xml:space="preserve">. </w:t>
      </w:r>
    </w:p>
    <w:p w14:paraId="6B466593" w14:textId="23EAD031" w:rsidR="00B83158" w:rsidRPr="00A64EB1" w:rsidRDefault="00B83158" w:rsidP="00A64EB1">
      <w:pPr>
        <w:spacing w:after="240"/>
        <w:ind w:firstLine="720"/>
        <w:jc w:val="both"/>
        <w:rPr>
          <w:rFonts w:ascii="Cambria" w:hAnsi="Cambria"/>
          <w:sz w:val="20"/>
          <w:szCs w:val="20"/>
          <w:lang w:val="es-ES_tradnl" w:bidi="ar-YE"/>
        </w:rPr>
      </w:pPr>
      <w:r w:rsidRPr="00A64EB1">
        <w:rPr>
          <w:rFonts w:asciiTheme="majorHAnsi" w:hAnsiTheme="majorHAnsi"/>
          <w:b/>
          <w:sz w:val="20"/>
          <w:szCs w:val="20"/>
          <w:lang w:val="es-ES_tradnl" w:bidi="ar-YE"/>
        </w:rPr>
        <w:t xml:space="preserve">VI. </w:t>
      </w:r>
      <w:r w:rsidRPr="00A64EB1">
        <w:rPr>
          <w:rFonts w:asciiTheme="majorHAnsi" w:hAnsiTheme="majorHAnsi"/>
          <w:b/>
          <w:sz w:val="20"/>
          <w:szCs w:val="20"/>
          <w:lang w:val="es-ES_tradnl" w:bidi="ar-YE"/>
        </w:rPr>
        <w:tab/>
      </w:r>
      <w:r w:rsidRPr="00A64EB1">
        <w:rPr>
          <w:rFonts w:asciiTheme="majorHAnsi" w:hAnsiTheme="majorHAnsi"/>
          <w:b/>
          <w:bCs/>
          <w:sz w:val="20"/>
          <w:szCs w:val="20"/>
          <w:lang w:val="es-ES_tradnl" w:bidi="ar-YE"/>
        </w:rPr>
        <w:t xml:space="preserve">ANÁLISIS DE </w:t>
      </w:r>
      <w:r w:rsidRPr="00A64EB1">
        <w:rPr>
          <w:rFonts w:asciiTheme="majorHAnsi" w:hAnsiTheme="majorHAnsi"/>
          <w:b/>
          <w:sz w:val="20"/>
          <w:szCs w:val="20"/>
          <w:lang w:val="es-ES_tradnl" w:bidi="ar-YE"/>
        </w:rPr>
        <w:t>AGOTAMIENTO DE LOS RECURSOS INTERNOS Y PLAZO DE PRESENTACIÓN</w:t>
      </w:r>
      <w:r w:rsidRPr="00A64EB1">
        <w:rPr>
          <w:rFonts w:asciiTheme="majorHAnsi" w:eastAsia="Cambria" w:hAnsiTheme="majorHAnsi" w:cs="Cambria"/>
          <w:b/>
          <w:bCs/>
          <w:color w:val="000000"/>
          <w:sz w:val="20"/>
          <w:szCs w:val="20"/>
          <w:u w:color="000000"/>
          <w:lang w:val="es-ES_tradnl" w:eastAsia="es-ES" w:bidi="ar-YE"/>
        </w:rPr>
        <w:t xml:space="preserve"> </w:t>
      </w:r>
    </w:p>
    <w:p w14:paraId="77701FBF" w14:textId="4A0E177E" w:rsidR="0069360A" w:rsidRPr="00A64EB1" w:rsidRDefault="00442486"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El Estado considera que la petición se refiere fundamentalmente a la denuncia del peticionario por supuestamente haber sido detenido ilegalmente y obligado a confesar, por medio de actos de tortura, su responsabilidad en el delito de delincuencia organizada y portación de arma de fuego de uso exclusivo del ejército</w:t>
      </w:r>
      <w:r w:rsidR="0069360A" w:rsidRPr="00A64EB1">
        <w:rPr>
          <w:sz w:val="20"/>
          <w:szCs w:val="20"/>
          <w:lang w:val="es-ES_tradnl" w:bidi="ar-YE"/>
        </w:rPr>
        <w:t xml:space="preserve">; y a la denuncia por </w:t>
      </w:r>
      <w:r w:rsidRPr="00A64EB1">
        <w:rPr>
          <w:sz w:val="20"/>
          <w:szCs w:val="20"/>
          <w:lang w:val="es-ES_tradnl" w:bidi="ar-YE"/>
        </w:rPr>
        <w:t xml:space="preserve">violaciones al debido proceso dentro de </w:t>
      </w:r>
      <w:r w:rsidR="0069360A" w:rsidRPr="00A64EB1">
        <w:rPr>
          <w:sz w:val="20"/>
          <w:szCs w:val="20"/>
          <w:lang w:val="es-ES_tradnl" w:bidi="ar-YE"/>
        </w:rPr>
        <w:t>la</w:t>
      </w:r>
      <w:r w:rsidRPr="00A64EB1">
        <w:rPr>
          <w:sz w:val="20"/>
          <w:szCs w:val="20"/>
          <w:lang w:val="es-ES_tradnl" w:bidi="ar-YE"/>
        </w:rPr>
        <w:t xml:space="preserve"> causa penal. El Estado argumenta que, al momento en que el peticionario interpuso su denuncia ante la CIDH, el 13 de febrero de 2012, no había interpuesto los recursos internos idóneos </w:t>
      </w:r>
      <w:r w:rsidR="00971AB0" w:rsidRPr="00A64EB1">
        <w:rPr>
          <w:sz w:val="20"/>
          <w:szCs w:val="20"/>
          <w:lang w:val="es-ES_tradnl" w:bidi="ar-YE"/>
        </w:rPr>
        <w:t>frente a sus alegatos</w:t>
      </w:r>
      <w:r w:rsidRPr="00A64EB1">
        <w:rPr>
          <w:sz w:val="20"/>
          <w:szCs w:val="20"/>
          <w:lang w:val="es-ES_tradnl" w:bidi="ar-YE"/>
        </w:rPr>
        <w:t xml:space="preserve">. Asimismo, </w:t>
      </w:r>
      <w:r w:rsidR="00AF7601" w:rsidRPr="00A64EB1">
        <w:rPr>
          <w:sz w:val="20"/>
          <w:szCs w:val="20"/>
          <w:lang w:val="es-ES_tradnl" w:bidi="ar-YE"/>
        </w:rPr>
        <w:t xml:space="preserve">según indicó el Estado, </w:t>
      </w:r>
      <w:r w:rsidRPr="00A64EB1">
        <w:rPr>
          <w:sz w:val="20"/>
          <w:szCs w:val="20"/>
          <w:lang w:val="es-ES_tradnl" w:bidi="ar-YE"/>
        </w:rPr>
        <w:t>aún se continuaban las investigaciones sobre la supuesta tortura</w:t>
      </w:r>
      <w:r w:rsidR="00D316C2" w:rsidRPr="00A64EB1">
        <w:rPr>
          <w:sz w:val="20"/>
          <w:szCs w:val="20"/>
          <w:lang w:val="es-ES_tradnl" w:bidi="ar-YE"/>
        </w:rPr>
        <w:t>,</w:t>
      </w:r>
      <w:r w:rsidRPr="00A64EB1">
        <w:rPr>
          <w:sz w:val="20"/>
          <w:szCs w:val="20"/>
          <w:lang w:val="es-ES_tradnl" w:bidi="ar-YE"/>
        </w:rPr>
        <w:t xml:space="preserve"> y </w:t>
      </w:r>
      <w:r w:rsidR="00D316C2" w:rsidRPr="00A64EB1">
        <w:rPr>
          <w:sz w:val="20"/>
          <w:szCs w:val="20"/>
          <w:lang w:val="es-ES_tradnl" w:bidi="ar-YE"/>
        </w:rPr>
        <w:t xml:space="preserve">la </w:t>
      </w:r>
      <w:r w:rsidRPr="00A64EB1">
        <w:rPr>
          <w:sz w:val="20"/>
          <w:szCs w:val="20"/>
          <w:lang w:val="es-ES_tradnl" w:bidi="ar-YE"/>
        </w:rPr>
        <w:t xml:space="preserve">probable responsabilidad del peticionario dentro </w:t>
      </w:r>
      <w:r w:rsidR="00E77652" w:rsidRPr="00A64EB1">
        <w:rPr>
          <w:sz w:val="20"/>
          <w:szCs w:val="20"/>
          <w:lang w:val="es-ES_tradnl" w:bidi="ar-YE"/>
        </w:rPr>
        <w:t>del proceso penal que aún sigue en curso</w:t>
      </w:r>
      <w:r w:rsidRPr="00A64EB1">
        <w:rPr>
          <w:sz w:val="20"/>
          <w:szCs w:val="20"/>
          <w:lang w:val="es-ES_tradnl" w:bidi="ar-YE"/>
        </w:rPr>
        <w:t>.</w:t>
      </w:r>
    </w:p>
    <w:p w14:paraId="66007545" w14:textId="67BECB2D" w:rsidR="0048640F" w:rsidRPr="00A64EB1" w:rsidRDefault="0048640F"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Para el análisis del agotamiento de los recursos domésticos en el presente asunto, la CIDH recuerda que</w:t>
      </w:r>
      <w:r w:rsidR="00D316C2" w:rsidRPr="00A64EB1">
        <w:rPr>
          <w:sz w:val="20"/>
          <w:szCs w:val="20"/>
          <w:lang w:val="es-ES_tradnl" w:bidi="ar-YE"/>
        </w:rPr>
        <w:t>,</w:t>
      </w:r>
      <w:r w:rsidRPr="00A64EB1">
        <w:rPr>
          <w:sz w:val="20"/>
          <w:szCs w:val="20"/>
          <w:lang w:val="es-ES_tradnl" w:bidi="ar-YE"/>
        </w:rPr>
        <w:t xml:space="preserv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D22B74" w:rsidRPr="00A64EB1">
        <w:rPr>
          <w:rStyle w:val="FootnoteReference"/>
          <w:sz w:val="20"/>
          <w:szCs w:val="20"/>
          <w:lang w:val="es-ES_tradnl" w:bidi="ar-YE"/>
        </w:rPr>
        <w:footnoteReference w:id="7"/>
      </w:r>
      <w:r w:rsidRPr="00A64EB1">
        <w:rPr>
          <w:sz w:val="20"/>
          <w:szCs w:val="20"/>
          <w:lang w:val="es-ES_tradnl" w:bidi="ar-YE"/>
        </w:rPr>
        <w:t xml:space="preserve">. En el presente caso, la Comisión identifica </w:t>
      </w:r>
      <w:r w:rsidR="00DA4679" w:rsidRPr="00A64EB1">
        <w:rPr>
          <w:sz w:val="20"/>
          <w:szCs w:val="20"/>
          <w:lang w:val="es-ES_tradnl" w:bidi="ar-YE"/>
        </w:rPr>
        <w:t xml:space="preserve">dos </w:t>
      </w:r>
      <w:r w:rsidRPr="00A64EB1">
        <w:rPr>
          <w:sz w:val="20"/>
          <w:szCs w:val="20"/>
          <w:lang w:val="es-ES_tradnl" w:bidi="ar-YE"/>
        </w:rPr>
        <w:t xml:space="preserve">reclamos principales que se derivan de lo que plantea el peticionario: </w:t>
      </w:r>
      <w:r w:rsidR="00EE3676" w:rsidRPr="00A64EB1">
        <w:rPr>
          <w:sz w:val="20"/>
          <w:szCs w:val="20"/>
          <w:lang w:val="es-ES_tradnl" w:bidi="ar-YE"/>
        </w:rPr>
        <w:t>(</w:t>
      </w:r>
      <w:r w:rsidRPr="00A64EB1">
        <w:rPr>
          <w:sz w:val="20"/>
          <w:szCs w:val="20"/>
          <w:lang w:val="es-ES_tradnl" w:bidi="ar-YE"/>
        </w:rPr>
        <w:t xml:space="preserve">i) </w:t>
      </w:r>
      <w:r w:rsidR="002B2265" w:rsidRPr="00A64EB1">
        <w:rPr>
          <w:sz w:val="20"/>
          <w:szCs w:val="20"/>
          <w:lang w:val="es-ES_tradnl" w:bidi="ar-YE"/>
        </w:rPr>
        <w:t xml:space="preserve">la </w:t>
      </w:r>
      <w:r w:rsidRPr="00A64EB1">
        <w:rPr>
          <w:sz w:val="20"/>
          <w:szCs w:val="20"/>
          <w:lang w:val="es-ES_tradnl" w:bidi="ar-YE"/>
        </w:rPr>
        <w:t>violación de las garantías judiciales</w:t>
      </w:r>
      <w:r w:rsidR="00B06277" w:rsidRPr="00A64EB1">
        <w:rPr>
          <w:sz w:val="20"/>
          <w:szCs w:val="20"/>
          <w:lang w:val="es-ES_tradnl" w:bidi="ar-YE"/>
        </w:rPr>
        <w:t>,</w:t>
      </w:r>
      <w:r w:rsidRPr="00A64EB1">
        <w:rPr>
          <w:sz w:val="20"/>
          <w:szCs w:val="20"/>
          <w:lang w:val="es-ES_tradnl" w:bidi="ar-YE"/>
        </w:rPr>
        <w:t xml:space="preserve"> libertad personal</w:t>
      </w:r>
      <w:r w:rsidR="00B06277" w:rsidRPr="00A64EB1">
        <w:rPr>
          <w:sz w:val="20"/>
          <w:szCs w:val="20"/>
          <w:lang w:val="es-ES_tradnl" w:bidi="ar-YE"/>
        </w:rPr>
        <w:t xml:space="preserve"> y honra y dignidad</w:t>
      </w:r>
      <w:r w:rsidR="009C52FB" w:rsidRPr="00A64EB1">
        <w:rPr>
          <w:sz w:val="20"/>
          <w:szCs w:val="20"/>
          <w:lang w:val="es-ES_tradnl" w:bidi="ar-YE"/>
        </w:rPr>
        <w:t>,</w:t>
      </w:r>
      <w:r w:rsidRPr="00A64EB1">
        <w:rPr>
          <w:sz w:val="20"/>
          <w:szCs w:val="20"/>
          <w:lang w:val="es-ES_tradnl" w:bidi="ar-YE"/>
        </w:rPr>
        <w:t xml:space="preserve"> en la medida en que </w:t>
      </w:r>
      <w:r w:rsidR="00971AB0" w:rsidRPr="00A64EB1">
        <w:rPr>
          <w:sz w:val="20"/>
          <w:szCs w:val="20"/>
          <w:lang w:val="es-ES_tradnl" w:bidi="ar-YE"/>
        </w:rPr>
        <w:t>habría sido detenido sin</w:t>
      </w:r>
      <w:r w:rsidRPr="00A64EB1">
        <w:rPr>
          <w:sz w:val="20"/>
          <w:szCs w:val="20"/>
          <w:lang w:val="es-ES_tradnl" w:bidi="ar-YE"/>
        </w:rPr>
        <w:t xml:space="preserve"> orden judicial</w:t>
      </w:r>
      <w:r w:rsidR="00B06277" w:rsidRPr="00A64EB1">
        <w:rPr>
          <w:sz w:val="20"/>
          <w:szCs w:val="20"/>
          <w:lang w:val="es-ES_tradnl" w:bidi="ar-YE"/>
        </w:rPr>
        <w:t xml:space="preserve">, </w:t>
      </w:r>
      <w:r w:rsidR="00DE71D5" w:rsidRPr="00A64EB1">
        <w:rPr>
          <w:sz w:val="20"/>
          <w:szCs w:val="20"/>
          <w:lang w:val="es-ES_tradnl" w:bidi="ar-YE"/>
        </w:rPr>
        <w:t xml:space="preserve">y </w:t>
      </w:r>
      <w:r w:rsidR="00B06277" w:rsidRPr="00A64EB1">
        <w:rPr>
          <w:sz w:val="20"/>
          <w:szCs w:val="20"/>
          <w:lang w:val="es-ES_tradnl" w:bidi="ar-YE"/>
        </w:rPr>
        <w:t>presentado como parte de un grupo criminal ante los medios de comunicación</w:t>
      </w:r>
      <w:r w:rsidR="00971AB0" w:rsidRPr="00A64EB1">
        <w:rPr>
          <w:sz w:val="20"/>
          <w:szCs w:val="20"/>
          <w:lang w:val="es-ES_tradnl" w:bidi="ar-YE"/>
        </w:rPr>
        <w:t>;</w:t>
      </w:r>
      <w:r w:rsidRPr="00A64EB1">
        <w:rPr>
          <w:sz w:val="20"/>
          <w:szCs w:val="20"/>
          <w:lang w:val="es-ES_tradnl" w:bidi="ar-YE"/>
        </w:rPr>
        <w:t xml:space="preserve"> </w:t>
      </w:r>
      <w:r w:rsidR="00DE71D5" w:rsidRPr="00A64EB1">
        <w:rPr>
          <w:sz w:val="20"/>
          <w:szCs w:val="20"/>
          <w:lang w:val="es-ES_tradnl" w:bidi="ar-YE"/>
        </w:rPr>
        <w:t xml:space="preserve">y que </w:t>
      </w:r>
      <w:r w:rsidRPr="00A64EB1">
        <w:rPr>
          <w:sz w:val="20"/>
          <w:szCs w:val="20"/>
          <w:lang w:val="es-ES_tradnl" w:bidi="ar-YE"/>
        </w:rPr>
        <w:t>en el curso de la causa penal que se le siguió, se dictó una sentencia en su contra sin un soporte probatorio adecuado, basada en una confesión extraída mediante torturas</w:t>
      </w:r>
      <w:r w:rsidR="00971AB0" w:rsidRPr="00A64EB1">
        <w:rPr>
          <w:sz w:val="20"/>
          <w:szCs w:val="20"/>
          <w:lang w:val="es-ES_tradnl" w:bidi="ar-YE"/>
        </w:rPr>
        <w:t>;</w:t>
      </w:r>
      <w:r w:rsidR="00A43ACF" w:rsidRPr="00A64EB1">
        <w:rPr>
          <w:sz w:val="20"/>
          <w:szCs w:val="20"/>
          <w:lang w:val="es-ES_tradnl" w:bidi="ar-YE"/>
        </w:rPr>
        <w:t xml:space="preserve"> </w:t>
      </w:r>
      <w:r w:rsidR="002B2265" w:rsidRPr="00A64EB1">
        <w:rPr>
          <w:sz w:val="20"/>
          <w:szCs w:val="20"/>
          <w:lang w:val="es-ES_tradnl" w:bidi="ar-YE"/>
        </w:rPr>
        <w:t xml:space="preserve">y </w:t>
      </w:r>
      <w:r w:rsidR="00EE3676" w:rsidRPr="00A64EB1">
        <w:rPr>
          <w:sz w:val="20"/>
          <w:szCs w:val="20"/>
          <w:lang w:val="es-ES_tradnl" w:bidi="ar-YE"/>
        </w:rPr>
        <w:t>(</w:t>
      </w:r>
      <w:r w:rsidRPr="00A64EB1">
        <w:rPr>
          <w:sz w:val="20"/>
          <w:szCs w:val="20"/>
          <w:lang w:val="es-ES_tradnl" w:bidi="ar-YE"/>
        </w:rPr>
        <w:t xml:space="preserve">ii) </w:t>
      </w:r>
      <w:r w:rsidR="002B2265" w:rsidRPr="00A64EB1">
        <w:rPr>
          <w:sz w:val="20"/>
          <w:szCs w:val="20"/>
          <w:lang w:val="es-ES_tradnl" w:bidi="ar-YE"/>
        </w:rPr>
        <w:t xml:space="preserve">la </w:t>
      </w:r>
      <w:r w:rsidRPr="00A64EB1">
        <w:rPr>
          <w:sz w:val="20"/>
          <w:szCs w:val="20"/>
          <w:lang w:val="es-ES_tradnl" w:bidi="ar-YE"/>
        </w:rPr>
        <w:t>violación al derecho a la integridad personal</w:t>
      </w:r>
      <w:r w:rsidR="003D257F" w:rsidRPr="00A64EB1">
        <w:rPr>
          <w:sz w:val="20"/>
          <w:szCs w:val="20"/>
          <w:lang w:val="es-ES_tradnl" w:bidi="ar-YE"/>
        </w:rPr>
        <w:t>,</w:t>
      </w:r>
      <w:r w:rsidRPr="00A64EB1">
        <w:rPr>
          <w:sz w:val="20"/>
          <w:szCs w:val="20"/>
          <w:lang w:val="es-ES_tradnl" w:bidi="ar-YE"/>
        </w:rPr>
        <w:t xml:space="preserve"> </w:t>
      </w:r>
      <w:r w:rsidR="00132A5F" w:rsidRPr="00A64EB1">
        <w:rPr>
          <w:sz w:val="20"/>
          <w:szCs w:val="20"/>
          <w:lang w:val="es-ES_tradnl" w:bidi="ar-YE"/>
        </w:rPr>
        <w:t>por haber</w:t>
      </w:r>
      <w:r w:rsidRPr="00A64EB1">
        <w:rPr>
          <w:sz w:val="20"/>
          <w:szCs w:val="20"/>
          <w:lang w:val="es-ES_tradnl" w:bidi="ar-YE"/>
        </w:rPr>
        <w:t xml:space="preserve"> sido víctima de torturas físicas y psicológicas por parte de sus captores durante las horas siguientes a su detención inicial, tendientes a extraer de él </w:t>
      </w:r>
      <w:r w:rsidR="00D32A7A" w:rsidRPr="00A64EB1">
        <w:rPr>
          <w:sz w:val="20"/>
          <w:szCs w:val="20"/>
          <w:lang w:val="es-ES_tradnl" w:bidi="ar-YE"/>
        </w:rPr>
        <w:t>una</w:t>
      </w:r>
      <w:r w:rsidRPr="00A64EB1">
        <w:rPr>
          <w:sz w:val="20"/>
          <w:szCs w:val="20"/>
          <w:lang w:val="es-ES_tradnl" w:bidi="ar-YE"/>
        </w:rPr>
        <w:t xml:space="preserve"> confesión</w:t>
      </w:r>
      <w:r w:rsidR="00D32A7A" w:rsidRPr="00A64EB1">
        <w:rPr>
          <w:sz w:val="20"/>
          <w:szCs w:val="20"/>
          <w:lang w:val="es-ES_tradnl" w:bidi="ar-YE"/>
        </w:rPr>
        <w:t xml:space="preserve">. </w:t>
      </w:r>
    </w:p>
    <w:p w14:paraId="4FEB0091" w14:textId="0D0EED61" w:rsidR="00666CA0" w:rsidRPr="00A64EB1" w:rsidRDefault="0048640F"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 xml:space="preserve">Con relación al reclamo </w:t>
      </w:r>
      <w:r w:rsidR="00EE3676" w:rsidRPr="00A64EB1">
        <w:rPr>
          <w:sz w:val="20"/>
          <w:szCs w:val="20"/>
          <w:lang w:val="es-ES_tradnl" w:bidi="ar-YE"/>
        </w:rPr>
        <w:t>(</w:t>
      </w:r>
      <w:r w:rsidRPr="00A64EB1">
        <w:rPr>
          <w:sz w:val="20"/>
          <w:szCs w:val="20"/>
          <w:lang w:val="es-ES_tradnl" w:bidi="ar-YE"/>
        </w:rPr>
        <w:t xml:space="preserve">i), </w:t>
      </w:r>
      <w:r w:rsidR="00AC18B1" w:rsidRPr="00A64EB1">
        <w:rPr>
          <w:sz w:val="20"/>
          <w:szCs w:val="20"/>
          <w:lang w:val="es-ES_tradnl" w:bidi="ar-YE"/>
        </w:rPr>
        <w:t xml:space="preserve">la última información proporcionada por el peticionario </w:t>
      </w:r>
      <w:r w:rsidR="004A7463" w:rsidRPr="00A64EB1">
        <w:rPr>
          <w:sz w:val="20"/>
          <w:szCs w:val="20"/>
          <w:lang w:val="es-ES_tradnl" w:bidi="ar-YE"/>
        </w:rPr>
        <w:t>indicaba que el proceso penal estaría en etapa de apelación en octubre de 2020</w:t>
      </w:r>
      <w:r w:rsidR="00AC18B1" w:rsidRPr="00A64EB1">
        <w:rPr>
          <w:sz w:val="20"/>
          <w:szCs w:val="20"/>
          <w:lang w:val="es-ES_tradnl" w:bidi="ar-YE"/>
        </w:rPr>
        <w:t>;</w:t>
      </w:r>
      <w:r w:rsidR="004A7463" w:rsidRPr="00A64EB1">
        <w:rPr>
          <w:sz w:val="20"/>
          <w:szCs w:val="20"/>
          <w:lang w:val="es-ES_tradnl" w:bidi="ar-YE"/>
        </w:rPr>
        <w:t xml:space="preserve"> la última información proporcionada por el Estado, en su escrito de marzo de 2016, indicaba que el proceso recién había concluido su etapa de instrucción;</w:t>
      </w:r>
      <w:r w:rsidR="00AC18B1" w:rsidRPr="00A64EB1">
        <w:rPr>
          <w:sz w:val="20"/>
          <w:szCs w:val="20"/>
          <w:lang w:val="es-ES_tradnl" w:bidi="ar-YE"/>
        </w:rPr>
        <w:t xml:space="preserve"> </w:t>
      </w:r>
      <w:r w:rsidR="004A7463" w:rsidRPr="00A64EB1">
        <w:rPr>
          <w:sz w:val="20"/>
          <w:szCs w:val="20"/>
          <w:lang w:val="es-ES_tradnl" w:bidi="ar-YE"/>
        </w:rPr>
        <w:t xml:space="preserve">por lo tanto, </w:t>
      </w:r>
      <w:r w:rsidR="0079515B" w:rsidRPr="00A64EB1">
        <w:rPr>
          <w:sz w:val="20"/>
          <w:szCs w:val="20"/>
          <w:lang w:val="es-ES_tradnl" w:bidi="ar-YE"/>
        </w:rPr>
        <w:t xml:space="preserve">la CIDH no cuenta con información aportada por las partes que indique que el </w:t>
      </w:r>
      <w:r w:rsidR="0069360A" w:rsidRPr="00A64EB1">
        <w:rPr>
          <w:sz w:val="20"/>
          <w:szCs w:val="20"/>
          <w:lang w:val="es-ES_tradnl" w:bidi="ar-YE"/>
        </w:rPr>
        <w:t xml:space="preserve">proceso penal contra el Sr. Alamillo Quintero </w:t>
      </w:r>
      <w:r w:rsidR="0079515B" w:rsidRPr="00A64EB1">
        <w:rPr>
          <w:sz w:val="20"/>
          <w:szCs w:val="20"/>
          <w:lang w:val="es-ES_tradnl" w:bidi="ar-YE"/>
        </w:rPr>
        <w:t>haya f</w:t>
      </w:r>
      <w:r w:rsidR="0069360A" w:rsidRPr="00A64EB1">
        <w:rPr>
          <w:sz w:val="20"/>
          <w:szCs w:val="20"/>
          <w:lang w:val="es-ES_tradnl" w:bidi="ar-YE"/>
        </w:rPr>
        <w:t>inalizado. El Estado no presenta</w:t>
      </w:r>
      <w:r w:rsidR="00F9653D" w:rsidRPr="00A64EB1">
        <w:rPr>
          <w:sz w:val="20"/>
          <w:szCs w:val="20"/>
          <w:lang w:val="es-ES_tradnl" w:bidi="ar-YE"/>
        </w:rPr>
        <w:t xml:space="preserve"> una</w:t>
      </w:r>
      <w:r w:rsidR="0069360A" w:rsidRPr="00A64EB1">
        <w:rPr>
          <w:sz w:val="20"/>
          <w:szCs w:val="20"/>
          <w:lang w:val="es-ES_tradnl" w:bidi="ar-YE"/>
        </w:rPr>
        <w:t xml:space="preserve"> justificación sobre la falta de conclusión de dicho proceso. En consecuencia, dada la falta de elementos que justifiquen este plazo prologando</w:t>
      </w:r>
      <w:r w:rsidR="00C05B33" w:rsidRPr="00A64EB1">
        <w:rPr>
          <w:sz w:val="20"/>
          <w:szCs w:val="20"/>
          <w:lang w:val="es-ES_tradnl" w:bidi="ar-YE"/>
        </w:rPr>
        <w:t xml:space="preserve"> de más de una década</w:t>
      </w:r>
      <w:r w:rsidR="0069360A" w:rsidRPr="00A64EB1">
        <w:rPr>
          <w:sz w:val="20"/>
          <w:szCs w:val="20"/>
          <w:lang w:val="es-ES_tradnl" w:bidi="ar-YE"/>
        </w:rPr>
        <w:t xml:space="preserve">, sobre todo a tenor del presente análisis de admisibilidad, que es en esencia distinto del </w:t>
      </w:r>
      <w:r w:rsidR="0069360A" w:rsidRPr="00A64EB1">
        <w:rPr>
          <w:sz w:val="20"/>
          <w:szCs w:val="20"/>
          <w:lang w:val="es-ES_tradnl" w:bidi="ar-YE"/>
        </w:rPr>
        <w:lastRenderedPageBreak/>
        <w:t>de fondo, la Comisión considera pertinente aplicar la excepción prevista en el artículo 46.2.c) de la Convención Americana. Además, dado que la petición se presentó el 13 de diciembre de 2012, la CIDH estima que esta se presentó en un plazo razonable, conforme al artículo 32.2. de su Reglamento</w:t>
      </w:r>
      <w:bookmarkStart w:id="3" w:name="_Hlk130218270"/>
      <w:r w:rsidR="0069360A" w:rsidRPr="00A64EB1">
        <w:rPr>
          <w:bCs/>
          <w:sz w:val="20"/>
          <w:szCs w:val="20"/>
          <w:vertAlign w:val="superscript"/>
          <w:lang w:val="es-ES_tradnl" w:bidi="ar-YE"/>
        </w:rPr>
        <w:footnoteReference w:id="8"/>
      </w:r>
      <w:bookmarkEnd w:id="3"/>
      <w:r w:rsidR="0069360A" w:rsidRPr="00A64EB1">
        <w:rPr>
          <w:sz w:val="20"/>
          <w:szCs w:val="20"/>
          <w:lang w:val="es-ES_tradnl" w:bidi="ar-YE"/>
        </w:rPr>
        <w:t>.</w:t>
      </w:r>
      <w:r w:rsidRPr="00A64EB1">
        <w:rPr>
          <w:sz w:val="20"/>
          <w:szCs w:val="20"/>
          <w:lang w:val="es-ES_tradnl" w:bidi="ar-YE"/>
        </w:rPr>
        <w:t xml:space="preserve"> </w:t>
      </w:r>
    </w:p>
    <w:p w14:paraId="77F1E926" w14:textId="01D127A8" w:rsidR="00B06277" w:rsidRPr="00A64EB1" w:rsidRDefault="0069360A"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Sobre este punto, la Comisión recuerda que las disposiciones del artículo 46.2 de la Convención Americana, referidas a las excepciones a la regla del previo agotamiento de los recursos internos, por su naturaleza y objeto, son normas con contenido autónomo vis à vis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A64EB1">
        <w:rPr>
          <w:bCs/>
          <w:sz w:val="20"/>
          <w:szCs w:val="20"/>
          <w:vertAlign w:val="superscript"/>
          <w:lang w:val="es-ES_tradnl" w:bidi="ar-YE"/>
        </w:rPr>
        <w:footnoteReference w:id="9"/>
      </w:r>
      <w:r w:rsidRPr="00A64EB1">
        <w:rPr>
          <w:sz w:val="20"/>
          <w:szCs w:val="20"/>
          <w:lang w:val="es-ES_tradnl" w:bidi="ar-YE"/>
        </w:rPr>
        <w:t>.</w:t>
      </w:r>
    </w:p>
    <w:p w14:paraId="3A772393" w14:textId="331DB4A5" w:rsidR="0069360A" w:rsidRPr="00A64EB1" w:rsidRDefault="00B06277"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 xml:space="preserve">Con respecto al reclamo (ii), consistente en que el Sr. Alamillo Quintero habría sido víctima de torturas por parte de agentes policiales para efectos de extraerle una confesión prefabricada al inicio del proceso penal, la CIDH recuerda su postura uniforme en casos de tortura: el Estado tiene el deber oficioso de iniciar, impulsar y llevar a término una investigación penal que permita identificar, juzgar y sancionar a los perpetradores de tal crimen. </w:t>
      </w:r>
      <w:r w:rsidR="00BC2F6D" w:rsidRPr="00A64EB1">
        <w:rPr>
          <w:sz w:val="20"/>
          <w:szCs w:val="20"/>
          <w:lang w:val="es-ES_tradnl" w:bidi="ar-YE"/>
        </w:rPr>
        <w:t>Este</w:t>
      </w:r>
      <w:r w:rsidRPr="00A64EB1">
        <w:rPr>
          <w:sz w:val="20"/>
          <w:szCs w:val="20"/>
          <w:lang w:val="es-ES_tradnl" w:bidi="ar-YE"/>
        </w:rPr>
        <w:t xml:space="preserve"> deber oficioso del Estado se activa de inmediato cuando la víctima o quien actúe en su nombre ponga en conocimiento de las autoridades, por cualquier medio idóneo, las alegadas torturas o vejámenes que ha sufrido; esos medios idóneos pueden incluir una denuncia penal, una comunicación a las autoridades penitenciarias o administrativas, un reporte a una autoridad judicial, o incluso las conclusiones de organismos nacionales de derechos humanos. 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Pr="00A64EB1">
        <w:rPr>
          <w:bCs/>
          <w:sz w:val="20"/>
          <w:szCs w:val="20"/>
          <w:vertAlign w:val="superscript"/>
          <w:lang w:val="es-ES_tradnl" w:bidi="ar-YE"/>
        </w:rPr>
        <w:footnoteReference w:id="10"/>
      </w:r>
      <w:r w:rsidRPr="00A64EB1">
        <w:rPr>
          <w:sz w:val="20"/>
          <w:szCs w:val="20"/>
          <w:lang w:val="es-ES_tradnl" w:bidi="ar-YE"/>
        </w:rPr>
        <w:t>.</w:t>
      </w:r>
    </w:p>
    <w:p w14:paraId="25579384" w14:textId="3BEFF1EF" w:rsidR="000A336D" w:rsidRPr="00A64EB1" w:rsidRDefault="006A60A5"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 xml:space="preserve">Al respecto, se desprende de los escritos del peticionario que </w:t>
      </w:r>
      <w:r w:rsidR="00971AB0" w:rsidRPr="00A64EB1">
        <w:rPr>
          <w:sz w:val="20"/>
          <w:szCs w:val="20"/>
          <w:lang w:val="es-ES_tradnl" w:bidi="ar-YE"/>
        </w:rPr>
        <w:t>la</w:t>
      </w:r>
      <w:r w:rsidRPr="00A64EB1">
        <w:rPr>
          <w:sz w:val="20"/>
          <w:szCs w:val="20"/>
          <w:lang w:val="es-ES_tradnl" w:bidi="ar-YE"/>
        </w:rPr>
        <w:t xml:space="preserve"> tortura habría sido llevada al conocimiento del Estado por medio del amparo de 8 de julio de 2011 que solicitaba un peritaje psicológico sobre la alegada tortura. </w:t>
      </w:r>
      <w:r w:rsidR="00AC18B1" w:rsidRPr="00A64EB1">
        <w:rPr>
          <w:sz w:val="20"/>
          <w:szCs w:val="20"/>
          <w:lang w:val="es-ES_tradnl" w:bidi="ar-YE"/>
        </w:rPr>
        <w:t>E</w:t>
      </w:r>
      <w:r w:rsidR="00EE3676" w:rsidRPr="00A64EB1">
        <w:rPr>
          <w:sz w:val="20"/>
          <w:szCs w:val="20"/>
          <w:lang w:val="es-ES_tradnl" w:bidi="ar-YE"/>
        </w:rPr>
        <w:t>l Estado pudo tener conocimiento de la alegación de tortura e impulsar investigaciones al menos desde el citado amparo de 8 de julio de 2011. Sin embargo, el Estado no ha brindado a la CIDH información suficiente sobre el impulso y conclusión de investigaciones con respecto a la posible tortura. Los elementos aportados por las partes sugieren, por tanto, que dichas investigaciones no han sido impulsadas y concluidas hasta el presente,</w:t>
      </w:r>
      <w:r w:rsidR="00913764" w:rsidRPr="00A64EB1">
        <w:rPr>
          <w:sz w:val="20"/>
          <w:szCs w:val="20"/>
          <w:lang w:val="es-ES_tradnl" w:bidi="ar-YE"/>
        </w:rPr>
        <w:t xml:space="preserve"> más de catorce años después de la fecha en que supuestamente se produjo la alegada tortura, febrero de 2009,</w:t>
      </w:r>
      <w:r w:rsidR="00EE3676" w:rsidRPr="00A64EB1">
        <w:rPr>
          <w:sz w:val="20"/>
          <w:szCs w:val="20"/>
          <w:lang w:val="es-ES_tradnl" w:bidi="ar-YE"/>
        </w:rPr>
        <w:t xml:space="preserve"> </w:t>
      </w:r>
      <w:r w:rsidR="00913764" w:rsidRPr="00A64EB1">
        <w:rPr>
          <w:sz w:val="20"/>
          <w:szCs w:val="20"/>
          <w:lang w:val="es-ES_tradnl" w:bidi="ar-YE"/>
        </w:rPr>
        <w:t xml:space="preserve">y </w:t>
      </w:r>
      <w:r w:rsidR="00EE3676" w:rsidRPr="00A64EB1">
        <w:rPr>
          <w:sz w:val="20"/>
          <w:szCs w:val="20"/>
          <w:lang w:val="es-ES_tradnl" w:bidi="ar-YE"/>
        </w:rPr>
        <w:t xml:space="preserve">más de </w:t>
      </w:r>
      <w:r w:rsidR="00913764" w:rsidRPr="00A64EB1">
        <w:rPr>
          <w:sz w:val="20"/>
          <w:szCs w:val="20"/>
          <w:lang w:val="es-ES_tradnl" w:bidi="ar-YE"/>
        </w:rPr>
        <w:t>once</w:t>
      </w:r>
      <w:r w:rsidR="00EE3676" w:rsidRPr="00A64EB1">
        <w:rPr>
          <w:sz w:val="20"/>
          <w:szCs w:val="20"/>
          <w:lang w:val="es-ES_tradnl" w:bidi="ar-YE"/>
        </w:rPr>
        <w:t xml:space="preserve"> años después del citado julio de 2011.</w:t>
      </w:r>
      <w:r w:rsidR="00913764" w:rsidRPr="00A64EB1">
        <w:rPr>
          <w:sz w:val="20"/>
          <w:szCs w:val="20"/>
          <w:lang w:val="es-ES_tradnl" w:bidi="ar-YE"/>
        </w:rPr>
        <w:t xml:space="preserve"> </w:t>
      </w:r>
      <w:r w:rsidR="000A336D" w:rsidRPr="00A64EB1">
        <w:rPr>
          <w:sz w:val="20"/>
          <w:szCs w:val="20"/>
          <w:lang w:val="es-ES_tradnl" w:bidi="ar-YE"/>
        </w:rPr>
        <w:t xml:space="preserve">Además, en la etapa de fondo del presente asunto la Comisión evaluará </w:t>
      </w:r>
      <w:r w:rsidR="002148ED" w:rsidRPr="00A64EB1">
        <w:rPr>
          <w:sz w:val="20"/>
          <w:szCs w:val="20"/>
          <w:lang w:val="es-ES_tradnl" w:bidi="ar-YE"/>
        </w:rPr>
        <w:t xml:space="preserve">si en el curso del proceso penal seguido contra el peticionario en efecto se anularon algunas </w:t>
      </w:r>
      <w:r w:rsidR="006175F5" w:rsidRPr="00A64EB1">
        <w:rPr>
          <w:sz w:val="20"/>
          <w:szCs w:val="20"/>
          <w:lang w:val="es-ES_tradnl" w:bidi="ar-YE"/>
        </w:rPr>
        <w:t xml:space="preserve">declaraciones sobre la base de estas fueron extraídas bajo apremios ilegales, en cuyo </w:t>
      </w:r>
      <w:r w:rsidR="00026D76" w:rsidRPr="00A64EB1">
        <w:rPr>
          <w:sz w:val="20"/>
          <w:szCs w:val="20"/>
          <w:lang w:val="es-ES_tradnl" w:bidi="ar-YE"/>
        </w:rPr>
        <w:t>caso</w:t>
      </w:r>
      <w:r w:rsidR="006175F5" w:rsidRPr="00A64EB1">
        <w:rPr>
          <w:sz w:val="20"/>
          <w:szCs w:val="20"/>
          <w:lang w:val="es-ES_tradnl" w:bidi="ar-YE"/>
        </w:rPr>
        <w:t xml:space="preserve"> igualmente el Estado debió </w:t>
      </w:r>
      <w:r w:rsidR="00026D76" w:rsidRPr="00A64EB1">
        <w:rPr>
          <w:sz w:val="20"/>
          <w:szCs w:val="20"/>
          <w:lang w:val="es-ES_tradnl" w:bidi="ar-YE"/>
        </w:rPr>
        <w:t>investigar</w:t>
      </w:r>
      <w:r w:rsidR="006175F5" w:rsidRPr="00A64EB1">
        <w:rPr>
          <w:sz w:val="20"/>
          <w:szCs w:val="20"/>
          <w:lang w:val="es-ES_tradnl" w:bidi="ar-YE"/>
        </w:rPr>
        <w:t xml:space="preserve"> esta circunstancia.</w:t>
      </w:r>
    </w:p>
    <w:p w14:paraId="359109DE" w14:textId="6C9BA6DD" w:rsidR="00133CC6" w:rsidRPr="00A64EB1" w:rsidRDefault="00AB7885"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Considerando todo el expuesto, la Comisión concluye que en el presente caso se configura la excepción al agotamiento de recursos internos prevista en el artículo 46.2.c) de la Convención Americana.</w:t>
      </w:r>
      <w:r w:rsidR="000A336D" w:rsidRPr="00A64EB1">
        <w:rPr>
          <w:sz w:val="20"/>
          <w:szCs w:val="20"/>
          <w:lang w:val="es-ES_tradnl" w:bidi="ar-YE"/>
        </w:rPr>
        <w:t xml:space="preserve"> </w:t>
      </w:r>
      <w:r w:rsidRPr="00A64EB1">
        <w:rPr>
          <w:sz w:val="20"/>
          <w:szCs w:val="20"/>
          <w:lang w:val="es-ES_tradnl" w:bidi="ar-YE"/>
        </w:rPr>
        <w:t>Asimismo, en atención a que la petición fue presentada en 2012; y que los efectos de la falta de investigación de la tortura continúan hasta el presente, la Comisión considera que la presente petición fue presentada en un plazo razonable de conformidad con el artículo 32.2 del Reglamento de la CIDH.</w:t>
      </w:r>
    </w:p>
    <w:p w14:paraId="2C613E54" w14:textId="77777777" w:rsidR="00C9124E" w:rsidRPr="00A64EB1" w:rsidRDefault="00C9124E" w:rsidP="00A64EB1">
      <w:pPr>
        <w:pStyle w:val="ListParagraph"/>
        <w:spacing w:after="240"/>
        <w:ind w:left="758"/>
        <w:jc w:val="both"/>
        <w:rPr>
          <w:rFonts w:asciiTheme="majorHAnsi" w:hAnsiTheme="majorHAnsi"/>
          <w:b/>
          <w:sz w:val="20"/>
          <w:szCs w:val="20"/>
          <w:lang w:val="es-ES_tradnl" w:bidi="ar-YE"/>
        </w:rPr>
      </w:pPr>
      <w:r w:rsidRPr="00A64EB1">
        <w:rPr>
          <w:rFonts w:asciiTheme="majorHAnsi" w:hAnsiTheme="majorHAnsi"/>
          <w:b/>
          <w:sz w:val="20"/>
          <w:szCs w:val="20"/>
          <w:lang w:val="es-ES_tradnl" w:bidi="ar-YE"/>
        </w:rPr>
        <w:t xml:space="preserve">VII. </w:t>
      </w:r>
      <w:r w:rsidRPr="00A64EB1">
        <w:rPr>
          <w:rFonts w:asciiTheme="majorHAnsi" w:hAnsiTheme="majorHAnsi"/>
          <w:b/>
          <w:sz w:val="20"/>
          <w:szCs w:val="20"/>
          <w:lang w:val="es-ES_tradnl" w:bidi="ar-YE"/>
        </w:rPr>
        <w:tab/>
      </w:r>
      <w:r w:rsidRPr="00A64EB1">
        <w:rPr>
          <w:rFonts w:asciiTheme="majorHAnsi" w:hAnsiTheme="majorHAnsi"/>
          <w:b/>
          <w:bCs/>
          <w:sz w:val="20"/>
          <w:szCs w:val="20"/>
          <w:lang w:val="es-ES_tradnl" w:bidi="ar-YE"/>
        </w:rPr>
        <w:t>ANÁLISIS DE CARACTERIZACIÓN DE LOS HECHOS ALEGADOS</w:t>
      </w:r>
    </w:p>
    <w:p w14:paraId="321CB15F" w14:textId="77777777" w:rsidR="00482C24" w:rsidRPr="00A64EB1" w:rsidRDefault="00031A1C"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 xml:space="preserve">A los efectos de la admisibilidad, la CIDH debe decidir si los hechos alegados caracterizan una </w:t>
      </w:r>
      <w:r w:rsidRPr="00A64EB1">
        <w:rPr>
          <w:sz w:val="20"/>
          <w:szCs w:val="20"/>
          <w:lang w:val="es-ES_tradnl" w:bidi="ar-YE"/>
        </w:rPr>
        <w:lastRenderedPageBreak/>
        <w:t xml:space="preserve">posible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en el marco de su mandato, la CIDH es competente para declarar admisible una petición cuando se refiere a procesos internos que podrían ser violatorios de derechos garantizados por la Convención Americana. De acuerdo con las normas convencionales citadas, y en concordancia con el artículo 34 de su Reglamento, el análisis de admisibilidad de la Comisión Interamericana se centra en la verificación de tales requisitos, que se refieren a la presencia de elementos que, de ser ciertos, podrían constituir </w:t>
      </w:r>
      <w:r w:rsidRPr="00A64EB1">
        <w:rPr>
          <w:i/>
          <w:iCs/>
          <w:sz w:val="20"/>
          <w:szCs w:val="20"/>
          <w:lang w:val="es-ES_tradnl" w:bidi="ar-YE"/>
        </w:rPr>
        <w:t xml:space="preserve">prima facie </w:t>
      </w:r>
      <w:r w:rsidRPr="00A64EB1">
        <w:rPr>
          <w:sz w:val="20"/>
          <w:szCs w:val="20"/>
          <w:lang w:val="es-ES_tradnl" w:bidi="ar-YE"/>
        </w:rPr>
        <w:t>violaciones a la Convención Americana</w:t>
      </w:r>
      <w:r w:rsidRPr="00A64EB1">
        <w:rPr>
          <w:bCs/>
          <w:sz w:val="20"/>
          <w:szCs w:val="20"/>
          <w:vertAlign w:val="superscript"/>
          <w:lang w:val="es-ES_tradnl" w:bidi="ar-YE"/>
        </w:rPr>
        <w:footnoteReference w:id="11"/>
      </w:r>
      <w:r w:rsidRPr="00A64EB1">
        <w:rPr>
          <w:sz w:val="20"/>
          <w:szCs w:val="20"/>
          <w:lang w:val="es-ES_tradnl" w:bidi="ar-YE"/>
        </w:rPr>
        <w:t>.</w:t>
      </w:r>
    </w:p>
    <w:p w14:paraId="0FCFDD03" w14:textId="1650B606" w:rsidR="0001441D" w:rsidRPr="00A64EB1" w:rsidRDefault="00482C24"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El peticionario denuncia la violación de sus derechos personales, nacionales e internacionales. Asimismo, se refiere a la violación de domicilio, privación ilegal de la libertad, lesiones físicas y psicológicas, y presentación ante los medios de comunicación como parte de los derechos que considera haber sido violados. Sobre este tema, aunque estos no son derechos admisibles específicamente individualizados por el peticionario</w:t>
      </w:r>
      <w:r w:rsidR="0001441D" w:rsidRPr="00A64EB1">
        <w:rPr>
          <w:sz w:val="20"/>
          <w:szCs w:val="20"/>
          <w:lang w:val="es-ES_tradnl" w:bidi="ar-YE"/>
        </w:rPr>
        <w:t xml:space="preserve">, </w:t>
      </w:r>
      <w:r w:rsidRPr="00A64EB1">
        <w:rPr>
          <w:sz w:val="20"/>
          <w:szCs w:val="20"/>
          <w:lang w:val="es-ES_tradnl" w:bidi="ar-YE"/>
        </w:rPr>
        <w:t>la Comisión Interamericana estima pertinente aclarar que sus normas de procedimiento no contienen ninguna disposición específica que obligue a los peticionarios a exponer todos sus argumentos jurídicos en su petición inicial, sino que el Reglamento de la Comisión establece que la petición debe contener una reseña del acto o la situación denunciada.</w:t>
      </w:r>
      <w:r w:rsidR="0001441D" w:rsidRPr="00A64EB1">
        <w:rPr>
          <w:sz w:val="20"/>
          <w:szCs w:val="20"/>
          <w:lang w:val="es-ES_tradnl" w:bidi="ar-YE"/>
        </w:rPr>
        <w:t xml:space="preserve"> </w:t>
      </w:r>
    </w:p>
    <w:p w14:paraId="68D2D945" w14:textId="0D55FABA" w:rsidR="00482C24" w:rsidRPr="00A64EB1" w:rsidRDefault="0001441D"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Dicha reseña fue satisfactoriamente presentada por el peticionario. Así, corresponde a la Comisión, de su parte, con base en las normas y jurisprudencia del sistema, determinar en su informe de admisibilidad, qué disposición de los instrumentos interamericanos relevantes es aplicable y podría establecerse su violación si los hechos alegados son probados mediante elementos suficientes.</w:t>
      </w:r>
    </w:p>
    <w:p w14:paraId="5890FA16" w14:textId="1BD2DE3A" w:rsidR="00133CC6" w:rsidRPr="00A64EB1" w:rsidRDefault="0001441D"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Teniendo en cuenta el expuesto y la jurisprudencia de la CIDH</w:t>
      </w:r>
      <w:r w:rsidRPr="00A64EB1">
        <w:rPr>
          <w:bCs/>
          <w:sz w:val="20"/>
          <w:szCs w:val="20"/>
          <w:vertAlign w:val="superscript"/>
          <w:lang w:val="es-ES_tradnl" w:bidi="ar-YE"/>
        </w:rPr>
        <w:footnoteReference w:id="12"/>
      </w:r>
      <w:r w:rsidRPr="00A64EB1">
        <w:rPr>
          <w:sz w:val="20"/>
          <w:szCs w:val="20"/>
          <w:lang w:val="es-ES_tradnl" w:bidi="ar-YE"/>
        </w:rPr>
        <w:t>, la Comisión nota que l</w:t>
      </w:r>
      <w:r w:rsidR="00212418" w:rsidRPr="00A64EB1">
        <w:rPr>
          <w:sz w:val="20"/>
          <w:szCs w:val="20"/>
          <w:lang w:val="es-ES_tradnl" w:bidi="ar-YE"/>
        </w:rPr>
        <w:t xml:space="preserve">a petición contiene alegatos potencialmente violatorios a la integridad personal, a la libertad personal, a la protección de la honra y dignidad, a las garantías judiciales, y a la protección judicial, como: i) las distintas razones por las cuales el peticionario argumenta que su detención inicial y su arraigo lesionaron sus derechos, incluyendo su presentación como parte de un grupo criminal ante los medios de comunicación; ii) la extracción de una declaración autoinculpatoria al inicio del proceso mediante agresiones físicas y verbales, así como por los actos de tortura infligidos en su contra; iii) la incidencia que estos actos habrían tenido en el proceso penal que se le siguió; iv) las alegadas debilidades de su representación legal por medio de defensores públicos variados; v) la falta de investigación y sanción de los servidores públicos responsables por los actos de tortura; </w:t>
      </w:r>
      <w:r w:rsidR="008E171E">
        <w:rPr>
          <w:sz w:val="20"/>
          <w:szCs w:val="20"/>
          <w:lang w:val="es-ES_tradnl" w:bidi="ar-YE"/>
        </w:rPr>
        <w:t xml:space="preserve">y </w:t>
      </w:r>
      <w:r w:rsidR="00212418" w:rsidRPr="00A64EB1">
        <w:rPr>
          <w:sz w:val="20"/>
          <w:szCs w:val="20"/>
          <w:lang w:val="es-ES_tradnl" w:bidi="ar-YE"/>
        </w:rPr>
        <w:t xml:space="preserve">vi) los hechos narrados que pueden caracterizar retraso procesal incompatible con la Convención Americana, así como </w:t>
      </w:r>
      <w:r w:rsidR="00E13C82" w:rsidRPr="00A64EB1">
        <w:rPr>
          <w:sz w:val="20"/>
          <w:szCs w:val="20"/>
          <w:lang w:val="es-ES_tradnl" w:bidi="ar-YE"/>
        </w:rPr>
        <w:t xml:space="preserve">la </w:t>
      </w:r>
      <w:r w:rsidR="00212418" w:rsidRPr="00A64EB1">
        <w:rPr>
          <w:sz w:val="20"/>
          <w:szCs w:val="20"/>
          <w:lang w:val="es-ES_tradnl" w:bidi="ar-YE"/>
        </w:rPr>
        <w:t>prolongada detención sin sentencia firmes</w:t>
      </w:r>
      <w:r w:rsidR="00E13C82" w:rsidRPr="00A64EB1">
        <w:rPr>
          <w:sz w:val="20"/>
          <w:szCs w:val="20"/>
          <w:lang w:val="es-ES_tradnl" w:bidi="ar-YE"/>
        </w:rPr>
        <w:t>.</w:t>
      </w:r>
    </w:p>
    <w:p w14:paraId="48F4A3ED" w14:textId="3E60FD61" w:rsidR="00031A1C" w:rsidRPr="00A64EB1" w:rsidRDefault="0001441D" w:rsidP="00A64EB1">
      <w:pPr>
        <w:pStyle w:val="ListParagraph"/>
        <w:widowControl w:val="0"/>
        <w:numPr>
          <w:ilvl w:val="0"/>
          <w:numId w:val="59"/>
        </w:numPr>
        <w:spacing w:after="240"/>
        <w:ind w:left="0" w:firstLine="720"/>
        <w:jc w:val="both"/>
        <w:rPr>
          <w:sz w:val="20"/>
          <w:szCs w:val="20"/>
          <w:lang w:val="es-ES_tradnl" w:bidi="ar-YE"/>
        </w:rPr>
      </w:pPr>
      <w:r w:rsidRPr="00A64EB1">
        <w:rPr>
          <w:sz w:val="20"/>
          <w:szCs w:val="20"/>
          <w:lang w:val="es-ES_tradnl" w:bidi="ar-YE"/>
        </w:rPr>
        <w:t>De esta forma, y de manera conclusiva,</w:t>
      </w:r>
      <w:r w:rsidR="00031A1C" w:rsidRPr="00A64EB1">
        <w:rPr>
          <w:sz w:val="20"/>
          <w:szCs w:val="20"/>
          <w:lang w:val="es-ES_tradnl" w:bidi="ar-YE"/>
        </w:rPr>
        <w:t xml:space="preserve"> tras examinar los elementos de hecho y de derecho expuestos por las partes, la Comisión Interamericana estima que los alegatos </w:t>
      </w:r>
      <w:r w:rsidR="00C4101F" w:rsidRPr="00A64EB1">
        <w:rPr>
          <w:sz w:val="20"/>
          <w:szCs w:val="20"/>
          <w:lang w:val="es-ES_tradnl" w:bidi="ar-YE"/>
        </w:rPr>
        <w:t>del peticionario</w:t>
      </w:r>
      <w:r w:rsidR="00031A1C" w:rsidRPr="00A64EB1">
        <w:rPr>
          <w:sz w:val="20"/>
          <w:szCs w:val="20"/>
          <w:lang w:val="es-ES_tradnl" w:bidi="ar-YE"/>
        </w:rPr>
        <w:t xml:space="preserve"> no resultan manifiestamente infundados y requieren un estudio de fondo pues los hechos alegados, de corroborarse como ciertos, podrían constituir violaciones de los derechos reconocidos en los artículos 5 (integridad personal), 7 (libertad personal), 8 (garantías judiciales)</w:t>
      </w:r>
      <w:r w:rsidR="00310BA5" w:rsidRPr="00A64EB1">
        <w:rPr>
          <w:sz w:val="20"/>
          <w:szCs w:val="20"/>
          <w:lang w:val="es-ES_tradnl" w:bidi="ar-YE"/>
        </w:rPr>
        <w:t>, 11 (protección de la honra y dignidad)</w:t>
      </w:r>
      <w:r w:rsidR="00031A1C" w:rsidRPr="00A64EB1">
        <w:rPr>
          <w:sz w:val="20"/>
          <w:szCs w:val="20"/>
          <w:lang w:val="es-ES_tradnl" w:bidi="ar-YE"/>
        </w:rPr>
        <w:t xml:space="preserve"> y 25 (protección judicial) de la Convención Americana, en relación con su artículo 1.1 (obligación de respetar los derechos), así como de los artículos 1, 6 y 8 de la Convención contra la Tortura.</w:t>
      </w:r>
    </w:p>
    <w:p w14:paraId="40DABB4D" w14:textId="7F69AE0C" w:rsidR="006E3BAD" w:rsidRPr="00A64EB1" w:rsidRDefault="006E3BAD" w:rsidP="00A64EB1">
      <w:pPr>
        <w:pStyle w:val="ListParagraph"/>
        <w:spacing w:after="240"/>
        <w:ind w:left="0" w:firstLine="709"/>
        <w:jc w:val="both"/>
        <w:rPr>
          <w:rFonts w:asciiTheme="majorHAnsi" w:hAnsiTheme="majorHAnsi"/>
          <w:b/>
          <w:sz w:val="20"/>
          <w:szCs w:val="20"/>
          <w:lang w:val="es-ES_tradnl" w:bidi="ar-YE"/>
        </w:rPr>
      </w:pPr>
      <w:r w:rsidRPr="00A64EB1">
        <w:rPr>
          <w:rFonts w:asciiTheme="majorHAnsi" w:hAnsiTheme="majorHAnsi"/>
          <w:b/>
          <w:sz w:val="20"/>
          <w:szCs w:val="20"/>
          <w:lang w:val="es-ES_tradnl" w:bidi="ar-YE"/>
        </w:rPr>
        <w:t xml:space="preserve">VIII. </w:t>
      </w:r>
      <w:r w:rsidRPr="00A64EB1">
        <w:rPr>
          <w:rFonts w:asciiTheme="majorHAnsi" w:hAnsiTheme="majorHAnsi"/>
          <w:b/>
          <w:sz w:val="20"/>
          <w:szCs w:val="20"/>
          <w:lang w:val="es-ES_tradnl" w:bidi="ar-YE"/>
        </w:rPr>
        <w:tab/>
      </w:r>
      <w:r w:rsidRPr="00A64EB1">
        <w:rPr>
          <w:rFonts w:asciiTheme="majorHAnsi" w:hAnsiTheme="majorHAnsi"/>
          <w:b/>
          <w:bCs/>
          <w:sz w:val="20"/>
          <w:szCs w:val="20"/>
          <w:lang w:val="es-ES_tradnl" w:bidi="ar-YE"/>
        </w:rPr>
        <w:t>DECISIÓN</w:t>
      </w:r>
    </w:p>
    <w:p w14:paraId="776C2EB8" w14:textId="594F4A6B" w:rsidR="006E3BAD" w:rsidRPr="00A64EB1" w:rsidRDefault="006E3BAD" w:rsidP="00A64EB1">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09"/>
        <w:jc w:val="both"/>
        <w:rPr>
          <w:sz w:val="20"/>
          <w:szCs w:val="20"/>
          <w:lang w:val="es-ES_tradnl" w:bidi="ar-YE"/>
        </w:rPr>
      </w:pPr>
      <w:r w:rsidRPr="00A64EB1">
        <w:rPr>
          <w:sz w:val="20"/>
          <w:szCs w:val="20"/>
          <w:lang w:val="es-ES_tradnl" w:bidi="ar-YE"/>
        </w:rPr>
        <w:t xml:space="preserve">Declarar admisible la presente petición en relación con artículos </w:t>
      </w:r>
      <w:r w:rsidR="00031A1C" w:rsidRPr="00A64EB1">
        <w:rPr>
          <w:sz w:val="20"/>
          <w:szCs w:val="20"/>
          <w:lang w:val="es-ES_tradnl" w:bidi="ar-YE"/>
        </w:rPr>
        <w:t>5, 7, 8</w:t>
      </w:r>
      <w:r w:rsidR="00310BA5" w:rsidRPr="00A64EB1">
        <w:rPr>
          <w:sz w:val="20"/>
          <w:szCs w:val="20"/>
          <w:lang w:val="es-ES_tradnl" w:bidi="ar-YE"/>
        </w:rPr>
        <w:t>, 11</w:t>
      </w:r>
      <w:r w:rsidR="00031A1C" w:rsidRPr="00A64EB1">
        <w:rPr>
          <w:sz w:val="20"/>
          <w:szCs w:val="20"/>
          <w:lang w:val="es-ES_tradnl" w:bidi="ar-YE"/>
        </w:rPr>
        <w:t xml:space="preserve"> y 25 de la Convención Americana, en concordancia con su artículo 1.1; y con los artículos 1, 6 y 8 de la Convención </w:t>
      </w:r>
      <w:r w:rsidR="00031A1C" w:rsidRPr="00A64EB1">
        <w:rPr>
          <w:sz w:val="20"/>
          <w:szCs w:val="20"/>
          <w:lang w:val="es-ES_tradnl" w:bidi="ar-YE"/>
        </w:rPr>
        <w:lastRenderedPageBreak/>
        <w:t>Interamericana para Prevenir y Sancionar la Tortura</w:t>
      </w:r>
      <w:r w:rsidR="005E410B">
        <w:rPr>
          <w:sz w:val="20"/>
          <w:szCs w:val="20"/>
          <w:lang w:val="es-ES_tradnl" w:bidi="ar-YE"/>
        </w:rPr>
        <w:t>; y</w:t>
      </w:r>
    </w:p>
    <w:p w14:paraId="245C05A6" w14:textId="63BBAD87" w:rsidR="006E3BAD" w:rsidRDefault="006E3BAD" w:rsidP="00A64EB1">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09"/>
        <w:jc w:val="both"/>
        <w:rPr>
          <w:sz w:val="20"/>
          <w:szCs w:val="20"/>
          <w:lang w:val="es-ES_tradnl" w:bidi="ar-YE"/>
        </w:rPr>
      </w:pPr>
      <w:r w:rsidRPr="00A64EB1">
        <w:rPr>
          <w:sz w:val="20"/>
          <w:szCs w:val="20"/>
          <w:lang w:val="es-ES_tradnl" w:bidi="ar-YE"/>
        </w:rPr>
        <w:t>Notificar a las partes la presente decisión; continuar con el análisis del fondo de la cuestión; y publicar esta decisión e incluirla en su Informe Anual a la Asamblea General de la Organización de los Estados Americanos.</w:t>
      </w:r>
    </w:p>
    <w:p w14:paraId="20990350" w14:textId="59F65FBF" w:rsidR="005E410B" w:rsidRPr="0043538F" w:rsidRDefault="005E410B" w:rsidP="0043538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529FC">
        <w:rPr>
          <w:rStyle w:val="normaltextrun"/>
          <w:rFonts w:ascii="Cambria" w:hAnsi="Cambria" w:cs="Segoe UI"/>
          <w:sz w:val="20"/>
          <w:szCs w:val="20"/>
          <w:lang w:val="es-CL"/>
        </w:rPr>
        <w:t>4</w:t>
      </w:r>
      <w:r>
        <w:rPr>
          <w:rStyle w:val="normaltextrun"/>
          <w:rFonts w:ascii="Cambria" w:hAnsi="Cambria" w:cs="Segoe UI"/>
          <w:sz w:val="20"/>
          <w:szCs w:val="20"/>
          <w:lang w:val="es-CL"/>
        </w:rPr>
        <w:t xml:space="preserve"> días del mes de </w:t>
      </w:r>
      <w:r w:rsidR="00B529FC">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43538F">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43538F">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Julissa Mantilla Falcón, Stuardo Ralón Orellana y Carlos Bernal Pulido, </w:t>
      </w:r>
      <w:r w:rsidR="0043538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5E410B" w:rsidRPr="004353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F312" w14:textId="77777777" w:rsidR="00A26EE6" w:rsidRDefault="00A26EE6">
      <w:r>
        <w:separator/>
      </w:r>
    </w:p>
  </w:endnote>
  <w:endnote w:type="continuationSeparator" w:id="0">
    <w:p w14:paraId="5C0A5AFF" w14:textId="77777777" w:rsidR="00A26EE6" w:rsidRDefault="00A2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59E7" w14:textId="77777777" w:rsidR="00A26EE6" w:rsidRPr="000F35ED" w:rsidRDefault="00A26E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4783C4" w14:textId="77777777" w:rsidR="00A26EE6" w:rsidRPr="000F35ED" w:rsidRDefault="00A26EE6" w:rsidP="000F35ED">
      <w:pPr>
        <w:rPr>
          <w:rFonts w:asciiTheme="majorHAnsi" w:hAnsiTheme="majorHAnsi"/>
          <w:sz w:val="16"/>
          <w:szCs w:val="16"/>
        </w:rPr>
      </w:pPr>
      <w:r w:rsidRPr="000F35ED">
        <w:rPr>
          <w:rFonts w:asciiTheme="majorHAnsi" w:hAnsiTheme="majorHAnsi"/>
          <w:sz w:val="16"/>
          <w:szCs w:val="16"/>
        </w:rPr>
        <w:separator/>
      </w:r>
    </w:p>
    <w:p w14:paraId="3B96F642" w14:textId="77777777" w:rsidR="00A26EE6" w:rsidRPr="000F35ED" w:rsidRDefault="00A26E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54D89F" w14:textId="77777777" w:rsidR="00A26EE6" w:rsidRPr="000F35ED" w:rsidRDefault="00A26E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4AC5B9" w14:textId="11EC5CBE" w:rsidR="00BC49AF" w:rsidRPr="00BC49AF" w:rsidRDefault="00BC49AF" w:rsidP="00631A11">
      <w:pPr>
        <w:pStyle w:val="FootnoteText"/>
        <w:ind w:firstLine="720"/>
        <w:jc w:val="both"/>
        <w:rPr>
          <w:lang w:val="es-ES"/>
        </w:rPr>
      </w:pPr>
      <w:r w:rsidRPr="00BC49AF">
        <w:rPr>
          <w:rStyle w:val="FootnoteReference"/>
          <w:sz w:val="16"/>
          <w:szCs w:val="16"/>
        </w:rPr>
        <w:footnoteRef/>
      </w:r>
      <w:r w:rsidRPr="00BC49AF">
        <w:rPr>
          <w:lang w:val="es-ES"/>
        </w:rPr>
        <w:t xml:space="preserve"> </w:t>
      </w:r>
      <w:r w:rsidRPr="00D40137">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r w:rsidRPr="00BC49AF">
        <w:rPr>
          <w:lang w:val="es-ES"/>
        </w:rPr>
        <w:t xml:space="preserve"> </w:t>
      </w:r>
    </w:p>
  </w:footnote>
  <w:footnote w:id="3">
    <w:p w14:paraId="08905E72" w14:textId="0717606C" w:rsidR="00BF2084" w:rsidRPr="00A64EB1" w:rsidRDefault="00BF2084" w:rsidP="00BF2084">
      <w:pPr>
        <w:pStyle w:val="FootnoteText"/>
        <w:ind w:firstLine="720"/>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Las observaciones de cada parte fueron debidamente traslada</w:t>
      </w:r>
      <w:r w:rsidR="00876EF5" w:rsidRPr="00A64EB1">
        <w:rPr>
          <w:rFonts w:asciiTheme="majorHAnsi" w:hAnsiTheme="majorHAnsi"/>
          <w:sz w:val="16"/>
          <w:szCs w:val="16"/>
          <w:lang w:val="es-ES"/>
        </w:rPr>
        <w:t xml:space="preserve">das a la parte contraria. </w:t>
      </w:r>
    </w:p>
  </w:footnote>
  <w:footnote w:id="4">
    <w:p w14:paraId="75DBC43E" w14:textId="48629664" w:rsidR="00333DB4" w:rsidRPr="00A64EB1" w:rsidRDefault="00333DB4" w:rsidP="00333DB4">
      <w:pPr>
        <w:pStyle w:val="FootnoteText"/>
        <w:ind w:firstLine="720"/>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En adelante “la Convención Americana” o “la Convención”.</w:t>
      </w:r>
    </w:p>
  </w:footnote>
  <w:footnote w:id="5">
    <w:p w14:paraId="6693ED4D" w14:textId="2A6891A3" w:rsidR="00845182" w:rsidRPr="00A64EB1" w:rsidRDefault="00845182" w:rsidP="00092793">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La presente petición fue presentada directamente por el S. Alberto Martín Alamillo Quintero </w:t>
      </w:r>
      <w:r w:rsidR="00092793" w:rsidRPr="00A64EB1">
        <w:rPr>
          <w:rFonts w:asciiTheme="majorHAnsi" w:hAnsiTheme="majorHAnsi"/>
          <w:sz w:val="16"/>
          <w:szCs w:val="16"/>
          <w:lang w:val="es-ES"/>
        </w:rPr>
        <w:t>representándose a sí mismo. Las comunicaciones que presenta han sido</w:t>
      </w:r>
      <w:r w:rsidR="00106063" w:rsidRPr="00A64EB1">
        <w:rPr>
          <w:rFonts w:asciiTheme="majorHAnsi" w:hAnsiTheme="majorHAnsi"/>
          <w:sz w:val="16"/>
          <w:szCs w:val="16"/>
          <w:lang w:val="es-ES"/>
        </w:rPr>
        <w:t xml:space="preserve">, en su </w:t>
      </w:r>
      <w:r w:rsidR="003B4D49" w:rsidRPr="00A64EB1">
        <w:rPr>
          <w:rFonts w:asciiTheme="majorHAnsi" w:hAnsiTheme="majorHAnsi"/>
          <w:sz w:val="16"/>
          <w:szCs w:val="16"/>
          <w:lang w:val="es-ES"/>
        </w:rPr>
        <w:t xml:space="preserve">gran </w:t>
      </w:r>
      <w:r w:rsidR="00106063" w:rsidRPr="00A64EB1">
        <w:rPr>
          <w:rFonts w:asciiTheme="majorHAnsi" w:hAnsiTheme="majorHAnsi"/>
          <w:sz w:val="16"/>
          <w:szCs w:val="16"/>
          <w:lang w:val="es-ES"/>
        </w:rPr>
        <w:t xml:space="preserve">mayoría, </w:t>
      </w:r>
      <w:r w:rsidR="00092793" w:rsidRPr="00A64EB1">
        <w:rPr>
          <w:rFonts w:asciiTheme="majorHAnsi" w:hAnsiTheme="majorHAnsi"/>
          <w:sz w:val="16"/>
          <w:szCs w:val="16"/>
          <w:lang w:val="es-ES"/>
        </w:rPr>
        <w:t>escritas a mano y no aporta copias de las decisiones judiciales internas.</w:t>
      </w:r>
    </w:p>
  </w:footnote>
  <w:footnote w:id="6">
    <w:p w14:paraId="259412A1" w14:textId="32EBA12F" w:rsidR="00BB5BC3" w:rsidRPr="00A64EB1" w:rsidRDefault="00BB5BC3" w:rsidP="00BB5BC3">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Véase, </w:t>
      </w:r>
      <w:r w:rsidRPr="00A64EB1">
        <w:rPr>
          <w:rFonts w:asciiTheme="majorHAnsi" w:hAnsiTheme="majorHAnsi"/>
          <w:i/>
          <w:iCs/>
          <w:sz w:val="16"/>
          <w:szCs w:val="16"/>
          <w:lang w:val="es-ES"/>
        </w:rPr>
        <w:t>v.g.</w:t>
      </w:r>
      <w:r w:rsidRPr="00A64EB1">
        <w:rPr>
          <w:rFonts w:asciiTheme="majorHAnsi" w:hAnsiTheme="majorHAnsi"/>
          <w:sz w:val="16"/>
          <w:szCs w:val="16"/>
          <w:lang w:val="es-ES"/>
        </w:rPr>
        <w:t xml:space="preserve">, WRádio México. </w:t>
      </w:r>
      <w:hyperlink r:id="rId1" w:history="1">
        <w:r w:rsidRPr="00A64EB1">
          <w:rPr>
            <w:rStyle w:val="Hyperlink"/>
            <w:rFonts w:asciiTheme="majorHAnsi" w:hAnsiTheme="majorHAnsi"/>
            <w:sz w:val="16"/>
            <w:szCs w:val="16"/>
            <w:lang w:val="es-ES"/>
          </w:rPr>
          <w:t>Remiten a la SIEDO a 10 presuntos integrantes de 'La Familia'</w:t>
        </w:r>
      </w:hyperlink>
      <w:r w:rsidRPr="00A64EB1">
        <w:rPr>
          <w:rFonts w:asciiTheme="majorHAnsi" w:hAnsiTheme="majorHAnsi"/>
          <w:sz w:val="16"/>
          <w:szCs w:val="16"/>
          <w:lang w:val="es-ES"/>
        </w:rPr>
        <w:t>. 11 de febrero de 2009</w:t>
      </w:r>
      <w:r w:rsidR="003468F4" w:rsidRPr="00A64EB1">
        <w:rPr>
          <w:rFonts w:asciiTheme="majorHAnsi" w:hAnsiTheme="majorHAnsi"/>
          <w:sz w:val="16"/>
          <w:szCs w:val="16"/>
          <w:lang w:val="es-ES"/>
        </w:rPr>
        <w:t xml:space="preserve">; </w:t>
      </w:r>
      <w:r w:rsidR="003B4D49" w:rsidRPr="00A64EB1">
        <w:rPr>
          <w:rFonts w:asciiTheme="majorHAnsi" w:hAnsiTheme="majorHAnsi"/>
          <w:sz w:val="16"/>
          <w:szCs w:val="16"/>
          <w:lang w:val="es-ES"/>
        </w:rPr>
        <w:t xml:space="preserve">y </w:t>
      </w:r>
      <w:r w:rsidR="003468F4" w:rsidRPr="00A64EB1">
        <w:rPr>
          <w:rFonts w:asciiTheme="majorHAnsi" w:hAnsiTheme="majorHAnsi"/>
          <w:sz w:val="16"/>
          <w:szCs w:val="16"/>
          <w:lang w:val="es-ES"/>
        </w:rPr>
        <w:t xml:space="preserve">El Confidencial. </w:t>
      </w:r>
      <w:hyperlink r:id="rId2" w:history="1">
        <w:r w:rsidR="003468F4" w:rsidRPr="00A64EB1">
          <w:rPr>
            <w:rStyle w:val="Hyperlink"/>
            <w:rFonts w:asciiTheme="majorHAnsi" w:hAnsiTheme="majorHAnsi"/>
            <w:sz w:val="16"/>
            <w:szCs w:val="16"/>
            <w:lang w:val="es-ES"/>
          </w:rPr>
          <w:t>Policía atrapa dormidos a diez miembros del cártel de "La Familia"</w:t>
        </w:r>
      </w:hyperlink>
      <w:r w:rsidR="003468F4" w:rsidRPr="00A64EB1">
        <w:rPr>
          <w:rFonts w:asciiTheme="majorHAnsi" w:hAnsiTheme="majorHAnsi"/>
          <w:sz w:val="16"/>
          <w:szCs w:val="16"/>
          <w:lang w:val="es-ES"/>
        </w:rPr>
        <w:t>. 11 de febrero de 2009</w:t>
      </w:r>
      <w:r w:rsidR="003B4D49" w:rsidRPr="00A64EB1">
        <w:rPr>
          <w:rFonts w:asciiTheme="majorHAnsi" w:hAnsiTheme="majorHAnsi"/>
          <w:sz w:val="16"/>
          <w:szCs w:val="16"/>
          <w:lang w:val="es-ES"/>
        </w:rPr>
        <w:t>.</w:t>
      </w:r>
    </w:p>
  </w:footnote>
  <w:footnote w:id="7">
    <w:p w14:paraId="6C58AF89" w14:textId="5B47907A" w:rsidR="00D22B74" w:rsidRPr="00A64EB1" w:rsidRDefault="00D22B74" w:rsidP="003D257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003D257F" w:rsidRPr="00A64EB1">
        <w:rPr>
          <w:rFonts w:asciiTheme="majorHAnsi" w:hAnsiTheme="majorHAnsi"/>
          <w:sz w:val="16"/>
          <w:szCs w:val="16"/>
          <w:lang w:val="es-ES"/>
        </w:rPr>
        <w:t>CIDH, Informe No. 92/22. Petición 262-13. Admisibilidad. Manuel Ramírez Valdovinos. México. 28 de marzo de 2022, párrafo 16 y nota de pie de página 5.</w:t>
      </w:r>
    </w:p>
  </w:footnote>
  <w:footnote w:id="8">
    <w:p w14:paraId="0352F590" w14:textId="059B212C" w:rsidR="0069360A" w:rsidRPr="00A64EB1" w:rsidRDefault="0069360A" w:rsidP="00422E41">
      <w:pPr>
        <w:pStyle w:val="FootnoteText"/>
        <w:ind w:firstLine="720"/>
        <w:jc w:val="both"/>
        <w:rPr>
          <w:rFonts w:asciiTheme="majorHAnsi" w:hAnsiTheme="majorHAnsi"/>
          <w:sz w:val="16"/>
          <w:szCs w:val="16"/>
          <w:lang w:val="es-ES"/>
        </w:rPr>
      </w:pPr>
      <w:r w:rsidRPr="004C0F4D">
        <w:rPr>
          <w:rStyle w:val="FootnoteReference"/>
          <w:rFonts w:asciiTheme="majorHAnsi" w:hAnsiTheme="majorHAnsi"/>
          <w:sz w:val="16"/>
          <w:szCs w:val="16"/>
        </w:rPr>
        <w:footnoteRef/>
      </w:r>
      <w:r w:rsidRPr="00A64EB1">
        <w:rPr>
          <w:rFonts w:asciiTheme="majorHAnsi" w:hAnsiTheme="majorHAnsi"/>
          <w:sz w:val="16"/>
          <w:szCs w:val="16"/>
          <w:lang w:val="es-ES"/>
        </w:rPr>
        <w:t xml:space="preserve"> Similarmente</w:t>
      </w:r>
      <w:r w:rsidR="00B25990" w:rsidRPr="00A64EB1">
        <w:rPr>
          <w:rFonts w:asciiTheme="majorHAnsi" w:hAnsiTheme="majorHAnsi"/>
          <w:sz w:val="16"/>
          <w:szCs w:val="16"/>
          <w:lang w:val="es-ES"/>
        </w:rPr>
        <w:t>,</w:t>
      </w:r>
      <w:r w:rsidRPr="00A64EB1">
        <w:rPr>
          <w:rFonts w:asciiTheme="majorHAnsi" w:hAnsiTheme="majorHAnsi"/>
          <w:sz w:val="16"/>
          <w:szCs w:val="16"/>
          <w:lang w:val="es-ES"/>
        </w:rPr>
        <w:t xml:space="preserve"> CIDH, Informe No. 353/22. Petición 718-10. Admisibilidad. Brenda Quevedo Cruz y familiares. México. 23 de noviembre de 2022, párrafo 52.</w:t>
      </w:r>
    </w:p>
  </w:footnote>
  <w:footnote w:id="9">
    <w:p w14:paraId="24802FB3" w14:textId="18CDA031" w:rsidR="0069360A" w:rsidRPr="00A64EB1" w:rsidRDefault="0069360A" w:rsidP="00422E41">
      <w:pPr>
        <w:pStyle w:val="FootnoteText"/>
        <w:ind w:firstLine="720"/>
        <w:jc w:val="both"/>
        <w:rPr>
          <w:rFonts w:asciiTheme="majorHAnsi" w:hAnsiTheme="majorHAnsi"/>
          <w:sz w:val="16"/>
          <w:szCs w:val="16"/>
          <w:lang w:val="es-ES"/>
        </w:rPr>
      </w:pPr>
      <w:r w:rsidRPr="004C0F4D">
        <w:rPr>
          <w:rStyle w:val="FootnoteReference"/>
          <w:rFonts w:asciiTheme="majorHAnsi" w:hAnsiTheme="majorHAnsi"/>
          <w:sz w:val="16"/>
          <w:szCs w:val="16"/>
        </w:rPr>
        <w:footnoteRef/>
      </w:r>
      <w:r w:rsidRPr="00A64EB1">
        <w:rPr>
          <w:rFonts w:asciiTheme="majorHAnsi" w:hAnsiTheme="majorHAnsi"/>
          <w:sz w:val="16"/>
          <w:szCs w:val="16"/>
          <w:lang w:val="es-ES"/>
        </w:rPr>
        <w:t xml:space="preserve"> CIDH, Informe No. 353/22. Petición 718-10. Admisibilidad. Brenda Quevedo Cruz y familiares. México. 23 de noviembre de 2022, párrafo 53.</w:t>
      </w:r>
    </w:p>
  </w:footnote>
  <w:footnote w:id="10">
    <w:p w14:paraId="29AB35B1" w14:textId="4DB7FD97" w:rsidR="00B06277" w:rsidRPr="00A64EB1" w:rsidRDefault="00B06277" w:rsidP="00422E41">
      <w:pPr>
        <w:pStyle w:val="FootnoteText"/>
        <w:ind w:firstLine="720"/>
        <w:jc w:val="both"/>
        <w:rPr>
          <w:rFonts w:asciiTheme="majorHAnsi" w:hAnsiTheme="majorHAnsi"/>
          <w:sz w:val="16"/>
          <w:szCs w:val="16"/>
          <w:lang w:val="es-ES"/>
        </w:rPr>
      </w:pPr>
      <w:r w:rsidRPr="004C0F4D">
        <w:rPr>
          <w:rStyle w:val="FootnoteReference"/>
          <w:rFonts w:asciiTheme="majorHAnsi" w:hAnsiTheme="majorHAnsi"/>
          <w:sz w:val="16"/>
          <w:szCs w:val="16"/>
        </w:rPr>
        <w:footnoteRef/>
      </w:r>
      <w:r w:rsidRPr="00A64EB1">
        <w:rPr>
          <w:rFonts w:asciiTheme="majorHAnsi" w:hAnsiTheme="majorHAnsi"/>
          <w:sz w:val="16"/>
          <w:szCs w:val="16"/>
          <w:lang w:val="es-ES"/>
        </w:rPr>
        <w:t xml:space="preserve"> Véase, por todos: CIDH, Informe No. 92/22. Petición 262-13. Admisibilidad. Manuel Ramírez Valdovinos. México. 28 de marzo de 2022, párrafo 19 y notas de pie de página 8-13.</w:t>
      </w:r>
    </w:p>
  </w:footnote>
  <w:footnote w:id="11">
    <w:p w14:paraId="4BAC9FC8" w14:textId="711F2822" w:rsidR="00031A1C" w:rsidRPr="00A64EB1" w:rsidRDefault="00031A1C" w:rsidP="00422E41">
      <w:pPr>
        <w:pStyle w:val="FootnoteText"/>
        <w:ind w:firstLine="720"/>
        <w:jc w:val="both"/>
        <w:rPr>
          <w:rFonts w:asciiTheme="majorHAnsi" w:hAnsiTheme="majorHAnsi"/>
          <w:sz w:val="16"/>
          <w:szCs w:val="16"/>
          <w:lang w:val="es-ES"/>
        </w:rPr>
      </w:pPr>
      <w:r w:rsidRPr="00BF55FA">
        <w:rPr>
          <w:rStyle w:val="FootnoteReference"/>
          <w:rFonts w:asciiTheme="majorHAnsi" w:hAnsiTheme="majorHAnsi"/>
          <w:sz w:val="16"/>
          <w:szCs w:val="16"/>
        </w:rPr>
        <w:footnoteRef/>
      </w:r>
      <w:r w:rsidRPr="00A64EB1">
        <w:rPr>
          <w:rFonts w:asciiTheme="majorHAnsi" w:hAnsiTheme="majorHAnsi"/>
          <w:sz w:val="16"/>
          <w:szCs w:val="16"/>
          <w:lang w:val="es-ES"/>
        </w:rPr>
        <w:t xml:space="preserve"> CIDH, Informe No. 353/22. Petición 718-10. Admisibilidad. Brenda Quevedo Cruz y familiares. México. 23 de noviembre de 2022, párrafo 61; CIDH, Informe No. 43/22. Petición 1098-12. Admisibilidad. Ricardo Sayavedra Juárez. México. 5 de marzo de 2022, párrafo 19.</w:t>
      </w:r>
    </w:p>
  </w:footnote>
  <w:footnote w:id="12">
    <w:p w14:paraId="1ABAA2EA" w14:textId="77777777" w:rsidR="0001441D" w:rsidRPr="00A64EB1" w:rsidRDefault="0001441D" w:rsidP="00422E41">
      <w:pPr>
        <w:pStyle w:val="FootnoteText"/>
        <w:ind w:firstLine="720"/>
        <w:jc w:val="both"/>
        <w:rPr>
          <w:rFonts w:asciiTheme="majorHAnsi" w:hAnsiTheme="majorHAnsi"/>
          <w:sz w:val="16"/>
          <w:szCs w:val="16"/>
          <w:lang w:val="es-ES"/>
        </w:rPr>
      </w:pPr>
      <w:r w:rsidRPr="00BF55FA">
        <w:rPr>
          <w:rStyle w:val="FootnoteReference"/>
          <w:rFonts w:asciiTheme="majorHAnsi" w:hAnsiTheme="majorHAnsi"/>
          <w:sz w:val="16"/>
          <w:szCs w:val="16"/>
        </w:rPr>
        <w:footnoteRef/>
      </w:r>
      <w:r w:rsidRPr="00A64EB1">
        <w:rPr>
          <w:rFonts w:asciiTheme="majorHAnsi" w:hAnsiTheme="majorHAnsi"/>
          <w:sz w:val="16"/>
          <w:szCs w:val="16"/>
          <w:lang w:val="es-ES"/>
        </w:rPr>
        <w:t xml:space="preserve"> CIDH, Informe No. 353/22. Petición 718-10. Admisibilidad. Brenda Quevedo Cruz y familiares. México. 23 de noviembre de 2022; CIDH, Informe No. 92/22. Petición 262-13. Admisibilidad. Manuel Ramírez Valdovinos. México. 28 de marzo de 2022; CIDH, Informe No. 43/22. Petición 1098-12. Admisibilidad. Ricardo Sayavedra Juárez. México. 5 de marzo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1019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59"/>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2"/>
  </w:num>
  <w:num w:numId="11" w16cid:durableId="866258526">
    <w:abstractNumId w:val="40"/>
  </w:num>
  <w:num w:numId="12" w16cid:durableId="171335598">
    <w:abstractNumId w:val="41"/>
  </w:num>
  <w:num w:numId="13" w16cid:durableId="752550714">
    <w:abstractNumId w:val="48"/>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3"/>
  </w:num>
  <w:num w:numId="63" w16cid:durableId="369187513">
    <w:abstractNumId w:val="5"/>
  </w:num>
  <w:num w:numId="64" w16cid:durableId="1129082726">
    <w:abstractNumId w:val="57"/>
  </w:num>
  <w:num w:numId="65" w16cid:durableId="1375806805">
    <w:abstractNumId w:val="0"/>
  </w:num>
  <w:num w:numId="66" w16cid:durableId="163834211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A6D"/>
    <w:rsid w:val="00006E1F"/>
    <w:rsid w:val="000070D7"/>
    <w:rsid w:val="00007E23"/>
    <w:rsid w:val="0001441D"/>
    <w:rsid w:val="0001648F"/>
    <w:rsid w:val="0001788C"/>
    <w:rsid w:val="00026D76"/>
    <w:rsid w:val="00031A1C"/>
    <w:rsid w:val="000337EF"/>
    <w:rsid w:val="00040C3A"/>
    <w:rsid w:val="000419AD"/>
    <w:rsid w:val="000431A9"/>
    <w:rsid w:val="000433C9"/>
    <w:rsid w:val="000444E7"/>
    <w:rsid w:val="00057CA0"/>
    <w:rsid w:val="0006305D"/>
    <w:rsid w:val="0006738B"/>
    <w:rsid w:val="00071174"/>
    <w:rsid w:val="000716C5"/>
    <w:rsid w:val="00075E23"/>
    <w:rsid w:val="0008121A"/>
    <w:rsid w:val="00082AB6"/>
    <w:rsid w:val="00092793"/>
    <w:rsid w:val="0009344A"/>
    <w:rsid w:val="000970F4"/>
    <w:rsid w:val="000A1783"/>
    <w:rsid w:val="000A1F10"/>
    <w:rsid w:val="000A336D"/>
    <w:rsid w:val="000A392E"/>
    <w:rsid w:val="000A459A"/>
    <w:rsid w:val="000A575F"/>
    <w:rsid w:val="000B5E9B"/>
    <w:rsid w:val="000B66F4"/>
    <w:rsid w:val="000B7730"/>
    <w:rsid w:val="000D05CB"/>
    <w:rsid w:val="000D10DB"/>
    <w:rsid w:val="000D5B47"/>
    <w:rsid w:val="000E0735"/>
    <w:rsid w:val="000E354C"/>
    <w:rsid w:val="000E53E6"/>
    <w:rsid w:val="000E5EB5"/>
    <w:rsid w:val="000F3361"/>
    <w:rsid w:val="000F35ED"/>
    <w:rsid w:val="000F5A90"/>
    <w:rsid w:val="000F5E60"/>
    <w:rsid w:val="0010003C"/>
    <w:rsid w:val="00103A38"/>
    <w:rsid w:val="00103E7D"/>
    <w:rsid w:val="0010550C"/>
    <w:rsid w:val="00106063"/>
    <w:rsid w:val="00107131"/>
    <w:rsid w:val="0010736F"/>
    <w:rsid w:val="00113F73"/>
    <w:rsid w:val="00117739"/>
    <w:rsid w:val="00117F04"/>
    <w:rsid w:val="00120FB0"/>
    <w:rsid w:val="00121CC2"/>
    <w:rsid w:val="00124156"/>
    <w:rsid w:val="001253BC"/>
    <w:rsid w:val="00127A8E"/>
    <w:rsid w:val="00131425"/>
    <w:rsid w:val="00132A5F"/>
    <w:rsid w:val="00133246"/>
    <w:rsid w:val="00133CC6"/>
    <w:rsid w:val="00133EE5"/>
    <w:rsid w:val="0013676D"/>
    <w:rsid w:val="00152E8F"/>
    <w:rsid w:val="00154040"/>
    <w:rsid w:val="00163827"/>
    <w:rsid w:val="00163853"/>
    <w:rsid w:val="00163F99"/>
    <w:rsid w:val="00165562"/>
    <w:rsid w:val="00167A34"/>
    <w:rsid w:val="00173713"/>
    <w:rsid w:val="001808C4"/>
    <w:rsid w:val="00180DE8"/>
    <w:rsid w:val="00186265"/>
    <w:rsid w:val="00190F89"/>
    <w:rsid w:val="001A3BEE"/>
    <w:rsid w:val="001A520D"/>
    <w:rsid w:val="001A7870"/>
    <w:rsid w:val="001A7D7B"/>
    <w:rsid w:val="001B3A00"/>
    <w:rsid w:val="001C1B41"/>
    <w:rsid w:val="001C689E"/>
    <w:rsid w:val="001C6A59"/>
    <w:rsid w:val="001D21C7"/>
    <w:rsid w:val="001D65EF"/>
    <w:rsid w:val="001E142D"/>
    <w:rsid w:val="001E15E7"/>
    <w:rsid w:val="001E49E7"/>
    <w:rsid w:val="001F3727"/>
    <w:rsid w:val="001F68E6"/>
    <w:rsid w:val="001F7201"/>
    <w:rsid w:val="0020080E"/>
    <w:rsid w:val="00211F39"/>
    <w:rsid w:val="002120AC"/>
    <w:rsid w:val="00212418"/>
    <w:rsid w:val="002148ED"/>
    <w:rsid w:val="002213C3"/>
    <w:rsid w:val="00223A29"/>
    <w:rsid w:val="002250A3"/>
    <w:rsid w:val="00234F71"/>
    <w:rsid w:val="00235217"/>
    <w:rsid w:val="00237C68"/>
    <w:rsid w:val="00246D1F"/>
    <w:rsid w:val="00247403"/>
    <w:rsid w:val="00247542"/>
    <w:rsid w:val="00266B61"/>
    <w:rsid w:val="0026712A"/>
    <w:rsid w:val="002704DB"/>
    <w:rsid w:val="00280B37"/>
    <w:rsid w:val="002840C1"/>
    <w:rsid w:val="0028796F"/>
    <w:rsid w:val="002A0AAE"/>
    <w:rsid w:val="002A5820"/>
    <w:rsid w:val="002B1533"/>
    <w:rsid w:val="002B1C4E"/>
    <w:rsid w:val="002B2265"/>
    <w:rsid w:val="002B3F52"/>
    <w:rsid w:val="002D2B26"/>
    <w:rsid w:val="002D7EA2"/>
    <w:rsid w:val="002E187C"/>
    <w:rsid w:val="002E3527"/>
    <w:rsid w:val="002F2183"/>
    <w:rsid w:val="002F3F8C"/>
    <w:rsid w:val="003009E4"/>
    <w:rsid w:val="00302733"/>
    <w:rsid w:val="00305835"/>
    <w:rsid w:val="00306F33"/>
    <w:rsid w:val="00307E39"/>
    <w:rsid w:val="00310199"/>
    <w:rsid w:val="00310BA5"/>
    <w:rsid w:val="00314078"/>
    <w:rsid w:val="0031491D"/>
    <w:rsid w:val="0031535D"/>
    <w:rsid w:val="00315C1D"/>
    <w:rsid w:val="00315DC8"/>
    <w:rsid w:val="00322DC8"/>
    <w:rsid w:val="003239B8"/>
    <w:rsid w:val="00325AF5"/>
    <w:rsid w:val="00330F69"/>
    <w:rsid w:val="003315AB"/>
    <w:rsid w:val="0033169F"/>
    <w:rsid w:val="00333DB4"/>
    <w:rsid w:val="003447F5"/>
    <w:rsid w:val="00344977"/>
    <w:rsid w:val="003459D0"/>
    <w:rsid w:val="003468F4"/>
    <w:rsid w:val="00346C95"/>
    <w:rsid w:val="00347F0D"/>
    <w:rsid w:val="003532B1"/>
    <w:rsid w:val="003553EB"/>
    <w:rsid w:val="00356185"/>
    <w:rsid w:val="00357B34"/>
    <w:rsid w:val="00360214"/>
    <w:rsid w:val="00360380"/>
    <w:rsid w:val="00364723"/>
    <w:rsid w:val="0037519E"/>
    <w:rsid w:val="00380295"/>
    <w:rsid w:val="00380AC4"/>
    <w:rsid w:val="00386CF0"/>
    <w:rsid w:val="003A26DA"/>
    <w:rsid w:val="003A6AFA"/>
    <w:rsid w:val="003B0B21"/>
    <w:rsid w:val="003B4D49"/>
    <w:rsid w:val="003B70FB"/>
    <w:rsid w:val="003C242C"/>
    <w:rsid w:val="003C676B"/>
    <w:rsid w:val="003D257F"/>
    <w:rsid w:val="003D3BC2"/>
    <w:rsid w:val="003D67A9"/>
    <w:rsid w:val="003E1C67"/>
    <w:rsid w:val="003E3F2E"/>
    <w:rsid w:val="003E51E9"/>
    <w:rsid w:val="003E6CA1"/>
    <w:rsid w:val="003F0BE6"/>
    <w:rsid w:val="003F5154"/>
    <w:rsid w:val="003F6767"/>
    <w:rsid w:val="00403591"/>
    <w:rsid w:val="00405184"/>
    <w:rsid w:val="0040579B"/>
    <w:rsid w:val="00405F9C"/>
    <w:rsid w:val="004065A8"/>
    <w:rsid w:val="00412E6F"/>
    <w:rsid w:val="004165C2"/>
    <w:rsid w:val="004205D0"/>
    <w:rsid w:val="00422E41"/>
    <w:rsid w:val="004236AD"/>
    <w:rsid w:val="004241A0"/>
    <w:rsid w:val="00424FB5"/>
    <w:rsid w:val="00427301"/>
    <w:rsid w:val="00427B38"/>
    <w:rsid w:val="00430702"/>
    <w:rsid w:val="0043538F"/>
    <w:rsid w:val="004407B1"/>
    <w:rsid w:val="00441ECB"/>
    <w:rsid w:val="00442486"/>
    <w:rsid w:val="00445193"/>
    <w:rsid w:val="004528E6"/>
    <w:rsid w:val="00454A25"/>
    <w:rsid w:val="00457D49"/>
    <w:rsid w:val="0046139B"/>
    <w:rsid w:val="00462C1B"/>
    <w:rsid w:val="00467B7E"/>
    <w:rsid w:val="00473BB4"/>
    <w:rsid w:val="00473DE9"/>
    <w:rsid w:val="00477592"/>
    <w:rsid w:val="00482C24"/>
    <w:rsid w:val="0048640F"/>
    <w:rsid w:val="00486F1C"/>
    <w:rsid w:val="00491C73"/>
    <w:rsid w:val="0049419D"/>
    <w:rsid w:val="004A057B"/>
    <w:rsid w:val="004A2EE9"/>
    <w:rsid w:val="004A3B2A"/>
    <w:rsid w:val="004A3D80"/>
    <w:rsid w:val="004A6A54"/>
    <w:rsid w:val="004A7163"/>
    <w:rsid w:val="004A7463"/>
    <w:rsid w:val="004B13BA"/>
    <w:rsid w:val="004B28A9"/>
    <w:rsid w:val="004B421C"/>
    <w:rsid w:val="004C0F4D"/>
    <w:rsid w:val="004C20D2"/>
    <w:rsid w:val="004C2312"/>
    <w:rsid w:val="004C4B62"/>
    <w:rsid w:val="004C4FCC"/>
    <w:rsid w:val="004C54C9"/>
    <w:rsid w:val="004C7E95"/>
    <w:rsid w:val="004D109B"/>
    <w:rsid w:val="004D4ABA"/>
    <w:rsid w:val="004D6025"/>
    <w:rsid w:val="004E013A"/>
    <w:rsid w:val="004E2649"/>
    <w:rsid w:val="004E3A90"/>
    <w:rsid w:val="004E7D52"/>
    <w:rsid w:val="004F1840"/>
    <w:rsid w:val="004F1B17"/>
    <w:rsid w:val="004F427E"/>
    <w:rsid w:val="004F626F"/>
    <w:rsid w:val="00501399"/>
    <w:rsid w:val="00503443"/>
    <w:rsid w:val="005047ED"/>
    <w:rsid w:val="0050633D"/>
    <w:rsid w:val="0050662A"/>
    <w:rsid w:val="00507BC4"/>
    <w:rsid w:val="00510FC5"/>
    <w:rsid w:val="005128E4"/>
    <w:rsid w:val="005133DB"/>
    <w:rsid w:val="00514504"/>
    <w:rsid w:val="005165F1"/>
    <w:rsid w:val="00521AE2"/>
    <w:rsid w:val="00521E1F"/>
    <w:rsid w:val="00522E0C"/>
    <w:rsid w:val="00525560"/>
    <w:rsid w:val="00533C47"/>
    <w:rsid w:val="00534537"/>
    <w:rsid w:val="00544C49"/>
    <w:rsid w:val="005516A1"/>
    <w:rsid w:val="005559EF"/>
    <w:rsid w:val="005627DD"/>
    <w:rsid w:val="00563557"/>
    <w:rsid w:val="00566526"/>
    <w:rsid w:val="00571271"/>
    <w:rsid w:val="0057402A"/>
    <w:rsid w:val="005771D0"/>
    <w:rsid w:val="0059126F"/>
    <w:rsid w:val="0059191A"/>
    <w:rsid w:val="005921FF"/>
    <w:rsid w:val="005A1F49"/>
    <w:rsid w:val="005A24ED"/>
    <w:rsid w:val="005A6D0E"/>
    <w:rsid w:val="005A7A45"/>
    <w:rsid w:val="005B039F"/>
    <w:rsid w:val="005B3279"/>
    <w:rsid w:val="005B52B0"/>
    <w:rsid w:val="005B6806"/>
    <w:rsid w:val="005C4225"/>
    <w:rsid w:val="005C53EC"/>
    <w:rsid w:val="005C5C59"/>
    <w:rsid w:val="005D18A1"/>
    <w:rsid w:val="005E0DDB"/>
    <w:rsid w:val="005E410B"/>
    <w:rsid w:val="005E7173"/>
    <w:rsid w:val="005F0DAD"/>
    <w:rsid w:val="005F0F33"/>
    <w:rsid w:val="00600DEB"/>
    <w:rsid w:val="00614A9D"/>
    <w:rsid w:val="00614FD6"/>
    <w:rsid w:val="00615A60"/>
    <w:rsid w:val="006175F5"/>
    <w:rsid w:val="00621CA4"/>
    <w:rsid w:val="00627562"/>
    <w:rsid w:val="00627C9F"/>
    <w:rsid w:val="006311E9"/>
    <w:rsid w:val="00631A11"/>
    <w:rsid w:val="00632354"/>
    <w:rsid w:val="00632CEF"/>
    <w:rsid w:val="00634026"/>
    <w:rsid w:val="00635421"/>
    <w:rsid w:val="00635B94"/>
    <w:rsid w:val="0063649F"/>
    <w:rsid w:val="00642810"/>
    <w:rsid w:val="00644D98"/>
    <w:rsid w:val="00652333"/>
    <w:rsid w:val="00663CC3"/>
    <w:rsid w:val="00666CA0"/>
    <w:rsid w:val="006679B6"/>
    <w:rsid w:val="006746F8"/>
    <w:rsid w:val="0068009E"/>
    <w:rsid w:val="006842D4"/>
    <w:rsid w:val="00692219"/>
    <w:rsid w:val="0069360A"/>
    <w:rsid w:val="00693EB9"/>
    <w:rsid w:val="006A17D2"/>
    <w:rsid w:val="006A31EA"/>
    <w:rsid w:val="006A60A5"/>
    <w:rsid w:val="006A73E6"/>
    <w:rsid w:val="006B2D5C"/>
    <w:rsid w:val="006B5965"/>
    <w:rsid w:val="006C0ECF"/>
    <w:rsid w:val="006C4EB1"/>
    <w:rsid w:val="006D1684"/>
    <w:rsid w:val="006D2352"/>
    <w:rsid w:val="006D4202"/>
    <w:rsid w:val="006E0166"/>
    <w:rsid w:val="006E2FFB"/>
    <w:rsid w:val="006E3BAD"/>
    <w:rsid w:val="006E7B34"/>
    <w:rsid w:val="00704306"/>
    <w:rsid w:val="0070697F"/>
    <w:rsid w:val="007103C4"/>
    <w:rsid w:val="007218EF"/>
    <w:rsid w:val="0072199C"/>
    <w:rsid w:val="00722C9F"/>
    <w:rsid w:val="00723817"/>
    <w:rsid w:val="007253B8"/>
    <w:rsid w:val="0073501A"/>
    <w:rsid w:val="0073741F"/>
    <w:rsid w:val="00751E29"/>
    <w:rsid w:val="007533C7"/>
    <w:rsid w:val="00755E06"/>
    <w:rsid w:val="007653D8"/>
    <w:rsid w:val="0076643F"/>
    <w:rsid w:val="00772525"/>
    <w:rsid w:val="007773E3"/>
    <w:rsid w:val="00777F63"/>
    <w:rsid w:val="00784185"/>
    <w:rsid w:val="00792D0D"/>
    <w:rsid w:val="00793F1C"/>
    <w:rsid w:val="00794F46"/>
    <w:rsid w:val="0079515B"/>
    <w:rsid w:val="007A5817"/>
    <w:rsid w:val="007B05C4"/>
    <w:rsid w:val="007B1823"/>
    <w:rsid w:val="007B3BEB"/>
    <w:rsid w:val="007B51B9"/>
    <w:rsid w:val="007B60E9"/>
    <w:rsid w:val="007B6595"/>
    <w:rsid w:val="007B6CC3"/>
    <w:rsid w:val="007B76D3"/>
    <w:rsid w:val="007C282B"/>
    <w:rsid w:val="007C30FB"/>
    <w:rsid w:val="007C3334"/>
    <w:rsid w:val="007C74F0"/>
    <w:rsid w:val="007D2B98"/>
    <w:rsid w:val="007E21BC"/>
    <w:rsid w:val="007E5C97"/>
    <w:rsid w:val="007E6888"/>
    <w:rsid w:val="007E7C82"/>
    <w:rsid w:val="007F2AA1"/>
    <w:rsid w:val="007F588D"/>
    <w:rsid w:val="00803F1C"/>
    <w:rsid w:val="00805D5C"/>
    <w:rsid w:val="0080600E"/>
    <w:rsid w:val="0080671D"/>
    <w:rsid w:val="00814688"/>
    <w:rsid w:val="00817612"/>
    <w:rsid w:val="008338A4"/>
    <w:rsid w:val="00834D49"/>
    <w:rsid w:val="00837C45"/>
    <w:rsid w:val="00841CD0"/>
    <w:rsid w:val="00844730"/>
    <w:rsid w:val="00845182"/>
    <w:rsid w:val="008452B2"/>
    <w:rsid w:val="008457C2"/>
    <w:rsid w:val="00852037"/>
    <w:rsid w:val="00857A82"/>
    <w:rsid w:val="00872CBE"/>
    <w:rsid w:val="00873836"/>
    <w:rsid w:val="00876EF5"/>
    <w:rsid w:val="008839F4"/>
    <w:rsid w:val="008850AB"/>
    <w:rsid w:val="00885737"/>
    <w:rsid w:val="00886785"/>
    <w:rsid w:val="00890195"/>
    <w:rsid w:val="00890650"/>
    <w:rsid w:val="008944DC"/>
    <w:rsid w:val="00895F48"/>
    <w:rsid w:val="00897E12"/>
    <w:rsid w:val="008A7E0F"/>
    <w:rsid w:val="008B12F5"/>
    <w:rsid w:val="008C42B4"/>
    <w:rsid w:val="008C5E2D"/>
    <w:rsid w:val="008C7A17"/>
    <w:rsid w:val="008D593D"/>
    <w:rsid w:val="008D768D"/>
    <w:rsid w:val="008E0610"/>
    <w:rsid w:val="008E171E"/>
    <w:rsid w:val="008E2546"/>
    <w:rsid w:val="008E3759"/>
    <w:rsid w:val="008E3BFE"/>
    <w:rsid w:val="008E4E56"/>
    <w:rsid w:val="008E7B3D"/>
    <w:rsid w:val="008F1912"/>
    <w:rsid w:val="008F1DB0"/>
    <w:rsid w:val="008F288F"/>
    <w:rsid w:val="0090243F"/>
    <w:rsid w:val="0090270B"/>
    <w:rsid w:val="009041DC"/>
    <w:rsid w:val="0091191E"/>
    <w:rsid w:val="00913764"/>
    <w:rsid w:val="00913FB9"/>
    <w:rsid w:val="00917B5A"/>
    <w:rsid w:val="00920A58"/>
    <w:rsid w:val="00920A8C"/>
    <w:rsid w:val="00927786"/>
    <w:rsid w:val="00934A2C"/>
    <w:rsid w:val="00936EC0"/>
    <w:rsid w:val="00944C3A"/>
    <w:rsid w:val="00952371"/>
    <w:rsid w:val="00957C0E"/>
    <w:rsid w:val="00962ACD"/>
    <w:rsid w:val="0096706E"/>
    <w:rsid w:val="00971AB0"/>
    <w:rsid w:val="00974312"/>
    <w:rsid w:val="00974491"/>
    <w:rsid w:val="00974F8E"/>
    <w:rsid w:val="00975C4E"/>
    <w:rsid w:val="00981FBA"/>
    <w:rsid w:val="00982364"/>
    <w:rsid w:val="009832B6"/>
    <w:rsid w:val="0098518F"/>
    <w:rsid w:val="00997BC5"/>
    <w:rsid w:val="009A4F41"/>
    <w:rsid w:val="009B03E1"/>
    <w:rsid w:val="009B0AAE"/>
    <w:rsid w:val="009B1678"/>
    <w:rsid w:val="009B381B"/>
    <w:rsid w:val="009B5220"/>
    <w:rsid w:val="009B6AA0"/>
    <w:rsid w:val="009C52FB"/>
    <w:rsid w:val="009D1753"/>
    <w:rsid w:val="009D2D7C"/>
    <w:rsid w:val="009D7611"/>
    <w:rsid w:val="009E0B61"/>
    <w:rsid w:val="009E34AC"/>
    <w:rsid w:val="009E481A"/>
    <w:rsid w:val="009E53DE"/>
    <w:rsid w:val="009E6A26"/>
    <w:rsid w:val="009E7F46"/>
    <w:rsid w:val="00A004BB"/>
    <w:rsid w:val="00A05B01"/>
    <w:rsid w:val="00A11212"/>
    <w:rsid w:val="00A11E44"/>
    <w:rsid w:val="00A22C5C"/>
    <w:rsid w:val="00A2438F"/>
    <w:rsid w:val="00A24F3B"/>
    <w:rsid w:val="00A26EE6"/>
    <w:rsid w:val="00A30100"/>
    <w:rsid w:val="00A328B3"/>
    <w:rsid w:val="00A34797"/>
    <w:rsid w:val="00A43ACF"/>
    <w:rsid w:val="00A47319"/>
    <w:rsid w:val="00A508EC"/>
    <w:rsid w:val="00A50BB2"/>
    <w:rsid w:val="00A50FCF"/>
    <w:rsid w:val="00A528D1"/>
    <w:rsid w:val="00A610CD"/>
    <w:rsid w:val="00A64EB1"/>
    <w:rsid w:val="00A678DC"/>
    <w:rsid w:val="00A7234A"/>
    <w:rsid w:val="00A72E93"/>
    <w:rsid w:val="00A758AA"/>
    <w:rsid w:val="00A879E9"/>
    <w:rsid w:val="00A9016C"/>
    <w:rsid w:val="00A934E3"/>
    <w:rsid w:val="00AA09A2"/>
    <w:rsid w:val="00AA2D5C"/>
    <w:rsid w:val="00AA6175"/>
    <w:rsid w:val="00AA7996"/>
    <w:rsid w:val="00AB3141"/>
    <w:rsid w:val="00AB62F3"/>
    <w:rsid w:val="00AB7885"/>
    <w:rsid w:val="00AC18B1"/>
    <w:rsid w:val="00AC19CB"/>
    <w:rsid w:val="00AC4711"/>
    <w:rsid w:val="00AD23B6"/>
    <w:rsid w:val="00AD2609"/>
    <w:rsid w:val="00AE49FD"/>
    <w:rsid w:val="00AE5488"/>
    <w:rsid w:val="00AE6F91"/>
    <w:rsid w:val="00AF1AF9"/>
    <w:rsid w:val="00AF5571"/>
    <w:rsid w:val="00AF7601"/>
    <w:rsid w:val="00B007C8"/>
    <w:rsid w:val="00B0247A"/>
    <w:rsid w:val="00B02FDF"/>
    <w:rsid w:val="00B04F03"/>
    <w:rsid w:val="00B06277"/>
    <w:rsid w:val="00B07341"/>
    <w:rsid w:val="00B079D3"/>
    <w:rsid w:val="00B21119"/>
    <w:rsid w:val="00B2269E"/>
    <w:rsid w:val="00B24997"/>
    <w:rsid w:val="00B25990"/>
    <w:rsid w:val="00B27441"/>
    <w:rsid w:val="00B30539"/>
    <w:rsid w:val="00B3104B"/>
    <w:rsid w:val="00B314DB"/>
    <w:rsid w:val="00B32801"/>
    <w:rsid w:val="00B33782"/>
    <w:rsid w:val="00B35BFA"/>
    <w:rsid w:val="00B361F2"/>
    <w:rsid w:val="00B3718B"/>
    <w:rsid w:val="00B3745F"/>
    <w:rsid w:val="00B40C61"/>
    <w:rsid w:val="00B4632A"/>
    <w:rsid w:val="00B46D4F"/>
    <w:rsid w:val="00B50271"/>
    <w:rsid w:val="00B529FC"/>
    <w:rsid w:val="00B530F1"/>
    <w:rsid w:val="00B53EAF"/>
    <w:rsid w:val="00B55A6C"/>
    <w:rsid w:val="00B653DB"/>
    <w:rsid w:val="00B70730"/>
    <w:rsid w:val="00B7711D"/>
    <w:rsid w:val="00B83158"/>
    <w:rsid w:val="00B90063"/>
    <w:rsid w:val="00B93D7F"/>
    <w:rsid w:val="00BA2401"/>
    <w:rsid w:val="00BA276C"/>
    <w:rsid w:val="00BA27E4"/>
    <w:rsid w:val="00BB019D"/>
    <w:rsid w:val="00BB1331"/>
    <w:rsid w:val="00BB306F"/>
    <w:rsid w:val="00BB395B"/>
    <w:rsid w:val="00BB5BC3"/>
    <w:rsid w:val="00BB6B26"/>
    <w:rsid w:val="00BB79F8"/>
    <w:rsid w:val="00BC2F6D"/>
    <w:rsid w:val="00BC49AF"/>
    <w:rsid w:val="00BC66DA"/>
    <w:rsid w:val="00BD0FF5"/>
    <w:rsid w:val="00BD4B89"/>
    <w:rsid w:val="00BD5922"/>
    <w:rsid w:val="00BF02CB"/>
    <w:rsid w:val="00BF12CB"/>
    <w:rsid w:val="00BF2084"/>
    <w:rsid w:val="00BF367E"/>
    <w:rsid w:val="00BF55FA"/>
    <w:rsid w:val="00BF6FD8"/>
    <w:rsid w:val="00C03680"/>
    <w:rsid w:val="00C054DF"/>
    <w:rsid w:val="00C05B33"/>
    <w:rsid w:val="00C1039B"/>
    <w:rsid w:val="00C21762"/>
    <w:rsid w:val="00C21FEF"/>
    <w:rsid w:val="00C23BA4"/>
    <w:rsid w:val="00C24543"/>
    <w:rsid w:val="00C256A2"/>
    <w:rsid w:val="00C25ADB"/>
    <w:rsid w:val="00C327DE"/>
    <w:rsid w:val="00C4033E"/>
    <w:rsid w:val="00C4101F"/>
    <w:rsid w:val="00C4173B"/>
    <w:rsid w:val="00C44574"/>
    <w:rsid w:val="00C51515"/>
    <w:rsid w:val="00C5660B"/>
    <w:rsid w:val="00C56831"/>
    <w:rsid w:val="00C64E07"/>
    <w:rsid w:val="00C66B72"/>
    <w:rsid w:val="00C71804"/>
    <w:rsid w:val="00C721DB"/>
    <w:rsid w:val="00C72314"/>
    <w:rsid w:val="00C761A8"/>
    <w:rsid w:val="00C766C2"/>
    <w:rsid w:val="00C8360D"/>
    <w:rsid w:val="00C84845"/>
    <w:rsid w:val="00C87AC4"/>
    <w:rsid w:val="00C9124E"/>
    <w:rsid w:val="00C92A2D"/>
    <w:rsid w:val="00C93104"/>
    <w:rsid w:val="00C9567A"/>
    <w:rsid w:val="00C96F72"/>
    <w:rsid w:val="00CA39F2"/>
    <w:rsid w:val="00CA43D7"/>
    <w:rsid w:val="00CA5205"/>
    <w:rsid w:val="00CA5848"/>
    <w:rsid w:val="00CA703A"/>
    <w:rsid w:val="00CA7435"/>
    <w:rsid w:val="00CB212D"/>
    <w:rsid w:val="00CB22F6"/>
    <w:rsid w:val="00CB2660"/>
    <w:rsid w:val="00CC0D8D"/>
    <w:rsid w:val="00CC5E90"/>
    <w:rsid w:val="00CC7AE4"/>
    <w:rsid w:val="00CD046C"/>
    <w:rsid w:val="00CD2E6A"/>
    <w:rsid w:val="00CD324F"/>
    <w:rsid w:val="00CD3896"/>
    <w:rsid w:val="00CE076C"/>
    <w:rsid w:val="00CE5199"/>
    <w:rsid w:val="00CE54AB"/>
    <w:rsid w:val="00CE66D5"/>
    <w:rsid w:val="00CF28F3"/>
    <w:rsid w:val="00CF313D"/>
    <w:rsid w:val="00CF637A"/>
    <w:rsid w:val="00D01BFA"/>
    <w:rsid w:val="00D059DE"/>
    <w:rsid w:val="00D05ABD"/>
    <w:rsid w:val="00D1064A"/>
    <w:rsid w:val="00D10D79"/>
    <w:rsid w:val="00D13FCE"/>
    <w:rsid w:val="00D22B74"/>
    <w:rsid w:val="00D2719D"/>
    <w:rsid w:val="00D30191"/>
    <w:rsid w:val="00D306D1"/>
    <w:rsid w:val="00D30800"/>
    <w:rsid w:val="00D316C2"/>
    <w:rsid w:val="00D32A7A"/>
    <w:rsid w:val="00D34786"/>
    <w:rsid w:val="00D37BFC"/>
    <w:rsid w:val="00D46FE5"/>
    <w:rsid w:val="00D471A2"/>
    <w:rsid w:val="00D47A8E"/>
    <w:rsid w:val="00D52D14"/>
    <w:rsid w:val="00D619D8"/>
    <w:rsid w:val="00D712D3"/>
    <w:rsid w:val="00D71422"/>
    <w:rsid w:val="00D72DC6"/>
    <w:rsid w:val="00D75503"/>
    <w:rsid w:val="00D7558D"/>
    <w:rsid w:val="00D77FF7"/>
    <w:rsid w:val="00D81D92"/>
    <w:rsid w:val="00D876F9"/>
    <w:rsid w:val="00D92F63"/>
    <w:rsid w:val="00D96C9B"/>
    <w:rsid w:val="00DA4679"/>
    <w:rsid w:val="00DA694A"/>
    <w:rsid w:val="00DA7598"/>
    <w:rsid w:val="00DA7B5F"/>
    <w:rsid w:val="00DB61B8"/>
    <w:rsid w:val="00DC11E7"/>
    <w:rsid w:val="00DC24E3"/>
    <w:rsid w:val="00DC7023"/>
    <w:rsid w:val="00DC769A"/>
    <w:rsid w:val="00DD3D86"/>
    <w:rsid w:val="00DD4AD2"/>
    <w:rsid w:val="00DE0A58"/>
    <w:rsid w:val="00DE2862"/>
    <w:rsid w:val="00DE3C6A"/>
    <w:rsid w:val="00DE42AC"/>
    <w:rsid w:val="00DE5832"/>
    <w:rsid w:val="00DE71D5"/>
    <w:rsid w:val="00DF1EC4"/>
    <w:rsid w:val="00E00D22"/>
    <w:rsid w:val="00E021FA"/>
    <w:rsid w:val="00E0340B"/>
    <w:rsid w:val="00E04A90"/>
    <w:rsid w:val="00E0551F"/>
    <w:rsid w:val="00E12E1B"/>
    <w:rsid w:val="00E12F9D"/>
    <w:rsid w:val="00E133F4"/>
    <w:rsid w:val="00E13C82"/>
    <w:rsid w:val="00E219C7"/>
    <w:rsid w:val="00E2321A"/>
    <w:rsid w:val="00E2479A"/>
    <w:rsid w:val="00E32ED4"/>
    <w:rsid w:val="00E40E47"/>
    <w:rsid w:val="00E4118C"/>
    <w:rsid w:val="00E43157"/>
    <w:rsid w:val="00E461CE"/>
    <w:rsid w:val="00E46B7B"/>
    <w:rsid w:val="00E573E4"/>
    <w:rsid w:val="00E64C3D"/>
    <w:rsid w:val="00E65768"/>
    <w:rsid w:val="00E66134"/>
    <w:rsid w:val="00E720CA"/>
    <w:rsid w:val="00E77652"/>
    <w:rsid w:val="00E836B4"/>
    <w:rsid w:val="00E84EB5"/>
    <w:rsid w:val="00E85662"/>
    <w:rsid w:val="00E8789F"/>
    <w:rsid w:val="00E97B71"/>
    <w:rsid w:val="00EA3D34"/>
    <w:rsid w:val="00EA7275"/>
    <w:rsid w:val="00EB2F6B"/>
    <w:rsid w:val="00EB454D"/>
    <w:rsid w:val="00EB77C7"/>
    <w:rsid w:val="00EC0975"/>
    <w:rsid w:val="00EC0B52"/>
    <w:rsid w:val="00ED1F64"/>
    <w:rsid w:val="00ED549D"/>
    <w:rsid w:val="00ED5E10"/>
    <w:rsid w:val="00ED76BE"/>
    <w:rsid w:val="00EE00E9"/>
    <w:rsid w:val="00EE3676"/>
    <w:rsid w:val="00EE36C0"/>
    <w:rsid w:val="00EF1AAA"/>
    <w:rsid w:val="00EF619B"/>
    <w:rsid w:val="00F00B55"/>
    <w:rsid w:val="00F02AD1"/>
    <w:rsid w:val="00F02C09"/>
    <w:rsid w:val="00F07696"/>
    <w:rsid w:val="00F17870"/>
    <w:rsid w:val="00F21B2A"/>
    <w:rsid w:val="00F253CC"/>
    <w:rsid w:val="00F2549D"/>
    <w:rsid w:val="00F318DD"/>
    <w:rsid w:val="00F3623C"/>
    <w:rsid w:val="00F37106"/>
    <w:rsid w:val="00F37803"/>
    <w:rsid w:val="00F40B35"/>
    <w:rsid w:val="00F44E25"/>
    <w:rsid w:val="00F46E15"/>
    <w:rsid w:val="00F4793E"/>
    <w:rsid w:val="00F50D65"/>
    <w:rsid w:val="00F519CF"/>
    <w:rsid w:val="00F5366B"/>
    <w:rsid w:val="00F561D3"/>
    <w:rsid w:val="00F56BA5"/>
    <w:rsid w:val="00F60C89"/>
    <w:rsid w:val="00F60E22"/>
    <w:rsid w:val="00F67E3B"/>
    <w:rsid w:val="00F73D6F"/>
    <w:rsid w:val="00F7531D"/>
    <w:rsid w:val="00F80D59"/>
    <w:rsid w:val="00F80D60"/>
    <w:rsid w:val="00F81395"/>
    <w:rsid w:val="00F81BB8"/>
    <w:rsid w:val="00F8227D"/>
    <w:rsid w:val="00F90C64"/>
    <w:rsid w:val="00F9175F"/>
    <w:rsid w:val="00F917D1"/>
    <w:rsid w:val="00F9653B"/>
    <w:rsid w:val="00F9653D"/>
    <w:rsid w:val="00FA1DE0"/>
    <w:rsid w:val="00FB0DB7"/>
    <w:rsid w:val="00FB62CF"/>
    <w:rsid w:val="00FC189A"/>
    <w:rsid w:val="00FC6219"/>
    <w:rsid w:val="00FC67EE"/>
    <w:rsid w:val="00FD3C3B"/>
    <w:rsid w:val="00FD4A9D"/>
    <w:rsid w:val="00FE07DD"/>
    <w:rsid w:val="00FE6B45"/>
    <w:rsid w:val="00FF2DBF"/>
    <w:rsid w:val="00FF55F3"/>
    <w:rsid w:val="00FF5851"/>
    <w:rsid w:val="00FF5CB7"/>
    <w:rsid w:val="00FF7B79"/>
    <w:rsid w:val="00FF7C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33782"/>
    <w:rPr>
      <w:sz w:val="16"/>
      <w:szCs w:val="16"/>
    </w:rPr>
  </w:style>
  <w:style w:type="paragraph" w:styleId="CommentText">
    <w:name w:val="annotation text"/>
    <w:basedOn w:val="Normal"/>
    <w:link w:val="CommentTextChar"/>
    <w:uiPriority w:val="99"/>
    <w:semiHidden/>
    <w:unhideWhenUsed/>
    <w:rsid w:val="00B33782"/>
    <w:rPr>
      <w:sz w:val="20"/>
      <w:szCs w:val="20"/>
    </w:rPr>
  </w:style>
  <w:style w:type="character" w:customStyle="1" w:styleId="CommentTextChar">
    <w:name w:val="Comment Text Char"/>
    <w:basedOn w:val="DefaultParagraphFont"/>
    <w:link w:val="CommentText"/>
    <w:uiPriority w:val="99"/>
    <w:semiHidden/>
    <w:rsid w:val="00B33782"/>
    <w:rPr>
      <w:lang w:val="en-US" w:eastAsia="en-US"/>
    </w:rPr>
  </w:style>
  <w:style w:type="paragraph" w:styleId="CommentSubject">
    <w:name w:val="annotation subject"/>
    <w:basedOn w:val="CommentText"/>
    <w:next w:val="CommentText"/>
    <w:link w:val="CommentSubjectChar"/>
    <w:uiPriority w:val="99"/>
    <w:semiHidden/>
    <w:unhideWhenUsed/>
    <w:rsid w:val="00B33782"/>
    <w:rPr>
      <w:b/>
      <w:bCs/>
    </w:rPr>
  </w:style>
  <w:style w:type="character" w:customStyle="1" w:styleId="CommentSubjectChar">
    <w:name w:val="Comment Subject Char"/>
    <w:basedOn w:val="CommentTextChar"/>
    <w:link w:val="CommentSubject"/>
    <w:uiPriority w:val="99"/>
    <w:semiHidden/>
    <w:rsid w:val="00B33782"/>
    <w:rPr>
      <w:b/>
      <w:bCs/>
      <w:lang w:val="en-US" w:eastAsia="en-US"/>
    </w:rPr>
  </w:style>
  <w:style w:type="paragraph" w:styleId="Revision">
    <w:name w:val="Revision"/>
    <w:hidden/>
    <w:uiPriority w:val="99"/>
    <w:semiHidden/>
    <w:rsid w:val="007533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5E41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E410B"/>
  </w:style>
  <w:style w:type="character" w:customStyle="1" w:styleId="eop">
    <w:name w:val="eop"/>
    <w:basedOn w:val="DefaultParagraphFont"/>
    <w:rsid w:val="005E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3477">
      <w:bodyDiv w:val="1"/>
      <w:marLeft w:val="0"/>
      <w:marRight w:val="0"/>
      <w:marTop w:val="0"/>
      <w:marBottom w:val="0"/>
      <w:divBdr>
        <w:top w:val="none" w:sz="0" w:space="0" w:color="auto"/>
        <w:left w:val="none" w:sz="0" w:space="0" w:color="auto"/>
        <w:bottom w:val="none" w:sz="0" w:space="0" w:color="auto"/>
        <w:right w:val="none" w:sz="0" w:space="0" w:color="auto"/>
      </w:divBdr>
    </w:div>
    <w:div w:id="51754697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705402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233428">
      <w:bodyDiv w:val="1"/>
      <w:marLeft w:val="0"/>
      <w:marRight w:val="0"/>
      <w:marTop w:val="0"/>
      <w:marBottom w:val="0"/>
      <w:divBdr>
        <w:top w:val="none" w:sz="0" w:space="0" w:color="auto"/>
        <w:left w:val="none" w:sz="0" w:space="0" w:color="auto"/>
        <w:bottom w:val="none" w:sz="0" w:space="0" w:color="auto"/>
        <w:right w:val="none" w:sz="0" w:space="0" w:color="auto"/>
      </w:divBdr>
      <w:divsChild>
        <w:div w:id="2035380261">
          <w:marLeft w:val="0"/>
          <w:marRight w:val="0"/>
          <w:marTop w:val="0"/>
          <w:marBottom w:val="0"/>
          <w:divBdr>
            <w:top w:val="none" w:sz="0" w:space="0" w:color="auto"/>
            <w:left w:val="none" w:sz="0" w:space="0" w:color="auto"/>
            <w:bottom w:val="none" w:sz="0" w:space="0" w:color="auto"/>
            <w:right w:val="none" w:sz="0" w:space="0" w:color="auto"/>
          </w:divBdr>
        </w:div>
        <w:div w:id="1376387493">
          <w:marLeft w:val="0"/>
          <w:marRight w:val="0"/>
          <w:marTop w:val="0"/>
          <w:marBottom w:val="0"/>
          <w:divBdr>
            <w:top w:val="none" w:sz="0" w:space="0" w:color="auto"/>
            <w:left w:val="none" w:sz="0" w:space="0" w:color="auto"/>
            <w:bottom w:val="none" w:sz="0" w:space="0" w:color="auto"/>
            <w:right w:val="none" w:sz="0" w:space="0" w:color="auto"/>
          </w:divBdr>
        </w:div>
        <w:div w:id="481434541">
          <w:marLeft w:val="0"/>
          <w:marRight w:val="0"/>
          <w:marTop w:val="0"/>
          <w:marBottom w:val="0"/>
          <w:divBdr>
            <w:top w:val="none" w:sz="0" w:space="0" w:color="auto"/>
            <w:left w:val="none" w:sz="0" w:space="0" w:color="auto"/>
            <w:bottom w:val="none" w:sz="0" w:space="0" w:color="auto"/>
            <w:right w:val="none" w:sz="0" w:space="0" w:color="auto"/>
          </w:divBdr>
        </w:div>
        <w:div w:id="1178888372">
          <w:marLeft w:val="0"/>
          <w:marRight w:val="0"/>
          <w:marTop w:val="0"/>
          <w:marBottom w:val="0"/>
          <w:divBdr>
            <w:top w:val="none" w:sz="0" w:space="0" w:color="auto"/>
            <w:left w:val="none" w:sz="0" w:space="0" w:color="auto"/>
            <w:bottom w:val="none" w:sz="0" w:space="0" w:color="auto"/>
            <w:right w:val="none" w:sz="0" w:space="0" w:color="auto"/>
          </w:divBdr>
        </w:div>
      </w:divsChild>
    </w:div>
    <w:div w:id="1940671876">
      <w:bodyDiv w:val="1"/>
      <w:marLeft w:val="0"/>
      <w:marRight w:val="0"/>
      <w:marTop w:val="0"/>
      <w:marBottom w:val="0"/>
      <w:divBdr>
        <w:top w:val="none" w:sz="0" w:space="0" w:color="auto"/>
        <w:left w:val="none" w:sz="0" w:space="0" w:color="auto"/>
        <w:bottom w:val="none" w:sz="0" w:space="0" w:color="auto"/>
        <w:right w:val="none" w:sz="0" w:space="0" w:color="auto"/>
      </w:divBdr>
      <w:divsChild>
        <w:div w:id="1130324384">
          <w:marLeft w:val="0"/>
          <w:marRight w:val="0"/>
          <w:marTop w:val="0"/>
          <w:marBottom w:val="0"/>
          <w:divBdr>
            <w:top w:val="none" w:sz="0" w:space="0" w:color="auto"/>
            <w:left w:val="none" w:sz="0" w:space="0" w:color="auto"/>
            <w:bottom w:val="none" w:sz="0" w:space="0" w:color="auto"/>
            <w:right w:val="none" w:sz="0" w:space="0" w:color="auto"/>
          </w:divBdr>
        </w:div>
        <w:div w:id="1743486368">
          <w:marLeft w:val="0"/>
          <w:marRight w:val="0"/>
          <w:marTop w:val="0"/>
          <w:marBottom w:val="0"/>
          <w:divBdr>
            <w:top w:val="none" w:sz="0" w:space="0" w:color="auto"/>
            <w:left w:val="none" w:sz="0" w:space="0" w:color="auto"/>
            <w:bottom w:val="none" w:sz="0" w:space="0" w:color="auto"/>
            <w:right w:val="none" w:sz="0" w:space="0" w:color="auto"/>
          </w:divBdr>
        </w:div>
        <w:div w:id="425853778">
          <w:marLeft w:val="0"/>
          <w:marRight w:val="0"/>
          <w:marTop w:val="0"/>
          <w:marBottom w:val="0"/>
          <w:divBdr>
            <w:top w:val="none" w:sz="0" w:space="0" w:color="auto"/>
            <w:left w:val="none" w:sz="0" w:space="0" w:color="auto"/>
            <w:bottom w:val="none" w:sz="0" w:space="0" w:color="auto"/>
            <w:right w:val="none" w:sz="0" w:space="0" w:color="auto"/>
          </w:divBdr>
        </w:div>
        <w:div w:id="14832373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lconfidencial.com/mundo/2009-02-11/policia-atrapa-dormidos-a-diez-miembros-del-cartel-de-la-familia_978630/" TargetMode="External"/><Relationship Id="rId1" Type="http://schemas.openxmlformats.org/officeDocument/2006/relationships/hyperlink" Target="https://wradio.com.mx/radio/2009/02/11/judicial/1234405800_76195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091CEA"/>
    <w:rsid w:val="00200821"/>
    <w:rsid w:val="0024346A"/>
    <w:rsid w:val="0025245B"/>
    <w:rsid w:val="002A3923"/>
    <w:rsid w:val="002A4C6B"/>
    <w:rsid w:val="00394049"/>
    <w:rsid w:val="003B0C71"/>
    <w:rsid w:val="003F14A8"/>
    <w:rsid w:val="004B5BBB"/>
    <w:rsid w:val="004E5107"/>
    <w:rsid w:val="004F2DF8"/>
    <w:rsid w:val="0050257A"/>
    <w:rsid w:val="00517E2A"/>
    <w:rsid w:val="006D12AA"/>
    <w:rsid w:val="006F24A1"/>
    <w:rsid w:val="0078116D"/>
    <w:rsid w:val="00872821"/>
    <w:rsid w:val="00875B8A"/>
    <w:rsid w:val="00885EBA"/>
    <w:rsid w:val="008D0AF8"/>
    <w:rsid w:val="009A261B"/>
    <w:rsid w:val="00AA2E17"/>
    <w:rsid w:val="00AC15A4"/>
    <w:rsid w:val="00B0336C"/>
    <w:rsid w:val="00B04F57"/>
    <w:rsid w:val="00B438FA"/>
    <w:rsid w:val="00BB38BA"/>
    <w:rsid w:val="00C974DE"/>
    <w:rsid w:val="00CA4B5F"/>
    <w:rsid w:val="00CB27C1"/>
    <w:rsid w:val="00CF5449"/>
    <w:rsid w:val="00D241E9"/>
    <w:rsid w:val="00D6416B"/>
    <w:rsid w:val="00D7750D"/>
    <w:rsid w:val="00E4074A"/>
    <w:rsid w:val="00E56214"/>
    <w:rsid w:val="00EF31C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3677</Words>
  <Characters>20963</Characters>
  <Application>Microsoft Office Word</Application>
  <DocSecurity>0</DocSecurity>
  <Lines>174</Lines>
  <Paragraphs>49</Paragraphs>
  <ScaleCrop>false</ScaleCrop>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2023-07-10T21:37:00Z</dcterms:created>
  <dcterms:modified xsi:type="dcterms:W3CDTF">2023-07-10T21:37:00Z</dcterms:modified>
</cp:coreProperties>
</file>