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4F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15016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93FEF">
                              <w:rPr>
                                <w:rFonts w:asciiTheme="majorHAnsi" w:hAnsiTheme="majorHAnsi" w:cs="Arial"/>
                                <w:b/>
                                <w:bCs/>
                                <w:color w:val="0D0D0D" w:themeColor="text1" w:themeTint="F2"/>
                                <w:sz w:val="36"/>
                                <w:szCs w:val="22"/>
                                <w:lang w:val="es-ES_tradnl"/>
                              </w:rPr>
                              <w:t>331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32402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1F13">
                              <w:rPr>
                                <w:rFonts w:asciiTheme="majorHAnsi" w:hAnsiTheme="majorHAnsi" w:cs="Arial"/>
                                <w:b/>
                                <w:color w:val="0D0D0D" w:themeColor="text1" w:themeTint="F2"/>
                                <w:sz w:val="36"/>
                                <w:szCs w:val="22"/>
                                <w:lang w:val="es-ES_tradnl"/>
                              </w:rPr>
                              <w:t>1</w:t>
                            </w:r>
                            <w:r w:rsidR="00126CF6">
                              <w:rPr>
                                <w:rFonts w:asciiTheme="majorHAnsi" w:hAnsiTheme="majorHAnsi" w:cs="Arial"/>
                                <w:b/>
                                <w:color w:val="0D0D0D" w:themeColor="text1" w:themeTint="F2"/>
                                <w:sz w:val="36"/>
                                <w:szCs w:val="22"/>
                                <w:lang w:val="es-ES_tradnl"/>
                              </w:rPr>
                              <w:t>206</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126CF6">
                              <w:rPr>
                                <w:rFonts w:asciiTheme="majorHAnsi" w:hAnsiTheme="majorHAnsi" w:cs="Arial"/>
                                <w:b/>
                                <w:color w:val="0D0D0D" w:themeColor="text1" w:themeTint="F2"/>
                                <w:sz w:val="36"/>
                                <w:szCs w:val="22"/>
                                <w:lang w:val="es-ES_tradnl"/>
                              </w:rPr>
                              <w:t>7</w:t>
                            </w:r>
                          </w:p>
                          <w:p w14:paraId="70CF6833" w14:textId="1A13CF5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6D0DA131" w14:textId="074B503C" w:rsidR="009A29A6" w:rsidRPr="0010736F" w:rsidRDefault="00B545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HERNÁNDEZ GÓMEZ Y OTROS</w:t>
                            </w:r>
                          </w:p>
                          <w:bookmarkEnd w:id="0"/>
                          <w:p w14:paraId="575DFD52" w14:textId="01394DA9" w:rsidR="005B52B0" w:rsidRPr="00B54564" w:rsidRDefault="00126CF6" w:rsidP="00B5456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15016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93FEF">
                        <w:rPr>
                          <w:rFonts w:asciiTheme="majorHAnsi" w:hAnsiTheme="majorHAnsi" w:cs="Arial"/>
                          <w:b/>
                          <w:bCs/>
                          <w:color w:val="0D0D0D" w:themeColor="text1" w:themeTint="F2"/>
                          <w:sz w:val="36"/>
                          <w:szCs w:val="22"/>
                          <w:lang w:val="es-ES_tradnl"/>
                        </w:rPr>
                        <w:t>331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32402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1F13">
                        <w:rPr>
                          <w:rFonts w:asciiTheme="majorHAnsi" w:hAnsiTheme="majorHAnsi" w:cs="Arial"/>
                          <w:b/>
                          <w:color w:val="0D0D0D" w:themeColor="text1" w:themeTint="F2"/>
                          <w:sz w:val="36"/>
                          <w:szCs w:val="22"/>
                          <w:lang w:val="es-ES_tradnl"/>
                        </w:rPr>
                        <w:t>1</w:t>
                      </w:r>
                      <w:r w:rsidR="00126CF6">
                        <w:rPr>
                          <w:rFonts w:asciiTheme="majorHAnsi" w:hAnsiTheme="majorHAnsi" w:cs="Arial"/>
                          <w:b/>
                          <w:color w:val="0D0D0D" w:themeColor="text1" w:themeTint="F2"/>
                          <w:sz w:val="36"/>
                          <w:szCs w:val="22"/>
                          <w:lang w:val="es-ES_tradnl"/>
                        </w:rPr>
                        <w:t>206</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126CF6">
                        <w:rPr>
                          <w:rFonts w:asciiTheme="majorHAnsi" w:hAnsiTheme="majorHAnsi" w:cs="Arial"/>
                          <w:b/>
                          <w:color w:val="0D0D0D" w:themeColor="text1" w:themeTint="F2"/>
                          <w:sz w:val="36"/>
                          <w:szCs w:val="22"/>
                          <w:lang w:val="es-ES_tradnl"/>
                        </w:rPr>
                        <w:t>7</w:t>
                      </w:r>
                    </w:p>
                    <w:p w14:paraId="70CF6833" w14:textId="1A13CF5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D0DA131" w14:textId="074B503C" w:rsidR="009A29A6" w:rsidRPr="0010736F" w:rsidRDefault="00B545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JAVIER HERNÁNDEZ GÓMEZ Y OTROS</w:t>
                      </w:r>
                    </w:p>
                    <w:bookmarkEnd w:id="1"/>
                    <w:p w14:paraId="575DFD52" w14:textId="01394DA9" w:rsidR="005B52B0" w:rsidRPr="00B54564" w:rsidRDefault="00126CF6" w:rsidP="00B5456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3DA8A8D" w:rsidR="00627C9F" w:rsidRPr="00564D39" w:rsidRDefault="00834D49" w:rsidP="007A5817">
                            <w:pPr>
                              <w:spacing w:line="276" w:lineRule="auto"/>
                              <w:jc w:val="right"/>
                              <w:rPr>
                                <w:rFonts w:asciiTheme="minorHAnsi" w:hAnsiTheme="minorHAnsi"/>
                                <w:color w:val="FFFFFF" w:themeColor="background1"/>
                                <w:sz w:val="22"/>
                                <w:lang w:val="es-AR"/>
                              </w:rPr>
                            </w:pPr>
                            <w:r w:rsidRPr="00564D39">
                              <w:rPr>
                                <w:rFonts w:asciiTheme="minorHAnsi" w:hAnsiTheme="minorHAnsi"/>
                                <w:color w:val="FFFFFF" w:themeColor="background1"/>
                                <w:sz w:val="22"/>
                                <w:lang w:val="es-AR"/>
                              </w:rPr>
                              <w:t>OEA/Ser.L/V/II</w:t>
                            </w:r>
                          </w:p>
                          <w:p w14:paraId="6A41611B" w14:textId="39ED71A7" w:rsidR="00627C9F" w:rsidRPr="00564D39" w:rsidRDefault="00627C9F" w:rsidP="007A5817">
                            <w:pPr>
                              <w:spacing w:line="276" w:lineRule="auto"/>
                              <w:jc w:val="right"/>
                              <w:rPr>
                                <w:rFonts w:asciiTheme="minorHAnsi" w:hAnsiTheme="minorHAnsi"/>
                                <w:color w:val="FFFFFF" w:themeColor="background1"/>
                                <w:sz w:val="22"/>
                                <w:lang w:val="es-AR"/>
                              </w:rPr>
                            </w:pPr>
                            <w:r w:rsidRPr="00564D39">
                              <w:rPr>
                                <w:rFonts w:asciiTheme="minorHAnsi" w:hAnsiTheme="minorHAnsi"/>
                                <w:color w:val="FFFFFF" w:themeColor="background1"/>
                                <w:sz w:val="22"/>
                                <w:lang w:val="es-AR"/>
                              </w:rPr>
                              <w:t xml:space="preserve">Doc. </w:t>
                            </w:r>
                            <w:r w:rsidR="005A0D56" w:rsidRPr="00564D39">
                              <w:rPr>
                                <w:rFonts w:asciiTheme="minorHAnsi" w:hAnsiTheme="minorHAnsi"/>
                                <w:color w:val="FFFFFF" w:themeColor="background1"/>
                                <w:sz w:val="22"/>
                                <w:lang w:val="es-AR"/>
                              </w:rPr>
                              <w:t>357</w:t>
                            </w:r>
                          </w:p>
                          <w:p w14:paraId="69373ED2" w14:textId="3EF950A7" w:rsidR="00627C9F" w:rsidRPr="00C25ADB" w:rsidRDefault="00C06A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3DA8A8D" w:rsidR="00627C9F" w:rsidRPr="00564D39" w:rsidRDefault="00834D49" w:rsidP="007A5817">
                      <w:pPr>
                        <w:spacing w:line="276" w:lineRule="auto"/>
                        <w:jc w:val="right"/>
                        <w:rPr>
                          <w:rFonts w:asciiTheme="minorHAnsi" w:hAnsiTheme="minorHAnsi"/>
                          <w:color w:val="FFFFFF" w:themeColor="background1"/>
                          <w:sz w:val="22"/>
                          <w:lang w:val="es-AR"/>
                        </w:rPr>
                      </w:pPr>
                      <w:r w:rsidRPr="00564D39">
                        <w:rPr>
                          <w:rFonts w:asciiTheme="minorHAnsi" w:hAnsiTheme="minorHAnsi"/>
                          <w:color w:val="FFFFFF" w:themeColor="background1"/>
                          <w:sz w:val="22"/>
                          <w:lang w:val="es-AR"/>
                        </w:rPr>
                        <w:t>OEA/Ser.L/V/II</w:t>
                      </w:r>
                    </w:p>
                    <w:p w14:paraId="6A41611B" w14:textId="39ED71A7" w:rsidR="00627C9F" w:rsidRPr="00564D39" w:rsidRDefault="00627C9F" w:rsidP="007A5817">
                      <w:pPr>
                        <w:spacing w:line="276" w:lineRule="auto"/>
                        <w:jc w:val="right"/>
                        <w:rPr>
                          <w:rFonts w:asciiTheme="minorHAnsi" w:hAnsiTheme="minorHAnsi"/>
                          <w:color w:val="FFFFFF" w:themeColor="background1"/>
                          <w:sz w:val="22"/>
                          <w:lang w:val="es-AR"/>
                        </w:rPr>
                      </w:pPr>
                      <w:r w:rsidRPr="00564D39">
                        <w:rPr>
                          <w:rFonts w:asciiTheme="minorHAnsi" w:hAnsiTheme="minorHAnsi"/>
                          <w:color w:val="FFFFFF" w:themeColor="background1"/>
                          <w:sz w:val="22"/>
                          <w:lang w:val="es-AR"/>
                        </w:rPr>
                        <w:t xml:space="preserve">Doc. </w:t>
                      </w:r>
                      <w:r w:rsidR="005A0D56" w:rsidRPr="00564D39">
                        <w:rPr>
                          <w:rFonts w:asciiTheme="minorHAnsi" w:hAnsiTheme="minorHAnsi"/>
                          <w:color w:val="FFFFFF" w:themeColor="background1"/>
                          <w:sz w:val="22"/>
                          <w:lang w:val="es-AR"/>
                        </w:rPr>
                        <w:t>357</w:t>
                      </w:r>
                    </w:p>
                    <w:p w14:paraId="69373ED2" w14:textId="3EF950A7" w:rsidR="00627C9F" w:rsidRPr="00C25ADB" w:rsidRDefault="00C06A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3AD92B4"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06A27">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C06A2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DF38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3AD92B4"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06A27">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C06A2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DF38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AFD25D2" w:rsidR="00113F73" w:rsidRPr="00B54564" w:rsidRDefault="00113F73" w:rsidP="00D13A3A">
                            <w:pPr>
                              <w:spacing w:line="276" w:lineRule="auto"/>
                              <w:jc w:val="both"/>
                              <w:rPr>
                                <w:rFonts w:asciiTheme="majorHAnsi" w:hAnsiTheme="majorHAnsi"/>
                                <w:color w:val="595959" w:themeColor="text1" w:themeTint="A6"/>
                                <w:sz w:val="18"/>
                                <w:szCs w:val="18"/>
                                <w:lang w:val="es-ES"/>
                              </w:rPr>
                            </w:pPr>
                            <w:r w:rsidRPr="00B54564">
                              <w:rPr>
                                <w:rFonts w:asciiTheme="majorHAnsi" w:hAnsiTheme="majorHAnsi"/>
                                <w:b/>
                                <w:color w:val="595959" w:themeColor="text1" w:themeTint="A6"/>
                                <w:sz w:val="18"/>
                                <w:szCs w:val="18"/>
                                <w:lang w:val="pt-BR"/>
                              </w:rPr>
                              <w:t>Citar como:</w:t>
                            </w:r>
                            <w:r w:rsidRPr="00B54564">
                              <w:rPr>
                                <w:rFonts w:asciiTheme="majorHAnsi" w:hAnsiTheme="majorHAnsi"/>
                                <w:color w:val="595959" w:themeColor="text1" w:themeTint="A6"/>
                                <w:sz w:val="18"/>
                                <w:szCs w:val="18"/>
                                <w:lang w:val="pt-BR"/>
                              </w:rPr>
                              <w:t xml:space="preserve"> CIDH, Informe No. </w:t>
                            </w:r>
                            <w:r w:rsidR="00DF3857" w:rsidRPr="00DF3857">
                              <w:rPr>
                                <w:rFonts w:asciiTheme="majorHAnsi" w:hAnsiTheme="majorHAnsi"/>
                                <w:color w:val="595959" w:themeColor="text1" w:themeTint="A6"/>
                                <w:sz w:val="18"/>
                                <w:szCs w:val="18"/>
                                <w:lang w:val="pt-BR"/>
                              </w:rPr>
                              <w:t>331</w:t>
                            </w:r>
                            <w:r w:rsidR="007B05C4" w:rsidRPr="00DF3857">
                              <w:rPr>
                                <w:rFonts w:asciiTheme="majorHAnsi" w:hAnsiTheme="majorHAnsi"/>
                                <w:color w:val="595959" w:themeColor="text1" w:themeTint="A6"/>
                                <w:sz w:val="18"/>
                                <w:szCs w:val="18"/>
                                <w:lang w:val="pt-BR"/>
                              </w:rPr>
                              <w:t>/</w:t>
                            </w:r>
                            <w:r w:rsidR="00DF3857" w:rsidRPr="00DF3857">
                              <w:rPr>
                                <w:rFonts w:asciiTheme="majorHAnsi" w:hAnsiTheme="majorHAnsi"/>
                                <w:color w:val="595959" w:themeColor="text1" w:themeTint="A6"/>
                                <w:sz w:val="18"/>
                                <w:szCs w:val="18"/>
                                <w:lang w:val="pt-BR"/>
                              </w:rPr>
                              <w:t>23</w:t>
                            </w:r>
                            <w:r w:rsidRPr="00DF3857">
                              <w:rPr>
                                <w:rFonts w:asciiTheme="majorHAnsi" w:hAnsiTheme="majorHAnsi"/>
                                <w:color w:val="595959" w:themeColor="text1" w:themeTint="A6"/>
                                <w:sz w:val="18"/>
                                <w:szCs w:val="18"/>
                                <w:lang w:val="pt-BR"/>
                              </w:rPr>
                              <w:t xml:space="preserve">. </w:t>
                            </w:r>
                            <w:r w:rsidR="000433C9" w:rsidRPr="00B54564">
                              <w:rPr>
                                <w:rFonts w:asciiTheme="majorHAnsi" w:hAnsiTheme="majorHAnsi"/>
                                <w:color w:val="595959" w:themeColor="text1" w:themeTint="A6"/>
                                <w:sz w:val="18"/>
                                <w:szCs w:val="18"/>
                                <w:lang w:val="es-ES_tradnl"/>
                              </w:rPr>
                              <w:t>Petici</w:t>
                            </w:r>
                            <w:r w:rsidR="000433C9" w:rsidRPr="00B54564">
                              <w:rPr>
                                <w:rFonts w:asciiTheme="majorHAnsi" w:hAnsiTheme="majorHAnsi"/>
                                <w:color w:val="595959" w:themeColor="text1" w:themeTint="A6"/>
                                <w:sz w:val="18"/>
                                <w:szCs w:val="18"/>
                                <w:lang w:val="es-ES"/>
                              </w:rPr>
                              <w:t xml:space="preserve">ón </w:t>
                            </w:r>
                            <w:r w:rsidR="009A29A6" w:rsidRPr="00B54564">
                              <w:rPr>
                                <w:rFonts w:asciiTheme="majorHAnsi" w:hAnsiTheme="majorHAnsi"/>
                                <w:color w:val="595959" w:themeColor="text1" w:themeTint="A6"/>
                                <w:sz w:val="18"/>
                                <w:szCs w:val="18"/>
                                <w:lang w:val="es-ES"/>
                              </w:rPr>
                              <w:t>1</w:t>
                            </w:r>
                            <w:r w:rsidR="00BA7F18" w:rsidRPr="00B54564">
                              <w:rPr>
                                <w:rFonts w:asciiTheme="majorHAnsi" w:hAnsiTheme="majorHAnsi"/>
                                <w:color w:val="595959" w:themeColor="text1" w:themeTint="A6"/>
                                <w:sz w:val="18"/>
                                <w:szCs w:val="18"/>
                                <w:lang w:val="es-ES"/>
                              </w:rPr>
                              <w:t>206</w:t>
                            </w:r>
                            <w:r w:rsidR="00D13A3A" w:rsidRPr="00B54564">
                              <w:rPr>
                                <w:rFonts w:asciiTheme="majorHAnsi" w:hAnsiTheme="majorHAnsi"/>
                                <w:color w:val="595959" w:themeColor="text1" w:themeTint="A6"/>
                                <w:sz w:val="18"/>
                                <w:szCs w:val="18"/>
                                <w:lang w:val="es-ES"/>
                              </w:rPr>
                              <w:t>-1</w:t>
                            </w:r>
                            <w:r w:rsidR="00BA7F18" w:rsidRPr="00B54564">
                              <w:rPr>
                                <w:rFonts w:asciiTheme="majorHAnsi" w:hAnsiTheme="majorHAnsi"/>
                                <w:color w:val="595959" w:themeColor="text1" w:themeTint="A6"/>
                                <w:sz w:val="18"/>
                                <w:szCs w:val="18"/>
                                <w:lang w:val="es-ES"/>
                              </w:rPr>
                              <w:t>7</w:t>
                            </w:r>
                            <w:r w:rsidR="000433C9" w:rsidRPr="00B54564">
                              <w:rPr>
                                <w:rFonts w:asciiTheme="majorHAnsi" w:hAnsiTheme="majorHAnsi"/>
                                <w:color w:val="595959" w:themeColor="text1" w:themeTint="A6"/>
                                <w:sz w:val="18"/>
                                <w:szCs w:val="18"/>
                                <w:lang w:val="es-ES"/>
                              </w:rPr>
                              <w:t xml:space="preserve">. </w:t>
                            </w:r>
                            <w:r w:rsidRPr="00B54564">
                              <w:rPr>
                                <w:rFonts w:asciiTheme="majorHAnsi" w:hAnsiTheme="majorHAnsi"/>
                                <w:color w:val="595959" w:themeColor="text1" w:themeTint="A6"/>
                                <w:sz w:val="18"/>
                                <w:szCs w:val="18"/>
                                <w:lang w:val="es-ES_tradnl"/>
                              </w:rPr>
                              <w:t xml:space="preserve">Admisibilidad. </w:t>
                            </w:r>
                            <w:r w:rsidR="00B54564" w:rsidRPr="00E737E2">
                              <w:rPr>
                                <w:rFonts w:asciiTheme="majorHAnsi" w:hAnsiTheme="majorHAnsi"/>
                                <w:color w:val="595959" w:themeColor="text1" w:themeTint="A6"/>
                                <w:sz w:val="18"/>
                                <w:szCs w:val="18"/>
                                <w:shd w:val="clear" w:color="auto" w:fill="FFFFFF"/>
                                <w:lang w:val="es-AR"/>
                              </w:rPr>
                              <w:t xml:space="preserve">Francisco Javier Hernández Gómez </w:t>
                            </w:r>
                            <w:r w:rsidR="00BA7F18" w:rsidRPr="00E36A4E">
                              <w:rPr>
                                <w:rFonts w:asciiTheme="majorHAnsi" w:hAnsiTheme="majorHAnsi"/>
                                <w:color w:val="595959" w:themeColor="text1" w:themeTint="A6"/>
                                <w:sz w:val="18"/>
                                <w:szCs w:val="18"/>
                                <w:shd w:val="clear" w:color="auto" w:fill="FFFFFF"/>
                                <w:lang w:val="es-ES"/>
                              </w:rPr>
                              <w:t>y otros</w:t>
                            </w:r>
                            <w:r w:rsidRPr="00E36A4E">
                              <w:rPr>
                                <w:rFonts w:asciiTheme="majorHAnsi" w:hAnsiTheme="majorHAnsi"/>
                                <w:color w:val="595959" w:themeColor="text1" w:themeTint="A6"/>
                                <w:sz w:val="18"/>
                                <w:szCs w:val="18"/>
                                <w:lang w:val="es-ES"/>
                              </w:rPr>
                              <w:t xml:space="preserve">. </w:t>
                            </w:r>
                            <w:r w:rsidR="00BA7F18" w:rsidRPr="00B54564">
                              <w:rPr>
                                <w:rFonts w:asciiTheme="majorHAnsi" w:hAnsiTheme="majorHAnsi"/>
                                <w:color w:val="595959" w:themeColor="text1" w:themeTint="A6"/>
                                <w:sz w:val="18"/>
                                <w:szCs w:val="18"/>
                                <w:lang w:val="es-ES_tradnl"/>
                              </w:rPr>
                              <w:t>El Salvador</w:t>
                            </w:r>
                            <w:r w:rsidRPr="00B54564">
                              <w:rPr>
                                <w:rFonts w:asciiTheme="majorHAnsi" w:hAnsiTheme="majorHAnsi"/>
                                <w:color w:val="595959" w:themeColor="text1" w:themeTint="A6"/>
                                <w:sz w:val="18"/>
                                <w:szCs w:val="18"/>
                                <w:lang w:val="es-ES_tradnl"/>
                              </w:rPr>
                              <w:t xml:space="preserve">. </w:t>
                            </w:r>
                            <w:r w:rsidR="00DF3857">
                              <w:rPr>
                                <w:rFonts w:asciiTheme="majorHAnsi" w:hAnsiTheme="majorHAnsi"/>
                                <w:color w:val="595959" w:themeColor="text1" w:themeTint="A6"/>
                                <w:sz w:val="18"/>
                                <w:szCs w:val="18"/>
                                <w:lang w:val="es-ES"/>
                              </w:rPr>
                              <w:t>18 de diciembre de 2023</w:t>
                            </w:r>
                            <w:r w:rsidRPr="00B5456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AFD25D2" w:rsidR="00113F73" w:rsidRPr="00B54564" w:rsidRDefault="00113F73" w:rsidP="00D13A3A">
                      <w:pPr>
                        <w:spacing w:line="276" w:lineRule="auto"/>
                        <w:jc w:val="both"/>
                        <w:rPr>
                          <w:rFonts w:asciiTheme="majorHAnsi" w:hAnsiTheme="majorHAnsi"/>
                          <w:color w:val="595959" w:themeColor="text1" w:themeTint="A6"/>
                          <w:sz w:val="18"/>
                          <w:szCs w:val="18"/>
                          <w:lang w:val="es-ES"/>
                        </w:rPr>
                      </w:pPr>
                      <w:r w:rsidRPr="00B54564">
                        <w:rPr>
                          <w:rFonts w:asciiTheme="majorHAnsi" w:hAnsiTheme="majorHAnsi"/>
                          <w:b/>
                          <w:color w:val="595959" w:themeColor="text1" w:themeTint="A6"/>
                          <w:sz w:val="18"/>
                          <w:szCs w:val="18"/>
                          <w:lang w:val="pt-BR"/>
                        </w:rPr>
                        <w:t>Citar como:</w:t>
                      </w:r>
                      <w:r w:rsidRPr="00B54564">
                        <w:rPr>
                          <w:rFonts w:asciiTheme="majorHAnsi" w:hAnsiTheme="majorHAnsi"/>
                          <w:color w:val="595959" w:themeColor="text1" w:themeTint="A6"/>
                          <w:sz w:val="18"/>
                          <w:szCs w:val="18"/>
                          <w:lang w:val="pt-BR"/>
                        </w:rPr>
                        <w:t xml:space="preserve"> CIDH, Informe No. </w:t>
                      </w:r>
                      <w:r w:rsidR="00DF3857" w:rsidRPr="00DF3857">
                        <w:rPr>
                          <w:rFonts w:asciiTheme="majorHAnsi" w:hAnsiTheme="majorHAnsi"/>
                          <w:color w:val="595959" w:themeColor="text1" w:themeTint="A6"/>
                          <w:sz w:val="18"/>
                          <w:szCs w:val="18"/>
                          <w:lang w:val="pt-BR"/>
                        </w:rPr>
                        <w:t>331</w:t>
                      </w:r>
                      <w:r w:rsidR="007B05C4" w:rsidRPr="00DF3857">
                        <w:rPr>
                          <w:rFonts w:asciiTheme="majorHAnsi" w:hAnsiTheme="majorHAnsi"/>
                          <w:color w:val="595959" w:themeColor="text1" w:themeTint="A6"/>
                          <w:sz w:val="18"/>
                          <w:szCs w:val="18"/>
                          <w:lang w:val="pt-BR"/>
                        </w:rPr>
                        <w:t>/</w:t>
                      </w:r>
                      <w:r w:rsidR="00DF3857" w:rsidRPr="00DF3857">
                        <w:rPr>
                          <w:rFonts w:asciiTheme="majorHAnsi" w:hAnsiTheme="majorHAnsi"/>
                          <w:color w:val="595959" w:themeColor="text1" w:themeTint="A6"/>
                          <w:sz w:val="18"/>
                          <w:szCs w:val="18"/>
                          <w:lang w:val="pt-BR"/>
                        </w:rPr>
                        <w:t>23</w:t>
                      </w:r>
                      <w:r w:rsidRPr="00DF3857">
                        <w:rPr>
                          <w:rFonts w:asciiTheme="majorHAnsi" w:hAnsiTheme="majorHAnsi"/>
                          <w:color w:val="595959" w:themeColor="text1" w:themeTint="A6"/>
                          <w:sz w:val="18"/>
                          <w:szCs w:val="18"/>
                          <w:lang w:val="pt-BR"/>
                        </w:rPr>
                        <w:t xml:space="preserve">. </w:t>
                      </w:r>
                      <w:r w:rsidR="000433C9" w:rsidRPr="00B54564">
                        <w:rPr>
                          <w:rFonts w:asciiTheme="majorHAnsi" w:hAnsiTheme="majorHAnsi"/>
                          <w:color w:val="595959" w:themeColor="text1" w:themeTint="A6"/>
                          <w:sz w:val="18"/>
                          <w:szCs w:val="18"/>
                          <w:lang w:val="es-ES_tradnl"/>
                        </w:rPr>
                        <w:t>Petici</w:t>
                      </w:r>
                      <w:r w:rsidR="000433C9" w:rsidRPr="00B54564">
                        <w:rPr>
                          <w:rFonts w:asciiTheme="majorHAnsi" w:hAnsiTheme="majorHAnsi"/>
                          <w:color w:val="595959" w:themeColor="text1" w:themeTint="A6"/>
                          <w:sz w:val="18"/>
                          <w:szCs w:val="18"/>
                          <w:lang w:val="es-ES"/>
                        </w:rPr>
                        <w:t xml:space="preserve">ón </w:t>
                      </w:r>
                      <w:r w:rsidR="009A29A6" w:rsidRPr="00B54564">
                        <w:rPr>
                          <w:rFonts w:asciiTheme="majorHAnsi" w:hAnsiTheme="majorHAnsi"/>
                          <w:color w:val="595959" w:themeColor="text1" w:themeTint="A6"/>
                          <w:sz w:val="18"/>
                          <w:szCs w:val="18"/>
                          <w:lang w:val="es-ES"/>
                        </w:rPr>
                        <w:t>1</w:t>
                      </w:r>
                      <w:r w:rsidR="00BA7F18" w:rsidRPr="00B54564">
                        <w:rPr>
                          <w:rFonts w:asciiTheme="majorHAnsi" w:hAnsiTheme="majorHAnsi"/>
                          <w:color w:val="595959" w:themeColor="text1" w:themeTint="A6"/>
                          <w:sz w:val="18"/>
                          <w:szCs w:val="18"/>
                          <w:lang w:val="es-ES"/>
                        </w:rPr>
                        <w:t>206</w:t>
                      </w:r>
                      <w:r w:rsidR="00D13A3A" w:rsidRPr="00B54564">
                        <w:rPr>
                          <w:rFonts w:asciiTheme="majorHAnsi" w:hAnsiTheme="majorHAnsi"/>
                          <w:color w:val="595959" w:themeColor="text1" w:themeTint="A6"/>
                          <w:sz w:val="18"/>
                          <w:szCs w:val="18"/>
                          <w:lang w:val="es-ES"/>
                        </w:rPr>
                        <w:t>-1</w:t>
                      </w:r>
                      <w:r w:rsidR="00BA7F18" w:rsidRPr="00B54564">
                        <w:rPr>
                          <w:rFonts w:asciiTheme="majorHAnsi" w:hAnsiTheme="majorHAnsi"/>
                          <w:color w:val="595959" w:themeColor="text1" w:themeTint="A6"/>
                          <w:sz w:val="18"/>
                          <w:szCs w:val="18"/>
                          <w:lang w:val="es-ES"/>
                        </w:rPr>
                        <w:t>7</w:t>
                      </w:r>
                      <w:r w:rsidR="000433C9" w:rsidRPr="00B54564">
                        <w:rPr>
                          <w:rFonts w:asciiTheme="majorHAnsi" w:hAnsiTheme="majorHAnsi"/>
                          <w:color w:val="595959" w:themeColor="text1" w:themeTint="A6"/>
                          <w:sz w:val="18"/>
                          <w:szCs w:val="18"/>
                          <w:lang w:val="es-ES"/>
                        </w:rPr>
                        <w:t xml:space="preserve">. </w:t>
                      </w:r>
                      <w:r w:rsidRPr="00B54564">
                        <w:rPr>
                          <w:rFonts w:asciiTheme="majorHAnsi" w:hAnsiTheme="majorHAnsi"/>
                          <w:color w:val="595959" w:themeColor="text1" w:themeTint="A6"/>
                          <w:sz w:val="18"/>
                          <w:szCs w:val="18"/>
                          <w:lang w:val="es-ES_tradnl"/>
                        </w:rPr>
                        <w:t xml:space="preserve">Admisibilidad. </w:t>
                      </w:r>
                      <w:r w:rsidR="00B54564" w:rsidRPr="00E737E2">
                        <w:rPr>
                          <w:rFonts w:asciiTheme="majorHAnsi" w:hAnsiTheme="majorHAnsi"/>
                          <w:color w:val="595959" w:themeColor="text1" w:themeTint="A6"/>
                          <w:sz w:val="18"/>
                          <w:szCs w:val="18"/>
                          <w:shd w:val="clear" w:color="auto" w:fill="FFFFFF"/>
                          <w:lang w:val="es-AR"/>
                        </w:rPr>
                        <w:t xml:space="preserve">Francisco Javier Hernández Gómez </w:t>
                      </w:r>
                      <w:r w:rsidR="00BA7F18" w:rsidRPr="00E36A4E">
                        <w:rPr>
                          <w:rFonts w:asciiTheme="majorHAnsi" w:hAnsiTheme="majorHAnsi"/>
                          <w:color w:val="595959" w:themeColor="text1" w:themeTint="A6"/>
                          <w:sz w:val="18"/>
                          <w:szCs w:val="18"/>
                          <w:shd w:val="clear" w:color="auto" w:fill="FFFFFF"/>
                          <w:lang w:val="es-ES"/>
                        </w:rPr>
                        <w:t>y otros</w:t>
                      </w:r>
                      <w:r w:rsidRPr="00E36A4E">
                        <w:rPr>
                          <w:rFonts w:asciiTheme="majorHAnsi" w:hAnsiTheme="majorHAnsi"/>
                          <w:color w:val="595959" w:themeColor="text1" w:themeTint="A6"/>
                          <w:sz w:val="18"/>
                          <w:szCs w:val="18"/>
                          <w:lang w:val="es-ES"/>
                        </w:rPr>
                        <w:t xml:space="preserve">. </w:t>
                      </w:r>
                      <w:r w:rsidR="00BA7F18" w:rsidRPr="00B54564">
                        <w:rPr>
                          <w:rFonts w:asciiTheme="majorHAnsi" w:hAnsiTheme="majorHAnsi"/>
                          <w:color w:val="595959" w:themeColor="text1" w:themeTint="A6"/>
                          <w:sz w:val="18"/>
                          <w:szCs w:val="18"/>
                          <w:lang w:val="es-ES_tradnl"/>
                        </w:rPr>
                        <w:t>El Salvador</w:t>
                      </w:r>
                      <w:r w:rsidRPr="00B54564">
                        <w:rPr>
                          <w:rFonts w:asciiTheme="majorHAnsi" w:hAnsiTheme="majorHAnsi"/>
                          <w:color w:val="595959" w:themeColor="text1" w:themeTint="A6"/>
                          <w:sz w:val="18"/>
                          <w:szCs w:val="18"/>
                          <w:lang w:val="es-ES_tradnl"/>
                        </w:rPr>
                        <w:t xml:space="preserve">. </w:t>
                      </w:r>
                      <w:r w:rsidR="00DF3857">
                        <w:rPr>
                          <w:rFonts w:asciiTheme="majorHAnsi" w:hAnsiTheme="majorHAnsi"/>
                          <w:color w:val="595959" w:themeColor="text1" w:themeTint="A6"/>
                          <w:sz w:val="18"/>
                          <w:szCs w:val="18"/>
                          <w:lang w:val="es-ES"/>
                        </w:rPr>
                        <w:t>18 de diciembre de 2023</w:t>
                      </w:r>
                      <w:r w:rsidRPr="00B5456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320F392" w:rsidR="00D72DC6" w:rsidRPr="00D72DC6" w:rsidRDefault="00FE259B" w:rsidP="00F02AD1">
                            <w:pPr>
                              <w:rPr>
                                <w:color w:val="FFFFFF" w:themeColor="background1"/>
                                <w14:textFill>
                                  <w14:noFill/>
                                </w14:textFill>
                              </w:rPr>
                            </w:pPr>
                            <w:r>
                              <w:rPr>
                                <w:noProof/>
                                <w:color w:val="FFFFFF" w:themeColor="background1"/>
                              </w:rPr>
                              <w:drawing>
                                <wp:inline distT="0" distB="0" distL="0" distR="0" wp14:anchorId="422CFAAF" wp14:editId="5299F2D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320F392" w:rsidR="00D72DC6" w:rsidRPr="00D72DC6" w:rsidRDefault="00FE259B" w:rsidP="00F02AD1">
                      <w:pPr>
                        <w:rPr>
                          <w:color w:val="FFFFFF" w:themeColor="background1"/>
                          <w14:textFill>
                            <w14:noFill/>
                          </w14:textFill>
                        </w:rPr>
                      </w:pPr>
                      <w:r>
                        <w:rPr>
                          <w:noProof/>
                          <w:color w:val="FFFFFF" w:themeColor="background1"/>
                        </w:rPr>
                        <w:drawing>
                          <wp:inline distT="0" distB="0" distL="0" distR="0" wp14:anchorId="422CFAAF" wp14:editId="5299F2D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64D3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401E0D8" w:rsidR="003239B8" w:rsidRPr="00264450" w:rsidRDefault="00264450" w:rsidP="008D2290">
            <w:pPr>
              <w:jc w:val="both"/>
              <w:rPr>
                <w:rFonts w:asciiTheme="majorHAnsi" w:hAnsiTheme="majorHAnsi"/>
                <w:bCs/>
                <w:sz w:val="20"/>
                <w:szCs w:val="20"/>
                <w:lang w:val="es-US"/>
              </w:rPr>
            </w:pPr>
            <w:r w:rsidRPr="00264450">
              <w:rPr>
                <w:rFonts w:asciiTheme="majorHAnsi" w:hAnsiTheme="majorHAnsi"/>
                <w:sz w:val="20"/>
                <w:szCs w:val="20"/>
                <w:shd w:val="clear" w:color="auto" w:fill="FFFFFF"/>
                <w:lang w:val="es-US"/>
              </w:rPr>
              <w:t>Charlie Ezra Carrillo y Marina Dolores Ortíz</w:t>
            </w:r>
          </w:p>
        </w:tc>
      </w:tr>
      <w:tr w:rsidR="003239B8" w:rsidRPr="00E6366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2654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D5DB13A" w:rsidR="003239B8" w:rsidRPr="00264450" w:rsidRDefault="00A82405" w:rsidP="008D2290">
            <w:pPr>
              <w:jc w:val="both"/>
              <w:rPr>
                <w:rFonts w:asciiTheme="majorHAnsi" w:hAnsiTheme="majorHAnsi"/>
                <w:bCs/>
                <w:sz w:val="20"/>
                <w:szCs w:val="20"/>
                <w:lang w:val="es-US"/>
              </w:rPr>
            </w:pPr>
            <w:r w:rsidRPr="00E737E2">
              <w:rPr>
                <w:rFonts w:ascii="Cambria" w:hAnsi="Cambria"/>
                <w:sz w:val="20"/>
                <w:szCs w:val="20"/>
                <w:lang w:val="es-AR"/>
              </w:rPr>
              <w:t>Francisco Javier Hernández Gómez</w:t>
            </w:r>
            <w:r w:rsidR="005A46D5">
              <w:rPr>
                <w:rStyle w:val="FootnoteReference"/>
                <w:rFonts w:ascii="Cambria" w:hAnsi="Cambria"/>
                <w:sz w:val="20"/>
                <w:szCs w:val="20"/>
                <w:lang w:val="es-AR"/>
              </w:rPr>
              <w:footnoteReference w:id="2"/>
            </w:r>
            <w:r w:rsidRPr="00E737E2">
              <w:rPr>
                <w:rFonts w:ascii="Cambria" w:hAnsi="Cambria"/>
                <w:sz w:val="20"/>
                <w:szCs w:val="20"/>
                <w:lang w:val="es-AR"/>
              </w:rPr>
              <w:t>, Oscar Oswaldo Leiva Mejía</w:t>
            </w:r>
            <w:r w:rsidR="005A46D5">
              <w:rPr>
                <w:rStyle w:val="FootnoteReference"/>
                <w:rFonts w:ascii="Cambria" w:hAnsi="Cambria"/>
                <w:sz w:val="20"/>
                <w:szCs w:val="20"/>
                <w:lang w:val="es-AR"/>
              </w:rPr>
              <w:footnoteReference w:id="3"/>
            </w:r>
            <w:r w:rsidRPr="00E737E2">
              <w:rPr>
                <w:rFonts w:ascii="Cambria" w:hAnsi="Cambria"/>
                <w:sz w:val="20"/>
                <w:szCs w:val="20"/>
                <w:lang w:val="es-AR"/>
              </w:rPr>
              <w:t xml:space="preserve"> y José Fernando Choto Choto</w:t>
            </w:r>
            <w:r w:rsidR="005A46D5">
              <w:rPr>
                <w:rStyle w:val="FootnoteReference"/>
                <w:rFonts w:ascii="Cambria" w:hAnsi="Cambria"/>
                <w:sz w:val="20"/>
                <w:szCs w:val="20"/>
                <w:lang w:val="es-AR"/>
              </w:rPr>
              <w:footnoteReference w:id="4"/>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35BF73D" w:rsidR="003239B8" w:rsidRPr="00264450" w:rsidRDefault="00264450" w:rsidP="008D2290">
            <w:pPr>
              <w:jc w:val="both"/>
              <w:rPr>
                <w:rFonts w:asciiTheme="majorHAnsi" w:hAnsiTheme="majorHAnsi"/>
                <w:bCs/>
                <w:sz w:val="20"/>
                <w:szCs w:val="20"/>
              </w:rPr>
            </w:pPr>
            <w:r w:rsidRPr="00264450">
              <w:rPr>
                <w:rFonts w:asciiTheme="majorHAnsi" w:hAnsiTheme="majorHAnsi"/>
                <w:bCs/>
                <w:sz w:val="20"/>
                <w:szCs w:val="20"/>
              </w:rPr>
              <w:t>El Salvador</w:t>
            </w:r>
          </w:p>
        </w:tc>
      </w:tr>
      <w:tr w:rsidR="00223A29" w:rsidRPr="00564D3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490230D" w:rsidR="00223A29" w:rsidRPr="00264450" w:rsidRDefault="00A573C1" w:rsidP="008D2290">
            <w:pPr>
              <w:jc w:val="both"/>
              <w:rPr>
                <w:rFonts w:asciiTheme="majorHAnsi" w:hAnsiTheme="majorHAnsi"/>
                <w:bCs/>
                <w:sz w:val="20"/>
                <w:szCs w:val="20"/>
                <w:lang w:val="es-PE"/>
              </w:rPr>
            </w:pPr>
            <w:r w:rsidRPr="00264450">
              <w:rPr>
                <w:rFonts w:asciiTheme="majorHAnsi" w:hAnsiTheme="majorHAnsi"/>
                <w:bCs/>
                <w:sz w:val="20"/>
                <w:szCs w:val="20"/>
                <w:lang w:val="es-MX"/>
              </w:rPr>
              <w:t>Artículos</w:t>
            </w:r>
            <w:r w:rsidR="008B6987">
              <w:rPr>
                <w:rFonts w:asciiTheme="majorHAnsi" w:hAnsiTheme="majorHAnsi"/>
                <w:bCs/>
                <w:sz w:val="20"/>
                <w:szCs w:val="20"/>
                <w:lang w:val="es-MX"/>
              </w:rPr>
              <w:t xml:space="preserve"> 4</w:t>
            </w:r>
            <w:r w:rsidR="008B6987" w:rsidRPr="00274436">
              <w:rPr>
                <w:rFonts w:ascii="Cambria" w:hAnsi="Cambria"/>
                <w:bCs/>
                <w:sz w:val="20"/>
                <w:szCs w:val="20"/>
                <w:lang w:val="es-AR"/>
              </w:rPr>
              <w:t xml:space="preserve"> (</w:t>
            </w:r>
            <w:r w:rsidR="008B6987">
              <w:rPr>
                <w:rFonts w:ascii="Cambria" w:hAnsi="Cambria"/>
                <w:bCs/>
                <w:sz w:val="20"/>
                <w:szCs w:val="20"/>
                <w:lang w:val="es-AR"/>
              </w:rPr>
              <w:t xml:space="preserve">vida), 5 (integridad personal), 7 (libertad personal), 8 (garantías judiciales), </w:t>
            </w:r>
            <w:r w:rsidR="002765A3">
              <w:rPr>
                <w:rFonts w:ascii="Cambria" w:hAnsi="Cambria"/>
                <w:bCs/>
                <w:sz w:val="20"/>
                <w:szCs w:val="20"/>
                <w:lang w:val="es-AR"/>
              </w:rPr>
              <w:t>11 (</w:t>
            </w:r>
            <w:r w:rsidR="002765A3" w:rsidRPr="002765A3">
              <w:rPr>
                <w:rFonts w:ascii="Cambria" w:hAnsi="Cambria"/>
                <w:bCs/>
                <w:sz w:val="20"/>
                <w:szCs w:val="20"/>
                <w:lang w:val="es-AR"/>
              </w:rPr>
              <w:t>protección de la honra y de la dignidad</w:t>
            </w:r>
            <w:r w:rsidR="002765A3">
              <w:rPr>
                <w:rFonts w:ascii="Cambria" w:hAnsi="Cambria"/>
                <w:bCs/>
                <w:sz w:val="20"/>
                <w:szCs w:val="20"/>
                <w:lang w:val="es-AR"/>
              </w:rPr>
              <w:t xml:space="preserve">) </w:t>
            </w:r>
            <w:r w:rsidR="008B6987">
              <w:rPr>
                <w:rFonts w:ascii="Cambria" w:hAnsi="Cambria"/>
                <w:bCs/>
                <w:sz w:val="20"/>
                <w:szCs w:val="20"/>
                <w:lang w:val="es-AR"/>
              </w:rPr>
              <w:t xml:space="preserve">y 25 (protección judicial), </w:t>
            </w:r>
            <w:r w:rsidR="002765A3" w:rsidRPr="00264450">
              <w:rPr>
                <w:rFonts w:asciiTheme="majorHAnsi" w:hAnsiTheme="majorHAnsi"/>
                <w:bCs/>
                <w:sz w:val="20"/>
                <w:szCs w:val="20"/>
                <w:lang w:val="es-MX"/>
              </w:rPr>
              <w:t>de la Convención Americana sobre Derechos Humanos</w:t>
            </w:r>
            <w:r w:rsidR="002765A3" w:rsidRPr="00264450">
              <w:rPr>
                <w:rStyle w:val="FootnoteReference"/>
                <w:rFonts w:asciiTheme="majorHAnsi" w:hAnsiTheme="majorHAnsi"/>
                <w:bCs/>
                <w:sz w:val="20"/>
                <w:szCs w:val="20"/>
                <w:lang w:val="es-MX"/>
              </w:rPr>
              <w:footnoteReference w:id="5"/>
            </w:r>
            <w:r w:rsidR="002765A3">
              <w:rPr>
                <w:rFonts w:asciiTheme="majorHAnsi" w:hAnsiTheme="majorHAnsi"/>
                <w:bCs/>
                <w:sz w:val="20"/>
                <w:szCs w:val="20"/>
                <w:lang w:val="es-MX"/>
              </w:rPr>
              <w:t xml:space="preserve">, </w:t>
            </w:r>
            <w:r w:rsidR="008B6987" w:rsidRPr="00965FE7">
              <w:rPr>
                <w:rFonts w:ascii="Cambria" w:hAnsi="Cambria"/>
                <w:bCs/>
                <w:sz w:val="20"/>
                <w:szCs w:val="20"/>
                <w:lang w:val="es-AR"/>
              </w:rPr>
              <w:t>en relación con su</w:t>
            </w:r>
            <w:r w:rsidR="00E36A4E">
              <w:rPr>
                <w:rFonts w:ascii="Cambria" w:hAnsi="Cambria"/>
                <w:bCs/>
                <w:sz w:val="20"/>
                <w:szCs w:val="20"/>
                <w:lang w:val="es-AR"/>
              </w:rPr>
              <w:t>s</w:t>
            </w:r>
            <w:r w:rsidR="008B6987" w:rsidRPr="00965FE7">
              <w:rPr>
                <w:rFonts w:ascii="Cambria" w:hAnsi="Cambria"/>
                <w:bCs/>
                <w:sz w:val="20"/>
                <w:szCs w:val="20"/>
                <w:lang w:val="es-AR"/>
              </w:rPr>
              <w:t xml:space="preserve"> artículo</w:t>
            </w:r>
            <w:r w:rsidR="00E36A4E">
              <w:rPr>
                <w:rFonts w:ascii="Cambria" w:hAnsi="Cambria"/>
                <w:bCs/>
                <w:sz w:val="20"/>
                <w:szCs w:val="20"/>
                <w:lang w:val="es-AR"/>
              </w:rPr>
              <w:t>s</w:t>
            </w:r>
            <w:r w:rsidR="008B6987" w:rsidRPr="00965FE7">
              <w:rPr>
                <w:rFonts w:ascii="Cambria" w:hAnsi="Cambria"/>
                <w:bCs/>
                <w:sz w:val="20"/>
                <w:szCs w:val="20"/>
                <w:lang w:val="es-AR"/>
              </w:rPr>
              <w:t xml:space="preserve"> 1.1 (obligación de respetar los derechos)</w:t>
            </w:r>
            <w:r w:rsidR="008B6987" w:rsidRPr="00965FE7">
              <w:rPr>
                <w:lang w:val="es-AR"/>
              </w:rPr>
              <w:t xml:space="preserve"> </w:t>
            </w:r>
            <w:r w:rsidR="008B6987" w:rsidRPr="00965FE7">
              <w:rPr>
                <w:rFonts w:ascii="Cambria" w:hAnsi="Cambria"/>
                <w:bCs/>
                <w:sz w:val="20"/>
                <w:szCs w:val="20"/>
                <w:lang w:val="es-AR"/>
              </w:rPr>
              <w:t>y 2 (deber de adoptar disposiciones de derecho interno)</w:t>
            </w:r>
            <w:r w:rsidR="008B6987">
              <w:rPr>
                <w:rFonts w:ascii="Cambria" w:hAnsi="Cambria"/>
                <w:bCs/>
                <w:sz w:val="20"/>
                <w:szCs w:val="20"/>
                <w:lang w:val="es-AR"/>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B7024E0" w:rsidR="004C2312" w:rsidRPr="003239B8" w:rsidRDefault="005D4496" w:rsidP="002625EA">
            <w:pPr>
              <w:jc w:val="both"/>
              <w:rPr>
                <w:rFonts w:ascii="Cambria" w:hAnsi="Cambria"/>
                <w:bCs/>
                <w:sz w:val="20"/>
                <w:szCs w:val="20"/>
                <w:lang w:val="es-ES"/>
              </w:rPr>
            </w:pPr>
            <w:r>
              <w:rPr>
                <w:rFonts w:ascii="Cambria" w:hAnsi="Cambria"/>
                <w:bCs/>
                <w:sz w:val="20"/>
                <w:szCs w:val="20"/>
                <w:lang w:val="es-ES"/>
              </w:rPr>
              <w:t>30</w:t>
            </w:r>
            <w:r w:rsidR="00734BC7">
              <w:rPr>
                <w:rFonts w:ascii="Cambria" w:hAnsi="Cambria"/>
                <w:bCs/>
                <w:sz w:val="20"/>
                <w:szCs w:val="20"/>
                <w:lang w:val="es-ES"/>
              </w:rPr>
              <w:t xml:space="preserve"> </w:t>
            </w:r>
            <w:r w:rsidR="00866E07">
              <w:rPr>
                <w:rFonts w:ascii="Cambria" w:hAnsi="Cambria"/>
                <w:bCs/>
                <w:sz w:val="20"/>
                <w:szCs w:val="20"/>
                <w:lang w:val="es-ES"/>
              </w:rPr>
              <w:t xml:space="preserve">de </w:t>
            </w:r>
            <w:r>
              <w:rPr>
                <w:rFonts w:ascii="Cambria" w:hAnsi="Cambria"/>
                <w:bCs/>
                <w:sz w:val="20"/>
                <w:szCs w:val="20"/>
                <w:lang w:val="es-ES"/>
              </w:rPr>
              <w:t>junio</w:t>
            </w:r>
            <w:r w:rsidR="00866E07">
              <w:rPr>
                <w:rFonts w:ascii="Cambria" w:hAnsi="Cambria"/>
                <w:bCs/>
                <w:sz w:val="20"/>
                <w:szCs w:val="20"/>
                <w:lang w:val="es-ES"/>
              </w:rPr>
              <w:t xml:space="preserve"> de 201</w:t>
            </w:r>
            <w:r>
              <w:rPr>
                <w:rFonts w:ascii="Cambria" w:hAnsi="Cambria"/>
                <w:bCs/>
                <w:sz w:val="20"/>
                <w:szCs w:val="20"/>
                <w:lang w:val="es-ES"/>
              </w:rPr>
              <w:t>7</w:t>
            </w:r>
          </w:p>
        </w:tc>
      </w:tr>
      <w:tr w:rsidR="004C2312" w:rsidRPr="00A573C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8693443" w:rsidR="004C2312" w:rsidRPr="003239B8" w:rsidRDefault="0020791A" w:rsidP="008D2290">
            <w:pPr>
              <w:jc w:val="both"/>
              <w:rPr>
                <w:rFonts w:ascii="Cambria" w:hAnsi="Cambria"/>
                <w:bCs/>
                <w:sz w:val="20"/>
                <w:szCs w:val="20"/>
                <w:lang w:val="es-ES"/>
              </w:rPr>
            </w:pPr>
            <w:r>
              <w:rPr>
                <w:rFonts w:ascii="Cambria" w:hAnsi="Cambria"/>
                <w:bCs/>
                <w:sz w:val="20"/>
                <w:szCs w:val="20"/>
                <w:lang w:val="es-ES"/>
              </w:rPr>
              <w:t>2</w:t>
            </w:r>
            <w:r w:rsidR="00930ECA">
              <w:rPr>
                <w:rFonts w:ascii="Cambria" w:hAnsi="Cambria"/>
                <w:bCs/>
                <w:sz w:val="20"/>
                <w:szCs w:val="20"/>
                <w:lang w:val="es-ES"/>
              </w:rPr>
              <w:t xml:space="preserve">6 </w:t>
            </w:r>
            <w:r>
              <w:rPr>
                <w:rFonts w:ascii="Cambria" w:hAnsi="Cambria"/>
                <w:bCs/>
                <w:sz w:val="20"/>
                <w:szCs w:val="20"/>
                <w:lang w:val="es-ES"/>
              </w:rPr>
              <w:t xml:space="preserve">de </w:t>
            </w:r>
            <w:r w:rsidR="00930ECA">
              <w:rPr>
                <w:rFonts w:ascii="Cambria" w:hAnsi="Cambria"/>
                <w:bCs/>
                <w:sz w:val="20"/>
                <w:szCs w:val="20"/>
                <w:lang w:val="es-ES"/>
              </w:rPr>
              <w:t>abril</w:t>
            </w:r>
            <w:r>
              <w:rPr>
                <w:rFonts w:ascii="Cambria" w:hAnsi="Cambria"/>
                <w:bCs/>
                <w:sz w:val="20"/>
                <w:szCs w:val="20"/>
                <w:lang w:val="es-ES"/>
              </w:rPr>
              <w:t xml:space="preserve"> de 20</w:t>
            </w:r>
            <w:r w:rsidR="00930ECA">
              <w:rPr>
                <w:rFonts w:ascii="Cambria" w:hAnsi="Cambria"/>
                <w:bCs/>
                <w:sz w:val="20"/>
                <w:szCs w:val="20"/>
                <w:lang w:val="es-ES"/>
              </w:rPr>
              <w:t>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B8006C5" w:rsidR="004C2312" w:rsidRPr="003239B8" w:rsidRDefault="00B3247F" w:rsidP="008D2290">
            <w:pPr>
              <w:jc w:val="both"/>
              <w:rPr>
                <w:rFonts w:ascii="Cambria" w:hAnsi="Cambria"/>
                <w:bCs/>
                <w:sz w:val="20"/>
                <w:szCs w:val="20"/>
                <w:lang w:val="es-ES"/>
              </w:rPr>
            </w:pPr>
            <w:r>
              <w:rPr>
                <w:rFonts w:ascii="Cambria" w:hAnsi="Cambria"/>
                <w:bCs/>
                <w:sz w:val="20"/>
                <w:szCs w:val="20"/>
                <w:lang w:val="es-ES"/>
              </w:rPr>
              <w:t>2</w:t>
            </w:r>
            <w:r w:rsidR="00C94BB6">
              <w:rPr>
                <w:rFonts w:ascii="Cambria" w:hAnsi="Cambria"/>
                <w:bCs/>
                <w:sz w:val="20"/>
                <w:szCs w:val="20"/>
                <w:lang w:val="es-ES"/>
              </w:rPr>
              <w:t>6 de</w:t>
            </w:r>
            <w:r>
              <w:rPr>
                <w:rFonts w:ascii="Cambria" w:hAnsi="Cambria"/>
                <w:bCs/>
                <w:sz w:val="20"/>
                <w:szCs w:val="20"/>
                <w:lang w:val="es-ES"/>
              </w:rPr>
              <w:t xml:space="preserve"> agosto</w:t>
            </w:r>
            <w:r w:rsidR="00C94BB6">
              <w:rPr>
                <w:rFonts w:ascii="Cambria" w:hAnsi="Cambria"/>
                <w:bCs/>
                <w:sz w:val="20"/>
                <w:szCs w:val="20"/>
                <w:lang w:val="es-ES"/>
              </w:rPr>
              <w:t xml:space="preserve"> de 20</w:t>
            </w:r>
            <w:r>
              <w:rPr>
                <w:rFonts w:ascii="Cambria" w:hAnsi="Cambria"/>
                <w:bCs/>
                <w:sz w:val="20"/>
                <w:szCs w:val="20"/>
                <w:lang w:val="es-ES"/>
              </w:rPr>
              <w:t>19</w:t>
            </w:r>
          </w:p>
        </w:tc>
      </w:tr>
      <w:tr w:rsidR="00FB3681" w:rsidRPr="00564D39" w14:paraId="0E733E94" w14:textId="77777777" w:rsidTr="004A6A54">
        <w:tc>
          <w:tcPr>
            <w:tcW w:w="3600" w:type="dxa"/>
            <w:tcBorders>
              <w:top w:val="single" w:sz="6" w:space="0" w:color="auto"/>
              <w:bottom w:val="single" w:sz="6" w:space="0" w:color="auto"/>
            </w:tcBorders>
            <w:shd w:val="clear" w:color="auto" w:fill="386294"/>
            <w:vAlign w:val="center"/>
          </w:tcPr>
          <w:p w14:paraId="0F8F1C15" w14:textId="7851FBE8" w:rsidR="00FB3681" w:rsidRDefault="00FB3681"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4F2F57">
              <w:rPr>
                <w:rFonts w:ascii="Cambria" w:hAnsi="Cambria"/>
                <w:b/>
                <w:bCs/>
                <w:color w:val="FFFFFF" w:themeColor="background1"/>
                <w:sz w:val="20"/>
                <w:szCs w:val="20"/>
                <w:lang w:val="es-ES"/>
              </w:rPr>
              <w:t>:</w:t>
            </w:r>
          </w:p>
        </w:tc>
        <w:tc>
          <w:tcPr>
            <w:tcW w:w="5760" w:type="dxa"/>
            <w:vAlign w:val="center"/>
          </w:tcPr>
          <w:p w14:paraId="00350E53" w14:textId="46B5A2E5" w:rsidR="00FB3681" w:rsidRDefault="0085048B" w:rsidP="002625EA">
            <w:pPr>
              <w:jc w:val="both"/>
              <w:rPr>
                <w:rFonts w:ascii="Cambria" w:hAnsi="Cambria"/>
                <w:bCs/>
                <w:sz w:val="20"/>
                <w:szCs w:val="20"/>
                <w:lang w:val="es-ES"/>
              </w:rPr>
            </w:pPr>
            <w:r>
              <w:rPr>
                <w:rFonts w:ascii="Cambria" w:hAnsi="Cambria"/>
                <w:bCs/>
                <w:sz w:val="20"/>
                <w:szCs w:val="20"/>
                <w:lang w:val="es-ES"/>
              </w:rPr>
              <w:t xml:space="preserve">4 </w:t>
            </w:r>
            <w:r w:rsidR="008343C7">
              <w:rPr>
                <w:rFonts w:ascii="Cambria" w:hAnsi="Cambria"/>
                <w:bCs/>
                <w:sz w:val="20"/>
                <w:szCs w:val="20"/>
                <w:lang w:val="es-ES"/>
              </w:rPr>
              <w:t xml:space="preserve">de </w:t>
            </w:r>
            <w:r>
              <w:rPr>
                <w:rFonts w:ascii="Cambria" w:hAnsi="Cambria"/>
                <w:bCs/>
                <w:sz w:val="20"/>
                <w:szCs w:val="20"/>
                <w:lang w:val="es-ES"/>
              </w:rPr>
              <w:t>septiembre</w:t>
            </w:r>
            <w:r w:rsidR="008343C7">
              <w:rPr>
                <w:rFonts w:ascii="Cambria" w:hAnsi="Cambria"/>
                <w:bCs/>
                <w:sz w:val="20"/>
                <w:szCs w:val="20"/>
                <w:lang w:val="es-ES"/>
              </w:rPr>
              <w:t xml:space="preserve"> de 202</w:t>
            </w:r>
            <w:r>
              <w:rPr>
                <w:rFonts w:ascii="Cambria" w:hAnsi="Cambria"/>
                <w:bCs/>
                <w:sz w:val="20"/>
                <w:szCs w:val="20"/>
                <w:lang w:val="es-ES"/>
              </w:rPr>
              <w:t>0</w:t>
            </w:r>
            <w:r w:rsidR="00FD723D">
              <w:rPr>
                <w:rFonts w:ascii="Cambria" w:hAnsi="Cambria"/>
                <w:bCs/>
                <w:sz w:val="20"/>
                <w:szCs w:val="20"/>
                <w:lang w:val="es-ES"/>
              </w:rPr>
              <w:t xml:space="preserve"> y 7 de enero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9D640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0AECCBF" w:rsidR="003239B8" w:rsidRPr="00EF5DE3" w:rsidRDefault="00A573C1" w:rsidP="008D2290">
            <w:pPr>
              <w:rPr>
                <w:rFonts w:ascii="Cambria" w:hAnsi="Cambria"/>
                <w:bCs/>
                <w:sz w:val="20"/>
                <w:szCs w:val="20"/>
              </w:rPr>
            </w:pPr>
            <w:r w:rsidRPr="00EF5DE3">
              <w:rPr>
                <w:rFonts w:ascii="Cambria" w:hAnsi="Cambria"/>
                <w:bCs/>
                <w:sz w:val="20"/>
                <w:szCs w:val="20"/>
              </w:rPr>
              <w:t>Sí</w:t>
            </w:r>
          </w:p>
        </w:tc>
      </w:tr>
      <w:tr w:rsidR="003239B8" w:rsidRPr="00540F17" w14:paraId="4B8802DA" w14:textId="77777777" w:rsidTr="009D640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7870B51" w:rsidR="003239B8" w:rsidRPr="00EF5DE3" w:rsidRDefault="00A573C1" w:rsidP="008D2290">
            <w:pPr>
              <w:rPr>
                <w:rFonts w:ascii="Cambria" w:hAnsi="Cambria"/>
                <w:bCs/>
                <w:sz w:val="20"/>
                <w:szCs w:val="20"/>
              </w:rPr>
            </w:pPr>
            <w:r w:rsidRPr="00EF5DE3">
              <w:rPr>
                <w:rFonts w:ascii="Cambria" w:hAnsi="Cambria"/>
                <w:bCs/>
                <w:sz w:val="20"/>
                <w:szCs w:val="20"/>
              </w:rPr>
              <w:t>Sí</w:t>
            </w:r>
          </w:p>
        </w:tc>
      </w:tr>
      <w:tr w:rsidR="003239B8" w:rsidRPr="00540F17" w14:paraId="4362FDF3" w14:textId="77777777" w:rsidTr="009D640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AC863E6" w:rsidR="003239B8" w:rsidRPr="00EF5DE3" w:rsidRDefault="00A573C1" w:rsidP="008D2290">
            <w:pPr>
              <w:rPr>
                <w:rFonts w:ascii="Cambria" w:hAnsi="Cambria"/>
                <w:bCs/>
                <w:sz w:val="20"/>
                <w:szCs w:val="20"/>
              </w:rPr>
            </w:pPr>
            <w:r w:rsidRPr="00EF5DE3">
              <w:rPr>
                <w:rFonts w:ascii="Cambria" w:hAnsi="Cambria"/>
                <w:bCs/>
                <w:sz w:val="20"/>
                <w:szCs w:val="20"/>
              </w:rPr>
              <w:t>Sí</w:t>
            </w:r>
          </w:p>
        </w:tc>
      </w:tr>
      <w:tr w:rsidR="003239B8" w:rsidRPr="00564D39" w14:paraId="30ABEC3E" w14:textId="77777777" w:rsidTr="009D640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CEBB6C1" w:rsidR="003239B8" w:rsidRPr="00EF5DE3" w:rsidRDefault="00A573C1" w:rsidP="008D2290">
            <w:pPr>
              <w:jc w:val="both"/>
              <w:rPr>
                <w:rFonts w:ascii="Cambria" w:hAnsi="Cambria"/>
                <w:bCs/>
                <w:sz w:val="20"/>
                <w:szCs w:val="20"/>
                <w:lang w:val="es-ES"/>
              </w:rPr>
            </w:pPr>
            <w:r w:rsidRPr="00EF5DE3">
              <w:rPr>
                <w:rFonts w:ascii="Cambria" w:hAnsi="Cambria"/>
                <w:bCs/>
                <w:sz w:val="20"/>
                <w:szCs w:val="20"/>
                <w:lang w:val="es-ES"/>
              </w:rPr>
              <w:t xml:space="preserve">Sí, </w:t>
            </w:r>
            <w:r w:rsidRPr="00EF5DE3">
              <w:rPr>
                <w:rFonts w:asciiTheme="majorHAnsi" w:hAnsiTheme="majorHAnsi"/>
                <w:bCs/>
                <w:sz w:val="20"/>
                <w:szCs w:val="20"/>
                <w:lang w:val="es-ES"/>
              </w:rPr>
              <w:t xml:space="preserve">Convención Americana (depósito del instrumento de ratificación realizado el </w:t>
            </w:r>
            <w:r w:rsidR="00EF5DE3" w:rsidRPr="00EF5DE3">
              <w:rPr>
                <w:rFonts w:asciiTheme="majorHAnsi" w:hAnsiTheme="majorHAnsi"/>
                <w:sz w:val="20"/>
                <w:szCs w:val="20"/>
                <w:lang w:val="es-US"/>
              </w:rPr>
              <w:t>23 de junio de 1978)</w:t>
            </w:r>
          </w:p>
        </w:tc>
      </w:tr>
    </w:tbl>
    <w:p w14:paraId="4E92C444" w14:textId="140CB1E7" w:rsidR="003239B8" w:rsidRPr="003239B8" w:rsidRDefault="003239B8" w:rsidP="009D6405">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126CF6" w14:paraId="1231C988" w14:textId="77777777" w:rsidTr="009D6405">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240941E6" w14:textId="0593C4B4" w:rsidR="00EE00E9" w:rsidRPr="00DC24E3" w:rsidRDefault="00E737E2" w:rsidP="008D2290">
            <w:pPr>
              <w:jc w:val="both"/>
              <w:rPr>
                <w:rFonts w:ascii="Cambria" w:hAnsi="Cambria"/>
                <w:bCs/>
                <w:sz w:val="20"/>
                <w:szCs w:val="20"/>
                <w:lang w:val="es-ES"/>
              </w:rPr>
            </w:pPr>
            <w:r>
              <w:rPr>
                <w:rFonts w:ascii="Cambria" w:hAnsi="Cambria"/>
                <w:bCs/>
                <w:sz w:val="20"/>
                <w:szCs w:val="20"/>
                <w:lang w:val="es-ES"/>
              </w:rPr>
              <w:t>No</w:t>
            </w:r>
          </w:p>
        </w:tc>
      </w:tr>
      <w:tr w:rsidR="003239B8" w:rsidRPr="00564D39" w14:paraId="15FAA7D1" w14:textId="77777777" w:rsidTr="009D6405">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3" w:type="dxa"/>
            <w:vAlign w:val="center"/>
          </w:tcPr>
          <w:p w14:paraId="6310C8F7" w14:textId="5F25C068" w:rsidR="003239B8" w:rsidRPr="008B6987" w:rsidRDefault="008B6987" w:rsidP="008D2290">
            <w:pPr>
              <w:jc w:val="both"/>
              <w:rPr>
                <w:rFonts w:ascii="Cambria" w:hAnsi="Cambria"/>
                <w:bCs/>
                <w:sz w:val="20"/>
                <w:szCs w:val="20"/>
                <w:lang w:val="es-AR"/>
              </w:rPr>
            </w:pPr>
            <w:r>
              <w:rPr>
                <w:rFonts w:ascii="Cambria" w:hAnsi="Cambria"/>
                <w:bCs/>
                <w:sz w:val="20"/>
                <w:szCs w:val="20"/>
                <w:lang w:val="es-AR"/>
              </w:rPr>
              <w:t>A</w:t>
            </w:r>
            <w:r w:rsidRPr="00274436">
              <w:rPr>
                <w:rFonts w:ascii="Cambria" w:hAnsi="Cambria"/>
                <w:bCs/>
                <w:sz w:val="20"/>
                <w:szCs w:val="20"/>
                <w:lang w:val="es-AR"/>
              </w:rPr>
              <w:t>rtículos</w:t>
            </w:r>
            <w:r w:rsidR="00823DEC">
              <w:rPr>
                <w:rFonts w:ascii="Cambria" w:hAnsi="Cambria"/>
                <w:bCs/>
                <w:sz w:val="20"/>
                <w:szCs w:val="20"/>
                <w:lang w:val="es-AR"/>
              </w:rPr>
              <w:t xml:space="preserve"> </w:t>
            </w:r>
            <w:r w:rsidR="00823DEC" w:rsidRPr="00EE175E">
              <w:rPr>
                <w:rFonts w:ascii="Cambria" w:hAnsi="Cambria"/>
                <w:bCs/>
                <w:sz w:val="20"/>
                <w:szCs w:val="20"/>
                <w:lang w:val="es-AR"/>
              </w:rPr>
              <w:t>3 (</w:t>
            </w:r>
            <w:r w:rsidR="006C4DF4" w:rsidRPr="00EE175E">
              <w:rPr>
                <w:rFonts w:ascii="Cambria" w:hAnsi="Cambria"/>
                <w:bCs/>
                <w:sz w:val="20"/>
                <w:szCs w:val="20"/>
                <w:lang w:val="es-AR"/>
              </w:rPr>
              <w:t>reconocimiento de</w:t>
            </w:r>
            <w:r w:rsidR="00823DEC" w:rsidRPr="00EE175E">
              <w:rPr>
                <w:rFonts w:ascii="Cambria" w:hAnsi="Cambria"/>
                <w:bCs/>
                <w:sz w:val="20"/>
                <w:szCs w:val="20"/>
                <w:lang w:val="es-AR"/>
              </w:rPr>
              <w:t xml:space="preserve"> la personalidad jurídica),</w:t>
            </w:r>
            <w:r w:rsidRPr="00274436">
              <w:rPr>
                <w:rFonts w:ascii="Cambria" w:hAnsi="Cambria"/>
                <w:bCs/>
                <w:sz w:val="20"/>
                <w:szCs w:val="20"/>
                <w:lang w:val="es-AR"/>
              </w:rPr>
              <w:t xml:space="preserve"> 4 (</w:t>
            </w:r>
            <w:r>
              <w:rPr>
                <w:rFonts w:ascii="Cambria" w:hAnsi="Cambria"/>
                <w:bCs/>
                <w:sz w:val="20"/>
                <w:szCs w:val="20"/>
                <w:lang w:val="es-AR"/>
              </w:rPr>
              <w:t xml:space="preserve">vida), 5 (integridad personal), 7 (libertad personal), 8 (garantías judiciales), </w:t>
            </w:r>
            <w:r w:rsidR="00E2719F" w:rsidRPr="00EE175E">
              <w:rPr>
                <w:rFonts w:ascii="Cambria" w:hAnsi="Cambria"/>
                <w:bCs/>
                <w:sz w:val="20"/>
                <w:szCs w:val="20"/>
                <w:lang w:val="es-AR"/>
              </w:rPr>
              <w:t>17 (protección de la familia)</w:t>
            </w:r>
            <w:r w:rsidR="00E2719F">
              <w:rPr>
                <w:rFonts w:ascii="Cambria" w:hAnsi="Cambria"/>
                <w:bCs/>
                <w:sz w:val="20"/>
                <w:szCs w:val="20"/>
                <w:lang w:val="es-AR"/>
              </w:rPr>
              <w:t xml:space="preserve"> </w:t>
            </w:r>
            <w:r>
              <w:rPr>
                <w:rFonts w:ascii="Cambria" w:hAnsi="Cambria"/>
                <w:bCs/>
                <w:sz w:val="20"/>
                <w:szCs w:val="20"/>
                <w:lang w:val="es-AR"/>
              </w:rPr>
              <w:t xml:space="preserve">y 25 (protección judicial) de la Convención, </w:t>
            </w:r>
            <w:r w:rsidRPr="00965FE7">
              <w:rPr>
                <w:rFonts w:ascii="Cambria" w:hAnsi="Cambria"/>
                <w:bCs/>
                <w:sz w:val="20"/>
                <w:szCs w:val="20"/>
                <w:lang w:val="es-AR"/>
              </w:rPr>
              <w:t>en relación con su artículo 1.1 (obligación de respetar los derechos)</w:t>
            </w:r>
            <w:r w:rsidRPr="00965FE7">
              <w:rPr>
                <w:lang w:val="es-AR"/>
              </w:rPr>
              <w:t xml:space="preserve"> </w:t>
            </w:r>
          </w:p>
        </w:tc>
      </w:tr>
      <w:tr w:rsidR="003239B8" w:rsidRPr="00564D39" w14:paraId="4EFD141E" w14:textId="77777777" w:rsidTr="009D6405">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69C53E8A" w14:textId="7DA5903B" w:rsidR="003239B8" w:rsidRPr="00DC24E3" w:rsidRDefault="00E737E2" w:rsidP="008D2290">
            <w:pPr>
              <w:rPr>
                <w:rFonts w:ascii="Cambria" w:hAnsi="Cambria"/>
                <w:bCs/>
                <w:sz w:val="20"/>
                <w:szCs w:val="20"/>
                <w:lang w:val="es-ES"/>
              </w:rPr>
            </w:pPr>
            <w:r>
              <w:rPr>
                <w:rFonts w:ascii="Cambria" w:hAnsi="Cambria"/>
                <w:bCs/>
                <w:sz w:val="20"/>
                <w:szCs w:val="20"/>
                <w:lang w:val="es-ES"/>
              </w:rPr>
              <w:t>Sí</w:t>
            </w:r>
            <w:r w:rsidR="001E0ECD">
              <w:rPr>
                <w:rFonts w:ascii="Cambria" w:hAnsi="Cambria"/>
                <w:bCs/>
                <w:sz w:val="20"/>
                <w:szCs w:val="20"/>
                <w:lang w:val="es-ES"/>
              </w:rPr>
              <w:t>, en los términos de la sección VI</w:t>
            </w:r>
          </w:p>
        </w:tc>
      </w:tr>
      <w:tr w:rsidR="003239B8" w:rsidRPr="00564D39" w14:paraId="52B5BA17" w14:textId="77777777" w:rsidTr="009D6405">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3" w:type="dxa"/>
            <w:vAlign w:val="center"/>
          </w:tcPr>
          <w:p w14:paraId="4A2A4569" w14:textId="646CFF35" w:rsidR="003239B8" w:rsidRPr="001E0ECD" w:rsidRDefault="00E737E2" w:rsidP="008D2290">
            <w:pPr>
              <w:rPr>
                <w:rFonts w:ascii="Cambria" w:hAnsi="Cambria"/>
                <w:bCs/>
                <w:sz w:val="20"/>
                <w:szCs w:val="20"/>
                <w:lang w:val="es-AR"/>
              </w:rPr>
            </w:pPr>
            <w:r w:rsidRPr="001E0ECD">
              <w:rPr>
                <w:rFonts w:ascii="Cambria" w:hAnsi="Cambria"/>
                <w:bCs/>
                <w:sz w:val="20"/>
                <w:szCs w:val="20"/>
                <w:lang w:val="es-AR"/>
              </w:rPr>
              <w:t>Sí</w:t>
            </w:r>
            <w:r w:rsidR="001E0ECD">
              <w:rPr>
                <w:rFonts w:ascii="Cambria" w:hAnsi="Cambria"/>
                <w:bCs/>
                <w:sz w:val="20"/>
                <w:szCs w:val="20"/>
                <w:lang w:val="es-AR"/>
              </w:rPr>
              <w:t xml:space="preserve">, </w:t>
            </w:r>
            <w:r w:rsidR="001E0ECD">
              <w:rPr>
                <w:rFonts w:ascii="Cambria" w:hAnsi="Cambria"/>
                <w:bCs/>
                <w:sz w:val="20"/>
                <w:szCs w:val="20"/>
                <w:lang w:val="es-ES"/>
              </w:rPr>
              <w:t>en los términos de la sección VI</w:t>
            </w:r>
          </w:p>
        </w:tc>
      </w:tr>
    </w:tbl>
    <w:p w14:paraId="346DA419" w14:textId="77777777" w:rsidR="00B771B9" w:rsidRDefault="00B771B9" w:rsidP="003239B8">
      <w:pPr>
        <w:spacing w:before="240" w:after="240"/>
        <w:ind w:firstLine="720"/>
        <w:jc w:val="both"/>
        <w:rPr>
          <w:rFonts w:asciiTheme="majorHAnsi" w:hAnsiTheme="majorHAnsi"/>
          <w:b/>
          <w:sz w:val="20"/>
          <w:szCs w:val="20"/>
          <w:lang w:val="es-UY"/>
        </w:rPr>
      </w:pPr>
    </w:p>
    <w:p w14:paraId="5D44DEAD" w14:textId="77777777" w:rsidR="00B771B9" w:rsidRDefault="00B771B9" w:rsidP="003239B8">
      <w:pPr>
        <w:spacing w:before="240" w:after="240"/>
        <w:ind w:firstLine="720"/>
        <w:jc w:val="both"/>
        <w:rPr>
          <w:rFonts w:asciiTheme="majorHAnsi" w:hAnsiTheme="majorHAnsi"/>
          <w:b/>
          <w:sz w:val="20"/>
          <w:szCs w:val="20"/>
          <w:lang w:val="es-UY"/>
        </w:rPr>
      </w:pPr>
    </w:p>
    <w:p w14:paraId="18E6423B" w14:textId="6D3D21C1"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7967D2F8" w14:textId="66AA953B" w:rsidR="00E737E2" w:rsidRPr="00E737E2" w:rsidRDefault="00E737E2" w:rsidP="003239B8">
      <w:pPr>
        <w:spacing w:before="240" w:after="240"/>
        <w:ind w:firstLine="720"/>
        <w:jc w:val="both"/>
        <w:rPr>
          <w:rFonts w:asciiTheme="majorHAnsi" w:hAnsiTheme="majorHAnsi"/>
          <w:bCs/>
          <w:i/>
          <w:iCs/>
          <w:sz w:val="20"/>
          <w:szCs w:val="20"/>
          <w:lang w:val="es-UY"/>
        </w:rPr>
      </w:pPr>
      <w:r w:rsidRPr="00E737E2">
        <w:rPr>
          <w:rFonts w:asciiTheme="majorHAnsi" w:hAnsiTheme="majorHAnsi"/>
          <w:bCs/>
          <w:i/>
          <w:iCs/>
          <w:sz w:val="20"/>
          <w:szCs w:val="20"/>
          <w:lang w:val="es-UY"/>
        </w:rPr>
        <w:t>Alegatos de la parte peticionaria</w:t>
      </w:r>
    </w:p>
    <w:p w14:paraId="1DAE22F0" w14:textId="5E6586E2" w:rsidR="00E737E2"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Los peticionarios </w:t>
      </w:r>
      <w:r w:rsidRPr="005055B6">
        <w:rPr>
          <w:rFonts w:ascii="Cambria" w:hAnsi="Cambria"/>
          <w:sz w:val="20"/>
          <w:szCs w:val="20"/>
          <w:lang w:val="es-ES"/>
        </w:rPr>
        <w:t>alega</w:t>
      </w:r>
      <w:r>
        <w:rPr>
          <w:rFonts w:ascii="Cambria" w:hAnsi="Cambria"/>
          <w:sz w:val="20"/>
          <w:szCs w:val="20"/>
          <w:lang w:val="es-ES"/>
        </w:rPr>
        <w:t>n</w:t>
      </w:r>
      <w:r w:rsidRPr="005055B6">
        <w:rPr>
          <w:rFonts w:ascii="Cambria" w:hAnsi="Cambria"/>
          <w:sz w:val="20"/>
          <w:szCs w:val="20"/>
          <w:lang w:val="es-ES"/>
        </w:rPr>
        <w:t xml:space="preserve"> </w:t>
      </w:r>
      <w:r w:rsidRPr="00E737E2">
        <w:rPr>
          <w:rFonts w:ascii="Cambria" w:hAnsi="Cambria"/>
          <w:sz w:val="20"/>
          <w:szCs w:val="20"/>
          <w:lang w:val="es-AR"/>
        </w:rPr>
        <w:t>la desaparición forzada de Francisco Javier Hernández Gómez, Oscar Oswaldo Leiva Mejía y José Fernando Choto Choto, quienes fueron detenidos el 18 de febrero de 2014, por miembros de la</w:t>
      </w:r>
      <w:r w:rsidR="00A345F5">
        <w:rPr>
          <w:rFonts w:ascii="Cambria" w:hAnsi="Cambria"/>
          <w:sz w:val="20"/>
          <w:szCs w:val="20"/>
          <w:lang w:val="es-AR"/>
        </w:rPr>
        <w:t>s</w:t>
      </w:r>
      <w:r w:rsidRPr="00E737E2">
        <w:rPr>
          <w:rFonts w:ascii="Cambria" w:hAnsi="Cambria"/>
          <w:sz w:val="20"/>
          <w:szCs w:val="20"/>
          <w:lang w:val="es-AR"/>
        </w:rPr>
        <w:t xml:space="preserve"> Fuerza</w:t>
      </w:r>
      <w:r w:rsidR="00A345F5">
        <w:rPr>
          <w:rFonts w:ascii="Cambria" w:hAnsi="Cambria"/>
          <w:sz w:val="20"/>
          <w:szCs w:val="20"/>
          <w:lang w:val="es-AR"/>
        </w:rPr>
        <w:t>s</w:t>
      </w:r>
      <w:r w:rsidRPr="00E737E2">
        <w:rPr>
          <w:rFonts w:ascii="Cambria" w:hAnsi="Cambria"/>
          <w:sz w:val="20"/>
          <w:szCs w:val="20"/>
          <w:lang w:val="es-AR"/>
        </w:rPr>
        <w:t xml:space="preserve"> Armada</w:t>
      </w:r>
      <w:r w:rsidR="00A345F5">
        <w:rPr>
          <w:rFonts w:ascii="Cambria" w:hAnsi="Cambria"/>
          <w:sz w:val="20"/>
          <w:szCs w:val="20"/>
          <w:lang w:val="es-AR"/>
        </w:rPr>
        <w:t>s</w:t>
      </w:r>
      <w:r w:rsidRPr="00E737E2">
        <w:rPr>
          <w:rFonts w:ascii="Cambria" w:hAnsi="Cambria"/>
          <w:sz w:val="20"/>
          <w:szCs w:val="20"/>
          <w:lang w:val="es-AR"/>
        </w:rPr>
        <w:t xml:space="preserve"> de El Salvador, quienes los obligaron a caminar hasta la colonia San Damián, sin que posteriormente se tuviese conocimiento sobre su paradero. Asimismo, la petición aduce que los familiares de </w:t>
      </w:r>
      <w:r w:rsidR="004858FD">
        <w:rPr>
          <w:rFonts w:ascii="Cambria" w:hAnsi="Cambria"/>
          <w:sz w:val="20"/>
          <w:szCs w:val="20"/>
          <w:lang w:val="es-AR"/>
        </w:rPr>
        <w:t>los desaparecidos</w:t>
      </w:r>
      <w:r w:rsidRPr="00E737E2">
        <w:rPr>
          <w:rFonts w:ascii="Cambria" w:hAnsi="Cambria"/>
          <w:sz w:val="20"/>
          <w:szCs w:val="20"/>
          <w:lang w:val="es-AR"/>
        </w:rPr>
        <w:t xml:space="preserve"> fueron amenazados y hostigados por parte de </w:t>
      </w:r>
      <w:r w:rsidR="00A9340E">
        <w:rPr>
          <w:rFonts w:ascii="Cambria" w:hAnsi="Cambria"/>
          <w:sz w:val="20"/>
          <w:szCs w:val="20"/>
          <w:lang w:val="es-AR"/>
        </w:rPr>
        <w:t>agentes estatales</w:t>
      </w:r>
      <w:r>
        <w:rPr>
          <w:rFonts w:ascii="Cambria" w:hAnsi="Cambria"/>
          <w:sz w:val="20"/>
          <w:szCs w:val="20"/>
          <w:lang w:val="es-AR"/>
        </w:rPr>
        <w:t>.</w:t>
      </w:r>
    </w:p>
    <w:p w14:paraId="6C60B6BF" w14:textId="71A5C46E" w:rsidR="00E737E2" w:rsidRPr="00BD4992" w:rsidRDefault="00E737E2" w:rsidP="00BD49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Según </w:t>
      </w:r>
      <w:r w:rsidRPr="00E737E2">
        <w:rPr>
          <w:rFonts w:ascii="Cambria" w:hAnsi="Cambria"/>
          <w:sz w:val="20"/>
          <w:szCs w:val="20"/>
          <w:lang w:val="es-AR"/>
        </w:rPr>
        <w:t xml:space="preserve">los peticionarios, el 18 de febrero de 2014 las presuntas víctimas fueron detenidas por seis o siete miembros de las Fuerzas Armadas de El Salvador (FAES), </w:t>
      </w:r>
      <w:r w:rsidRPr="003F36EA">
        <w:rPr>
          <w:rFonts w:ascii="Cambria" w:hAnsi="Cambria"/>
          <w:sz w:val="20"/>
          <w:szCs w:val="20"/>
          <w:lang w:val="es-ES"/>
        </w:rPr>
        <w:t xml:space="preserve">pertenecientes al Destacamento Militar </w:t>
      </w:r>
      <w:r w:rsidR="005F1890">
        <w:rPr>
          <w:rFonts w:ascii="Cambria" w:hAnsi="Cambria"/>
          <w:sz w:val="20"/>
          <w:szCs w:val="20"/>
          <w:lang w:val="es-ES"/>
        </w:rPr>
        <w:t>No. 6</w:t>
      </w:r>
      <w:r w:rsidRPr="003F36EA">
        <w:rPr>
          <w:rFonts w:ascii="Cambria" w:hAnsi="Cambria"/>
          <w:sz w:val="20"/>
          <w:szCs w:val="20"/>
          <w:lang w:val="es-ES"/>
        </w:rPr>
        <w:t xml:space="preserve"> de Sonsonate,</w:t>
      </w:r>
      <w:r w:rsidRPr="00E737E2">
        <w:rPr>
          <w:rFonts w:ascii="Cambria" w:hAnsi="Cambria"/>
          <w:sz w:val="20"/>
          <w:szCs w:val="20"/>
          <w:lang w:val="es-AR"/>
        </w:rPr>
        <w:t xml:space="preserve"> mientras se encontraban conversando afuera de una de sus casas en el Municipio de Armenia</w:t>
      </w:r>
      <w:r>
        <w:rPr>
          <w:rFonts w:ascii="Cambria" w:hAnsi="Cambria"/>
          <w:sz w:val="20"/>
          <w:szCs w:val="20"/>
          <w:lang w:val="es-AR"/>
        </w:rPr>
        <w:t>.</w:t>
      </w:r>
      <w:r w:rsidR="00BD4992">
        <w:rPr>
          <w:rFonts w:ascii="Cambria" w:hAnsi="Cambria"/>
          <w:sz w:val="20"/>
          <w:szCs w:val="20"/>
          <w:lang w:val="es-AR"/>
        </w:rPr>
        <w:t xml:space="preserve"> A</w:t>
      </w:r>
      <w:r w:rsidRPr="00BD4992">
        <w:rPr>
          <w:rFonts w:ascii="Cambria" w:hAnsi="Cambria"/>
          <w:sz w:val="20"/>
          <w:szCs w:val="20"/>
          <w:lang w:val="es-AR"/>
        </w:rPr>
        <w:t>l</w:t>
      </w:r>
      <w:r w:rsidRPr="00BD4992">
        <w:rPr>
          <w:rFonts w:ascii="Cambria" w:hAnsi="Cambria"/>
          <w:sz w:val="20"/>
          <w:szCs w:val="20"/>
          <w:lang w:val="es-ES"/>
        </w:rPr>
        <w:t xml:space="preserve"> llegar </w:t>
      </w:r>
      <w:r w:rsidR="00BD4992">
        <w:rPr>
          <w:rFonts w:ascii="Cambria" w:hAnsi="Cambria"/>
          <w:sz w:val="20"/>
          <w:szCs w:val="20"/>
          <w:lang w:val="es-ES"/>
        </w:rPr>
        <w:t>los</w:t>
      </w:r>
      <w:r w:rsidRPr="00BD4992">
        <w:rPr>
          <w:rFonts w:ascii="Cambria" w:hAnsi="Cambria"/>
          <w:sz w:val="20"/>
          <w:szCs w:val="20"/>
          <w:lang w:val="es-ES"/>
        </w:rPr>
        <w:t xml:space="preserve"> militares, ordenaron a las presuntas víctimas que se pusieran de pie, pusieran sus manos </w:t>
      </w:r>
      <w:r w:rsidRPr="00BD4992">
        <w:rPr>
          <w:rFonts w:ascii="Cambria" w:hAnsi="Cambria" w:cstheme="majorHAnsi"/>
          <w:sz w:val="20"/>
          <w:szCs w:val="20"/>
          <w:lang w:val="es-ES"/>
        </w:rPr>
        <w:t xml:space="preserve">hacia arriba, y los revisaron. El oficial jefe del grupo </w:t>
      </w:r>
      <w:r w:rsidR="00594507">
        <w:rPr>
          <w:rFonts w:ascii="Cambria" w:hAnsi="Cambria" w:cstheme="majorHAnsi"/>
          <w:sz w:val="20"/>
          <w:szCs w:val="20"/>
          <w:lang w:val="es-ES"/>
        </w:rPr>
        <w:t>(“</w:t>
      </w:r>
      <w:r w:rsidRPr="00BD4992">
        <w:rPr>
          <w:rFonts w:ascii="Cambria" w:hAnsi="Cambria"/>
          <w:sz w:val="20"/>
          <w:szCs w:val="20"/>
          <w:lang w:val="es-AR"/>
        </w:rPr>
        <w:t>SMCR</w:t>
      </w:r>
      <w:r w:rsidR="00594507">
        <w:rPr>
          <w:rFonts w:ascii="Cambria" w:hAnsi="Cambria"/>
          <w:sz w:val="20"/>
          <w:szCs w:val="20"/>
          <w:lang w:val="es-AR"/>
        </w:rPr>
        <w:t>”)</w:t>
      </w:r>
      <w:r w:rsidRPr="00BD4992">
        <w:rPr>
          <w:rFonts w:ascii="Cambria" w:hAnsi="Cambria" w:cstheme="majorHAnsi"/>
          <w:sz w:val="20"/>
          <w:szCs w:val="20"/>
          <w:lang w:val="es-ES"/>
        </w:rPr>
        <w:t xml:space="preserve"> les pidió que les entregaran sus documentos de identidad, pero Francisco Javier Hernández Gómez no portaba su documento en ese momento. Ante esto, </w:t>
      </w:r>
      <w:r w:rsidR="00A345F5" w:rsidRPr="00BD4992">
        <w:rPr>
          <w:rFonts w:ascii="Cambria" w:hAnsi="Cambria" w:cstheme="majorHAnsi"/>
          <w:sz w:val="20"/>
          <w:szCs w:val="20"/>
          <w:lang w:val="es-ES"/>
        </w:rPr>
        <w:t>el señor SMCR les</w:t>
      </w:r>
      <w:r w:rsidRPr="00BD4992">
        <w:rPr>
          <w:rFonts w:ascii="Cambria" w:hAnsi="Cambria" w:cstheme="majorHAnsi"/>
          <w:sz w:val="20"/>
          <w:szCs w:val="20"/>
          <w:lang w:val="es-ES"/>
        </w:rPr>
        <w:t xml:space="preserve"> manifestó que iba a llamar a una patrulla policial para que se lo llevaran, pero nunca llamó a la policía. En ese momento, </w:t>
      </w:r>
      <w:r w:rsidRPr="00BD4992">
        <w:rPr>
          <w:rFonts w:ascii="Cambria" w:hAnsi="Cambria"/>
          <w:sz w:val="20"/>
          <w:szCs w:val="20"/>
          <w:lang w:val="es-AR"/>
        </w:rPr>
        <w:t>SMCR</w:t>
      </w:r>
      <w:r w:rsidRPr="00BD4992">
        <w:rPr>
          <w:rFonts w:ascii="Cambria" w:hAnsi="Cambria" w:cstheme="majorHAnsi"/>
          <w:sz w:val="20"/>
          <w:szCs w:val="20"/>
          <w:lang w:val="es-ES"/>
        </w:rPr>
        <w:t xml:space="preserve"> ordenó a los </w:t>
      </w:r>
      <w:r w:rsidR="00CD73A3">
        <w:rPr>
          <w:rFonts w:ascii="Cambria" w:hAnsi="Cambria" w:cstheme="majorHAnsi"/>
          <w:sz w:val="20"/>
          <w:szCs w:val="20"/>
          <w:lang w:val="es-ES"/>
        </w:rPr>
        <w:t>detenidos</w:t>
      </w:r>
      <w:r w:rsidRPr="00BD4992">
        <w:rPr>
          <w:rFonts w:ascii="Cambria" w:hAnsi="Cambria" w:cstheme="majorHAnsi"/>
          <w:sz w:val="20"/>
          <w:szCs w:val="20"/>
          <w:lang w:val="es-ES"/>
        </w:rPr>
        <w:t xml:space="preserve"> que caminaran sobre la calle de la Colonia Sigüenza, y les decía “caminen hijos de puta”, “ustedes son mareros”, respondiendo las víctimas que no eran</w:t>
      </w:r>
      <w:r w:rsidR="009F5979">
        <w:rPr>
          <w:rFonts w:ascii="Cambria" w:hAnsi="Cambria" w:cstheme="majorHAnsi"/>
          <w:sz w:val="20"/>
          <w:szCs w:val="20"/>
          <w:lang w:val="es-ES"/>
        </w:rPr>
        <w:t xml:space="preserve"> tal</w:t>
      </w:r>
      <w:r w:rsidRPr="00BD4992">
        <w:rPr>
          <w:rFonts w:ascii="Cambria" w:hAnsi="Cambria" w:cstheme="majorHAnsi"/>
          <w:sz w:val="20"/>
          <w:szCs w:val="20"/>
          <w:lang w:val="es-ES"/>
        </w:rPr>
        <w:t>.</w:t>
      </w:r>
    </w:p>
    <w:p w14:paraId="0951C1FE" w14:textId="0C89B5CF" w:rsidR="00E737E2"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w:t>
      </w:r>
      <w:r w:rsidRPr="00E737E2">
        <w:rPr>
          <w:rFonts w:ascii="Cambria" w:hAnsi="Cambria"/>
          <w:sz w:val="20"/>
          <w:szCs w:val="20"/>
          <w:lang w:val="es-AR"/>
        </w:rPr>
        <w:t xml:space="preserve">peticionarios señalan que los integrantes de las FAES llevaron a los desaparecidos a la Brigada Especial de Seguridad Militar por su presunta vinculación con Las Maras. Posteriormente, les tomaron fotos y </w:t>
      </w:r>
      <w:r w:rsidR="00915EEE">
        <w:rPr>
          <w:rFonts w:ascii="Cambria" w:hAnsi="Cambria"/>
          <w:sz w:val="20"/>
          <w:szCs w:val="20"/>
          <w:lang w:val="es-AR"/>
        </w:rPr>
        <w:t xml:space="preserve">los </w:t>
      </w:r>
      <w:r w:rsidRPr="00E737E2">
        <w:rPr>
          <w:rFonts w:ascii="Cambria" w:hAnsi="Cambria"/>
          <w:sz w:val="20"/>
          <w:szCs w:val="20"/>
          <w:lang w:val="es-AR"/>
        </w:rPr>
        <w:t xml:space="preserve">transportaron por la colonia San Damián, zona que estaría dominada por la “Mara Salvatrucha”. Desde este último momento no se tendría conocimiento de las presuntas víctimas, a pesar que se encontraban bajo la custodia de </w:t>
      </w:r>
      <w:r w:rsidR="00DA14F9">
        <w:rPr>
          <w:rFonts w:ascii="Cambria" w:hAnsi="Cambria"/>
          <w:sz w:val="20"/>
          <w:szCs w:val="20"/>
          <w:lang w:val="es-AR"/>
        </w:rPr>
        <w:t>miembros</w:t>
      </w:r>
      <w:r w:rsidRPr="00E737E2">
        <w:rPr>
          <w:rFonts w:ascii="Cambria" w:hAnsi="Cambria"/>
          <w:sz w:val="20"/>
          <w:szCs w:val="20"/>
          <w:lang w:val="es-AR"/>
        </w:rPr>
        <w:t xml:space="preserve"> del ejército</w:t>
      </w:r>
      <w:r>
        <w:rPr>
          <w:rFonts w:ascii="Cambria" w:hAnsi="Cambria"/>
          <w:sz w:val="20"/>
          <w:szCs w:val="20"/>
          <w:lang w:val="es-AR"/>
        </w:rPr>
        <w:t>.</w:t>
      </w:r>
    </w:p>
    <w:p w14:paraId="50E086B1" w14:textId="087371E0" w:rsidR="00E737E2" w:rsidRPr="00E737E2"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w:t>
      </w:r>
      <w:r w:rsidRPr="00E737E2">
        <w:rPr>
          <w:rFonts w:ascii="Cambria" w:hAnsi="Cambria"/>
          <w:sz w:val="20"/>
          <w:szCs w:val="20"/>
          <w:lang w:val="es-AR"/>
        </w:rPr>
        <w:t xml:space="preserve">familiares de las presuntas víctimas denunciaron en distintos momentos la desaparición de los jóvenes. </w:t>
      </w:r>
      <w:r w:rsidRPr="000A5FFC">
        <w:rPr>
          <w:rFonts w:ascii="Cambria" w:hAnsi="Cambria" w:cstheme="majorHAnsi"/>
          <w:sz w:val="20"/>
          <w:szCs w:val="20"/>
          <w:lang w:val="es-ES"/>
        </w:rPr>
        <w:t>El</w:t>
      </w:r>
      <w:r>
        <w:rPr>
          <w:rFonts w:ascii="Cambria" w:hAnsi="Cambria" w:cstheme="majorHAnsi"/>
          <w:sz w:val="20"/>
          <w:szCs w:val="20"/>
          <w:lang w:val="es-ES"/>
        </w:rPr>
        <w:t xml:space="preserve"> 18 de febrero de 2014</w:t>
      </w:r>
      <w:r w:rsidRPr="000A5FFC">
        <w:rPr>
          <w:rFonts w:ascii="Cambria" w:hAnsi="Cambria" w:cstheme="majorHAnsi"/>
          <w:sz w:val="20"/>
          <w:szCs w:val="20"/>
          <w:lang w:val="es-ES"/>
        </w:rPr>
        <w:t xml:space="preserve"> la</w:t>
      </w:r>
      <w:r w:rsidR="00F65BB3">
        <w:rPr>
          <w:rFonts w:ascii="Cambria" w:hAnsi="Cambria" w:cstheme="majorHAnsi"/>
          <w:sz w:val="20"/>
          <w:szCs w:val="20"/>
          <w:lang w:val="es-ES"/>
        </w:rPr>
        <w:t>s</w:t>
      </w:r>
      <w:r w:rsidRPr="000A5FFC">
        <w:rPr>
          <w:rFonts w:ascii="Cambria" w:hAnsi="Cambria" w:cstheme="majorHAnsi"/>
          <w:sz w:val="20"/>
          <w:szCs w:val="20"/>
          <w:lang w:val="es-ES"/>
        </w:rPr>
        <w:t xml:space="preserve"> señora</w:t>
      </w:r>
      <w:r w:rsidR="00F65BB3">
        <w:rPr>
          <w:rFonts w:ascii="Cambria" w:hAnsi="Cambria" w:cstheme="majorHAnsi"/>
          <w:sz w:val="20"/>
          <w:szCs w:val="20"/>
          <w:lang w:val="es-ES"/>
        </w:rPr>
        <w:t>s</w:t>
      </w:r>
      <w:r w:rsidRPr="000A5FFC">
        <w:rPr>
          <w:rFonts w:ascii="Cambria" w:hAnsi="Cambria" w:cstheme="majorHAnsi"/>
          <w:sz w:val="20"/>
          <w:szCs w:val="20"/>
          <w:lang w:val="es-ES"/>
        </w:rPr>
        <w:t xml:space="preserve"> María Yolanda Mejía de Hernández, María Francisca Gómez y Gloria Choto interpusieron la denuncia ante la Fiscalía General de la República, en contra de las autoridades militares y se abrió un expediente</w:t>
      </w:r>
      <w:r>
        <w:rPr>
          <w:rFonts w:ascii="Cambria" w:hAnsi="Cambria" w:cstheme="majorHAnsi"/>
          <w:sz w:val="20"/>
          <w:szCs w:val="20"/>
          <w:lang w:val="es-ES"/>
        </w:rPr>
        <w:t xml:space="preserve"> </w:t>
      </w:r>
      <w:r w:rsidR="00D3528C">
        <w:rPr>
          <w:rFonts w:ascii="Cambria" w:hAnsi="Cambria" w:cstheme="majorHAnsi"/>
          <w:sz w:val="20"/>
          <w:szCs w:val="20"/>
          <w:lang w:val="es-ES"/>
        </w:rPr>
        <w:t>por</w:t>
      </w:r>
      <w:r>
        <w:rPr>
          <w:rFonts w:ascii="Cambria" w:hAnsi="Cambria" w:cstheme="majorHAnsi"/>
          <w:sz w:val="20"/>
          <w:szCs w:val="20"/>
          <w:lang w:val="es-ES"/>
        </w:rPr>
        <w:t xml:space="preserve"> privación de libertad</w:t>
      </w:r>
      <w:r w:rsidRPr="000A5FFC">
        <w:rPr>
          <w:rFonts w:ascii="Cambria" w:hAnsi="Cambria" w:cstheme="majorHAnsi"/>
          <w:sz w:val="20"/>
          <w:szCs w:val="20"/>
          <w:lang w:val="es-ES"/>
        </w:rPr>
        <w:t>. Otro denunciante fue José Amílcar Choto Pleitéz, quien expresó que los soldados</w:t>
      </w:r>
      <w:r w:rsidR="00CC421A">
        <w:rPr>
          <w:rFonts w:ascii="Cambria" w:hAnsi="Cambria" w:cstheme="majorHAnsi"/>
          <w:sz w:val="20"/>
          <w:szCs w:val="20"/>
          <w:lang w:val="es-ES"/>
        </w:rPr>
        <w:t xml:space="preserve"> se</w:t>
      </w:r>
      <w:r w:rsidRPr="000A5FFC">
        <w:rPr>
          <w:rFonts w:ascii="Cambria" w:hAnsi="Cambria" w:cstheme="majorHAnsi"/>
          <w:sz w:val="20"/>
          <w:szCs w:val="20"/>
          <w:lang w:val="es-ES"/>
        </w:rPr>
        <w:t xml:space="preserve"> llevaron a su hijo</w:t>
      </w:r>
      <w:r>
        <w:rPr>
          <w:rFonts w:ascii="Cambria" w:hAnsi="Cambria" w:cstheme="majorHAnsi"/>
          <w:sz w:val="20"/>
          <w:szCs w:val="20"/>
          <w:lang w:val="es-ES"/>
        </w:rPr>
        <w:t xml:space="preserve"> y no volvió a tener noticias suyas.</w:t>
      </w:r>
    </w:p>
    <w:p w14:paraId="7FFFD9F6" w14:textId="04EA36DE" w:rsidR="00E737E2" w:rsidRPr="00E37F01" w:rsidRDefault="00E737E2" w:rsidP="005A5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w:t>
      </w:r>
      <w:r w:rsidRPr="00E737E2">
        <w:rPr>
          <w:rFonts w:ascii="Cambria" w:hAnsi="Cambria"/>
          <w:sz w:val="20"/>
          <w:szCs w:val="20"/>
          <w:lang w:val="es-AR"/>
        </w:rPr>
        <w:t>Fiscalía emitió instrucción formal con detención provisional, en contra SMCR y el resto de los militares imputados por privación ilegítima de la libertad y desaparición forzada, en perjuicio de Francisco Javier Hernández Gómez, Oscar Oswaldo Leiva Mejía y José Fernando Choto Choto</w:t>
      </w:r>
      <w:r>
        <w:rPr>
          <w:rFonts w:ascii="Cambria" w:hAnsi="Cambria"/>
          <w:sz w:val="20"/>
          <w:szCs w:val="20"/>
          <w:lang w:val="es-AR"/>
        </w:rPr>
        <w:t>.</w:t>
      </w:r>
      <w:r w:rsidR="005A58B5">
        <w:rPr>
          <w:rFonts w:ascii="Cambria" w:hAnsi="Cambria"/>
          <w:sz w:val="20"/>
          <w:szCs w:val="20"/>
          <w:lang w:val="es-AR"/>
        </w:rPr>
        <w:t xml:space="preserve"> </w:t>
      </w:r>
      <w:r w:rsidR="005A58B5">
        <w:rPr>
          <w:rFonts w:ascii="Cambria" w:hAnsi="Cambria" w:cstheme="majorHAnsi"/>
          <w:sz w:val="20"/>
          <w:szCs w:val="20"/>
          <w:lang w:val="es-ES"/>
        </w:rPr>
        <w:t>Seguidamente, e</w:t>
      </w:r>
      <w:r w:rsidRPr="005A58B5">
        <w:rPr>
          <w:rFonts w:ascii="Cambria" w:hAnsi="Cambria" w:cstheme="majorHAnsi"/>
          <w:sz w:val="20"/>
          <w:szCs w:val="20"/>
          <w:lang w:val="es-ES"/>
        </w:rPr>
        <w:t xml:space="preserve">l </w:t>
      </w:r>
      <w:r w:rsidR="00915EEE">
        <w:rPr>
          <w:rFonts w:ascii="Cambria" w:hAnsi="Cambria" w:cstheme="majorHAnsi"/>
          <w:sz w:val="20"/>
          <w:szCs w:val="20"/>
          <w:lang w:val="es-ES"/>
        </w:rPr>
        <w:t>T</w:t>
      </w:r>
      <w:r w:rsidRPr="005A58B5">
        <w:rPr>
          <w:rFonts w:ascii="Cambria" w:hAnsi="Cambria" w:cstheme="majorHAnsi"/>
          <w:sz w:val="20"/>
          <w:szCs w:val="20"/>
          <w:lang w:val="es-ES"/>
        </w:rPr>
        <w:t xml:space="preserve">ribunal de </w:t>
      </w:r>
      <w:r w:rsidR="00915EEE">
        <w:rPr>
          <w:rFonts w:ascii="Cambria" w:hAnsi="Cambria" w:cstheme="majorHAnsi"/>
          <w:sz w:val="20"/>
          <w:szCs w:val="20"/>
          <w:lang w:val="es-ES"/>
        </w:rPr>
        <w:t>S</w:t>
      </w:r>
      <w:r w:rsidRPr="005A58B5">
        <w:rPr>
          <w:rFonts w:ascii="Cambria" w:hAnsi="Cambria" w:cstheme="majorHAnsi"/>
          <w:sz w:val="20"/>
          <w:szCs w:val="20"/>
          <w:lang w:val="es-ES"/>
        </w:rPr>
        <w:t xml:space="preserve">entencia de Sonsonate realizó la vista pública el 21, 22, 23 y 26 de octubre de 2015. </w:t>
      </w:r>
      <w:r w:rsidRPr="005A58B5">
        <w:rPr>
          <w:rFonts w:ascii="Cambria" w:hAnsi="Cambria"/>
          <w:sz w:val="20"/>
          <w:szCs w:val="20"/>
          <w:lang w:val="es-AR"/>
        </w:rPr>
        <w:t xml:space="preserve">El 17 de noviembre de 2015 se </w:t>
      </w:r>
      <w:r w:rsidR="00915EEE">
        <w:rPr>
          <w:rFonts w:ascii="Cambria" w:hAnsi="Cambria"/>
          <w:sz w:val="20"/>
          <w:szCs w:val="20"/>
          <w:lang w:val="es-AR"/>
        </w:rPr>
        <w:t>emitió</w:t>
      </w:r>
      <w:r w:rsidRPr="005A58B5">
        <w:rPr>
          <w:rFonts w:ascii="Cambria" w:hAnsi="Cambria"/>
          <w:sz w:val="20"/>
          <w:szCs w:val="20"/>
          <w:lang w:val="es-AR"/>
        </w:rPr>
        <w:t xml:space="preserve"> </w:t>
      </w:r>
      <w:r w:rsidRPr="00E37F01">
        <w:rPr>
          <w:rFonts w:ascii="Cambria" w:hAnsi="Cambria"/>
          <w:sz w:val="20"/>
          <w:szCs w:val="20"/>
          <w:lang w:val="es-AR"/>
        </w:rPr>
        <w:t>sentencia absolutoria a favor de los SMCR, y el resto de los militares imputados, al considerar que</w:t>
      </w:r>
      <w:r w:rsidRPr="00E37F01">
        <w:rPr>
          <w:rFonts w:ascii="Cambria" w:hAnsi="Cambria" w:cstheme="majorHAnsi"/>
          <w:sz w:val="20"/>
          <w:szCs w:val="20"/>
          <w:lang w:val="es-ES"/>
        </w:rPr>
        <w:t xml:space="preserve"> la conducta de los militares fue atípica</w:t>
      </w:r>
      <w:r w:rsidR="00431C4F" w:rsidRPr="00E37F01">
        <w:rPr>
          <w:rFonts w:ascii="Cambria" w:hAnsi="Cambria" w:cstheme="majorHAnsi"/>
          <w:sz w:val="20"/>
          <w:szCs w:val="20"/>
          <w:lang w:val="es-ES"/>
        </w:rPr>
        <w:t xml:space="preserve">; es decir, que no existían elementos suficientes para considerar que había delito, </w:t>
      </w:r>
      <w:r w:rsidRPr="00E37F01">
        <w:rPr>
          <w:rFonts w:ascii="Cambria" w:hAnsi="Cambria" w:cstheme="majorHAnsi"/>
          <w:sz w:val="20"/>
          <w:szCs w:val="20"/>
          <w:lang w:val="es-ES"/>
        </w:rPr>
        <w:t>y por tal razón no había responsabilidad.</w:t>
      </w:r>
    </w:p>
    <w:p w14:paraId="3A568EF6" w14:textId="43B0D0D3" w:rsidR="00E737E2" w:rsidRPr="00E37F01"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Los peticionarios denunciaron que la sentencia fue arbitraria, pues utilizó criterios jurídicos irrazonables</w:t>
      </w:r>
      <w:r w:rsidR="00634222" w:rsidRPr="00E37F01">
        <w:rPr>
          <w:rFonts w:ascii="Cambria" w:hAnsi="Cambria"/>
          <w:sz w:val="20"/>
          <w:szCs w:val="20"/>
          <w:lang w:val="es-AR"/>
        </w:rPr>
        <w:t xml:space="preserve">, y se refirió a comentarios aberrantes como: </w:t>
      </w:r>
      <w:r w:rsidRPr="00E37F01">
        <w:rPr>
          <w:rFonts w:ascii="Cambria" w:hAnsi="Cambria"/>
          <w:sz w:val="20"/>
          <w:szCs w:val="20"/>
          <w:lang w:val="es-AR"/>
        </w:rPr>
        <w:t>“</w:t>
      </w:r>
      <w:r w:rsidRPr="00E37F01">
        <w:rPr>
          <w:rFonts w:ascii="Cambria" w:hAnsi="Cambria"/>
          <w:i/>
          <w:iCs/>
          <w:sz w:val="20"/>
          <w:szCs w:val="20"/>
          <w:lang w:val="es-AR"/>
        </w:rPr>
        <w:t>las victimas-testigos no fueron obligados a ir con los elementos militares</w:t>
      </w:r>
      <w:r w:rsidRPr="00E37F01">
        <w:rPr>
          <w:rFonts w:ascii="Cambria" w:hAnsi="Cambria"/>
          <w:sz w:val="20"/>
          <w:szCs w:val="20"/>
          <w:lang w:val="es-AR"/>
        </w:rPr>
        <w:t>”</w:t>
      </w:r>
      <w:r w:rsidR="00634222" w:rsidRPr="00E37F01">
        <w:rPr>
          <w:rFonts w:ascii="Cambria" w:hAnsi="Cambria"/>
          <w:sz w:val="20"/>
          <w:szCs w:val="20"/>
          <w:lang w:val="es-AR"/>
        </w:rPr>
        <w:t xml:space="preserve">, </w:t>
      </w:r>
      <w:r w:rsidRPr="00E37F01">
        <w:rPr>
          <w:rFonts w:ascii="Cambria" w:hAnsi="Cambria"/>
          <w:sz w:val="20"/>
          <w:szCs w:val="20"/>
          <w:lang w:val="es-AR"/>
        </w:rPr>
        <w:t>“</w:t>
      </w:r>
      <w:r w:rsidRPr="00E37F01">
        <w:rPr>
          <w:rFonts w:ascii="Cambria" w:hAnsi="Cambria"/>
          <w:i/>
          <w:iCs/>
          <w:sz w:val="20"/>
          <w:szCs w:val="20"/>
          <w:lang w:val="es-AR"/>
        </w:rPr>
        <w:t>nunca fueron golpeados, amarrados o encerrados</w:t>
      </w:r>
      <w:r w:rsidRPr="00E37F01">
        <w:rPr>
          <w:rFonts w:ascii="Cambria" w:hAnsi="Cambria"/>
          <w:sz w:val="20"/>
          <w:szCs w:val="20"/>
          <w:lang w:val="es-AR"/>
        </w:rPr>
        <w:t>”</w:t>
      </w:r>
      <w:r w:rsidR="00634222" w:rsidRPr="00E37F01">
        <w:rPr>
          <w:rFonts w:ascii="Cambria" w:hAnsi="Cambria"/>
          <w:sz w:val="20"/>
          <w:szCs w:val="20"/>
          <w:lang w:val="es-AR"/>
        </w:rPr>
        <w:t xml:space="preserve">, y </w:t>
      </w:r>
      <w:r w:rsidRPr="00E37F01">
        <w:rPr>
          <w:rFonts w:ascii="Cambria" w:hAnsi="Cambria" w:cstheme="majorHAnsi"/>
          <w:sz w:val="20"/>
          <w:szCs w:val="20"/>
          <w:lang w:val="es-ES"/>
        </w:rPr>
        <w:t>“</w:t>
      </w:r>
      <w:r w:rsidRPr="00E37F01">
        <w:rPr>
          <w:rFonts w:ascii="Cambria" w:hAnsi="Cambria" w:cstheme="majorHAnsi"/>
          <w:i/>
          <w:iCs/>
          <w:sz w:val="20"/>
          <w:szCs w:val="20"/>
          <w:lang w:val="es-ES"/>
        </w:rPr>
        <w:t xml:space="preserve">el </w:t>
      </w:r>
      <w:r w:rsidR="00431C4F" w:rsidRPr="00E37F01">
        <w:rPr>
          <w:rFonts w:ascii="Cambria" w:hAnsi="Cambria" w:cstheme="majorHAnsi"/>
          <w:i/>
          <w:iCs/>
          <w:sz w:val="20"/>
          <w:szCs w:val="20"/>
          <w:lang w:val="es-ES"/>
        </w:rPr>
        <w:t>caso</w:t>
      </w:r>
      <w:r w:rsidRPr="00E37F01">
        <w:rPr>
          <w:rFonts w:ascii="Cambria" w:hAnsi="Cambria" w:cstheme="majorHAnsi"/>
          <w:i/>
          <w:iCs/>
          <w:sz w:val="20"/>
          <w:szCs w:val="20"/>
          <w:lang w:val="es-ES"/>
        </w:rPr>
        <w:t xml:space="preserve"> se refiere a lesiones de bienes jurídicos insignificantes</w:t>
      </w:r>
      <w:r w:rsidRPr="00E37F01">
        <w:rPr>
          <w:rFonts w:ascii="Cambria" w:hAnsi="Cambria" w:cstheme="majorHAnsi"/>
          <w:sz w:val="20"/>
          <w:szCs w:val="20"/>
          <w:lang w:val="es-ES"/>
        </w:rPr>
        <w:t>”</w:t>
      </w:r>
      <w:r w:rsidR="00431C4F" w:rsidRPr="00E37F01">
        <w:rPr>
          <w:rFonts w:ascii="Cambria" w:hAnsi="Cambria" w:cstheme="majorHAnsi"/>
          <w:sz w:val="20"/>
          <w:szCs w:val="20"/>
          <w:lang w:val="es-ES"/>
        </w:rPr>
        <w:t>, con lo cual se minimizan los hechos en cuestión</w:t>
      </w:r>
      <w:r w:rsidR="00E37F01" w:rsidRPr="00E37F01">
        <w:rPr>
          <w:rFonts w:ascii="Cambria" w:hAnsi="Cambria" w:cstheme="majorHAnsi"/>
          <w:sz w:val="20"/>
          <w:szCs w:val="20"/>
          <w:lang w:val="es-ES"/>
        </w:rPr>
        <w:t>.</w:t>
      </w:r>
      <w:r w:rsidR="00F40999" w:rsidRPr="00E37F01">
        <w:rPr>
          <w:rFonts w:ascii="Cambria" w:hAnsi="Cambria" w:cstheme="majorHAnsi"/>
          <w:sz w:val="20"/>
          <w:szCs w:val="20"/>
          <w:lang w:val="es-ES"/>
        </w:rPr>
        <w:t xml:space="preserve"> </w:t>
      </w:r>
      <w:r w:rsidR="00E37F01" w:rsidRPr="00E37F01">
        <w:rPr>
          <w:rFonts w:ascii="Cambria" w:hAnsi="Cambria" w:cstheme="majorHAnsi"/>
          <w:sz w:val="20"/>
          <w:szCs w:val="20"/>
          <w:lang w:val="es-ES"/>
        </w:rPr>
        <w:t>L</w:t>
      </w:r>
      <w:r w:rsidR="00EE175E" w:rsidRPr="00E37F01">
        <w:rPr>
          <w:rFonts w:ascii="Cambria" w:hAnsi="Cambria" w:cstheme="majorHAnsi"/>
          <w:sz w:val="20"/>
          <w:szCs w:val="20"/>
          <w:lang w:val="es-ES"/>
        </w:rPr>
        <w:t>a CIDH observa</w:t>
      </w:r>
      <w:r w:rsidR="00634222" w:rsidRPr="00E37F01">
        <w:rPr>
          <w:rFonts w:ascii="Cambria" w:hAnsi="Cambria" w:cstheme="majorHAnsi"/>
          <w:sz w:val="20"/>
          <w:szCs w:val="20"/>
          <w:lang w:val="es-ES"/>
        </w:rPr>
        <w:t xml:space="preserve"> del texto de la </w:t>
      </w:r>
      <w:r w:rsidR="00E104FB" w:rsidRPr="00E37F01">
        <w:rPr>
          <w:rFonts w:ascii="Cambria" w:hAnsi="Cambria" w:cstheme="majorHAnsi"/>
          <w:sz w:val="20"/>
          <w:szCs w:val="20"/>
          <w:lang w:val="es-ES"/>
        </w:rPr>
        <w:t>sentencia</w:t>
      </w:r>
      <w:r w:rsidR="00634222" w:rsidRPr="00E37F01">
        <w:rPr>
          <w:rFonts w:ascii="Cambria" w:hAnsi="Cambria" w:cstheme="majorHAnsi"/>
          <w:sz w:val="20"/>
          <w:szCs w:val="20"/>
          <w:lang w:val="es-ES"/>
        </w:rPr>
        <w:t xml:space="preserve"> que </w:t>
      </w:r>
      <w:r w:rsidR="00E37F01" w:rsidRPr="00E37F01">
        <w:rPr>
          <w:rFonts w:ascii="Cambria" w:hAnsi="Cambria" w:cstheme="majorHAnsi"/>
          <w:sz w:val="20"/>
          <w:szCs w:val="20"/>
          <w:lang w:val="es-ES"/>
        </w:rPr>
        <w:t xml:space="preserve">esta </w:t>
      </w:r>
      <w:r w:rsidR="00F40999" w:rsidRPr="00E37F01">
        <w:rPr>
          <w:rFonts w:ascii="Cambria" w:hAnsi="Cambria" w:cstheme="majorHAnsi"/>
          <w:sz w:val="20"/>
          <w:szCs w:val="20"/>
          <w:lang w:val="es-ES"/>
        </w:rPr>
        <w:t>no considera ni siquiera que existió una detención ilegal</w:t>
      </w:r>
      <w:r w:rsidR="00E37F01" w:rsidRPr="00E37F01">
        <w:rPr>
          <w:rFonts w:ascii="Cambria" w:hAnsi="Cambria" w:cstheme="majorHAnsi"/>
          <w:sz w:val="20"/>
          <w:szCs w:val="20"/>
          <w:lang w:val="es-ES"/>
        </w:rPr>
        <w:t>, al considerar que</w:t>
      </w:r>
      <w:r w:rsidR="00F40999" w:rsidRPr="00E37F01">
        <w:rPr>
          <w:rFonts w:ascii="Cambria" w:hAnsi="Cambria" w:cstheme="majorHAnsi"/>
          <w:sz w:val="20"/>
          <w:szCs w:val="20"/>
          <w:lang w:val="es-ES"/>
        </w:rPr>
        <w:t xml:space="preserve"> “</w:t>
      </w:r>
      <w:r w:rsidR="00F40999" w:rsidRPr="00E37F01">
        <w:rPr>
          <w:rFonts w:ascii="Cambria" w:hAnsi="Cambria" w:cstheme="majorHAnsi"/>
          <w:i/>
          <w:iCs/>
          <w:sz w:val="20"/>
          <w:szCs w:val="20"/>
          <w:lang w:val="es-ES"/>
        </w:rPr>
        <w:t>los sujetos se fueron con su voluntad acompañando a los elementos de las fuerzas armadas</w:t>
      </w:r>
      <w:r w:rsidR="00F40999" w:rsidRPr="00E37F01">
        <w:rPr>
          <w:rFonts w:ascii="Cambria" w:hAnsi="Cambria" w:cstheme="majorHAnsi"/>
          <w:sz w:val="20"/>
          <w:szCs w:val="20"/>
          <w:lang w:val="es-ES"/>
        </w:rPr>
        <w:t>”; asimismo, la Comisión entiende que en la sentencia</w:t>
      </w:r>
      <w:r w:rsidR="00E63662" w:rsidRPr="00E37F01">
        <w:rPr>
          <w:rFonts w:ascii="Cambria" w:hAnsi="Cambria" w:cstheme="majorHAnsi"/>
          <w:sz w:val="20"/>
          <w:szCs w:val="20"/>
          <w:lang w:val="es-ES"/>
        </w:rPr>
        <w:t xml:space="preserve"> se</w:t>
      </w:r>
      <w:r w:rsidR="00F40999" w:rsidRPr="00E37F01">
        <w:rPr>
          <w:rFonts w:ascii="Cambria" w:hAnsi="Cambria" w:cstheme="majorHAnsi"/>
          <w:sz w:val="20"/>
          <w:szCs w:val="20"/>
          <w:lang w:val="es-ES"/>
        </w:rPr>
        <w:t xml:space="preserve"> </w:t>
      </w:r>
      <w:r w:rsidR="00E63662" w:rsidRPr="00E37F01">
        <w:rPr>
          <w:rFonts w:ascii="Cambria" w:hAnsi="Cambria" w:cstheme="majorHAnsi"/>
          <w:sz w:val="20"/>
          <w:szCs w:val="20"/>
          <w:lang w:val="es-ES"/>
        </w:rPr>
        <w:t>aduce</w:t>
      </w:r>
      <w:r w:rsidR="00F40999" w:rsidRPr="00E37F01">
        <w:rPr>
          <w:rFonts w:ascii="Cambria" w:hAnsi="Cambria" w:cstheme="majorHAnsi"/>
          <w:sz w:val="20"/>
          <w:szCs w:val="20"/>
          <w:lang w:val="es-ES"/>
        </w:rPr>
        <w:t xml:space="preserve"> el principio de insignificancia debido a la supuesta corta duración </w:t>
      </w:r>
      <w:r w:rsidR="001B6821" w:rsidRPr="00E37F01">
        <w:rPr>
          <w:rFonts w:ascii="Cambria" w:hAnsi="Cambria" w:cstheme="majorHAnsi"/>
          <w:sz w:val="20"/>
          <w:szCs w:val="20"/>
          <w:lang w:val="es-ES"/>
        </w:rPr>
        <w:t>de la privación de libertad</w:t>
      </w:r>
      <w:r w:rsidR="001B6821" w:rsidRPr="00E37F01">
        <w:rPr>
          <w:rStyle w:val="FootnoteReference"/>
          <w:rFonts w:ascii="Cambria" w:hAnsi="Cambria" w:cstheme="majorHAnsi"/>
          <w:sz w:val="20"/>
          <w:szCs w:val="20"/>
          <w:lang w:val="es-ES"/>
        </w:rPr>
        <w:footnoteReference w:id="7"/>
      </w:r>
      <w:r w:rsidR="001B6821" w:rsidRPr="00E37F01">
        <w:rPr>
          <w:rFonts w:ascii="Cambria" w:hAnsi="Cambria" w:cstheme="majorHAnsi"/>
          <w:sz w:val="20"/>
          <w:szCs w:val="20"/>
          <w:lang w:val="es-ES"/>
        </w:rPr>
        <w:t>.</w:t>
      </w:r>
    </w:p>
    <w:p w14:paraId="5E802E89" w14:textId="41C5E8EB" w:rsidR="00E737E2" w:rsidRPr="00E37F01"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Contra esta decisión, </w:t>
      </w:r>
      <w:r w:rsidR="00B90E28" w:rsidRPr="00E37F01">
        <w:rPr>
          <w:rFonts w:ascii="Cambria" w:hAnsi="Cambria"/>
          <w:sz w:val="20"/>
          <w:szCs w:val="20"/>
          <w:lang w:val="es-AR"/>
        </w:rPr>
        <w:t xml:space="preserve">el 30 de noviembre de 2015, </w:t>
      </w:r>
      <w:r w:rsidR="00604667" w:rsidRPr="00E37F01">
        <w:rPr>
          <w:rFonts w:ascii="Cambria" w:hAnsi="Cambria"/>
          <w:sz w:val="20"/>
          <w:szCs w:val="20"/>
          <w:lang w:val="es-AR"/>
        </w:rPr>
        <w:t>los representantes de las presuntas víctimas presentaron</w:t>
      </w:r>
      <w:r w:rsidRPr="00E37F01">
        <w:rPr>
          <w:rFonts w:ascii="Cambria" w:hAnsi="Cambria"/>
          <w:sz w:val="20"/>
          <w:szCs w:val="20"/>
          <w:lang w:val="es-AR"/>
        </w:rPr>
        <w:t xml:space="preserve"> un recurso de apelación</w:t>
      </w:r>
      <w:r w:rsidR="008819C7" w:rsidRPr="00E37F01">
        <w:rPr>
          <w:rFonts w:ascii="Cambria" w:hAnsi="Cambria"/>
          <w:sz w:val="20"/>
          <w:szCs w:val="20"/>
          <w:lang w:val="es-AR"/>
        </w:rPr>
        <w:t xml:space="preserve"> ante</w:t>
      </w:r>
      <w:r w:rsidR="00B90E28" w:rsidRPr="00E37F01">
        <w:rPr>
          <w:rFonts w:ascii="Cambria" w:hAnsi="Cambria"/>
          <w:sz w:val="20"/>
          <w:szCs w:val="20"/>
          <w:lang w:val="es-AR"/>
        </w:rPr>
        <w:t xml:space="preserve"> el Tribunal de Sentencia de Sonsonate</w:t>
      </w:r>
      <w:r w:rsidR="00337584" w:rsidRPr="00E37F01">
        <w:rPr>
          <w:rFonts w:ascii="Cambria" w:hAnsi="Cambria"/>
          <w:sz w:val="20"/>
          <w:szCs w:val="20"/>
          <w:lang w:val="es-AR"/>
        </w:rPr>
        <w:t>,</w:t>
      </w:r>
      <w:r w:rsidR="00B90E28" w:rsidRPr="00E37F01">
        <w:rPr>
          <w:rFonts w:ascii="Cambria" w:hAnsi="Cambria"/>
          <w:sz w:val="20"/>
          <w:szCs w:val="20"/>
          <w:lang w:val="es-AR"/>
        </w:rPr>
        <w:t xml:space="preserve"> </w:t>
      </w:r>
      <w:r w:rsidR="00337584" w:rsidRPr="00E37F01">
        <w:rPr>
          <w:rFonts w:ascii="Cambria" w:hAnsi="Cambria" w:cstheme="majorHAnsi"/>
          <w:sz w:val="20"/>
          <w:szCs w:val="20"/>
          <w:lang w:val="es-ES"/>
        </w:rPr>
        <w:t>alegando</w:t>
      </w:r>
      <w:r w:rsidRPr="00E37F01">
        <w:rPr>
          <w:rFonts w:ascii="Cambria" w:hAnsi="Cambria" w:cstheme="majorHAnsi"/>
          <w:sz w:val="20"/>
          <w:szCs w:val="20"/>
          <w:lang w:val="es-ES"/>
        </w:rPr>
        <w:t xml:space="preserve"> que no se respetaron las reglas de la sana crítica para la valoración de las pruebas</w:t>
      </w:r>
      <w:r w:rsidR="008819C7" w:rsidRPr="00E37F01">
        <w:rPr>
          <w:rFonts w:ascii="Cambria" w:hAnsi="Cambria" w:cstheme="majorHAnsi"/>
          <w:sz w:val="20"/>
          <w:szCs w:val="20"/>
          <w:lang w:val="es-ES"/>
        </w:rPr>
        <w:t>;</w:t>
      </w:r>
      <w:r w:rsidRPr="00E37F01">
        <w:rPr>
          <w:rFonts w:ascii="Cambria" w:hAnsi="Cambria" w:cstheme="majorHAnsi"/>
          <w:sz w:val="20"/>
          <w:szCs w:val="20"/>
          <w:lang w:val="es-ES"/>
        </w:rPr>
        <w:t xml:space="preserve"> y se llegó a una sentencia injusta y contradictoria</w:t>
      </w:r>
      <w:r w:rsidR="008819C7" w:rsidRPr="00E37F01">
        <w:rPr>
          <w:rFonts w:ascii="Cambria" w:hAnsi="Cambria"/>
          <w:sz w:val="20"/>
          <w:szCs w:val="20"/>
          <w:lang w:val="es-AR"/>
        </w:rPr>
        <w:t xml:space="preserve">. </w:t>
      </w:r>
      <w:r w:rsidR="009A45E1" w:rsidRPr="00E37F01">
        <w:rPr>
          <w:rFonts w:ascii="Cambria" w:hAnsi="Cambria"/>
          <w:sz w:val="20"/>
          <w:szCs w:val="20"/>
          <w:lang w:val="es-AR"/>
        </w:rPr>
        <w:lastRenderedPageBreak/>
        <w:t xml:space="preserve">Sin embargo, </w:t>
      </w:r>
      <w:r w:rsidR="009A45E1" w:rsidRPr="00E37F01">
        <w:rPr>
          <w:rFonts w:ascii="Cambria" w:hAnsi="Cambria" w:cstheme="majorHAnsi"/>
          <w:sz w:val="20"/>
          <w:szCs w:val="20"/>
          <w:lang w:val="es-ES"/>
        </w:rPr>
        <w:t>e</w:t>
      </w:r>
      <w:r w:rsidR="008819C7" w:rsidRPr="00E37F01">
        <w:rPr>
          <w:rFonts w:ascii="Cambria" w:hAnsi="Cambria" w:cstheme="majorHAnsi"/>
          <w:sz w:val="20"/>
          <w:szCs w:val="20"/>
          <w:lang w:val="es-ES"/>
        </w:rPr>
        <w:t xml:space="preserve">l 4 de abril de 2016, </w:t>
      </w:r>
      <w:r w:rsidR="009A45E1" w:rsidRPr="00E37F01">
        <w:rPr>
          <w:rFonts w:ascii="Cambria" w:hAnsi="Cambria"/>
          <w:sz w:val="20"/>
          <w:szCs w:val="20"/>
          <w:lang w:val="es-AR"/>
        </w:rPr>
        <w:t>la Cámara de la Sección Segunda de Occidente</w:t>
      </w:r>
      <w:r w:rsidR="009927DA" w:rsidRPr="00E37F01">
        <w:rPr>
          <w:rFonts w:ascii="Cambria" w:hAnsi="Cambria" w:cstheme="majorHAnsi"/>
          <w:sz w:val="20"/>
          <w:szCs w:val="20"/>
          <w:lang w:val="es-ES"/>
        </w:rPr>
        <w:t xml:space="preserve"> denegó el </w:t>
      </w:r>
      <w:r w:rsidRPr="00E37F01">
        <w:rPr>
          <w:rFonts w:ascii="Cambria" w:hAnsi="Cambria" w:cstheme="majorHAnsi"/>
          <w:sz w:val="20"/>
          <w:szCs w:val="20"/>
          <w:lang w:val="es-ES"/>
        </w:rPr>
        <w:t xml:space="preserve">recurso </w:t>
      </w:r>
      <w:r w:rsidR="009927DA" w:rsidRPr="00E37F01">
        <w:rPr>
          <w:rFonts w:ascii="Cambria" w:hAnsi="Cambria" w:cstheme="majorHAnsi"/>
          <w:sz w:val="20"/>
          <w:szCs w:val="20"/>
          <w:lang w:val="es-ES"/>
        </w:rPr>
        <w:t>y</w:t>
      </w:r>
      <w:r w:rsidRPr="00E37F01">
        <w:rPr>
          <w:rFonts w:ascii="Cambria" w:hAnsi="Cambria" w:cstheme="majorHAnsi"/>
          <w:sz w:val="20"/>
          <w:szCs w:val="20"/>
          <w:lang w:val="es-ES"/>
        </w:rPr>
        <w:t xml:space="preserve"> confirmó la sentencia, basado en los mismos argumentos que el </w:t>
      </w:r>
      <w:r w:rsidR="008819C7" w:rsidRPr="00E37F01">
        <w:rPr>
          <w:rFonts w:ascii="Cambria" w:hAnsi="Cambria" w:cstheme="majorHAnsi"/>
          <w:sz w:val="20"/>
          <w:szCs w:val="20"/>
          <w:lang w:val="es-ES"/>
        </w:rPr>
        <w:t>T</w:t>
      </w:r>
      <w:r w:rsidRPr="00E37F01">
        <w:rPr>
          <w:rFonts w:ascii="Cambria" w:hAnsi="Cambria" w:cstheme="majorHAnsi"/>
          <w:sz w:val="20"/>
          <w:szCs w:val="20"/>
          <w:lang w:val="es-ES"/>
        </w:rPr>
        <w:t xml:space="preserve">ribunal de </w:t>
      </w:r>
      <w:r w:rsidR="008819C7" w:rsidRPr="00E37F01">
        <w:rPr>
          <w:rFonts w:ascii="Cambria" w:hAnsi="Cambria" w:cstheme="majorHAnsi"/>
          <w:sz w:val="20"/>
          <w:szCs w:val="20"/>
          <w:lang w:val="es-ES"/>
        </w:rPr>
        <w:t>S</w:t>
      </w:r>
      <w:r w:rsidRPr="00E37F01">
        <w:rPr>
          <w:rFonts w:ascii="Cambria" w:hAnsi="Cambria" w:cstheme="majorHAnsi"/>
          <w:sz w:val="20"/>
          <w:szCs w:val="20"/>
          <w:lang w:val="es-ES"/>
        </w:rPr>
        <w:t>entencia de Sonsonate.</w:t>
      </w:r>
      <w:r w:rsidR="00B90E28" w:rsidRPr="00E37F01">
        <w:rPr>
          <w:rFonts w:ascii="Cambria" w:hAnsi="Cambria" w:cstheme="majorHAnsi"/>
          <w:sz w:val="20"/>
          <w:szCs w:val="20"/>
          <w:lang w:val="es-ES"/>
        </w:rPr>
        <w:t xml:space="preserve"> </w:t>
      </w:r>
    </w:p>
    <w:p w14:paraId="30A535D1" w14:textId="4A7E9B97" w:rsidR="00E737E2" w:rsidRPr="00E37F01" w:rsidRDefault="002C2C3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Seguidamente</w:t>
      </w:r>
      <w:r w:rsidR="00E737E2" w:rsidRPr="00E37F01">
        <w:rPr>
          <w:rFonts w:ascii="Cambria" w:hAnsi="Cambria" w:cstheme="majorHAnsi"/>
          <w:sz w:val="20"/>
          <w:szCs w:val="20"/>
          <w:lang w:val="es-ES"/>
        </w:rPr>
        <w:t xml:space="preserve">, </w:t>
      </w:r>
      <w:r w:rsidR="00033B85" w:rsidRPr="00E37F01">
        <w:rPr>
          <w:rFonts w:ascii="Cambria" w:hAnsi="Cambria" w:cstheme="majorHAnsi"/>
          <w:sz w:val="20"/>
          <w:szCs w:val="20"/>
          <w:lang w:val="es-ES"/>
        </w:rPr>
        <w:t xml:space="preserve">el 3 de mayo de 2016 </w:t>
      </w:r>
      <w:r w:rsidR="00E737E2" w:rsidRPr="00E37F01">
        <w:rPr>
          <w:rFonts w:ascii="Cambria" w:hAnsi="Cambria" w:cstheme="majorHAnsi"/>
          <w:sz w:val="20"/>
          <w:szCs w:val="20"/>
          <w:lang w:val="es-ES"/>
        </w:rPr>
        <w:t xml:space="preserve">los familiares de las </w:t>
      </w:r>
      <w:r w:rsidR="00604667" w:rsidRPr="00E37F01">
        <w:rPr>
          <w:rFonts w:ascii="Cambria" w:hAnsi="Cambria" w:cstheme="majorHAnsi"/>
          <w:sz w:val="20"/>
          <w:szCs w:val="20"/>
          <w:lang w:val="es-ES"/>
        </w:rPr>
        <w:t xml:space="preserve">presuntas </w:t>
      </w:r>
      <w:r w:rsidR="00E737E2" w:rsidRPr="00E37F01">
        <w:rPr>
          <w:rFonts w:ascii="Cambria" w:hAnsi="Cambria" w:cstheme="majorHAnsi"/>
          <w:sz w:val="20"/>
          <w:szCs w:val="20"/>
          <w:lang w:val="es-ES"/>
        </w:rPr>
        <w:t>víctimas</w:t>
      </w:r>
      <w:r w:rsidR="00604667" w:rsidRPr="00E37F01">
        <w:rPr>
          <w:rFonts w:ascii="Cambria" w:hAnsi="Cambria" w:cstheme="majorHAnsi"/>
          <w:sz w:val="20"/>
          <w:szCs w:val="20"/>
          <w:lang w:val="es-ES"/>
        </w:rPr>
        <w:t xml:space="preserve">, por medio de sus representantes legales, </w:t>
      </w:r>
      <w:r w:rsidR="00E737E2" w:rsidRPr="00E37F01">
        <w:rPr>
          <w:rFonts w:ascii="Cambria" w:hAnsi="Cambria" w:cstheme="majorHAnsi"/>
          <w:sz w:val="20"/>
          <w:szCs w:val="20"/>
          <w:lang w:val="es-ES"/>
        </w:rPr>
        <w:t xml:space="preserve">promovieron </w:t>
      </w:r>
      <w:r w:rsidR="00432BA2" w:rsidRPr="00E37F01">
        <w:rPr>
          <w:rFonts w:ascii="Cambria" w:hAnsi="Cambria" w:cstheme="majorHAnsi"/>
          <w:sz w:val="20"/>
          <w:szCs w:val="20"/>
          <w:lang w:val="es-ES"/>
        </w:rPr>
        <w:t xml:space="preserve">ante la </w:t>
      </w:r>
      <w:r w:rsidR="00432BA2" w:rsidRPr="00E37F01">
        <w:rPr>
          <w:rFonts w:ascii="Cambria" w:hAnsi="Cambria"/>
          <w:sz w:val="20"/>
          <w:szCs w:val="20"/>
          <w:lang w:val="es-AR"/>
        </w:rPr>
        <w:t>Cámara de la Sección Segunda de Occidente</w:t>
      </w:r>
      <w:r w:rsidR="00432BA2" w:rsidRPr="00E37F01">
        <w:rPr>
          <w:rFonts w:ascii="Cambria" w:hAnsi="Cambria" w:cstheme="majorHAnsi"/>
          <w:sz w:val="20"/>
          <w:szCs w:val="20"/>
          <w:lang w:val="es-ES"/>
        </w:rPr>
        <w:t xml:space="preserve"> </w:t>
      </w:r>
      <w:r w:rsidR="00E737E2" w:rsidRPr="00E37F01">
        <w:rPr>
          <w:rFonts w:ascii="Cambria" w:hAnsi="Cambria" w:cstheme="majorHAnsi"/>
          <w:sz w:val="20"/>
          <w:szCs w:val="20"/>
          <w:lang w:val="es-ES"/>
        </w:rPr>
        <w:t>un recurso de casación contra la sentencia confirmatoria de absolución</w:t>
      </w:r>
      <w:r w:rsidR="00432BA2" w:rsidRPr="00E37F01">
        <w:rPr>
          <w:rFonts w:ascii="Cambria" w:hAnsi="Cambria" w:cstheme="majorHAnsi"/>
          <w:sz w:val="20"/>
          <w:szCs w:val="20"/>
          <w:lang w:val="es-ES"/>
        </w:rPr>
        <w:t>. Este</w:t>
      </w:r>
      <w:r w:rsidR="00033B85" w:rsidRPr="00E37F01">
        <w:rPr>
          <w:rFonts w:ascii="Cambria" w:hAnsi="Cambria"/>
          <w:sz w:val="20"/>
          <w:szCs w:val="20"/>
          <w:lang w:val="es-AR"/>
        </w:rPr>
        <w:t xml:space="preserve"> recurso debía ser resuelto por la </w:t>
      </w:r>
      <w:r w:rsidR="00833E2F" w:rsidRPr="00E37F01">
        <w:rPr>
          <w:rFonts w:ascii="Cambria" w:hAnsi="Cambria" w:cstheme="majorHAnsi"/>
          <w:sz w:val="20"/>
          <w:szCs w:val="20"/>
          <w:lang w:val="es-ES"/>
        </w:rPr>
        <w:t>Sala de lo Penal de la Corte Suprema de Justicia</w:t>
      </w:r>
      <w:r w:rsidR="00E25E92" w:rsidRPr="00E37F01">
        <w:rPr>
          <w:rFonts w:ascii="Cambria" w:hAnsi="Cambria" w:cstheme="majorHAnsi"/>
          <w:sz w:val="20"/>
          <w:szCs w:val="20"/>
          <w:lang w:val="es-ES"/>
        </w:rPr>
        <w:t xml:space="preserve"> (CSJ)</w:t>
      </w:r>
      <w:r w:rsidR="00033B85" w:rsidRPr="00E37F01">
        <w:rPr>
          <w:rFonts w:ascii="Cambria" w:hAnsi="Cambria" w:cstheme="majorHAnsi"/>
          <w:sz w:val="20"/>
          <w:szCs w:val="20"/>
          <w:lang w:val="es-ES"/>
        </w:rPr>
        <w:t xml:space="preserve">. </w:t>
      </w:r>
    </w:p>
    <w:p w14:paraId="115EBB4F" w14:textId="5176E995" w:rsidR="00E737E2" w:rsidRPr="00E37F01" w:rsidRDefault="005A58B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Los peticionarios señalan que e</w:t>
      </w:r>
      <w:r w:rsidR="00E737E2" w:rsidRPr="00E37F01">
        <w:rPr>
          <w:rFonts w:ascii="Cambria" w:hAnsi="Cambria"/>
          <w:sz w:val="20"/>
          <w:szCs w:val="20"/>
          <w:lang w:val="es-AR"/>
        </w:rPr>
        <w:t>l 28 de octubre de 2016, l</w:t>
      </w:r>
      <w:r w:rsidR="00E737E2" w:rsidRPr="00E37F01">
        <w:rPr>
          <w:rFonts w:ascii="Cambria" w:hAnsi="Cambria" w:cstheme="majorHAnsi"/>
          <w:sz w:val="20"/>
          <w:szCs w:val="20"/>
          <w:lang w:val="es-ES"/>
        </w:rPr>
        <w:t xml:space="preserve">a </w:t>
      </w:r>
      <w:r w:rsidR="00033B85" w:rsidRPr="00E37F01">
        <w:rPr>
          <w:rFonts w:ascii="Cambria" w:hAnsi="Cambria" w:cstheme="majorHAnsi"/>
          <w:sz w:val="20"/>
          <w:szCs w:val="20"/>
          <w:lang w:val="es-ES"/>
        </w:rPr>
        <w:t>S</w:t>
      </w:r>
      <w:r w:rsidR="00E737E2" w:rsidRPr="00E37F01">
        <w:rPr>
          <w:rFonts w:ascii="Cambria" w:hAnsi="Cambria" w:cstheme="majorHAnsi"/>
          <w:sz w:val="20"/>
          <w:szCs w:val="20"/>
          <w:lang w:val="es-ES"/>
        </w:rPr>
        <w:t xml:space="preserve">ala de lo Penal </w:t>
      </w:r>
      <w:r w:rsidR="00A85485" w:rsidRPr="00E37F01">
        <w:rPr>
          <w:rFonts w:ascii="Cambria" w:hAnsi="Cambria" w:cstheme="majorHAnsi"/>
          <w:sz w:val="20"/>
          <w:szCs w:val="20"/>
          <w:lang w:val="es-ES"/>
        </w:rPr>
        <w:t xml:space="preserve">de la CSJ </w:t>
      </w:r>
      <w:r w:rsidR="00E737E2" w:rsidRPr="00E37F01">
        <w:rPr>
          <w:rFonts w:ascii="Cambria" w:hAnsi="Cambria" w:cstheme="majorHAnsi"/>
          <w:sz w:val="20"/>
          <w:szCs w:val="20"/>
          <w:lang w:val="es-ES"/>
        </w:rPr>
        <w:t xml:space="preserve">declaró </w:t>
      </w:r>
      <w:r w:rsidR="00A85485" w:rsidRPr="00E37F01">
        <w:rPr>
          <w:rFonts w:ascii="Cambria" w:hAnsi="Cambria" w:cstheme="majorHAnsi"/>
          <w:sz w:val="20"/>
          <w:szCs w:val="20"/>
          <w:lang w:val="es-ES"/>
        </w:rPr>
        <w:t xml:space="preserve">ha </w:t>
      </w:r>
      <w:r w:rsidR="00E737E2" w:rsidRPr="00E37F01">
        <w:rPr>
          <w:rFonts w:ascii="Cambria" w:hAnsi="Cambria" w:cstheme="majorHAnsi"/>
          <w:sz w:val="20"/>
          <w:szCs w:val="20"/>
          <w:lang w:val="es-ES"/>
        </w:rPr>
        <w:t>lugar al recurso de casació</w:t>
      </w:r>
      <w:r w:rsidR="00A85485" w:rsidRPr="00E37F01">
        <w:rPr>
          <w:rFonts w:ascii="Cambria" w:hAnsi="Cambria" w:cstheme="majorHAnsi"/>
          <w:sz w:val="20"/>
          <w:szCs w:val="20"/>
          <w:lang w:val="es-ES"/>
        </w:rPr>
        <w:t>n,</w:t>
      </w:r>
      <w:r w:rsidR="00E737E2" w:rsidRPr="00E37F01">
        <w:rPr>
          <w:rFonts w:ascii="Cambria" w:hAnsi="Cambria" w:cstheme="majorHAnsi"/>
          <w:sz w:val="20"/>
          <w:szCs w:val="20"/>
          <w:lang w:val="es-ES"/>
        </w:rPr>
        <w:t xml:space="preserve"> por falta de fundamentación</w:t>
      </w:r>
      <w:r w:rsidR="00A85485" w:rsidRPr="00E37F01">
        <w:rPr>
          <w:rFonts w:ascii="Cambria" w:hAnsi="Cambria" w:cstheme="majorHAnsi"/>
          <w:sz w:val="20"/>
          <w:szCs w:val="20"/>
          <w:lang w:val="es-ES"/>
        </w:rPr>
        <w:t xml:space="preserve"> de la sentencia absolutoria; y </w:t>
      </w:r>
      <w:r w:rsidR="00E737E2" w:rsidRPr="00E37F01">
        <w:rPr>
          <w:rFonts w:ascii="Cambria" w:hAnsi="Cambria" w:cstheme="majorHAnsi"/>
          <w:sz w:val="20"/>
          <w:szCs w:val="20"/>
          <w:lang w:val="es-ES"/>
        </w:rPr>
        <w:t>remitió el proceso penal a un nuevo tribunal</w:t>
      </w:r>
      <w:r w:rsidR="00033B85" w:rsidRPr="00E37F01">
        <w:rPr>
          <w:rFonts w:ascii="Cambria" w:hAnsi="Cambria" w:cstheme="majorHAnsi"/>
          <w:sz w:val="20"/>
          <w:szCs w:val="20"/>
          <w:lang w:val="es-ES"/>
        </w:rPr>
        <w:t xml:space="preserve">, </w:t>
      </w:r>
      <w:r w:rsidR="00E737E2" w:rsidRPr="00E37F01">
        <w:rPr>
          <w:rFonts w:ascii="Cambria" w:hAnsi="Cambria" w:cstheme="majorHAnsi"/>
          <w:sz w:val="20"/>
          <w:szCs w:val="20"/>
          <w:lang w:val="es-ES"/>
        </w:rPr>
        <w:t xml:space="preserve">trasladándolo así a la </w:t>
      </w:r>
      <w:r w:rsidR="00033B85" w:rsidRPr="00E37F01">
        <w:rPr>
          <w:rFonts w:ascii="Cambria" w:hAnsi="Cambria" w:cstheme="majorHAnsi"/>
          <w:sz w:val="20"/>
          <w:szCs w:val="20"/>
          <w:lang w:val="es-ES"/>
        </w:rPr>
        <w:t>C</w:t>
      </w:r>
      <w:r w:rsidR="00E737E2" w:rsidRPr="00E37F01">
        <w:rPr>
          <w:rFonts w:ascii="Cambria" w:hAnsi="Cambria" w:cstheme="majorHAnsi"/>
          <w:sz w:val="20"/>
          <w:szCs w:val="20"/>
          <w:lang w:val="es-ES"/>
        </w:rPr>
        <w:t xml:space="preserve">ámara de lo </w:t>
      </w:r>
      <w:r w:rsidR="00033B85" w:rsidRPr="00E37F01">
        <w:rPr>
          <w:rFonts w:ascii="Cambria" w:hAnsi="Cambria" w:cstheme="majorHAnsi"/>
          <w:sz w:val="20"/>
          <w:szCs w:val="20"/>
          <w:lang w:val="es-ES"/>
        </w:rPr>
        <w:t>P</w:t>
      </w:r>
      <w:r w:rsidR="00E737E2" w:rsidRPr="00E37F01">
        <w:rPr>
          <w:rFonts w:ascii="Cambria" w:hAnsi="Cambria" w:cstheme="majorHAnsi"/>
          <w:sz w:val="20"/>
          <w:szCs w:val="20"/>
          <w:lang w:val="es-ES"/>
        </w:rPr>
        <w:t xml:space="preserve">enal de la </w:t>
      </w:r>
      <w:r w:rsidR="00033B85" w:rsidRPr="00E37F01">
        <w:rPr>
          <w:rFonts w:ascii="Cambria" w:hAnsi="Cambria" w:cstheme="majorHAnsi"/>
          <w:sz w:val="20"/>
          <w:szCs w:val="20"/>
          <w:lang w:val="es-ES"/>
        </w:rPr>
        <w:t>P</w:t>
      </w:r>
      <w:r w:rsidR="00E737E2" w:rsidRPr="00E37F01">
        <w:rPr>
          <w:rFonts w:ascii="Cambria" w:hAnsi="Cambria" w:cstheme="majorHAnsi"/>
          <w:sz w:val="20"/>
          <w:szCs w:val="20"/>
          <w:lang w:val="es-ES"/>
        </w:rPr>
        <w:t xml:space="preserve">rimera </w:t>
      </w:r>
      <w:r w:rsidR="00033B85" w:rsidRPr="00E37F01">
        <w:rPr>
          <w:rFonts w:ascii="Cambria" w:hAnsi="Cambria" w:cstheme="majorHAnsi"/>
          <w:sz w:val="20"/>
          <w:szCs w:val="20"/>
          <w:lang w:val="es-ES"/>
        </w:rPr>
        <w:t>S</w:t>
      </w:r>
      <w:r w:rsidR="00E737E2" w:rsidRPr="00E37F01">
        <w:rPr>
          <w:rFonts w:ascii="Cambria" w:hAnsi="Cambria" w:cstheme="majorHAnsi"/>
          <w:sz w:val="20"/>
          <w:szCs w:val="20"/>
          <w:lang w:val="es-ES"/>
        </w:rPr>
        <w:t xml:space="preserve">ección de </w:t>
      </w:r>
      <w:r w:rsidR="00033B85" w:rsidRPr="00E37F01">
        <w:rPr>
          <w:rFonts w:ascii="Cambria" w:hAnsi="Cambria" w:cstheme="majorHAnsi"/>
          <w:sz w:val="20"/>
          <w:szCs w:val="20"/>
          <w:lang w:val="es-ES"/>
        </w:rPr>
        <w:t>O</w:t>
      </w:r>
      <w:r w:rsidR="00E737E2" w:rsidRPr="00E37F01">
        <w:rPr>
          <w:rFonts w:ascii="Cambria" w:hAnsi="Cambria" w:cstheme="majorHAnsi"/>
          <w:sz w:val="20"/>
          <w:szCs w:val="20"/>
          <w:lang w:val="es-ES"/>
        </w:rPr>
        <w:t>ccidente, con sede en Santa Ana, a afecto que este nuevo tribunal emitiera un nuevo pronunciamiento</w:t>
      </w:r>
      <w:r w:rsidR="00A85485" w:rsidRPr="00E37F01">
        <w:rPr>
          <w:rFonts w:ascii="Cambria" w:hAnsi="Cambria" w:cstheme="majorHAnsi"/>
          <w:sz w:val="20"/>
          <w:szCs w:val="20"/>
          <w:lang w:val="es-ES"/>
        </w:rPr>
        <w:t>.</w:t>
      </w:r>
      <w:r w:rsidR="00634C9C" w:rsidRPr="00E37F01">
        <w:rPr>
          <w:rFonts w:ascii="Cambria" w:hAnsi="Cambria" w:cstheme="majorHAnsi"/>
          <w:sz w:val="20"/>
          <w:szCs w:val="20"/>
          <w:lang w:val="es-ES"/>
        </w:rPr>
        <w:t xml:space="preserve"> El 18 de diciembre de 2017, dicha Cámara resolvió en el mismo sentido que la Sala de lo Penal de la CSJ, declarando la nulidad de la sentencia absolutoria y </w:t>
      </w:r>
      <w:r w:rsidR="008C2873" w:rsidRPr="00E37F01">
        <w:rPr>
          <w:rFonts w:ascii="Cambria" w:hAnsi="Cambria" w:cstheme="majorHAnsi"/>
          <w:sz w:val="20"/>
          <w:szCs w:val="20"/>
          <w:lang w:val="es-ES"/>
        </w:rPr>
        <w:t>remitiendo</w:t>
      </w:r>
      <w:r w:rsidR="00634C9C" w:rsidRPr="00E37F01">
        <w:rPr>
          <w:rFonts w:ascii="Cambria" w:hAnsi="Cambria" w:cstheme="majorHAnsi"/>
          <w:sz w:val="20"/>
          <w:szCs w:val="20"/>
          <w:lang w:val="es-ES"/>
        </w:rPr>
        <w:t xml:space="preserve"> el expediente al tribunal de origen. </w:t>
      </w:r>
    </w:p>
    <w:p w14:paraId="2445DE28" w14:textId="4073CE66" w:rsidR="004404C0" w:rsidRPr="00E37F01" w:rsidRDefault="00DE00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Un año después, e</w:t>
      </w:r>
      <w:r w:rsidR="004404C0" w:rsidRPr="00E37F01">
        <w:rPr>
          <w:rFonts w:ascii="Cambria" w:hAnsi="Cambria"/>
          <w:sz w:val="20"/>
          <w:szCs w:val="20"/>
          <w:lang w:val="es-AR"/>
        </w:rPr>
        <w:t>l 21 de diciembre de 2018, el Tribunal de Sentencia de Sonsonate emitió por segunda vez sentencia, en la que declara responsables penalmente a los imputados por el delito de desaparición forzada de personas</w:t>
      </w:r>
      <w:r w:rsidR="00613BFD" w:rsidRPr="00E37F01">
        <w:rPr>
          <w:rFonts w:ascii="Cambria" w:hAnsi="Cambria"/>
          <w:sz w:val="20"/>
          <w:szCs w:val="20"/>
          <w:lang w:val="es-AR"/>
        </w:rPr>
        <w:t>, imponiéndole a SMCR en su calidad de autor, una pena de ocho años con cuatro meses de prisión</w:t>
      </w:r>
      <w:r w:rsidR="00D55BD4" w:rsidRPr="00E37F01">
        <w:rPr>
          <w:rFonts w:ascii="Cambria" w:hAnsi="Cambria"/>
          <w:sz w:val="20"/>
          <w:szCs w:val="20"/>
          <w:lang w:val="es-AR"/>
        </w:rPr>
        <w:t>; y</w:t>
      </w:r>
      <w:r w:rsidR="00613BFD" w:rsidRPr="00E37F01">
        <w:rPr>
          <w:rFonts w:ascii="Cambria" w:hAnsi="Cambria"/>
          <w:sz w:val="20"/>
          <w:szCs w:val="20"/>
          <w:lang w:val="es-AR"/>
        </w:rPr>
        <w:t xml:space="preserve"> a los cómplices una pena de cuatro años con cuatro meses de pr</w:t>
      </w:r>
      <w:r w:rsidR="00DB43F5" w:rsidRPr="00E37F01">
        <w:rPr>
          <w:rFonts w:ascii="Cambria" w:hAnsi="Cambria"/>
          <w:sz w:val="20"/>
          <w:szCs w:val="20"/>
          <w:lang w:val="es-AR"/>
        </w:rPr>
        <w:t>is</w:t>
      </w:r>
      <w:r w:rsidR="00613BFD" w:rsidRPr="00E37F01">
        <w:rPr>
          <w:rFonts w:ascii="Cambria" w:hAnsi="Cambria"/>
          <w:sz w:val="20"/>
          <w:szCs w:val="20"/>
          <w:lang w:val="es-AR"/>
        </w:rPr>
        <w:t xml:space="preserve">ión. </w:t>
      </w:r>
      <w:r w:rsidR="004404C0" w:rsidRPr="00E37F01">
        <w:rPr>
          <w:rFonts w:ascii="Cambria" w:hAnsi="Cambria"/>
          <w:sz w:val="20"/>
          <w:szCs w:val="20"/>
          <w:lang w:val="es-AR"/>
        </w:rPr>
        <w:t>No obstante, según la parte peticionaria, ésta condena</w:t>
      </w:r>
      <w:r w:rsidR="00613BFD" w:rsidRPr="00E37F01">
        <w:rPr>
          <w:rFonts w:ascii="Cambria" w:hAnsi="Cambria"/>
          <w:sz w:val="20"/>
          <w:szCs w:val="20"/>
          <w:lang w:val="es-AR"/>
        </w:rPr>
        <w:t xml:space="preserve"> no</w:t>
      </w:r>
      <w:r w:rsidR="004404C0" w:rsidRPr="00E37F01">
        <w:rPr>
          <w:rFonts w:ascii="Cambria" w:hAnsi="Cambria"/>
          <w:sz w:val="20"/>
          <w:szCs w:val="20"/>
          <w:lang w:val="es-AR"/>
        </w:rPr>
        <w:t xml:space="preserve"> </w:t>
      </w:r>
      <w:r w:rsidR="00634C9C" w:rsidRPr="00E37F01">
        <w:rPr>
          <w:rFonts w:ascii="Cambria" w:hAnsi="Cambria"/>
          <w:sz w:val="20"/>
          <w:szCs w:val="20"/>
          <w:lang w:val="es-AR"/>
        </w:rPr>
        <w:t>fue</w:t>
      </w:r>
      <w:r w:rsidR="004404C0" w:rsidRPr="00E37F01">
        <w:rPr>
          <w:rFonts w:ascii="Cambria" w:hAnsi="Cambria"/>
          <w:sz w:val="20"/>
          <w:szCs w:val="20"/>
          <w:lang w:val="es-AR"/>
        </w:rPr>
        <w:t xml:space="preserve"> coherente con los delitos cometidos en contra de las víctimas dado que se produjo una errónea aplicación de las reglas de la </w:t>
      </w:r>
      <w:r w:rsidR="00634C9C" w:rsidRPr="00E37F01">
        <w:rPr>
          <w:rFonts w:ascii="Cambria" w:hAnsi="Cambria"/>
          <w:sz w:val="20"/>
          <w:szCs w:val="20"/>
          <w:lang w:val="es-AR"/>
        </w:rPr>
        <w:t>s</w:t>
      </w:r>
      <w:r w:rsidR="004404C0" w:rsidRPr="00E37F01">
        <w:rPr>
          <w:rFonts w:ascii="Cambria" w:hAnsi="Cambria"/>
          <w:sz w:val="20"/>
          <w:szCs w:val="20"/>
          <w:lang w:val="es-AR"/>
        </w:rPr>
        <w:t xml:space="preserve">ana </w:t>
      </w:r>
      <w:r w:rsidR="00634C9C" w:rsidRPr="00E37F01">
        <w:rPr>
          <w:rFonts w:ascii="Cambria" w:hAnsi="Cambria"/>
          <w:sz w:val="20"/>
          <w:szCs w:val="20"/>
          <w:lang w:val="es-AR"/>
        </w:rPr>
        <w:t>c</w:t>
      </w:r>
      <w:r w:rsidR="004404C0" w:rsidRPr="00E37F01">
        <w:rPr>
          <w:rFonts w:ascii="Cambria" w:hAnsi="Cambria"/>
          <w:sz w:val="20"/>
          <w:szCs w:val="20"/>
          <w:lang w:val="es-AR"/>
        </w:rPr>
        <w:t>rítica</w:t>
      </w:r>
      <w:r w:rsidR="00634C9C" w:rsidRPr="00E37F01">
        <w:rPr>
          <w:rFonts w:ascii="Cambria" w:hAnsi="Cambria"/>
          <w:sz w:val="20"/>
          <w:szCs w:val="20"/>
          <w:lang w:val="es-AR"/>
        </w:rPr>
        <w:t>,</w:t>
      </w:r>
      <w:r w:rsidR="004404C0" w:rsidRPr="00E37F01">
        <w:rPr>
          <w:rFonts w:ascii="Cambria" w:hAnsi="Cambria"/>
          <w:sz w:val="20"/>
          <w:szCs w:val="20"/>
          <w:lang w:val="es-AR"/>
        </w:rPr>
        <w:t xml:space="preserve"> falta de fundamentación y motivación de la sentencia</w:t>
      </w:r>
      <w:r w:rsidR="008C7E61" w:rsidRPr="00E37F01">
        <w:rPr>
          <w:rFonts w:ascii="Cambria" w:hAnsi="Cambria"/>
          <w:sz w:val="20"/>
          <w:szCs w:val="20"/>
          <w:lang w:val="es-AR"/>
        </w:rPr>
        <w:t xml:space="preserve">. Los peticionarios alegan que esta </w:t>
      </w:r>
      <w:r w:rsidR="004404C0" w:rsidRPr="00E37F01">
        <w:rPr>
          <w:rFonts w:ascii="Cambria" w:hAnsi="Cambria"/>
          <w:sz w:val="20"/>
          <w:szCs w:val="20"/>
          <w:lang w:val="es-AR"/>
        </w:rPr>
        <w:t xml:space="preserve">decisión judicial </w:t>
      </w:r>
      <w:r w:rsidR="008C7E61" w:rsidRPr="00E37F01">
        <w:rPr>
          <w:rFonts w:ascii="Cambria" w:hAnsi="Cambria"/>
          <w:sz w:val="20"/>
          <w:szCs w:val="20"/>
          <w:lang w:val="es-AR"/>
        </w:rPr>
        <w:t>causó</w:t>
      </w:r>
      <w:r w:rsidR="004404C0" w:rsidRPr="00E37F01">
        <w:rPr>
          <w:rFonts w:ascii="Cambria" w:hAnsi="Cambria"/>
          <w:sz w:val="20"/>
          <w:szCs w:val="20"/>
          <w:lang w:val="es-AR"/>
        </w:rPr>
        <w:t xml:space="preserve"> un grave detrimento a los familiares de las </w:t>
      </w:r>
      <w:r w:rsidR="00634C9C" w:rsidRPr="00E37F01">
        <w:rPr>
          <w:rFonts w:ascii="Cambria" w:hAnsi="Cambria"/>
          <w:sz w:val="20"/>
          <w:szCs w:val="20"/>
          <w:lang w:val="es-AR"/>
        </w:rPr>
        <w:t xml:space="preserve">presuntas </w:t>
      </w:r>
      <w:r w:rsidR="004404C0" w:rsidRPr="00E37F01">
        <w:rPr>
          <w:rFonts w:ascii="Cambria" w:hAnsi="Cambria"/>
          <w:sz w:val="20"/>
          <w:szCs w:val="20"/>
          <w:lang w:val="es-AR"/>
        </w:rPr>
        <w:t>víctimas.</w:t>
      </w:r>
    </w:p>
    <w:p w14:paraId="0586D0C3" w14:textId="1E83A736" w:rsidR="004404C0" w:rsidRPr="00E37F01" w:rsidRDefault="004404C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En este sentido, el 5 de marzo de 2019 los peticionarios, por medio de su apoderado legal, promovieron </w:t>
      </w:r>
      <w:r w:rsidR="00FD68FC" w:rsidRPr="00E37F01">
        <w:rPr>
          <w:rFonts w:ascii="Cambria" w:hAnsi="Cambria"/>
          <w:sz w:val="20"/>
          <w:szCs w:val="20"/>
          <w:lang w:val="es-AR"/>
        </w:rPr>
        <w:t xml:space="preserve">un </w:t>
      </w:r>
      <w:r w:rsidR="00CF23C5" w:rsidRPr="00E37F01">
        <w:rPr>
          <w:rFonts w:ascii="Cambria" w:hAnsi="Cambria"/>
          <w:sz w:val="20"/>
          <w:szCs w:val="20"/>
          <w:lang w:val="es-AR"/>
        </w:rPr>
        <w:t>r</w:t>
      </w:r>
      <w:r w:rsidRPr="00E37F01">
        <w:rPr>
          <w:rFonts w:ascii="Cambria" w:hAnsi="Cambria"/>
          <w:sz w:val="20"/>
          <w:szCs w:val="20"/>
          <w:lang w:val="es-AR"/>
        </w:rPr>
        <w:t xml:space="preserve">ecurso de </w:t>
      </w:r>
      <w:r w:rsidR="00CF23C5" w:rsidRPr="00E37F01">
        <w:rPr>
          <w:rFonts w:ascii="Cambria" w:hAnsi="Cambria"/>
          <w:sz w:val="20"/>
          <w:szCs w:val="20"/>
          <w:lang w:val="es-AR"/>
        </w:rPr>
        <w:t>a</w:t>
      </w:r>
      <w:r w:rsidRPr="00E37F01">
        <w:rPr>
          <w:rFonts w:ascii="Cambria" w:hAnsi="Cambria"/>
          <w:sz w:val="20"/>
          <w:szCs w:val="20"/>
          <w:lang w:val="es-AR"/>
        </w:rPr>
        <w:t xml:space="preserve">pelación por estar inconformes con la condena establecida por el Tribunal de Sentencia de Sonsonate el 21 de diciembre de dos 2018. Dicho </w:t>
      </w:r>
      <w:r w:rsidR="00613BFD" w:rsidRPr="00E37F01">
        <w:rPr>
          <w:rFonts w:ascii="Cambria" w:hAnsi="Cambria"/>
          <w:sz w:val="20"/>
          <w:szCs w:val="20"/>
          <w:lang w:val="es-AR"/>
        </w:rPr>
        <w:t>r</w:t>
      </w:r>
      <w:r w:rsidRPr="00E37F01">
        <w:rPr>
          <w:rFonts w:ascii="Cambria" w:hAnsi="Cambria"/>
          <w:sz w:val="20"/>
          <w:szCs w:val="20"/>
          <w:lang w:val="es-AR"/>
        </w:rPr>
        <w:t xml:space="preserve">ecurso de </w:t>
      </w:r>
      <w:r w:rsidR="00613BFD" w:rsidRPr="00E37F01">
        <w:rPr>
          <w:rFonts w:ascii="Cambria" w:hAnsi="Cambria"/>
          <w:sz w:val="20"/>
          <w:szCs w:val="20"/>
          <w:lang w:val="es-AR"/>
        </w:rPr>
        <w:t>a</w:t>
      </w:r>
      <w:r w:rsidRPr="00E37F01">
        <w:rPr>
          <w:rFonts w:ascii="Cambria" w:hAnsi="Cambria"/>
          <w:sz w:val="20"/>
          <w:szCs w:val="20"/>
          <w:lang w:val="es-AR"/>
        </w:rPr>
        <w:t>pelación</w:t>
      </w:r>
      <w:r w:rsidR="00613BFD" w:rsidRPr="00E37F01">
        <w:rPr>
          <w:rFonts w:ascii="Cambria" w:hAnsi="Cambria"/>
          <w:sz w:val="20"/>
          <w:szCs w:val="20"/>
          <w:lang w:val="es-AR"/>
        </w:rPr>
        <w:t>,</w:t>
      </w:r>
      <w:r w:rsidRPr="00E37F01">
        <w:rPr>
          <w:rFonts w:ascii="Cambria" w:hAnsi="Cambria"/>
          <w:sz w:val="20"/>
          <w:szCs w:val="20"/>
          <w:lang w:val="es-AR"/>
        </w:rPr>
        <w:t xml:space="preserve"> a la fecha</w:t>
      </w:r>
      <w:r w:rsidR="00613BFD" w:rsidRPr="00E37F01">
        <w:rPr>
          <w:rFonts w:ascii="Cambria" w:hAnsi="Cambria"/>
          <w:sz w:val="20"/>
          <w:szCs w:val="20"/>
          <w:lang w:val="es-AR"/>
        </w:rPr>
        <w:t xml:space="preserve"> </w:t>
      </w:r>
      <w:r w:rsidR="00FD68FC" w:rsidRPr="00E37F01">
        <w:rPr>
          <w:rFonts w:ascii="Cambria" w:hAnsi="Cambria"/>
          <w:sz w:val="20"/>
          <w:szCs w:val="20"/>
          <w:lang w:val="es-AR"/>
        </w:rPr>
        <w:t>del presente</w:t>
      </w:r>
      <w:r w:rsidR="00613BFD" w:rsidRPr="00E37F01">
        <w:rPr>
          <w:rFonts w:ascii="Cambria" w:hAnsi="Cambria"/>
          <w:sz w:val="20"/>
          <w:szCs w:val="20"/>
          <w:lang w:val="es-AR"/>
        </w:rPr>
        <w:t xml:space="preserve"> informe,</w:t>
      </w:r>
      <w:r w:rsidRPr="00E37F01">
        <w:rPr>
          <w:rFonts w:ascii="Cambria" w:hAnsi="Cambria"/>
          <w:sz w:val="20"/>
          <w:szCs w:val="20"/>
          <w:lang w:val="es-AR"/>
        </w:rPr>
        <w:t xml:space="preserve"> no ha sido resuelto por la </w:t>
      </w:r>
      <w:r w:rsidR="001B6821" w:rsidRPr="00E37F01">
        <w:rPr>
          <w:rFonts w:ascii="Cambria" w:hAnsi="Cambria"/>
          <w:sz w:val="20"/>
          <w:szCs w:val="20"/>
          <w:lang w:val="es-AR"/>
        </w:rPr>
        <w:t xml:space="preserve">segunda instancia </w:t>
      </w:r>
      <w:r w:rsidR="009578B1" w:rsidRPr="00E37F01">
        <w:rPr>
          <w:rFonts w:ascii="Cambria" w:hAnsi="Cambria"/>
          <w:sz w:val="20"/>
          <w:szCs w:val="20"/>
          <w:lang w:val="es-AR"/>
        </w:rPr>
        <w:t>en lo penal;</w:t>
      </w:r>
      <w:r w:rsidRPr="00E37F01">
        <w:rPr>
          <w:rFonts w:ascii="Cambria" w:hAnsi="Cambria"/>
          <w:sz w:val="20"/>
          <w:szCs w:val="20"/>
          <w:lang w:val="es-AR"/>
        </w:rPr>
        <w:t xml:space="preserve"> y por tal motivo, la parte peticionaria aduce que existe un retardo injustificado de la administración de justicia de El Salvador, y </w:t>
      </w:r>
      <w:r w:rsidR="006D2B97" w:rsidRPr="00E37F01">
        <w:rPr>
          <w:rFonts w:ascii="Cambria" w:hAnsi="Cambria"/>
          <w:sz w:val="20"/>
          <w:szCs w:val="20"/>
          <w:lang w:val="es-AR"/>
        </w:rPr>
        <w:t>cónsono con la excepción del</w:t>
      </w:r>
      <w:r w:rsidRPr="00E37F01">
        <w:rPr>
          <w:rFonts w:ascii="Cambria" w:hAnsi="Cambria"/>
          <w:sz w:val="20"/>
          <w:szCs w:val="20"/>
          <w:lang w:val="es-AR"/>
        </w:rPr>
        <w:t xml:space="preserve"> artículo 46</w:t>
      </w:r>
      <w:r w:rsidR="004E6BFF" w:rsidRPr="00E37F01">
        <w:rPr>
          <w:rFonts w:ascii="Cambria" w:hAnsi="Cambria"/>
          <w:sz w:val="20"/>
          <w:szCs w:val="20"/>
          <w:lang w:val="es-AR"/>
        </w:rPr>
        <w:t>.2.c)</w:t>
      </w:r>
      <w:r w:rsidRPr="00E37F01">
        <w:rPr>
          <w:rFonts w:ascii="Cambria" w:hAnsi="Cambria"/>
          <w:sz w:val="20"/>
          <w:szCs w:val="20"/>
          <w:lang w:val="es-AR"/>
        </w:rPr>
        <w:t xml:space="preserve"> de la Convención Americana sobre Derechos Humanos.</w:t>
      </w:r>
    </w:p>
    <w:p w14:paraId="506818AC" w14:textId="3752BBE8" w:rsidR="004404C0" w:rsidRPr="00E37F01" w:rsidRDefault="004404C0" w:rsidP="004404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E37F01">
        <w:rPr>
          <w:rFonts w:ascii="Cambria" w:hAnsi="Cambria"/>
          <w:i/>
          <w:iCs/>
          <w:sz w:val="20"/>
          <w:szCs w:val="20"/>
          <w:lang w:val="es-AR"/>
        </w:rPr>
        <w:t>Proceso</w:t>
      </w:r>
      <w:r w:rsidR="00B0143E" w:rsidRPr="00E37F01">
        <w:rPr>
          <w:rFonts w:ascii="Cambria" w:hAnsi="Cambria"/>
          <w:i/>
          <w:iCs/>
          <w:sz w:val="20"/>
          <w:szCs w:val="20"/>
          <w:lang w:val="es-AR"/>
        </w:rPr>
        <w:t xml:space="preserve"> Constitucional</w:t>
      </w:r>
      <w:r w:rsidRPr="00E37F01">
        <w:rPr>
          <w:rFonts w:ascii="Cambria" w:hAnsi="Cambria"/>
          <w:i/>
          <w:iCs/>
          <w:sz w:val="20"/>
          <w:szCs w:val="20"/>
          <w:lang w:val="es-AR"/>
        </w:rPr>
        <w:t xml:space="preserve"> de Hábeas Corpus</w:t>
      </w:r>
    </w:p>
    <w:p w14:paraId="2860D4A4" w14:textId="0BE0E3A9" w:rsidR="00E737E2" w:rsidRPr="00E37F01" w:rsidRDefault="00571CA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cstheme="majorHAnsi"/>
          <w:sz w:val="20"/>
          <w:szCs w:val="20"/>
          <w:lang w:val="es-ES"/>
        </w:rPr>
        <w:t>Paralelamente al proceso penal, el</w:t>
      </w:r>
      <w:r w:rsidR="00E737E2" w:rsidRPr="00E37F01">
        <w:rPr>
          <w:rFonts w:ascii="Cambria" w:hAnsi="Cambria" w:cstheme="majorHAnsi"/>
          <w:sz w:val="20"/>
          <w:szCs w:val="20"/>
          <w:lang w:val="es-ES"/>
        </w:rPr>
        <w:t xml:space="preserve"> 4 de febrero de 2015</w:t>
      </w:r>
      <w:r w:rsidR="00E737E2" w:rsidRPr="00E37F01">
        <w:rPr>
          <w:rFonts w:ascii="Cambria" w:hAnsi="Cambria"/>
          <w:sz w:val="20"/>
          <w:szCs w:val="20"/>
          <w:lang w:val="es-AR"/>
        </w:rPr>
        <w:t xml:space="preserve"> los representantes de las presuntas víctimas</w:t>
      </w:r>
      <w:r w:rsidR="00E737E2" w:rsidRPr="00E37F01">
        <w:rPr>
          <w:rFonts w:ascii="Cambria" w:hAnsi="Cambria" w:cstheme="majorHAnsi"/>
          <w:sz w:val="20"/>
          <w:szCs w:val="20"/>
          <w:lang w:val="es-ES"/>
        </w:rPr>
        <w:t xml:space="preserve"> presentaron una acción de </w:t>
      </w:r>
      <w:r w:rsidR="00E737E2" w:rsidRPr="00E37F01">
        <w:rPr>
          <w:rFonts w:ascii="Cambria" w:hAnsi="Cambria" w:cstheme="majorHAnsi"/>
          <w:i/>
          <w:iCs/>
          <w:sz w:val="20"/>
          <w:szCs w:val="20"/>
          <w:lang w:val="es-ES"/>
        </w:rPr>
        <w:t>h</w:t>
      </w:r>
      <w:r w:rsidR="001B6821" w:rsidRPr="00E37F01">
        <w:rPr>
          <w:rFonts w:ascii="Cambria" w:hAnsi="Cambria" w:cstheme="majorHAnsi"/>
          <w:i/>
          <w:iCs/>
          <w:sz w:val="20"/>
          <w:szCs w:val="20"/>
          <w:lang w:val="es-ES"/>
        </w:rPr>
        <w:t>á</w:t>
      </w:r>
      <w:r w:rsidR="00E737E2" w:rsidRPr="00E37F01">
        <w:rPr>
          <w:rFonts w:ascii="Cambria" w:hAnsi="Cambria" w:cstheme="majorHAnsi"/>
          <w:i/>
          <w:iCs/>
          <w:sz w:val="20"/>
          <w:szCs w:val="20"/>
          <w:lang w:val="es-ES"/>
        </w:rPr>
        <w:t>beas corpus</w:t>
      </w:r>
      <w:r w:rsidR="00E737E2" w:rsidRPr="00E37F01">
        <w:rPr>
          <w:rFonts w:ascii="Cambria" w:hAnsi="Cambria" w:cstheme="majorHAnsi"/>
          <w:sz w:val="20"/>
          <w:szCs w:val="20"/>
          <w:lang w:val="es-ES"/>
        </w:rPr>
        <w:t xml:space="preserve"> ante la Sala de lo Constitucional de la Corte Suprema de Justicia por la desaparición forzada de </w:t>
      </w:r>
      <w:r w:rsidR="00E737E2" w:rsidRPr="00E37F01">
        <w:rPr>
          <w:rFonts w:ascii="Cambria" w:hAnsi="Cambria"/>
          <w:sz w:val="20"/>
          <w:szCs w:val="20"/>
          <w:lang w:val="es-ES"/>
        </w:rPr>
        <w:t>Oscar Oswaldo Leiva Mejía, Francisco Javier Hernández Gómez y José Fernando Choto Choto.</w:t>
      </w:r>
      <w:r w:rsidR="00E737E2" w:rsidRPr="00E37F01">
        <w:rPr>
          <w:rFonts w:ascii="Cambria" w:hAnsi="Cambria" w:cstheme="majorHAnsi"/>
          <w:sz w:val="20"/>
          <w:szCs w:val="20"/>
          <w:lang w:val="es-ES"/>
        </w:rPr>
        <w:t xml:space="preserve"> El 26 de febrero de 2015, la Sala de lo Constitucional, decretó auto de exhibición a favor de </w:t>
      </w:r>
      <w:r w:rsidR="005A58B5" w:rsidRPr="00E37F01">
        <w:rPr>
          <w:rFonts w:ascii="Cambria" w:hAnsi="Cambria" w:cstheme="majorHAnsi"/>
          <w:sz w:val="20"/>
          <w:szCs w:val="20"/>
          <w:lang w:val="es-ES"/>
        </w:rPr>
        <w:t>los</w:t>
      </w:r>
      <w:r w:rsidR="004858FD" w:rsidRPr="00E37F01">
        <w:rPr>
          <w:rFonts w:ascii="Cambria" w:hAnsi="Cambria" w:cstheme="majorHAnsi"/>
          <w:sz w:val="20"/>
          <w:szCs w:val="20"/>
          <w:lang w:val="es-ES"/>
        </w:rPr>
        <w:t xml:space="preserve"> </w:t>
      </w:r>
      <w:r w:rsidR="005A58B5" w:rsidRPr="00E37F01">
        <w:rPr>
          <w:rFonts w:ascii="Cambria" w:hAnsi="Cambria" w:cstheme="majorHAnsi"/>
          <w:sz w:val="20"/>
          <w:szCs w:val="20"/>
          <w:lang w:val="es-ES"/>
        </w:rPr>
        <w:t>desaparecidos</w:t>
      </w:r>
      <w:r w:rsidR="00E737E2" w:rsidRPr="00E37F01">
        <w:rPr>
          <w:rFonts w:ascii="Cambria" w:hAnsi="Cambria" w:cstheme="majorHAnsi"/>
          <w:sz w:val="20"/>
          <w:szCs w:val="20"/>
          <w:lang w:val="es-ES"/>
        </w:rPr>
        <w:t xml:space="preserve">, nombrando </w:t>
      </w:r>
      <w:r w:rsidR="00AB3532" w:rsidRPr="00E37F01">
        <w:rPr>
          <w:rFonts w:ascii="Cambria" w:hAnsi="Cambria" w:cstheme="majorHAnsi"/>
          <w:sz w:val="20"/>
          <w:szCs w:val="20"/>
          <w:lang w:val="es-ES"/>
        </w:rPr>
        <w:t xml:space="preserve">un </w:t>
      </w:r>
      <w:r w:rsidR="00E737E2" w:rsidRPr="00E37F01">
        <w:rPr>
          <w:rFonts w:ascii="Cambria" w:hAnsi="Cambria" w:cstheme="majorHAnsi"/>
          <w:sz w:val="20"/>
          <w:szCs w:val="20"/>
          <w:lang w:val="es-ES"/>
        </w:rPr>
        <w:t>juez ejecutor para requerir informes a las instancias señaladas de dicho proceso constitucional. El 30 de abril de 2015 la Sala abrió audiencia de prueba.</w:t>
      </w:r>
    </w:p>
    <w:p w14:paraId="655761B0" w14:textId="5C9159A0" w:rsidR="00E737E2" w:rsidRPr="00E37F01"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El </w:t>
      </w:r>
      <w:r w:rsidRPr="00E37F01">
        <w:rPr>
          <w:rFonts w:ascii="Cambria" w:hAnsi="Cambria" w:cstheme="majorHAnsi"/>
          <w:sz w:val="20"/>
          <w:szCs w:val="20"/>
          <w:lang w:val="es-ES"/>
        </w:rPr>
        <w:t xml:space="preserve">15 de mayo de 2015 </w:t>
      </w:r>
      <w:r w:rsidR="001A0479" w:rsidRPr="00E37F01">
        <w:rPr>
          <w:rFonts w:ascii="Cambria" w:hAnsi="Cambria" w:cstheme="majorHAnsi"/>
          <w:sz w:val="20"/>
          <w:szCs w:val="20"/>
          <w:lang w:val="es-ES"/>
        </w:rPr>
        <w:t xml:space="preserve">los familiares </w:t>
      </w:r>
      <w:r w:rsidRPr="00E37F01">
        <w:rPr>
          <w:rFonts w:ascii="Cambria" w:hAnsi="Cambria" w:cstheme="majorHAnsi"/>
          <w:sz w:val="20"/>
          <w:szCs w:val="20"/>
          <w:lang w:val="es-ES"/>
        </w:rPr>
        <w:t>present</w:t>
      </w:r>
      <w:r w:rsidR="001A0479" w:rsidRPr="00E37F01">
        <w:rPr>
          <w:rFonts w:ascii="Cambria" w:hAnsi="Cambria" w:cstheme="majorHAnsi"/>
          <w:sz w:val="20"/>
          <w:szCs w:val="20"/>
          <w:lang w:val="es-ES"/>
        </w:rPr>
        <w:t>aron</w:t>
      </w:r>
      <w:r w:rsidRPr="00E37F01">
        <w:rPr>
          <w:rFonts w:ascii="Cambria" w:hAnsi="Cambria" w:cstheme="majorHAnsi"/>
          <w:sz w:val="20"/>
          <w:szCs w:val="20"/>
          <w:lang w:val="es-ES"/>
        </w:rPr>
        <w:t xml:space="preserve"> a la Sala de lo Constitucional un escrito con las pruebas a incorporar para que sean admitidas, que consistían en hecho notorio, pruebas documentales y testimoniales, así como también se solicitó a la </w:t>
      </w:r>
      <w:r w:rsidR="00A9340E" w:rsidRPr="00E37F01">
        <w:rPr>
          <w:rFonts w:ascii="Cambria" w:hAnsi="Cambria" w:cstheme="majorHAnsi"/>
          <w:sz w:val="20"/>
          <w:szCs w:val="20"/>
          <w:lang w:val="es-ES"/>
        </w:rPr>
        <w:t>S</w:t>
      </w:r>
      <w:r w:rsidRPr="00E37F01">
        <w:rPr>
          <w:rFonts w:ascii="Cambria" w:hAnsi="Cambria" w:cstheme="majorHAnsi"/>
          <w:sz w:val="20"/>
          <w:szCs w:val="20"/>
          <w:lang w:val="es-ES"/>
        </w:rPr>
        <w:t xml:space="preserve">ala de lo </w:t>
      </w:r>
      <w:r w:rsidR="00A9340E" w:rsidRPr="00E37F01">
        <w:rPr>
          <w:rFonts w:ascii="Cambria" w:hAnsi="Cambria" w:cstheme="majorHAnsi"/>
          <w:sz w:val="20"/>
          <w:szCs w:val="20"/>
          <w:lang w:val="es-ES"/>
        </w:rPr>
        <w:t>C</w:t>
      </w:r>
      <w:r w:rsidRPr="00E37F01">
        <w:rPr>
          <w:rFonts w:ascii="Cambria" w:hAnsi="Cambria" w:cstheme="majorHAnsi"/>
          <w:sz w:val="20"/>
          <w:szCs w:val="20"/>
          <w:lang w:val="es-ES"/>
        </w:rPr>
        <w:t xml:space="preserve">onstitucional la adopción de medidas de protección a favor de los familiares de los desaparecidos, debido a los distintos hostigamientos, seguimiento y actos de intimidación </w:t>
      </w:r>
      <w:r w:rsidR="00990EC1" w:rsidRPr="00E37F01">
        <w:rPr>
          <w:rFonts w:ascii="Cambria" w:hAnsi="Cambria" w:cstheme="majorHAnsi"/>
          <w:sz w:val="20"/>
          <w:szCs w:val="20"/>
          <w:lang w:val="es-ES"/>
        </w:rPr>
        <w:t xml:space="preserve">a </w:t>
      </w:r>
      <w:r w:rsidRPr="00E37F01">
        <w:rPr>
          <w:rFonts w:ascii="Cambria" w:hAnsi="Cambria" w:cstheme="majorHAnsi"/>
          <w:sz w:val="20"/>
          <w:szCs w:val="20"/>
          <w:lang w:val="es-ES"/>
        </w:rPr>
        <w:t xml:space="preserve">raíz de </w:t>
      </w:r>
      <w:r w:rsidR="00990EC1" w:rsidRPr="00E37F01">
        <w:rPr>
          <w:rFonts w:ascii="Cambria" w:hAnsi="Cambria" w:cstheme="majorHAnsi"/>
          <w:sz w:val="20"/>
          <w:szCs w:val="20"/>
          <w:lang w:val="es-ES"/>
        </w:rPr>
        <w:t>sus</w:t>
      </w:r>
      <w:r w:rsidRPr="00E37F01">
        <w:rPr>
          <w:rFonts w:ascii="Cambria" w:hAnsi="Cambria" w:cstheme="majorHAnsi"/>
          <w:sz w:val="20"/>
          <w:szCs w:val="20"/>
          <w:lang w:val="es-ES"/>
        </w:rPr>
        <w:t xml:space="preserve"> denuncias. </w:t>
      </w:r>
      <w:r w:rsidR="00990EC1" w:rsidRPr="00E37F01">
        <w:rPr>
          <w:rFonts w:ascii="Cambria" w:hAnsi="Cambria" w:cstheme="majorHAnsi"/>
          <w:sz w:val="20"/>
          <w:szCs w:val="20"/>
          <w:lang w:val="es-ES"/>
        </w:rPr>
        <w:t>Así, el</w:t>
      </w:r>
      <w:r w:rsidRPr="00E37F01">
        <w:rPr>
          <w:rFonts w:ascii="Cambria" w:hAnsi="Cambria" w:cstheme="majorHAnsi"/>
          <w:sz w:val="20"/>
          <w:szCs w:val="20"/>
          <w:lang w:val="es-ES"/>
        </w:rPr>
        <w:t xml:space="preserve"> 24 de junio de 2015 la Sala de lo Constitucional pronunció una resolución en la cual declaró la admisibilidad de ciertas pruebas en base a los requisitos que establece el artículo 317 del </w:t>
      </w:r>
      <w:r w:rsidR="00A9340E" w:rsidRPr="00E37F01">
        <w:rPr>
          <w:rFonts w:ascii="Cambria" w:hAnsi="Cambria" w:cstheme="majorHAnsi"/>
          <w:sz w:val="20"/>
          <w:szCs w:val="20"/>
          <w:lang w:val="es-ES"/>
        </w:rPr>
        <w:t>C</w:t>
      </w:r>
      <w:r w:rsidRPr="00E37F01">
        <w:rPr>
          <w:rFonts w:ascii="Cambria" w:hAnsi="Cambria" w:cstheme="majorHAnsi"/>
          <w:sz w:val="20"/>
          <w:szCs w:val="20"/>
          <w:lang w:val="es-ES"/>
        </w:rPr>
        <w:t>ódigo</w:t>
      </w:r>
      <w:r w:rsidR="00A9340E" w:rsidRPr="00E37F01">
        <w:rPr>
          <w:rFonts w:ascii="Cambria" w:hAnsi="Cambria" w:cstheme="majorHAnsi"/>
          <w:sz w:val="20"/>
          <w:szCs w:val="20"/>
          <w:lang w:val="es-ES"/>
        </w:rPr>
        <w:t xml:space="preserve"> Pr</w:t>
      </w:r>
      <w:r w:rsidRPr="00E37F01">
        <w:rPr>
          <w:rFonts w:ascii="Cambria" w:hAnsi="Cambria" w:cstheme="majorHAnsi"/>
          <w:sz w:val="20"/>
          <w:szCs w:val="20"/>
          <w:lang w:val="es-ES"/>
        </w:rPr>
        <w:t xml:space="preserve">ocesal </w:t>
      </w:r>
      <w:r w:rsidR="00A9340E" w:rsidRPr="00E37F01">
        <w:rPr>
          <w:rFonts w:ascii="Cambria" w:hAnsi="Cambria" w:cstheme="majorHAnsi"/>
          <w:sz w:val="20"/>
          <w:szCs w:val="20"/>
          <w:lang w:val="es-ES"/>
        </w:rPr>
        <w:t>C</w:t>
      </w:r>
      <w:r w:rsidRPr="00E37F01">
        <w:rPr>
          <w:rFonts w:ascii="Cambria" w:hAnsi="Cambria" w:cstheme="majorHAnsi"/>
          <w:sz w:val="20"/>
          <w:szCs w:val="20"/>
          <w:lang w:val="es-ES"/>
        </w:rPr>
        <w:t xml:space="preserve">ivil y </w:t>
      </w:r>
      <w:r w:rsidR="00A9340E" w:rsidRPr="00E37F01">
        <w:rPr>
          <w:rFonts w:ascii="Cambria" w:hAnsi="Cambria" w:cstheme="majorHAnsi"/>
          <w:sz w:val="20"/>
          <w:szCs w:val="20"/>
          <w:lang w:val="es-ES"/>
        </w:rPr>
        <w:t>C</w:t>
      </w:r>
      <w:r w:rsidRPr="00E37F01">
        <w:rPr>
          <w:rFonts w:ascii="Cambria" w:hAnsi="Cambria" w:cstheme="majorHAnsi"/>
          <w:sz w:val="20"/>
          <w:szCs w:val="20"/>
          <w:lang w:val="es-ES"/>
        </w:rPr>
        <w:t>omercial, referido a la admisibilidad de las pruebas.</w:t>
      </w:r>
      <w:r w:rsidR="00A9340E" w:rsidRPr="00E37F01">
        <w:rPr>
          <w:rFonts w:ascii="Cambria" w:hAnsi="Cambria" w:cstheme="majorHAnsi"/>
          <w:sz w:val="20"/>
          <w:szCs w:val="20"/>
          <w:lang w:val="es-ES"/>
        </w:rPr>
        <w:t xml:space="preserve"> No obstante, no admitió las pruebas documentales sobre dictámenes psicológicos realizados a familiares de los desaparecidos. </w:t>
      </w:r>
    </w:p>
    <w:p w14:paraId="2809EA68" w14:textId="5592BF9B" w:rsidR="00E737E2" w:rsidRPr="00E37F01" w:rsidRDefault="005A58B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cstheme="majorHAnsi"/>
          <w:sz w:val="20"/>
          <w:szCs w:val="20"/>
          <w:lang w:val="es-ES"/>
        </w:rPr>
        <w:t xml:space="preserve">La parte peticionaria señala que el </w:t>
      </w:r>
      <w:r w:rsidR="00E737E2" w:rsidRPr="00E37F01">
        <w:rPr>
          <w:rFonts w:ascii="Cambria" w:hAnsi="Cambria" w:cstheme="majorHAnsi"/>
          <w:sz w:val="20"/>
          <w:szCs w:val="20"/>
          <w:lang w:val="es-ES"/>
        </w:rPr>
        <w:t xml:space="preserve">16 de enero de 2017, </w:t>
      </w:r>
      <w:r w:rsidR="00604667" w:rsidRPr="00E37F01">
        <w:rPr>
          <w:rFonts w:ascii="Cambria" w:hAnsi="Cambria" w:cstheme="majorHAnsi"/>
          <w:sz w:val="20"/>
          <w:szCs w:val="20"/>
          <w:lang w:val="es-ES"/>
        </w:rPr>
        <w:t>la</w:t>
      </w:r>
      <w:r w:rsidR="00E737E2" w:rsidRPr="00E37F01">
        <w:rPr>
          <w:rFonts w:ascii="Cambria" w:hAnsi="Cambria" w:cstheme="majorHAnsi"/>
          <w:sz w:val="20"/>
          <w:szCs w:val="20"/>
          <w:lang w:val="es-ES"/>
        </w:rPr>
        <w:t xml:space="preserve"> Sala de lo Constitucional informó la resolución </w:t>
      </w:r>
      <w:r w:rsidR="00E737E2" w:rsidRPr="00E37F01">
        <w:rPr>
          <w:rFonts w:ascii="Cambria" w:hAnsi="Cambria" w:cstheme="majorHAnsi"/>
          <w:i/>
          <w:iCs/>
          <w:sz w:val="20"/>
          <w:szCs w:val="20"/>
          <w:lang w:val="es-ES"/>
        </w:rPr>
        <w:t>h</w:t>
      </w:r>
      <w:r w:rsidR="001B6821" w:rsidRPr="00E37F01">
        <w:rPr>
          <w:rFonts w:ascii="Cambria" w:hAnsi="Cambria" w:cstheme="majorHAnsi"/>
          <w:i/>
          <w:iCs/>
          <w:sz w:val="20"/>
          <w:szCs w:val="20"/>
          <w:lang w:val="es-ES"/>
        </w:rPr>
        <w:t>á</w:t>
      </w:r>
      <w:r w:rsidR="00E737E2" w:rsidRPr="00E37F01">
        <w:rPr>
          <w:rFonts w:ascii="Cambria" w:hAnsi="Cambria" w:cstheme="majorHAnsi"/>
          <w:i/>
          <w:iCs/>
          <w:sz w:val="20"/>
          <w:szCs w:val="20"/>
          <w:lang w:val="es-ES"/>
        </w:rPr>
        <w:t>beas corpus</w:t>
      </w:r>
      <w:r w:rsidR="00E737E2" w:rsidRPr="00E37F01">
        <w:rPr>
          <w:rFonts w:ascii="Cambria" w:hAnsi="Cambria" w:cstheme="majorHAnsi"/>
          <w:sz w:val="20"/>
          <w:szCs w:val="20"/>
          <w:lang w:val="es-ES"/>
        </w:rPr>
        <w:t xml:space="preserve"> a favor de </w:t>
      </w:r>
      <w:r w:rsidR="00E737E2" w:rsidRPr="00E37F01">
        <w:rPr>
          <w:rFonts w:ascii="Cambria" w:hAnsi="Cambria"/>
          <w:sz w:val="20"/>
          <w:szCs w:val="20"/>
          <w:lang w:val="es-ES"/>
        </w:rPr>
        <w:t>Oscar Oswaldo Leiva Mejía, Francisco Javier Hernández Gómez y José Fernando Choto Choto</w:t>
      </w:r>
      <w:r w:rsidR="00213498" w:rsidRPr="00E37F01">
        <w:rPr>
          <w:rFonts w:ascii="Cambria" w:hAnsi="Cambria" w:cstheme="majorHAnsi"/>
          <w:sz w:val="20"/>
          <w:szCs w:val="20"/>
          <w:lang w:val="es-ES"/>
        </w:rPr>
        <w:t>. En esta resolución</w:t>
      </w:r>
      <w:r w:rsidR="00E737E2" w:rsidRPr="00E37F01">
        <w:rPr>
          <w:rFonts w:ascii="Cambria" w:hAnsi="Cambria" w:cstheme="majorHAnsi"/>
          <w:sz w:val="20"/>
          <w:szCs w:val="20"/>
          <w:lang w:val="es-ES"/>
        </w:rPr>
        <w:t xml:space="preserve"> declaró fundada la demanda, dispuso la responsabilidad del Estado salvadoreño por la desaparición forzada de las presuntas víctimas y mandó a la Fiscalía General de la República a investigar el paradero de </w:t>
      </w:r>
      <w:r w:rsidR="009B700F" w:rsidRPr="00E37F01">
        <w:rPr>
          <w:rFonts w:ascii="Cambria" w:hAnsi="Cambria" w:cstheme="majorHAnsi"/>
          <w:sz w:val="20"/>
          <w:szCs w:val="20"/>
          <w:lang w:val="es-ES"/>
        </w:rPr>
        <w:t>aqu</w:t>
      </w:r>
      <w:r w:rsidR="00E737E2" w:rsidRPr="00E37F01">
        <w:rPr>
          <w:rFonts w:ascii="Cambria" w:hAnsi="Cambria" w:cstheme="majorHAnsi"/>
          <w:sz w:val="20"/>
          <w:szCs w:val="20"/>
          <w:lang w:val="es-ES"/>
        </w:rPr>
        <w:t>ellas.</w:t>
      </w:r>
    </w:p>
    <w:p w14:paraId="3B4F0158" w14:textId="062FDF83" w:rsidR="0041589B" w:rsidRPr="00E37F01" w:rsidRDefault="00E737E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lastRenderedPageBreak/>
        <w:t>Los familiares de las presuntas víctimas denunciaron que el Estado no les ha</w:t>
      </w:r>
      <w:r w:rsidR="00A9340E" w:rsidRPr="00E37F01">
        <w:rPr>
          <w:rFonts w:ascii="Cambria" w:hAnsi="Cambria"/>
          <w:sz w:val="20"/>
          <w:szCs w:val="20"/>
          <w:lang w:val="es-AR"/>
        </w:rPr>
        <w:t>bía</w:t>
      </w:r>
      <w:r w:rsidRPr="00E37F01">
        <w:rPr>
          <w:rFonts w:ascii="Cambria" w:hAnsi="Cambria"/>
          <w:sz w:val="20"/>
          <w:szCs w:val="20"/>
          <w:lang w:val="es-AR"/>
        </w:rPr>
        <w:t xml:space="preserve"> brindado protección y que habrían sido amenazados en distintas oportunidades por agentes estatales</w:t>
      </w:r>
      <w:r w:rsidR="00F03E3E" w:rsidRPr="00E37F01">
        <w:rPr>
          <w:rFonts w:ascii="Cambria" w:hAnsi="Cambria"/>
          <w:sz w:val="20"/>
          <w:szCs w:val="20"/>
          <w:lang w:val="es-AR"/>
        </w:rPr>
        <w:t xml:space="preserve">. </w:t>
      </w:r>
      <w:r w:rsidR="00396279" w:rsidRPr="00E37F01">
        <w:rPr>
          <w:rFonts w:ascii="Cambria" w:hAnsi="Cambria" w:cstheme="majorHAnsi"/>
          <w:sz w:val="20"/>
          <w:szCs w:val="20"/>
          <w:lang w:val="es-ES"/>
        </w:rPr>
        <w:t>A este respecto</w:t>
      </w:r>
      <w:r w:rsidRPr="00E37F01">
        <w:rPr>
          <w:rFonts w:ascii="Cambria" w:hAnsi="Cambria" w:cstheme="majorHAnsi"/>
          <w:sz w:val="20"/>
          <w:szCs w:val="20"/>
          <w:lang w:val="es-ES"/>
        </w:rPr>
        <w:t xml:space="preserve">, </w:t>
      </w:r>
      <w:r w:rsidR="00F03E3E" w:rsidRPr="00E37F01">
        <w:rPr>
          <w:rFonts w:ascii="Cambria" w:hAnsi="Cambria"/>
          <w:sz w:val="20"/>
          <w:szCs w:val="20"/>
          <w:lang w:val="es-ES"/>
        </w:rPr>
        <w:t xml:space="preserve">el 28 de septiembre de 2015 la CIDH </w:t>
      </w:r>
      <w:r w:rsidR="00947109" w:rsidRPr="00E37F01">
        <w:rPr>
          <w:rFonts w:ascii="Cambria" w:hAnsi="Cambria"/>
          <w:sz w:val="20"/>
          <w:szCs w:val="20"/>
          <w:lang w:val="es-ES"/>
        </w:rPr>
        <w:t>dispuso</w:t>
      </w:r>
      <w:r w:rsidR="00F03E3E" w:rsidRPr="00E37F01">
        <w:rPr>
          <w:rFonts w:ascii="Cambria" w:hAnsi="Cambria"/>
          <w:sz w:val="20"/>
          <w:szCs w:val="20"/>
          <w:lang w:val="es-ES"/>
        </w:rPr>
        <w:t xml:space="preserve"> la adopción de medidas cautelares para la protección de la</w:t>
      </w:r>
      <w:r w:rsidR="00EE5B54" w:rsidRPr="00E37F01">
        <w:rPr>
          <w:rFonts w:ascii="Cambria" w:hAnsi="Cambria"/>
          <w:sz w:val="20"/>
          <w:szCs w:val="20"/>
          <w:lang w:val="es-ES"/>
        </w:rPr>
        <w:t>s</w:t>
      </w:r>
      <w:r w:rsidR="00F03E3E" w:rsidRPr="00E37F01">
        <w:rPr>
          <w:rFonts w:ascii="Cambria" w:hAnsi="Cambria"/>
          <w:sz w:val="20"/>
          <w:szCs w:val="20"/>
          <w:lang w:val="es-ES"/>
        </w:rPr>
        <w:t xml:space="preserve"> familia de los desaparecidos</w:t>
      </w:r>
      <w:r w:rsidRPr="00E37F01">
        <w:rPr>
          <w:rFonts w:ascii="Cambria" w:hAnsi="Cambria" w:cstheme="majorHAnsi"/>
          <w:sz w:val="20"/>
          <w:szCs w:val="20"/>
          <w:lang w:val="es-ES"/>
        </w:rPr>
        <w:t>, la cual fue notificada el 4 de noviembre de 2015</w:t>
      </w:r>
      <w:r w:rsidR="00F03E3E" w:rsidRPr="00E37F01">
        <w:rPr>
          <w:rFonts w:ascii="Cambria" w:hAnsi="Cambria" w:cstheme="majorHAnsi"/>
          <w:sz w:val="20"/>
          <w:szCs w:val="20"/>
          <w:lang w:val="es-ES"/>
        </w:rPr>
        <w:t xml:space="preserve"> </w:t>
      </w:r>
      <w:r w:rsidR="00B571F3" w:rsidRPr="00E37F01">
        <w:rPr>
          <w:rFonts w:ascii="Cambria" w:hAnsi="Cambria" w:cstheme="majorHAnsi"/>
          <w:sz w:val="20"/>
          <w:szCs w:val="20"/>
          <w:lang w:val="es-ES"/>
        </w:rPr>
        <w:t>–</w:t>
      </w:r>
      <w:r w:rsidR="00F03E3E" w:rsidRPr="00E37F01">
        <w:rPr>
          <w:rFonts w:ascii="Cambria" w:hAnsi="Cambria" w:cstheme="majorHAnsi"/>
          <w:sz w:val="20"/>
          <w:szCs w:val="20"/>
          <w:lang w:val="es-ES"/>
        </w:rPr>
        <w:t>actualmente dicha</w:t>
      </w:r>
      <w:r w:rsidR="00947109" w:rsidRPr="00E37F01">
        <w:rPr>
          <w:rFonts w:ascii="Cambria" w:hAnsi="Cambria" w:cstheme="majorHAnsi"/>
          <w:sz w:val="20"/>
          <w:szCs w:val="20"/>
          <w:lang w:val="es-ES"/>
        </w:rPr>
        <w:t>s</w:t>
      </w:r>
      <w:r w:rsidR="00F03E3E" w:rsidRPr="00E37F01">
        <w:rPr>
          <w:rFonts w:ascii="Cambria" w:hAnsi="Cambria" w:cstheme="majorHAnsi"/>
          <w:sz w:val="20"/>
          <w:szCs w:val="20"/>
          <w:lang w:val="es-ES"/>
        </w:rPr>
        <w:t xml:space="preserve"> medida</w:t>
      </w:r>
      <w:r w:rsidR="00947109" w:rsidRPr="00E37F01">
        <w:rPr>
          <w:rFonts w:ascii="Cambria" w:hAnsi="Cambria" w:cstheme="majorHAnsi"/>
          <w:sz w:val="20"/>
          <w:szCs w:val="20"/>
          <w:lang w:val="es-ES"/>
        </w:rPr>
        <w:t>s</w:t>
      </w:r>
      <w:r w:rsidR="00F03E3E" w:rsidRPr="00E37F01">
        <w:rPr>
          <w:rFonts w:ascii="Cambria" w:hAnsi="Cambria" w:cstheme="majorHAnsi"/>
          <w:sz w:val="20"/>
          <w:szCs w:val="20"/>
          <w:lang w:val="es-ES"/>
        </w:rPr>
        <w:t xml:space="preserve"> no se encuentra</w:t>
      </w:r>
      <w:r w:rsidR="00947109" w:rsidRPr="00E37F01">
        <w:rPr>
          <w:rFonts w:ascii="Cambria" w:hAnsi="Cambria" w:cstheme="majorHAnsi"/>
          <w:sz w:val="20"/>
          <w:szCs w:val="20"/>
          <w:lang w:val="es-ES"/>
        </w:rPr>
        <w:t>n</w:t>
      </w:r>
      <w:r w:rsidR="00F03E3E" w:rsidRPr="00E37F01">
        <w:rPr>
          <w:rFonts w:ascii="Cambria" w:hAnsi="Cambria" w:cstheme="majorHAnsi"/>
          <w:sz w:val="20"/>
          <w:szCs w:val="20"/>
          <w:lang w:val="es-ES"/>
        </w:rPr>
        <w:t xml:space="preserve"> vigente</w:t>
      </w:r>
      <w:r w:rsidR="00B571F3" w:rsidRPr="00E37F01">
        <w:rPr>
          <w:rFonts w:ascii="Cambria" w:hAnsi="Cambria" w:cstheme="majorHAnsi"/>
          <w:sz w:val="20"/>
          <w:szCs w:val="20"/>
          <w:lang w:val="es-ES"/>
        </w:rPr>
        <w:t>–</w:t>
      </w:r>
      <w:r w:rsidR="00F03E3E" w:rsidRPr="00E37F01">
        <w:rPr>
          <w:rFonts w:ascii="Cambria" w:hAnsi="Cambria" w:cstheme="majorHAnsi"/>
          <w:sz w:val="20"/>
          <w:szCs w:val="20"/>
          <w:lang w:val="es-ES"/>
        </w:rPr>
        <w:t>.</w:t>
      </w:r>
      <w:r w:rsidR="0041589B" w:rsidRPr="00E37F01">
        <w:rPr>
          <w:rFonts w:ascii="Cambria" w:hAnsi="Cambria" w:cstheme="majorHAnsi"/>
          <w:sz w:val="20"/>
          <w:szCs w:val="20"/>
          <w:lang w:val="es-ES"/>
        </w:rPr>
        <w:t xml:space="preserve"> En dicha</w:t>
      </w:r>
      <w:r w:rsidR="00755AE9" w:rsidRPr="00E37F01">
        <w:rPr>
          <w:rFonts w:ascii="Cambria" w:hAnsi="Cambria" w:cstheme="majorHAnsi"/>
          <w:sz w:val="20"/>
          <w:szCs w:val="20"/>
          <w:lang w:val="es-ES"/>
        </w:rPr>
        <w:t>s</w:t>
      </w:r>
      <w:r w:rsidR="0041589B" w:rsidRPr="00E37F01">
        <w:rPr>
          <w:rFonts w:ascii="Cambria" w:hAnsi="Cambria" w:cstheme="majorHAnsi"/>
          <w:sz w:val="20"/>
          <w:szCs w:val="20"/>
          <w:lang w:val="es-ES"/>
        </w:rPr>
        <w:t xml:space="preserve"> medida</w:t>
      </w:r>
      <w:r w:rsidR="00755AE9" w:rsidRPr="00E37F01">
        <w:rPr>
          <w:rFonts w:ascii="Cambria" w:hAnsi="Cambria" w:cstheme="majorHAnsi"/>
          <w:sz w:val="20"/>
          <w:szCs w:val="20"/>
          <w:lang w:val="es-ES"/>
        </w:rPr>
        <w:t>s</w:t>
      </w:r>
      <w:r w:rsidR="0041589B" w:rsidRPr="00E37F01">
        <w:rPr>
          <w:rFonts w:ascii="Cambria" w:hAnsi="Cambria" w:cstheme="majorHAnsi"/>
          <w:sz w:val="20"/>
          <w:szCs w:val="20"/>
          <w:lang w:val="es-ES"/>
        </w:rPr>
        <w:t xml:space="preserve"> cautelar</w:t>
      </w:r>
      <w:r w:rsidR="00755AE9" w:rsidRPr="00E37F01">
        <w:rPr>
          <w:rFonts w:ascii="Cambria" w:hAnsi="Cambria" w:cstheme="majorHAnsi"/>
          <w:sz w:val="20"/>
          <w:szCs w:val="20"/>
          <w:lang w:val="es-ES"/>
        </w:rPr>
        <w:t>es</w:t>
      </w:r>
      <w:r w:rsidR="0041589B" w:rsidRPr="00E37F01">
        <w:rPr>
          <w:rFonts w:ascii="Cambria" w:hAnsi="Cambria" w:cstheme="majorHAnsi"/>
          <w:sz w:val="20"/>
          <w:szCs w:val="20"/>
          <w:lang w:val="es-ES"/>
        </w:rPr>
        <w:t xml:space="preserve">, se </w:t>
      </w:r>
      <w:r w:rsidR="00755AE9" w:rsidRPr="00E37F01">
        <w:rPr>
          <w:rFonts w:ascii="Cambria" w:hAnsi="Cambria" w:cstheme="majorHAnsi"/>
          <w:sz w:val="20"/>
          <w:szCs w:val="20"/>
          <w:lang w:val="es-ES"/>
        </w:rPr>
        <w:t>considera</w:t>
      </w:r>
      <w:r w:rsidR="0041589B" w:rsidRPr="00E37F01">
        <w:rPr>
          <w:rFonts w:ascii="Cambria" w:hAnsi="Cambria" w:cstheme="majorHAnsi"/>
          <w:sz w:val="20"/>
          <w:szCs w:val="20"/>
          <w:lang w:val="es-ES"/>
        </w:rPr>
        <w:t xml:space="preserve"> que los familiares de los desaparecidos habrían sido víctimas de actos de violencia, amenazas, persecuciones y extorsión.</w:t>
      </w:r>
      <w:r w:rsidR="00F03E3E" w:rsidRPr="00E37F01">
        <w:rPr>
          <w:rFonts w:ascii="Cambria" w:hAnsi="Cambria" w:cstheme="majorHAnsi"/>
          <w:sz w:val="20"/>
          <w:szCs w:val="20"/>
          <w:lang w:val="es-ES"/>
        </w:rPr>
        <w:t xml:space="preserve"> </w:t>
      </w:r>
      <w:r w:rsidR="0041589B" w:rsidRPr="00E37F01">
        <w:rPr>
          <w:rFonts w:ascii="Cambria" w:hAnsi="Cambria" w:cstheme="majorHAnsi"/>
          <w:sz w:val="20"/>
          <w:szCs w:val="20"/>
          <w:lang w:val="es-ES"/>
        </w:rPr>
        <w:t>En este sentido,</w:t>
      </w:r>
      <w:r w:rsidR="001756EF" w:rsidRPr="00E37F01">
        <w:rPr>
          <w:rFonts w:ascii="Cambria" w:hAnsi="Cambria" w:cstheme="majorHAnsi"/>
          <w:sz w:val="20"/>
          <w:szCs w:val="20"/>
          <w:lang w:val="es-ES"/>
        </w:rPr>
        <w:t xml:space="preserve"> el 8 de marzo de 2014 la familia de </w:t>
      </w:r>
      <w:r w:rsidR="001756EF" w:rsidRPr="00E37F01">
        <w:rPr>
          <w:rFonts w:ascii="Cambria" w:hAnsi="Cambria"/>
          <w:sz w:val="20"/>
          <w:szCs w:val="20"/>
          <w:lang w:val="es-AR"/>
        </w:rPr>
        <w:t>José Fernando Choto Choto</w:t>
      </w:r>
      <w:r w:rsidR="001756EF" w:rsidRPr="00E37F01">
        <w:rPr>
          <w:rFonts w:ascii="Cambria" w:hAnsi="Cambria" w:cstheme="majorHAnsi"/>
          <w:sz w:val="20"/>
          <w:szCs w:val="20"/>
          <w:lang w:val="es-ES"/>
        </w:rPr>
        <w:t xml:space="preserve"> denunció ante la inspectoría de Santa Ana que dos policías y dos integrantes de las fuerzas armadas habrían intentado entrar forzosamente a </w:t>
      </w:r>
      <w:r w:rsidR="0041678D" w:rsidRPr="00E37F01">
        <w:rPr>
          <w:rFonts w:ascii="Cambria" w:hAnsi="Cambria" w:cstheme="majorHAnsi"/>
          <w:sz w:val="20"/>
          <w:szCs w:val="20"/>
          <w:lang w:val="es-ES"/>
        </w:rPr>
        <w:t>su</w:t>
      </w:r>
      <w:r w:rsidR="001756EF" w:rsidRPr="00E37F01">
        <w:rPr>
          <w:rFonts w:ascii="Cambria" w:hAnsi="Cambria" w:cstheme="majorHAnsi"/>
          <w:sz w:val="20"/>
          <w:szCs w:val="20"/>
          <w:lang w:val="es-ES"/>
        </w:rPr>
        <w:t xml:space="preserve"> casa. Asimismo, los hijos adolescentes de José Amílcar Choto Pleitéz habría sido perseguidos por sujetos extraños, situación que generó que quisieran dejar de asistir a sus estudios debido al temor que tenían. </w:t>
      </w:r>
    </w:p>
    <w:p w14:paraId="3CFB5E71" w14:textId="054175C0" w:rsidR="00E737E2" w:rsidRPr="00E37F01" w:rsidRDefault="00F03E3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cstheme="majorHAnsi"/>
          <w:sz w:val="20"/>
          <w:szCs w:val="20"/>
          <w:lang w:val="es-ES"/>
        </w:rPr>
        <w:t xml:space="preserve">La petición indica que muchos de los familiares que emprendieron la lucha de buscar a sus hijos, han tenido que desplazarse por sus propios medios a otro país para resguardar sus vidas, aunque no todas las familias lo han logrado por falta de recursos económicos. </w:t>
      </w:r>
    </w:p>
    <w:p w14:paraId="3D6B5E82" w14:textId="456ADB91" w:rsidR="00563A5F" w:rsidRPr="00E37F01" w:rsidRDefault="00563A5F" w:rsidP="00563A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E37F01">
        <w:rPr>
          <w:rFonts w:ascii="Cambria" w:hAnsi="Cambria"/>
          <w:i/>
          <w:iCs/>
          <w:sz w:val="20"/>
          <w:szCs w:val="20"/>
          <w:lang w:val="es-AR"/>
        </w:rPr>
        <w:t>Alegatos del Estado</w:t>
      </w:r>
      <w:r w:rsidR="009B700F" w:rsidRPr="00E37F01">
        <w:rPr>
          <w:rFonts w:ascii="Cambria" w:hAnsi="Cambria"/>
          <w:i/>
          <w:iCs/>
          <w:sz w:val="20"/>
          <w:szCs w:val="20"/>
          <w:lang w:val="es-AR"/>
        </w:rPr>
        <w:t xml:space="preserve"> salvadoreño</w:t>
      </w:r>
    </w:p>
    <w:p w14:paraId="5BD2D9AA" w14:textId="643DA9E0" w:rsidR="00563A5F" w:rsidRPr="00E37F01" w:rsidRDefault="00563A5F" w:rsidP="004B18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El Estado señala que la Sala de lo Constitucional de la Corte Suprema de Justicia conoció del proceso constitucional de </w:t>
      </w:r>
      <w:r w:rsidRPr="00E37F01">
        <w:rPr>
          <w:rFonts w:ascii="Cambria" w:hAnsi="Cambria"/>
          <w:i/>
          <w:iCs/>
          <w:sz w:val="20"/>
          <w:szCs w:val="20"/>
          <w:lang w:val="es-AR"/>
        </w:rPr>
        <w:t>hábeas corpus</w:t>
      </w:r>
      <w:r w:rsidRPr="00E37F01">
        <w:rPr>
          <w:rFonts w:ascii="Cambria" w:hAnsi="Cambria"/>
          <w:sz w:val="20"/>
          <w:szCs w:val="20"/>
          <w:lang w:val="es-AR"/>
        </w:rPr>
        <w:t xml:space="preserve"> y durante su tramitación ordenó la implementación de medidas de protección a favor de los familiares de Francisco Javier Hernández Gómez, Oscar Oswaldo Leiva Mejía y José Fernando Choto Choto.</w:t>
      </w:r>
      <w:r w:rsidR="004B18E7" w:rsidRPr="00E37F01">
        <w:rPr>
          <w:rFonts w:ascii="Cambria" w:hAnsi="Cambria"/>
          <w:sz w:val="20"/>
          <w:szCs w:val="20"/>
          <w:lang w:val="es-AR"/>
        </w:rPr>
        <w:t xml:space="preserve"> Así</w:t>
      </w:r>
      <w:r w:rsidRPr="00E37F01">
        <w:rPr>
          <w:rFonts w:ascii="Cambria" w:hAnsi="Cambria"/>
          <w:sz w:val="20"/>
          <w:szCs w:val="20"/>
          <w:lang w:val="es-AR"/>
        </w:rPr>
        <w:t xml:space="preserve">, el 9 de agosto de 2015 el Programa de Protección a Víctimas y Testigos, </w:t>
      </w:r>
      <w:r w:rsidR="00DC593D" w:rsidRPr="00E37F01">
        <w:rPr>
          <w:rFonts w:ascii="Cambria" w:hAnsi="Cambria"/>
          <w:sz w:val="20"/>
          <w:szCs w:val="20"/>
          <w:lang w:val="es-AR"/>
        </w:rPr>
        <w:t xml:space="preserve">le </w:t>
      </w:r>
      <w:r w:rsidRPr="00E37F01">
        <w:rPr>
          <w:rFonts w:ascii="Cambria" w:hAnsi="Cambria"/>
          <w:sz w:val="20"/>
          <w:szCs w:val="20"/>
          <w:lang w:val="es-AR"/>
        </w:rPr>
        <w:t xml:space="preserve">realizó </w:t>
      </w:r>
      <w:r w:rsidR="00DC593D" w:rsidRPr="00E37F01">
        <w:rPr>
          <w:rFonts w:ascii="Cambria" w:hAnsi="Cambria"/>
          <w:sz w:val="20"/>
          <w:szCs w:val="20"/>
          <w:lang w:val="es-AR"/>
        </w:rPr>
        <w:t xml:space="preserve">la </w:t>
      </w:r>
      <w:r w:rsidRPr="00E37F01">
        <w:rPr>
          <w:rFonts w:ascii="Cambria" w:hAnsi="Cambria"/>
          <w:sz w:val="20"/>
          <w:szCs w:val="20"/>
          <w:lang w:val="es-AR"/>
        </w:rPr>
        <w:t>evaluación de riesgo a cada uno de los beneficiarios de las medidas de protección y ofreció instalar seguridad personal a los beneficiarios, lo que est</w:t>
      </w:r>
      <w:r w:rsidR="000960E6" w:rsidRPr="00E37F01">
        <w:rPr>
          <w:rFonts w:ascii="Cambria" w:hAnsi="Cambria"/>
          <w:sz w:val="20"/>
          <w:szCs w:val="20"/>
          <w:lang w:val="es-AR"/>
        </w:rPr>
        <w:t>o</w:t>
      </w:r>
      <w:r w:rsidRPr="00E37F01">
        <w:rPr>
          <w:rFonts w:ascii="Cambria" w:hAnsi="Cambria"/>
          <w:sz w:val="20"/>
          <w:szCs w:val="20"/>
          <w:lang w:val="es-AR"/>
        </w:rPr>
        <w:t>s rechazaron por considerar que dicha medida llamaría la atención sobre sus personas</w:t>
      </w:r>
      <w:r w:rsidR="00AC0007" w:rsidRPr="00E37F01">
        <w:rPr>
          <w:rFonts w:ascii="Cambria" w:hAnsi="Cambria"/>
          <w:sz w:val="20"/>
          <w:szCs w:val="20"/>
          <w:lang w:val="es-AR"/>
        </w:rPr>
        <w:t>;</w:t>
      </w:r>
      <w:r w:rsidRPr="00E37F01">
        <w:rPr>
          <w:rFonts w:ascii="Cambria" w:hAnsi="Cambria"/>
          <w:sz w:val="20"/>
          <w:szCs w:val="20"/>
          <w:lang w:val="es-AR"/>
        </w:rPr>
        <w:t xml:space="preserve"> tendría un carácter temporal</w:t>
      </w:r>
      <w:r w:rsidR="00AC0007" w:rsidRPr="00E37F01">
        <w:rPr>
          <w:rFonts w:ascii="Cambria" w:hAnsi="Cambria"/>
          <w:sz w:val="20"/>
          <w:szCs w:val="20"/>
          <w:lang w:val="es-AR"/>
        </w:rPr>
        <w:t>;</w:t>
      </w:r>
      <w:r w:rsidRPr="00E37F01">
        <w:rPr>
          <w:rFonts w:ascii="Cambria" w:hAnsi="Cambria"/>
          <w:sz w:val="20"/>
          <w:szCs w:val="20"/>
          <w:lang w:val="es-AR"/>
        </w:rPr>
        <w:t xml:space="preserve"> y sería incómodo para el desarrollo de sus vidas. Tampoco aceptaron el ofrecimiento de</w:t>
      </w:r>
      <w:r w:rsidR="00AC0007" w:rsidRPr="00E37F01">
        <w:rPr>
          <w:rFonts w:ascii="Cambria" w:hAnsi="Cambria"/>
          <w:sz w:val="20"/>
          <w:szCs w:val="20"/>
          <w:lang w:val="es-AR"/>
        </w:rPr>
        <w:t xml:space="preserve"> un</w:t>
      </w:r>
      <w:r w:rsidRPr="00E37F01">
        <w:rPr>
          <w:rFonts w:ascii="Cambria" w:hAnsi="Cambria"/>
          <w:sz w:val="20"/>
          <w:szCs w:val="20"/>
          <w:lang w:val="es-AR"/>
        </w:rPr>
        <w:t xml:space="preserve"> </w:t>
      </w:r>
      <w:r w:rsidR="00AC0007" w:rsidRPr="00E37F01">
        <w:rPr>
          <w:rFonts w:ascii="Cambria" w:hAnsi="Cambria"/>
          <w:sz w:val="20"/>
          <w:szCs w:val="20"/>
          <w:lang w:val="es-AR"/>
        </w:rPr>
        <w:t>p</w:t>
      </w:r>
      <w:r w:rsidRPr="00E37F01">
        <w:rPr>
          <w:rFonts w:ascii="Cambria" w:hAnsi="Cambria"/>
          <w:sz w:val="20"/>
          <w:szCs w:val="20"/>
          <w:lang w:val="es-AR"/>
        </w:rPr>
        <w:t>rograma de albergue temporal en una casa de seguridad, alimentación diaria, artículos de higiene personal y atención médica.</w:t>
      </w:r>
    </w:p>
    <w:p w14:paraId="4D644ED6" w14:textId="4F239451" w:rsidR="00563A5F" w:rsidRPr="00E37F01" w:rsidRDefault="00563A5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No obstante, fueron otorgadas las siguientes medidas ordinarias de protección a su favor: </w:t>
      </w:r>
      <w:r w:rsidR="001A0479" w:rsidRPr="00E37F01">
        <w:rPr>
          <w:rFonts w:ascii="Cambria" w:hAnsi="Cambria"/>
          <w:sz w:val="20"/>
          <w:szCs w:val="20"/>
          <w:lang w:val="es-AR"/>
        </w:rPr>
        <w:t>p</w:t>
      </w:r>
      <w:r w:rsidRPr="00E37F01">
        <w:rPr>
          <w:rFonts w:ascii="Cambria" w:hAnsi="Cambria"/>
          <w:sz w:val="20"/>
          <w:szCs w:val="20"/>
          <w:lang w:val="es-AR"/>
        </w:rPr>
        <w:t>rotección en el traslado de la persona protegida hacia el tribunal y durante el tiempo que se encuentre</w:t>
      </w:r>
      <w:r w:rsidR="0008645E" w:rsidRPr="00E37F01">
        <w:rPr>
          <w:rFonts w:ascii="Cambria" w:hAnsi="Cambria"/>
          <w:sz w:val="20"/>
          <w:szCs w:val="20"/>
          <w:lang w:val="es-AR"/>
        </w:rPr>
        <w:t>n</w:t>
      </w:r>
      <w:r w:rsidRPr="00E37F01">
        <w:rPr>
          <w:rFonts w:ascii="Cambria" w:hAnsi="Cambria"/>
          <w:sz w:val="20"/>
          <w:szCs w:val="20"/>
          <w:lang w:val="es-AR"/>
        </w:rPr>
        <w:t xml:space="preserve"> allí, procurar ambientes no hostiles, y que se grabe su testimonio por medios audiovisuales</w:t>
      </w:r>
      <w:r w:rsidR="0008645E" w:rsidRPr="00E37F01">
        <w:rPr>
          <w:rFonts w:ascii="Cambria" w:hAnsi="Cambria"/>
          <w:sz w:val="20"/>
          <w:szCs w:val="20"/>
          <w:lang w:val="es-AR"/>
        </w:rPr>
        <w:t xml:space="preserve">; además de </w:t>
      </w:r>
      <w:r w:rsidRPr="00E37F01">
        <w:rPr>
          <w:rFonts w:ascii="Cambria" w:hAnsi="Cambria"/>
          <w:sz w:val="20"/>
          <w:szCs w:val="20"/>
          <w:lang w:val="es-AR"/>
        </w:rPr>
        <w:t xml:space="preserve">evitar que la persona protegida sea fotografiada para proteger su identidad, entre otras medidas de protección. Adicionalmente, en diciembre de 2015 </w:t>
      </w:r>
      <w:r w:rsidR="00AA3546" w:rsidRPr="00E37F01">
        <w:rPr>
          <w:rFonts w:ascii="Cambria" w:hAnsi="Cambria"/>
          <w:sz w:val="20"/>
          <w:szCs w:val="20"/>
          <w:lang w:val="es-AR"/>
        </w:rPr>
        <w:t>les</w:t>
      </w:r>
      <w:r w:rsidRPr="00E37F01">
        <w:rPr>
          <w:rFonts w:ascii="Cambria" w:hAnsi="Cambria"/>
          <w:sz w:val="20"/>
          <w:szCs w:val="20"/>
          <w:lang w:val="es-AR"/>
        </w:rPr>
        <w:t xml:space="preserve"> </w:t>
      </w:r>
      <w:r w:rsidR="0008645E" w:rsidRPr="00E37F01">
        <w:rPr>
          <w:rFonts w:ascii="Cambria" w:hAnsi="Cambria"/>
          <w:sz w:val="20"/>
          <w:szCs w:val="20"/>
          <w:lang w:val="es-AR"/>
        </w:rPr>
        <w:t>entregaron</w:t>
      </w:r>
      <w:r w:rsidRPr="00E37F01">
        <w:rPr>
          <w:rFonts w:ascii="Cambria" w:hAnsi="Cambria"/>
          <w:sz w:val="20"/>
          <w:szCs w:val="20"/>
          <w:lang w:val="es-AR"/>
        </w:rPr>
        <w:t xml:space="preserve"> canastas alimenticias básicas a </w:t>
      </w:r>
      <w:r w:rsidR="00F613DD" w:rsidRPr="00E37F01">
        <w:rPr>
          <w:rFonts w:ascii="Cambria" w:hAnsi="Cambria"/>
          <w:sz w:val="20"/>
          <w:szCs w:val="20"/>
          <w:lang w:val="es-AR"/>
        </w:rPr>
        <w:t>estas</w:t>
      </w:r>
      <w:r w:rsidRPr="00E37F01">
        <w:rPr>
          <w:rFonts w:ascii="Cambria" w:hAnsi="Cambria"/>
          <w:sz w:val="20"/>
          <w:szCs w:val="20"/>
          <w:lang w:val="es-AR"/>
        </w:rPr>
        <w:t xml:space="preserve"> familias</w:t>
      </w:r>
      <w:r w:rsidR="00F613DD" w:rsidRPr="00E37F01">
        <w:rPr>
          <w:rFonts w:ascii="Cambria" w:hAnsi="Cambria"/>
          <w:sz w:val="20"/>
          <w:szCs w:val="20"/>
          <w:lang w:val="es-AR"/>
        </w:rPr>
        <w:t>.</w:t>
      </w:r>
      <w:r w:rsidRPr="00E37F01">
        <w:rPr>
          <w:rFonts w:ascii="Cambria" w:hAnsi="Cambria"/>
          <w:sz w:val="20"/>
          <w:szCs w:val="20"/>
          <w:lang w:val="es-AR"/>
        </w:rPr>
        <w:t xml:space="preserve"> </w:t>
      </w:r>
    </w:p>
    <w:p w14:paraId="5F450D10" w14:textId="7D34DDF2" w:rsidR="00563A5F" w:rsidRPr="00E37F01" w:rsidRDefault="0000704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El </w:t>
      </w:r>
      <w:r w:rsidR="005A58B5" w:rsidRPr="00E37F01">
        <w:rPr>
          <w:rFonts w:ascii="Cambria" w:hAnsi="Cambria"/>
          <w:sz w:val="20"/>
          <w:szCs w:val="20"/>
          <w:lang w:val="es-AR"/>
        </w:rPr>
        <w:t>E</w:t>
      </w:r>
      <w:r w:rsidRPr="00E37F01">
        <w:rPr>
          <w:rFonts w:ascii="Cambria" w:hAnsi="Cambria"/>
          <w:sz w:val="20"/>
          <w:szCs w:val="20"/>
          <w:lang w:val="es-AR"/>
        </w:rPr>
        <w:t>stado indica que e</w:t>
      </w:r>
      <w:r w:rsidR="00563A5F" w:rsidRPr="00E37F01">
        <w:rPr>
          <w:rFonts w:ascii="Cambria" w:hAnsi="Cambria"/>
          <w:sz w:val="20"/>
          <w:szCs w:val="20"/>
          <w:lang w:val="es-AR"/>
        </w:rPr>
        <w:t xml:space="preserve">l 13 de enero de 2017, la Sala de lo Constitucional de la Corte Suprema de Justicia emitió </w:t>
      </w:r>
      <w:r w:rsidR="00F613DD" w:rsidRPr="00E37F01">
        <w:rPr>
          <w:rFonts w:ascii="Cambria" w:hAnsi="Cambria"/>
          <w:sz w:val="20"/>
          <w:szCs w:val="20"/>
          <w:lang w:val="es-AR"/>
        </w:rPr>
        <w:t xml:space="preserve">una </w:t>
      </w:r>
      <w:r w:rsidR="00563A5F" w:rsidRPr="00E37F01">
        <w:rPr>
          <w:rFonts w:ascii="Cambria" w:hAnsi="Cambria"/>
          <w:sz w:val="20"/>
          <w:szCs w:val="20"/>
          <w:lang w:val="es-AR"/>
        </w:rPr>
        <w:t xml:space="preserve">resolución en la que declaró ha lugar el </w:t>
      </w:r>
      <w:r w:rsidR="00563A5F" w:rsidRPr="00E37F01">
        <w:rPr>
          <w:rFonts w:ascii="Cambria" w:hAnsi="Cambria"/>
          <w:i/>
          <w:iCs/>
          <w:sz w:val="20"/>
          <w:szCs w:val="20"/>
          <w:lang w:val="es-AR"/>
        </w:rPr>
        <w:t>hábeas corpus</w:t>
      </w:r>
      <w:r w:rsidR="00563A5F" w:rsidRPr="00E37F01">
        <w:rPr>
          <w:rFonts w:ascii="Cambria" w:hAnsi="Cambria"/>
          <w:sz w:val="20"/>
          <w:szCs w:val="20"/>
          <w:lang w:val="es-AR"/>
        </w:rPr>
        <w:t xml:space="preserve"> solicitado a favor de Francisco Javier Hernández Gómez, Oscar Oswaldo Leiva Mejía y José Fernando Choto Choto por haberse establecido su desaparición</w:t>
      </w:r>
      <w:r w:rsidR="0008645E" w:rsidRPr="00E37F01">
        <w:rPr>
          <w:rFonts w:ascii="Cambria" w:hAnsi="Cambria"/>
          <w:sz w:val="20"/>
          <w:szCs w:val="20"/>
          <w:lang w:val="es-AR"/>
        </w:rPr>
        <w:t xml:space="preserve">, </w:t>
      </w:r>
      <w:r w:rsidR="00563A5F" w:rsidRPr="00E37F01">
        <w:rPr>
          <w:rFonts w:ascii="Cambria" w:hAnsi="Cambria"/>
          <w:sz w:val="20"/>
          <w:szCs w:val="20"/>
          <w:lang w:val="es-AR"/>
        </w:rPr>
        <w:t>ordenó al Ministerio de la Defensa Nacional y al Jefe del Estado Mayor Conjunto de la Fuerza Armada</w:t>
      </w:r>
      <w:r w:rsidR="0008645E" w:rsidRPr="00E37F01">
        <w:rPr>
          <w:rFonts w:ascii="Cambria" w:hAnsi="Cambria"/>
          <w:sz w:val="20"/>
          <w:szCs w:val="20"/>
          <w:lang w:val="es-AR"/>
        </w:rPr>
        <w:t xml:space="preserve"> </w:t>
      </w:r>
      <w:r w:rsidR="00563A5F" w:rsidRPr="00E37F01">
        <w:rPr>
          <w:rFonts w:ascii="Cambria" w:hAnsi="Cambria"/>
          <w:sz w:val="20"/>
          <w:szCs w:val="20"/>
          <w:lang w:val="es-AR"/>
        </w:rPr>
        <w:t>realizar una nueva investigación sobre los hechos</w:t>
      </w:r>
      <w:r w:rsidR="0008645E" w:rsidRPr="00E37F01">
        <w:rPr>
          <w:rFonts w:ascii="Cambria" w:hAnsi="Cambria"/>
          <w:sz w:val="20"/>
          <w:szCs w:val="20"/>
          <w:lang w:val="es-AR"/>
        </w:rPr>
        <w:t>;</w:t>
      </w:r>
      <w:r w:rsidR="00563A5F" w:rsidRPr="00E37F01">
        <w:rPr>
          <w:rFonts w:ascii="Cambria" w:hAnsi="Cambria"/>
          <w:sz w:val="20"/>
          <w:szCs w:val="20"/>
          <w:lang w:val="es-AR"/>
        </w:rPr>
        <w:t xml:space="preserve"> así como la comunicación de los resultados a esa Sala y a la Fiscalía General de la República, a la cual ordenó continuar con la investigación de los hechos y determinar el paradero de los desaparecidos, conforme a sus competencias internas.</w:t>
      </w:r>
    </w:p>
    <w:p w14:paraId="7233519E" w14:textId="0371E95D" w:rsidR="00563A5F" w:rsidRPr="00E37F01" w:rsidRDefault="00563A5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Asimismo, en relación a la investigación </w:t>
      </w:r>
      <w:r w:rsidR="0008645E" w:rsidRPr="00E37F01">
        <w:rPr>
          <w:rFonts w:ascii="Cambria" w:hAnsi="Cambria"/>
          <w:sz w:val="20"/>
          <w:szCs w:val="20"/>
          <w:lang w:val="es-AR"/>
        </w:rPr>
        <w:t>sobre</w:t>
      </w:r>
      <w:r w:rsidRPr="00E37F01">
        <w:rPr>
          <w:rFonts w:ascii="Cambria" w:hAnsi="Cambria"/>
          <w:sz w:val="20"/>
          <w:szCs w:val="20"/>
          <w:lang w:val="es-AR"/>
        </w:rPr>
        <w:t xml:space="preserve"> los hechos, el Ministerio de la Defensa Nacional comunicó haber realizado una investigación administrativa respecto a los hechos atribuidos a los efectivos militares señalados como responsables de la desaparición de los jóvenes en cuestión, a quienes se les impuso una sanción disciplinaria; además, estos fueron puestos a disposición de la justicia ordinaria. El Ministerio de la Defensa Nacional también brindó respuesta a las diferentes solicitudes de información realizadas por la Procuraduría para la Defensa de los Derechos Humanos; por la Sala de lo Constitucional de la Corte Suprema de Justicia en el marco del proceso de </w:t>
      </w:r>
      <w:r w:rsidR="00B0143E" w:rsidRPr="00E37F01">
        <w:rPr>
          <w:rFonts w:ascii="Cambria" w:hAnsi="Cambria"/>
          <w:i/>
          <w:iCs/>
          <w:sz w:val="20"/>
          <w:szCs w:val="20"/>
          <w:lang w:val="es-AR"/>
        </w:rPr>
        <w:t>h</w:t>
      </w:r>
      <w:r w:rsidRPr="00E37F01">
        <w:rPr>
          <w:rFonts w:ascii="Cambria" w:hAnsi="Cambria"/>
          <w:i/>
          <w:iCs/>
          <w:sz w:val="20"/>
          <w:szCs w:val="20"/>
          <w:lang w:val="es-AR"/>
        </w:rPr>
        <w:t xml:space="preserve">ábeas </w:t>
      </w:r>
      <w:r w:rsidR="00B0143E" w:rsidRPr="00E37F01">
        <w:rPr>
          <w:rFonts w:ascii="Cambria" w:hAnsi="Cambria"/>
          <w:i/>
          <w:iCs/>
          <w:sz w:val="20"/>
          <w:szCs w:val="20"/>
          <w:lang w:val="es-AR"/>
        </w:rPr>
        <w:t>c</w:t>
      </w:r>
      <w:r w:rsidRPr="00E37F01">
        <w:rPr>
          <w:rFonts w:ascii="Cambria" w:hAnsi="Cambria"/>
          <w:i/>
          <w:iCs/>
          <w:sz w:val="20"/>
          <w:szCs w:val="20"/>
          <w:lang w:val="es-AR"/>
        </w:rPr>
        <w:t>orpus</w:t>
      </w:r>
      <w:r w:rsidRPr="00E37F01">
        <w:rPr>
          <w:rFonts w:ascii="Cambria" w:hAnsi="Cambria"/>
          <w:sz w:val="20"/>
          <w:szCs w:val="20"/>
          <w:lang w:val="es-AR"/>
        </w:rPr>
        <w:t>; y por la Fiscalía General de la República, en el marco de la investigación penal realizada al respecto.</w:t>
      </w:r>
    </w:p>
    <w:p w14:paraId="09C2F7CB" w14:textId="4B21DBBF" w:rsidR="00563A5F" w:rsidRPr="00E37F01" w:rsidRDefault="005A58B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El Estado </w:t>
      </w:r>
      <w:r w:rsidR="00B74B05" w:rsidRPr="00E37F01">
        <w:rPr>
          <w:rFonts w:ascii="Cambria" w:hAnsi="Cambria"/>
          <w:sz w:val="20"/>
          <w:szCs w:val="20"/>
          <w:lang w:val="es-AR"/>
        </w:rPr>
        <w:t>indica que</w:t>
      </w:r>
      <w:r w:rsidR="00563A5F" w:rsidRPr="00E37F01">
        <w:rPr>
          <w:rFonts w:ascii="Cambria" w:hAnsi="Cambria"/>
          <w:sz w:val="20"/>
          <w:szCs w:val="20"/>
          <w:lang w:val="es-AR"/>
        </w:rPr>
        <w:t xml:space="preserve"> la Fiscalía General de la República abrió el expediente por el delito de Desaparición Forzada de Persona y Privación de Libertad. Se realizaron diligencias con el auxilio de la Policía Nacional Civil para determinar el paradero de los desaparecidos, incluyendo entrevistas a familiares de las víctimas y testigos,  inspección del lugar de los hechos</w:t>
      </w:r>
      <w:r w:rsidR="00DB43F5" w:rsidRPr="00E37F01">
        <w:rPr>
          <w:rFonts w:ascii="Cambria" w:hAnsi="Cambria"/>
          <w:sz w:val="20"/>
          <w:szCs w:val="20"/>
          <w:lang w:val="es-AR"/>
        </w:rPr>
        <w:t xml:space="preserve">, </w:t>
      </w:r>
      <w:r w:rsidR="00563A5F" w:rsidRPr="00E37F01">
        <w:rPr>
          <w:rFonts w:ascii="Cambria" w:hAnsi="Cambria"/>
          <w:sz w:val="20"/>
          <w:szCs w:val="20"/>
          <w:lang w:val="es-AR"/>
        </w:rPr>
        <w:t xml:space="preserve">elaboración de croquis de ubicación, formulación de álbum fotográfico del lugar recorrido por las víctimas, reconocimiento mediante fotografía de los sospechosos, </w:t>
      </w:r>
      <w:r w:rsidR="00563A5F" w:rsidRPr="00E37F01">
        <w:rPr>
          <w:rFonts w:ascii="Cambria" w:hAnsi="Cambria"/>
          <w:sz w:val="20"/>
          <w:szCs w:val="20"/>
          <w:lang w:val="es-AR"/>
        </w:rPr>
        <w:lastRenderedPageBreak/>
        <w:t>levantamiento de actas de pesquisas, inspección</w:t>
      </w:r>
      <w:r w:rsidR="00DB43F5" w:rsidRPr="00E37F01">
        <w:rPr>
          <w:rFonts w:ascii="Cambria" w:hAnsi="Cambria"/>
          <w:sz w:val="20"/>
          <w:szCs w:val="20"/>
          <w:lang w:val="es-AR"/>
        </w:rPr>
        <w:t xml:space="preserve">, </w:t>
      </w:r>
      <w:r w:rsidR="00563A5F" w:rsidRPr="00E37F01">
        <w:rPr>
          <w:rFonts w:ascii="Cambria" w:hAnsi="Cambria"/>
          <w:sz w:val="20"/>
          <w:szCs w:val="20"/>
          <w:lang w:val="es-AR"/>
        </w:rPr>
        <w:t xml:space="preserve">búsqueda de las víctimas con base en información y sitios señalados por testigos, así como el levantamiento de acta de recorrido GPS, lo que sirvió para sustentar la acusación penal en contra de los efectivos militares señalados como responsables. Adicionalmente, en julio de 2019, la Fiscalía General de la República creó la “Unidad Especializada para Casos de Personas Desaparecidas”, encargada de investigar las desapariciones </w:t>
      </w:r>
      <w:r w:rsidR="00DB43F5" w:rsidRPr="00E37F01">
        <w:rPr>
          <w:rFonts w:ascii="Cambria" w:hAnsi="Cambria"/>
          <w:sz w:val="20"/>
          <w:szCs w:val="20"/>
          <w:lang w:val="es-AR"/>
        </w:rPr>
        <w:t xml:space="preserve">de personas. </w:t>
      </w:r>
    </w:p>
    <w:p w14:paraId="60D9FF52" w14:textId="2645AC4A" w:rsidR="00563A5F" w:rsidRPr="00E37F01" w:rsidRDefault="00563A5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La Procuraduría para la Defensa de los Derechos Humanos, en ejercicio de sus facultades constitucionales, realizó</w:t>
      </w:r>
      <w:r w:rsidR="00DB43F5" w:rsidRPr="00E37F01">
        <w:rPr>
          <w:rFonts w:ascii="Cambria" w:hAnsi="Cambria"/>
          <w:sz w:val="20"/>
          <w:szCs w:val="20"/>
          <w:lang w:val="es-AR"/>
        </w:rPr>
        <w:t xml:space="preserve"> una</w:t>
      </w:r>
      <w:r w:rsidRPr="00E37F01">
        <w:rPr>
          <w:rFonts w:ascii="Cambria" w:hAnsi="Cambria"/>
          <w:sz w:val="20"/>
          <w:szCs w:val="20"/>
          <w:lang w:val="es-AR"/>
        </w:rPr>
        <w:t xml:space="preserve"> investigación sobre los hechos, y dictó medidas cautelares a favor de los familiares de los desaparecidos, orientadas a cesar el acoso, persecución y amenazas en contra de los beneficiarios de dichas medidas.</w:t>
      </w:r>
    </w:p>
    <w:p w14:paraId="02B43C5E" w14:textId="678998B1" w:rsidR="00563A5F" w:rsidRPr="00E37F01" w:rsidRDefault="005A58B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El Estado indica que </w:t>
      </w:r>
      <w:r w:rsidR="00563A5F" w:rsidRPr="00E37F01">
        <w:rPr>
          <w:rFonts w:ascii="Cambria" w:hAnsi="Cambria"/>
          <w:sz w:val="20"/>
          <w:szCs w:val="20"/>
          <w:lang w:val="es-AR"/>
        </w:rPr>
        <w:t xml:space="preserve">el 23 de julio de 2015 la Procuraduría para la Defensa de los Derechos Humanos emitió </w:t>
      </w:r>
      <w:r w:rsidR="00627816" w:rsidRPr="00E37F01">
        <w:rPr>
          <w:rFonts w:ascii="Cambria" w:hAnsi="Cambria"/>
          <w:sz w:val="20"/>
          <w:szCs w:val="20"/>
          <w:lang w:val="es-AR"/>
        </w:rPr>
        <w:t xml:space="preserve">una </w:t>
      </w:r>
      <w:r w:rsidR="00563A5F" w:rsidRPr="00E37F01">
        <w:rPr>
          <w:rFonts w:ascii="Cambria" w:hAnsi="Cambria"/>
          <w:sz w:val="20"/>
          <w:szCs w:val="20"/>
          <w:lang w:val="es-AR"/>
        </w:rPr>
        <w:t>resolución en la que determinó la existencia de un procedimiento arbitrario implementado por los efectivos militares señalados</w:t>
      </w:r>
      <w:r w:rsidR="00DB43F5" w:rsidRPr="00E37F01">
        <w:rPr>
          <w:rFonts w:ascii="Cambria" w:hAnsi="Cambria"/>
          <w:sz w:val="20"/>
          <w:szCs w:val="20"/>
          <w:lang w:val="es-AR"/>
        </w:rPr>
        <w:t>,</w:t>
      </w:r>
      <w:r w:rsidR="00563A5F" w:rsidRPr="00E37F01">
        <w:rPr>
          <w:rFonts w:ascii="Cambria" w:hAnsi="Cambria"/>
          <w:sz w:val="20"/>
          <w:szCs w:val="20"/>
          <w:lang w:val="es-AR"/>
        </w:rPr>
        <w:t xml:space="preserve"> y estableció la violación de los derechos humanos a la vida, a la libertad personal y a la integridad, por la desaparición forzada de Francisco Javier Hernández Gómez, Oscar Oswaldo Leiva Mejía y José Fernando Choto Choto; asimismo, declaró que los hechos constituían violación al derecho a la integridad de sus familiares, en razón del profundo sufrimiento ocasionado por las desapariciones.</w:t>
      </w:r>
    </w:p>
    <w:p w14:paraId="405170C3" w14:textId="22C6AB8B" w:rsidR="00563A5F" w:rsidRPr="00E37F01" w:rsidRDefault="00563A5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En relación al proceso penal, el Estado coincide con los peticionarios en relación a las instancias judiciales intentadas. El Estado indica que hubo una primera sentencia absolutoria de los imputados, y también que la Cámara confirmó dicha decisión. No obstante, de acuerdo a lo comunicado por la Corte Suprema de Justicia, el Tribunal de Sentencia de Sonsonate emitió una nueva sentencia el 21 de diciembre de 2018, en la que declaró responsables penalmente a los imputados por el delito de desaparición forzada de personas, previsto y sancionado en el artículo 364 del Código Penal, imponiéndole a</w:t>
      </w:r>
      <w:r w:rsidR="005A58B5" w:rsidRPr="00E37F01">
        <w:rPr>
          <w:rFonts w:ascii="Cambria" w:hAnsi="Cambria"/>
          <w:sz w:val="20"/>
          <w:szCs w:val="20"/>
          <w:lang w:val="es-AR"/>
        </w:rPr>
        <w:t xml:space="preserve"> SMCR</w:t>
      </w:r>
      <w:r w:rsidRPr="00E37F01">
        <w:rPr>
          <w:rFonts w:ascii="Cambria" w:hAnsi="Cambria"/>
          <w:sz w:val="20"/>
          <w:szCs w:val="20"/>
          <w:lang w:val="es-AR"/>
        </w:rPr>
        <w:t>, en su calidad de autor directo, una pena de ocho años con cuatro meses de prisión, mientras que al resto de los imputados, en su calidad de cómplices necesarios, una pena de cuatro años con cuatro meses de pr</w:t>
      </w:r>
      <w:r w:rsidR="00DB43F5" w:rsidRPr="00E37F01">
        <w:rPr>
          <w:rFonts w:ascii="Cambria" w:hAnsi="Cambria"/>
          <w:sz w:val="20"/>
          <w:szCs w:val="20"/>
          <w:lang w:val="es-AR"/>
        </w:rPr>
        <w:t>i</w:t>
      </w:r>
      <w:r w:rsidRPr="00E37F01">
        <w:rPr>
          <w:rFonts w:ascii="Cambria" w:hAnsi="Cambria"/>
          <w:sz w:val="20"/>
          <w:szCs w:val="20"/>
          <w:lang w:val="es-AR"/>
        </w:rPr>
        <w:t>sión.</w:t>
      </w:r>
    </w:p>
    <w:p w14:paraId="45782ED0" w14:textId="3D2A1ED2" w:rsidR="00563A5F" w:rsidRPr="00E37F01" w:rsidRDefault="00AD06C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Tanto la defensa particular de los imputados, como los representantes legales de las víctimas, han interpuesto recurso</w:t>
      </w:r>
      <w:r w:rsidR="00BA2875" w:rsidRPr="00E37F01">
        <w:rPr>
          <w:rFonts w:ascii="Cambria" w:hAnsi="Cambria"/>
          <w:sz w:val="20"/>
          <w:szCs w:val="20"/>
          <w:lang w:val="es-AR"/>
        </w:rPr>
        <w:t>s</w:t>
      </w:r>
      <w:r w:rsidRPr="00E37F01">
        <w:rPr>
          <w:rFonts w:ascii="Cambria" w:hAnsi="Cambria"/>
          <w:sz w:val="20"/>
          <w:szCs w:val="20"/>
          <w:lang w:val="es-AR"/>
        </w:rPr>
        <w:t xml:space="preserve"> de apelación en contra de la sentencia apuntada, la que a la fecha del presente informe se encuentra en trámite de emplazamiento recíproco entre las partes técnicas, para su remisión a la Cámara de la Segunda Sección de Occidente</w:t>
      </w:r>
      <w:r w:rsidR="00DB43F5" w:rsidRPr="00E37F01">
        <w:rPr>
          <w:rFonts w:ascii="Cambria" w:hAnsi="Cambria"/>
          <w:sz w:val="20"/>
          <w:szCs w:val="20"/>
          <w:lang w:val="es-AR"/>
        </w:rPr>
        <w:t>.</w:t>
      </w:r>
    </w:p>
    <w:p w14:paraId="7B873082" w14:textId="2A517D05" w:rsidR="00AD06C1" w:rsidRPr="00E37F01" w:rsidRDefault="00AD06C1" w:rsidP="00005C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Asimismo, el Estado </w:t>
      </w:r>
      <w:r w:rsidR="00F83615" w:rsidRPr="00E37F01">
        <w:rPr>
          <w:rFonts w:ascii="Cambria" w:hAnsi="Cambria"/>
          <w:sz w:val="20"/>
          <w:szCs w:val="20"/>
          <w:lang w:val="es-AR"/>
        </w:rPr>
        <w:t>alega</w:t>
      </w:r>
      <w:r w:rsidRPr="00E37F01">
        <w:rPr>
          <w:rFonts w:ascii="Cambria" w:hAnsi="Cambria"/>
          <w:sz w:val="20"/>
          <w:szCs w:val="20"/>
          <w:lang w:val="es-AR"/>
        </w:rPr>
        <w:t xml:space="preserve"> que la presente petición fue presentada ante la Comisión Interamericana de Derechos Humanos el 30 de junio de 2017, fecha en la que aún se encontraba pendiente de resolución final los recursos de alzada presentados en contra de la resolución que absolvió de responsabilidad penal a los efectivos militares señalados como responsables de los hechos alegados.</w:t>
      </w:r>
      <w:r w:rsidR="00005CFB" w:rsidRPr="00E37F01">
        <w:rPr>
          <w:rFonts w:ascii="Cambria" w:hAnsi="Cambria"/>
          <w:sz w:val="20"/>
          <w:szCs w:val="20"/>
          <w:lang w:val="es-AR"/>
        </w:rPr>
        <w:t xml:space="preserve"> Asimismo</w:t>
      </w:r>
      <w:r w:rsidRPr="00E37F01">
        <w:rPr>
          <w:rFonts w:ascii="Cambria" w:hAnsi="Cambria"/>
          <w:sz w:val="20"/>
          <w:szCs w:val="20"/>
          <w:lang w:val="es-AR"/>
        </w:rPr>
        <w:t>, se encuentran pendientes de resolución las apelaciones presentadas en contra de la sentencia del Tribunal de Sentencia de Sonsonate del 21 de diciembre de 2018, por la cual se condenó a los efectivos militares imputados a las penas de prisión, por el delito de desaparición forzada de personas en perjuicio de Francisco Javier Hernández Gómez, Oscar Oswaldo Leiva Mejía y José Fernando Choto Choto.</w:t>
      </w:r>
    </w:p>
    <w:p w14:paraId="29DD43C5" w14:textId="5C758EBA" w:rsidR="00AD06C1" w:rsidRPr="00E37F01" w:rsidRDefault="00AD06C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37F01">
        <w:rPr>
          <w:rFonts w:ascii="Cambria" w:hAnsi="Cambria"/>
          <w:sz w:val="20"/>
          <w:szCs w:val="20"/>
          <w:lang w:val="es-AR"/>
        </w:rPr>
        <w:t xml:space="preserve">En razón de lo anterior, </w:t>
      </w:r>
      <w:r w:rsidR="00005CFB" w:rsidRPr="00E37F01">
        <w:rPr>
          <w:rFonts w:ascii="Cambria" w:hAnsi="Cambria"/>
          <w:sz w:val="20"/>
          <w:szCs w:val="20"/>
          <w:lang w:val="es-AR"/>
        </w:rPr>
        <w:t>El Salvador aduce que</w:t>
      </w:r>
      <w:r w:rsidRPr="00E37F01">
        <w:rPr>
          <w:rFonts w:ascii="Cambria" w:hAnsi="Cambria"/>
          <w:sz w:val="20"/>
          <w:szCs w:val="20"/>
          <w:lang w:val="es-AR"/>
        </w:rPr>
        <w:t xml:space="preserve"> la fecha de la presentación de esta petición no se había cumplido con el requisito de agotamiento de los recursos internos, previsto en los artículos 46</w:t>
      </w:r>
      <w:r w:rsidR="001A6C84" w:rsidRPr="00E37F01">
        <w:rPr>
          <w:rFonts w:ascii="Cambria" w:hAnsi="Cambria"/>
          <w:sz w:val="20"/>
          <w:szCs w:val="20"/>
          <w:lang w:val="es-AR"/>
        </w:rPr>
        <w:t>.1.</w:t>
      </w:r>
      <w:r w:rsidRPr="00E37F01">
        <w:rPr>
          <w:rFonts w:ascii="Cambria" w:hAnsi="Cambria"/>
          <w:sz w:val="20"/>
          <w:szCs w:val="20"/>
          <w:lang w:val="es-AR"/>
        </w:rPr>
        <w:t>a) de la Convención Americana y 31.1 del Reglamento de esa Comisión</w:t>
      </w:r>
      <w:r w:rsidR="001A6C84" w:rsidRPr="00E37F01">
        <w:rPr>
          <w:rFonts w:ascii="Cambria" w:hAnsi="Cambria"/>
          <w:sz w:val="20"/>
          <w:szCs w:val="20"/>
          <w:lang w:val="es-AR"/>
        </w:rPr>
        <w:t xml:space="preserve">. </w:t>
      </w:r>
    </w:p>
    <w:p w14:paraId="6F4D4171" w14:textId="61F41104" w:rsidR="003239B8" w:rsidRPr="00E37F01" w:rsidRDefault="003239B8" w:rsidP="003239B8">
      <w:pPr>
        <w:spacing w:before="240" w:after="240"/>
        <w:ind w:firstLine="720"/>
        <w:jc w:val="both"/>
        <w:rPr>
          <w:rFonts w:ascii="Cambria" w:hAnsi="Cambria"/>
          <w:sz w:val="20"/>
          <w:szCs w:val="20"/>
          <w:lang w:val="es-UY"/>
        </w:rPr>
      </w:pPr>
      <w:r w:rsidRPr="00E37F01">
        <w:rPr>
          <w:rFonts w:asciiTheme="majorHAnsi" w:eastAsia="Cambria" w:hAnsiTheme="majorHAnsi" w:cs="Cambria"/>
          <w:b/>
          <w:bCs/>
          <w:color w:val="000000"/>
          <w:sz w:val="20"/>
          <w:szCs w:val="20"/>
          <w:u w:color="000000"/>
          <w:lang w:val="es-ES" w:eastAsia="es-ES"/>
        </w:rPr>
        <w:t>VI.</w:t>
      </w:r>
      <w:r w:rsidRPr="00E37F01">
        <w:rPr>
          <w:rFonts w:asciiTheme="majorHAnsi" w:eastAsia="Cambria" w:hAnsiTheme="majorHAnsi" w:cs="Cambria"/>
          <w:b/>
          <w:bCs/>
          <w:color w:val="000000"/>
          <w:sz w:val="20"/>
          <w:szCs w:val="20"/>
          <w:u w:color="000000"/>
          <w:lang w:val="es-ES" w:eastAsia="es-ES"/>
        </w:rPr>
        <w:tab/>
      </w:r>
      <w:r w:rsidR="004A6A54" w:rsidRPr="00E37F01">
        <w:rPr>
          <w:rFonts w:asciiTheme="majorHAnsi" w:hAnsiTheme="majorHAnsi"/>
          <w:b/>
          <w:bCs/>
          <w:sz w:val="20"/>
          <w:szCs w:val="20"/>
          <w:lang w:val="es-ES_tradnl"/>
        </w:rPr>
        <w:t xml:space="preserve">ANÁLISIS DE </w:t>
      </w:r>
      <w:r w:rsidR="00C21FEF" w:rsidRPr="00E37F01">
        <w:rPr>
          <w:rFonts w:asciiTheme="majorHAnsi" w:hAnsiTheme="majorHAnsi"/>
          <w:b/>
          <w:sz w:val="20"/>
          <w:szCs w:val="20"/>
          <w:lang w:val="es-ES"/>
        </w:rPr>
        <w:t>AGOTAMIENTO DE LOS RECURSOS INTERNOS Y PLAZO DE PRESENTACIÓN</w:t>
      </w:r>
      <w:r w:rsidR="00C21FEF" w:rsidRPr="00E37F01">
        <w:rPr>
          <w:rFonts w:asciiTheme="majorHAnsi" w:eastAsia="Cambria" w:hAnsiTheme="majorHAnsi" w:cs="Cambria"/>
          <w:b/>
          <w:bCs/>
          <w:color w:val="000000"/>
          <w:sz w:val="20"/>
          <w:szCs w:val="20"/>
          <w:u w:color="000000"/>
          <w:lang w:val="es-ES" w:eastAsia="es-ES"/>
        </w:rPr>
        <w:t xml:space="preserve"> </w:t>
      </w:r>
    </w:p>
    <w:p w14:paraId="34F0C5E9" w14:textId="0194D007" w:rsidR="008B6987" w:rsidRPr="00E37F01" w:rsidRDefault="008B6987" w:rsidP="008B6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UY"/>
        </w:rPr>
        <w:t>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E37F01">
        <w:rPr>
          <w:rStyle w:val="FootnoteReference"/>
          <w:rFonts w:ascii="Cambria" w:hAnsi="Cambria"/>
          <w:sz w:val="20"/>
          <w:szCs w:val="20"/>
          <w:lang w:val="es-UY"/>
        </w:rPr>
        <w:footnoteReference w:id="8"/>
      </w:r>
      <w:r w:rsidRPr="00E37F01">
        <w:rPr>
          <w:rFonts w:ascii="Cambria" w:hAnsi="Cambria"/>
          <w:sz w:val="20"/>
          <w:szCs w:val="20"/>
          <w:lang w:val="es-UY"/>
        </w:rPr>
        <w:t xml:space="preserve">. En este sentido, </w:t>
      </w:r>
      <w:r w:rsidRPr="00E37F01">
        <w:rPr>
          <w:rFonts w:ascii="Cambria" w:hAnsi="Cambria"/>
          <w:sz w:val="20"/>
          <w:szCs w:val="20"/>
          <w:lang w:val="es-ES"/>
        </w:rPr>
        <w:t>la CIDH ha sido consistente en señalar que “</w:t>
      </w:r>
      <w:r w:rsidRPr="00E37F01">
        <w:rPr>
          <w:rFonts w:ascii="Cambria" w:hAnsi="Cambria"/>
          <w:i/>
          <w:iCs/>
          <w:sz w:val="20"/>
          <w:szCs w:val="20"/>
          <w:lang w:val="es-ES"/>
        </w:rPr>
        <w:t xml:space="preserve">la situación que debe tenerse en cuenta para establecer si se han agotado los recursos de la jurisdicción interna es aquella existente al decidir </w:t>
      </w:r>
      <w:r w:rsidRPr="00E37F01">
        <w:rPr>
          <w:rFonts w:ascii="Cambria" w:hAnsi="Cambria"/>
          <w:i/>
          <w:iCs/>
          <w:sz w:val="20"/>
          <w:szCs w:val="20"/>
          <w:lang w:val="es-ES"/>
        </w:rPr>
        <w:lastRenderedPageBreak/>
        <w:t>sobre la admisibilidad, puesto que el momento de la presentación de la denuncia y el del pronunciamiento sobre admisibilidad son distintos</w:t>
      </w:r>
      <w:r w:rsidRPr="00E37F01">
        <w:rPr>
          <w:rFonts w:ascii="Cambria" w:hAnsi="Cambria"/>
          <w:sz w:val="20"/>
          <w:szCs w:val="20"/>
          <w:lang w:val="es-ES"/>
        </w:rPr>
        <w:t>”</w:t>
      </w:r>
      <w:r w:rsidRPr="00E37F01">
        <w:rPr>
          <w:rStyle w:val="FootnoteReference"/>
          <w:rFonts w:ascii="Cambria" w:hAnsi="Cambria"/>
          <w:sz w:val="20"/>
          <w:szCs w:val="20"/>
          <w:lang w:val="es-MX"/>
        </w:rPr>
        <w:footnoteReference w:id="9"/>
      </w:r>
      <w:r w:rsidRPr="00E37F01">
        <w:rPr>
          <w:rFonts w:ascii="Cambria" w:hAnsi="Cambria"/>
          <w:sz w:val="20"/>
          <w:szCs w:val="20"/>
          <w:lang w:val="es-MX"/>
        </w:rPr>
        <w:t>.</w:t>
      </w:r>
    </w:p>
    <w:p w14:paraId="0CBDD9E3" w14:textId="1FB7D793" w:rsidR="00AD06C1" w:rsidRPr="00E37F01" w:rsidRDefault="00AD06C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iCs/>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los peticionarios son en lo fundamental: la </w:t>
      </w:r>
      <w:r w:rsidRPr="00E37F01">
        <w:rPr>
          <w:rFonts w:ascii="Cambria" w:hAnsi="Cambria"/>
          <w:sz w:val="20"/>
          <w:szCs w:val="20"/>
          <w:lang w:val="es-AR"/>
        </w:rPr>
        <w:t>desaparición forzada de Francisco Javier Hernández Gómez, Oscar Oswaldo Leiva Mejía y José Fernando Choto Choto, quienes fueron detenidos el 18 de febrero de 2014, por miembros de la</w:t>
      </w:r>
      <w:r w:rsidR="00B0143E" w:rsidRPr="00E37F01">
        <w:rPr>
          <w:rFonts w:ascii="Cambria" w:hAnsi="Cambria"/>
          <w:sz w:val="20"/>
          <w:szCs w:val="20"/>
          <w:lang w:val="es-AR"/>
        </w:rPr>
        <w:t xml:space="preserve">s </w:t>
      </w:r>
      <w:r w:rsidRPr="00E37F01">
        <w:rPr>
          <w:rFonts w:ascii="Cambria" w:hAnsi="Cambria"/>
          <w:sz w:val="20"/>
          <w:szCs w:val="20"/>
          <w:lang w:val="es-AR"/>
        </w:rPr>
        <w:t>Fuerza</w:t>
      </w:r>
      <w:r w:rsidR="00B0143E" w:rsidRPr="00E37F01">
        <w:rPr>
          <w:rFonts w:ascii="Cambria" w:hAnsi="Cambria"/>
          <w:sz w:val="20"/>
          <w:szCs w:val="20"/>
          <w:lang w:val="es-AR"/>
        </w:rPr>
        <w:t>s</w:t>
      </w:r>
      <w:r w:rsidRPr="00E37F01">
        <w:rPr>
          <w:rFonts w:ascii="Cambria" w:hAnsi="Cambria"/>
          <w:sz w:val="20"/>
          <w:szCs w:val="20"/>
          <w:lang w:val="es-AR"/>
        </w:rPr>
        <w:t xml:space="preserve"> Armada</w:t>
      </w:r>
      <w:r w:rsidR="00B0143E" w:rsidRPr="00E37F01">
        <w:rPr>
          <w:rFonts w:ascii="Cambria" w:hAnsi="Cambria"/>
          <w:sz w:val="20"/>
          <w:szCs w:val="20"/>
          <w:lang w:val="es-AR"/>
        </w:rPr>
        <w:t>s</w:t>
      </w:r>
      <w:r w:rsidRPr="00E37F01">
        <w:rPr>
          <w:rFonts w:ascii="Cambria" w:hAnsi="Cambria"/>
          <w:sz w:val="20"/>
          <w:szCs w:val="20"/>
          <w:lang w:val="es-AR"/>
        </w:rPr>
        <w:t xml:space="preserve">, sin que posteriormente se tuviese conocimiento sobre su paradero; y que los familiares de dichos jóvenes fueron amenazados y hostigados por parte de </w:t>
      </w:r>
      <w:r w:rsidR="00B0143E" w:rsidRPr="00E37F01">
        <w:rPr>
          <w:rFonts w:ascii="Cambria" w:hAnsi="Cambria"/>
          <w:sz w:val="20"/>
          <w:szCs w:val="20"/>
          <w:lang w:val="es-AR"/>
        </w:rPr>
        <w:t xml:space="preserve">agentes estatales. </w:t>
      </w:r>
    </w:p>
    <w:p w14:paraId="67A3566C" w14:textId="22DA8459" w:rsidR="00AD06C1" w:rsidRPr="00E37F01" w:rsidRDefault="00C57AD2" w:rsidP="00C57A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AR"/>
        </w:rPr>
        <w:t>E</w:t>
      </w:r>
      <w:r w:rsidR="00CD2D9D" w:rsidRPr="00E37F01">
        <w:rPr>
          <w:rFonts w:ascii="Cambria" w:hAnsi="Cambria"/>
          <w:sz w:val="20"/>
          <w:szCs w:val="20"/>
          <w:lang w:val="es-AR"/>
        </w:rPr>
        <w:t>l</w:t>
      </w:r>
      <w:r w:rsidR="003A69DB" w:rsidRPr="00E37F01">
        <w:rPr>
          <w:rFonts w:ascii="Cambria" w:hAnsi="Cambria"/>
          <w:sz w:val="20"/>
          <w:szCs w:val="20"/>
          <w:lang w:val="es-AR"/>
        </w:rPr>
        <w:t xml:space="preserve"> proceso penal </w:t>
      </w:r>
      <w:r w:rsidR="00365F1E" w:rsidRPr="00E37F01">
        <w:rPr>
          <w:rFonts w:ascii="Cambria" w:hAnsi="Cambria"/>
          <w:sz w:val="20"/>
          <w:szCs w:val="20"/>
          <w:lang w:val="es-AR"/>
        </w:rPr>
        <w:t>por</w:t>
      </w:r>
      <w:r w:rsidR="00CD2D9D" w:rsidRPr="00E37F01">
        <w:rPr>
          <w:rFonts w:ascii="Cambria" w:hAnsi="Cambria"/>
          <w:sz w:val="20"/>
          <w:szCs w:val="20"/>
          <w:lang w:val="es-AR"/>
        </w:rPr>
        <w:t xml:space="preserve"> </w:t>
      </w:r>
      <w:r w:rsidR="003A69DB" w:rsidRPr="00E37F01">
        <w:rPr>
          <w:rFonts w:ascii="Cambria" w:hAnsi="Cambria"/>
          <w:sz w:val="20"/>
          <w:szCs w:val="20"/>
          <w:lang w:val="es-AR"/>
        </w:rPr>
        <w:t xml:space="preserve">desaparición </w:t>
      </w:r>
      <w:r w:rsidR="00564D39" w:rsidRPr="00E37F01">
        <w:rPr>
          <w:rFonts w:ascii="Cambria" w:hAnsi="Cambria"/>
          <w:sz w:val="20"/>
          <w:szCs w:val="20"/>
          <w:lang w:val="es-AR"/>
        </w:rPr>
        <w:t>forzada</w:t>
      </w:r>
      <w:r w:rsidR="00CD2D9D" w:rsidRPr="00E37F01">
        <w:rPr>
          <w:rFonts w:ascii="Cambria" w:hAnsi="Cambria"/>
          <w:sz w:val="20"/>
          <w:szCs w:val="20"/>
          <w:lang w:val="es-AR"/>
        </w:rPr>
        <w:t xml:space="preserve"> </w:t>
      </w:r>
      <w:r w:rsidR="00317688" w:rsidRPr="00E37F01">
        <w:rPr>
          <w:rFonts w:ascii="Cambria" w:hAnsi="Cambria"/>
          <w:sz w:val="20"/>
          <w:szCs w:val="20"/>
          <w:lang w:val="es-AR"/>
        </w:rPr>
        <w:t xml:space="preserve">comenzó </w:t>
      </w:r>
      <w:r w:rsidRPr="00E37F01">
        <w:rPr>
          <w:rFonts w:ascii="Cambria" w:hAnsi="Cambria"/>
          <w:sz w:val="20"/>
          <w:szCs w:val="20"/>
          <w:lang w:val="es-AR"/>
        </w:rPr>
        <w:t>en primera instancia</w:t>
      </w:r>
      <w:r w:rsidR="00317688" w:rsidRPr="00E37F01">
        <w:rPr>
          <w:rFonts w:ascii="Cambria" w:hAnsi="Cambria"/>
          <w:sz w:val="20"/>
          <w:szCs w:val="20"/>
          <w:lang w:val="es-AR"/>
        </w:rPr>
        <w:t xml:space="preserve"> </w:t>
      </w:r>
      <w:r w:rsidRPr="00E37F01">
        <w:rPr>
          <w:rFonts w:ascii="Cambria" w:hAnsi="Cambria"/>
          <w:sz w:val="20"/>
          <w:szCs w:val="20"/>
          <w:lang w:val="es-AR"/>
        </w:rPr>
        <w:t xml:space="preserve">con una sentencia absolutoria del </w:t>
      </w:r>
      <w:r w:rsidR="00AD06C1" w:rsidRPr="00E37F01">
        <w:rPr>
          <w:rFonts w:ascii="Cambria" w:hAnsi="Cambria"/>
          <w:sz w:val="20"/>
          <w:szCs w:val="20"/>
          <w:lang w:val="es-AR"/>
        </w:rPr>
        <w:t>Tribunal de Sentencia de Sonsonate a favor de los</w:t>
      </w:r>
      <w:r w:rsidRPr="00E37F01">
        <w:rPr>
          <w:rFonts w:ascii="Cambria" w:hAnsi="Cambria"/>
          <w:sz w:val="20"/>
          <w:szCs w:val="20"/>
          <w:lang w:val="es-AR"/>
        </w:rPr>
        <w:t xml:space="preserve"> militares</w:t>
      </w:r>
      <w:r w:rsidR="00AD06C1" w:rsidRPr="00E37F01">
        <w:rPr>
          <w:rFonts w:ascii="Cambria" w:hAnsi="Cambria"/>
          <w:sz w:val="20"/>
          <w:szCs w:val="20"/>
          <w:lang w:val="es-AR"/>
        </w:rPr>
        <w:t xml:space="preserve"> imputados, la cual fue recurrida en apelación</w:t>
      </w:r>
      <w:r w:rsidRPr="00E37F01">
        <w:rPr>
          <w:rFonts w:ascii="Cambria" w:hAnsi="Cambria"/>
          <w:sz w:val="20"/>
          <w:szCs w:val="20"/>
          <w:lang w:val="es-AR"/>
        </w:rPr>
        <w:t xml:space="preserve"> </w:t>
      </w:r>
      <w:r w:rsidR="00AD06C1" w:rsidRPr="00E37F01">
        <w:rPr>
          <w:rFonts w:ascii="Cambria" w:hAnsi="Cambria"/>
          <w:sz w:val="20"/>
          <w:szCs w:val="20"/>
          <w:lang w:val="es-AR"/>
        </w:rPr>
        <w:t>el 30 de noviembre de 2015, ante la Cámara de la Segunda Sección de Sonsonate, que confirmó la sentencia absolutoria señalada</w:t>
      </w:r>
      <w:r w:rsidRPr="00E37F01">
        <w:rPr>
          <w:rFonts w:ascii="Cambria" w:hAnsi="Cambria"/>
          <w:sz w:val="20"/>
          <w:szCs w:val="20"/>
          <w:lang w:val="es-AR"/>
        </w:rPr>
        <w:t>.</w:t>
      </w:r>
      <w:r w:rsidR="00AD06C1" w:rsidRPr="00E37F01">
        <w:rPr>
          <w:rFonts w:ascii="Cambria" w:hAnsi="Cambria"/>
          <w:sz w:val="20"/>
          <w:szCs w:val="20"/>
          <w:lang w:val="es-AR"/>
        </w:rPr>
        <w:t xml:space="preserve"> </w:t>
      </w:r>
      <w:r w:rsidR="00B0143E" w:rsidRPr="00E37F01">
        <w:rPr>
          <w:rFonts w:ascii="Cambria" w:hAnsi="Cambria"/>
          <w:sz w:val="20"/>
          <w:szCs w:val="20"/>
          <w:lang w:val="es-AR"/>
        </w:rPr>
        <w:t>Seguidamente,</w:t>
      </w:r>
      <w:r w:rsidR="00AD06C1" w:rsidRPr="00E37F01">
        <w:rPr>
          <w:rFonts w:ascii="Cambria" w:hAnsi="Cambria"/>
          <w:sz w:val="20"/>
          <w:szCs w:val="20"/>
          <w:lang w:val="es-AR"/>
        </w:rPr>
        <w:t xml:space="preserve"> </w:t>
      </w:r>
      <w:r w:rsidRPr="00E37F01">
        <w:rPr>
          <w:rFonts w:ascii="Cambria" w:hAnsi="Cambria"/>
          <w:sz w:val="20"/>
          <w:szCs w:val="20"/>
          <w:lang w:val="es-AR"/>
        </w:rPr>
        <w:t xml:space="preserve">se </w:t>
      </w:r>
      <w:r w:rsidR="00AD06C1" w:rsidRPr="00E37F01">
        <w:rPr>
          <w:rFonts w:ascii="Cambria" w:hAnsi="Cambria"/>
          <w:sz w:val="20"/>
          <w:szCs w:val="20"/>
          <w:lang w:val="es-AR"/>
        </w:rPr>
        <w:t xml:space="preserve">presentó </w:t>
      </w:r>
      <w:r w:rsidRPr="00E37F01">
        <w:rPr>
          <w:rFonts w:ascii="Cambria" w:hAnsi="Cambria"/>
          <w:sz w:val="20"/>
          <w:szCs w:val="20"/>
          <w:lang w:val="es-AR"/>
        </w:rPr>
        <w:t>un r</w:t>
      </w:r>
      <w:r w:rsidR="00AD06C1" w:rsidRPr="00E37F01">
        <w:rPr>
          <w:rFonts w:ascii="Cambria" w:hAnsi="Cambria"/>
          <w:sz w:val="20"/>
          <w:szCs w:val="20"/>
          <w:lang w:val="es-AR"/>
        </w:rPr>
        <w:t xml:space="preserve">ecurso de </w:t>
      </w:r>
      <w:r w:rsidRPr="00E37F01">
        <w:rPr>
          <w:rFonts w:ascii="Cambria" w:hAnsi="Cambria"/>
          <w:sz w:val="20"/>
          <w:szCs w:val="20"/>
          <w:lang w:val="es-AR"/>
        </w:rPr>
        <w:t>c</w:t>
      </w:r>
      <w:r w:rsidR="00AD06C1" w:rsidRPr="00E37F01">
        <w:rPr>
          <w:rFonts w:ascii="Cambria" w:hAnsi="Cambria"/>
          <w:sz w:val="20"/>
          <w:szCs w:val="20"/>
          <w:lang w:val="es-AR"/>
        </w:rPr>
        <w:t xml:space="preserve">asación </w:t>
      </w:r>
      <w:r w:rsidR="00B0143E" w:rsidRPr="00E37F01">
        <w:rPr>
          <w:rFonts w:ascii="Cambria" w:hAnsi="Cambria"/>
          <w:sz w:val="20"/>
          <w:szCs w:val="20"/>
          <w:lang w:val="es-AR"/>
        </w:rPr>
        <w:t>para ser resuelto por la</w:t>
      </w:r>
      <w:r w:rsidR="00AD06C1" w:rsidRPr="00E37F01">
        <w:rPr>
          <w:rFonts w:ascii="Cambria" w:hAnsi="Cambria"/>
          <w:sz w:val="20"/>
          <w:szCs w:val="20"/>
          <w:lang w:val="es-AR"/>
        </w:rPr>
        <w:t xml:space="preserve"> Sala de lo Penal de la Corte Suprema de Justicia</w:t>
      </w:r>
      <w:r w:rsidR="00B0143E" w:rsidRPr="00E37F01">
        <w:rPr>
          <w:rFonts w:ascii="Cambria" w:hAnsi="Cambria"/>
          <w:sz w:val="20"/>
          <w:szCs w:val="20"/>
          <w:lang w:val="es-AR"/>
        </w:rPr>
        <w:t xml:space="preserve">; </w:t>
      </w:r>
      <w:r w:rsidRPr="00E37F01">
        <w:rPr>
          <w:rFonts w:ascii="Cambria" w:hAnsi="Cambria"/>
          <w:sz w:val="20"/>
          <w:szCs w:val="20"/>
          <w:lang w:val="es-AR"/>
        </w:rPr>
        <w:t>la que declaró</w:t>
      </w:r>
      <w:r w:rsidR="00B0143E" w:rsidRPr="00E37F01">
        <w:rPr>
          <w:rFonts w:ascii="Cambria" w:hAnsi="Cambria"/>
          <w:sz w:val="20"/>
          <w:szCs w:val="20"/>
          <w:lang w:val="es-AR"/>
        </w:rPr>
        <w:t xml:space="preserve">, el 28 de octubre de 2016, </w:t>
      </w:r>
      <w:r w:rsidR="00AD06C1" w:rsidRPr="00E37F01">
        <w:rPr>
          <w:rFonts w:ascii="Cambria" w:hAnsi="Cambria"/>
          <w:sz w:val="20"/>
          <w:szCs w:val="20"/>
          <w:lang w:val="es-AR"/>
        </w:rPr>
        <w:t>ha lugar la casación de la sentencia absolutoria</w:t>
      </w:r>
      <w:r w:rsidR="00B0143E" w:rsidRPr="00E37F01">
        <w:rPr>
          <w:rFonts w:ascii="Cambria" w:hAnsi="Cambria"/>
          <w:sz w:val="20"/>
          <w:szCs w:val="20"/>
          <w:lang w:val="es-AR"/>
        </w:rPr>
        <w:t xml:space="preserve">, </w:t>
      </w:r>
      <w:r w:rsidR="00AD06C1" w:rsidRPr="00E37F01">
        <w:rPr>
          <w:rFonts w:ascii="Cambria" w:hAnsi="Cambria"/>
          <w:sz w:val="20"/>
          <w:szCs w:val="20"/>
          <w:lang w:val="es-AR"/>
        </w:rPr>
        <w:t xml:space="preserve">y ordenó a la Cámara de lo Penal de la Primera Sección de Occidente con sede en Santa Ana revisar las actuaciones realizadas. Tras la revisión efectuada, </w:t>
      </w:r>
      <w:r w:rsidR="00B0143E" w:rsidRPr="00E37F01">
        <w:rPr>
          <w:rFonts w:ascii="Cambria" w:hAnsi="Cambria"/>
          <w:sz w:val="20"/>
          <w:szCs w:val="20"/>
          <w:lang w:val="es-AR"/>
        </w:rPr>
        <w:t xml:space="preserve">dicha </w:t>
      </w:r>
      <w:r w:rsidR="00AD06C1" w:rsidRPr="00E37F01">
        <w:rPr>
          <w:rFonts w:ascii="Cambria" w:hAnsi="Cambria"/>
          <w:sz w:val="20"/>
          <w:szCs w:val="20"/>
          <w:lang w:val="es-AR"/>
        </w:rPr>
        <w:t xml:space="preserve">Cámara declaró nula la vista pública y ordenó </w:t>
      </w:r>
      <w:r w:rsidR="003A69DB" w:rsidRPr="00E37F01">
        <w:rPr>
          <w:rFonts w:ascii="Cambria" w:hAnsi="Cambria"/>
          <w:sz w:val="20"/>
          <w:szCs w:val="20"/>
          <w:lang w:val="es-AR"/>
        </w:rPr>
        <w:t>que</w:t>
      </w:r>
      <w:r w:rsidR="00AD06C1" w:rsidRPr="00E37F01">
        <w:rPr>
          <w:rFonts w:ascii="Cambria" w:hAnsi="Cambria"/>
          <w:sz w:val="20"/>
          <w:szCs w:val="20"/>
          <w:lang w:val="es-AR"/>
        </w:rPr>
        <w:t xml:space="preserve"> el Tribunal de Sentencia de Sonsonate</w:t>
      </w:r>
      <w:r w:rsidR="003A69DB" w:rsidRPr="00E37F01">
        <w:rPr>
          <w:rFonts w:ascii="Cambria" w:hAnsi="Cambria"/>
          <w:sz w:val="20"/>
          <w:szCs w:val="20"/>
          <w:lang w:val="es-AR"/>
        </w:rPr>
        <w:t xml:space="preserve"> atienda nuevamente la cuestión, </w:t>
      </w:r>
      <w:r w:rsidR="00AD06C1" w:rsidRPr="00E37F01">
        <w:rPr>
          <w:rFonts w:ascii="Cambria" w:hAnsi="Cambria"/>
          <w:sz w:val="20"/>
          <w:szCs w:val="20"/>
          <w:lang w:val="es-AR"/>
        </w:rPr>
        <w:t>siendo encomendada a juez diferente.</w:t>
      </w:r>
    </w:p>
    <w:p w14:paraId="6F99FABC" w14:textId="192B17A4" w:rsidR="00AD06C1" w:rsidRPr="00E37F01" w:rsidRDefault="003C713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t xml:space="preserve">Seguidamente, </w:t>
      </w:r>
      <w:r w:rsidR="00AD06C1" w:rsidRPr="00E37F01">
        <w:rPr>
          <w:rFonts w:ascii="Cambria" w:hAnsi="Cambria"/>
          <w:sz w:val="20"/>
          <w:szCs w:val="20"/>
          <w:lang w:val="es-AR"/>
        </w:rPr>
        <w:t>el Tribunal de Sentencia de Sonsonate emitió</w:t>
      </w:r>
      <w:r w:rsidR="003A69DB" w:rsidRPr="00E37F01">
        <w:rPr>
          <w:rFonts w:ascii="Cambria" w:hAnsi="Cambria"/>
          <w:sz w:val="20"/>
          <w:szCs w:val="20"/>
          <w:lang w:val="es-AR"/>
        </w:rPr>
        <w:t xml:space="preserve"> una nueva</w:t>
      </w:r>
      <w:r w:rsidR="00AD06C1" w:rsidRPr="00E37F01">
        <w:rPr>
          <w:rFonts w:ascii="Cambria" w:hAnsi="Cambria"/>
          <w:sz w:val="20"/>
          <w:szCs w:val="20"/>
          <w:lang w:val="es-AR"/>
        </w:rPr>
        <w:t xml:space="preserve"> sentencia el 21 de diciembre de 2018, en la que declaró responsables penalmente a los imputados por el delito de desaparición forzada de personas, imponiéndole a</w:t>
      </w:r>
      <w:r w:rsidR="003A69DB" w:rsidRPr="00E37F01">
        <w:rPr>
          <w:rFonts w:ascii="Cambria" w:hAnsi="Cambria"/>
          <w:sz w:val="20"/>
          <w:szCs w:val="20"/>
          <w:lang w:val="es-AR"/>
        </w:rPr>
        <w:t xml:space="preserve"> SMCR </w:t>
      </w:r>
      <w:r w:rsidR="00AD06C1" w:rsidRPr="00E37F01">
        <w:rPr>
          <w:rFonts w:ascii="Cambria" w:hAnsi="Cambria"/>
          <w:sz w:val="20"/>
          <w:szCs w:val="20"/>
          <w:lang w:val="es-AR"/>
        </w:rPr>
        <w:t xml:space="preserve">una pena de ocho años con cuatro meses de prisión, mientras </w:t>
      </w:r>
      <w:r w:rsidR="003A69DB" w:rsidRPr="00E37F01">
        <w:rPr>
          <w:rFonts w:ascii="Cambria" w:hAnsi="Cambria"/>
          <w:sz w:val="20"/>
          <w:szCs w:val="20"/>
          <w:lang w:val="es-AR"/>
        </w:rPr>
        <w:t>que,</w:t>
      </w:r>
      <w:r w:rsidR="00AD06C1" w:rsidRPr="00E37F01">
        <w:rPr>
          <w:rFonts w:ascii="Cambria" w:hAnsi="Cambria"/>
          <w:sz w:val="20"/>
          <w:szCs w:val="20"/>
          <w:lang w:val="es-AR"/>
        </w:rPr>
        <w:t xml:space="preserve"> a </w:t>
      </w:r>
      <w:r w:rsidR="003A69DB" w:rsidRPr="00E37F01">
        <w:rPr>
          <w:rFonts w:ascii="Cambria" w:hAnsi="Cambria"/>
          <w:sz w:val="20"/>
          <w:szCs w:val="20"/>
          <w:lang w:val="es-AR"/>
        </w:rPr>
        <w:t>sus cómplices,</w:t>
      </w:r>
      <w:r w:rsidR="00AD06C1" w:rsidRPr="00E37F01">
        <w:rPr>
          <w:rFonts w:ascii="Cambria" w:hAnsi="Cambria"/>
          <w:sz w:val="20"/>
          <w:szCs w:val="20"/>
          <w:lang w:val="es-AR"/>
        </w:rPr>
        <w:t xml:space="preserve"> una pena de cuatro años con cuatro meses de pr</w:t>
      </w:r>
      <w:r w:rsidR="00DB43F5" w:rsidRPr="00E37F01">
        <w:rPr>
          <w:rFonts w:ascii="Cambria" w:hAnsi="Cambria"/>
          <w:sz w:val="20"/>
          <w:szCs w:val="20"/>
          <w:lang w:val="es-AR"/>
        </w:rPr>
        <w:t>i</w:t>
      </w:r>
      <w:r w:rsidR="00AD06C1" w:rsidRPr="00E37F01">
        <w:rPr>
          <w:rFonts w:ascii="Cambria" w:hAnsi="Cambria"/>
          <w:sz w:val="20"/>
          <w:szCs w:val="20"/>
          <w:lang w:val="es-AR"/>
        </w:rPr>
        <w:t>sión. Tanto la defensa particular de los imputados, como los representantes legales de las víctimas, han interpuesto recurso</w:t>
      </w:r>
      <w:r w:rsidR="0049437B" w:rsidRPr="00E37F01">
        <w:rPr>
          <w:rFonts w:ascii="Cambria" w:hAnsi="Cambria"/>
          <w:sz w:val="20"/>
          <w:szCs w:val="20"/>
          <w:lang w:val="es-AR"/>
        </w:rPr>
        <w:t>s</w:t>
      </w:r>
      <w:r w:rsidR="00AD06C1" w:rsidRPr="00E37F01">
        <w:rPr>
          <w:rFonts w:ascii="Cambria" w:hAnsi="Cambria"/>
          <w:sz w:val="20"/>
          <w:szCs w:val="20"/>
          <w:lang w:val="es-AR"/>
        </w:rPr>
        <w:t xml:space="preserve"> de apelación en contra de la sentencia apuntada, la que a la fecha del presente informe se encuentra </w:t>
      </w:r>
      <w:r w:rsidR="00CD2D9D" w:rsidRPr="00E37F01">
        <w:rPr>
          <w:rFonts w:ascii="Cambria" w:hAnsi="Cambria"/>
          <w:sz w:val="20"/>
          <w:szCs w:val="20"/>
          <w:lang w:val="es-AR"/>
        </w:rPr>
        <w:t>pendiente de resolución ante la</w:t>
      </w:r>
      <w:r w:rsidR="00AD06C1" w:rsidRPr="00E37F01">
        <w:rPr>
          <w:rFonts w:ascii="Cambria" w:hAnsi="Cambria"/>
          <w:sz w:val="20"/>
          <w:szCs w:val="20"/>
          <w:lang w:val="es-AR"/>
        </w:rPr>
        <w:t xml:space="preserve"> Cámara de la Segunda Sección de Occidente</w:t>
      </w:r>
      <w:r w:rsidR="00CD2D9D" w:rsidRPr="00E37F01">
        <w:rPr>
          <w:rFonts w:ascii="Cambria" w:hAnsi="Cambria"/>
          <w:sz w:val="20"/>
          <w:szCs w:val="20"/>
          <w:lang w:val="es-AR"/>
        </w:rPr>
        <w:t>. Por lo tanto, la CIDH considera que</w:t>
      </w:r>
      <w:r w:rsidR="00317688" w:rsidRPr="00E37F01">
        <w:rPr>
          <w:rFonts w:ascii="Cambria" w:hAnsi="Cambria"/>
          <w:sz w:val="20"/>
          <w:szCs w:val="20"/>
          <w:lang w:val="es-AR"/>
        </w:rPr>
        <w:t xml:space="preserve">, si bien </w:t>
      </w:r>
      <w:r w:rsidRPr="00E37F01">
        <w:rPr>
          <w:rFonts w:ascii="Cambria" w:hAnsi="Cambria"/>
          <w:sz w:val="20"/>
          <w:szCs w:val="20"/>
          <w:lang w:val="es-AR"/>
        </w:rPr>
        <w:t xml:space="preserve">a la fecha de este informe </w:t>
      </w:r>
      <w:r w:rsidR="00317688" w:rsidRPr="00E37F01">
        <w:rPr>
          <w:rFonts w:ascii="Cambria" w:hAnsi="Cambria"/>
          <w:sz w:val="20"/>
          <w:szCs w:val="20"/>
          <w:lang w:val="es-AR"/>
        </w:rPr>
        <w:t xml:space="preserve">no hay una sentencia firme y definitiva que resuelva la cuestión, con motivo del retraso injustificado en la </w:t>
      </w:r>
      <w:r w:rsidRPr="00E37F01">
        <w:rPr>
          <w:rFonts w:ascii="Cambria" w:hAnsi="Cambria"/>
          <w:sz w:val="20"/>
          <w:szCs w:val="20"/>
          <w:lang w:val="es-AR"/>
        </w:rPr>
        <w:t>administración de justicia del Estado Salvadoreño</w:t>
      </w:r>
      <w:r w:rsidR="00B0143E" w:rsidRPr="00E37F01">
        <w:rPr>
          <w:rFonts w:ascii="Cambria" w:hAnsi="Cambria"/>
          <w:sz w:val="20"/>
          <w:szCs w:val="20"/>
          <w:lang w:val="es-AR"/>
        </w:rPr>
        <w:t>,</w:t>
      </w:r>
      <w:r w:rsidR="00317688" w:rsidRPr="00E37F01">
        <w:rPr>
          <w:rFonts w:ascii="Cambria" w:hAnsi="Cambria"/>
          <w:sz w:val="20"/>
          <w:szCs w:val="20"/>
          <w:lang w:val="es-AR"/>
        </w:rPr>
        <w:t xml:space="preserve"> y todos los recursos e instancias agotadas, </w:t>
      </w:r>
      <w:r w:rsidRPr="00E37F01">
        <w:rPr>
          <w:rFonts w:ascii="Cambria" w:hAnsi="Cambria"/>
          <w:sz w:val="20"/>
          <w:szCs w:val="20"/>
          <w:lang w:val="es-AR"/>
        </w:rPr>
        <w:t>resultaría</w:t>
      </w:r>
      <w:r w:rsidR="00317688" w:rsidRPr="00E37F01">
        <w:rPr>
          <w:rFonts w:ascii="Cambria" w:hAnsi="Cambria"/>
          <w:sz w:val="20"/>
          <w:szCs w:val="20"/>
          <w:lang w:val="es-AR"/>
        </w:rPr>
        <w:t xml:space="preserve"> aplicable la excepción del</w:t>
      </w:r>
      <w:r w:rsidRPr="00E37F01">
        <w:rPr>
          <w:rFonts w:ascii="Cambria" w:hAnsi="Cambria"/>
          <w:sz w:val="20"/>
          <w:szCs w:val="20"/>
          <w:lang w:val="es-AR"/>
        </w:rPr>
        <w:t xml:space="preserve"> 46.2.c) de la Convención. </w:t>
      </w:r>
    </w:p>
    <w:p w14:paraId="4520DC69" w14:textId="29E2011C" w:rsidR="003C713F" w:rsidRPr="00E37F01" w:rsidRDefault="003C713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_tradnl"/>
        </w:rPr>
        <w:t>En este respecto,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Pr="00E37F01">
        <w:rPr>
          <w:rStyle w:val="FootnoteReference"/>
          <w:rFonts w:ascii="Cambria" w:hAnsi="Cambria"/>
          <w:sz w:val="20"/>
          <w:szCs w:val="20"/>
          <w:lang w:val="es-ES_tradnl"/>
        </w:rPr>
        <w:footnoteReference w:id="10"/>
      </w:r>
      <w:r w:rsidRPr="00E37F01">
        <w:rPr>
          <w:rFonts w:ascii="Cambria" w:hAnsi="Cambria"/>
          <w:sz w:val="20"/>
          <w:szCs w:val="20"/>
          <w:lang w:val="es-ES_tradnl"/>
        </w:rPr>
        <w:t xml:space="preserve">. En esta línea, </w:t>
      </w:r>
      <w:r w:rsidRPr="00E37F01">
        <w:rPr>
          <w:rFonts w:ascii="Cambria" w:hAnsi="Cambria"/>
          <w:sz w:val="20"/>
          <w:szCs w:val="20"/>
          <w:lang w:val="es-ES"/>
        </w:rPr>
        <w:t>la Corte Interamericana ha establecido como principio rector del análisis del eventual retardo injustificado como excepción a la regla del agotamiento de los recursos internos, que “</w:t>
      </w:r>
      <w:r w:rsidRPr="00E37F01">
        <w:rPr>
          <w:rFonts w:ascii="Cambria" w:hAnsi="Cambria"/>
          <w:i/>
          <w:iCs/>
          <w:sz w:val="20"/>
          <w:szCs w:val="20"/>
          <w:lang w:val="es-ES"/>
        </w:rPr>
        <w:t>de ninguna manera la regla del previo agotamiento debe conducir a que se detenga o se demore hasta la inutilidad la actuación internacional en auxilio de la víctima indefensa</w:t>
      </w:r>
      <w:r w:rsidRPr="00E37F01">
        <w:rPr>
          <w:rFonts w:ascii="Cambria" w:hAnsi="Cambria"/>
          <w:sz w:val="20"/>
          <w:szCs w:val="20"/>
          <w:lang w:val="es-ES"/>
        </w:rPr>
        <w:t>”</w:t>
      </w:r>
      <w:r w:rsidRPr="00E37F01">
        <w:rPr>
          <w:rStyle w:val="FootnoteReference"/>
          <w:rFonts w:ascii="Cambria" w:hAnsi="Cambria"/>
          <w:sz w:val="20"/>
          <w:szCs w:val="20"/>
          <w:lang w:val="es-ES"/>
        </w:rPr>
        <w:footnoteReference w:id="11"/>
      </w:r>
      <w:r w:rsidRPr="00E37F01">
        <w:rPr>
          <w:rFonts w:ascii="Cambria" w:hAnsi="Cambria"/>
          <w:sz w:val="20"/>
          <w:szCs w:val="20"/>
          <w:lang w:val="es-ES"/>
        </w:rPr>
        <w:t xml:space="preserve">. Es decir, a juicio de la Comisión, la naturaleza complementaria de la protección internacional prevista en la Convención Americana </w:t>
      </w:r>
      <w:r w:rsidRPr="00E37F01">
        <w:rPr>
          <w:rFonts w:ascii="Cambria" w:hAnsi="Cambria"/>
          <w:sz w:val="20"/>
          <w:szCs w:val="20"/>
          <w:lang w:val="es-ES"/>
        </w:rPr>
        <w:lastRenderedPageBreak/>
        <w:t>implica también que la intervención de los órganos del Sistema Interamericano sea oportuna para que esta pueda tener algún tipo de efecto útil en la protección de los derechos de las presuntas víctimas.</w:t>
      </w:r>
    </w:p>
    <w:p w14:paraId="22A08F7F" w14:textId="4D939DEE" w:rsidR="00AD06C1" w:rsidRPr="00E37F01" w:rsidRDefault="009E465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t xml:space="preserve">Con </w:t>
      </w:r>
      <w:r w:rsidR="00AD06C1" w:rsidRPr="00E37F01">
        <w:rPr>
          <w:rFonts w:ascii="Cambria" w:hAnsi="Cambria"/>
          <w:iCs/>
          <w:sz w:val="20"/>
          <w:szCs w:val="20"/>
          <w:lang w:val="es-ES"/>
        </w:rPr>
        <w:t>respecto al requisito del plazo razonable, de acuerdo con el artículo 46.2 de la Convención Americana el requisito específico del artículo 46.1.b)</w:t>
      </w:r>
      <w:r w:rsidR="00AD06C1" w:rsidRPr="00E37F01">
        <w:rPr>
          <w:rStyle w:val="FootnoteReference"/>
          <w:rFonts w:ascii="Cambria" w:hAnsi="Cambria"/>
          <w:iCs/>
          <w:sz w:val="20"/>
          <w:szCs w:val="20"/>
          <w:lang w:val="es-ES"/>
        </w:rPr>
        <w:footnoteReference w:id="12"/>
      </w:r>
      <w:r w:rsidR="00AD06C1" w:rsidRPr="00E37F01">
        <w:rPr>
          <w:rFonts w:ascii="Cambria" w:hAnsi="Cambria"/>
          <w:iCs/>
          <w:sz w:val="20"/>
          <w:szCs w:val="20"/>
          <w:lang w:val="es-ES"/>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00AD06C1" w:rsidRPr="00E37F01">
        <w:rPr>
          <w:rFonts w:ascii="Cambria" w:hAnsi="Cambria"/>
          <w:i/>
          <w:sz w:val="20"/>
          <w:szCs w:val="20"/>
          <w:lang w:val="es-ES"/>
        </w:rPr>
        <w:t>a petición deberá presentarse dentro de un plazo razonable, a criterio de la Comisión. A tal efecto, la Comisión considerará la fecha en que haya ocurrido la presunta violación de los derechos y las circunstancias de cada caso</w:t>
      </w:r>
      <w:r w:rsidR="00AD06C1" w:rsidRPr="00E37F01">
        <w:rPr>
          <w:rFonts w:ascii="Cambria" w:hAnsi="Cambria"/>
          <w:iCs/>
          <w:sz w:val="20"/>
          <w:szCs w:val="20"/>
          <w:lang w:val="es-ES"/>
        </w:rPr>
        <w:t>”.</w:t>
      </w:r>
    </w:p>
    <w:p w14:paraId="437B5640" w14:textId="707B3438" w:rsidR="00AD06C1" w:rsidRPr="00E37F01" w:rsidRDefault="00AD06C1" w:rsidP="009E46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t>En e</w:t>
      </w:r>
      <w:r w:rsidRPr="00E37F01">
        <w:rPr>
          <w:rFonts w:ascii="Cambria" w:hAnsi="Cambria"/>
          <w:iCs/>
          <w:sz w:val="20"/>
          <w:szCs w:val="20"/>
          <w:lang w:val="es-ES"/>
        </w:rPr>
        <w:t>l presente caso, la Comisión observa que los hechos denunciados comenzaron a ocurrir e</w:t>
      </w:r>
      <w:r w:rsidR="009E4657" w:rsidRPr="00E37F01">
        <w:rPr>
          <w:rFonts w:ascii="Cambria" w:hAnsi="Cambria"/>
          <w:iCs/>
          <w:sz w:val="20"/>
          <w:szCs w:val="20"/>
          <w:lang w:val="es-ES"/>
        </w:rPr>
        <w:t>l 18 de febrero de 2014</w:t>
      </w:r>
      <w:r w:rsidR="004F670C" w:rsidRPr="00E37F01">
        <w:rPr>
          <w:rFonts w:ascii="Cambria" w:hAnsi="Cambria"/>
          <w:iCs/>
          <w:sz w:val="20"/>
          <w:szCs w:val="20"/>
          <w:lang w:val="es-ES"/>
        </w:rPr>
        <w:t>; la última resolución judicial fue</w:t>
      </w:r>
      <w:r w:rsidR="004F670C" w:rsidRPr="00E37F01">
        <w:rPr>
          <w:rFonts w:ascii="Cambria" w:hAnsi="Cambria"/>
          <w:sz w:val="20"/>
          <w:szCs w:val="20"/>
          <w:lang w:val="es-AR"/>
        </w:rPr>
        <w:t xml:space="preserve"> del Tribunal de Sentencia de Sonsonate, el 21 de diciembre de 2018,</w:t>
      </w:r>
      <w:r w:rsidR="004F670C" w:rsidRPr="00E37F01">
        <w:rPr>
          <w:rFonts w:ascii="Cambria" w:hAnsi="Cambria"/>
          <w:iCs/>
          <w:sz w:val="20"/>
          <w:szCs w:val="20"/>
          <w:lang w:val="es-ES"/>
        </w:rPr>
        <w:t xml:space="preserve"> y el último recurso intentado fue la apelación del </w:t>
      </w:r>
      <w:r w:rsidR="004F670C" w:rsidRPr="00E37F01">
        <w:rPr>
          <w:rFonts w:ascii="Cambria" w:hAnsi="Cambria"/>
          <w:sz w:val="20"/>
          <w:szCs w:val="20"/>
          <w:lang w:val="es-AR"/>
        </w:rPr>
        <w:t>5 de marzo de 2019, para que resuelva la Cámara de la Segunda Sección de Occidente, que se encuentre pendiente</w:t>
      </w:r>
      <w:r w:rsidR="007A22B9" w:rsidRPr="00E37F01">
        <w:rPr>
          <w:rFonts w:ascii="Cambria" w:hAnsi="Cambria"/>
          <w:sz w:val="20"/>
          <w:szCs w:val="20"/>
          <w:lang w:val="es-AR"/>
        </w:rPr>
        <w:t xml:space="preserve"> </w:t>
      </w:r>
      <w:r w:rsidR="004F670C" w:rsidRPr="00E37F01">
        <w:rPr>
          <w:rFonts w:ascii="Cambria" w:hAnsi="Cambria"/>
          <w:sz w:val="20"/>
          <w:szCs w:val="20"/>
          <w:lang w:val="es-AR"/>
        </w:rPr>
        <w:t>–en base a la información conocida al momento de este informe</w:t>
      </w:r>
      <w:r w:rsidR="007A22B9" w:rsidRPr="00E37F01">
        <w:rPr>
          <w:rFonts w:ascii="Cambria" w:hAnsi="Cambria"/>
          <w:sz w:val="20"/>
          <w:szCs w:val="20"/>
          <w:lang w:val="es-AR"/>
        </w:rPr>
        <w:t>–</w:t>
      </w:r>
      <w:r w:rsidR="004F670C" w:rsidRPr="00E37F01">
        <w:rPr>
          <w:rFonts w:ascii="Cambria" w:hAnsi="Cambria"/>
          <w:iCs/>
          <w:sz w:val="20"/>
          <w:szCs w:val="20"/>
          <w:lang w:val="es-ES"/>
        </w:rPr>
        <w:t>. La</w:t>
      </w:r>
      <w:r w:rsidR="004F670C" w:rsidRPr="00E37F01">
        <w:rPr>
          <w:rFonts w:ascii="Cambria" w:hAnsi="Cambria"/>
          <w:sz w:val="20"/>
          <w:szCs w:val="20"/>
          <w:lang w:val="es-AR"/>
        </w:rPr>
        <w:t xml:space="preserve"> petición fue presentada ante la Comisión Interamericana de Derechos Humanos el 30 de junio de 2017; </w:t>
      </w:r>
      <w:r w:rsidR="009E4657" w:rsidRPr="00E37F01">
        <w:rPr>
          <w:rFonts w:ascii="Cambria" w:hAnsi="Cambria"/>
          <w:iCs/>
          <w:sz w:val="20"/>
          <w:szCs w:val="20"/>
          <w:lang w:val="es-ES"/>
        </w:rPr>
        <w:t>y</w:t>
      </w:r>
      <w:r w:rsidRPr="00E37F01">
        <w:rPr>
          <w:rFonts w:ascii="Cambria" w:hAnsi="Cambria"/>
          <w:iCs/>
          <w:sz w:val="20"/>
          <w:szCs w:val="20"/>
          <w:lang w:val="es-ES"/>
        </w:rPr>
        <w:t xml:space="preserve"> las consecuencias de estos hechos, en términos de la alegada impunidad en la que se mantendrían se extenderían hasta el presente</w:t>
      </w:r>
      <w:r w:rsidR="009E4657" w:rsidRPr="00E37F01">
        <w:rPr>
          <w:rFonts w:ascii="Cambria" w:hAnsi="Cambria"/>
          <w:iCs/>
          <w:sz w:val="20"/>
          <w:szCs w:val="20"/>
          <w:lang w:val="es-ES"/>
        </w:rPr>
        <w:t xml:space="preserve">, </w:t>
      </w:r>
      <w:r w:rsidRPr="00E37F01">
        <w:rPr>
          <w:rFonts w:ascii="Cambria" w:hAnsi="Cambria"/>
          <w:iCs/>
          <w:sz w:val="20"/>
          <w:szCs w:val="20"/>
          <w:lang w:val="es-ES"/>
        </w:rPr>
        <w:t>por lo que en atención a todas estas consideraciones la Comisión considera que la presente petición fue presentada dentro de un plazo razonable en los términos del artículo 32.2 de la Convención Americana.</w:t>
      </w:r>
    </w:p>
    <w:p w14:paraId="31D4DBD1" w14:textId="5C110B85" w:rsidR="00A915C8" w:rsidRPr="00E37F01" w:rsidRDefault="00A915C8" w:rsidP="00A915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t xml:space="preserve">Por otra parte, se desarrolló un proceso constitucional, donde la Sala de lo Constitucional de la Corte Suprema de Justicia conoció el </w:t>
      </w:r>
      <w:r w:rsidRPr="00E37F01">
        <w:rPr>
          <w:rFonts w:ascii="Cambria" w:hAnsi="Cambria"/>
          <w:i/>
          <w:iCs/>
          <w:sz w:val="20"/>
          <w:szCs w:val="20"/>
          <w:lang w:val="es-ES"/>
        </w:rPr>
        <w:t>hábeas corpus</w:t>
      </w:r>
      <w:r w:rsidRPr="00E37F01">
        <w:rPr>
          <w:rFonts w:ascii="Cambria" w:hAnsi="Cambria"/>
          <w:sz w:val="20"/>
          <w:szCs w:val="20"/>
          <w:lang w:val="es-ES"/>
        </w:rPr>
        <w:t xml:space="preserve">, en donde ordenó medidas de protección a los familiares de las presuntas víctimas e hizo lugar al recurso a favor de Francisco Javier Hernández Gómez, Oscar Oswaldo Leiva Mejía y José Fernando Choto Choto. </w:t>
      </w:r>
    </w:p>
    <w:p w14:paraId="4FFBE378" w14:textId="64322DE9" w:rsidR="003239B8" w:rsidRPr="00E37F01" w:rsidRDefault="003239B8" w:rsidP="003239B8">
      <w:pPr>
        <w:pStyle w:val="ListParagraph"/>
        <w:spacing w:before="240" w:after="240"/>
        <w:jc w:val="both"/>
        <w:rPr>
          <w:rFonts w:asciiTheme="majorHAnsi" w:hAnsiTheme="majorHAnsi"/>
          <w:b/>
          <w:sz w:val="20"/>
          <w:szCs w:val="20"/>
          <w:lang w:val="es-ES"/>
        </w:rPr>
      </w:pPr>
      <w:r w:rsidRPr="00E37F01">
        <w:rPr>
          <w:rFonts w:asciiTheme="majorHAnsi" w:hAnsiTheme="majorHAnsi"/>
          <w:b/>
          <w:bCs/>
          <w:sz w:val="20"/>
          <w:szCs w:val="20"/>
          <w:lang w:val="es-ES"/>
        </w:rPr>
        <w:t>VII.</w:t>
      </w:r>
      <w:r w:rsidRPr="00E37F01">
        <w:rPr>
          <w:rFonts w:asciiTheme="majorHAnsi" w:hAnsiTheme="majorHAnsi"/>
          <w:b/>
          <w:bCs/>
          <w:sz w:val="20"/>
          <w:szCs w:val="20"/>
          <w:lang w:val="es-ES"/>
        </w:rPr>
        <w:tab/>
      </w:r>
      <w:r w:rsidR="004A6A54" w:rsidRPr="00E37F01">
        <w:rPr>
          <w:rFonts w:asciiTheme="majorHAnsi" w:hAnsiTheme="majorHAnsi"/>
          <w:b/>
          <w:bCs/>
          <w:sz w:val="20"/>
          <w:szCs w:val="20"/>
          <w:lang w:val="es-ES_tradnl"/>
        </w:rPr>
        <w:t xml:space="preserve">ANÁLISIS DE </w:t>
      </w:r>
      <w:r w:rsidR="00C21FEF" w:rsidRPr="00E37F01">
        <w:rPr>
          <w:rFonts w:asciiTheme="majorHAnsi" w:hAnsiTheme="majorHAnsi"/>
          <w:b/>
          <w:bCs/>
          <w:sz w:val="20"/>
          <w:szCs w:val="20"/>
          <w:lang w:val="es-ES"/>
        </w:rPr>
        <w:t xml:space="preserve">CARACTERIZACIÓN </w:t>
      </w:r>
      <w:r w:rsidR="00C21FEF" w:rsidRPr="00E37F01">
        <w:rPr>
          <w:rFonts w:asciiTheme="majorHAnsi" w:hAnsiTheme="majorHAnsi"/>
          <w:b/>
          <w:bCs/>
          <w:sz w:val="20"/>
          <w:szCs w:val="20"/>
          <w:lang w:val="es-UY"/>
        </w:rPr>
        <w:t>DE LOS HECHOS ALEGADOS</w:t>
      </w:r>
    </w:p>
    <w:p w14:paraId="57B35B61" w14:textId="4DE62FD9" w:rsidR="00AD06C1" w:rsidRPr="00E37F01" w:rsidRDefault="00AD06C1"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_tradnl"/>
        </w:rPr>
        <w:t>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E37F01">
        <w:rPr>
          <w:rStyle w:val="FootnoteReference"/>
          <w:rFonts w:ascii="Cambria" w:hAnsi="Cambria"/>
          <w:sz w:val="20"/>
          <w:szCs w:val="20"/>
          <w:lang w:val="es-ES_tradnl"/>
        </w:rPr>
        <w:footnoteReference w:id="13"/>
      </w:r>
      <w:r w:rsidRPr="00E37F01">
        <w:rPr>
          <w:rFonts w:ascii="Cambria" w:hAnsi="Cambria"/>
          <w:sz w:val="20"/>
          <w:szCs w:val="20"/>
          <w:lang w:val="es-ES_tradnl"/>
        </w:rPr>
        <w:t xml:space="preserve">, el análisis de admisibilidad se centra en la verificación de tales requisitos, los cuales se refieren a elementos que, de ser ciertos, podrían constituir </w:t>
      </w:r>
      <w:r w:rsidRPr="00E37F01">
        <w:rPr>
          <w:rFonts w:ascii="Cambria" w:hAnsi="Cambria"/>
          <w:i/>
          <w:iCs/>
          <w:sz w:val="20"/>
          <w:szCs w:val="20"/>
          <w:lang w:val="es-ES_tradnl"/>
        </w:rPr>
        <w:t>prima facie</w:t>
      </w:r>
      <w:r w:rsidRPr="00E37F01">
        <w:rPr>
          <w:rFonts w:ascii="Cambria" w:hAnsi="Cambria"/>
          <w:sz w:val="20"/>
          <w:szCs w:val="20"/>
          <w:lang w:val="es-ES_tradnl"/>
        </w:rPr>
        <w:t xml:space="preserve"> violaciones a la Convención Americana.</w:t>
      </w:r>
    </w:p>
    <w:p w14:paraId="626E005F" w14:textId="7293AF43" w:rsidR="00AD06C1" w:rsidRPr="00E37F01" w:rsidRDefault="00DF59E7"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t>Es importante resaltar que, l</w:t>
      </w:r>
      <w:r w:rsidR="00AD06C1" w:rsidRPr="00E37F01">
        <w:rPr>
          <w:rFonts w:ascii="Cambria" w:hAnsi="Cambria"/>
          <w:sz w:val="20"/>
          <w:szCs w:val="20"/>
          <w:lang w:val="es-ES"/>
        </w:rPr>
        <w:t xml:space="preserve">a </w:t>
      </w:r>
      <w:r w:rsidR="00AD06C1" w:rsidRPr="00E37F01">
        <w:rPr>
          <w:rFonts w:ascii="Cambria" w:hAnsi="Cambria"/>
          <w:sz w:val="20"/>
          <w:szCs w:val="20"/>
          <w:lang w:val="es-ES_tradnl"/>
        </w:rPr>
        <w:t>CIDH se ha referido</w:t>
      </w:r>
      <w:r w:rsidRPr="00E37F01">
        <w:rPr>
          <w:rFonts w:ascii="Cambria" w:hAnsi="Cambria"/>
          <w:sz w:val="20"/>
          <w:szCs w:val="20"/>
          <w:lang w:val="es-ES_tradnl"/>
        </w:rPr>
        <w:t xml:space="preserve"> en 2021,</w:t>
      </w:r>
      <w:r w:rsidR="00AD06C1" w:rsidRPr="00E37F01">
        <w:rPr>
          <w:rFonts w:ascii="Cambria" w:hAnsi="Cambria"/>
          <w:sz w:val="20"/>
          <w:szCs w:val="20"/>
          <w:lang w:val="es-ES_tradnl"/>
        </w:rPr>
        <w:t xml:space="preserve"> en su informe sobre </w:t>
      </w:r>
      <w:r w:rsidRPr="00E37F01">
        <w:rPr>
          <w:rFonts w:ascii="Cambria" w:hAnsi="Cambria"/>
          <w:sz w:val="20"/>
          <w:szCs w:val="20"/>
          <w:lang w:val="es-ES_tradnl"/>
        </w:rPr>
        <w:t xml:space="preserve">El Salvador, </w:t>
      </w:r>
      <w:r w:rsidR="00AD06C1" w:rsidRPr="00E37F01">
        <w:rPr>
          <w:rFonts w:ascii="Cambria" w:hAnsi="Cambria"/>
          <w:sz w:val="20"/>
          <w:szCs w:val="20"/>
          <w:lang w:val="es-ES_tradnl"/>
        </w:rPr>
        <w:t xml:space="preserve">a las </w:t>
      </w:r>
      <w:r w:rsidRPr="00E37F01">
        <w:rPr>
          <w:rFonts w:ascii="Cambria" w:hAnsi="Cambria"/>
          <w:sz w:val="20"/>
          <w:szCs w:val="20"/>
          <w:lang w:val="es-ES_tradnl"/>
        </w:rPr>
        <w:t>d</w:t>
      </w:r>
      <w:r w:rsidR="00AD06C1" w:rsidRPr="00E37F01">
        <w:rPr>
          <w:rFonts w:ascii="Cambria" w:hAnsi="Cambria"/>
          <w:sz w:val="20"/>
          <w:szCs w:val="20"/>
          <w:lang w:val="es-ES_tradnl"/>
        </w:rPr>
        <w:t xml:space="preserve">enuncias de desapariciones en </w:t>
      </w:r>
      <w:r w:rsidRPr="00E37F01">
        <w:rPr>
          <w:rFonts w:ascii="Cambria" w:hAnsi="Cambria"/>
          <w:sz w:val="20"/>
          <w:szCs w:val="20"/>
          <w:lang w:val="es-ES_tradnl"/>
        </w:rPr>
        <w:t>dicho país</w:t>
      </w:r>
      <w:r w:rsidR="00AD06C1" w:rsidRPr="00E37F01">
        <w:rPr>
          <w:rFonts w:ascii="Cambria" w:hAnsi="Cambria"/>
          <w:sz w:val="20"/>
          <w:szCs w:val="20"/>
          <w:lang w:val="es-ES_tradnl"/>
        </w:rPr>
        <w:t xml:space="preserve"> en el contexto de violencia actual. Durante su visita </w:t>
      </w:r>
      <w:r w:rsidR="00AD06C1" w:rsidRPr="00E37F01">
        <w:rPr>
          <w:rFonts w:ascii="Cambria" w:hAnsi="Cambria"/>
          <w:i/>
          <w:iCs/>
          <w:sz w:val="20"/>
          <w:szCs w:val="20"/>
          <w:lang w:val="es-ES_tradnl"/>
        </w:rPr>
        <w:t>in loco</w:t>
      </w:r>
      <w:r w:rsidR="00AD06C1" w:rsidRPr="00E37F01">
        <w:rPr>
          <w:rFonts w:ascii="Cambria" w:hAnsi="Cambria"/>
          <w:sz w:val="20"/>
          <w:szCs w:val="20"/>
          <w:lang w:val="es-ES_tradnl"/>
        </w:rPr>
        <w:t>, la CIDH recibió información alarmante sobre la falta de respuesta de las autoridades del Estado al alto número de denuncias de desapariciones en los últimos años. Según información proporcionada por la Fiscalía General de la República, en 2018 se registraron 3,289 desapariciones</w:t>
      </w:r>
      <w:r w:rsidR="008C34B9" w:rsidRPr="00E37F01">
        <w:rPr>
          <w:rFonts w:ascii="Cambria" w:hAnsi="Cambria"/>
          <w:sz w:val="20"/>
          <w:szCs w:val="20"/>
          <w:lang w:val="es-ES_tradnl"/>
        </w:rPr>
        <w:t>,</w:t>
      </w:r>
      <w:r w:rsidR="00AD06C1" w:rsidRPr="00E37F01">
        <w:rPr>
          <w:rFonts w:ascii="Cambria" w:hAnsi="Cambria"/>
          <w:sz w:val="20"/>
          <w:szCs w:val="20"/>
          <w:lang w:val="es-ES_tradnl"/>
        </w:rPr>
        <w:t xml:space="preserve"> y entre enero y diciembre de 2019, se reportaron 3,030 denuncias de personas desaparecidas</w:t>
      </w:r>
      <w:r w:rsidR="008C34B9" w:rsidRPr="00E37F01">
        <w:rPr>
          <w:rFonts w:ascii="Cambria" w:hAnsi="Cambria"/>
          <w:sz w:val="20"/>
          <w:szCs w:val="20"/>
          <w:lang w:val="es-ES_tradnl"/>
        </w:rPr>
        <w:t xml:space="preserve">. </w:t>
      </w:r>
      <w:r w:rsidR="00AD06C1" w:rsidRPr="00E37F01">
        <w:rPr>
          <w:rFonts w:ascii="Cambria" w:hAnsi="Cambria"/>
          <w:sz w:val="20"/>
          <w:szCs w:val="20"/>
          <w:lang w:val="es-ES_tradnl"/>
        </w:rPr>
        <w:t>La Comisión también recibió reiteradas quejas de víctimas sobre el actuar de las autoridades cuando denuncian las desapariciones de sus familiares, en particular de la PNC y la Fiscalía General. Estas indicaron que no son atendidas cuando tratan de presentar una denuncia</w:t>
      </w:r>
      <w:r w:rsidR="009E4657" w:rsidRPr="00E37F01">
        <w:rPr>
          <w:rStyle w:val="FootnoteReference"/>
          <w:rFonts w:ascii="Cambria" w:hAnsi="Cambria"/>
          <w:sz w:val="20"/>
          <w:szCs w:val="20"/>
          <w:lang w:val="es-ES_tradnl"/>
        </w:rPr>
        <w:footnoteReference w:id="14"/>
      </w:r>
      <w:r w:rsidR="00AD06C1" w:rsidRPr="00E37F01">
        <w:rPr>
          <w:rFonts w:ascii="Cambria" w:hAnsi="Cambria"/>
          <w:sz w:val="20"/>
          <w:szCs w:val="20"/>
          <w:lang w:val="es-ES_tradnl"/>
        </w:rPr>
        <w:t>.</w:t>
      </w:r>
    </w:p>
    <w:p w14:paraId="60B9AE7A" w14:textId="64E42B8D" w:rsidR="00DF59E7" w:rsidRPr="00E37F01" w:rsidRDefault="008C5E2D" w:rsidP="00076A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
        </w:rPr>
        <w:lastRenderedPageBreak/>
        <w:t>En aten</w:t>
      </w:r>
      <w:r w:rsidR="00C25ADB" w:rsidRPr="00E37F01">
        <w:rPr>
          <w:rFonts w:ascii="Cambria" w:hAnsi="Cambria"/>
          <w:sz w:val="20"/>
          <w:szCs w:val="20"/>
          <w:lang w:val="es-ES"/>
        </w:rPr>
        <w:t>ción a estas consideraciones</w:t>
      </w:r>
      <w:r w:rsidR="00E37F01" w:rsidRPr="00E37F01">
        <w:rPr>
          <w:rFonts w:ascii="Cambria" w:hAnsi="Cambria"/>
          <w:sz w:val="20"/>
          <w:szCs w:val="20"/>
          <w:lang w:val="es-ES"/>
        </w:rPr>
        <w:t>,</w:t>
      </w:r>
      <w:r w:rsidR="00C25ADB" w:rsidRPr="00E37F01">
        <w:rPr>
          <w:rFonts w:ascii="Cambria" w:hAnsi="Cambria"/>
          <w:sz w:val="20"/>
          <w:szCs w:val="20"/>
          <w:lang w:val="es-ES"/>
        </w:rPr>
        <w:t xml:space="preserve"> y </w:t>
      </w:r>
      <w:r w:rsidRPr="00E37F01">
        <w:rPr>
          <w:rFonts w:ascii="Cambria" w:hAnsi="Cambria"/>
          <w:sz w:val="20"/>
          <w:szCs w:val="20"/>
          <w:lang w:val="es-ES"/>
        </w:rPr>
        <w:t xml:space="preserve">tras examinar los elementos de hecho y de derecho expuestos por las partes la Comisión estima que </w:t>
      </w:r>
      <w:r w:rsidR="009578B1" w:rsidRPr="00E37F01">
        <w:rPr>
          <w:rFonts w:ascii="Cambria" w:hAnsi="Cambria"/>
          <w:sz w:val="20"/>
          <w:szCs w:val="20"/>
          <w:lang w:val="es-ES"/>
        </w:rPr>
        <w:t>los alegatos</w:t>
      </w:r>
      <w:r w:rsidRPr="00E37F01">
        <w:rPr>
          <w:rFonts w:ascii="Cambria" w:hAnsi="Cambria"/>
          <w:sz w:val="20"/>
          <w:szCs w:val="20"/>
          <w:lang w:val="es-ES"/>
        </w:rPr>
        <w:t xml:space="preserve"> de la parte peticionaria </w:t>
      </w:r>
      <w:r w:rsidR="009578B1" w:rsidRPr="00E37F01">
        <w:rPr>
          <w:rFonts w:asciiTheme="majorHAnsi" w:hAnsiTheme="majorHAnsi"/>
          <w:sz w:val="20"/>
          <w:szCs w:val="20"/>
          <w:lang w:val="es-ES"/>
        </w:rPr>
        <w:t>relativos a la desaparición forzada de las presuntas víctimas, la falta de una sanción proporcional y oportuna, los alegados actos de hostigamientos contra familiares</w:t>
      </w:r>
      <w:r w:rsidR="00FF0750" w:rsidRPr="00E37F01">
        <w:rPr>
          <w:rFonts w:asciiTheme="majorHAnsi" w:hAnsiTheme="majorHAnsi"/>
          <w:sz w:val="20"/>
          <w:szCs w:val="20"/>
          <w:lang w:val="es-ES"/>
        </w:rPr>
        <w:t>,</w:t>
      </w:r>
      <w:r w:rsidR="009578B1" w:rsidRPr="00E37F01">
        <w:rPr>
          <w:rFonts w:asciiTheme="majorHAnsi" w:hAnsiTheme="majorHAnsi"/>
          <w:sz w:val="20"/>
          <w:szCs w:val="20"/>
          <w:lang w:val="es-ES"/>
        </w:rPr>
        <w:t xml:space="preserve"> y en definitiva la falta de una reparación integral por estos hechos</w:t>
      </w:r>
      <w:r w:rsidR="009578B1" w:rsidRPr="00E37F01">
        <w:rPr>
          <w:rFonts w:ascii="Cambria" w:hAnsi="Cambria"/>
          <w:sz w:val="20"/>
          <w:szCs w:val="20"/>
          <w:lang w:val="es-ES"/>
        </w:rPr>
        <w:t xml:space="preserve"> </w:t>
      </w:r>
      <w:r w:rsidRPr="00E37F01">
        <w:rPr>
          <w:rFonts w:ascii="Cambria" w:hAnsi="Cambria"/>
          <w:sz w:val="20"/>
          <w:szCs w:val="20"/>
          <w:lang w:val="es-ES"/>
        </w:rPr>
        <w:t>requieren un estudio de fondo pues los hechos alegados, de corroborarse como ciertos</w:t>
      </w:r>
      <w:r w:rsidR="00427264" w:rsidRPr="00E37F01">
        <w:rPr>
          <w:rFonts w:ascii="Cambria" w:hAnsi="Cambria"/>
          <w:sz w:val="20"/>
          <w:szCs w:val="20"/>
          <w:lang w:val="es-ES"/>
        </w:rPr>
        <w:t xml:space="preserve">, </w:t>
      </w:r>
      <w:r w:rsidRPr="00E37F01">
        <w:rPr>
          <w:rFonts w:ascii="Cambria" w:hAnsi="Cambria"/>
          <w:sz w:val="20"/>
          <w:szCs w:val="20"/>
          <w:lang w:val="es-ES"/>
        </w:rPr>
        <w:t>podrían caracterizar</w:t>
      </w:r>
      <w:r w:rsidR="00427264" w:rsidRPr="00E37F01">
        <w:rPr>
          <w:rFonts w:ascii="Cambria" w:hAnsi="Cambria"/>
          <w:sz w:val="20"/>
          <w:szCs w:val="20"/>
          <w:lang w:val="es-ES"/>
        </w:rPr>
        <w:t xml:space="preserve"> </w:t>
      </w:r>
      <w:r w:rsidRPr="00E37F01">
        <w:rPr>
          <w:rFonts w:ascii="Cambria" w:hAnsi="Cambria"/>
          <w:sz w:val="20"/>
          <w:szCs w:val="20"/>
          <w:lang w:val="es-ES"/>
        </w:rPr>
        <w:t>violaciones a los artículos</w:t>
      </w:r>
      <w:r w:rsidR="00381999" w:rsidRPr="00E37F01">
        <w:rPr>
          <w:rFonts w:ascii="Cambria" w:hAnsi="Cambria"/>
          <w:sz w:val="20"/>
          <w:szCs w:val="20"/>
          <w:lang w:val="es-ES"/>
        </w:rPr>
        <w:t xml:space="preserve"> </w:t>
      </w:r>
      <w:r w:rsidR="00076ABA" w:rsidRPr="00E37F01">
        <w:rPr>
          <w:rFonts w:ascii="Cambria" w:hAnsi="Cambria"/>
          <w:bCs/>
          <w:sz w:val="20"/>
          <w:szCs w:val="20"/>
          <w:lang w:val="es-AR"/>
        </w:rPr>
        <w:t xml:space="preserve">3 (reconocimiento de la personalidad jurídica), </w:t>
      </w:r>
      <w:r w:rsidR="00381999" w:rsidRPr="00E37F01">
        <w:rPr>
          <w:rFonts w:ascii="Cambria" w:hAnsi="Cambria"/>
          <w:sz w:val="20"/>
          <w:szCs w:val="20"/>
          <w:lang w:val="es-ES"/>
        </w:rPr>
        <w:t>4 (vida), 5 (</w:t>
      </w:r>
      <w:r w:rsidR="00381999" w:rsidRPr="00E37F01">
        <w:rPr>
          <w:rFonts w:ascii="Cambria" w:hAnsi="Cambria"/>
          <w:sz w:val="20"/>
          <w:szCs w:val="20"/>
          <w:lang w:val="es-AR"/>
        </w:rPr>
        <w:t>integridad personal), 7 (libertad personal), 8 (garantías judiciales)</w:t>
      </w:r>
      <w:r w:rsidR="00076ABA" w:rsidRPr="00E37F01">
        <w:rPr>
          <w:rFonts w:ascii="Cambria" w:hAnsi="Cambria"/>
          <w:sz w:val="20"/>
          <w:szCs w:val="20"/>
          <w:lang w:val="es-AR"/>
        </w:rPr>
        <w:t xml:space="preserve">, </w:t>
      </w:r>
      <w:r w:rsidR="00076ABA" w:rsidRPr="00E37F01">
        <w:rPr>
          <w:rFonts w:ascii="Cambria" w:hAnsi="Cambria"/>
          <w:bCs/>
          <w:sz w:val="20"/>
          <w:szCs w:val="20"/>
          <w:lang w:val="es-AR"/>
        </w:rPr>
        <w:t xml:space="preserve">17 (protección de la familia) </w:t>
      </w:r>
      <w:r w:rsidR="00381999" w:rsidRPr="00E37F01">
        <w:rPr>
          <w:rFonts w:ascii="Cambria" w:hAnsi="Cambria"/>
          <w:sz w:val="20"/>
          <w:szCs w:val="20"/>
          <w:lang w:val="es-AR"/>
        </w:rPr>
        <w:t>y 25 (protección judicial)</w:t>
      </w:r>
      <w:r w:rsidR="00DF59E7" w:rsidRPr="00E37F01">
        <w:rPr>
          <w:rFonts w:ascii="Cambria" w:hAnsi="Cambria"/>
          <w:sz w:val="20"/>
          <w:szCs w:val="20"/>
          <w:lang w:val="es-ES"/>
        </w:rPr>
        <w:t xml:space="preserve"> de la Convención</w:t>
      </w:r>
      <w:r w:rsidR="001B5A9A" w:rsidRPr="00E37F01">
        <w:rPr>
          <w:rFonts w:ascii="Cambria" w:hAnsi="Cambria"/>
          <w:sz w:val="20"/>
          <w:szCs w:val="20"/>
          <w:lang w:val="es-ES"/>
        </w:rPr>
        <w:t xml:space="preserve">, en relación con su artículo 1.1 (obligación de </w:t>
      </w:r>
      <w:r w:rsidR="00787D7C" w:rsidRPr="00E37F01">
        <w:rPr>
          <w:rFonts w:ascii="Cambria" w:hAnsi="Cambria"/>
          <w:sz w:val="20"/>
          <w:szCs w:val="20"/>
          <w:lang w:val="es-ES"/>
        </w:rPr>
        <w:t>respetar los derechos), en perjuicio de</w:t>
      </w:r>
      <w:r w:rsidR="00076ABA" w:rsidRPr="00E37F01">
        <w:rPr>
          <w:rFonts w:ascii="Cambria" w:hAnsi="Cambria"/>
          <w:sz w:val="20"/>
          <w:szCs w:val="20"/>
          <w:lang w:val="es-ES"/>
        </w:rPr>
        <w:t xml:space="preserve"> </w:t>
      </w:r>
      <w:r w:rsidR="00076ABA" w:rsidRPr="00E37F01">
        <w:rPr>
          <w:rFonts w:ascii="Cambria" w:hAnsi="Cambria"/>
          <w:sz w:val="20"/>
          <w:szCs w:val="20"/>
          <w:lang w:val="es-AR"/>
        </w:rPr>
        <w:t>Francisco Javier Hernández Gómez, Oscar Oswaldo Leiva Mejía y José Fernando Choto Choto</w:t>
      </w:r>
      <w:r w:rsidR="00076ABA" w:rsidRPr="00E37F01">
        <w:rPr>
          <w:rFonts w:ascii="Cambria" w:hAnsi="Cambria"/>
          <w:sz w:val="20"/>
          <w:szCs w:val="20"/>
          <w:lang w:val="es-ES"/>
        </w:rPr>
        <w:t xml:space="preserve">, </w:t>
      </w:r>
      <w:r w:rsidR="00787D7C" w:rsidRPr="00E37F01">
        <w:rPr>
          <w:rFonts w:ascii="Cambria" w:hAnsi="Cambria"/>
          <w:sz w:val="20"/>
          <w:szCs w:val="20"/>
          <w:lang w:val="es-ES"/>
        </w:rPr>
        <w:t>y sus familiares debidamente identificados en el presente informe, y los que sean  debidamente individualizados en la etapa de fondo del presente procedimiento</w:t>
      </w:r>
      <w:r w:rsidR="00DF59E7" w:rsidRPr="00E37F01">
        <w:rPr>
          <w:rFonts w:ascii="Cambria" w:hAnsi="Cambria"/>
          <w:sz w:val="20"/>
          <w:szCs w:val="20"/>
          <w:lang w:val="es-ES"/>
        </w:rPr>
        <w:t>.</w:t>
      </w:r>
    </w:p>
    <w:p w14:paraId="7DD08CE8" w14:textId="7DB52F93" w:rsidR="008B6987" w:rsidRPr="00E37F01" w:rsidRDefault="008B6987" w:rsidP="00E96B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Cambria" w:hAnsi="Cambria"/>
          <w:sz w:val="20"/>
          <w:szCs w:val="20"/>
          <w:lang w:val="es-ES_tradnl"/>
        </w:rPr>
        <w:t>En cuanto al reclamo sobre la presunta violación del artículo 11</w:t>
      </w:r>
      <w:r w:rsidR="00381999" w:rsidRPr="00E37F01">
        <w:rPr>
          <w:rFonts w:ascii="Cambria" w:hAnsi="Cambria"/>
          <w:sz w:val="20"/>
          <w:szCs w:val="20"/>
          <w:lang w:val="es-ES_tradnl"/>
        </w:rPr>
        <w:t xml:space="preserve"> (</w:t>
      </w:r>
      <w:r w:rsidR="00381999" w:rsidRPr="00E37F01">
        <w:rPr>
          <w:rFonts w:ascii="Cambria" w:hAnsi="Cambria"/>
          <w:sz w:val="20"/>
          <w:szCs w:val="20"/>
          <w:lang w:val="es-AR"/>
        </w:rPr>
        <w:t>protección de la honra y de la dignidad)</w:t>
      </w:r>
      <w:r w:rsidRPr="00E37F01">
        <w:rPr>
          <w:rFonts w:ascii="Cambria" w:hAnsi="Cambria"/>
          <w:sz w:val="20"/>
          <w:szCs w:val="20"/>
          <w:lang w:val="es-ES_tradnl"/>
        </w:rPr>
        <w:t xml:space="preserve"> de la Convención; la Comisión observa que los peticionarios no han ofrecido alegatos o sustento suficiente que permita considerar </w:t>
      </w:r>
      <w:r w:rsidRPr="00E37F01">
        <w:rPr>
          <w:rFonts w:ascii="Cambria" w:hAnsi="Cambria"/>
          <w:i/>
          <w:sz w:val="20"/>
          <w:szCs w:val="20"/>
          <w:lang w:val="es-ES_tradnl"/>
        </w:rPr>
        <w:t>prima facie</w:t>
      </w:r>
      <w:r w:rsidRPr="00E37F01">
        <w:rPr>
          <w:rFonts w:ascii="Cambria" w:hAnsi="Cambria"/>
          <w:sz w:val="20"/>
          <w:szCs w:val="20"/>
          <w:lang w:val="es-ES_tradnl"/>
        </w:rPr>
        <w:t xml:space="preserve"> su posible violación</w:t>
      </w:r>
      <w:r w:rsidR="00381999" w:rsidRPr="00E37F01">
        <w:rPr>
          <w:rFonts w:ascii="Cambria" w:hAnsi="Cambria"/>
          <w:sz w:val="20"/>
          <w:szCs w:val="20"/>
          <w:lang w:val="es-ES_tradnl"/>
        </w:rPr>
        <w:t>.</w:t>
      </w:r>
    </w:p>
    <w:p w14:paraId="29BB41F5" w14:textId="77777777" w:rsidR="003239B8" w:rsidRPr="00E37F01" w:rsidRDefault="003239B8" w:rsidP="003239B8">
      <w:pPr>
        <w:pStyle w:val="ListParagraph"/>
        <w:spacing w:before="240" w:after="240"/>
        <w:jc w:val="both"/>
        <w:rPr>
          <w:rFonts w:asciiTheme="majorHAnsi" w:hAnsiTheme="majorHAnsi"/>
          <w:b/>
          <w:bCs/>
          <w:sz w:val="20"/>
          <w:szCs w:val="20"/>
          <w:lang w:val="es-ES"/>
        </w:rPr>
      </w:pPr>
      <w:r w:rsidRPr="00E37F01">
        <w:rPr>
          <w:rFonts w:asciiTheme="majorHAnsi" w:hAnsiTheme="majorHAnsi"/>
          <w:b/>
          <w:bCs/>
          <w:sz w:val="20"/>
          <w:szCs w:val="20"/>
          <w:lang w:val="es-ES"/>
        </w:rPr>
        <w:t xml:space="preserve">VIII. </w:t>
      </w:r>
      <w:r w:rsidRPr="00E37F01">
        <w:rPr>
          <w:rFonts w:asciiTheme="majorHAnsi" w:hAnsiTheme="majorHAnsi"/>
          <w:b/>
          <w:bCs/>
          <w:sz w:val="20"/>
          <w:szCs w:val="20"/>
          <w:lang w:val="es-ES"/>
        </w:rPr>
        <w:tab/>
        <w:t>DECISIÓN</w:t>
      </w:r>
    </w:p>
    <w:p w14:paraId="0FDE1D10" w14:textId="39C4EF56" w:rsidR="003239B8" w:rsidRPr="00E37F0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37F01">
        <w:rPr>
          <w:rFonts w:asciiTheme="majorHAnsi" w:hAnsiTheme="majorHAnsi"/>
          <w:sz w:val="20"/>
          <w:szCs w:val="20"/>
          <w:lang w:val="es-ES"/>
        </w:rPr>
        <w:t xml:space="preserve">Declarar admisible la presente petición en relación con </w:t>
      </w:r>
      <w:r w:rsidR="00381999" w:rsidRPr="00E37F01">
        <w:rPr>
          <w:rFonts w:ascii="Cambria" w:hAnsi="Cambria"/>
          <w:sz w:val="20"/>
          <w:szCs w:val="20"/>
          <w:lang w:val="es-ES"/>
        </w:rPr>
        <w:t xml:space="preserve">artículos </w:t>
      </w:r>
      <w:r w:rsidR="00076ABA" w:rsidRPr="00E37F01">
        <w:rPr>
          <w:rFonts w:ascii="Cambria" w:hAnsi="Cambria"/>
          <w:sz w:val="20"/>
          <w:szCs w:val="20"/>
          <w:lang w:val="es-ES"/>
        </w:rPr>
        <w:t xml:space="preserve">3, </w:t>
      </w:r>
      <w:r w:rsidR="00381999" w:rsidRPr="00E37F01">
        <w:rPr>
          <w:rFonts w:ascii="Cambria" w:hAnsi="Cambria"/>
          <w:sz w:val="20"/>
          <w:szCs w:val="20"/>
          <w:lang w:val="es-ES"/>
        </w:rPr>
        <w:t xml:space="preserve">4, 5, </w:t>
      </w:r>
      <w:r w:rsidR="00381999" w:rsidRPr="00E37F01">
        <w:rPr>
          <w:rFonts w:ascii="Cambria" w:hAnsi="Cambria"/>
          <w:sz w:val="20"/>
          <w:szCs w:val="20"/>
          <w:lang w:val="es-AR"/>
        </w:rPr>
        <w:t>7, 8</w:t>
      </w:r>
      <w:r w:rsidR="00076ABA" w:rsidRPr="00E37F01">
        <w:rPr>
          <w:rFonts w:ascii="Cambria" w:hAnsi="Cambria"/>
          <w:sz w:val="20"/>
          <w:szCs w:val="20"/>
          <w:lang w:val="es-AR"/>
        </w:rPr>
        <w:t>, 17</w:t>
      </w:r>
      <w:r w:rsidR="00381999" w:rsidRPr="00E37F01">
        <w:rPr>
          <w:rFonts w:ascii="Cambria" w:hAnsi="Cambria"/>
          <w:sz w:val="20"/>
          <w:szCs w:val="20"/>
          <w:lang w:val="es-AR"/>
        </w:rPr>
        <w:t xml:space="preserve"> y 25 de la Convención</w:t>
      </w:r>
      <w:r w:rsidR="00823DEC" w:rsidRPr="00E37F01">
        <w:rPr>
          <w:rFonts w:ascii="Cambria" w:hAnsi="Cambria"/>
          <w:sz w:val="20"/>
          <w:szCs w:val="20"/>
          <w:lang w:val="es-AR"/>
        </w:rPr>
        <w:t>, en relación con su artículo 1.1</w:t>
      </w:r>
      <w:r w:rsidR="00A758AA" w:rsidRPr="00E37F01">
        <w:rPr>
          <w:rFonts w:asciiTheme="majorHAnsi" w:hAnsiTheme="majorHAnsi"/>
          <w:sz w:val="20"/>
          <w:szCs w:val="20"/>
          <w:lang w:val="es-ES"/>
        </w:rPr>
        <w:t>;</w:t>
      </w:r>
      <w:r w:rsidR="007B76D3" w:rsidRPr="00E37F01">
        <w:rPr>
          <w:rFonts w:asciiTheme="majorHAnsi" w:hAnsiTheme="majorHAnsi"/>
          <w:sz w:val="20"/>
          <w:szCs w:val="20"/>
          <w:lang w:val="es-ES"/>
        </w:rPr>
        <w:t xml:space="preserve"> </w:t>
      </w:r>
    </w:p>
    <w:p w14:paraId="570DA61C" w14:textId="4B6B62CA" w:rsidR="000419AD" w:rsidRPr="00E37F01" w:rsidRDefault="000419AD" w:rsidP="000419AD">
      <w:pPr>
        <w:pStyle w:val="ListParagraph"/>
        <w:numPr>
          <w:ilvl w:val="0"/>
          <w:numId w:val="109"/>
        </w:numPr>
        <w:rPr>
          <w:rFonts w:eastAsia="Arial Unicode MS" w:cs="Times New Roman"/>
          <w:color w:val="auto"/>
          <w:sz w:val="20"/>
          <w:szCs w:val="20"/>
          <w:lang w:val="es-ES" w:eastAsia="en-US"/>
        </w:rPr>
      </w:pPr>
      <w:r w:rsidRPr="00E37F01">
        <w:rPr>
          <w:rFonts w:eastAsia="Arial Unicode MS" w:cs="Times New Roman"/>
          <w:color w:val="auto"/>
          <w:sz w:val="20"/>
          <w:szCs w:val="20"/>
          <w:lang w:val="es-ES" w:eastAsia="en-US"/>
        </w:rPr>
        <w:t xml:space="preserve">Declarar inadmisible la presente petición en relación </w:t>
      </w:r>
      <w:r w:rsidR="00381999" w:rsidRPr="00E37F01">
        <w:rPr>
          <w:rFonts w:eastAsia="Arial Unicode MS" w:cs="Times New Roman"/>
          <w:color w:val="auto"/>
          <w:sz w:val="20"/>
          <w:szCs w:val="20"/>
          <w:lang w:val="es-ES" w:eastAsia="en-US"/>
        </w:rPr>
        <w:t>con el artículo 11 de la Convención</w:t>
      </w:r>
      <w:r w:rsidR="00FD34F0">
        <w:rPr>
          <w:rFonts w:eastAsia="Arial Unicode MS" w:cs="Times New Roman"/>
          <w:color w:val="auto"/>
          <w:sz w:val="20"/>
          <w:szCs w:val="20"/>
          <w:lang w:val="es-ES" w:eastAsia="en-US"/>
        </w:rPr>
        <w:t>, y;</w:t>
      </w:r>
    </w:p>
    <w:p w14:paraId="41AA5BF6" w14:textId="77777777" w:rsidR="000419AD" w:rsidRPr="00E37F01" w:rsidRDefault="000419AD" w:rsidP="000419AD">
      <w:pPr>
        <w:pStyle w:val="ListParagraph"/>
        <w:rPr>
          <w:rFonts w:eastAsia="Arial Unicode MS" w:cs="Times New Roman"/>
          <w:color w:val="auto"/>
          <w:sz w:val="20"/>
          <w:szCs w:val="20"/>
          <w:lang w:val="es-ES" w:eastAsia="en-US"/>
        </w:rPr>
      </w:pP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37F0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E1A64D5" w14:textId="70909D8F" w:rsidR="00FD34F0" w:rsidRPr="00564D39" w:rsidRDefault="00FD34F0" w:rsidP="00564D3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95EBD">
        <w:rPr>
          <w:rStyle w:val="normaltextrun"/>
          <w:rFonts w:ascii="Cambria" w:hAnsi="Cambria" w:cs="Segoe UI"/>
          <w:sz w:val="20"/>
          <w:szCs w:val="20"/>
          <w:lang w:val="es-CL"/>
        </w:rPr>
        <w:t>18</w:t>
      </w:r>
      <w:r>
        <w:rPr>
          <w:rStyle w:val="normaltextrun"/>
          <w:rFonts w:ascii="Cambria" w:hAnsi="Cambria" w:cs="Segoe UI"/>
          <w:sz w:val="20"/>
          <w:szCs w:val="20"/>
          <w:lang w:val="es-CL"/>
        </w:rPr>
        <w:t xml:space="preserve"> días del mes de </w:t>
      </w:r>
      <w:r w:rsidR="00F95EBD">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564D3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7CD4DFBD" w14:textId="77777777" w:rsidR="003239B8" w:rsidRPr="00E37F01"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E37F01"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E37F01" w:rsidRDefault="00722C9F" w:rsidP="00974491">
      <w:pPr>
        <w:rPr>
          <w:rFonts w:ascii="Cambria" w:hAnsi="Cambria" w:cs="Calibri"/>
          <w:sz w:val="20"/>
          <w:szCs w:val="20"/>
          <w:lang w:val="es-ES"/>
        </w:rPr>
      </w:pPr>
    </w:p>
    <w:sectPr w:rsidR="00722C9F" w:rsidRPr="00E37F0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4680" w14:textId="77777777" w:rsidR="00A92200" w:rsidRDefault="00A92200">
      <w:r>
        <w:separator/>
      </w:r>
    </w:p>
  </w:endnote>
  <w:endnote w:type="continuationSeparator" w:id="0">
    <w:p w14:paraId="1E9B6022" w14:textId="77777777" w:rsidR="00A92200" w:rsidRDefault="00A9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F9BB" w14:textId="77777777" w:rsidR="00A92200" w:rsidRPr="000F35ED" w:rsidRDefault="00A922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2B7EDA" w14:textId="77777777" w:rsidR="00A92200" w:rsidRPr="000F35ED" w:rsidRDefault="00A92200" w:rsidP="000F35ED">
      <w:pPr>
        <w:rPr>
          <w:rFonts w:asciiTheme="majorHAnsi" w:hAnsiTheme="majorHAnsi"/>
          <w:sz w:val="16"/>
          <w:szCs w:val="16"/>
        </w:rPr>
      </w:pPr>
      <w:r w:rsidRPr="000F35ED">
        <w:rPr>
          <w:rFonts w:asciiTheme="majorHAnsi" w:hAnsiTheme="majorHAnsi"/>
          <w:sz w:val="16"/>
          <w:szCs w:val="16"/>
        </w:rPr>
        <w:separator/>
      </w:r>
    </w:p>
    <w:p w14:paraId="11AE262C" w14:textId="77777777" w:rsidR="00A92200" w:rsidRPr="000F35ED" w:rsidRDefault="00A922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7699BD" w14:textId="77777777" w:rsidR="00A92200" w:rsidRPr="000F35ED" w:rsidRDefault="00A922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072E004" w14:textId="627DF4F1" w:rsidR="005A46D5" w:rsidRPr="00E52FF8" w:rsidRDefault="005A46D5" w:rsidP="00EE175E">
      <w:pPr>
        <w:pStyle w:val="FootnoteText"/>
        <w:tabs>
          <w:tab w:val="left" w:pos="3750"/>
        </w:tabs>
        <w:ind w:firstLine="720"/>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w:t>
      </w:r>
      <w:r w:rsidR="00EE175E" w:rsidRPr="00E52FF8">
        <w:rPr>
          <w:rFonts w:asciiTheme="majorHAnsi" w:hAnsiTheme="majorHAnsi"/>
          <w:sz w:val="16"/>
          <w:szCs w:val="16"/>
          <w:lang w:val="es-ES"/>
        </w:rPr>
        <w:t>María Francisca Gómez (madre).</w:t>
      </w:r>
      <w:r w:rsidR="00EE175E" w:rsidRPr="00E52FF8">
        <w:rPr>
          <w:rFonts w:asciiTheme="majorHAnsi" w:hAnsiTheme="majorHAnsi"/>
          <w:sz w:val="16"/>
          <w:szCs w:val="16"/>
          <w:lang w:val="es-ES"/>
        </w:rPr>
        <w:tab/>
      </w:r>
    </w:p>
  </w:footnote>
  <w:footnote w:id="3">
    <w:p w14:paraId="55D000E7" w14:textId="57813FFA" w:rsidR="005A46D5" w:rsidRPr="00E52FF8" w:rsidRDefault="005A46D5" w:rsidP="005A46D5">
      <w:pPr>
        <w:pStyle w:val="FootnoteText"/>
        <w:ind w:firstLine="720"/>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w:t>
      </w:r>
      <w:r w:rsidR="00EE175E" w:rsidRPr="00E52FF8">
        <w:rPr>
          <w:rFonts w:asciiTheme="majorHAnsi" w:hAnsiTheme="majorHAnsi"/>
          <w:sz w:val="16"/>
          <w:szCs w:val="16"/>
          <w:lang w:val="es-ES"/>
        </w:rPr>
        <w:t>Pedro Antonio Leiva (padre), María Yolanda Mejía (madre).</w:t>
      </w:r>
    </w:p>
  </w:footnote>
  <w:footnote w:id="4">
    <w:p w14:paraId="1E64DAD5" w14:textId="4C32E4D3" w:rsidR="005A46D5" w:rsidRPr="00E52FF8" w:rsidRDefault="005A46D5" w:rsidP="005A46D5">
      <w:pPr>
        <w:pStyle w:val="FootnoteText"/>
        <w:ind w:firstLine="720"/>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w:t>
      </w:r>
      <w:r w:rsidR="00EE175E" w:rsidRPr="00E52FF8">
        <w:rPr>
          <w:rFonts w:asciiTheme="majorHAnsi" w:hAnsiTheme="majorHAnsi"/>
          <w:sz w:val="16"/>
          <w:szCs w:val="16"/>
          <w:lang w:val="es-ES"/>
        </w:rPr>
        <w:t>José Amílcar Choto Pleitéz (padre), Gloria Esperanza Choto (madre).</w:t>
      </w:r>
    </w:p>
  </w:footnote>
  <w:footnote w:id="5">
    <w:p w14:paraId="6B7800C6" w14:textId="4B030BA3" w:rsidR="002765A3" w:rsidRPr="00E52FF8" w:rsidRDefault="002765A3" w:rsidP="001E0ECD">
      <w:pPr>
        <w:pStyle w:val="FootnoteText"/>
        <w:ind w:firstLine="720"/>
        <w:jc w:val="both"/>
        <w:rPr>
          <w:rFonts w:asciiTheme="majorHAnsi" w:hAnsiTheme="majorHAnsi"/>
          <w:color w:val="auto"/>
          <w:sz w:val="16"/>
          <w:szCs w:val="16"/>
          <w:lang w:val="es-BO"/>
        </w:rPr>
      </w:pPr>
      <w:r w:rsidRPr="00E52FF8">
        <w:rPr>
          <w:rStyle w:val="FootnoteReference"/>
          <w:rFonts w:asciiTheme="majorHAnsi" w:hAnsiTheme="majorHAnsi"/>
          <w:color w:val="auto"/>
          <w:sz w:val="16"/>
          <w:szCs w:val="16"/>
        </w:rPr>
        <w:footnoteRef/>
      </w:r>
      <w:r w:rsidRPr="00E52FF8">
        <w:rPr>
          <w:rFonts w:asciiTheme="majorHAnsi" w:hAnsiTheme="majorHAnsi"/>
          <w:color w:val="auto"/>
          <w:sz w:val="16"/>
          <w:szCs w:val="16"/>
          <w:lang w:val="es-BO"/>
        </w:rPr>
        <w:t xml:space="preserve"> En adelante “</w:t>
      </w:r>
      <w:r w:rsidR="00BA719D" w:rsidRPr="00E52FF8">
        <w:rPr>
          <w:rFonts w:asciiTheme="majorHAnsi" w:hAnsiTheme="majorHAnsi"/>
          <w:color w:val="auto"/>
          <w:sz w:val="16"/>
          <w:szCs w:val="16"/>
          <w:lang w:val="es-BO"/>
        </w:rPr>
        <w:t>l</w:t>
      </w:r>
      <w:r w:rsidRPr="00E52FF8">
        <w:rPr>
          <w:rFonts w:asciiTheme="majorHAnsi" w:hAnsiTheme="majorHAnsi"/>
          <w:color w:val="auto"/>
          <w:sz w:val="16"/>
          <w:szCs w:val="16"/>
          <w:lang w:val="es-BO"/>
        </w:rPr>
        <w:t>a Convención” o “</w:t>
      </w:r>
      <w:r w:rsidR="00BA719D" w:rsidRPr="00E52FF8">
        <w:rPr>
          <w:rFonts w:asciiTheme="majorHAnsi" w:hAnsiTheme="majorHAnsi"/>
          <w:color w:val="auto"/>
          <w:sz w:val="16"/>
          <w:szCs w:val="16"/>
          <w:lang w:val="es-BO"/>
        </w:rPr>
        <w:t xml:space="preserve">la </w:t>
      </w:r>
      <w:r w:rsidRPr="00E52FF8">
        <w:rPr>
          <w:rFonts w:asciiTheme="majorHAnsi" w:hAnsiTheme="majorHAnsi"/>
          <w:color w:val="auto"/>
          <w:sz w:val="16"/>
          <w:szCs w:val="16"/>
          <w:lang w:val="es-BO"/>
        </w:rPr>
        <w:t>Convención Americana”.</w:t>
      </w:r>
    </w:p>
  </w:footnote>
  <w:footnote w:id="6">
    <w:p w14:paraId="79F07139" w14:textId="77777777" w:rsidR="008E3BFE" w:rsidRPr="00E52FF8" w:rsidRDefault="008E3BFE" w:rsidP="001E0ECD">
      <w:pPr>
        <w:pStyle w:val="FootnoteText"/>
        <w:spacing w:after="120"/>
        <w:ind w:firstLine="720"/>
        <w:jc w:val="both"/>
        <w:rPr>
          <w:rFonts w:asciiTheme="majorHAnsi" w:hAnsiTheme="majorHAnsi"/>
          <w:sz w:val="16"/>
          <w:szCs w:val="16"/>
          <w:lang w:val="es-ES"/>
        </w:rPr>
      </w:pPr>
      <w:r w:rsidRPr="00E52FF8">
        <w:rPr>
          <w:rStyle w:val="FootnoteReference"/>
          <w:rFonts w:asciiTheme="majorHAnsi" w:hAnsiTheme="majorHAnsi"/>
          <w:color w:val="auto"/>
          <w:sz w:val="16"/>
          <w:szCs w:val="16"/>
        </w:rPr>
        <w:footnoteRef/>
      </w:r>
      <w:r w:rsidRPr="00E52FF8">
        <w:rPr>
          <w:rFonts w:asciiTheme="majorHAnsi" w:hAnsiTheme="majorHAnsi"/>
          <w:color w:val="auto"/>
          <w:sz w:val="16"/>
          <w:szCs w:val="16"/>
          <w:lang w:val="es-ES"/>
        </w:rPr>
        <w:t xml:space="preserve"> Las observaciones de cada parte fueron debidamente trasladadas a la parte contraria.</w:t>
      </w:r>
    </w:p>
  </w:footnote>
  <w:footnote w:id="7">
    <w:p w14:paraId="28D0E5F8" w14:textId="72B303D3" w:rsidR="001B6821" w:rsidRPr="00E52FF8" w:rsidRDefault="001B6821" w:rsidP="001B6821">
      <w:pPr>
        <w:pStyle w:val="FootnoteText"/>
        <w:ind w:firstLine="720"/>
        <w:jc w:val="both"/>
        <w:rPr>
          <w:rFonts w:asciiTheme="majorHAnsi" w:hAnsiTheme="majorHAnsi"/>
          <w:sz w:val="16"/>
          <w:szCs w:val="16"/>
          <w:lang w:val="es-AR"/>
        </w:rPr>
      </w:pPr>
      <w:r w:rsidRPr="00E52FF8">
        <w:rPr>
          <w:rStyle w:val="FootnoteReference"/>
          <w:rFonts w:asciiTheme="majorHAnsi" w:hAnsiTheme="majorHAnsi"/>
          <w:sz w:val="16"/>
          <w:szCs w:val="16"/>
        </w:rPr>
        <w:footnoteRef/>
      </w:r>
      <w:r w:rsidRPr="00E52FF8">
        <w:rPr>
          <w:rFonts w:asciiTheme="majorHAnsi" w:hAnsiTheme="majorHAnsi"/>
          <w:sz w:val="16"/>
          <w:szCs w:val="16"/>
          <w:lang w:val="es-AR"/>
        </w:rPr>
        <w:t xml:space="preserve"> En el anexo 10 de la petición inicial ante la CIDH se adjunta la sentencia del Tribunal de Sentencia de Sonsonate del 17 de noviembre de 2015.</w:t>
      </w:r>
    </w:p>
  </w:footnote>
  <w:footnote w:id="8">
    <w:p w14:paraId="5E07DEFF" w14:textId="77777777" w:rsidR="008B6987" w:rsidRPr="00E52FF8" w:rsidRDefault="008B6987" w:rsidP="001E0ECD">
      <w:pPr>
        <w:pStyle w:val="FootnoteText"/>
        <w:ind w:firstLine="720"/>
        <w:jc w:val="both"/>
        <w:rPr>
          <w:rFonts w:asciiTheme="majorHAnsi" w:hAnsiTheme="majorHAnsi"/>
          <w:color w:val="auto"/>
          <w:sz w:val="16"/>
          <w:szCs w:val="16"/>
          <w:lang w:val="es-ES"/>
        </w:rPr>
      </w:pPr>
      <w:r w:rsidRPr="00E52FF8">
        <w:rPr>
          <w:rStyle w:val="FootnoteReference"/>
          <w:rFonts w:asciiTheme="majorHAnsi" w:hAnsiTheme="majorHAnsi"/>
          <w:color w:val="auto"/>
          <w:sz w:val="16"/>
          <w:szCs w:val="16"/>
        </w:rPr>
        <w:footnoteRef/>
      </w:r>
      <w:r w:rsidRPr="00E52FF8">
        <w:rPr>
          <w:rFonts w:asciiTheme="majorHAnsi" w:hAnsiTheme="majorHAnsi"/>
          <w:color w:val="auto"/>
          <w:sz w:val="16"/>
          <w:szCs w:val="16"/>
          <w:lang w:val="es-ES"/>
        </w:rPr>
        <w:t xml:space="preserve"> CIDH, Informe No. 35/16, Petición 4480-02. Admisibilidad. Carlos Manuel Veraza Urtusuástegui. México. 29 de julio de 2016, párr. 33</w:t>
      </w:r>
    </w:p>
  </w:footnote>
  <w:footnote w:id="9">
    <w:p w14:paraId="6F02C2E9" w14:textId="77777777" w:rsidR="008B6987" w:rsidRPr="00E52FF8" w:rsidRDefault="008B6987" w:rsidP="001E0ECD">
      <w:pPr>
        <w:pStyle w:val="FootnoteText"/>
        <w:ind w:firstLine="720"/>
        <w:jc w:val="both"/>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Véase entre otros, CIDH. Informe 4/15, Admisibilidad, Petición 582/01, Raúl Rolando Romero Feris, Argentina, 29 de enero de 2015, párr. 40.</w:t>
      </w:r>
    </w:p>
  </w:footnote>
  <w:footnote w:id="10">
    <w:p w14:paraId="1CF1C187" w14:textId="77777777" w:rsidR="003C713F" w:rsidRPr="00E52FF8" w:rsidRDefault="003C713F" w:rsidP="001E0ECD">
      <w:pPr>
        <w:pStyle w:val="FootnoteText"/>
        <w:ind w:firstLine="720"/>
        <w:jc w:val="both"/>
        <w:rPr>
          <w:rFonts w:asciiTheme="majorHAnsi" w:hAnsiTheme="majorHAnsi"/>
          <w:sz w:val="16"/>
          <w:szCs w:val="16"/>
          <w:lang w:val="es-MX"/>
        </w:rPr>
      </w:pPr>
      <w:r w:rsidRPr="00E52FF8">
        <w:rPr>
          <w:rStyle w:val="FootnoteReference"/>
          <w:rFonts w:asciiTheme="majorHAnsi" w:hAnsiTheme="majorHAnsi"/>
          <w:sz w:val="16"/>
          <w:szCs w:val="16"/>
        </w:rPr>
        <w:footnoteRef/>
      </w:r>
      <w:r w:rsidRPr="00E52FF8">
        <w:rPr>
          <w:rFonts w:asciiTheme="majorHAnsi" w:hAnsiTheme="majorHAnsi"/>
          <w:sz w:val="16"/>
          <w:szCs w:val="16"/>
          <w:lang w:val="es-MX"/>
        </w:rPr>
        <w:t xml:space="preserve"> </w:t>
      </w:r>
      <w:r w:rsidRPr="00E52FF8">
        <w:rPr>
          <w:rFonts w:asciiTheme="majorHAnsi" w:hAnsiTheme="majorHAnsi"/>
          <w:sz w:val="16"/>
          <w:szCs w:val="16"/>
          <w:lang w:val="es-ES"/>
        </w:rPr>
        <w:t>CIDH, Informe N° 14/08, Petición 652-04. Admisibilidad. Hugo Humberto Ruíz Fuentes. Guatemala. 5 de marzo de 2008, párr. 68.</w:t>
      </w:r>
    </w:p>
  </w:footnote>
  <w:footnote w:id="11">
    <w:p w14:paraId="019A2107" w14:textId="77777777" w:rsidR="003C713F" w:rsidRPr="00E52FF8" w:rsidRDefault="003C713F" w:rsidP="001E0ECD">
      <w:pPr>
        <w:pStyle w:val="FootnoteText"/>
        <w:ind w:firstLine="720"/>
        <w:jc w:val="both"/>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SV"/>
        </w:rPr>
        <w:t xml:space="preserve"> </w:t>
      </w:r>
      <w:r w:rsidRPr="00E52FF8">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07983B7F" w14:textId="77777777" w:rsidR="00AD06C1" w:rsidRPr="00E52FF8" w:rsidRDefault="00AD06C1" w:rsidP="001E0ECD">
      <w:pPr>
        <w:pStyle w:val="FootnoteText"/>
        <w:ind w:firstLine="720"/>
        <w:jc w:val="both"/>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El artículo 46.1.b) de la Convención Americana dispone: 1. 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p>
  </w:footnote>
  <w:footnote w:id="13">
    <w:p w14:paraId="32317E5C" w14:textId="77777777" w:rsidR="00AD06C1" w:rsidRPr="00E52FF8" w:rsidRDefault="00AD06C1" w:rsidP="001E0ECD">
      <w:pPr>
        <w:pStyle w:val="FootnoteText"/>
        <w:ind w:firstLine="720"/>
        <w:jc w:val="both"/>
        <w:rPr>
          <w:rFonts w:asciiTheme="majorHAnsi" w:hAnsiTheme="majorHAnsi"/>
          <w:sz w:val="16"/>
          <w:szCs w:val="16"/>
          <w:lang w:val="es-ES"/>
        </w:rPr>
      </w:pPr>
      <w:r w:rsidRPr="00E52FF8">
        <w:rPr>
          <w:rStyle w:val="FootnoteReference"/>
          <w:rFonts w:asciiTheme="majorHAnsi" w:hAnsiTheme="majorHAnsi"/>
          <w:sz w:val="16"/>
          <w:szCs w:val="16"/>
        </w:rPr>
        <w:footnoteRef/>
      </w:r>
      <w:r w:rsidRPr="00E52FF8">
        <w:rPr>
          <w:rFonts w:asciiTheme="majorHAnsi" w:hAnsiTheme="majorHAnsi"/>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4">
    <w:p w14:paraId="267E879A" w14:textId="07184FDF" w:rsidR="009E4657" w:rsidRPr="00A53E39" w:rsidRDefault="009E4657" w:rsidP="001E0ECD">
      <w:pPr>
        <w:pStyle w:val="FootnoteText"/>
        <w:ind w:firstLine="720"/>
        <w:jc w:val="both"/>
        <w:rPr>
          <w:rFonts w:asciiTheme="majorHAnsi" w:hAnsiTheme="majorHAnsi"/>
          <w:sz w:val="16"/>
          <w:szCs w:val="16"/>
          <w:lang w:val="es-AR"/>
        </w:rPr>
      </w:pPr>
      <w:r w:rsidRPr="00E52FF8">
        <w:rPr>
          <w:rStyle w:val="FootnoteReference"/>
          <w:rFonts w:asciiTheme="majorHAnsi" w:hAnsiTheme="majorHAnsi"/>
          <w:sz w:val="16"/>
          <w:szCs w:val="16"/>
        </w:rPr>
        <w:footnoteRef/>
      </w:r>
      <w:r w:rsidRPr="00E52FF8">
        <w:rPr>
          <w:rFonts w:asciiTheme="majorHAnsi" w:hAnsiTheme="majorHAnsi"/>
          <w:sz w:val="16"/>
          <w:szCs w:val="16"/>
          <w:lang w:val="es-AR"/>
        </w:rPr>
        <w:t xml:space="preserve"> Informe del país El Salvador. Situación de derechos humanos en El Salvador. Pág.32, párr.65. OEA/Ser.L/V/II. Doc. 278 14 octubre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2654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CFB"/>
    <w:rsid w:val="00006E1F"/>
    <w:rsid w:val="00006FA1"/>
    <w:rsid w:val="0000704A"/>
    <w:rsid w:val="000070D7"/>
    <w:rsid w:val="00012FB7"/>
    <w:rsid w:val="0001788C"/>
    <w:rsid w:val="00027F04"/>
    <w:rsid w:val="000337EF"/>
    <w:rsid w:val="00033B85"/>
    <w:rsid w:val="00040C3A"/>
    <w:rsid w:val="000419AD"/>
    <w:rsid w:val="000433C9"/>
    <w:rsid w:val="00065915"/>
    <w:rsid w:val="000716C5"/>
    <w:rsid w:val="00075E23"/>
    <w:rsid w:val="00076ABA"/>
    <w:rsid w:val="0008645E"/>
    <w:rsid w:val="0009344A"/>
    <w:rsid w:val="000960E6"/>
    <w:rsid w:val="000A392E"/>
    <w:rsid w:val="000A575F"/>
    <w:rsid w:val="000A7B26"/>
    <w:rsid w:val="000D05CB"/>
    <w:rsid w:val="000D10DB"/>
    <w:rsid w:val="000D46FE"/>
    <w:rsid w:val="000E00E7"/>
    <w:rsid w:val="000E2BCF"/>
    <w:rsid w:val="000E5EB5"/>
    <w:rsid w:val="000F35ED"/>
    <w:rsid w:val="00107131"/>
    <w:rsid w:val="0010736F"/>
    <w:rsid w:val="00113F73"/>
    <w:rsid w:val="001217E4"/>
    <w:rsid w:val="00121CC2"/>
    <w:rsid w:val="00126CF6"/>
    <w:rsid w:val="00131425"/>
    <w:rsid w:val="00133EE5"/>
    <w:rsid w:val="00134F8A"/>
    <w:rsid w:val="00167A34"/>
    <w:rsid w:val="001756EF"/>
    <w:rsid w:val="00190BE5"/>
    <w:rsid w:val="001A0479"/>
    <w:rsid w:val="001A6C84"/>
    <w:rsid w:val="001A7870"/>
    <w:rsid w:val="001B3A00"/>
    <w:rsid w:val="001B5A9A"/>
    <w:rsid w:val="001B6821"/>
    <w:rsid w:val="001C1B41"/>
    <w:rsid w:val="001D65EF"/>
    <w:rsid w:val="001E0ECD"/>
    <w:rsid w:val="001E49E7"/>
    <w:rsid w:val="001F5D6D"/>
    <w:rsid w:val="001F7201"/>
    <w:rsid w:val="0020791A"/>
    <w:rsid w:val="00213498"/>
    <w:rsid w:val="00223A29"/>
    <w:rsid w:val="002250A3"/>
    <w:rsid w:val="00235217"/>
    <w:rsid w:val="00235711"/>
    <w:rsid w:val="00246D1F"/>
    <w:rsid w:val="00247403"/>
    <w:rsid w:val="00247542"/>
    <w:rsid w:val="00264450"/>
    <w:rsid w:val="00266B61"/>
    <w:rsid w:val="0026712A"/>
    <w:rsid w:val="002704DB"/>
    <w:rsid w:val="00271223"/>
    <w:rsid w:val="00274901"/>
    <w:rsid w:val="002765A3"/>
    <w:rsid w:val="002A0AAE"/>
    <w:rsid w:val="002A5820"/>
    <w:rsid w:val="002B7F5D"/>
    <w:rsid w:val="002C077F"/>
    <w:rsid w:val="002C2C36"/>
    <w:rsid w:val="002D2B26"/>
    <w:rsid w:val="002D7EA2"/>
    <w:rsid w:val="002E187C"/>
    <w:rsid w:val="002F3730"/>
    <w:rsid w:val="002F5081"/>
    <w:rsid w:val="00302733"/>
    <w:rsid w:val="00314078"/>
    <w:rsid w:val="0031535D"/>
    <w:rsid w:val="00317688"/>
    <w:rsid w:val="003239B8"/>
    <w:rsid w:val="0033169F"/>
    <w:rsid w:val="003335BC"/>
    <w:rsid w:val="00337584"/>
    <w:rsid w:val="00341779"/>
    <w:rsid w:val="00344977"/>
    <w:rsid w:val="00346C95"/>
    <w:rsid w:val="00356185"/>
    <w:rsid w:val="00360380"/>
    <w:rsid w:val="00365F1E"/>
    <w:rsid w:val="0037519E"/>
    <w:rsid w:val="00381999"/>
    <w:rsid w:val="00385450"/>
    <w:rsid w:val="00386CF0"/>
    <w:rsid w:val="00396279"/>
    <w:rsid w:val="003A69DB"/>
    <w:rsid w:val="003B70FB"/>
    <w:rsid w:val="003C676B"/>
    <w:rsid w:val="003C713F"/>
    <w:rsid w:val="003D2B59"/>
    <w:rsid w:val="003D3BC2"/>
    <w:rsid w:val="003D7DC6"/>
    <w:rsid w:val="003E6CA1"/>
    <w:rsid w:val="00405F9C"/>
    <w:rsid w:val="004065A8"/>
    <w:rsid w:val="0041589B"/>
    <w:rsid w:val="004165C2"/>
    <w:rsid w:val="0041678D"/>
    <w:rsid w:val="00426548"/>
    <w:rsid w:val="00427264"/>
    <w:rsid w:val="00431C4F"/>
    <w:rsid w:val="00432BA2"/>
    <w:rsid w:val="004404C0"/>
    <w:rsid w:val="00441524"/>
    <w:rsid w:val="00441ECB"/>
    <w:rsid w:val="00445193"/>
    <w:rsid w:val="00462C1B"/>
    <w:rsid w:val="00467B7E"/>
    <w:rsid w:val="00473BB4"/>
    <w:rsid w:val="00477592"/>
    <w:rsid w:val="004858FD"/>
    <w:rsid w:val="00486F1C"/>
    <w:rsid w:val="0049419D"/>
    <w:rsid w:val="0049437B"/>
    <w:rsid w:val="004A6A54"/>
    <w:rsid w:val="004B18E7"/>
    <w:rsid w:val="004C20D2"/>
    <w:rsid w:val="004C2312"/>
    <w:rsid w:val="004C4B62"/>
    <w:rsid w:val="004C54C9"/>
    <w:rsid w:val="004D4ABA"/>
    <w:rsid w:val="004D57EF"/>
    <w:rsid w:val="004D6025"/>
    <w:rsid w:val="004E2649"/>
    <w:rsid w:val="004E6BFF"/>
    <w:rsid w:val="004F2F57"/>
    <w:rsid w:val="004F626F"/>
    <w:rsid w:val="004F670C"/>
    <w:rsid w:val="004F7450"/>
    <w:rsid w:val="00501399"/>
    <w:rsid w:val="0050633D"/>
    <w:rsid w:val="00507BC4"/>
    <w:rsid w:val="005128E4"/>
    <w:rsid w:val="005133DB"/>
    <w:rsid w:val="00514504"/>
    <w:rsid w:val="0052040D"/>
    <w:rsid w:val="00525560"/>
    <w:rsid w:val="00544C49"/>
    <w:rsid w:val="005516A1"/>
    <w:rsid w:val="005559EF"/>
    <w:rsid w:val="005564B7"/>
    <w:rsid w:val="00563557"/>
    <w:rsid w:val="00563A5F"/>
    <w:rsid w:val="00564D39"/>
    <w:rsid w:val="00571CAF"/>
    <w:rsid w:val="0057402A"/>
    <w:rsid w:val="005771D0"/>
    <w:rsid w:val="005866CA"/>
    <w:rsid w:val="0059191A"/>
    <w:rsid w:val="005921FF"/>
    <w:rsid w:val="00594507"/>
    <w:rsid w:val="00596937"/>
    <w:rsid w:val="005A0D56"/>
    <w:rsid w:val="005A24ED"/>
    <w:rsid w:val="005A254F"/>
    <w:rsid w:val="005A46D5"/>
    <w:rsid w:val="005A58B5"/>
    <w:rsid w:val="005A6D0E"/>
    <w:rsid w:val="005B52B0"/>
    <w:rsid w:val="005B6806"/>
    <w:rsid w:val="005C4225"/>
    <w:rsid w:val="005D38F9"/>
    <w:rsid w:val="005D4496"/>
    <w:rsid w:val="005D68B3"/>
    <w:rsid w:val="005F0DAD"/>
    <w:rsid w:val="005F0F33"/>
    <w:rsid w:val="005F1890"/>
    <w:rsid w:val="00600DEB"/>
    <w:rsid w:val="00604667"/>
    <w:rsid w:val="00613BFD"/>
    <w:rsid w:val="00627816"/>
    <w:rsid w:val="00627C9F"/>
    <w:rsid w:val="006311E9"/>
    <w:rsid w:val="00632354"/>
    <w:rsid w:val="00634222"/>
    <w:rsid w:val="00634C9C"/>
    <w:rsid w:val="00635421"/>
    <w:rsid w:val="00640349"/>
    <w:rsid w:val="00642810"/>
    <w:rsid w:val="00652333"/>
    <w:rsid w:val="0065604F"/>
    <w:rsid w:val="0068009E"/>
    <w:rsid w:val="006876F3"/>
    <w:rsid w:val="0069106E"/>
    <w:rsid w:val="00692219"/>
    <w:rsid w:val="00697A6E"/>
    <w:rsid w:val="006A121D"/>
    <w:rsid w:val="006A17D2"/>
    <w:rsid w:val="006A73E6"/>
    <w:rsid w:val="006B2D5C"/>
    <w:rsid w:val="006C477F"/>
    <w:rsid w:val="006C4DF4"/>
    <w:rsid w:val="006C4EB1"/>
    <w:rsid w:val="006D2B97"/>
    <w:rsid w:val="006E0166"/>
    <w:rsid w:val="006E2FFB"/>
    <w:rsid w:val="006E7B34"/>
    <w:rsid w:val="0070697F"/>
    <w:rsid w:val="0072199C"/>
    <w:rsid w:val="00722C9F"/>
    <w:rsid w:val="007253B8"/>
    <w:rsid w:val="00734BC7"/>
    <w:rsid w:val="0073741F"/>
    <w:rsid w:val="00751F13"/>
    <w:rsid w:val="00755AE9"/>
    <w:rsid w:val="0076643F"/>
    <w:rsid w:val="00777F63"/>
    <w:rsid w:val="00787D7C"/>
    <w:rsid w:val="007A150C"/>
    <w:rsid w:val="007A22B9"/>
    <w:rsid w:val="007A5817"/>
    <w:rsid w:val="007B05C4"/>
    <w:rsid w:val="007B20D5"/>
    <w:rsid w:val="007B60E9"/>
    <w:rsid w:val="007B6CC3"/>
    <w:rsid w:val="007B76D3"/>
    <w:rsid w:val="007C3334"/>
    <w:rsid w:val="007D2B98"/>
    <w:rsid w:val="007E21BC"/>
    <w:rsid w:val="007E7C82"/>
    <w:rsid w:val="007F1B13"/>
    <w:rsid w:val="007F2AA1"/>
    <w:rsid w:val="007F588D"/>
    <w:rsid w:val="00803F1C"/>
    <w:rsid w:val="0080600E"/>
    <w:rsid w:val="00812C1B"/>
    <w:rsid w:val="00814688"/>
    <w:rsid w:val="00817612"/>
    <w:rsid w:val="00823DEC"/>
    <w:rsid w:val="008338A4"/>
    <w:rsid w:val="00833E2F"/>
    <w:rsid w:val="008343C7"/>
    <w:rsid w:val="00834D49"/>
    <w:rsid w:val="008353B5"/>
    <w:rsid w:val="00835D41"/>
    <w:rsid w:val="00837C45"/>
    <w:rsid w:val="00844730"/>
    <w:rsid w:val="00844CF2"/>
    <w:rsid w:val="008457C2"/>
    <w:rsid w:val="0085048B"/>
    <w:rsid w:val="00855359"/>
    <w:rsid w:val="00857A82"/>
    <w:rsid w:val="008616BE"/>
    <w:rsid w:val="00866E07"/>
    <w:rsid w:val="00867314"/>
    <w:rsid w:val="00873836"/>
    <w:rsid w:val="008819C7"/>
    <w:rsid w:val="00885737"/>
    <w:rsid w:val="00890650"/>
    <w:rsid w:val="008947AD"/>
    <w:rsid w:val="00897E12"/>
    <w:rsid w:val="008A7E0F"/>
    <w:rsid w:val="008B12F5"/>
    <w:rsid w:val="008B6987"/>
    <w:rsid w:val="008C2873"/>
    <w:rsid w:val="008C34B9"/>
    <w:rsid w:val="008C5E2D"/>
    <w:rsid w:val="008C7E61"/>
    <w:rsid w:val="008D768D"/>
    <w:rsid w:val="008E3759"/>
    <w:rsid w:val="008E3BFE"/>
    <w:rsid w:val="008F1912"/>
    <w:rsid w:val="0090270B"/>
    <w:rsid w:val="009041DC"/>
    <w:rsid w:val="00915EEE"/>
    <w:rsid w:val="00917B5A"/>
    <w:rsid w:val="00920A58"/>
    <w:rsid w:val="00920A8C"/>
    <w:rsid w:val="00930ECA"/>
    <w:rsid w:val="00934A2C"/>
    <w:rsid w:val="00947109"/>
    <w:rsid w:val="00956DA4"/>
    <w:rsid w:val="009578B1"/>
    <w:rsid w:val="0096706E"/>
    <w:rsid w:val="00974491"/>
    <w:rsid w:val="00975C4E"/>
    <w:rsid w:val="00980A6D"/>
    <w:rsid w:val="00981FBA"/>
    <w:rsid w:val="00990EC1"/>
    <w:rsid w:val="009927DA"/>
    <w:rsid w:val="00997BC5"/>
    <w:rsid w:val="009A29A6"/>
    <w:rsid w:val="009A45E1"/>
    <w:rsid w:val="009A4F41"/>
    <w:rsid w:val="009B381B"/>
    <w:rsid w:val="009B700F"/>
    <w:rsid w:val="009D1753"/>
    <w:rsid w:val="009D1988"/>
    <w:rsid w:val="009D6405"/>
    <w:rsid w:val="009D68B1"/>
    <w:rsid w:val="009D7611"/>
    <w:rsid w:val="009E0B61"/>
    <w:rsid w:val="009E187C"/>
    <w:rsid w:val="009E4657"/>
    <w:rsid w:val="009E53DE"/>
    <w:rsid w:val="009F5979"/>
    <w:rsid w:val="00A11212"/>
    <w:rsid w:val="00A11E44"/>
    <w:rsid w:val="00A30100"/>
    <w:rsid w:val="00A328B3"/>
    <w:rsid w:val="00A345F5"/>
    <w:rsid w:val="00A50DFB"/>
    <w:rsid w:val="00A50FCF"/>
    <w:rsid w:val="00A528D1"/>
    <w:rsid w:val="00A53E39"/>
    <w:rsid w:val="00A573C1"/>
    <w:rsid w:val="00A610CD"/>
    <w:rsid w:val="00A758AA"/>
    <w:rsid w:val="00A82405"/>
    <w:rsid w:val="00A85485"/>
    <w:rsid w:val="00A915C8"/>
    <w:rsid w:val="00A92200"/>
    <w:rsid w:val="00A9340E"/>
    <w:rsid w:val="00AA09A2"/>
    <w:rsid w:val="00AA3546"/>
    <w:rsid w:val="00AA7996"/>
    <w:rsid w:val="00AB3532"/>
    <w:rsid w:val="00AC0007"/>
    <w:rsid w:val="00AC19CB"/>
    <w:rsid w:val="00AC229A"/>
    <w:rsid w:val="00AD06C1"/>
    <w:rsid w:val="00AE5488"/>
    <w:rsid w:val="00AE6F91"/>
    <w:rsid w:val="00AF5571"/>
    <w:rsid w:val="00AF6F81"/>
    <w:rsid w:val="00B0143E"/>
    <w:rsid w:val="00B07341"/>
    <w:rsid w:val="00B2477C"/>
    <w:rsid w:val="00B30539"/>
    <w:rsid w:val="00B314DB"/>
    <w:rsid w:val="00B3247F"/>
    <w:rsid w:val="00B361F2"/>
    <w:rsid w:val="00B3718B"/>
    <w:rsid w:val="00B3745F"/>
    <w:rsid w:val="00B4632A"/>
    <w:rsid w:val="00B47C16"/>
    <w:rsid w:val="00B530F1"/>
    <w:rsid w:val="00B54564"/>
    <w:rsid w:val="00B571F3"/>
    <w:rsid w:val="00B74B05"/>
    <w:rsid w:val="00B771B9"/>
    <w:rsid w:val="00B90E28"/>
    <w:rsid w:val="00B92758"/>
    <w:rsid w:val="00BA276C"/>
    <w:rsid w:val="00BA2875"/>
    <w:rsid w:val="00BA435C"/>
    <w:rsid w:val="00BA719D"/>
    <w:rsid w:val="00BA7F18"/>
    <w:rsid w:val="00BB25E0"/>
    <w:rsid w:val="00BB306F"/>
    <w:rsid w:val="00BC24AE"/>
    <w:rsid w:val="00BC48F1"/>
    <w:rsid w:val="00BD4992"/>
    <w:rsid w:val="00BD4B89"/>
    <w:rsid w:val="00BD4CFC"/>
    <w:rsid w:val="00BD5922"/>
    <w:rsid w:val="00BD5B5C"/>
    <w:rsid w:val="00BF02CB"/>
    <w:rsid w:val="00BF6FD8"/>
    <w:rsid w:val="00C03680"/>
    <w:rsid w:val="00C054DF"/>
    <w:rsid w:val="00C06A27"/>
    <w:rsid w:val="00C21762"/>
    <w:rsid w:val="00C21957"/>
    <w:rsid w:val="00C21FEF"/>
    <w:rsid w:val="00C23BA4"/>
    <w:rsid w:val="00C24543"/>
    <w:rsid w:val="00C256A2"/>
    <w:rsid w:val="00C25ADB"/>
    <w:rsid w:val="00C51509"/>
    <w:rsid w:val="00C51515"/>
    <w:rsid w:val="00C5660B"/>
    <w:rsid w:val="00C57AD2"/>
    <w:rsid w:val="00C66B72"/>
    <w:rsid w:val="00C77D56"/>
    <w:rsid w:val="00C8283D"/>
    <w:rsid w:val="00C83BC7"/>
    <w:rsid w:val="00C87AC4"/>
    <w:rsid w:val="00C934ED"/>
    <w:rsid w:val="00C93FEF"/>
    <w:rsid w:val="00C94BB6"/>
    <w:rsid w:val="00C9567A"/>
    <w:rsid w:val="00CB212D"/>
    <w:rsid w:val="00CB2660"/>
    <w:rsid w:val="00CC421A"/>
    <w:rsid w:val="00CC5E90"/>
    <w:rsid w:val="00CC7A40"/>
    <w:rsid w:val="00CD046C"/>
    <w:rsid w:val="00CD2D9D"/>
    <w:rsid w:val="00CD73A3"/>
    <w:rsid w:val="00CE076C"/>
    <w:rsid w:val="00CE5199"/>
    <w:rsid w:val="00CE66D5"/>
    <w:rsid w:val="00CE7F6B"/>
    <w:rsid w:val="00CF23C5"/>
    <w:rsid w:val="00CF637A"/>
    <w:rsid w:val="00D059DE"/>
    <w:rsid w:val="00D05ABD"/>
    <w:rsid w:val="00D13A3A"/>
    <w:rsid w:val="00D13FCE"/>
    <w:rsid w:val="00D306D1"/>
    <w:rsid w:val="00D30800"/>
    <w:rsid w:val="00D34786"/>
    <w:rsid w:val="00D3528C"/>
    <w:rsid w:val="00D37BFC"/>
    <w:rsid w:val="00D42CAA"/>
    <w:rsid w:val="00D47A8E"/>
    <w:rsid w:val="00D52D14"/>
    <w:rsid w:val="00D55BD4"/>
    <w:rsid w:val="00D567F7"/>
    <w:rsid w:val="00D712D3"/>
    <w:rsid w:val="00D71422"/>
    <w:rsid w:val="00D72DC6"/>
    <w:rsid w:val="00D7558D"/>
    <w:rsid w:val="00D81D92"/>
    <w:rsid w:val="00D83E47"/>
    <w:rsid w:val="00D876F9"/>
    <w:rsid w:val="00DA14F9"/>
    <w:rsid w:val="00DA7B5F"/>
    <w:rsid w:val="00DB43F5"/>
    <w:rsid w:val="00DB4621"/>
    <w:rsid w:val="00DC11E7"/>
    <w:rsid w:val="00DC24E3"/>
    <w:rsid w:val="00DC593D"/>
    <w:rsid w:val="00DC7023"/>
    <w:rsid w:val="00DC769A"/>
    <w:rsid w:val="00DD3D86"/>
    <w:rsid w:val="00DD4AD2"/>
    <w:rsid w:val="00DE007E"/>
    <w:rsid w:val="00DF1EC4"/>
    <w:rsid w:val="00DF3857"/>
    <w:rsid w:val="00DF59E7"/>
    <w:rsid w:val="00E00F84"/>
    <w:rsid w:val="00E0340B"/>
    <w:rsid w:val="00E04A90"/>
    <w:rsid w:val="00E0551F"/>
    <w:rsid w:val="00E104FB"/>
    <w:rsid w:val="00E219C7"/>
    <w:rsid w:val="00E25E92"/>
    <w:rsid w:val="00E2719F"/>
    <w:rsid w:val="00E36A4E"/>
    <w:rsid w:val="00E37F01"/>
    <w:rsid w:val="00E4118C"/>
    <w:rsid w:val="00E43157"/>
    <w:rsid w:val="00E461CE"/>
    <w:rsid w:val="00E52FF8"/>
    <w:rsid w:val="00E573E4"/>
    <w:rsid w:val="00E63662"/>
    <w:rsid w:val="00E64C3D"/>
    <w:rsid w:val="00E720CA"/>
    <w:rsid w:val="00E737E2"/>
    <w:rsid w:val="00E82DDC"/>
    <w:rsid w:val="00E84EB5"/>
    <w:rsid w:val="00E85662"/>
    <w:rsid w:val="00E8789F"/>
    <w:rsid w:val="00E90ABD"/>
    <w:rsid w:val="00E93616"/>
    <w:rsid w:val="00E976EF"/>
    <w:rsid w:val="00E97B71"/>
    <w:rsid w:val="00EA3D34"/>
    <w:rsid w:val="00EB454D"/>
    <w:rsid w:val="00ED549D"/>
    <w:rsid w:val="00ED76BE"/>
    <w:rsid w:val="00EE00E9"/>
    <w:rsid w:val="00EE175E"/>
    <w:rsid w:val="00EE5B54"/>
    <w:rsid w:val="00EE5BC1"/>
    <w:rsid w:val="00EF1AAA"/>
    <w:rsid w:val="00EF3196"/>
    <w:rsid w:val="00EF5DE3"/>
    <w:rsid w:val="00EF619B"/>
    <w:rsid w:val="00F00B55"/>
    <w:rsid w:val="00F02AD1"/>
    <w:rsid w:val="00F03E3E"/>
    <w:rsid w:val="00F253CC"/>
    <w:rsid w:val="00F37106"/>
    <w:rsid w:val="00F40999"/>
    <w:rsid w:val="00F44E25"/>
    <w:rsid w:val="00F519CF"/>
    <w:rsid w:val="00F56BA5"/>
    <w:rsid w:val="00F571F9"/>
    <w:rsid w:val="00F60E22"/>
    <w:rsid w:val="00F613DD"/>
    <w:rsid w:val="00F64959"/>
    <w:rsid w:val="00F65BB3"/>
    <w:rsid w:val="00F81395"/>
    <w:rsid w:val="00F81BB8"/>
    <w:rsid w:val="00F83615"/>
    <w:rsid w:val="00F90C64"/>
    <w:rsid w:val="00F917D1"/>
    <w:rsid w:val="00F95EBD"/>
    <w:rsid w:val="00F9653B"/>
    <w:rsid w:val="00FB3681"/>
    <w:rsid w:val="00FB62CF"/>
    <w:rsid w:val="00FC6D3D"/>
    <w:rsid w:val="00FD34F0"/>
    <w:rsid w:val="00FD3C3B"/>
    <w:rsid w:val="00FD68FC"/>
    <w:rsid w:val="00FD723D"/>
    <w:rsid w:val="00FE07DD"/>
    <w:rsid w:val="00FE259B"/>
    <w:rsid w:val="00FE6B45"/>
    <w:rsid w:val="00FF075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D06C1"/>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271223"/>
    <w:rPr>
      <w:sz w:val="16"/>
      <w:szCs w:val="16"/>
    </w:rPr>
  </w:style>
  <w:style w:type="paragraph" w:styleId="CommentText">
    <w:name w:val="annotation text"/>
    <w:basedOn w:val="Normal"/>
    <w:link w:val="CommentTextChar"/>
    <w:uiPriority w:val="99"/>
    <w:unhideWhenUsed/>
    <w:rsid w:val="00271223"/>
    <w:rPr>
      <w:sz w:val="20"/>
      <w:szCs w:val="20"/>
    </w:rPr>
  </w:style>
  <w:style w:type="character" w:customStyle="1" w:styleId="CommentTextChar">
    <w:name w:val="Comment Text Char"/>
    <w:basedOn w:val="DefaultParagraphFont"/>
    <w:link w:val="CommentText"/>
    <w:uiPriority w:val="99"/>
    <w:rsid w:val="00271223"/>
    <w:rPr>
      <w:lang w:val="en-US" w:eastAsia="en-US"/>
    </w:rPr>
  </w:style>
  <w:style w:type="paragraph" w:styleId="CommentSubject">
    <w:name w:val="annotation subject"/>
    <w:basedOn w:val="CommentText"/>
    <w:next w:val="CommentText"/>
    <w:link w:val="CommentSubjectChar"/>
    <w:uiPriority w:val="99"/>
    <w:semiHidden/>
    <w:unhideWhenUsed/>
    <w:rsid w:val="00271223"/>
    <w:rPr>
      <w:b/>
      <w:bCs/>
    </w:rPr>
  </w:style>
  <w:style w:type="character" w:customStyle="1" w:styleId="CommentSubjectChar">
    <w:name w:val="Comment Subject Char"/>
    <w:basedOn w:val="CommentTextChar"/>
    <w:link w:val="CommentSubject"/>
    <w:uiPriority w:val="99"/>
    <w:semiHidden/>
    <w:rsid w:val="00271223"/>
    <w:rPr>
      <w:b/>
      <w:bCs/>
      <w:lang w:val="en-US" w:eastAsia="en-US"/>
    </w:rPr>
  </w:style>
  <w:style w:type="paragraph" w:customStyle="1" w:styleId="paragraph">
    <w:name w:val="paragraph"/>
    <w:basedOn w:val="Normal"/>
    <w:rsid w:val="00FD34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D34F0"/>
  </w:style>
  <w:style w:type="character" w:customStyle="1" w:styleId="eop">
    <w:name w:val="eop"/>
    <w:basedOn w:val="DefaultParagraphFont"/>
    <w:rsid w:val="00FD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7AF0"/>
    <w:rsid w:val="00200821"/>
    <w:rsid w:val="00233A51"/>
    <w:rsid w:val="00250554"/>
    <w:rsid w:val="0025245B"/>
    <w:rsid w:val="002A3923"/>
    <w:rsid w:val="00394049"/>
    <w:rsid w:val="004117F3"/>
    <w:rsid w:val="00436B58"/>
    <w:rsid w:val="004B5BBB"/>
    <w:rsid w:val="004F2DF8"/>
    <w:rsid w:val="006815B9"/>
    <w:rsid w:val="00683970"/>
    <w:rsid w:val="006F24A1"/>
    <w:rsid w:val="007258EB"/>
    <w:rsid w:val="007B3402"/>
    <w:rsid w:val="00973B74"/>
    <w:rsid w:val="009A261B"/>
    <w:rsid w:val="00AA2E17"/>
    <w:rsid w:val="00AC15A4"/>
    <w:rsid w:val="00B0336C"/>
    <w:rsid w:val="00B87169"/>
    <w:rsid w:val="00D241E9"/>
    <w:rsid w:val="00D7750D"/>
    <w:rsid w:val="00DE25EA"/>
    <w:rsid w:val="00DE5381"/>
    <w:rsid w:val="00E718B6"/>
    <w:rsid w:val="00ED5CFC"/>
    <w:rsid w:val="00F00D2F"/>
    <w:rsid w:val="00F128DF"/>
    <w:rsid w:val="00F21320"/>
    <w:rsid w:val="00F46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4528</Words>
  <Characters>25812</Characters>
  <Application>Microsoft Office Word</Application>
  <DocSecurity>0</DocSecurity>
  <Lines>215</Lines>
  <Paragraphs>60</Paragraphs>
  <ScaleCrop>false</ScaleCrop>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