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AABF" w14:textId="77777777" w:rsidR="00040C3A" w:rsidRPr="00DE2580" w:rsidRDefault="00F1246F" w:rsidP="001E4D7D">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88960" behindDoc="1" locked="0" layoutInCell="1" allowOverlap="1" wp14:anchorId="612E73C2" wp14:editId="4E1BC898">
                <wp:simplePos x="0" y="0"/>
                <wp:positionH relativeFrom="column">
                  <wp:posOffset>-555955</wp:posOffset>
                </wp:positionH>
                <wp:positionV relativeFrom="paragraph">
                  <wp:posOffset>-504749</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5CF865" id="Rectangle 1" o:spid="_x0000_s1026" style="position:absolute;margin-left:-43.8pt;margin-top:-39.75pt;width:121.5pt;height:71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" fillcolor="#4a7194" stroked="f" strokeweight="2pt"/>
            </w:pict>
          </mc:Fallback>
        </mc:AlternateContent>
      </w:r>
      <w:r w:rsidR="00EF4F97" w:rsidRPr="00DE258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AEB575F" wp14:editId="51839D6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3387" w14:textId="77777777" w:rsidR="0032063E" w:rsidRDefault="0032063E">
                            <w:r>
                              <w:t xml:space="preserve"> </w:t>
                            </w:r>
                            <w:r>
                              <w:rPr>
                                <w:noProof/>
                              </w:rPr>
                              <w:drawing>
                                <wp:inline distT="0" distB="0" distL="0" distR="0" wp14:anchorId="4E9ED0CB" wp14:editId="3DBCDA4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B575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0A753387" w14:textId="77777777" w:rsidR="0032063E" w:rsidRDefault="0032063E">
                      <w:r>
                        <w:t xml:space="preserve"> </w:t>
                      </w:r>
                      <w:r>
                        <w:rPr>
                          <w:noProof/>
                        </w:rPr>
                        <w:drawing>
                          <wp:inline distT="0" distB="0" distL="0" distR="0" wp14:anchorId="4E9ED0CB" wp14:editId="3DBCDA4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20AF36E2" w14:textId="77777777" w:rsidR="00040C3A" w:rsidRPr="00DE2580" w:rsidRDefault="00040C3A" w:rsidP="00040C3A">
      <w:pPr>
        <w:tabs>
          <w:tab w:val="center" w:pos="5400"/>
        </w:tabs>
        <w:suppressAutoHyphens/>
        <w:jc w:val="both"/>
        <w:rPr>
          <w:rFonts w:asciiTheme="majorHAnsi" w:hAnsiTheme="majorHAnsi"/>
          <w:sz w:val="22"/>
          <w:szCs w:val="22"/>
          <w:lang w:val="es-ES"/>
        </w:rPr>
      </w:pPr>
    </w:p>
    <w:p w14:paraId="7CD9393D" w14:textId="77777777" w:rsidR="00040C3A" w:rsidRPr="00DE2580" w:rsidRDefault="00040C3A" w:rsidP="00040C3A">
      <w:pPr>
        <w:tabs>
          <w:tab w:val="center" w:pos="5400"/>
        </w:tabs>
        <w:suppressAutoHyphens/>
        <w:jc w:val="both"/>
        <w:rPr>
          <w:rFonts w:asciiTheme="majorHAnsi" w:hAnsiTheme="majorHAnsi"/>
          <w:sz w:val="22"/>
          <w:szCs w:val="22"/>
          <w:lang w:val="es-ES"/>
        </w:rPr>
      </w:pPr>
    </w:p>
    <w:p w14:paraId="3475E1C1" w14:textId="77777777" w:rsidR="005128E4" w:rsidRPr="00DE2580" w:rsidRDefault="005128E4" w:rsidP="00040C3A">
      <w:pPr>
        <w:tabs>
          <w:tab w:val="center" w:pos="5400"/>
        </w:tabs>
        <w:suppressAutoHyphens/>
        <w:rPr>
          <w:rFonts w:asciiTheme="majorHAnsi" w:hAnsiTheme="majorHAnsi"/>
          <w:sz w:val="22"/>
          <w:szCs w:val="22"/>
          <w:lang w:val="es-ES_tradnl"/>
        </w:rPr>
      </w:pPr>
    </w:p>
    <w:p w14:paraId="2962880D" w14:textId="77777777" w:rsidR="005128E4" w:rsidRPr="00DE2580" w:rsidRDefault="005128E4" w:rsidP="00040C3A">
      <w:pPr>
        <w:tabs>
          <w:tab w:val="center" w:pos="5400"/>
        </w:tabs>
        <w:suppressAutoHyphens/>
        <w:rPr>
          <w:rFonts w:asciiTheme="majorHAnsi" w:hAnsiTheme="majorHAnsi"/>
          <w:sz w:val="22"/>
          <w:szCs w:val="22"/>
          <w:lang w:val="es-ES_tradnl"/>
        </w:rPr>
      </w:pPr>
    </w:p>
    <w:p w14:paraId="440A1385" w14:textId="77777777" w:rsidR="005128E4" w:rsidRPr="00DE2580" w:rsidRDefault="005128E4" w:rsidP="00040C3A">
      <w:pPr>
        <w:tabs>
          <w:tab w:val="center" w:pos="5400"/>
        </w:tabs>
        <w:suppressAutoHyphens/>
        <w:rPr>
          <w:rFonts w:asciiTheme="majorHAnsi" w:hAnsiTheme="majorHAnsi"/>
          <w:sz w:val="22"/>
          <w:szCs w:val="22"/>
          <w:lang w:val="es-ES_tradnl"/>
        </w:rPr>
      </w:pPr>
    </w:p>
    <w:p w14:paraId="519BA304" w14:textId="77777777" w:rsidR="00040C3A" w:rsidRPr="00DE2580" w:rsidRDefault="00040C3A" w:rsidP="005128E4">
      <w:pPr>
        <w:tabs>
          <w:tab w:val="center" w:pos="5400"/>
        </w:tabs>
        <w:suppressAutoHyphens/>
        <w:jc w:val="center"/>
        <w:rPr>
          <w:rFonts w:asciiTheme="majorHAnsi" w:hAnsiTheme="majorHAnsi"/>
          <w:sz w:val="22"/>
          <w:szCs w:val="22"/>
          <w:lang w:val="es-ES_tradnl"/>
        </w:rPr>
      </w:pPr>
    </w:p>
    <w:p w14:paraId="5AC9B827" w14:textId="77777777" w:rsidR="00040C3A" w:rsidRPr="00DE2580" w:rsidRDefault="00EF4F97" w:rsidP="005128E4">
      <w:pPr>
        <w:tabs>
          <w:tab w:val="center" w:pos="5400"/>
        </w:tabs>
        <w:suppressAutoHyphens/>
        <w:jc w:val="center"/>
        <w:rPr>
          <w:rFonts w:asciiTheme="majorHAnsi" w:hAnsiTheme="majorHAnsi"/>
          <w:sz w:val="22"/>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413AFDC5" wp14:editId="0F2637A0">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BA68D" w14:textId="77777777" w:rsidR="0032063E" w:rsidRDefault="0032063E" w:rsidP="004B7EB6">
                            <w:pPr>
                              <w:spacing w:line="276" w:lineRule="auto"/>
                              <w:rPr>
                                <w:rFonts w:asciiTheme="majorHAnsi" w:hAnsiTheme="majorHAnsi" w:cs="Arial"/>
                                <w:b/>
                                <w:bCs/>
                                <w:color w:val="0D0D0D" w:themeColor="text1" w:themeTint="F2"/>
                                <w:sz w:val="36"/>
                                <w:szCs w:val="40"/>
                              </w:rPr>
                            </w:pPr>
                          </w:p>
                          <w:p w14:paraId="48513A00" w14:textId="77777777" w:rsidR="0032063E" w:rsidRDefault="0032063E" w:rsidP="004B7EB6">
                            <w:pPr>
                              <w:spacing w:line="276" w:lineRule="auto"/>
                              <w:rPr>
                                <w:rFonts w:asciiTheme="majorHAnsi" w:hAnsiTheme="majorHAnsi" w:cs="Arial"/>
                                <w:b/>
                                <w:bCs/>
                                <w:color w:val="0D0D0D" w:themeColor="text1" w:themeTint="F2"/>
                                <w:sz w:val="36"/>
                                <w:szCs w:val="40"/>
                              </w:rPr>
                            </w:pPr>
                          </w:p>
                          <w:p w14:paraId="6F2AF67A" w14:textId="77777777" w:rsidR="0032063E" w:rsidRDefault="0032063E" w:rsidP="004B7EB6">
                            <w:pPr>
                              <w:spacing w:line="276" w:lineRule="auto"/>
                              <w:rPr>
                                <w:rFonts w:asciiTheme="majorHAnsi" w:hAnsiTheme="majorHAnsi" w:cs="Arial"/>
                                <w:b/>
                                <w:bCs/>
                                <w:color w:val="0D0D0D" w:themeColor="text1" w:themeTint="F2"/>
                                <w:sz w:val="36"/>
                                <w:szCs w:val="40"/>
                              </w:rPr>
                            </w:pPr>
                          </w:p>
                          <w:p w14:paraId="5E3E9669" w14:textId="77777777" w:rsidR="0032063E" w:rsidRDefault="0032063E" w:rsidP="004B7EB6">
                            <w:pPr>
                              <w:spacing w:line="276" w:lineRule="auto"/>
                              <w:rPr>
                                <w:rFonts w:asciiTheme="majorHAnsi" w:hAnsiTheme="majorHAnsi" w:cs="Arial"/>
                                <w:b/>
                                <w:bCs/>
                                <w:color w:val="0D0D0D" w:themeColor="text1" w:themeTint="F2"/>
                                <w:sz w:val="36"/>
                                <w:szCs w:val="40"/>
                              </w:rPr>
                            </w:pPr>
                          </w:p>
                          <w:p w14:paraId="221D3029" w14:textId="697CFD39" w:rsidR="0032063E" w:rsidRPr="00C04E64" w:rsidRDefault="0032063E" w:rsidP="004B7EB6">
                            <w:pPr>
                              <w:spacing w:line="276" w:lineRule="auto"/>
                              <w:rPr>
                                <w:rFonts w:asciiTheme="majorHAnsi" w:hAnsiTheme="majorHAnsi" w:cs="Arial"/>
                                <w:b/>
                                <w:bCs/>
                                <w:color w:val="0D0D0D" w:themeColor="text1" w:themeTint="F2"/>
                                <w:sz w:val="36"/>
                                <w:szCs w:val="40"/>
                                <w:lang w:val="es-VE"/>
                              </w:rPr>
                            </w:pPr>
                            <w:r w:rsidRPr="00C04E64">
                              <w:rPr>
                                <w:rFonts w:asciiTheme="majorHAnsi" w:hAnsiTheme="majorHAnsi" w:cs="Arial"/>
                                <w:b/>
                                <w:bCs/>
                                <w:color w:val="0D0D0D" w:themeColor="text1" w:themeTint="F2"/>
                                <w:sz w:val="36"/>
                                <w:szCs w:val="40"/>
                                <w:lang w:val="es-VE"/>
                              </w:rPr>
                              <w:t xml:space="preserve">INFORME No. </w:t>
                            </w:r>
                            <w:r w:rsidR="00C826D8" w:rsidRPr="00C826D8">
                              <w:rPr>
                                <w:rFonts w:asciiTheme="majorHAnsi" w:hAnsiTheme="majorHAnsi" w:cs="Arial"/>
                                <w:b/>
                                <w:bCs/>
                                <w:color w:val="0D0D0D" w:themeColor="text1" w:themeTint="F2"/>
                                <w:sz w:val="36"/>
                                <w:szCs w:val="40"/>
                                <w:lang w:val="es-VE"/>
                              </w:rPr>
                              <w:t>264</w:t>
                            </w:r>
                            <w:r w:rsidRPr="00C826D8">
                              <w:rPr>
                                <w:rFonts w:asciiTheme="majorHAnsi" w:hAnsiTheme="majorHAnsi" w:cs="Arial"/>
                                <w:b/>
                                <w:bCs/>
                                <w:color w:val="0D0D0D" w:themeColor="text1" w:themeTint="F2"/>
                                <w:sz w:val="36"/>
                                <w:szCs w:val="40"/>
                                <w:lang w:val="es-VE"/>
                              </w:rPr>
                              <w:t>/2</w:t>
                            </w:r>
                            <w:r w:rsidR="00EB3A0E" w:rsidRPr="00C826D8">
                              <w:rPr>
                                <w:rFonts w:asciiTheme="majorHAnsi" w:hAnsiTheme="majorHAnsi" w:cs="Arial"/>
                                <w:b/>
                                <w:bCs/>
                                <w:color w:val="0D0D0D" w:themeColor="text1" w:themeTint="F2"/>
                                <w:sz w:val="36"/>
                                <w:szCs w:val="40"/>
                                <w:lang w:val="es-VE"/>
                              </w:rPr>
                              <w:t>3</w:t>
                            </w:r>
                          </w:p>
                          <w:p w14:paraId="54CD4B97" w14:textId="77777777" w:rsidR="0032063E" w:rsidRPr="006177F7" w:rsidRDefault="0032063E" w:rsidP="004B7EB6">
                            <w:pPr>
                              <w:spacing w:line="276" w:lineRule="auto"/>
                              <w:rPr>
                                <w:rFonts w:asciiTheme="majorHAnsi" w:hAnsiTheme="majorHAnsi" w:cs="Arial"/>
                                <w:b/>
                                <w:bCs/>
                                <w:color w:val="0D0D0D" w:themeColor="text1" w:themeTint="F2"/>
                                <w:sz w:val="36"/>
                                <w:szCs w:val="40"/>
                                <w:lang w:val="es-ES"/>
                              </w:rPr>
                            </w:pPr>
                            <w:r w:rsidRPr="006177F7">
                              <w:rPr>
                                <w:rFonts w:asciiTheme="majorHAnsi" w:hAnsiTheme="majorHAnsi" w:cs="Arial"/>
                                <w:b/>
                                <w:bCs/>
                                <w:color w:val="0D0D0D" w:themeColor="text1" w:themeTint="F2"/>
                                <w:sz w:val="36"/>
                                <w:szCs w:val="40"/>
                                <w:lang w:val="es-ES"/>
                              </w:rPr>
                              <w:t>CASO 12.446</w:t>
                            </w:r>
                          </w:p>
                          <w:p w14:paraId="62D9D09F" w14:textId="116BECB9" w:rsidR="0032063E" w:rsidRPr="006177F7" w:rsidRDefault="0032063E" w:rsidP="00F45EBF">
                            <w:pPr>
                              <w:spacing w:line="276" w:lineRule="auto"/>
                              <w:rPr>
                                <w:rFonts w:asciiTheme="majorHAnsi" w:hAnsiTheme="majorHAnsi" w:cs="Arial"/>
                                <w:color w:val="0D0D0D" w:themeColor="text1" w:themeTint="F2"/>
                                <w:szCs w:val="22"/>
                                <w:lang w:val="es-ES"/>
                              </w:rPr>
                            </w:pPr>
                            <w:r w:rsidRPr="006177F7">
                              <w:rPr>
                                <w:rFonts w:asciiTheme="majorHAnsi" w:hAnsiTheme="majorHAnsi" w:cs="Arial"/>
                                <w:color w:val="0D0D0D" w:themeColor="text1" w:themeTint="F2"/>
                                <w:szCs w:val="22"/>
                                <w:lang w:val="es-ES"/>
                              </w:rPr>
                              <w:t xml:space="preserve">INFORME DE FONDO </w:t>
                            </w:r>
                            <w:r w:rsidRPr="00C826D8">
                              <w:rPr>
                                <w:rFonts w:asciiTheme="majorHAnsi" w:hAnsiTheme="majorHAnsi" w:cs="Arial"/>
                                <w:color w:val="0D0D0D" w:themeColor="text1" w:themeTint="F2"/>
                                <w:szCs w:val="22"/>
                                <w:lang w:val="es-ES"/>
                              </w:rPr>
                              <w:t>(</w:t>
                            </w:r>
                            <w:r w:rsidR="00DD44F2" w:rsidRPr="00C826D8">
                              <w:rPr>
                                <w:rFonts w:asciiTheme="majorHAnsi" w:hAnsiTheme="majorHAnsi" w:cs="Arial"/>
                                <w:color w:val="0D0D0D" w:themeColor="text1" w:themeTint="F2"/>
                                <w:szCs w:val="22"/>
                                <w:lang w:val="es-ES"/>
                              </w:rPr>
                              <w:t>PUBLICACIÓN</w:t>
                            </w:r>
                            <w:r w:rsidRPr="00C826D8">
                              <w:rPr>
                                <w:rFonts w:asciiTheme="majorHAnsi" w:hAnsiTheme="majorHAnsi" w:cs="Arial"/>
                                <w:color w:val="0D0D0D" w:themeColor="text1" w:themeTint="F2"/>
                                <w:szCs w:val="22"/>
                                <w:lang w:val="es-ES"/>
                              </w:rPr>
                              <w:t>)</w:t>
                            </w:r>
                          </w:p>
                          <w:p w14:paraId="59254BC3" w14:textId="77777777" w:rsidR="0032063E" w:rsidRPr="006177F7" w:rsidRDefault="0032063E" w:rsidP="004B7EB6">
                            <w:pPr>
                              <w:spacing w:line="276" w:lineRule="auto"/>
                              <w:rPr>
                                <w:rFonts w:asciiTheme="majorHAnsi" w:hAnsiTheme="majorHAnsi" w:cs="Arial"/>
                                <w:color w:val="0D0D0D" w:themeColor="text1" w:themeTint="F2"/>
                                <w:szCs w:val="22"/>
                                <w:lang w:val="es-ES"/>
                              </w:rPr>
                            </w:pPr>
                          </w:p>
                          <w:p w14:paraId="06D8562E" w14:textId="77777777" w:rsidR="0032063E" w:rsidRPr="006177F7" w:rsidRDefault="0032063E" w:rsidP="00191F07">
                            <w:pPr>
                              <w:pStyle w:val="Body"/>
                              <w:suppressAutoHyphens/>
                              <w:rPr>
                                <w:rFonts w:ascii="Cambria" w:eastAsia="Cambria" w:hAnsi="Cambria" w:cs="Cambria"/>
                                <w:lang w:val="es-ES"/>
                              </w:rPr>
                            </w:pPr>
                            <w:r w:rsidRPr="006177F7">
                              <w:rPr>
                                <w:rFonts w:ascii="Cambria" w:eastAsia="Cambria" w:hAnsi="Cambria" w:cs="Cambria"/>
                                <w:lang w:val="es-ES"/>
                              </w:rPr>
                              <w:t>TRACY LEE HOUSEL</w:t>
                            </w:r>
                          </w:p>
                          <w:p w14:paraId="346ECA20" w14:textId="77777777" w:rsidR="0032063E" w:rsidRPr="00C04E64" w:rsidRDefault="0032063E" w:rsidP="004B7EB6">
                            <w:pPr>
                              <w:spacing w:line="276" w:lineRule="auto"/>
                              <w:rPr>
                                <w:rFonts w:asciiTheme="majorHAnsi" w:hAnsiTheme="majorHAnsi" w:cs="Arial"/>
                                <w:color w:val="0D0D0D" w:themeColor="text1" w:themeTint="F2"/>
                                <w:szCs w:val="22"/>
                                <w:lang w:val="es-VE"/>
                              </w:rPr>
                            </w:pPr>
                            <w:r w:rsidRPr="00C04E64">
                              <w:rPr>
                                <w:rFonts w:asciiTheme="majorHAnsi" w:hAnsiTheme="majorHAnsi" w:cs="Arial"/>
                                <w:color w:val="0D0D0D" w:themeColor="text1" w:themeTint="F2"/>
                                <w:szCs w:val="22"/>
                                <w:lang w:val="es-VE"/>
                              </w:rPr>
                              <w:t>ESTADOS UNIDOS DE AMÉRICA</w:t>
                            </w:r>
                          </w:p>
                          <w:p w14:paraId="194CF5EF" w14:textId="77777777" w:rsidR="0032063E" w:rsidRPr="00C04E64" w:rsidRDefault="0032063E" w:rsidP="004B7EB6">
                            <w:pPr>
                              <w:spacing w:line="276" w:lineRule="auto"/>
                              <w:rPr>
                                <w:rFonts w:asciiTheme="majorHAnsi" w:hAnsiTheme="majorHAnsi"/>
                                <w:color w:val="0D0D0D" w:themeColor="text1" w:themeTint="F2"/>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FDC5"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Aim8JT&#10;fwIAAF4FAAAOAAAAAAAAAAAAAAAAAC4CAABkcnMvZTJvRG9jLnhtbFBLAQItABQABgAIAAAAIQA0&#10;fMJ04QAAAAoBAAAPAAAAAAAAAAAAAAAAANkEAABkcnMvZG93bnJldi54bWxQSwUGAAAAAAQABADz&#10;AAAA5wUAAAAA&#10;" filled="f" stroked="f" strokeweight=".5pt">
                <v:textbox>
                  <w:txbxContent>
                    <w:p w14:paraId="229BA68D" w14:textId="77777777" w:rsidR="0032063E" w:rsidRDefault="0032063E" w:rsidP="004B7EB6">
                      <w:pPr>
                        <w:spacing w:line="276" w:lineRule="auto"/>
                        <w:rPr>
                          <w:rFonts w:asciiTheme="majorHAnsi" w:hAnsiTheme="majorHAnsi" w:cs="Arial"/>
                          <w:b/>
                          <w:bCs/>
                          <w:color w:val="0D0D0D" w:themeColor="text1" w:themeTint="F2"/>
                          <w:sz w:val="36"/>
                          <w:szCs w:val="40"/>
                        </w:rPr>
                      </w:pPr>
                    </w:p>
                    <w:p w14:paraId="48513A00" w14:textId="77777777" w:rsidR="0032063E" w:rsidRDefault="0032063E" w:rsidP="004B7EB6">
                      <w:pPr>
                        <w:spacing w:line="276" w:lineRule="auto"/>
                        <w:rPr>
                          <w:rFonts w:asciiTheme="majorHAnsi" w:hAnsiTheme="majorHAnsi" w:cs="Arial"/>
                          <w:b/>
                          <w:bCs/>
                          <w:color w:val="0D0D0D" w:themeColor="text1" w:themeTint="F2"/>
                          <w:sz w:val="36"/>
                          <w:szCs w:val="40"/>
                        </w:rPr>
                      </w:pPr>
                    </w:p>
                    <w:p w14:paraId="6F2AF67A" w14:textId="77777777" w:rsidR="0032063E" w:rsidRDefault="0032063E" w:rsidP="004B7EB6">
                      <w:pPr>
                        <w:spacing w:line="276" w:lineRule="auto"/>
                        <w:rPr>
                          <w:rFonts w:asciiTheme="majorHAnsi" w:hAnsiTheme="majorHAnsi" w:cs="Arial"/>
                          <w:b/>
                          <w:bCs/>
                          <w:color w:val="0D0D0D" w:themeColor="text1" w:themeTint="F2"/>
                          <w:sz w:val="36"/>
                          <w:szCs w:val="40"/>
                        </w:rPr>
                      </w:pPr>
                    </w:p>
                    <w:p w14:paraId="5E3E9669" w14:textId="77777777" w:rsidR="0032063E" w:rsidRDefault="0032063E" w:rsidP="004B7EB6">
                      <w:pPr>
                        <w:spacing w:line="276" w:lineRule="auto"/>
                        <w:rPr>
                          <w:rFonts w:asciiTheme="majorHAnsi" w:hAnsiTheme="majorHAnsi" w:cs="Arial"/>
                          <w:b/>
                          <w:bCs/>
                          <w:color w:val="0D0D0D" w:themeColor="text1" w:themeTint="F2"/>
                          <w:sz w:val="36"/>
                          <w:szCs w:val="40"/>
                        </w:rPr>
                      </w:pPr>
                    </w:p>
                    <w:p w14:paraId="221D3029" w14:textId="697CFD39" w:rsidR="0032063E" w:rsidRPr="00C04E64" w:rsidRDefault="0032063E" w:rsidP="004B7EB6">
                      <w:pPr>
                        <w:spacing w:line="276" w:lineRule="auto"/>
                        <w:rPr>
                          <w:rFonts w:asciiTheme="majorHAnsi" w:hAnsiTheme="majorHAnsi" w:cs="Arial"/>
                          <w:b/>
                          <w:bCs/>
                          <w:color w:val="0D0D0D" w:themeColor="text1" w:themeTint="F2"/>
                          <w:sz w:val="36"/>
                          <w:szCs w:val="40"/>
                          <w:lang w:val="es-VE"/>
                        </w:rPr>
                      </w:pPr>
                      <w:r w:rsidRPr="00C04E64">
                        <w:rPr>
                          <w:rFonts w:asciiTheme="majorHAnsi" w:hAnsiTheme="majorHAnsi" w:cs="Arial"/>
                          <w:b/>
                          <w:bCs/>
                          <w:color w:val="0D0D0D" w:themeColor="text1" w:themeTint="F2"/>
                          <w:sz w:val="36"/>
                          <w:szCs w:val="40"/>
                          <w:lang w:val="es-VE"/>
                        </w:rPr>
                        <w:t xml:space="preserve">INFORME No. </w:t>
                      </w:r>
                      <w:r w:rsidR="00C826D8" w:rsidRPr="00C826D8">
                        <w:rPr>
                          <w:rFonts w:asciiTheme="majorHAnsi" w:hAnsiTheme="majorHAnsi" w:cs="Arial"/>
                          <w:b/>
                          <w:bCs/>
                          <w:color w:val="0D0D0D" w:themeColor="text1" w:themeTint="F2"/>
                          <w:sz w:val="36"/>
                          <w:szCs w:val="40"/>
                          <w:lang w:val="es-VE"/>
                        </w:rPr>
                        <w:t>264</w:t>
                      </w:r>
                      <w:r w:rsidRPr="00C826D8">
                        <w:rPr>
                          <w:rFonts w:asciiTheme="majorHAnsi" w:hAnsiTheme="majorHAnsi" w:cs="Arial"/>
                          <w:b/>
                          <w:bCs/>
                          <w:color w:val="0D0D0D" w:themeColor="text1" w:themeTint="F2"/>
                          <w:sz w:val="36"/>
                          <w:szCs w:val="40"/>
                          <w:lang w:val="es-VE"/>
                        </w:rPr>
                        <w:t>/2</w:t>
                      </w:r>
                      <w:r w:rsidR="00EB3A0E" w:rsidRPr="00C826D8">
                        <w:rPr>
                          <w:rFonts w:asciiTheme="majorHAnsi" w:hAnsiTheme="majorHAnsi" w:cs="Arial"/>
                          <w:b/>
                          <w:bCs/>
                          <w:color w:val="0D0D0D" w:themeColor="text1" w:themeTint="F2"/>
                          <w:sz w:val="36"/>
                          <w:szCs w:val="40"/>
                          <w:lang w:val="es-VE"/>
                        </w:rPr>
                        <w:t>3</w:t>
                      </w:r>
                    </w:p>
                    <w:p w14:paraId="54CD4B97" w14:textId="77777777" w:rsidR="0032063E" w:rsidRPr="006177F7" w:rsidRDefault="0032063E" w:rsidP="004B7EB6">
                      <w:pPr>
                        <w:spacing w:line="276" w:lineRule="auto"/>
                        <w:rPr>
                          <w:rFonts w:asciiTheme="majorHAnsi" w:hAnsiTheme="majorHAnsi" w:cs="Arial"/>
                          <w:b/>
                          <w:bCs/>
                          <w:color w:val="0D0D0D" w:themeColor="text1" w:themeTint="F2"/>
                          <w:sz w:val="36"/>
                          <w:szCs w:val="40"/>
                          <w:lang w:val="es-ES"/>
                        </w:rPr>
                      </w:pPr>
                      <w:r w:rsidRPr="006177F7">
                        <w:rPr>
                          <w:rFonts w:asciiTheme="majorHAnsi" w:hAnsiTheme="majorHAnsi" w:cs="Arial"/>
                          <w:b/>
                          <w:bCs/>
                          <w:color w:val="0D0D0D" w:themeColor="text1" w:themeTint="F2"/>
                          <w:sz w:val="36"/>
                          <w:szCs w:val="40"/>
                          <w:lang w:val="es-ES"/>
                        </w:rPr>
                        <w:t>CASO 12.446</w:t>
                      </w:r>
                    </w:p>
                    <w:p w14:paraId="62D9D09F" w14:textId="116BECB9" w:rsidR="0032063E" w:rsidRPr="006177F7" w:rsidRDefault="0032063E" w:rsidP="00F45EBF">
                      <w:pPr>
                        <w:spacing w:line="276" w:lineRule="auto"/>
                        <w:rPr>
                          <w:rFonts w:asciiTheme="majorHAnsi" w:hAnsiTheme="majorHAnsi" w:cs="Arial"/>
                          <w:color w:val="0D0D0D" w:themeColor="text1" w:themeTint="F2"/>
                          <w:szCs w:val="22"/>
                          <w:lang w:val="es-ES"/>
                        </w:rPr>
                      </w:pPr>
                      <w:r w:rsidRPr="006177F7">
                        <w:rPr>
                          <w:rFonts w:asciiTheme="majorHAnsi" w:hAnsiTheme="majorHAnsi" w:cs="Arial"/>
                          <w:color w:val="0D0D0D" w:themeColor="text1" w:themeTint="F2"/>
                          <w:szCs w:val="22"/>
                          <w:lang w:val="es-ES"/>
                        </w:rPr>
                        <w:t xml:space="preserve">INFORME DE FONDO </w:t>
                      </w:r>
                      <w:r w:rsidRPr="00C826D8">
                        <w:rPr>
                          <w:rFonts w:asciiTheme="majorHAnsi" w:hAnsiTheme="majorHAnsi" w:cs="Arial"/>
                          <w:color w:val="0D0D0D" w:themeColor="text1" w:themeTint="F2"/>
                          <w:szCs w:val="22"/>
                          <w:lang w:val="es-ES"/>
                        </w:rPr>
                        <w:t>(</w:t>
                      </w:r>
                      <w:r w:rsidR="00DD44F2" w:rsidRPr="00C826D8">
                        <w:rPr>
                          <w:rFonts w:asciiTheme="majorHAnsi" w:hAnsiTheme="majorHAnsi" w:cs="Arial"/>
                          <w:color w:val="0D0D0D" w:themeColor="text1" w:themeTint="F2"/>
                          <w:szCs w:val="22"/>
                          <w:lang w:val="es-ES"/>
                        </w:rPr>
                        <w:t>PUBLICACIÓN</w:t>
                      </w:r>
                      <w:r w:rsidRPr="00C826D8">
                        <w:rPr>
                          <w:rFonts w:asciiTheme="majorHAnsi" w:hAnsiTheme="majorHAnsi" w:cs="Arial"/>
                          <w:color w:val="0D0D0D" w:themeColor="text1" w:themeTint="F2"/>
                          <w:szCs w:val="22"/>
                          <w:lang w:val="es-ES"/>
                        </w:rPr>
                        <w:t>)</w:t>
                      </w:r>
                    </w:p>
                    <w:p w14:paraId="59254BC3" w14:textId="77777777" w:rsidR="0032063E" w:rsidRPr="006177F7" w:rsidRDefault="0032063E" w:rsidP="004B7EB6">
                      <w:pPr>
                        <w:spacing w:line="276" w:lineRule="auto"/>
                        <w:rPr>
                          <w:rFonts w:asciiTheme="majorHAnsi" w:hAnsiTheme="majorHAnsi" w:cs="Arial"/>
                          <w:color w:val="0D0D0D" w:themeColor="text1" w:themeTint="F2"/>
                          <w:szCs w:val="22"/>
                          <w:lang w:val="es-ES"/>
                        </w:rPr>
                      </w:pPr>
                    </w:p>
                    <w:p w14:paraId="06D8562E" w14:textId="77777777" w:rsidR="0032063E" w:rsidRPr="006177F7" w:rsidRDefault="0032063E" w:rsidP="00191F07">
                      <w:pPr>
                        <w:pStyle w:val="Body"/>
                        <w:suppressAutoHyphens/>
                        <w:rPr>
                          <w:rFonts w:ascii="Cambria" w:eastAsia="Cambria" w:hAnsi="Cambria" w:cs="Cambria"/>
                          <w:lang w:val="es-ES"/>
                        </w:rPr>
                      </w:pPr>
                      <w:r w:rsidRPr="006177F7">
                        <w:rPr>
                          <w:rFonts w:ascii="Cambria" w:eastAsia="Cambria" w:hAnsi="Cambria" w:cs="Cambria"/>
                          <w:lang w:val="es-ES"/>
                        </w:rPr>
                        <w:t>TRACY LEE HOUSEL</w:t>
                      </w:r>
                    </w:p>
                    <w:p w14:paraId="346ECA20" w14:textId="77777777" w:rsidR="0032063E" w:rsidRPr="00C04E64" w:rsidRDefault="0032063E" w:rsidP="004B7EB6">
                      <w:pPr>
                        <w:spacing w:line="276" w:lineRule="auto"/>
                        <w:rPr>
                          <w:rFonts w:asciiTheme="majorHAnsi" w:hAnsiTheme="majorHAnsi" w:cs="Arial"/>
                          <w:color w:val="0D0D0D" w:themeColor="text1" w:themeTint="F2"/>
                          <w:szCs w:val="22"/>
                          <w:lang w:val="es-VE"/>
                        </w:rPr>
                      </w:pPr>
                      <w:r w:rsidRPr="00C04E64">
                        <w:rPr>
                          <w:rFonts w:asciiTheme="majorHAnsi" w:hAnsiTheme="majorHAnsi" w:cs="Arial"/>
                          <w:color w:val="0D0D0D" w:themeColor="text1" w:themeTint="F2"/>
                          <w:szCs w:val="22"/>
                          <w:lang w:val="es-VE"/>
                        </w:rPr>
                        <w:t>ESTADOS UNIDOS DE AMÉRICA</w:t>
                      </w:r>
                    </w:p>
                    <w:p w14:paraId="194CF5EF" w14:textId="77777777" w:rsidR="0032063E" w:rsidRPr="00C04E64" w:rsidRDefault="0032063E" w:rsidP="004B7EB6">
                      <w:pPr>
                        <w:spacing w:line="276" w:lineRule="auto"/>
                        <w:rPr>
                          <w:rFonts w:asciiTheme="majorHAnsi" w:hAnsiTheme="majorHAnsi"/>
                          <w:color w:val="0D0D0D" w:themeColor="text1" w:themeTint="F2"/>
                          <w:lang w:val="es-VE"/>
                        </w:rPr>
                      </w:pPr>
                    </w:p>
                  </w:txbxContent>
                </v:textbox>
              </v:shape>
            </w:pict>
          </mc:Fallback>
        </mc:AlternateContent>
      </w:r>
    </w:p>
    <w:p w14:paraId="07AA98FF" w14:textId="77777777" w:rsidR="005B52B0" w:rsidRPr="00DE2580" w:rsidRDefault="005B52B0" w:rsidP="005128E4">
      <w:pPr>
        <w:tabs>
          <w:tab w:val="center" w:pos="5400"/>
        </w:tabs>
        <w:suppressAutoHyphens/>
        <w:jc w:val="center"/>
        <w:rPr>
          <w:rFonts w:asciiTheme="majorHAnsi" w:hAnsiTheme="majorHAnsi"/>
          <w:sz w:val="22"/>
          <w:szCs w:val="22"/>
          <w:lang w:val="es-ES_tradnl"/>
        </w:rPr>
      </w:pPr>
    </w:p>
    <w:p w14:paraId="36BC2689" w14:textId="77777777" w:rsidR="005B52B0" w:rsidRPr="00DE2580" w:rsidRDefault="005B52B0" w:rsidP="005128E4">
      <w:pPr>
        <w:tabs>
          <w:tab w:val="center" w:pos="5400"/>
        </w:tabs>
        <w:suppressAutoHyphens/>
        <w:jc w:val="center"/>
        <w:rPr>
          <w:rFonts w:asciiTheme="majorHAnsi" w:hAnsiTheme="majorHAnsi"/>
          <w:sz w:val="22"/>
          <w:szCs w:val="22"/>
          <w:lang w:val="es-ES_tradnl"/>
        </w:rPr>
      </w:pPr>
    </w:p>
    <w:p w14:paraId="6B1F1C93" w14:textId="77777777" w:rsidR="005B52B0" w:rsidRPr="00DE2580" w:rsidRDefault="005B52B0" w:rsidP="005128E4">
      <w:pPr>
        <w:tabs>
          <w:tab w:val="center" w:pos="5400"/>
        </w:tabs>
        <w:suppressAutoHyphens/>
        <w:jc w:val="center"/>
        <w:rPr>
          <w:rFonts w:asciiTheme="majorHAnsi" w:hAnsiTheme="majorHAnsi"/>
          <w:sz w:val="22"/>
          <w:szCs w:val="22"/>
          <w:lang w:val="es-ES_tradnl"/>
        </w:rPr>
      </w:pPr>
    </w:p>
    <w:p w14:paraId="23982632"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1EFE0A22"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12D77626"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EDC4154"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12C33632" w14:textId="77777777" w:rsidR="00040C3A" w:rsidRPr="00DE2580" w:rsidRDefault="00F1246F" w:rsidP="00040C3A">
      <w:pPr>
        <w:tabs>
          <w:tab w:val="center" w:pos="5400"/>
        </w:tabs>
        <w:suppressAutoHyphens/>
        <w:jc w:val="center"/>
        <w:rPr>
          <w:rFonts w:asciiTheme="majorHAnsi" w:hAnsiTheme="majorHAnsi"/>
          <w:sz w:val="22"/>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830AC6C" wp14:editId="0E538706">
                <wp:simplePos x="0" y="0"/>
                <wp:positionH relativeFrom="column">
                  <wp:posOffset>-394970</wp:posOffset>
                </wp:positionH>
                <wp:positionV relativeFrom="paragraph">
                  <wp:posOffset>95910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E79E5" w14:textId="782EC65E" w:rsidR="0032063E" w:rsidRPr="00C04E64" w:rsidRDefault="0032063E" w:rsidP="002C1641">
                            <w:pPr>
                              <w:jc w:val="right"/>
                              <w:rPr>
                                <w:rFonts w:asciiTheme="minorHAnsi" w:hAnsiTheme="minorHAnsi"/>
                                <w:color w:val="FFFFFF" w:themeColor="background1"/>
                                <w:sz w:val="22"/>
                                <w:lang w:val="es-VE"/>
                              </w:rPr>
                            </w:pPr>
                            <w:r w:rsidRPr="00C04E64">
                              <w:rPr>
                                <w:rFonts w:asciiTheme="minorHAnsi" w:hAnsiTheme="minorHAnsi"/>
                                <w:color w:val="FFFFFF" w:themeColor="background1"/>
                                <w:sz w:val="22"/>
                                <w:lang w:val="es-VE"/>
                              </w:rPr>
                              <w:t>OEA/Ser.L/V/II</w:t>
                            </w:r>
                          </w:p>
                          <w:p w14:paraId="39D7097A" w14:textId="675781C7" w:rsidR="0032063E" w:rsidRPr="00C04E64" w:rsidRDefault="0032063E" w:rsidP="002C1641">
                            <w:pPr>
                              <w:jc w:val="right"/>
                              <w:rPr>
                                <w:rFonts w:asciiTheme="minorHAnsi" w:hAnsiTheme="minorHAnsi"/>
                                <w:color w:val="FFFFFF" w:themeColor="background1"/>
                                <w:sz w:val="22"/>
                                <w:lang w:val="es-VE"/>
                              </w:rPr>
                            </w:pPr>
                            <w:r w:rsidRPr="00C04E64">
                              <w:rPr>
                                <w:rFonts w:asciiTheme="minorHAnsi" w:hAnsiTheme="minorHAnsi"/>
                                <w:color w:val="FFFFFF" w:themeColor="background1"/>
                                <w:sz w:val="22"/>
                                <w:lang w:val="es-VE"/>
                              </w:rPr>
                              <w:t xml:space="preserve">Doc. </w:t>
                            </w:r>
                            <w:r w:rsidR="00C826D8">
                              <w:rPr>
                                <w:rFonts w:asciiTheme="minorHAnsi" w:hAnsiTheme="minorHAnsi"/>
                                <w:color w:val="FFFFFF" w:themeColor="background1"/>
                                <w:sz w:val="22"/>
                                <w:lang w:val="es-VE"/>
                              </w:rPr>
                              <w:t>283</w:t>
                            </w:r>
                          </w:p>
                          <w:p w14:paraId="09936B82" w14:textId="4877F9B5" w:rsidR="0032063E" w:rsidRPr="00C04E64" w:rsidRDefault="00C826D8" w:rsidP="002C1641">
                            <w:pPr>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12 mayo</w:t>
                            </w:r>
                            <w:r w:rsidR="0032063E" w:rsidRPr="00C04E64">
                              <w:rPr>
                                <w:rFonts w:asciiTheme="minorHAnsi" w:hAnsiTheme="minorHAnsi"/>
                                <w:color w:val="FFFFFF" w:themeColor="background1"/>
                                <w:sz w:val="22"/>
                                <w:lang w:val="es-VE"/>
                              </w:rPr>
                              <w:t xml:space="preserve"> 20</w:t>
                            </w:r>
                            <w:r w:rsidR="0032063E">
                              <w:rPr>
                                <w:rFonts w:asciiTheme="minorHAnsi" w:hAnsiTheme="minorHAnsi"/>
                                <w:color w:val="FFFFFF" w:themeColor="background1"/>
                                <w:sz w:val="22"/>
                                <w:lang w:val="es-VE"/>
                              </w:rPr>
                              <w:t>2</w:t>
                            </w:r>
                            <w:r w:rsidR="00EB3A0E">
                              <w:rPr>
                                <w:rFonts w:asciiTheme="minorHAnsi" w:hAnsiTheme="minorHAnsi"/>
                                <w:color w:val="FFFFFF" w:themeColor="background1"/>
                                <w:sz w:val="22"/>
                                <w:lang w:val="es-VE"/>
                              </w:rPr>
                              <w:t>3</w:t>
                            </w:r>
                          </w:p>
                          <w:p w14:paraId="77901A10" w14:textId="77777777" w:rsidR="0032063E" w:rsidRPr="00C04E64" w:rsidRDefault="0032063E" w:rsidP="002C1641">
                            <w:pPr>
                              <w:jc w:val="right"/>
                              <w:rPr>
                                <w:rFonts w:asciiTheme="minorHAnsi" w:hAnsiTheme="minorHAnsi"/>
                                <w:color w:val="FFFFFF" w:themeColor="background1"/>
                                <w:sz w:val="22"/>
                                <w:lang w:val="es-VE"/>
                              </w:rPr>
                            </w:pPr>
                            <w:r w:rsidRPr="00C04E64">
                              <w:rPr>
                                <w:rFonts w:asciiTheme="minorHAnsi" w:hAnsiTheme="minorHAnsi"/>
                                <w:color w:val="FFFFFF" w:themeColor="background1"/>
                                <w:sz w:val="22"/>
                                <w:lang w:val="es-VE"/>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AC6C" id="Text Box 8" o:spid="_x0000_s1028" type="#_x0000_t202" style="position:absolute;left:0;text-align:left;margin-left:-31.1pt;margin-top:7.55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" filled="f" stroked="f" strokeweight=".5pt">
                <v:textbox>
                  <w:txbxContent>
                    <w:p w14:paraId="2A3E79E5" w14:textId="782EC65E" w:rsidR="0032063E" w:rsidRPr="00C04E64" w:rsidRDefault="0032063E" w:rsidP="002C1641">
                      <w:pPr>
                        <w:jc w:val="right"/>
                        <w:rPr>
                          <w:rFonts w:asciiTheme="minorHAnsi" w:hAnsiTheme="minorHAnsi"/>
                          <w:color w:val="FFFFFF" w:themeColor="background1"/>
                          <w:sz w:val="22"/>
                          <w:lang w:val="es-VE"/>
                        </w:rPr>
                      </w:pPr>
                      <w:r w:rsidRPr="00C04E64">
                        <w:rPr>
                          <w:rFonts w:asciiTheme="minorHAnsi" w:hAnsiTheme="minorHAnsi"/>
                          <w:color w:val="FFFFFF" w:themeColor="background1"/>
                          <w:sz w:val="22"/>
                          <w:lang w:val="es-VE"/>
                        </w:rPr>
                        <w:t>OEA/Ser.L/V/II</w:t>
                      </w:r>
                    </w:p>
                    <w:p w14:paraId="39D7097A" w14:textId="675781C7" w:rsidR="0032063E" w:rsidRPr="00C04E64" w:rsidRDefault="0032063E" w:rsidP="002C1641">
                      <w:pPr>
                        <w:jc w:val="right"/>
                        <w:rPr>
                          <w:rFonts w:asciiTheme="minorHAnsi" w:hAnsiTheme="minorHAnsi"/>
                          <w:color w:val="FFFFFF" w:themeColor="background1"/>
                          <w:sz w:val="22"/>
                          <w:lang w:val="es-VE"/>
                        </w:rPr>
                      </w:pPr>
                      <w:r w:rsidRPr="00C04E64">
                        <w:rPr>
                          <w:rFonts w:asciiTheme="minorHAnsi" w:hAnsiTheme="minorHAnsi"/>
                          <w:color w:val="FFFFFF" w:themeColor="background1"/>
                          <w:sz w:val="22"/>
                          <w:lang w:val="es-VE"/>
                        </w:rPr>
                        <w:t xml:space="preserve">Doc. </w:t>
                      </w:r>
                      <w:r w:rsidR="00C826D8">
                        <w:rPr>
                          <w:rFonts w:asciiTheme="minorHAnsi" w:hAnsiTheme="minorHAnsi"/>
                          <w:color w:val="FFFFFF" w:themeColor="background1"/>
                          <w:sz w:val="22"/>
                          <w:lang w:val="es-VE"/>
                        </w:rPr>
                        <w:t>283</w:t>
                      </w:r>
                    </w:p>
                    <w:p w14:paraId="09936B82" w14:textId="4877F9B5" w:rsidR="0032063E" w:rsidRPr="00C04E64" w:rsidRDefault="00C826D8" w:rsidP="002C1641">
                      <w:pPr>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12 mayo</w:t>
                      </w:r>
                      <w:r w:rsidR="0032063E" w:rsidRPr="00C04E64">
                        <w:rPr>
                          <w:rFonts w:asciiTheme="minorHAnsi" w:hAnsiTheme="minorHAnsi"/>
                          <w:color w:val="FFFFFF" w:themeColor="background1"/>
                          <w:sz w:val="22"/>
                          <w:lang w:val="es-VE"/>
                        </w:rPr>
                        <w:t xml:space="preserve"> 20</w:t>
                      </w:r>
                      <w:r w:rsidR="0032063E">
                        <w:rPr>
                          <w:rFonts w:asciiTheme="minorHAnsi" w:hAnsiTheme="minorHAnsi"/>
                          <w:color w:val="FFFFFF" w:themeColor="background1"/>
                          <w:sz w:val="22"/>
                          <w:lang w:val="es-VE"/>
                        </w:rPr>
                        <w:t>2</w:t>
                      </w:r>
                      <w:r w:rsidR="00EB3A0E">
                        <w:rPr>
                          <w:rFonts w:asciiTheme="minorHAnsi" w:hAnsiTheme="minorHAnsi"/>
                          <w:color w:val="FFFFFF" w:themeColor="background1"/>
                          <w:sz w:val="22"/>
                          <w:lang w:val="es-VE"/>
                        </w:rPr>
                        <w:t>3</w:t>
                      </w:r>
                    </w:p>
                    <w:p w14:paraId="77901A10" w14:textId="77777777" w:rsidR="0032063E" w:rsidRPr="00C04E64" w:rsidRDefault="0032063E" w:rsidP="002C1641">
                      <w:pPr>
                        <w:jc w:val="right"/>
                        <w:rPr>
                          <w:rFonts w:asciiTheme="minorHAnsi" w:hAnsiTheme="minorHAnsi"/>
                          <w:color w:val="FFFFFF" w:themeColor="background1"/>
                          <w:sz w:val="22"/>
                          <w:lang w:val="es-VE"/>
                        </w:rPr>
                      </w:pPr>
                      <w:r w:rsidRPr="00C04E64">
                        <w:rPr>
                          <w:rFonts w:asciiTheme="minorHAnsi" w:hAnsiTheme="minorHAnsi"/>
                          <w:color w:val="FFFFFF" w:themeColor="background1"/>
                          <w:sz w:val="22"/>
                          <w:lang w:val="es-VE"/>
                        </w:rPr>
                        <w:t>Original: inglés</w:t>
                      </w:r>
                    </w:p>
                  </w:txbxContent>
                </v:textbox>
              </v:shape>
            </w:pict>
          </mc:Fallback>
        </mc:AlternateContent>
      </w:r>
    </w:p>
    <w:p w14:paraId="6602C73F" w14:textId="77777777" w:rsidR="00040C3A" w:rsidRPr="00DE2580" w:rsidRDefault="00040C3A" w:rsidP="00040C3A">
      <w:pPr>
        <w:tabs>
          <w:tab w:val="center" w:pos="5400"/>
        </w:tabs>
        <w:suppressAutoHyphens/>
        <w:jc w:val="center"/>
        <w:rPr>
          <w:rFonts w:asciiTheme="majorHAnsi" w:hAnsiTheme="majorHAnsi" w:cs="Arial"/>
          <w:sz w:val="22"/>
          <w:szCs w:val="22"/>
          <w:lang w:val="es-ES_tradnl"/>
        </w:rPr>
      </w:pPr>
    </w:p>
    <w:p w14:paraId="13A2A6BD"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1E354E2"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93C5317"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4A4C9643"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772D5A4F"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21EE7DF7"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55632A8C"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58641114"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11F00C67"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4118809E"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40B05E3"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15EDC32A"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5D64D2BC"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7FF56423"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040F9DDC"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6627C03C"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1E06AA4C"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00BFD9B0"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5B0EF1A1"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67588C46"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4B0A361E"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61CAEAD2"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409F76E5"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40A10BA7" w14:textId="77777777" w:rsidR="002C1641" w:rsidRPr="00DE2580" w:rsidRDefault="00EF4F97" w:rsidP="00040C3A">
      <w:pPr>
        <w:tabs>
          <w:tab w:val="center" w:pos="5400"/>
        </w:tabs>
        <w:suppressAutoHyphens/>
        <w:jc w:val="center"/>
        <w:rPr>
          <w:rFonts w:asciiTheme="majorHAnsi" w:hAnsiTheme="majorHAnsi"/>
          <w:sz w:val="18"/>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56FB836" wp14:editId="615BAFB7">
                <wp:simplePos x="0" y="0"/>
                <wp:positionH relativeFrom="column">
                  <wp:posOffset>1209675</wp:posOffset>
                </wp:positionH>
                <wp:positionV relativeFrom="paragraph">
                  <wp:posOffset>71120</wp:posOffset>
                </wp:positionV>
                <wp:extent cx="4595495" cy="694944"/>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4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7044C" w14:textId="26AD3974" w:rsidR="0032063E" w:rsidRPr="00471149" w:rsidRDefault="0032063E" w:rsidP="00471149">
                            <w:pPr>
                              <w:tabs>
                                <w:tab w:val="center" w:pos="5400"/>
                              </w:tabs>
                              <w:suppressAutoHyphens/>
                              <w:spacing w:before="60"/>
                              <w:rPr>
                                <w:rFonts w:asciiTheme="majorHAnsi" w:hAnsiTheme="majorHAnsi" w:cs="Univers"/>
                                <w:color w:val="0D0D0D" w:themeColor="text1" w:themeTint="F2"/>
                                <w:sz w:val="18"/>
                                <w:szCs w:val="20"/>
                                <w:lang w:val="es-ES"/>
                              </w:rPr>
                            </w:pPr>
                            <w:r w:rsidRPr="00500D46">
                              <w:rPr>
                                <w:rFonts w:asciiTheme="majorHAnsi" w:hAnsiTheme="majorHAnsi"/>
                                <w:color w:val="0D0D0D" w:themeColor="text1" w:themeTint="F2"/>
                                <w:sz w:val="18"/>
                                <w:szCs w:val="20"/>
                                <w:lang w:val="es-ES"/>
                              </w:rPr>
                              <w:t xml:space="preserve">Aprobado electrónicamente por la Comisión el </w:t>
                            </w:r>
                            <w:r w:rsidR="00C826D8">
                              <w:rPr>
                                <w:rFonts w:asciiTheme="majorHAnsi" w:hAnsiTheme="majorHAnsi"/>
                                <w:color w:val="0D0D0D" w:themeColor="text1" w:themeTint="F2"/>
                                <w:sz w:val="18"/>
                                <w:szCs w:val="20"/>
                                <w:lang w:val="es-ES"/>
                              </w:rPr>
                              <w:t>12</w:t>
                            </w:r>
                            <w:r>
                              <w:rPr>
                                <w:rFonts w:asciiTheme="majorHAnsi" w:hAnsiTheme="majorHAnsi"/>
                                <w:color w:val="0D0D0D" w:themeColor="text1" w:themeTint="F2"/>
                                <w:sz w:val="18"/>
                                <w:szCs w:val="20"/>
                                <w:lang w:val="es-ES"/>
                              </w:rPr>
                              <w:t xml:space="preserve"> de </w:t>
                            </w:r>
                            <w:r w:rsidR="00C826D8">
                              <w:rPr>
                                <w:rFonts w:asciiTheme="majorHAnsi" w:hAnsiTheme="majorHAnsi"/>
                                <w:color w:val="0D0D0D" w:themeColor="text1" w:themeTint="F2"/>
                                <w:sz w:val="18"/>
                                <w:szCs w:val="20"/>
                                <w:lang w:val="es-ES"/>
                              </w:rPr>
                              <w:t>mayo</w:t>
                            </w:r>
                            <w:r>
                              <w:rPr>
                                <w:rFonts w:asciiTheme="majorHAnsi" w:hAnsiTheme="majorHAnsi"/>
                                <w:color w:val="0D0D0D" w:themeColor="text1" w:themeTint="F2"/>
                                <w:sz w:val="18"/>
                                <w:szCs w:val="20"/>
                                <w:lang w:val="es-ES"/>
                              </w:rPr>
                              <w:t xml:space="preserve"> de</w:t>
                            </w:r>
                            <w:r w:rsidRPr="00500D46">
                              <w:rPr>
                                <w:rFonts w:asciiTheme="majorHAnsi" w:hAnsiTheme="majorHAnsi"/>
                                <w:color w:val="0D0D0D" w:themeColor="text1" w:themeTint="F2"/>
                                <w:sz w:val="18"/>
                                <w:szCs w:val="20"/>
                                <w:lang w:val="es-ES"/>
                              </w:rPr>
                              <w:t xml:space="preserve"> 20</w:t>
                            </w:r>
                            <w:r w:rsidR="00733761">
                              <w:rPr>
                                <w:rFonts w:asciiTheme="majorHAnsi" w:hAnsiTheme="majorHAnsi"/>
                                <w:color w:val="0D0D0D" w:themeColor="text1" w:themeTint="F2"/>
                                <w:sz w:val="18"/>
                                <w:szCs w:val="20"/>
                                <w:lang w:val="es-ES"/>
                              </w:rPr>
                              <w:t>2</w:t>
                            </w:r>
                            <w:r w:rsidR="00EB3A0E">
                              <w:rPr>
                                <w:rFonts w:asciiTheme="majorHAnsi" w:hAnsiTheme="majorHAnsi"/>
                                <w:color w:val="0D0D0D" w:themeColor="text1" w:themeTint="F2"/>
                                <w:sz w:val="18"/>
                                <w:szCs w:val="20"/>
                                <w:lang w:val="es-ES"/>
                              </w:rPr>
                              <w:t>3</w:t>
                            </w:r>
                          </w:p>
                          <w:p w14:paraId="779CAE4C" w14:textId="77777777" w:rsidR="0032063E" w:rsidRPr="00C04E64" w:rsidRDefault="0032063E" w:rsidP="008648E9">
                            <w:pPr>
                              <w:tabs>
                                <w:tab w:val="center" w:pos="5400"/>
                              </w:tabs>
                              <w:suppressAutoHyphens/>
                              <w:spacing w:before="60"/>
                              <w:rPr>
                                <w:rFonts w:asciiTheme="majorHAnsi" w:hAnsiTheme="majorHAnsi"/>
                                <w:color w:val="0D0D0D" w:themeColor="text1" w:themeTint="F2"/>
                                <w:sz w:val="18"/>
                                <w:szCs w:val="22"/>
                                <w:lang w:val="es-VE"/>
                              </w:rPr>
                            </w:pPr>
                          </w:p>
                          <w:p w14:paraId="50D79FE1" w14:textId="77777777" w:rsidR="0032063E" w:rsidRPr="00C04E64" w:rsidRDefault="0032063E" w:rsidP="004165C2">
                            <w:pPr>
                              <w:tabs>
                                <w:tab w:val="center" w:pos="5400"/>
                              </w:tabs>
                              <w:suppressAutoHyphens/>
                              <w:spacing w:before="60"/>
                              <w:rPr>
                                <w:rFonts w:asciiTheme="majorHAnsi" w:hAnsiTheme="majorHAnsi"/>
                                <w:color w:val="0D0D0D" w:themeColor="text1" w:themeTint="F2"/>
                                <w:sz w:val="18"/>
                                <w:szCs w:val="22"/>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FB836" id="Text Box 7" o:spid="_x0000_s1029" type="#_x0000_t202" style="position:absolute;left:0;text-align:left;margin-left:95.25pt;margin-top:5.6pt;width:361.85pt;height:5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" filled="f" stroked="f" strokeweight=".5pt">
                <v:textbox>
                  <w:txbxContent>
                    <w:p w14:paraId="56E7044C" w14:textId="26AD3974" w:rsidR="0032063E" w:rsidRPr="00471149" w:rsidRDefault="0032063E" w:rsidP="00471149">
                      <w:pPr>
                        <w:tabs>
                          <w:tab w:val="center" w:pos="5400"/>
                        </w:tabs>
                        <w:suppressAutoHyphens/>
                        <w:spacing w:before="60"/>
                        <w:rPr>
                          <w:rFonts w:asciiTheme="majorHAnsi" w:hAnsiTheme="majorHAnsi" w:cs="Univers"/>
                          <w:color w:val="0D0D0D" w:themeColor="text1" w:themeTint="F2"/>
                          <w:sz w:val="18"/>
                          <w:szCs w:val="20"/>
                          <w:lang w:val="es-ES"/>
                        </w:rPr>
                      </w:pPr>
                      <w:r w:rsidRPr="00500D46">
                        <w:rPr>
                          <w:rFonts w:asciiTheme="majorHAnsi" w:hAnsiTheme="majorHAnsi"/>
                          <w:color w:val="0D0D0D" w:themeColor="text1" w:themeTint="F2"/>
                          <w:sz w:val="18"/>
                          <w:szCs w:val="20"/>
                          <w:lang w:val="es-ES"/>
                        </w:rPr>
                        <w:t xml:space="preserve">Aprobado electrónicamente por la Comisión el </w:t>
                      </w:r>
                      <w:r w:rsidR="00C826D8">
                        <w:rPr>
                          <w:rFonts w:asciiTheme="majorHAnsi" w:hAnsiTheme="majorHAnsi"/>
                          <w:color w:val="0D0D0D" w:themeColor="text1" w:themeTint="F2"/>
                          <w:sz w:val="18"/>
                          <w:szCs w:val="20"/>
                          <w:lang w:val="es-ES"/>
                        </w:rPr>
                        <w:t>12</w:t>
                      </w:r>
                      <w:r>
                        <w:rPr>
                          <w:rFonts w:asciiTheme="majorHAnsi" w:hAnsiTheme="majorHAnsi"/>
                          <w:color w:val="0D0D0D" w:themeColor="text1" w:themeTint="F2"/>
                          <w:sz w:val="18"/>
                          <w:szCs w:val="20"/>
                          <w:lang w:val="es-ES"/>
                        </w:rPr>
                        <w:t xml:space="preserve"> de </w:t>
                      </w:r>
                      <w:r w:rsidR="00C826D8">
                        <w:rPr>
                          <w:rFonts w:asciiTheme="majorHAnsi" w:hAnsiTheme="majorHAnsi"/>
                          <w:color w:val="0D0D0D" w:themeColor="text1" w:themeTint="F2"/>
                          <w:sz w:val="18"/>
                          <w:szCs w:val="20"/>
                          <w:lang w:val="es-ES"/>
                        </w:rPr>
                        <w:t>mayo</w:t>
                      </w:r>
                      <w:r>
                        <w:rPr>
                          <w:rFonts w:asciiTheme="majorHAnsi" w:hAnsiTheme="majorHAnsi"/>
                          <w:color w:val="0D0D0D" w:themeColor="text1" w:themeTint="F2"/>
                          <w:sz w:val="18"/>
                          <w:szCs w:val="20"/>
                          <w:lang w:val="es-ES"/>
                        </w:rPr>
                        <w:t xml:space="preserve"> de</w:t>
                      </w:r>
                      <w:r w:rsidRPr="00500D46">
                        <w:rPr>
                          <w:rFonts w:asciiTheme="majorHAnsi" w:hAnsiTheme="majorHAnsi"/>
                          <w:color w:val="0D0D0D" w:themeColor="text1" w:themeTint="F2"/>
                          <w:sz w:val="18"/>
                          <w:szCs w:val="20"/>
                          <w:lang w:val="es-ES"/>
                        </w:rPr>
                        <w:t xml:space="preserve"> 20</w:t>
                      </w:r>
                      <w:r w:rsidR="00733761">
                        <w:rPr>
                          <w:rFonts w:asciiTheme="majorHAnsi" w:hAnsiTheme="majorHAnsi"/>
                          <w:color w:val="0D0D0D" w:themeColor="text1" w:themeTint="F2"/>
                          <w:sz w:val="18"/>
                          <w:szCs w:val="20"/>
                          <w:lang w:val="es-ES"/>
                        </w:rPr>
                        <w:t>2</w:t>
                      </w:r>
                      <w:r w:rsidR="00EB3A0E">
                        <w:rPr>
                          <w:rFonts w:asciiTheme="majorHAnsi" w:hAnsiTheme="majorHAnsi"/>
                          <w:color w:val="0D0D0D" w:themeColor="text1" w:themeTint="F2"/>
                          <w:sz w:val="18"/>
                          <w:szCs w:val="20"/>
                          <w:lang w:val="es-ES"/>
                        </w:rPr>
                        <w:t>3</w:t>
                      </w:r>
                    </w:p>
                    <w:p w14:paraId="779CAE4C" w14:textId="77777777" w:rsidR="0032063E" w:rsidRPr="00C04E64" w:rsidRDefault="0032063E" w:rsidP="008648E9">
                      <w:pPr>
                        <w:tabs>
                          <w:tab w:val="center" w:pos="5400"/>
                        </w:tabs>
                        <w:suppressAutoHyphens/>
                        <w:spacing w:before="60"/>
                        <w:rPr>
                          <w:rFonts w:asciiTheme="majorHAnsi" w:hAnsiTheme="majorHAnsi"/>
                          <w:color w:val="0D0D0D" w:themeColor="text1" w:themeTint="F2"/>
                          <w:sz w:val="18"/>
                          <w:szCs w:val="22"/>
                          <w:lang w:val="es-VE"/>
                        </w:rPr>
                      </w:pPr>
                    </w:p>
                    <w:p w14:paraId="50D79FE1" w14:textId="77777777" w:rsidR="0032063E" w:rsidRPr="00C04E64" w:rsidRDefault="0032063E" w:rsidP="004165C2">
                      <w:pPr>
                        <w:tabs>
                          <w:tab w:val="center" w:pos="5400"/>
                        </w:tabs>
                        <w:suppressAutoHyphens/>
                        <w:spacing w:before="60"/>
                        <w:rPr>
                          <w:rFonts w:asciiTheme="majorHAnsi" w:hAnsiTheme="majorHAnsi"/>
                          <w:color w:val="0D0D0D" w:themeColor="text1" w:themeTint="F2"/>
                          <w:sz w:val="18"/>
                          <w:szCs w:val="22"/>
                          <w:lang w:val="es-VE"/>
                        </w:rPr>
                      </w:pPr>
                    </w:p>
                  </w:txbxContent>
                </v:textbox>
              </v:shape>
            </w:pict>
          </mc:Fallback>
        </mc:AlternateContent>
      </w:r>
    </w:p>
    <w:p w14:paraId="7D48E50C"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70880653"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2D679FDB"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7B6C5837"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06813703" w14:textId="77777777" w:rsidR="002C1641" w:rsidRPr="00DE2580" w:rsidRDefault="00EF4F97" w:rsidP="00040C3A">
      <w:pPr>
        <w:tabs>
          <w:tab w:val="center" w:pos="5400"/>
        </w:tabs>
        <w:suppressAutoHyphens/>
        <w:jc w:val="center"/>
        <w:rPr>
          <w:rFonts w:asciiTheme="majorHAnsi" w:hAnsiTheme="majorHAnsi"/>
          <w:sz w:val="18"/>
          <w:szCs w:val="22"/>
          <w:lang w:val="es-ES_tradnl"/>
        </w:rPr>
      </w:pPr>
      <w:r w:rsidRPr="00DE258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62ED23E" wp14:editId="0D4477C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26255" w14:textId="45C5F360" w:rsidR="0032063E" w:rsidRPr="003C32BC" w:rsidRDefault="0032063E" w:rsidP="00F45EBF">
                            <w:pPr>
                              <w:spacing w:line="276" w:lineRule="auto"/>
                              <w:jc w:val="both"/>
                              <w:rPr>
                                <w:rFonts w:asciiTheme="majorHAnsi" w:hAnsiTheme="majorHAnsi"/>
                                <w:color w:val="595959" w:themeColor="text1" w:themeTint="A6"/>
                                <w:sz w:val="18"/>
                              </w:rPr>
                            </w:pPr>
                            <w:r w:rsidRPr="007E3BD5">
                              <w:rPr>
                                <w:rFonts w:asciiTheme="majorHAnsi" w:hAnsiTheme="majorHAnsi"/>
                                <w:b/>
                                <w:color w:val="595959" w:themeColor="text1" w:themeTint="A6"/>
                                <w:sz w:val="18"/>
                                <w:lang w:val="pt-BR"/>
                              </w:rPr>
                              <w:t xml:space="preserve">Citar como: </w:t>
                            </w:r>
                            <w:r w:rsidRPr="00CC759E">
                              <w:rPr>
                                <w:rFonts w:asciiTheme="majorHAnsi" w:hAnsiTheme="majorHAnsi"/>
                                <w:color w:val="595959" w:themeColor="text1" w:themeTint="A6"/>
                                <w:sz w:val="18"/>
                                <w:lang w:val="es-ES_tradnl"/>
                              </w:rPr>
                              <w:t xml:space="preserve">CIDH, Informe No. </w:t>
                            </w:r>
                            <w:r w:rsidR="00C826D8">
                              <w:rPr>
                                <w:rFonts w:asciiTheme="majorHAnsi" w:hAnsiTheme="majorHAnsi"/>
                                <w:color w:val="595959" w:themeColor="text1" w:themeTint="A6"/>
                                <w:sz w:val="18"/>
                                <w:lang w:val="es-ES_tradnl"/>
                              </w:rPr>
                              <w:t>264</w:t>
                            </w:r>
                            <w:r w:rsidRPr="00CC759E">
                              <w:rPr>
                                <w:rFonts w:asciiTheme="majorHAnsi" w:hAnsiTheme="majorHAnsi"/>
                                <w:color w:val="595959" w:themeColor="text1" w:themeTint="A6"/>
                                <w:sz w:val="18"/>
                                <w:lang w:val="es-ES_tradnl"/>
                              </w:rPr>
                              <w:t>/</w:t>
                            </w:r>
                            <w:r w:rsidR="00CC759E" w:rsidRPr="00CC759E">
                              <w:rPr>
                                <w:rFonts w:asciiTheme="majorHAnsi" w:hAnsiTheme="majorHAnsi"/>
                                <w:color w:val="595959" w:themeColor="text1" w:themeTint="A6"/>
                                <w:sz w:val="18"/>
                                <w:lang w:val="es-ES_tradnl"/>
                              </w:rPr>
                              <w:t>2</w:t>
                            </w:r>
                            <w:r w:rsidR="00EB3A0E">
                              <w:rPr>
                                <w:rFonts w:asciiTheme="majorHAnsi" w:hAnsiTheme="majorHAnsi"/>
                                <w:color w:val="595959" w:themeColor="text1" w:themeTint="A6"/>
                                <w:sz w:val="18"/>
                                <w:lang w:val="es-ES_tradnl"/>
                              </w:rPr>
                              <w:t>3</w:t>
                            </w:r>
                            <w:r w:rsidRPr="00CC759E">
                              <w:rPr>
                                <w:rFonts w:asciiTheme="majorHAnsi" w:hAnsiTheme="majorHAnsi"/>
                                <w:color w:val="595959" w:themeColor="text1" w:themeTint="A6"/>
                                <w:sz w:val="18"/>
                                <w:lang w:val="es-ES_tradnl"/>
                              </w:rPr>
                              <w:t xml:space="preserve">, Caso 12.446. Fondo </w:t>
                            </w:r>
                            <w:r w:rsidRPr="00C826D8">
                              <w:rPr>
                                <w:rFonts w:asciiTheme="majorHAnsi" w:hAnsiTheme="majorHAnsi"/>
                                <w:color w:val="595959" w:themeColor="text1" w:themeTint="A6"/>
                                <w:sz w:val="18"/>
                                <w:lang w:val="es-ES_tradnl"/>
                              </w:rPr>
                              <w:t>(</w:t>
                            </w:r>
                            <w:r w:rsidR="005A7AD8" w:rsidRPr="00C826D8">
                              <w:rPr>
                                <w:rFonts w:asciiTheme="majorHAnsi" w:hAnsiTheme="majorHAnsi"/>
                                <w:color w:val="595959" w:themeColor="text1" w:themeTint="A6"/>
                                <w:sz w:val="18"/>
                                <w:lang w:val="es-ES_tradnl"/>
                              </w:rPr>
                              <w:t>Publicación</w:t>
                            </w:r>
                            <w:r w:rsidRPr="00CC759E">
                              <w:rPr>
                                <w:rFonts w:asciiTheme="majorHAnsi" w:hAnsiTheme="majorHAnsi"/>
                                <w:color w:val="595959" w:themeColor="text1" w:themeTint="A6"/>
                                <w:sz w:val="18"/>
                                <w:lang w:val="es-ES_tradnl"/>
                              </w:rPr>
                              <w:t xml:space="preserve">). Tracy Lee Housel. Estados Unidos de América. </w:t>
                            </w:r>
                            <w:r w:rsidR="00C826D8">
                              <w:rPr>
                                <w:rFonts w:asciiTheme="majorHAnsi" w:hAnsiTheme="majorHAnsi"/>
                                <w:color w:val="595959" w:themeColor="text1" w:themeTint="A6"/>
                                <w:sz w:val="18"/>
                                <w:lang w:val="es-ES_tradnl"/>
                              </w:rPr>
                              <w:t>12</w:t>
                            </w:r>
                            <w:r w:rsidR="00CC759E" w:rsidRPr="00CC759E">
                              <w:rPr>
                                <w:rFonts w:asciiTheme="majorHAnsi" w:hAnsiTheme="majorHAnsi"/>
                                <w:color w:val="595959" w:themeColor="text1" w:themeTint="A6"/>
                                <w:sz w:val="18"/>
                                <w:lang w:val="es-ES_tradnl"/>
                              </w:rPr>
                              <w:t xml:space="preserve"> de</w:t>
                            </w:r>
                            <w:r w:rsidRPr="00CC759E">
                              <w:rPr>
                                <w:rFonts w:asciiTheme="majorHAnsi" w:hAnsiTheme="majorHAnsi"/>
                                <w:color w:val="595959" w:themeColor="text1" w:themeTint="A6"/>
                                <w:sz w:val="18"/>
                                <w:lang w:val="es-ES_tradnl"/>
                              </w:rPr>
                              <w:t xml:space="preserve"> </w:t>
                            </w:r>
                            <w:r w:rsidR="00C826D8">
                              <w:rPr>
                                <w:rFonts w:asciiTheme="majorHAnsi" w:hAnsiTheme="majorHAnsi"/>
                                <w:color w:val="595959" w:themeColor="text1" w:themeTint="A6"/>
                                <w:sz w:val="18"/>
                                <w:lang w:val="es-ES_tradnl"/>
                              </w:rPr>
                              <w:t>mayo</w:t>
                            </w:r>
                            <w:r w:rsidRPr="00CC759E">
                              <w:rPr>
                                <w:rFonts w:asciiTheme="majorHAnsi" w:hAnsiTheme="majorHAnsi"/>
                                <w:color w:val="595959" w:themeColor="text1" w:themeTint="A6"/>
                                <w:sz w:val="18"/>
                                <w:lang w:val="es-ES_tradnl"/>
                              </w:rPr>
                              <w:t xml:space="preserve"> de 20</w:t>
                            </w:r>
                            <w:r w:rsidR="00CC759E" w:rsidRPr="00CC759E">
                              <w:rPr>
                                <w:rFonts w:asciiTheme="majorHAnsi" w:hAnsiTheme="majorHAnsi"/>
                                <w:color w:val="595959" w:themeColor="text1" w:themeTint="A6"/>
                                <w:sz w:val="18"/>
                                <w:lang w:val="es-ES_tradnl"/>
                              </w:rPr>
                              <w:t>2</w:t>
                            </w:r>
                            <w:r w:rsidR="00EB3A0E">
                              <w:rPr>
                                <w:rFonts w:asciiTheme="majorHAnsi" w:hAnsiTheme="majorHAnsi"/>
                                <w:color w:val="595959" w:themeColor="text1" w:themeTint="A6"/>
                                <w:sz w:val="18"/>
                                <w:lang w:val="es-ES_tradnl"/>
                              </w:rPr>
                              <w:t>3</w:t>
                            </w:r>
                            <w:r w:rsidRPr="00CC759E">
                              <w:rPr>
                                <w:rFonts w:asciiTheme="majorHAnsi" w:hAnsiTheme="majorHAnsi"/>
                                <w:color w:val="595959" w:themeColor="text1" w:themeTint="A6"/>
                                <w:sz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D23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32226255" w14:textId="45C5F360" w:rsidR="0032063E" w:rsidRPr="003C32BC" w:rsidRDefault="0032063E" w:rsidP="00F45EBF">
                      <w:pPr>
                        <w:spacing w:line="276" w:lineRule="auto"/>
                        <w:jc w:val="both"/>
                        <w:rPr>
                          <w:rFonts w:asciiTheme="majorHAnsi" w:hAnsiTheme="majorHAnsi"/>
                          <w:color w:val="595959" w:themeColor="text1" w:themeTint="A6"/>
                          <w:sz w:val="18"/>
                        </w:rPr>
                      </w:pPr>
                      <w:r w:rsidRPr="007E3BD5">
                        <w:rPr>
                          <w:rFonts w:asciiTheme="majorHAnsi" w:hAnsiTheme="majorHAnsi"/>
                          <w:b/>
                          <w:color w:val="595959" w:themeColor="text1" w:themeTint="A6"/>
                          <w:sz w:val="18"/>
                          <w:lang w:val="pt-BR"/>
                        </w:rPr>
                        <w:t xml:space="preserve">Citar como: </w:t>
                      </w:r>
                      <w:r w:rsidRPr="00CC759E">
                        <w:rPr>
                          <w:rFonts w:asciiTheme="majorHAnsi" w:hAnsiTheme="majorHAnsi"/>
                          <w:color w:val="595959" w:themeColor="text1" w:themeTint="A6"/>
                          <w:sz w:val="18"/>
                          <w:lang w:val="es-ES_tradnl"/>
                        </w:rPr>
                        <w:t xml:space="preserve">CIDH, Informe No. </w:t>
                      </w:r>
                      <w:r w:rsidR="00C826D8">
                        <w:rPr>
                          <w:rFonts w:asciiTheme="majorHAnsi" w:hAnsiTheme="majorHAnsi"/>
                          <w:color w:val="595959" w:themeColor="text1" w:themeTint="A6"/>
                          <w:sz w:val="18"/>
                          <w:lang w:val="es-ES_tradnl"/>
                        </w:rPr>
                        <w:t>264</w:t>
                      </w:r>
                      <w:r w:rsidRPr="00CC759E">
                        <w:rPr>
                          <w:rFonts w:asciiTheme="majorHAnsi" w:hAnsiTheme="majorHAnsi"/>
                          <w:color w:val="595959" w:themeColor="text1" w:themeTint="A6"/>
                          <w:sz w:val="18"/>
                          <w:lang w:val="es-ES_tradnl"/>
                        </w:rPr>
                        <w:t>/</w:t>
                      </w:r>
                      <w:r w:rsidR="00CC759E" w:rsidRPr="00CC759E">
                        <w:rPr>
                          <w:rFonts w:asciiTheme="majorHAnsi" w:hAnsiTheme="majorHAnsi"/>
                          <w:color w:val="595959" w:themeColor="text1" w:themeTint="A6"/>
                          <w:sz w:val="18"/>
                          <w:lang w:val="es-ES_tradnl"/>
                        </w:rPr>
                        <w:t>2</w:t>
                      </w:r>
                      <w:r w:rsidR="00EB3A0E">
                        <w:rPr>
                          <w:rFonts w:asciiTheme="majorHAnsi" w:hAnsiTheme="majorHAnsi"/>
                          <w:color w:val="595959" w:themeColor="text1" w:themeTint="A6"/>
                          <w:sz w:val="18"/>
                          <w:lang w:val="es-ES_tradnl"/>
                        </w:rPr>
                        <w:t>3</w:t>
                      </w:r>
                      <w:r w:rsidRPr="00CC759E">
                        <w:rPr>
                          <w:rFonts w:asciiTheme="majorHAnsi" w:hAnsiTheme="majorHAnsi"/>
                          <w:color w:val="595959" w:themeColor="text1" w:themeTint="A6"/>
                          <w:sz w:val="18"/>
                          <w:lang w:val="es-ES_tradnl"/>
                        </w:rPr>
                        <w:t xml:space="preserve">, Caso 12.446. Fondo </w:t>
                      </w:r>
                      <w:r w:rsidRPr="00C826D8">
                        <w:rPr>
                          <w:rFonts w:asciiTheme="majorHAnsi" w:hAnsiTheme="majorHAnsi"/>
                          <w:color w:val="595959" w:themeColor="text1" w:themeTint="A6"/>
                          <w:sz w:val="18"/>
                          <w:lang w:val="es-ES_tradnl"/>
                        </w:rPr>
                        <w:t>(</w:t>
                      </w:r>
                      <w:r w:rsidR="005A7AD8" w:rsidRPr="00C826D8">
                        <w:rPr>
                          <w:rFonts w:asciiTheme="majorHAnsi" w:hAnsiTheme="majorHAnsi"/>
                          <w:color w:val="595959" w:themeColor="text1" w:themeTint="A6"/>
                          <w:sz w:val="18"/>
                          <w:lang w:val="es-ES_tradnl"/>
                        </w:rPr>
                        <w:t>Publicación</w:t>
                      </w:r>
                      <w:r w:rsidRPr="00CC759E">
                        <w:rPr>
                          <w:rFonts w:asciiTheme="majorHAnsi" w:hAnsiTheme="majorHAnsi"/>
                          <w:color w:val="595959" w:themeColor="text1" w:themeTint="A6"/>
                          <w:sz w:val="18"/>
                          <w:lang w:val="es-ES_tradnl"/>
                        </w:rPr>
                        <w:t xml:space="preserve">). Tracy Lee Housel. Estados Unidos de América. </w:t>
                      </w:r>
                      <w:r w:rsidR="00C826D8">
                        <w:rPr>
                          <w:rFonts w:asciiTheme="majorHAnsi" w:hAnsiTheme="majorHAnsi"/>
                          <w:color w:val="595959" w:themeColor="text1" w:themeTint="A6"/>
                          <w:sz w:val="18"/>
                          <w:lang w:val="es-ES_tradnl"/>
                        </w:rPr>
                        <w:t>12</w:t>
                      </w:r>
                      <w:r w:rsidR="00CC759E" w:rsidRPr="00CC759E">
                        <w:rPr>
                          <w:rFonts w:asciiTheme="majorHAnsi" w:hAnsiTheme="majorHAnsi"/>
                          <w:color w:val="595959" w:themeColor="text1" w:themeTint="A6"/>
                          <w:sz w:val="18"/>
                          <w:lang w:val="es-ES_tradnl"/>
                        </w:rPr>
                        <w:t xml:space="preserve"> de</w:t>
                      </w:r>
                      <w:r w:rsidRPr="00CC759E">
                        <w:rPr>
                          <w:rFonts w:asciiTheme="majorHAnsi" w:hAnsiTheme="majorHAnsi"/>
                          <w:color w:val="595959" w:themeColor="text1" w:themeTint="A6"/>
                          <w:sz w:val="18"/>
                          <w:lang w:val="es-ES_tradnl"/>
                        </w:rPr>
                        <w:t xml:space="preserve"> </w:t>
                      </w:r>
                      <w:r w:rsidR="00C826D8">
                        <w:rPr>
                          <w:rFonts w:asciiTheme="majorHAnsi" w:hAnsiTheme="majorHAnsi"/>
                          <w:color w:val="595959" w:themeColor="text1" w:themeTint="A6"/>
                          <w:sz w:val="18"/>
                          <w:lang w:val="es-ES_tradnl"/>
                        </w:rPr>
                        <w:t>mayo</w:t>
                      </w:r>
                      <w:r w:rsidRPr="00CC759E">
                        <w:rPr>
                          <w:rFonts w:asciiTheme="majorHAnsi" w:hAnsiTheme="majorHAnsi"/>
                          <w:color w:val="595959" w:themeColor="text1" w:themeTint="A6"/>
                          <w:sz w:val="18"/>
                          <w:lang w:val="es-ES_tradnl"/>
                        </w:rPr>
                        <w:t xml:space="preserve"> de 20</w:t>
                      </w:r>
                      <w:r w:rsidR="00CC759E" w:rsidRPr="00CC759E">
                        <w:rPr>
                          <w:rFonts w:asciiTheme="majorHAnsi" w:hAnsiTheme="majorHAnsi"/>
                          <w:color w:val="595959" w:themeColor="text1" w:themeTint="A6"/>
                          <w:sz w:val="18"/>
                          <w:lang w:val="es-ES_tradnl"/>
                        </w:rPr>
                        <w:t>2</w:t>
                      </w:r>
                      <w:r w:rsidR="00EB3A0E">
                        <w:rPr>
                          <w:rFonts w:asciiTheme="majorHAnsi" w:hAnsiTheme="majorHAnsi"/>
                          <w:color w:val="595959" w:themeColor="text1" w:themeTint="A6"/>
                          <w:sz w:val="18"/>
                          <w:lang w:val="es-ES_tradnl"/>
                        </w:rPr>
                        <w:t>3</w:t>
                      </w:r>
                      <w:r w:rsidRPr="00CC759E">
                        <w:rPr>
                          <w:rFonts w:asciiTheme="majorHAnsi" w:hAnsiTheme="majorHAnsi"/>
                          <w:color w:val="595959" w:themeColor="text1" w:themeTint="A6"/>
                          <w:sz w:val="18"/>
                          <w:lang w:val="es-ES_tradnl"/>
                        </w:rPr>
                        <w:t>.</w:t>
                      </w:r>
                    </w:p>
                  </w:txbxContent>
                </v:textbox>
              </v:shape>
            </w:pict>
          </mc:Fallback>
        </mc:AlternateContent>
      </w:r>
    </w:p>
    <w:p w14:paraId="2628197A"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6B661750"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46994888" w14:textId="77777777" w:rsidR="003C32BC" w:rsidRPr="00DE2580" w:rsidRDefault="003C32BC" w:rsidP="003C32BC">
      <w:pPr>
        <w:tabs>
          <w:tab w:val="center" w:pos="5400"/>
        </w:tabs>
        <w:suppressAutoHyphens/>
        <w:jc w:val="center"/>
        <w:rPr>
          <w:rFonts w:asciiTheme="majorHAnsi" w:hAnsiTheme="majorHAnsi"/>
          <w:sz w:val="18"/>
          <w:szCs w:val="22"/>
        </w:rPr>
      </w:pPr>
    </w:p>
    <w:p w14:paraId="0180559D" w14:textId="77777777" w:rsidR="003C32BC" w:rsidRPr="00DE2580" w:rsidRDefault="00EF4F97" w:rsidP="003C32BC">
      <w:pPr>
        <w:tabs>
          <w:tab w:val="center" w:pos="5400"/>
        </w:tabs>
        <w:suppressAutoHyphens/>
        <w:jc w:val="center"/>
        <w:rPr>
          <w:rFonts w:asciiTheme="majorHAnsi" w:hAnsiTheme="majorHAnsi"/>
          <w:sz w:val="18"/>
          <w:szCs w:val="22"/>
        </w:rPr>
      </w:pPr>
      <w:r w:rsidRPr="00DE258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6B4E72A" wp14:editId="3514FB1E">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57625" w14:textId="77777777" w:rsidR="0032063E" w:rsidRPr="004B7EB6" w:rsidRDefault="0032063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E72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AVbp36egIA&#10;AF0FAAAOAAAAAAAAAAAAAAAAAC4CAABkcnMvZTJvRG9jLnhtbFBLAQItABQABgAIAAAAIQBDbfVI&#10;4wAAAAsBAAAPAAAAAAAAAAAAAAAAANQEAABkcnMvZG93bnJldi54bWxQSwUGAAAAAAQABADzAAAA&#10;5AUAAAAA&#10;" filled="f" stroked="f" strokeweight=".5pt">
                <v:textbox>
                  <w:txbxContent>
                    <w:p w14:paraId="1A257625" w14:textId="77777777" w:rsidR="0032063E" w:rsidRPr="004B7EB6" w:rsidRDefault="0032063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E258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0F284F8" wp14:editId="72E3D41D">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93A37" w14:textId="77777777" w:rsidR="0032063E" w:rsidRDefault="0032063E">
                            <w:r>
                              <w:rPr>
                                <w:noProof/>
                                <w:color w:val="FFFFFF" w:themeColor="background1"/>
                              </w:rPr>
                              <w:drawing>
                                <wp:inline distT="0" distB="0" distL="0" distR="0" wp14:anchorId="110FC505" wp14:editId="25060CC3">
                                  <wp:extent cx="1658203" cy="426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284F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5F193A37" w14:textId="77777777" w:rsidR="0032063E" w:rsidRDefault="0032063E">
                      <w:r>
                        <w:rPr>
                          <w:noProof/>
                          <w:color w:val="FFFFFF" w:themeColor="background1"/>
                        </w:rPr>
                        <w:drawing>
                          <wp:inline distT="0" distB="0" distL="0" distR="0" wp14:anchorId="110FC505" wp14:editId="25060CC3">
                            <wp:extent cx="1658203" cy="426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p>
    <w:p w14:paraId="33611119" w14:textId="77777777" w:rsidR="007607C4" w:rsidRPr="00DE2580" w:rsidRDefault="007607C4" w:rsidP="003C32BC">
      <w:pPr>
        <w:tabs>
          <w:tab w:val="center" w:pos="5400"/>
        </w:tabs>
        <w:suppressAutoHyphens/>
        <w:jc w:val="center"/>
        <w:rPr>
          <w:rFonts w:asciiTheme="majorHAnsi" w:hAnsiTheme="majorHAnsi"/>
          <w:sz w:val="18"/>
          <w:szCs w:val="22"/>
        </w:rPr>
        <w:sectPr w:rsidR="007607C4" w:rsidRPr="00DE258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4FF6CE2" w14:textId="77777777" w:rsidR="0056246C" w:rsidRDefault="0098734F" w:rsidP="00FC3EB4">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ÍNDICE</w:t>
      </w:r>
    </w:p>
    <w:p w14:paraId="12E8835C" w14:textId="77777777" w:rsidR="00C826D8" w:rsidRDefault="00C826D8" w:rsidP="00FC3EB4">
      <w:pPr>
        <w:tabs>
          <w:tab w:val="center" w:pos="5400"/>
        </w:tabs>
        <w:suppressAutoHyphens/>
        <w:spacing w:line="276" w:lineRule="auto"/>
        <w:jc w:val="center"/>
        <w:rPr>
          <w:rFonts w:asciiTheme="majorHAnsi" w:hAnsiTheme="majorHAnsi"/>
          <w:b/>
          <w:sz w:val="18"/>
          <w:szCs w:val="18"/>
        </w:rPr>
      </w:pPr>
    </w:p>
    <w:p w14:paraId="29838E40" w14:textId="2488E110" w:rsidR="00C826D8" w:rsidRPr="004D2902" w:rsidRDefault="00C826D8" w:rsidP="00C826D8">
      <w:pPr>
        <w:tabs>
          <w:tab w:val="center" w:pos="5400"/>
        </w:tabs>
        <w:suppressAutoHyphens/>
        <w:jc w:val="center"/>
        <w:rPr>
          <w:rFonts w:ascii="Cambria" w:hAnsi="Cambria"/>
          <w:b/>
          <w:sz w:val="20"/>
          <w:szCs w:val="20"/>
          <w:lang w:val="es-VE"/>
        </w:rPr>
      </w:pPr>
      <w:r w:rsidRPr="004D2902">
        <w:rPr>
          <w:rFonts w:ascii="Cambria" w:hAnsi="Cambria"/>
          <w:b/>
          <w:sz w:val="20"/>
          <w:szCs w:val="20"/>
          <w:lang w:val="es-VE"/>
        </w:rPr>
        <w:t xml:space="preserve">INFORME No. </w:t>
      </w:r>
      <w:r>
        <w:rPr>
          <w:rFonts w:ascii="Cambria" w:hAnsi="Cambria"/>
          <w:b/>
          <w:sz w:val="20"/>
          <w:szCs w:val="20"/>
          <w:lang w:val="es-VE"/>
        </w:rPr>
        <w:t>264</w:t>
      </w:r>
      <w:r w:rsidRPr="004D2902">
        <w:rPr>
          <w:rFonts w:ascii="Cambria" w:hAnsi="Cambria"/>
          <w:b/>
          <w:sz w:val="20"/>
          <w:szCs w:val="20"/>
          <w:lang w:val="es-VE"/>
        </w:rPr>
        <w:t>/2</w:t>
      </w:r>
      <w:r>
        <w:rPr>
          <w:rFonts w:ascii="Cambria" w:hAnsi="Cambria"/>
          <w:b/>
          <w:sz w:val="20"/>
          <w:szCs w:val="20"/>
          <w:lang w:val="es-VE"/>
        </w:rPr>
        <w:t>3</w:t>
      </w:r>
    </w:p>
    <w:p w14:paraId="36F4F721" w14:textId="77777777" w:rsidR="00C826D8" w:rsidRPr="004D2902" w:rsidRDefault="00C826D8" w:rsidP="00C826D8">
      <w:pPr>
        <w:tabs>
          <w:tab w:val="center" w:pos="5400"/>
        </w:tabs>
        <w:suppressAutoHyphens/>
        <w:jc w:val="center"/>
        <w:rPr>
          <w:rFonts w:ascii="Cambria" w:hAnsi="Cambria"/>
          <w:b/>
          <w:sz w:val="20"/>
          <w:szCs w:val="20"/>
          <w:lang w:val="es-VE"/>
        </w:rPr>
      </w:pPr>
      <w:r w:rsidRPr="004D2902">
        <w:rPr>
          <w:rFonts w:ascii="Cambria" w:hAnsi="Cambria"/>
          <w:b/>
          <w:sz w:val="20"/>
          <w:szCs w:val="20"/>
          <w:lang w:val="es-VE"/>
        </w:rPr>
        <w:t>CASO 1</w:t>
      </w:r>
      <w:r>
        <w:rPr>
          <w:rFonts w:ascii="Cambria" w:hAnsi="Cambria"/>
          <w:b/>
          <w:sz w:val="20"/>
          <w:szCs w:val="20"/>
          <w:lang w:val="es-VE"/>
        </w:rPr>
        <w:t>3</w:t>
      </w:r>
      <w:r w:rsidRPr="004D2902">
        <w:rPr>
          <w:rFonts w:ascii="Cambria" w:hAnsi="Cambria"/>
          <w:b/>
          <w:sz w:val="20"/>
          <w:szCs w:val="20"/>
          <w:lang w:val="es-VE"/>
        </w:rPr>
        <w:t>.</w:t>
      </w:r>
      <w:r>
        <w:rPr>
          <w:rFonts w:ascii="Cambria" w:hAnsi="Cambria"/>
          <w:b/>
          <w:sz w:val="20"/>
          <w:szCs w:val="20"/>
          <w:lang w:val="es-VE"/>
        </w:rPr>
        <w:t>352</w:t>
      </w:r>
    </w:p>
    <w:p w14:paraId="6EB98A92" w14:textId="3AF516E7" w:rsidR="00C826D8" w:rsidRPr="00E64137" w:rsidRDefault="00C826D8" w:rsidP="00C826D8">
      <w:pPr>
        <w:tabs>
          <w:tab w:val="center" w:pos="5400"/>
        </w:tabs>
        <w:suppressAutoHyphens/>
        <w:jc w:val="center"/>
        <w:rPr>
          <w:rFonts w:ascii="Cambria" w:hAnsi="Cambria"/>
          <w:b/>
          <w:bCs/>
          <w:sz w:val="20"/>
          <w:szCs w:val="20"/>
          <w:lang w:val="es-VE"/>
        </w:rPr>
      </w:pPr>
      <w:r w:rsidRPr="00E64137">
        <w:rPr>
          <w:rFonts w:ascii="Cambria" w:hAnsi="Cambria"/>
          <w:b/>
          <w:bCs/>
          <w:sz w:val="20"/>
          <w:szCs w:val="20"/>
          <w:lang w:val="es-VE"/>
        </w:rPr>
        <w:t>INFORME DE FONDO</w:t>
      </w:r>
      <w:r>
        <w:rPr>
          <w:rFonts w:ascii="Cambria" w:hAnsi="Cambria"/>
          <w:b/>
          <w:bCs/>
          <w:sz w:val="20"/>
          <w:szCs w:val="20"/>
          <w:lang w:val="es-VE"/>
        </w:rPr>
        <w:t xml:space="preserve"> (PUBLICACIÓN)</w:t>
      </w:r>
    </w:p>
    <w:p w14:paraId="5F05FE38" w14:textId="4F9E9946" w:rsidR="00C826D8" w:rsidRPr="00E64137" w:rsidRDefault="00C826D8" w:rsidP="00C826D8">
      <w:pPr>
        <w:tabs>
          <w:tab w:val="center" w:pos="5400"/>
        </w:tabs>
        <w:suppressAutoHyphens/>
        <w:jc w:val="center"/>
        <w:rPr>
          <w:rFonts w:ascii="Cambria" w:hAnsi="Cambria"/>
          <w:b/>
          <w:bCs/>
          <w:sz w:val="20"/>
          <w:szCs w:val="20"/>
          <w:lang w:val="es-VE"/>
        </w:rPr>
      </w:pPr>
      <w:r>
        <w:rPr>
          <w:rFonts w:ascii="Cambria" w:hAnsi="Cambria"/>
          <w:b/>
          <w:bCs/>
          <w:sz w:val="20"/>
          <w:szCs w:val="20"/>
          <w:lang w:val="es-VE"/>
        </w:rPr>
        <w:t>TRACY LEE HOUSEL</w:t>
      </w:r>
      <w:r w:rsidRPr="00E64137">
        <w:rPr>
          <w:rFonts w:ascii="Cambria" w:hAnsi="Cambria"/>
          <w:b/>
          <w:bCs/>
          <w:sz w:val="20"/>
          <w:szCs w:val="20"/>
          <w:lang w:val="es-VE"/>
        </w:rPr>
        <w:t xml:space="preserve"> </w:t>
      </w:r>
    </w:p>
    <w:p w14:paraId="03F69BDD" w14:textId="77777777" w:rsidR="00C826D8" w:rsidRPr="00E64137" w:rsidRDefault="00C826D8" w:rsidP="00C826D8">
      <w:pPr>
        <w:tabs>
          <w:tab w:val="center" w:pos="5400"/>
        </w:tabs>
        <w:suppressAutoHyphens/>
        <w:jc w:val="center"/>
        <w:rPr>
          <w:rFonts w:ascii="Cambria" w:hAnsi="Cambria"/>
          <w:b/>
          <w:bCs/>
          <w:sz w:val="20"/>
          <w:szCs w:val="20"/>
          <w:lang w:val="es-ES_tradnl"/>
        </w:rPr>
      </w:pPr>
      <w:r w:rsidRPr="00E64137">
        <w:rPr>
          <w:rFonts w:ascii="Cambria" w:hAnsi="Cambria"/>
          <w:b/>
          <w:bCs/>
          <w:sz w:val="20"/>
          <w:szCs w:val="20"/>
          <w:lang w:val="es-ES_tradnl"/>
        </w:rPr>
        <w:t>ESTADOS UNIDOS</w:t>
      </w:r>
      <w:r>
        <w:rPr>
          <w:rStyle w:val="FootnoteReference"/>
          <w:rFonts w:ascii="Cambria" w:hAnsi="Cambria"/>
          <w:b/>
          <w:bCs/>
          <w:sz w:val="20"/>
          <w:szCs w:val="20"/>
          <w:lang w:val="es-ES_tradnl"/>
        </w:rPr>
        <w:footnoteReference w:id="2"/>
      </w:r>
    </w:p>
    <w:p w14:paraId="23986C68" w14:textId="26C627E2" w:rsidR="00C826D8" w:rsidRPr="00DE2580" w:rsidRDefault="00C826D8" w:rsidP="00C826D8">
      <w:pPr>
        <w:tabs>
          <w:tab w:val="center" w:pos="5400"/>
        </w:tabs>
        <w:suppressAutoHyphens/>
        <w:spacing w:line="276" w:lineRule="auto"/>
        <w:jc w:val="center"/>
        <w:rPr>
          <w:rFonts w:asciiTheme="majorHAnsi" w:hAnsiTheme="majorHAnsi"/>
          <w:b/>
          <w:sz w:val="18"/>
          <w:szCs w:val="18"/>
        </w:rPr>
      </w:pPr>
      <w:r w:rsidRPr="00E64137">
        <w:rPr>
          <w:rFonts w:ascii="Cambria" w:hAnsi="Cambria"/>
          <w:b/>
          <w:bCs/>
          <w:sz w:val="20"/>
          <w:szCs w:val="20"/>
          <w:lang w:val="es-ES_tradnl"/>
        </w:rPr>
        <w:t>12 DE MAYO DE 2023</w:t>
      </w:r>
    </w:p>
    <w:sdt>
      <w:sdtPr>
        <w:rPr>
          <w:rFonts w:ascii="Times New Roman" w:eastAsia="Arial Unicode MS" w:hAnsi="Times New Roman" w:cs="Times New Roman"/>
          <w:b w:val="0"/>
          <w:bCs w:val="0"/>
          <w:color w:val="auto"/>
          <w:sz w:val="24"/>
          <w:szCs w:val="24"/>
          <w:bdr w:val="nil"/>
          <w:lang w:eastAsia="en-US"/>
        </w:rPr>
        <w:id w:val="2082022344"/>
        <w:docPartObj>
          <w:docPartGallery w:val="Table of Contents"/>
          <w:docPartUnique/>
        </w:docPartObj>
      </w:sdtPr>
      <w:sdtEndPr>
        <w:rPr>
          <w:rFonts w:asciiTheme="majorHAnsi" w:hAnsiTheme="majorHAnsi"/>
          <w:noProof/>
          <w:sz w:val="20"/>
          <w:szCs w:val="20"/>
        </w:rPr>
      </w:sdtEndPr>
      <w:sdtContent>
        <w:p w14:paraId="0600FF1C" w14:textId="0553D670" w:rsidR="0056246C" w:rsidRPr="00A847F7" w:rsidRDefault="0056246C">
          <w:pPr>
            <w:pStyle w:val="TOCHeading"/>
            <w:rPr>
              <w:sz w:val="20"/>
              <w:szCs w:val="20"/>
            </w:rPr>
          </w:pPr>
        </w:p>
        <w:p w14:paraId="2B94E507" w14:textId="7DC24D36" w:rsidR="0024466F" w:rsidRDefault="0056246C">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r w:rsidRPr="00A847F7">
            <w:fldChar w:fldCharType="begin"/>
          </w:r>
          <w:r w:rsidRPr="00A847F7">
            <w:instrText xml:space="preserve"> TOC \o "1-3" \h \z \u </w:instrText>
          </w:r>
          <w:r w:rsidRPr="00A847F7">
            <w:fldChar w:fldCharType="separate"/>
          </w:r>
          <w:hyperlink w:anchor="_Toc150529887" w:history="1">
            <w:r w:rsidR="0024466F" w:rsidRPr="006F5940">
              <w:rPr>
                <w:rStyle w:val="Hyperlink"/>
              </w:rPr>
              <w:t>I.</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rPr>
              <w:t>INTRODUCCIÓN</w:t>
            </w:r>
            <w:r w:rsidR="0024466F">
              <w:rPr>
                <w:webHidden/>
              </w:rPr>
              <w:tab/>
            </w:r>
            <w:r w:rsidR="0024466F">
              <w:rPr>
                <w:webHidden/>
              </w:rPr>
              <w:fldChar w:fldCharType="begin"/>
            </w:r>
            <w:r w:rsidR="0024466F">
              <w:rPr>
                <w:webHidden/>
              </w:rPr>
              <w:instrText xml:space="preserve"> PAGEREF _Toc150529887 \h </w:instrText>
            </w:r>
            <w:r w:rsidR="0024466F">
              <w:rPr>
                <w:webHidden/>
              </w:rPr>
            </w:r>
            <w:r w:rsidR="0024466F">
              <w:rPr>
                <w:webHidden/>
              </w:rPr>
              <w:fldChar w:fldCharType="separate"/>
            </w:r>
            <w:r w:rsidR="00B12078">
              <w:rPr>
                <w:webHidden/>
              </w:rPr>
              <w:t>2</w:t>
            </w:r>
            <w:r w:rsidR="0024466F">
              <w:rPr>
                <w:webHidden/>
              </w:rPr>
              <w:fldChar w:fldCharType="end"/>
            </w:r>
          </w:hyperlink>
        </w:p>
        <w:p w14:paraId="0A230015" w14:textId="0B1B0B48"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888" w:history="1">
            <w:r w:rsidR="0024466F" w:rsidRPr="006F5940">
              <w:rPr>
                <w:rStyle w:val="Hyperlink"/>
              </w:rPr>
              <w:t>II.</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rPr>
              <w:t>POSICIONES DE LAS PARTES</w:t>
            </w:r>
            <w:r w:rsidR="0024466F">
              <w:rPr>
                <w:webHidden/>
              </w:rPr>
              <w:tab/>
            </w:r>
            <w:r w:rsidR="0024466F">
              <w:rPr>
                <w:webHidden/>
              </w:rPr>
              <w:fldChar w:fldCharType="begin"/>
            </w:r>
            <w:r w:rsidR="0024466F">
              <w:rPr>
                <w:webHidden/>
              </w:rPr>
              <w:instrText xml:space="preserve"> PAGEREF _Toc150529888 \h </w:instrText>
            </w:r>
            <w:r w:rsidR="0024466F">
              <w:rPr>
                <w:webHidden/>
              </w:rPr>
            </w:r>
            <w:r w:rsidR="0024466F">
              <w:rPr>
                <w:webHidden/>
              </w:rPr>
              <w:fldChar w:fldCharType="separate"/>
            </w:r>
            <w:r>
              <w:rPr>
                <w:webHidden/>
              </w:rPr>
              <w:t>2</w:t>
            </w:r>
            <w:r w:rsidR="0024466F">
              <w:rPr>
                <w:webHidden/>
              </w:rPr>
              <w:fldChar w:fldCharType="end"/>
            </w:r>
          </w:hyperlink>
        </w:p>
        <w:p w14:paraId="7BC6E47E" w14:textId="5553B07A"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89" w:history="1">
            <w:r w:rsidR="0024466F" w:rsidRPr="006F5940">
              <w:rPr>
                <w:rStyle w:val="Hyperlink"/>
                <w:noProof/>
              </w:rPr>
              <w:t>A.</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rPr>
              <w:t>Parte peticionaria</w:t>
            </w:r>
            <w:r w:rsidR="0024466F">
              <w:rPr>
                <w:noProof/>
                <w:webHidden/>
              </w:rPr>
              <w:tab/>
            </w:r>
            <w:r w:rsidR="0024466F">
              <w:rPr>
                <w:noProof/>
                <w:webHidden/>
              </w:rPr>
              <w:fldChar w:fldCharType="begin"/>
            </w:r>
            <w:r w:rsidR="0024466F">
              <w:rPr>
                <w:noProof/>
                <w:webHidden/>
              </w:rPr>
              <w:instrText xml:space="preserve"> PAGEREF _Toc150529889 \h </w:instrText>
            </w:r>
            <w:r w:rsidR="0024466F">
              <w:rPr>
                <w:noProof/>
                <w:webHidden/>
              </w:rPr>
            </w:r>
            <w:r w:rsidR="0024466F">
              <w:rPr>
                <w:noProof/>
                <w:webHidden/>
              </w:rPr>
              <w:fldChar w:fldCharType="separate"/>
            </w:r>
            <w:r>
              <w:rPr>
                <w:noProof/>
                <w:webHidden/>
              </w:rPr>
              <w:t>2</w:t>
            </w:r>
            <w:r w:rsidR="0024466F">
              <w:rPr>
                <w:noProof/>
                <w:webHidden/>
              </w:rPr>
              <w:fldChar w:fldCharType="end"/>
            </w:r>
          </w:hyperlink>
        </w:p>
        <w:p w14:paraId="18389ED3" w14:textId="2E04CA32"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90" w:history="1">
            <w:r w:rsidR="0024466F" w:rsidRPr="006F5940">
              <w:rPr>
                <w:rStyle w:val="Hyperlink"/>
                <w:noProof/>
              </w:rPr>
              <w:t>B.</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rPr>
              <w:t>Estado</w:t>
            </w:r>
            <w:r w:rsidR="0024466F">
              <w:rPr>
                <w:noProof/>
                <w:webHidden/>
              </w:rPr>
              <w:tab/>
            </w:r>
            <w:r w:rsidR="0024466F">
              <w:rPr>
                <w:noProof/>
                <w:webHidden/>
              </w:rPr>
              <w:fldChar w:fldCharType="begin"/>
            </w:r>
            <w:r w:rsidR="0024466F">
              <w:rPr>
                <w:noProof/>
                <w:webHidden/>
              </w:rPr>
              <w:instrText xml:space="preserve"> PAGEREF _Toc150529890 \h </w:instrText>
            </w:r>
            <w:r w:rsidR="0024466F">
              <w:rPr>
                <w:noProof/>
                <w:webHidden/>
              </w:rPr>
            </w:r>
            <w:r w:rsidR="0024466F">
              <w:rPr>
                <w:noProof/>
                <w:webHidden/>
              </w:rPr>
              <w:fldChar w:fldCharType="separate"/>
            </w:r>
            <w:r>
              <w:rPr>
                <w:noProof/>
                <w:webHidden/>
              </w:rPr>
              <w:t>3</w:t>
            </w:r>
            <w:r w:rsidR="0024466F">
              <w:rPr>
                <w:noProof/>
                <w:webHidden/>
              </w:rPr>
              <w:fldChar w:fldCharType="end"/>
            </w:r>
          </w:hyperlink>
        </w:p>
        <w:p w14:paraId="4F31D19A" w14:textId="53F8D17B"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891" w:history="1">
            <w:r w:rsidR="0024466F" w:rsidRPr="006F5940">
              <w:rPr>
                <w:rStyle w:val="Hyperlink"/>
              </w:rPr>
              <w:t>III.</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rPr>
              <w:t>DETERMINACIONES FÁCTICAS</w:t>
            </w:r>
            <w:r w:rsidR="0024466F">
              <w:rPr>
                <w:webHidden/>
              </w:rPr>
              <w:tab/>
            </w:r>
            <w:r w:rsidR="0024466F">
              <w:rPr>
                <w:webHidden/>
              </w:rPr>
              <w:fldChar w:fldCharType="begin"/>
            </w:r>
            <w:r w:rsidR="0024466F">
              <w:rPr>
                <w:webHidden/>
              </w:rPr>
              <w:instrText xml:space="preserve"> PAGEREF _Toc150529891 \h </w:instrText>
            </w:r>
            <w:r w:rsidR="0024466F">
              <w:rPr>
                <w:webHidden/>
              </w:rPr>
            </w:r>
            <w:r w:rsidR="0024466F">
              <w:rPr>
                <w:webHidden/>
              </w:rPr>
              <w:fldChar w:fldCharType="separate"/>
            </w:r>
            <w:r>
              <w:rPr>
                <w:webHidden/>
              </w:rPr>
              <w:t>4</w:t>
            </w:r>
            <w:r w:rsidR="0024466F">
              <w:rPr>
                <w:webHidden/>
              </w:rPr>
              <w:fldChar w:fldCharType="end"/>
            </w:r>
          </w:hyperlink>
        </w:p>
        <w:p w14:paraId="4542EFB0" w14:textId="286A17C7"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92" w:history="1">
            <w:r w:rsidR="0024466F" w:rsidRPr="006F5940">
              <w:rPr>
                <w:rStyle w:val="Hyperlink"/>
                <w:noProof/>
                <w:lang w:val="es-ES"/>
              </w:rPr>
              <w:t xml:space="preserve">A. </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Antecedentes de hecho, juicio y sentencia de muerte</w:t>
            </w:r>
            <w:r w:rsidR="0024466F">
              <w:rPr>
                <w:noProof/>
                <w:webHidden/>
              </w:rPr>
              <w:tab/>
            </w:r>
            <w:r w:rsidR="0024466F">
              <w:rPr>
                <w:noProof/>
                <w:webHidden/>
              </w:rPr>
              <w:fldChar w:fldCharType="begin"/>
            </w:r>
            <w:r w:rsidR="0024466F">
              <w:rPr>
                <w:noProof/>
                <w:webHidden/>
              </w:rPr>
              <w:instrText xml:space="preserve"> PAGEREF _Toc150529892 \h </w:instrText>
            </w:r>
            <w:r w:rsidR="0024466F">
              <w:rPr>
                <w:noProof/>
                <w:webHidden/>
              </w:rPr>
            </w:r>
            <w:r w:rsidR="0024466F">
              <w:rPr>
                <w:noProof/>
                <w:webHidden/>
              </w:rPr>
              <w:fldChar w:fldCharType="separate"/>
            </w:r>
            <w:r>
              <w:rPr>
                <w:noProof/>
                <w:webHidden/>
              </w:rPr>
              <w:t>4</w:t>
            </w:r>
            <w:r w:rsidR="0024466F">
              <w:rPr>
                <w:noProof/>
                <w:webHidden/>
              </w:rPr>
              <w:fldChar w:fldCharType="end"/>
            </w:r>
          </w:hyperlink>
        </w:p>
        <w:p w14:paraId="33F21E9C" w14:textId="04422D78"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93" w:history="1">
            <w:r w:rsidR="0024466F" w:rsidRPr="006F5940">
              <w:rPr>
                <w:rStyle w:val="Hyperlink"/>
                <w:noProof/>
                <w:lang w:val="es-ES"/>
              </w:rPr>
              <w:t>B.</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Procedimientos posteriores al fallo condenatorio</w:t>
            </w:r>
            <w:r w:rsidR="0024466F">
              <w:rPr>
                <w:noProof/>
                <w:webHidden/>
              </w:rPr>
              <w:tab/>
            </w:r>
            <w:r w:rsidR="0024466F">
              <w:rPr>
                <w:noProof/>
                <w:webHidden/>
              </w:rPr>
              <w:fldChar w:fldCharType="begin"/>
            </w:r>
            <w:r w:rsidR="0024466F">
              <w:rPr>
                <w:noProof/>
                <w:webHidden/>
              </w:rPr>
              <w:instrText xml:space="preserve"> PAGEREF _Toc150529893 \h </w:instrText>
            </w:r>
            <w:r w:rsidR="0024466F">
              <w:rPr>
                <w:noProof/>
                <w:webHidden/>
              </w:rPr>
            </w:r>
            <w:r w:rsidR="0024466F">
              <w:rPr>
                <w:noProof/>
                <w:webHidden/>
              </w:rPr>
              <w:fldChar w:fldCharType="separate"/>
            </w:r>
            <w:r>
              <w:rPr>
                <w:noProof/>
                <w:webHidden/>
              </w:rPr>
              <w:t>5</w:t>
            </w:r>
            <w:r w:rsidR="0024466F">
              <w:rPr>
                <w:noProof/>
                <w:webHidden/>
              </w:rPr>
              <w:fldChar w:fldCharType="end"/>
            </w:r>
          </w:hyperlink>
        </w:p>
        <w:p w14:paraId="6A8D212F" w14:textId="4B09B8F1"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94" w:history="1">
            <w:r w:rsidR="0024466F" w:rsidRPr="006F5940">
              <w:rPr>
                <w:rStyle w:val="Hyperlink"/>
                <w:noProof/>
                <w:lang w:val="es-ES"/>
              </w:rPr>
              <w:t>C.</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Condiciones de reclusión previas al juicio</w:t>
            </w:r>
            <w:r w:rsidR="0024466F">
              <w:rPr>
                <w:noProof/>
                <w:webHidden/>
              </w:rPr>
              <w:tab/>
            </w:r>
            <w:r w:rsidR="0024466F">
              <w:rPr>
                <w:noProof/>
                <w:webHidden/>
              </w:rPr>
              <w:fldChar w:fldCharType="begin"/>
            </w:r>
            <w:r w:rsidR="0024466F">
              <w:rPr>
                <w:noProof/>
                <w:webHidden/>
              </w:rPr>
              <w:instrText xml:space="preserve"> PAGEREF _Toc150529894 \h </w:instrText>
            </w:r>
            <w:r w:rsidR="0024466F">
              <w:rPr>
                <w:noProof/>
                <w:webHidden/>
              </w:rPr>
            </w:r>
            <w:r w:rsidR="0024466F">
              <w:rPr>
                <w:noProof/>
                <w:webHidden/>
              </w:rPr>
              <w:fldChar w:fldCharType="separate"/>
            </w:r>
            <w:r>
              <w:rPr>
                <w:noProof/>
                <w:webHidden/>
              </w:rPr>
              <w:t>7</w:t>
            </w:r>
            <w:r w:rsidR="0024466F">
              <w:rPr>
                <w:noProof/>
                <w:webHidden/>
              </w:rPr>
              <w:fldChar w:fldCharType="end"/>
            </w:r>
          </w:hyperlink>
        </w:p>
        <w:p w14:paraId="433EF219" w14:textId="1FF20209"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895" w:history="1">
            <w:r w:rsidR="0024466F" w:rsidRPr="006F5940">
              <w:rPr>
                <w:rStyle w:val="Hyperlink"/>
              </w:rPr>
              <w:t>IV.</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rPr>
              <w:t>ANÁLISIS DE DERECHO</w:t>
            </w:r>
            <w:r w:rsidR="0024466F">
              <w:rPr>
                <w:webHidden/>
              </w:rPr>
              <w:tab/>
            </w:r>
            <w:r w:rsidR="0024466F">
              <w:rPr>
                <w:webHidden/>
              </w:rPr>
              <w:fldChar w:fldCharType="begin"/>
            </w:r>
            <w:r w:rsidR="0024466F">
              <w:rPr>
                <w:webHidden/>
              </w:rPr>
              <w:instrText xml:space="preserve"> PAGEREF _Toc150529895 \h </w:instrText>
            </w:r>
            <w:r w:rsidR="0024466F">
              <w:rPr>
                <w:webHidden/>
              </w:rPr>
            </w:r>
            <w:r w:rsidR="0024466F">
              <w:rPr>
                <w:webHidden/>
              </w:rPr>
              <w:fldChar w:fldCharType="separate"/>
            </w:r>
            <w:r>
              <w:rPr>
                <w:webHidden/>
              </w:rPr>
              <w:t>7</w:t>
            </w:r>
            <w:r w:rsidR="0024466F">
              <w:rPr>
                <w:webHidden/>
              </w:rPr>
              <w:fldChar w:fldCharType="end"/>
            </w:r>
          </w:hyperlink>
        </w:p>
        <w:p w14:paraId="60DA83BE" w14:textId="4868E6EE"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96" w:history="1">
            <w:r w:rsidR="0024466F" w:rsidRPr="006F5940">
              <w:rPr>
                <w:rStyle w:val="Hyperlink"/>
                <w:noProof/>
              </w:rPr>
              <w:t>A.</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rPr>
              <w:t>Consideraciones preliminares</w:t>
            </w:r>
            <w:r w:rsidR="0024466F">
              <w:rPr>
                <w:noProof/>
                <w:webHidden/>
              </w:rPr>
              <w:tab/>
            </w:r>
            <w:r w:rsidR="0024466F">
              <w:rPr>
                <w:noProof/>
                <w:webHidden/>
              </w:rPr>
              <w:fldChar w:fldCharType="begin"/>
            </w:r>
            <w:r w:rsidR="0024466F">
              <w:rPr>
                <w:noProof/>
                <w:webHidden/>
              </w:rPr>
              <w:instrText xml:space="preserve"> PAGEREF _Toc150529896 \h </w:instrText>
            </w:r>
            <w:r w:rsidR="0024466F">
              <w:rPr>
                <w:noProof/>
                <w:webHidden/>
              </w:rPr>
            </w:r>
            <w:r w:rsidR="0024466F">
              <w:rPr>
                <w:noProof/>
                <w:webHidden/>
              </w:rPr>
              <w:fldChar w:fldCharType="separate"/>
            </w:r>
            <w:r>
              <w:rPr>
                <w:noProof/>
                <w:webHidden/>
              </w:rPr>
              <w:t>7</w:t>
            </w:r>
            <w:r w:rsidR="0024466F">
              <w:rPr>
                <w:noProof/>
                <w:webHidden/>
              </w:rPr>
              <w:fldChar w:fldCharType="end"/>
            </w:r>
          </w:hyperlink>
        </w:p>
        <w:p w14:paraId="39FD07FC" w14:textId="17974D56"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897" w:history="1">
            <w:r w:rsidR="0024466F" w:rsidRPr="006F5940">
              <w:rPr>
                <w:rStyle w:val="Hyperlink"/>
                <w:noProof/>
                <w:lang w:val="es-ES"/>
              </w:rPr>
              <w:t>B.</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Derecho de justicia y derecho a proceso regular</w:t>
            </w:r>
            <w:r w:rsidR="0024466F">
              <w:rPr>
                <w:noProof/>
                <w:webHidden/>
              </w:rPr>
              <w:tab/>
            </w:r>
            <w:r w:rsidR="0024466F">
              <w:rPr>
                <w:noProof/>
                <w:webHidden/>
              </w:rPr>
              <w:fldChar w:fldCharType="begin"/>
            </w:r>
            <w:r w:rsidR="0024466F">
              <w:rPr>
                <w:noProof/>
                <w:webHidden/>
              </w:rPr>
              <w:instrText xml:space="preserve"> PAGEREF _Toc150529897 \h </w:instrText>
            </w:r>
            <w:r w:rsidR="0024466F">
              <w:rPr>
                <w:noProof/>
                <w:webHidden/>
              </w:rPr>
            </w:r>
            <w:r w:rsidR="0024466F">
              <w:rPr>
                <w:noProof/>
                <w:webHidden/>
              </w:rPr>
              <w:fldChar w:fldCharType="separate"/>
            </w:r>
            <w:r>
              <w:rPr>
                <w:noProof/>
                <w:webHidden/>
              </w:rPr>
              <w:t>9</w:t>
            </w:r>
            <w:r w:rsidR="0024466F">
              <w:rPr>
                <w:noProof/>
                <w:webHidden/>
              </w:rPr>
              <w:fldChar w:fldCharType="end"/>
            </w:r>
          </w:hyperlink>
        </w:p>
        <w:p w14:paraId="3B2820F8" w14:textId="6B3164F7" w:rsidR="0024466F" w:rsidRDefault="00B12078">
          <w:pPr>
            <w:pStyle w:val="TOC3"/>
            <w:rPr>
              <w:rFonts w:asciiTheme="minorHAnsi" w:eastAsiaTheme="minorEastAsia" w:hAnsiTheme="minorHAnsi" w:cstheme="minorBidi"/>
              <w:noProof/>
              <w:kern w:val="2"/>
              <w:bdr w:val="none" w:sz="0" w:space="0" w:color="auto"/>
              <w:lang w:val="es-US" w:eastAsia="zh-CN"/>
              <w14:ligatures w14:val="standardContextual"/>
            </w:rPr>
          </w:pPr>
          <w:hyperlink w:anchor="_Toc150529898" w:history="1">
            <w:r w:rsidR="0024466F" w:rsidRPr="006F5940">
              <w:rPr>
                <w:rStyle w:val="Hyperlink"/>
                <w:noProof/>
                <w:lang w:val="es-ES"/>
              </w:rPr>
              <w:t>1.</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Asistencia ineficaz del abogado de oficio</w:t>
            </w:r>
            <w:r w:rsidR="0024466F">
              <w:rPr>
                <w:noProof/>
                <w:webHidden/>
              </w:rPr>
              <w:tab/>
            </w:r>
            <w:r w:rsidR="0024466F">
              <w:rPr>
                <w:noProof/>
                <w:webHidden/>
              </w:rPr>
              <w:fldChar w:fldCharType="begin"/>
            </w:r>
            <w:r w:rsidR="0024466F">
              <w:rPr>
                <w:noProof/>
                <w:webHidden/>
              </w:rPr>
              <w:instrText xml:space="preserve"> PAGEREF _Toc150529898 \h </w:instrText>
            </w:r>
            <w:r w:rsidR="0024466F">
              <w:rPr>
                <w:noProof/>
                <w:webHidden/>
              </w:rPr>
            </w:r>
            <w:r w:rsidR="0024466F">
              <w:rPr>
                <w:noProof/>
                <w:webHidden/>
              </w:rPr>
              <w:fldChar w:fldCharType="separate"/>
            </w:r>
            <w:r>
              <w:rPr>
                <w:noProof/>
                <w:webHidden/>
              </w:rPr>
              <w:t>9</w:t>
            </w:r>
            <w:r w:rsidR="0024466F">
              <w:rPr>
                <w:noProof/>
                <w:webHidden/>
              </w:rPr>
              <w:fldChar w:fldCharType="end"/>
            </w:r>
          </w:hyperlink>
        </w:p>
        <w:p w14:paraId="0D859C71" w14:textId="2095352F" w:rsidR="0024466F" w:rsidRDefault="00B12078">
          <w:pPr>
            <w:pStyle w:val="TOC3"/>
            <w:rPr>
              <w:rFonts w:asciiTheme="minorHAnsi" w:eastAsiaTheme="minorEastAsia" w:hAnsiTheme="minorHAnsi" w:cstheme="minorBidi"/>
              <w:noProof/>
              <w:kern w:val="2"/>
              <w:bdr w:val="none" w:sz="0" w:space="0" w:color="auto"/>
              <w:lang w:val="es-US" w:eastAsia="zh-CN"/>
              <w14:ligatures w14:val="standardContextual"/>
            </w:rPr>
          </w:pPr>
          <w:hyperlink w:anchor="_Toc150529899" w:history="1">
            <w:r w:rsidR="0024466F" w:rsidRPr="006F5940">
              <w:rPr>
                <w:rStyle w:val="Hyperlink"/>
                <w:noProof/>
                <w:lang w:val="es-ES"/>
              </w:rPr>
              <w:t>2.</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Uso de delitos sobre los cuales no se ha dictado sentencia</w:t>
            </w:r>
            <w:r w:rsidR="0024466F">
              <w:rPr>
                <w:noProof/>
                <w:webHidden/>
              </w:rPr>
              <w:tab/>
            </w:r>
            <w:r w:rsidR="0024466F">
              <w:rPr>
                <w:noProof/>
                <w:webHidden/>
              </w:rPr>
              <w:fldChar w:fldCharType="begin"/>
            </w:r>
            <w:r w:rsidR="0024466F">
              <w:rPr>
                <w:noProof/>
                <w:webHidden/>
              </w:rPr>
              <w:instrText xml:space="preserve"> PAGEREF _Toc150529899 \h </w:instrText>
            </w:r>
            <w:r w:rsidR="0024466F">
              <w:rPr>
                <w:noProof/>
                <w:webHidden/>
              </w:rPr>
            </w:r>
            <w:r w:rsidR="0024466F">
              <w:rPr>
                <w:noProof/>
                <w:webHidden/>
              </w:rPr>
              <w:fldChar w:fldCharType="separate"/>
            </w:r>
            <w:r>
              <w:rPr>
                <w:noProof/>
                <w:webHidden/>
              </w:rPr>
              <w:t>10</w:t>
            </w:r>
            <w:r w:rsidR="0024466F">
              <w:rPr>
                <w:noProof/>
                <w:webHidden/>
              </w:rPr>
              <w:fldChar w:fldCharType="end"/>
            </w:r>
          </w:hyperlink>
        </w:p>
        <w:p w14:paraId="59CF666D" w14:textId="29DD5DF9"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900" w:history="1">
            <w:r w:rsidR="0024466F" w:rsidRPr="006F5940">
              <w:rPr>
                <w:rStyle w:val="Hyperlink"/>
                <w:noProof/>
                <w:lang w:val="es-ES"/>
              </w:rPr>
              <w:t>C.</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La privación de la libertad en el pabellón de los condenados a muerte y el derecho de protección contra penas crueles, infamantes o inusitadas</w:t>
            </w:r>
            <w:r w:rsidR="0024466F">
              <w:rPr>
                <w:noProof/>
                <w:webHidden/>
              </w:rPr>
              <w:tab/>
            </w:r>
            <w:r w:rsidR="0024466F">
              <w:rPr>
                <w:noProof/>
                <w:webHidden/>
              </w:rPr>
              <w:fldChar w:fldCharType="begin"/>
            </w:r>
            <w:r w:rsidR="0024466F">
              <w:rPr>
                <w:noProof/>
                <w:webHidden/>
              </w:rPr>
              <w:instrText xml:space="preserve"> PAGEREF _Toc150529900 \h </w:instrText>
            </w:r>
            <w:r w:rsidR="0024466F">
              <w:rPr>
                <w:noProof/>
                <w:webHidden/>
              </w:rPr>
            </w:r>
            <w:r w:rsidR="0024466F">
              <w:rPr>
                <w:noProof/>
                <w:webHidden/>
              </w:rPr>
              <w:fldChar w:fldCharType="separate"/>
            </w:r>
            <w:r>
              <w:rPr>
                <w:noProof/>
                <w:webHidden/>
              </w:rPr>
              <w:t>11</w:t>
            </w:r>
            <w:r w:rsidR="0024466F">
              <w:rPr>
                <w:noProof/>
                <w:webHidden/>
              </w:rPr>
              <w:fldChar w:fldCharType="end"/>
            </w:r>
          </w:hyperlink>
        </w:p>
        <w:p w14:paraId="04995977" w14:textId="18EE56DE" w:rsidR="0024466F" w:rsidRDefault="00B12078">
          <w:pPr>
            <w:pStyle w:val="TOC3"/>
            <w:rPr>
              <w:rFonts w:asciiTheme="minorHAnsi" w:eastAsiaTheme="minorEastAsia" w:hAnsiTheme="minorHAnsi" w:cstheme="minorBidi"/>
              <w:noProof/>
              <w:kern w:val="2"/>
              <w:bdr w:val="none" w:sz="0" w:space="0" w:color="auto"/>
              <w:lang w:val="es-US" w:eastAsia="zh-CN"/>
              <w14:ligatures w14:val="standardContextual"/>
            </w:rPr>
          </w:pPr>
          <w:hyperlink w:anchor="_Toc150529901" w:history="1">
            <w:r w:rsidR="0024466F" w:rsidRPr="006F5940">
              <w:rPr>
                <w:rStyle w:val="Hyperlink"/>
                <w:noProof/>
                <w:lang w:val="es-ES"/>
              </w:rPr>
              <w:t>1.</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Condiciones de reclusión previas al juicio y régimen de aislamiento prolongado</w:t>
            </w:r>
            <w:r w:rsidR="0024466F">
              <w:rPr>
                <w:noProof/>
                <w:webHidden/>
              </w:rPr>
              <w:tab/>
            </w:r>
            <w:r w:rsidR="0024466F">
              <w:rPr>
                <w:noProof/>
                <w:webHidden/>
              </w:rPr>
              <w:fldChar w:fldCharType="begin"/>
            </w:r>
            <w:r w:rsidR="0024466F">
              <w:rPr>
                <w:noProof/>
                <w:webHidden/>
              </w:rPr>
              <w:instrText xml:space="preserve"> PAGEREF _Toc150529901 \h </w:instrText>
            </w:r>
            <w:r w:rsidR="0024466F">
              <w:rPr>
                <w:noProof/>
                <w:webHidden/>
              </w:rPr>
            </w:r>
            <w:r w:rsidR="0024466F">
              <w:rPr>
                <w:noProof/>
                <w:webHidden/>
              </w:rPr>
              <w:fldChar w:fldCharType="separate"/>
            </w:r>
            <w:r>
              <w:rPr>
                <w:noProof/>
                <w:webHidden/>
              </w:rPr>
              <w:t>11</w:t>
            </w:r>
            <w:r w:rsidR="0024466F">
              <w:rPr>
                <w:noProof/>
                <w:webHidden/>
              </w:rPr>
              <w:fldChar w:fldCharType="end"/>
            </w:r>
          </w:hyperlink>
        </w:p>
        <w:p w14:paraId="0A09D2FF" w14:textId="03F1703C" w:rsidR="0024466F" w:rsidRDefault="00B12078">
          <w:pPr>
            <w:pStyle w:val="TOC3"/>
            <w:rPr>
              <w:rFonts w:asciiTheme="minorHAnsi" w:eastAsiaTheme="minorEastAsia" w:hAnsiTheme="minorHAnsi" w:cstheme="minorBidi"/>
              <w:noProof/>
              <w:kern w:val="2"/>
              <w:bdr w:val="none" w:sz="0" w:space="0" w:color="auto"/>
              <w:lang w:val="es-US" w:eastAsia="zh-CN"/>
              <w14:ligatures w14:val="standardContextual"/>
            </w:rPr>
          </w:pPr>
          <w:hyperlink w:anchor="_Toc150529902" w:history="1">
            <w:r w:rsidR="0024466F" w:rsidRPr="006F5940">
              <w:rPr>
                <w:rStyle w:val="Hyperlink"/>
                <w:noProof/>
                <w:lang w:val="es-ES"/>
              </w:rPr>
              <w:t>2.</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lang w:val="es-ES"/>
              </w:rPr>
              <w:t>Condiciones de reclusión en el pabellón de los condenados a muerte</w:t>
            </w:r>
            <w:r w:rsidR="0024466F">
              <w:rPr>
                <w:noProof/>
                <w:webHidden/>
              </w:rPr>
              <w:tab/>
            </w:r>
            <w:r w:rsidR="0024466F">
              <w:rPr>
                <w:noProof/>
                <w:webHidden/>
              </w:rPr>
              <w:fldChar w:fldCharType="begin"/>
            </w:r>
            <w:r w:rsidR="0024466F">
              <w:rPr>
                <w:noProof/>
                <w:webHidden/>
              </w:rPr>
              <w:instrText xml:space="preserve"> PAGEREF _Toc150529902 \h </w:instrText>
            </w:r>
            <w:r w:rsidR="0024466F">
              <w:rPr>
                <w:noProof/>
                <w:webHidden/>
              </w:rPr>
            </w:r>
            <w:r w:rsidR="0024466F">
              <w:rPr>
                <w:noProof/>
                <w:webHidden/>
              </w:rPr>
              <w:fldChar w:fldCharType="separate"/>
            </w:r>
            <w:r>
              <w:rPr>
                <w:noProof/>
                <w:webHidden/>
              </w:rPr>
              <w:t>14</w:t>
            </w:r>
            <w:r w:rsidR="0024466F">
              <w:rPr>
                <w:noProof/>
                <w:webHidden/>
              </w:rPr>
              <w:fldChar w:fldCharType="end"/>
            </w:r>
          </w:hyperlink>
        </w:p>
        <w:p w14:paraId="35F02CEC" w14:textId="13BE9DC0"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903" w:history="1">
            <w:r w:rsidR="0024466F" w:rsidRPr="006F5940">
              <w:rPr>
                <w:rStyle w:val="Hyperlink"/>
                <w:noProof/>
              </w:rPr>
              <w:t>D.</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rPr>
              <w:t>Derecho de petición</w:t>
            </w:r>
            <w:r w:rsidR="0024466F">
              <w:rPr>
                <w:noProof/>
                <w:webHidden/>
              </w:rPr>
              <w:tab/>
            </w:r>
            <w:r w:rsidR="0024466F">
              <w:rPr>
                <w:noProof/>
                <w:webHidden/>
              </w:rPr>
              <w:fldChar w:fldCharType="begin"/>
            </w:r>
            <w:r w:rsidR="0024466F">
              <w:rPr>
                <w:noProof/>
                <w:webHidden/>
              </w:rPr>
              <w:instrText xml:space="preserve"> PAGEREF _Toc150529903 \h </w:instrText>
            </w:r>
            <w:r w:rsidR="0024466F">
              <w:rPr>
                <w:noProof/>
                <w:webHidden/>
              </w:rPr>
            </w:r>
            <w:r w:rsidR="0024466F">
              <w:rPr>
                <w:noProof/>
                <w:webHidden/>
              </w:rPr>
              <w:fldChar w:fldCharType="separate"/>
            </w:r>
            <w:r>
              <w:rPr>
                <w:noProof/>
                <w:webHidden/>
              </w:rPr>
              <w:t>15</w:t>
            </w:r>
            <w:r w:rsidR="0024466F">
              <w:rPr>
                <w:noProof/>
                <w:webHidden/>
              </w:rPr>
              <w:fldChar w:fldCharType="end"/>
            </w:r>
          </w:hyperlink>
        </w:p>
        <w:p w14:paraId="59F81A9F" w14:textId="7F0D9879" w:rsidR="0024466F" w:rsidRDefault="00B12078">
          <w:pPr>
            <w:pStyle w:val="TOC2"/>
            <w:rPr>
              <w:rFonts w:asciiTheme="minorHAnsi" w:eastAsiaTheme="minorEastAsia" w:hAnsiTheme="minorHAnsi" w:cstheme="minorBidi"/>
              <w:noProof/>
              <w:kern w:val="2"/>
              <w:bdr w:val="none" w:sz="0" w:space="0" w:color="auto"/>
              <w:lang w:val="es-US" w:eastAsia="zh-CN"/>
              <w14:ligatures w14:val="standardContextual"/>
            </w:rPr>
          </w:pPr>
          <w:hyperlink w:anchor="_Toc150529904" w:history="1">
            <w:r w:rsidR="0024466F" w:rsidRPr="006F5940">
              <w:rPr>
                <w:rStyle w:val="Hyperlink"/>
                <w:noProof/>
              </w:rPr>
              <w:t>E.</w:t>
            </w:r>
            <w:r w:rsidR="0024466F">
              <w:rPr>
                <w:rFonts w:asciiTheme="minorHAnsi" w:eastAsiaTheme="minorEastAsia" w:hAnsiTheme="minorHAnsi" w:cstheme="minorBidi"/>
                <w:noProof/>
                <w:kern w:val="2"/>
                <w:bdr w:val="none" w:sz="0" w:space="0" w:color="auto"/>
                <w:lang w:val="es-US" w:eastAsia="zh-CN"/>
                <w14:ligatures w14:val="standardContextual"/>
              </w:rPr>
              <w:tab/>
            </w:r>
            <w:r w:rsidR="0024466F" w:rsidRPr="006F5940">
              <w:rPr>
                <w:rStyle w:val="Hyperlink"/>
                <w:noProof/>
              </w:rPr>
              <w:t>Derecho a la vida</w:t>
            </w:r>
            <w:r w:rsidR="0024466F">
              <w:rPr>
                <w:noProof/>
                <w:webHidden/>
              </w:rPr>
              <w:tab/>
            </w:r>
            <w:r w:rsidR="0024466F">
              <w:rPr>
                <w:noProof/>
                <w:webHidden/>
              </w:rPr>
              <w:fldChar w:fldCharType="begin"/>
            </w:r>
            <w:r w:rsidR="0024466F">
              <w:rPr>
                <w:noProof/>
                <w:webHidden/>
              </w:rPr>
              <w:instrText xml:space="preserve"> PAGEREF _Toc150529904 \h </w:instrText>
            </w:r>
            <w:r w:rsidR="0024466F">
              <w:rPr>
                <w:noProof/>
                <w:webHidden/>
              </w:rPr>
            </w:r>
            <w:r w:rsidR="0024466F">
              <w:rPr>
                <w:noProof/>
                <w:webHidden/>
              </w:rPr>
              <w:fldChar w:fldCharType="separate"/>
            </w:r>
            <w:r>
              <w:rPr>
                <w:noProof/>
                <w:webHidden/>
              </w:rPr>
              <w:t>16</w:t>
            </w:r>
            <w:r w:rsidR="0024466F">
              <w:rPr>
                <w:noProof/>
                <w:webHidden/>
              </w:rPr>
              <w:fldChar w:fldCharType="end"/>
            </w:r>
          </w:hyperlink>
        </w:p>
        <w:p w14:paraId="1E222B24" w14:textId="441F6D93"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905" w:history="1">
            <w:r w:rsidR="0024466F" w:rsidRPr="006F5940">
              <w:rPr>
                <w:rStyle w:val="Hyperlink"/>
              </w:rPr>
              <w:t>V.</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rPr>
              <w:t>INFORME Nº 161/19 E INFORMACIÓN SOBRE EL CUMPLIMIENTO</w:t>
            </w:r>
            <w:r w:rsidR="0024466F">
              <w:rPr>
                <w:webHidden/>
              </w:rPr>
              <w:tab/>
            </w:r>
            <w:r w:rsidR="0024466F">
              <w:rPr>
                <w:webHidden/>
              </w:rPr>
              <w:fldChar w:fldCharType="begin"/>
            </w:r>
            <w:r w:rsidR="0024466F">
              <w:rPr>
                <w:webHidden/>
              </w:rPr>
              <w:instrText xml:space="preserve"> PAGEREF _Toc150529905 \h </w:instrText>
            </w:r>
            <w:r w:rsidR="0024466F">
              <w:rPr>
                <w:webHidden/>
              </w:rPr>
            </w:r>
            <w:r w:rsidR="0024466F">
              <w:rPr>
                <w:webHidden/>
              </w:rPr>
              <w:fldChar w:fldCharType="separate"/>
            </w:r>
            <w:r>
              <w:rPr>
                <w:webHidden/>
              </w:rPr>
              <w:t>16</w:t>
            </w:r>
            <w:r w:rsidR="0024466F">
              <w:rPr>
                <w:webHidden/>
              </w:rPr>
              <w:fldChar w:fldCharType="end"/>
            </w:r>
          </w:hyperlink>
        </w:p>
        <w:p w14:paraId="1FDDD4B4" w14:textId="271C9065"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906" w:history="1">
            <w:r w:rsidR="0024466F" w:rsidRPr="006F5940">
              <w:rPr>
                <w:rStyle w:val="Hyperlink"/>
                <w:lang w:val="es-ES"/>
              </w:rPr>
              <w:t>VI.</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lang w:val="es-ES"/>
              </w:rPr>
              <w:t>ACCIONES POSTERIORES AL INFORME No. 335/21</w:t>
            </w:r>
            <w:r w:rsidR="0024466F">
              <w:rPr>
                <w:webHidden/>
              </w:rPr>
              <w:tab/>
            </w:r>
            <w:r w:rsidR="0024466F">
              <w:rPr>
                <w:webHidden/>
              </w:rPr>
              <w:fldChar w:fldCharType="begin"/>
            </w:r>
            <w:r w:rsidR="0024466F">
              <w:rPr>
                <w:webHidden/>
              </w:rPr>
              <w:instrText xml:space="preserve"> PAGEREF _Toc150529906 \h </w:instrText>
            </w:r>
            <w:r w:rsidR="0024466F">
              <w:rPr>
                <w:webHidden/>
              </w:rPr>
            </w:r>
            <w:r w:rsidR="0024466F">
              <w:rPr>
                <w:webHidden/>
              </w:rPr>
              <w:fldChar w:fldCharType="separate"/>
            </w:r>
            <w:r>
              <w:rPr>
                <w:webHidden/>
              </w:rPr>
              <w:t>17</w:t>
            </w:r>
            <w:r w:rsidR="0024466F">
              <w:rPr>
                <w:webHidden/>
              </w:rPr>
              <w:fldChar w:fldCharType="end"/>
            </w:r>
          </w:hyperlink>
        </w:p>
        <w:p w14:paraId="1C35C1F4" w14:textId="565FBB5D"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907" w:history="1">
            <w:r w:rsidR="0024466F" w:rsidRPr="006F5940">
              <w:rPr>
                <w:rStyle w:val="Hyperlink"/>
              </w:rPr>
              <w:t>VII.</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rPr>
              <w:t>CONCLUSIONES Y RECOMENDACIONES FINALES</w:t>
            </w:r>
            <w:r w:rsidR="0024466F">
              <w:rPr>
                <w:webHidden/>
              </w:rPr>
              <w:tab/>
            </w:r>
            <w:r w:rsidR="0024466F">
              <w:rPr>
                <w:webHidden/>
              </w:rPr>
              <w:fldChar w:fldCharType="begin"/>
            </w:r>
            <w:r w:rsidR="0024466F">
              <w:rPr>
                <w:webHidden/>
              </w:rPr>
              <w:instrText xml:space="preserve"> PAGEREF _Toc150529907 \h </w:instrText>
            </w:r>
            <w:r w:rsidR="0024466F">
              <w:rPr>
                <w:webHidden/>
              </w:rPr>
            </w:r>
            <w:r w:rsidR="0024466F">
              <w:rPr>
                <w:webHidden/>
              </w:rPr>
              <w:fldChar w:fldCharType="separate"/>
            </w:r>
            <w:r>
              <w:rPr>
                <w:webHidden/>
              </w:rPr>
              <w:t>17</w:t>
            </w:r>
            <w:r w:rsidR="0024466F">
              <w:rPr>
                <w:webHidden/>
              </w:rPr>
              <w:fldChar w:fldCharType="end"/>
            </w:r>
          </w:hyperlink>
        </w:p>
        <w:p w14:paraId="555E68D5" w14:textId="720B36FE" w:rsidR="0024466F" w:rsidRDefault="00B12078">
          <w:pPr>
            <w:pStyle w:val="TOC1"/>
            <w:rPr>
              <w:rFonts w:asciiTheme="minorHAnsi" w:eastAsiaTheme="minorEastAsia" w:hAnsiTheme="minorHAnsi" w:cstheme="minorBidi"/>
              <w:b w:val="0"/>
              <w:kern w:val="2"/>
              <w:sz w:val="24"/>
              <w:szCs w:val="24"/>
              <w:bdr w:val="none" w:sz="0" w:space="0" w:color="auto"/>
              <w:lang w:val="es-US" w:eastAsia="zh-CN"/>
              <w14:ligatures w14:val="standardContextual"/>
            </w:rPr>
          </w:pPr>
          <w:hyperlink w:anchor="_Toc150529908" w:history="1">
            <w:r w:rsidR="0024466F" w:rsidRPr="006F5940">
              <w:rPr>
                <w:rStyle w:val="Hyperlink"/>
                <w:lang w:val="es-ES"/>
              </w:rPr>
              <w:t>VIII.</w:t>
            </w:r>
            <w:r w:rsidR="0024466F">
              <w:rPr>
                <w:rFonts w:asciiTheme="minorHAnsi" w:eastAsiaTheme="minorEastAsia" w:hAnsiTheme="minorHAnsi" w:cstheme="minorBidi"/>
                <w:b w:val="0"/>
                <w:kern w:val="2"/>
                <w:sz w:val="24"/>
                <w:szCs w:val="24"/>
                <w:bdr w:val="none" w:sz="0" w:space="0" w:color="auto"/>
                <w:lang w:val="es-US" w:eastAsia="zh-CN"/>
                <w14:ligatures w14:val="standardContextual"/>
              </w:rPr>
              <w:tab/>
            </w:r>
            <w:r w:rsidR="0024466F" w:rsidRPr="006F5940">
              <w:rPr>
                <w:rStyle w:val="Hyperlink"/>
                <w:lang w:val="es-ES"/>
              </w:rPr>
              <w:t>PUBLICACIÓN</w:t>
            </w:r>
            <w:r w:rsidR="0024466F">
              <w:rPr>
                <w:webHidden/>
              </w:rPr>
              <w:tab/>
            </w:r>
            <w:r w:rsidR="0024466F">
              <w:rPr>
                <w:webHidden/>
              </w:rPr>
              <w:fldChar w:fldCharType="begin"/>
            </w:r>
            <w:r w:rsidR="0024466F">
              <w:rPr>
                <w:webHidden/>
              </w:rPr>
              <w:instrText xml:space="preserve"> PAGEREF _Toc150529908 \h </w:instrText>
            </w:r>
            <w:r w:rsidR="0024466F">
              <w:rPr>
                <w:webHidden/>
              </w:rPr>
            </w:r>
            <w:r w:rsidR="0024466F">
              <w:rPr>
                <w:webHidden/>
              </w:rPr>
              <w:fldChar w:fldCharType="separate"/>
            </w:r>
            <w:r>
              <w:rPr>
                <w:webHidden/>
              </w:rPr>
              <w:t>18</w:t>
            </w:r>
            <w:r w:rsidR="0024466F">
              <w:rPr>
                <w:webHidden/>
              </w:rPr>
              <w:fldChar w:fldCharType="end"/>
            </w:r>
          </w:hyperlink>
        </w:p>
        <w:p w14:paraId="6F4782F3" w14:textId="21E8A040" w:rsidR="0056246C" w:rsidRPr="00CC759E" w:rsidRDefault="0056246C">
          <w:pPr>
            <w:rPr>
              <w:rFonts w:asciiTheme="majorHAnsi" w:hAnsiTheme="majorHAnsi"/>
              <w:sz w:val="20"/>
              <w:szCs w:val="20"/>
            </w:rPr>
          </w:pPr>
          <w:r w:rsidRPr="00A847F7">
            <w:rPr>
              <w:rFonts w:asciiTheme="majorHAnsi" w:hAnsiTheme="majorHAnsi"/>
              <w:b/>
              <w:bCs/>
              <w:noProof/>
              <w:sz w:val="20"/>
              <w:szCs w:val="20"/>
            </w:rPr>
            <w:fldChar w:fldCharType="end"/>
          </w:r>
        </w:p>
      </w:sdtContent>
    </w:sdt>
    <w:p w14:paraId="3CD3CD20" w14:textId="77777777" w:rsidR="007607C4" w:rsidRPr="00DE2580" w:rsidRDefault="007607C4" w:rsidP="00145EDC">
      <w:pPr>
        <w:tabs>
          <w:tab w:val="center" w:pos="5400"/>
        </w:tabs>
        <w:suppressAutoHyphens/>
        <w:spacing w:line="276" w:lineRule="auto"/>
        <w:rPr>
          <w:rFonts w:asciiTheme="majorHAnsi" w:hAnsiTheme="majorHAnsi"/>
          <w:sz w:val="20"/>
          <w:szCs w:val="18"/>
        </w:rPr>
      </w:pPr>
    </w:p>
    <w:p w14:paraId="2EFD4992" w14:textId="56B8A82D" w:rsidR="007607C4" w:rsidRPr="007266F3" w:rsidRDefault="000572DC" w:rsidP="007266F3">
      <w:pPr>
        <w:tabs>
          <w:tab w:val="left" w:pos="7986"/>
        </w:tabs>
        <w:suppressAutoHyphens/>
        <w:spacing w:line="276" w:lineRule="auto"/>
        <w:rPr>
          <w:rFonts w:asciiTheme="majorHAnsi" w:hAnsiTheme="majorHAnsi"/>
          <w:sz w:val="20"/>
          <w:szCs w:val="18"/>
        </w:rPr>
      </w:pPr>
      <w:r w:rsidRPr="00DE2580">
        <w:rPr>
          <w:rFonts w:asciiTheme="majorHAnsi" w:hAnsiTheme="majorHAnsi"/>
          <w:sz w:val="20"/>
          <w:szCs w:val="18"/>
        </w:rPr>
        <w:tab/>
      </w:r>
    </w:p>
    <w:p w14:paraId="45FC4160" w14:textId="77777777" w:rsidR="007607C4" w:rsidRPr="00DE2580" w:rsidRDefault="00A84A45" w:rsidP="00452DAB">
      <w:pPr>
        <w:rPr>
          <w:rFonts w:asciiTheme="majorHAnsi" w:hAnsiTheme="majorHAnsi"/>
          <w:b/>
          <w:sz w:val="18"/>
          <w:szCs w:val="20"/>
        </w:rPr>
      </w:pPr>
      <w:r w:rsidRPr="00DE2580">
        <w:rPr>
          <w:rFonts w:asciiTheme="majorHAnsi" w:hAnsiTheme="majorHAnsi"/>
          <w:b/>
          <w:sz w:val="18"/>
          <w:szCs w:val="20"/>
        </w:rPr>
        <w:br w:type="page"/>
      </w:r>
    </w:p>
    <w:p w14:paraId="7964E9D2" w14:textId="77777777" w:rsidR="001C4006" w:rsidRPr="00E018FC" w:rsidRDefault="00830E88" w:rsidP="00E018FC">
      <w:pPr>
        <w:pStyle w:val="Heading1"/>
        <w:tabs>
          <w:tab w:val="left" w:pos="360"/>
        </w:tabs>
        <w:ind w:left="0" w:firstLine="0"/>
        <w:rPr>
          <w:color w:val="auto"/>
          <w:sz w:val="20"/>
          <w:szCs w:val="20"/>
        </w:rPr>
      </w:pPr>
      <w:bookmarkStart w:id="0" w:name="_Toc22826172"/>
      <w:bookmarkStart w:id="1" w:name="_Toc150529887"/>
      <w:r w:rsidRPr="00E018FC">
        <w:rPr>
          <w:color w:val="auto"/>
          <w:sz w:val="20"/>
          <w:szCs w:val="20"/>
        </w:rPr>
        <w:lastRenderedPageBreak/>
        <w:t>INTRODU</w:t>
      </w:r>
      <w:r w:rsidR="00243387" w:rsidRPr="00E018FC">
        <w:rPr>
          <w:color w:val="auto"/>
          <w:sz w:val="20"/>
          <w:szCs w:val="20"/>
        </w:rPr>
        <w:t>CCIÓN</w:t>
      </w:r>
      <w:bookmarkEnd w:id="0"/>
      <w:bookmarkEnd w:id="1"/>
      <w:r w:rsidR="001C4006" w:rsidRPr="00E018FC">
        <w:rPr>
          <w:color w:val="auto"/>
          <w:sz w:val="20"/>
          <w:szCs w:val="20"/>
        </w:rPr>
        <w:t xml:space="preserve"> </w:t>
      </w:r>
    </w:p>
    <w:p w14:paraId="2F6B1759" w14:textId="77777777" w:rsidR="001C4006" w:rsidRPr="00DE2580" w:rsidRDefault="001C4006" w:rsidP="00BB5A59">
      <w:pPr>
        <w:suppressAutoHyphens/>
        <w:ind w:left="1440" w:hanging="720"/>
        <w:rPr>
          <w:rFonts w:asciiTheme="majorHAnsi" w:hAnsiTheme="majorHAnsi"/>
          <w:b/>
          <w:sz w:val="20"/>
          <w:szCs w:val="20"/>
        </w:rPr>
      </w:pPr>
    </w:p>
    <w:p w14:paraId="3A6B8720" w14:textId="2F605181" w:rsidR="006B3F4E" w:rsidRPr="00950B97" w:rsidRDefault="006B3F4E"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cstheme="minorHAnsi"/>
          <w:color w:val="000000" w:themeColor="text1"/>
          <w:sz w:val="20"/>
          <w:szCs w:val="20"/>
          <w:lang w:val="es-ES"/>
        </w:rPr>
      </w:pPr>
      <w:r w:rsidRPr="00950B97">
        <w:rPr>
          <w:rFonts w:asciiTheme="majorHAnsi" w:eastAsia="Times New Roman" w:hAnsiTheme="majorHAnsi"/>
          <w:sz w:val="20"/>
          <w:szCs w:val="20"/>
          <w:lang w:val="es-ES"/>
        </w:rPr>
        <w:t xml:space="preserve">El 25 de febrero de 2002 la Comisión Interamericana de Derechos Humanos (en lo sucesivo “la Comisión”) recibió una </w:t>
      </w:r>
      <w:r w:rsidRPr="00946532">
        <w:rPr>
          <w:rFonts w:asciiTheme="majorHAnsi" w:eastAsia="Times New Roman" w:hAnsiTheme="majorHAnsi"/>
          <w:sz w:val="20"/>
          <w:szCs w:val="20"/>
          <w:lang w:val="es-ES"/>
        </w:rPr>
        <w:t>petición</w:t>
      </w:r>
      <w:r w:rsidR="00D43F3A" w:rsidRPr="00946532">
        <w:rPr>
          <w:rStyle w:val="FootnoteReference"/>
          <w:rFonts w:asciiTheme="majorHAnsi" w:hAnsiTheme="majorHAnsi"/>
          <w:color w:val="000000" w:themeColor="text1"/>
          <w:sz w:val="20"/>
          <w:szCs w:val="20"/>
        </w:rPr>
        <w:footnoteReference w:id="3"/>
      </w:r>
      <w:r w:rsidR="00D43F3A" w:rsidRPr="00946532">
        <w:rPr>
          <w:rFonts w:asciiTheme="majorHAnsi" w:eastAsia="Times New Roman" w:hAnsiTheme="majorHAnsi"/>
          <w:sz w:val="20"/>
          <w:szCs w:val="20"/>
          <w:lang w:val="es-ES"/>
        </w:rPr>
        <w:t xml:space="preserve"> </w:t>
      </w:r>
      <w:r w:rsidR="006A0ACB">
        <w:rPr>
          <w:rFonts w:asciiTheme="majorHAnsi" w:eastAsia="Times New Roman" w:hAnsiTheme="majorHAnsi"/>
          <w:sz w:val="20"/>
          <w:szCs w:val="20"/>
          <w:lang w:val="es-ES"/>
        </w:rPr>
        <w:t xml:space="preserve">presentada por </w:t>
      </w:r>
      <w:r w:rsidRPr="00946532">
        <w:rPr>
          <w:rFonts w:asciiTheme="majorHAnsi" w:hAnsiTheme="majorHAnsi"/>
          <w:color w:val="000000"/>
          <w:sz w:val="20"/>
          <w:szCs w:val="20"/>
          <w:shd w:val="clear" w:color="auto" w:fill="FFFFFF"/>
          <w:lang w:val="es-ES"/>
        </w:rPr>
        <w:t>Adrian</w:t>
      </w:r>
      <w:r w:rsidRPr="00950B97">
        <w:rPr>
          <w:rFonts w:asciiTheme="majorHAnsi" w:hAnsiTheme="majorHAnsi"/>
          <w:color w:val="000000"/>
          <w:sz w:val="20"/>
          <w:szCs w:val="20"/>
          <w:shd w:val="clear" w:color="auto" w:fill="FFFFFF"/>
          <w:lang w:val="es-ES"/>
        </w:rPr>
        <w:t xml:space="preserve"> Fulford y Hu</w:t>
      </w:r>
      <w:r w:rsidR="00D942FF">
        <w:rPr>
          <w:rFonts w:asciiTheme="majorHAnsi" w:hAnsiTheme="majorHAnsi"/>
          <w:color w:val="000000"/>
          <w:sz w:val="20"/>
          <w:szCs w:val="20"/>
          <w:shd w:val="clear" w:color="auto" w:fill="FFFFFF"/>
          <w:lang w:val="es-ES"/>
        </w:rPr>
        <w:t>gh</w:t>
      </w:r>
      <w:r w:rsidRPr="00950B97">
        <w:rPr>
          <w:rFonts w:asciiTheme="majorHAnsi" w:hAnsiTheme="majorHAnsi"/>
          <w:color w:val="000000"/>
          <w:sz w:val="20"/>
          <w:szCs w:val="20"/>
          <w:shd w:val="clear" w:color="auto" w:fill="FFFFFF"/>
          <w:lang w:val="es-ES"/>
        </w:rPr>
        <w:t xml:space="preserve"> Southey, </w:t>
      </w:r>
      <w:r w:rsidRPr="00950B97">
        <w:rPr>
          <w:rFonts w:asciiTheme="majorHAnsi" w:hAnsiTheme="majorHAnsi"/>
          <w:i/>
          <w:iCs/>
          <w:color w:val="000000"/>
          <w:sz w:val="20"/>
          <w:szCs w:val="20"/>
          <w:shd w:val="clear" w:color="auto" w:fill="FFFFFF"/>
          <w:lang w:val="es-ES"/>
        </w:rPr>
        <w:t>Barristers </w:t>
      </w:r>
      <w:r w:rsidRPr="00950B97">
        <w:rPr>
          <w:rFonts w:asciiTheme="majorHAnsi" w:hAnsiTheme="majorHAnsi"/>
          <w:color w:val="000000"/>
          <w:sz w:val="20"/>
          <w:szCs w:val="20"/>
          <w:shd w:val="clear" w:color="auto" w:fill="FFFFFF"/>
          <w:lang w:val="es-ES"/>
        </w:rPr>
        <w:t>ante la Corte de Tooks, de Londres</w:t>
      </w:r>
      <w:r w:rsidR="00531EC5">
        <w:rPr>
          <w:rFonts w:asciiTheme="majorHAnsi" w:hAnsiTheme="majorHAnsi"/>
          <w:color w:val="000000"/>
          <w:sz w:val="20"/>
          <w:szCs w:val="20"/>
          <w:shd w:val="clear" w:color="auto" w:fill="FFFFFF"/>
          <w:lang w:val="es-ES"/>
        </w:rPr>
        <w:t>,</w:t>
      </w:r>
      <w:r w:rsidRPr="00950B97">
        <w:rPr>
          <w:rFonts w:asciiTheme="majorHAnsi" w:hAnsiTheme="majorHAnsi"/>
          <w:color w:val="000000"/>
          <w:sz w:val="20"/>
          <w:szCs w:val="20"/>
          <w:shd w:val="clear" w:color="auto" w:fill="FFFFFF"/>
          <w:lang w:val="es-ES"/>
        </w:rPr>
        <w:t xml:space="preserve"> Yasmin Waljee, </w:t>
      </w:r>
      <w:r w:rsidRPr="00950B97">
        <w:rPr>
          <w:rFonts w:asciiTheme="majorHAnsi" w:hAnsiTheme="majorHAnsi"/>
          <w:i/>
          <w:iCs/>
          <w:color w:val="000000"/>
          <w:sz w:val="20"/>
          <w:szCs w:val="20"/>
          <w:shd w:val="clear" w:color="auto" w:fill="FFFFFF"/>
          <w:lang w:val="es-ES"/>
        </w:rPr>
        <w:t>Solicitor</w:t>
      </w:r>
      <w:r w:rsidRPr="00950B97">
        <w:rPr>
          <w:rFonts w:asciiTheme="majorHAnsi" w:hAnsiTheme="majorHAnsi"/>
          <w:color w:val="000000"/>
          <w:sz w:val="20"/>
          <w:szCs w:val="20"/>
          <w:shd w:val="clear" w:color="auto" w:fill="FFFFFF"/>
          <w:lang w:val="es-ES"/>
        </w:rPr>
        <w:t> de Lovells, Londres, y Robert McGlasson y Elizabeth Wells, del </w:t>
      </w:r>
      <w:r w:rsidRPr="00950B97">
        <w:rPr>
          <w:rFonts w:asciiTheme="majorHAnsi" w:hAnsiTheme="majorHAnsi"/>
          <w:i/>
          <w:iCs/>
          <w:color w:val="000000"/>
          <w:sz w:val="20"/>
          <w:szCs w:val="20"/>
          <w:shd w:val="clear" w:color="auto" w:fill="FFFFFF"/>
          <w:lang w:val="es-ES"/>
        </w:rPr>
        <w:t>Federal Defense Program</w:t>
      </w:r>
      <w:r w:rsidRPr="00950B97">
        <w:rPr>
          <w:rFonts w:asciiTheme="majorHAnsi" w:hAnsiTheme="majorHAnsi"/>
          <w:color w:val="000000"/>
          <w:sz w:val="20"/>
          <w:szCs w:val="20"/>
          <w:shd w:val="clear" w:color="auto" w:fill="FFFFFF"/>
          <w:lang w:val="es-ES"/>
        </w:rPr>
        <w:t>, de Atlanta, Georgia (en lo sucesivo "</w:t>
      </w:r>
      <w:r w:rsidR="00920A46">
        <w:rPr>
          <w:rFonts w:asciiTheme="majorHAnsi" w:hAnsiTheme="majorHAnsi"/>
          <w:color w:val="000000"/>
          <w:sz w:val="20"/>
          <w:szCs w:val="20"/>
          <w:shd w:val="clear" w:color="auto" w:fill="FFFFFF"/>
          <w:lang w:val="es-ES"/>
        </w:rPr>
        <w:t>la parte peticionaria</w:t>
      </w:r>
      <w:r w:rsidRPr="00950B97">
        <w:rPr>
          <w:rFonts w:asciiTheme="majorHAnsi" w:hAnsiTheme="majorHAnsi"/>
          <w:color w:val="000000"/>
          <w:sz w:val="20"/>
          <w:szCs w:val="20"/>
          <w:shd w:val="clear" w:color="auto" w:fill="FFFFFF"/>
          <w:lang w:val="es-ES"/>
        </w:rPr>
        <w:t>"), contra el Gobierno de los Estados Unidos de América (en lo sucesivo "el Estado"</w:t>
      </w:r>
      <w:r w:rsidR="006A0ACB">
        <w:rPr>
          <w:rFonts w:asciiTheme="majorHAnsi" w:hAnsiTheme="majorHAnsi"/>
          <w:color w:val="000000"/>
          <w:sz w:val="20"/>
          <w:szCs w:val="20"/>
          <w:shd w:val="clear" w:color="auto" w:fill="FFFFFF"/>
          <w:lang w:val="es-ES"/>
        </w:rPr>
        <w:t xml:space="preserve"> </w:t>
      </w:r>
      <w:r w:rsidRPr="00950B97">
        <w:rPr>
          <w:rFonts w:asciiTheme="majorHAnsi" w:hAnsiTheme="majorHAnsi"/>
          <w:color w:val="000000"/>
          <w:sz w:val="20"/>
          <w:szCs w:val="20"/>
          <w:shd w:val="clear" w:color="auto" w:fill="FFFFFF"/>
          <w:lang w:val="es-ES"/>
        </w:rPr>
        <w:t>o "Estados Unidos").</w:t>
      </w:r>
      <w:r w:rsidR="003F2A75" w:rsidRPr="00950B97">
        <w:rPr>
          <w:rFonts w:asciiTheme="majorHAnsi" w:hAnsiTheme="majorHAnsi"/>
          <w:color w:val="000000"/>
          <w:sz w:val="20"/>
          <w:szCs w:val="20"/>
          <w:shd w:val="clear" w:color="auto" w:fill="FFFFFF"/>
          <w:lang w:val="es-ES"/>
        </w:rPr>
        <w:t xml:space="preserve"> </w:t>
      </w:r>
      <w:r w:rsidR="003F2A75" w:rsidRPr="00950B97">
        <w:rPr>
          <w:rFonts w:asciiTheme="majorHAnsi" w:hAnsiTheme="majorHAnsi" w:cstheme="minorHAnsi"/>
          <w:color w:val="000000"/>
          <w:sz w:val="20"/>
          <w:szCs w:val="20"/>
          <w:shd w:val="clear" w:color="auto" w:fill="FFFFFF"/>
          <w:lang w:val="es-ES"/>
        </w:rPr>
        <w:t>La petición fue presentada en nombre del </w:t>
      </w:r>
      <w:r w:rsidR="003F2A75" w:rsidRPr="00950B97">
        <w:rPr>
          <w:rFonts w:asciiTheme="majorHAnsi" w:hAnsiTheme="majorHAnsi" w:cstheme="minorHAnsi"/>
          <w:color w:val="000000"/>
          <w:sz w:val="20"/>
          <w:szCs w:val="20"/>
          <w:shd w:val="clear" w:color="auto" w:fill="FFFFFF"/>
          <w:lang w:val="es-MX"/>
        </w:rPr>
        <w:t>señor </w:t>
      </w:r>
      <w:r w:rsidR="003F2A75" w:rsidRPr="00950B97">
        <w:rPr>
          <w:rFonts w:asciiTheme="majorHAnsi" w:hAnsiTheme="majorHAnsi" w:cstheme="minorHAnsi"/>
          <w:color w:val="000000"/>
          <w:sz w:val="20"/>
          <w:szCs w:val="20"/>
          <w:shd w:val="clear" w:color="auto" w:fill="FFFFFF"/>
          <w:lang w:val="es-ES"/>
        </w:rPr>
        <w:t>Tracy Lee Housel</w:t>
      </w:r>
      <w:r w:rsidR="002A53FA" w:rsidRPr="00950B97">
        <w:rPr>
          <w:rFonts w:asciiTheme="majorHAnsi" w:hAnsiTheme="majorHAnsi" w:cstheme="minorHAnsi"/>
          <w:color w:val="000000"/>
          <w:sz w:val="20"/>
          <w:szCs w:val="20"/>
          <w:shd w:val="clear" w:color="auto" w:fill="FFFFFF"/>
          <w:lang w:val="es-ES"/>
        </w:rPr>
        <w:t xml:space="preserve"> (en lo sucesivo, “señor Housel” o “Housel”), </w:t>
      </w:r>
      <w:r w:rsidR="003F2A75" w:rsidRPr="00950B97">
        <w:rPr>
          <w:rFonts w:asciiTheme="majorHAnsi" w:hAnsiTheme="majorHAnsi" w:cstheme="minorHAnsi"/>
          <w:color w:val="000000"/>
          <w:sz w:val="20"/>
          <w:szCs w:val="20"/>
          <w:shd w:val="clear" w:color="auto" w:fill="FFFFFF"/>
          <w:lang w:val="es-ES"/>
        </w:rPr>
        <w:t xml:space="preserve">ciudadano de los Estados Unidos y del Reino Unido que </w:t>
      </w:r>
      <w:r w:rsidR="002A2195" w:rsidRPr="00950B97">
        <w:rPr>
          <w:rFonts w:asciiTheme="majorHAnsi" w:hAnsiTheme="majorHAnsi" w:cstheme="minorHAnsi"/>
          <w:color w:val="000000"/>
          <w:sz w:val="20"/>
          <w:szCs w:val="20"/>
          <w:shd w:val="clear" w:color="auto" w:fill="FFFFFF"/>
          <w:lang w:val="es-ES"/>
        </w:rPr>
        <w:t xml:space="preserve">fue sentenciado a muerte </w:t>
      </w:r>
      <w:r w:rsidR="003F2A75" w:rsidRPr="00950B97">
        <w:rPr>
          <w:rFonts w:asciiTheme="majorHAnsi" w:hAnsiTheme="majorHAnsi" w:cstheme="minorHAnsi"/>
          <w:color w:val="000000"/>
          <w:sz w:val="20"/>
          <w:szCs w:val="20"/>
          <w:shd w:val="clear" w:color="auto" w:fill="FFFFFF"/>
          <w:lang w:val="es-ES"/>
        </w:rPr>
        <w:t>el 7 de febrero de 1986</w:t>
      </w:r>
      <w:r w:rsidR="002A2195" w:rsidRPr="00950B97">
        <w:rPr>
          <w:rFonts w:asciiTheme="majorHAnsi" w:hAnsiTheme="majorHAnsi" w:cstheme="minorHAnsi"/>
          <w:color w:val="000000"/>
          <w:sz w:val="20"/>
          <w:szCs w:val="20"/>
          <w:shd w:val="clear" w:color="auto" w:fill="FFFFFF"/>
          <w:lang w:val="es-ES"/>
        </w:rPr>
        <w:t xml:space="preserve"> y posteriormente ejecutado el 12 de marzo de 2002, en el Estado de Georgia.</w:t>
      </w:r>
    </w:p>
    <w:p w14:paraId="4A2BAFA4" w14:textId="77777777" w:rsidR="003538F7" w:rsidRPr="006177F7" w:rsidRDefault="003538F7" w:rsidP="00487254">
      <w:pPr>
        <w:rPr>
          <w:sz w:val="20"/>
          <w:szCs w:val="20"/>
          <w:lang w:val="es-ES"/>
        </w:rPr>
      </w:pPr>
    </w:p>
    <w:p w14:paraId="08FDF854" w14:textId="11A54756" w:rsidR="00660ABF" w:rsidRPr="00E018FC" w:rsidRDefault="00660ABF"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color w:val="000000" w:themeColor="text1"/>
          <w:sz w:val="20"/>
          <w:szCs w:val="20"/>
          <w:lang w:val="es-ES"/>
        </w:rPr>
      </w:pPr>
      <w:r w:rsidRPr="00660ABF">
        <w:rPr>
          <w:rFonts w:asciiTheme="majorHAnsi" w:hAnsiTheme="majorHAnsi"/>
          <w:color w:val="000000" w:themeColor="text1"/>
          <w:sz w:val="20"/>
          <w:szCs w:val="20"/>
          <w:lang w:val="es-ES"/>
        </w:rPr>
        <w:t xml:space="preserve">La Comisión aprobó su </w:t>
      </w:r>
      <w:r w:rsidR="006A0ACB">
        <w:rPr>
          <w:rFonts w:asciiTheme="majorHAnsi" w:hAnsiTheme="majorHAnsi"/>
          <w:color w:val="000000" w:themeColor="text1"/>
          <w:sz w:val="20"/>
          <w:szCs w:val="20"/>
          <w:lang w:val="es-ES"/>
        </w:rPr>
        <w:t>I</w:t>
      </w:r>
      <w:r>
        <w:rPr>
          <w:rFonts w:asciiTheme="majorHAnsi" w:hAnsiTheme="majorHAnsi"/>
          <w:color w:val="000000" w:themeColor="text1"/>
          <w:sz w:val="20"/>
          <w:szCs w:val="20"/>
          <w:lang w:val="es-ES"/>
        </w:rPr>
        <w:t xml:space="preserve">nforme de </w:t>
      </w:r>
      <w:r w:rsidR="006A0ACB">
        <w:rPr>
          <w:rFonts w:asciiTheme="majorHAnsi" w:hAnsiTheme="majorHAnsi"/>
          <w:color w:val="000000" w:themeColor="text1"/>
          <w:sz w:val="20"/>
          <w:szCs w:val="20"/>
          <w:lang w:val="es-ES"/>
        </w:rPr>
        <w:t>A</w:t>
      </w:r>
      <w:r>
        <w:rPr>
          <w:rFonts w:asciiTheme="majorHAnsi" w:hAnsiTheme="majorHAnsi"/>
          <w:color w:val="000000" w:themeColor="text1"/>
          <w:sz w:val="20"/>
          <w:szCs w:val="20"/>
          <w:lang w:val="es-ES"/>
        </w:rPr>
        <w:t>dmisibilidad No.</w:t>
      </w:r>
      <w:r w:rsidRPr="00660ABF">
        <w:rPr>
          <w:rFonts w:ascii="Cambria" w:eastAsia="Cambria" w:hAnsi="Cambria" w:cs="Cambria"/>
          <w:sz w:val="20"/>
          <w:szCs w:val="20"/>
          <w:lang w:val="es-ES"/>
        </w:rPr>
        <w:t xml:space="preserve"> 16/04</w:t>
      </w:r>
      <w:r>
        <w:rPr>
          <w:rFonts w:ascii="Cambria" w:eastAsia="Cambria" w:hAnsi="Cambria" w:cs="Cambria"/>
          <w:sz w:val="20"/>
          <w:szCs w:val="20"/>
          <w:lang w:val="es-ES"/>
        </w:rPr>
        <w:t xml:space="preserve"> el 27 de febrero de 2004</w:t>
      </w:r>
      <w:r w:rsidR="00050526" w:rsidRPr="00DE2580">
        <w:rPr>
          <w:rStyle w:val="FootnoteReference"/>
          <w:rFonts w:ascii="Cambria" w:eastAsia="Cambria" w:hAnsi="Cambria"/>
          <w:sz w:val="20"/>
          <w:szCs w:val="20"/>
        </w:rPr>
        <w:footnoteReference w:id="4"/>
      </w:r>
      <w:r w:rsidR="00050526" w:rsidRPr="00D235E9">
        <w:rPr>
          <w:rFonts w:ascii="Cambria" w:eastAsia="Cambria" w:hAnsi="Cambria" w:cs="Cambria"/>
          <w:sz w:val="20"/>
          <w:szCs w:val="20"/>
          <w:lang w:val="es-ES"/>
        </w:rPr>
        <w:t xml:space="preserve"> </w:t>
      </w:r>
      <w:r>
        <w:rPr>
          <w:rFonts w:ascii="Cambria" w:eastAsia="Cambria" w:hAnsi="Cambria" w:cs="Cambria"/>
          <w:sz w:val="20"/>
          <w:szCs w:val="20"/>
          <w:lang w:val="es-ES"/>
        </w:rPr>
        <w:t xml:space="preserve"> y el 10 de mayo de 2004</w:t>
      </w:r>
      <w:r w:rsidR="00D235E9">
        <w:rPr>
          <w:rFonts w:ascii="Cambria" w:eastAsia="Cambria" w:hAnsi="Cambria" w:cs="Cambria"/>
          <w:sz w:val="20"/>
          <w:szCs w:val="20"/>
          <w:lang w:val="es-ES"/>
        </w:rPr>
        <w:t xml:space="preserve"> notificó dicho informe a las partes</w:t>
      </w:r>
      <w:r w:rsidR="00D45164">
        <w:rPr>
          <w:rFonts w:ascii="Cambria" w:eastAsia="Cambria" w:hAnsi="Cambria" w:cs="Cambria"/>
          <w:sz w:val="20"/>
          <w:szCs w:val="20"/>
          <w:lang w:val="es-ES"/>
        </w:rPr>
        <w:t xml:space="preserve"> y se puso a su disposición a fin de llegar a una solución amistosa. Las partes contaron </w:t>
      </w:r>
      <w:r w:rsidR="002B1A65">
        <w:rPr>
          <w:rFonts w:ascii="Cambria" w:eastAsia="Cambria" w:hAnsi="Cambria" w:cs="Cambria"/>
          <w:sz w:val="20"/>
          <w:szCs w:val="20"/>
          <w:lang w:val="es-ES"/>
        </w:rPr>
        <w:t xml:space="preserve">con </w:t>
      </w:r>
      <w:r w:rsidR="00D45164">
        <w:rPr>
          <w:rFonts w:ascii="Cambria" w:eastAsia="Cambria" w:hAnsi="Cambria" w:cs="Cambria"/>
          <w:sz w:val="20"/>
          <w:szCs w:val="20"/>
          <w:lang w:val="es-ES"/>
        </w:rPr>
        <w:t>los plazos establecidos en el Reglamento de la CIDH para presentar sus observaciones adicionales sobre el fondo del caso. Toda la información recibida por la CIDH fue debidamente trasladada a las partes.</w:t>
      </w:r>
    </w:p>
    <w:p w14:paraId="50599841" w14:textId="77777777" w:rsidR="00E018FC" w:rsidRPr="00660ABF" w:rsidRDefault="00E018FC" w:rsidP="00E018F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color w:val="000000" w:themeColor="text1"/>
          <w:sz w:val="20"/>
          <w:szCs w:val="20"/>
          <w:lang w:val="es-ES"/>
        </w:rPr>
      </w:pPr>
    </w:p>
    <w:p w14:paraId="4CB233B2" w14:textId="77777777" w:rsidR="00317386" w:rsidRPr="00E018FC" w:rsidRDefault="001C4006" w:rsidP="00E018FC">
      <w:pPr>
        <w:pStyle w:val="Heading1"/>
        <w:tabs>
          <w:tab w:val="left" w:pos="360"/>
        </w:tabs>
        <w:spacing w:before="0"/>
        <w:ind w:left="0" w:firstLine="0"/>
        <w:rPr>
          <w:color w:val="auto"/>
          <w:sz w:val="20"/>
          <w:szCs w:val="20"/>
        </w:rPr>
      </w:pPr>
      <w:bookmarkStart w:id="2" w:name="_Toc22826173"/>
      <w:bookmarkStart w:id="3" w:name="_Toc150529888"/>
      <w:r w:rsidRPr="00E018FC">
        <w:rPr>
          <w:color w:val="auto"/>
          <w:sz w:val="20"/>
          <w:szCs w:val="20"/>
        </w:rPr>
        <w:t>PO</w:t>
      </w:r>
      <w:r w:rsidR="0051436D" w:rsidRPr="00E018FC">
        <w:rPr>
          <w:color w:val="auto"/>
          <w:sz w:val="20"/>
          <w:szCs w:val="20"/>
        </w:rPr>
        <w:t>SICI</w:t>
      </w:r>
      <w:r w:rsidR="000F158E" w:rsidRPr="00E018FC">
        <w:rPr>
          <w:color w:val="auto"/>
          <w:sz w:val="20"/>
          <w:szCs w:val="20"/>
        </w:rPr>
        <w:t>ONES</w:t>
      </w:r>
      <w:r w:rsidR="0051436D" w:rsidRPr="00E018FC">
        <w:rPr>
          <w:color w:val="auto"/>
          <w:sz w:val="20"/>
          <w:szCs w:val="20"/>
        </w:rPr>
        <w:t xml:space="preserve"> DE LAS PARTES</w:t>
      </w:r>
      <w:bookmarkEnd w:id="2"/>
      <w:bookmarkEnd w:id="3"/>
    </w:p>
    <w:p w14:paraId="6B75FFCA" w14:textId="77777777" w:rsidR="00317386" w:rsidRPr="00DE2580" w:rsidRDefault="00317386" w:rsidP="00317386">
      <w:pPr>
        <w:pStyle w:val="Heading1"/>
        <w:numPr>
          <w:ilvl w:val="0"/>
          <w:numId w:val="0"/>
        </w:numPr>
        <w:tabs>
          <w:tab w:val="left" w:pos="360"/>
        </w:tabs>
        <w:spacing w:before="0"/>
        <w:rPr>
          <w:color w:val="auto"/>
          <w:sz w:val="20"/>
          <w:szCs w:val="20"/>
        </w:rPr>
      </w:pPr>
    </w:p>
    <w:p w14:paraId="28E2D734" w14:textId="21B3FBB4" w:rsidR="00317386" w:rsidRPr="00E018FC" w:rsidRDefault="00920A46" w:rsidP="00ED2F81">
      <w:pPr>
        <w:pStyle w:val="Heading2"/>
        <w:numPr>
          <w:ilvl w:val="0"/>
          <w:numId w:val="66"/>
        </w:numPr>
        <w:spacing w:before="0"/>
        <w:ind w:left="360"/>
        <w:rPr>
          <w:color w:val="auto"/>
          <w:sz w:val="20"/>
          <w:szCs w:val="20"/>
        </w:rPr>
      </w:pPr>
      <w:bookmarkStart w:id="4" w:name="_Toc150529889"/>
      <w:r w:rsidRPr="00E018FC">
        <w:rPr>
          <w:color w:val="auto"/>
          <w:sz w:val="20"/>
          <w:szCs w:val="20"/>
        </w:rPr>
        <w:t>Parte peticionaria</w:t>
      </w:r>
      <w:bookmarkEnd w:id="4"/>
    </w:p>
    <w:p w14:paraId="2166B23F" w14:textId="77777777" w:rsidR="00317386" w:rsidRPr="00DE2580" w:rsidRDefault="00317386" w:rsidP="00317386">
      <w:pPr>
        <w:suppressAutoHyphens/>
        <w:rPr>
          <w:rFonts w:asciiTheme="majorHAnsi" w:hAnsiTheme="majorHAnsi"/>
          <w:sz w:val="20"/>
          <w:szCs w:val="20"/>
        </w:rPr>
      </w:pPr>
    </w:p>
    <w:p w14:paraId="7BD0D1E1" w14:textId="224B9943" w:rsidR="00CC6D4D" w:rsidRPr="00C24B1B" w:rsidRDefault="00CC6D4D" w:rsidP="00FF61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C24B1B">
        <w:rPr>
          <w:rFonts w:asciiTheme="majorHAnsi" w:eastAsia="Times New Roman" w:hAnsiTheme="majorHAnsi"/>
          <w:sz w:val="20"/>
          <w:szCs w:val="20"/>
          <w:lang w:val="es-ES"/>
        </w:rPr>
        <w:t>L</w:t>
      </w:r>
      <w:r w:rsidR="00920A46">
        <w:rPr>
          <w:rFonts w:asciiTheme="majorHAnsi" w:eastAsia="Times New Roman" w:hAnsiTheme="majorHAnsi"/>
          <w:sz w:val="20"/>
          <w:szCs w:val="20"/>
          <w:lang w:val="es-ES"/>
        </w:rPr>
        <w:t>a parte peticionaria</w:t>
      </w:r>
      <w:r w:rsidRPr="00C24B1B">
        <w:rPr>
          <w:rFonts w:asciiTheme="majorHAnsi" w:eastAsia="Times New Roman" w:hAnsiTheme="majorHAnsi"/>
          <w:sz w:val="20"/>
          <w:szCs w:val="20"/>
          <w:lang w:val="es-ES"/>
        </w:rPr>
        <w:t xml:space="preserve"> </w:t>
      </w:r>
      <w:r w:rsidR="007A15D6">
        <w:rPr>
          <w:rFonts w:asciiTheme="majorHAnsi" w:eastAsia="Times New Roman" w:hAnsiTheme="majorHAnsi"/>
          <w:sz w:val="20"/>
          <w:szCs w:val="20"/>
          <w:lang w:val="es-ES"/>
        </w:rPr>
        <w:t>sostiene</w:t>
      </w:r>
      <w:r w:rsidRPr="00C24B1B">
        <w:rPr>
          <w:rFonts w:asciiTheme="majorHAnsi" w:eastAsia="Times New Roman" w:hAnsiTheme="majorHAnsi"/>
          <w:sz w:val="20"/>
          <w:szCs w:val="20"/>
          <w:lang w:val="es-ES"/>
        </w:rPr>
        <w:t xml:space="preserve"> que el Estado</w:t>
      </w:r>
      <w:r w:rsidR="009834DE" w:rsidRPr="00C24B1B">
        <w:rPr>
          <w:rFonts w:asciiTheme="majorHAnsi" w:eastAsia="Times New Roman" w:hAnsiTheme="majorHAnsi"/>
          <w:sz w:val="20"/>
          <w:szCs w:val="20"/>
          <w:lang w:val="es-ES"/>
        </w:rPr>
        <w:t xml:space="preserve"> es responsable por violaciones de los derechos del señor Housel previstos en los artículos </w:t>
      </w:r>
      <w:r w:rsidR="009834DE" w:rsidRPr="00C24B1B">
        <w:rPr>
          <w:rFonts w:asciiTheme="majorHAnsi" w:hAnsiTheme="majorHAnsi"/>
          <w:color w:val="000000"/>
          <w:sz w:val="20"/>
          <w:szCs w:val="20"/>
          <w:shd w:val="clear" w:color="auto" w:fill="FFFFFF"/>
          <w:lang w:val="es-ES"/>
        </w:rPr>
        <w:t>I, XI, XVIII, XXV y XXVI de la Declaración Americana de Derechos y Deberes del Hombre (en lo sucesivo "la Declaración Americana" o "la Declaración"),</w:t>
      </w:r>
      <w:r w:rsidR="00FF61EA" w:rsidRPr="00C24B1B">
        <w:rPr>
          <w:rFonts w:asciiTheme="majorHAnsi" w:hAnsiTheme="majorHAnsi"/>
          <w:color w:val="000000"/>
          <w:sz w:val="20"/>
          <w:szCs w:val="20"/>
          <w:shd w:val="clear" w:color="auto" w:fill="FFFFFF"/>
          <w:lang w:val="es-ES"/>
        </w:rPr>
        <w:t xml:space="preserve"> en virtud de los vicios que presentan las actuaciones penales seguidas contra dicha persona.</w:t>
      </w:r>
      <w:r w:rsidR="00D609E5" w:rsidRPr="00C24B1B">
        <w:rPr>
          <w:rFonts w:ascii="Verdana" w:hAnsi="Verdana"/>
          <w:color w:val="000000"/>
          <w:sz w:val="20"/>
          <w:szCs w:val="20"/>
          <w:shd w:val="clear" w:color="auto" w:fill="FFFFFF"/>
          <w:lang w:val="es-ES"/>
        </w:rPr>
        <w:t xml:space="preserve"> </w:t>
      </w:r>
      <w:r w:rsidR="00920A46">
        <w:rPr>
          <w:rFonts w:asciiTheme="majorHAnsi" w:hAnsiTheme="majorHAnsi"/>
          <w:color w:val="000000"/>
          <w:sz w:val="20"/>
          <w:szCs w:val="20"/>
          <w:shd w:val="clear" w:color="auto" w:fill="FFFFFF"/>
          <w:lang w:val="es-ES"/>
        </w:rPr>
        <w:t>Alega</w:t>
      </w:r>
      <w:r w:rsidR="00D609E5" w:rsidRPr="00C24B1B">
        <w:rPr>
          <w:rFonts w:asciiTheme="majorHAnsi" w:hAnsiTheme="majorHAnsi"/>
          <w:color w:val="000000"/>
          <w:sz w:val="20"/>
          <w:szCs w:val="20"/>
          <w:shd w:val="clear" w:color="auto" w:fill="FFFFFF"/>
          <w:lang w:val="es-ES"/>
        </w:rPr>
        <w:t>, en especial, violaciones de los artículos XI, XXV y XXVI de la Declaración, en relación con el trato dispensado al señor Housel durante su detención previa al juicio, del artículo XVIII con respecto a la calidad de</w:t>
      </w:r>
      <w:r w:rsidR="00031013">
        <w:rPr>
          <w:rFonts w:asciiTheme="majorHAnsi" w:hAnsiTheme="majorHAnsi"/>
          <w:color w:val="000000"/>
          <w:sz w:val="20"/>
          <w:szCs w:val="20"/>
          <w:shd w:val="clear" w:color="auto" w:fill="FFFFFF"/>
          <w:lang w:val="es-ES"/>
        </w:rPr>
        <w:t xml:space="preserve"> la representación</w:t>
      </w:r>
      <w:r w:rsidR="00D609E5" w:rsidRPr="00C24B1B">
        <w:rPr>
          <w:rFonts w:asciiTheme="majorHAnsi" w:hAnsiTheme="majorHAnsi"/>
          <w:color w:val="000000"/>
          <w:sz w:val="20"/>
          <w:szCs w:val="20"/>
          <w:shd w:val="clear" w:color="auto" w:fill="FFFFFF"/>
          <w:lang w:val="es-ES"/>
        </w:rPr>
        <w:t xml:space="preserve"> legal del señor Housel, de los artículos XVIII y XXVI respecto a la invocación de delitos no </w:t>
      </w:r>
      <w:r w:rsidR="00085F08">
        <w:rPr>
          <w:rFonts w:asciiTheme="majorHAnsi" w:hAnsiTheme="majorHAnsi"/>
          <w:color w:val="000000"/>
          <w:sz w:val="20"/>
          <w:szCs w:val="20"/>
          <w:shd w:val="clear" w:color="auto" w:fill="FFFFFF"/>
          <w:lang w:val="es-ES"/>
        </w:rPr>
        <w:t>juzgados</w:t>
      </w:r>
      <w:r w:rsidR="00D609E5" w:rsidRPr="00C24B1B">
        <w:rPr>
          <w:rFonts w:asciiTheme="majorHAnsi" w:hAnsiTheme="majorHAnsi"/>
          <w:color w:val="000000"/>
          <w:sz w:val="20"/>
          <w:szCs w:val="20"/>
          <w:shd w:val="clear" w:color="auto" w:fill="FFFFFF"/>
          <w:lang w:val="es-ES"/>
        </w:rPr>
        <w:t xml:space="preserve"> en la fase de dictado de sentencia del juicio, y de los artículos I, XVIII y XXVI referentes al </w:t>
      </w:r>
      <w:r w:rsidR="00FD0DE9">
        <w:rPr>
          <w:rFonts w:asciiTheme="majorHAnsi" w:hAnsiTheme="majorHAnsi"/>
          <w:color w:val="000000"/>
          <w:sz w:val="20"/>
          <w:szCs w:val="20"/>
          <w:shd w:val="clear" w:color="auto" w:fill="FFFFFF"/>
          <w:lang w:val="es-ES"/>
        </w:rPr>
        <w:t xml:space="preserve">período de </w:t>
      </w:r>
      <w:r w:rsidR="00EC7B7F">
        <w:rPr>
          <w:rFonts w:asciiTheme="majorHAnsi" w:hAnsiTheme="majorHAnsi"/>
          <w:color w:val="000000"/>
          <w:sz w:val="20"/>
          <w:szCs w:val="20"/>
          <w:shd w:val="clear" w:color="auto" w:fill="FFFFFF"/>
          <w:lang w:val="es-ES"/>
        </w:rPr>
        <w:t xml:space="preserve">tiempo </w:t>
      </w:r>
      <w:r w:rsidR="00D609E5" w:rsidRPr="00C24B1B">
        <w:rPr>
          <w:rFonts w:asciiTheme="majorHAnsi" w:hAnsiTheme="majorHAnsi"/>
          <w:color w:val="000000"/>
          <w:sz w:val="20"/>
          <w:szCs w:val="20"/>
          <w:shd w:val="clear" w:color="auto" w:fill="FFFFFF"/>
          <w:lang w:val="es-ES"/>
        </w:rPr>
        <w:t xml:space="preserve">que el señor Housel estuvo encarcelado en el </w:t>
      </w:r>
      <w:r w:rsidR="00920A46">
        <w:rPr>
          <w:rFonts w:asciiTheme="majorHAnsi" w:hAnsiTheme="majorHAnsi"/>
          <w:color w:val="000000"/>
          <w:sz w:val="20"/>
          <w:szCs w:val="20"/>
          <w:shd w:val="clear" w:color="auto" w:fill="FFFFFF"/>
          <w:lang w:val="es-ES"/>
        </w:rPr>
        <w:t>corredor de l</w:t>
      </w:r>
      <w:r w:rsidR="00D609E5" w:rsidRPr="00C24B1B">
        <w:rPr>
          <w:rFonts w:asciiTheme="majorHAnsi" w:hAnsiTheme="majorHAnsi"/>
          <w:color w:val="000000"/>
          <w:sz w:val="20"/>
          <w:szCs w:val="20"/>
          <w:shd w:val="clear" w:color="auto" w:fill="FFFFFF"/>
          <w:lang w:val="es-ES"/>
        </w:rPr>
        <w:t>a muerte.</w:t>
      </w:r>
    </w:p>
    <w:p w14:paraId="1510B162" w14:textId="77777777" w:rsidR="00CC6D4D" w:rsidRPr="00CC6D4D" w:rsidRDefault="00CC6D4D" w:rsidP="00CC6D4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3C71ADD4" w14:textId="385143E0" w:rsidR="00D609E5" w:rsidRPr="00C24B1B" w:rsidRDefault="00D609E5" w:rsidP="00C24B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C24B1B">
        <w:rPr>
          <w:rFonts w:asciiTheme="majorHAnsi" w:eastAsia="Times New Roman" w:hAnsiTheme="majorHAnsi"/>
          <w:sz w:val="20"/>
          <w:szCs w:val="20"/>
          <w:lang w:val="es-ES"/>
        </w:rPr>
        <w:t xml:space="preserve">Invocando en parte declaraciones suscritas por empleados </w:t>
      </w:r>
      <w:r w:rsidR="00920A46">
        <w:rPr>
          <w:rFonts w:asciiTheme="majorHAnsi" w:eastAsia="Times New Roman" w:hAnsiTheme="majorHAnsi"/>
          <w:sz w:val="20"/>
          <w:szCs w:val="20"/>
          <w:lang w:val="es-ES"/>
        </w:rPr>
        <w:t>de</w:t>
      </w:r>
      <w:r w:rsidR="00920A46" w:rsidRPr="00C24B1B">
        <w:rPr>
          <w:rFonts w:asciiTheme="majorHAnsi" w:eastAsia="Times New Roman" w:hAnsiTheme="majorHAnsi"/>
          <w:sz w:val="20"/>
          <w:szCs w:val="20"/>
          <w:lang w:val="es-ES"/>
        </w:rPr>
        <w:t xml:space="preserve"> </w:t>
      </w:r>
      <w:r w:rsidRPr="00C24B1B">
        <w:rPr>
          <w:rFonts w:asciiTheme="majorHAnsi" w:eastAsia="Times New Roman" w:hAnsiTheme="majorHAnsi"/>
          <w:sz w:val="20"/>
          <w:szCs w:val="20"/>
          <w:lang w:val="es-ES"/>
        </w:rPr>
        <w:t xml:space="preserve">los establecimientos en que estuvo recluido el señor Housel, </w:t>
      </w:r>
      <w:r w:rsidR="00920A46">
        <w:rPr>
          <w:rFonts w:asciiTheme="majorHAnsi" w:eastAsia="Times New Roman" w:hAnsiTheme="majorHAnsi"/>
          <w:sz w:val="20"/>
          <w:szCs w:val="20"/>
          <w:lang w:val="es-ES"/>
        </w:rPr>
        <w:t>la parte peticionaria</w:t>
      </w:r>
      <w:r w:rsidRPr="00C24B1B">
        <w:rPr>
          <w:rFonts w:asciiTheme="majorHAnsi" w:eastAsia="Times New Roman" w:hAnsiTheme="majorHAnsi"/>
          <w:sz w:val="20"/>
          <w:szCs w:val="20"/>
          <w:lang w:val="es-ES"/>
        </w:rPr>
        <w:t xml:space="preserve"> sostiene </w:t>
      </w:r>
      <w:r w:rsidRPr="00C24B1B">
        <w:rPr>
          <w:rFonts w:asciiTheme="majorHAnsi" w:hAnsiTheme="majorHAnsi"/>
          <w:color w:val="000000"/>
          <w:sz w:val="20"/>
          <w:szCs w:val="20"/>
          <w:shd w:val="clear" w:color="auto" w:fill="FFFFFF"/>
          <w:lang w:val="es-ES"/>
        </w:rPr>
        <w:t>que fue sometid</w:t>
      </w:r>
      <w:r w:rsidR="00920A46">
        <w:rPr>
          <w:rFonts w:asciiTheme="majorHAnsi" w:hAnsiTheme="majorHAnsi"/>
          <w:color w:val="000000"/>
          <w:sz w:val="20"/>
          <w:szCs w:val="20"/>
          <w:shd w:val="clear" w:color="auto" w:fill="FFFFFF"/>
          <w:lang w:val="es-ES"/>
        </w:rPr>
        <w:t>o</w:t>
      </w:r>
      <w:r w:rsidRPr="00C24B1B">
        <w:rPr>
          <w:rFonts w:asciiTheme="majorHAnsi" w:hAnsiTheme="majorHAnsi"/>
          <w:color w:val="000000"/>
          <w:sz w:val="20"/>
          <w:szCs w:val="20"/>
          <w:shd w:val="clear" w:color="auto" w:fill="FFFFFF"/>
          <w:lang w:val="es-ES"/>
        </w:rPr>
        <w:t xml:space="preserve"> a serios abusos físicos y mentales </w:t>
      </w:r>
      <w:r w:rsidR="000441A2">
        <w:rPr>
          <w:rFonts w:asciiTheme="majorHAnsi" w:hAnsiTheme="majorHAnsi"/>
          <w:color w:val="000000"/>
          <w:sz w:val="20"/>
          <w:szCs w:val="20"/>
          <w:shd w:val="clear" w:color="auto" w:fill="FFFFFF"/>
          <w:lang w:val="es-ES"/>
        </w:rPr>
        <w:t xml:space="preserve">en </w:t>
      </w:r>
      <w:r w:rsidRPr="00C24B1B">
        <w:rPr>
          <w:rFonts w:asciiTheme="majorHAnsi" w:hAnsiTheme="majorHAnsi"/>
          <w:color w:val="000000"/>
          <w:sz w:val="20"/>
          <w:szCs w:val="20"/>
          <w:shd w:val="clear" w:color="auto" w:fill="FFFFFF"/>
          <w:lang w:val="es-ES"/>
        </w:rPr>
        <w:t xml:space="preserve">manos de </w:t>
      </w:r>
      <w:r w:rsidR="00037AB2">
        <w:rPr>
          <w:rFonts w:asciiTheme="majorHAnsi" w:hAnsiTheme="majorHAnsi"/>
          <w:color w:val="000000"/>
          <w:sz w:val="20"/>
          <w:szCs w:val="20"/>
          <w:shd w:val="clear" w:color="auto" w:fill="FFFFFF"/>
          <w:lang w:val="es-ES"/>
        </w:rPr>
        <w:t>funcionarios</w:t>
      </w:r>
      <w:r w:rsidRPr="00C24B1B">
        <w:rPr>
          <w:rFonts w:asciiTheme="majorHAnsi" w:hAnsiTheme="majorHAnsi"/>
          <w:color w:val="000000"/>
          <w:sz w:val="20"/>
          <w:szCs w:val="20"/>
          <w:shd w:val="clear" w:color="auto" w:fill="FFFFFF"/>
          <w:lang w:val="es-ES"/>
        </w:rPr>
        <w:t xml:space="preserve"> del Estado durante el período de detención previo al juicio</w:t>
      </w:r>
      <w:r w:rsidR="00D04D23">
        <w:rPr>
          <w:rFonts w:asciiTheme="majorHAnsi" w:hAnsiTheme="majorHAnsi"/>
          <w:color w:val="000000"/>
          <w:sz w:val="20"/>
          <w:szCs w:val="20"/>
          <w:shd w:val="clear" w:color="auto" w:fill="FFFFFF"/>
          <w:lang w:val="es-ES"/>
        </w:rPr>
        <w:t xml:space="preserve">. </w:t>
      </w:r>
      <w:r w:rsidR="006735AA">
        <w:rPr>
          <w:rFonts w:asciiTheme="majorHAnsi" w:hAnsiTheme="majorHAnsi"/>
          <w:color w:val="000000"/>
          <w:sz w:val="20"/>
          <w:szCs w:val="20"/>
          <w:shd w:val="clear" w:color="auto" w:fill="FFFFFF"/>
          <w:lang w:val="es-ES"/>
        </w:rPr>
        <w:t>A</w:t>
      </w:r>
      <w:r w:rsidR="00D04D23">
        <w:rPr>
          <w:rFonts w:asciiTheme="majorHAnsi" w:hAnsiTheme="majorHAnsi"/>
          <w:color w:val="000000"/>
          <w:sz w:val="20"/>
          <w:szCs w:val="20"/>
          <w:shd w:val="clear" w:color="auto" w:fill="FFFFFF"/>
          <w:lang w:val="es-ES"/>
        </w:rPr>
        <w:t>lega también</w:t>
      </w:r>
      <w:r w:rsidRPr="00C24B1B">
        <w:rPr>
          <w:rFonts w:asciiTheme="majorHAnsi" w:hAnsiTheme="majorHAnsi"/>
          <w:color w:val="000000"/>
          <w:sz w:val="20"/>
          <w:szCs w:val="20"/>
          <w:shd w:val="clear" w:color="auto" w:fill="FFFFFF"/>
          <w:lang w:val="es-ES"/>
        </w:rPr>
        <w:t xml:space="preserve"> que </w:t>
      </w:r>
      <w:r w:rsidR="00D04D23">
        <w:rPr>
          <w:rFonts w:asciiTheme="majorHAnsi" w:hAnsiTheme="majorHAnsi"/>
          <w:color w:val="000000"/>
          <w:sz w:val="20"/>
          <w:szCs w:val="20"/>
          <w:shd w:val="clear" w:color="auto" w:fill="FFFFFF"/>
          <w:lang w:val="es-ES"/>
        </w:rPr>
        <w:t>el efecto</w:t>
      </w:r>
      <w:r w:rsidR="00D04D23" w:rsidRPr="00C24B1B">
        <w:rPr>
          <w:rFonts w:asciiTheme="majorHAnsi" w:hAnsiTheme="majorHAnsi"/>
          <w:color w:val="000000"/>
          <w:sz w:val="20"/>
          <w:szCs w:val="20"/>
          <w:shd w:val="clear" w:color="auto" w:fill="FFFFFF"/>
          <w:lang w:val="es-ES"/>
        </w:rPr>
        <w:t xml:space="preserve"> de </w:t>
      </w:r>
      <w:r w:rsidR="006735AA">
        <w:rPr>
          <w:rFonts w:asciiTheme="majorHAnsi" w:hAnsiTheme="majorHAnsi"/>
          <w:color w:val="000000"/>
          <w:sz w:val="20"/>
          <w:szCs w:val="20"/>
          <w:shd w:val="clear" w:color="auto" w:fill="FFFFFF"/>
          <w:lang w:val="es-ES"/>
        </w:rPr>
        <w:t>dicho</w:t>
      </w:r>
      <w:r w:rsidR="006735AA" w:rsidRPr="00C24B1B">
        <w:rPr>
          <w:rFonts w:asciiTheme="majorHAnsi" w:hAnsiTheme="majorHAnsi"/>
          <w:color w:val="000000"/>
          <w:sz w:val="20"/>
          <w:szCs w:val="20"/>
          <w:shd w:val="clear" w:color="auto" w:fill="FFFFFF"/>
          <w:lang w:val="es-ES"/>
        </w:rPr>
        <w:t xml:space="preserve"> </w:t>
      </w:r>
      <w:r w:rsidR="00D04D23" w:rsidRPr="00C24B1B">
        <w:rPr>
          <w:rFonts w:asciiTheme="majorHAnsi" w:hAnsiTheme="majorHAnsi"/>
          <w:color w:val="000000"/>
          <w:sz w:val="20"/>
          <w:szCs w:val="20"/>
          <w:shd w:val="clear" w:color="auto" w:fill="FFFFFF"/>
          <w:lang w:val="es-ES"/>
        </w:rPr>
        <w:t>trato fue</w:t>
      </w:r>
      <w:r w:rsidRPr="00C24B1B">
        <w:rPr>
          <w:rFonts w:asciiTheme="majorHAnsi" w:hAnsiTheme="majorHAnsi"/>
          <w:color w:val="000000"/>
          <w:sz w:val="20"/>
          <w:szCs w:val="20"/>
          <w:shd w:val="clear" w:color="auto" w:fill="FFFFFF"/>
          <w:lang w:val="es-ES"/>
        </w:rPr>
        <w:t xml:space="preserve"> </w:t>
      </w:r>
      <w:r w:rsidR="00D04D23" w:rsidRPr="00C24B1B">
        <w:rPr>
          <w:rFonts w:asciiTheme="majorHAnsi" w:hAnsiTheme="majorHAnsi"/>
          <w:color w:val="000000"/>
          <w:sz w:val="20"/>
          <w:szCs w:val="20"/>
          <w:shd w:val="clear" w:color="auto" w:fill="FFFFFF"/>
          <w:lang w:val="es-ES"/>
        </w:rPr>
        <w:t>exacerbado</w:t>
      </w:r>
      <w:r w:rsidRPr="00C24B1B">
        <w:rPr>
          <w:rFonts w:asciiTheme="majorHAnsi" w:hAnsiTheme="majorHAnsi"/>
          <w:color w:val="000000"/>
          <w:sz w:val="20"/>
          <w:szCs w:val="20"/>
          <w:shd w:val="clear" w:color="auto" w:fill="FFFFFF"/>
          <w:lang w:val="es-ES"/>
        </w:rPr>
        <w:t xml:space="preserve"> </w:t>
      </w:r>
      <w:r w:rsidR="006735AA">
        <w:rPr>
          <w:rFonts w:asciiTheme="majorHAnsi" w:hAnsiTheme="majorHAnsi"/>
          <w:color w:val="000000"/>
          <w:sz w:val="20"/>
          <w:szCs w:val="20"/>
          <w:shd w:val="clear" w:color="auto" w:fill="FFFFFF"/>
          <w:lang w:val="es-ES"/>
        </w:rPr>
        <w:t>debido a</w:t>
      </w:r>
      <w:r w:rsidRPr="00C24B1B">
        <w:rPr>
          <w:rFonts w:asciiTheme="majorHAnsi" w:hAnsiTheme="majorHAnsi"/>
          <w:color w:val="000000"/>
          <w:sz w:val="20"/>
          <w:szCs w:val="20"/>
          <w:shd w:val="clear" w:color="auto" w:fill="FFFFFF"/>
          <w:lang w:val="es-ES"/>
        </w:rPr>
        <w:t xml:space="preserve"> que </w:t>
      </w:r>
      <w:r w:rsidR="006735AA">
        <w:rPr>
          <w:rFonts w:asciiTheme="majorHAnsi" w:hAnsiTheme="majorHAnsi"/>
          <w:color w:val="000000"/>
          <w:sz w:val="20"/>
          <w:szCs w:val="20"/>
          <w:shd w:val="clear" w:color="auto" w:fill="FFFFFF"/>
          <w:lang w:val="es-ES"/>
        </w:rPr>
        <w:t>el señor</w:t>
      </w:r>
      <w:r w:rsidR="00A540F5">
        <w:rPr>
          <w:rFonts w:asciiTheme="majorHAnsi" w:hAnsiTheme="majorHAnsi"/>
          <w:color w:val="000000"/>
          <w:sz w:val="20"/>
          <w:szCs w:val="20"/>
          <w:shd w:val="clear" w:color="auto" w:fill="FFFFFF"/>
          <w:lang w:val="es-ES"/>
        </w:rPr>
        <w:t xml:space="preserve"> Housel</w:t>
      </w:r>
      <w:r w:rsidRPr="00C24B1B">
        <w:rPr>
          <w:rFonts w:asciiTheme="majorHAnsi" w:hAnsiTheme="majorHAnsi"/>
          <w:color w:val="000000"/>
          <w:sz w:val="20"/>
          <w:szCs w:val="20"/>
          <w:shd w:val="clear" w:color="auto" w:fill="FFFFFF"/>
          <w:lang w:val="es-ES"/>
        </w:rPr>
        <w:t xml:space="preserve"> había sufrido graves problemas de salud mental por los </w:t>
      </w:r>
      <w:r w:rsidR="006735AA">
        <w:rPr>
          <w:rFonts w:asciiTheme="majorHAnsi" w:hAnsiTheme="majorHAnsi"/>
          <w:color w:val="000000"/>
          <w:sz w:val="20"/>
          <w:szCs w:val="20"/>
          <w:shd w:val="clear" w:color="auto" w:fill="FFFFFF"/>
          <w:lang w:val="es-ES"/>
        </w:rPr>
        <w:t>cuales</w:t>
      </w:r>
      <w:r w:rsidR="006735AA" w:rsidRPr="00C24B1B">
        <w:rPr>
          <w:rFonts w:asciiTheme="majorHAnsi" w:hAnsiTheme="majorHAnsi"/>
          <w:color w:val="000000"/>
          <w:sz w:val="20"/>
          <w:szCs w:val="20"/>
          <w:shd w:val="clear" w:color="auto" w:fill="FFFFFF"/>
          <w:lang w:val="es-ES"/>
        </w:rPr>
        <w:t xml:space="preserve"> </w:t>
      </w:r>
      <w:r w:rsidRPr="00C24B1B">
        <w:rPr>
          <w:rFonts w:asciiTheme="majorHAnsi" w:hAnsiTheme="majorHAnsi"/>
          <w:color w:val="000000"/>
          <w:sz w:val="20"/>
          <w:szCs w:val="20"/>
          <w:shd w:val="clear" w:color="auto" w:fill="FFFFFF"/>
          <w:lang w:val="es-ES"/>
        </w:rPr>
        <w:t>no recibió tratamiento.</w:t>
      </w:r>
    </w:p>
    <w:p w14:paraId="702684D1" w14:textId="77777777" w:rsidR="00815FD5" w:rsidRPr="006177F7" w:rsidRDefault="00815FD5" w:rsidP="00815FD5">
      <w:pPr>
        <w:pStyle w:val="ListParagraph"/>
        <w:rPr>
          <w:rFonts w:asciiTheme="majorHAnsi" w:eastAsia="Times New Roman" w:hAnsiTheme="majorHAnsi"/>
          <w:sz w:val="20"/>
          <w:szCs w:val="20"/>
          <w:lang w:val="es-ES"/>
        </w:rPr>
      </w:pPr>
    </w:p>
    <w:p w14:paraId="10C227DC" w14:textId="133ADC98" w:rsidR="0007143C" w:rsidRPr="00D80277" w:rsidRDefault="0007143C" w:rsidP="00D23F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D80277">
        <w:rPr>
          <w:rFonts w:asciiTheme="majorHAnsi" w:hAnsiTheme="majorHAnsi"/>
          <w:color w:val="000000"/>
          <w:sz w:val="20"/>
          <w:szCs w:val="20"/>
          <w:shd w:val="clear" w:color="auto" w:fill="FFFFFF"/>
          <w:lang w:val="es-ES"/>
        </w:rPr>
        <w:t>L</w:t>
      </w:r>
      <w:r w:rsidR="006735AA">
        <w:rPr>
          <w:rFonts w:asciiTheme="majorHAnsi" w:hAnsiTheme="majorHAnsi"/>
          <w:color w:val="000000"/>
          <w:sz w:val="20"/>
          <w:szCs w:val="20"/>
          <w:shd w:val="clear" w:color="auto" w:fill="FFFFFF"/>
          <w:lang w:val="es-ES"/>
        </w:rPr>
        <w:t>a parte peticionaria</w:t>
      </w:r>
      <w:r w:rsidRPr="00D80277">
        <w:rPr>
          <w:rFonts w:asciiTheme="majorHAnsi" w:hAnsiTheme="majorHAnsi"/>
          <w:color w:val="000000"/>
          <w:sz w:val="20"/>
          <w:szCs w:val="20"/>
          <w:shd w:val="clear" w:color="auto" w:fill="FFFFFF"/>
          <w:lang w:val="es-ES"/>
        </w:rPr>
        <w:t xml:space="preserve"> sostiene también que en la fase de determinación de la sentencia del juicio del señor Housel, el juez de </w:t>
      </w:r>
      <w:r w:rsidR="00DE12E3">
        <w:rPr>
          <w:rFonts w:asciiTheme="majorHAnsi" w:hAnsiTheme="majorHAnsi"/>
          <w:color w:val="000000"/>
          <w:sz w:val="20"/>
          <w:szCs w:val="20"/>
          <w:shd w:val="clear" w:color="auto" w:fill="FFFFFF"/>
          <w:lang w:val="es-ES"/>
        </w:rPr>
        <w:t>primera instancia</w:t>
      </w:r>
      <w:r w:rsidRPr="00D80277">
        <w:rPr>
          <w:rFonts w:asciiTheme="majorHAnsi" w:hAnsiTheme="majorHAnsi"/>
          <w:color w:val="000000"/>
          <w:sz w:val="20"/>
          <w:szCs w:val="20"/>
          <w:shd w:val="clear" w:color="auto" w:fill="FFFFFF"/>
          <w:lang w:val="es-ES"/>
        </w:rPr>
        <w:t xml:space="preserve"> admitió pruebas de otros delitos </w:t>
      </w:r>
      <w:r w:rsidR="00E8112F" w:rsidRPr="00D80277">
        <w:rPr>
          <w:rFonts w:asciiTheme="majorHAnsi" w:hAnsiTheme="majorHAnsi"/>
          <w:color w:val="000000"/>
          <w:sz w:val="20"/>
          <w:szCs w:val="20"/>
          <w:shd w:val="clear" w:color="auto" w:fill="FFFFFF"/>
          <w:lang w:val="es-ES"/>
        </w:rPr>
        <w:t>que no fueron determinados judicialmente</w:t>
      </w:r>
      <w:r w:rsidR="00386959" w:rsidRPr="00D80277">
        <w:rPr>
          <w:rFonts w:asciiTheme="majorHAnsi" w:hAnsiTheme="majorHAnsi"/>
          <w:color w:val="000000"/>
          <w:sz w:val="20"/>
          <w:szCs w:val="20"/>
          <w:shd w:val="clear" w:color="auto" w:fill="FFFFFF"/>
          <w:lang w:val="es-ES"/>
        </w:rPr>
        <w:t>,</w:t>
      </w:r>
      <w:r w:rsidR="00E8112F" w:rsidRPr="00D80277">
        <w:rPr>
          <w:rFonts w:asciiTheme="majorHAnsi" w:hAnsiTheme="majorHAnsi"/>
          <w:color w:val="000000"/>
          <w:sz w:val="20"/>
          <w:szCs w:val="20"/>
          <w:shd w:val="clear" w:color="auto" w:fill="FFFFFF"/>
          <w:lang w:val="es-ES"/>
        </w:rPr>
        <w:t xml:space="preserve"> </w:t>
      </w:r>
      <w:r w:rsidRPr="00D80277">
        <w:rPr>
          <w:rFonts w:asciiTheme="majorHAnsi" w:hAnsiTheme="majorHAnsi"/>
          <w:color w:val="000000"/>
          <w:sz w:val="20"/>
          <w:szCs w:val="20"/>
          <w:shd w:val="clear" w:color="auto" w:fill="FFFFFF"/>
          <w:lang w:val="es-ES"/>
        </w:rPr>
        <w:t xml:space="preserve">supuestamente cometidos por </w:t>
      </w:r>
      <w:r w:rsidR="00E8112F" w:rsidRPr="00D80277">
        <w:rPr>
          <w:rFonts w:asciiTheme="majorHAnsi" w:hAnsiTheme="majorHAnsi"/>
          <w:color w:val="000000"/>
          <w:sz w:val="20"/>
          <w:szCs w:val="20"/>
          <w:shd w:val="clear" w:color="auto" w:fill="FFFFFF"/>
          <w:lang w:val="es-ES"/>
        </w:rPr>
        <w:t>el señor Housel</w:t>
      </w:r>
      <w:r w:rsidRPr="00D80277">
        <w:rPr>
          <w:rFonts w:asciiTheme="majorHAnsi" w:hAnsiTheme="majorHAnsi"/>
          <w:color w:val="000000"/>
          <w:sz w:val="20"/>
          <w:szCs w:val="20"/>
          <w:shd w:val="clear" w:color="auto" w:fill="FFFFFF"/>
          <w:lang w:val="es-ES"/>
        </w:rPr>
        <w:t xml:space="preserve"> en otros estados, pero por los cuales nunca había sido juzgado, </w:t>
      </w:r>
      <w:r w:rsidR="00E8112F" w:rsidRPr="00D80277">
        <w:rPr>
          <w:rFonts w:asciiTheme="majorHAnsi" w:hAnsiTheme="majorHAnsi"/>
          <w:color w:val="000000"/>
          <w:sz w:val="20"/>
          <w:szCs w:val="20"/>
          <w:shd w:val="clear" w:color="auto" w:fill="FFFFFF"/>
          <w:lang w:val="es-ES"/>
        </w:rPr>
        <w:t>lo cual es contrario al de</w:t>
      </w:r>
      <w:r w:rsidRPr="00D80277">
        <w:rPr>
          <w:rFonts w:asciiTheme="majorHAnsi" w:hAnsiTheme="majorHAnsi"/>
          <w:color w:val="000000"/>
          <w:sz w:val="20"/>
          <w:szCs w:val="20"/>
          <w:shd w:val="clear" w:color="auto" w:fill="FFFFFF"/>
          <w:lang w:val="es-ES"/>
        </w:rPr>
        <w:t xml:space="preserve">recho del señor Housel a un juicio </w:t>
      </w:r>
      <w:r w:rsidR="003B2CF5">
        <w:rPr>
          <w:rFonts w:asciiTheme="majorHAnsi" w:hAnsiTheme="majorHAnsi"/>
          <w:color w:val="000000"/>
          <w:sz w:val="20"/>
          <w:szCs w:val="20"/>
          <w:shd w:val="clear" w:color="auto" w:fill="FFFFFF"/>
          <w:lang w:val="es-ES"/>
        </w:rPr>
        <w:t>imparcial</w:t>
      </w:r>
      <w:r w:rsidRPr="00D80277">
        <w:rPr>
          <w:rFonts w:asciiTheme="majorHAnsi" w:hAnsiTheme="majorHAnsi"/>
          <w:color w:val="000000"/>
          <w:sz w:val="20"/>
          <w:szCs w:val="20"/>
          <w:shd w:val="clear" w:color="auto" w:fill="FFFFFF"/>
          <w:lang w:val="es-ES"/>
        </w:rPr>
        <w:t xml:space="preserve">.  </w:t>
      </w:r>
      <w:r w:rsidR="00D80277" w:rsidRPr="00D80277">
        <w:rPr>
          <w:rFonts w:asciiTheme="majorHAnsi" w:eastAsia="Times New Roman" w:hAnsiTheme="majorHAnsi"/>
          <w:sz w:val="20"/>
          <w:szCs w:val="20"/>
          <w:lang w:val="es-ES"/>
        </w:rPr>
        <w:t>Los peticionarios afirman</w:t>
      </w:r>
      <w:r w:rsidR="002C4DD9">
        <w:rPr>
          <w:rFonts w:asciiTheme="majorHAnsi" w:eastAsia="Times New Roman" w:hAnsiTheme="majorHAnsi"/>
          <w:sz w:val="20"/>
          <w:szCs w:val="20"/>
          <w:lang w:val="es-ES"/>
        </w:rPr>
        <w:t>,</w:t>
      </w:r>
      <w:r w:rsidR="00D80277" w:rsidRPr="00D80277">
        <w:rPr>
          <w:rFonts w:asciiTheme="majorHAnsi" w:eastAsia="Times New Roman" w:hAnsiTheme="majorHAnsi"/>
          <w:sz w:val="20"/>
          <w:szCs w:val="20"/>
          <w:lang w:val="es-ES"/>
        </w:rPr>
        <w:t xml:space="preserve"> a este respecto</w:t>
      </w:r>
      <w:r w:rsidR="002C4DD9">
        <w:rPr>
          <w:rFonts w:asciiTheme="majorHAnsi" w:eastAsia="Times New Roman" w:hAnsiTheme="majorHAnsi"/>
          <w:sz w:val="20"/>
          <w:szCs w:val="20"/>
          <w:lang w:val="es-ES"/>
        </w:rPr>
        <w:t>,</w:t>
      </w:r>
      <w:r w:rsidR="00D80277" w:rsidRPr="00D80277">
        <w:rPr>
          <w:rFonts w:asciiTheme="majorHAnsi" w:eastAsia="Times New Roman" w:hAnsiTheme="majorHAnsi"/>
          <w:sz w:val="20"/>
          <w:szCs w:val="20"/>
          <w:lang w:val="es-ES"/>
        </w:rPr>
        <w:t xml:space="preserve"> que exist</w:t>
      </w:r>
      <w:r w:rsidR="00F92AF4">
        <w:rPr>
          <w:rFonts w:asciiTheme="majorHAnsi" w:eastAsia="Times New Roman" w:hAnsiTheme="majorHAnsi"/>
          <w:sz w:val="20"/>
          <w:szCs w:val="20"/>
          <w:lang w:val="es-ES"/>
        </w:rPr>
        <w:t>ió</w:t>
      </w:r>
      <w:r w:rsidR="00D80277" w:rsidRPr="00D80277">
        <w:rPr>
          <w:rFonts w:asciiTheme="majorHAnsi" w:eastAsia="Times New Roman" w:hAnsiTheme="majorHAnsi"/>
          <w:sz w:val="20"/>
          <w:szCs w:val="20"/>
          <w:lang w:val="es-ES"/>
        </w:rPr>
        <w:t xml:space="preserve"> un peligro real</w:t>
      </w:r>
      <w:r w:rsidR="00F92AF4">
        <w:rPr>
          <w:rFonts w:asciiTheme="majorHAnsi" w:eastAsia="Times New Roman" w:hAnsiTheme="majorHAnsi"/>
          <w:sz w:val="20"/>
          <w:szCs w:val="20"/>
          <w:lang w:val="es-ES"/>
        </w:rPr>
        <w:t xml:space="preserve"> de</w:t>
      </w:r>
      <w:r w:rsidR="00D80277" w:rsidRPr="00D80277">
        <w:rPr>
          <w:rFonts w:asciiTheme="majorHAnsi" w:eastAsia="Times New Roman" w:hAnsiTheme="majorHAnsi"/>
          <w:sz w:val="20"/>
          <w:szCs w:val="20"/>
          <w:lang w:val="es-ES"/>
        </w:rPr>
        <w:t xml:space="preserve"> que no se hubieran revelado pruebas exculpatorias en poder de las autoridades judiciales.</w:t>
      </w:r>
    </w:p>
    <w:p w14:paraId="037FE5FD" w14:textId="77777777" w:rsidR="00815FD5" w:rsidRPr="006177F7" w:rsidRDefault="00815FD5" w:rsidP="00815FD5">
      <w:pPr>
        <w:pStyle w:val="ListParagraph"/>
        <w:rPr>
          <w:rFonts w:asciiTheme="majorHAnsi" w:eastAsia="Times New Roman" w:hAnsiTheme="majorHAnsi"/>
          <w:sz w:val="20"/>
          <w:szCs w:val="20"/>
          <w:lang w:val="es-ES"/>
        </w:rPr>
      </w:pPr>
    </w:p>
    <w:p w14:paraId="5CA6BDD3" w14:textId="77777777" w:rsidR="003F1434" w:rsidRPr="008A41F6" w:rsidRDefault="003F1434" w:rsidP="005624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8A41F6">
        <w:rPr>
          <w:rFonts w:asciiTheme="majorHAnsi" w:eastAsia="Times New Roman" w:hAnsiTheme="majorHAnsi"/>
          <w:sz w:val="20"/>
          <w:szCs w:val="20"/>
          <w:lang w:val="es-ES"/>
        </w:rPr>
        <w:t xml:space="preserve">Además, los peticionarios sostienen que </w:t>
      </w:r>
      <w:r w:rsidR="00653C89" w:rsidRPr="008A41F6">
        <w:rPr>
          <w:rFonts w:asciiTheme="majorHAnsi" w:eastAsia="Times New Roman" w:hAnsiTheme="majorHAnsi"/>
          <w:sz w:val="20"/>
          <w:szCs w:val="20"/>
          <w:lang w:val="es-ES"/>
        </w:rPr>
        <w:t>la representación legal d</w:t>
      </w:r>
      <w:r w:rsidRPr="008A41F6">
        <w:rPr>
          <w:rFonts w:asciiTheme="majorHAnsi" w:eastAsia="Times New Roman" w:hAnsiTheme="majorHAnsi"/>
          <w:sz w:val="20"/>
          <w:szCs w:val="20"/>
          <w:lang w:val="es-ES"/>
        </w:rPr>
        <w:t>el señor Housel en el curso de las actuaciones judiciales seguidas contra él fue inadecuad</w:t>
      </w:r>
      <w:r w:rsidR="00EA35BA" w:rsidRPr="008A41F6">
        <w:rPr>
          <w:rFonts w:asciiTheme="majorHAnsi" w:eastAsia="Times New Roman" w:hAnsiTheme="majorHAnsi"/>
          <w:sz w:val="20"/>
          <w:szCs w:val="20"/>
          <w:lang w:val="es-ES"/>
        </w:rPr>
        <w:t>a</w:t>
      </w:r>
      <w:r w:rsidRPr="008A41F6">
        <w:rPr>
          <w:rFonts w:asciiTheme="majorHAnsi" w:eastAsia="Times New Roman" w:hAnsiTheme="majorHAnsi"/>
          <w:sz w:val="20"/>
          <w:szCs w:val="20"/>
          <w:lang w:val="es-ES"/>
        </w:rPr>
        <w:t xml:space="preserve">. </w:t>
      </w:r>
      <w:r w:rsidRPr="008A41F6">
        <w:rPr>
          <w:rFonts w:asciiTheme="majorHAnsi" w:hAnsiTheme="majorHAnsi"/>
          <w:color w:val="000000"/>
          <w:sz w:val="20"/>
          <w:szCs w:val="20"/>
          <w:shd w:val="clear" w:color="auto" w:fill="FFFFFF"/>
          <w:lang w:val="es-ES"/>
        </w:rPr>
        <w:t xml:space="preserve">Manifiestan en especial que el abogado que lo asistió en el juicio no realizó suficientes investigaciones tendientes a sacar a luz importantes pruebas </w:t>
      </w:r>
      <w:r w:rsidR="0067617F" w:rsidRPr="008A41F6">
        <w:rPr>
          <w:rFonts w:asciiTheme="majorHAnsi" w:hAnsiTheme="majorHAnsi"/>
          <w:color w:val="000000"/>
          <w:sz w:val="20"/>
          <w:szCs w:val="20"/>
          <w:shd w:val="clear" w:color="auto" w:fill="FFFFFF"/>
          <w:lang w:val="es-ES"/>
        </w:rPr>
        <w:t>atenuantes</w:t>
      </w:r>
      <w:r w:rsidRPr="008A41F6">
        <w:rPr>
          <w:rFonts w:asciiTheme="majorHAnsi" w:hAnsiTheme="majorHAnsi"/>
          <w:color w:val="000000"/>
          <w:sz w:val="20"/>
          <w:szCs w:val="20"/>
          <w:shd w:val="clear" w:color="auto" w:fill="FFFFFF"/>
          <w:lang w:val="es-ES"/>
        </w:rPr>
        <w:t xml:space="preserve"> referentes al estado de salud mental del señor Housel y a su </w:t>
      </w:r>
      <w:r w:rsidR="001F0943" w:rsidRPr="008A41F6">
        <w:rPr>
          <w:rFonts w:asciiTheme="majorHAnsi" w:hAnsiTheme="majorHAnsi"/>
          <w:color w:val="000000"/>
          <w:sz w:val="20"/>
          <w:szCs w:val="20"/>
          <w:shd w:val="clear" w:color="auto" w:fill="FFFFFF"/>
          <w:lang w:val="es-ES"/>
        </w:rPr>
        <w:t>infancia</w:t>
      </w:r>
      <w:r w:rsidRPr="008A41F6">
        <w:rPr>
          <w:rFonts w:asciiTheme="majorHAnsi" w:hAnsiTheme="majorHAnsi"/>
          <w:color w:val="000000"/>
          <w:sz w:val="20"/>
          <w:szCs w:val="20"/>
          <w:shd w:val="clear" w:color="auto" w:fill="FFFFFF"/>
          <w:lang w:val="es-ES"/>
        </w:rPr>
        <w:t xml:space="preserve"> ni a presentarlas durante el proceso de determinación de su sentencia.</w:t>
      </w:r>
    </w:p>
    <w:p w14:paraId="03CD3A39" w14:textId="77777777" w:rsidR="00815FD5" w:rsidRPr="00031013" w:rsidRDefault="00815FD5" w:rsidP="00815FD5">
      <w:pPr>
        <w:pStyle w:val="ListParagraph"/>
        <w:rPr>
          <w:rFonts w:asciiTheme="majorHAnsi" w:eastAsia="Times New Roman" w:hAnsiTheme="majorHAnsi"/>
          <w:sz w:val="20"/>
          <w:szCs w:val="20"/>
          <w:lang w:val="es-ES"/>
        </w:rPr>
      </w:pPr>
    </w:p>
    <w:p w14:paraId="733F45C4" w14:textId="77777777" w:rsidR="00182A11" w:rsidRPr="00B0268D" w:rsidRDefault="0078762E"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Pr>
          <w:rFonts w:asciiTheme="majorHAnsi" w:hAnsiTheme="majorHAnsi"/>
          <w:color w:val="000000"/>
          <w:sz w:val="20"/>
          <w:szCs w:val="20"/>
          <w:shd w:val="clear" w:color="auto" w:fill="FFFFFF"/>
          <w:lang w:val="es-ES"/>
        </w:rPr>
        <w:lastRenderedPageBreak/>
        <w:t>Además, l</w:t>
      </w:r>
      <w:r w:rsidR="00182A11" w:rsidRPr="00182A11">
        <w:rPr>
          <w:rFonts w:asciiTheme="majorHAnsi" w:hAnsiTheme="majorHAnsi"/>
          <w:color w:val="000000"/>
          <w:sz w:val="20"/>
          <w:szCs w:val="20"/>
          <w:shd w:val="clear" w:color="auto" w:fill="FFFFFF"/>
          <w:lang w:val="es-ES"/>
        </w:rPr>
        <w:t>os peticionarios sostienen que el abuso sufrido por el señor Housel, aunado al período de 16 años que pasó en el pabellón de</w:t>
      </w:r>
      <w:r w:rsidR="00C04F02">
        <w:rPr>
          <w:rFonts w:asciiTheme="majorHAnsi" w:hAnsiTheme="majorHAnsi"/>
          <w:color w:val="000000"/>
          <w:sz w:val="20"/>
          <w:szCs w:val="20"/>
          <w:shd w:val="clear" w:color="auto" w:fill="FFFFFF"/>
          <w:lang w:val="es-ES"/>
        </w:rPr>
        <w:t xml:space="preserve"> los condenados a</w:t>
      </w:r>
      <w:r w:rsidR="00182A11" w:rsidRPr="00182A11">
        <w:rPr>
          <w:rFonts w:asciiTheme="majorHAnsi" w:hAnsiTheme="majorHAnsi"/>
          <w:color w:val="000000"/>
          <w:sz w:val="20"/>
          <w:szCs w:val="20"/>
          <w:shd w:val="clear" w:color="auto" w:fill="FFFFFF"/>
          <w:lang w:val="es-ES"/>
        </w:rPr>
        <w:t xml:space="preserve"> muerte, desde el 7 de febrero de 1986 hasta el 12 de marzo de 2002, viol</w:t>
      </w:r>
      <w:r w:rsidR="004B07B9">
        <w:rPr>
          <w:rFonts w:asciiTheme="majorHAnsi" w:hAnsiTheme="majorHAnsi"/>
          <w:color w:val="000000"/>
          <w:sz w:val="20"/>
          <w:szCs w:val="20"/>
          <w:shd w:val="clear" w:color="auto" w:fill="FFFFFF"/>
          <w:lang w:val="es-ES"/>
        </w:rPr>
        <w:t>ó</w:t>
      </w:r>
      <w:r w:rsidR="00182A11" w:rsidRPr="00182A11">
        <w:rPr>
          <w:rFonts w:asciiTheme="majorHAnsi" w:hAnsiTheme="majorHAnsi"/>
          <w:color w:val="000000"/>
          <w:sz w:val="20"/>
          <w:szCs w:val="20"/>
          <w:shd w:val="clear" w:color="auto" w:fill="FFFFFF"/>
          <w:lang w:val="es-ES"/>
        </w:rPr>
        <w:t xml:space="preserve"> su derecho a la preservación de su salud y bienestar, su derecho a un trato humano </w:t>
      </w:r>
      <w:r w:rsidR="00D112C7">
        <w:rPr>
          <w:rFonts w:asciiTheme="majorHAnsi" w:hAnsiTheme="majorHAnsi"/>
          <w:color w:val="000000"/>
          <w:sz w:val="20"/>
          <w:szCs w:val="20"/>
          <w:shd w:val="clear" w:color="auto" w:fill="FFFFFF"/>
          <w:lang w:val="es-ES"/>
        </w:rPr>
        <w:t>durante su detención</w:t>
      </w:r>
      <w:r w:rsidR="00182A11" w:rsidRPr="00182A11">
        <w:rPr>
          <w:rFonts w:asciiTheme="majorHAnsi" w:hAnsiTheme="majorHAnsi"/>
          <w:color w:val="000000"/>
          <w:sz w:val="20"/>
          <w:szCs w:val="20"/>
          <w:shd w:val="clear" w:color="auto" w:fill="FFFFFF"/>
          <w:lang w:val="es-ES"/>
        </w:rPr>
        <w:t xml:space="preserve"> y su derecho a que no se le impongan penas crueles, infamantes o inusitadas, protegidos por la Declaración Americana.  Los peticionarios sostienen que el Estado </w:t>
      </w:r>
      <w:r w:rsidR="00C21999">
        <w:rPr>
          <w:rFonts w:asciiTheme="majorHAnsi" w:hAnsiTheme="majorHAnsi"/>
          <w:color w:val="000000"/>
          <w:sz w:val="20"/>
          <w:szCs w:val="20"/>
          <w:shd w:val="clear" w:color="auto" w:fill="FFFFFF"/>
          <w:lang w:val="es-ES"/>
        </w:rPr>
        <w:t>tiene la obligación de</w:t>
      </w:r>
      <w:r w:rsidR="00182A11" w:rsidRPr="00182A11">
        <w:rPr>
          <w:rFonts w:asciiTheme="majorHAnsi" w:hAnsiTheme="majorHAnsi"/>
          <w:color w:val="000000"/>
          <w:sz w:val="20"/>
          <w:szCs w:val="20"/>
          <w:shd w:val="clear" w:color="auto" w:fill="FFFFFF"/>
          <w:lang w:val="es-ES"/>
        </w:rPr>
        <w:t xml:space="preserve"> organizar su sistema legal de modo que los reclusos alojados en el pabellón de</w:t>
      </w:r>
      <w:r w:rsidR="00E46996">
        <w:rPr>
          <w:rFonts w:asciiTheme="majorHAnsi" w:hAnsiTheme="majorHAnsi"/>
          <w:color w:val="000000"/>
          <w:sz w:val="20"/>
          <w:szCs w:val="20"/>
          <w:shd w:val="clear" w:color="auto" w:fill="FFFFFF"/>
          <w:lang w:val="es-ES"/>
        </w:rPr>
        <w:t xml:space="preserve"> los condenados </w:t>
      </w:r>
      <w:r w:rsidR="00182A11" w:rsidRPr="00182A11">
        <w:rPr>
          <w:rFonts w:asciiTheme="majorHAnsi" w:hAnsiTheme="majorHAnsi"/>
          <w:color w:val="000000"/>
          <w:sz w:val="20"/>
          <w:szCs w:val="20"/>
          <w:shd w:val="clear" w:color="auto" w:fill="FFFFFF"/>
          <w:lang w:val="es-ES"/>
        </w:rPr>
        <w:t xml:space="preserve">a muerte dispongan de una oportunidad adecuada </w:t>
      </w:r>
      <w:r w:rsidR="007B50FB">
        <w:rPr>
          <w:rFonts w:asciiTheme="majorHAnsi" w:hAnsiTheme="majorHAnsi"/>
          <w:color w:val="000000"/>
          <w:sz w:val="20"/>
          <w:szCs w:val="20"/>
          <w:shd w:val="clear" w:color="auto" w:fill="FFFFFF"/>
          <w:lang w:val="es-ES"/>
        </w:rPr>
        <w:t>para</w:t>
      </w:r>
      <w:r w:rsidR="00182A11" w:rsidRPr="00182A11">
        <w:rPr>
          <w:rFonts w:asciiTheme="majorHAnsi" w:hAnsiTheme="majorHAnsi"/>
          <w:color w:val="000000"/>
          <w:sz w:val="20"/>
          <w:szCs w:val="20"/>
          <w:shd w:val="clear" w:color="auto" w:fill="FFFFFF"/>
          <w:lang w:val="es-ES"/>
        </w:rPr>
        <w:t xml:space="preserve"> impugnar la sentencia condenatoria, y que esas impugnaciones sean consideradas prontamente, para que dichas personas no tengan que permanecer por períodos excesivos en el pabellón </w:t>
      </w:r>
      <w:r w:rsidR="00430A33">
        <w:rPr>
          <w:rFonts w:asciiTheme="majorHAnsi" w:hAnsiTheme="majorHAnsi"/>
          <w:color w:val="000000"/>
          <w:sz w:val="20"/>
          <w:szCs w:val="20"/>
          <w:shd w:val="clear" w:color="auto" w:fill="FFFFFF"/>
          <w:lang w:val="es-ES"/>
        </w:rPr>
        <w:t>de los condenados a</w:t>
      </w:r>
      <w:r w:rsidR="00182A11" w:rsidRPr="00182A11">
        <w:rPr>
          <w:rFonts w:asciiTheme="majorHAnsi" w:hAnsiTheme="majorHAnsi"/>
          <w:color w:val="000000"/>
          <w:sz w:val="20"/>
          <w:szCs w:val="20"/>
          <w:shd w:val="clear" w:color="auto" w:fill="FFFFFF"/>
          <w:lang w:val="es-ES"/>
        </w:rPr>
        <w:t xml:space="preserve"> muerte.</w:t>
      </w:r>
    </w:p>
    <w:p w14:paraId="5D645EB9" w14:textId="77777777" w:rsidR="00182A11" w:rsidRPr="00B0268D" w:rsidRDefault="00182A11" w:rsidP="00182A1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6E92B60C" w14:textId="77777777" w:rsidR="00265354" w:rsidRPr="00265354" w:rsidRDefault="00265354"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7B50FB">
        <w:rPr>
          <w:rFonts w:ascii="Verdana" w:hAnsi="Verdana"/>
          <w:color w:val="000000"/>
          <w:shd w:val="clear" w:color="auto" w:fill="FFFFFF"/>
          <w:lang w:val="es-ES"/>
        </w:rPr>
        <w:t> </w:t>
      </w:r>
      <w:r w:rsidR="00ED17AC">
        <w:rPr>
          <w:rFonts w:asciiTheme="majorHAnsi" w:hAnsiTheme="majorHAnsi"/>
          <w:color w:val="000000"/>
          <w:sz w:val="20"/>
          <w:szCs w:val="20"/>
          <w:shd w:val="clear" w:color="auto" w:fill="FFFFFF"/>
          <w:lang w:val="es-ES"/>
        </w:rPr>
        <w:t>Por último</w:t>
      </w:r>
      <w:r w:rsidRPr="00265354">
        <w:rPr>
          <w:rFonts w:asciiTheme="majorHAnsi" w:hAnsiTheme="majorHAnsi"/>
          <w:color w:val="000000"/>
          <w:sz w:val="20"/>
          <w:szCs w:val="20"/>
          <w:shd w:val="clear" w:color="auto" w:fill="FFFFFF"/>
          <w:lang w:val="es-ES"/>
        </w:rPr>
        <w:t xml:space="preserve">, </w:t>
      </w:r>
      <w:r w:rsidR="00ED17AC">
        <w:rPr>
          <w:rFonts w:asciiTheme="majorHAnsi" w:hAnsiTheme="majorHAnsi"/>
          <w:color w:val="000000"/>
          <w:sz w:val="20"/>
          <w:szCs w:val="20"/>
          <w:shd w:val="clear" w:color="auto" w:fill="FFFFFF"/>
          <w:lang w:val="es-ES"/>
        </w:rPr>
        <w:t xml:space="preserve">los peticionarios </w:t>
      </w:r>
      <w:r w:rsidRPr="00265354">
        <w:rPr>
          <w:rFonts w:asciiTheme="majorHAnsi" w:hAnsiTheme="majorHAnsi"/>
          <w:color w:val="000000"/>
          <w:sz w:val="20"/>
          <w:szCs w:val="20"/>
          <w:shd w:val="clear" w:color="auto" w:fill="FFFFFF"/>
          <w:lang w:val="es-ES"/>
        </w:rPr>
        <w:t>sostienen que la omisión del Estado de acceder a la solicitud de medidas cautelares formulada por la Comisión constituye una trasgresión más de los derechos del señor Housel, inclu</w:t>
      </w:r>
      <w:r w:rsidR="000105CE">
        <w:rPr>
          <w:rFonts w:asciiTheme="majorHAnsi" w:hAnsiTheme="majorHAnsi"/>
          <w:color w:val="000000"/>
          <w:sz w:val="20"/>
          <w:szCs w:val="20"/>
          <w:shd w:val="clear" w:color="auto" w:fill="FFFFFF"/>
          <w:lang w:val="es-ES"/>
        </w:rPr>
        <w:t xml:space="preserve">ido </w:t>
      </w:r>
      <w:r w:rsidRPr="00265354">
        <w:rPr>
          <w:rFonts w:asciiTheme="majorHAnsi" w:hAnsiTheme="majorHAnsi"/>
          <w:color w:val="000000"/>
          <w:sz w:val="20"/>
          <w:szCs w:val="20"/>
          <w:shd w:val="clear" w:color="auto" w:fill="FFFFFF"/>
          <w:lang w:val="es-ES"/>
        </w:rPr>
        <w:t>su derecho de promover una petición ante la Comisión, y que el señor Housel sufrió daño irreparable al ser ejecutado por el Estado antes de que hubiera culminado la consideración de su petición por parte de la Comisión.</w:t>
      </w:r>
    </w:p>
    <w:p w14:paraId="0D5ED835" w14:textId="77777777" w:rsidR="00265354" w:rsidRPr="00265354" w:rsidRDefault="00265354" w:rsidP="0026535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0A9927D3" w14:textId="77777777" w:rsidR="001C4006" w:rsidRPr="00E018FC" w:rsidRDefault="00B85EDC" w:rsidP="00ED2F81">
      <w:pPr>
        <w:pStyle w:val="Heading2"/>
        <w:numPr>
          <w:ilvl w:val="0"/>
          <w:numId w:val="66"/>
        </w:numPr>
        <w:spacing w:before="0"/>
        <w:ind w:left="360"/>
        <w:rPr>
          <w:color w:val="auto"/>
          <w:sz w:val="20"/>
          <w:szCs w:val="20"/>
        </w:rPr>
      </w:pPr>
      <w:bookmarkStart w:id="5" w:name="_Toc22826175"/>
      <w:bookmarkStart w:id="6" w:name="_Toc150529890"/>
      <w:r w:rsidRPr="00E018FC">
        <w:rPr>
          <w:color w:val="auto"/>
          <w:sz w:val="20"/>
          <w:szCs w:val="20"/>
        </w:rPr>
        <w:t>Estado</w:t>
      </w:r>
      <w:bookmarkEnd w:id="5"/>
      <w:bookmarkEnd w:id="6"/>
    </w:p>
    <w:p w14:paraId="30997077" w14:textId="77777777" w:rsidR="000E2A4D" w:rsidRPr="00DE2580" w:rsidRDefault="000E2A4D" w:rsidP="000E2A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097C6285" w14:textId="77777777" w:rsidR="00FF0EE5" w:rsidRPr="00FF0EE5" w:rsidRDefault="00FF0EE5" w:rsidP="004840C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FF0EE5">
        <w:rPr>
          <w:rFonts w:asciiTheme="majorHAnsi" w:eastAsia="Times New Roman" w:hAnsiTheme="majorHAnsi"/>
          <w:sz w:val="20"/>
          <w:szCs w:val="20"/>
          <w:lang w:val="es-ES"/>
        </w:rPr>
        <w:t>En su respuesta a l</w:t>
      </w:r>
      <w:r>
        <w:rPr>
          <w:rFonts w:asciiTheme="majorHAnsi" w:eastAsia="Times New Roman" w:hAnsiTheme="majorHAnsi"/>
          <w:sz w:val="20"/>
          <w:szCs w:val="20"/>
          <w:lang w:val="es-ES"/>
        </w:rPr>
        <w:t xml:space="preserve">as observaciones de la parte peticionaria sobre el fondo, el Estado </w:t>
      </w:r>
      <w:r w:rsidR="005126DA">
        <w:rPr>
          <w:rFonts w:asciiTheme="majorHAnsi" w:eastAsia="Times New Roman" w:hAnsiTheme="majorHAnsi"/>
          <w:sz w:val="20"/>
          <w:szCs w:val="20"/>
          <w:lang w:val="es-ES"/>
        </w:rPr>
        <w:t>remitió a la Comisión a su escrito presentado durante la etapa de admisibilidad.</w:t>
      </w:r>
      <w:r w:rsidR="005126DA" w:rsidRPr="00DE2580">
        <w:rPr>
          <w:rStyle w:val="FootnoteReference"/>
          <w:rFonts w:asciiTheme="majorHAnsi" w:eastAsia="Times New Roman" w:hAnsiTheme="majorHAnsi"/>
          <w:sz w:val="20"/>
          <w:szCs w:val="20"/>
        </w:rPr>
        <w:footnoteReference w:id="5"/>
      </w:r>
      <w:r w:rsidR="00BA2AD4">
        <w:rPr>
          <w:rFonts w:asciiTheme="majorHAnsi" w:eastAsia="Times New Roman" w:hAnsiTheme="majorHAnsi"/>
          <w:sz w:val="20"/>
          <w:szCs w:val="20"/>
          <w:lang w:val="es-ES"/>
        </w:rPr>
        <w:t xml:space="preserve">  Por lo tanto, esta sección se basa en argumentos realizados durante la etapa de admisibilidad que están relacionados con el fondo.</w:t>
      </w:r>
    </w:p>
    <w:p w14:paraId="03DC4144" w14:textId="77777777" w:rsidR="00FF0EE5" w:rsidRPr="00FF0EE5" w:rsidRDefault="00FF0EE5" w:rsidP="00FF0EE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33C082FA" w14:textId="77777777" w:rsidR="00F8219E" w:rsidRDefault="00F8219E"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F8219E">
        <w:rPr>
          <w:rFonts w:asciiTheme="majorHAnsi" w:eastAsia="Times New Roman" w:hAnsiTheme="majorHAnsi"/>
          <w:sz w:val="20"/>
          <w:szCs w:val="20"/>
          <w:lang w:val="es-ES"/>
        </w:rPr>
        <w:t>El Estado sostiene que l</w:t>
      </w:r>
      <w:r>
        <w:rPr>
          <w:rFonts w:asciiTheme="majorHAnsi" w:eastAsia="Times New Roman" w:hAnsiTheme="majorHAnsi"/>
          <w:sz w:val="20"/>
          <w:szCs w:val="20"/>
          <w:lang w:val="es-ES"/>
        </w:rPr>
        <w:t xml:space="preserve">os argumentos planteados por los peticionarios </w:t>
      </w:r>
      <w:r w:rsidR="00246D03">
        <w:rPr>
          <w:rFonts w:asciiTheme="majorHAnsi" w:eastAsia="Times New Roman" w:hAnsiTheme="majorHAnsi"/>
          <w:sz w:val="20"/>
          <w:szCs w:val="20"/>
          <w:lang w:val="es-ES"/>
        </w:rPr>
        <w:t xml:space="preserve">carecen de mérito y la petición </w:t>
      </w:r>
      <w:r w:rsidR="00AF7449">
        <w:rPr>
          <w:rFonts w:asciiTheme="majorHAnsi" w:eastAsia="Times New Roman" w:hAnsiTheme="majorHAnsi"/>
          <w:sz w:val="20"/>
          <w:szCs w:val="20"/>
          <w:lang w:val="es-ES"/>
        </w:rPr>
        <w:t xml:space="preserve">no </w:t>
      </w:r>
      <w:r w:rsidR="00F00C75">
        <w:rPr>
          <w:rFonts w:asciiTheme="majorHAnsi" w:eastAsia="Times New Roman" w:hAnsiTheme="majorHAnsi"/>
          <w:sz w:val="20"/>
          <w:szCs w:val="20"/>
          <w:lang w:val="es-ES"/>
        </w:rPr>
        <w:t xml:space="preserve">establece hechos que constituyan una violación de los principios </w:t>
      </w:r>
      <w:r w:rsidR="006F2612">
        <w:rPr>
          <w:rFonts w:asciiTheme="majorHAnsi" w:eastAsia="Times New Roman" w:hAnsiTheme="majorHAnsi"/>
          <w:sz w:val="20"/>
          <w:szCs w:val="20"/>
          <w:lang w:val="es-ES"/>
        </w:rPr>
        <w:t>consagrados en</w:t>
      </w:r>
      <w:r w:rsidR="00F00C75">
        <w:rPr>
          <w:rFonts w:asciiTheme="majorHAnsi" w:eastAsia="Times New Roman" w:hAnsiTheme="majorHAnsi"/>
          <w:sz w:val="20"/>
          <w:szCs w:val="20"/>
          <w:lang w:val="es-ES"/>
        </w:rPr>
        <w:t xml:space="preserve"> la Declaración Americana.</w:t>
      </w:r>
    </w:p>
    <w:p w14:paraId="7B6D9047" w14:textId="77777777" w:rsidR="009A3109" w:rsidRPr="00F8219E" w:rsidRDefault="009A3109" w:rsidP="009A310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3544DD5E" w14:textId="77777777" w:rsidR="001B2B37" w:rsidRPr="00030BAC" w:rsidRDefault="001B2B37"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1B2B37">
        <w:rPr>
          <w:rFonts w:asciiTheme="majorHAnsi" w:eastAsia="Times New Roman" w:hAnsiTheme="majorHAnsi"/>
          <w:sz w:val="20"/>
          <w:szCs w:val="20"/>
          <w:lang w:val="es-ES"/>
        </w:rPr>
        <w:t>En particular, el Estado s</w:t>
      </w:r>
      <w:r>
        <w:rPr>
          <w:rFonts w:asciiTheme="majorHAnsi" w:eastAsia="Times New Roman" w:hAnsiTheme="majorHAnsi"/>
          <w:sz w:val="20"/>
          <w:szCs w:val="20"/>
          <w:lang w:val="es-ES"/>
        </w:rPr>
        <w:t>ostiene que no existen pruebas que respalden la afirmación de los peticionarios de que el señor Housel sufrió considerables abusos físicos y mentales antes y después de su juicio</w:t>
      </w:r>
      <w:r w:rsidRPr="00030BAC">
        <w:rPr>
          <w:rFonts w:asciiTheme="majorHAnsi" w:eastAsia="Times New Roman" w:hAnsiTheme="majorHAnsi"/>
          <w:sz w:val="20"/>
          <w:szCs w:val="20"/>
          <w:lang w:val="es-ES"/>
        </w:rPr>
        <w:t>.</w:t>
      </w:r>
      <w:r w:rsidR="00030BAC" w:rsidRPr="00030BAC">
        <w:rPr>
          <w:rFonts w:asciiTheme="majorHAnsi" w:eastAsia="Times New Roman" w:hAnsiTheme="majorHAnsi"/>
          <w:sz w:val="20"/>
          <w:szCs w:val="20"/>
          <w:lang w:val="es-ES"/>
        </w:rPr>
        <w:t xml:space="preserve"> </w:t>
      </w:r>
      <w:r w:rsidR="00030BAC" w:rsidRPr="00030BAC">
        <w:rPr>
          <w:rFonts w:asciiTheme="majorHAnsi" w:hAnsiTheme="majorHAnsi"/>
          <w:color w:val="000000"/>
          <w:sz w:val="20"/>
          <w:szCs w:val="20"/>
          <w:shd w:val="clear" w:color="auto" w:fill="FFFFFF"/>
          <w:lang w:val="es-ES"/>
        </w:rPr>
        <w:t> El Estado argumenta, a ese respecto, que la prueba presentada por los peticionarios, que consiste en declaraciones de otros reclusos, carece de adecuados fundamentos y es</w:t>
      </w:r>
      <w:r w:rsidR="004B07B9">
        <w:rPr>
          <w:rFonts w:asciiTheme="majorHAnsi" w:hAnsiTheme="majorHAnsi"/>
          <w:color w:val="000000"/>
          <w:sz w:val="20"/>
          <w:szCs w:val="20"/>
          <w:shd w:val="clear" w:color="auto" w:fill="FFFFFF"/>
          <w:lang w:val="es-ES"/>
        </w:rPr>
        <w:t xml:space="preserve"> un testimonio de dudosa autenticidad</w:t>
      </w:r>
      <w:r w:rsidR="00030BAC" w:rsidRPr="00030BAC">
        <w:rPr>
          <w:rFonts w:asciiTheme="majorHAnsi" w:hAnsiTheme="majorHAnsi"/>
          <w:color w:val="000000"/>
          <w:sz w:val="20"/>
          <w:szCs w:val="20"/>
          <w:shd w:val="clear" w:color="auto" w:fill="FFFFFF"/>
          <w:lang w:val="es-ES"/>
        </w:rPr>
        <w:t xml:space="preserve">, dado que el señor Housel permaneció en </w:t>
      </w:r>
      <w:r w:rsidR="00A56E51">
        <w:rPr>
          <w:rFonts w:asciiTheme="majorHAnsi" w:hAnsiTheme="majorHAnsi"/>
          <w:color w:val="000000"/>
          <w:sz w:val="20"/>
          <w:szCs w:val="20"/>
          <w:shd w:val="clear" w:color="auto" w:fill="FFFFFF"/>
          <w:lang w:val="es-ES"/>
        </w:rPr>
        <w:t>régimen de aislamiento durante</w:t>
      </w:r>
      <w:r w:rsidR="00030BAC" w:rsidRPr="00030BAC">
        <w:rPr>
          <w:rFonts w:asciiTheme="majorHAnsi" w:hAnsiTheme="majorHAnsi"/>
          <w:color w:val="000000"/>
          <w:sz w:val="20"/>
          <w:szCs w:val="20"/>
          <w:shd w:val="clear" w:color="auto" w:fill="FFFFFF"/>
          <w:lang w:val="es-ES"/>
        </w:rPr>
        <w:t xml:space="preserve"> la mayor parte del período de su detención preventiva.</w:t>
      </w:r>
      <w:r w:rsidR="004E0EBD">
        <w:rPr>
          <w:rFonts w:asciiTheme="majorHAnsi" w:hAnsiTheme="majorHAnsi"/>
          <w:color w:val="000000"/>
          <w:sz w:val="20"/>
          <w:szCs w:val="20"/>
          <w:shd w:val="clear" w:color="auto" w:fill="FFFFFF"/>
          <w:lang w:val="es-ES"/>
        </w:rPr>
        <w:t xml:space="preserve"> Con respecto a las reclamaciones </w:t>
      </w:r>
      <w:r w:rsidR="00E2688E">
        <w:rPr>
          <w:rFonts w:asciiTheme="majorHAnsi" w:hAnsiTheme="majorHAnsi"/>
          <w:color w:val="000000"/>
          <w:sz w:val="20"/>
          <w:szCs w:val="20"/>
          <w:shd w:val="clear" w:color="auto" w:fill="FFFFFF"/>
          <w:lang w:val="es-ES"/>
        </w:rPr>
        <w:t>de que el</w:t>
      </w:r>
      <w:r w:rsidR="004E0EBD">
        <w:rPr>
          <w:rFonts w:asciiTheme="majorHAnsi" w:hAnsiTheme="majorHAnsi"/>
          <w:color w:val="000000"/>
          <w:sz w:val="20"/>
          <w:szCs w:val="20"/>
          <w:shd w:val="clear" w:color="auto" w:fill="FFFFFF"/>
          <w:lang w:val="es-ES"/>
        </w:rPr>
        <w:t xml:space="preserve"> período de permanencia en el pabellón de la muerte constituye un trato inhumano, el Estado </w:t>
      </w:r>
      <w:r w:rsidR="000E5679">
        <w:rPr>
          <w:rFonts w:asciiTheme="majorHAnsi" w:hAnsiTheme="majorHAnsi"/>
          <w:color w:val="000000"/>
          <w:sz w:val="20"/>
          <w:szCs w:val="20"/>
          <w:shd w:val="clear" w:color="auto" w:fill="FFFFFF"/>
          <w:lang w:val="es-ES"/>
        </w:rPr>
        <w:t xml:space="preserve">señala que la Corte Suprema de los Estados Unidos no ha aceptado este argumento como una reclamación válida </w:t>
      </w:r>
      <w:r w:rsidR="002B7740">
        <w:rPr>
          <w:rFonts w:asciiTheme="majorHAnsi" w:hAnsiTheme="majorHAnsi"/>
          <w:color w:val="000000"/>
          <w:sz w:val="20"/>
          <w:szCs w:val="20"/>
          <w:shd w:val="clear" w:color="auto" w:fill="FFFFFF"/>
          <w:lang w:val="es-ES"/>
        </w:rPr>
        <w:t>a la luz de</w:t>
      </w:r>
      <w:r w:rsidR="000E5679">
        <w:rPr>
          <w:rFonts w:asciiTheme="majorHAnsi" w:hAnsiTheme="majorHAnsi"/>
          <w:color w:val="000000"/>
          <w:sz w:val="20"/>
          <w:szCs w:val="20"/>
          <w:shd w:val="clear" w:color="auto" w:fill="FFFFFF"/>
          <w:lang w:val="es-ES"/>
        </w:rPr>
        <w:t xml:space="preserve"> la Octava Enmienda.</w:t>
      </w:r>
      <w:r w:rsidR="00C922B0">
        <w:rPr>
          <w:rFonts w:asciiTheme="majorHAnsi" w:hAnsiTheme="majorHAnsi"/>
          <w:color w:val="000000"/>
          <w:sz w:val="20"/>
          <w:szCs w:val="20"/>
          <w:shd w:val="clear" w:color="auto" w:fill="FFFFFF"/>
          <w:lang w:val="es-ES"/>
        </w:rPr>
        <w:t xml:space="preserve">  El Estado </w:t>
      </w:r>
      <w:r w:rsidR="00B717BA">
        <w:rPr>
          <w:rFonts w:asciiTheme="majorHAnsi" w:hAnsiTheme="majorHAnsi"/>
          <w:color w:val="000000"/>
          <w:sz w:val="20"/>
          <w:szCs w:val="20"/>
          <w:shd w:val="clear" w:color="auto" w:fill="FFFFFF"/>
          <w:lang w:val="es-ES"/>
        </w:rPr>
        <w:t>agrega, además,</w:t>
      </w:r>
      <w:r w:rsidR="00816166">
        <w:rPr>
          <w:rFonts w:asciiTheme="majorHAnsi" w:hAnsiTheme="majorHAnsi"/>
          <w:color w:val="000000"/>
          <w:sz w:val="20"/>
          <w:szCs w:val="20"/>
          <w:shd w:val="clear" w:color="auto" w:fill="FFFFFF"/>
          <w:lang w:val="es-ES"/>
        </w:rPr>
        <w:t xml:space="preserve"> que el prolongado proceso muestra que el señor Housel tuvo muchas oportunidades de litigar cualquier reclamación para impugnar su condena y sentencia.</w:t>
      </w:r>
    </w:p>
    <w:p w14:paraId="2DED3671" w14:textId="77777777" w:rsidR="001B2B37" w:rsidRPr="001B2B37" w:rsidRDefault="001B2B37" w:rsidP="001B2B3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004E57FC" w14:textId="77777777" w:rsidR="007B75CC" w:rsidRPr="00380C85" w:rsidRDefault="007B75CC"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7B75CC">
        <w:rPr>
          <w:rFonts w:asciiTheme="majorHAnsi" w:hAnsiTheme="majorHAnsi"/>
          <w:color w:val="000000"/>
          <w:sz w:val="20"/>
          <w:szCs w:val="20"/>
          <w:shd w:val="clear" w:color="auto" w:fill="FFFFFF"/>
          <w:lang w:val="es-ES"/>
        </w:rPr>
        <w:t xml:space="preserve">El Estado </w:t>
      </w:r>
      <w:r w:rsidR="00255E39">
        <w:rPr>
          <w:rFonts w:asciiTheme="majorHAnsi" w:hAnsiTheme="majorHAnsi"/>
          <w:color w:val="000000"/>
          <w:sz w:val="20"/>
          <w:szCs w:val="20"/>
          <w:shd w:val="clear" w:color="auto" w:fill="FFFFFF"/>
          <w:lang w:val="es-ES"/>
        </w:rPr>
        <w:t>señala</w:t>
      </w:r>
      <w:r w:rsidRPr="007B75CC">
        <w:rPr>
          <w:rFonts w:asciiTheme="majorHAnsi" w:hAnsiTheme="majorHAnsi"/>
          <w:color w:val="000000"/>
          <w:sz w:val="20"/>
          <w:szCs w:val="20"/>
          <w:shd w:val="clear" w:color="auto" w:fill="FFFFFF"/>
          <w:lang w:val="es-ES"/>
        </w:rPr>
        <w:t xml:space="preserve"> también como infundadas las alegaciones de los peticionarios referentes al estado de salud mental del señor Housel</w:t>
      </w:r>
      <w:r w:rsidR="00DF7CCA">
        <w:rPr>
          <w:rFonts w:asciiTheme="majorHAnsi" w:hAnsiTheme="majorHAnsi"/>
          <w:color w:val="000000"/>
          <w:sz w:val="20"/>
          <w:szCs w:val="20"/>
          <w:shd w:val="clear" w:color="auto" w:fill="FFFFFF"/>
          <w:lang w:val="es-ES"/>
        </w:rPr>
        <w:t>. Señala que</w:t>
      </w:r>
      <w:r w:rsidRPr="007B75CC">
        <w:rPr>
          <w:rFonts w:asciiTheme="majorHAnsi" w:hAnsiTheme="majorHAnsi"/>
          <w:color w:val="000000"/>
          <w:sz w:val="20"/>
          <w:szCs w:val="20"/>
          <w:shd w:val="clear" w:color="auto" w:fill="FFFFFF"/>
          <w:lang w:val="es-ES"/>
        </w:rPr>
        <w:t>, </w:t>
      </w:r>
      <w:r w:rsidRPr="007B75CC">
        <w:rPr>
          <w:rFonts w:asciiTheme="majorHAnsi" w:hAnsiTheme="majorHAnsi"/>
          <w:i/>
          <w:iCs/>
          <w:color w:val="000000"/>
          <w:sz w:val="20"/>
          <w:szCs w:val="20"/>
          <w:shd w:val="clear" w:color="auto" w:fill="FFFFFF"/>
          <w:lang w:val="es-ES"/>
        </w:rPr>
        <w:t>inter alia</w:t>
      </w:r>
      <w:r w:rsidRPr="007B75CC">
        <w:rPr>
          <w:rFonts w:asciiTheme="majorHAnsi" w:hAnsiTheme="majorHAnsi"/>
          <w:color w:val="000000"/>
          <w:sz w:val="20"/>
          <w:szCs w:val="20"/>
          <w:shd w:val="clear" w:color="auto" w:fill="FFFFFF"/>
          <w:lang w:val="es-ES"/>
        </w:rPr>
        <w:t xml:space="preserve">, la corte federal </w:t>
      </w:r>
      <w:r w:rsidR="00923525">
        <w:rPr>
          <w:rFonts w:asciiTheme="majorHAnsi" w:hAnsiTheme="majorHAnsi"/>
          <w:color w:val="000000"/>
          <w:sz w:val="20"/>
          <w:szCs w:val="20"/>
          <w:shd w:val="clear" w:color="auto" w:fill="FFFFFF"/>
          <w:lang w:val="es-ES"/>
        </w:rPr>
        <w:t xml:space="preserve">que </w:t>
      </w:r>
      <w:r w:rsidRPr="007B75CC">
        <w:rPr>
          <w:rFonts w:asciiTheme="majorHAnsi" w:hAnsiTheme="majorHAnsi"/>
          <w:color w:val="000000"/>
          <w:sz w:val="20"/>
          <w:szCs w:val="20"/>
          <w:shd w:val="clear" w:color="auto" w:fill="FFFFFF"/>
          <w:lang w:val="es-ES"/>
        </w:rPr>
        <w:t>entendió en el recurso</w:t>
      </w:r>
      <w:r w:rsidR="00923525">
        <w:rPr>
          <w:rFonts w:asciiTheme="majorHAnsi" w:hAnsiTheme="majorHAnsi"/>
          <w:color w:val="000000"/>
          <w:sz w:val="20"/>
          <w:szCs w:val="20"/>
          <w:shd w:val="clear" w:color="auto" w:fill="FFFFFF"/>
          <w:lang w:val="es-ES"/>
        </w:rPr>
        <w:t xml:space="preserve"> </w:t>
      </w:r>
      <w:r w:rsidRPr="007B75CC">
        <w:rPr>
          <w:rFonts w:asciiTheme="majorHAnsi" w:hAnsiTheme="majorHAnsi"/>
          <w:color w:val="000000"/>
          <w:sz w:val="20"/>
          <w:szCs w:val="20"/>
          <w:shd w:val="clear" w:color="auto" w:fill="FFFFFF"/>
          <w:lang w:val="es-ES"/>
        </w:rPr>
        <w:t>de </w:t>
      </w:r>
      <w:r w:rsidRPr="007B75CC">
        <w:rPr>
          <w:rFonts w:asciiTheme="majorHAnsi" w:hAnsiTheme="majorHAnsi"/>
          <w:i/>
          <w:iCs/>
          <w:color w:val="000000"/>
          <w:sz w:val="20"/>
          <w:szCs w:val="20"/>
          <w:shd w:val="clear" w:color="auto" w:fill="FFFFFF"/>
          <w:lang w:val="es-ES"/>
        </w:rPr>
        <w:t>habeas corpus</w:t>
      </w:r>
      <w:r w:rsidRPr="007B75CC">
        <w:rPr>
          <w:rFonts w:asciiTheme="majorHAnsi" w:hAnsiTheme="majorHAnsi"/>
          <w:color w:val="000000"/>
          <w:sz w:val="20"/>
          <w:szCs w:val="20"/>
          <w:shd w:val="clear" w:color="auto" w:fill="FFFFFF"/>
          <w:lang w:val="es-ES"/>
        </w:rPr>
        <w:t> concluyó que "Housel nunca intentó demostrar la probabilidad de que su salud mental hubiera influido significativamente en su juicio", e hizo referencia a un informe y a evaluaciones psicológicas anteriores al juicio que según el Estado ilustran el hecho de que el señor Housel</w:t>
      </w:r>
      <w:r w:rsidR="007B6583">
        <w:rPr>
          <w:rFonts w:asciiTheme="majorHAnsi" w:hAnsiTheme="majorHAnsi"/>
          <w:color w:val="000000"/>
          <w:sz w:val="20"/>
          <w:szCs w:val="20"/>
          <w:shd w:val="clear" w:color="auto" w:fill="FFFFFF"/>
          <w:lang w:val="es-ES"/>
        </w:rPr>
        <w:t xml:space="preserve"> </w:t>
      </w:r>
      <w:r w:rsidRPr="007B75CC">
        <w:rPr>
          <w:rFonts w:asciiTheme="majorHAnsi" w:hAnsiTheme="majorHAnsi"/>
          <w:color w:val="000000"/>
          <w:sz w:val="20"/>
          <w:szCs w:val="20"/>
          <w:shd w:val="clear" w:color="auto" w:fill="FFFFFF"/>
          <w:lang w:val="es-ES"/>
        </w:rPr>
        <w:t>"estaba en su sano juicio y no padecía ninguna enfermedad mental importante</w:t>
      </w:r>
      <w:r w:rsidRPr="00380C85">
        <w:rPr>
          <w:rFonts w:asciiTheme="majorHAnsi" w:hAnsiTheme="majorHAnsi"/>
          <w:color w:val="000000"/>
          <w:sz w:val="20"/>
          <w:szCs w:val="20"/>
          <w:shd w:val="clear" w:color="auto" w:fill="FFFFFF"/>
          <w:lang w:val="es-ES"/>
        </w:rPr>
        <w:t>"</w:t>
      </w:r>
      <w:r w:rsidR="00C317F9" w:rsidRPr="00380C85">
        <w:rPr>
          <w:rFonts w:asciiTheme="majorHAnsi" w:hAnsiTheme="majorHAnsi"/>
          <w:color w:val="000000"/>
          <w:sz w:val="20"/>
          <w:szCs w:val="20"/>
          <w:shd w:val="clear" w:color="auto" w:fill="FFFFFF"/>
          <w:lang w:val="es-ES"/>
        </w:rPr>
        <w:t>.</w:t>
      </w:r>
      <w:r w:rsidR="00380C85" w:rsidRPr="00380C85">
        <w:rPr>
          <w:rStyle w:val="FootnoteReference"/>
          <w:rFonts w:asciiTheme="majorHAnsi" w:eastAsia="Times New Roman" w:hAnsiTheme="majorHAnsi"/>
          <w:sz w:val="20"/>
          <w:szCs w:val="20"/>
          <w:lang w:val="en-GB"/>
        </w:rPr>
        <w:footnoteReference w:id="6"/>
      </w:r>
      <w:r w:rsidR="00380C85">
        <w:rPr>
          <w:rFonts w:asciiTheme="majorHAnsi" w:hAnsiTheme="majorHAnsi"/>
          <w:color w:val="000000"/>
          <w:sz w:val="20"/>
          <w:szCs w:val="20"/>
          <w:shd w:val="clear" w:color="auto" w:fill="FFFFFF"/>
          <w:lang w:val="es-ES"/>
        </w:rPr>
        <w:t xml:space="preserve"> Además, el Estado </w:t>
      </w:r>
      <w:r w:rsidR="00032B68">
        <w:rPr>
          <w:rFonts w:asciiTheme="majorHAnsi" w:hAnsiTheme="majorHAnsi"/>
          <w:color w:val="000000"/>
          <w:sz w:val="20"/>
          <w:szCs w:val="20"/>
          <w:shd w:val="clear" w:color="auto" w:fill="FFFFFF"/>
          <w:lang w:val="es-ES"/>
        </w:rPr>
        <w:t xml:space="preserve">sostiene que </w:t>
      </w:r>
      <w:r w:rsidR="000F2B0E">
        <w:rPr>
          <w:rFonts w:asciiTheme="majorHAnsi" w:hAnsiTheme="majorHAnsi"/>
          <w:color w:val="000000"/>
          <w:sz w:val="20"/>
          <w:szCs w:val="20"/>
          <w:shd w:val="clear" w:color="auto" w:fill="FFFFFF"/>
          <w:lang w:val="es-ES"/>
        </w:rPr>
        <w:t>no se presentaron pruebas para respaldar el alegato de “graves problemas de salud que requerían tratamiento</w:t>
      </w:r>
      <w:r w:rsidR="000F2B0E" w:rsidRPr="000F2B0E">
        <w:rPr>
          <w:rFonts w:asciiTheme="majorHAnsi" w:hAnsiTheme="majorHAnsi"/>
          <w:color w:val="000000"/>
          <w:sz w:val="20"/>
          <w:szCs w:val="20"/>
          <w:shd w:val="clear" w:color="auto" w:fill="FFFFFF"/>
          <w:lang w:val="es-ES"/>
        </w:rPr>
        <w:t xml:space="preserve">” </w:t>
      </w:r>
      <w:r w:rsidR="000F2B0E" w:rsidRPr="000F2B0E">
        <w:rPr>
          <w:rStyle w:val="FootnoteReference"/>
          <w:rFonts w:asciiTheme="majorHAnsi" w:eastAsia="Times New Roman" w:hAnsiTheme="majorHAnsi"/>
          <w:sz w:val="20"/>
          <w:szCs w:val="20"/>
          <w:lang w:val="en-GB"/>
        </w:rPr>
        <w:footnoteReference w:id="7"/>
      </w:r>
      <w:r w:rsidR="00471EC7">
        <w:rPr>
          <w:rFonts w:asciiTheme="majorHAnsi" w:hAnsiTheme="majorHAnsi"/>
          <w:color w:val="000000"/>
          <w:sz w:val="20"/>
          <w:szCs w:val="20"/>
          <w:shd w:val="clear" w:color="auto" w:fill="FFFFFF"/>
          <w:lang w:val="es-ES"/>
        </w:rPr>
        <w:t xml:space="preserve"> y que el señor Housel fue examinado por el Director de Servicios Forenses del Instituto de Salud Mental de Georgia, quien determinó que </w:t>
      </w:r>
      <w:r w:rsidR="00723200">
        <w:rPr>
          <w:rFonts w:asciiTheme="majorHAnsi" w:hAnsiTheme="majorHAnsi"/>
          <w:color w:val="000000"/>
          <w:sz w:val="20"/>
          <w:szCs w:val="20"/>
          <w:shd w:val="clear" w:color="auto" w:fill="FFFFFF"/>
          <w:lang w:val="es-ES"/>
        </w:rPr>
        <w:t xml:space="preserve">él estaba “totalmente orientado” y no exhibía ni describía síntomas de un trastorno </w:t>
      </w:r>
      <w:r w:rsidR="00522FF1">
        <w:rPr>
          <w:rFonts w:asciiTheme="majorHAnsi" w:hAnsiTheme="majorHAnsi"/>
          <w:color w:val="000000"/>
          <w:sz w:val="20"/>
          <w:szCs w:val="20"/>
          <w:shd w:val="clear" w:color="auto" w:fill="FFFFFF"/>
          <w:lang w:val="es-ES"/>
        </w:rPr>
        <w:t>psíquico</w:t>
      </w:r>
      <w:r w:rsidR="00723200">
        <w:rPr>
          <w:rFonts w:asciiTheme="majorHAnsi" w:hAnsiTheme="majorHAnsi"/>
          <w:color w:val="000000"/>
          <w:sz w:val="20"/>
          <w:szCs w:val="20"/>
          <w:shd w:val="clear" w:color="auto" w:fill="FFFFFF"/>
          <w:lang w:val="es-ES"/>
        </w:rPr>
        <w:t xml:space="preserve"> importante” (Orden del Tribunal Federal de Distrito del 31 de marzo de 1998, página 22</w:t>
      </w:r>
      <w:r w:rsidR="00723200" w:rsidRPr="00723200">
        <w:rPr>
          <w:rFonts w:asciiTheme="majorHAnsi" w:hAnsiTheme="majorHAnsi"/>
          <w:color w:val="000000"/>
          <w:sz w:val="20"/>
          <w:szCs w:val="20"/>
          <w:shd w:val="clear" w:color="auto" w:fill="FFFFFF"/>
          <w:lang w:val="es-ES"/>
        </w:rPr>
        <w:t>)</w:t>
      </w:r>
      <w:r w:rsidR="00723200" w:rsidRPr="00723200">
        <w:rPr>
          <w:rStyle w:val="FootnoteReference"/>
          <w:rFonts w:asciiTheme="majorHAnsi" w:eastAsia="Times New Roman" w:hAnsiTheme="majorHAnsi"/>
          <w:sz w:val="20"/>
          <w:szCs w:val="20"/>
          <w:lang w:val="es-ES"/>
        </w:rPr>
        <w:t xml:space="preserve"> </w:t>
      </w:r>
      <w:r w:rsidR="00723200" w:rsidRPr="00723200">
        <w:rPr>
          <w:rStyle w:val="FootnoteReference"/>
          <w:rFonts w:asciiTheme="majorHAnsi" w:eastAsia="Times New Roman" w:hAnsiTheme="majorHAnsi"/>
          <w:sz w:val="20"/>
          <w:szCs w:val="20"/>
          <w:lang w:val="en-GB"/>
        </w:rPr>
        <w:footnoteReference w:id="8"/>
      </w:r>
      <w:r w:rsidR="00F27861">
        <w:rPr>
          <w:rStyle w:val="FootnoteReference"/>
          <w:rFonts w:asciiTheme="majorHAnsi" w:eastAsia="Times New Roman" w:hAnsiTheme="majorHAnsi"/>
          <w:sz w:val="20"/>
          <w:szCs w:val="20"/>
          <w:lang w:val="es-ES"/>
        </w:rPr>
        <w:t xml:space="preserve"> </w:t>
      </w:r>
      <w:r w:rsidR="00F27861">
        <w:rPr>
          <w:rFonts w:asciiTheme="majorHAnsi" w:eastAsia="Times New Roman" w:hAnsiTheme="majorHAnsi"/>
          <w:sz w:val="20"/>
          <w:szCs w:val="20"/>
          <w:lang w:val="es-ES"/>
        </w:rPr>
        <w:t>.  Además,</w:t>
      </w:r>
      <w:r w:rsidR="00F27861" w:rsidRPr="00723200">
        <w:rPr>
          <w:rFonts w:asciiTheme="majorHAnsi" w:eastAsia="Times New Roman" w:hAnsiTheme="majorHAnsi"/>
          <w:sz w:val="20"/>
          <w:szCs w:val="20"/>
          <w:lang w:val="es-ES"/>
        </w:rPr>
        <w:t xml:space="preserve"> </w:t>
      </w:r>
      <w:r w:rsidR="00BD0A6D">
        <w:rPr>
          <w:rFonts w:asciiTheme="majorHAnsi" w:eastAsia="Times New Roman" w:hAnsiTheme="majorHAnsi"/>
          <w:sz w:val="20"/>
          <w:szCs w:val="20"/>
          <w:lang w:val="es-ES"/>
        </w:rPr>
        <w:t xml:space="preserve">señala </w:t>
      </w:r>
      <w:r w:rsidR="00F27861" w:rsidRPr="00723200">
        <w:rPr>
          <w:rFonts w:asciiTheme="majorHAnsi" w:eastAsia="Times New Roman" w:hAnsiTheme="majorHAnsi"/>
          <w:sz w:val="20"/>
          <w:szCs w:val="20"/>
          <w:lang w:val="es-ES"/>
        </w:rPr>
        <w:t>que</w:t>
      </w:r>
      <w:r w:rsidR="00F27861">
        <w:rPr>
          <w:rFonts w:asciiTheme="majorHAnsi" w:eastAsia="Times New Roman" w:hAnsiTheme="majorHAnsi"/>
          <w:sz w:val="20"/>
          <w:szCs w:val="20"/>
          <w:lang w:val="es-ES"/>
        </w:rPr>
        <w:t xml:space="preserve"> el señor Housel no tenía síntomas de enfermedad grave de salud mental, sino que exhibía un trastorno de personalidad antisocial y que su historial de lesiones en la cabeza no indicaba que los efectos aún persistieran.</w:t>
      </w:r>
    </w:p>
    <w:p w14:paraId="5892043C" w14:textId="77777777" w:rsidR="007B75CC" w:rsidRPr="007B75CC" w:rsidRDefault="007B75CC" w:rsidP="007B75C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74B959A5" w14:textId="3BEFF228" w:rsidR="00A31098" w:rsidRPr="00A31098" w:rsidRDefault="00A31098"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A31098">
        <w:rPr>
          <w:rFonts w:asciiTheme="majorHAnsi" w:hAnsiTheme="majorHAnsi"/>
          <w:color w:val="000000"/>
          <w:sz w:val="20"/>
          <w:szCs w:val="20"/>
          <w:shd w:val="clear" w:color="auto" w:fill="FFFFFF"/>
          <w:lang w:val="es-ES"/>
        </w:rPr>
        <w:t xml:space="preserve">El Estado sostiene </w:t>
      </w:r>
      <w:r w:rsidR="00DE4F50">
        <w:rPr>
          <w:rFonts w:asciiTheme="majorHAnsi" w:hAnsiTheme="majorHAnsi"/>
          <w:color w:val="000000"/>
          <w:sz w:val="20"/>
          <w:szCs w:val="20"/>
          <w:shd w:val="clear" w:color="auto" w:fill="FFFFFF"/>
          <w:lang w:val="es-ES"/>
        </w:rPr>
        <w:t>también</w:t>
      </w:r>
      <w:r w:rsidRPr="00A31098">
        <w:rPr>
          <w:rFonts w:asciiTheme="majorHAnsi" w:hAnsiTheme="majorHAnsi"/>
          <w:color w:val="000000"/>
          <w:sz w:val="20"/>
          <w:szCs w:val="20"/>
          <w:shd w:val="clear" w:color="auto" w:fill="FFFFFF"/>
          <w:lang w:val="es-ES"/>
        </w:rPr>
        <w:t xml:space="preserve"> que los argumentos </w:t>
      </w:r>
      <w:r w:rsidR="00DE4F50">
        <w:rPr>
          <w:rFonts w:asciiTheme="majorHAnsi" w:hAnsiTheme="majorHAnsi"/>
          <w:color w:val="000000"/>
          <w:sz w:val="20"/>
          <w:szCs w:val="20"/>
          <w:shd w:val="clear" w:color="auto" w:fill="FFFFFF"/>
          <w:lang w:val="es-ES"/>
        </w:rPr>
        <w:t xml:space="preserve">de los peticionarios </w:t>
      </w:r>
      <w:r w:rsidRPr="00A31098">
        <w:rPr>
          <w:rFonts w:asciiTheme="majorHAnsi" w:hAnsiTheme="majorHAnsi"/>
          <w:color w:val="000000"/>
          <w:sz w:val="20"/>
          <w:szCs w:val="20"/>
          <w:shd w:val="clear" w:color="auto" w:fill="FFFFFF"/>
          <w:lang w:val="es-ES"/>
        </w:rPr>
        <w:t xml:space="preserve">referentes al uso de pruebas </w:t>
      </w:r>
      <w:r w:rsidR="00985A97">
        <w:rPr>
          <w:rFonts w:asciiTheme="majorHAnsi" w:hAnsiTheme="majorHAnsi"/>
          <w:color w:val="000000"/>
          <w:sz w:val="20"/>
          <w:szCs w:val="20"/>
          <w:shd w:val="clear" w:color="auto" w:fill="FFFFFF"/>
          <w:lang w:val="es-ES"/>
        </w:rPr>
        <w:t>con relación</w:t>
      </w:r>
      <w:r w:rsidRPr="00A31098">
        <w:rPr>
          <w:rFonts w:asciiTheme="majorHAnsi" w:hAnsiTheme="majorHAnsi"/>
          <w:color w:val="000000"/>
          <w:sz w:val="20"/>
          <w:szCs w:val="20"/>
          <w:shd w:val="clear" w:color="auto" w:fill="FFFFFF"/>
          <w:lang w:val="es-ES"/>
        </w:rPr>
        <w:t xml:space="preserve"> a delitos </w:t>
      </w:r>
      <w:r w:rsidR="00BD0A6D">
        <w:rPr>
          <w:rFonts w:asciiTheme="majorHAnsi" w:hAnsiTheme="majorHAnsi"/>
          <w:color w:val="000000"/>
          <w:sz w:val="20"/>
          <w:szCs w:val="20"/>
          <w:shd w:val="clear" w:color="auto" w:fill="FFFFFF"/>
          <w:lang w:val="es-ES"/>
        </w:rPr>
        <w:t>no juzgados</w:t>
      </w:r>
      <w:r w:rsidRPr="00A31098">
        <w:rPr>
          <w:rFonts w:asciiTheme="majorHAnsi" w:hAnsiTheme="majorHAnsi"/>
          <w:color w:val="000000"/>
          <w:sz w:val="20"/>
          <w:szCs w:val="20"/>
          <w:shd w:val="clear" w:color="auto" w:fill="FFFFFF"/>
          <w:lang w:val="es-ES"/>
        </w:rPr>
        <w:t xml:space="preserve"> en la fase de </w:t>
      </w:r>
      <w:r w:rsidR="004F263F">
        <w:rPr>
          <w:rFonts w:asciiTheme="majorHAnsi" w:hAnsiTheme="majorHAnsi"/>
          <w:color w:val="000000"/>
          <w:sz w:val="20"/>
          <w:szCs w:val="20"/>
          <w:shd w:val="clear" w:color="auto" w:fill="FFFFFF"/>
          <w:lang w:val="es-ES"/>
        </w:rPr>
        <w:t>determinación de la</w:t>
      </w:r>
      <w:r w:rsidRPr="00A31098">
        <w:rPr>
          <w:rFonts w:asciiTheme="majorHAnsi" w:hAnsiTheme="majorHAnsi"/>
          <w:color w:val="000000"/>
          <w:sz w:val="20"/>
          <w:szCs w:val="20"/>
          <w:shd w:val="clear" w:color="auto" w:fill="FFFFFF"/>
          <w:lang w:val="es-ES"/>
        </w:rPr>
        <w:t xml:space="preserve"> sentencia del juicio del señor Housel fueron </w:t>
      </w:r>
      <w:r w:rsidRPr="00A31098">
        <w:rPr>
          <w:rFonts w:asciiTheme="majorHAnsi" w:hAnsiTheme="majorHAnsi"/>
          <w:color w:val="000000"/>
          <w:sz w:val="20"/>
          <w:szCs w:val="20"/>
          <w:shd w:val="clear" w:color="auto" w:fill="FFFFFF"/>
          <w:lang w:val="es-ES"/>
        </w:rPr>
        <w:lastRenderedPageBreak/>
        <w:t>rechazados por la Corte Suprema de Georgia y por la corte federal que entendió en el </w:t>
      </w:r>
      <w:r w:rsidRPr="00A31098">
        <w:rPr>
          <w:rFonts w:asciiTheme="majorHAnsi" w:hAnsiTheme="majorHAnsi"/>
          <w:i/>
          <w:iCs/>
          <w:color w:val="000000"/>
          <w:sz w:val="20"/>
          <w:szCs w:val="20"/>
          <w:shd w:val="clear" w:color="auto" w:fill="FFFFFF"/>
          <w:lang w:val="es-ES"/>
        </w:rPr>
        <w:t>habeas corpus</w:t>
      </w:r>
      <w:r w:rsidRPr="00A31098">
        <w:rPr>
          <w:rFonts w:asciiTheme="majorHAnsi" w:hAnsiTheme="majorHAnsi"/>
          <w:color w:val="000000"/>
          <w:sz w:val="20"/>
          <w:szCs w:val="20"/>
          <w:shd w:val="clear" w:color="auto" w:fill="FFFFFF"/>
          <w:lang w:val="es-ES"/>
        </w:rPr>
        <w:t xml:space="preserve">, que la Corte para el Undécimo Distrito se negó a revisarlas invocando la doctrina de la no retroactividad, y que la Corte Suprema de los Estados Unidos </w:t>
      </w:r>
      <w:r w:rsidR="000975C0">
        <w:rPr>
          <w:rFonts w:asciiTheme="majorHAnsi" w:hAnsiTheme="majorHAnsi"/>
          <w:color w:val="000000"/>
          <w:sz w:val="20"/>
          <w:szCs w:val="20"/>
          <w:shd w:val="clear" w:color="auto" w:fill="FFFFFF"/>
          <w:lang w:val="es-ES"/>
        </w:rPr>
        <w:t>rechazó e</w:t>
      </w:r>
      <w:r w:rsidRPr="00A31098">
        <w:rPr>
          <w:rFonts w:asciiTheme="majorHAnsi" w:hAnsiTheme="majorHAnsi"/>
          <w:color w:val="000000"/>
          <w:sz w:val="20"/>
          <w:szCs w:val="20"/>
          <w:shd w:val="clear" w:color="auto" w:fill="FFFFFF"/>
          <w:lang w:val="es-ES"/>
        </w:rPr>
        <w:t xml:space="preserve">l recurso de avocación sobre este </w:t>
      </w:r>
      <w:r w:rsidR="000975C0">
        <w:rPr>
          <w:rFonts w:asciiTheme="majorHAnsi" w:hAnsiTheme="majorHAnsi"/>
          <w:color w:val="000000"/>
          <w:sz w:val="20"/>
          <w:szCs w:val="20"/>
          <w:shd w:val="clear" w:color="auto" w:fill="FFFFFF"/>
          <w:lang w:val="es-ES"/>
        </w:rPr>
        <w:t>aspecto</w:t>
      </w:r>
      <w:r w:rsidRPr="00A31098">
        <w:rPr>
          <w:rFonts w:asciiTheme="majorHAnsi" w:hAnsiTheme="majorHAnsi"/>
          <w:color w:val="000000"/>
          <w:sz w:val="20"/>
          <w:szCs w:val="20"/>
          <w:shd w:val="clear" w:color="auto" w:fill="FFFFFF"/>
          <w:lang w:val="es-ES"/>
        </w:rPr>
        <w:t xml:space="preserve"> el 25 de febrero de 2002. </w:t>
      </w:r>
      <w:r w:rsidR="004A4F52">
        <w:rPr>
          <w:rFonts w:asciiTheme="majorHAnsi" w:hAnsiTheme="majorHAnsi"/>
          <w:color w:val="000000"/>
          <w:sz w:val="20"/>
          <w:szCs w:val="20"/>
          <w:shd w:val="clear" w:color="auto" w:fill="FFFFFF"/>
          <w:lang w:val="es-ES"/>
        </w:rPr>
        <w:t xml:space="preserve"> El Estado sostiene que la petición no estableció qué pruebas específicamente hubieran sido inadmisibles y de acuerdo a qué normas jurídicas dichas pruebas se hubieran excluido.</w:t>
      </w:r>
      <w:r w:rsidRPr="00A31098">
        <w:rPr>
          <w:rFonts w:asciiTheme="majorHAnsi" w:hAnsiTheme="majorHAnsi"/>
          <w:color w:val="000000"/>
          <w:sz w:val="20"/>
          <w:szCs w:val="20"/>
          <w:shd w:val="clear" w:color="auto" w:fill="FFFFFF"/>
          <w:lang w:val="es-ES"/>
        </w:rPr>
        <w:t xml:space="preserve"> </w:t>
      </w:r>
      <w:r w:rsidR="00DE4F50" w:rsidRPr="00A31098">
        <w:rPr>
          <w:rFonts w:asciiTheme="majorHAnsi" w:hAnsiTheme="majorHAnsi"/>
          <w:color w:val="000000"/>
          <w:sz w:val="20"/>
          <w:szCs w:val="20"/>
          <w:shd w:val="clear" w:color="auto" w:fill="FFFFFF"/>
          <w:lang w:val="es-ES"/>
        </w:rPr>
        <w:t>Además,</w:t>
      </w:r>
      <w:r w:rsidRPr="00A31098">
        <w:rPr>
          <w:rFonts w:asciiTheme="majorHAnsi" w:hAnsiTheme="majorHAnsi"/>
          <w:color w:val="000000"/>
          <w:sz w:val="20"/>
          <w:szCs w:val="20"/>
          <w:shd w:val="clear" w:color="auto" w:fill="FFFFFF"/>
          <w:lang w:val="es-ES"/>
        </w:rPr>
        <w:t xml:space="preserve"> </w:t>
      </w:r>
      <w:r w:rsidR="00B51D63">
        <w:rPr>
          <w:rFonts w:asciiTheme="majorHAnsi" w:hAnsiTheme="majorHAnsi"/>
          <w:color w:val="000000"/>
          <w:sz w:val="20"/>
          <w:szCs w:val="20"/>
          <w:shd w:val="clear" w:color="auto" w:fill="FFFFFF"/>
          <w:lang w:val="es-ES"/>
        </w:rPr>
        <w:t xml:space="preserve">el Estado </w:t>
      </w:r>
      <w:r w:rsidRPr="00A31098">
        <w:rPr>
          <w:rFonts w:asciiTheme="majorHAnsi" w:hAnsiTheme="majorHAnsi"/>
          <w:color w:val="000000"/>
          <w:sz w:val="20"/>
          <w:szCs w:val="20"/>
          <w:shd w:val="clear" w:color="auto" w:fill="FFFFFF"/>
          <w:lang w:val="es-ES"/>
        </w:rPr>
        <w:t xml:space="preserve">sostiene que si el Estado de Georgia hubiera poseído pruebas exculpatorias </w:t>
      </w:r>
      <w:r w:rsidR="00B421AF">
        <w:rPr>
          <w:rFonts w:asciiTheme="majorHAnsi" w:hAnsiTheme="majorHAnsi"/>
          <w:color w:val="000000"/>
          <w:sz w:val="20"/>
          <w:szCs w:val="20"/>
          <w:shd w:val="clear" w:color="auto" w:fill="FFFFFF"/>
          <w:lang w:val="es-ES"/>
        </w:rPr>
        <w:t xml:space="preserve">de </w:t>
      </w:r>
      <w:r w:rsidRPr="00A31098">
        <w:rPr>
          <w:rFonts w:asciiTheme="majorHAnsi" w:hAnsiTheme="majorHAnsi"/>
          <w:color w:val="000000"/>
          <w:sz w:val="20"/>
          <w:szCs w:val="20"/>
          <w:shd w:val="clear" w:color="auto" w:fill="FFFFFF"/>
          <w:lang w:val="es-ES"/>
        </w:rPr>
        <w:t>los delitos sobre los que no recayó sentencia las habría entregado al señor Housel.</w:t>
      </w:r>
    </w:p>
    <w:p w14:paraId="05B11418" w14:textId="77777777" w:rsidR="00A31098" w:rsidRPr="00A31098" w:rsidRDefault="00A31098" w:rsidP="00A3109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755C87A6" w14:textId="77777777" w:rsidR="00335DF1" w:rsidRPr="004550A3" w:rsidRDefault="00E62163" w:rsidP="00EC0A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Pr>
          <w:rFonts w:asciiTheme="majorHAnsi" w:hAnsiTheme="majorHAnsi"/>
          <w:color w:val="000000"/>
          <w:sz w:val="20"/>
          <w:szCs w:val="20"/>
          <w:shd w:val="clear" w:color="auto" w:fill="FFFFFF"/>
          <w:lang w:val="es-ES"/>
        </w:rPr>
        <w:t>Por último,</w:t>
      </w:r>
      <w:r w:rsidR="00335DF1" w:rsidRPr="00335DF1">
        <w:rPr>
          <w:rFonts w:asciiTheme="majorHAnsi" w:hAnsiTheme="majorHAnsi"/>
          <w:color w:val="000000"/>
          <w:sz w:val="20"/>
          <w:szCs w:val="20"/>
          <w:shd w:val="clear" w:color="auto" w:fill="FFFFFF"/>
          <w:lang w:val="es-ES"/>
        </w:rPr>
        <w:t xml:space="preserve"> el Estado sostiene que la alegación de los peticionarios de que </w:t>
      </w:r>
      <w:r w:rsidR="00EC0AFF">
        <w:rPr>
          <w:rFonts w:asciiTheme="majorHAnsi" w:hAnsiTheme="majorHAnsi"/>
          <w:color w:val="000000"/>
          <w:sz w:val="20"/>
          <w:szCs w:val="20"/>
          <w:shd w:val="clear" w:color="auto" w:fill="FFFFFF"/>
          <w:lang w:val="es-ES"/>
        </w:rPr>
        <w:t xml:space="preserve">la representación legal </w:t>
      </w:r>
      <w:r w:rsidR="00335DF1" w:rsidRPr="00335DF1">
        <w:rPr>
          <w:rFonts w:asciiTheme="majorHAnsi" w:hAnsiTheme="majorHAnsi"/>
          <w:color w:val="000000"/>
          <w:sz w:val="20"/>
          <w:szCs w:val="20"/>
          <w:shd w:val="clear" w:color="auto" w:fill="FFFFFF"/>
          <w:lang w:val="es-ES"/>
        </w:rPr>
        <w:t>recibid</w:t>
      </w:r>
      <w:r w:rsidR="00EC0AFF">
        <w:rPr>
          <w:rFonts w:asciiTheme="majorHAnsi" w:hAnsiTheme="majorHAnsi"/>
          <w:color w:val="000000"/>
          <w:sz w:val="20"/>
          <w:szCs w:val="20"/>
          <w:shd w:val="clear" w:color="auto" w:fill="FFFFFF"/>
          <w:lang w:val="es-ES"/>
        </w:rPr>
        <w:t>a</w:t>
      </w:r>
      <w:r w:rsidR="00335DF1" w:rsidRPr="00335DF1">
        <w:rPr>
          <w:rFonts w:asciiTheme="majorHAnsi" w:hAnsiTheme="majorHAnsi"/>
          <w:color w:val="000000"/>
          <w:sz w:val="20"/>
          <w:szCs w:val="20"/>
          <w:shd w:val="clear" w:color="auto" w:fill="FFFFFF"/>
          <w:lang w:val="es-ES"/>
        </w:rPr>
        <w:t xml:space="preserve"> por el señor Housel fue inadecuad</w:t>
      </w:r>
      <w:r w:rsidR="00EC0AFF">
        <w:rPr>
          <w:rFonts w:asciiTheme="majorHAnsi" w:hAnsiTheme="majorHAnsi"/>
          <w:color w:val="000000"/>
          <w:sz w:val="20"/>
          <w:szCs w:val="20"/>
          <w:shd w:val="clear" w:color="auto" w:fill="FFFFFF"/>
          <w:lang w:val="es-ES"/>
        </w:rPr>
        <w:t>a</w:t>
      </w:r>
      <w:r w:rsidR="00335DF1" w:rsidRPr="00335DF1">
        <w:rPr>
          <w:rFonts w:asciiTheme="majorHAnsi" w:hAnsiTheme="majorHAnsi"/>
          <w:color w:val="000000"/>
          <w:sz w:val="20"/>
          <w:szCs w:val="20"/>
          <w:shd w:val="clear" w:color="auto" w:fill="FFFFFF"/>
          <w:lang w:val="es-ES"/>
        </w:rPr>
        <w:t xml:space="preserve"> fue expresamente rechazad</w:t>
      </w:r>
      <w:r w:rsidR="00EC0AFF">
        <w:rPr>
          <w:rFonts w:asciiTheme="majorHAnsi" w:hAnsiTheme="majorHAnsi"/>
          <w:color w:val="000000"/>
          <w:sz w:val="20"/>
          <w:szCs w:val="20"/>
          <w:shd w:val="clear" w:color="auto" w:fill="FFFFFF"/>
          <w:lang w:val="es-ES"/>
        </w:rPr>
        <w:t>a</w:t>
      </w:r>
      <w:r w:rsidR="00335DF1" w:rsidRPr="00335DF1">
        <w:rPr>
          <w:rFonts w:asciiTheme="majorHAnsi" w:hAnsiTheme="majorHAnsi"/>
          <w:color w:val="000000"/>
          <w:sz w:val="20"/>
          <w:szCs w:val="20"/>
          <w:shd w:val="clear" w:color="auto" w:fill="FFFFFF"/>
          <w:lang w:val="es-ES"/>
        </w:rPr>
        <w:t xml:space="preserve"> </w:t>
      </w:r>
      <w:r w:rsidR="00AE0243">
        <w:rPr>
          <w:rFonts w:asciiTheme="majorHAnsi" w:hAnsiTheme="majorHAnsi"/>
          <w:color w:val="000000"/>
          <w:sz w:val="20"/>
          <w:szCs w:val="20"/>
          <w:shd w:val="clear" w:color="auto" w:fill="FFFFFF"/>
          <w:lang w:val="es-ES"/>
        </w:rPr>
        <w:t xml:space="preserve">tanto </w:t>
      </w:r>
      <w:r w:rsidR="00335DF1" w:rsidRPr="00335DF1">
        <w:rPr>
          <w:rFonts w:asciiTheme="majorHAnsi" w:hAnsiTheme="majorHAnsi"/>
          <w:color w:val="000000"/>
          <w:sz w:val="20"/>
          <w:szCs w:val="20"/>
          <w:shd w:val="clear" w:color="auto" w:fill="FFFFFF"/>
          <w:lang w:val="es-ES"/>
        </w:rPr>
        <w:t>por l</w:t>
      </w:r>
      <w:r w:rsidR="00673D07">
        <w:rPr>
          <w:rFonts w:asciiTheme="majorHAnsi" w:hAnsiTheme="majorHAnsi"/>
          <w:color w:val="000000"/>
          <w:sz w:val="20"/>
          <w:szCs w:val="20"/>
          <w:shd w:val="clear" w:color="auto" w:fill="FFFFFF"/>
          <w:lang w:val="es-ES"/>
        </w:rPr>
        <w:t>a corte</w:t>
      </w:r>
      <w:r w:rsidR="00335DF1" w:rsidRPr="00335DF1">
        <w:rPr>
          <w:rFonts w:asciiTheme="majorHAnsi" w:hAnsiTheme="majorHAnsi"/>
          <w:color w:val="000000"/>
          <w:sz w:val="20"/>
          <w:szCs w:val="20"/>
          <w:shd w:val="clear" w:color="auto" w:fill="FFFFFF"/>
          <w:lang w:val="es-ES"/>
        </w:rPr>
        <w:t xml:space="preserve"> </w:t>
      </w:r>
      <w:r w:rsidR="002155D7">
        <w:rPr>
          <w:rFonts w:asciiTheme="majorHAnsi" w:hAnsiTheme="majorHAnsi"/>
          <w:color w:val="000000"/>
          <w:sz w:val="20"/>
          <w:szCs w:val="20"/>
          <w:shd w:val="clear" w:color="auto" w:fill="FFFFFF"/>
          <w:lang w:val="es-ES"/>
        </w:rPr>
        <w:t>estatal</w:t>
      </w:r>
      <w:r w:rsidR="00335DF1" w:rsidRPr="00335DF1">
        <w:rPr>
          <w:rFonts w:asciiTheme="majorHAnsi" w:hAnsiTheme="majorHAnsi"/>
          <w:color w:val="000000"/>
          <w:sz w:val="20"/>
          <w:szCs w:val="20"/>
          <w:shd w:val="clear" w:color="auto" w:fill="FFFFFF"/>
          <w:lang w:val="es-ES"/>
        </w:rPr>
        <w:t xml:space="preserve"> </w:t>
      </w:r>
      <w:r w:rsidR="00EE54EA">
        <w:rPr>
          <w:rFonts w:asciiTheme="majorHAnsi" w:hAnsiTheme="majorHAnsi"/>
          <w:color w:val="000000"/>
          <w:sz w:val="20"/>
          <w:szCs w:val="20"/>
          <w:shd w:val="clear" w:color="auto" w:fill="FFFFFF"/>
          <w:lang w:val="es-ES"/>
        </w:rPr>
        <w:t xml:space="preserve">como la corte </w:t>
      </w:r>
      <w:r w:rsidR="00335DF1" w:rsidRPr="00335DF1">
        <w:rPr>
          <w:rFonts w:asciiTheme="majorHAnsi" w:hAnsiTheme="majorHAnsi"/>
          <w:color w:val="000000"/>
          <w:sz w:val="20"/>
          <w:szCs w:val="20"/>
          <w:shd w:val="clear" w:color="auto" w:fill="FFFFFF"/>
          <w:lang w:val="es-ES"/>
        </w:rPr>
        <w:t>federal que entendi</w:t>
      </w:r>
      <w:r w:rsidR="00AE0243">
        <w:rPr>
          <w:rFonts w:asciiTheme="majorHAnsi" w:hAnsiTheme="majorHAnsi"/>
          <w:color w:val="000000"/>
          <w:sz w:val="20"/>
          <w:szCs w:val="20"/>
          <w:shd w:val="clear" w:color="auto" w:fill="FFFFFF"/>
          <w:lang w:val="es-ES"/>
        </w:rPr>
        <w:t>eron</w:t>
      </w:r>
      <w:r w:rsidR="00335DF1" w:rsidRPr="00335DF1">
        <w:rPr>
          <w:rFonts w:asciiTheme="majorHAnsi" w:hAnsiTheme="majorHAnsi"/>
          <w:color w:val="000000"/>
          <w:sz w:val="20"/>
          <w:szCs w:val="20"/>
          <w:shd w:val="clear" w:color="auto" w:fill="FFFFFF"/>
          <w:lang w:val="es-ES"/>
        </w:rPr>
        <w:t xml:space="preserve"> en el </w:t>
      </w:r>
      <w:r w:rsidR="00335DF1" w:rsidRPr="00335DF1">
        <w:rPr>
          <w:rFonts w:asciiTheme="majorHAnsi" w:hAnsiTheme="majorHAnsi"/>
          <w:i/>
          <w:iCs/>
          <w:color w:val="000000"/>
          <w:sz w:val="20"/>
          <w:szCs w:val="20"/>
          <w:shd w:val="clear" w:color="auto" w:fill="FFFFFF"/>
          <w:lang w:val="es-ES"/>
        </w:rPr>
        <w:t>habeas corpus</w:t>
      </w:r>
      <w:r w:rsidR="00335DF1" w:rsidRPr="00335DF1">
        <w:rPr>
          <w:rFonts w:asciiTheme="majorHAnsi" w:hAnsiTheme="majorHAnsi"/>
          <w:color w:val="000000"/>
          <w:sz w:val="20"/>
          <w:szCs w:val="20"/>
          <w:shd w:val="clear" w:color="auto" w:fill="FFFFFF"/>
          <w:lang w:val="es-ES"/>
        </w:rPr>
        <w:t>, tras audiencias de prueba</w:t>
      </w:r>
      <w:r w:rsidR="009E329B">
        <w:rPr>
          <w:rFonts w:asciiTheme="majorHAnsi" w:hAnsiTheme="majorHAnsi"/>
          <w:color w:val="000000"/>
          <w:sz w:val="20"/>
          <w:szCs w:val="20"/>
          <w:shd w:val="clear" w:color="auto" w:fill="FFFFFF"/>
          <w:lang w:val="es-ES"/>
        </w:rPr>
        <w:t>s</w:t>
      </w:r>
      <w:r w:rsidR="00335DF1" w:rsidRPr="00335DF1">
        <w:rPr>
          <w:rFonts w:asciiTheme="majorHAnsi" w:hAnsiTheme="majorHAnsi"/>
          <w:color w:val="000000"/>
          <w:sz w:val="20"/>
          <w:szCs w:val="20"/>
          <w:shd w:val="clear" w:color="auto" w:fill="FFFFFF"/>
          <w:lang w:val="es-ES"/>
        </w:rPr>
        <w:t xml:space="preserve"> en que prestó declaración el abogado que asistió en juicio al señor Housel</w:t>
      </w:r>
      <w:r w:rsidR="00335DF1" w:rsidRPr="00335DF1">
        <w:rPr>
          <w:rFonts w:ascii="Verdana" w:hAnsi="Verdana"/>
          <w:color w:val="000000"/>
          <w:shd w:val="clear" w:color="auto" w:fill="FFFFFF"/>
          <w:lang w:val="es-ES"/>
        </w:rPr>
        <w:t>.</w:t>
      </w:r>
      <w:r w:rsidR="00EC2307">
        <w:rPr>
          <w:rFonts w:ascii="Verdana" w:hAnsi="Verdana"/>
          <w:color w:val="000000"/>
          <w:shd w:val="clear" w:color="auto" w:fill="FFFFFF"/>
          <w:lang w:val="es-ES"/>
        </w:rPr>
        <w:t xml:space="preserve"> </w:t>
      </w:r>
      <w:r w:rsidR="00EC2307">
        <w:rPr>
          <w:rFonts w:asciiTheme="majorHAnsi" w:hAnsiTheme="majorHAnsi"/>
          <w:color w:val="000000"/>
          <w:sz w:val="20"/>
          <w:szCs w:val="20"/>
          <w:shd w:val="clear" w:color="auto" w:fill="FFFFFF"/>
          <w:lang w:val="es-ES"/>
        </w:rPr>
        <w:t xml:space="preserve">El Estado se basa en la conclusión de la </w:t>
      </w:r>
      <w:r w:rsidR="00EC2307" w:rsidRPr="00A31098">
        <w:rPr>
          <w:rFonts w:asciiTheme="majorHAnsi" w:hAnsiTheme="majorHAnsi"/>
          <w:color w:val="000000"/>
          <w:sz w:val="20"/>
          <w:szCs w:val="20"/>
          <w:shd w:val="clear" w:color="auto" w:fill="FFFFFF"/>
          <w:lang w:val="es-ES"/>
        </w:rPr>
        <w:t xml:space="preserve">Corte para el Undécimo Distrito </w:t>
      </w:r>
      <w:r w:rsidR="00EC2307">
        <w:rPr>
          <w:rFonts w:asciiTheme="majorHAnsi" w:hAnsiTheme="majorHAnsi"/>
          <w:color w:val="000000"/>
          <w:sz w:val="20"/>
          <w:szCs w:val="20"/>
          <w:shd w:val="clear" w:color="auto" w:fill="FFFFFF"/>
          <w:lang w:val="es-ES"/>
        </w:rPr>
        <w:t>de que el hecho de que el señor Housel no haya podido mostrar que el desempeño de su abogado fue inadecuado fue el motivo por el cual la Corte de Distrito denegó la reparación para dicha reclamación.</w:t>
      </w:r>
    </w:p>
    <w:p w14:paraId="79CCEE93" w14:textId="77777777" w:rsidR="008A0FD2" w:rsidRPr="006177F7" w:rsidRDefault="008A0FD2" w:rsidP="00273645">
      <w:pPr>
        <w:jc w:val="both"/>
        <w:rPr>
          <w:rFonts w:asciiTheme="majorHAnsi" w:eastAsia="Times New Roman" w:hAnsiTheme="majorHAnsi"/>
          <w:sz w:val="20"/>
          <w:szCs w:val="20"/>
          <w:lang w:val="es-ES"/>
        </w:rPr>
      </w:pPr>
    </w:p>
    <w:p w14:paraId="45E98699" w14:textId="77777777" w:rsidR="001C4006" w:rsidRPr="00E018FC" w:rsidRDefault="007363E4" w:rsidP="00E018FC">
      <w:pPr>
        <w:pStyle w:val="Heading1"/>
        <w:tabs>
          <w:tab w:val="left" w:pos="360"/>
        </w:tabs>
        <w:spacing w:before="0"/>
        <w:ind w:left="0" w:firstLine="0"/>
        <w:rPr>
          <w:color w:val="auto"/>
          <w:sz w:val="20"/>
          <w:szCs w:val="20"/>
        </w:rPr>
      </w:pPr>
      <w:bookmarkStart w:id="7" w:name="_Toc150529891"/>
      <w:bookmarkStart w:id="8" w:name="_Toc22826176"/>
      <w:r w:rsidRPr="00E018FC">
        <w:rPr>
          <w:color w:val="auto"/>
          <w:sz w:val="20"/>
          <w:szCs w:val="20"/>
        </w:rPr>
        <w:t>DETERMINACIONES FÁCTICAS</w:t>
      </w:r>
      <w:bookmarkEnd w:id="7"/>
      <w:r w:rsidRPr="00E018FC">
        <w:rPr>
          <w:color w:val="auto"/>
          <w:sz w:val="20"/>
          <w:szCs w:val="20"/>
        </w:rPr>
        <w:t xml:space="preserve"> </w:t>
      </w:r>
      <w:bookmarkEnd w:id="8"/>
    </w:p>
    <w:p w14:paraId="2ADD658A" w14:textId="77777777" w:rsidR="00E576F7" w:rsidRPr="00DE2580" w:rsidRDefault="00E576F7" w:rsidP="00E576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0A8D1D54" w14:textId="77777777" w:rsidR="00A74BB4" w:rsidRPr="00A74BB4" w:rsidRDefault="00A74BB4"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A74BB4">
        <w:rPr>
          <w:rFonts w:asciiTheme="majorHAnsi" w:hAnsiTheme="majorHAnsi"/>
          <w:sz w:val="20"/>
          <w:szCs w:val="20"/>
          <w:lang w:val="es-ES"/>
        </w:rPr>
        <w:t>En aplicación del artículo 43 (1</w:t>
      </w:r>
      <w:r w:rsidR="00BB6678">
        <w:rPr>
          <w:rFonts w:asciiTheme="majorHAnsi" w:hAnsiTheme="majorHAnsi"/>
          <w:sz w:val="20"/>
          <w:szCs w:val="20"/>
          <w:lang w:val="es-ES"/>
        </w:rPr>
        <w:t>)</w:t>
      </w:r>
      <w:r w:rsidRPr="00A74BB4">
        <w:rPr>
          <w:rFonts w:asciiTheme="majorHAnsi" w:hAnsiTheme="majorHAnsi"/>
          <w:sz w:val="20"/>
          <w:szCs w:val="20"/>
          <w:lang w:val="es-ES"/>
        </w:rPr>
        <w:t xml:space="preserve"> d</w:t>
      </w:r>
      <w:r w:rsidR="00236057">
        <w:rPr>
          <w:rFonts w:asciiTheme="majorHAnsi" w:hAnsiTheme="majorHAnsi"/>
          <w:sz w:val="20"/>
          <w:szCs w:val="20"/>
          <w:lang w:val="es-ES"/>
        </w:rPr>
        <w:t>e su</w:t>
      </w:r>
      <w:r>
        <w:rPr>
          <w:rFonts w:asciiTheme="majorHAnsi" w:hAnsiTheme="majorHAnsi"/>
          <w:sz w:val="20"/>
          <w:szCs w:val="20"/>
          <w:lang w:val="es-ES"/>
        </w:rPr>
        <w:t xml:space="preserve"> Reglamento, la CIDH examinará los argumentos y las pruebas </w:t>
      </w:r>
      <w:r w:rsidR="009E329B">
        <w:rPr>
          <w:rFonts w:asciiTheme="majorHAnsi" w:hAnsiTheme="majorHAnsi"/>
          <w:sz w:val="20"/>
          <w:szCs w:val="20"/>
          <w:lang w:val="es-ES"/>
        </w:rPr>
        <w:t>que aportaron</w:t>
      </w:r>
      <w:r w:rsidR="00105462">
        <w:rPr>
          <w:rFonts w:asciiTheme="majorHAnsi" w:hAnsiTheme="majorHAnsi"/>
          <w:sz w:val="20"/>
          <w:szCs w:val="20"/>
          <w:lang w:val="es-ES"/>
        </w:rPr>
        <w:t xml:space="preserve"> los peticionarios y el Estado. </w:t>
      </w:r>
      <w:r w:rsidR="00105462" w:rsidRPr="00105462">
        <w:rPr>
          <w:rFonts w:asciiTheme="majorHAnsi" w:hAnsiTheme="majorHAnsi"/>
          <w:sz w:val="20"/>
          <w:szCs w:val="20"/>
          <w:lang w:val="es-ES"/>
        </w:rPr>
        <w:t xml:space="preserve">Asimismo, la Comisión tendrá en cuenta la información disponible públicamente que pueda ser </w:t>
      </w:r>
      <w:r w:rsidR="00680A75">
        <w:rPr>
          <w:rFonts w:asciiTheme="majorHAnsi" w:hAnsiTheme="majorHAnsi"/>
          <w:sz w:val="20"/>
          <w:szCs w:val="20"/>
          <w:lang w:val="es-ES"/>
        </w:rPr>
        <w:t>pertinente</w:t>
      </w:r>
      <w:r w:rsidR="00105462" w:rsidRPr="00105462">
        <w:rPr>
          <w:rFonts w:asciiTheme="majorHAnsi" w:hAnsiTheme="majorHAnsi"/>
          <w:sz w:val="20"/>
          <w:szCs w:val="20"/>
          <w:lang w:val="es-ES"/>
        </w:rPr>
        <w:t xml:space="preserve"> para el análisis y la decisión del presente caso.</w:t>
      </w:r>
    </w:p>
    <w:p w14:paraId="62AAC9D9" w14:textId="77777777" w:rsidR="00A74BB4" w:rsidRPr="00105462" w:rsidRDefault="00A74BB4" w:rsidP="00A74B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lang w:val="es-ES"/>
        </w:rPr>
      </w:pPr>
    </w:p>
    <w:p w14:paraId="4D0E7BB9" w14:textId="77777777" w:rsidR="00680A75" w:rsidRPr="000975C0" w:rsidRDefault="00317386" w:rsidP="00E018FC">
      <w:pPr>
        <w:pStyle w:val="Heading2"/>
        <w:tabs>
          <w:tab w:val="left" w:pos="360"/>
        </w:tabs>
        <w:spacing w:before="0"/>
        <w:rPr>
          <w:color w:val="auto"/>
          <w:sz w:val="20"/>
          <w:szCs w:val="20"/>
          <w:lang w:val="es-ES"/>
        </w:rPr>
      </w:pPr>
      <w:bookmarkStart w:id="9" w:name="_Toc150529892"/>
      <w:bookmarkStart w:id="10" w:name="_Toc22734003"/>
      <w:bookmarkStart w:id="11" w:name="_Toc22826177"/>
      <w:r w:rsidRPr="000975C0">
        <w:rPr>
          <w:color w:val="auto"/>
          <w:sz w:val="20"/>
          <w:szCs w:val="20"/>
          <w:lang w:val="es-ES"/>
        </w:rPr>
        <w:t xml:space="preserve">A. </w:t>
      </w:r>
      <w:r w:rsidRPr="000975C0">
        <w:rPr>
          <w:color w:val="auto"/>
          <w:sz w:val="20"/>
          <w:szCs w:val="20"/>
          <w:lang w:val="es-ES"/>
        </w:rPr>
        <w:tab/>
      </w:r>
      <w:r w:rsidR="00680A75" w:rsidRPr="000975C0">
        <w:rPr>
          <w:color w:val="auto"/>
          <w:sz w:val="20"/>
          <w:szCs w:val="20"/>
          <w:lang w:val="es-ES"/>
        </w:rPr>
        <w:t>Antecedentes de hecho, juicio y sentencia de muerte</w:t>
      </w:r>
      <w:bookmarkEnd w:id="9"/>
    </w:p>
    <w:bookmarkEnd w:id="10"/>
    <w:bookmarkEnd w:id="11"/>
    <w:p w14:paraId="3FAD45A5" w14:textId="77777777" w:rsidR="00815FD5" w:rsidRPr="006177F7" w:rsidRDefault="00815FD5" w:rsidP="00815FD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
        </w:rPr>
      </w:pPr>
    </w:p>
    <w:p w14:paraId="755591D2" w14:textId="77777777" w:rsidR="005827BF" w:rsidRPr="005827BF" w:rsidRDefault="005827BF"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5827BF">
        <w:rPr>
          <w:rFonts w:asciiTheme="majorHAnsi" w:eastAsia="Times New Roman" w:hAnsiTheme="majorHAnsi"/>
          <w:sz w:val="20"/>
          <w:szCs w:val="20"/>
          <w:lang w:val="es-ES"/>
        </w:rPr>
        <w:t xml:space="preserve">El señor </w:t>
      </w:r>
      <w:r w:rsidR="003538F7" w:rsidRPr="005827BF">
        <w:rPr>
          <w:rFonts w:asciiTheme="majorHAnsi" w:eastAsia="Times New Roman" w:hAnsiTheme="majorHAnsi"/>
          <w:sz w:val="20"/>
          <w:szCs w:val="20"/>
          <w:lang w:val="es-ES"/>
        </w:rPr>
        <w:t xml:space="preserve">Tracy Lee Housel, </w:t>
      </w:r>
      <w:r w:rsidRPr="005827BF">
        <w:rPr>
          <w:rFonts w:asciiTheme="majorHAnsi" w:eastAsia="Times New Roman" w:hAnsiTheme="majorHAnsi"/>
          <w:sz w:val="20"/>
          <w:szCs w:val="20"/>
          <w:lang w:val="es-ES"/>
        </w:rPr>
        <w:t>ci</w:t>
      </w:r>
      <w:r>
        <w:rPr>
          <w:rFonts w:asciiTheme="majorHAnsi" w:eastAsia="Times New Roman" w:hAnsiTheme="majorHAnsi"/>
          <w:sz w:val="20"/>
          <w:szCs w:val="20"/>
          <w:lang w:val="es-ES"/>
        </w:rPr>
        <w:t xml:space="preserve">udadano de los Estados Unidos y del Reino Unido, fue juzgado y declarado culpable de los delitos de homicidio y hurto de </w:t>
      </w:r>
      <w:r w:rsidR="00006932">
        <w:rPr>
          <w:rFonts w:asciiTheme="majorHAnsi" w:eastAsia="Times New Roman" w:hAnsiTheme="majorHAnsi"/>
          <w:sz w:val="20"/>
          <w:szCs w:val="20"/>
          <w:lang w:val="es-ES"/>
        </w:rPr>
        <w:t>automóvil</w:t>
      </w:r>
      <w:r>
        <w:rPr>
          <w:rFonts w:asciiTheme="majorHAnsi" w:eastAsia="Times New Roman" w:hAnsiTheme="majorHAnsi"/>
          <w:sz w:val="20"/>
          <w:szCs w:val="20"/>
          <w:lang w:val="es-ES"/>
        </w:rPr>
        <w:t xml:space="preserve"> en</w:t>
      </w:r>
      <w:r w:rsidR="00A80CC5">
        <w:rPr>
          <w:rFonts w:asciiTheme="majorHAnsi" w:eastAsia="Times New Roman" w:hAnsiTheme="majorHAnsi"/>
          <w:sz w:val="20"/>
          <w:szCs w:val="20"/>
          <w:lang w:val="es-ES"/>
        </w:rPr>
        <w:t xml:space="preserve"> la Corte Superior de Gwinnett County, en </w:t>
      </w:r>
      <w:r>
        <w:rPr>
          <w:rFonts w:asciiTheme="majorHAnsi" w:eastAsia="Times New Roman" w:hAnsiTheme="majorHAnsi"/>
          <w:sz w:val="20"/>
          <w:szCs w:val="20"/>
          <w:lang w:val="es-ES"/>
        </w:rPr>
        <w:t>el Estado de Georgia y sentenciado a muerte el 7 de febrero de 1986.</w:t>
      </w:r>
    </w:p>
    <w:p w14:paraId="6EC81F0C" w14:textId="77777777" w:rsidR="00CB004A" w:rsidRPr="006177F7" w:rsidRDefault="00CB004A" w:rsidP="00CB004A">
      <w:pPr>
        <w:pStyle w:val="ListParagraph"/>
        <w:rPr>
          <w:rFonts w:asciiTheme="majorHAnsi" w:eastAsia="Times New Roman" w:hAnsiTheme="majorHAnsi"/>
          <w:sz w:val="20"/>
          <w:szCs w:val="20"/>
          <w:lang w:val="es-ES"/>
        </w:rPr>
      </w:pPr>
    </w:p>
    <w:p w14:paraId="0E5BEFA5" w14:textId="77777777" w:rsidR="00FC1BBF" w:rsidRPr="009018DD" w:rsidRDefault="008255CF" w:rsidP="00CB00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8255CF">
        <w:rPr>
          <w:rFonts w:asciiTheme="majorHAnsi" w:eastAsia="Times New Roman" w:hAnsiTheme="majorHAnsi"/>
          <w:sz w:val="20"/>
          <w:szCs w:val="20"/>
          <w:lang w:val="es-ES"/>
        </w:rPr>
        <w:t>En el juicio, el s</w:t>
      </w:r>
      <w:r>
        <w:rPr>
          <w:rFonts w:asciiTheme="majorHAnsi" w:eastAsia="Times New Roman" w:hAnsiTheme="majorHAnsi"/>
          <w:sz w:val="20"/>
          <w:szCs w:val="20"/>
          <w:lang w:val="es-ES"/>
        </w:rPr>
        <w:t>eñor Housel relató que se encontró con la víctima Jean Drew, en una parada de camiones.</w:t>
      </w:r>
      <w:r w:rsidR="00B30364">
        <w:rPr>
          <w:rFonts w:asciiTheme="majorHAnsi" w:eastAsia="Times New Roman" w:hAnsiTheme="majorHAnsi"/>
          <w:sz w:val="20"/>
          <w:szCs w:val="20"/>
          <w:lang w:val="es-ES"/>
        </w:rPr>
        <w:t xml:space="preserve"> Él </w:t>
      </w:r>
      <w:r w:rsidR="003F42C4">
        <w:rPr>
          <w:rFonts w:asciiTheme="majorHAnsi" w:eastAsia="Times New Roman" w:hAnsiTheme="majorHAnsi"/>
          <w:sz w:val="20"/>
          <w:szCs w:val="20"/>
          <w:lang w:val="es-ES"/>
        </w:rPr>
        <w:t>afirma</w:t>
      </w:r>
      <w:r w:rsidR="00B30364">
        <w:rPr>
          <w:rFonts w:asciiTheme="majorHAnsi" w:eastAsia="Times New Roman" w:hAnsiTheme="majorHAnsi"/>
          <w:sz w:val="20"/>
          <w:szCs w:val="20"/>
          <w:lang w:val="es-ES"/>
        </w:rPr>
        <w:t xml:space="preserve"> que luego tuvo relaciones sexuales con ella y después de una discusión debido a que él escupió en la ventana del automóvil de ella, él perdió la paciencia y comenzó a pegarle a la víctima con sus puños. Alegó que la ahogó y estranguló y luego recogió un palo y le pegó en la cara hasta dejarla toda </w:t>
      </w:r>
      <w:r w:rsidR="000B3618">
        <w:rPr>
          <w:rFonts w:asciiTheme="majorHAnsi" w:eastAsia="Times New Roman" w:hAnsiTheme="majorHAnsi"/>
          <w:sz w:val="20"/>
          <w:szCs w:val="20"/>
          <w:lang w:val="es-ES"/>
        </w:rPr>
        <w:t>“</w:t>
      </w:r>
      <w:r w:rsidR="00B30364">
        <w:rPr>
          <w:rFonts w:asciiTheme="majorHAnsi" w:eastAsia="Times New Roman" w:hAnsiTheme="majorHAnsi"/>
          <w:sz w:val="20"/>
          <w:szCs w:val="20"/>
          <w:lang w:val="es-ES"/>
        </w:rPr>
        <w:t>ensangrentada</w:t>
      </w:r>
      <w:r w:rsidR="000B3618">
        <w:rPr>
          <w:rFonts w:asciiTheme="majorHAnsi" w:eastAsia="Times New Roman" w:hAnsiTheme="majorHAnsi"/>
          <w:sz w:val="20"/>
          <w:szCs w:val="20"/>
          <w:lang w:val="es-ES"/>
        </w:rPr>
        <w:t>”</w:t>
      </w:r>
      <w:r w:rsidR="00B30364">
        <w:rPr>
          <w:rFonts w:asciiTheme="majorHAnsi" w:eastAsia="Times New Roman" w:hAnsiTheme="majorHAnsi"/>
          <w:sz w:val="20"/>
          <w:szCs w:val="20"/>
          <w:lang w:val="es-ES"/>
        </w:rPr>
        <w:t>.</w:t>
      </w:r>
      <w:r w:rsidR="00B30364" w:rsidRPr="000B3618">
        <w:rPr>
          <w:rStyle w:val="FootnoteReference"/>
          <w:rFonts w:asciiTheme="majorHAnsi" w:hAnsiTheme="majorHAnsi"/>
          <w:sz w:val="20"/>
          <w:szCs w:val="20"/>
          <w:lang w:val="es-ES"/>
        </w:rPr>
        <w:t xml:space="preserve"> </w:t>
      </w:r>
      <w:r w:rsidR="00B30364" w:rsidRPr="00DE2580">
        <w:rPr>
          <w:rStyle w:val="FootnoteReference"/>
          <w:rFonts w:asciiTheme="majorHAnsi" w:hAnsiTheme="majorHAnsi"/>
          <w:sz w:val="20"/>
          <w:szCs w:val="20"/>
        </w:rPr>
        <w:footnoteReference w:id="9"/>
      </w:r>
      <w:r w:rsidR="00306234">
        <w:rPr>
          <w:rFonts w:asciiTheme="majorHAnsi" w:hAnsiTheme="majorHAnsi"/>
          <w:sz w:val="20"/>
          <w:szCs w:val="20"/>
          <w:lang w:val="es-ES"/>
        </w:rPr>
        <w:t xml:space="preserve"> </w:t>
      </w:r>
      <w:r w:rsidR="003E745C">
        <w:rPr>
          <w:rFonts w:asciiTheme="majorHAnsi" w:hAnsiTheme="majorHAnsi"/>
          <w:sz w:val="20"/>
          <w:szCs w:val="20"/>
          <w:lang w:val="es-ES"/>
        </w:rPr>
        <w:t xml:space="preserve">La petición estipula </w:t>
      </w:r>
      <w:r w:rsidR="003F5BB0">
        <w:rPr>
          <w:rFonts w:asciiTheme="majorHAnsi" w:hAnsiTheme="majorHAnsi"/>
          <w:sz w:val="20"/>
          <w:szCs w:val="20"/>
          <w:lang w:val="es-ES"/>
        </w:rPr>
        <w:t xml:space="preserve">que el 4 de junio de 1985, el señor Housel fue acusado por un gran jurado en el Estado de Georgia por </w:t>
      </w:r>
      <w:r w:rsidR="00FC1BBF">
        <w:rPr>
          <w:rFonts w:asciiTheme="majorHAnsi" w:hAnsiTheme="majorHAnsi"/>
          <w:sz w:val="20"/>
          <w:szCs w:val="20"/>
          <w:lang w:val="es-ES"/>
        </w:rPr>
        <w:t>los delitos de homicidio, violación, hurto de automotor y hurto de tarjeta de transacciones financieras.</w:t>
      </w:r>
      <w:r w:rsidR="00E23A6C">
        <w:rPr>
          <w:rFonts w:asciiTheme="majorHAnsi" w:hAnsiTheme="majorHAnsi"/>
          <w:sz w:val="20"/>
          <w:szCs w:val="20"/>
          <w:lang w:val="es-ES"/>
        </w:rPr>
        <w:t xml:space="preserve"> El 4 de febrero de 1986, posteriormente a </w:t>
      </w:r>
      <w:r w:rsidR="00F43FDB">
        <w:rPr>
          <w:rFonts w:asciiTheme="majorHAnsi" w:hAnsiTheme="majorHAnsi"/>
          <w:sz w:val="20"/>
          <w:szCs w:val="20"/>
          <w:lang w:val="es-ES"/>
        </w:rPr>
        <w:t>l</w:t>
      </w:r>
      <w:r w:rsidR="00E23A6C">
        <w:rPr>
          <w:rFonts w:asciiTheme="majorHAnsi" w:hAnsiTheme="majorHAnsi"/>
          <w:sz w:val="20"/>
          <w:szCs w:val="20"/>
          <w:lang w:val="es-ES"/>
        </w:rPr>
        <w:t>a selección de un jurado para el juicio</w:t>
      </w:r>
      <w:r w:rsidR="000238BA">
        <w:rPr>
          <w:rFonts w:asciiTheme="majorHAnsi" w:hAnsiTheme="majorHAnsi"/>
          <w:sz w:val="20"/>
          <w:szCs w:val="20"/>
          <w:lang w:val="es-ES"/>
        </w:rPr>
        <w:t xml:space="preserve"> de dictado de sentencia</w:t>
      </w:r>
      <w:r w:rsidR="00E23A6C">
        <w:rPr>
          <w:rFonts w:asciiTheme="majorHAnsi" w:hAnsiTheme="majorHAnsi"/>
          <w:sz w:val="20"/>
          <w:szCs w:val="20"/>
          <w:lang w:val="es-ES"/>
        </w:rPr>
        <w:t>, el señor Housel</w:t>
      </w:r>
      <w:r w:rsidR="00A96A24">
        <w:rPr>
          <w:rFonts w:asciiTheme="majorHAnsi" w:hAnsiTheme="majorHAnsi"/>
          <w:sz w:val="20"/>
          <w:szCs w:val="20"/>
          <w:lang w:val="es-ES"/>
        </w:rPr>
        <w:t xml:space="preserve"> llegó a un acuerdo negociado de aceptación de culpabilidad</w:t>
      </w:r>
      <w:r w:rsidR="009018DD">
        <w:rPr>
          <w:rFonts w:asciiTheme="majorHAnsi" w:hAnsiTheme="majorHAnsi"/>
          <w:sz w:val="20"/>
          <w:szCs w:val="20"/>
          <w:lang w:val="es-ES"/>
        </w:rPr>
        <w:t xml:space="preserve"> con la fiscalía y, </w:t>
      </w:r>
      <w:r w:rsidR="009018DD" w:rsidRPr="009018DD">
        <w:rPr>
          <w:rFonts w:asciiTheme="majorHAnsi" w:hAnsiTheme="majorHAnsi"/>
          <w:color w:val="000000"/>
          <w:sz w:val="20"/>
          <w:szCs w:val="20"/>
          <w:shd w:val="clear" w:color="auto" w:fill="FFFFFF"/>
          <w:lang w:val="es-ES"/>
        </w:rPr>
        <w:t xml:space="preserve">a cambio de la eliminación del cargo de violación, se declaró culpable de homicidio </w:t>
      </w:r>
      <w:r w:rsidR="00945A7E">
        <w:rPr>
          <w:rFonts w:asciiTheme="majorHAnsi" w:hAnsiTheme="majorHAnsi"/>
          <w:color w:val="000000"/>
          <w:sz w:val="20"/>
          <w:szCs w:val="20"/>
          <w:shd w:val="clear" w:color="auto" w:fill="FFFFFF"/>
          <w:lang w:val="es-ES"/>
        </w:rPr>
        <w:t>punible con</w:t>
      </w:r>
      <w:r w:rsidR="009018DD" w:rsidRPr="009018DD">
        <w:rPr>
          <w:rFonts w:asciiTheme="majorHAnsi" w:hAnsiTheme="majorHAnsi"/>
          <w:color w:val="000000"/>
          <w:sz w:val="20"/>
          <w:szCs w:val="20"/>
          <w:shd w:val="clear" w:color="auto" w:fill="FFFFFF"/>
          <w:lang w:val="es-ES"/>
        </w:rPr>
        <w:t xml:space="preserve"> la pena </w:t>
      </w:r>
      <w:r w:rsidR="00945A7E">
        <w:rPr>
          <w:rFonts w:asciiTheme="majorHAnsi" w:hAnsiTheme="majorHAnsi"/>
          <w:color w:val="000000"/>
          <w:sz w:val="20"/>
          <w:szCs w:val="20"/>
          <w:shd w:val="clear" w:color="auto" w:fill="FFFFFF"/>
          <w:lang w:val="es-ES"/>
        </w:rPr>
        <w:t>de muerte</w:t>
      </w:r>
      <w:r w:rsidR="009018DD" w:rsidRPr="009018DD">
        <w:rPr>
          <w:rFonts w:asciiTheme="majorHAnsi" w:hAnsiTheme="majorHAnsi"/>
          <w:color w:val="000000"/>
          <w:sz w:val="20"/>
          <w:szCs w:val="20"/>
          <w:shd w:val="clear" w:color="auto" w:fill="FFFFFF"/>
          <w:lang w:val="es-ES"/>
        </w:rPr>
        <w:t xml:space="preserve"> y hurto de automotor</w:t>
      </w:r>
      <w:r w:rsidR="009018DD">
        <w:rPr>
          <w:rFonts w:asciiTheme="majorHAnsi" w:hAnsiTheme="majorHAnsi"/>
          <w:color w:val="000000"/>
          <w:sz w:val="20"/>
          <w:szCs w:val="20"/>
          <w:shd w:val="clear" w:color="auto" w:fill="FFFFFF"/>
          <w:lang w:val="es-ES"/>
        </w:rPr>
        <w:t>. El acuerdo no preveía una recomendación de lenidad en la</w:t>
      </w:r>
      <w:r w:rsidR="001B21F7">
        <w:rPr>
          <w:rFonts w:asciiTheme="majorHAnsi" w:hAnsiTheme="majorHAnsi"/>
          <w:color w:val="000000"/>
          <w:sz w:val="20"/>
          <w:szCs w:val="20"/>
          <w:shd w:val="clear" w:color="auto" w:fill="FFFFFF"/>
          <w:lang w:val="es-ES"/>
        </w:rPr>
        <w:t xml:space="preserve"> sentencia</w:t>
      </w:r>
      <w:r w:rsidR="009018DD">
        <w:rPr>
          <w:rFonts w:asciiTheme="majorHAnsi" w:hAnsiTheme="majorHAnsi"/>
          <w:color w:val="000000"/>
          <w:sz w:val="20"/>
          <w:szCs w:val="20"/>
          <w:shd w:val="clear" w:color="auto" w:fill="FFFFFF"/>
          <w:lang w:val="es-ES"/>
        </w:rPr>
        <w:t>.  Posteriormente a la audiencia referente al acuerdo, se celebró una audiencia de dictado de sentencia en presencia del jurado.</w:t>
      </w:r>
    </w:p>
    <w:p w14:paraId="78055026" w14:textId="77777777" w:rsidR="00FC1BBF" w:rsidRDefault="00FC1BBF" w:rsidP="00FC1BB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7EE0BF62" w14:textId="77777777" w:rsidR="009E027C" w:rsidRPr="00C36A73" w:rsidRDefault="00BF1E5E" w:rsidP="00C36A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lang w:val="es-ES"/>
        </w:rPr>
      </w:pPr>
      <w:r w:rsidRPr="00C36A73">
        <w:rPr>
          <w:rFonts w:asciiTheme="majorHAnsi" w:hAnsiTheme="majorHAnsi"/>
          <w:sz w:val="20"/>
          <w:szCs w:val="20"/>
          <w:lang w:val="es-ES"/>
        </w:rPr>
        <w:t>En la audiencia de dictado de sentencia del señor Housel, la fiscalía introdujo pruebas que indicaban que el señor Housel</w:t>
      </w:r>
      <w:r w:rsidR="00E01E2B">
        <w:rPr>
          <w:rFonts w:asciiTheme="majorHAnsi" w:hAnsiTheme="majorHAnsi"/>
          <w:sz w:val="20"/>
          <w:szCs w:val="20"/>
          <w:lang w:val="es-ES"/>
        </w:rPr>
        <w:t xml:space="preserve"> había golpeado</w:t>
      </w:r>
      <w:r w:rsidRPr="00C36A73">
        <w:rPr>
          <w:rFonts w:asciiTheme="majorHAnsi" w:hAnsiTheme="majorHAnsi"/>
          <w:sz w:val="20"/>
          <w:szCs w:val="20"/>
          <w:lang w:val="es-ES"/>
        </w:rPr>
        <w:t xml:space="preserve"> a un hombre hasta matarlo en Texas, en una disputa sobre cocaína, después de haberlo violado </w:t>
      </w:r>
      <w:r w:rsidR="00807D54" w:rsidRPr="00C36A73">
        <w:rPr>
          <w:rFonts w:asciiTheme="majorHAnsi" w:hAnsiTheme="majorHAnsi"/>
          <w:sz w:val="20"/>
          <w:szCs w:val="20"/>
          <w:lang w:val="es-ES"/>
        </w:rPr>
        <w:t>en forma anal</w:t>
      </w:r>
      <w:r w:rsidR="00847D00" w:rsidRPr="00C36A73">
        <w:rPr>
          <w:rFonts w:asciiTheme="majorHAnsi" w:hAnsiTheme="majorHAnsi"/>
          <w:sz w:val="20"/>
          <w:szCs w:val="20"/>
          <w:lang w:val="es-ES"/>
        </w:rPr>
        <w:t xml:space="preserve">; en otra ocasión, apuñaló repetidas veces a un hombre, lo empujó </w:t>
      </w:r>
      <w:r w:rsidR="002535F1" w:rsidRPr="00C36A73">
        <w:rPr>
          <w:rFonts w:asciiTheme="majorHAnsi" w:hAnsiTheme="majorHAnsi"/>
          <w:sz w:val="20"/>
          <w:szCs w:val="20"/>
          <w:lang w:val="es-ES"/>
        </w:rPr>
        <w:t xml:space="preserve">a un terraplén y </w:t>
      </w:r>
      <w:r w:rsidR="002535F1" w:rsidRPr="001332F2">
        <w:rPr>
          <w:rFonts w:asciiTheme="majorHAnsi" w:hAnsiTheme="majorHAnsi"/>
          <w:sz w:val="20"/>
          <w:szCs w:val="20"/>
          <w:lang w:val="es-ES"/>
        </w:rPr>
        <w:t xml:space="preserve">lo dejó muriéndose </w:t>
      </w:r>
      <w:r w:rsidR="007F6B79">
        <w:rPr>
          <w:rFonts w:asciiTheme="majorHAnsi" w:hAnsiTheme="majorHAnsi"/>
          <w:sz w:val="20"/>
          <w:szCs w:val="20"/>
          <w:lang w:val="es-ES"/>
        </w:rPr>
        <w:t xml:space="preserve">en </w:t>
      </w:r>
      <w:r w:rsidR="00E85E7B" w:rsidRPr="00C36A73">
        <w:rPr>
          <w:rFonts w:asciiTheme="majorHAnsi" w:hAnsiTheme="majorHAnsi"/>
          <w:sz w:val="20"/>
          <w:szCs w:val="20"/>
          <w:lang w:val="es-ES"/>
        </w:rPr>
        <w:t xml:space="preserve">temperaturas de un </w:t>
      </w:r>
      <w:r w:rsidR="007314E5">
        <w:rPr>
          <w:rFonts w:asciiTheme="majorHAnsi" w:hAnsiTheme="majorHAnsi"/>
          <w:sz w:val="20"/>
          <w:szCs w:val="20"/>
          <w:lang w:val="es-ES"/>
        </w:rPr>
        <w:t xml:space="preserve">solo </w:t>
      </w:r>
      <w:r w:rsidR="00E85E7B" w:rsidRPr="00C36A73">
        <w:rPr>
          <w:rFonts w:asciiTheme="majorHAnsi" w:hAnsiTheme="majorHAnsi"/>
          <w:sz w:val="20"/>
          <w:szCs w:val="20"/>
          <w:lang w:val="es-ES"/>
        </w:rPr>
        <w:t>dígito</w:t>
      </w:r>
      <w:r w:rsidR="004254D0" w:rsidRPr="00C36A73">
        <w:rPr>
          <w:rFonts w:asciiTheme="majorHAnsi" w:hAnsiTheme="majorHAnsi"/>
          <w:sz w:val="20"/>
          <w:szCs w:val="20"/>
          <w:lang w:val="es-ES"/>
        </w:rPr>
        <w:t>; y en otro incidente, forzó a una mujer a practicar sexo oral</w:t>
      </w:r>
      <w:r w:rsidR="00E63A9C" w:rsidRPr="00C36A73">
        <w:rPr>
          <w:rFonts w:asciiTheme="majorHAnsi" w:hAnsiTheme="majorHAnsi"/>
          <w:sz w:val="20"/>
          <w:szCs w:val="20"/>
          <w:lang w:val="es-ES"/>
        </w:rPr>
        <w:t xml:space="preserve"> </w:t>
      </w:r>
      <w:r w:rsidR="00CE420F" w:rsidRPr="00C36A73">
        <w:rPr>
          <w:rFonts w:asciiTheme="majorHAnsi" w:hAnsiTheme="majorHAnsi"/>
          <w:sz w:val="20"/>
          <w:szCs w:val="20"/>
          <w:lang w:val="es-ES"/>
        </w:rPr>
        <w:t xml:space="preserve">en él en New Jersey. Con respecto al delito por el cual el señor Housel estaba siendo juzgado, la fiscalía presentó pruebas de que él había golpeado y estrangulado a Jean Drew hasta matarla, y había abandonado </w:t>
      </w:r>
      <w:r w:rsidR="001332F2">
        <w:rPr>
          <w:rFonts w:asciiTheme="majorHAnsi" w:hAnsiTheme="majorHAnsi"/>
          <w:sz w:val="20"/>
          <w:szCs w:val="20"/>
          <w:lang w:val="es-ES"/>
        </w:rPr>
        <w:t xml:space="preserve">su </w:t>
      </w:r>
      <w:r w:rsidR="00CE420F" w:rsidRPr="00C36A73">
        <w:rPr>
          <w:rFonts w:asciiTheme="majorHAnsi" w:hAnsiTheme="majorHAnsi"/>
          <w:sz w:val="20"/>
          <w:szCs w:val="20"/>
          <w:lang w:val="es-ES"/>
        </w:rPr>
        <w:t>destrozado e irreconocible cuerpo en un terreno baldío.</w:t>
      </w:r>
      <w:r w:rsidR="00CE420F" w:rsidRPr="00DE2580">
        <w:rPr>
          <w:rStyle w:val="FootnoteReference"/>
          <w:rFonts w:asciiTheme="majorHAnsi" w:hAnsiTheme="majorHAnsi"/>
          <w:sz w:val="20"/>
          <w:szCs w:val="20"/>
        </w:rPr>
        <w:footnoteReference w:id="10"/>
      </w:r>
      <w:r w:rsidR="00CE420F" w:rsidRPr="00C36A73">
        <w:rPr>
          <w:rFonts w:asciiTheme="majorHAnsi" w:hAnsiTheme="majorHAnsi"/>
          <w:sz w:val="20"/>
          <w:szCs w:val="20"/>
          <w:lang w:val="es-ES"/>
        </w:rPr>
        <w:t xml:space="preserve"> </w:t>
      </w:r>
    </w:p>
    <w:p w14:paraId="0F1AFCEE" w14:textId="77777777" w:rsidR="009E027C" w:rsidRPr="00BF1E5E" w:rsidRDefault="009E027C" w:rsidP="009E027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1965E059" w14:textId="77777777" w:rsidR="000250FC" w:rsidRPr="000250FC" w:rsidRDefault="000250FC" w:rsidP="006228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250FC">
        <w:rPr>
          <w:rFonts w:asciiTheme="majorHAnsi" w:hAnsiTheme="majorHAnsi"/>
          <w:sz w:val="20"/>
          <w:szCs w:val="20"/>
          <w:lang w:val="es-ES"/>
        </w:rPr>
        <w:t xml:space="preserve">El señor Housel respondió y confesó todos los </w:t>
      </w:r>
      <w:r w:rsidR="00CF171F">
        <w:rPr>
          <w:rFonts w:asciiTheme="majorHAnsi" w:hAnsiTheme="majorHAnsi"/>
          <w:sz w:val="20"/>
          <w:szCs w:val="20"/>
          <w:lang w:val="es-ES"/>
        </w:rPr>
        <w:t>delitos</w:t>
      </w:r>
      <w:r>
        <w:rPr>
          <w:rFonts w:asciiTheme="majorHAnsi" w:hAnsiTheme="majorHAnsi"/>
          <w:sz w:val="20"/>
          <w:szCs w:val="20"/>
          <w:lang w:val="es-ES"/>
        </w:rPr>
        <w:t xml:space="preserve"> excepto el ataque sexual en New Jersey, </w:t>
      </w:r>
      <w:r w:rsidR="00CF171F">
        <w:rPr>
          <w:rFonts w:asciiTheme="majorHAnsi" w:hAnsiTheme="majorHAnsi"/>
          <w:sz w:val="20"/>
          <w:szCs w:val="20"/>
          <w:lang w:val="es-ES"/>
        </w:rPr>
        <w:t xml:space="preserve">sobre </w:t>
      </w:r>
      <w:r>
        <w:rPr>
          <w:rFonts w:asciiTheme="majorHAnsi" w:hAnsiTheme="majorHAnsi"/>
          <w:sz w:val="20"/>
          <w:szCs w:val="20"/>
          <w:lang w:val="es-ES"/>
        </w:rPr>
        <w:t xml:space="preserve">el cual declaró que fue de común acuerdo. El juez de primera instancia permitió que el jurado considerara todas las pruebas de los “demás delitos”. El jurado </w:t>
      </w:r>
      <w:r w:rsidR="002F1626">
        <w:rPr>
          <w:rFonts w:asciiTheme="majorHAnsi" w:hAnsiTheme="majorHAnsi"/>
          <w:sz w:val="20"/>
          <w:szCs w:val="20"/>
          <w:lang w:val="es-ES"/>
        </w:rPr>
        <w:t>encontró,</w:t>
      </w:r>
      <w:r w:rsidR="00D37CDB">
        <w:rPr>
          <w:rFonts w:asciiTheme="majorHAnsi" w:hAnsiTheme="majorHAnsi"/>
          <w:sz w:val="20"/>
          <w:szCs w:val="20"/>
          <w:lang w:val="es-ES"/>
        </w:rPr>
        <w:t xml:space="preserve"> fuera de toda duda razonable</w:t>
      </w:r>
      <w:r w:rsidR="002F1626">
        <w:rPr>
          <w:rFonts w:asciiTheme="majorHAnsi" w:hAnsiTheme="majorHAnsi"/>
          <w:sz w:val="20"/>
          <w:szCs w:val="20"/>
          <w:lang w:val="es-ES"/>
        </w:rPr>
        <w:t>,</w:t>
      </w:r>
      <w:r w:rsidR="00D37CDB">
        <w:rPr>
          <w:rFonts w:asciiTheme="majorHAnsi" w:hAnsiTheme="majorHAnsi"/>
          <w:sz w:val="20"/>
          <w:szCs w:val="20"/>
          <w:lang w:val="es-ES"/>
        </w:rPr>
        <w:t xml:space="preserve"> la circunstancia agravante </w:t>
      </w:r>
      <w:r w:rsidR="00776813">
        <w:rPr>
          <w:rFonts w:asciiTheme="majorHAnsi" w:hAnsiTheme="majorHAnsi"/>
          <w:sz w:val="20"/>
          <w:szCs w:val="20"/>
          <w:lang w:val="es-ES"/>
        </w:rPr>
        <w:lastRenderedPageBreak/>
        <w:t xml:space="preserve">prevista en las </w:t>
      </w:r>
      <w:r w:rsidR="00D37CDB">
        <w:rPr>
          <w:rFonts w:asciiTheme="majorHAnsi" w:hAnsiTheme="majorHAnsi"/>
          <w:sz w:val="20"/>
          <w:szCs w:val="20"/>
          <w:lang w:val="es-ES"/>
        </w:rPr>
        <w:t xml:space="preserve">leyes de que fue un homicidio “horrible o inhumano y </w:t>
      </w:r>
      <w:r w:rsidR="00D37CDB" w:rsidRPr="00D37CDB">
        <w:rPr>
          <w:rFonts w:asciiTheme="majorHAnsi" w:hAnsiTheme="majorHAnsi"/>
          <w:sz w:val="20"/>
          <w:szCs w:val="20"/>
          <w:lang w:val="es-ES"/>
        </w:rPr>
        <w:t>[sic]</w:t>
      </w:r>
      <w:r w:rsidR="00D37CDB">
        <w:rPr>
          <w:rFonts w:asciiTheme="majorHAnsi" w:hAnsiTheme="majorHAnsi"/>
          <w:sz w:val="20"/>
          <w:szCs w:val="20"/>
          <w:lang w:val="es-ES"/>
        </w:rPr>
        <w:t xml:space="preserve"> supuso depravación mental y agresión agravada, tortura.”</w:t>
      </w:r>
      <w:r w:rsidR="00D37CDB" w:rsidRPr="00776813">
        <w:rPr>
          <w:rStyle w:val="FootnoteReference"/>
          <w:rFonts w:asciiTheme="majorHAnsi" w:hAnsiTheme="majorHAnsi"/>
          <w:sz w:val="20"/>
          <w:szCs w:val="20"/>
          <w:lang w:val="es-ES"/>
        </w:rPr>
        <w:t xml:space="preserve"> </w:t>
      </w:r>
      <w:r w:rsidR="00D37CDB" w:rsidRPr="00DE2580">
        <w:rPr>
          <w:rStyle w:val="FootnoteReference"/>
          <w:rFonts w:asciiTheme="majorHAnsi" w:hAnsiTheme="majorHAnsi"/>
          <w:sz w:val="20"/>
          <w:szCs w:val="20"/>
        </w:rPr>
        <w:footnoteReference w:id="11"/>
      </w:r>
    </w:p>
    <w:p w14:paraId="745C7E69" w14:textId="77777777" w:rsidR="00622843" w:rsidRPr="006177F7" w:rsidRDefault="00622843" w:rsidP="00622843">
      <w:pPr>
        <w:pStyle w:val="ListParagraph"/>
        <w:rPr>
          <w:rFonts w:asciiTheme="majorHAnsi" w:eastAsia="Times New Roman" w:hAnsiTheme="majorHAnsi"/>
          <w:sz w:val="20"/>
          <w:szCs w:val="20"/>
          <w:lang w:val="es-ES"/>
        </w:rPr>
      </w:pPr>
    </w:p>
    <w:p w14:paraId="1B6A784F" w14:textId="77777777" w:rsidR="00776813" w:rsidRPr="00776813" w:rsidRDefault="00776813" w:rsidP="00CB00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776813">
        <w:rPr>
          <w:rFonts w:asciiTheme="majorHAnsi" w:eastAsia="Times New Roman" w:hAnsiTheme="majorHAnsi"/>
          <w:sz w:val="20"/>
          <w:szCs w:val="20"/>
          <w:lang w:val="es-ES"/>
        </w:rPr>
        <w:t>El 7 de febrero de 1986</w:t>
      </w:r>
      <w:r>
        <w:rPr>
          <w:rFonts w:asciiTheme="majorHAnsi" w:eastAsia="Times New Roman" w:hAnsiTheme="majorHAnsi"/>
          <w:sz w:val="20"/>
          <w:szCs w:val="20"/>
          <w:lang w:val="es-ES"/>
        </w:rPr>
        <w:t xml:space="preserve"> el jurado entregó un veredicto y recomendó </w:t>
      </w:r>
      <w:r w:rsidR="00194499">
        <w:rPr>
          <w:rFonts w:asciiTheme="majorHAnsi" w:eastAsia="Times New Roman" w:hAnsiTheme="majorHAnsi"/>
          <w:sz w:val="20"/>
          <w:szCs w:val="20"/>
          <w:lang w:val="es-ES"/>
        </w:rPr>
        <w:t xml:space="preserve">la imposición de la pena de </w:t>
      </w:r>
      <w:r w:rsidR="002062FB">
        <w:rPr>
          <w:rFonts w:asciiTheme="majorHAnsi" w:eastAsia="Times New Roman" w:hAnsiTheme="majorHAnsi"/>
          <w:sz w:val="20"/>
          <w:szCs w:val="20"/>
          <w:lang w:val="es-ES"/>
        </w:rPr>
        <w:t>muerte, en</w:t>
      </w:r>
      <w:r w:rsidR="00194499">
        <w:rPr>
          <w:rFonts w:asciiTheme="majorHAnsi" w:eastAsia="Times New Roman" w:hAnsiTheme="majorHAnsi"/>
          <w:sz w:val="20"/>
          <w:szCs w:val="20"/>
          <w:lang w:val="es-ES"/>
        </w:rPr>
        <w:t xml:space="preserve"> virtud de lo cual el tribunal sentenció al señor Housel a muerte por electrocución.</w:t>
      </w:r>
    </w:p>
    <w:p w14:paraId="5E963368" w14:textId="77777777" w:rsidR="00E576F7" w:rsidRPr="006177F7" w:rsidRDefault="00E576F7" w:rsidP="00E576F7">
      <w:pPr>
        <w:pStyle w:val="ListParagraph"/>
        <w:rPr>
          <w:rFonts w:asciiTheme="majorHAnsi" w:eastAsia="Times New Roman" w:hAnsiTheme="majorHAnsi"/>
          <w:sz w:val="20"/>
          <w:szCs w:val="20"/>
          <w:lang w:val="es-ES"/>
        </w:rPr>
      </w:pPr>
    </w:p>
    <w:p w14:paraId="433F0C46" w14:textId="77777777" w:rsidR="00DF3CFD" w:rsidRPr="00DF3CFD" w:rsidRDefault="00DF3CFD" w:rsidP="00CB00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DF3CFD">
        <w:rPr>
          <w:rFonts w:asciiTheme="majorHAnsi" w:eastAsia="Times New Roman" w:hAnsiTheme="majorHAnsi"/>
          <w:sz w:val="20"/>
          <w:szCs w:val="20"/>
          <w:lang w:val="es-ES"/>
        </w:rPr>
        <w:t>La información en la p</w:t>
      </w:r>
      <w:r>
        <w:rPr>
          <w:rFonts w:asciiTheme="majorHAnsi" w:eastAsia="Times New Roman" w:hAnsiTheme="majorHAnsi"/>
          <w:sz w:val="20"/>
          <w:szCs w:val="20"/>
          <w:lang w:val="es-ES"/>
        </w:rPr>
        <w:t xml:space="preserve">etición indica que el señor Housel </w:t>
      </w:r>
      <w:r w:rsidR="004E164B">
        <w:rPr>
          <w:rFonts w:asciiTheme="majorHAnsi" w:eastAsia="Times New Roman" w:hAnsiTheme="majorHAnsi"/>
          <w:sz w:val="20"/>
          <w:szCs w:val="20"/>
          <w:lang w:val="es-ES"/>
        </w:rPr>
        <w:t xml:space="preserve">interpuso un recurso de apelación directa de su </w:t>
      </w:r>
      <w:r w:rsidR="00266775">
        <w:rPr>
          <w:rFonts w:asciiTheme="majorHAnsi" w:eastAsia="Times New Roman" w:hAnsiTheme="majorHAnsi"/>
          <w:sz w:val="20"/>
          <w:szCs w:val="20"/>
          <w:lang w:val="es-ES"/>
        </w:rPr>
        <w:t xml:space="preserve">condena y </w:t>
      </w:r>
      <w:r w:rsidR="004E164B">
        <w:rPr>
          <w:rFonts w:asciiTheme="majorHAnsi" w:eastAsia="Times New Roman" w:hAnsiTheme="majorHAnsi"/>
          <w:sz w:val="20"/>
          <w:szCs w:val="20"/>
          <w:lang w:val="es-ES"/>
        </w:rPr>
        <w:t xml:space="preserve">sentencia ante la Corte Suprema de Georgia, </w:t>
      </w:r>
      <w:r w:rsidR="00AC0892">
        <w:rPr>
          <w:rFonts w:asciiTheme="majorHAnsi" w:eastAsia="Times New Roman" w:hAnsiTheme="majorHAnsi"/>
          <w:sz w:val="20"/>
          <w:szCs w:val="20"/>
          <w:lang w:val="es-ES"/>
        </w:rPr>
        <w:t>la</w:t>
      </w:r>
      <w:r w:rsidR="00DF3E4E">
        <w:rPr>
          <w:rFonts w:asciiTheme="majorHAnsi" w:eastAsia="Times New Roman" w:hAnsiTheme="majorHAnsi"/>
          <w:sz w:val="20"/>
          <w:szCs w:val="20"/>
          <w:lang w:val="es-ES"/>
        </w:rPr>
        <w:t xml:space="preserve"> cual</w:t>
      </w:r>
      <w:r w:rsidR="004E164B">
        <w:rPr>
          <w:rFonts w:asciiTheme="majorHAnsi" w:eastAsia="Times New Roman" w:hAnsiTheme="majorHAnsi"/>
          <w:sz w:val="20"/>
          <w:szCs w:val="20"/>
          <w:lang w:val="es-ES"/>
        </w:rPr>
        <w:t xml:space="preserve"> confirmó su sentencia el 19 de mayo de 1987 y que la Corte Suprema de los Estados Unidos rechazó una petición de un recurso de avocación en relación con esa decisión el 30 de junio de 1988.</w:t>
      </w:r>
    </w:p>
    <w:p w14:paraId="64C6BE0E" w14:textId="77777777" w:rsidR="00E576F7" w:rsidRPr="006177F7" w:rsidRDefault="00E576F7" w:rsidP="00E576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37761D1E" w14:textId="77777777" w:rsidR="0033551B" w:rsidRPr="000975C0" w:rsidRDefault="00317386" w:rsidP="00E018FC">
      <w:pPr>
        <w:pStyle w:val="Heading2"/>
        <w:tabs>
          <w:tab w:val="left" w:pos="360"/>
        </w:tabs>
        <w:spacing w:before="0"/>
        <w:rPr>
          <w:color w:val="auto"/>
          <w:sz w:val="20"/>
          <w:szCs w:val="20"/>
          <w:lang w:val="es-ES"/>
        </w:rPr>
      </w:pPr>
      <w:bookmarkStart w:id="12" w:name="_Toc150529893"/>
      <w:bookmarkStart w:id="13" w:name="_Toc22590057"/>
      <w:bookmarkStart w:id="14" w:name="_Toc22826178"/>
      <w:r w:rsidRPr="000975C0">
        <w:rPr>
          <w:color w:val="auto"/>
          <w:sz w:val="20"/>
          <w:szCs w:val="20"/>
          <w:lang w:val="es-ES"/>
        </w:rPr>
        <w:t>B.</w:t>
      </w:r>
      <w:r w:rsidRPr="000975C0">
        <w:rPr>
          <w:color w:val="auto"/>
          <w:sz w:val="20"/>
          <w:szCs w:val="20"/>
          <w:lang w:val="es-ES"/>
        </w:rPr>
        <w:tab/>
      </w:r>
      <w:r w:rsidR="0033551B" w:rsidRPr="000975C0">
        <w:rPr>
          <w:color w:val="auto"/>
          <w:sz w:val="20"/>
          <w:szCs w:val="20"/>
          <w:lang w:val="es-ES"/>
        </w:rPr>
        <w:t>Procedimientos posteriores a</w:t>
      </w:r>
      <w:r w:rsidR="00E4292A" w:rsidRPr="000975C0">
        <w:rPr>
          <w:color w:val="auto"/>
          <w:sz w:val="20"/>
          <w:szCs w:val="20"/>
          <w:lang w:val="es-ES"/>
        </w:rPr>
        <w:t>l fallo</w:t>
      </w:r>
      <w:r w:rsidR="00C51257" w:rsidRPr="000975C0">
        <w:rPr>
          <w:color w:val="auto"/>
          <w:sz w:val="20"/>
          <w:szCs w:val="20"/>
          <w:lang w:val="es-ES"/>
        </w:rPr>
        <w:t xml:space="preserve"> condenatori</w:t>
      </w:r>
      <w:r w:rsidR="00E4292A" w:rsidRPr="000975C0">
        <w:rPr>
          <w:color w:val="auto"/>
          <w:sz w:val="20"/>
          <w:szCs w:val="20"/>
          <w:lang w:val="es-ES"/>
        </w:rPr>
        <w:t>o</w:t>
      </w:r>
      <w:bookmarkEnd w:id="12"/>
    </w:p>
    <w:bookmarkEnd w:id="13"/>
    <w:bookmarkEnd w:id="14"/>
    <w:p w14:paraId="4947CF4E" w14:textId="77777777" w:rsidR="00E576F7" w:rsidRPr="00E4292A" w:rsidRDefault="00E576F7" w:rsidP="00CB004A">
      <w:pPr>
        <w:pStyle w:val="ListParagraph"/>
        <w:rPr>
          <w:rFonts w:asciiTheme="majorHAnsi" w:eastAsia="Times New Roman" w:hAnsiTheme="majorHAnsi"/>
          <w:sz w:val="20"/>
          <w:szCs w:val="20"/>
          <w:lang w:val="es-ES"/>
        </w:rPr>
      </w:pPr>
    </w:p>
    <w:p w14:paraId="62E8C125" w14:textId="20A0F6DF" w:rsidR="00591663" w:rsidRPr="00D63965" w:rsidRDefault="00591663"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591663">
        <w:rPr>
          <w:rFonts w:asciiTheme="majorHAnsi" w:hAnsiTheme="majorHAnsi"/>
          <w:color w:val="000000"/>
          <w:sz w:val="20"/>
          <w:szCs w:val="20"/>
          <w:shd w:val="clear" w:color="auto" w:fill="FFFFFF"/>
          <w:lang w:val="es-ES"/>
        </w:rPr>
        <w:t> La petición</w:t>
      </w:r>
      <w:r>
        <w:rPr>
          <w:rFonts w:asciiTheme="majorHAnsi" w:hAnsiTheme="majorHAnsi"/>
          <w:color w:val="000000"/>
          <w:sz w:val="20"/>
          <w:szCs w:val="20"/>
          <w:shd w:val="clear" w:color="auto" w:fill="FFFFFF"/>
          <w:lang w:val="es-ES"/>
        </w:rPr>
        <w:t xml:space="preserve"> señala</w:t>
      </w:r>
      <w:r w:rsidRPr="00591663">
        <w:rPr>
          <w:rFonts w:asciiTheme="majorHAnsi" w:hAnsiTheme="majorHAnsi"/>
          <w:color w:val="000000"/>
          <w:sz w:val="20"/>
          <w:szCs w:val="20"/>
          <w:shd w:val="clear" w:color="auto" w:fill="FFFFFF"/>
          <w:lang w:val="es-ES"/>
        </w:rPr>
        <w:t xml:space="preserve"> que el señor Housel llevó adelante procedimientos posteriores a</w:t>
      </w:r>
      <w:r w:rsidR="001550EA">
        <w:rPr>
          <w:rFonts w:asciiTheme="majorHAnsi" w:hAnsiTheme="majorHAnsi"/>
          <w:color w:val="000000"/>
          <w:sz w:val="20"/>
          <w:szCs w:val="20"/>
          <w:shd w:val="clear" w:color="auto" w:fill="FFFFFF"/>
          <w:lang w:val="es-ES"/>
        </w:rPr>
        <w:t>l fallo condenatorio</w:t>
      </w:r>
      <w:r w:rsidRPr="00591663">
        <w:rPr>
          <w:rFonts w:asciiTheme="majorHAnsi" w:hAnsiTheme="majorHAnsi"/>
          <w:color w:val="000000"/>
          <w:sz w:val="20"/>
          <w:szCs w:val="20"/>
          <w:shd w:val="clear" w:color="auto" w:fill="FFFFFF"/>
          <w:lang w:val="es-ES"/>
        </w:rPr>
        <w:t xml:space="preserve"> ante </w:t>
      </w:r>
      <w:r w:rsidR="00973B6A">
        <w:rPr>
          <w:rFonts w:asciiTheme="majorHAnsi" w:hAnsiTheme="majorHAnsi"/>
          <w:color w:val="000000"/>
          <w:sz w:val="20"/>
          <w:szCs w:val="20"/>
          <w:shd w:val="clear" w:color="auto" w:fill="FFFFFF"/>
          <w:lang w:val="es-ES"/>
        </w:rPr>
        <w:t>cortes estatal</w:t>
      </w:r>
      <w:r w:rsidR="00C6332D">
        <w:rPr>
          <w:rFonts w:asciiTheme="majorHAnsi" w:hAnsiTheme="majorHAnsi"/>
          <w:color w:val="000000"/>
          <w:sz w:val="20"/>
          <w:szCs w:val="20"/>
          <w:shd w:val="clear" w:color="auto" w:fill="FFFFFF"/>
          <w:lang w:val="es-ES"/>
        </w:rPr>
        <w:t>es</w:t>
      </w:r>
      <w:r w:rsidR="00973B6A">
        <w:rPr>
          <w:rFonts w:asciiTheme="majorHAnsi" w:hAnsiTheme="majorHAnsi"/>
          <w:color w:val="000000"/>
          <w:sz w:val="20"/>
          <w:szCs w:val="20"/>
          <w:shd w:val="clear" w:color="auto" w:fill="FFFFFF"/>
          <w:lang w:val="es-ES"/>
        </w:rPr>
        <w:t xml:space="preserve"> y federal</w:t>
      </w:r>
      <w:r w:rsidR="00C6332D">
        <w:rPr>
          <w:rFonts w:asciiTheme="majorHAnsi" w:hAnsiTheme="majorHAnsi"/>
          <w:color w:val="000000"/>
          <w:sz w:val="20"/>
          <w:szCs w:val="20"/>
          <w:shd w:val="clear" w:color="auto" w:fill="FFFFFF"/>
          <w:lang w:val="es-ES"/>
        </w:rPr>
        <w:t>es</w:t>
      </w:r>
      <w:r w:rsidRPr="00591663">
        <w:rPr>
          <w:rFonts w:asciiTheme="majorHAnsi" w:hAnsiTheme="majorHAnsi"/>
          <w:color w:val="000000"/>
          <w:sz w:val="20"/>
          <w:szCs w:val="20"/>
          <w:shd w:val="clear" w:color="auto" w:fill="FFFFFF"/>
          <w:lang w:val="es-ES"/>
        </w:rPr>
        <w:t>.</w:t>
      </w:r>
      <w:r w:rsidR="00282785">
        <w:rPr>
          <w:rFonts w:asciiTheme="majorHAnsi" w:hAnsiTheme="majorHAnsi"/>
          <w:color w:val="000000"/>
          <w:sz w:val="20"/>
          <w:szCs w:val="20"/>
          <w:shd w:val="clear" w:color="auto" w:fill="FFFFFF"/>
          <w:lang w:val="es-ES"/>
        </w:rPr>
        <w:t xml:space="preserve">  En especial, la petición indica que el 16 de diciembre de 1988, el señor Housel presentó un recurso de habeas corpus ante la Corte Superior del Condado de Butts, Georgia y una petición enmendada el 16 de agosto de 1990. El señor Housel so</w:t>
      </w:r>
      <w:r w:rsidR="0061144C">
        <w:rPr>
          <w:rFonts w:asciiTheme="majorHAnsi" w:hAnsiTheme="majorHAnsi"/>
          <w:color w:val="000000"/>
          <w:sz w:val="20"/>
          <w:szCs w:val="20"/>
          <w:shd w:val="clear" w:color="auto" w:fill="FFFFFF"/>
          <w:lang w:val="es-ES"/>
        </w:rPr>
        <w:t>stuvo</w:t>
      </w:r>
      <w:r w:rsidR="00282785">
        <w:rPr>
          <w:rFonts w:asciiTheme="majorHAnsi" w:hAnsiTheme="majorHAnsi"/>
          <w:color w:val="000000"/>
          <w:sz w:val="20"/>
          <w:szCs w:val="20"/>
          <w:shd w:val="clear" w:color="auto" w:fill="FFFFFF"/>
          <w:lang w:val="es-ES"/>
        </w:rPr>
        <w:t xml:space="preserve"> que el abogado de oficio</w:t>
      </w:r>
      <w:r w:rsidR="00C77965">
        <w:rPr>
          <w:rFonts w:asciiTheme="majorHAnsi" w:hAnsiTheme="majorHAnsi"/>
          <w:color w:val="000000"/>
          <w:sz w:val="20"/>
          <w:szCs w:val="20"/>
          <w:shd w:val="clear" w:color="auto" w:fill="FFFFFF"/>
          <w:lang w:val="es-ES"/>
        </w:rPr>
        <w:t xml:space="preserve"> designado por la corte</w:t>
      </w:r>
      <w:r w:rsidR="00282785">
        <w:rPr>
          <w:rFonts w:asciiTheme="majorHAnsi" w:hAnsiTheme="majorHAnsi"/>
          <w:color w:val="000000"/>
          <w:sz w:val="20"/>
          <w:szCs w:val="20"/>
          <w:shd w:val="clear" w:color="auto" w:fill="FFFFFF"/>
          <w:lang w:val="es-ES"/>
        </w:rPr>
        <w:t xml:space="preserve"> no realizó una investigación constitucionalmente adecuada con respecto a su salud mental, su historial de consumo indebido de drogas y el abuso recibido </w:t>
      </w:r>
      <w:r w:rsidR="00D63965">
        <w:rPr>
          <w:rFonts w:asciiTheme="majorHAnsi" w:hAnsiTheme="majorHAnsi"/>
          <w:color w:val="000000"/>
          <w:sz w:val="20"/>
          <w:szCs w:val="20"/>
          <w:shd w:val="clear" w:color="auto" w:fill="FFFFFF"/>
          <w:lang w:val="es-ES"/>
        </w:rPr>
        <w:t>durante su infancia.</w:t>
      </w:r>
      <w:r w:rsidR="00D63965" w:rsidRPr="00DE2580">
        <w:rPr>
          <w:rStyle w:val="FootnoteReference"/>
          <w:rFonts w:asciiTheme="majorHAnsi" w:eastAsia="Times New Roman" w:hAnsiTheme="majorHAnsi"/>
          <w:sz w:val="20"/>
          <w:szCs w:val="20"/>
          <w:lang w:val="en-GB"/>
        </w:rPr>
        <w:footnoteReference w:id="12"/>
      </w:r>
      <w:r w:rsidR="00A11ABB" w:rsidRPr="00A11ABB">
        <w:rPr>
          <w:rFonts w:asciiTheme="majorHAnsi" w:eastAsia="Times New Roman" w:hAnsiTheme="majorHAnsi"/>
          <w:sz w:val="20"/>
          <w:szCs w:val="20"/>
          <w:lang w:val="es-ES"/>
        </w:rPr>
        <w:t xml:space="preserve"> </w:t>
      </w:r>
      <w:r w:rsidR="0033463E">
        <w:rPr>
          <w:rFonts w:asciiTheme="majorHAnsi" w:eastAsia="Times New Roman" w:hAnsiTheme="majorHAnsi"/>
          <w:sz w:val="20"/>
          <w:szCs w:val="20"/>
          <w:lang w:val="es-ES"/>
        </w:rPr>
        <w:t xml:space="preserve"> </w:t>
      </w:r>
      <w:r w:rsidR="00A11ABB">
        <w:rPr>
          <w:rFonts w:asciiTheme="majorHAnsi" w:eastAsia="Times New Roman" w:hAnsiTheme="majorHAnsi"/>
          <w:sz w:val="20"/>
          <w:szCs w:val="20"/>
          <w:lang w:val="es-ES"/>
        </w:rPr>
        <w:t xml:space="preserve">El 21 de diciembre de 1990 </w:t>
      </w:r>
      <w:r w:rsidR="007B4AD5">
        <w:rPr>
          <w:rFonts w:asciiTheme="majorHAnsi" w:eastAsia="Times New Roman" w:hAnsiTheme="majorHAnsi"/>
          <w:sz w:val="20"/>
          <w:szCs w:val="20"/>
          <w:lang w:val="es-ES"/>
        </w:rPr>
        <w:t>la corte</w:t>
      </w:r>
      <w:r w:rsidR="00A11ABB">
        <w:rPr>
          <w:rFonts w:asciiTheme="majorHAnsi" w:eastAsia="Times New Roman" w:hAnsiTheme="majorHAnsi"/>
          <w:sz w:val="20"/>
          <w:szCs w:val="20"/>
          <w:lang w:val="es-ES"/>
        </w:rPr>
        <w:t xml:space="preserve"> </w:t>
      </w:r>
      <w:r w:rsidR="00AC6614">
        <w:rPr>
          <w:rFonts w:asciiTheme="majorHAnsi" w:eastAsia="Times New Roman" w:hAnsiTheme="majorHAnsi"/>
          <w:sz w:val="20"/>
          <w:szCs w:val="20"/>
          <w:lang w:val="es-ES"/>
        </w:rPr>
        <w:t>estatal</w:t>
      </w:r>
      <w:r w:rsidR="00A11ABB">
        <w:rPr>
          <w:rFonts w:asciiTheme="majorHAnsi" w:eastAsia="Times New Roman" w:hAnsiTheme="majorHAnsi"/>
          <w:sz w:val="20"/>
          <w:szCs w:val="20"/>
          <w:lang w:val="es-ES"/>
        </w:rPr>
        <w:t xml:space="preserve"> </w:t>
      </w:r>
      <w:r w:rsidR="000B6BC3">
        <w:rPr>
          <w:rFonts w:asciiTheme="majorHAnsi" w:eastAsia="Times New Roman" w:hAnsiTheme="majorHAnsi"/>
          <w:sz w:val="20"/>
          <w:szCs w:val="20"/>
          <w:lang w:val="es-ES"/>
        </w:rPr>
        <w:t>dictó</w:t>
      </w:r>
      <w:r w:rsidR="00A11ABB">
        <w:rPr>
          <w:rFonts w:asciiTheme="majorHAnsi" w:eastAsia="Times New Roman" w:hAnsiTheme="majorHAnsi"/>
          <w:sz w:val="20"/>
          <w:szCs w:val="20"/>
          <w:lang w:val="es-ES"/>
        </w:rPr>
        <w:t xml:space="preserve"> una orden </w:t>
      </w:r>
      <w:r w:rsidR="00A4635E">
        <w:rPr>
          <w:rFonts w:asciiTheme="majorHAnsi" w:eastAsia="Times New Roman" w:hAnsiTheme="majorHAnsi"/>
          <w:sz w:val="20"/>
          <w:szCs w:val="20"/>
          <w:lang w:val="es-ES"/>
        </w:rPr>
        <w:t>por la que se denegaba el amparo con respecto a todas las alegaciones sobre el fondo del caso.</w:t>
      </w:r>
      <w:r w:rsidR="00081658">
        <w:rPr>
          <w:rFonts w:asciiTheme="majorHAnsi" w:eastAsia="Times New Roman" w:hAnsiTheme="majorHAnsi"/>
          <w:sz w:val="20"/>
          <w:szCs w:val="20"/>
          <w:lang w:val="es-ES"/>
        </w:rPr>
        <w:t xml:space="preserve">  El 1 de marzo de 1991 la Corte Suprema de Georgia denegó, sin expresar fundamentos, un Certificado de Causa Probable y la Corte Suprema de los Estados Unidos</w:t>
      </w:r>
      <w:r w:rsidR="00777413">
        <w:rPr>
          <w:rFonts w:asciiTheme="majorHAnsi" w:eastAsia="Times New Roman" w:hAnsiTheme="majorHAnsi"/>
          <w:sz w:val="20"/>
          <w:szCs w:val="20"/>
          <w:lang w:val="es-ES"/>
        </w:rPr>
        <w:t xml:space="preserve"> </w:t>
      </w:r>
      <w:r w:rsidR="00D2729B">
        <w:rPr>
          <w:rFonts w:asciiTheme="majorHAnsi" w:eastAsia="Times New Roman" w:hAnsiTheme="majorHAnsi"/>
          <w:sz w:val="20"/>
          <w:szCs w:val="20"/>
          <w:lang w:val="es-ES"/>
        </w:rPr>
        <w:t>denegó</w:t>
      </w:r>
      <w:r w:rsidR="00777413">
        <w:rPr>
          <w:rFonts w:asciiTheme="majorHAnsi" w:eastAsia="Times New Roman" w:hAnsiTheme="majorHAnsi"/>
          <w:sz w:val="20"/>
          <w:szCs w:val="20"/>
          <w:lang w:val="es-ES"/>
        </w:rPr>
        <w:t xml:space="preserve"> el recurso de avocación con respecto a esa decisión el 15 de noviembre de 1991.</w:t>
      </w:r>
    </w:p>
    <w:p w14:paraId="1646922B" w14:textId="77777777" w:rsidR="00D63965" w:rsidRPr="00591663" w:rsidRDefault="00D63965" w:rsidP="00D6396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2C623A6A" w14:textId="77777777" w:rsidR="00B0268D" w:rsidRPr="00B0268D" w:rsidRDefault="00B0268D" w:rsidP="003374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B0268D">
        <w:rPr>
          <w:rFonts w:asciiTheme="majorHAnsi" w:eastAsia="Times New Roman" w:hAnsiTheme="majorHAnsi"/>
          <w:sz w:val="20"/>
          <w:szCs w:val="20"/>
          <w:lang w:val="es-ES"/>
        </w:rPr>
        <w:t>El señor Housel solicitó</w:t>
      </w:r>
      <w:r>
        <w:rPr>
          <w:rFonts w:asciiTheme="majorHAnsi" w:eastAsia="Times New Roman" w:hAnsiTheme="majorHAnsi"/>
          <w:sz w:val="20"/>
          <w:szCs w:val="20"/>
          <w:lang w:val="es-ES"/>
        </w:rPr>
        <w:t xml:space="preserve"> amparo de habeas corpus ante los tribunales federales. En esta petición de amparo federal de habeas corpus el señor Housel presentó las declaraciones juradas de James Merikangas (“señor Merikangas”), psiquiatra y neurólogo</w:t>
      </w:r>
      <w:r w:rsidR="00CA6BF3">
        <w:rPr>
          <w:rFonts w:asciiTheme="majorHAnsi" w:eastAsia="Times New Roman" w:hAnsiTheme="majorHAnsi"/>
          <w:sz w:val="20"/>
          <w:szCs w:val="20"/>
          <w:lang w:val="es-ES"/>
        </w:rPr>
        <w:t>,</w:t>
      </w:r>
      <w:r>
        <w:rPr>
          <w:rFonts w:asciiTheme="majorHAnsi" w:eastAsia="Times New Roman" w:hAnsiTheme="majorHAnsi"/>
          <w:sz w:val="20"/>
          <w:szCs w:val="20"/>
          <w:lang w:val="es-ES"/>
        </w:rPr>
        <w:t xml:space="preserve"> y Brad Fisher (“señor Fisher”) un psicólogo licenciado.</w:t>
      </w:r>
    </w:p>
    <w:p w14:paraId="4F67B03A" w14:textId="77777777" w:rsidR="00B0268D" w:rsidRPr="00B0268D" w:rsidRDefault="00B0268D" w:rsidP="00B026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57E071FE" w14:textId="77777777" w:rsidR="00FD2EC4" w:rsidRPr="00FD2EC4" w:rsidRDefault="00E4296A" w:rsidP="00FD2EC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r>
        <w:rPr>
          <w:rFonts w:asciiTheme="majorHAnsi" w:hAnsiTheme="majorHAnsi"/>
          <w:sz w:val="20"/>
          <w:szCs w:val="20"/>
          <w:lang w:val="es-ES"/>
        </w:rPr>
        <w:t>24.</w:t>
      </w:r>
      <w:r>
        <w:rPr>
          <w:rFonts w:asciiTheme="majorHAnsi" w:hAnsiTheme="majorHAnsi"/>
          <w:sz w:val="20"/>
          <w:szCs w:val="20"/>
          <w:lang w:val="es-ES"/>
        </w:rPr>
        <w:tab/>
      </w:r>
      <w:r w:rsidR="00AF3B2B" w:rsidRPr="00AF3B2B">
        <w:rPr>
          <w:rFonts w:asciiTheme="majorHAnsi" w:hAnsiTheme="majorHAnsi"/>
          <w:sz w:val="20"/>
          <w:szCs w:val="20"/>
          <w:lang w:val="es-ES"/>
        </w:rPr>
        <w:t>El señor Merikangas examin</w:t>
      </w:r>
      <w:r w:rsidR="00AF3B2B">
        <w:rPr>
          <w:rFonts w:asciiTheme="majorHAnsi" w:hAnsiTheme="majorHAnsi"/>
          <w:sz w:val="20"/>
          <w:szCs w:val="20"/>
          <w:lang w:val="es-ES"/>
        </w:rPr>
        <w:t>ó la condición psiquiátrica del señor Housel en el momento de los delitos y llegó a la conclusión de que sufría neuropatía periférica</w:t>
      </w:r>
      <w:r w:rsidR="00CA6DB4">
        <w:rPr>
          <w:rFonts w:asciiTheme="majorHAnsi" w:hAnsiTheme="majorHAnsi"/>
          <w:sz w:val="20"/>
          <w:szCs w:val="20"/>
          <w:lang w:val="es-ES"/>
        </w:rPr>
        <w:t>, probablemente</w:t>
      </w:r>
      <w:r w:rsidR="00AF3B2B">
        <w:rPr>
          <w:rFonts w:asciiTheme="majorHAnsi" w:hAnsiTheme="majorHAnsi"/>
          <w:sz w:val="20"/>
          <w:szCs w:val="20"/>
          <w:lang w:val="es-ES"/>
        </w:rPr>
        <w:t xml:space="preserve"> debido al excesivo consumo de alcohol.  </w:t>
      </w:r>
      <w:r w:rsidR="00CA6BF3">
        <w:rPr>
          <w:rFonts w:asciiTheme="majorHAnsi" w:hAnsiTheme="majorHAnsi"/>
          <w:sz w:val="20"/>
          <w:szCs w:val="20"/>
          <w:lang w:val="es-ES"/>
        </w:rPr>
        <w:t>Determinó</w:t>
      </w:r>
      <w:r w:rsidR="00AF3B2B">
        <w:rPr>
          <w:rFonts w:asciiTheme="majorHAnsi" w:hAnsiTheme="majorHAnsi"/>
          <w:sz w:val="20"/>
          <w:szCs w:val="20"/>
          <w:lang w:val="es-ES"/>
        </w:rPr>
        <w:t xml:space="preserve"> que el señor Housel había estado deprimido desde su infancia y el consumo </w:t>
      </w:r>
      <w:r w:rsidR="00936A1B">
        <w:rPr>
          <w:rFonts w:asciiTheme="majorHAnsi" w:hAnsiTheme="majorHAnsi"/>
          <w:sz w:val="20"/>
          <w:szCs w:val="20"/>
          <w:lang w:val="es-ES"/>
        </w:rPr>
        <w:t>indebido</w:t>
      </w:r>
      <w:r w:rsidR="00AF3B2B">
        <w:rPr>
          <w:rFonts w:asciiTheme="majorHAnsi" w:hAnsiTheme="majorHAnsi"/>
          <w:sz w:val="20"/>
          <w:szCs w:val="20"/>
          <w:lang w:val="es-ES"/>
        </w:rPr>
        <w:t xml:space="preserve"> de alcohol y drogas fue una reacción tanto al daño cerebral congénito que le causó déficit de atención con hiperactividad </w:t>
      </w:r>
      <w:r w:rsidR="000945BB">
        <w:rPr>
          <w:rFonts w:asciiTheme="majorHAnsi" w:hAnsiTheme="majorHAnsi"/>
          <w:sz w:val="20"/>
          <w:szCs w:val="20"/>
          <w:lang w:val="es-ES"/>
        </w:rPr>
        <w:t>como a</w:t>
      </w:r>
      <w:r w:rsidR="00AF3B2B">
        <w:rPr>
          <w:rFonts w:asciiTheme="majorHAnsi" w:hAnsiTheme="majorHAnsi"/>
          <w:sz w:val="20"/>
          <w:szCs w:val="20"/>
          <w:lang w:val="es-ES"/>
        </w:rPr>
        <w:t xml:space="preserve"> su </w:t>
      </w:r>
      <w:r w:rsidR="007717FA">
        <w:rPr>
          <w:rFonts w:asciiTheme="majorHAnsi" w:hAnsiTheme="majorHAnsi"/>
          <w:sz w:val="20"/>
          <w:szCs w:val="20"/>
          <w:lang w:val="es-ES"/>
        </w:rPr>
        <w:t xml:space="preserve">grave </w:t>
      </w:r>
      <w:r w:rsidR="00AF3B2B">
        <w:rPr>
          <w:rFonts w:asciiTheme="majorHAnsi" w:hAnsiTheme="majorHAnsi"/>
          <w:sz w:val="20"/>
          <w:szCs w:val="20"/>
          <w:lang w:val="es-ES"/>
        </w:rPr>
        <w:t>depresión. El señor Merikangas también indicó que el señor Housel tenía una capacidad reducida para controlar sus impulsos como consecuencia directa de</w:t>
      </w:r>
      <w:r w:rsidR="00D97210">
        <w:rPr>
          <w:rFonts w:asciiTheme="majorHAnsi" w:hAnsiTheme="majorHAnsi"/>
          <w:sz w:val="20"/>
          <w:szCs w:val="20"/>
          <w:lang w:val="es-ES"/>
        </w:rPr>
        <w:t xml:space="preserve"> su</w:t>
      </w:r>
      <w:r w:rsidR="00AF3B2B">
        <w:rPr>
          <w:rFonts w:asciiTheme="majorHAnsi" w:hAnsiTheme="majorHAnsi"/>
          <w:sz w:val="20"/>
          <w:szCs w:val="20"/>
          <w:lang w:val="es-ES"/>
        </w:rPr>
        <w:t xml:space="preserve"> cerebro desordenado y dañado. </w:t>
      </w:r>
      <w:r w:rsidR="00FD2EC4" w:rsidRPr="00FD2EC4">
        <w:rPr>
          <w:rStyle w:val="FootnoteReference"/>
          <w:rFonts w:asciiTheme="majorHAnsi" w:hAnsiTheme="majorHAnsi"/>
          <w:sz w:val="20"/>
          <w:szCs w:val="20"/>
        </w:rPr>
        <w:footnoteReference w:id="13"/>
      </w:r>
      <w:r w:rsidR="00FD2EC4" w:rsidRPr="00FD2EC4">
        <w:rPr>
          <w:rFonts w:asciiTheme="majorHAnsi" w:hAnsiTheme="majorHAnsi"/>
          <w:sz w:val="20"/>
          <w:szCs w:val="20"/>
          <w:lang w:val="es-ES"/>
        </w:rPr>
        <w:t xml:space="preserve"> </w:t>
      </w:r>
    </w:p>
    <w:p w14:paraId="5881FDB4" w14:textId="77777777" w:rsidR="00AF3B2B" w:rsidRPr="00AF3B2B" w:rsidRDefault="00AF3B2B" w:rsidP="00AF3B2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0DEED9D4" w14:textId="77777777" w:rsidR="00CE029B" w:rsidRPr="007712FF" w:rsidRDefault="00603428" w:rsidP="00ED2F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E4296A">
        <w:rPr>
          <w:rFonts w:asciiTheme="majorHAnsi" w:hAnsiTheme="majorHAnsi"/>
          <w:sz w:val="20"/>
          <w:szCs w:val="20"/>
          <w:lang w:val="es-ES"/>
        </w:rPr>
        <w:t>El señor Fisher realizó una evaluación del señor Housel el 11 de septiembre de 1990, a través de pruebas neuropsicológicas recomendadas por el señor Merikangas. El señor Fisher llegó a la conclusión de que el señor Housel sufr</w:t>
      </w:r>
      <w:r w:rsidR="00D32E0E" w:rsidRPr="00E4296A">
        <w:rPr>
          <w:rFonts w:asciiTheme="majorHAnsi" w:hAnsiTheme="majorHAnsi"/>
          <w:sz w:val="20"/>
          <w:szCs w:val="20"/>
          <w:lang w:val="es-ES"/>
        </w:rPr>
        <w:t xml:space="preserve">ía </w:t>
      </w:r>
      <w:r w:rsidR="00000CB5" w:rsidRPr="00E4296A">
        <w:rPr>
          <w:rFonts w:asciiTheme="majorHAnsi" w:hAnsiTheme="majorHAnsi"/>
          <w:sz w:val="20"/>
          <w:szCs w:val="20"/>
          <w:lang w:val="es-ES"/>
        </w:rPr>
        <w:t>deterioros neurológicos</w:t>
      </w:r>
      <w:r w:rsidR="001127D0">
        <w:rPr>
          <w:rFonts w:asciiTheme="majorHAnsi" w:hAnsiTheme="majorHAnsi"/>
          <w:sz w:val="20"/>
          <w:szCs w:val="20"/>
          <w:lang w:val="es-ES"/>
        </w:rPr>
        <w:t xml:space="preserve"> importantes</w:t>
      </w:r>
      <w:r w:rsidR="007712FF">
        <w:rPr>
          <w:rFonts w:asciiTheme="majorHAnsi" w:hAnsiTheme="majorHAnsi"/>
          <w:sz w:val="20"/>
          <w:szCs w:val="20"/>
          <w:lang w:val="es-ES"/>
        </w:rPr>
        <w:t>, que</w:t>
      </w:r>
      <w:r w:rsidR="00000CB5" w:rsidRPr="00E4296A">
        <w:rPr>
          <w:rFonts w:asciiTheme="majorHAnsi" w:hAnsiTheme="majorHAnsi"/>
          <w:sz w:val="20"/>
          <w:szCs w:val="20"/>
          <w:lang w:val="es-ES"/>
        </w:rPr>
        <w:t xml:space="preserve"> su déficit neurológico</w:t>
      </w:r>
      <w:r w:rsidR="00BF00F6" w:rsidRPr="00E4296A">
        <w:rPr>
          <w:rFonts w:asciiTheme="majorHAnsi" w:hAnsiTheme="majorHAnsi"/>
          <w:sz w:val="20"/>
          <w:szCs w:val="20"/>
          <w:lang w:val="es-ES"/>
        </w:rPr>
        <w:t xml:space="preserve"> estaba presente desde su infancia y </w:t>
      </w:r>
      <w:r w:rsidR="001813CD">
        <w:rPr>
          <w:rFonts w:asciiTheme="majorHAnsi" w:hAnsiTheme="majorHAnsi"/>
          <w:sz w:val="20"/>
          <w:szCs w:val="20"/>
          <w:lang w:val="es-ES"/>
        </w:rPr>
        <w:t xml:space="preserve">que </w:t>
      </w:r>
      <w:r w:rsidR="00BF00F6" w:rsidRPr="00E4296A">
        <w:rPr>
          <w:rFonts w:asciiTheme="majorHAnsi" w:hAnsiTheme="majorHAnsi"/>
          <w:sz w:val="20"/>
          <w:szCs w:val="20"/>
          <w:lang w:val="es-ES"/>
        </w:rPr>
        <w:t xml:space="preserve">se </w:t>
      </w:r>
      <w:r w:rsidR="007712FF">
        <w:rPr>
          <w:rFonts w:asciiTheme="majorHAnsi" w:hAnsiTheme="majorHAnsi"/>
          <w:sz w:val="20"/>
          <w:szCs w:val="20"/>
          <w:lang w:val="es-ES"/>
        </w:rPr>
        <w:t>agravó</w:t>
      </w:r>
      <w:r w:rsidR="00BF00F6" w:rsidRPr="007712FF">
        <w:rPr>
          <w:rFonts w:asciiTheme="majorHAnsi" w:hAnsiTheme="majorHAnsi"/>
          <w:sz w:val="20"/>
          <w:szCs w:val="20"/>
          <w:lang w:val="es-ES"/>
        </w:rPr>
        <w:t xml:space="preserve"> debido a varios </w:t>
      </w:r>
      <w:r w:rsidR="00DC6944" w:rsidRPr="007712FF">
        <w:rPr>
          <w:rFonts w:asciiTheme="majorHAnsi" w:hAnsiTheme="majorHAnsi"/>
          <w:sz w:val="20"/>
          <w:szCs w:val="20"/>
          <w:lang w:val="es-ES"/>
        </w:rPr>
        <w:t xml:space="preserve">casos de trauma cerebral durante su desarrollo. Afirmó que el señor Housel sufría déficits neurológicos </w:t>
      </w:r>
      <w:r w:rsidR="001B6073" w:rsidRPr="007712FF">
        <w:rPr>
          <w:rFonts w:asciiTheme="majorHAnsi" w:hAnsiTheme="majorHAnsi"/>
          <w:sz w:val="20"/>
          <w:szCs w:val="20"/>
          <w:lang w:val="es-ES"/>
        </w:rPr>
        <w:t>en grado significativo</w:t>
      </w:r>
      <w:r w:rsidR="00DC6944" w:rsidRPr="007712FF">
        <w:rPr>
          <w:rFonts w:asciiTheme="majorHAnsi" w:hAnsiTheme="majorHAnsi"/>
          <w:sz w:val="20"/>
          <w:szCs w:val="20"/>
          <w:lang w:val="es-ES"/>
        </w:rPr>
        <w:t xml:space="preserve"> y expresó que parecía que el funcionamiento neurológico podría ser casi normal en muchas áreas en ausencia del </w:t>
      </w:r>
      <w:r w:rsidR="008745E4">
        <w:rPr>
          <w:rFonts w:asciiTheme="majorHAnsi" w:hAnsiTheme="majorHAnsi"/>
          <w:sz w:val="20"/>
          <w:szCs w:val="20"/>
          <w:lang w:val="es-ES"/>
        </w:rPr>
        <w:t>consumo</w:t>
      </w:r>
      <w:r w:rsidR="00DC6944" w:rsidRPr="007712FF">
        <w:rPr>
          <w:rFonts w:asciiTheme="majorHAnsi" w:hAnsiTheme="majorHAnsi"/>
          <w:sz w:val="20"/>
          <w:szCs w:val="20"/>
          <w:lang w:val="es-ES"/>
        </w:rPr>
        <w:t xml:space="preserve"> de alcohol y drogas y/o sustancias controladas. El señor Fisher observó que la evaluación realizada</w:t>
      </w:r>
      <w:r w:rsidR="003B55AA" w:rsidRPr="007712FF">
        <w:rPr>
          <w:rFonts w:asciiTheme="majorHAnsi" w:hAnsiTheme="majorHAnsi"/>
          <w:sz w:val="20"/>
          <w:szCs w:val="20"/>
          <w:lang w:val="es-ES"/>
        </w:rPr>
        <w:t xml:space="preserve"> antes del juicio fue inadecuada ya que </w:t>
      </w:r>
      <w:r w:rsidR="00912D06">
        <w:rPr>
          <w:rFonts w:asciiTheme="majorHAnsi" w:hAnsiTheme="majorHAnsi"/>
          <w:sz w:val="20"/>
          <w:szCs w:val="20"/>
          <w:lang w:val="es-ES"/>
        </w:rPr>
        <w:t>esa</w:t>
      </w:r>
      <w:r w:rsidR="003B55AA" w:rsidRPr="007712FF">
        <w:rPr>
          <w:rFonts w:asciiTheme="majorHAnsi" w:hAnsiTheme="majorHAnsi"/>
          <w:sz w:val="20"/>
          <w:szCs w:val="20"/>
          <w:lang w:val="es-ES"/>
        </w:rPr>
        <w:t xml:space="preserve"> evaluación no abordó cordura, daño cerebral, embriaguez, sino solo competencia</w:t>
      </w:r>
      <w:r w:rsidR="00912D06">
        <w:rPr>
          <w:rFonts w:asciiTheme="majorHAnsi" w:hAnsiTheme="majorHAnsi"/>
          <w:sz w:val="20"/>
          <w:szCs w:val="20"/>
          <w:lang w:val="es-ES"/>
        </w:rPr>
        <w:t>,</w:t>
      </w:r>
      <w:r w:rsidR="003B55AA" w:rsidRPr="007712FF">
        <w:rPr>
          <w:rFonts w:asciiTheme="majorHAnsi" w:hAnsiTheme="majorHAnsi"/>
          <w:sz w:val="20"/>
          <w:szCs w:val="20"/>
          <w:lang w:val="es-ES"/>
        </w:rPr>
        <w:t xml:space="preserve"> y </w:t>
      </w:r>
      <w:r w:rsidR="001127D0" w:rsidRPr="007712FF">
        <w:rPr>
          <w:rFonts w:asciiTheme="majorHAnsi" w:hAnsiTheme="majorHAnsi"/>
          <w:sz w:val="20"/>
          <w:szCs w:val="20"/>
          <w:lang w:val="es-ES"/>
        </w:rPr>
        <w:t>d</w:t>
      </w:r>
      <w:r w:rsidR="00912D06">
        <w:rPr>
          <w:rFonts w:asciiTheme="majorHAnsi" w:hAnsiTheme="majorHAnsi"/>
          <w:sz w:val="20"/>
          <w:szCs w:val="20"/>
          <w:lang w:val="es-ES"/>
        </w:rPr>
        <w:t>ebido a</w:t>
      </w:r>
      <w:r w:rsidR="001127D0" w:rsidRPr="007712FF">
        <w:rPr>
          <w:rFonts w:asciiTheme="majorHAnsi" w:hAnsiTheme="majorHAnsi"/>
          <w:sz w:val="20"/>
          <w:szCs w:val="20"/>
          <w:lang w:val="es-ES"/>
        </w:rPr>
        <w:t xml:space="preserve"> que </w:t>
      </w:r>
      <w:r w:rsidR="003B55AA" w:rsidRPr="007712FF">
        <w:rPr>
          <w:rFonts w:asciiTheme="majorHAnsi" w:hAnsiTheme="majorHAnsi"/>
          <w:sz w:val="20"/>
          <w:szCs w:val="20"/>
          <w:lang w:val="es-ES"/>
        </w:rPr>
        <w:t xml:space="preserve">el examinador no siguió el procedimiento usual, el cual incluye pruebas de diagnóstico, revisión completa de historiales médicos </w:t>
      </w:r>
      <w:r w:rsidR="00EA7138">
        <w:rPr>
          <w:rFonts w:asciiTheme="majorHAnsi" w:hAnsiTheme="majorHAnsi"/>
          <w:sz w:val="20"/>
          <w:szCs w:val="20"/>
          <w:lang w:val="es-ES"/>
        </w:rPr>
        <w:t xml:space="preserve">y escolares </w:t>
      </w:r>
      <w:r w:rsidR="003B55AA" w:rsidRPr="007712FF">
        <w:rPr>
          <w:rFonts w:asciiTheme="majorHAnsi" w:hAnsiTheme="majorHAnsi"/>
          <w:sz w:val="20"/>
          <w:szCs w:val="20"/>
          <w:lang w:val="es-ES"/>
        </w:rPr>
        <w:t>y otras investigaciones además de un examen del estado mental.</w:t>
      </w:r>
      <w:r w:rsidR="00CE029B" w:rsidRPr="00DE2580">
        <w:rPr>
          <w:rStyle w:val="FootnoteReference"/>
          <w:rFonts w:asciiTheme="majorHAnsi" w:hAnsiTheme="majorHAnsi"/>
          <w:sz w:val="20"/>
          <w:szCs w:val="20"/>
        </w:rPr>
        <w:footnoteReference w:id="14"/>
      </w:r>
      <w:r w:rsidR="00CE029B" w:rsidRPr="007712FF">
        <w:rPr>
          <w:rFonts w:asciiTheme="majorHAnsi" w:hAnsiTheme="majorHAnsi"/>
          <w:sz w:val="20"/>
          <w:szCs w:val="20"/>
          <w:lang w:val="es-ES"/>
        </w:rPr>
        <w:t xml:space="preserve"> </w:t>
      </w:r>
    </w:p>
    <w:p w14:paraId="1F276206" w14:textId="77777777" w:rsidR="00AF04C9" w:rsidRPr="006177F7" w:rsidRDefault="00AF04C9" w:rsidP="00AF04C9">
      <w:pPr>
        <w:pStyle w:val="ListParagraph"/>
        <w:rPr>
          <w:rFonts w:asciiTheme="majorHAnsi" w:eastAsia="Times New Roman" w:hAnsiTheme="majorHAnsi"/>
          <w:sz w:val="20"/>
          <w:szCs w:val="20"/>
          <w:lang w:val="es-ES"/>
        </w:rPr>
      </w:pPr>
    </w:p>
    <w:p w14:paraId="44E84903" w14:textId="46E25F24" w:rsidR="00D375E2" w:rsidRPr="00B83A94" w:rsidRDefault="00206A36" w:rsidP="00ED2F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ind w:left="0" w:firstLine="0"/>
        <w:jc w:val="both"/>
        <w:rPr>
          <w:rFonts w:asciiTheme="majorHAnsi" w:hAnsiTheme="majorHAnsi"/>
          <w:sz w:val="20"/>
          <w:szCs w:val="20"/>
          <w:lang w:val="es-ES"/>
        </w:rPr>
      </w:pPr>
      <w:r w:rsidRPr="00B83A94">
        <w:rPr>
          <w:rFonts w:asciiTheme="majorHAnsi" w:hAnsiTheme="majorHAnsi"/>
          <w:sz w:val="20"/>
          <w:szCs w:val="20"/>
          <w:lang w:val="es-ES"/>
        </w:rPr>
        <w:t>La Corte de Apelaciones de los Estados Unidos para el Undécimo Circuito se pronunció negativamente el 18 de enero de 2001</w:t>
      </w:r>
      <w:r w:rsidR="00511CE5" w:rsidRPr="00B83A94">
        <w:rPr>
          <w:rFonts w:asciiTheme="majorHAnsi" w:hAnsiTheme="majorHAnsi"/>
          <w:sz w:val="20"/>
          <w:szCs w:val="20"/>
          <w:lang w:val="es-ES"/>
        </w:rPr>
        <w:t xml:space="preserve">, </w:t>
      </w:r>
      <w:r w:rsidR="000975C0">
        <w:rPr>
          <w:rFonts w:asciiTheme="majorHAnsi" w:hAnsiTheme="majorHAnsi"/>
          <w:sz w:val="20"/>
          <w:szCs w:val="20"/>
          <w:lang w:val="es-ES"/>
        </w:rPr>
        <w:t>denegando</w:t>
      </w:r>
      <w:r w:rsidR="00511CE5" w:rsidRPr="00B83A94">
        <w:rPr>
          <w:rFonts w:asciiTheme="majorHAnsi" w:hAnsiTheme="majorHAnsi"/>
          <w:sz w:val="20"/>
          <w:szCs w:val="20"/>
          <w:lang w:val="es-ES"/>
        </w:rPr>
        <w:t xml:space="preserve"> asimismo una solicitud de una nueva audiencia el 6 de abril de 2001.</w:t>
      </w:r>
      <w:r w:rsidR="00D375E2" w:rsidRPr="00B83A94">
        <w:rPr>
          <w:rFonts w:asciiTheme="majorHAnsi" w:hAnsiTheme="majorHAnsi"/>
          <w:sz w:val="20"/>
          <w:szCs w:val="20"/>
          <w:lang w:val="es-ES"/>
        </w:rPr>
        <w:t xml:space="preserve"> Con </w:t>
      </w:r>
      <w:r w:rsidR="00D375E2" w:rsidRPr="00B83A94">
        <w:rPr>
          <w:rFonts w:asciiTheme="majorHAnsi" w:hAnsiTheme="majorHAnsi"/>
          <w:sz w:val="20"/>
          <w:szCs w:val="20"/>
          <w:lang w:val="es-ES"/>
        </w:rPr>
        <w:lastRenderedPageBreak/>
        <w:t xml:space="preserve">respecto a la cuestión de la asistencia ineficaz del abogado </w:t>
      </w:r>
      <w:r w:rsidR="007079D5" w:rsidRPr="00B83A94">
        <w:rPr>
          <w:rFonts w:asciiTheme="majorHAnsi" w:hAnsiTheme="majorHAnsi"/>
          <w:sz w:val="20"/>
          <w:szCs w:val="20"/>
          <w:lang w:val="es-ES"/>
        </w:rPr>
        <w:t>designado</w:t>
      </w:r>
      <w:r w:rsidR="00D375E2" w:rsidRPr="00B83A94">
        <w:rPr>
          <w:rFonts w:asciiTheme="majorHAnsi" w:hAnsiTheme="majorHAnsi"/>
          <w:sz w:val="20"/>
          <w:szCs w:val="20"/>
          <w:lang w:val="es-ES"/>
        </w:rPr>
        <w:t xml:space="preserve"> por el Estado, la Corte de Apelaciones de los Estados Unidos </w:t>
      </w:r>
      <w:r w:rsidR="00D375E2" w:rsidRPr="0062433B">
        <w:rPr>
          <w:rFonts w:asciiTheme="majorHAnsi" w:hAnsiTheme="majorHAnsi"/>
          <w:sz w:val="20"/>
          <w:szCs w:val="20"/>
          <w:lang w:val="es-ES"/>
        </w:rPr>
        <w:t>dictaminó que</w:t>
      </w:r>
      <w:r w:rsidR="00E55363" w:rsidRPr="0062433B">
        <w:rPr>
          <w:rFonts w:asciiTheme="majorHAnsi" w:hAnsiTheme="majorHAnsi"/>
          <w:sz w:val="20"/>
          <w:szCs w:val="20"/>
          <w:lang w:val="es-ES"/>
        </w:rPr>
        <w:t xml:space="preserve"> </w:t>
      </w:r>
      <w:r w:rsidR="009861A1" w:rsidRPr="0062433B">
        <w:rPr>
          <w:rFonts w:asciiTheme="majorHAnsi" w:hAnsiTheme="majorHAnsi"/>
          <w:sz w:val="20"/>
          <w:szCs w:val="20"/>
          <w:lang w:val="es-ES"/>
        </w:rPr>
        <w:t>la actuación del abogado no fue ineficaz de</w:t>
      </w:r>
      <w:r w:rsidR="00B25323" w:rsidRPr="0062433B">
        <w:rPr>
          <w:rFonts w:asciiTheme="majorHAnsi" w:hAnsiTheme="majorHAnsi"/>
          <w:sz w:val="20"/>
          <w:szCs w:val="20"/>
          <w:lang w:val="es-ES"/>
        </w:rPr>
        <w:t>sde el punto de vista constitucional</w:t>
      </w:r>
      <w:r w:rsidR="00F063BF">
        <w:rPr>
          <w:rFonts w:asciiTheme="majorHAnsi" w:hAnsiTheme="majorHAnsi"/>
          <w:sz w:val="20"/>
          <w:szCs w:val="20"/>
          <w:lang w:val="es-ES"/>
        </w:rPr>
        <w:t xml:space="preserve"> en cuanto a</w:t>
      </w:r>
      <w:r w:rsidR="00D375E2" w:rsidRPr="00B83A94">
        <w:rPr>
          <w:rFonts w:asciiTheme="majorHAnsi" w:hAnsiTheme="majorHAnsi"/>
          <w:sz w:val="20"/>
          <w:szCs w:val="20"/>
          <w:lang w:val="es-ES"/>
        </w:rPr>
        <w:t>:</w:t>
      </w:r>
      <w:r w:rsidR="00D375E2" w:rsidRPr="00DE2580">
        <w:rPr>
          <w:rStyle w:val="FootnoteReference"/>
          <w:rFonts w:asciiTheme="majorHAnsi" w:hAnsiTheme="majorHAnsi"/>
          <w:sz w:val="20"/>
          <w:szCs w:val="20"/>
        </w:rPr>
        <w:footnoteReference w:id="15"/>
      </w:r>
    </w:p>
    <w:p w14:paraId="1E45C0D9" w14:textId="77777777" w:rsidR="00206A36" w:rsidRPr="00206A36" w:rsidRDefault="00206A36" w:rsidP="00D375E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7504069E" w14:textId="77777777" w:rsidR="0029445B" w:rsidRPr="0029445B" w:rsidRDefault="0029445B" w:rsidP="00ED2F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ind w:right="360"/>
        <w:jc w:val="both"/>
        <w:rPr>
          <w:rFonts w:asciiTheme="majorHAnsi" w:hAnsiTheme="majorHAnsi"/>
          <w:sz w:val="18"/>
          <w:szCs w:val="18"/>
          <w:lang w:val="es-ES"/>
        </w:rPr>
      </w:pPr>
      <w:r w:rsidRPr="0029445B">
        <w:rPr>
          <w:rFonts w:asciiTheme="majorHAnsi" w:hAnsiTheme="majorHAnsi"/>
          <w:sz w:val="18"/>
          <w:szCs w:val="18"/>
          <w:lang w:val="es-ES"/>
        </w:rPr>
        <w:t>No haber presentado</w:t>
      </w:r>
      <w:r w:rsidR="004D0C08">
        <w:rPr>
          <w:rFonts w:asciiTheme="majorHAnsi" w:hAnsiTheme="majorHAnsi"/>
          <w:sz w:val="18"/>
          <w:szCs w:val="18"/>
          <w:lang w:val="es-ES"/>
        </w:rPr>
        <w:t>,</w:t>
      </w:r>
      <w:r w:rsidRPr="0029445B">
        <w:rPr>
          <w:rFonts w:asciiTheme="majorHAnsi" w:hAnsiTheme="majorHAnsi"/>
          <w:sz w:val="18"/>
          <w:szCs w:val="18"/>
          <w:lang w:val="es-ES"/>
        </w:rPr>
        <w:t xml:space="preserve"> en </w:t>
      </w:r>
      <w:r>
        <w:rPr>
          <w:rFonts w:asciiTheme="majorHAnsi" w:hAnsiTheme="majorHAnsi"/>
          <w:sz w:val="18"/>
          <w:szCs w:val="18"/>
          <w:lang w:val="es-ES"/>
        </w:rPr>
        <w:t>la etapa de determinación de la sentencia</w:t>
      </w:r>
      <w:r w:rsidR="004D0C08">
        <w:rPr>
          <w:rFonts w:asciiTheme="majorHAnsi" w:hAnsiTheme="majorHAnsi"/>
          <w:sz w:val="18"/>
          <w:szCs w:val="18"/>
          <w:lang w:val="es-ES"/>
        </w:rPr>
        <w:t>,</w:t>
      </w:r>
      <w:r>
        <w:rPr>
          <w:rFonts w:asciiTheme="majorHAnsi" w:hAnsiTheme="majorHAnsi"/>
          <w:sz w:val="18"/>
          <w:szCs w:val="18"/>
          <w:lang w:val="es-ES"/>
        </w:rPr>
        <w:t xml:space="preserve"> el testimonio de testigos sobre la difícil infancia y adolescencia del acusado</w:t>
      </w:r>
      <w:r w:rsidR="00627CAE">
        <w:rPr>
          <w:rFonts w:asciiTheme="majorHAnsi" w:hAnsiTheme="majorHAnsi"/>
          <w:sz w:val="18"/>
          <w:szCs w:val="18"/>
          <w:lang w:val="es-ES"/>
        </w:rPr>
        <w:t>; dado que</w:t>
      </w:r>
      <w:r>
        <w:rPr>
          <w:rFonts w:asciiTheme="majorHAnsi" w:hAnsiTheme="majorHAnsi"/>
          <w:sz w:val="18"/>
          <w:szCs w:val="18"/>
          <w:lang w:val="es-ES"/>
        </w:rPr>
        <w:t xml:space="preserve"> el abogado le pidió al acusado que preparara una historia de su vida para ayudar en la investigación, el abogado </w:t>
      </w:r>
      <w:r w:rsidR="00FE0888">
        <w:rPr>
          <w:rFonts w:asciiTheme="majorHAnsi" w:hAnsiTheme="majorHAnsi"/>
          <w:sz w:val="18"/>
          <w:szCs w:val="18"/>
          <w:lang w:val="es-ES"/>
        </w:rPr>
        <w:t xml:space="preserve">podía razonablemente basarse en las declaraciones </w:t>
      </w:r>
      <w:r w:rsidR="00946C73">
        <w:rPr>
          <w:rFonts w:asciiTheme="majorHAnsi" w:hAnsiTheme="majorHAnsi"/>
          <w:sz w:val="18"/>
          <w:szCs w:val="18"/>
          <w:lang w:val="es-ES"/>
        </w:rPr>
        <w:t>realizadas a él por e</w:t>
      </w:r>
      <w:r w:rsidR="00FE0888">
        <w:rPr>
          <w:rFonts w:asciiTheme="majorHAnsi" w:hAnsiTheme="majorHAnsi"/>
          <w:sz w:val="18"/>
          <w:szCs w:val="18"/>
          <w:lang w:val="es-ES"/>
        </w:rPr>
        <w:t>l</w:t>
      </w:r>
      <w:r w:rsidR="00946C73">
        <w:rPr>
          <w:rFonts w:asciiTheme="majorHAnsi" w:hAnsiTheme="majorHAnsi"/>
          <w:sz w:val="18"/>
          <w:szCs w:val="18"/>
          <w:lang w:val="es-ES"/>
        </w:rPr>
        <w:t xml:space="preserve"> acusado; </w:t>
      </w:r>
    </w:p>
    <w:p w14:paraId="367EC7AC" w14:textId="77777777" w:rsidR="00CE58F0" w:rsidRPr="00CE58F0" w:rsidRDefault="00CE58F0" w:rsidP="00ED2F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ind w:right="360"/>
        <w:jc w:val="both"/>
        <w:rPr>
          <w:rFonts w:asciiTheme="majorHAnsi" w:hAnsiTheme="majorHAnsi"/>
          <w:sz w:val="18"/>
          <w:szCs w:val="18"/>
          <w:lang w:val="es-ES"/>
        </w:rPr>
      </w:pPr>
      <w:r w:rsidRPr="00CE58F0">
        <w:rPr>
          <w:rFonts w:asciiTheme="majorHAnsi" w:hAnsiTheme="majorHAnsi"/>
          <w:sz w:val="18"/>
          <w:szCs w:val="18"/>
          <w:lang w:val="es-ES"/>
        </w:rPr>
        <w:t xml:space="preserve">No haber presentado pruebas </w:t>
      </w:r>
      <w:r>
        <w:rPr>
          <w:rFonts w:asciiTheme="majorHAnsi" w:hAnsiTheme="majorHAnsi"/>
          <w:sz w:val="18"/>
          <w:szCs w:val="18"/>
          <w:lang w:val="es-ES"/>
        </w:rPr>
        <w:t xml:space="preserve">acerca del daño cerebral y la hipoglucemia que sufría el acusado, dado que el abogado </w:t>
      </w:r>
      <w:r w:rsidR="006F6EA2">
        <w:rPr>
          <w:rFonts w:asciiTheme="majorHAnsi" w:hAnsiTheme="majorHAnsi"/>
          <w:sz w:val="18"/>
          <w:szCs w:val="18"/>
          <w:lang w:val="es-ES"/>
        </w:rPr>
        <w:t>tuvo suficiente información</w:t>
      </w:r>
      <w:r>
        <w:rPr>
          <w:rFonts w:asciiTheme="majorHAnsi" w:hAnsiTheme="majorHAnsi"/>
          <w:sz w:val="18"/>
          <w:szCs w:val="18"/>
          <w:lang w:val="es-ES"/>
        </w:rPr>
        <w:t xml:space="preserve"> después de que dos evaluaciones psicológicas no ofrecieron ningún apoyo para proceder en ese sentido, y</w:t>
      </w:r>
    </w:p>
    <w:p w14:paraId="38BED718" w14:textId="77777777" w:rsidR="00924DDD" w:rsidRPr="00924DDD" w:rsidRDefault="00924DDD" w:rsidP="00ED2F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ind w:right="360"/>
        <w:jc w:val="both"/>
        <w:rPr>
          <w:rFonts w:asciiTheme="majorHAnsi" w:hAnsiTheme="majorHAnsi"/>
          <w:sz w:val="18"/>
          <w:szCs w:val="18"/>
          <w:lang w:val="es-ES"/>
        </w:rPr>
      </w:pPr>
      <w:r w:rsidRPr="00924DDD">
        <w:rPr>
          <w:rFonts w:asciiTheme="majorHAnsi" w:hAnsiTheme="majorHAnsi"/>
          <w:sz w:val="18"/>
          <w:szCs w:val="18"/>
          <w:lang w:val="es-ES"/>
        </w:rPr>
        <w:t>Al no citar la e</w:t>
      </w:r>
      <w:r>
        <w:rPr>
          <w:rFonts w:asciiTheme="majorHAnsi" w:hAnsiTheme="majorHAnsi"/>
          <w:sz w:val="18"/>
          <w:szCs w:val="18"/>
          <w:lang w:val="es-ES"/>
        </w:rPr>
        <w:t xml:space="preserve">mbriaguez del acusado </w:t>
      </w:r>
      <w:r w:rsidR="00BF4BCF">
        <w:rPr>
          <w:rFonts w:asciiTheme="majorHAnsi" w:hAnsiTheme="majorHAnsi"/>
          <w:sz w:val="18"/>
          <w:szCs w:val="18"/>
          <w:lang w:val="es-ES"/>
        </w:rPr>
        <w:t xml:space="preserve">en </w:t>
      </w:r>
      <w:r>
        <w:rPr>
          <w:rFonts w:asciiTheme="majorHAnsi" w:hAnsiTheme="majorHAnsi"/>
          <w:sz w:val="18"/>
          <w:szCs w:val="18"/>
          <w:lang w:val="es-ES"/>
        </w:rPr>
        <w:t xml:space="preserve">la noche del delito dado que el abogado podía decidir </w:t>
      </w:r>
      <w:r w:rsidR="003A4EDD">
        <w:rPr>
          <w:rFonts w:asciiTheme="majorHAnsi" w:hAnsiTheme="majorHAnsi"/>
          <w:sz w:val="18"/>
          <w:szCs w:val="18"/>
          <w:lang w:val="es-ES"/>
        </w:rPr>
        <w:t>que dicho testimonio podría perjudicar tanto como ayudar a la defensa, en vista de que el comportamiento del acusado posteriormente al homicidio no se contradice con la embriaguez incontrolable y teniendo en cuenta la posible desaprobación del jurado con respecto al alcoholismo.</w:t>
      </w:r>
    </w:p>
    <w:p w14:paraId="0C4E83BF" w14:textId="77777777" w:rsidR="003374B9" w:rsidRPr="00031013" w:rsidRDefault="003374B9"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lang w:val="es-ES"/>
        </w:rPr>
      </w:pPr>
    </w:p>
    <w:p w14:paraId="3B20E990" w14:textId="77777777" w:rsidR="00672B56" w:rsidRPr="00DE30EF" w:rsidRDefault="006B7965" w:rsidP="00ED2F8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DE30EF">
        <w:rPr>
          <w:rFonts w:asciiTheme="majorHAnsi" w:hAnsiTheme="majorHAnsi"/>
          <w:sz w:val="20"/>
          <w:szCs w:val="20"/>
          <w:lang w:val="es-ES"/>
        </w:rPr>
        <w:t xml:space="preserve">La corte expresó además </w:t>
      </w:r>
      <w:r w:rsidR="00617EFC" w:rsidRPr="00DE30EF">
        <w:rPr>
          <w:rFonts w:asciiTheme="majorHAnsi" w:hAnsiTheme="majorHAnsi"/>
          <w:sz w:val="20"/>
          <w:szCs w:val="20"/>
          <w:lang w:val="es-ES"/>
        </w:rPr>
        <w:t>que,</w:t>
      </w:r>
      <w:r w:rsidRPr="00DE30EF">
        <w:rPr>
          <w:rFonts w:asciiTheme="majorHAnsi" w:hAnsiTheme="majorHAnsi"/>
          <w:sz w:val="20"/>
          <w:szCs w:val="20"/>
          <w:lang w:val="es-ES"/>
        </w:rPr>
        <w:t xml:space="preserve"> si el </w:t>
      </w:r>
      <w:r w:rsidR="003D4DC0" w:rsidRPr="00DE30EF">
        <w:rPr>
          <w:rFonts w:asciiTheme="majorHAnsi" w:hAnsiTheme="majorHAnsi"/>
          <w:sz w:val="20"/>
          <w:szCs w:val="20"/>
          <w:lang w:val="es-ES"/>
        </w:rPr>
        <w:t>abogado tomó</w:t>
      </w:r>
      <w:r w:rsidRPr="00DE30EF">
        <w:rPr>
          <w:rFonts w:asciiTheme="majorHAnsi" w:hAnsiTheme="majorHAnsi"/>
          <w:sz w:val="20"/>
          <w:szCs w:val="20"/>
          <w:lang w:val="es-ES"/>
        </w:rPr>
        <w:t xml:space="preserve"> una decisión estratégica de no seguir una defensa </w:t>
      </w:r>
      <w:r w:rsidR="00A9520B" w:rsidRPr="00DE30EF">
        <w:rPr>
          <w:rFonts w:asciiTheme="majorHAnsi" w:hAnsiTheme="majorHAnsi"/>
          <w:sz w:val="20"/>
          <w:szCs w:val="20"/>
          <w:lang w:val="es-ES"/>
        </w:rPr>
        <w:t>en concreto</w:t>
      </w:r>
      <w:r w:rsidRPr="00DE30EF">
        <w:rPr>
          <w:rFonts w:asciiTheme="majorHAnsi" w:hAnsiTheme="majorHAnsi"/>
          <w:sz w:val="20"/>
          <w:szCs w:val="20"/>
          <w:lang w:val="es-ES"/>
        </w:rPr>
        <w:t xml:space="preserve">, después de una investigación completa de los hechos y el derecho pertinentes, dicha decisión </w:t>
      </w:r>
      <w:r w:rsidR="009D0A25" w:rsidRPr="00DE30EF">
        <w:rPr>
          <w:rFonts w:asciiTheme="majorHAnsi" w:hAnsiTheme="majorHAnsi"/>
          <w:sz w:val="20"/>
          <w:szCs w:val="20"/>
          <w:lang w:val="es-ES"/>
        </w:rPr>
        <w:t>fue</w:t>
      </w:r>
      <w:r w:rsidRPr="00DE30EF">
        <w:rPr>
          <w:rFonts w:asciiTheme="majorHAnsi" w:hAnsiTheme="majorHAnsi"/>
          <w:sz w:val="20"/>
          <w:szCs w:val="20"/>
          <w:lang w:val="es-ES"/>
        </w:rPr>
        <w:t xml:space="preserve"> “prácticamente incuestionable”</w:t>
      </w:r>
      <w:r w:rsidR="008013A5" w:rsidRPr="00DE30EF">
        <w:rPr>
          <w:rFonts w:asciiTheme="majorHAnsi" w:hAnsiTheme="majorHAnsi"/>
          <w:sz w:val="20"/>
          <w:szCs w:val="20"/>
          <w:lang w:val="es-ES"/>
        </w:rPr>
        <w:t>, e hizo referencia</w:t>
      </w:r>
      <w:r w:rsidR="00672B56" w:rsidRPr="00DE30EF">
        <w:rPr>
          <w:rFonts w:asciiTheme="majorHAnsi" w:hAnsiTheme="majorHAnsi"/>
          <w:sz w:val="20"/>
          <w:szCs w:val="20"/>
          <w:lang w:val="es-ES"/>
        </w:rPr>
        <w:t xml:space="preserve"> a </w:t>
      </w:r>
      <w:r w:rsidR="008013A5" w:rsidRPr="00DE30EF">
        <w:rPr>
          <w:rFonts w:asciiTheme="majorHAnsi" w:hAnsiTheme="majorHAnsi"/>
          <w:sz w:val="20"/>
          <w:szCs w:val="20"/>
          <w:lang w:val="es-ES"/>
        </w:rPr>
        <w:t xml:space="preserve">Srickland, 466 U.S., 691. </w:t>
      </w:r>
      <w:r w:rsidR="00AE5154" w:rsidRPr="00DE30EF">
        <w:rPr>
          <w:rFonts w:asciiTheme="majorHAnsi" w:hAnsiTheme="majorHAnsi"/>
          <w:sz w:val="20"/>
          <w:szCs w:val="20"/>
          <w:lang w:val="es-ES"/>
        </w:rPr>
        <w:t>Accord Middleton c</w:t>
      </w:r>
      <w:r w:rsidR="00775EEC" w:rsidRPr="00DE30EF">
        <w:rPr>
          <w:rFonts w:asciiTheme="majorHAnsi" w:hAnsiTheme="majorHAnsi"/>
          <w:sz w:val="20"/>
          <w:szCs w:val="20"/>
          <w:lang w:val="es-ES"/>
        </w:rPr>
        <w:t>.</w:t>
      </w:r>
      <w:r w:rsidR="00AE5154" w:rsidRPr="00DE30EF">
        <w:rPr>
          <w:rFonts w:asciiTheme="majorHAnsi" w:hAnsiTheme="majorHAnsi"/>
          <w:sz w:val="20"/>
          <w:szCs w:val="20"/>
          <w:lang w:val="es-ES"/>
        </w:rPr>
        <w:t xml:space="preserve"> Dugger, 849 F. 2d 491, 493, </w:t>
      </w:r>
      <w:r w:rsidR="00672B56" w:rsidRPr="00DE30EF">
        <w:rPr>
          <w:rFonts w:asciiTheme="majorHAnsi" w:hAnsiTheme="majorHAnsi"/>
          <w:sz w:val="20"/>
          <w:szCs w:val="20"/>
          <w:lang w:val="es-ES"/>
        </w:rPr>
        <w:t>circuito 911 (1988) (decisiones tácticas que ofrecen “</w:t>
      </w:r>
      <w:r w:rsidR="00775EEC" w:rsidRPr="00DE30EF">
        <w:rPr>
          <w:rFonts w:asciiTheme="majorHAnsi" w:hAnsiTheme="majorHAnsi"/>
          <w:sz w:val="20"/>
          <w:szCs w:val="20"/>
          <w:lang w:val="es-ES"/>
        </w:rPr>
        <w:t>fuerte</w:t>
      </w:r>
      <w:r w:rsidR="00672B56" w:rsidRPr="00DE30EF">
        <w:rPr>
          <w:rFonts w:asciiTheme="majorHAnsi" w:hAnsiTheme="majorHAnsi"/>
          <w:sz w:val="20"/>
          <w:szCs w:val="20"/>
          <w:lang w:val="es-ES"/>
        </w:rPr>
        <w:t xml:space="preserve"> presunción de ser correctas”). </w:t>
      </w:r>
      <w:r w:rsidR="00672B56" w:rsidRPr="00DE30EF">
        <w:rPr>
          <w:rStyle w:val="FootnoteReference"/>
          <w:rFonts w:asciiTheme="majorHAnsi" w:hAnsiTheme="majorHAnsi"/>
          <w:sz w:val="20"/>
          <w:szCs w:val="20"/>
        </w:rPr>
        <w:footnoteReference w:id="16"/>
      </w:r>
    </w:p>
    <w:p w14:paraId="78AD1579" w14:textId="77777777" w:rsidR="006B7965" w:rsidRPr="006B7965" w:rsidRDefault="006B7965" w:rsidP="006B796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231DACD5" w14:textId="77777777" w:rsidR="00685A78" w:rsidRPr="00685A78" w:rsidRDefault="00977AE6" w:rsidP="00977AE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lang w:val="es-ES"/>
        </w:rPr>
      </w:pPr>
      <w:r>
        <w:rPr>
          <w:rFonts w:asciiTheme="majorHAnsi" w:hAnsiTheme="majorHAnsi"/>
          <w:sz w:val="20"/>
          <w:szCs w:val="20"/>
          <w:lang w:val="es-ES"/>
        </w:rPr>
        <w:t>28.</w:t>
      </w:r>
      <w:r>
        <w:rPr>
          <w:rFonts w:asciiTheme="majorHAnsi" w:hAnsiTheme="majorHAnsi"/>
          <w:sz w:val="20"/>
          <w:szCs w:val="20"/>
          <w:lang w:val="es-ES"/>
        </w:rPr>
        <w:tab/>
      </w:r>
      <w:r w:rsidR="00685A78">
        <w:rPr>
          <w:rFonts w:asciiTheme="majorHAnsi" w:hAnsiTheme="majorHAnsi"/>
          <w:sz w:val="20"/>
          <w:szCs w:val="20"/>
          <w:lang w:val="es-ES"/>
        </w:rPr>
        <w:t>Con respecto a la admisibilidad general</w:t>
      </w:r>
      <w:r w:rsidR="00AB76DE">
        <w:rPr>
          <w:rFonts w:asciiTheme="majorHAnsi" w:hAnsiTheme="majorHAnsi"/>
          <w:sz w:val="20"/>
          <w:szCs w:val="20"/>
          <w:lang w:val="es-ES"/>
        </w:rPr>
        <w:t xml:space="preserve"> </w:t>
      </w:r>
      <w:r w:rsidR="00990873">
        <w:rPr>
          <w:rFonts w:asciiTheme="majorHAnsi" w:hAnsiTheme="majorHAnsi"/>
          <w:sz w:val="20"/>
          <w:szCs w:val="20"/>
          <w:lang w:val="es-ES"/>
        </w:rPr>
        <w:t xml:space="preserve">de pruebas </w:t>
      </w:r>
      <w:r w:rsidR="00E74274">
        <w:rPr>
          <w:rFonts w:asciiTheme="majorHAnsi" w:hAnsiTheme="majorHAnsi"/>
          <w:sz w:val="20"/>
          <w:szCs w:val="20"/>
          <w:lang w:val="es-ES"/>
        </w:rPr>
        <w:t>d</w:t>
      </w:r>
      <w:r w:rsidR="00990873">
        <w:rPr>
          <w:rFonts w:asciiTheme="majorHAnsi" w:hAnsiTheme="majorHAnsi"/>
          <w:sz w:val="20"/>
          <w:szCs w:val="20"/>
          <w:lang w:val="es-ES"/>
        </w:rPr>
        <w:t xml:space="preserve">e delitos </w:t>
      </w:r>
      <w:r w:rsidR="001F0BD8">
        <w:rPr>
          <w:rFonts w:asciiTheme="majorHAnsi" w:hAnsiTheme="majorHAnsi"/>
          <w:sz w:val="20"/>
          <w:szCs w:val="20"/>
          <w:lang w:val="es-ES"/>
        </w:rPr>
        <w:t>que no fueron juzgados</w:t>
      </w:r>
      <w:r w:rsidR="00AB76DE">
        <w:rPr>
          <w:rFonts w:asciiTheme="majorHAnsi" w:hAnsiTheme="majorHAnsi"/>
          <w:sz w:val="20"/>
          <w:szCs w:val="20"/>
          <w:lang w:val="es-ES"/>
        </w:rPr>
        <w:t xml:space="preserve"> en la etapa de imposición de la sentencia de pena de muerte, </w:t>
      </w:r>
      <w:r w:rsidR="00990873">
        <w:rPr>
          <w:rFonts w:asciiTheme="majorHAnsi" w:hAnsiTheme="majorHAnsi"/>
          <w:sz w:val="20"/>
          <w:szCs w:val="20"/>
          <w:lang w:val="es-ES"/>
        </w:rPr>
        <w:t xml:space="preserve">la corte sostuvo que la admisión de tales pruebas no viola la Constitución siempre y cuando las pruebas sean </w:t>
      </w:r>
      <w:r w:rsidR="00E32154">
        <w:rPr>
          <w:rFonts w:asciiTheme="majorHAnsi" w:hAnsiTheme="majorHAnsi"/>
          <w:sz w:val="20"/>
          <w:szCs w:val="20"/>
          <w:lang w:val="es-ES"/>
        </w:rPr>
        <w:t>fiables</w:t>
      </w:r>
      <w:r w:rsidR="00990873">
        <w:rPr>
          <w:rFonts w:asciiTheme="majorHAnsi" w:hAnsiTheme="majorHAnsi"/>
          <w:sz w:val="20"/>
          <w:szCs w:val="20"/>
          <w:lang w:val="es-ES"/>
        </w:rPr>
        <w:t xml:space="preserve"> </w:t>
      </w:r>
      <w:r w:rsidR="001B347D">
        <w:rPr>
          <w:rFonts w:asciiTheme="majorHAnsi" w:hAnsiTheme="majorHAnsi"/>
          <w:sz w:val="20"/>
          <w:szCs w:val="20"/>
          <w:lang w:val="es-ES"/>
        </w:rPr>
        <w:t>–</w:t>
      </w:r>
      <w:r w:rsidR="00990873">
        <w:rPr>
          <w:rFonts w:asciiTheme="majorHAnsi" w:hAnsiTheme="majorHAnsi"/>
          <w:sz w:val="20"/>
          <w:szCs w:val="20"/>
          <w:lang w:val="es-ES"/>
        </w:rPr>
        <w:t xml:space="preserve"> </w:t>
      </w:r>
      <w:r w:rsidR="001B347D">
        <w:rPr>
          <w:rFonts w:asciiTheme="majorHAnsi" w:hAnsiTheme="majorHAnsi"/>
          <w:sz w:val="20"/>
          <w:szCs w:val="20"/>
          <w:lang w:val="es-ES"/>
        </w:rPr>
        <w:t xml:space="preserve">refiriéndose </w:t>
      </w:r>
      <w:r w:rsidR="00990873">
        <w:rPr>
          <w:rFonts w:asciiTheme="majorHAnsi" w:hAnsiTheme="majorHAnsi"/>
          <w:sz w:val="20"/>
          <w:szCs w:val="20"/>
          <w:lang w:val="es-ES"/>
        </w:rPr>
        <w:t xml:space="preserve">a las pruebas </w:t>
      </w:r>
      <w:r w:rsidR="00F75B5F">
        <w:rPr>
          <w:rFonts w:asciiTheme="majorHAnsi" w:hAnsiTheme="majorHAnsi"/>
          <w:sz w:val="20"/>
          <w:szCs w:val="20"/>
          <w:lang w:val="es-ES"/>
        </w:rPr>
        <w:t xml:space="preserve">disponibles sobre dos de los tres delitos relacionados con las confesiones del señor Housel junto con pruebas corroborativas, y para el tercero, </w:t>
      </w:r>
      <w:r w:rsidR="0048683A">
        <w:rPr>
          <w:rFonts w:asciiTheme="majorHAnsi" w:hAnsiTheme="majorHAnsi"/>
          <w:sz w:val="20"/>
          <w:szCs w:val="20"/>
          <w:lang w:val="es-ES"/>
        </w:rPr>
        <w:t>el cual incluyó el testimonio</w:t>
      </w:r>
      <w:r w:rsidR="001541B4" w:rsidRPr="001541B4">
        <w:rPr>
          <w:rStyle w:val="FootnoteReference"/>
          <w:rFonts w:asciiTheme="majorHAnsi" w:hAnsiTheme="majorHAnsi"/>
          <w:sz w:val="20"/>
          <w:szCs w:val="20"/>
        </w:rPr>
        <w:footnoteReference w:id="17"/>
      </w:r>
      <w:r w:rsidR="001541B4">
        <w:rPr>
          <w:rFonts w:asciiTheme="majorHAnsi" w:hAnsiTheme="majorHAnsi"/>
          <w:sz w:val="20"/>
          <w:szCs w:val="20"/>
          <w:lang w:val="es-ES"/>
        </w:rPr>
        <w:t xml:space="preserve"> </w:t>
      </w:r>
      <w:r w:rsidR="0048683A">
        <w:rPr>
          <w:rFonts w:asciiTheme="majorHAnsi" w:hAnsiTheme="majorHAnsi"/>
          <w:sz w:val="20"/>
          <w:szCs w:val="20"/>
          <w:lang w:val="es-ES"/>
        </w:rPr>
        <w:t xml:space="preserve">de una víctima como </w:t>
      </w:r>
      <w:r w:rsidR="00E80849">
        <w:rPr>
          <w:rFonts w:asciiTheme="majorHAnsi" w:hAnsiTheme="majorHAnsi"/>
          <w:sz w:val="20"/>
          <w:szCs w:val="20"/>
          <w:lang w:val="es-ES"/>
        </w:rPr>
        <w:t>un elemento fidedigno</w:t>
      </w:r>
      <w:r w:rsidR="0048683A">
        <w:rPr>
          <w:rFonts w:asciiTheme="majorHAnsi" w:hAnsiTheme="majorHAnsi"/>
          <w:sz w:val="20"/>
          <w:szCs w:val="20"/>
          <w:lang w:val="es-ES"/>
        </w:rPr>
        <w:t>.</w:t>
      </w:r>
    </w:p>
    <w:p w14:paraId="447C342E" w14:textId="77777777" w:rsidR="00FE36B0" w:rsidRPr="00AB76DE" w:rsidRDefault="00FE36B0"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lang w:val="es-ES"/>
        </w:rPr>
      </w:pPr>
    </w:p>
    <w:p w14:paraId="6BEAA984" w14:textId="77777777" w:rsidR="00C75ABE" w:rsidRPr="00C75ABE" w:rsidRDefault="006C1751" w:rsidP="006C175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r>
        <w:rPr>
          <w:rFonts w:asciiTheme="majorHAnsi" w:hAnsiTheme="majorHAnsi"/>
          <w:sz w:val="20"/>
          <w:szCs w:val="20"/>
          <w:lang w:val="es-ES"/>
        </w:rPr>
        <w:t>29.</w:t>
      </w:r>
      <w:r>
        <w:rPr>
          <w:rFonts w:asciiTheme="majorHAnsi" w:hAnsiTheme="majorHAnsi"/>
          <w:sz w:val="20"/>
          <w:szCs w:val="20"/>
          <w:lang w:val="es-ES"/>
        </w:rPr>
        <w:tab/>
      </w:r>
      <w:r w:rsidR="00EB6B3A" w:rsidRPr="00977AE6">
        <w:rPr>
          <w:rFonts w:asciiTheme="majorHAnsi" w:hAnsiTheme="majorHAnsi"/>
          <w:sz w:val="20"/>
          <w:szCs w:val="20"/>
          <w:lang w:val="es-ES"/>
        </w:rPr>
        <w:t xml:space="preserve">El abogado </w:t>
      </w:r>
      <w:r w:rsidR="00D92A9D" w:rsidRPr="00977AE6">
        <w:rPr>
          <w:rFonts w:asciiTheme="majorHAnsi" w:hAnsiTheme="majorHAnsi"/>
          <w:sz w:val="20"/>
          <w:szCs w:val="20"/>
          <w:lang w:val="es-ES"/>
        </w:rPr>
        <w:t>del señor Housel, Walt M. Britt (“señor Britt”) firmó una declaración jurada en la que indica lo siguiente</w:t>
      </w:r>
      <w:r w:rsidR="00C75ABE" w:rsidRPr="00C75ABE">
        <w:rPr>
          <w:rFonts w:asciiTheme="majorHAnsi" w:hAnsiTheme="majorHAnsi"/>
          <w:sz w:val="20"/>
          <w:szCs w:val="20"/>
          <w:lang w:val="es-ES"/>
        </w:rPr>
        <w:t>:</w:t>
      </w:r>
      <w:r w:rsidR="00C75ABE" w:rsidRPr="00DE2580">
        <w:rPr>
          <w:rStyle w:val="FootnoteReference"/>
          <w:rFonts w:asciiTheme="majorHAnsi" w:hAnsiTheme="majorHAnsi"/>
          <w:sz w:val="20"/>
          <w:szCs w:val="20"/>
        </w:rPr>
        <w:footnoteReference w:id="18"/>
      </w:r>
    </w:p>
    <w:p w14:paraId="247620DF" w14:textId="77777777" w:rsidR="000C35E0" w:rsidRPr="000C293C" w:rsidRDefault="000C35E0" w:rsidP="00F349BC">
      <w:pPr>
        <w:pStyle w:val="ListParagraph"/>
        <w:tabs>
          <w:tab w:val="left" w:pos="1890"/>
        </w:tabs>
        <w:rPr>
          <w:rFonts w:asciiTheme="majorHAnsi" w:hAnsiTheme="majorHAnsi"/>
          <w:sz w:val="20"/>
          <w:szCs w:val="20"/>
          <w:lang w:val="es-ES"/>
        </w:rPr>
      </w:pPr>
    </w:p>
    <w:p w14:paraId="62D7BE7C" w14:textId="77777777" w:rsidR="00C36A73" w:rsidRPr="009F4761" w:rsidRDefault="001E3D8C" w:rsidP="00C36A7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360" w:right="360"/>
        <w:jc w:val="both"/>
        <w:rPr>
          <w:rFonts w:asciiTheme="majorHAnsi" w:hAnsiTheme="majorHAnsi"/>
          <w:sz w:val="18"/>
          <w:szCs w:val="18"/>
          <w:lang w:val="es-ES"/>
        </w:rPr>
      </w:pPr>
      <w:r w:rsidRPr="001E3D8C">
        <w:rPr>
          <w:rFonts w:asciiTheme="majorHAnsi" w:hAnsiTheme="majorHAnsi"/>
          <w:sz w:val="18"/>
          <w:szCs w:val="18"/>
          <w:lang w:val="es-ES"/>
        </w:rPr>
        <w:t>No consulté con ningún doc</w:t>
      </w:r>
      <w:r>
        <w:rPr>
          <w:rFonts w:asciiTheme="majorHAnsi" w:hAnsiTheme="majorHAnsi"/>
          <w:sz w:val="18"/>
          <w:szCs w:val="18"/>
          <w:lang w:val="es-ES"/>
        </w:rPr>
        <w:t>tor</w:t>
      </w:r>
      <w:r w:rsidR="000018F5">
        <w:rPr>
          <w:rFonts w:asciiTheme="majorHAnsi" w:hAnsiTheme="majorHAnsi"/>
          <w:sz w:val="18"/>
          <w:szCs w:val="18"/>
          <w:lang w:val="es-ES"/>
        </w:rPr>
        <w:t xml:space="preserve"> ni obtuve fondos para contratar </w:t>
      </w:r>
      <w:r w:rsidR="006D56E5">
        <w:rPr>
          <w:rFonts w:asciiTheme="majorHAnsi" w:hAnsiTheme="majorHAnsi"/>
          <w:sz w:val="18"/>
          <w:szCs w:val="18"/>
          <w:lang w:val="es-ES"/>
        </w:rPr>
        <w:t xml:space="preserve">a </w:t>
      </w:r>
      <w:r w:rsidR="000018F5">
        <w:rPr>
          <w:rFonts w:asciiTheme="majorHAnsi" w:hAnsiTheme="majorHAnsi"/>
          <w:sz w:val="18"/>
          <w:szCs w:val="18"/>
          <w:lang w:val="es-ES"/>
        </w:rPr>
        <w:t xml:space="preserve">un experto médico o psicológico privado para investigar, ya sean los síntomas sobre los cuales el señor Housel me informó </w:t>
      </w:r>
      <w:r w:rsidR="00765A72">
        <w:rPr>
          <w:rFonts w:asciiTheme="majorHAnsi" w:hAnsiTheme="majorHAnsi"/>
          <w:sz w:val="18"/>
          <w:szCs w:val="18"/>
          <w:lang w:val="es-ES"/>
        </w:rPr>
        <w:t>u</w:t>
      </w:r>
      <w:r w:rsidR="009025A9">
        <w:rPr>
          <w:rFonts w:asciiTheme="majorHAnsi" w:hAnsiTheme="majorHAnsi"/>
          <w:sz w:val="18"/>
          <w:szCs w:val="18"/>
          <w:lang w:val="es-ES"/>
        </w:rPr>
        <w:t xml:space="preserve"> otras condiciones</w:t>
      </w:r>
      <w:r w:rsidR="000018F5">
        <w:rPr>
          <w:rFonts w:asciiTheme="majorHAnsi" w:hAnsiTheme="majorHAnsi"/>
          <w:sz w:val="18"/>
          <w:szCs w:val="18"/>
          <w:lang w:val="es-ES"/>
        </w:rPr>
        <w:t xml:space="preserve"> médica</w:t>
      </w:r>
      <w:r w:rsidR="009025A9">
        <w:rPr>
          <w:rFonts w:asciiTheme="majorHAnsi" w:hAnsiTheme="majorHAnsi"/>
          <w:sz w:val="18"/>
          <w:szCs w:val="18"/>
          <w:lang w:val="es-ES"/>
        </w:rPr>
        <w:t>s o</w:t>
      </w:r>
      <w:r w:rsidR="000018F5">
        <w:rPr>
          <w:rFonts w:asciiTheme="majorHAnsi" w:hAnsiTheme="majorHAnsi"/>
          <w:sz w:val="18"/>
          <w:szCs w:val="18"/>
          <w:lang w:val="es-ES"/>
        </w:rPr>
        <w:t xml:space="preserve"> psicológica</w:t>
      </w:r>
      <w:r w:rsidR="009025A9">
        <w:rPr>
          <w:rFonts w:asciiTheme="majorHAnsi" w:hAnsiTheme="majorHAnsi"/>
          <w:sz w:val="18"/>
          <w:szCs w:val="18"/>
          <w:lang w:val="es-ES"/>
        </w:rPr>
        <w:t>s</w:t>
      </w:r>
      <w:r w:rsidR="001E5E1E">
        <w:rPr>
          <w:rFonts w:asciiTheme="majorHAnsi" w:hAnsiTheme="majorHAnsi"/>
          <w:sz w:val="18"/>
          <w:szCs w:val="18"/>
          <w:lang w:val="es-ES"/>
        </w:rPr>
        <w:t xml:space="preserve"> que podría</w:t>
      </w:r>
      <w:r w:rsidR="00EE5694">
        <w:rPr>
          <w:rFonts w:asciiTheme="majorHAnsi" w:hAnsiTheme="majorHAnsi"/>
          <w:sz w:val="18"/>
          <w:szCs w:val="18"/>
          <w:lang w:val="es-ES"/>
        </w:rPr>
        <w:t>n</w:t>
      </w:r>
      <w:r w:rsidR="001E5E1E">
        <w:rPr>
          <w:rFonts w:asciiTheme="majorHAnsi" w:hAnsiTheme="majorHAnsi"/>
          <w:sz w:val="18"/>
          <w:szCs w:val="18"/>
          <w:lang w:val="es-ES"/>
        </w:rPr>
        <w:t xml:space="preserve"> haber sido </w:t>
      </w:r>
      <w:r w:rsidR="00765A72">
        <w:rPr>
          <w:rFonts w:asciiTheme="majorHAnsi" w:hAnsiTheme="majorHAnsi"/>
          <w:sz w:val="18"/>
          <w:szCs w:val="18"/>
          <w:lang w:val="es-ES"/>
        </w:rPr>
        <w:t xml:space="preserve">factores </w:t>
      </w:r>
      <w:r w:rsidR="001E5E1E">
        <w:rPr>
          <w:rFonts w:asciiTheme="majorHAnsi" w:hAnsiTheme="majorHAnsi"/>
          <w:sz w:val="18"/>
          <w:szCs w:val="18"/>
          <w:lang w:val="es-ES"/>
        </w:rPr>
        <w:t xml:space="preserve">para explicar la conducta del señor Housel en este caso.  El hecho de no haber </w:t>
      </w:r>
      <w:r w:rsidR="001E5E1E" w:rsidRPr="00C36A73">
        <w:rPr>
          <w:rFonts w:asciiTheme="majorHAnsi" w:hAnsiTheme="majorHAnsi"/>
          <w:sz w:val="18"/>
          <w:szCs w:val="18"/>
          <w:lang w:val="es-ES"/>
        </w:rPr>
        <w:t xml:space="preserve">obtenido fondos ni </w:t>
      </w:r>
      <w:r w:rsidR="00255A63">
        <w:rPr>
          <w:rFonts w:asciiTheme="majorHAnsi" w:hAnsiTheme="majorHAnsi"/>
          <w:sz w:val="18"/>
          <w:szCs w:val="18"/>
          <w:lang w:val="es-ES"/>
        </w:rPr>
        <w:t xml:space="preserve">haber </w:t>
      </w:r>
      <w:r w:rsidR="001E5E1E" w:rsidRPr="00C36A73">
        <w:rPr>
          <w:rFonts w:asciiTheme="majorHAnsi" w:hAnsiTheme="majorHAnsi"/>
          <w:sz w:val="18"/>
          <w:szCs w:val="18"/>
          <w:lang w:val="es-ES"/>
        </w:rPr>
        <w:t xml:space="preserve">contratado a un experto </w:t>
      </w:r>
      <w:r w:rsidR="00C36A73" w:rsidRPr="00C36A73">
        <w:rPr>
          <w:rFonts w:asciiTheme="majorHAnsi" w:hAnsiTheme="majorHAnsi"/>
          <w:sz w:val="18"/>
          <w:szCs w:val="18"/>
          <w:lang w:val="es-ES"/>
        </w:rPr>
        <w:t xml:space="preserve">no fue, </w:t>
      </w:r>
      <w:r w:rsidR="00927155">
        <w:rPr>
          <w:rFonts w:asciiTheme="majorHAnsi" w:hAnsiTheme="majorHAnsi"/>
          <w:sz w:val="18"/>
          <w:szCs w:val="18"/>
          <w:lang w:val="es-ES"/>
        </w:rPr>
        <w:t>de manera alguna</w:t>
      </w:r>
      <w:r w:rsidR="00C36A73" w:rsidRPr="00C36A73">
        <w:rPr>
          <w:rFonts w:asciiTheme="majorHAnsi" w:hAnsiTheme="majorHAnsi"/>
          <w:sz w:val="18"/>
          <w:szCs w:val="18"/>
          <w:lang w:val="es-ES"/>
        </w:rPr>
        <w:t xml:space="preserve">, parte de mi táctica o estrategia en el caso. </w:t>
      </w:r>
      <w:r w:rsidR="00C36A73" w:rsidRPr="009F4761">
        <w:rPr>
          <w:rFonts w:asciiTheme="majorHAnsi" w:hAnsiTheme="majorHAnsi"/>
          <w:sz w:val="18"/>
          <w:szCs w:val="18"/>
          <w:lang w:val="es-ES"/>
        </w:rPr>
        <w:t>[…]</w:t>
      </w:r>
    </w:p>
    <w:p w14:paraId="09B39316" w14:textId="77777777" w:rsidR="001E3D8C" w:rsidRPr="009F4761" w:rsidRDefault="001E3D8C"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360" w:right="360"/>
        <w:jc w:val="both"/>
        <w:rPr>
          <w:rFonts w:asciiTheme="majorHAnsi" w:hAnsiTheme="majorHAnsi"/>
          <w:sz w:val="18"/>
          <w:szCs w:val="18"/>
          <w:lang w:val="es-ES"/>
        </w:rPr>
      </w:pPr>
    </w:p>
    <w:p w14:paraId="491E6605" w14:textId="77777777" w:rsidR="00304FBA" w:rsidRPr="00AD6A28" w:rsidRDefault="00304FBA"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360" w:right="360"/>
        <w:jc w:val="both"/>
        <w:rPr>
          <w:rFonts w:asciiTheme="majorHAnsi" w:hAnsiTheme="majorHAnsi"/>
          <w:sz w:val="18"/>
          <w:szCs w:val="18"/>
          <w:lang w:val="es-ES"/>
        </w:rPr>
      </w:pPr>
      <w:r w:rsidRPr="00AD6A28">
        <w:rPr>
          <w:rFonts w:asciiTheme="majorHAnsi" w:hAnsiTheme="majorHAnsi"/>
          <w:sz w:val="18"/>
          <w:szCs w:val="18"/>
          <w:lang w:val="es-ES"/>
        </w:rPr>
        <w:t xml:space="preserve">Que </w:t>
      </w:r>
      <w:r w:rsidR="00203587">
        <w:rPr>
          <w:rFonts w:asciiTheme="majorHAnsi" w:hAnsiTheme="majorHAnsi"/>
          <w:sz w:val="18"/>
          <w:szCs w:val="18"/>
          <w:lang w:val="es-ES"/>
        </w:rPr>
        <w:t xml:space="preserve">yo </w:t>
      </w:r>
      <w:r w:rsidRPr="00AD6A28">
        <w:rPr>
          <w:rFonts w:asciiTheme="majorHAnsi" w:hAnsiTheme="majorHAnsi"/>
          <w:sz w:val="18"/>
          <w:szCs w:val="18"/>
          <w:lang w:val="es-ES"/>
        </w:rPr>
        <w:t xml:space="preserve">debí haber obtenido fondos para </w:t>
      </w:r>
      <w:r w:rsidR="00AD6A28" w:rsidRPr="00AD6A28">
        <w:rPr>
          <w:rFonts w:asciiTheme="majorHAnsi" w:hAnsiTheme="majorHAnsi"/>
          <w:sz w:val="18"/>
          <w:szCs w:val="18"/>
          <w:lang w:val="es-ES"/>
        </w:rPr>
        <w:t>asistencia de e</w:t>
      </w:r>
      <w:r w:rsidR="00AD6A28">
        <w:rPr>
          <w:rFonts w:asciiTheme="majorHAnsi" w:hAnsiTheme="majorHAnsi"/>
          <w:sz w:val="18"/>
          <w:szCs w:val="18"/>
          <w:lang w:val="es-ES"/>
        </w:rPr>
        <w:t xml:space="preserve">xpertos </w:t>
      </w:r>
      <w:r w:rsidR="00DE7FC2">
        <w:rPr>
          <w:rFonts w:asciiTheme="majorHAnsi" w:hAnsiTheme="majorHAnsi"/>
          <w:sz w:val="18"/>
          <w:szCs w:val="18"/>
          <w:lang w:val="es-ES"/>
        </w:rPr>
        <w:t>queda</w:t>
      </w:r>
      <w:r w:rsidR="00AD6A28">
        <w:rPr>
          <w:rFonts w:asciiTheme="majorHAnsi" w:hAnsiTheme="majorHAnsi"/>
          <w:sz w:val="18"/>
          <w:szCs w:val="18"/>
          <w:lang w:val="es-ES"/>
        </w:rPr>
        <w:t xml:space="preserve"> claro a través de los informes de los D</w:t>
      </w:r>
      <w:r w:rsidR="00DE7FC2">
        <w:rPr>
          <w:rFonts w:asciiTheme="majorHAnsi" w:hAnsiTheme="majorHAnsi"/>
          <w:sz w:val="18"/>
          <w:szCs w:val="18"/>
          <w:lang w:val="es-ES"/>
        </w:rPr>
        <w:t>octores</w:t>
      </w:r>
      <w:r w:rsidR="00AD6A28">
        <w:rPr>
          <w:rFonts w:asciiTheme="majorHAnsi" w:hAnsiTheme="majorHAnsi"/>
          <w:sz w:val="18"/>
          <w:szCs w:val="18"/>
          <w:lang w:val="es-ES"/>
        </w:rPr>
        <w:t xml:space="preserve"> Buris Boshell, James Merikangas y Brad Fisher, </w:t>
      </w:r>
      <w:r w:rsidR="004C2E2F">
        <w:rPr>
          <w:rFonts w:asciiTheme="majorHAnsi" w:hAnsiTheme="majorHAnsi"/>
          <w:sz w:val="18"/>
          <w:szCs w:val="18"/>
          <w:lang w:val="es-ES"/>
        </w:rPr>
        <w:t xml:space="preserve">los cuales </w:t>
      </w:r>
      <w:r w:rsidR="0080392B">
        <w:rPr>
          <w:rFonts w:asciiTheme="majorHAnsi" w:hAnsiTheme="majorHAnsi"/>
          <w:sz w:val="18"/>
          <w:szCs w:val="18"/>
          <w:lang w:val="es-ES"/>
        </w:rPr>
        <w:t>se adjuntan a</w:t>
      </w:r>
      <w:r w:rsidR="004C2E2F">
        <w:rPr>
          <w:rFonts w:asciiTheme="majorHAnsi" w:hAnsiTheme="majorHAnsi"/>
          <w:sz w:val="18"/>
          <w:szCs w:val="18"/>
          <w:lang w:val="es-ES"/>
        </w:rPr>
        <w:t xml:space="preserve"> la petición federal </w:t>
      </w:r>
      <w:r w:rsidR="00BA70B5">
        <w:rPr>
          <w:rFonts w:asciiTheme="majorHAnsi" w:hAnsiTheme="majorHAnsi"/>
          <w:sz w:val="18"/>
          <w:szCs w:val="18"/>
          <w:lang w:val="es-ES"/>
        </w:rPr>
        <w:t xml:space="preserve">de habeas corpus </w:t>
      </w:r>
      <w:r w:rsidR="004C2E2F">
        <w:rPr>
          <w:rFonts w:asciiTheme="majorHAnsi" w:hAnsiTheme="majorHAnsi"/>
          <w:sz w:val="18"/>
          <w:szCs w:val="18"/>
          <w:lang w:val="es-ES"/>
        </w:rPr>
        <w:t>del peticionario</w:t>
      </w:r>
      <w:r w:rsidR="000C1FD3">
        <w:rPr>
          <w:rFonts w:asciiTheme="majorHAnsi" w:hAnsiTheme="majorHAnsi"/>
          <w:sz w:val="18"/>
          <w:szCs w:val="18"/>
          <w:lang w:val="es-ES"/>
        </w:rPr>
        <w:t>.  Revisé</w:t>
      </w:r>
      <w:r w:rsidR="003B6D56">
        <w:rPr>
          <w:rFonts w:asciiTheme="majorHAnsi" w:hAnsiTheme="majorHAnsi"/>
          <w:sz w:val="18"/>
          <w:szCs w:val="18"/>
          <w:lang w:val="es-ES"/>
        </w:rPr>
        <w:t xml:space="preserve">, hace poco tiempo, </w:t>
      </w:r>
      <w:r w:rsidR="000C1FD3">
        <w:rPr>
          <w:rFonts w:asciiTheme="majorHAnsi" w:hAnsiTheme="majorHAnsi"/>
          <w:sz w:val="18"/>
          <w:szCs w:val="18"/>
          <w:lang w:val="es-ES"/>
        </w:rPr>
        <w:t xml:space="preserve">el contenido de dichos informes. </w:t>
      </w:r>
      <w:r w:rsidR="0007060D">
        <w:rPr>
          <w:rFonts w:asciiTheme="majorHAnsi" w:hAnsiTheme="majorHAnsi"/>
          <w:sz w:val="18"/>
          <w:szCs w:val="18"/>
          <w:lang w:val="es-ES"/>
        </w:rPr>
        <w:t>Los mismos c</w:t>
      </w:r>
      <w:r w:rsidR="000C1FD3">
        <w:rPr>
          <w:rFonts w:asciiTheme="majorHAnsi" w:hAnsiTheme="majorHAnsi"/>
          <w:sz w:val="18"/>
          <w:szCs w:val="18"/>
          <w:lang w:val="es-ES"/>
        </w:rPr>
        <w:t xml:space="preserve">ontienen pruebas acerca del señor Housel y </w:t>
      </w:r>
      <w:r w:rsidR="00E37661">
        <w:rPr>
          <w:rFonts w:asciiTheme="majorHAnsi" w:hAnsiTheme="majorHAnsi"/>
          <w:sz w:val="18"/>
          <w:szCs w:val="18"/>
          <w:lang w:val="es-ES"/>
        </w:rPr>
        <w:t>su estado mental y médico</w:t>
      </w:r>
      <w:r w:rsidR="00C46415">
        <w:rPr>
          <w:rFonts w:asciiTheme="majorHAnsi" w:hAnsiTheme="majorHAnsi"/>
          <w:sz w:val="18"/>
          <w:szCs w:val="18"/>
          <w:lang w:val="es-ES"/>
        </w:rPr>
        <w:t xml:space="preserve"> que yo debí haber </w:t>
      </w:r>
      <w:r w:rsidR="0007060D">
        <w:rPr>
          <w:rFonts w:asciiTheme="majorHAnsi" w:hAnsiTheme="majorHAnsi"/>
          <w:sz w:val="18"/>
          <w:szCs w:val="18"/>
          <w:lang w:val="es-ES"/>
        </w:rPr>
        <w:t>desarrollado</w:t>
      </w:r>
      <w:r w:rsidR="00C46415">
        <w:rPr>
          <w:rFonts w:asciiTheme="majorHAnsi" w:hAnsiTheme="majorHAnsi"/>
          <w:sz w:val="18"/>
          <w:szCs w:val="18"/>
          <w:lang w:val="es-ES"/>
        </w:rPr>
        <w:t xml:space="preserve"> en el momento del juicio y hubiera presentado en su nombre ante el jurado.  Si yo hubiera desarrollado esa información, creo que hubiera </w:t>
      </w:r>
      <w:r w:rsidR="008F2597">
        <w:rPr>
          <w:rFonts w:asciiTheme="majorHAnsi" w:hAnsiTheme="majorHAnsi"/>
          <w:sz w:val="18"/>
          <w:szCs w:val="18"/>
          <w:lang w:val="es-ES"/>
        </w:rPr>
        <w:t>gestionado</w:t>
      </w:r>
      <w:r w:rsidR="00C46415">
        <w:rPr>
          <w:rFonts w:asciiTheme="majorHAnsi" w:hAnsiTheme="majorHAnsi"/>
          <w:sz w:val="18"/>
          <w:szCs w:val="18"/>
          <w:lang w:val="es-ES"/>
        </w:rPr>
        <w:t xml:space="preserve"> el caso de forma diferente.</w:t>
      </w:r>
    </w:p>
    <w:p w14:paraId="2E3C9C0B" w14:textId="77777777" w:rsidR="00304FBA" w:rsidRPr="00AD6A28" w:rsidRDefault="00304FBA"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360" w:right="360"/>
        <w:jc w:val="both"/>
        <w:rPr>
          <w:rFonts w:asciiTheme="majorHAnsi" w:hAnsiTheme="majorHAnsi"/>
          <w:sz w:val="18"/>
          <w:szCs w:val="18"/>
          <w:lang w:val="es-ES"/>
        </w:rPr>
      </w:pPr>
    </w:p>
    <w:p w14:paraId="663B1DBF" w14:textId="77777777" w:rsidR="00A9783F" w:rsidRPr="009F4761" w:rsidRDefault="00422D64" w:rsidP="00422D6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rPr>
      </w:pPr>
      <w:r>
        <w:rPr>
          <w:rFonts w:asciiTheme="majorHAnsi" w:eastAsia="Times New Roman" w:hAnsiTheme="majorHAnsi"/>
          <w:sz w:val="20"/>
          <w:szCs w:val="20"/>
          <w:lang w:val="es-ES"/>
        </w:rPr>
        <w:t>30.</w:t>
      </w:r>
      <w:r>
        <w:rPr>
          <w:rFonts w:asciiTheme="majorHAnsi" w:eastAsia="Times New Roman" w:hAnsiTheme="majorHAnsi"/>
          <w:sz w:val="20"/>
          <w:szCs w:val="20"/>
          <w:lang w:val="es-ES"/>
        </w:rPr>
        <w:tab/>
      </w:r>
      <w:r w:rsidR="00A9783F" w:rsidRPr="00A9783F">
        <w:rPr>
          <w:rFonts w:asciiTheme="majorHAnsi" w:eastAsia="Times New Roman" w:hAnsiTheme="majorHAnsi"/>
          <w:sz w:val="20"/>
          <w:szCs w:val="20"/>
          <w:lang w:val="es-ES"/>
        </w:rPr>
        <w:t>El 25 de febrero de 2002, l</w:t>
      </w:r>
      <w:r w:rsidR="00A9783F">
        <w:rPr>
          <w:rFonts w:asciiTheme="majorHAnsi" w:eastAsia="Times New Roman" w:hAnsiTheme="majorHAnsi"/>
          <w:sz w:val="20"/>
          <w:szCs w:val="20"/>
          <w:lang w:val="es-ES"/>
        </w:rPr>
        <w:t xml:space="preserve">a </w:t>
      </w:r>
      <w:r w:rsidR="004273FF">
        <w:rPr>
          <w:rFonts w:asciiTheme="majorHAnsi" w:eastAsia="Times New Roman" w:hAnsiTheme="majorHAnsi"/>
          <w:sz w:val="20"/>
          <w:szCs w:val="20"/>
          <w:lang w:val="es-ES"/>
        </w:rPr>
        <w:t xml:space="preserve">Corte </w:t>
      </w:r>
      <w:r w:rsidR="00A9783F">
        <w:rPr>
          <w:rFonts w:asciiTheme="majorHAnsi" w:eastAsia="Times New Roman" w:hAnsiTheme="majorHAnsi"/>
          <w:sz w:val="20"/>
          <w:szCs w:val="20"/>
          <w:lang w:val="es-ES"/>
        </w:rPr>
        <w:t xml:space="preserve">Suprema de los Estados Unidos </w:t>
      </w:r>
      <w:r w:rsidR="004273FF">
        <w:rPr>
          <w:rFonts w:asciiTheme="majorHAnsi" w:eastAsia="Times New Roman" w:hAnsiTheme="majorHAnsi"/>
          <w:sz w:val="20"/>
          <w:szCs w:val="20"/>
          <w:lang w:val="es-ES"/>
        </w:rPr>
        <w:t xml:space="preserve">rechazó una petición de avocación. </w:t>
      </w:r>
      <w:r w:rsidR="004273FF" w:rsidRPr="009F4761">
        <w:rPr>
          <w:rFonts w:asciiTheme="majorHAnsi" w:eastAsia="Times New Roman" w:hAnsiTheme="majorHAnsi"/>
          <w:sz w:val="20"/>
          <w:szCs w:val="20"/>
        </w:rPr>
        <w:t xml:space="preserve">El señor Housel fue ejecutado el 12 de marzo de 2002. </w:t>
      </w:r>
      <w:r w:rsidR="00C5553F" w:rsidRPr="00DE2580">
        <w:rPr>
          <w:rStyle w:val="FootnoteReference"/>
          <w:rFonts w:asciiTheme="majorHAnsi" w:eastAsia="Times New Roman" w:hAnsiTheme="majorHAnsi"/>
          <w:sz w:val="20"/>
          <w:szCs w:val="20"/>
          <w:lang w:val="en-GB"/>
        </w:rPr>
        <w:footnoteReference w:id="19"/>
      </w:r>
    </w:p>
    <w:p w14:paraId="04F11ABB" w14:textId="77777777" w:rsidR="00A13E1D" w:rsidRPr="00DE2580" w:rsidRDefault="00A13E1D"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rPr>
      </w:pPr>
    </w:p>
    <w:p w14:paraId="309B3274" w14:textId="0077DBA7" w:rsidR="00F94B11" w:rsidRPr="00E018FC" w:rsidRDefault="00F94B11" w:rsidP="00ED2F81">
      <w:pPr>
        <w:pStyle w:val="Heading2"/>
        <w:numPr>
          <w:ilvl w:val="0"/>
          <w:numId w:val="66"/>
        </w:numPr>
        <w:tabs>
          <w:tab w:val="left" w:pos="360"/>
        </w:tabs>
        <w:spacing w:before="0"/>
        <w:ind w:left="360"/>
        <w:rPr>
          <w:color w:val="auto"/>
          <w:sz w:val="20"/>
          <w:szCs w:val="20"/>
          <w:lang w:val="es-ES"/>
        </w:rPr>
      </w:pPr>
      <w:bookmarkStart w:id="16" w:name="_Toc150529894"/>
      <w:bookmarkStart w:id="17" w:name="_Toc22826179"/>
      <w:r w:rsidRPr="00E018FC">
        <w:rPr>
          <w:color w:val="auto"/>
          <w:sz w:val="20"/>
          <w:szCs w:val="20"/>
          <w:lang w:val="es-ES"/>
        </w:rPr>
        <w:lastRenderedPageBreak/>
        <w:t>Condiciones de reclusión previas al juicio</w:t>
      </w:r>
      <w:bookmarkEnd w:id="16"/>
    </w:p>
    <w:p w14:paraId="4CEB60A9" w14:textId="77777777" w:rsidR="00422D64" w:rsidRDefault="00F94B11" w:rsidP="00E308B5">
      <w:pPr>
        <w:pStyle w:val="Heading2"/>
        <w:tabs>
          <w:tab w:val="left" w:pos="360"/>
          <w:tab w:val="left" w:pos="1890"/>
        </w:tabs>
        <w:spacing w:before="0"/>
        <w:jc w:val="both"/>
        <w:rPr>
          <w:sz w:val="20"/>
          <w:szCs w:val="20"/>
          <w:lang w:val="es-ES"/>
        </w:rPr>
      </w:pPr>
      <w:r>
        <w:rPr>
          <w:bCs w:val="0"/>
          <w:color w:val="auto"/>
          <w:sz w:val="20"/>
          <w:szCs w:val="20"/>
          <w:lang w:val="es-ES"/>
        </w:rPr>
        <w:t xml:space="preserve"> </w:t>
      </w:r>
      <w:bookmarkEnd w:id="17"/>
    </w:p>
    <w:p w14:paraId="7CE80909" w14:textId="53927F37" w:rsidR="00E04837" w:rsidRPr="00E04837" w:rsidRDefault="00422D64" w:rsidP="00422D6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r>
        <w:rPr>
          <w:rFonts w:asciiTheme="majorHAnsi" w:hAnsiTheme="majorHAnsi"/>
          <w:sz w:val="20"/>
          <w:szCs w:val="20"/>
          <w:lang w:val="es-ES"/>
        </w:rPr>
        <w:t>31.</w:t>
      </w:r>
      <w:r>
        <w:rPr>
          <w:rFonts w:asciiTheme="majorHAnsi" w:hAnsiTheme="majorHAnsi"/>
          <w:sz w:val="20"/>
          <w:szCs w:val="20"/>
          <w:lang w:val="es-ES"/>
        </w:rPr>
        <w:tab/>
      </w:r>
      <w:r w:rsidR="00E04837" w:rsidRPr="00E04837">
        <w:rPr>
          <w:rFonts w:asciiTheme="majorHAnsi" w:hAnsiTheme="majorHAnsi"/>
          <w:sz w:val="20"/>
          <w:szCs w:val="20"/>
          <w:lang w:val="es-ES"/>
        </w:rPr>
        <w:t>Según la información que c</w:t>
      </w:r>
      <w:r w:rsidR="00E04837">
        <w:rPr>
          <w:rFonts w:asciiTheme="majorHAnsi" w:hAnsiTheme="majorHAnsi"/>
          <w:sz w:val="20"/>
          <w:szCs w:val="20"/>
          <w:lang w:val="es-ES"/>
        </w:rPr>
        <w:t xml:space="preserve">onsta en </w:t>
      </w:r>
      <w:r w:rsidR="007026DA">
        <w:rPr>
          <w:rFonts w:asciiTheme="majorHAnsi" w:hAnsiTheme="majorHAnsi"/>
          <w:sz w:val="20"/>
          <w:szCs w:val="20"/>
          <w:lang w:val="es-ES"/>
        </w:rPr>
        <w:t>el expediente,</w:t>
      </w:r>
      <w:r w:rsidR="00E04837">
        <w:rPr>
          <w:rFonts w:asciiTheme="majorHAnsi" w:hAnsiTheme="majorHAnsi"/>
          <w:sz w:val="20"/>
          <w:szCs w:val="20"/>
          <w:lang w:val="es-ES"/>
        </w:rPr>
        <w:t xml:space="preserve"> el señor Housel </w:t>
      </w:r>
      <w:r w:rsidR="00C11716">
        <w:rPr>
          <w:rFonts w:asciiTheme="majorHAnsi" w:hAnsiTheme="majorHAnsi"/>
          <w:sz w:val="20"/>
          <w:szCs w:val="20"/>
          <w:lang w:val="es-ES"/>
        </w:rPr>
        <w:t xml:space="preserve">permaneció en detención previa al juicio en </w:t>
      </w:r>
      <w:r w:rsidR="00C11716" w:rsidRPr="004C26B9">
        <w:rPr>
          <w:rFonts w:asciiTheme="majorHAnsi" w:hAnsiTheme="majorHAnsi"/>
          <w:i/>
          <w:iCs/>
          <w:sz w:val="20"/>
          <w:szCs w:val="20"/>
          <w:lang w:val="es-ES"/>
        </w:rPr>
        <w:t>Gwinnet County Jail</w:t>
      </w:r>
      <w:r w:rsidR="00C11716">
        <w:rPr>
          <w:rFonts w:asciiTheme="majorHAnsi" w:hAnsiTheme="majorHAnsi"/>
          <w:sz w:val="20"/>
          <w:szCs w:val="20"/>
          <w:lang w:val="es-ES"/>
        </w:rPr>
        <w:t>, institución que en 1985 fue objeto de un juicio federal relacionado con las condiciones de vida del lugar.</w:t>
      </w:r>
      <w:r w:rsidR="00D83699">
        <w:rPr>
          <w:rFonts w:asciiTheme="majorHAnsi" w:hAnsiTheme="majorHAnsi"/>
          <w:sz w:val="20"/>
          <w:szCs w:val="20"/>
          <w:lang w:val="es-ES"/>
        </w:rPr>
        <w:t xml:space="preserve">  En respuesta</w:t>
      </w:r>
      <w:r w:rsidR="00117507">
        <w:rPr>
          <w:rFonts w:asciiTheme="majorHAnsi" w:hAnsiTheme="majorHAnsi"/>
          <w:sz w:val="20"/>
          <w:szCs w:val="20"/>
          <w:lang w:val="es-ES"/>
        </w:rPr>
        <w:t>,</w:t>
      </w:r>
      <w:r w:rsidR="00D83699">
        <w:rPr>
          <w:rFonts w:asciiTheme="majorHAnsi" w:hAnsiTheme="majorHAnsi"/>
          <w:sz w:val="20"/>
          <w:szCs w:val="20"/>
          <w:lang w:val="es-ES"/>
        </w:rPr>
        <w:t xml:space="preserve"> y para reducir el hacinamiento de la cárcel</w:t>
      </w:r>
      <w:r w:rsidR="00117507">
        <w:rPr>
          <w:rFonts w:asciiTheme="majorHAnsi" w:hAnsiTheme="majorHAnsi"/>
          <w:sz w:val="20"/>
          <w:szCs w:val="20"/>
          <w:lang w:val="es-ES"/>
        </w:rPr>
        <w:t>, en 1989,</w:t>
      </w:r>
      <w:r w:rsidR="00D83699">
        <w:rPr>
          <w:rFonts w:asciiTheme="majorHAnsi" w:hAnsiTheme="majorHAnsi"/>
          <w:sz w:val="20"/>
          <w:szCs w:val="20"/>
          <w:lang w:val="es-ES"/>
        </w:rPr>
        <w:t xml:space="preserve"> se agregaron viviendas modulares a</w:t>
      </w:r>
      <w:r w:rsidR="00117507">
        <w:rPr>
          <w:rFonts w:asciiTheme="majorHAnsi" w:hAnsiTheme="majorHAnsi"/>
          <w:sz w:val="20"/>
          <w:szCs w:val="20"/>
          <w:lang w:val="es-ES"/>
        </w:rPr>
        <w:t xml:space="preserve"> la institución</w:t>
      </w:r>
      <w:r w:rsidR="00D83699">
        <w:rPr>
          <w:rFonts w:asciiTheme="majorHAnsi" w:hAnsiTheme="majorHAnsi"/>
          <w:sz w:val="20"/>
          <w:szCs w:val="20"/>
          <w:lang w:val="es-ES"/>
        </w:rPr>
        <w:t xml:space="preserve"> correccional para alojar a los detenidos hasta que </w:t>
      </w:r>
      <w:r w:rsidR="00E14EB3">
        <w:rPr>
          <w:rFonts w:asciiTheme="majorHAnsi" w:hAnsiTheme="majorHAnsi"/>
          <w:sz w:val="20"/>
          <w:szCs w:val="20"/>
          <w:lang w:val="es-ES"/>
        </w:rPr>
        <w:t xml:space="preserve">se abrió </w:t>
      </w:r>
      <w:r w:rsidR="00D83699">
        <w:rPr>
          <w:rFonts w:asciiTheme="majorHAnsi" w:hAnsiTheme="majorHAnsi"/>
          <w:sz w:val="20"/>
          <w:szCs w:val="20"/>
          <w:lang w:val="es-ES"/>
        </w:rPr>
        <w:t>una nueva cárcel en 1991.</w:t>
      </w:r>
      <w:r w:rsidR="00D83699" w:rsidRPr="000C2AFD">
        <w:rPr>
          <w:rStyle w:val="FootnoteReference"/>
          <w:rFonts w:asciiTheme="majorHAnsi" w:eastAsia="Times New Roman" w:hAnsiTheme="majorHAnsi"/>
          <w:sz w:val="20"/>
          <w:szCs w:val="20"/>
          <w:lang w:val="es-ES"/>
        </w:rPr>
        <w:t xml:space="preserve"> </w:t>
      </w:r>
      <w:r w:rsidR="00D83699" w:rsidRPr="00DE2580">
        <w:rPr>
          <w:rStyle w:val="FootnoteReference"/>
          <w:rFonts w:asciiTheme="majorHAnsi" w:eastAsia="Times New Roman" w:hAnsiTheme="majorHAnsi"/>
          <w:sz w:val="20"/>
          <w:szCs w:val="20"/>
          <w:lang w:val="en-GB"/>
        </w:rPr>
        <w:footnoteReference w:id="20"/>
      </w:r>
    </w:p>
    <w:p w14:paraId="6CAF8FB5" w14:textId="77777777" w:rsidR="00E04837" w:rsidRPr="00E04837" w:rsidRDefault="00E04837" w:rsidP="00E0483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eastAsia="Times New Roman" w:hAnsiTheme="majorHAnsi"/>
          <w:sz w:val="20"/>
          <w:szCs w:val="20"/>
          <w:lang w:val="es-ES"/>
        </w:rPr>
      </w:pPr>
    </w:p>
    <w:p w14:paraId="26291342" w14:textId="77777777" w:rsidR="002175C0" w:rsidRPr="002175C0" w:rsidRDefault="00422D64" w:rsidP="00422D6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r>
        <w:rPr>
          <w:rFonts w:asciiTheme="majorHAnsi" w:hAnsiTheme="majorHAnsi"/>
          <w:sz w:val="20"/>
          <w:szCs w:val="20"/>
          <w:lang w:val="es-ES"/>
        </w:rPr>
        <w:t>32.</w:t>
      </w:r>
      <w:r>
        <w:rPr>
          <w:rFonts w:asciiTheme="majorHAnsi" w:hAnsiTheme="majorHAnsi"/>
          <w:sz w:val="20"/>
          <w:szCs w:val="20"/>
          <w:lang w:val="es-ES"/>
        </w:rPr>
        <w:tab/>
      </w:r>
      <w:r w:rsidR="002175C0" w:rsidRPr="002175C0">
        <w:rPr>
          <w:rFonts w:asciiTheme="majorHAnsi" w:hAnsiTheme="majorHAnsi"/>
          <w:sz w:val="20"/>
          <w:szCs w:val="20"/>
          <w:lang w:val="es-ES"/>
        </w:rPr>
        <w:t>La detención del señor H</w:t>
      </w:r>
      <w:r w:rsidR="002175C0">
        <w:rPr>
          <w:rFonts w:asciiTheme="majorHAnsi" w:hAnsiTheme="majorHAnsi"/>
          <w:sz w:val="20"/>
          <w:szCs w:val="20"/>
          <w:lang w:val="es-ES"/>
        </w:rPr>
        <w:t xml:space="preserve">ousel fue descrita de forma similar en varias declaraciones juradas presentadas por dos antiguos empleados de </w:t>
      </w:r>
      <w:r w:rsidR="002175C0" w:rsidRPr="00B203B7">
        <w:rPr>
          <w:rFonts w:asciiTheme="majorHAnsi" w:eastAsia="Times New Roman" w:hAnsiTheme="majorHAnsi"/>
          <w:i/>
          <w:iCs/>
          <w:sz w:val="20"/>
          <w:lang w:val="es-ES"/>
        </w:rPr>
        <w:t>Gwinnett County Jail</w:t>
      </w:r>
      <w:r w:rsidR="00F263DC">
        <w:rPr>
          <w:rFonts w:asciiTheme="majorHAnsi" w:eastAsia="Times New Roman" w:hAnsiTheme="majorHAnsi"/>
          <w:sz w:val="20"/>
          <w:lang w:val="es-ES"/>
        </w:rPr>
        <w:t xml:space="preserve">, así como </w:t>
      </w:r>
      <w:r w:rsidR="0074676E">
        <w:rPr>
          <w:rFonts w:asciiTheme="majorHAnsi" w:eastAsia="Times New Roman" w:hAnsiTheme="majorHAnsi"/>
          <w:sz w:val="20"/>
          <w:lang w:val="es-ES"/>
        </w:rPr>
        <w:t xml:space="preserve">por </w:t>
      </w:r>
      <w:r w:rsidR="00F263DC">
        <w:rPr>
          <w:rFonts w:asciiTheme="majorHAnsi" w:eastAsia="Times New Roman" w:hAnsiTheme="majorHAnsi"/>
          <w:sz w:val="20"/>
          <w:lang w:val="es-ES"/>
        </w:rPr>
        <w:t xml:space="preserve">cuatro reclusos detenidos durante el período de detención del señor Housel en </w:t>
      </w:r>
      <w:r w:rsidR="00F263DC" w:rsidRPr="00B15049">
        <w:rPr>
          <w:rFonts w:asciiTheme="majorHAnsi" w:eastAsia="Times New Roman" w:hAnsiTheme="majorHAnsi"/>
          <w:i/>
          <w:iCs/>
          <w:sz w:val="20"/>
          <w:lang w:val="es-ES"/>
        </w:rPr>
        <w:t>Gwinnett County Jail</w:t>
      </w:r>
      <w:r w:rsidR="00F263DC">
        <w:rPr>
          <w:rFonts w:asciiTheme="majorHAnsi" w:eastAsia="Times New Roman" w:hAnsiTheme="majorHAnsi"/>
          <w:sz w:val="20"/>
          <w:lang w:val="es-ES"/>
        </w:rPr>
        <w:t>.</w:t>
      </w:r>
      <w:r w:rsidR="00E16BA2" w:rsidRPr="00DE2580">
        <w:rPr>
          <w:rStyle w:val="FootnoteReference"/>
          <w:rFonts w:asciiTheme="majorHAnsi" w:hAnsiTheme="majorHAnsi"/>
          <w:sz w:val="20"/>
          <w:szCs w:val="20"/>
        </w:rPr>
        <w:footnoteReference w:id="21"/>
      </w:r>
      <w:r w:rsidR="00B30872">
        <w:rPr>
          <w:rFonts w:asciiTheme="majorHAnsi" w:eastAsia="Times New Roman" w:hAnsiTheme="majorHAnsi"/>
          <w:sz w:val="20"/>
          <w:lang w:val="es-ES"/>
        </w:rPr>
        <w:t xml:space="preserve"> La detención del señor Housel fue descrita como “</w:t>
      </w:r>
      <w:r w:rsidR="00AF2BB3">
        <w:rPr>
          <w:rFonts w:asciiTheme="majorHAnsi" w:eastAsia="Times New Roman" w:hAnsiTheme="majorHAnsi"/>
          <w:sz w:val="20"/>
          <w:lang w:val="es-ES"/>
        </w:rPr>
        <w:t>régimen de aislamiento</w:t>
      </w:r>
      <w:r w:rsidR="00B30872">
        <w:rPr>
          <w:rFonts w:asciiTheme="majorHAnsi" w:eastAsia="Times New Roman" w:hAnsiTheme="majorHAnsi"/>
          <w:sz w:val="20"/>
          <w:lang w:val="es-ES"/>
        </w:rPr>
        <w:t xml:space="preserve"> rígido” inmediatamente después del procedimiento de ingreso, en condiciones que eran “crueles y </w:t>
      </w:r>
      <w:r w:rsidR="00731024">
        <w:rPr>
          <w:rFonts w:asciiTheme="majorHAnsi" w:eastAsia="Times New Roman" w:hAnsiTheme="majorHAnsi"/>
          <w:sz w:val="20"/>
          <w:lang w:val="es-ES"/>
        </w:rPr>
        <w:t xml:space="preserve">estaban destinadas a quebrantarlo a la fuerza”.  Había tres o cuatro reclusos en </w:t>
      </w:r>
      <w:r w:rsidR="004B567D">
        <w:rPr>
          <w:rFonts w:asciiTheme="majorHAnsi" w:eastAsia="Times New Roman" w:hAnsiTheme="majorHAnsi"/>
          <w:sz w:val="20"/>
          <w:lang w:val="es-ES"/>
        </w:rPr>
        <w:t>el pabellón</w:t>
      </w:r>
      <w:r w:rsidR="00731024">
        <w:rPr>
          <w:rFonts w:asciiTheme="majorHAnsi" w:eastAsia="Times New Roman" w:hAnsiTheme="majorHAnsi"/>
          <w:sz w:val="20"/>
          <w:lang w:val="es-ES"/>
        </w:rPr>
        <w:t xml:space="preserve"> C, donde el señor Housel fue detenido, llamad</w:t>
      </w:r>
      <w:r w:rsidR="004B567D">
        <w:rPr>
          <w:rFonts w:asciiTheme="majorHAnsi" w:eastAsia="Times New Roman" w:hAnsiTheme="majorHAnsi"/>
          <w:sz w:val="20"/>
          <w:lang w:val="es-ES"/>
        </w:rPr>
        <w:t>o</w:t>
      </w:r>
      <w:r w:rsidR="00731024">
        <w:rPr>
          <w:rFonts w:asciiTheme="majorHAnsi" w:eastAsia="Times New Roman" w:hAnsiTheme="majorHAnsi"/>
          <w:sz w:val="20"/>
          <w:lang w:val="es-ES"/>
        </w:rPr>
        <w:t xml:space="preserve"> “el agujero”.  El pabellón fue descrito “como un calabozo” sin ducha, superpoblado</w:t>
      </w:r>
      <w:r w:rsidR="0083565F">
        <w:rPr>
          <w:rFonts w:asciiTheme="majorHAnsi" w:eastAsia="Times New Roman" w:hAnsiTheme="majorHAnsi"/>
          <w:sz w:val="20"/>
          <w:lang w:val="es-ES"/>
        </w:rPr>
        <w:t xml:space="preserve"> y donde, a veces, los reclusos dormían en el suelo.</w:t>
      </w:r>
    </w:p>
    <w:p w14:paraId="10D4923D" w14:textId="77777777" w:rsidR="002175C0" w:rsidRPr="002175C0" w:rsidRDefault="002175C0" w:rsidP="002175C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eastAsia="Times New Roman" w:hAnsiTheme="majorHAnsi"/>
          <w:sz w:val="20"/>
          <w:lang w:val="es-ES"/>
        </w:rPr>
      </w:pPr>
    </w:p>
    <w:p w14:paraId="45FAD7AC" w14:textId="77777777" w:rsidR="002C68A5" w:rsidRPr="002C68A5" w:rsidRDefault="002C68A5"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350"/>
          <w:tab w:val="left" w:pos="1440"/>
          <w:tab w:val="left" w:pos="1890"/>
        </w:tabs>
        <w:ind w:left="0" w:firstLine="0"/>
        <w:jc w:val="both"/>
        <w:rPr>
          <w:rFonts w:asciiTheme="majorHAnsi" w:hAnsiTheme="majorHAnsi"/>
          <w:sz w:val="20"/>
          <w:szCs w:val="20"/>
          <w:lang w:val="es-ES"/>
        </w:rPr>
      </w:pPr>
      <w:r w:rsidRPr="002C68A5">
        <w:rPr>
          <w:rFonts w:asciiTheme="majorHAnsi" w:hAnsiTheme="majorHAnsi"/>
          <w:sz w:val="20"/>
          <w:szCs w:val="20"/>
          <w:lang w:val="es-ES"/>
        </w:rPr>
        <w:t xml:space="preserve">De acuerdo con </w:t>
      </w:r>
      <w:r w:rsidR="0032764A">
        <w:rPr>
          <w:rFonts w:asciiTheme="majorHAnsi" w:hAnsiTheme="majorHAnsi"/>
          <w:sz w:val="20"/>
          <w:szCs w:val="20"/>
          <w:lang w:val="es-ES"/>
        </w:rPr>
        <w:t>estas</w:t>
      </w:r>
      <w:r w:rsidRPr="002C68A5">
        <w:rPr>
          <w:rFonts w:asciiTheme="majorHAnsi" w:hAnsiTheme="majorHAnsi"/>
          <w:sz w:val="20"/>
          <w:szCs w:val="20"/>
          <w:lang w:val="es-ES"/>
        </w:rPr>
        <w:t xml:space="preserve"> d</w:t>
      </w:r>
      <w:r>
        <w:rPr>
          <w:rFonts w:asciiTheme="majorHAnsi" w:hAnsiTheme="majorHAnsi"/>
          <w:sz w:val="20"/>
          <w:szCs w:val="20"/>
          <w:lang w:val="es-ES"/>
        </w:rPr>
        <w:t>eclaraciones juradas, el señor Housel</w:t>
      </w:r>
      <w:r w:rsidR="0032764A">
        <w:rPr>
          <w:rFonts w:asciiTheme="majorHAnsi" w:hAnsiTheme="majorHAnsi"/>
          <w:sz w:val="20"/>
          <w:szCs w:val="20"/>
          <w:lang w:val="es-ES"/>
        </w:rPr>
        <w:t xml:space="preserve"> fue detenido durante al menos las primeras ocho semanas</w:t>
      </w:r>
      <w:r w:rsidR="00A54FA9">
        <w:rPr>
          <w:rFonts w:asciiTheme="majorHAnsi" w:hAnsiTheme="majorHAnsi"/>
          <w:sz w:val="20"/>
          <w:szCs w:val="20"/>
          <w:lang w:val="es-ES"/>
        </w:rPr>
        <w:t xml:space="preserve"> en la cárcel en una celda muy pequeña sin </w:t>
      </w:r>
      <w:r w:rsidR="003F5436">
        <w:rPr>
          <w:rFonts w:asciiTheme="majorHAnsi" w:hAnsiTheme="majorHAnsi"/>
          <w:sz w:val="20"/>
          <w:szCs w:val="20"/>
          <w:lang w:val="es-ES"/>
        </w:rPr>
        <w:t>luz natural</w:t>
      </w:r>
      <w:r w:rsidR="00A54FA9">
        <w:rPr>
          <w:rFonts w:asciiTheme="majorHAnsi" w:hAnsiTheme="majorHAnsi"/>
          <w:sz w:val="20"/>
          <w:szCs w:val="20"/>
          <w:lang w:val="es-ES"/>
        </w:rPr>
        <w:t>. Durante ese período no se le permitió ducharse</w:t>
      </w:r>
      <w:r w:rsidR="000055D1">
        <w:rPr>
          <w:rFonts w:asciiTheme="majorHAnsi" w:hAnsiTheme="majorHAnsi"/>
          <w:sz w:val="20"/>
          <w:szCs w:val="20"/>
          <w:lang w:val="es-ES"/>
        </w:rPr>
        <w:t>,</w:t>
      </w:r>
      <w:r w:rsidR="00A54FA9">
        <w:rPr>
          <w:rFonts w:asciiTheme="majorHAnsi" w:hAnsiTheme="majorHAnsi"/>
          <w:sz w:val="20"/>
          <w:szCs w:val="20"/>
          <w:lang w:val="es-ES"/>
        </w:rPr>
        <w:t xml:space="preserve"> hacer ejercicio ni respirar</w:t>
      </w:r>
      <w:r w:rsidR="000055D1">
        <w:rPr>
          <w:rFonts w:asciiTheme="majorHAnsi" w:hAnsiTheme="majorHAnsi"/>
          <w:sz w:val="20"/>
          <w:szCs w:val="20"/>
          <w:lang w:val="es-ES"/>
        </w:rPr>
        <w:t xml:space="preserve"> </w:t>
      </w:r>
      <w:r w:rsidR="00A54FA9">
        <w:rPr>
          <w:rFonts w:asciiTheme="majorHAnsi" w:hAnsiTheme="majorHAnsi"/>
          <w:sz w:val="20"/>
          <w:szCs w:val="20"/>
          <w:lang w:val="es-ES"/>
        </w:rPr>
        <w:t xml:space="preserve">al aire libre. </w:t>
      </w:r>
      <w:r w:rsidR="007D0BAE">
        <w:rPr>
          <w:rFonts w:asciiTheme="majorHAnsi" w:hAnsiTheme="majorHAnsi"/>
          <w:sz w:val="20"/>
          <w:szCs w:val="20"/>
          <w:lang w:val="es-ES"/>
        </w:rPr>
        <w:t>Supuestamente, n</w:t>
      </w:r>
      <w:r w:rsidR="00A54FA9">
        <w:rPr>
          <w:rFonts w:asciiTheme="majorHAnsi" w:hAnsiTheme="majorHAnsi"/>
          <w:sz w:val="20"/>
          <w:szCs w:val="20"/>
          <w:lang w:val="es-ES"/>
        </w:rPr>
        <w:t>o se le permitía fraternizar</w:t>
      </w:r>
      <w:r w:rsidR="003D7B9A">
        <w:rPr>
          <w:rFonts w:asciiTheme="majorHAnsi" w:hAnsiTheme="majorHAnsi"/>
          <w:sz w:val="20"/>
          <w:szCs w:val="20"/>
          <w:lang w:val="es-ES"/>
        </w:rPr>
        <w:t xml:space="preserve"> ni</w:t>
      </w:r>
      <w:r w:rsidR="00A54FA9">
        <w:rPr>
          <w:rFonts w:asciiTheme="majorHAnsi" w:hAnsiTheme="majorHAnsi"/>
          <w:sz w:val="20"/>
          <w:szCs w:val="20"/>
          <w:lang w:val="es-ES"/>
        </w:rPr>
        <w:t xml:space="preserve"> comunicarse con otros reclusos, usar el teléfono ni tener contacto con el exterior, ni asistir a servicios religiosos o dejar su celda por ninguna razón. En una ocasión en la cual el señor Housel tuvo permiso para ir a la iglesia, </w:t>
      </w:r>
      <w:r w:rsidR="00670690">
        <w:rPr>
          <w:rFonts w:asciiTheme="majorHAnsi" w:hAnsiTheme="majorHAnsi"/>
          <w:sz w:val="20"/>
          <w:szCs w:val="20"/>
          <w:lang w:val="es-ES"/>
        </w:rPr>
        <w:t>le colocaron, presunt</w:t>
      </w:r>
      <w:r w:rsidR="00C938D3">
        <w:rPr>
          <w:rFonts w:asciiTheme="majorHAnsi" w:hAnsiTheme="majorHAnsi"/>
          <w:sz w:val="20"/>
          <w:szCs w:val="20"/>
          <w:lang w:val="es-ES"/>
        </w:rPr>
        <w:t>a</w:t>
      </w:r>
      <w:r w:rsidR="00670690">
        <w:rPr>
          <w:rFonts w:asciiTheme="majorHAnsi" w:hAnsiTheme="majorHAnsi"/>
          <w:sz w:val="20"/>
          <w:szCs w:val="20"/>
          <w:lang w:val="es-ES"/>
        </w:rPr>
        <w:t>mente,</w:t>
      </w:r>
      <w:r w:rsidR="00A54FA9">
        <w:rPr>
          <w:rFonts w:asciiTheme="majorHAnsi" w:hAnsiTheme="majorHAnsi"/>
          <w:sz w:val="20"/>
          <w:szCs w:val="20"/>
          <w:lang w:val="es-ES"/>
        </w:rPr>
        <w:t xml:space="preserve"> </w:t>
      </w:r>
      <w:r w:rsidR="00374410">
        <w:rPr>
          <w:rFonts w:asciiTheme="majorHAnsi" w:hAnsiTheme="majorHAnsi"/>
          <w:sz w:val="20"/>
          <w:szCs w:val="20"/>
          <w:lang w:val="es-ES"/>
        </w:rPr>
        <w:t>“</w:t>
      </w:r>
      <w:r w:rsidR="00A54FA9">
        <w:rPr>
          <w:rFonts w:asciiTheme="majorHAnsi" w:hAnsiTheme="majorHAnsi"/>
          <w:sz w:val="20"/>
          <w:szCs w:val="20"/>
          <w:lang w:val="es-ES"/>
        </w:rPr>
        <w:t xml:space="preserve">grilletes en las piernas y cadenas en la cintura”. La comida, que se le pasaba por debajo de la puerta </w:t>
      </w:r>
      <w:r w:rsidR="003B57D0">
        <w:rPr>
          <w:rFonts w:asciiTheme="majorHAnsi" w:hAnsiTheme="majorHAnsi"/>
          <w:sz w:val="20"/>
          <w:szCs w:val="20"/>
          <w:lang w:val="es-ES"/>
        </w:rPr>
        <w:t>era</w:t>
      </w:r>
      <w:r w:rsidR="00374410">
        <w:rPr>
          <w:rFonts w:asciiTheme="majorHAnsi" w:hAnsiTheme="majorHAnsi"/>
          <w:sz w:val="20"/>
          <w:szCs w:val="20"/>
          <w:lang w:val="es-ES"/>
        </w:rPr>
        <w:t>, a veces,</w:t>
      </w:r>
      <w:r w:rsidR="003B57D0">
        <w:rPr>
          <w:rFonts w:asciiTheme="majorHAnsi" w:hAnsiTheme="majorHAnsi"/>
          <w:sz w:val="20"/>
          <w:szCs w:val="20"/>
          <w:lang w:val="es-ES"/>
        </w:rPr>
        <w:t xml:space="preserve"> imposible de comer. </w:t>
      </w:r>
      <w:r w:rsidR="00DD6460">
        <w:rPr>
          <w:rFonts w:asciiTheme="majorHAnsi" w:hAnsiTheme="majorHAnsi"/>
          <w:sz w:val="20"/>
          <w:szCs w:val="20"/>
          <w:lang w:val="es-ES"/>
        </w:rPr>
        <w:t>En una ocasión, e</w:t>
      </w:r>
      <w:r w:rsidR="003B57D0">
        <w:rPr>
          <w:rFonts w:asciiTheme="majorHAnsi" w:hAnsiTheme="majorHAnsi"/>
          <w:sz w:val="20"/>
          <w:szCs w:val="20"/>
          <w:lang w:val="es-ES"/>
        </w:rPr>
        <w:t xml:space="preserve">l señor Housel </w:t>
      </w:r>
      <w:r w:rsidR="00DD6460">
        <w:rPr>
          <w:rFonts w:asciiTheme="majorHAnsi" w:hAnsiTheme="majorHAnsi"/>
          <w:sz w:val="20"/>
          <w:szCs w:val="20"/>
          <w:lang w:val="es-ES"/>
        </w:rPr>
        <w:t>fue presuntamente golpeado con una pistola Taser por un guardia.</w:t>
      </w:r>
    </w:p>
    <w:p w14:paraId="4330AD16" w14:textId="77777777" w:rsidR="002C68A5" w:rsidRPr="002C68A5" w:rsidRDefault="002C68A5" w:rsidP="002C68A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3D6D0966" w14:textId="77777777" w:rsidR="00623347" w:rsidRPr="00623347" w:rsidRDefault="00623347"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623347">
        <w:rPr>
          <w:rFonts w:asciiTheme="majorHAnsi" w:hAnsiTheme="majorHAnsi"/>
          <w:sz w:val="20"/>
          <w:szCs w:val="20"/>
          <w:lang w:val="es-ES"/>
        </w:rPr>
        <w:t>Los reclusos que se en</w:t>
      </w:r>
      <w:r>
        <w:rPr>
          <w:rFonts w:asciiTheme="majorHAnsi" w:hAnsiTheme="majorHAnsi"/>
          <w:sz w:val="20"/>
          <w:szCs w:val="20"/>
          <w:lang w:val="es-ES"/>
        </w:rPr>
        <w:t>contraban con el señor Housel indicaron que, con frecuencia, escuchaban al señor Housel gritar, lo que describieron como “</w:t>
      </w:r>
      <w:r w:rsidR="00E028BA">
        <w:rPr>
          <w:rFonts w:asciiTheme="majorHAnsi" w:hAnsiTheme="majorHAnsi"/>
          <w:sz w:val="20"/>
          <w:szCs w:val="20"/>
          <w:lang w:val="es-ES"/>
        </w:rPr>
        <w:t>no</w:t>
      </w:r>
      <w:r w:rsidR="00834E18">
        <w:rPr>
          <w:rFonts w:asciiTheme="majorHAnsi" w:hAnsiTheme="majorHAnsi"/>
          <w:sz w:val="20"/>
          <w:szCs w:val="20"/>
          <w:lang w:val="es-ES"/>
        </w:rPr>
        <w:t xml:space="preserve"> provocado </w:t>
      </w:r>
      <w:r w:rsidR="00E028BA">
        <w:rPr>
          <w:rFonts w:asciiTheme="majorHAnsi" w:hAnsiTheme="majorHAnsi"/>
          <w:sz w:val="20"/>
          <w:szCs w:val="20"/>
          <w:lang w:val="es-ES"/>
        </w:rPr>
        <w:t xml:space="preserve">e </w:t>
      </w:r>
      <w:r>
        <w:rPr>
          <w:rFonts w:asciiTheme="majorHAnsi" w:hAnsiTheme="majorHAnsi"/>
          <w:sz w:val="20"/>
          <w:szCs w:val="20"/>
          <w:lang w:val="es-ES"/>
        </w:rPr>
        <w:t xml:space="preserve">irracional”, patear la puerta de la celda y hacer sonidos histéricos. </w:t>
      </w:r>
      <w:r w:rsidR="00620715">
        <w:rPr>
          <w:rFonts w:asciiTheme="majorHAnsi" w:hAnsiTheme="majorHAnsi"/>
          <w:sz w:val="20"/>
          <w:szCs w:val="20"/>
          <w:lang w:val="es-ES"/>
        </w:rPr>
        <w:t xml:space="preserve"> Mencionaron que ningún profesional médico examinó al señor Housel para determinar por qué su </w:t>
      </w:r>
      <w:r w:rsidR="000D1F3B">
        <w:rPr>
          <w:rFonts w:asciiTheme="majorHAnsi" w:hAnsiTheme="majorHAnsi"/>
          <w:sz w:val="20"/>
          <w:szCs w:val="20"/>
          <w:lang w:val="es-ES"/>
        </w:rPr>
        <w:t xml:space="preserve">comportamiento era “descontrolado”.  Recordaban </w:t>
      </w:r>
      <w:r w:rsidR="001C067A">
        <w:rPr>
          <w:rFonts w:asciiTheme="majorHAnsi" w:hAnsiTheme="majorHAnsi"/>
          <w:sz w:val="20"/>
          <w:szCs w:val="20"/>
          <w:lang w:val="es-ES"/>
        </w:rPr>
        <w:t>épocas</w:t>
      </w:r>
      <w:r w:rsidR="000D1F3B">
        <w:rPr>
          <w:rFonts w:asciiTheme="majorHAnsi" w:hAnsiTheme="majorHAnsi"/>
          <w:sz w:val="20"/>
          <w:szCs w:val="20"/>
          <w:lang w:val="es-ES"/>
        </w:rPr>
        <w:t xml:space="preserve"> durante l</w:t>
      </w:r>
      <w:r w:rsidR="001C067A">
        <w:rPr>
          <w:rFonts w:asciiTheme="majorHAnsi" w:hAnsiTheme="majorHAnsi"/>
          <w:sz w:val="20"/>
          <w:szCs w:val="20"/>
          <w:lang w:val="es-ES"/>
        </w:rPr>
        <w:t>a</w:t>
      </w:r>
      <w:r w:rsidR="000D1F3B">
        <w:rPr>
          <w:rFonts w:asciiTheme="majorHAnsi" w:hAnsiTheme="majorHAnsi"/>
          <w:sz w:val="20"/>
          <w:szCs w:val="20"/>
          <w:lang w:val="es-ES"/>
        </w:rPr>
        <w:t>s cuales el señor Housel lloraba y chillaba, gritaba y golpeaba las rejas.</w:t>
      </w:r>
    </w:p>
    <w:p w14:paraId="1B0E50D2" w14:textId="77777777" w:rsidR="00623347" w:rsidRPr="00623347" w:rsidRDefault="00623347" w:rsidP="0062334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0F3F35B3" w14:textId="77777777" w:rsidR="00840A80" w:rsidRPr="00840A80" w:rsidRDefault="00840A80"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840A80">
        <w:rPr>
          <w:rFonts w:asciiTheme="majorHAnsi" w:hAnsiTheme="majorHAnsi"/>
          <w:sz w:val="20"/>
          <w:szCs w:val="20"/>
          <w:lang w:val="es-ES"/>
        </w:rPr>
        <w:t xml:space="preserve">Uno de los reclusos </w:t>
      </w:r>
      <w:r>
        <w:rPr>
          <w:rFonts w:asciiTheme="majorHAnsi" w:hAnsiTheme="majorHAnsi"/>
          <w:sz w:val="20"/>
          <w:szCs w:val="20"/>
          <w:lang w:val="es-ES"/>
        </w:rPr>
        <w:t xml:space="preserve">indicó que el abogado del señor Housel no estuvo presente para </w:t>
      </w:r>
      <w:r w:rsidR="00B47EEC">
        <w:rPr>
          <w:rFonts w:asciiTheme="majorHAnsi" w:hAnsiTheme="majorHAnsi"/>
          <w:sz w:val="20"/>
          <w:szCs w:val="20"/>
          <w:lang w:val="es-ES"/>
        </w:rPr>
        <w:t xml:space="preserve">ninguno de los interrogatorios </w:t>
      </w:r>
      <w:r w:rsidR="00A81438">
        <w:rPr>
          <w:rFonts w:asciiTheme="majorHAnsi" w:hAnsiTheme="majorHAnsi"/>
          <w:sz w:val="20"/>
          <w:szCs w:val="20"/>
          <w:lang w:val="es-ES"/>
        </w:rPr>
        <w:t xml:space="preserve">policiales </w:t>
      </w:r>
      <w:r w:rsidR="00B47EEC">
        <w:rPr>
          <w:rFonts w:asciiTheme="majorHAnsi" w:hAnsiTheme="majorHAnsi"/>
          <w:sz w:val="20"/>
          <w:szCs w:val="20"/>
          <w:lang w:val="es-ES"/>
        </w:rPr>
        <w:t xml:space="preserve">de los cuales </w:t>
      </w:r>
      <w:r w:rsidR="00A81438">
        <w:rPr>
          <w:rFonts w:asciiTheme="majorHAnsi" w:hAnsiTheme="majorHAnsi"/>
          <w:sz w:val="20"/>
          <w:szCs w:val="20"/>
          <w:lang w:val="es-ES"/>
        </w:rPr>
        <w:t>él tenía</w:t>
      </w:r>
      <w:r w:rsidR="00B47EEC">
        <w:rPr>
          <w:rFonts w:asciiTheme="majorHAnsi" w:hAnsiTheme="majorHAnsi"/>
          <w:sz w:val="20"/>
          <w:szCs w:val="20"/>
          <w:lang w:val="es-ES"/>
        </w:rPr>
        <w:t xml:space="preserve"> conocimiento. Otro recluso declaró también que el abogado del señor Housel </w:t>
      </w:r>
      <w:r w:rsidR="000913AB">
        <w:rPr>
          <w:rFonts w:asciiTheme="majorHAnsi" w:hAnsiTheme="majorHAnsi"/>
          <w:sz w:val="20"/>
          <w:szCs w:val="20"/>
          <w:lang w:val="es-ES"/>
        </w:rPr>
        <w:t>nunca vino a verlo durante el tiempo que estuvo alojado con el señor Housel.</w:t>
      </w:r>
      <w:r w:rsidR="006348DE">
        <w:rPr>
          <w:rFonts w:asciiTheme="majorHAnsi" w:hAnsiTheme="majorHAnsi"/>
          <w:sz w:val="20"/>
          <w:szCs w:val="20"/>
          <w:lang w:val="es-ES"/>
        </w:rPr>
        <w:t xml:space="preserve"> </w:t>
      </w:r>
    </w:p>
    <w:p w14:paraId="06FBCA5B" w14:textId="77777777" w:rsidR="00385C97" w:rsidRPr="000C293C" w:rsidRDefault="00385C97" w:rsidP="00F349BC">
      <w:pPr>
        <w:pStyle w:val="ListParagraph"/>
        <w:tabs>
          <w:tab w:val="left" w:pos="1890"/>
        </w:tabs>
        <w:rPr>
          <w:rFonts w:asciiTheme="majorHAnsi" w:eastAsia="Times New Roman" w:hAnsiTheme="majorHAnsi"/>
          <w:sz w:val="20"/>
          <w:szCs w:val="20"/>
          <w:lang w:val="es-ES"/>
        </w:rPr>
      </w:pPr>
    </w:p>
    <w:p w14:paraId="048EACA0" w14:textId="77777777" w:rsidR="00562740" w:rsidRPr="009F4761" w:rsidRDefault="000913AB"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562740">
        <w:rPr>
          <w:rFonts w:asciiTheme="majorHAnsi" w:hAnsiTheme="majorHAnsi"/>
          <w:sz w:val="20"/>
          <w:szCs w:val="20"/>
          <w:lang w:val="es-ES"/>
        </w:rPr>
        <w:t xml:space="preserve">El señor Housel fue transferido a </w:t>
      </w:r>
      <w:r w:rsidRPr="008339E1">
        <w:rPr>
          <w:rFonts w:asciiTheme="majorHAnsi" w:hAnsiTheme="majorHAnsi"/>
          <w:i/>
          <w:iCs/>
          <w:sz w:val="20"/>
          <w:szCs w:val="20"/>
          <w:lang w:val="es-ES"/>
        </w:rPr>
        <w:t>Douglas County Jail</w:t>
      </w:r>
      <w:r w:rsidRPr="00562740">
        <w:rPr>
          <w:rFonts w:asciiTheme="majorHAnsi" w:hAnsiTheme="majorHAnsi"/>
          <w:sz w:val="20"/>
          <w:szCs w:val="20"/>
          <w:lang w:val="es-ES"/>
        </w:rPr>
        <w:t xml:space="preserve"> durante aproximadamente 20 días a fines de junio de 1985 y a su regreso, fue </w:t>
      </w:r>
      <w:r w:rsidR="00B33CC8" w:rsidRPr="00562740">
        <w:rPr>
          <w:rFonts w:asciiTheme="majorHAnsi" w:hAnsiTheme="majorHAnsi"/>
          <w:sz w:val="20"/>
          <w:szCs w:val="20"/>
          <w:lang w:val="es-ES"/>
        </w:rPr>
        <w:t xml:space="preserve">recluido en </w:t>
      </w:r>
      <w:r w:rsidR="00893BFF">
        <w:rPr>
          <w:rFonts w:asciiTheme="majorHAnsi" w:hAnsiTheme="majorHAnsi"/>
          <w:sz w:val="20"/>
          <w:szCs w:val="20"/>
          <w:lang w:val="es-ES"/>
        </w:rPr>
        <w:t>régimen de aislamiento en</w:t>
      </w:r>
      <w:r w:rsidR="00B33CC8" w:rsidRPr="00562740">
        <w:rPr>
          <w:rFonts w:asciiTheme="majorHAnsi" w:hAnsiTheme="majorHAnsi"/>
          <w:sz w:val="20"/>
          <w:szCs w:val="20"/>
          <w:lang w:val="es-ES"/>
        </w:rPr>
        <w:t xml:space="preserve"> condiciones “mejoradas” debido a la orden de consentimiento firmada por el </w:t>
      </w:r>
      <w:r w:rsidR="00B57134" w:rsidRPr="00562740">
        <w:rPr>
          <w:rFonts w:asciiTheme="majorHAnsi" w:hAnsiTheme="majorHAnsi"/>
          <w:sz w:val="20"/>
          <w:szCs w:val="20"/>
          <w:lang w:val="es-ES"/>
        </w:rPr>
        <w:t>juez de la corte superior.</w:t>
      </w:r>
      <w:r w:rsidR="00562740" w:rsidRPr="00562740">
        <w:rPr>
          <w:rFonts w:asciiTheme="majorHAnsi" w:hAnsiTheme="majorHAnsi"/>
          <w:sz w:val="20"/>
          <w:szCs w:val="20"/>
          <w:lang w:val="es-ES"/>
        </w:rPr>
        <w:t xml:space="preserve">  </w:t>
      </w:r>
      <w:r w:rsidR="00562740" w:rsidRPr="00DE2580">
        <w:rPr>
          <w:rStyle w:val="FootnoteReference"/>
          <w:rFonts w:asciiTheme="majorHAnsi" w:hAnsiTheme="majorHAnsi"/>
          <w:sz w:val="20"/>
          <w:szCs w:val="20"/>
        </w:rPr>
        <w:footnoteReference w:id="22"/>
      </w:r>
    </w:p>
    <w:p w14:paraId="70812600" w14:textId="77777777" w:rsidR="00562740" w:rsidRPr="00562740" w:rsidRDefault="00562740" w:rsidP="00562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259BD0D4" w14:textId="77777777" w:rsidR="001C4006" w:rsidRPr="00E018FC" w:rsidRDefault="009E6002" w:rsidP="00E018FC">
      <w:pPr>
        <w:pStyle w:val="Heading1"/>
        <w:tabs>
          <w:tab w:val="left" w:pos="360"/>
        </w:tabs>
        <w:spacing w:before="0"/>
        <w:ind w:left="0" w:firstLine="0"/>
        <w:rPr>
          <w:color w:val="auto"/>
          <w:sz w:val="20"/>
          <w:szCs w:val="20"/>
        </w:rPr>
      </w:pPr>
      <w:bookmarkStart w:id="18" w:name="_Toc150529895"/>
      <w:bookmarkStart w:id="19" w:name="_Toc22826180"/>
      <w:r w:rsidRPr="00E018FC">
        <w:rPr>
          <w:color w:val="auto"/>
          <w:sz w:val="20"/>
          <w:szCs w:val="20"/>
        </w:rPr>
        <w:t>ANÁLISIS DE DERECHO</w:t>
      </w:r>
      <w:bookmarkEnd w:id="18"/>
      <w:r w:rsidRPr="00E018FC">
        <w:rPr>
          <w:color w:val="auto"/>
          <w:sz w:val="20"/>
          <w:szCs w:val="20"/>
        </w:rPr>
        <w:t xml:space="preserve"> </w:t>
      </w:r>
      <w:bookmarkEnd w:id="19"/>
    </w:p>
    <w:p w14:paraId="65A70E2F" w14:textId="77777777" w:rsidR="00C7147D" w:rsidRPr="00241EC7" w:rsidRDefault="00C7147D" w:rsidP="00F349BC">
      <w:pPr>
        <w:tabs>
          <w:tab w:val="left" w:pos="1890"/>
        </w:tabs>
        <w:suppressAutoHyphens/>
        <w:rPr>
          <w:rFonts w:asciiTheme="majorHAnsi" w:hAnsiTheme="majorHAnsi"/>
          <w:b/>
          <w:sz w:val="20"/>
          <w:szCs w:val="20"/>
          <w:lang w:val="es-ES"/>
        </w:rPr>
      </w:pPr>
    </w:p>
    <w:p w14:paraId="54D8119E" w14:textId="11520B64" w:rsidR="007D2FEE" w:rsidRPr="00E018FC" w:rsidRDefault="00D76345" w:rsidP="00ED2F81">
      <w:pPr>
        <w:pStyle w:val="Heading2"/>
        <w:numPr>
          <w:ilvl w:val="0"/>
          <w:numId w:val="67"/>
        </w:numPr>
        <w:spacing w:before="0"/>
        <w:ind w:left="360"/>
        <w:rPr>
          <w:color w:val="auto"/>
          <w:sz w:val="20"/>
          <w:szCs w:val="20"/>
        </w:rPr>
      </w:pPr>
      <w:bookmarkStart w:id="20" w:name="_Toc150529896"/>
      <w:bookmarkStart w:id="21" w:name="_Toc412815742"/>
      <w:bookmarkStart w:id="22" w:name="_Toc22826181"/>
      <w:r w:rsidRPr="00E018FC">
        <w:rPr>
          <w:color w:val="auto"/>
          <w:sz w:val="20"/>
          <w:szCs w:val="20"/>
        </w:rPr>
        <w:t>Consideraciones preliminares</w:t>
      </w:r>
      <w:bookmarkEnd w:id="20"/>
      <w:r w:rsidRPr="00E018FC">
        <w:rPr>
          <w:color w:val="auto"/>
          <w:sz w:val="20"/>
          <w:szCs w:val="20"/>
        </w:rPr>
        <w:t xml:space="preserve"> </w:t>
      </w:r>
      <w:bookmarkEnd w:id="21"/>
      <w:bookmarkEnd w:id="22"/>
    </w:p>
    <w:p w14:paraId="0028AD80" w14:textId="77777777" w:rsidR="00A169DC" w:rsidRPr="00DE2580" w:rsidRDefault="00A169DC"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lang w:val="es-ES"/>
        </w:rPr>
      </w:pPr>
    </w:p>
    <w:p w14:paraId="3394A579" w14:textId="77777777" w:rsidR="0088323B" w:rsidRPr="0088323B" w:rsidRDefault="0088323B"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88323B">
        <w:rPr>
          <w:rFonts w:asciiTheme="majorHAnsi" w:hAnsiTheme="majorHAnsi"/>
          <w:sz w:val="20"/>
          <w:szCs w:val="20"/>
          <w:lang w:val="es-ES"/>
        </w:rPr>
        <w:lastRenderedPageBreak/>
        <w:t xml:space="preserve">Antes de </w:t>
      </w:r>
      <w:r>
        <w:rPr>
          <w:rFonts w:asciiTheme="majorHAnsi" w:hAnsiTheme="majorHAnsi"/>
          <w:sz w:val="20"/>
          <w:szCs w:val="20"/>
          <w:lang w:val="es-ES"/>
        </w:rPr>
        <w:t>iniciar el análisis del fondo en el caso de Housel, la Comisión Interamericana considera pertinente reiterar sus pronunciamientos anteriores con respecto al escrutinio riguroso a ser utilizado en casos que involucran la pena de muerte. El derecho a la vida es ampliamente reconocido como el derecho supremo de los seres humanos y como</w:t>
      </w:r>
      <w:r w:rsidR="008060E3">
        <w:rPr>
          <w:rFonts w:asciiTheme="majorHAnsi" w:hAnsiTheme="majorHAnsi"/>
          <w:sz w:val="20"/>
          <w:szCs w:val="20"/>
          <w:lang w:val="es-ES"/>
        </w:rPr>
        <w:t xml:space="preserve"> condición</w:t>
      </w:r>
      <w:r w:rsidRPr="0088323B">
        <w:rPr>
          <w:rFonts w:asciiTheme="majorHAnsi" w:hAnsiTheme="majorHAnsi"/>
          <w:i/>
          <w:iCs/>
          <w:sz w:val="20"/>
          <w:szCs w:val="20"/>
          <w:lang w:val="es-ES"/>
        </w:rPr>
        <w:t xml:space="preserve"> sine qua non</w:t>
      </w:r>
      <w:r>
        <w:rPr>
          <w:rFonts w:asciiTheme="majorHAnsi" w:hAnsiTheme="majorHAnsi"/>
          <w:sz w:val="20"/>
          <w:szCs w:val="20"/>
          <w:lang w:val="es-ES"/>
        </w:rPr>
        <w:t xml:space="preserve"> para el goce de todos los demás derechos</w:t>
      </w:r>
      <w:r w:rsidR="00CD282C">
        <w:rPr>
          <w:rFonts w:asciiTheme="majorHAnsi" w:hAnsiTheme="majorHAnsi"/>
          <w:sz w:val="20"/>
          <w:szCs w:val="20"/>
          <w:lang w:val="es-ES"/>
        </w:rPr>
        <w:t>.</w:t>
      </w:r>
    </w:p>
    <w:p w14:paraId="689CDF9C" w14:textId="77777777" w:rsidR="00144208" w:rsidRPr="000C293C" w:rsidRDefault="00144208" w:rsidP="00F349BC">
      <w:pPr>
        <w:pStyle w:val="ListParagraph"/>
        <w:tabs>
          <w:tab w:val="left" w:pos="1890"/>
        </w:tabs>
        <w:rPr>
          <w:rFonts w:asciiTheme="majorHAnsi" w:hAnsiTheme="majorHAnsi"/>
          <w:sz w:val="20"/>
          <w:szCs w:val="20"/>
          <w:lang w:val="es-ES"/>
        </w:rPr>
      </w:pPr>
    </w:p>
    <w:p w14:paraId="653B44ED" w14:textId="77777777" w:rsidR="003B560F" w:rsidRPr="003B560F" w:rsidRDefault="003B560F"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055110">
        <w:rPr>
          <w:rFonts w:asciiTheme="majorHAnsi" w:hAnsiTheme="majorHAnsi"/>
          <w:sz w:val="20"/>
          <w:szCs w:val="20"/>
          <w:lang w:val="es-ES"/>
        </w:rPr>
        <w:t xml:space="preserve"> </w:t>
      </w:r>
      <w:r w:rsidRPr="003B560F">
        <w:rPr>
          <w:rFonts w:asciiTheme="majorHAnsi" w:hAnsiTheme="majorHAnsi"/>
          <w:sz w:val="20"/>
          <w:szCs w:val="20"/>
          <w:lang w:val="es-ES"/>
        </w:rPr>
        <w:t>Esto da lugar a la</w:t>
      </w:r>
      <w:r>
        <w:rPr>
          <w:rFonts w:asciiTheme="majorHAnsi" w:hAnsiTheme="majorHAnsi"/>
          <w:sz w:val="20"/>
          <w:szCs w:val="20"/>
          <w:lang w:val="es-ES"/>
        </w:rPr>
        <w:t xml:space="preserve"> particular importancia de la obligación de la CIDH de garantizar que toda privación a la vida que pueda ocurrir</w:t>
      </w:r>
      <w:r w:rsidRPr="003B560F">
        <w:rPr>
          <w:lang w:val="es-ES"/>
        </w:rPr>
        <w:t xml:space="preserve"> </w:t>
      </w:r>
      <w:r w:rsidRPr="003B560F">
        <w:rPr>
          <w:rFonts w:asciiTheme="majorHAnsi" w:hAnsiTheme="majorHAnsi"/>
          <w:sz w:val="20"/>
          <w:szCs w:val="20"/>
          <w:lang w:val="es-ES"/>
        </w:rPr>
        <w:t>por la aplicación de la pena de muerte cumpla estrictamente con los requisitos establecidos en los instrumentos aplicables del sistema interamericano de derechos humanos, incluida la Declaración Americana</w:t>
      </w:r>
      <w:r>
        <w:rPr>
          <w:rFonts w:asciiTheme="majorHAnsi" w:hAnsiTheme="majorHAnsi"/>
          <w:sz w:val="20"/>
          <w:szCs w:val="20"/>
          <w:lang w:val="es-ES"/>
        </w:rPr>
        <w:t>.</w:t>
      </w:r>
      <w:r w:rsidRPr="003B560F">
        <w:rPr>
          <w:rStyle w:val="FootnoteReference"/>
          <w:rFonts w:asciiTheme="majorHAnsi" w:eastAsia="Cambria" w:hAnsiTheme="majorHAnsi" w:cs="Cambria"/>
          <w:sz w:val="20"/>
          <w:szCs w:val="20"/>
          <w:lang w:val="es-ES"/>
        </w:rPr>
        <w:t xml:space="preserve"> </w:t>
      </w:r>
      <w:r w:rsidRPr="00DE2580">
        <w:rPr>
          <w:rStyle w:val="FootnoteReference"/>
          <w:rFonts w:asciiTheme="majorHAnsi" w:eastAsia="Cambria" w:hAnsiTheme="majorHAnsi" w:cs="Cambria"/>
          <w:sz w:val="20"/>
          <w:szCs w:val="20"/>
        </w:rPr>
        <w:footnoteReference w:id="23"/>
      </w:r>
      <w:r w:rsidRPr="003B560F">
        <w:rPr>
          <w:rFonts w:asciiTheme="majorHAnsi" w:eastAsia="Cambria" w:hAnsiTheme="majorHAnsi" w:cs="Cambria"/>
          <w:sz w:val="20"/>
          <w:szCs w:val="20"/>
          <w:lang w:val="es-ES"/>
        </w:rPr>
        <w:t xml:space="preserve"> </w:t>
      </w:r>
      <w:r w:rsidRPr="003B560F">
        <w:rPr>
          <w:rFonts w:asciiTheme="majorHAnsi" w:hAnsiTheme="majorHAnsi"/>
          <w:sz w:val="20"/>
          <w:szCs w:val="20"/>
          <w:lang w:val="es-ES"/>
        </w:rPr>
        <w:t xml:space="preserve">Este </w:t>
      </w:r>
      <w:r w:rsidR="00C36747">
        <w:rPr>
          <w:rFonts w:asciiTheme="majorHAnsi" w:hAnsiTheme="majorHAnsi"/>
          <w:sz w:val="20"/>
          <w:szCs w:val="20"/>
          <w:lang w:val="es-ES"/>
        </w:rPr>
        <w:t>“</w:t>
      </w:r>
      <w:r w:rsidRPr="003B560F">
        <w:rPr>
          <w:rFonts w:asciiTheme="majorHAnsi" w:hAnsiTheme="majorHAnsi"/>
          <w:sz w:val="20"/>
          <w:szCs w:val="20"/>
          <w:lang w:val="es-ES"/>
        </w:rPr>
        <w:t>escrutinio riguroso</w:t>
      </w:r>
      <w:r w:rsidR="00C36747">
        <w:rPr>
          <w:rFonts w:asciiTheme="majorHAnsi" w:hAnsiTheme="majorHAnsi"/>
          <w:sz w:val="20"/>
          <w:szCs w:val="20"/>
          <w:lang w:val="es-ES"/>
        </w:rPr>
        <w:t>”</w:t>
      </w:r>
      <w:r w:rsidRPr="003B560F">
        <w:rPr>
          <w:rFonts w:asciiTheme="majorHAnsi" w:hAnsiTheme="majorHAnsi"/>
          <w:sz w:val="20"/>
          <w:szCs w:val="20"/>
          <w:lang w:val="es-ES"/>
        </w:rPr>
        <w:t xml:space="preserve"> es congruente con el enfoque restrictivo que adopta</w:t>
      </w:r>
      <w:r w:rsidR="00055110">
        <w:rPr>
          <w:rFonts w:asciiTheme="majorHAnsi" w:hAnsiTheme="majorHAnsi"/>
          <w:sz w:val="20"/>
          <w:szCs w:val="20"/>
          <w:lang w:val="es-ES"/>
        </w:rPr>
        <w:t>ron</w:t>
      </w:r>
      <w:r w:rsidRPr="003B560F">
        <w:rPr>
          <w:rFonts w:asciiTheme="majorHAnsi" w:hAnsiTheme="majorHAnsi"/>
          <w:sz w:val="20"/>
          <w:szCs w:val="20"/>
          <w:lang w:val="es-ES"/>
        </w:rPr>
        <w:t xml:space="preserve"> otros organismos internacionales de derechos humanos </w:t>
      </w:r>
      <w:r w:rsidR="00055110">
        <w:rPr>
          <w:rFonts w:asciiTheme="majorHAnsi" w:hAnsiTheme="majorHAnsi"/>
          <w:sz w:val="20"/>
          <w:szCs w:val="20"/>
          <w:lang w:val="es-ES"/>
        </w:rPr>
        <w:t xml:space="preserve">en </w:t>
      </w:r>
      <w:r w:rsidRPr="003B560F">
        <w:rPr>
          <w:rFonts w:asciiTheme="majorHAnsi" w:hAnsiTheme="majorHAnsi"/>
          <w:sz w:val="20"/>
          <w:szCs w:val="20"/>
          <w:lang w:val="es-ES"/>
        </w:rPr>
        <w:t>casos que involucran la pena de muerte</w:t>
      </w:r>
      <w:r w:rsidR="005A425D" w:rsidRPr="00DE2580">
        <w:rPr>
          <w:rStyle w:val="FootnoteReference"/>
          <w:rFonts w:asciiTheme="majorHAnsi" w:eastAsia="Cambria" w:hAnsiTheme="majorHAnsi" w:cs="Cambria"/>
          <w:sz w:val="20"/>
          <w:szCs w:val="20"/>
        </w:rPr>
        <w:footnoteReference w:id="24"/>
      </w:r>
      <w:r w:rsidR="005A425D" w:rsidRPr="005A425D">
        <w:rPr>
          <w:rFonts w:asciiTheme="majorHAnsi" w:eastAsia="Cambria" w:hAnsiTheme="majorHAnsi" w:cs="Cambria"/>
          <w:sz w:val="20"/>
          <w:szCs w:val="20"/>
          <w:lang w:val="es-ES"/>
        </w:rPr>
        <w:t xml:space="preserve"> </w:t>
      </w:r>
      <w:r w:rsidRPr="003B560F">
        <w:rPr>
          <w:rFonts w:asciiTheme="majorHAnsi" w:hAnsiTheme="majorHAnsi"/>
          <w:sz w:val="20"/>
          <w:szCs w:val="20"/>
          <w:lang w:val="es-ES"/>
        </w:rPr>
        <w:t xml:space="preserve"> y la Comisión Interamericana lo ha expresado y aplicado en casos anteriores de pena capital que se le han presentado</w:t>
      </w:r>
      <w:r w:rsidR="005A425D">
        <w:rPr>
          <w:rFonts w:asciiTheme="majorHAnsi" w:hAnsiTheme="majorHAnsi"/>
          <w:sz w:val="20"/>
          <w:szCs w:val="20"/>
          <w:lang w:val="es-ES"/>
        </w:rPr>
        <w:t xml:space="preserve">. </w:t>
      </w:r>
      <w:r w:rsidR="005A425D" w:rsidRPr="00DE2580">
        <w:rPr>
          <w:rStyle w:val="FootnoteReference"/>
          <w:rFonts w:asciiTheme="majorHAnsi" w:eastAsia="Cambria" w:hAnsiTheme="majorHAnsi" w:cs="Cambria"/>
          <w:sz w:val="20"/>
          <w:szCs w:val="20"/>
        </w:rPr>
        <w:footnoteReference w:id="25"/>
      </w:r>
      <w:r w:rsidR="005A425D" w:rsidRPr="005A425D">
        <w:rPr>
          <w:rFonts w:asciiTheme="majorHAnsi" w:eastAsia="Cambria" w:hAnsiTheme="majorHAnsi" w:cs="Cambria"/>
          <w:sz w:val="20"/>
          <w:szCs w:val="20"/>
          <w:lang w:val="es-ES"/>
        </w:rPr>
        <w:t xml:space="preserve"> </w:t>
      </w:r>
      <w:r w:rsidR="005A425D" w:rsidRPr="005A425D">
        <w:rPr>
          <w:rFonts w:asciiTheme="majorHAnsi" w:hAnsiTheme="majorHAnsi"/>
          <w:sz w:val="20"/>
          <w:szCs w:val="20"/>
          <w:lang w:val="es-ES"/>
        </w:rPr>
        <w:t xml:space="preserve"> </w:t>
      </w:r>
    </w:p>
    <w:p w14:paraId="2DD02F76" w14:textId="77777777" w:rsidR="00A169DC" w:rsidRPr="000C293C" w:rsidRDefault="00A169DC" w:rsidP="00F349BC">
      <w:pPr>
        <w:pStyle w:val="ListParagraph"/>
        <w:tabs>
          <w:tab w:val="left" w:pos="1890"/>
        </w:tabs>
        <w:rPr>
          <w:rFonts w:asciiTheme="majorHAnsi" w:hAnsiTheme="majorHAnsi"/>
          <w:sz w:val="20"/>
          <w:szCs w:val="20"/>
          <w:lang w:val="es-ES"/>
        </w:rPr>
      </w:pPr>
    </w:p>
    <w:p w14:paraId="35DFCB3C" w14:textId="70B37D8C" w:rsidR="00BF2F38" w:rsidRDefault="00BF2F38"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eastAsia="Cambria" w:hAnsiTheme="majorHAnsi" w:cs="Cambria"/>
          <w:sz w:val="20"/>
          <w:szCs w:val="20"/>
          <w:lang w:val="es-ES"/>
        </w:rPr>
      </w:pPr>
      <w:r w:rsidRPr="00BF2F38">
        <w:rPr>
          <w:rFonts w:asciiTheme="majorHAnsi" w:hAnsiTheme="majorHAnsi"/>
          <w:sz w:val="20"/>
          <w:szCs w:val="20"/>
          <w:lang w:val="es-ES"/>
        </w:rPr>
        <w:t>Según ha explicado la Comisión Interamericana</w:t>
      </w:r>
      <w:r>
        <w:rPr>
          <w:rFonts w:asciiTheme="majorHAnsi" w:hAnsiTheme="majorHAnsi"/>
          <w:sz w:val="20"/>
          <w:szCs w:val="20"/>
          <w:lang w:val="es-ES"/>
        </w:rPr>
        <w:t>,</w:t>
      </w:r>
      <w:r w:rsidRPr="00BF2F38">
        <w:rPr>
          <w:rFonts w:asciiTheme="majorHAnsi" w:hAnsiTheme="majorHAnsi"/>
          <w:sz w:val="20"/>
          <w:szCs w:val="20"/>
          <w:lang w:val="es-ES"/>
        </w:rPr>
        <w:t xml:space="preserve"> este estándar de revisión es consecuencia necesaria de la pena en cuestión y del derecho a un juicio justo y a todas las garantías del debido proceso legal relacionadas</w:t>
      </w:r>
      <w:r w:rsidRPr="00DE2580">
        <w:rPr>
          <w:rStyle w:val="FootnoteReference"/>
          <w:rFonts w:asciiTheme="majorHAnsi" w:eastAsia="Cambria" w:hAnsiTheme="majorHAnsi" w:cs="Cambria"/>
          <w:sz w:val="20"/>
          <w:szCs w:val="20"/>
        </w:rPr>
        <w:footnoteReference w:id="26"/>
      </w:r>
      <w:r w:rsidR="007026DA" w:rsidRPr="0040547A">
        <w:rPr>
          <w:rFonts w:asciiTheme="majorHAnsi" w:eastAsia="Cambria" w:hAnsiTheme="majorHAnsi" w:cs="Cambria"/>
          <w:sz w:val="20"/>
          <w:szCs w:val="20"/>
          <w:lang w:val="es-ES"/>
        </w:rPr>
        <w:t>:</w:t>
      </w:r>
    </w:p>
    <w:p w14:paraId="29CFDC0A" w14:textId="77777777" w:rsidR="007026DA" w:rsidRPr="0040547A" w:rsidRDefault="007026DA" w:rsidP="0040547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eastAsia="Cambria" w:hAnsiTheme="majorHAnsi" w:cs="Cambria"/>
          <w:sz w:val="20"/>
          <w:szCs w:val="20"/>
          <w:lang w:val="es-ES"/>
        </w:rPr>
      </w:pPr>
    </w:p>
    <w:p w14:paraId="6584852D" w14:textId="405EDF58" w:rsidR="00BF2F38" w:rsidRDefault="008166DA" w:rsidP="008166DA">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360" w:right="450"/>
        <w:jc w:val="both"/>
        <w:rPr>
          <w:rFonts w:asciiTheme="majorHAnsi" w:hAnsiTheme="majorHAnsi"/>
          <w:sz w:val="18"/>
          <w:szCs w:val="18"/>
          <w:lang w:val="es-EC"/>
        </w:rPr>
      </w:pPr>
      <w:r>
        <w:rPr>
          <w:rFonts w:asciiTheme="majorHAnsi" w:hAnsiTheme="majorHAnsi"/>
          <w:color w:val="000000"/>
          <w:sz w:val="18"/>
          <w:szCs w:val="18"/>
          <w:lang w:val="es-ES"/>
        </w:rPr>
        <w:t xml:space="preserve">… </w:t>
      </w:r>
      <w:r w:rsidRPr="008166DA">
        <w:rPr>
          <w:rFonts w:asciiTheme="majorHAnsi" w:hAnsiTheme="majorHAnsi"/>
          <w:color w:val="000000"/>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00BF2F38" w:rsidRPr="00DE2580">
        <w:rPr>
          <w:rFonts w:asciiTheme="majorHAnsi" w:hAnsiTheme="majorHAnsi"/>
          <w:sz w:val="18"/>
          <w:szCs w:val="18"/>
          <w:vertAlign w:val="superscript"/>
        </w:rPr>
        <w:footnoteReference w:id="27"/>
      </w:r>
    </w:p>
    <w:p w14:paraId="27F5FB05" w14:textId="77777777" w:rsidR="00BF2F38" w:rsidRPr="00BF2F38" w:rsidRDefault="00BF2F38"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360" w:right="360"/>
        <w:jc w:val="both"/>
        <w:rPr>
          <w:rFonts w:asciiTheme="majorHAnsi" w:hAnsiTheme="majorHAnsi"/>
          <w:sz w:val="18"/>
          <w:szCs w:val="18"/>
          <w:lang w:val="es-EC"/>
        </w:rPr>
      </w:pPr>
    </w:p>
    <w:p w14:paraId="22ABC955" w14:textId="31DC6506" w:rsidR="000A6DFC" w:rsidRPr="000A6DFC" w:rsidRDefault="000A6DFC"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0A6DFC">
        <w:rPr>
          <w:rFonts w:asciiTheme="majorHAnsi" w:hAnsiTheme="majorHAnsi"/>
          <w:sz w:val="20"/>
          <w:szCs w:val="20"/>
          <w:lang w:val="es-ES"/>
        </w:rPr>
        <w:t>La Comisión Interamericana revisará, por lo tanto, las alegaciones de los peticionarios en el presente caso con un nivel</w:t>
      </w:r>
      <w:r w:rsidR="00693E4A">
        <w:rPr>
          <w:rFonts w:asciiTheme="majorHAnsi" w:hAnsiTheme="majorHAnsi"/>
          <w:sz w:val="20"/>
          <w:szCs w:val="20"/>
          <w:lang w:val="es-ES"/>
        </w:rPr>
        <w:t xml:space="preserve"> elevado</w:t>
      </w:r>
      <w:r w:rsidRPr="000A6DFC">
        <w:rPr>
          <w:rFonts w:asciiTheme="majorHAnsi" w:hAnsiTheme="majorHAnsi"/>
          <w:sz w:val="20"/>
          <w:szCs w:val="20"/>
          <w:lang w:val="es-ES"/>
        </w:rPr>
        <w:t xml:space="preserve"> de escrutinio para garantizar, en particular, que los derechos a la vida, </w:t>
      </w:r>
      <w:r w:rsidR="00693E4A">
        <w:rPr>
          <w:rFonts w:asciiTheme="majorHAnsi" w:hAnsiTheme="majorHAnsi"/>
          <w:sz w:val="20"/>
          <w:szCs w:val="20"/>
          <w:lang w:val="es-ES"/>
        </w:rPr>
        <w:t>la prohibición de penas crueles, infamantes o inusitadas</w:t>
      </w:r>
      <w:r w:rsidR="0000756F">
        <w:rPr>
          <w:rFonts w:asciiTheme="majorHAnsi" w:hAnsiTheme="majorHAnsi"/>
          <w:sz w:val="20"/>
          <w:szCs w:val="20"/>
          <w:lang w:val="es-ES"/>
        </w:rPr>
        <w:t>, así como el derecho a un proceso regular</w:t>
      </w:r>
      <w:r w:rsidR="00693E4A">
        <w:rPr>
          <w:rFonts w:asciiTheme="majorHAnsi" w:hAnsiTheme="majorHAnsi"/>
          <w:sz w:val="20"/>
          <w:szCs w:val="20"/>
          <w:lang w:val="es-ES"/>
        </w:rPr>
        <w:t xml:space="preserve"> y a un juicio justo, como se estipulan </w:t>
      </w:r>
      <w:r w:rsidRPr="000A6DFC">
        <w:rPr>
          <w:rFonts w:asciiTheme="majorHAnsi" w:hAnsiTheme="majorHAnsi"/>
          <w:sz w:val="20"/>
          <w:szCs w:val="20"/>
          <w:lang w:val="es-ES"/>
        </w:rPr>
        <w:t>en la Declaración Americana hayan sido respetados por el Estado. Con respecto al estatus legal de la Declaración Americana, la CIDH reitera que</w:t>
      </w:r>
      <w:r w:rsidR="007026DA" w:rsidRPr="00DE2580">
        <w:rPr>
          <w:rFonts w:asciiTheme="majorHAnsi" w:eastAsia="Cambria" w:hAnsiTheme="majorHAnsi" w:cs="Cambria"/>
          <w:sz w:val="18"/>
          <w:szCs w:val="18"/>
          <w:vertAlign w:val="superscript"/>
        </w:rPr>
        <w:footnoteReference w:id="28"/>
      </w:r>
      <w:r w:rsidRPr="000A6DFC">
        <w:rPr>
          <w:rFonts w:asciiTheme="majorHAnsi" w:hAnsiTheme="majorHAnsi"/>
          <w:sz w:val="20"/>
          <w:szCs w:val="20"/>
          <w:lang w:val="es-ES"/>
        </w:rPr>
        <w:t>:</w:t>
      </w:r>
    </w:p>
    <w:p w14:paraId="3357858A" w14:textId="77777777" w:rsidR="000A6DFC" w:rsidRPr="000A6DFC" w:rsidRDefault="000A6DFC" w:rsidP="000A6DF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eastAsia="Cambria" w:hAnsiTheme="majorHAnsi" w:cs="Cambria"/>
          <w:sz w:val="20"/>
          <w:szCs w:val="20"/>
          <w:lang w:val="es-ES"/>
        </w:rPr>
      </w:pPr>
    </w:p>
    <w:p w14:paraId="3FAAD9CC" w14:textId="171B14CC" w:rsidR="008E2077" w:rsidRPr="008E2077" w:rsidRDefault="008E2077" w:rsidP="008E2077">
      <w:pPr>
        <w:pStyle w:val="Body"/>
        <w:tabs>
          <w:tab w:val="left" w:pos="630"/>
          <w:tab w:val="left" w:pos="810"/>
          <w:tab w:val="left" w:pos="1890"/>
          <w:tab w:val="left" w:pos="9000"/>
        </w:tabs>
        <w:ind w:left="360" w:right="360"/>
        <w:jc w:val="both"/>
        <w:rPr>
          <w:rFonts w:asciiTheme="majorHAnsi" w:eastAsia="Cambria" w:hAnsiTheme="majorHAnsi" w:cs="Cambria"/>
          <w:sz w:val="18"/>
          <w:szCs w:val="18"/>
          <w:lang w:val="es-ES"/>
        </w:rPr>
      </w:pPr>
      <w:r w:rsidRPr="008E2077">
        <w:rPr>
          <w:rFonts w:asciiTheme="majorHAnsi" w:hAnsiTheme="majorHAnsi"/>
          <w:sz w:val="18"/>
          <w:szCs w:val="18"/>
          <w:lang w:val="es-ES"/>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de los Estados Miembros. El artículo 106 de la Carta de la OEA, sin embargo, no enumera o define esos derechos. La Asamblea General de la OEA, en su noveno período ordinario de sesiones, celebrado en La Paz, Bolivia, en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70F64A2C" w14:textId="77777777" w:rsidR="00E24EEF" w:rsidRPr="000C293C" w:rsidRDefault="00E24EEF" w:rsidP="00F349BC">
      <w:pPr>
        <w:tabs>
          <w:tab w:val="left" w:pos="1890"/>
        </w:tabs>
        <w:suppressAutoHyphens/>
        <w:rPr>
          <w:rFonts w:asciiTheme="majorHAnsi" w:hAnsiTheme="majorHAnsi"/>
          <w:b/>
          <w:sz w:val="20"/>
          <w:szCs w:val="20"/>
          <w:lang w:val="es-ES"/>
        </w:rPr>
      </w:pPr>
    </w:p>
    <w:p w14:paraId="338872B2" w14:textId="04F98A57" w:rsidR="003362C3" w:rsidRPr="000975C0" w:rsidRDefault="008E2077" w:rsidP="00ED2F81">
      <w:pPr>
        <w:pStyle w:val="Heading2"/>
        <w:numPr>
          <w:ilvl w:val="0"/>
          <w:numId w:val="67"/>
        </w:numPr>
        <w:spacing w:before="0"/>
        <w:ind w:left="360"/>
        <w:rPr>
          <w:color w:val="auto"/>
          <w:sz w:val="20"/>
          <w:szCs w:val="20"/>
          <w:lang w:val="es-ES"/>
        </w:rPr>
      </w:pPr>
      <w:bookmarkStart w:id="24" w:name="_Toc22826182"/>
      <w:bookmarkStart w:id="25" w:name="_Toc150529897"/>
      <w:r w:rsidRPr="000975C0">
        <w:rPr>
          <w:color w:val="auto"/>
          <w:sz w:val="20"/>
          <w:szCs w:val="20"/>
          <w:lang w:val="es-ES"/>
        </w:rPr>
        <w:lastRenderedPageBreak/>
        <w:t>Derecho de justicia</w:t>
      </w:r>
      <w:r w:rsidR="00E24EEF" w:rsidRPr="00E018FC">
        <w:rPr>
          <w:rStyle w:val="FootnoteReference"/>
          <w:rFonts w:ascii="Cambria" w:eastAsia="Cambria" w:hAnsi="Cambria"/>
          <w:bCs w:val="0"/>
          <w:color w:val="000000"/>
          <w:sz w:val="20"/>
          <w:szCs w:val="24"/>
          <w:u w:color="000000"/>
          <w:lang w:eastAsia="es-ES"/>
        </w:rPr>
        <w:footnoteReference w:id="29"/>
      </w:r>
      <w:r w:rsidR="00E24EEF" w:rsidRPr="000975C0">
        <w:rPr>
          <w:color w:val="auto"/>
          <w:sz w:val="20"/>
          <w:szCs w:val="20"/>
          <w:lang w:val="es-ES"/>
        </w:rPr>
        <w:t xml:space="preserve"> </w:t>
      </w:r>
      <w:r w:rsidRPr="000975C0">
        <w:rPr>
          <w:color w:val="auto"/>
          <w:sz w:val="20"/>
          <w:szCs w:val="20"/>
          <w:lang w:val="es-ES"/>
        </w:rPr>
        <w:t>y derecho a proceso regular</w:t>
      </w:r>
      <w:r w:rsidR="00E24EEF" w:rsidRPr="00E018FC">
        <w:rPr>
          <w:rStyle w:val="FootnoteReference"/>
          <w:rFonts w:ascii="Cambria" w:eastAsia="Cambria" w:hAnsi="Cambria"/>
          <w:bCs w:val="0"/>
          <w:color w:val="000000"/>
          <w:sz w:val="20"/>
          <w:szCs w:val="24"/>
          <w:u w:color="000000"/>
          <w:lang w:eastAsia="es-ES"/>
        </w:rPr>
        <w:footnoteReference w:id="30"/>
      </w:r>
      <w:bookmarkEnd w:id="24"/>
      <w:bookmarkEnd w:id="25"/>
      <w:r w:rsidR="00E24EEF" w:rsidRPr="000975C0">
        <w:rPr>
          <w:color w:val="auto"/>
          <w:sz w:val="20"/>
          <w:szCs w:val="20"/>
          <w:lang w:val="es-ES"/>
        </w:rPr>
        <w:t xml:space="preserve">  </w:t>
      </w:r>
      <w:r w:rsidR="009B7A99" w:rsidRPr="000975C0">
        <w:rPr>
          <w:color w:val="auto"/>
          <w:sz w:val="20"/>
          <w:szCs w:val="20"/>
          <w:lang w:val="es-ES"/>
        </w:rPr>
        <w:t xml:space="preserve"> </w:t>
      </w:r>
    </w:p>
    <w:p w14:paraId="1BE0E970" w14:textId="77777777" w:rsidR="00E018FC" w:rsidRDefault="00E018FC" w:rsidP="00E018FC">
      <w:pPr>
        <w:pStyle w:val="Heading3"/>
        <w:spacing w:before="0"/>
        <w:rPr>
          <w:color w:val="auto"/>
          <w:sz w:val="20"/>
          <w:szCs w:val="20"/>
          <w:lang w:val="es-ES"/>
        </w:rPr>
      </w:pPr>
      <w:bookmarkStart w:id="26" w:name="_Toc22826183"/>
    </w:p>
    <w:p w14:paraId="14A4E21F" w14:textId="1DDE0223" w:rsidR="00ED62B2" w:rsidRPr="00E018FC" w:rsidRDefault="002A39B9" w:rsidP="00E018FC">
      <w:pPr>
        <w:pStyle w:val="Heading3"/>
        <w:numPr>
          <w:ilvl w:val="1"/>
          <w:numId w:val="53"/>
        </w:numPr>
        <w:spacing w:before="0"/>
        <w:ind w:left="360"/>
        <w:rPr>
          <w:color w:val="auto"/>
          <w:sz w:val="20"/>
          <w:szCs w:val="20"/>
          <w:lang w:val="es-ES"/>
        </w:rPr>
      </w:pPr>
      <w:bookmarkStart w:id="27" w:name="_Toc150529898"/>
      <w:r w:rsidRPr="00E018FC">
        <w:rPr>
          <w:color w:val="auto"/>
          <w:sz w:val="20"/>
          <w:szCs w:val="20"/>
          <w:lang w:val="es-ES"/>
        </w:rPr>
        <w:t>Asistencia ineficaz de</w:t>
      </w:r>
      <w:r w:rsidR="000A20F7" w:rsidRPr="00E018FC">
        <w:rPr>
          <w:color w:val="auto"/>
          <w:sz w:val="20"/>
          <w:szCs w:val="20"/>
          <w:lang w:val="es-ES"/>
        </w:rPr>
        <w:t xml:space="preserve">l abogado </w:t>
      </w:r>
      <w:r w:rsidR="00ED62B2" w:rsidRPr="00E018FC">
        <w:rPr>
          <w:color w:val="auto"/>
          <w:sz w:val="20"/>
          <w:szCs w:val="20"/>
          <w:lang w:val="es-ES"/>
        </w:rPr>
        <w:t>de oficio</w:t>
      </w:r>
      <w:bookmarkEnd w:id="27"/>
    </w:p>
    <w:p w14:paraId="7E1F37E4" w14:textId="77777777" w:rsidR="007026DA" w:rsidRDefault="007026DA" w:rsidP="0040547A">
      <w:pPr>
        <w:pStyle w:val="Heading2"/>
        <w:tabs>
          <w:tab w:val="left" w:pos="1890"/>
        </w:tabs>
        <w:spacing w:before="0"/>
        <w:jc w:val="both"/>
        <w:rPr>
          <w:rFonts w:ascii="Cambria" w:eastAsia="Cambria" w:hAnsi="Cambria" w:cs="Cambria"/>
          <w:b w:val="0"/>
          <w:bCs w:val="0"/>
          <w:color w:val="000000"/>
          <w:sz w:val="20"/>
          <w:szCs w:val="24"/>
          <w:u w:color="000000"/>
          <w:lang w:val="es-ES" w:eastAsia="es-ES"/>
        </w:rPr>
      </w:pPr>
    </w:p>
    <w:bookmarkEnd w:id="26"/>
    <w:p w14:paraId="11543428" w14:textId="77777777" w:rsidR="00547C5D" w:rsidRPr="0040547A" w:rsidRDefault="00547C5D" w:rsidP="00ED2F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firstLine="0"/>
        <w:jc w:val="both"/>
        <w:rPr>
          <w:sz w:val="20"/>
          <w:lang w:val="es-ES"/>
        </w:rPr>
      </w:pPr>
      <w:r w:rsidRPr="0040547A">
        <w:rPr>
          <w:sz w:val="20"/>
          <w:lang w:val="es-ES"/>
        </w:rPr>
        <w:t xml:space="preserve">La asistencia legal adecuada es un componente esencial del derecho a un juicio </w:t>
      </w:r>
      <w:r w:rsidR="00CF2156" w:rsidRPr="0040547A">
        <w:rPr>
          <w:sz w:val="20"/>
          <w:lang w:val="es-ES"/>
        </w:rPr>
        <w:t>imparcial</w:t>
      </w:r>
      <w:r w:rsidRPr="0040547A">
        <w:rPr>
          <w:sz w:val="20"/>
          <w:lang w:val="es-ES"/>
        </w:rPr>
        <w:t xml:space="preserve">. </w:t>
      </w:r>
      <w:r w:rsidR="002A7ACE" w:rsidRPr="0040547A">
        <w:rPr>
          <w:sz w:val="20"/>
          <w:lang w:val="es-ES"/>
        </w:rPr>
        <w:t xml:space="preserve"> La CIDH señala que: “el derecho al debido proceso y al juicio justo incluye el derecho a recursos adecuados para la preparación de la defensa y a una adecuada asistencia legal.”</w:t>
      </w:r>
      <w:r w:rsidR="002A7ACE" w:rsidRPr="0040547A">
        <w:rPr>
          <w:rStyle w:val="FootnoteReference"/>
          <w:sz w:val="20"/>
        </w:rPr>
        <w:footnoteReference w:id="31"/>
      </w:r>
      <w:r w:rsidR="002A7ACE" w:rsidRPr="0040547A">
        <w:rPr>
          <w:sz w:val="20"/>
          <w:lang w:val="es-ES"/>
        </w:rPr>
        <w:t xml:space="preserve"> Según 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w:t>
      </w:r>
      <w:r w:rsidR="004455F2" w:rsidRPr="0040547A">
        <w:rPr>
          <w:sz w:val="20"/>
          <w:lang w:val="es-ES"/>
        </w:rPr>
        <w:t>, éstas están obligadas a intervenir […].</w:t>
      </w:r>
      <w:r w:rsidR="002D2782" w:rsidRPr="0040547A">
        <w:rPr>
          <w:sz w:val="20"/>
          <w:lang w:val="es-ES"/>
        </w:rPr>
        <w:t xml:space="preserve">  </w:t>
      </w:r>
      <w:r w:rsidR="002A7ACE" w:rsidRPr="0040547A">
        <w:rPr>
          <w:sz w:val="20"/>
          <w:lang w:val="es-ES"/>
        </w:rPr>
        <w:t xml:space="preserve">El cumplimiento rigoroso del derecho de recibir </w:t>
      </w:r>
      <w:r w:rsidR="00002626" w:rsidRPr="0040547A">
        <w:rPr>
          <w:sz w:val="20"/>
          <w:lang w:val="es-ES"/>
        </w:rPr>
        <w:t>una representación legal</w:t>
      </w:r>
      <w:r w:rsidR="002A7ACE" w:rsidRPr="0040547A">
        <w:rPr>
          <w:sz w:val="20"/>
          <w:lang w:val="es-ES"/>
        </w:rPr>
        <w:t xml:space="preserve"> competente es impuesto por la posibilidad de la aplicación de la pena de muerte.</w:t>
      </w:r>
      <w:r w:rsidR="007060B5" w:rsidRPr="0040547A">
        <w:rPr>
          <w:sz w:val="20"/>
          <w:lang w:val="es-ES"/>
        </w:rPr>
        <w:t xml:space="preserve">” </w:t>
      </w:r>
      <w:r w:rsidR="007060B5" w:rsidRPr="0040547A">
        <w:rPr>
          <w:rStyle w:val="FootnoteReference"/>
          <w:sz w:val="20"/>
        </w:rPr>
        <w:footnoteReference w:id="32"/>
      </w:r>
    </w:p>
    <w:p w14:paraId="66618F30" w14:textId="77777777" w:rsidR="00DA6106" w:rsidRPr="000C293C" w:rsidRDefault="00DA6106" w:rsidP="00F349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jc w:val="both"/>
        <w:rPr>
          <w:sz w:val="20"/>
          <w:lang w:val="es-ES"/>
        </w:rPr>
      </w:pPr>
    </w:p>
    <w:p w14:paraId="06A92A66" w14:textId="3D0529A4" w:rsidR="00DA6106" w:rsidRDefault="00C160D2" w:rsidP="00ED2F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firstLine="0"/>
        <w:jc w:val="both"/>
        <w:rPr>
          <w:sz w:val="20"/>
          <w:lang w:val="es-ES"/>
        </w:rPr>
      </w:pPr>
      <w:r w:rsidRPr="00C160D2">
        <w:rPr>
          <w:sz w:val="20"/>
          <w:lang w:val="es-ES"/>
        </w:rPr>
        <w:t xml:space="preserve">El nombramiento de un abogado por parte del estado no garantiza, </w:t>
      </w:r>
      <w:r>
        <w:rPr>
          <w:sz w:val="20"/>
          <w:lang w:val="es-ES"/>
        </w:rPr>
        <w:t>de por sí,</w:t>
      </w:r>
      <w:r w:rsidRPr="00C160D2">
        <w:rPr>
          <w:sz w:val="20"/>
          <w:lang w:val="es-ES"/>
        </w:rPr>
        <w:t xml:space="preserve"> </w:t>
      </w:r>
      <w:r w:rsidR="0055033A">
        <w:rPr>
          <w:sz w:val="20"/>
          <w:lang w:val="es-ES"/>
        </w:rPr>
        <w:t>la asistencia</w:t>
      </w:r>
      <w:r>
        <w:rPr>
          <w:sz w:val="20"/>
          <w:lang w:val="es-ES"/>
        </w:rPr>
        <w:t xml:space="preserve"> eficaz</w:t>
      </w:r>
      <w:r w:rsidRPr="00C160D2">
        <w:rPr>
          <w:sz w:val="20"/>
          <w:lang w:val="es-ES"/>
        </w:rPr>
        <w:t xml:space="preserve"> d</w:t>
      </w:r>
      <w:r w:rsidR="00C317B3">
        <w:rPr>
          <w:sz w:val="20"/>
          <w:lang w:val="es-ES"/>
        </w:rPr>
        <w:t>e</w:t>
      </w:r>
      <w:r w:rsidR="0055033A">
        <w:rPr>
          <w:sz w:val="20"/>
          <w:lang w:val="es-ES"/>
        </w:rPr>
        <w:t xml:space="preserve"> </w:t>
      </w:r>
      <w:r w:rsidR="00C317B3">
        <w:rPr>
          <w:sz w:val="20"/>
          <w:lang w:val="es-ES"/>
        </w:rPr>
        <w:t>l</w:t>
      </w:r>
      <w:r w:rsidR="0055033A">
        <w:rPr>
          <w:sz w:val="20"/>
          <w:lang w:val="es-ES"/>
        </w:rPr>
        <w:t xml:space="preserve">a defensa letrada. </w:t>
      </w:r>
      <w:r w:rsidRPr="00C160D2">
        <w:rPr>
          <w:sz w:val="20"/>
          <w:lang w:val="es-ES"/>
        </w:rPr>
        <w:t>Al mismo tiempo, si bien el Estado</w:t>
      </w:r>
      <w:r>
        <w:rPr>
          <w:sz w:val="20"/>
          <w:lang w:val="es-ES"/>
        </w:rPr>
        <w:t xml:space="preserve"> tiene la responsabilidad </w:t>
      </w:r>
      <w:r w:rsidRPr="00C160D2">
        <w:rPr>
          <w:sz w:val="20"/>
          <w:lang w:val="es-ES"/>
        </w:rPr>
        <w:t>de garantizar que dicha asistencia sea ef</w:t>
      </w:r>
      <w:r w:rsidR="00C317B3">
        <w:rPr>
          <w:sz w:val="20"/>
          <w:lang w:val="es-ES"/>
        </w:rPr>
        <w:t>icaz</w:t>
      </w:r>
      <w:r w:rsidRPr="00C160D2">
        <w:rPr>
          <w:sz w:val="20"/>
          <w:lang w:val="es-ES"/>
        </w:rPr>
        <w:t xml:space="preserve">, no es responsable de lo que pueda entenderse como decisiones de estrategia o </w:t>
      </w:r>
      <w:r>
        <w:rPr>
          <w:sz w:val="20"/>
          <w:lang w:val="es-ES"/>
        </w:rPr>
        <w:t xml:space="preserve">por todas las </w:t>
      </w:r>
      <w:r w:rsidR="0004475F">
        <w:rPr>
          <w:sz w:val="20"/>
          <w:lang w:val="es-ES"/>
        </w:rPr>
        <w:t>posibles</w:t>
      </w:r>
      <w:r w:rsidR="0004475F" w:rsidRPr="00C160D2">
        <w:rPr>
          <w:sz w:val="20"/>
          <w:lang w:val="es-ES"/>
        </w:rPr>
        <w:t xml:space="preserve"> deficiencias</w:t>
      </w:r>
      <w:r w:rsidRPr="00C160D2">
        <w:rPr>
          <w:sz w:val="20"/>
          <w:lang w:val="es-ES"/>
        </w:rPr>
        <w:t>.</w:t>
      </w:r>
      <w:r w:rsidR="00A91FA2">
        <w:rPr>
          <w:sz w:val="20"/>
          <w:lang w:val="es-ES"/>
        </w:rPr>
        <w:t xml:space="preserve"> </w:t>
      </w:r>
      <w:r w:rsidR="0004475F">
        <w:rPr>
          <w:sz w:val="20"/>
          <w:lang w:val="es-ES"/>
        </w:rPr>
        <w:t>Más bien,</w:t>
      </w:r>
      <w:r w:rsidRPr="00C160D2">
        <w:rPr>
          <w:sz w:val="20"/>
          <w:lang w:val="es-ES"/>
        </w:rPr>
        <w:t xml:space="preserve"> la Comisión debe evaluar si la asistencia del abogado fue ef</w:t>
      </w:r>
      <w:r w:rsidR="00A91FA2">
        <w:rPr>
          <w:sz w:val="20"/>
          <w:lang w:val="es-ES"/>
        </w:rPr>
        <w:t>icaz en el c</w:t>
      </w:r>
      <w:r w:rsidRPr="00C160D2">
        <w:rPr>
          <w:sz w:val="20"/>
          <w:lang w:val="es-ES"/>
        </w:rPr>
        <w:t>ontexto general del proceso y teniendo en cuenta los intereses específicos en juego</w:t>
      </w:r>
      <w:r w:rsidR="00CA545D" w:rsidRPr="00C94522">
        <w:rPr>
          <w:rStyle w:val="FootnoteReference"/>
          <w:sz w:val="20"/>
        </w:rPr>
        <w:footnoteReference w:id="33"/>
      </w:r>
      <w:r w:rsidR="007026DA" w:rsidRPr="0040547A">
        <w:rPr>
          <w:sz w:val="20"/>
          <w:lang w:val="es-ES"/>
        </w:rPr>
        <w:t>.</w:t>
      </w:r>
    </w:p>
    <w:p w14:paraId="3F0C7430" w14:textId="77777777" w:rsidR="007026DA" w:rsidRPr="0040547A" w:rsidRDefault="007026DA" w:rsidP="004054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jc w:val="both"/>
        <w:rPr>
          <w:sz w:val="20"/>
          <w:lang w:val="es-ES"/>
        </w:rPr>
      </w:pPr>
    </w:p>
    <w:p w14:paraId="22CC3731" w14:textId="563E18A5" w:rsidR="005E19D5" w:rsidRPr="005E19D5" w:rsidRDefault="005E19D5" w:rsidP="00ED2F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firstLine="0"/>
        <w:jc w:val="both"/>
        <w:rPr>
          <w:sz w:val="20"/>
          <w:lang w:val="es-ES"/>
        </w:rPr>
      </w:pPr>
      <w:r w:rsidRPr="005E19D5">
        <w:rPr>
          <w:sz w:val="20"/>
          <w:lang w:val="es-ES"/>
        </w:rPr>
        <w:t>La Comisión ha establecido q</w:t>
      </w:r>
      <w:r>
        <w:rPr>
          <w:sz w:val="20"/>
          <w:lang w:val="es-ES"/>
        </w:rPr>
        <w:t>ue “</w:t>
      </w:r>
      <w:r w:rsidRPr="005E19D5">
        <w:rPr>
          <w:sz w:val="20"/>
          <w:szCs w:val="20"/>
          <w:lang w:val="es-ES"/>
        </w:rPr>
        <w:t>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DE2580">
        <w:rPr>
          <w:rStyle w:val="FootnoteReference"/>
          <w:sz w:val="20"/>
        </w:rPr>
        <w:footnoteReference w:id="34"/>
      </w:r>
      <w:r w:rsidR="007026DA">
        <w:rPr>
          <w:sz w:val="20"/>
          <w:lang w:val="es-ES"/>
        </w:rPr>
        <w:t xml:space="preserve">. </w:t>
      </w:r>
      <w:r w:rsidR="00980AE8">
        <w:rPr>
          <w:sz w:val="20"/>
          <w:lang w:val="es-ES"/>
        </w:rPr>
        <w:t>La Comisión también ha indicado que las garantías del debido proceso según la Declaración Americana:</w:t>
      </w:r>
    </w:p>
    <w:p w14:paraId="0F6E05C1" w14:textId="77777777" w:rsidR="00DA6106" w:rsidRPr="000C293C" w:rsidRDefault="00DA6106" w:rsidP="00F349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jc w:val="both"/>
        <w:rPr>
          <w:sz w:val="20"/>
          <w:lang w:val="es-ES"/>
        </w:rPr>
      </w:pPr>
    </w:p>
    <w:p w14:paraId="0ADF8460" w14:textId="77777777" w:rsidR="0052217A" w:rsidRPr="0052217A" w:rsidRDefault="0052217A" w:rsidP="005221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360" w:right="360"/>
        <w:jc w:val="both"/>
        <w:rPr>
          <w:sz w:val="18"/>
          <w:szCs w:val="18"/>
          <w:lang w:val="es-ES"/>
        </w:rPr>
      </w:pPr>
      <w:r w:rsidRPr="0052217A">
        <w:rPr>
          <w:sz w:val="18"/>
          <w:szCs w:val="18"/>
          <w:lang w:val="es-ES"/>
        </w:rPr>
        <w:t>garantizan la posibilidad de presentar alegatos y pruebas sobre si la pena de muerte puede no ser permisible o adecuada a las circunstancias de su caso, frente a consideraciones tales como el carácter e historial de delincuente, los factores subjetivos que podrían haber motivado su conducta, el diseño y la forma de ejecución del delito en cuestión y la posibilidad de reforma y readaptación social del delincuente.</w:t>
      </w:r>
      <w:r w:rsidRPr="00DE2580">
        <w:rPr>
          <w:rStyle w:val="FootnoteReference"/>
          <w:sz w:val="18"/>
          <w:szCs w:val="18"/>
        </w:rPr>
        <w:footnoteReference w:id="35"/>
      </w:r>
    </w:p>
    <w:p w14:paraId="3BE60063" w14:textId="77777777" w:rsidR="0052217A" w:rsidRPr="0052217A" w:rsidRDefault="0052217A" w:rsidP="00F349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360" w:right="360"/>
        <w:jc w:val="both"/>
        <w:rPr>
          <w:sz w:val="18"/>
          <w:szCs w:val="18"/>
          <w:lang w:val="es-ES"/>
        </w:rPr>
      </w:pPr>
    </w:p>
    <w:p w14:paraId="01A9A192" w14:textId="02B74259" w:rsidR="0014075D" w:rsidRPr="00991AEA" w:rsidRDefault="0014075D" w:rsidP="00ED2F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firstLine="0"/>
        <w:jc w:val="both"/>
        <w:rPr>
          <w:rFonts w:asciiTheme="majorHAnsi" w:hAnsiTheme="majorHAnsi"/>
          <w:sz w:val="20"/>
          <w:szCs w:val="20"/>
          <w:lang w:val="es-ES"/>
        </w:rPr>
      </w:pPr>
      <w:r w:rsidRPr="0014075D">
        <w:rPr>
          <w:sz w:val="20"/>
          <w:lang w:val="es-ES"/>
        </w:rPr>
        <w:t>Cabe señalar que la naturaleza fundamental de esta garantía se h</w:t>
      </w:r>
      <w:r>
        <w:rPr>
          <w:sz w:val="20"/>
          <w:lang w:val="es-ES"/>
        </w:rPr>
        <w:t xml:space="preserve">a reflejado en las directrices de práctica para abogados. El </w:t>
      </w:r>
      <w:r w:rsidR="00020344">
        <w:rPr>
          <w:sz w:val="20"/>
          <w:lang w:val="es-ES"/>
        </w:rPr>
        <w:t>Colegio de Abogados de los Estados Unidos [</w:t>
      </w:r>
      <w:r w:rsidRPr="0014075D">
        <w:rPr>
          <w:i/>
          <w:iCs/>
          <w:sz w:val="20"/>
          <w:lang w:val="es-ES"/>
        </w:rPr>
        <w:t>American Bar Association</w:t>
      </w:r>
      <w:r w:rsidR="00020344">
        <w:rPr>
          <w:sz w:val="20"/>
          <w:lang w:val="es-ES"/>
        </w:rPr>
        <w:t>]</w:t>
      </w:r>
      <w:r>
        <w:rPr>
          <w:sz w:val="20"/>
          <w:lang w:val="es-ES"/>
        </w:rPr>
        <w:t xml:space="preserve"> elaboró y </w:t>
      </w:r>
      <w:r w:rsidR="00863454">
        <w:rPr>
          <w:sz w:val="20"/>
          <w:lang w:val="es-ES"/>
        </w:rPr>
        <w:t>aprobó</w:t>
      </w:r>
      <w:r>
        <w:rPr>
          <w:sz w:val="20"/>
          <w:lang w:val="es-ES"/>
        </w:rPr>
        <w:t xml:space="preserve"> directrices y comentarios </w:t>
      </w:r>
      <w:r w:rsidR="00991AEA">
        <w:rPr>
          <w:sz w:val="20"/>
          <w:lang w:val="es-ES"/>
        </w:rPr>
        <w:t>conexos</w:t>
      </w:r>
      <w:r>
        <w:rPr>
          <w:sz w:val="20"/>
          <w:lang w:val="es-ES"/>
        </w:rPr>
        <w:t xml:space="preserve"> que subrayan la importancia de investigar y presentar pruebas atenuantes en casos de pena de muerte.</w:t>
      </w:r>
      <w:r w:rsidRPr="00D2761D">
        <w:rPr>
          <w:rStyle w:val="FootnoteReference"/>
          <w:sz w:val="20"/>
          <w:lang w:val="es-ES"/>
        </w:rPr>
        <w:t xml:space="preserve"> </w:t>
      </w:r>
      <w:r w:rsidRPr="00DE2580">
        <w:rPr>
          <w:rStyle w:val="FootnoteReference"/>
          <w:sz w:val="20"/>
        </w:rPr>
        <w:footnoteReference w:id="36"/>
      </w:r>
      <w:r w:rsidR="00D2761D" w:rsidRPr="00D2761D">
        <w:rPr>
          <w:sz w:val="20"/>
          <w:lang w:val="es-ES"/>
        </w:rPr>
        <w:t xml:space="preserve"> </w:t>
      </w:r>
      <w:r w:rsidR="00D2761D">
        <w:rPr>
          <w:sz w:val="20"/>
          <w:lang w:val="es-ES"/>
        </w:rPr>
        <w:t>De conformidad con esas directrices, el deber del abogado en los Estados Unidos de investigar y presentar pruebas atenuantes</w:t>
      </w:r>
      <w:r w:rsidR="00353B65">
        <w:rPr>
          <w:sz w:val="20"/>
          <w:lang w:val="es-ES"/>
        </w:rPr>
        <w:t xml:space="preserve"> </w:t>
      </w:r>
      <w:r w:rsidR="00991AEA">
        <w:rPr>
          <w:sz w:val="20"/>
          <w:lang w:val="es-ES"/>
        </w:rPr>
        <w:t xml:space="preserve">es ahora un deber consagrado </w:t>
      </w:r>
      <w:r w:rsidR="00991AEA" w:rsidRPr="00991AEA">
        <w:rPr>
          <w:rFonts w:asciiTheme="majorHAnsi" w:hAnsiTheme="majorHAnsi"/>
          <w:sz w:val="20"/>
          <w:lang w:val="es-ES"/>
        </w:rPr>
        <w:t xml:space="preserve">y </w:t>
      </w:r>
      <w:r w:rsidR="003A5EB5">
        <w:rPr>
          <w:rFonts w:asciiTheme="majorHAnsi" w:hAnsiTheme="majorHAnsi"/>
          <w:sz w:val="20"/>
          <w:lang w:val="es-ES"/>
        </w:rPr>
        <w:t>“</w:t>
      </w:r>
      <w:r w:rsidR="00991AEA" w:rsidRPr="00991AEA">
        <w:rPr>
          <w:rFonts w:asciiTheme="majorHAnsi" w:hAnsiTheme="majorHAnsi" w:cs="Arial"/>
          <w:sz w:val="20"/>
          <w:szCs w:val="20"/>
          <w:lang w:val="es-ES"/>
        </w:rPr>
        <w:t xml:space="preserve">[d]ebido a que el juez que dicta sentencia en un caso de pena de muerte debe considerar entre los atenuantes cualquier aspecto de la vida del acusado que vaya en contra de la procedencia de la pena de muerte para el acusado”, los preparativos para la etapa de la sentencia requieren una investigación extensa y generalmente incomparable de los antecedentes </w:t>
      </w:r>
      <w:r w:rsidR="00991AEA" w:rsidRPr="00991AEA">
        <w:rPr>
          <w:rFonts w:asciiTheme="majorHAnsi" w:hAnsiTheme="majorHAnsi" w:cs="Arial"/>
          <w:sz w:val="20"/>
          <w:szCs w:val="20"/>
          <w:lang w:val="es-ES"/>
        </w:rPr>
        <w:lastRenderedPageBreak/>
        <w:t>personales y familiares</w:t>
      </w:r>
      <w:r w:rsidR="00991AEA">
        <w:rPr>
          <w:rFonts w:asciiTheme="majorHAnsi" w:hAnsiTheme="majorHAnsi" w:cs="Arial"/>
          <w:sz w:val="20"/>
          <w:szCs w:val="20"/>
          <w:lang w:val="es-ES"/>
        </w:rPr>
        <w:t>.</w:t>
      </w:r>
      <w:r w:rsidR="00991AEA" w:rsidRPr="00991AEA">
        <w:rPr>
          <w:rStyle w:val="FootnoteReference"/>
          <w:sz w:val="20"/>
        </w:rPr>
        <w:footnoteReference w:id="37"/>
      </w:r>
      <w:r w:rsidR="00991AEA" w:rsidRPr="00991AEA">
        <w:rPr>
          <w:rFonts w:asciiTheme="majorHAnsi" w:hAnsiTheme="majorHAnsi" w:cs="Arial"/>
          <w:sz w:val="20"/>
          <w:szCs w:val="20"/>
          <w:lang w:val="es-ES"/>
        </w:rPr>
        <w:t xml:space="preserve"> Las</w:t>
      </w:r>
      <w:r w:rsidR="00991AEA">
        <w:rPr>
          <w:rFonts w:asciiTheme="majorHAnsi" w:hAnsiTheme="majorHAnsi" w:cs="Arial"/>
          <w:sz w:val="20"/>
          <w:szCs w:val="20"/>
          <w:lang w:val="es-ES"/>
        </w:rPr>
        <w:t xml:space="preserve"> directrices también recalcan que </w:t>
      </w:r>
      <w:r w:rsidR="00991AEA" w:rsidRPr="00991AEA">
        <w:rPr>
          <w:rFonts w:asciiTheme="majorHAnsi" w:hAnsiTheme="majorHAnsi" w:cs="Arial"/>
          <w:sz w:val="20"/>
          <w:szCs w:val="20"/>
          <w:lang w:val="es-ES"/>
        </w:rPr>
        <w:t>“la investigación de los atenuantes debe comenzar cuanto antes, porque podría influir en la investigación de las defensas de la primera etapa (por ejemplo, al revelar otros asuntos sobre los cuales se podría interrogar a los agentes de policía o a otros testigos), las decisiones sobre la necesidad de peritajes (incluida la competencia, el retraso mental o la demencia), la presentación de mociones y las negociaciones relativas a la contestación a la acusación</w:t>
      </w:r>
      <w:r w:rsidR="001F16C8">
        <w:rPr>
          <w:rFonts w:asciiTheme="majorHAnsi" w:hAnsiTheme="majorHAnsi" w:cs="Arial"/>
          <w:sz w:val="20"/>
          <w:szCs w:val="20"/>
          <w:lang w:val="es-ES"/>
        </w:rPr>
        <w:t>.”</w:t>
      </w:r>
      <w:r w:rsidR="001F16C8" w:rsidRPr="00DE2580">
        <w:rPr>
          <w:rStyle w:val="FootnoteReference"/>
          <w:sz w:val="20"/>
        </w:rPr>
        <w:footnoteReference w:id="38"/>
      </w:r>
    </w:p>
    <w:p w14:paraId="63A81C14" w14:textId="77777777" w:rsidR="0014075D" w:rsidRDefault="0014075D" w:rsidP="0014075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jc w:val="both"/>
        <w:rPr>
          <w:sz w:val="20"/>
          <w:lang w:val="es-ES"/>
        </w:rPr>
      </w:pPr>
    </w:p>
    <w:p w14:paraId="434A1464" w14:textId="77777777" w:rsidR="005E6564" w:rsidRPr="001B3895" w:rsidRDefault="005E6564"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5E6564">
        <w:rPr>
          <w:rFonts w:asciiTheme="majorHAnsi" w:eastAsia="Cambria" w:hAnsiTheme="majorHAnsi" w:cs="Cambria"/>
          <w:sz w:val="20"/>
          <w:szCs w:val="20"/>
          <w:lang w:val="es-ES"/>
        </w:rPr>
        <w:t>En el presente caso, l</w:t>
      </w:r>
      <w:r>
        <w:rPr>
          <w:rFonts w:asciiTheme="majorHAnsi" w:eastAsia="Cambria" w:hAnsiTheme="majorHAnsi" w:cs="Cambria"/>
          <w:sz w:val="20"/>
          <w:szCs w:val="20"/>
          <w:lang w:val="es-ES"/>
        </w:rPr>
        <w:t xml:space="preserve">a Comisión debe evaluar si la asistencia </w:t>
      </w:r>
      <w:r w:rsidR="008125F1">
        <w:rPr>
          <w:rFonts w:asciiTheme="majorHAnsi" w:eastAsia="Cambria" w:hAnsiTheme="majorHAnsi" w:cs="Cambria"/>
          <w:sz w:val="20"/>
          <w:szCs w:val="20"/>
          <w:lang w:val="es-ES"/>
        </w:rPr>
        <w:t>letra</w:t>
      </w:r>
      <w:r w:rsidR="00852CED">
        <w:rPr>
          <w:rFonts w:asciiTheme="majorHAnsi" w:eastAsia="Cambria" w:hAnsiTheme="majorHAnsi" w:cs="Cambria"/>
          <w:sz w:val="20"/>
          <w:szCs w:val="20"/>
          <w:lang w:val="es-ES"/>
        </w:rPr>
        <w:t>d</w:t>
      </w:r>
      <w:r w:rsidR="008125F1">
        <w:rPr>
          <w:rFonts w:asciiTheme="majorHAnsi" w:eastAsia="Cambria" w:hAnsiTheme="majorHAnsi" w:cs="Cambria"/>
          <w:sz w:val="20"/>
          <w:szCs w:val="20"/>
          <w:lang w:val="es-ES"/>
        </w:rPr>
        <w:t>a</w:t>
      </w:r>
      <w:r>
        <w:rPr>
          <w:rFonts w:asciiTheme="majorHAnsi" w:eastAsia="Cambria" w:hAnsiTheme="majorHAnsi" w:cs="Cambria"/>
          <w:sz w:val="20"/>
          <w:szCs w:val="20"/>
          <w:lang w:val="es-ES"/>
        </w:rPr>
        <w:t xml:space="preserve"> fue eficaz, tomando en cuenta los intereses concretos que se encuentran en juego. En el caso que estamos tratando los intereses en juego incluyeron la aplicación de la pena de muerte y la asistencia letrada debe evaluarse en ese contexto.</w:t>
      </w:r>
    </w:p>
    <w:p w14:paraId="0BFD1F91" w14:textId="77777777" w:rsidR="001B3895" w:rsidRPr="005E6564" w:rsidRDefault="001B3895" w:rsidP="001B389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08B0ABFC" w14:textId="2C8129E9" w:rsidR="00354744" w:rsidRPr="002616C9" w:rsidRDefault="00354744"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2616C9">
        <w:rPr>
          <w:rFonts w:asciiTheme="majorHAnsi" w:hAnsiTheme="majorHAnsi"/>
          <w:sz w:val="20"/>
          <w:szCs w:val="20"/>
          <w:lang w:val="es-ES"/>
        </w:rPr>
        <w:t>L</w:t>
      </w:r>
      <w:r w:rsidR="007026DA">
        <w:rPr>
          <w:rFonts w:asciiTheme="majorHAnsi" w:hAnsiTheme="majorHAnsi"/>
          <w:sz w:val="20"/>
          <w:szCs w:val="20"/>
          <w:lang w:val="es-ES"/>
        </w:rPr>
        <w:t>a parte peticionaria</w:t>
      </w:r>
      <w:r w:rsidRPr="002616C9">
        <w:rPr>
          <w:rFonts w:asciiTheme="majorHAnsi" w:hAnsiTheme="majorHAnsi"/>
          <w:sz w:val="20"/>
          <w:szCs w:val="20"/>
          <w:lang w:val="es-ES"/>
        </w:rPr>
        <w:t xml:space="preserve"> </w:t>
      </w:r>
      <w:r w:rsidR="002616C9" w:rsidRPr="002616C9">
        <w:rPr>
          <w:rFonts w:asciiTheme="majorHAnsi" w:hAnsiTheme="majorHAnsi"/>
          <w:sz w:val="20"/>
          <w:szCs w:val="20"/>
          <w:lang w:val="es-ES"/>
        </w:rPr>
        <w:t>afirma que e</w:t>
      </w:r>
      <w:r w:rsidR="002616C9">
        <w:rPr>
          <w:rFonts w:asciiTheme="majorHAnsi" w:hAnsiTheme="majorHAnsi"/>
          <w:sz w:val="20"/>
          <w:szCs w:val="20"/>
          <w:lang w:val="es-ES"/>
        </w:rPr>
        <w:t>l abogado</w:t>
      </w:r>
      <w:r w:rsidR="00A92178">
        <w:rPr>
          <w:rFonts w:asciiTheme="majorHAnsi" w:hAnsiTheme="majorHAnsi"/>
          <w:sz w:val="20"/>
          <w:szCs w:val="20"/>
          <w:lang w:val="es-ES"/>
        </w:rPr>
        <w:t xml:space="preserve"> que actuó ante los tribunales</w:t>
      </w:r>
      <w:r w:rsidR="002616C9">
        <w:rPr>
          <w:rFonts w:asciiTheme="majorHAnsi" w:hAnsiTheme="majorHAnsi"/>
          <w:sz w:val="20"/>
          <w:szCs w:val="20"/>
          <w:lang w:val="es-ES"/>
        </w:rPr>
        <w:t xml:space="preserve"> no realizó </w:t>
      </w:r>
      <w:r w:rsidR="007C5529">
        <w:rPr>
          <w:rFonts w:asciiTheme="majorHAnsi" w:hAnsiTheme="majorHAnsi"/>
          <w:sz w:val="20"/>
          <w:szCs w:val="20"/>
          <w:lang w:val="es-ES"/>
        </w:rPr>
        <w:t>una</w:t>
      </w:r>
      <w:r w:rsidR="002616C9">
        <w:rPr>
          <w:rFonts w:asciiTheme="majorHAnsi" w:hAnsiTheme="majorHAnsi"/>
          <w:sz w:val="20"/>
          <w:szCs w:val="20"/>
          <w:lang w:val="es-ES"/>
        </w:rPr>
        <w:t xml:space="preserve"> investigación suficiente </w:t>
      </w:r>
      <w:r w:rsidR="008001B0">
        <w:rPr>
          <w:rFonts w:asciiTheme="majorHAnsi" w:hAnsiTheme="majorHAnsi"/>
          <w:sz w:val="20"/>
          <w:szCs w:val="20"/>
          <w:lang w:val="es-ES"/>
        </w:rPr>
        <w:t xml:space="preserve">como </w:t>
      </w:r>
      <w:r w:rsidR="002616C9">
        <w:rPr>
          <w:rFonts w:asciiTheme="majorHAnsi" w:hAnsiTheme="majorHAnsi"/>
          <w:sz w:val="20"/>
          <w:szCs w:val="20"/>
          <w:lang w:val="es-ES"/>
        </w:rPr>
        <w:t>para descubrir pruebas atenuantes importantes con respecto al estado mental del señor Housel</w:t>
      </w:r>
      <w:r w:rsidR="0064088C">
        <w:rPr>
          <w:rFonts w:asciiTheme="majorHAnsi" w:hAnsiTheme="majorHAnsi"/>
          <w:sz w:val="20"/>
          <w:szCs w:val="20"/>
          <w:lang w:val="es-ES"/>
        </w:rPr>
        <w:t xml:space="preserve"> y a su niñez y presentarlas durante la determinación de su sentencia. El Estado, por su parte, afirma que la alegación del peticionario en cuanto a la asistencia letrada ineficaz fue expresamente rechazada </w:t>
      </w:r>
      <w:r w:rsidR="008B3AB3">
        <w:rPr>
          <w:rFonts w:asciiTheme="majorHAnsi" w:hAnsiTheme="majorHAnsi"/>
          <w:sz w:val="20"/>
          <w:szCs w:val="20"/>
          <w:lang w:val="es-ES"/>
        </w:rPr>
        <w:t xml:space="preserve">tanto por la corte </w:t>
      </w:r>
      <w:r w:rsidR="00691118">
        <w:rPr>
          <w:rFonts w:asciiTheme="majorHAnsi" w:hAnsiTheme="majorHAnsi"/>
          <w:sz w:val="20"/>
          <w:szCs w:val="20"/>
          <w:lang w:val="es-ES"/>
        </w:rPr>
        <w:t>estatal</w:t>
      </w:r>
      <w:r w:rsidR="008B3AB3">
        <w:rPr>
          <w:rFonts w:asciiTheme="majorHAnsi" w:hAnsiTheme="majorHAnsi"/>
          <w:sz w:val="20"/>
          <w:szCs w:val="20"/>
          <w:lang w:val="es-ES"/>
        </w:rPr>
        <w:t xml:space="preserve"> como</w:t>
      </w:r>
      <w:r w:rsidR="00BB3899">
        <w:rPr>
          <w:rFonts w:asciiTheme="majorHAnsi" w:hAnsiTheme="majorHAnsi"/>
          <w:sz w:val="20"/>
          <w:szCs w:val="20"/>
          <w:lang w:val="es-ES"/>
        </w:rPr>
        <w:t xml:space="preserve"> por</w:t>
      </w:r>
      <w:r w:rsidR="008B3AB3">
        <w:rPr>
          <w:rFonts w:asciiTheme="majorHAnsi" w:hAnsiTheme="majorHAnsi"/>
          <w:sz w:val="20"/>
          <w:szCs w:val="20"/>
          <w:lang w:val="es-ES"/>
        </w:rPr>
        <w:t xml:space="preserve"> la corte federal que entend</w:t>
      </w:r>
      <w:r w:rsidR="00C949B1">
        <w:rPr>
          <w:rFonts w:asciiTheme="majorHAnsi" w:hAnsiTheme="majorHAnsi"/>
          <w:sz w:val="20"/>
          <w:szCs w:val="20"/>
          <w:lang w:val="es-ES"/>
        </w:rPr>
        <w:t>ieron en el recurso</w:t>
      </w:r>
      <w:r w:rsidR="008B3AB3">
        <w:rPr>
          <w:rFonts w:asciiTheme="majorHAnsi" w:hAnsiTheme="majorHAnsi"/>
          <w:sz w:val="20"/>
          <w:szCs w:val="20"/>
          <w:lang w:val="es-ES"/>
        </w:rPr>
        <w:t xml:space="preserve"> de habeas corpus.</w:t>
      </w:r>
      <w:r w:rsidR="0064088C">
        <w:rPr>
          <w:rFonts w:asciiTheme="majorHAnsi" w:hAnsiTheme="majorHAnsi"/>
          <w:sz w:val="20"/>
          <w:szCs w:val="20"/>
          <w:lang w:val="es-ES"/>
        </w:rPr>
        <w:t xml:space="preserve"> </w:t>
      </w:r>
    </w:p>
    <w:p w14:paraId="7CC29FC3" w14:textId="77777777" w:rsidR="007713BA" w:rsidRPr="000C293C" w:rsidRDefault="007713BA" w:rsidP="00F349BC">
      <w:pPr>
        <w:pStyle w:val="ListParagraph"/>
        <w:tabs>
          <w:tab w:val="left" w:pos="1890"/>
        </w:tabs>
        <w:rPr>
          <w:rFonts w:asciiTheme="majorHAnsi" w:hAnsiTheme="majorHAnsi"/>
          <w:sz w:val="20"/>
          <w:szCs w:val="20"/>
          <w:lang w:val="es-ES"/>
        </w:rPr>
      </w:pPr>
    </w:p>
    <w:p w14:paraId="5177E50A" w14:textId="72319267" w:rsidR="00B9296D" w:rsidRPr="001D1408" w:rsidRDefault="00B9296D"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1D1408">
        <w:rPr>
          <w:rFonts w:asciiTheme="majorHAnsi" w:hAnsiTheme="majorHAnsi"/>
          <w:sz w:val="20"/>
          <w:szCs w:val="20"/>
          <w:lang w:val="es-ES"/>
        </w:rPr>
        <w:t xml:space="preserve">La Comisión observa que la información que consta en </w:t>
      </w:r>
      <w:r w:rsidR="007026DA">
        <w:rPr>
          <w:rFonts w:asciiTheme="majorHAnsi" w:hAnsiTheme="majorHAnsi"/>
          <w:sz w:val="20"/>
          <w:szCs w:val="20"/>
          <w:lang w:val="es-ES"/>
        </w:rPr>
        <w:t>el expediente</w:t>
      </w:r>
      <w:r w:rsidRPr="001D1408">
        <w:rPr>
          <w:rFonts w:asciiTheme="majorHAnsi" w:hAnsiTheme="majorHAnsi"/>
          <w:sz w:val="20"/>
          <w:szCs w:val="20"/>
          <w:lang w:val="es-ES"/>
        </w:rPr>
        <w:t xml:space="preserve"> </w:t>
      </w:r>
      <w:r w:rsidR="00FE3324" w:rsidRPr="001D1408">
        <w:rPr>
          <w:rFonts w:asciiTheme="majorHAnsi" w:hAnsiTheme="majorHAnsi"/>
          <w:sz w:val="20"/>
          <w:szCs w:val="20"/>
          <w:lang w:val="es-ES"/>
        </w:rPr>
        <w:t xml:space="preserve">indica </w:t>
      </w:r>
      <w:r w:rsidRPr="001D1408">
        <w:rPr>
          <w:rFonts w:asciiTheme="majorHAnsi" w:hAnsiTheme="majorHAnsi"/>
          <w:sz w:val="20"/>
          <w:szCs w:val="20"/>
          <w:lang w:val="es-ES"/>
        </w:rPr>
        <w:t>que</w:t>
      </w:r>
      <w:r w:rsidR="00FE3324" w:rsidRPr="001D1408">
        <w:rPr>
          <w:rFonts w:asciiTheme="majorHAnsi" w:hAnsiTheme="majorHAnsi"/>
          <w:sz w:val="20"/>
          <w:szCs w:val="20"/>
          <w:lang w:val="es-ES"/>
        </w:rPr>
        <w:t xml:space="preserve"> en</w:t>
      </w:r>
      <w:r w:rsidRPr="001D1408">
        <w:rPr>
          <w:rFonts w:asciiTheme="majorHAnsi" w:hAnsiTheme="majorHAnsi"/>
          <w:sz w:val="20"/>
          <w:szCs w:val="20"/>
          <w:lang w:val="es-ES"/>
        </w:rPr>
        <w:t xml:space="preserve"> el examen realizado por un psiquiatra</w:t>
      </w:r>
      <w:r>
        <w:rPr>
          <w:rFonts w:asciiTheme="majorHAnsi" w:hAnsiTheme="majorHAnsi"/>
          <w:sz w:val="20"/>
          <w:szCs w:val="20"/>
          <w:lang w:val="es-ES"/>
        </w:rPr>
        <w:t xml:space="preserve"> y neurólogo </w:t>
      </w:r>
      <w:r w:rsidR="00FE3324">
        <w:rPr>
          <w:rFonts w:asciiTheme="majorHAnsi" w:hAnsiTheme="majorHAnsi"/>
          <w:sz w:val="20"/>
          <w:szCs w:val="20"/>
          <w:lang w:val="es-ES"/>
        </w:rPr>
        <w:t>se llegó</w:t>
      </w:r>
      <w:r>
        <w:rPr>
          <w:rFonts w:asciiTheme="majorHAnsi" w:hAnsiTheme="majorHAnsi"/>
          <w:sz w:val="20"/>
          <w:szCs w:val="20"/>
          <w:lang w:val="es-ES"/>
        </w:rPr>
        <w:t xml:space="preserve"> a la conclusión de que el señor Housel tenía una capacidad reducida para controlar sus impulsos</w:t>
      </w:r>
      <w:r w:rsidR="0075273E">
        <w:rPr>
          <w:rFonts w:asciiTheme="majorHAnsi" w:hAnsiTheme="majorHAnsi"/>
          <w:sz w:val="20"/>
          <w:szCs w:val="20"/>
          <w:lang w:val="es-ES"/>
        </w:rPr>
        <w:t>,</w:t>
      </w:r>
      <w:r>
        <w:rPr>
          <w:rFonts w:asciiTheme="majorHAnsi" w:hAnsiTheme="majorHAnsi"/>
          <w:sz w:val="20"/>
          <w:szCs w:val="20"/>
          <w:lang w:val="es-ES"/>
        </w:rPr>
        <w:t xml:space="preserve"> como consecuencia directa de un cerebro desordenado y dañado. </w:t>
      </w:r>
      <w:r w:rsidR="00007CFF">
        <w:rPr>
          <w:rFonts w:asciiTheme="majorHAnsi" w:hAnsiTheme="majorHAnsi"/>
          <w:sz w:val="20"/>
          <w:szCs w:val="20"/>
          <w:lang w:val="es-ES"/>
        </w:rPr>
        <w:t xml:space="preserve"> </w:t>
      </w:r>
      <w:r>
        <w:rPr>
          <w:rFonts w:asciiTheme="majorHAnsi" w:hAnsiTheme="majorHAnsi"/>
          <w:sz w:val="20"/>
          <w:szCs w:val="20"/>
          <w:lang w:val="es-ES"/>
        </w:rPr>
        <w:t xml:space="preserve">Además, la evaluación realizada por un psicólogo clínico determinó que el señor Housel sufría de déficits </w:t>
      </w:r>
      <w:r w:rsidR="00D251CD">
        <w:rPr>
          <w:rFonts w:asciiTheme="majorHAnsi" w:hAnsiTheme="majorHAnsi"/>
          <w:sz w:val="20"/>
          <w:szCs w:val="20"/>
          <w:lang w:val="es-ES"/>
        </w:rPr>
        <w:t>neurológicos</w:t>
      </w:r>
      <w:r>
        <w:rPr>
          <w:rFonts w:asciiTheme="majorHAnsi" w:hAnsiTheme="majorHAnsi"/>
          <w:sz w:val="20"/>
          <w:szCs w:val="20"/>
          <w:lang w:val="es-ES"/>
        </w:rPr>
        <w:t xml:space="preserve"> </w:t>
      </w:r>
      <w:r w:rsidR="00E109A2">
        <w:rPr>
          <w:rFonts w:asciiTheme="majorHAnsi" w:hAnsiTheme="majorHAnsi"/>
          <w:sz w:val="20"/>
          <w:szCs w:val="20"/>
          <w:lang w:val="es-ES"/>
        </w:rPr>
        <w:t>significativos</w:t>
      </w:r>
      <w:r>
        <w:rPr>
          <w:rFonts w:asciiTheme="majorHAnsi" w:hAnsiTheme="majorHAnsi"/>
          <w:sz w:val="20"/>
          <w:szCs w:val="20"/>
          <w:lang w:val="es-ES"/>
        </w:rPr>
        <w:t xml:space="preserve"> y que</w:t>
      </w:r>
      <w:r w:rsidR="00487318">
        <w:rPr>
          <w:rFonts w:asciiTheme="majorHAnsi" w:hAnsiTheme="majorHAnsi"/>
          <w:sz w:val="20"/>
          <w:szCs w:val="20"/>
          <w:lang w:val="es-ES"/>
        </w:rPr>
        <w:t xml:space="preserve"> parecía que</w:t>
      </w:r>
      <w:r>
        <w:rPr>
          <w:rFonts w:asciiTheme="majorHAnsi" w:hAnsiTheme="majorHAnsi"/>
          <w:sz w:val="20"/>
          <w:szCs w:val="20"/>
          <w:lang w:val="es-ES"/>
        </w:rPr>
        <w:t xml:space="preserve"> el funcionamiento neurológico general podría ser casi normal en ausencia del consumo de alcohol y/o sustancias controladas. El abogado del señor Housel</w:t>
      </w:r>
      <w:r w:rsidR="008F1387">
        <w:rPr>
          <w:rFonts w:asciiTheme="majorHAnsi" w:hAnsiTheme="majorHAnsi"/>
          <w:sz w:val="20"/>
          <w:szCs w:val="20"/>
          <w:lang w:val="es-ES"/>
        </w:rPr>
        <w:t xml:space="preserve"> admitió que él no consultó con ningún doctor ni trató de obtener f</w:t>
      </w:r>
      <w:r w:rsidR="00974676">
        <w:rPr>
          <w:rFonts w:asciiTheme="majorHAnsi" w:hAnsiTheme="majorHAnsi"/>
          <w:sz w:val="20"/>
          <w:szCs w:val="20"/>
          <w:lang w:val="es-ES"/>
        </w:rPr>
        <w:t>ondos</w:t>
      </w:r>
      <w:r w:rsidR="008F1387">
        <w:rPr>
          <w:rFonts w:asciiTheme="majorHAnsi" w:hAnsiTheme="majorHAnsi"/>
          <w:sz w:val="20"/>
          <w:szCs w:val="20"/>
          <w:lang w:val="es-ES"/>
        </w:rPr>
        <w:t xml:space="preserve"> para contratar a un experto que investigara tanto los síntomas que el señor Housel mencionó al abogado como </w:t>
      </w:r>
      <w:r w:rsidR="00CD55C7">
        <w:rPr>
          <w:rFonts w:asciiTheme="majorHAnsi" w:hAnsiTheme="majorHAnsi"/>
          <w:sz w:val="20"/>
          <w:szCs w:val="20"/>
          <w:lang w:val="es-ES"/>
        </w:rPr>
        <w:t>su</w:t>
      </w:r>
      <w:r w:rsidR="008F1387">
        <w:rPr>
          <w:rFonts w:asciiTheme="majorHAnsi" w:hAnsiTheme="majorHAnsi"/>
          <w:sz w:val="20"/>
          <w:szCs w:val="20"/>
          <w:lang w:val="es-ES"/>
        </w:rPr>
        <w:t xml:space="preserve"> padecimiento psicológico</w:t>
      </w:r>
      <w:r w:rsidR="00CD55C7">
        <w:rPr>
          <w:rFonts w:asciiTheme="majorHAnsi" w:hAnsiTheme="majorHAnsi"/>
          <w:sz w:val="20"/>
          <w:szCs w:val="20"/>
          <w:lang w:val="es-ES"/>
        </w:rPr>
        <w:t>, los cuales</w:t>
      </w:r>
      <w:r w:rsidR="008F1387">
        <w:rPr>
          <w:rFonts w:asciiTheme="majorHAnsi" w:hAnsiTheme="majorHAnsi"/>
          <w:sz w:val="20"/>
          <w:szCs w:val="20"/>
          <w:lang w:val="es-ES"/>
        </w:rPr>
        <w:t xml:space="preserve"> podrían haber intervenido como factores que expli</w:t>
      </w:r>
      <w:r w:rsidR="00CD55C7">
        <w:rPr>
          <w:rFonts w:asciiTheme="majorHAnsi" w:hAnsiTheme="majorHAnsi"/>
          <w:sz w:val="20"/>
          <w:szCs w:val="20"/>
          <w:lang w:val="es-ES"/>
        </w:rPr>
        <w:t>caran</w:t>
      </w:r>
      <w:r w:rsidR="008F1387">
        <w:rPr>
          <w:rFonts w:asciiTheme="majorHAnsi" w:hAnsiTheme="majorHAnsi"/>
          <w:sz w:val="20"/>
          <w:szCs w:val="20"/>
          <w:lang w:val="es-ES"/>
        </w:rPr>
        <w:t xml:space="preserve"> su conducta. </w:t>
      </w:r>
      <w:r w:rsidR="008F1387" w:rsidRPr="001D1408">
        <w:rPr>
          <w:rFonts w:asciiTheme="majorHAnsi" w:hAnsiTheme="majorHAnsi"/>
          <w:sz w:val="20"/>
          <w:szCs w:val="20"/>
          <w:lang w:val="es-ES"/>
        </w:rPr>
        <w:t xml:space="preserve">Además, él indicó que </w:t>
      </w:r>
      <w:r w:rsidR="00FE314A" w:rsidRPr="001D1408">
        <w:rPr>
          <w:rFonts w:asciiTheme="majorHAnsi" w:hAnsiTheme="majorHAnsi"/>
          <w:sz w:val="20"/>
          <w:szCs w:val="20"/>
          <w:lang w:val="es-ES"/>
        </w:rPr>
        <w:t xml:space="preserve">esa falla </w:t>
      </w:r>
      <w:r w:rsidR="008F1387" w:rsidRPr="001D1408">
        <w:rPr>
          <w:rFonts w:asciiTheme="majorHAnsi" w:hAnsiTheme="majorHAnsi"/>
          <w:sz w:val="20"/>
          <w:szCs w:val="20"/>
          <w:lang w:val="es-ES"/>
        </w:rPr>
        <w:t xml:space="preserve">no fue parte de una táctica </w:t>
      </w:r>
      <w:r w:rsidR="00CD55C7" w:rsidRPr="001D1408">
        <w:rPr>
          <w:rFonts w:asciiTheme="majorHAnsi" w:hAnsiTheme="majorHAnsi"/>
          <w:sz w:val="20"/>
          <w:szCs w:val="20"/>
          <w:lang w:val="es-ES"/>
        </w:rPr>
        <w:t>ni una</w:t>
      </w:r>
      <w:r w:rsidR="008F1387" w:rsidRPr="001D1408">
        <w:rPr>
          <w:rFonts w:asciiTheme="majorHAnsi" w:hAnsiTheme="majorHAnsi"/>
          <w:sz w:val="20"/>
          <w:szCs w:val="20"/>
          <w:lang w:val="es-ES"/>
        </w:rPr>
        <w:t xml:space="preserve"> estrategia para el caso.</w:t>
      </w:r>
    </w:p>
    <w:p w14:paraId="7F9A8B5E" w14:textId="77777777" w:rsidR="007713BA" w:rsidRPr="00FE314A" w:rsidRDefault="007713BA" w:rsidP="00F349BC">
      <w:pPr>
        <w:pStyle w:val="ListParagraph"/>
        <w:tabs>
          <w:tab w:val="left" w:pos="1890"/>
        </w:tabs>
        <w:rPr>
          <w:rFonts w:asciiTheme="majorHAnsi" w:eastAsia="Arial Unicode MS" w:hAnsiTheme="majorHAnsi" w:cs="Times New Roman"/>
          <w:color w:val="auto"/>
          <w:sz w:val="20"/>
          <w:szCs w:val="20"/>
          <w:lang w:val="es-ES" w:eastAsia="en-US"/>
        </w:rPr>
      </w:pPr>
    </w:p>
    <w:p w14:paraId="66E19413" w14:textId="77777777" w:rsidR="00BC72D2" w:rsidRPr="00BC72D2" w:rsidRDefault="00BC72D2"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BC72D2">
        <w:rPr>
          <w:rFonts w:asciiTheme="majorHAnsi" w:hAnsiTheme="majorHAnsi"/>
          <w:sz w:val="20"/>
          <w:szCs w:val="20"/>
          <w:lang w:val="es-ES"/>
        </w:rPr>
        <w:t xml:space="preserve">Como se </w:t>
      </w:r>
      <w:r>
        <w:rPr>
          <w:rFonts w:asciiTheme="majorHAnsi" w:hAnsiTheme="majorHAnsi"/>
          <w:sz w:val="20"/>
          <w:szCs w:val="20"/>
          <w:lang w:val="es-ES"/>
        </w:rPr>
        <w:t>señaló</w:t>
      </w:r>
      <w:r w:rsidRPr="00BC72D2">
        <w:rPr>
          <w:rFonts w:asciiTheme="majorHAnsi" w:hAnsiTheme="majorHAnsi"/>
          <w:sz w:val="20"/>
          <w:szCs w:val="20"/>
          <w:lang w:val="es-ES"/>
        </w:rPr>
        <w:t xml:space="preserve"> anteriormente, los requisitos </w:t>
      </w:r>
      <w:r w:rsidR="00183AE6">
        <w:rPr>
          <w:rFonts w:asciiTheme="majorHAnsi" w:hAnsiTheme="majorHAnsi"/>
          <w:sz w:val="20"/>
          <w:szCs w:val="20"/>
          <w:lang w:val="es-ES"/>
        </w:rPr>
        <w:t>esenciales</w:t>
      </w:r>
      <w:r w:rsidRPr="00BC72D2">
        <w:rPr>
          <w:rFonts w:asciiTheme="majorHAnsi" w:hAnsiTheme="majorHAnsi"/>
          <w:sz w:val="20"/>
          <w:szCs w:val="20"/>
          <w:lang w:val="es-ES"/>
        </w:rPr>
        <w:t xml:space="preserve"> del debido proceso para los juicios</w:t>
      </w:r>
      <w:r>
        <w:rPr>
          <w:rFonts w:asciiTheme="majorHAnsi" w:hAnsiTheme="majorHAnsi"/>
          <w:sz w:val="20"/>
          <w:szCs w:val="20"/>
          <w:lang w:val="es-ES"/>
        </w:rPr>
        <w:t xml:space="preserve"> que </w:t>
      </w:r>
      <w:r w:rsidR="008B3D02">
        <w:rPr>
          <w:rFonts w:asciiTheme="majorHAnsi" w:hAnsiTheme="majorHAnsi"/>
          <w:sz w:val="20"/>
          <w:szCs w:val="20"/>
          <w:lang w:val="es-ES"/>
        </w:rPr>
        <w:t>implican</w:t>
      </w:r>
      <w:r>
        <w:rPr>
          <w:rFonts w:asciiTheme="majorHAnsi" w:hAnsiTheme="majorHAnsi"/>
          <w:sz w:val="20"/>
          <w:szCs w:val="20"/>
          <w:lang w:val="es-ES"/>
        </w:rPr>
        <w:t xml:space="preserve"> la pena </w:t>
      </w:r>
      <w:r w:rsidRPr="00BC72D2">
        <w:rPr>
          <w:rFonts w:asciiTheme="majorHAnsi" w:hAnsiTheme="majorHAnsi"/>
          <w:sz w:val="20"/>
          <w:szCs w:val="20"/>
          <w:lang w:val="es-ES"/>
        </w:rPr>
        <w:t xml:space="preserve">capital incluyen la obligación de brindarle al acusado una oportunidad completa y justa de presentar pruebas atenuantes para </w:t>
      </w:r>
      <w:r>
        <w:rPr>
          <w:rFonts w:asciiTheme="majorHAnsi" w:hAnsiTheme="majorHAnsi"/>
          <w:sz w:val="20"/>
          <w:szCs w:val="20"/>
          <w:lang w:val="es-ES"/>
        </w:rPr>
        <w:t>ser consideradas</w:t>
      </w:r>
      <w:r w:rsidRPr="00BC72D2">
        <w:rPr>
          <w:rFonts w:asciiTheme="majorHAnsi" w:hAnsiTheme="majorHAnsi"/>
          <w:sz w:val="20"/>
          <w:szCs w:val="20"/>
          <w:lang w:val="es-ES"/>
        </w:rPr>
        <w:t xml:space="preserve"> al determinar si la pena de muerte es </w:t>
      </w:r>
      <w:r>
        <w:rPr>
          <w:rFonts w:asciiTheme="majorHAnsi" w:hAnsiTheme="majorHAnsi"/>
          <w:sz w:val="20"/>
          <w:szCs w:val="20"/>
          <w:lang w:val="es-ES"/>
        </w:rPr>
        <w:t>la pena</w:t>
      </w:r>
      <w:r w:rsidRPr="00BC72D2">
        <w:rPr>
          <w:rFonts w:asciiTheme="majorHAnsi" w:hAnsiTheme="majorHAnsi"/>
          <w:sz w:val="20"/>
          <w:szCs w:val="20"/>
          <w:lang w:val="es-ES"/>
        </w:rPr>
        <w:t xml:space="preserve"> apropiad</w:t>
      </w:r>
      <w:r>
        <w:rPr>
          <w:rFonts w:asciiTheme="majorHAnsi" w:hAnsiTheme="majorHAnsi"/>
          <w:sz w:val="20"/>
          <w:szCs w:val="20"/>
          <w:lang w:val="es-ES"/>
        </w:rPr>
        <w:t>a</w:t>
      </w:r>
      <w:r w:rsidRPr="00BC72D2">
        <w:rPr>
          <w:rFonts w:asciiTheme="majorHAnsi" w:hAnsiTheme="majorHAnsi"/>
          <w:sz w:val="20"/>
          <w:szCs w:val="20"/>
          <w:lang w:val="es-ES"/>
        </w:rPr>
        <w:t xml:space="preserve"> en las circunstancias del caso específico. En el presente caso, el hecho de no solicitar </w:t>
      </w:r>
      <w:r>
        <w:rPr>
          <w:rFonts w:asciiTheme="majorHAnsi" w:hAnsiTheme="majorHAnsi"/>
          <w:sz w:val="20"/>
          <w:szCs w:val="20"/>
          <w:lang w:val="es-ES"/>
        </w:rPr>
        <w:t>pruebas</w:t>
      </w:r>
      <w:r w:rsidRPr="00BC72D2">
        <w:rPr>
          <w:rFonts w:asciiTheme="majorHAnsi" w:hAnsiTheme="majorHAnsi"/>
          <w:sz w:val="20"/>
          <w:szCs w:val="20"/>
          <w:lang w:val="es-ES"/>
        </w:rPr>
        <w:t xml:space="preserve"> de expertos </w:t>
      </w:r>
      <w:r>
        <w:rPr>
          <w:rFonts w:asciiTheme="majorHAnsi" w:hAnsiTheme="majorHAnsi"/>
          <w:sz w:val="20"/>
          <w:szCs w:val="20"/>
          <w:lang w:val="es-ES"/>
        </w:rPr>
        <w:t xml:space="preserve">derivó </w:t>
      </w:r>
      <w:r w:rsidRPr="00BC72D2">
        <w:rPr>
          <w:rFonts w:asciiTheme="majorHAnsi" w:hAnsiTheme="majorHAnsi"/>
          <w:sz w:val="20"/>
          <w:szCs w:val="20"/>
          <w:lang w:val="es-ES"/>
        </w:rPr>
        <w:t xml:space="preserve">en una omisión de hallazgos posiblemente similares </w:t>
      </w:r>
      <w:r>
        <w:rPr>
          <w:rFonts w:asciiTheme="majorHAnsi" w:hAnsiTheme="majorHAnsi"/>
          <w:sz w:val="20"/>
          <w:szCs w:val="20"/>
          <w:lang w:val="es-ES"/>
        </w:rPr>
        <w:t>sobre trastornos</w:t>
      </w:r>
      <w:r w:rsidR="00FA7A6B">
        <w:rPr>
          <w:rFonts w:asciiTheme="majorHAnsi" w:hAnsiTheme="majorHAnsi"/>
          <w:sz w:val="20"/>
          <w:szCs w:val="20"/>
          <w:lang w:val="es-ES"/>
        </w:rPr>
        <w:t xml:space="preserve"> de</w:t>
      </w:r>
      <w:r w:rsidRPr="00BC72D2">
        <w:rPr>
          <w:rFonts w:asciiTheme="majorHAnsi" w:hAnsiTheme="majorHAnsi"/>
          <w:sz w:val="20"/>
          <w:szCs w:val="20"/>
          <w:lang w:val="es-ES"/>
        </w:rPr>
        <w:t xml:space="preserve"> salud mental reales que fueron descubiertos por expertos </w:t>
      </w:r>
      <w:r w:rsidR="00306856">
        <w:rPr>
          <w:rFonts w:asciiTheme="majorHAnsi" w:hAnsiTheme="majorHAnsi"/>
          <w:sz w:val="20"/>
          <w:szCs w:val="20"/>
          <w:lang w:val="es-ES"/>
        </w:rPr>
        <w:t>en psicología</w:t>
      </w:r>
      <w:r w:rsidRPr="00BC72D2">
        <w:rPr>
          <w:rFonts w:asciiTheme="majorHAnsi" w:hAnsiTheme="majorHAnsi"/>
          <w:sz w:val="20"/>
          <w:szCs w:val="20"/>
          <w:lang w:val="es-ES"/>
        </w:rPr>
        <w:t xml:space="preserve"> y</w:t>
      </w:r>
      <w:r>
        <w:rPr>
          <w:rFonts w:asciiTheme="majorHAnsi" w:hAnsiTheme="majorHAnsi"/>
          <w:sz w:val="20"/>
          <w:szCs w:val="20"/>
          <w:lang w:val="es-ES"/>
        </w:rPr>
        <w:t xml:space="preserve"> salud mental posteriormente a </w:t>
      </w:r>
      <w:r w:rsidRPr="00BC72D2">
        <w:rPr>
          <w:rFonts w:asciiTheme="majorHAnsi" w:hAnsiTheme="majorHAnsi"/>
          <w:sz w:val="20"/>
          <w:szCs w:val="20"/>
          <w:lang w:val="es-ES"/>
        </w:rPr>
        <w:t>la condena</w:t>
      </w:r>
      <w:r>
        <w:rPr>
          <w:rFonts w:asciiTheme="majorHAnsi" w:hAnsiTheme="majorHAnsi"/>
          <w:sz w:val="20"/>
          <w:szCs w:val="20"/>
          <w:lang w:val="es-ES"/>
        </w:rPr>
        <w:t>.</w:t>
      </w:r>
      <w:r w:rsidRPr="00BC72D2">
        <w:rPr>
          <w:rFonts w:asciiTheme="majorHAnsi" w:hAnsiTheme="majorHAnsi"/>
          <w:sz w:val="20"/>
          <w:szCs w:val="20"/>
          <w:lang w:val="es-ES"/>
        </w:rPr>
        <w:t xml:space="preserve"> Como se </w:t>
      </w:r>
      <w:r w:rsidR="00FA7A6B">
        <w:rPr>
          <w:rFonts w:asciiTheme="majorHAnsi" w:hAnsiTheme="majorHAnsi"/>
          <w:sz w:val="20"/>
          <w:szCs w:val="20"/>
          <w:lang w:val="es-ES"/>
        </w:rPr>
        <w:t>mencionó anteriormente</w:t>
      </w:r>
      <w:r w:rsidRPr="00BC72D2">
        <w:rPr>
          <w:rFonts w:asciiTheme="majorHAnsi" w:hAnsiTheme="majorHAnsi"/>
          <w:sz w:val="20"/>
          <w:szCs w:val="20"/>
          <w:lang w:val="es-ES"/>
        </w:rPr>
        <w:t xml:space="preserve">, el abogado admitió que hubiera sido útil </w:t>
      </w:r>
      <w:r>
        <w:rPr>
          <w:rFonts w:asciiTheme="majorHAnsi" w:hAnsiTheme="majorHAnsi"/>
          <w:sz w:val="20"/>
          <w:szCs w:val="20"/>
          <w:lang w:val="es-ES"/>
        </w:rPr>
        <w:t>presentar la prueba</w:t>
      </w:r>
      <w:r w:rsidRPr="00BC72D2">
        <w:rPr>
          <w:rFonts w:asciiTheme="majorHAnsi" w:hAnsiTheme="majorHAnsi"/>
          <w:sz w:val="20"/>
          <w:szCs w:val="20"/>
          <w:lang w:val="es-ES"/>
        </w:rPr>
        <w:t xml:space="preserve"> </w:t>
      </w:r>
      <w:r>
        <w:rPr>
          <w:rFonts w:asciiTheme="majorHAnsi" w:hAnsiTheme="majorHAnsi"/>
          <w:sz w:val="20"/>
          <w:szCs w:val="20"/>
          <w:lang w:val="es-ES"/>
        </w:rPr>
        <w:t>que acompañó</w:t>
      </w:r>
      <w:r w:rsidRPr="00BC72D2">
        <w:rPr>
          <w:rFonts w:asciiTheme="majorHAnsi" w:hAnsiTheme="majorHAnsi"/>
          <w:sz w:val="20"/>
          <w:szCs w:val="20"/>
          <w:lang w:val="es-ES"/>
        </w:rPr>
        <w:t xml:space="preserve"> la petición federal sobre cómo la </w:t>
      </w:r>
      <w:r>
        <w:rPr>
          <w:rFonts w:asciiTheme="majorHAnsi" w:hAnsiTheme="majorHAnsi"/>
          <w:sz w:val="20"/>
          <w:szCs w:val="20"/>
          <w:lang w:val="es-ES"/>
        </w:rPr>
        <w:t>embriaguez</w:t>
      </w:r>
      <w:r w:rsidR="00FA7A6B">
        <w:rPr>
          <w:rFonts w:asciiTheme="majorHAnsi" w:hAnsiTheme="majorHAnsi"/>
          <w:sz w:val="20"/>
          <w:szCs w:val="20"/>
          <w:lang w:val="es-ES"/>
        </w:rPr>
        <w:t>,</w:t>
      </w:r>
      <w:r w:rsidRPr="00BC72D2">
        <w:rPr>
          <w:rFonts w:asciiTheme="majorHAnsi" w:hAnsiTheme="majorHAnsi"/>
          <w:sz w:val="20"/>
          <w:szCs w:val="20"/>
          <w:lang w:val="es-ES"/>
        </w:rPr>
        <w:t xml:space="preserve"> en el momento </w:t>
      </w:r>
      <w:r>
        <w:rPr>
          <w:rFonts w:asciiTheme="majorHAnsi" w:hAnsiTheme="majorHAnsi"/>
          <w:sz w:val="20"/>
          <w:szCs w:val="20"/>
          <w:lang w:val="es-ES"/>
        </w:rPr>
        <w:t>de cometer el delito</w:t>
      </w:r>
      <w:r w:rsidR="00FA7A6B">
        <w:rPr>
          <w:rFonts w:asciiTheme="majorHAnsi" w:hAnsiTheme="majorHAnsi"/>
          <w:sz w:val="20"/>
          <w:szCs w:val="20"/>
          <w:lang w:val="es-ES"/>
        </w:rPr>
        <w:t>,</w:t>
      </w:r>
      <w:r w:rsidRPr="00BC72D2">
        <w:rPr>
          <w:rFonts w:asciiTheme="majorHAnsi" w:hAnsiTheme="majorHAnsi"/>
          <w:sz w:val="20"/>
          <w:szCs w:val="20"/>
          <w:lang w:val="es-ES"/>
        </w:rPr>
        <w:t xml:space="preserve"> exacerbó los efectos de la condición médica existente </w:t>
      </w:r>
      <w:r>
        <w:rPr>
          <w:rFonts w:asciiTheme="majorHAnsi" w:hAnsiTheme="majorHAnsi"/>
          <w:sz w:val="20"/>
          <w:szCs w:val="20"/>
          <w:lang w:val="es-ES"/>
        </w:rPr>
        <w:t>en el</w:t>
      </w:r>
      <w:r w:rsidRPr="00BC72D2">
        <w:rPr>
          <w:rFonts w:asciiTheme="majorHAnsi" w:hAnsiTheme="majorHAnsi"/>
          <w:sz w:val="20"/>
          <w:szCs w:val="20"/>
          <w:lang w:val="es-ES"/>
        </w:rPr>
        <w:t xml:space="preserve"> </w:t>
      </w:r>
      <w:r>
        <w:rPr>
          <w:rFonts w:asciiTheme="majorHAnsi" w:hAnsiTheme="majorHAnsi"/>
          <w:sz w:val="20"/>
          <w:szCs w:val="20"/>
          <w:lang w:val="es-ES"/>
        </w:rPr>
        <w:t>señor</w:t>
      </w:r>
      <w:r w:rsidRPr="00BC72D2">
        <w:rPr>
          <w:rFonts w:asciiTheme="majorHAnsi" w:hAnsiTheme="majorHAnsi"/>
          <w:sz w:val="20"/>
          <w:szCs w:val="20"/>
          <w:lang w:val="es-ES"/>
        </w:rPr>
        <w:t xml:space="preserve"> Housel y afectó la capacidad de controlar sus impulsos. </w:t>
      </w:r>
      <w:r w:rsidR="00FA7A6B">
        <w:rPr>
          <w:rFonts w:asciiTheme="majorHAnsi" w:hAnsiTheme="majorHAnsi"/>
          <w:sz w:val="20"/>
          <w:szCs w:val="20"/>
          <w:lang w:val="es-ES"/>
        </w:rPr>
        <w:t>El abogado e</w:t>
      </w:r>
      <w:r w:rsidRPr="00BC72D2">
        <w:rPr>
          <w:rFonts w:asciiTheme="majorHAnsi" w:hAnsiTheme="majorHAnsi"/>
          <w:sz w:val="20"/>
          <w:szCs w:val="20"/>
          <w:lang w:val="es-ES"/>
        </w:rPr>
        <w:t xml:space="preserve">xpresó además que </w:t>
      </w:r>
      <w:r w:rsidR="007A3194">
        <w:rPr>
          <w:rFonts w:asciiTheme="majorHAnsi" w:hAnsiTheme="majorHAnsi"/>
          <w:sz w:val="20"/>
          <w:szCs w:val="20"/>
          <w:lang w:val="es-ES"/>
        </w:rPr>
        <w:t>este error</w:t>
      </w:r>
      <w:r w:rsidRPr="00BC72D2">
        <w:rPr>
          <w:rFonts w:asciiTheme="majorHAnsi" w:hAnsiTheme="majorHAnsi"/>
          <w:sz w:val="20"/>
          <w:szCs w:val="20"/>
          <w:lang w:val="es-ES"/>
        </w:rPr>
        <w:t xml:space="preserve"> no </w:t>
      </w:r>
      <w:r>
        <w:rPr>
          <w:rFonts w:asciiTheme="majorHAnsi" w:hAnsiTheme="majorHAnsi"/>
          <w:sz w:val="20"/>
          <w:szCs w:val="20"/>
          <w:lang w:val="es-ES"/>
        </w:rPr>
        <w:t>fue</w:t>
      </w:r>
      <w:r w:rsidRPr="00BC72D2">
        <w:rPr>
          <w:rFonts w:asciiTheme="majorHAnsi" w:hAnsiTheme="majorHAnsi"/>
          <w:sz w:val="20"/>
          <w:szCs w:val="20"/>
          <w:lang w:val="es-ES"/>
        </w:rPr>
        <w:t xml:space="preserve"> parte de </w:t>
      </w:r>
      <w:r w:rsidR="009D7087" w:rsidRPr="00BC72D2">
        <w:rPr>
          <w:rFonts w:asciiTheme="majorHAnsi" w:hAnsiTheme="majorHAnsi"/>
          <w:sz w:val="20"/>
          <w:szCs w:val="20"/>
          <w:lang w:val="es-ES"/>
        </w:rPr>
        <w:t>la táctica</w:t>
      </w:r>
      <w:r w:rsidRPr="00BC72D2">
        <w:rPr>
          <w:rFonts w:asciiTheme="majorHAnsi" w:hAnsiTheme="majorHAnsi"/>
          <w:sz w:val="20"/>
          <w:szCs w:val="20"/>
          <w:lang w:val="es-ES"/>
        </w:rPr>
        <w:t xml:space="preserve"> </w:t>
      </w:r>
      <w:r w:rsidR="00FA7A6B">
        <w:rPr>
          <w:rFonts w:asciiTheme="majorHAnsi" w:hAnsiTheme="majorHAnsi"/>
          <w:sz w:val="20"/>
          <w:szCs w:val="20"/>
          <w:lang w:val="es-ES"/>
        </w:rPr>
        <w:t>ni</w:t>
      </w:r>
      <w:r w:rsidRPr="00BC72D2">
        <w:rPr>
          <w:rFonts w:asciiTheme="majorHAnsi" w:hAnsiTheme="majorHAnsi"/>
          <w:sz w:val="20"/>
          <w:szCs w:val="20"/>
          <w:lang w:val="es-ES"/>
        </w:rPr>
        <w:t xml:space="preserve"> la estrategia del caso.</w:t>
      </w:r>
    </w:p>
    <w:p w14:paraId="76FA91B6" w14:textId="77777777" w:rsidR="007713BA" w:rsidRPr="007A3194" w:rsidRDefault="007713BA" w:rsidP="00F349BC">
      <w:pPr>
        <w:pStyle w:val="ListParagraph"/>
        <w:tabs>
          <w:tab w:val="left" w:pos="1890"/>
        </w:tabs>
        <w:rPr>
          <w:rFonts w:asciiTheme="majorHAnsi" w:hAnsiTheme="majorHAnsi"/>
          <w:sz w:val="20"/>
          <w:szCs w:val="20"/>
          <w:lang w:val="es-ES"/>
        </w:rPr>
      </w:pPr>
    </w:p>
    <w:p w14:paraId="05B4FA24" w14:textId="1FA1B785" w:rsidR="00F34AE5" w:rsidRDefault="00F34AE5"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Cambria" w:hAnsi="Cambria"/>
          <w:sz w:val="20"/>
          <w:szCs w:val="20"/>
          <w:lang w:val="es-ES"/>
        </w:rPr>
      </w:pPr>
      <w:r w:rsidRPr="00F34AE5">
        <w:rPr>
          <w:rFonts w:ascii="Cambria" w:hAnsi="Cambria"/>
          <w:sz w:val="20"/>
          <w:szCs w:val="20"/>
          <w:lang w:val="es-ES"/>
        </w:rPr>
        <w:t xml:space="preserve">Teniendo en cuenta que los requisitos fundamentales del debido proceso y el juicio justo para los </w:t>
      </w:r>
      <w:r w:rsidR="008C7F4C">
        <w:rPr>
          <w:rFonts w:ascii="Cambria" w:hAnsi="Cambria"/>
          <w:sz w:val="20"/>
          <w:szCs w:val="20"/>
          <w:lang w:val="es-ES"/>
        </w:rPr>
        <w:t>procesos que implican</w:t>
      </w:r>
      <w:r w:rsidRPr="00F34AE5">
        <w:rPr>
          <w:rFonts w:ascii="Cambria" w:hAnsi="Cambria"/>
          <w:sz w:val="20"/>
          <w:szCs w:val="20"/>
          <w:lang w:val="es-ES"/>
        </w:rPr>
        <w:t xml:space="preserve"> </w:t>
      </w:r>
      <w:r>
        <w:rPr>
          <w:rFonts w:ascii="Cambria" w:hAnsi="Cambria"/>
          <w:sz w:val="20"/>
          <w:szCs w:val="20"/>
          <w:lang w:val="es-ES"/>
        </w:rPr>
        <w:t xml:space="preserve">de pena de muerte </w:t>
      </w:r>
      <w:r w:rsidRPr="00F34AE5">
        <w:rPr>
          <w:rFonts w:ascii="Cambria" w:hAnsi="Cambria"/>
          <w:sz w:val="20"/>
          <w:szCs w:val="20"/>
          <w:lang w:val="es-ES"/>
        </w:rPr>
        <w:t xml:space="preserve">incluyen la obligación de proporcionar una representación legal adecuada, y que </w:t>
      </w:r>
      <w:r w:rsidR="006A5AC8">
        <w:rPr>
          <w:rFonts w:ascii="Cambria" w:hAnsi="Cambria"/>
          <w:sz w:val="20"/>
          <w:szCs w:val="20"/>
          <w:lang w:val="es-ES"/>
        </w:rPr>
        <w:t>el hecho de no presentar</w:t>
      </w:r>
      <w:r w:rsidRPr="00F34AE5">
        <w:rPr>
          <w:rFonts w:ascii="Cambria" w:hAnsi="Cambria"/>
          <w:sz w:val="20"/>
          <w:szCs w:val="20"/>
          <w:lang w:val="es-ES"/>
        </w:rPr>
        <w:t xml:space="preserve"> </w:t>
      </w:r>
      <w:r>
        <w:rPr>
          <w:rFonts w:ascii="Cambria" w:hAnsi="Cambria"/>
          <w:sz w:val="20"/>
          <w:szCs w:val="20"/>
          <w:lang w:val="es-ES"/>
        </w:rPr>
        <w:t xml:space="preserve">pruebas </w:t>
      </w:r>
      <w:r w:rsidRPr="00F34AE5">
        <w:rPr>
          <w:rFonts w:ascii="Cambria" w:hAnsi="Cambria"/>
          <w:sz w:val="20"/>
          <w:szCs w:val="20"/>
          <w:lang w:val="es-ES"/>
        </w:rPr>
        <w:t>atenuante</w:t>
      </w:r>
      <w:r>
        <w:rPr>
          <w:rFonts w:ascii="Cambria" w:hAnsi="Cambria"/>
          <w:sz w:val="20"/>
          <w:szCs w:val="20"/>
          <w:lang w:val="es-ES"/>
        </w:rPr>
        <w:t>s</w:t>
      </w:r>
      <w:r w:rsidRPr="00F34AE5">
        <w:rPr>
          <w:rFonts w:ascii="Cambria" w:hAnsi="Cambria"/>
          <w:sz w:val="20"/>
          <w:szCs w:val="20"/>
          <w:lang w:val="es-ES"/>
        </w:rPr>
        <w:t xml:space="preserve"> constituye una representación inadecuada, la Comisión Interamericana concluye que los Estados Unidos violaron el derecho del </w:t>
      </w:r>
      <w:r>
        <w:rPr>
          <w:rFonts w:ascii="Cambria" w:hAnsi="Cambria"/>
          <w:sz w:val="20"/>
          <w:szCs w:val="20"/>
          <w:lang w:val="es-ES"/>
        </w:rPr>
        <w:t>señor Housel al debido</w:t>
      </w:r>
      <w:r w:rsidRPr="00F34AE5">
        <w:rPr>
          <w:rFonts w:ascii="Cambria" w:hAnsi="Cambria"/>
          <w:sz w:val="20"/>
          <w:szCs w:val="20"/>
          <w:lang w:val="es-ES"/>
        </w:rPr>
        <w:t xml:space="preserve"> proceso y a un juicio justo en virtud de los artículos XVIII y XXVI de la Declaración Americana.</w:t>
      </w:r>
      <w:r w:rsidR="00DB73E5">
        <w:rPr>
          <w:rFonts w:ascii="Cambria" w:hAnsi="Cambria"/>
          <w:sz w:val="20"/>
          <w:szCs w:val="20"/>
          <w:lang w:val="es-ES"/>
        </w:rPr>
        <w:t xml:space="preserve">  </w:t>
      </w:r>
    </w:p>
    <w:p w14:paraId="68AF61A3" w14:textId="77777777" w:rsidR="00E018FC" w:rsidRDefault="00E018FC" w:rsidP="00E018FC">
      <w:pPr>
        <w:pStyle w:val="NormalWeb"/>
        <w:shd w:val="clear" w:color="auto" w:fill="FFFFFF"/>
        <w:tabs>
          <w:tab w:val="left" w:pos="360"/>
          <w:tab w:val="left" w:pos="1890"/>
        </w:tabs>
        <w:spacing w:before="0" w:beforeAutospacing="0" w:after="0" w:afterAutospacing="0"/>
        <w:jc w:val="both"/>
        <w:rPr>
          <w:rFonts w:ascii="Cambria" w:hAnsi="Cambria"/>
          <w:sz w:val="20"/>
          <w:szCs w:val="20"/>
          <w:lang w:val="es-ES"/>
        </w:rPr>
      </w:pPr>
    </w:p>
    <w:p w14:paraId="0AECF6D8" w14:textId="040DC741" w:rsidR="003E5342" w:rsidRPr="00E018FC" w:rsidRDefault="00E018BD" w:rsidP="00E018FC">
      <w:pPr>
        <w:pStyle w:val="Heading3"/>
        <w:numPr>
          <w:ilvl w:val="1"/>
          <w:numId w:val="53"/>
        </w:numPr>
        <w:spacing w:before="0"/>
        <w:ind w:left="360"/>
        <w:rPr>
          <w:color w:val="auto"/>
          <w:sz w:val="20"/>
          <w:szCs w:val="20"/>
          <w:lang w:val="es-ES"/>
        </w:rPr>
      </w:pPr>
      <w:bookmarkStart w:id="28" w:name="_Toc22826184"/>
      <w:bookmarkStart w:id="29" w:name="_Toc150529899"/>
      <w:r w:rsidRPr="00E018FC">
        <w:rPr>
          <w:color w:val="auto"/>
          <w:sz w:val="20"/>
          <w:szCs w:val="20"/>
          <w:lang w:val="es-ES"/>
        </w:rPr>
        <w:t xml:space="preserve">Uso de delitos </w:t>
      </w:r>
      <w:bookmarkEnd w:id="28"/>
      <w:r w:rsidR="00DB73E5" w:rsidRPr="00DB73E5">
        <w:rPr>
          <w:color w:val="auto"/>
          <w:sz w:val="20"/>
          <w:szCs w:val="20"/>
          <w:lang w:val="es-ES"/>
        </w:rPr>
        <w:t>sobre los cuales no se ha dictado sentencia</w:t>
      </w:r>
      <w:bookmarkEnd w:id="29"/>
    </w:p>
    <w:p w14:paraId="3FC6860C" w14:textId="77777777" w:rsidR="00475527" w:rsidRPr="00E018BD" w:rsidRDefault="00475527" w:rsidP="00F349BC">
      <w:pPr>
        <w:tabs>
          <w:tab w:val="left" w:pos="1890"/>
        </w:tabs>
        <w:rPr>
          <w:rFonts w:asciiTheme="majorHAnsi" w:hAnsiTheme="majorHAnsi"/>
          <w:sz w:val="20"/>
          <w:szCs w:val="22"/>
          <w:lang w:val="es-ES"/>
        </w:rPr>
      </w:pPr>
    </w:p>
    <w:p w14:paraId="3E11626F" w14:textId="72CA738C" w:rsidR="00382463" w:rsidRDefault="00382463" w:rsidP="00ED2F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firstLine="0"/>
        <w:jc w:val="both"/>
        <w:rPr>
          <w:rFonts w:asciiTheme="majorHAnsi" w:hAnsiTheme="majorHAnsi"/>
          <w:bCs/>
          <w:color w:val="auto"/>
          <w:sz w:val="20"/>
          <w:szCs w:val="20"/>
          <w:lang w:val="es-ES"/>
        </w:rPr>
      </w:pPr>
      <w:r w:rsidRPr="0064667F">
        <w:rPr>
          <w:rFonts w:asciiTheme="majorHAnsi" w:hAnsiTheme="majorHAnsi"/>
          <w:bCs/>
          <w:color w:val="auto"/>
          <w:sz w:val="20"/>
          <w:szCs w:val="20"/>
          <w:lang w:val="es-ES"/>
        </w:rPr>
        <w:t xml:space="preserve">En el caso de Juan Raúl Garza, quien fue sentenciado </w:t>
      </w:r>
      <w:r w:rsidR="00BB4021" w:rsidRPr="0064667F">
        <w:rPr>
          <w:rFonts w:asciiTheme="majorHAnsi" w:hAnsiTheme="majorHAnsi"/>
          <w:bCs/>
          <w:color w:val="auto"/>
          <w:sz w:val="20"/>
          <w:szCs w:val="20"/>
          <w:lang w:val="es-ES"/>
        </w:rPr>
        <w:t>con</w:t>
      </w:r>
      <w:r w:rsidRPr="0064667F">
        <w:rPr>
          <w:rFonts w:asciiTheme="majorHAnsi" w:hAnsiTheme="majorHAnsi"/>
          <w:bCs/>
          <w:color w:val="auto"/>
          <w:sz w:val="20"/>
          <w:szCs w:val="20"/>
          <w:lang w:val="es-ES"/>
        </w:rPr>
        <w:t xml:space="preserve"> la pena de muerte, la CIDH consideró que la conducta del Estado al presentar </w:t>
      </w:r>
      <w:r w:rsidR="000A4BE5" w:rsidRPr="0064667F">
        <w:rPr>
          <w:rFonts w:asciiTheme="majorHAnsi" w:hAnsiTheme="majorHAnsi"/>
          <w:bCs/>
          <w:color w:val="auto"/>
          <w:sz w:val="20"/>
          <w:szCs w:val="20"/>
          <w:lang w:val="es-ES"/>
        </w:rPr>
        <w:t>pruebas</w:t>
      </w:r>
      <w:r w:rsidRPr="0064667F">
        <w:rPr>
          <w:rFonts w:asciiTheme="majorHAnsi" w:hAnsiTheme="majorHAnsi"/>
          <w:bCs/>
          <w:color w:val="auto"/>
          <w:sz w:val="20"/>
          <w:szCs w:val="20"/>
          <w:lang w:val="es-ES"/>
        </w:rPr>
        <w:t xml:space="preserve"> de delitos no juzgados durante </w:t>
      </w:r>
      <w:r w:rsidR="00092D09" w:rsidRPr="0064667F">
        <w:rPr>
          <w:rFonts w:asciiTheme="majorHAnsi" w:hAnsiTheme="majorHAnsi"/>
          <w:bCs/>
          <w:color w:val="auto"/>
          <w:sz w:val="20"/>
          <w:szCs w:val="20"/>
          <w:lang w:val="es-ES"/>
        </w:rPr>
        <w:t>el procedimiento</w:t>
      </w:r>
      <w:r w:rsidRPr="0064667F">
        <w:rPr>
          <w:rFonts w:asciiTheme="majorHAnsi" w:hAnsiTheme="majorHAnsi"/>
          <w:bCs/>
          <w:color w:val="auto"/>
          <w:sz w:val="20"/>
          <w:szCs w:val="20"/>
          <w:lang w:val="es-ES"/>
        </w:rPr>
        <w:t xml:space="preserve"> de</w:t>
      </w:r>
      <w:r w:rsidR="00092D09" w:rsidRPr="0064667F">
        <w:rPr>
          <w:rFonts w:asciiTheme="majorHAnsi" w:hAnsiTheme="majorHAnsi"/>
          <w:bCs/>
          <w:color w:val="auto"/>
          <w:sz w:val="20"/>
          <w:szCs w:val="20"/>
          <w:lang w:val="es-ES"/>
        </w:rPr>
        <w:t xml:space="preserve"> determinación de la</w:t>
      </w:r>
      <w:r w:rsidRPr="0064667F">
        <w:rPr>
          <w:rFonts w:asciiTheme="majorHAnsi" w:hAnsiTheme="majorHAnsi"/>
          <w:bCs/>
          <w:color w:val="auto"/>
          <w:sz w:val="20"/>
          <w:szCs w:val="20"/>
          <w:lang w:val="es-ES"/>
        </w:rPr>
        <w:t xml:space="preserve"> sentencia </w:t>
      </w:r>
      <w:r w:rsidR="00092D09" w:rsidRPr="0064667F">
        <w:rPr>
          <w:rFonts w:asciiTheme="majorHAnsi" w:hAnsiTheme="majorHAnsi"/>
          <w:bCs/>
          <w:color w:val="auto"/>
          <w:sz w:val="20"/>
          <w:szCs w:val="20"/>
          <w:lang w:val="es-ES"/>
        </w:rPr>
        <w:t>de</w:t>
      </w:r>
      <w:r w:rsidR="000A4BE5" w:rsidRPr="0064667F">
        <w:rPr>
          <w:rFonts w:asciiTheme="majorHAnsi" w:hAnsiTheme="majorHAnsi"/>
          <w:bCs/>
          <w:color w:val="auto"/>
          <w:sz w:val="20"/>
          <w:szCs w:val="20"/>
          <w:lang w:val="es-ES"/>
        </w:rPr>
        <w:t xml:space="preserve"> pena de muerte</w:t>
      </w:r>
      <w:r w:rsidRPr="0064667F">
        <w:rPr>
          <w:rFonts w:asciiTheme="majorHAnsi" w:hAnsiTheme="majorHAnsi"/>
          <w:bCs/>
          <w:color w:val="auto"/>
          <w:sz w:val="20"/>
          <w:szCs w:val="20"/>
          <w:lang w:val="es-ES"/>
        </w:rPr>
        <w:t xml:space="preserve"> fue también contraria al derecho del </w:t>
      </w:r>
      <w:r w:rsidR="000A4BE5" w:rsidRPr="0064667F">
        <w:rPr>
          <w:rFonts w:asciiTheme="majorHAnsi" w:hAnsiTheme="majorHAnsi"/>
          <w:bCs/>
          <w:color w:val="auto"/>
          <w:sz w:val="20"/>
          <w:szCs w:val="20"/>
          <w:lang w:val="es-ES"/>
        </w:rPr>
        <w:t>señor</w:t>
      </w:r>
      <w:r w:rsidRPr="0064667F">
        <w:rPr>
          <w:rFonts w:asciiTheme="majorHAnsi" w:hAnsiTheme="majorHAnsi"/>
          <w:bCs/>
          <w:color w:val="auto"/>
          <w:sz w:val="20"/>
          <w:szCs w:val="20"/>
          <w:lang w:val="es-ES"/>
        </w:rPr>
        <w:t xml:space="preserve"> Garza a un juicio justo</w:t>
      </w:r>
      <w:r w:rsidR="000A4BE5" w:rsidRPr="0064667F">
        <w:rPr>
          <w:rFonts w:asciiTheme="majorHAnsi" w:hAnsiTheme="majorHAnsi"/>
          <w:bCs/>
          <w:color w:val="auto"/>
          <w:sz w:val="20"/>
          <w:szCs w:val="20"/>
          <w:lang w:val="es-ES"/>
        </w:rPr>
        <w:t>, así como a</w:t>
      </w:r>
      <w:r w:rsidRPr="0064667F">
        <w:rPr>
          <w:rFonts w:asciiTheme="majorHAnsi" w:hAnsiTheme="majorHAnsi"/>
          <w:bCs/>
          <w:color w:val="auto"/>
          <w:sz w:val="20"/>
          <w:szCs w:val="20"/>
          <w:lang w:val="es-ES"/>
        </w:rPr>
        <w:t xml:space="preserve"> su derecho al debido proceso legal según los artículos XVIII y XXVI de la Declaración </w:t>
      </w:r>
      <w:r w:rsidRPr="00D40D9F">
        <w:rPr>
          <w:rFonts w:asciiTheme="majorHAnsi" w:hAnsiTheme="majorHAnsi"/>
          <w:bCs/>
          <w:color w:val="auto"/>
          <w:sz w:val="20"/>
          <w:szCs w:val="20"/>
          <w:lang w:val="es-ES"/>
        </w:rPr>
        <w:t>Americana</w:t>
      </w:r>
      <w:r w:rsidR="00D40D9F" w:rsidRPr="00D40D9F">
        <w:rPr>
          <w:rStyle w:val="FootnoteReference"/>
          <w:rFonts w:asciiTheme="majorHAnsi" w:hAnsiTheme="majorHAnsi"/>
          <w:sz w:val="20"/>
          <w:szCs w:val="20"/>
        </w:rPr>
        <w:footnoteReference w:id="39"/>
      </w:r>
      <w:r w:rsidR="0040547A">
        <w:rPr>
          <w:rFonts w:asciiTheme="majorHAnsi" w:hAnsiTheme="majorHAnsi"/>
          <w:bCs/>
          <w:color w:val="auto"/>
          <w:sz w:val="20"/>
          <w:szCs w:val="20"/>
          <w:lang w:val="es-ES"/>
        </w:rPr>
        <w:t>.</w:t>
      </w:r>
      <w:r w:rsidR="00D40D9F" w:rsidRPr="00D40D9F">
        <w:rPr>
          <w:rFonts w:asciiTheme="majorHAnsi" w:hAnsiTheme="majorHAnsi"/>
          <w:bCs/>
          <w:color w:val="auto"/>
          <w:sz w:val="20"/>
          <w:szCs w:val="20"/>
          <w:lang w:val="es-ES"/>
        </w:rPr>
        <w:t xml:space="preserve"> </w:t>
      </w:r>
      <w:r w:rsidRPr="0064667F">
        <w:rPr>
          <w:rFonts w:asciiTheme="majorHAnsi" w:hAnsiTheme="majorHAnsi"/>
          <w:bCs/>
          <w:color w:val="auto"/>
          <w:sz w:val="20"/>
          <w:szCs w:val="20"/>
          <w:lang w:val="es-ES"/>
        </w:rPr>
        <w:t xml:space="preserve">Este fue el </w:t>
      </w:r>
      <w:r w:rsidRPr="0064667F">
        <w:rPr>
          <w:rFonts w:asciiTheme="majorHAnsi" w:hAnsiTheme="majorHAnsi"/>
          <w:bCs/>
          <w:color w:val="auto"/>
          <w:sz w:val="20"/>
          <w:szCs w:val="20"/>
          <w:lang w:val="es-ES"/>
        </w:rPr>
        <w:lastRenderedPageBreak/>
        <w:t xml:space="preserve">primer caso en el que la Comisión </w:t>
      </w:r>
      <w:r w:rsidR="00AC73D9" w:rsidRPr="0064667F">
        <w:rPr>
          <w:rFonts w:asciiTheme="majorHAnsi" w:hAnsiTheme="majorHAnsi"/>
          <w:bCs/>
          <w:color w:val="auto"/>
          <w:sz w:val="20"/>
          <w:szCs w:val="20"/>
          <w:lang w:val="es-ES"/>
        </w:rPr>
        <w:t xml:space="preserve">examinó </w:t>
      </w:r>
      <w:r w:rsidRPr="0064667F">
        <w:rPr>
          <w:rFonts w:asciiTheme="majorHAnsi" w:hAnsiTheme="majorHAnsi"/>
          <w:bCs/>
          <w:color w:val="auto"/>
          <w:sz w:val="20"/>
          <w:szCs w:val="20"/>
          <w:lang w:val="es-ES"/>
        </w:rPr>
        <w:t xml:space="preserve">la compatibilidad </w:t>
      </w:r>
      <w:r w:rsidR="00445786" w:rsidRPr="0064667F">
        <w:rPr>
          <w:rFonts w:asciiTheme="majorHAnsi" w:hAnsiTheme="majorHAnsi"/>
          <w:bCs/>
          <w:color w:val="auto"/>
          <w:sz w:val="20"/>
          <w:szCs w:val="20"/>
          <w:lang w:val="es-ES"/>
        </w:rPr>
        <w:t xml:space="preserve">con la Declaración Americana </w:t>
      </w:r>
      <w:r w:rsidRPr="0064667F">
        <w:rPr>
          <w:rFonts w:asciiTheme="majorHAnsi" w:hAnsiTheme="majorHAnsi"/>
          <w:bCs/>
          <w:color w:val="auto"/>
          <w:sz w:val="20"/>
          <w:szCs w:val="20"/>
          <w:lang w:val="es-ES"/>
        </w:rPr>
        <w:t xml:space="preserve">del uso de </w:t>
      </w:r>
      <w:r w:rsidR="000A4BE5" w:rsidRPr="0064667F">
        <w:rPr>
          <w:rFonts w:asciiTheme="majorHAnsi" w:hAnsiTheme="majorHAnsi"/>
          <w:bCs/>
          <w:color w:val="auto"/>
          <w:sz w:val="20"/>
          <w:szCs w:val="20"/>
          <w:lang w:val="es-ES"/>
        </w:rPr>
        <w:t>pruebas</w:t>
      </w:r>
      <w:r w:rsidRPr="0064667F">
        <w:rPr>
          <w:rFonts w:asciiTheme="majorHAnsi" w:hAnsiTheme="majorHAnsi"/>
          <w:bCs/>
          <w:color w:val="auto"/>
          <w:sz w:val="20"/>
          <w:szCs w:val="20"/>
          <w:lang w:val="es-ES"/>
        </w:rPr>
        <w:t xml:space="preserve"> de delitos no juzgados durante la </w:t>
      </w:r>
      <w:r w:rsidR="000A4BE5" w:rsidRPr="0064667F">
        <w:rPr>
          <w:rFonts w:asciiTheme="majorHAnsi" w:hAnsiTheme="majorHAnsi"/>
          <w:bCs/>
          <w:color w:val="auto"/>
          <w:sz w:val="20"/>
          <w:szCs w:val="20"/>
          <w:lang w:val="es-ES"/>
        </w:rPr>
        <w:t>etapa de determinación de la pena en los procesos que implican la pena de muerte.</w:t>
      </w:r>
    </w:p>
    <w:p w14:paraId="3BFA21A1" w14:textId="77777777" w:rsidR="0064667F" w:rsidRPr="0064667F" w:rsidRDefault="0064667F" w:rsidP="006466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jc w:val="both"/>
        <w:rPr>
          <w:rFonts w:asciiTheme="majorHAnsi" w:hAnsiTheme="majorHAnsi"/>
          <w:bCs/>
          <w:color w:val="auto"/>
          <w:sz w:val="20"/>
          <w:szCs w:val="20"/>
          <w:lang w:val="es-ES"/>
        </w:rPr>
      </w:pPr>
    </w:p>
    <w:p w14:paraId="05E8E726" w14:textId="66F1ECA5" w:rsidR="00FC33D3" w:rsidRPr="00FC33D3" w:rsidRDefault="00FC33D3" w:rsidP="00ED2F8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firstLine="0"/>
        <w:jc w:val="both"/>
        <w:rPr>
          <w:rFonts w:asciiTheme="majorHAnsi" w:hAnsiTheme="majorHAnsi"/>
          <w:bCs/>
          <w:color w:val="auto"/>
          <w:sz w:val="20"/>
          <w:szCs w:val="20"/>
          <w:lang w:val="es-ES"/>
        </w:rPr>
      </w:pPr>
      <w:r w:rsidRPr="00FC33D3">
        <w:rPr>
          <w:rFonts w:asciiTheme="majorHAnsi" w:hAnsiTheme="majorHAnsi"/>
          <w:bCs/>
          <w:color w:val="auto"/>
          <w:sz w:val="20"/>
          <w:szCs w:val="20"/>
          <w:lang w:val="es-ES"/>
        </w:rPr>
        <w:t xml:space="preserve">La CIDH </w:t>
      </w:r>
      <w:r w:rsidR="000F70AE">
        <w:rPr>
          <w:rFonts w:asciiTheme="majorHAnsi" w:hAnsiTheme="majorHAnsi"/>
          <w:bCs/>
          <w:color w:val="auto"/>
          <w:sz w:val="20"/>
          <w:szCs w:val="20"/>
          <w:lang w:val="es-ES"/>
        </w:rPr>
        <w:t>estableció</w:t>
      </w:r>
      <w:r w:rsidRPr="00FC33D3">
        <w:rPr>
          <w:rFonts w:asciiTheme="majorHAnsi" w:hAnsiTheme="majorHAnsi"/>
          <w:bCs/>
          <w:color w:val="auto"/>
          <w:sz w:val="20"/>
          <w:szCs w:val="20"/>
          <w:lang w:val="es-ES"/>
        </w:rPr>
        <w:t xml:space="preserve"> que </w:t>
      </w:r>
      <w:r>
        <w:rPr>
          <w:rFonts w:asciiTheme="majorHAnsi" w:hAnsiTheme="majorHAnsi"/>
          <w:bCs/>
          <w:color w:val="auto"/>
          <w:sz w:val="20"/>
          <w:szCs w:val="20"/>
          <w:lang w:val="es-ES"/>
        </w:rPr>
        <w:t>“</w:t>
      </w:r>
      <w:r w:rsidRPr="00FC33D3">
        <w:rPr>
          <w:rFonts w:asciiTheme="majorHAnsi" w:hAnsiTheme="majorHAnsi"/>
          <w:sz w:val="20"/>
          <w:szCs w:val="20"/>
          <w:lang w:val="es-ES"/>
        </w:rPr>
        <w:t>hay una distinción significativa y fundamental entre la presentación de pruebas de factores atenuantes y agravantes sobre las circunstancias de una persona acusada o su delito,</w:t>
      </w:r>
      <w:r>
        <w:rPr>
          <w:rFonts w:asciiTheme="majorHAnsi" w:hAnsiTheme="majorHAnsi"/>
          <w:sz w:val="20"/>
          <w:szCs w:val="20"/>
          <w:lang w:val="es-ES"/>
        </w:rPr>
        <w:t xml:space="preserve">” </w:t>
      </w:r>
      <w:r w:rsidR="00084427">
        <w:rPr>
          <w:rFonts w:asciiTheme="majorHAnsi" w:hAnsiTheme="majorHAnsi"/>
          <w:sz w:val="20"/>
          <w:szCs w:val="20"/>
          <w:lang w:val="es-ES"/>
        </w:rPr>
        <w:t>y la</w:t>
      </w:r>
      <w:r>
        <w:rPr>
          <w:rFonts w:asciiTheme="majorHAnsi" w:hAnsiTheme="majorHAnsi"/>
          <w:sz w:val="20"/>
          <w:szCs w:val="20"/>
          <w:lang w:val="es-ES"/>
        </w:rPr>
        <w:t xml:space="preserve"> introducción de pruebas destinadas a demostrar peligrosidad basándose en culpabilidad por delitos anteriores</w:t>
      </w:r>
      <w:r w:rsidR="00084427">
        <w:rPr>
          <w:rFonts w:asciiTheme="majorHAnsi" w:hAnsiTheme="majorHAnsi"/>
          <w:sz w:val="20"/>
          <w:szCs w:val="20"/>
          <w:lang w:val="es-ES"/>
        </w:rPr>
        <w:t xml:space="preserve"> que nunca fueron juzgados</w:t>
      </w:r>
      <w:r w:rsidR="00084427" w:rsidRPr="00DE2580">
        <w:rPr>
          <w:rStyle w:val="FootnoteReference"/>
          <w:rFonts w:asciiTheme="majorHAnsi" w:hAnsiTheme="majorHAnsi"/>
          <w:sz w:val="20"/>
          <w:szCs w:val="20"/>
        </w:rPr>
        <w:footnoteReference w:id="40"/>
      </w:r>
      <w:r w:rsidR="0040547A">
        <w:rPr>
          <w:rFonts w:asciiTheme="majorHAnsi" w:hAnsiTheme="majorHAnsi"/>
          <w:sz w:val="20"/>
          <w:szCs w:val="20"/>
          <w:lang w:val="es-ES"/>
        </w:rPr>
        <w:t>.</w:t>
      </w:r>
      <w:r w:rsidR="005B7522">
        <w:rPr>
          <w:rFonts w:asciiTheme="majorHAnsi" w:hAnsiTheme="majorHAnsi"/>
          <w:sz w:val="20"/>
          <w:szCs w:val="20"/>
          <w:lang w:val="es-ES"/>
        </w:rPr>
        <w:t xml:space="preserve"> La Comisión recomendó a Estados Unidos que prohibiera la introducción de pruebas </w:t>
      </w:r>
      <w:r w:rsidR="0064667F">
        <w:rPr>
          <w:rFonts w:asciiTheme="majorHAnsi" w:hAnsiTheme="majorHAnsi"/>
          <w:sz w:val="20"/>
          <w:szCs w:val="20"/>
          <w:lang w:val="es-ES"/>
        </w:rPr>
        <w:t xml:space="preserve">de delitos no juzgados durante la etapa de determinación de la pena de los juicios </w:t>
      </w:r>
      <w:r w:rsidR="001C7B1C">
        <w:rPr>
          <w:rFonts w:asciiTheme="majorHAnsi" w:hAnsiTheme="majorHAnsi"/>
          <w:sz w:val="20"/>
          <w:szCs w:val="20"/>
          <w:lang w:val="es-ES"/>
        </w:rPr>
        <w:t>de casos punibles con</w:t>
      </w:r>
      <w:r w:rsidR="0064667F">
        <w:rPr>
          <w:rFonts w:asciiTheme="majorHAnsi" w:hAnsiTheme="majorHAnsi"/>
          <w:sz w:val="20"/>
          <w:szCs w:val="20"/>
          <w:lang w:val="es-ES"/>
        </w:rPr>
        <w:t xml:space="preserve"> la pena capital.</w:t>
      </w:r>
      <w:r w:rsidR="000C0CE1">
        <w:rPr>
          <w:rFonts w:asciiTheme="majorHAnsi" w:hAnsiTheme="majorHAnsi"/>
          <w:sz w:val="20"/>
          <w:szCs w:val="20"/>
          <w:lang w:val="es-ES"/>
        </w:rPr>
        <w:t xml:space="preserve"> En los casos de Javier Suárez Medina, Humberto Leal García y Bernardo Aban Tercero, la CIDH llegó a la misma conclusión</w:t>
      </w:r>
      <w:r w:rsidR="00FB582D" w:rsidRPr="00DE2580">
        <w:rPr>
          <w:rStyle w:val="FootnoteReference"/>
          <w:rFonts w:asciiTheme="majorHAnsi" w:hAnsiTheme="majorHAnsi"/>
          <w:sz w:val="20"/>
          <w:szCs w:val="20"/>
        </w:rPr>
        <w:footnoteReference w:id="41"/>
      </w:r>
      <w:r w:rsidR="0040547A">
        <w:rPr>
          <w:rFonts w:asciiTheme="majorHAnsi" w:hAnsiTheme="majorHAnsi"/>
          <w:sz w:val="20"/>
          <w:szCs w:val="20"/>
          <w:lang w:val="es-ES"/>
        </w:rPr>
        <w:t>.</w:t>
      </w:r>
    </w:p>
    <w:p w14:paraId="52F83F1F" w14:textId="77777777" w:rsidR="00FC33D3" w:rsidRPr="00FC33D3" w:rsidRDefault="00FC33D3" w:rsidP="00FC33D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autoSpaceDE w:val="0"/>
        <w:autoSpaceDN w:val="0"/>
        <w:adjustRightInd w:val="0"/>
        <w:ind w:left="0"/>
        <w:jc w:val="both"/>
        <w:rPr>
          <w:rFonts w:asciiTheme="majorHAnsi" w:hAnsiTheme="majorHAnsi"/>
          <w:bCs/>
          <w:color w:val="auto"/>
          <w:sz w:val="20"/>
          <w:szCs w:val="20"/>
          <w:lang w:val="es-ES"/>
        </w:rPr>
      </w:pPr>
    </w:p>
    <w:p w14:paraId="189A6972" w14:textId="77777777" w:rsidR="00576B5B" w:rsidRPr="00576B5B" w:rsidRDefault="00576B5B"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lang w:val="es-ES"/>
        </w:rPr>
      </w:pPr>
      <w:r w:rsidRPr="00576B5B">
        <w:rPr>
          <w:rFonts w:asciiTheme="majorHAnsi" w:hAnsiTheme="majorHAnsi"/>
          <w:sz w:val="20"/>
          <w:szCs w:val="20"/>
          <w:lang w:val="es-ES"/>
        </w:rPr>
        <w:t>En el presente caso, l</w:t>
      </w:r>
      <w:r>
        <w:rPr>
          <w:rFonts w:asciiTheme="majorHAnsi" w:hAnsiTheme="majorHAnsi"/>
          <w:sz w:val="20"/>
          <w:szCs w:val="20"/>
          <w:lang w:val="es-ES"/>
        </w:rPr>
        <w:t>os peticionarios alegan que el abogado</w:t>
      </w:r>
      <w:r w:rsidR="00147BB3">
        <w:rPr>
          <w:rFonts w:asciiTheme="majorHAnsi" w:hAnsiTheme="majorHAnsi"/>
          <w:sz w:val="20"/>
          <w:szCs w:val="20"/>
          <w:lang w:val="es-ES"/>
        </w:rPr>
        <w:t xml:space="preserve"> que actuó ante los tribunales</w:t>
      </w:r>
      <w:r>
        <w:rPr>
          <w:rFonts w:asciiTheme="majorHAnsi" w:hAnsiTheme="majorHAnsi"/>
          <w:sz w:val="20"/>
          <w:szCs w:val="20"/>
          <w:lang w:val="es-ES"/>
        </w:rPr>
        <w:t xml:space="preserve"> permitió la admisión de pruebas de delitos no juzgados durante la etapa de la sentencia. El Estado sostiene que esta alegación fue rechazada por la Suprema Corte de Georgia, así como en la corte</w:t>
      </w:r>
      <w:r w:rsidR="0025654E">
        <w:rPr>
          <w:rFonts w:asciiTheme="majorHAnsi" w:hAnsiTheme="majorHAnsi"/>
          <w:sz w:val="20"/>
          <w:szCs w:val="20"/>
          <w:lang w:val="es-ES"/>
        </w:rPr>
        <w:t xml:space="preserve"> federal</w:t>
      </w:r>
      <w:r>
        <w:rPr>
          <w:rFonts w:asciiTheme="majorHAnsi" w:hAnsiTheme="majorHAnsi"/>
          <w:sz w:val="20"/>
          <w:szCs w:val="20"/>
          <w:lang w:val="es-ES"/>
        </w:rPr>
        <w:t xml:space="preserve"> que entendió sobre el recurso de habeas corpus.</w:t>
      </w:r>
    </w:p>
    <w:p w14:paraId="76CC0471" w14:textId="77777777" w:rsidR="00405388" w:rsidRPr="000C293C" w:rsidRDefault="00405388" w:rsidP="00F349BC">
      <w:pPr>
        <w:pStyle w:val="ListParagraph"/>
        <w:tabs>
          <w:tab w:val="left" w:pos="1890"/>
        </w:tabs>
        <w:rPr>
          <w:rFonts w:asciiTheme="majorHAnsi" w:eastAsia="Arial Unicode MS" w:hAnsiTheme="majorHAnsi" w:cs="Times New Roman"/>
          <w:color w:val="auto"/>
          <w:sz w:val="20"/>
          <w:szCs w:val="20"/>
          <w:lang w:val="es-ES" w:eastAsia="en-US"/>
        </w:rPr>
      </w:pPr>
    </w:p>
    <w:p w14:paraId="0BD34E94" w14:textId="77777777" w:rsidR="002208F4" w:rsidRPr="002208F4" w:rsidRDefault="002208F4"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2208F4">
        <w:rPr>
          <w:rFonts w:asciiTheme="majorHAnsi" w:hAnsiTheme="majorHAnsi"/>
          <w:sz w:val="20"/>
          <w:szCs w:val="20"/>
          <w:lang w:val="es-ES"/>
        </w:rPr>
        <w:t>De acuerdo con la i</w:t>
      </w:r>
      <w:r>
        <w:rPr>
          <w:rFonts w:asciiTheme="majorHAnsi" w:hAnsiTheme="majorHAnsi"/>
          <w:sz w:val="20"/>
          <w:szCs w:val="20"/>
          <w:lang w:val="es-ES"/>
        </w:rPr>
        <w:t xml:space="preserve">nformación disponible, en la audiencia para </w:t>
      </w:r>
      <w:r w:rsidR="00343261">
        <w:rPr>
          <w:rFonts w:asciiTheme="majorHAnsi" w:hAnsiTheme="majorHAnsi"/>
          <w:sz w:val="20"/>
          <w:szCs w:val="20"/>
          <w:lang w:val="es-ES"/>
        </w:rPr>
        <w:t xml:space="preserve">la </w:t>
      </w:r>
      <w:r>
        <w:rPr>
          <w:rFonts w:asciiTheme="majorHAnsi" w:hAnsiTheme="majorHAnsi"/>
          <w:sz w:val="20"/>
          <w:szCs w:val="20"/>
          <w:lang w:val="es-ES"/>
        </w:rPr>
        <w:t>determinación de la pena la fiscalía introdujo pruebas de tres delitos no juzgados que presuntamente el señor Housel habría cometido. El señor Housel confesó dos de los tres delitos. La Corte de Apelaciones de Estados Unidos en la fase posterior a la condena sostuvo que la admisión de dichas pruebas fue constitucional mientras fueran fiables y dirigidas a la confesión del señor Housel.</w:t>
      </w:r>
    </w:p>
    <w:p w14:paraId="447A2A0E" w14:textId="77777777" w:rsidR="00405388" w:rsidRPr="000C293C" w:rsidRDefault="00405388" w:rsidP="00543E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r w:rsidRPr="000C293C">
        <w:rPr>
          <w:rFonts w:asciiTheme="majorHAnsi" w:hAnsiTheme="majorHAnsi"/>
          <w:sz w:val="20"/>
          <w:szCs w:val="20"/>
          <w:highlight w:val="yellow"/>
          <w:lang w:val="es-ES"/>
        </w:rPr>
        <w:t xml:space="preserve"> </w:t>
      </w:r>
    </w:p>
    <w:p w14:paraId="1DAC2DF6" w14:textId="0F52D783" w:rsidR="00E00F7B" w:rsidRPr="00E00F7B" w:rsidRDefault="00E00F7B"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autoSpaceDE w:val="0"/>
        <w:autoSpaceDN w:val="0"/>
        <w:adjustRightInd w:val="0"/>
        <w:ind w:left="0" w:firstLine="0"/>
        <w:jc w:val="both"/>
        <w:rPr>
          <w:rFonts w:ascii="Cambria" w:hAnsi="Cambria"/>
          <w:bCs/>
          <w:sz w:val="20"/>
          <w:szCs w:val="20"/>
          <w:lang w:val="es-ES"/>
        </w:rPr>
      </w:pPr>
      <w:r w:rsidRPr="00E00F7B">
        <w:rPr>
          <w:rFonts w:ascii="Cambria" w:hAnsi="Cambria"/>
          <w:bCs/>
          <w:sz w:val="20"/>
          <w:szCs w:val="20"/>
          <w:lang w:val="es-ES"/>
        </w:rPr>
        <w:t>La Comisión observa que, s</w:t>
      </w:r>
      <w:r>
        <w:rPr>
          <w:rFonts w:ascii="Cambria" w:hAnsi="Cambria"/>
          <w:bCs/>
          <w:sz w:val="20"/>
          <w:szCs w:val="20"/>
          <w:lang w:val="es-ES"/>
        </w:rPr>
        <w:t xml:space="preserve">egún la jurisprudencia mencionada anteriormente, la introducción de pruebas sobre delitos no juzgados en </w:t>
      </w:r>
      <w:r w:rsidR="00855FB6">
        <w:rPr>
          <w:rFonts w:ascii="Cambria" w:hAnsi="Cambria"/>
          <w:bCs/>
          <w:sz w:val="20"/>
          <w:szCs w:val="20"/>
          <w:lang w:val="es-ES"/>
        </w:rPr>
        <w:t>la audiencia</w:t>
      </w:r>
      <w:r>
        <w:rPr>
          <w:rFonts w:ascii="Cambria" w:hAnsi="Cambria"/>
          <w:bCs/>
          <w:sz w:val="20"/>
          <w:szCs w:val="20"/>
          <w:lang w:val="es-ES"/>
        </w:rPr>
        <w:t xml:space="preserve"> de imposición de pena capital es contraria a</w:t>
      </w:r>
      <w:r w:rsidR="00855FB6">
        <w:rPr>
          <w:rFonts w:ascii="Cambria" w:hAnsi="Cambria"/>
          <w:bCs/>
          <w:sz w:val="20"/>
          <w:szCs w:val="20"/>
          <w:lang w:val="es-ES"/>
        </w:rPr>
        <w:t>l derecho</w:t>
      </w:r>
      <w:r>
        <w:rPr>
          <w:rFonts w:ascii="Cambria" w:hAnsi="Cambria"/>
          <w:bCs/>
          <w:sz w:val="20"/>
          <w:szCs w:val="20"/>
          <w:lang w:val="es-ES"/>
        </w:rPr>
        <w:t xml:space="preserve"> a un juicio justo y al debido proceso legal. Esto es así, independientemente de la fiabilidad o veracidad de dichas pruebas, dado que la violación se debe al hecho de que la intención y la consecuencia del uso de pruebas de delitos no juzgados es determinar la culpabilidad del acusado y la pena por los otros delitos no juzgados a través de una </w:t>
      </w:r>
      <w:r w:rsidR="007636C7">
        <w:rPr>
          <w:rFonts w:ascii="Cambria" w:hAnsi="Cambria"/>
          <w:bCs/>
          <w:sz w:val="20"/>
          <w:szCs w:val="20"/>
          <w:lang w:val="es-ES"/>
        </w:rPr>
        <w:t>audiencia</w:t>
      </w:r>
      <w:r>
        <w:rPr>
          <w:rFonts w:ascii="Cambria" w:hAnsi="Cambria"/>
          <w:bCs/>
          <w:sz w:val="20"/>
          <w:szCs w:val="20"/>
          <w:lang w:val="es-ES"/>
        </w:rPr>
        <w:t xml:space="preserve"> para determinar </w:t>
      </w:r>
      <w:r w:rsidR="007636C7">
        <w:rPr>
          <w:rFonts w:ascii="Cambria" w:hAnsi="Cambria"/>
          <w:bCs/>
          <w:sz w:val="20"/>
          <w:szCs w:val="20"/>
          <w:lang w:val="es-ES"/>
        </w:rPr>
        <w:t>una</w:t>
      </w:r>
      <w:r>
        <w:rPr>
          <w:rFonts w:ascii="Cambria" w:hAnsi="Cambria"/>
          <w:bCs/>
          <w:sz w:val="20"/>
          <w:szCs w:val="20"/>
          <w:lang w:val="es-ES"/>
        </w:rPr>
        <w:t xml:space="preserve"> pena</w:t>
      </w:r>
      <w:r w:rsidR="007636C7">
        <w:rPr>
          <w:rFonts w:ascii="Cambria" w:hAnsi="Cambria"/>
          <w:bCs/>
          <w:sz w:val="20"/>
          <w:szCs w:val="20"/>
          <w:lang w:val="es-ES"/>
        </w:rPr>
        <w:t xml:space="preserve"> y no a través d</w:t>
      </w:r>
      <w:r w:rsidR="001C3BAD">
        <w:rPr>
          <w:rFonts w:ascii="Cambria" w:hAnsi="Cambria"/>
          <w:bCs/>
          <w:sz w:val="20"/>
          <w:szCs w:val="20"/>
          <w:lang w:val="es-ES"/>
        </w:rPr>
        <w:t xml:space="preserve">el debido y justo proceso de </w:t>
      </w:r>
      <w:r>
        <w:rPr>
          <w:rFonts w:ascii="Cambria" w:hAnsi="Cambria"/>
          <w:bCs/>
          <w:sz w:val="20"/>
          <w:szCs w:val="20"/>
          <w:lang w:val="es-ES"/>
        </w:rPr>
        <w:t>juicio</w:t>
      </w:r>
      <w:r w:rsidR="001C3BAD" w:rsidRPr="00DE2580">
        <w:rPr>
          <w:rStyle w:val="FootnoteReference"/>
          <w:rFonts w:asciiTheme="majorHAnsi" w:hAnsiTheme="majorHAnsi"/>
          <w:sz w:val="20"/>
          <w:szCs w:val="20"/>
        </w:rPr>
        <w:footnoteReference w:id="42"/>
      </w:r>
      <w:r w:rsidR="0040547A">
        <w:rPr>
          <w:rStyle w:val="FootnoteReference"/>
          <w:rFonts w:asciiTheme="majorHAnsi" w:hAnsiTheme="majorHAnsi"/>
          <w:sz w:val="20"/>
          <w:szCs w:val="20"/>
          <w:lang w:val="es-ES"/>
        </w:rPr>
        <w:t>.</w:t>
      </w:r>
      <w:r w:rsidR="001C3BAD" w:rsidRPr="001C3BAD">
        <w:rPr>
          <w:rFonts w:asciiTheme="majorHAnsi" w:hAnsiTheme="majorHAnsi"/>
          <w:sz w:val="20"/>
          <w:szCs w:val="20"/>
          <w:lang w:val="es-ES"/>
        </w:rPr>
        <w:t> </w:t>
      </w:r>
      <w:r w:rsidR="001C3BAD">
        <w:rPr>
          <w:rFonts w:asciiTheme="majorHAnsi" w:hAnsiTheme="majorHAnsi"/>
          <w:sz w:val="20"/>
          <w:szCs w:val="20"/>
          <w:lang w:val="es-ES"/>
        </w:rPr>
        <w:t xml:space="preserve"> Por lo tanto, la CIDH llega a la conclusión de que Estados Unidos violó los derechos del señor Housel establecidos en los artículos XVIII y XXVI de la Declaración Americana.</w:t>
      </w:r>
    </w:p>
    <w:p w14:paraId="716BE5CB" w14:textId="77777777" w:rsidR="00E76AE8" w:rsidRPr="000C293C" w:rsidRDefault="00E76AE8"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ind w:left="360"/>
        <w:jc w:val="both"/>
        <w:rPr>
          <w:rFonts w:asciiTheme="majorHAnsi" w:hAnsiTheme="majorHAnsi"/>
          <w:sz w:val="20"/>
          <w:szCs w:val="20"/>
          <w:lang w:val="es-ES"/>
        </w:rPr>
      </w:pPr>
    </w:p>
    <w:p w14:paraId="535B9C20" w14:textId="77777777" w:rsidR="009576D9" w:rsidRPr="000975C0" w:rsidRDefault="009576D9" w:rsidP="00ED2F81">
      <w:pPr>
        <w:pStyle w:val="Heading2"/>
        <w:numPr>
          <w:ilvl w:val="0"/>
          <w:numId w:val="67"/>
        </w:numPr>
        <w:spacing w:before="0"/>
        <w:ind w:left="360"/>
        <w:jc w:val="both"/>
        <w:rPr>
          <w:color w:val="auto"/>
          <w:sz w:val="20"/>
          <w:szCs w:val="20"/>
          <w:lang w:val="es-ES"/>
        </w:rPr>
      </w:pPr>
      <w:bookmarkStart w:id="31" w:name="_Toc150529900"/>
      <w:bookmarkStart w:id="32" w:name="_Toc22826185"/>
      <w:r w:rsidRPr="000975C0">
        <w:rPr>
          <w:color w:val="auto"/>
          <w:sz w:val="20"/>
          <w:szCs w:val="20"/>
          <w:lang w:val="es-ES"/>
        </w:rPr>
        <w:t xml:space="preserve">La privación de la libertad en el pabellón de </w:t>
      </w:r>
      <w:r w:rsidR="00017FC5" w:rsidRPr="000975C0">
        <w:rPr>
          <w:color w:val="auto"/>
          <w:sz w:val="20"/>
          <w:szCs w:val="20"/>
          <w:lang w:val="es-ES"/>
        </w:rPr>
        <w:t>los condenados a</w:t>
      </w:r>
      <w:r w:rsidRPr="000975C0">
        <w:rPr>
          <w:color w:val="auto"/>
          <w:sz w:val="20"/>
          <w:szCs w:val="20"/>
          <w:lang w:val="es-ES"/>
        </w:rPr>
        <w:t xml:space="preserve"> muerte y el derecho de protección contra penas crueles, infamantes o inusitadas</w:t>
      </w:r>
      <w:r w:rsidRPr="0056246C">
        <w:rPr>
          <w:rStyle w:val="FootnoteReference"/>
          <w:rFonts w:eastAsia="Times New Roman"/>
          <w:color w:val="auto"/>
          <w:sz w:val="20"/>
          <w:szCs w:val="20"/>
          <w:bdr w:val="none" w:sz="0" w:space="0" w:color="auto"/>
        </w:rPr>
        <w:footnoteReference w:id="43"/>
      </w:r>
      <w:bookmarkEnd w:id="31"/>
    </w:p>
    <w:p w14:paraId="7C81495E" w14:textId="177AE155" w:rsidR="00600711" w:rsidRPr="0056246C" w:rsidRDefault="009576D9" w:rsidP="00ED2F81">
      <w:pPr>
        <w:pStyle w:val="Heading3"/>
        <w:numPr>
          <w:ilvl w:val="0"/>
          <w:numId w:val="68"/>
        </w:numPr>
        <w:ind w:left="360"/>
        <w:rPr>
          <w:color w:val="auto"/>
          <w:sz w:val="20"/>
          <w:szCs w:val="20"/>
          <w:lang w:val="es-ES"/>
        </w:rPr>
      </w:pPr>
      <w:bookmarkStart w:id="33" w:name="_Toc150529901"/>
      <w:bookmarkStart w:id="34" w:name="_Toc22826186"/>
      <w:bookmarkEnd w:id="32"/>
      <w:r w:rsidRPr="0056246C">
        <w:rPr>
          <w:color w:val="auto"/>
          <w:sz w:val="20"/>
          <w:szCs w:val="20"/>
          <w:lang w:val="es-ES"/>
        </w:rPr>
        <w:t xml:space="preserve">Condiciones de </w:t>
      </w:r>
      <w:r w:rsidR="00DA15AC" w:rsidRPr="0056246C">
        <w:rPr>
          <w:color w:val="auto"/>
          <w:sz w:val="20"/>
          <w:szCs w:val="20"/>
          <w:lang w:val="es-ES"/>
        </w:rPr>
        <w:t>reclusión</w:t>
      </w:r>
      <w:r w:rsidR="009E06AC" w:rsidRPr="0056246C">
        <w:rPr>
          <w:color w:val="auto"/>
          <w:sz w:val="20"/>
          <w:szCs w:val="20"/>
          <w:lang w:val="es-ES"/>
        </w:rPr>
        <w:t xml:space="preserve"> </w:t>
      </w:r>
      <w:r w:rsidRPr="0056246C">
        <w:rPr>
          <w:color w:val="auto"/>
          <w:sz w:val="20"/>
          <w:szCs w:val="20"/>
          <w:lang w:val="es-ES"/>
        </w:rPr>
        <w:t xml:space="preserve">previas al juicio y </w:t>
      </w:r>
      <w:r w:rsidR="00E51980" w:rsidRPr="0056246C">
        <w:rPr>
          <w:color w:val="auto"/>
          <w:sz w:val="20"/>
          <w:szCs w:val="20"/>
          <w:lang w:val="es-ES"/>
        </w:rPr>
        <w:t>régimen de aislamiento prolongado</w:t>
      </w:r>
      <w:bookmarkEnd w:id="33"/>
    </w:p>
    <w:bookmarkEnd w:id="34"/>
    <w:p w14:paraId="06E8A1E0" w14:textId="77777777" w:rsidR="004F4AEF" w:rsidRPr="000C293C" w:rsidRDefault="004F4AEF"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lang w:val="es-ES"/>
        </w:rPr>
      </w:pPr>
    </w:p>
    <w:p w14:paraId="2141B4C5" w14:textId="0F04C4AA" w:rsidR="004F4AEF" w:rsidRDefault="00BB2876"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sidRPr="00BB2876">
        <w:rPr>
          <w:rFonts w:asciiTheme="majorHAnsi" w:hAnsiTheme="majorHAnsi"/>
          <w:sz w:val="20"/>
          <w:szCs w:val="20"/>
          <w:bdr w:val="none" w:sz="0" w:space="0" w:color="auto" w:frame="1"/>
          <w:lang w:val="es-ES"/>
        </w:rPr>
        <w:t>La Comisión Interamericana de D</w:t>
      </w:r>
      <w:r>
        <w:rPr>
          <w:rFonts w:asciiTheme="majorHAnsi" w:hAnsiTheme="majorHAnsi"/>
          <w:sz w:val="20"/>
          <w:szCs w:val="20"/>
          <w:bdr w:val="none" w:sz="0" w:space="0" w:color="auto" w:frame="1"/>
          <w:lang w:val="es-ES"/>
        </w:rPr>
        <w:t xml:space="preserve">erechos Humanos ha determinado que la privación de la libertad bajo ciertas condiciones </w:t>
      </w:r>
      <w:r w:rsidR="00AC11E4">
        <w:rPr>
          <w:rFonts w:asciiTheme="majorHAnsi" w:hAnsiTheme="majorHAnsi"/>
          <w:sz w:val="20"/>
          <w:szCs w:val="20"/>
          <w:bdr w:val="none" w:sz="0" w:space="0" w:color="auto" w:frame="1"/>
          <w:lang w:val="es-ES"/>
        </w:rPr>
        <w:t xml:space="preserve">en el pabellón de </w:t>
      </w:r>
      <w:r w:rsidR="00430A33">
        <w:rPr>
          <w:rFonts w:asciiTheme="majorHAnsi" w:hAnsiTheme="majorHAnsi"/>
          <w:sz w:val="20"/>
          <w:szCs w:val="20"/>
          <w:bdr w:val="none" w:sz="0" w:space="0" w:color="auto" w:frame="1"/>
          <w:lang w:val="es-ES"/>
        </w:rPr>
        <w:t>los condenados a</w:t>
      </w:r>
      <w:r w:rsidR="00AC11E4">
        <w:rPr>
          <w:rFonts w:asciiTheme="majorHAnsi" w:hAnsiTheme="majorHAnsi"/>
          <w:sz w:val="20"/>
          <w:szCs w:val="20"/>
          <w:bdr w:val="none" w:sz="0" w:space="0" w:color="auto" w:frame="1"/>
          <w:lang w:val="es-ES"/>
        </w:rPr>
        <w:t xml:space="preserve"> muerte, incluid</w:t>
      </w:r>
      <w:r w:rsidR="009153F8">
        <w:rPr>
          <w:rFonts w:asciiTheme="majorHAnsi" w:hAnsiTheme="majorHAnsi"/>
          <w:sz w:val="20"/>
          <w:szCs w:val="20"/>
          <w:bdr w:val="none" w:sz="0" w:space="0" w:color="auto" w:frame="1"/>
          <w:lang w:val="es-ES"/>
        </w:rPr>
        <w:t>o el régimen de aislamiento</w:t>
      </w:r>
      <w:r w:rsidR="0007650E">
        <w:rPr>
          <w:rFonts w:asciiTheme="majorHAnsi" w:hAnsiTheme="majorHAnsi"/>
          <w:sz w:val="20"/>
          <w:szCs w:val="20"/>
          <w:bdr w:val="none" w:sz="0" w:space="0" w:color="auto" w:frame="1"/>
          <w:lang w:val="es-ES"/>
        </w:rPr>
        <w:t xml:space="preserve"> durante cuatro años, constituyó un trato inhumano</w:t>
      </w:r>
      <w:r w:rsidR="0007650E" w:rsidRPr="00DE2580">
        <w:rPr>
          <w:rFonts w:ascii="Cambria" w:hAnsi="Cambria"/>
          <w:sz w:val="20"/>
          <w:vertAlign w:val="superscript"/>
        </w:rPr>
        <w:footnoteReference w:id="44"/>
      </w:r>
      <w:r w:rsidR="0040547A">
        <w:rPr>
          <w:rFonts w:asciiTheme="majorHAnsi" w:hAnsiTheme="majorHAnsi"/>
          <w:sz w:val="20"/>
          <w:szCs w:val="20"/>
          <w:bdr w:val="none" w:sz="0" w:space="0" w:color="auto" w:frame="1"/>
          <w:lang w:val="es-ES"/>
        </w:rPr>
        <w:t>.</w:t>
      </w:r>
      <w:r w:rsidR="0007650E" w:rsidRPr="0007650E">
        <w:rPr>
          <w:rFonts w:ascii="Cambria" w:hAnsi="Cambria"/>
          <w:sz w:val="20"/>
          <w:vertAlign w:val="superscript"/>
          <w:lang w:val="es-ES"/>
        </w:rPr>
        <w:t xml:space="preserve"> </w:t>
      </w:r>
      <w:r w:rsidR="0007650E">
        <w:rPr>
          <w:rFonts w:ascii="Cambria" w:hAnsi="Cambria"/>
          <w:sz w:val="20"/>
          <w:vertAlign w:val="superscript"/>
          <w:lang w:val="es-ES"/>
        </w:rPr>
        <w:t xml:space="preserve"> </w:t>
      </w:r>
      <w:r w:rsidR="0007650E">
        <w:rPr>
          <w:rFonts w:asciiTheme="majorHAnsi" w:hAnsiTheme="majorHAnsi"/>
          <w:sz w:val="20"/>
          <w:szCs w:val="20"/>
          <w:bdr w:val="none" w:sz="0" w:space="0" w:color="auto" w:frame="1"/>
          <w:lang w:val="es-ES"/>
        </w:rPr>
        <w:t>Según las normas</w:t>
      </w:r>
      <w:r w:rsidR="008E76E1">
        <w:rPr>
          <w:rFonts w:asciiTheme="majorHAnsi" w:hAnsiTheme="majorHAnsi"/>
          <w:sz w:val="20"/>
          <w:szCs w:val="20"/>
          <w:bdr w:val="none" w:sz="0" w:space="0" w:color="auto" w:frame="1"/>
          <w:lang w:val="es-ES"/>
        </w:rPr>
        <w:t xml:space="preserve"> internacionales</w:t>
      </w:r>
      <w:r w:rsidR="0007650E">
        <w:rPr>
          <w:rFonts w:asciiTheme="majorHAnsi" w:hAnsiTheme="majorHAnsi"/>
          <w:sz w:val="20"/>
          <w:szCs w:val="20"/>
          <w:bdr w:val="none" w:sz="0" w:space="0" w:color="auto" w:frame="1"/>
          <w:lang w:val="es-ES"/>
        </w:rPr>
        <w:t xml:space="preserve"> de derechos humanos, las personas privadas de libertad en el pabellón de</w:t>
      </w:r>
      <w:r w:rsidR="00430A33">
        <w:rPr>
          <w:rFonts w:asciiTheme="majorHAnsi" w:hAnsiTheme="majorHAnsi"/>
          <w:sz w:val="20"/>
          <w:szCs w:val="20"/>
          <w:bdr w:val="none" w:sz="0" w:space="0" w:color="auto" w:frame="1"/>
          <w:lang w:val="es-ES"/>
        </w:rPr>
        <w:t xml:space="preserve"> los condenados a</w:t>
      </w:r>
      <w:r w:rsidR="0007650E">
        <w:rPr>
          <w:rFonts w:asciiTheme="majorHAnsi" w:hAnsiTheme="majorHAnsi"/>
          <w:sz w:val="20"/>
          <w:szCs w:val="20"/>
          <w:bdr w:val="none" w:sz="0" w:space="0" w:color="auto" w:frame="1"/>
          <w:lang w:val="es-ES"/>
        </w:rPr>
        <w:t xml:space="preserve"> muerte no deben estar sujetas a</w:t>
      </w:r>
      <w:r w:rsidR="009153F8">
        <w:rPr>
          <w:rFonts w:asciiTheme="majorHAnsi" w:hAnsiTheme="majorHAnsi"/>
          <w:sz w:val="20"/>
          <w:szCs w:val="20"/>
          <w:bdr w:val="none" w:sz="0" w:space="0" w:color="auto" w:frame="1"/>
          <w:lang w:val="es-ES"/>
        </w:rPr>
        <w:t>l régimen de aislamiento</w:t>
      </w:r>
      <w:r w:rsidR="0007650E">
        <w:rPr>
          <w:rFonts w:asciiTheme="majorHAnsi" w:hAnsiTheme="majorHAnsi"/>
          <w:sz w:val="20"/>
          <w:szCs w:val="20"/>
          <w:bdr w:val="none" w:sz="0" w:space="0" w:color="auto" w:frame="1"/>
          <w:lang w:val="es-ES"/>
        </w:rPr>
        <w:t xml:space="preserve"> como un</w:t>
      </w:r>
      <w:r w:rsidR="009153F8">
        <w:rPr>
          <w:rFonts w:asciiTheme="majorHAnsi" w:hAnsiTheme="majorHAnsi"/>
          <w:sz w:val="20"/>
          <w:szCs w:val="20"/>
          <w:bdr w:val="none" w:sz="0" w:space="0" w:color="auto" w:frame="1"/>
          <w:lang w:val="es-ES"/>
        </w:rPr>
        <w:t>a condición</w:t>
      </w:r>
      <w:r w:rsidR="0007650E">
        <w:rPr>
          <w:rFonts w:asciiTheme="majorHAnsi" w:hAnsiTheme="majorHAnsi"/>
          <w:sz w:val="20"/>
          <w:szCs w:val="20"/>
          <w:bdr w:val="none" w:sz="0" w:space="0" w:color="auto" w:frame="1"/>
          <w:lang w:val="es-ES"/>
        </w:rPr>
        <w:t xml:space="preserve"> regular de reclusión, sino solamente en circunstancias excepcionales</w:t>
      </w:r>
      <w:r w:rsidR="00A8779D">
        <w:rPr>
          <w:rFonts w:asciiTheme="majorHAnsi" w:hAnsiTheme="majorHAnsi"/>
          <w:sz w:val="20"/>
          <w:szCs w:val="20"/>
          <w:bdr w:val="none" w:sz="0" w:space="0" w:color="auto" w:frame="1"/>
          <w:lang w:val="es-ES"/>
        </w:rPr>
        <w:t xml:space="preserve"> y únicamente como una pena disciplinaria en </w:t>
      </w:r>
      <w:r w:rsidR="006021BB">
        <w:rPr>
          <w:rFonts w:asciiTheme="majorHAnsi" w:hAnsiTheme="majorHAnsi"/>
          <w:sz w:val="20"/>
          <w:szCs w:val="20"/>
          <w:bdr w:val="none" w:sz="0" w:space="0" w:color="auto" w:frame="1"/>
          <w:lang w:val="es-ES"/>
        </w:rPr>
        <w:t>dichos casos y bajo las mismas condiciones en las que esas medidas se aplican a los demás reclusos</w:t>
      </w:r>
      <w:r w:rsidR="0045180D" w:rsidRPr="009F4761">
        <w:rPr>
          <w:rStyle w:val="FootnoteReference"/>
          <w:rFonts w:asciiTheme="majorHAnsi" w:hAnsiTheme="majorHAnsi"/>
          <w:bCs/>
          <w:sz w:val="20"/>
          <w:szCs w:val="20"/>
          <w:lang w:val="es-ES"/>
        </w:rPr>
        <w:t xml:space="preserve"> </w:t>
      </w:r>
      <w:r w:rsidR="0045180D" w:rsidRPr="00DE2580">
        <w:rPr>
          <w:rStyle w:val="FootnoteReference"/>
          <w:rFonts w:asciiTheme="majorHAnsi" w:hAnsiTheme="majorHAnsi"/>
          <w:bCs/>
          <w:sz w:val="20"/>
          <w:szCs w:val="20"/>
        </w:rPr>
        <w:footnoteReference w:id="45"/>
      </w:r>
      <w:r w:rsidR="0040547A" w:rsidRPr="0040547A">
        <w:rPr>
          <w:rFonts w:asciiTheme="majorHAnsi" w:hAnsiTheme="majorHAnsi"/>
          <w:sz w:val="20"/>
          <w:szCs w:val="20"/>
          <w:bdr w:val="none" w:sz="0" w:space="0" w:color="auto" w:frame="1"/>
          <w:lang w:val="es-ES"/>
        </w:rPr>
        <w:t>.</w:t>
      </w:r>
    </w:p>
    <w:p w14:paraId="105D2238" w14:textId="77777777" w:rsidR="0040547A" w:rsidRPr="0040547A" w:rsidRDefault="0040547A" w:rsidP="0040547A">
      <w:pPr>
        <w:pStyle w:val="NormalWeb"/>
        <w:shd w:val="clear" w:color="auto" w:fill="FFFFFF"/>
        <w:tabs>
          <w:tab w:val="left" w:pos="360"/>
          <w:tab w:val="left" w:pos="1890"/>
        </w:tabs>
        <w:spacing w:before="0" w:beforeAutospacing="0" w:after="0" w:afterAutospacing="0"/>
        <w:jc w:val="both"/>
        <w:rPr>
          <w:rFonts w:asciiTheme="majorHAnsi" w:hAnsiTheme="majorHAnsi"/>
          <w:sz w:val="20"/>
          <w:szCs w:val="20"/>
          <w:bdr w:val="none" w:sz="0" w:space="0" w:color="auto" w:frame="1"/>
          <w:lang w:val="es-ES"/>
        </w:rPr>
      </w:pPr>
    </w:p>
    <w:p w14:paraId="70C0A9C7" w14:textId="09153DA3" w:rsidR="00BD769A" w:rsidRPr="003B5B98" w:rsidRDefault="00BD769A"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sidRPr="00BD769A">
        <w:rPr>
          <w:rFonts w:ascii="Cambria" w:hAnsi="Cambria"/>
          <w:sz w:val="20"/>
          <w:szCs w:val="20"/>
          <w:lang w:val="es-ES"/>
        </w:rPr>
        <w:t>La CIDH ha determinado q</w:t>
      </w:r>
      <w:r>
        <w:rPr>
          <w:rFonts w:ascii="Cambria" w:hAnsi="Cambria"/>
          <w:sz w:val="20"/>
          <w:szCs w:val="20"/>
          <w:lang w:val="es-ES"/>
        </w:rPr>
        <w:t>ue el régimen de aislamiento solo debe aplicarse en casos excepcionales, por el período de tiempo más breve posible</w:t>
      </w:r>
      <w:r w:rsidR="003E6039">
        <w:rPr>
          <w:rFonts w:ascii="Cambria" w:hAnsi="Cambria"/>
          <w:sz w:val="20"/>
          <w:szCs w:val="20"/>
          <w:lang w:val="es-ES"/>
        </w:rPr>
        <w:t xml:space="preserve"> y</w:t>
      </w:r>
      <w:r>
        <w:rPr>
          <w:rFonts w:ascii="Cambria" w:hAnsi="Cambria"/>
          <w:sz w:val="20"/>
          <w:szCs w:val="20"/>
          <w:lang w:val="es-ES"/>
        </w:rPr>
        <w:t xml:space="preserve"> solamente como medida de último recurso</w:t>
      </w:r>
      <w:r w:rsidRPr="00DE2580">
        <w:rPr>
          <w:rStyle w:val="FootnoteReference"/>
          <w:rFonts w:asciiTheme="majorHAnsi" w:hAnsiTheme="majorHAnsi"/>
          <w:bCs/>
          <w:sz w:val="20"/>
          <w:szCs w:val="20"/>
        </w:rPr>
        <w:footnoteReference w:id="46"/>
      </w:r>
      <w:r w:rsidR="0040547A">
        <w:rPr>
          <w:rFonts w:asciiTheme="majorHAnsi" w:hAnsiTheme="majorHAnsi"/>
          <w:bCs/>
          <w:sz w:val="20"/>
          <w:szCs w:val="20"/>
          <w:lang w:val="es-ES"/>
        </w:rPr>
        <w:t xml:space="preserve">. </w:t>
      </w:r>
      <w:r w:rsidR="003B5B98" w:rsidRPr="003B5B98">
        <w:rPr>
          <w:rFonts w:asciiTheme="majorHAnsi" w:hAnsiTheme="majorHAnsi"/>
          <w:bCs/>
          <w:sz w:val="20"/>
          <w:szCs w:val="20"/>
          <w:lang w:val="es-ES"/>
        </w:rPr>
        <w:t>L</w:t>
      </w:r>
      <w:r w:rsidR="003B5B98">
        <w:rPr>
          <w:rFonts w:asciiTheme="majorHAnsi" w:hAnsiTheme="majorHAnsi"/>
          <w:bCs/>
          <w:sz w:val="20"/>
          <w:szCs w:val="20"/>
          <w:lang w:val="es-ES"/>
        </w:rPr>
        <w:t>os</w:t>
      </w:r>
      <w:r w:rsidR="003B5B98" w:rsidRPr="003B5B98">
        <w:rPr>
          <w:rFonts w:ascii="Cambria" w:hAnsi="Cambria"/>
          <w:sz w:val="20"/>
          <w:szCs w:val="20"/>
          <w:lang w:val="es-ES"/>
        </w:rPr>
        <w:t xml:space="preserve"> Principios y Buenas Prácticas sobre la Protección de las Personas Privadas de Libertad en las Américas</w:t>
      </w:r>
      <w:r w:rsidR="003B5B98">
        <w:rPr>
          <w:rFonts w:ascii="Cambria" w:hAnsi="Cambria"/>
          <w:sz w:val="20"/>
          <w:szCs w:val="20"/>
          <w:lang w:val="es-ES"/>
        </w:rPr>
        <w:t xml:space="preserve"> subrayan la naturaleza excepcional de la práctica del régimen de aislamiento</w:t>
      </w:r>
      <w:r w:rsidR="003B5B98" w:rsidRPr="00DE2580">
        <w:rPr>
          <w:rFonts w:asciiTheme="majorHAnsi" w:hAnsiTheme="majorHAnsi"/>
          <w:sz w:val="20"/>
          <w:szCs w:val="20"/>
          <w:vertAlign w:val="superscript"/>
        </w:rPr>
        <w:footnoteReference w:id="47"/>
      </w:r>
      <w:r w:rsidR="0040547A">
        <w:rPr>
          <w:rFonts w:asciiTheme="majorHAnsi" w:hAnsiTheme="majorHAnsi"/>
          <w:bCs/>
          <w:sz w:val="20"/>
          <w:szCs w:val="20"/>
          <w:lang w:val="es-ES"/>
        </w:rPr>
        <w:t>:</w:t>
      </w:r>
    </w:p>
    <w:p w14:paraId="2A3E2AAF" w14:textId="77777777" w:rsidR="004F4AEF" w:rsidRPr="000C293C" w:rsidRDefault="004F4AEF" w:rsidP="001F7015">
      <w:pPr>
        <w:pStyle w:val="NormalWeb"/>
        <w:shd w:val="clear" w:color="auto" w:fill="FFFFFF"/>
        <w:tabs>
          <w:tab w:val="left" w:pos="360"/>
          <w:tab w:val="left" w:pos="1890"/>
        </w:tabs>
        <w:spacing w:before="0" w:beforeAutospacing="0" w:after="0" w:afterAutospacing="0"/>
        <w:jc w:val="both"/>
        <w:rPr>
          <w:rFonts w:ascii="Cambria" w:hAnsi="Cambria" w:cs="TimesNewRoman"/>
          <w:bCs/>
          <w:sz w:val="20"/>
          <w:szCs w:val="20"/>
          <w:lang w:val="es-ES"/>
        </w:rPr>
      </w:pPr>
      <w:r w:rsidRPr="000C293C">
        <w:rPr>
          <w:rStyle w:val="FootnoteReference"/>
          <w:rFonts w:asciiTheme="majorHAnsi" w:hAnsiTheme="majorHAnsi"/>
          <w:bCs/>
          <w:highlight w:val="yellow"/>
          <w:lang w:val="es-ES"/>
        </w:rPr>
        <w:t xml:space="preserve"> </w:t>
      </w:r>
    </w:p>
    <w:p w14:paraId="2DF84AED" w14:textId="77777777" w:rsidR="00904C7D" w:rsidRPr="009F4761" w:rsidRDefault="00904C7D" w:rsidP="00F349B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90"/>
          <w:tab w:val="left" w:pos="9000"/>
        </w:tabs>
        <w:ind w:left="360" w:right="360"/>
        <w:jc w:val="both"/>
        <w:rPr>
          <w:rFonts w:asciiTheme="majorHAnsi" w:eastAsia="Times New Roman" w:hAnsiTheme="majorHAnsi" w:cs="Tahoma"/>
          <w:sz w:val="18"/>
          <w:szCs w:val="18"/>
          <w:bdr w:val="none" w:sz="0" w:space="0" w:color="auto"/>
          <w:lang w:val="es-ES"/>
        </w:rPr>
      </w:pPr>
      <w:r w:rsidRPr="00904C7D">
        <w:rPr>
          <w:rFonts w:asciiTheme="majorHAnsi" w:hAnsiTheme="majorHAnsi"/>
          <w:sz w:val="18"/>
          <w:szCs w:val="18"/>
          <w:lang w:val="es-ES"/>
        </w:rPr>
        <w:t>El aislamiento sólo se permitirá como una medida estrictamente limitada en el tiempo y como un último recurso, cuando se demuestre que sea necesaria para salvaguardar intereses legítimos relativos a la seguridad interna de los establecimientos, y para proteger derechos fundamentales, como la vida e integridad de las mismas personas privadas de libertad o del personal de dichas instituciones.</w:t>
      </w:r>
      <w:r w:rsidRPr="009F4761">
        <w:rPr>
          <w:rFonts w:asciiTheme="majorHAnsi" w:eastAsia="Times New Roman" w:hAnsiTheme="majorHAnsi" w:cs="Tahoma"/>
          <w:sz w:val="18"/>
          <w:szCs w:val="18"/>
          <w:bdr w:val="none" w:sz="0" w:space="0" w:color="auto"/>
          <w:lang w:val="es-ES"/>
        </w:rPr>
        <w:t xml:space="preserve"> </w:t>
      </w:r>
    </w:p>
    <w:p w14:paraId="295F2749" w14:textId="77777777" w:rsidR="004F4AEF" w:rsidRPr="000C293C" w:rsidRDefault="004F4AEF"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jc w:val="both"/>
        <w:outlineLvl w:val="2"/>
        <w:rPr>
          <w:rFonts w:ascii="Cambria" w:eastAsia="Times New Roman" w:hAnsi="Cambria" w:cs="Arial"/>
          <w:bCs/>
          <w:sz w:val="20"/>
          <w:szCs w:val="20"/>
          <w:bdr w:val="none" w:sz="0" w:space="0" w:color="auto"/>
          <w:lang w:val="es-ES"/>
        </w:rPr>
      </w:pPr>
    </w:p>
    <w:p w14:paraId="4272F668" w14:textId="0EEA414D" w:rsidR="0078009D" w:rsidRPr="005A23A4" w:rsidRDefault="0078009D"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sidRPr="0078009D">
        <w:rPr>
          <w:rFonts w:asciiTheme="majorHAnsi" w:hAnsiTheme="majorHAnsi"/>
          <w:sz w:val="20"/>
          <w:szCs w:val="20"/>
          <w:lang w:val="es-ES"/>
        </w:rPr>
        <w:t>Al momento de evaluar si el aislamiento solitario cae en el ámbito del artículo 3 (prohibición de la tortura) en un caso particular, la Comisión Europea de Derechos Humanos toma en consideración “el rigor de la medida, su duración, el objetivo perseguido y sus efectos sobre la persona en cuestión</w:t>
      </w:r>
      <w:r w:rsidR="00DD7FF1">
        <w:rPr>
          <w:rFonts w:asciiTheme="majorHAnsi" w:hAnsiTheme="majorHAnsi"/>
          <w:sz w:val="20"/>
          <w:szCs w:val="20"/>
          <w:lang w:val="es-ES"/>
        </w:rPr>
        <w:t>”</w:t>
      </w:r>
      <w:r w:rsidR="00DD7FF1" w:rsidRPr="00DE2580">
        <w:rPr>
          <w:rStyle w:val="FootnoteReference"/>
          <w:rFonts w:asciiTheme="majorHAnsi" w:hAnsiTheme="majorHAnsi"/>
          <w:bCs/>
          <w:sz w:val="20"/>
          <w:szCs w:val="20"/>
        </w:rPr>
        <w:footnoteReference w:id="48"/>
      </w:r>
      <w:r w:rsidRPr="0078009D">
        <w:rPr>
          <w:rFonts w:asciiTheme="majorHAnsi" w:hAnsiTheme="majorHAnsi"/>
          <w:sz w:val="20"/>
          <w:szCs w:val="20"/>
          <w:lang w:val="es-ES"/>
        </w:rPr>
        <w:t>. Al mismo tiempo, ha encontrado que “cuando las condiciones de detención cumplen con el Convenio y el detenido tiene contacto con el mundo exterior, a través de las visitas y el contacto con el personal de la prisión, la prohibición de contacto con otros presos no constituye una violación del artículo 3, siempre y cuando el régimen sea proporcional al objetivo que se pretende alcanzar y el período de aislamiento no sea excesivo</w:t>
      </w:r>
      <w:r w:rsidR="00DD7FF1">
        <w:rPr>
          <w:rFonts w:asciiTheme="majorHAnsi" w:hAnsiTheme="majorHAnsi"/>
          <w:sz w:val="20"/>
          <w:szCs w:val="20"/>
          <w:lang w:val="es-ES"/>
        </w:rPr>
        <w:t>.”</w:t>
      </w:r>
      <w:r w:rsidR="00EA04BE" w:rsidRPr="005A23A4">
        <w:rPr>
          <w:rStyle w:val="FootnoteReference"/>
          <w:rFonts w:asciiTheme="majorHAnsi" w:hAnsiTheme="majorHAnsi"/>
          <w:bCs/>
          <w:sz w:val="20"/>
          <w:szCs w:val="20"/>
          <w:lang w:val="es-ES"/>
        </w:rPr>
        <w:t xml:space="preserve"> </w:t>
      </w:r>
      <w:r w:rsidR="00EA04BE" w:rsidRPr="00DE2580">
        <w:rPr>
          <w:rStyle w:val="FootnoteReference"/>
          <w:rFonts w:asciiTheme="majorHAnsi" w:hAnsiTheme="majorHAnsi"/>
          <w:bCs/>
          <w:sz w:val="20"/>
          <w:szCs w:val="20"/>
        </w:rPr>
        <w:footnoteReference w:id="49"/>
      </w:r>
      <w:r w:rsidR="005A23A4" w:rsidRPr="005A23A4">
        <w:rPr>
          <w:rFonts w:asciiTheme="majorHAnsi" w:hAnsiTheme="majorHAnsi"/>
          <w:bCs/>
          <w:sz w:val="20"/>
          <w:szCs w:val="20"/>
          <w:lang w:val="es-ES"/>
        </w:rPr>
        <w:t xml:space="preserve"> </w:t>
      </w:r>
      <w:r w:rsidR="005A23A4" w:rsidRPr="005A23A4">
        <w:rPr>
          <w:rFonts w:asciiTheme="majorHAnsi" w:hAnsiTheme="majorHAnsi"/>
          <w:sz w:val="20"/>
          <w:szCs w:val="20"/>
          <w:lang w:val="es-ES"/>
        </w:rPr>
        <w:t>De manera similar, el Comité de Derechos Humanos de la Organización de las Naciones Unidas ha concluido que el aislamiento sólo se justifica en casos de necesidad urgente, en circunstancias excepcionales, y por períodos limitados de tiempo</w:t>
      </w:r>
      <w:r w:rsidR="005A23A4" w:rsidRPr="00DE2580">
        <w:rPr>
          <w:rStyle w:val="FootnoteReference"/>
          <w:rFonts w:asciiTheme="majorHAnsi" w:hAnsiTheme="majorHAnsi"/>
          <w:bCs/>
          <w:sz w:val="20"/>
          <w:szCs w:val="20"/>
        </w:rPr>
        <w:footnoteReference w:id="50"/>
      </w:r>
      <w:r w:rsidR="0040547A">
        <w:rPr>
          <w:rFonts w:asciiTheme="majorHAnsi" w:hAnsiTheme="majorHAnsi"/>
          <w:sz w:val="20"/>
          <w:szCs w:val="20"/>
          <w:lang w:val="es-ES"/>
        </w:rPr>
        <w:t>.</w:t>
      </w:r>
    </w:p>
    <w:p w14:paraId="4F63DA48" w14:textId="77777777" w:rsidR="0078009D" w:rsidRPr="00DD7FF1" w:rsidRDefault="0078009D" w:rsidP="0078009D">
      <w:pPr>
        <w:pStyle w:val="NormalWeb"/>
        <w:shd w:val="clear" w:color="auto" w:fill="FFFFFF"/>
        <w:tabs>
          <w:tab w:val="left" w:pos="360"/>
          <w:tab w:val="left" w:pos="1890"/>
        </w:tabs>
        <w:spacing w:before="0" w:beforeAutospacing="0" w:after="0" w:afterAutospacing="0"/>
        <w:jc w:val="both"/>
        <w:rPr>
          <w:rFonts w:asciiTheme="majorHAnsi" w:hAnsiTheme="majorHAnsi"/>
          <w:sz w:val="20"/>
          <w:szCs w:val="20"/>
          <w:lang w:val="es-ES"/>
        </w:rPr>
      </w:pPr>
    </w:p>
    <w:p w14:paraId="44B9E894" w14:textId="518275E0" w:rsidR="00475FEB" w:rsidRPr="00242855" w:rsidRDefault="00475FEB"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sidRPr="00475FEB">
        <w:rPr>
          <w:rFonts w:asciiTheme="majorHAnsi" w:hAnsiTheme="majorHAnsi"/>
          <w:sz w:val="20"/>
          <w:szCs w:val="20"/>
          <w:lang w:val="es-ES"/>
        </w:rPr>
        <w:t>El 18 de octubre de 2011 el Relator Especial de Naciones Unidas sobre la tortura y otros tratos o penas crueles, inhumanos o degradantes, realizó un llamado a la prohibición del aislamiento, tanto indefinido como prolongado, el cual definió como todo período que supere los 15 días</w:t>
      </w:r>
      <w:r w:rsidR="00A45B54" w:rsidRPr="00DE2580">
        <w:rPr>
          <w:rStyle w:val="FootnoteReference"/>
          <w:rFonts w:asciiTheme="majorHAnsi" w:hAnsiTheme="majorHAnsi"/>
          <w:bCs/>
          <w:sz w:val="20"/>
          <w:szCs w:val="20"/>
        </w:rPr>
        <w:footnoteReference w:id="51"/>
      </w:r>
      <w:r w:rsidR="0040547A">
        <w:rPr>
          <w:rStyle w:val="FootnoteReference"/>
          <w:rFonts w:asciiTheme="majorHAnsi" w:hAnsiTheme="majorHAnsi"/>
          <w:bCs/>
          <w:sz w:val="20"/>
          <w:szCs w:val="20"/>
          <w:lang w:val="es-ES"/>
        </w:rPr>
        <w:t>.</w:t>
      </w:r>
      <w:r w:rsidR="00A45B54" w:rsidRPr="00585D66">
        <w:rPr>
          <w:rStyle w:val="FootnoteReference"/>
          <w:rFonts w:asciiTheme="majorHAnsi" w:hAnsiTheme="majorHAnsi"/>
          <w:bCs/>
          <w:lang w:val="es-ES"/>
        </w:rPr>
        <w:t xml:space="preserve"> </w:t>
      </w:r>
      <w:r w:rsidRPr="00475FEB">
        <w:rPr>
          <w:rFonts w:asciiTheme="majorHAnsi" w:hAnsiTheme="majorHAnsi"/>
          <w:sz w:val="20"/>
          <w:szCs w:val="20"/>
          <w:lang w:val="es-ES"/>
        </w:rPr>
        <w:t xml:space="preserve">El Relator Especial llegó a la conclusión de que 15 días es el límite entre el “régimen de aislamiento” y el “régimen de aislamiento prolongado” porque en ese punto, según la bibliografía consultada, algunos de los efectos psicológicos nocivos del aislamiento pueden ser irreversibles. El Relator de la ONU también observó que “incluso unos pocos días en régimen de aislamiento hacen que la actividad cerebral de una persona adquiera un patrón </w:t>
      </w:r>
      <w:r w:rsidR="0077552C">
        <w:rPr>
          <w:rFonts w:asciiTheme="majorHAnsi" w:hAnsiTheme="majorHAnsi"/>
          <w:sz w:val="20"/>
          <w:szCs w:val="20"/>
          <w:lang w:val="es-ES"/>
        </w:rPr>
        <w:t xml:space="preserve">de </w:t>
      </w:r>
      <w:r w:rsidRPr="00475FEB">
        <w:rPr>
          <w:rFonts w:asciiTheme="majorHAnsi" w:hAnsiTheme="majorHAnsi"/>
          <w:sz w:val="20"/>
          <w:szCs w:val="20"/>
          <w:lang w:val="es-ES"/>
        </w:rPr>
        <w:t>pauta anormal caracterizado por el estupor y el delirio</w:t>
      </w:r>
      <w:r w:rsidR="00242855" w:rsidRPr="00242855">
        <w:rPr>
          <w:rFonts w:asciiTheme="majorHAnsi" w:hAnsiTheme="majorHAnsi"/>
          <w:sz w:val="20"/>
          <w:szCs w:val="20"/>
          <w:lang w:val="es-ES"/>
        </w:rPr>
        <w:t>.</w:t>
      </w:r>
      <w:r w:rsidR="00585D66" w:rsidRPr="00242855">
        <w:rPr>
          <w:rFonts w:asciiTheme="majorHAnsi" w:hAnsiTheme="majorHAnsi"/>
          <w:sz w:val="20"/>
          <w:szCs w:val="20"/>
          <w:lang w:val="es-ES"/>
        </w:rPr>
        <w:t>”</w:t>
      </w:r>
      <w:r w:rsidR="00585D66" w:rsidRPr="00242855">
        <w:rPr>
          <w:rStyle w:val="FootnoteReference"/>
          <w:rFonts w:asciiTheme="majorHAnsi" w:hAnsiTheme="majorHAnsi"/>
          <w:bCs/>
          <w:sz w:val="20"/>
          <w:szCs w:val="20"/>
        </w:rPr>
        <w:footnoteReference w:id="52"/>
      </w:r>
      <w:r w:rsidR="00242855" w:rsidRPr="00242855">
        <w:rPr>
          <w:rFonts w:asciiTheme="majorHAnsi" w:hAnsiTheme="majorHAnsi"/>
          <w:sz w:val="20"/>
          <w:szCs w:val="20"/>
          <w:lang w:val="es-ES"/>
        </w:rPr>
        <w:t xml:space="preserve"> </w:t>
      </w:r>
      <w:r w:rsidR="0077552C">
        <w:rPr>
          <w:rFonts w:asciiTheme="majorHAnsi" w:hAnsiTheme="majorHAnsi"/>
          <w:sz w:val="20"/>
          <w:szCs w:val="20"/>
          <w:lang w:val="es-ES"/>
        </w:rPr>
        <w:t>Además,</w:t>
      </w:r>
      <w:r w:rsidR="00242855" w:rsidRPr="00242855">
        <w:rPr>
          <w:rFonts w:asciiTheme="majorHAnsi" w:hAnsiTheme="majorHAnsi"/>
          <w:sz w:val="20"/>
          <w:szCs w:val="20"/>
          <w:lang w:val="es-ES"/>
        </w:rPr>
        <w:t xml:space="preserve"> el Relator Especial de la ONU señaló que, para adecuarse a los estándares de derechos humanos, “ninguna persona privada de libertad, incluidas las personas sometidas a cadena perpetua y las que se encuentran en el corredor de la muerte, debería ser sometida al régimen de aislamiento sólo con fundamento en la gravedad del delito cometido”</w:t>
      </w:r>
      <w:r w:rsidR="00242855" w:rsidRPr="00DE2580">
        <w:rPr>
          <w:rStyle w:val="FootnoteReference"/>
          <w:rFonts w:asciiTheme="majorHAnsi" w:hAnsiTheme="majorHAnsi"/>
          <w:bCs/>
          <w:sz w:val="20"/>
          <w:szCs w:val="20"/>
        </w:rPr>
        <w:footnoteReference w:id="53"/>
      </w:r>
      <w:r w:rsidR="0040547A">
        <w:rPr>
          <w:rFonts w:asciiTheme="majorHAnsi" w:hAnsiTheme="majorHAnsi"/>
          <w:sz w:val="20"/>
          <w:szCs w:val="20"/>
          <w:lang w:val="es-ES"/>
        </w:rPr>
        <w:t>.</w:t>
      </w:r>
    </w:p>
    <w:p w14:paraId="2B1C493D" w14:textId="77777777" w:rsidR="00475FEB" w:rsidRPr="00475FEB" w:rsidRDefault="00475FEB" w:rsidP="00475FEB">
      <w:pPr>
        <w:pStyle w:val="NormalWeb"/>
        <w:shd w:val="clear" w:color="auto" w:fill="FFFFFF"/>
        <w:tabs>
          <w:tab w:val="left" w:pos="360"/>
          <w:tab w:val="left" w:pos="1890"/>
        </w:tabs>
        <w:spacing w:before="0" w:beforeAutospacing="0" w:after="0" w:afterAutospacing="0"/>
        <w:jc w:val="both"/>
        <w:rPr>
          <w:rFonts w:asciiTheme="majorHAnsi" w:hAnsiTheme="majorHAnsi"/>
          <w:sz w:val="20"/>
          <w:szCs w:val="20"/>
          <w:lang w:val="es-ES"/>
        </w:rPr>
      </w:pPr>
    </w:p>
    <w:p w14:paraId="773269F8" w14:textId="77777777" w:rsidR="00ED58A6" w:rsidRPr="00ED58A6" w:rsidRDefault="00ED58A6"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sidRPr="00ED58A6">
        <w:rPr>
          <w:rFonts w:asciiTheme="majorHAnsi" w:hAnsiTheme="majorHAnsi"/>
          <w:sz w:val="20"/>
          <w:szCs w:val="20"/>
          <w:lang w:val="es-ES"/>
        </w:rPr>
        <w:t xml:space="preserve">Con respecto al tamaño de la celda, el Relator Especial de la ONU indica que si bien no hay un instrumento universal que especifique un tamaño mínimo aceptable, </w:t>
      </w:r>
      <w:r>
        <w:rPr>
          <w:rFonts w:asciiTheme="majorHAnsi" w:hAnsiTheme="majorHAnsi"/>
          <w:sz w:val="20"/>
          <w:szCs w:val="20"/>
          <w:lang w:val="es-ES"/>
        </w:rPr>
        <w:t xml:space="preserve">algunas </w:t>
      </w:r>
      <w:r w:rsidRPr="00ED58A6">
        <w:rPr>
          <w:rFonts w:asciiTheme="majorHAnsi" w:hAnsiTheme="majorHAnsi"/>
          <w:sz w:val="20"/>
          <w:szCs w:val="20"/>
          <w:lang w:val="es-ES"/>
        </w:rPr>
        <w:t xml:space="preserve">jurisdicciones nacionales y regionales </w:t>
      </w:r>
      <w:r>
        <w:rPr>
          <w:rFonts w:asciiTheme="majorHAnsi" w:hAnsiTheme="majorHAnsi"/>
          <w:sz w:val="20"/>
          <w:szCs w:val="20"/>
          <w:lang w:val="es-ES"/>
        </w:rPr>
        <w:t xml:space="preserve">se han pronunciado al respecto. </w:t>
      </w:r>
      <w:r w:rsidRPr="00ED58A6">
        <w:rPr>
          <w:rFonts w:asciiTheme="majorHAnsi" w:hAnsiTheme="majorHAnsi"/>
          <w:sz w:val="20"/>
          <w:szCs w:val="20"/>
          <w:lang w:val="es-ES"/>
        </w:rPr>
        <w:t>Por ejemplo, el Tribunal Europeo de Derechos Humanos en el caso Ramírez Sánchez c. Francia consideró que una celda de 6,84 metros cuadrados (73,6 pies cuadrados) es “suficientemente grande” para su uso por una única persona. El Relator Especial, sin embargo, disiente con dicho estándar “especialmente si la celda única también debe incluir, como mínimo, un inodoro e instalaciones de aseo, una cama y un escritorio</w:t>
      </w:r>
      <w:r>
        <w:rPr>
          <w:rFonts w:asciiTheme="majorHAnsi" w:hAnsiTheme="majorHAnsi"/>
          <w:sz w:val="20"/>
          <w:szCs w:val="20"/>
          <w:lang w:val="es-ES"/>
        </w:rPr>
        <w:t>.</w:t>
      </w:r>
      <w:r w:rsidRPr="00ED58A6">
        <w:rPr>
          <w:rFonts w:asciiTheme="majorHAnsi" w:hAnsiTheme="majorHAnsi"/>
          <w:sz w:val="20"/>
          <w:szCs w:val="20"/>
          <w:lang w:val="es-ES"/>
        </w:rPr>
        <w:t>”</w:t>
      </w:r>
      <w:r w:rsidRPr="00ED58A6">
        <w:rPr>
          <w:rStyle w:val="FootnoteReference"/>
          <w:rFonts w:asciiTheme="majorHAnsi" w:hAnsiTheme="majorHAnsi"/>
          <w:bCs/>
          <w:sz w:val="20"/>
          <w:szCs w:val="20"/>
          <w:lang w:val="es-ES"/>
        </w:rPr>
        <w:t xml:space="preserve"> </w:t>
      </w:r>
      <w:r w:rsidRPr="00DE2580">
        <w:rPr>
          <w:rStyle w:val="FootnoteReference"/>
          <w:rFonts w:asciiTheme="majorHAnsi" w:hAnsiTheme="majorHAnsi"/>
          <w:bCs/>
          <w:sz w:val="20"/>
          <w:szCs w:val="20"/>
        </w:rPr>
        <w:footnoteReference w:id="54"/>
      </w:r>
    </w:p>
    <w:p w14:paraId="641853DD" w14:textId="77777777" w:rsidR="00ED58A6" w:rsidRPr="00ED58A6" w:rsidRDefault="00ED58A6" w:rsidP="00ED58A6">
      <w:pPr>
        <w:pStyle w:val="NormalWeb"/>
        <w:shd w:val="clear" w:color="auto" w:fill="FFFFFF"/>
        <w:tabs>
          <w:tab w:val="left" w:pos="360"/>
          <w:tab w:val="left" w:pos="1890"/>
        </w:tabs>
        <w:spacing w:before="0" w:beforeAutospacing="0" w:after="0" w:afterAutospacing="0"/>
        <w:jc w:val="both"/>
        <w:rPr>
          <w:rFonts w:asciiTheme="majorHAnsi" w:hAnsiTheme="majorHAnsi"/>
          <w:sz w:val="20"/>
          <w:szCs w:val="20"/>
          <w:lang w:val="es-ES"/>
        </w:rPr>
      </w:pPr>
    </w:p>
    <w:p w14:paraId="14564065" w14:textId="14F0E459" w:rsidR="00E72AF5" w:rsidRPr="009F4761" w:rsidRDefault="00AA6A3B"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sidRPr="00E72AF5">
        <w:rPr>
          <w:rFonts w:asciiTheme="majorHAnsi" w:hAnsiTheme="majorHAnsi"/>
          <w:sz w:val="20"/>
          <w:szCs w:val="20"/>
          <w:lang w:val="es-ES"/>
        </w:rPr>
        <w:lastRenderedPageBreak/>
        <w:t>El régimen de aislamiento puede causar efectos psicológicos graves, que pueden ir desde la depresión hasta la paranoia y la psicosis, así como puede producir efectos fisiológicos como problemas cardiovasculares y fatiga profunda.</w:t>
      </w:r>
      <w:r w:rsidR="00230054" w:rsidRPr="00E72AF5">
        <w:rPr>
          <w:rStyle w:val="FootnoteReference"/>
          <w:rFonts w:asciiTheme="majorHAnsi" w:hAnsiTheme="majorHAnsi"/>
          <w:bCs/>
          <w:sz w:val="20"/>
          <w:szCs w:val="20"/>
          <w:lang w:val="es-ES"/>
        </w:rPr>
        <w:t xml:space="preserve"> </w:t>
      </w:r>
      <w:r w:rsidR="00230054" w:rsidRPr="00DE2580">
        <w:rPr>
          <w:rStyle w:val="FootnoteReference"/>
          <w:rFonts w:asciiTheme="majorHAnsi" w:hAnsiTheme="majorHAnsi"/>
          <w:bCs/>
          <w:sz w:val="20"/>
          <w:szCs w:val="20"/>
        </w:rPr>
        <w:footnoteReference w:id="55"/>
      </w:r>
      <w:r w:rsidRPr="00E72AF5">
        <w:rPr>
          <w:rFonts w:asciiTheme="majorHAnsi" w:hAnsiTheme="majorHAnsi"/>
          <w:sz w:val="20"/>
          <w:szCs w:val="20"/>
          <w:lang w:val="es-ES"/>
        </w:rPr>
        <w:t xml:space="preserve"> El Tribunal Europeo ha sostenido que “el aislamiento sensorial prolongado, en conjunto con el aislamiento social, puede destruir la personalidad y constituye una forma de trato inhumano</w:t>
      </w:r>
      <w:r w:rsidR="00F25CBA" w:rsidRPr="00E72AF5">
        <w:rPr>
          <w:rFonts w:asciiTheme="majorHAnsi" w:hAnsiTheme="majorHAnsi"/>
          <w:sz w:val="20"/>
          <w:szCs w:val="20"/>
          <w:lang w:val="es-ES"/>
        </w:rPr>
        <w:t xml:space="preserve">. </w:t>
      </w:r>
      <w:r w:rsidR="00F25CBA" w:rsidRPr="00DE2580">
        <w:rPr>
          <w:rStyle w:val="FootnoteReference"/>
          <w:rFonts w:asciiTheme="majorHAnsi" w:hAnsiTheme="majorHAnsi"/>
          <w:bCs/>
          <w:sz w:val="20"/>
          <w:szCs w:val="20"/>
        </w:rPr>
        <w:footnoteReference w:id="56"/>
      </w:r>
      <w:r w:rsidR="006232C2" w:rsidRPr="00E72AF5">
        <w:rPr>
          <w:rFonts w:asciiTheme="majorHAnsi" w:hAnsiTheme="majorHAnsi"/>
          <w:sz w:val="20"/>
          <w:szCs w:val="20"/>
          <w:lang w:val="es-ES"/>
        </w:rPr>
        <w:t xml:space="preserve"> El Comité de Derechos Humanos de Naciones Unidas ha manifestado su preocupación por la práctica en algunas cárceles de máxima seguridad de Estados Unidos “de mantener a los detenidos durante mucho tiempo en régimen de aislamiento sin permitirles salir de la celda más que cinco horas por semana, en condiciones generales de disciplina estricta en un entorno despersonalizado”</w:t>
      </w:r>
      <w:r w:rsidR="006232C2" w:rsidRPr="00E72AF5">
        <w:rPr>
          <w:rStyle w:val="FootnoteReference"/>
          <w:rFonts w:asciiTheme="majorHAnsi" w:hAnsiTheme="majorHAnsi"/>
          <w:sz w:val="20"/>
          <w:szCs w:val="20"/>
          <w:lang w:val="es-ES"/>
        </w:rPr>
        <w:t xml:space="preserve"> </w:t>
      </w:r>
      <w:r w:rsidR="006232C2" w:rsidRPr="00DE2580">
        <w:rPr>
          <w:rStyle w:val="FootnoteReference"/>
          <w:rFonts w:asciiTheme="majorHAnsi" w:hAnsiTheme="majorHAnsi"/>
          <w:sz w:val="20"/>
          <w:szCs w:val="20"/>
        </w:rPr>
        <w:footnoteReference w:id="57"/>
      </w:r>
      <w:r w:rsidR="00E72AF5" w:rsidRPr="00E72AF5">
        <w:rPr>
          <w:rFonts w:asciiTheme="majorHAnsi" w:hAnsiTheme="majorHAnsi"/>
          <w:sz w:val="20"/>
          <w:szCs w:val="20"/>
          <w:lang w:val="es-ES"/>
        </w:rPr>
        <w:t xml:space="preserve"> Por su parte, en un caso de pena de muerte </w:t>
      </w:r>
      <w:r w:rsidR="00E72AF5" w:rsidRPr="00DE30EF">
        <w:rPr>
          <w:rFonts w:asciiTheme="majorHAnsi" w:hAnsiTheme="majorHAnsi"/>
          <w:sz w:val="20"/>
          <w:szCs w:val="20"/>
          <w:lang w:val="es-ES"/>
        </w:rPr>
        <w:t>en el cual las víctimas fueron mantenidas en régimen de aislamiento por períodos extensos, la Comisión Interamericana</w:t>
      </w:r>
      <w:r w:rsidR="00E72AF5" w:rsidRPr="00E72AF5">
        <w:rPr>
          <w:rFonts w:asciiTheme="majorHAnsi" w:hAnsiTheme="majorHAnsi"/>
          <w:sz w:val="20"/>
          <w:szCs w:val="20"/>
          <w:lang w:val="es-ES"/>
        </w:rPr>
        <w:t xml:space="preserve"> consideró que el Estado incumplió su deber de garantizar el respeto a la dignidad inherente al ser humano bajo cualquier circunstancia, así como el derecho a no ser sometido a castigos o tratos crueles, inhumanos o degradante</w:t>
      </w:r>
      <w:r w:rsidR="009A19DC">
        <w:rPr>
          <w:rFonts w:asciiTheme="majorHAnsi" w:hAnsiTheme="majorHAnsi"/>
          <w:sz w:val="20"/>
          <w:szCs w:val="20"/>
          <w:lang w:val="es-ES"/>
        </w:rPr>
        <w:t>s</w:t>
      </w:r>
      <w:r w:rsidR="00E72AF5" w:rsidRPr="00DE2580">
        <w:rPr>
          <w:rStyle w:val="FootnoteReference"/>
          <w:rFonts w:asciiTheme="majorHAnsi" w:hAnsiTheme="majorHAnsi"/>
          <w:sz w:val="20"/>
          <w:szCs w:val="20"/>
        </w:rPr>
        <w:footnoteReference w:id="58"/>
      </w:r>
      <w:r w:rsidR="0040547A">
        <w:rPr>
          <w:rFonts w:asciiTheme="majorHAnsi" w:hAnsiTheme="majorHAnsi"/>
          <w:sz w:val="20"/>
          <w:szCs w:val="20"/>
          <w:lang w:val="es-ES"/>
        </w:rPr>
        <w:t>.</w:t>
      </w:r>
    </w:p>
    <w:p w14:paraId="4BF126E0" w14:textId="77777777" w:rsidR="00DD6427" w:rsidRPr="006232C2" w:rsidRDefault="00DD6427" w:rsidP="00AA6A3B">
      <w:pPr>
        <w:pStyle w:val="NormalWeb"/>
        <w:shd w:val="clear" w:color="auto" w:fill="FFFFFF"/>
        <w:tabs>
          <w:tab w:val="left" w:pos="360"/>
          <w:tab w:val="left" w:pos="1890"/>
        </w:tabs>
        <w:spacing w:before="0" w:beforeAutospacing="0" w:after="0" w:afterAutospacing="0"/>
        <w:jc w:val="both"/>
        <w:rPr>
          <w:rFonts w:ascii="Cambria" w:hAnsi="Cambria"/>
          <w:sz w:val="20"/>
          <w:szCs w:val="20"/>
          <w:lang w:val="es-ES"/>
        </w:rPr>
      </w:pPr>
    </w:p>
    <w:p w14:paraId="7D6D4473" w14:textId="3A8A308A" w:rsidR="00AF53B1" w:rsidRPr="00AF53B1" w:rsidRDefault="00DA6B04" w:rsidP="00ED2F81">
      <w:pPr>
        <w:pStyle w:val="NormalWeb"/>
        <w:numPr>
          <w:ilvl w:val="0"/>
          <w:numId w:val="65"/>
        </w:numPr>
        <w:shd w:val="clear" w:color="auto" w:fill="FFFFFF"/>
        <w:tabs>
          <w:tab w:val="left" w:pos="360"/>
          <w:tab w:val="left" w:pos="1890"/>
        </w:tabs>
        <w:spacing w:before="0" w:beforeAutospacing="0" w:after="0" w:afterAutospacing="0"/>
        <w:ind w:left="0" w:firstLine="0"/>
        <w:jc w:val="both"/>
        <w:rPr>
          <w:rFonts w:asciiTheme="majorHAnsi" w:hAnsiTheme="majorHAnsi"/>
          <w:sz w:val="20"/>
          <w:szCs w:val="20"/>
          <w:bdr w:val="none" w:sz="0" w:space="0" w:color="auto" w:frame="1"/>
          <w:lang w:val="es-ES"/>
        </w:rPr>
      </w:pPr>
      <w:r>
        <w:rPr>
          <w:rFonts w:asciiTheme="majorHAnsi" w:hAnsiTheme="majorHAnsi"/>
          <w:sz w:val="20"/>
          <w:szCs w:val="20"/>
          <w:lang w:val="es-ES"/>
        </w:rPr>
        <w:t>La</w:t>
      </w:r>
      <w:r w:rsidR="00AF53B1" w:rsidRPr="00AF53B1">
        <w:rPr>
          <w:rFonts w:asciiTheme="majorHAnsi" w:hAnsiTheme="majorHAnsi"/>
          <w:sz w:val="20"/>
          <w:szCs w:val="20"/>
          <w:lang w:val="es-ES"/>
        </w:rPr>
        <w:t xml:space="preserve"> Comisión Interamericana reafirma que toda persona privada de libertad debe recibir un trato humano, acorde con el respeto a su dignidad inherente.  Esto implica que las condiciones de reclusión a las que se somete a las personas condenadas a pena de muerte deben cumplir con las mismas normas y estándares internacionales aplicables a la generalidad de las personas privadas de libertad</w:t>
      </w:r>
      <w:r w:rsidR="00AF53B1">
        <w:rPr>
          <w:rFonts w:asciiTheme="majorHAnsi" w:hAnsiTheme="majorHAnsi"/>
          <w:sz w:val="20"/>
          <w:szCs w:val="20"/>
          <w:lang w:val="es-ES"/>
        </w:rPr>
        <w:t xml:space="preserve">. </w:t>
      </w:r>
      <w:r w:rsidR="00AF53B1" w:rsidRPr="00AF53B1">
        <w:rPr>
          <w:rFonts w:asciiTheme="majorHAnsi" w:hAnsiTheme="majorHAnsi"/>
          <w:sz w:val="20"/>
          <w:szCs w:val="20"/>
          <w:lang w:val="es-ES"/>
        </w:rPr>
        <w:t xml:space="preserve">En este sentido, </w:t>
      </w:r>
      <w:r w:rsidR="00215981">
        <w:rPr>
          <w:rFonts w:asciiTheme="majorHAnsi" w:hAnsiTheme="majorHAnsi"/>
          <w:sz w:val="20"/>
          <w:szCs w:val="20"/>
          <w:lang w:val="es-ES"/>
        </w:rPr>
        <w:t xml:space="preserve">debe aplicarse </w:t>
      </w:r>
      <w:r w:rsidR="00E03FA5">
        <w:rPr>
          <w:rFonts w:asciiTheme="majorHAnsi" w:hAnsiTheme="majorHAnsi"/>
          <w:sz w:val="20"/>
          <w:szCs w:val="20"/>
          <w:lang w:val="es-ES"/>
        </w:rPr>
        <w:t>el deber</w:t>
      </w:r>
      <w:r w:rsidR="00AF53B1" w:rsidRPr="00AF53B1">
        <w:rPr>
          <w:rFonts w:asciiTheme="majorHAnsi" w:hAnsiTheme="majorHAnsi"/>
          <w:sz w:val="20"/>
          <w:szCs w:val="20"/>
          <w:lang w:val="es-ES"/>
        </w:rPr>
        <w:t xml:space="preserve"> del Estado de respetar y garantizar el derecho a la integridad personal </w:t>
      </w:r>
      <w:r w:rsidR="00AA4AED">
        <w:rPr>
          <w:rFonts w:asciiTheme="majorHAnsi" w:hAnsiTheme="majorHAnsi"/>
          <w:sz w:val="20"/>
          <w:szCs w:val="20"/>
          <w:lang w:val="es-ES"/>
        </w:rPr>
        <w:t>de</w:t>
      </w:r>
      <w:r w:rsidR="00AF53B1" w:rsidRPr="00AF53B1">
        <w:rPr>
          <w:rFonts w:asciiTheme="majorHAnsi" w:hAnsiTheme="majorHAnsi"/>
          <w:sz w:val="20"/>
          <w:szCs w:val="20"/>
          <w:lang w:val="es-ES"/>
        </w:rPr>
        <w:t xml:space="preserve"> todas las personas sometidas a su jurisdicción</w:t>
      </w:r>
      <w:r w:rsidR="00215981">
        <w:rPr>
          <w:rFonts w:asciiTheme="majorHAnsi" w:hAnsiTheme="majorHAnsi"/>
          <w:sz w:val="20"/>
          <w:szCs w:val="20"/>
          <w:lang w:val="es-ES"/>
        </w:rPr>
        <w:t>,</w:t>
      </w:r>
      <w:r w:rsidR="00AF53B1" w:rsidRPr="00AF53B1">
        <w:rPr>
          <w:rFonts w:asciiTheme="majorHAnsi" w:hAnsiTheme="majorHAnsi"/>
          <w:sz w:val="20"/>
          <w:szCs w:val="20"/>
          <w:lang w:val="es-ES"/>
        </w:rPr>
        <w:t xml:space="preserve"> independientemente de la naturaleza de la conducta por la cual la persona en cuestión ha sido privada de libertad</w:t>
      </w:r>
      <w:r w:rsidR="00AF53B1" w:rsidRPr="00DE2580">
        <w:rPr>
          <w:rStyle w:val="FootnoteReference"/>
          <w:rFonts w:asciiTheme="majorHAnsi" w:hAnsiTheme="majorHAnsi"/>
          <w:sz w:val="20"/>
          <w:szCs w:val="20"/>
        </w:rPr>
        <w:footnoteReference w:id="59"/>
      </w:r>
      <w:r w:rsidR="0040547A">
        <w:rPr>
          <w:rStyle w:val="FootnoteReference"/>
          <w:rFonts w:asciiTheme="majorHAnsi" w:hAnsiTheme="majorHAnsi"/>
          <w:sz w:val="20"/>
          <w:szCs w:val="20"/>
          <w:lang w:val="es-ES"/>
        </w:rPr>
        <w:t>.</w:t>
      </w:r>
    </w:p>
    <w:p w14:paraId="63E7F140" w14:textId="77777777" w:rsidR="00AF53B1" w:rsidRPr="00AF53B1" w:rsidRDefault="00AF53B1" w:rsidP="00AF53B1">
      <w:pPr>
        <w:pStyle w:val="NormalWeb"/>
        <w:shd w:val="clear" w:color="auto" w:fill="FFFFFF"/>
        <w:tabs>
          <w:tab w:val="left" w:pos="360"/>
          <w:tab w:val="left" w:pos="1890"/>
        </w:tabs>
        <w:spacing w:before="0" w:beforeAutospacing="0" w:after="0" w:afterAutospacing="0"/>
        <w:jc w:val="both"/>
        <w:rPr>
          <w:rFonts w:ascii="Cambria" w:hAnsi="Cambria"/>
          <w:sz w:val="20"/>
          <w:szCs w:val="20"/>
          <w:lang w:val="es-ES"/>
        </w:rPr>
      </w:pPr>
    </w:p>
    <w:p w14:paraId="541F1FA8" w14:textId="77777777" w:rsidR="00226552" w:rsidRPr="00226552" w:rsidRDefault="00226552" w:rsidP="00ED2F81">
      <w:pPr>
        <w:pStyle w:val="NormalWeb"/>
        <w:numPr>
          <w:ilvl w:val="0"/>
          <w:numId w:val="65"/>
        </w:numPr>
        <w:shd w:val="clear" w:color="auto" w:fill="FFFFFF"/>
        <w:tabs>
          <w:tab w:val="left" w:pos="0"/>
          <w:tab w:val="left" w:pos="360"/>
          <w:tab w:val="left" w:pos="630"/>
          <w:tab w:val="left" w:pos="720"/>
          <w:tab w:val="left" w:pos="1440"/>
          <w:tab w:val="left" w:pos="1890"/>
        </w:tabs>
        <w:suppressAutoHyphens/>
        <w:spacing w:before="0" w:beforeAutospacing="0" w:after="0" w:afterAutospacing="0"/>
        <w:ind w:left="0" w:firstLine="0"/>
        <w:jc w:val="both"/>
        <w:rPr>
          <w:rFonts w:asciiTheme="majorHAnsi" w:hAnsiTheme="majorHAnsi"/>
          <w:sz w:val="20"/>
          <w:szCs w:val="20"/>
          <w:lang w:val="es-ES"/>
        </w:rPr>
      </w:pPr>
      <w:r w:rsidRPr="00226552">
        <w:rPr>
          <w:rFonts w:asciiTheme="majorHAnsi" w:hAnsiTheme="majorHAnsi"/>
          <w:sz w:val="20"/>
          <w:szCs w:val="20"/>
          <w:lang w:val="es-ES"/>
        </w:rPr>
        <w:t>Según varias declaraciones juradas f</w:t>
      </w:r>
      <w:r>
        <w:rPr>
          <w:rFonts w:asciiTheme="majorHAnsi" w:hAnsiTheme="majorHAnsi"/>
          <w:sz w:val="20"/>
          <w:szCs w:val="20"/>
          <w:lang w:val="es-ES"/>
        </w:rPr>
        <w:t>irmadas por reclusos y empleados que trabajaban en las instituciones en las cuales el señor Housel estuvo encarcelado</w:t>
      </w:r>
      <w:r w:rsidR="00D7455E">
        <w:rPr>
          <w:rFonts w:asciiTheme="majorHAnsi" w:hAnsiTheme="majorHAnsi"/>
          <w:sz w:val="20"/>
          <w:szCs w:val="20"/>
          <w:lang w:val="es-ES"/>
        </w:rPr>
        <w:t>,</w:t>
      </w:r>
      <w:r>
        <w:rPr>
          <w:rFonts w:asciiTheme="majorHAnsi" w:hAnsiTheme="majorHAnsi"/>
          <w:sz w:val="20"/>
          <w:szCs w:val="20"/>
          <w:lang w:val="es-ES"/>
        </w:rPr>
        <w:t xml:space="preserve"> durante la detención previa al juicio el señor Housel estuvo encarcelado en “régimen de aislamiento rígido” en un </w:t>
      </w:r>
      <w:r w:rsidR="008A3783">
        <w:rPr>
          <w:rFonts w:asciiTheme="majorHAnsi" w:hAnsiTheme="majorHAnsi"/>
          <w:sz w:val="20"/>
          <w:szCs w:val="20"/>
          <w:lang w:val="es-ES"/>
        </w:rPr>
        <w:t xml:space="preserve">pabellón llamado “el agujero”. Esta información indica que él estuvo detenido durante, al menos, las primeras ocho semanas en una celda muy pequeña sin luz natural, tiempo durante el cual no se le permitió tener contacto con el exterior, ni ducharse ni hacer ejercicio ni respirar aire fresco o al aire libre. Los reclusos que se encontraban con el señor Housel indicaron que escuchaban con frecuencia que el señor Housel gritaba, pateaba la puerta de su celda y emitía sonidos histéricos. Sin embargo, según los reclusos, nunca fue examinado por el personal médico. </w:t>
      </w:r>
    </w:p>
    <w:p w14:paraId="490E5017" w14:textId="77777777" w:rsidR="004F4AEF" w:rsidRPr="000C293C" w:rsidRDefault="004F4AEF" w:rsidP="00F349BC">
      <w:pPr>
        <w:pStyle w:val="ListParagraph"/>
        <w:tabs>
          <w:tab w:val="left" w:pos="1890"/>
        </w:tabs>
        <w:rPr>
          <w:rFonts w:asciiTheme="majorHAnsi" w:hAnsiTheme="majorHAnsi"/>
          <w:sz w:val="20"/>
          <w:szCs w:val="20"/>
          <w:lang w:val="es-ES"/>
        </w:rPr>
      </w:pPr>
    </w:p>
    <w:p w14:paraId="452356F3" w14:textId="77777777" w:rsidR="00C06FD9" w:rsidRPr="00C06FD9" w:rsidRDefault="00C06FD9" w:rsidP="00ED2F81">
      <w:pPr>
        <w:pStyle w:val="NormalWeb"/>
        <w:numPr>
          <w:ilvl w:val="0"/>
          <w:numId w:val="65"/>
        </w:numPr>
        <w:shd w:val="clear" w:color="auto" w:fill="FFFFFF"/>
        <w:tabs>
          <w:tab w:val="left" w:pos="0"/>
          <w:tab w:val="left" w:pos="360"/>
          <w:tab w:val="left" w:pos="630"/>
          <w:tab w:val="left" w:pos="720"/>
          <w:tab w:val="left" w:pos="1440"/>
          <w:tab w:val="left" w:pos="1890"/>
        </w:tabs>
        <w:suppressAutoHyphens/>
        <w:spacing w:before="0" w:beforeAutospacing="0" w:after="0" w:afterAutospacing="0"/>
        <w:ind w:left="0" w:firstLine="0"/>
        <w:jc w:val="both"/>
        <w:rPr>
          <w:rFonts w:asciiTheme="majorHAnsi" w:hAnsiTheme="majorHAnsi"/>
          <w:sz w:val="20"/>
          <w:szCs w:val="20"/>
          <w:lang w:val="es-ES"/>
        </w:rPr>
      </w:pPr>
      <w:r w:rsidRPr="00C06FD9">
        <w:rPr>
          <w:rFonts w:asciiTheme="majorHAnsi" w:hAnsiTheme="majorHAnsi"/>
          <w:sz w:val="20"/>
          <w:szCs w:val="20"/>
          <w:lang w:val="es-ES"/>
        </w:rPr>
        <w:t>La Comisión señala que, s</w:t>
      </w:r>
      <w:r>
        <w:rPr>
          <w:rFonts w:asciiTheme="majorHAnsi" w:hAnsiTheme="majorHAnsi"/>
          <w:sz w:val="20"/>
          <w:szCs w:val="20"/>
          <w:lang w:val="es-ES"/>
        </w:rPr>
        <w:t xml:space="preserve">egún el Estado, </w:t>
      </w:r>
      <w:r w:rsidR="002D2C07">
        <w:rPr>
          <w:rFonts w:asciiTheme="majorHAnsi" w:hAnsiTheme="majorHAnsi"/>
          <w:sz w:val="20"/>
          <w:szCs w:val="20"/>
          <w:lang w:val="es-ES"/>
        </w:rPr>
        <w:t>los tribunales internos</w:t>
      </w:r>
      <w:r>
        <w:rPr>
          <w:rFonts w:asciiTheme="majorHAnsi" w:hAnsiTheme="majorHAnsi"/>
          <w:sz w:val="20"/>
          <w:szCs w:val="20"/>
          <w:lang w:val="es-ES"/>
        </w:rPr>
        <w:t xml:space="preserve"> consideraron que esas declaraciones juradas carecían de un fundamento adecuado y equivalían a un testimonio de dudosa autenticidad.  La CIDH señala</w:t>
      </w:r>
      <w:r w:rsidR="002D2C07">
        <w:rPr>
          <w:rFonts w:asciiTheme="majorHAnsi" w:hAnsiTheme="majorHAnsi"/>
          <w:sz w:val="20"/>
          <w:szCs w:val="20"/>
          <w:lang w:val="es-ES"/>
        </w:rPr>
        <w:t>,</w:t>
      </w:r>
      <w:r>
        <w:rPr>
          <w:rFonts w:asciiTheme="majorHAnsi" w:hAnsiTheme="majorHAnsi"/>
          <w:sz w:val="20"/>
          <w:szCs w:val="20"/>
          <w:lang w:val="es-ES"/>
        </w:rPr>
        <w:t xml:space="preserve"> en ese sentido</w:t>
      </w:r>
      <w:r w:rsidR="002D2C07">
        <w:rPr>
          <w:rFonts w:asciiTheme="majorHAnsi" w:hAnsiTheme="majorHAnsi"/>
          <w:sz w:val="20"/>
          <w:szCs w:val="20"/>
          <w:lang w:val="es-ES"/>
        </w:rPr>
        <w:t>,</w:t>
      </w:r>
      <w:r>
        <w:rPr>
          <w:rFonts w:asciiTheme="majorHAnsi" w:hAnsiTheme="majorHAnsi"/>
          <w:sz w:val="20"/>
          <w:szCs w:val="20"/>
          <w:lang w:val="es-ES"/>
        </w:rPr>
        <w:t xml:space="preserve"> que las declaraciones juradas fueron firmadas no solamente por reclusos sino también por empleados que trabajaban en la cárcel. Además, que la cárcel en la cual el señor Housel estuvo detenido</w:t>
      </w:r>
      <w:r w:rsidR="008D7CFC">
        <w:rPr>
          <w:rFonts w:asciiTheme="majorHAnsi" w:hAnsiTheme="majorHAnsi"/>
          <w:sz w:val="20"/>
          <w:szCs w:val="20"/>
          <w:lang w:val="es-ES"/>
        </w:rPr>
        <w:t xml:space="preserve"> previamente al juicio había sido objeto de un juicio federal sobre las condiciones de vida del lugar. La Comisión señala también que, en su respuesta a la petición, el Estado admite que el señor Housel fue mantenido en régimen de aislamiento durante la mayor parte de su encarcelamiento previamente al juicio. La documentación presentada a</w:t>
      </w:r>
      <w:r w:rsidR="00780876">
        <w:rPr>
          <w:rFonts w:asciiTheme="majorHAnsi" w:hAnsiTheme="majorHAnsi"/>
          <w:sz w:val="20"/>
          <w:szCs w:val="20"/>
          <w:lang w:val="es-ES"/>
        </w:rPr>
        <w:t>nte</w:t>
      </w:r>
      <w:r w:rsidR="008D7CFC">
        <w:rPr>
          <w:rFonts w:asciiTheme="majorHAnsi" w:hAnsiTheme="majorHAnsi"/>
          <w:sz w:val="20"/>
          <w:szCs w:val="20"/>
          <w:lang w:val="es-ES"/>
        </w:rPr>
        <w:t xml:space="preserve"> la Comisión también indica que a fines de junio de 1985 el señor Housel fue transferido a </w:t>
      </w:r>
      <w:r w:rsidR="008D7CFC" w:rsidRPr="00FD04EA">
        <w:rPr>
          <w:rFonts w:asciiTheme="majorHAnsi" w:hAnsiTheme="majorHAnsi"/>
          <w:i/>
          <w:iCs/>
          <w:sz w:val="20"/>
          <w:szCs w:val="20"/>
          <w:lang w:val="es-ES"/>
        </w:rPr>
        <w:t>Douglas County Jail</w:t>
      </w:r>
      <w:r w:rsidR="008D7CFC">
        <w:rPr>
          <w:rFonts w:asciiTheme="majorHAnsi" w:hAnsiTheme="majorHAnsi"/>
          <w:sz w:val="20"/>
          <w:szCs w:val="20"/>
          <w:lang w:val="es-ES"/>
        </w:rPr>
        <w:t xml:space="preserve"> durante aproximadamente 20 días y</w:t>
      </w:r>
      <w:r w:rsidR="00FD04EA">
        <w:rPr>
          <w:rFonts w:asciiTheme="majorHAnsi" w:hAnsiTheme="majorHAnsi"/>
          <w:sz w:val="20"/>
          <w:szCs w:val="20"/>
          <w:lang w:val="es-ES"/>
        </w:rPr>
        <w:t>,</w:t>
      </w:r>
      <w:r w:rsidR="008D7CFC">
        <w:rPr>
          <w:rFonts w:asciiTheme="majorHAnsi" w:hAnsiTheme="majorHAnsi"/>
          <w:sz w:val="20"/>
          <w:szCs w:val="20"/>
          <w:lang w:val="es-ES"/>
        </w:rPr>
        <w:t xml:space="preserve"> a su regreso, fue recluido en régimen de aislamiento con condiciones “mejoradas” debido a una orden de consentimiento.</w:t>
      </w:r>
    </w:p>
    <w:p w14:paraId="77CB84E3" w14:textId="77777777" w:rsidR="00C06FD9" w:rsidRPr="00C06FD9" w:rsidRDefault="00C06FD9" w:rsidP="00C06FD9">
      <w:pPr>
        <w:pStyle w:val="ListParagraph"/>
        <w:rPr>
          <w:rFonts w:asciiTheme="majorHAnsi" w:hAnsiTheme="majorHAnsi"/>
          <w:sz w:val="20"/>
          <w:szCs w:val="20"/>
          <w:lang w:val="es-ES"/>
        </w:rPr>
      </w:pPr>
    </w:p>
    <w:p w14:paraId="55B5E5C9" w14:textId="77777777" w:rsidR="006A0256" w:rsidRPr="006A0256" w:rsidRDefault="006A0256" w:rsidP="00ED2F81">
      <w:pPr>
        <w:pStyle w:val="NormalWeb"/>
        <w:numPr>
          <w:ilvl w:val="0"/>
          <w:numId w:val="65"/>
        </w:numPr>
        <w:shd w:val="clear" w:color="auto" w:fill="FFFFFF"/>
        <w:tabs>
          <w:tab w:val="left" w:pos="0"/>
          <w:tab w:val="left" w:pos="360"/>
          <w:tab w:val="left" w:pos="630"/>
          <w:tab w:val="left" w:pos="1440"/>
          <w:tab w:val="left" w:pos="1890"/>
        </w:tabs>
        <w:suppressAutoHyphens/>
        <w:spacing w:before="0" w:beforeAutospacing="0" w:after="0" w:afterAutospacing="0"/>
        <w:ind w:left="0" w:firstLine="0"/>
        <w:jc w:val="both"/>
        <w:rPr>
          <w:rFonts w:asciiTheme="majorHAnsi" w:hAnsiTheme="majorHAnsi"/>
          <w:sz w:val="20"/>
          <w:szCs w:val="20"/>
          <w:lang w:val="es-ES"/>
        </w:rPr>
      </w:pPr>
      <w:r w:rsidRPr="006A0256">
        <w:rPr>
          <w:rFonts w:asciiTheme="majorHAnsi" w:hAnsiTheme="majorHAnsi"/>
          <w:sz w:val="20"/>
          <w:szCs w:val="20"/>
          <w:lang w:val="es-ES"/>
        </w:rPr>
        <w:t>Por lo tanto, basándose e</w:t>
      </w:r>
      <w:r>
        <w:rPr>
          <w:rFonts w:asciiTheme="majorHAnsi" w:hAnsiTheme="majorHAnsi"/>
          <w:sz w:val="20"/>
          <w:szCs w:val="20"/>
          <w:lang w:val="es-ES"/>
        </w:rPr>
        <w:t>n la información disponible, la CIDH considera que las condiciones en las cuales el señor Housel fue encarcelado durante la detención previa al juicio, la falta de cuidados médicos adecuados, así como el prolongado régimen de aislamiento al que estuvo sujeto, constituyeron un trato inhumano, una pena cruel, infamante e inusitada y una transgresión de su derecho a</w:t>
      </w:r>
      <w:r w:rsidR="00E82A20">
        <w:rPr>
          <w:rFonts w:asciiTheme="majorHAnsi" w:hAnsiTheme="majorHAnsi"/>
          <w:sz w:val="20"/>
          <w:szCs w:val="20"/>
          <w:lang w:val="es-ES"/>
        </w:rPr>
        <w:t xml:space="preserve"> la</w:t>
      </w:r>
      <w:r>
        <w:rPr>
          <w:rFonts w:asciiTheme="majorHAnsi" w:hAnsiTheme="majorHAnsi"/>
          <w:sz w:val="20"/>
          <w:szCs w:val="20"/>
          <w:lang w:val="es-ES"/>
        </w:rPr>
        <w:t xml:space="preserve"> salud, en violación de los artículos XI, XXV y XXVI de la Declaración Americana.</w:t>
      </w:r>
    </w:p>
    <w:p w14:paraId="3E3D2A75" w14:textId="77777777" w:rsidR="00A04BB7" w:rsidRPr="0056246C" w:rsidRDefault="006F2FA9" w:rsidP="00ED2F81">
      <w:pPr>
        <w:pStyle w:val="Heading3"/>
        <w:numPr>
          <w:ilvl w:val="0"/>
          <w:numId w:val="68"/>
        </w:numPr>
        <w:ind w:left="360"/>
        <w:rPr>
          <w:color w:val="auto"/>
          <w:sz w:val="20"/>
          <w:szCs w:val="20"/>
          <w:lang w:val="es-ES"/>
        </w:rPr>
      </w:pPr>
      <w:bookmarkStart w:id="36" w:name="_Toc22826187"/>
      <w:bookmarkStart w:id="37" w:name="_Toc150529902"/>
      <w:r w:rsidRPr="0056246C">
        <w:rPr>
          <w:color w:val="auto"/>
          <w:sz w:val="20"/>
          <w:szCs w:val="20"/>
          <w:lang w:val="es-ES"/>
        </w:rPr>
        <w:lastRenderedPageBreak/>
        <w:t>Condiciones</w:t>
      </w:r>
      <w:r w:rsidR="00173A2B" w:rsidRPr="0056246C">
        <w:rPr>
          <w:color w:val="auto"/>
          <w:sz w:val="20"/>
          <w:szCs w:val="20"/>
          <w:lang w:val="es-ES"/>
        </w:rPr>
        <w:t xml:space="preserve"> de reclusión</w:t>
      </w:r>
      <w:r w:rsidRPr="0056246C">
        <w:rPr>
          <w:color w:val="auto"/>
          <w:sz w:val="20"/>
          <w:szCs w:val="20"/>
          <w:lang w:val="es-ES"/>
        </w:rPr>
        <w:t xml:space="preserve"> en el pabellón de los condenados a mu</w:t>
      </w:r>
      <w:bookmarkEnd w:id="36"/>
      <w:r w:rsidRPr="0056246C">
        <w:rPr>
          <w:color w:val="auto"/>
          <w:sz w:val="20"/>
          <w:szCs w:val="20"/>
          <w:lang w:val="es-ES"/>
        </w:rPr>
        <w:t>erte</w:t>
      </w:r>
      <w:bookmarkEnd w:id="37"/>
      <w:r w:rsidR="0095229E" w:rsidRPr="0056246C">
        <w:rPr>
          <w:color w:val="auto"/>
          <w:sz w:val="20"/>
          <w:szCs w:val="20"/>
          <w:lang w:val="es-ES"/>
        </w:rPr>
        <w:t xml:space="preserve"> </w:t>
      </w:r>
    </w:p>
    <w:p w14:paraId="4B92AD8F" w14:textId="77777777" w:rsidR="00A04BB7" w:rsidRPr="00DE2580" w:rsidRDefault="00A04BB7" w:rsidP="00F349BC">
      <w:pPr>
        <w:tabs>
          <w:tab w:val="left" w:pos="1890"/>
        </w:tabs>
        <w:rPr>
          <w:rFonts w:asciiTheme="majorHAnsi" w:hAnsiTheme="majorHAnsi"/>
          <w:sz w:val="20"/>
          <w:szCs w:val="20"/>
          <w:lang w:val="es-ES"/>
        </w:rPr>
      </w:pPr>
    </w:p>
    <w:p w14:paraId="551925BC" w14:textId="77777777" w:rsidR="001C2919" w:rsidRPr="001C2919" w:rsidRDefault="001C2919"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1C2919">
        <w:rPr>
          <w:rFonts w:asciiTheme="majorHAnsi" w:hAnsiTheme="majorHAnsi"/>
          <w:sz w:val="20"/>
          <w:szCs w:val="20"/>
          <w:lang w:val="es-ES"/>
        </w:rPr>
        <w:t>La Comisión toma nota d</w:t>
      </w:r>
      <w:r>
        <w:rPr>
          <w:rFonts w:asciiTheme="majorHAnsi" w:hAnsiTheme="majorHAnsi"/>
          <w:sz w:val="20"/>
          <w:szCs w:val="20"/>
          <w:lang w:val="es-ES"/>
        </w:rPr>
        <w:t xml:space="preserve">el concepto de </w:t>
      </w:r>
      <w:r w:rsidRPr="001C2919">
        <w:rPr>
          <w:rFonts w:asciiTheme="majorHAnsi" w:hAnsiTheme="majorHAnsi"/>
          <w:i/>
          <w:iCs/>
          <w:sz w:val="20"/>
          <w:szCs w:val="20"/>
          <w:lang w:val="es-ES"/>
        </w:rPr>
        <w:t>fenómeno del pabellón de los condenados a muerte</w:t>
      </w:r>
      <w:r>
        <w:rPr>
          <w:rFonts w:asciiTheme="majorHAnsi" w:hAnsiTheme="majorHAnsi"/>
          <w:sz w:val="20"/>
          <w:szCs w:val="20"/>
          <w:lang w:val="es-ES"/>
        </w:rPr>
        <w:t xml:space="preserve"> del Relator Especial de Naciones Unidas</w:t>
      </w:r>
      <w:r w:rsidRPr="001C2919">
        <w:rPr>
          <w:rFonts w:asciiTheme="majorHAnsi" w:hAnsiTheme="majorHAnsi"/>
          <w:sz w:val="16"/>
          <w:szCs w:val="16"/>
          <w:lang w:val="es-ES"/>
        </w:rPr>
        <w:t xml:space="preserve"> </w:t>
      </w:r>
      <w:r w:rsidRPr="001C2919">
        <w:rPr>
          <w:rFonts w:asciiTheme="majorHAnsi" w:hAnsiTheme="majorHAnsi"/>
          <w:sz w:val="20"/>
          <w:szCs w:val="20"/>
          <w:lang w:val="es-ES"/>
        </w:rPr>
        <w:t>sobre la tortura y otros tratos o penas crueles, inhuman</w:t>
      </w:r>
      <w:r w:rsidR="001A4608">
        <w:rPr>
          <w:rFonts w:asciiTheme="majorHAnsi" w:hAnsiTheme="majorHAnsi"/>
          <w:sz w:val="20"/>
          <w:szCs w:val="20"/>
          <w:lang w:val="es-ES"/>
        </w:rPr>
        <w:t>o</w:t>
      </w:r>
      <w:r w:rsidRPr="001C2919">
        <w:rPr>
          <w:rFonts w:asciiTheme="majorHAnsi" w:hAnsiTheme="majorHAnsi"/>
          <w:sz w:val="20"/>
          <w:szCs w:val="20"/>
          <w:lang w:val="es-ES"/>
        </w:rPr>
        <w:t>s o degradantes</w:t>
      </w:r>
      <w:r>
        <w:rPr>
          <w:rFonts w:asciiTheme="majorHAnsi" w:hAnsiTheme="majorHAnsi"/>
          <w:sz w:val="20"/>
          <w:szCs w:val="20"/>
          <w:lang w:val="es-ES"/>
        </w:rPr>
        <w:t>:</w:t>
      </w:r>
    </w:p>
    <w:p w14:paraId="40C96E85" w14:textId="77777777" w:rsidR="00E76AE8" w:rsidRPr="000C293C" w:rsidRDefault="00E76AE8" w:rsidP="00F349BC">
      <w:pPr>
        <w:pStyle w:val="ListParagraph"/>
        <w:tabs>
          <w:tab w:val="left" w:pos="1890"/>
        </w:tabs>
        <w:rPr>
          <w:sz w:val="20"/>
          <w:szCs w:val="20"/>
          <w:lang w:val="es-ES"/>
        </w:rPr>
      </w:pPr>
    </w:p>
    <w:p w14:paraId="0AA1BA43" w14:textId="77777777" w:rsidR="000C1587" w:rsidRPr="000C1587" w:rsidRDefault="00E76AE8" w:rsidP="000C158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 w:val="left" w:pos="9000"/>
        </w:tabs>
        <w:suppressAutoHyphens/>
        <w:ind w:left="360" w:right="360"/>
        <w:jc w:val="both"/>
        <w:rPr>
          <w:rFonts w:ascii="Cambria" w:hAnsi="Cambria"/>
          <w:sz w:val="18"/>
          <w:szCs w:val="18"/>
          <w:lang w:val="es-ES"/>
        </w:rPr>
      </w:pPr>
      <w:r w:rsidRPr="000C1587">
        <w:rPr>
          <w:rFonts w:ascii="Cambria" w:hAnsi="Cambria"/>
          <w:sz w:val="18"/>
          <w:szCs w:val="18"/>
          <w:lang w:val="es-ES"/>
        </w:rPr>
        <w:t>(…)</w:t>
      </w:r>
      <w:r w:rsidR="000C1587" w:rsidRPr="000C1587">
        <w:rPr>
          <w:rFonts w:ascii="Cambria" w:hAnsi="Cambria"/>
          <w:sz w:val="18"/>
          <w:szCs w:val="18"/>
          <w:lang w:val="es-ES"/>
        </w:rPr>
        <w:t xml:space="preserve"> </w:t>
      </w:r>
      <w:r w:rsidR="000C1587" w:rsidRPr="000C1587">
        <w:rPr>
          <w:rFonts w:asciiTheme="majorHAnsi" w:hAnsiTheme="majorHAnsi"/>
          <w:sz w:val="18"/>
          <w:szCs w:val="18"/>
          <w:lang w:val="es-ES"/>
        </w:rPr>
        <w:t>Consiste en una combinación de circunstancias que producen graves traumas mentales y deterioro físico en los presos sentenciados a muerte</w:t>
      </w:r>
      <w:r w:rsidR="000C1587">
        <w:rPr>
          <w:rFonts w:asciiTheme="majorHAnsi" w:hAnsiTheme="majorHAnsi"/>
          <w:sz w:val="18"/>
          <w:szCs w:val="18"/>
          <w:lang w:val="es-ES"/>
        </w:rPr>
        <w:t>.</w:t>
      </w:r>
      <w:r w:rsidR="000C1587" w:rsidRPr="00DE2580">
        <w:rPr>
          <w:rFonts w:ascii="Cambria" w:hAnsi="Cambria"/>
          <w:sz w:val="18"/>
          <w:szCs w:val="18"/>
          <w:vertAlign w:val="superscript"/>
        </w:rPr>
        <w:footnoteReference w:id="60"/>
      </w:r>
      <w:r w:rsidR="005E70A4">
        <w:rPr>
          <w:rFonts w:asciiTheme="majorHAnsi" w:hAnsiTheme="majorHAnsi"/>
          <w:sz w:val="18"/>
          <w:szCs w:val="18"/>
          <w:lang w:val="es-ES"/>
        </w:rPr>
        <w:t xml:space="preserve"> </w:t>
      </w:r>
      <w:r w:rsidR="000C1587">
        <w:rPr>
          <w:rFonts w:asciiTheme="majorHAnsi" w:hAnsiTheme="majorHAnsi"/>
          <w:sz w:val="18"/>
          <w:szCs w:val="18"/>
          <w:lang w:val="es-ES"/>
        </w:rPr>
        <w:t xml:space="preserve"> </w:t>
      </w:r>
      <w:r w:rsidR="000C1587" w:rsidRPr="000C1587">
        <w:rPr>
          <w:rFonts w:asciiTheme="majorHAnsi" w:hAnsiTheme="majorHAnsi"/>
          <w:sz w:val="18"/>
          <w:szCs w:val="18"/>
          <w:lang w:val="es-ES"/>
        </w:rPr>
        <w:t>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000C1587" w:rsidRPr="000C1587">
        <w:rPr>
          <w:rFonts w:ascii="Cambria" w:hAnsi="Cambria"/>
          <w:sz w:val="18"/>
          <w:szCs w:val="18"/>
          <w:lang w:val="es-ES"/>
        </w:rPr>
        <w:t xml:space="preserve"> </w:t>
      </w:r>
      <w:r w:rsidR="000C1587" w:rsidRPr="00DE2580">
        <w:rPr>
          <w:rFonts w:ascii="Cambria" w:hAnsi="Cambria"/>
          <w:sz w:val="18"/>
          <w:szCs w:val="18"/>
          <w:vertAlign w:val="superscript"/>
        </w:rPr>
        <w:footnoteReference w:id="61"/>
      </w:r>
    </w:p>
    <w:p w14:paraId="79735CED" w14:textId="77777777" w:rsidR="000C1587" w:rsidRPr="000C1587" w:rsidRDefault="000C1587" w:rsidP="00F349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 w:val="left" w:pos="9000"/>
        </w:tabs>
        <w:suppressAutoHyphens/>
        <w:ind w:left="360" w:right="360"/>
        <w:jc w:val="both"/>
        <w:rPr>
          <w:rFonts w:asciiTheme="majorHAnsi" w:hAnsiTheme="majorHAnsi"/>
          <w:sz w:val="18"/>
          <w:szCs w:val="18"/>
          <w:lang w:val="es-ES"/>
        </w:rPr>
      </w:pPr>
    </w:p>
    <w:p w14:paraId="59C0DFF7" w14:textId="77777777" w:rsidR="00AA3229" w:rsidRPr="00AA3229" w:rsidRDefault="00AA3229"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lang w:val="es-ES"/>
        </w:rPr>
      </w:pPr>
      <w:r w:rsidRPr="00AA3229">
        <w:rPr>
          <w:rFonts w:ascii="Cambria" w:hAnsi="Cambria"/>
          <w:sz w:val="20"/>
          <w:lang w:val="es-ES"/>
        </w:rPr>
        <w:t xml:space="preserve">En el caso de </w:t>
      </w:r>
      <w:r w:rsidRPr="00AA3229">
        <w:rPr>
          <w:rFonts w:ascii="Cambria" w:hAnsi="Cambria"/>
          <w:i/>
          <w:sz w:val="20"/>
          <w:lang w:val="es-ES"/>
        </w:rPr>
        <w:t>Soerin</w:t>
      </w:r>
      <w:r>
        <w:rPr>
          <w:rFonts w:ascii="Cambria" w:hAnsi="Cambria"/>
          <w:i/>
          <w:sz w:val="20"/>
          <w:lang w:val="es-ES"/>
        </w:rPr>
        <w:t>g</w:t>
      </w:r>
      <w:r w:rsidRPr="00AA3229">
        <w:rPr>
          <w:rFonts w:ascii="Cambria" w:hAnsi="Cambria"/>
          <w:i/>
          <w:sz w:val="20"/>
          <w:lang w:val="es-ES"/>
        </w:rPr>
        <w:t xml:space="preserve"> c. </w:t>
      </w:r>
      <w:r w:rsidR="005D19E7">
        <w:rPr>
          <w:rFonts w:ascii="Cambria" w:hAnsi="Cambria"/>
          <w:i/>
          <w:sz w:val="20"/>
          <w:lang w:val="es-ES"/>
        </w:rPr>
        <w:t>Reino Unido</w:t>
      </w:r>
      <w:r w:rsidRPr="00AA3229">
        <w:rPr>
          <w:rFonts w:ascii="Cambria" w:hAnsi="Cambria"/>
          <w:iCs/>
          <w:sz w:val="20"/>
          <w:lang w:val="es-ES"/>
        </w:rPr>
        <w:t>, el Tribunal Europeo de De</w:t>
      </w:r>
      <w:r>
        <w:rPr>
          <w:rFonts w:ascii="Cambria" w:hAnsi="Cambria"/>
          <w:iCs/>
          <w:sz w:val="20"/>
          <w:lang w:val="es-ES"/>
        </w:rPr>
        <w:t>rechos Humanos, en su interpretación de la norma que prohíbe la</w:t>
      </w:r>
      <w:r w:rsidR="007A04A8">
        <w:rPr>
          <w:rFonts w:ascii="Cambria" w:hAnsi="Cambria"/>
          <w:iCs/>
          <w:sz w:val="20"/>
          <w:lang w:val="es-ES"/>
        </w:rPr>
        <w:t>s</w:t>
      </w:r>
      <w:r>
        <w:rPr>
          <w:rFonts w:ascii="Cambria" w:hAnsi="Cambria"/>
          <w:iCs/>
          <w:sz w:val="20"/>
          <w:lang w:val="es-ES"/>
        </w:rPr>
        <w:t xml:space="preserve"> pena</w:t>
      </w:r>
      <w:r w:rsidR="007A04A8">
        <w:rPr>
          <w:rFonts w:ascii="Cambria" w:hAnsi="Cambria"/>
          <w:iCs/>
          <w:sz w:val="20"/>
          <w:lang w:val="es-ES"/>
        </w:rPr>
        <w:t>s</w:t>
      </w:r>
      <w:r>
        <w:rPr>
          <w:rFonts w:ascii="Cambria" w:hAnsi="Cambria"/>
          <w:iCs/>
          <w:sz w:val="20"/>
          <w:lang w:val="es-ES"/>
        </w:rPr>
        <w:t xml:space="preserve"> cruel</w:t>
      </w:r>
      <w:r w:rsidR="007A04A8">
        <w:rPr>
          <w:rFonts w:ascii="Cambria" w:hAnsi="Cambria"/>
          <w:iCs/>
          <w:sz w:val="20"/>
          <w:lang w:val="es-ES"/>
        </w:rPr>
        <w:t>es</w:t>
      </w:r>
      <w:r>
        <w:rPr>
          <w:rFonts w:ascii="Cambria" w:hAnsi="Cambria"/>
          <w:iCs/>
          <w:sz w:val="20"/>
          <w:lang w:val="es-ES"/>
        </w:rPr>
        <w:t>, inhumana</w:t>
      </w:r>
      <w:r w:rsidR="007A04A8">
        <w:rPr>
          <w:rFonts w:ascii="Cambria" w:hAnsi="Cambria"/>
          <w:iCs/>
          <w:sz w:val="20"/>
          <w:lang w:val="es-ES"/>
        </w:rPr>
        <w:t>s</w:t>
      </w:r>
      <w:r>
        <w:rPr>
          <w:rFonts w:ascii="Cambria" w:hAnsi="Cambria"/>
          <w:iCs/>
          <w:sz w:val="20"/>
          <w:lang w:val="es-ES"/>
        </w:rPr>
        <w:t xml:space="preserve"> e inusitada</w:t>
      </w:r>
      <w:r w:rsidR="007A04A8">
        <w:rPr>
          <w:rFonts w:ascii="Cambria" w:hAnsi="Cambria"/>
          <w:iCs/>
          <w:sz w:val="20"/>
          <w:lang w:val="es-ES"/>
        </w:rPr>
        <w:t>s</w:t>
      </w:r>
      <w:r>
        <w:rPr>
          <w:rFonts w:ascii="Cambria" w:hAnsi="Cambria"/>
          <w:iCs/>
          <w:sz w:val="20"/>
          <w:lang w:val="es-ES"/>
        </w:rPr>
        <w:t xml:space="preserve"> y en referencia a la pena de muerte, señaló que:</w:t>
      </w:r>
    </w:p>
    <w:p w14:paraId="575CE7E9" w14:textId="77777777" w:rsidR="00E76AE8" w:rsidRPr="007A04A8" w:rsidRDefault="00E76AE8" w:rsidP="00F349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suppressAutoHyphens/>
        <w:ind w:left="1500"/>
        <w:jc w:val="both"/>
        <w:rPr>
          <w:rStyle w:val="sb8d990e2"/>
          <w:rFonts w:asciiTheme="majorHAnsi" w:hAnsiTheme="majorHAnsi"/>
          <w:sz w:val="20"/>
          <w:szCs w:val="20"/>
          <w:lang w:val="es-ES"/>
        </w:rPr>
      </w:pPr>
    </w:p>
    <w:p w14:paraId="2239C60A" w14:textId="77777777" w:rsidR="006B1AEA" w:rsidRDefault="006B1AEA" w:rsidP="006B1AEA">
      <w:pPr>
        <w:pStyle w:val="ListParagraph"/>
        <w:tabs>
          <w:tab w:val="left" w:pos="1890"/>
          <w:tab w:val="left" w:pos="9000"/>
        </w:tabs>
        <w:ind w:left="360" w:right="360"/>
        <w:rPr>
          <w:rStyle w:val="fontstyle01"/>
          <w:rFonts w:asciiTheme="majorHAnsi" w:hAnsiTheme="majorHAnsi"/>
          <w:sz w:val="18"/>
          <w:szCs w:val="18"/>
          <w:lang w:val="es-ES"/>
        </w:rPr>
      </w:pPr>
      <w:r w:rsidRPr="006B1AEA">
        <w:rPr>
          <w:rStyle w:val="fontstyle01"/>
          <w:rFonts w:asciiTheme="majorHAnsi" w:hAnsiTheme="majorHAnsi"/>
          <w:sz w:val="18"/>
          <w:szCs w:val="18"/>
          <w:lang w:val="es-ES"/>
        </w:rPr>
        <w:t>La manera en que se dicte o aplique, la</w:t>
      </w:r>
      <w:r>
        <w:rPr>
          <w:rStyle w:val="fontstyle01"/>
          <w:rFonts w:asciiTheme="majorHAnsi" w:hAnsiTheme="majorHAnsi"/>
          <w:sz w:val="18"/>
          <w:szCs w:val="18"/>
          <w:lang w:val="es-ES"/>
        </w:rPr>
        <w:t>s circunstancias personales</w:t>
      </w:r>
      <w:r w:rsidRPr="006B1AEA">
        <w:rPr>
          <w:rStyle w:val="fontstyle01"/>
          <w:rFonts w:asciiTheme="majorHAnsi" w:hAnsiTheme="majorHAnsi"/>
          <w:sz w:val="18"/>
          <w:szCs w:val="18"/>
          <w:lang w:val="es-ES"/>
        </w:rPr>
        <w:t xml:space="preserve"> del condenado y la desproporción en relación con la gravedad del delito, así como las condiciones de la prisión mientras espera la ejecución, son algunos de</w:t>
      </w:r>
      <w:r w:rsidRPr="006B1AEA">
        <w:rPr>
          <w:rFonts w:asciiTheme="majorHAnsi" w:hAnsiTheme="majorHAnsi"/>
          <w:sz w:val="18"/>
          <w:szCs w:val="18"/>
          <w:lang w:val="es-ES"/>
        </w:rPr>
        <w:br/>
      </w:r>
      <w:r w:rsidRPr="006B1AEA">
        <w:rPr>
          <w:rStyle w:val="fontstyle01"/>
          <w:rFonts w:asciiTheme="majorHAnsi" w:hAnsiTheme="majorHAnsi"/>
          <w:sz w:val="18"/>
          <w:szCs w:val="18"/>
          <w:lang w:val="es-ES"/>
        </w:rPr>
        <w:t>los factores que pueden hacer que el trato y la pena que sufre el reo incidan en el artículo 3.</w:t>
      </w:r>
      <w:r w:rsidR="00430E07" w:rsidRPr="00430E07">
        <w:rPr>
          <w:rStyle w:val="FootnoteReference"/>
          <w:sz w:val="18"/>
          <w:szCs w:val="18"/>
          <w:lang w:val="es-ES"/>
        </w:rPr>
        <w:t xml:space="preserve"> </w:t>
      </w:r>
      <w:r w:rsidR="00430E07" w:rsidRPr="00DE2580">
        <w:rPr>
          <w:rStyle w:val="FootnoteReference"/>
          <w:sz w:val="18"/>
          <w:szCs w:val="18"/>
        </w:rPr>
        <w:footnoteReference w:id="62"/>
      </w:r>
      <w:r w:rsidR="00430E07" w:rsidRPr="00430E07">
        <w:rPr>
          <w:rStyle w:val="sb8d990e2"/>
          <w:sz w:val="18"/>
          <w:szCs w:val="18"/>
          <w:lang w:val="es-ES"/>
        </w:rPr>
        <w:t xml:space="preserve"> </w:t>
      </w:r>
    </w:p>
    <w:p w14:paraId="1D6F32CB" w14:textId="77777777" w:rsidR="00E76AE8" w:rsidRPr="00031013" w:rsidRDefault="006B1AEA" w:rsidP="002B1AE6">
      <w:pPr>
        <w:pStyle w:val="ListParagraph"/>
        <w:tabs>
          <w:tab w:val="left" w:pos="1890"/>
          <w:tab w:val="left" w:pos="9000"/>
        </w:tabs>
        <w:ind w:left="360" w:right="360"/>
        <w:rPr>
          <w:rStyle w:val="sb8d990e2"/>
          <w:sz w:val="20"/>
          <w:szCs w:val="20"/>
          <w:lang w:val="es-ES"/>
        </w:rPr>
      </w:pPr>
      <w:r w:rsidRPr="009F4761">
        <w:rPr>
          <w:lang w:val="es-ES"/>
        </w:rPr>
        <w:t xml:space="preserve"> </w:t>
      </w:r>
    </w:p>
    <w:p w14:paraId="4DFC6253" w14:textId="3A76F2DB" w:rsidR="001E7672" w:rsidRPr="0039640C" w:rsidRDefault="001E7672"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39640C">
        <w:rPr>
          <w:rFonts w:asciiTheme="majorHAnsi" w:eastAsia="Cambria" w:hAnsiTheme="majorHAnsi" w:cs="Cambria"/>
          <w:bCs/>
          <w:sz w:val="20"/>
          <w:szCs w:val="20"/>
          <w:lang w:val="es-ES"/>
        </w:rPr>
        <w:t xml:space="preserve">El Tribunal Europeo señaló que “el fenómeno </w:t>
      </w:r>
      <w:r w:rsidR="002D36D6">
        <w:rPr>
          <w:rFonts w:asciiTheme="majorHAnsi" w:eastAsia="Cambria" w:hAnsiTheme="majorHAnsi" w:cs="Cambria"/>
          <w:bCs/>
          <w:sz w:val="20"/>
          <w:szCs w:val="20"/>
          <w:lang w:val="es-ES"/>
        </w:rPr>
        <w:t xml:space="preserve">del pabellón de los condenados </w:t>
      </w:r>
      <w:r w:rsidRPr="0039640C">
        <w:rPr>
          <w:rFonts w:asciiTheme="majorHAnsi" w:eastAsia="Cambria" w:hAnsiTheme="majorHAnsi" w:cs="Cambria"/>
          <w:bCs/>
          <w:sz w:val="20"/>
          <w:szCs w:val="20"/>
          <w:lang w:val="es-ES"/>
        </w:rPr>
        <w:t>a muerte”</w:t>
      </w:r>
      <w:r w:rsidR="0039640C">
        <w:rPr>
          <w:rFonts w:asciiTheme="majorHAnsi" w:eastAsia="Cambria" w:hAnsiTheme="majorHAnsi" w:cs="Cambria"/>
          <w:bCs/>
          <w:sz w:val="20"/>
          <w:szCs w:val="20"/>
          <w:lang w:val="es-ES"/>
        </w:rPr>
        <w:t xml:space="preserve"> es</w:t>
      </w:r>
      <w:r w:rsidR="0039640C" w:rsidRPr="0039640C">
        <w:rPr>
          <w:rFonts w:asciiTheme="majorHAnsi" w:hAnsiTheme="majorHAnsi"/>
          <w:sz w:val="20"/>
          <w:szCs w:val="20"/>
          <w:lang w:val="es-ES"/>
        </w:rPr>
        <w:t xml:space="preserve"> un trato cruel, inhumano y degradante, caracterizado por un prolongado período de detención </w:t>
      </w:r>
      <w:r w:rsidR="00B53F8B">
        <w:rPr>
          <w:rFonts w:asciiTheme="majorHAnsi" w:hAnsiTheme="majorHAnsi"/>
          <w:sz w:val="20"/>
          <w:szCs w:val="20"/>
          <w:lang w:val="es-ES"/>
        </w:rPr>
        <w:t xml:space="preserve">en </w:t>
      </w:r>
      <w:r w:rsidR="0039640C" w:rsidRPr="0039640C">
        <w:rPr>
          <w:rFonts w:asciiTheme="majorHAnsi" w:hAnsiTheme="majorHAnsi"/>
          <w:sz w:val="20"/>
          <w:szCs w:val="20"/>
          <w:lang w:val="es-ES"/>
        </w:rPr>
        <w:t>espera de ejecución durante el cual los sentenciados a muerte sufr</w:t>
      </w:r>
      <w:r w:rsidR="0039640C">
        <w:rPr>
          <w:rFonts w:asciiTheme="majorHAnsi" w:hAnsiTheme="majorHAnsi"/>
          <w:sz w:val="20"/>
          <w:szCs w:val="20"/>
          <w:lang w:val="es-ES"/>
        </w:rPr>
        <w:t>en</w:t>
      </w:r>
      <w:r w:rsidR="0039640C" w:rsidRPr="0039640C">
        <w:rPr>
          <w:rFonts w:asciiTheme="majorHAnsi" w:hAnsiTheme="majorHAnsi"/>
          <w:sz w:val="20"/>
          <w:szCs w:val="20"/>
          <w:lang w:val="es-ES"/>
        </w:rPr>
        <w:t xml:space="preserve"> grave ansiedad mental,</w:t>
      </w:r>
      <w:r w:rsidRPr="0039640C">
        <w:rPr>
          <w:rFonts w:asciiTheme="majorHAnsi" w:eastAsia="Cambria" w:hAnsiTheme="majorHAnsi" w:cs="Cambria"/>
          <w:bCs/>
          <w:sz w:val="20"/>
          <w:szCs w:val="20"/>
          <w:lang w:val="es-ES"/>
        </w:rPr>
        <w:t xml:space="preserve"> </w:t>
      </w:r>
      <w:r w:rsidR="00B53F8B">
        <w:rPr>
          <w:rFonts w:asciiTheme="majorHAnsi" w:eastAsia="Cambria" w:hAnsiTheme="majorHAnsi" w:cs="Cambria"/>
          <w:bCs/>
          <w:sz w:val="20"/>
          <w:szCs w:val="20"/>
          <w:lang w:val="es-ES"/>
        </w:rPr>
        <w:t xml:space="preserve">así como tensión y trauma </w:t>
      </w:r>
      <w:r w:rsidR="0039640C">
        <w:rPr>
          <w:rFonts w:asciiTheme="majorHAnsi" w:eastAsia="Cambria" w:hAnsiTheme="majorHAnsi" w:cs="Cambria"/>
          <w:bCs/>
          <w:sz w:val="20"/>
          <w:szCs w:val="20"/>
          <w:lang w:val="es-ES"/>
        </w:rPr>
        <w:t>psicológic</w:t>
      </w:r>
      <w:r w:rsidR="00B53F8B">
        <w:rPr>
          <w:rFonts w:asciiTheme="majorHAnsi" w:eastAsia="Cambria" w:hAnsiTheme="majorHAnsi" w:cs="Cambria"/>
          <w:bCs/>
          <w:sz w:val="20"/>
          <w:szCs w:val="20"/>
          <w:lang w:val="es-ES"/>
        </w:rPr>
        <w:t>o extremos</w:t>
      </w:r>
      <w:r w:rsidR="00756CFE" w:rsidRPr="00DE2580">
        <w:rPr>
          <w:rStyle w:val="FootnoteReference"/>
          <w:rFonts w:ascii="Cambria" w:eastAsia="Cambria" w:hAnsi="Cambria" w:cs="Cambria"/>
          <w:bCs/>
          <w:sz w:val="20"/>
          <w:szCs w:val="20"/>
        </w:rPr>
        <w:footnoteReference w:id="63"/>
      </w:r>
      <w:r w:rsidR="0040547A">
        <w:rPr>
          <w:rFonts w:asciiTheme="majorHAnsi" w:eastAsia="Cambria" w:hAnsiTheme="majorHAnsi" w:cs="Cambria"/>
          <w:bCs/>
          <w:sz w:val="20"/>
          <w:szCs w:val="20"/>
          <w:lang w:val="es-ES"/>
        </w:rPr>
        <w:t>.</w:t>
      </w:r>
      <w:r w:rsidRPr="0039640C">
        <w:rPr>
          <w:rFonts w:asciiTheme="majorHAnsi" w:eastAsia="Cambria" w:hAnsiTheme="majorHAnsi" w:cs="Cambria"/>
          <w:bCs/>
          <w:sz w:val="20"/>
          <w:szCs w:val="20"/>
          <w:lang w:val="es-ES"/>
        </w:rPr>
        <w:t xml:space="preserve">                                                   </w:t>
      </w:r>
    </w:p>
    <w:p w14:paraId="6654D60D" w14:textId="77777777" w:rsidR="00E76AE8" w:rsidRPr="000C293C" w:rsidRDefault="00E76AE8"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lang w:val="es-ES"/>
        </w:rPr>
      </w:pPr>
    </w:p>
    <w:p w14:paraId="5FA4B100" w14:textId="004F96C0" w:rsidR="00870E7C" w:rsidRPr="00870E7C" w:rsidRDefault="00870E7C"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Style w:val="sb8d990e2"/>
          <w:rFonts w:asciiTheme="majorHAnsi" w:hAnsiTheme="majorHAnsi"/>
          <w:sz w:val="20"/>
          <w:szCs w:val="20"/>
          <w:lang w:val="es-ES"/>
        </w:rPr>
      </w:pPr>
      <w:r w:rsidRPr="00870E7C">
        <w:rPr>
          <w:rStyle w:val="sb8d990e2"/>
          <w:rFonts w:asciiTheme="majorHAnsi" w:hAnsiTheme="majorHAnsi"/>
          <w:sz w:val="20"/>
          <w:szCs w:val="20"/>
          <w:lang w:val="es-ES"/>
        </w:rPr>
        <w:t xml:space="preserve">El Tribunal Europeo </w:t>
      </w:r>
      <w:r>
        <w:rPr>
          <w:rStyle w:val="sb8d990e2"/>
          <w:rFonts w:asciiTheme="majorHAnsi" w:hAnsiTheme="majorHAnsi"/>
          <w:sz w:val="20"/>
          <w:szCs w:val="20"/>
          <w:lang w:val="es-ES"/>
        </w:rPr>
        <w:t>hizo referencia a un promedio de seis a ocho años en el pabellón de la muerte desde la imposición de la pena hasta la</w:t>
      </w:r>
      <w:r w:rsidR="003A104B">
        <w:rPr>
          <w:rStyle w:val="sb8d990e2"/>
          <w:rFonts w:asciiTheme="majorHAnsi" w:hAnsiTheme="majorHAnsi"/>
          <w:sz w:val="20"/>
          <w:szCs w:val="20"/>
          <w:lang w:val="es-ES"/>
        </w:rPr>
        <w:t xml:space="preserve"> ejecución y mencionó cómo los mismos procedimientos y las </w:t>
      </w:r>
      <w:r w:rsidR="006C51A2">
        <w:rPr>
          <w:rStyle w:val="sb8d990e2"/>
          <w:rFonts w:asciiTheme="majorHAnsi" w:hAnsiTheme="majorHAnsi"/>
          <w:sz w:val="20"/>
          <w:szCs w:val="20"/>
          <w:lang w:val="es-ES"/>
        </w:rPr>
        <w:t>posteriores</w:t>
      </w:r>
      <w:r w:rsidR="003A104B">
        <w:rPr>
          <w:rStyle w:val="sb8d990e2"/>
          <w:rFonts w:asciiTheme="majorHAnsi" w:hAnsiTheme="majorHAnsi"/>
          <w:sz w:val="20"/>
          <w:szCs w:val="20"/>
          <w:lang w:val="es-ES"/>
        </w:rPr>
        <w:t xml:space="preserve"> apelaciones a la imposición de la pena de muerte</w:t>
      </w:r>
      <w:r w:rsidR="00C81F32">
        <w:rPr>
          <w:rStyle w:val="sb8d990e2"/>
          <w:rFonts w:asciiTheme="majorHAnsi" w:hAnsiTheme="majorHAnsi"/>
          <w:sz w:val="20"/>
          <w:szCs w:val="20"/>
          <w:lang w:val="es-ES"/>
        </w:rPr>
        <w:t xml:space="preserve"> afectan el tiempo de espera en el pabellón de los condenados a muerte.  El Tribunal hace referencia a</w:t>
      </w:r>
      <w:r w:rsidR="003D13BA">
        <w:rPr>
          <w:rStyle w:val="sb8d990e2"/>
          <w:rFonts w:asciiTheme="majorHAnsi" w:hAnsiTheme="majorHAnsi"/>
          <w:sz w:val="20"/>
          <w:szCs w:val="20"/>
          <w:lang w:val="es-ES"/>
        </w:rPr>
        <w:t xml:space="preserve"> que el</w:t>
      </w:r>
      <w:r w:rsidR="00C81F32">
        <w:rPr>
          <w:rStyle w:val="sb8d990e2"/>
          <w:rFonts w:asciiTheme="majorHAnsi" w:hAnsiTheme="majorHAnsi"/>
          <w:sz w:val="20"/>
          <w:szCs w:val="20"/>
          <w:lang w:val="es-ES"/>
        </w:rPr>
        <w:t xml:space="preserve"> lapso de tiempo</w:t>
      </w:r>
      <w:r w:rsidR="003D13BA">
        <w:rPr>
          <w:rStyle w:val="sb8d990e2"/>
          <w:rFonts w:asciiTheme="majorHAnsi" w:hAnsiTheme="majorHAnsi"/>
          <w:sz w:val="20"/>
          <w:szCs w:val="20"/>
          <w:lang w:val="es-ES"/>
        </w:rPr>
        <w:t xml:space="preserve"> transcurrido entre la sentencia y la ejecución es inevitable, sin embargo, con la consecuencia de que el recluso condenado debe soportar muchos años las condiciones del pabellón de la muerte y la angustia y creciente tensión de vivir bajo la constante sombra de la muerte</w:t>
      </w:r>
      <w:r w:rsidR="003D13BA" w:rsidRPr="00DE2580">
        <w:rPr>
          <w:rFonts w:asciiTheme="majorHAnsi" w:hAnsiTheme="majorHAnsi"/>
          <w:sz w:val="20"/>
          <w:szCs w:val="16"/>
          <w:vertAlign w:val="superscript"/>
        </w:rPr>
        <w:footnoteReference w:id="64"/>
      </w:r>
      <w:r w:rsidR="0040547A">
        <w:rPr>
          <w:rStyle w:val="sb8d990e2"/>
          <w:rFonts w:asciiTheme="majorHAnsi" w:hAnsiTheme="majorHAnsi"/>
          <w:sz w:val="20"/>
          <w:szCs w:val="20"/>
          <w:lang w:val="es-ES"/>
        </w:rPr>
        <w:t>.</w:t>
      </w:r>
    </w:p>
    <w:p w14:paraId="4C2725A4" w14:textId="77777777" w:rsidR="00E76AE8" w:rsidRPr="00031013" w:rsidRDefault="00E76AE8" w:rsidP="00F349BC">
      <w:pPr>
        <w:pStyle w:val="ListParagraph"/>
        <w:tabs>
          <w:tab w:val="left" w:pos="1890"/>
        </w:tabs>
        <w:rPr>
          <w:sz w:val="20"/>
          <w:lang w:val="es-ES"/>
        </w:rPr>
      </w:pPr>
    </w:p>
    <w:p w14:paraId="5141286E" w14:textId="2AE2889F" w:rsidR="00E76AE8" w:rsidRDefault="009F4761"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sz w:val="20"/>
          <w:lang w:val="es-ES"/>
        </w:rPr>
      </w:pPr>
      <w:r w:rsidRPr="009F4761">
        <w:rPr>
          <w:rFonts w:asciiTheme="majorHAnsi" w:hAnsiTheme="majorHAnsi"/>
          <w:sz w:val="20"/>
          <w:szCs w:val="20"/>
          <w:lang w:val="es-ES"/>
        </w:rPr>
        <w:t>El Tribunal reconoció</w:t>
      </w:r>
      <w:r w:rsidR="00035CE2">
        <w:rPr>
          <w:rFonts w:asciiTheme="majorHAnsi" w:hAnsiTheme="majorHAnsi"/>
          <w:sz w:val="20"/>
          <w:szCs w:val="20"/>
          <w:lang w:val="es-ES"/>
        </w:rPr>
        <w:t>,</w:t>
      </w:r>
      <w:r w:rsidRPr="009F4761">
        <w:rPr>
          <w:rFonts w:asciiTheme="majorHAnsi" w:hAnsiTheme="majorHAnsi"/>
          <w:sz w:val="20"/>
          <w:szCs w:val="20"/>
          <w:lang w:val="es-ES"/>
        </w:rPr>
        <w:t xml:space="preserve"> además</w:t>
      </w:r>
      <w:r w:rsidR="00035CE2">
        <w:rPr>
          <w:rFonts w:asciiTheme="majorHAnsi" w:hAnsiTheme="majorHAnsi"/>
          <w:sz w:val="20"/>
          <w:szCs w:val="20"/>
          <w:lang w:val="es-ES"/>
        </w:rPr>
        <w:t>,</w:t>
      </w:r>
      <w:r w:rsidRPr="009F4761">
        <w:rPr>
          <w:rFonts w:asciiTheme="majorHAnsi" w:hAnsiTheme="majorHAnsi"/>
          <w:sz w:val="20"/>
          <w:szCs w:val="20"/>
          <w:lang w:val="es-ES"/>
        </w:rPr>
        <w:t xml:space="preserve"> q</w:t>
      </w:r>
      <w:r>
        <w:rPr>
          <w:rFonts w:asciiTheme="majorHAnsi" w:hAnsiTheme="majorHAnsi"/>
          <w:sz w:val="20"/>
          <w:szCs w:val="20"/>
          <w:lang w:val="es-ES"/>
        </w:rPr>
        <w:t xml:space="preserve">ue </w:t>
      </w:r>
      <w:r w:rsidR="00330C56">
        <w:rPr>
          <w:rFonts w:asciiTheme="majorHAnsi" w:hAnsiTheme="majorHAnsi"/>
          <w:sz w:val="20"/>
          <w:szCs w:val="20"/>
          <w:lang w:val="es-ES"/>
        </w:rPr>
        <w:t xml:space="preserve">un </w:t>
      </w:r>
      <w:r w:rsidR="004C284F">
        <w:rPr>
          <w:rFonts w:asciiTheme="majorHAnsi" w:hAnsiTheme="majorHAnsi"/>
          <w:sz w:val="20"/>
          <w:szCs w:val="20"/>
          <w:lang w:val="es-ES"/>
        </w:rPr>
        <w:t>cierto</w:t>
      </w:r>
      <w:r>
        <w:rPr>
          <w:rFonts w:asciiTheme="majorHAnsi" w:hAnsiTheme="majorHAnsi"/>
          <w:sz w:val="20"/>
          <w:szCs w:val="20"/>
          <w:lang w:val="es-ES"/>
        </w:rPr>
        <w:t xml:space="preserve"> elemento de demora entre la imposición de la pena y la ejecución de la sentencia y la experiencia de </w:t>
      </w:r>
      <w:r w:rsidR="00A1101C">
        <w:rPr>
          <w:rFonts w:asciiTheme="majorHAnsi" w:hAnsiTheme="majorHAnsi"/>
          <w:sz w:val="20"/>
          <w:szCs w:val="20"/>
          <w:lang w:val="es-ES"/>
        </w:rPr>
        <w:t>fuertes tensiones</w:t>
      </w:r>
      <w:r>
        <w:rPr>
          <w:rFonts w:asciiTheme="majorHAnsi" w:hAnsiTheme="majorHAnsi"/>
          <w:sz w:val="20"/>
          <w:szCs w:val="20"/>
          <w:lang w:val="es-ES"/>
        </w:rPr>
        <w:t xml:space="preserve"> en las condiciones necesarias </w:t>
      </w:r>
      <w:r w:rsidR="00A1101C">
        <w:rPr>
          <w:rFonts w:asciiTheme="majorHAnsi" w:hAnsiTheme="majorHAnsi"/>
          <w:sz w:val="20"/>
          <w:szCs w:val="20"/>
          <w:lang w:val="es-ES"/>
        </w:rPr>
        <w:t>de un régimen riguroso de</w:t>
      </w:r>
      <w:r>
        <w:rPr>
          <w:rFonts w:asciiTheme="majorHAnsi" w:hAnsiTheme="majorHAnsi"/>
          <w:sz w:val="20"/>
          <w:szCs w:val="20"/>
          <w:lang w:val="es-ES"/>
        </w:rPr>
        <w:t xml:space="preserve"> reclusión son inevitables y consideró elementos tales como, el período </w:t>
      </w:r>
      <w:r w:rsidR="00035CE2">
        <w:rPr>
          <w:rFonts w:asciiTheme="majorHAnsi" w:hAnsiTheme="majorHAnsi"/>
          <w:sz w:val="20"/>
          <w:szCs w:val="20"/>
          <w:lang w:val="es-ES"/>
        </w:rPr>
        <w:t>tan</w:t>
      </w:r>
      <w:r>
        <w:rPr>
          <w:rFonts w:asciiTheme="majorHAnsi" w:hAnsiTheme="majorHAnsi"/>
          <w:sz w:val="20"/>
          <w:szCs w:val="20"/>
          <w:lang w:val="es-ES"/>
        </w:rPr>
        <w:t xml:space="preserve"> largo</w:t>
      </w:r>
      <w:r w:rsidR="00330C56">
        <w:rPr>
          <w:rFonts w:asciiTheme="majorHAnsi" w:hAnsiTheme="majorHAnsi"/>
          <w:sz w:val="20"/>
          <w:szCs w:val="20"/>
          <w:lang w:val="es-ES"/>
        </w:rPr>
        <w:t xml:space="preserve"> de tiempo que hay que pasar en el </w:t>
      </w:r>
      <w:r w:rsidR="008F0EC1">
        <w:rPr>
          <w:rFonts w:asciiTheme="majorHAnsi" w:hAnsiTheme="majorHAnsi"/>
          <w:sz w:val="20"/>
          <w:szCs w:val="20"/>
          <w:lang w:val="es-ES"/>
        </w:rPr>
        <w:t xml:space="preserve">pabellón de </w:t>
      </w:r>
      <w:r w:rsidR="00035CE2">
        <w:rPr>
          <w:rFonts w:asciiTheme="majorHAnsi" w:hAnsiTheme="majorHAnsi"/>
          <w:sz w:val="20"/>
          <w:szCs w:val="20"/>
          <w:lang w:val="es-ES"/>
        </w:rPr>
        <w:t xml:space="preserve">la </w:t>
      </w:r>
      <w:r w:rsidR="00330C56">
        <w:rPr>
          <w:rFonts w:asciiTheme="majorHAnsi" w:hAnsiTheme="majorHAnsi"/>
          <w:sz w:val="20"/>
          <w:szCs w:val="20"/>
          <w:lang w:val="es-ES"/>
        </w:rPr>
        <w:t xml:space="preserve">muerte en condiciones extremas, con la permanente y creciente angustia por la espera de la ejecución de la pena máxima, </w:t>
      </w:r>
      <w:r w:rsidR="00035CE2">
        <w:rPr>
          <w:rFonts w:asciiTheme="majorHAnsi" w:hAnsiTheme="majorHAnsi"/>
          <w:sz w:val="20"/>
          <w:szCs w:val="20"/>
          <w:lang w:val="es-ES"/>
        </w:rPr>
        <w:t xml:space="preserve">lo que llevó la demora al ámbito del </w:t>
      </w:r>
      <w:r w:rsidR="006E0392">
        <w:rPr>
          <w:rFonts w:asciiTheme="majorHAnsi" w:hAnsiTheme="majorHAnsi"/>
          <w:sz w:val="20"/>
          <w:szCs w:val="20"/>
          <w:lang w:val="es-ES"/>
        </w:rPr>
        <w:t>peligro real de un trato que sobrepasaría el límite establecido por el artículo 3</w:t>
      </w:r>
      <w:r w:rsidR="007C3C0E" w:rsidRPr="00DE2580">
        <w:rPr>
          <w:rFonts w:ascii="Cambria" w:hAnsi="Cambria"/>
          <w:sz w:val="20"/>
          <w:vertAlign w:val="superscript"/>
        </w:rPr>
        <w:footnoteReference w:id="65"/>
      </w:r>
      <w:r w:rsidR="0040547A" w:rsidRPr="0040547A">
        <w:rPr>
          <w:sz w:val="20"/>
          <w:lang w:val="es-ES"/>
        </w:rPr>
        <w:t>.</w:t>
      </w:r>
    </w:p>
    <w:p w14:paraId="19E81EAE" w14:textId="77777777" w:rsidR="0040547A" w:rsidRPr="0040547A" w:rsidRDefault="0040547A" w:rsidP="0040547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sz w:val="20"/>
          <w:lang w:val="es-ES"/>
        </w:rPr>
      </w:pPr>
    </w:p>
    <w:p w14:paraId="4BB8F28E" w14:textId="522766BB" w:rsidR="00900C04" w:rsidRPr="00900C04" w:rsidRDefault="00900C04"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900C04">
        <w:rPr>
          <w:rFonts w:asciiTheme="majorHAnsi" w:hAnsiTheme="majorHAnsi"/>
          <w:sz w:val="20"/>
          <w:szCs w:val="20"/>
          <w:lang w:val="es-ES"/>
        </w:rPr>
        <w:t xml:space="preserve">Además, en el ámbito del derecho comparado, la Comisión observa que el </w:t>
      </w:r>
      <w:r w:rsidRPr="002378F0">
        <w:rPr>
          <w:rFonts w:asciiTheme="majorHAnsi" w:hAnsiTheme="majorHAnsi"/>
          <w:i/>
          <w:iCs/>
          <w:sz w:val="20"/>
          <w:szCs w:val="20"/>
          <w:lang w:val="es-ES"/>
        </w:rPr>
        <w:t>Privy Council of the British House of Lords</w:t>
      </w:r>
      <w:r w:rsidRPr="00900C04">
        <w:rPr>
          <w:rFonts w:asciiTheme="majorHAnsi" w:hAnsiTheme="majorHAnsi"/>
          <w:sz w:val="20"/>
          <w:szCs w:val="20"/>
          <w:lang w:val="es-ES"/>
        </w:rPr>
        <w:t xml:space="preserve"> </w:t>
      </w:r>
      <w:r w:rsidR="00D24154">
        <w:rPr>
          <w:rFonts w:asciiTheme="majorHAnsi" w:hAnsiTheme="majorHAnsi"/>
          <w:sz w:val="20"/>
          <w:szCs w:val="20"/>
          <w:lang w:val="es-ES"/>
        </w:rPr>
        <w:t xml:space="preserve">[Consejo de Asesores de la Corona] </w:t>
      </w:r>
      <w:r w:rsidRPr="00900C04">
        <w:rPr>
          <w:rFonts w:asciiTheme="majorHAnsi" w:hAnsiTheme="majorHAnsi"/>
          <w:sz w:val="20"/>
          <w:szCs w:val="20"/>
          <w:lang w:val="es-ES"/>
        </w:rPr>
        <w:t>se pronunció en 1993 sobre el fe</w:t>
      </w:r>
      <w:r>
        <w:rPr>
          <w:rFonts w:asciiTheme="majorHAnsi" w:hAnsiTheme="majorHAnsi"/>
          <w:sz w:val="20"/>
          <w:szCs w:val="20"/>
          <w:lang w:val="es-ES"/>
        </w:rPr>
        <w:t xml:space="preserve">nómeno del </w:t>
      </w:r>
      <w:r w:rsidR="003E621E">
        <w:rPr>
          <w:rFonts w:asciiTheme="majorHAnsi" w:hAnsiTheme="majorHAnsi"/>
          <w:sz w:val="20"/>
          <w:szCs w:val="20"/>
          <w:lang w:val="es-ES"/>
        </w:rPr>
        <w:t>pabellón de los condenados a</w:t>
      </w:r>
      <w:r>
        <w:rPr>
          <w:rFonts w:asciiTheme="majorHAnsi" w:hAnsiTheme="majorHAnsi"/>
          <w:sz w:val="20"/>
          <w:szCs w:val="20"/>
          <w:lang w:val="es-ES"/>
        </w:rPr>
        <w:t xml:space="preserve"> muerte</w:t>
      </w:r>
      <w:r w:rsidRPr="00900C04">
        <w:rPr>
          <w:rFonts w:asciiTheme="majorHAnsi" w:hAnsiTheme="majorHAnsi"/>
          <w:sz w:val="20"/>
          <w:szCs w:val="20"/>
          <w:lang w:val="es-ES"/>
        </w:rPr>
        <w:t xml:space="preserve"> en el caso Pratt </w:t>
      </w:r>
      <w:r>
        <w:rPr>
          <w:rFonts w:asciiTheme="majorHAnsi" w:hAnsiTheme="majorHAnsi"/>
          <w:sz w:val="20"/>
          <w:szCs w:val="20"/>
          <w:lang w:val="es-ES"/>
        </w:rPr>
        <w:t>y</w:t>
      </w:r>
      <w:r w:rsidRPr="00900C04">
        <w:rPr>
          <w:rFonts w:asciiTheme="majorHAnsi" w:hAnsiTheme="majorHAnsi"/>
          <w:sz w:val="20"/>
          <w:szCs w:val="20"/>
          <w:lang w:val="es-ES"/>
        </w:rPr>
        <w:t xml:space="preserve"> Morgan</w:t>
      </w:r>
      <w:r>
        <w:rPr>
          <w:rFonts w:asciiTheme="majorHAnsi" w:hAnsiTheme="majorHAnsi"/>
          <w:sz w:val="20"/>
          <w:szCs w:val="20"/>
          <w:lang w:val="es-ES"/>
        </w:rPr>
        <w:t xml:space="preserve"> </w:t>
      </w:r>
      <w:r w:rsidR="00177259">
        <w:rPr>
          <w:rFonts w:asciiTheme="majorHAnsi" w:hAnsiTheme="majorHAnsi"/>
          <w:sz w:val="20"/>
          <w:szCs w:val="20"/>
          <w:lang w:val="es-ES"/>
        </w:rPr>
        <w:t>contra</w:t>
      </w:r>
      <w:r w:rsidRPr="00900C04">
        <w:rPr>
          <w:rFonts w:asciiTheme="majorHAnsi" w:hAnsiTheme="majorHAnsi"/>
          <w:sz w:val="20"/>
          <w:szCs w:val="20"/>
          <w:lang w:val="es-ES"/>
        </w:rPr>
        <w:t xml:space="preserve"> Jamaica en los siguientes términos</w:t>
      </w:r>
      <w:r w:rsidR="0040547A" w:rsidRPr="00DE2580">
        <w:rPr>
          <w:rFonts w:ascii="Cambria" w:eastAsia="Calibri" w:hAnsi="Cambria"/>
          <w:sz w:val="18"/>
          <w:szCs w:val="18"/>
          <w:bdr w:val="none" w:sz="0" w:space="0" w:color="auto"/>
          <w:vertAlign w:val="superscript"/>
        </w:rPr>
        <w:footnoteReference w:id="66"/>
      </w:r>
      <w:r w:rsidRPr="00900C04">
        <w:rPr>
          <w:rFonts w:asciiTheme="majorHAnsi" w:hAnsiTheme="majorHAnsi"/>
          <w:sz w:val="20"/>
          <w:szCs w:val="20"/>
          <w:lang w:val="es-ES"/>
        </w:rPr>
        <w:t>:</w:t>
      </w:r>
    </w:p>
    <w:p w14:paraId="113E0F53" w14:textId="77777777" w:rsidR="00E76AE8" w:rsidRPr="00031013" w:rsidRDefault="00E76AE8" w:rsidP="00F349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suppressAutoHyphens/>
        <w:jc w:val="both"/>
        <w:rPr>
          <w:rFonts w:ascii="Cambria" w:hAnsi="Cambria"/>
          <w:sz w:val="20"/>
          <w:lang w:val="es-ES"/>
        </w:rPr>
      </w:pPr>
    </w:p>
    <w:p w14:paraId="14DE9F8C" w14:textId="77777777" w:rsidR="00AF5D9C" w:rsidRPr="00AF2BB3" w:rsidRDefault="00AF5D9C" w:rsidP="00F349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90"/>
        </w:tabs>
        <w:autoSpaceDE w:val="0"/>
        <w:autoSpaceDN w:val="0"/>
        <w:adjustRightInd w:val="0"/>
        <w:ind w:left="360" w:right="360"/>
        <w:jc w:val="both"/>
        <w:rPr>
          <w:rFonts w:asciiTheme="majorHAnsi" w:hAnsiTheme="majorHAnsi"/>
          <w:sz w:val="18"/>
          <w:szCs w:val="18"/>
          <w:lang w:val="es-ES"/>
        </w:rPr>
      </w:pPr>
      <w:r w:rsidRPr="00AF5D9C">
        <w:rPr>
          <w:rFonts w:asciiTheme="majorHAnsi" w:hAnsiTheme="majorHAnsi"/>
          <w:sz w:val="18"/>
          <w:szCs w:val="18"/>
          <w:lang w:val="es-ES"/>
        </w:rPr>
        <w:t xml:space="preserve">En opinión de este Consejo, un Estado que desea mantener la pena capital, debe aceptar la responsabilidad de asegurar que la ejecución se siga lo más pronto posible después de la sentencia, permitiendo un tiempo razonable para apelar y considerar la postergación. Es parte de la condición humana que un hombre condenado va a tomar toda oportunidad para salvar su vida mediante el uso del procedimiento de apelación. Si dicho procedimiento permite al condenado prolongar las audiencias de apelación por periodos de años, el problema es atribuible al sistema de apelación que permite tal demora y no al condenado que toma ventaja del mismo. Los procedimientos de apelación que se mantienen por años no son compatibles con la pena de muerte. </w:t>
      </w:r>
      <w:r w:rsidRPr="00AF2BB3">
        <w:rPr>
          <w:rFonts w:asciiTheme="majorHAnsi" w:hAnsiTheme="majorHAnsi"/>
          <w:sz w:val="18"/>
          <w:szCs w:val="18"/>
          <w:lang w:val="es-ES"/>
        </w:rPr>
        <w:t>El fenómeno del corredor de la muerte no puede quedar establecido como parte de nuestra jurisprudencia.</w:t>
      </w:r>
    </w:p>
    <w:p w14:paraId="3B9B80C5" w14:textId="77777777" w:rsidR="00AF5D9C" w:rsidRPr="00AF2BB3" w:rsidRDefault="00AF5D9C" w:rsidP="00F349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90"/>
        </w:tabs>
        <w:autoSpaceDE w:val="0"/>
        <w:autoSpaceDN w:val="0"/>
        <w:adjustRightInd w:val="0"/>
        <w:ind w:left="360" w:right="360"/>
        <w:jc w:val="both"/>
        <w:rPr>
          <w:rFonts w:asciiTheme="majorHAnsi" w:hAnsiTheme="majorHAnsi"/>
          <w:sz w:val="18"/>
          <w:szCs w:val="18"/>
          <w:lang w:val="es-ES"/>
        </w:rPr>
      </w:pPr>
    </w:p>
    <w:p w14:paraId="57A7E746" w14:textId="77777777" w:rsidR="00E76AE8" w:rsidRPr="00AF2BB3" w:rsidRDefault="00E76AE8" w:rsidP="00F349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90"/>
        </w:tabs>
        <w:autoSpaceDE w:val="0"/>
        <w:autoSpaceDN w:val="0"/>
        <w:adjustRightInd w:val="0"/>
        <w:ind w:left="360" w:right="360"/>
        <w:jc w:val="both"/>
        <w:rPr>
          <w:rFonts w:ascii="Cambria" w:eastAsia="Calibri" w:hAnsi="Cambria" w:cs="Tahoma"/>
          <w:sz w:val="18"/>
          <w:szCs w:val="18"/>
          <w:bdr w:val="none" w:sz="0" w:space="0" w:color="auto"/>
          <w:lang w:val="es-ES"/>
        </w:rPr>
      </w:pPr>
      <w:r w:rsidRPr="00AF2BB3">
        <w:rPr>
          <w:rFonts w:ascii="Cambria" w:eastAsia="Calibri" w:hAnsi="Cambria"/>
          <w:sz w:val="18"/>
          <w:szCs w:val="18"/>
          <w:bdr w:val="none" w:sz="0" w:space="0" w:color="auto"/>
          <w:lang w:val="es-ES"/>
        </w:rPr>
        <w:t>(…)</w:t>
      </w:r>
    </w:p>
    <w:p w14:paraId="5F603CDF" w14:textId="4FA000CC" w:rsidR="001478AF" w:rsidRPr="001478AF" w:rsidRDefault="00A42E7D"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360" w:right="360"/>
        <w:jc w:val="both"/>
        <w:rPr>
          <w:rFonts w:asciiTheme="majorHAnsi" w:hAnsiTheme="majorHAnsi"/>
          <w:sz w:val="18"/>
          <w:szCs w:val="18"/>
          <w:lang w:val="es-BO"/>
        </w:rPr>
      </w:pPr>
      <w:r w:rsidRPr="00A42E7D">
        <w:rPr>
          <w:rFonts w:ascii="Cambria" w:eastAsia="Calibri" w:hAnsi="Cambria"/>
          <w:sz w:val="18"/>
          <w:szCs w:val="18"/>
          <w:bdr w:val="none" w:sz="0" w:space="0" w:color="auto"/>
          <w:lang w:val="es-SV"/>
        </w:rPr>
        <w:t>Estas consideraciones llevan a este Consejo a la conclusión de que en cualquier caso en el cual la ejecución tenga lugar más de cinco años después de la sentencia, existen fuertes razones para considerar que la demora es tal que constituye una "pena o trato inhumano o degradante</w:t>
      </w:r>
      <w:r w:rsidR="001478AF">
        <w:rPr>
          <w:rFonts w:asciiTheme="majorHAnsi" w:hAnsiTheme="majorHAnsi"/>
          <w:sz w:val="18"/>
          <w:szCs w:val="18"/>
          <w:lang w:val="es-BO"/>
        </w:rPr>
        <w:t>.</w:t>
      </w:r>
      <w:r w:rsidR="001478AF" w:rsidRPr="001478AF">
        <w:rPr>
          <w:rFonts w:asciiTheme="majorHAnsi" w:hAnsiTheme="majorHAnsi"/>
          <w:sz w:val="18"/>
          <w:szCs w:val="18"/>
          <w:lang w:val="es-BO"/>
        </w:rPr>
        <w:t>”</w:t>
      </w:r>
      <w:r w:rsidR="001478AF" w:rsidRPr="001478AF">
        <w:rPr>
          <w:rFonts w:ascii="Cambria" w:eastAsia="Calibri" w:hAnsi="Cambria"/>
          <w:sz w:val="18"/>
          <w:szCs w:val="18"/>
          <w:bdr w:val="none" w:sz="0" w:space="0" w:color="auto"/>
          <w:vertAlign w:val="superscript"/>
          <w:lang w:val="es-ES"/>
        </w:rPr>
        <w:t xml:space="preserve"> </w:t>
      </w:r>
    </w:p>
    <w:p w14:paraId="0A0C2C0E" w14:textId="77777777" w:rsidR="001478AF" w:rsidRPr="001478AF" w:rsidRDefault="001478AF"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360" w:right="360"/>
        <w:jc w:val="both"/>
        <w:rPr>
          <w:lang w:val="es-BO"/>
        </w:rPr>
      </w:pPr>
    </w:p>
    <w:p w14:paraId="1002BDED" w14:textId="65424A8D" w:rsidR="00DF4190" w:rsidRPr="00DF4190" w:rsidRDefault="00DF4190"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DF4190">
        <w:rPr>
          <w:rFonts w:asciiTheme="majorHAnsi" w:hAnsiTheme="majorHAnsi"/>
          <w:sz w:val="20"/>
          <w:szCs w:val="20"/>
          <w:lang w:val="es-ES"/>
        </w:rPr>
        <w:t>En similar sentido, la Corte Suprema de Uganda consideró en 2009 que “ejecutar a una persona tras una demora de tres años en condiciones inaceptables conforme a los estándares de Uganda constituiría castigo cruel e inhumano</w:t>
      </w:r>
      <w:r w:rsidRPr="00627913">
        <w:rPr>
          <w:rFonts w:asciiTheme="majorHAnsi" w:hAnsiTheme="majorHAnsi"/>
          <w:sz w:val="20"/>
          <w:szCs w:val="20"/>
          <w:lang w:val="es-ES"/>
        </w:rPr>
        <w:t>”</w:t>
      </w:r>
      <w:r w:rsidR="00627913" w:rsidRPr="00627913">
        <w:rPr>
          <w:rStyle w:val="FootnoteReference"/>
          <w:rFonts w:ascii="Cambria" w:hAnsi="Cambria"/>
          <w:sz w:val="20"/>
        </w:rPr>
        <w:footnoteReference w:id="67"/>
      </w:r>
      <w:r w:rsidR="0040547A">
        <w:rPr>
          <w:rStyle w:val="FootnoteReference"/>
          <w:rFonts w:ascii="Cambria" w:hAnsi="Cambria"/>
          <w:sz w:val="20"/>
          <w:lang w:val="es-ES"/>
        </w:rPr>
        <w:t>.</w:t>
      </w:r>
      <w:r w:rsidR="00627913" w:rsidRPr="00627913">
        <w:rPr>
          <w:rFonts w:ascii="Cambria" w:hAnsi="Cambria"/>
          <w:sz w:val="20"/>
          <w:lang w:val="es-ES"/>
        </w:rPr>
        <w:t xml:space="preserve"> </w:t>
      </w:r>
      <w:r w:rsidRPr="00DF4190">
        <w:rPr>
          <w:rFonts w:asciiTheme="majorHAnsi" w:hAnsiTheme="majorHAnsi"/>
          <w:sz w:val="20"/>
          <w:szCs w:val="20"/>
          <w:lang w:val="es-ES"/>
        </w:rPr>
        <w:t xml:space="preserve"> Por su parte, la Suprema Corte de </w:t>
      </w:r>
      <w:r w:rsidR="00CB1005" w:rsidRPr="00DF4190">
        <w:rPr>
          <w:rFonts w:asciiTheme="majorHAnsi" w:hAnsiTheme="majorHAnsi"/>
          <w:sz w:val="20"/>
          <w:szCs w:val="20"/>
          <w:lang w:val="es-ES"/>
        </w:rPr>
        <w:t>Zimbab</w:t>
      </w:r>
      <w:r w:rsidR="008B7D60">
        <w:rPr>
          <w:rFonts w:asciiTheme="majorHAnsi" w:hAnsiTheme="majorHAnsi"/>
          <w:sz w:val="20"/>
          <w:szCs w:val="20"/>
          <w:lang w:val="es-ES"/>
        </w:rPr>
        <w:t>w</w:t>
      </w:r>
      <w:r w:rsidR="00CB1005" w:rsidRPr="00DF4190">
        <w:rPr>
          <w:rFonts w:asciiTheme="majorHAnsi" w:hAnsiTheme="majorHAnsi"/>
          <w:sz w:val="20"/>
          <w:szCs w:val="20"/>
          <w:lang w:val="es-ES"/>
        </w:rPr>
        <w:t>ue</w:t>
      </w:r>
      <w:r w:rsidRPr="00DF4190">
        <w:rPr>
          <w:rFonts w:asciiTheme="majorHAnsi" w:hAnsiTheme="majorHAnsi"/>
          <w:sz w:val="20"/>
          <w:szCs w:val="20"/>
          <w:lang w:val="es-ES"/>
        </w:rPr>
        <w:t xml:space="preserve"> indicó desde 1993 que tomando en consideración el consenso académico y judicial respecto del </w:t>
      </w:r>
      <w:r w:rsidR="00030A19">
        <w:rPr>
          <w:rFonts w:asciiTheme="majorHAnsi" w:hAnsiTheme="majorHAnsi"/>
          <w:sz w:val="20"/>
          <w:szCs w:val="20"/>
          <w:lang w:val="es-ES"/>
        </w:rPr>
        <w:t xml:space="preserve">fenómeno del </w:t>
      </w:r>
      <w:r w:rsidR="00C161C8">
        <w:rPr>
          <w:rFonts w:asciiTheme="majorHAnsi" w:hAnsiTheme="majorHAnsi"/>
          <w:sz w:val="20"/>
          <w:szCs w:val="20"/>
          <w:lang w:val="es-ES"/>
        </w:rPr>
        <w:t xml:space="preserve">pabellón de los condenados </w:t>
      </w:r>
      <w:r w:rsidR="00030A19">
        <w:rPr>
          <w:rFonts w:asciiTheme="majorHAnsi" w:hAnsiTheme="majorHAnsi"/>
          <w:sz w:val="20"/>
          <w:szCs w:val="20"/>
          <w:lang w:val="es-ES"/>
        </w:rPr>
        <w:t>a muerte</w:t>
      </w:r>
      <w:r w:rsidR="00186CA9">
        <w:rPr>
          <w:rFonts w:asciiTheme="majorHAnsi" w:hAnsiTheme="majorHAnsi"/>
          <w:sz w:val="20"/>
          <w:szCs w:val="20"/>
          <w:lang w:val="es-ES"/>
        </w:rPr>
        <w:t xml:space="preserve"> (</w:t>
      </w:r>
      <w:r w:rsidR="00186CA9" w:rsidRPr="00186CA9">
        <w:rPr>
          <w:rFonts w:asciiTheme="majorHAnsi" w:hAnsiTheme="majorHAnsi"/>
          <w:i/>
          <w:iCs/>
          <w:sz w:val="20"/>
          <w:szCs w:val="20"/>
          <w:lang w:val="es-ES"/>
        </w:rPr>
        <w:t>death row phenomenon</w:t>
      </w:r>
      <w:r w:rsidR="00186CA9">
        <w:rPr>
          <w:rFonts w:asciiTheme="majorHAnsi" w:hAnsiTheme="majorHAnsi"/>
          <w:sz w:val="20"/>
          <w:szCs w:val="20"/>
          <w:lang w:val="es-ES"/>
        </w:rPr>
        <w:t>)</w:t>
      </w:r>
      <w:r w:rsidRPr="00DF4190">
        <w:rPr>
          <w:rFonts w:asciiTheme="majorHAnsi" w:hAnsiTheme="majorHAnsi"/>
          <w:sz w:val="20"/>
          <w:szCs w:val="20"/>
          <w:lang w:val="es-ES"/>
        </w:rPr>
        <w:t>, las demoras prolongadas y las condiciones severas de detención han llegado a un grado suficiente de seriedad para permitirle al demandante invocar la protección relativa a la prohibición de la tortura y de castigos inhumanos o degradantes</w:t>
      </w:r>
      <w:r w:rsidRPr="00DF4190">
        <w:rPr>
          <w:lang w:val="es-ES"/>
        </w:rPr>
        <w:t xml:space="preserve">. </w:t>
      </w:r>
      <w:r w:rsidRPr="00DF4190">
        <w:rPr>
          <w:rFonts w:asciiTheme="majorHAnsi" w:hAnsiTheme="majorHAnsi"/>
          <w:sz w:val="20"/>
          <w:szCs w:val="20"/>
          <w:lang w:val="es-ES"/>
        </w:rPr>
        <w:t xml:space="preserve">Dicha Corte Suprema sostuvo que </w:t>
      </w:r>
      <w:r w:rsidR="00186CA9">
        <w:rPr>
          <w:rFonts w:asciiTheme="majorHAnsi" w:hAnsiTheme="majorHAnsi"/>
          <w:sz w:val="20"/>
          <w:szCs w:val="20"/>
          <w:lang w:val="es-ES"/>
        </w:rPr>
        <w:t>“</w:t>
      </w:r>
      <w:r w:rsidRPr="00DF4190">
        <w:rPr>
          <w:rFonts w:asciiTheme="majorHAnsi" w:hAnsiTheme="majorHAnsi"/>
          <w:sz w:val="20"/>
          <w:szCs w:val="20"/>
          <w:lang w:val="es-ES"/>
        </w:rPr>
        <w:t>52 y 72 meses, respectivamente, en el</w:t>
      </w:r>
      <w:r w:rsidR="00C161C8">
        <w:rPr>
          <w:rFonts w:asciiTheme="majorHAnsi" w:hAnsiTheme="majorHAnsi"/>
          <w:sz w:val="20"/>
          <w:szCs w:val="20"/>
          <w:lang w:val="es-ES"/>
        </w:rPr>
        <w:t xml:space="preserve"> pabellón de los condenados a</w:t>
      </w:r>
      <w:r w:rsidRPr="00DF4190">
        <w:rPr>
          <w:rFonts w:asciiTheme="majorHAnsi" w:hAnsiTheme="majorHAnsi"/>
          <w:sz w:val="20"/>
          <w:szCs w:val="20"/>
          <w:lang w:val="es-ES"/>
        </w:rPr>
        <w:t xml:space="preserve"> muerte, constituyó una violación de la prohibición de la tortura y tornaría la ejecución en inconstitucional</w:t>
      </w:r>
      <w:r>
        <w:rPr>
          <w:rFonts w:asciiTheme="majorHAnsi" w:hAnsiTheme="majorHAnsi"/>
          <w:sz w:val="20"/>
          <w:szCs w:val="20"/>
          <w:lang w:val="es-ES"/>
        </w:rPr>
        <w:t>.</w:t>
      </w:r>
      <w:r w:rsidR="00EB56B5">
        <w:rPr>
          <w:rFonts w:asciiTheme="majorHAnsi" w:hAnsiTheme="majorHAnsi"/>
          <w:sz w:val="20"/>
          <w:szCs w:val="20"/>
          <w:lang w:val="es-ES"/>
        </w:rPr>
        <w:t>”</w:t>
      </w:r>
      <w:r w:rsidR="00EB56B5" w:rsidRPr="00DE2580">
        <w:rPr>
          <w:rStyle w:val="FootnoteReference"/>
          <w:rFonts w:ascii="Cambria" w:hAnsi="Cambria"/>
          <w:sz w:val="20"/>
        </w:rPr>
        <w:footnoteReference w:id="68"/>
      </w:r>
    </w:p>
    <w:p w14:paraId="543CE059" w14:textId="77777777" w:rsidR="00E76AE8" w:rsidRPr="00031013" w:rsidRDefault="00E76AE8"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lang w:val="es-ES"/>
        </w:rPr>
      </w:pPr>
    </w:p>
    <w:p w14:paraId="3E779976" w14:textId="3B32E1A2" w:rsidR="004E729F" w:rsidRDefault="004E729F"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4E729F">
        <w:rPr>
          <w:rFonts w:asciiTheme="majorHAnsi" w:hAnsiTheme="majorHAnsi"/>
          <w:sz w:val="20"/>
          <w:szCs w:val="20"/>
          <w:lang w:val="es-ES"/>
        </w:rPr>
        <w:t>Cabe destacar que</w:t>
      </w:r>
      <w:r w:rsidR="005C00C6">
        <w:rPr>
          <w:rFonts w:asciiTheme="majorHAnsi" w:hAnsiTheme="majorHAnsi"/>
          <w:sz w:val="20"/>
          <w:szCs w:val="20"/>
          <w:lang w:val="es-ES"/>
        </w:rPr>
        <w:t>,</w:t>
      </w:r>
      <w:r w:rsidRPr="004E729F">
        <w:rPr>
          <w:rFonts w:asciiTheme="majorHAnsi" w:hAnsiTheme="majorHAnsi"/>
          <w:sz w:val="20"/>
          <w:szCs w:val="20"/>
          <w:lang w:val="es-ES"/>
        </w:rPr>
        <w:t xml:space="preserve"> </w:t>
      </w:r>
      <w:r w:rsidR="005C00C6">
        <w:rPr>
          <w:rFonts w:asciiTheme="majorHAnsi" w:hAnsiTheme="majorHAnsi"/>
          <w:sz w:val="20"/>
          <w:szCs w:val="20"/>
          <w:lang w:val="es-ES"/>
        </w:rPr>
        <w:t>en el momento en que la petición fue presentada,</w:t>
      </w:r>
      <w:r>
        <w:rPr>
          <w:rFonts w:asciiTheme="majorHAnsi" w:hAnsiTheme="majorHAnsi"/>
          <w:sz w:val="20"/>
          <w:szCs w:val="20"/>
          <w:lang w:val="es-ES"/>
        </w:rPr>
        <w:t xml:space="preserve"> el señor Housel había sido sentenciado a muerte el 7 de febrero de 1986 y fue ejecutado más adelante el 12 de marzo de 2002.  Por lo tanto, el señor Housel </w:t>
      </w:r>
      <w:r w:rsidR="00883CB7">
        <w:rPr>
          <w:rFonts w:asciiTheme="majorHAnsi" w:hAnsiTheme="majorHAnsi"/>
          <w:sz w:val="20"/>
          <w:szCs w:val="20"/>
          <w:lang w:val="es-ES"/>
        </w:rPr>
        <w:t>pasó</w:t>
      </w:r>
      <w:r w:rsidR="00C63125">
        <w:rPr>
          <w:rFonts w:asciiTheme="majorHAnsi" w:hAnsiTheme="majorHAnsi"/>
          <w:sz w:val="20"/>
          <w:szCs w:val="20"/>
          <w:lang w:val="es-ES"/>
        </w:rPr>
        <w:t xml:space="preserve"> </w:t>
      </w:r>
      <w:r>
        <w:rPr>
          <w:rFonts w:asciiTheme="majorHAnsi" w:hAnsiTheme="majorHAnsi"/>
          <w:sz w:val="20"/>
          <w:szCs w:val="20"/>
          <w:lang w:val="es-ES"/>
        </w:rPr>
        <w:t>casi dieciséis (16) años</w:t>
      </w:r>
      <w:r w:rsidR="00C63125">
        <w:rPr>
          <w:rFonts w:asciiTheme="majorHAnsi" w:hAnsiTheme="majorHAnsi"/>
          <w:sz w:val="20"/>
          <w:szCs w:val="20"/>
          <w:lang w:val="es-ES"/>
        </w:rPr>
        <w:t xml:space="preserve"> en el</w:t>
      </w:r>
      <w:r w:rsidR="00104FA4">
        <w:rPr>
          <w:rFonts w:asciiTheme="majorHAnsi" w:hAnsiTheme="majorHAnsi"/>
          <w:sz w:val="20"/>
          <w:szCs w:val="20"/>
          <w:lang w:val="es-ES"/>
        </w:rPr>
        <w:t xml:space="preserve"> pabellón de los condenados a </w:t>
      </w:r>
      <w:r w:rsidR="00C63125">
        <w:rPr>
          <w:rFonts w:asciiTheme="majorHAnsi" w:hAnsiTheme="majorHAnsi"/>
          <w:sz w:val="20"/>
          <w:szCs w:val="20"/>
          <w:lang w:val="es-ES"/>
        </w:rPr>
        <w:t>muerte.</w:t>
      </w:r>
      <w:r>
        <w:rPr>
          <w:rFonts w:asciiTheme="majorHAnsi" w:hAnsiTheme="majorHAnsi"/>
          <w:sz w:val="20"/>
          <w:szCs w:val="20"/>
          <w:lang w:val="es-ES"/>
        </w:rPr>
        <w:t xml:space="preserve">  </w:t>
      </w:r>
      <w:r w:rsidR="009D7889">
        <w:rPr>
          <w:rFonts w:asciiTheme="majorHAnsi" w:hAnsiTheme="majorHAnsi"/>
          <w:sz w:val="20"/>
          <w:szCs w:val="20"/>
          <w:lang w:val="es-ES"/>
        </w:rPr>
        <w:t>Tanto el derecho internacional de los derechos humanos como el derecho comparado se refieren al</w:t>
      </w:r>
      <w:r>
        <w:rPr>
          <w:rFonts w:asciiTheme="majorHAnsi" w:hAnsiTheme="majorHAnsi"/>
          <w:sz w:val="20"/>
          <w:szCs w:val="20"/>
          <w:lang w:val="es-ES"/>
        </w:rPr>
        <w:t xml:space="preserve"> </w:t>
      </w:r>
      <w:r w:rsidR="009D7889">
        <w:rPr>
          <w:rFonts w:asciiTheme="majorHAnsi" w:hAnsiTheme="majorHAnsi"/>
          <w:sz w:val="20"/>
          <w:szCs w:val="20"/>
          <w:lang w:val="es-ES"/>
        </w:rPr>
        <w:t xml:space="preserve">largo período de privación de la libertad </w:t>
      </w:r>
      <w:r w:rsidR="0080189B">
        <w:rPr>
          <w:rFonts w:asciiTheme="majorHAnsi" w:hAnsiTheme="majorHAnsi"/>
          <w:sz w:val="20"/>
          <w:szCs w:val="20"/>
          <w:lang w:val="es-ES"/>
        </w:rPr>
        <w:t xml:space="preserve">que él </w:t>
      </w:r>
      <w:r w:rsidR="00104FA4">
        <w:rPr>
          <w:rFonts w:asciiTheme="majorHAnsi" w:hAnsiTheme="majorHAnsi"/>
          <w:sz w:val="20"/>
          <w:szCs w:val="20"/>
          <w:lang w:val="es-ES"/>
        </w:rPr>
        <w:t>sufrió en</w:t>
      </w:r>
      <w:r w:rsidR="009D7889">
        <w:rPr>
          <w:rFonts w:asciiTheme="majorHAnsi" w:hAnsiTheme="majorHAnsi"/>
          <w:sz w:val="20"/>
          <w:szCs w:val="20"/>
          <w:lang w:val="es-ES"/>
        </w:rPr>
        <w:t xml:space="preserve"> el </w:t>
      </w:r>
      <w:r w:rsidR="00104FA4">
        <w:rPr>
          <w:rFonts w:asciiTheme="majorHAnsi" w:hAnsiTheme="majorHAnsi"/>
          <w:sz w:val="20"/>
          <w:szCs w:val="20"/>
          <w:lang w:val="es-ES"/>
        </w:rPr>
        <w:t>pabellón de los condenados a</w:t>
      </w:r>
      <w:r w:rsidR="009D7889">
        <w:rPr>
          <w:rFonts w:asciiTheme="majorHAnsi" w:hAnsiTheme="majorHAnsi"/>
          <w:sz w:val="20"/>
          <w:szCs w:val="20"/>
          <w:lang w:val="es-ES"/>
        </w:rPr>
        <w:t xml:space="preserve"> muerte como el “fenómeno </w:t>
      </w:r>
      <w:r w:rsidR="00104FA4">
        <w:rPr>
          <w:rFonts w:asciiTheme="majorHAnsi" w:hAnsiTheme="majorHAnsi"/>
          <w:sz w:val="20"/>
          <w:szCs w:val="20"/>
          <w:lang w:val="es-ES"/>
        </w:rPr>
        <w:t>del pabellón de los condenados a muerte</w:t>
      </w:r>
      <w:r w:rsidR="009D7889">
        <w:rPr>
          <w:rFonts w:asciiTheme="majorHAnsi" w:hAnsiTheme="majorHAnsi"/>
          <w:sz w:val="20"/>
          <w:szCs w:val="20"/>
          <w:lang w:val="es-ES"/>
        </w:rPr>
        <w:t xml:space="preserve">” e infringe en el derecho de la persona a </w:t>
      </w:r>
      <w:r w:rsidR="00DF31A7">
        <w:rPr>
          <w:rFonts w:asciiTheme="majorHAnsi" w:hAnsiTheme="majorHAnsi"/>
          <w:sz w:val="20"/>
          <w:szCs w:val="20"/>
          <w:lang w:val="es-ES"/>
        </w:rPr>
        <w:t>estar libre</w:t>
      </w:r>
      <w:r w:rsidR="009D7889">
        <w:rPr>
          <w:rFonts w:asciiTheme="majorHAnsi" w:hAnsiTheme="majorHAnsi"/>
          <w:sz w:val="20"/>
          <w:szCs w:val="20"/>
          <w:lang w:val="es-ES"/>
        </w:rPr>
        <w:t xml:space="preserve"> de penas crueles, inhumanas o degradantes. Este trato viola la prohibición de aplicar penas crueles, inhumanas o degradantes en las constituciones y en múltiples tratados internacionales, incluida la Declaración Americana (artículos XXV y XXVI)</w:t>
      </w:r>
      <w:r w:rsidR="005A21FA" w:rsidRPr="00DE2580">
        <w:rPr>
          <w:rStyle w:val="FootnoteReference"/>
          <w:rFonts w:ascii="Cambria" w:hAnsi="Cambria"/>
          <w:sz w:val="20"/>
          <w:szCs w:val="20"/>
        </w:rPr>
        <w:footnoteReference w:id="69"/>
      </w:r>
      <w:r w:rsidR="0040547A">
        <w:rPr>
          <w:rFonts w:asciiTheme="majorHAnsi" w:hAnsiTheme="majorHAnsi"/>
          <w:sz w:val="20"/>
          <w:szCs w:val="20"/>
          <w:lang w:val="es-ES"/>
        </w:rPr>
        <w:t>.</w:t>
      </w:r>
    </w:p>
    <w:p w14:paraId="2AA07687" w14:textId="77777777" w:rsidR="0056246C" w:rsidRDefault="0056246C" w:rsidP="005624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0D4729A0" w14:textId="2A06D899" w:rsidR="000160EE" w:rsidRPr="0056246C" w:rsidRDefault="00385EF8" w:rsidP="00ED2F81">
      <w:pPr>
        <w:pStyle w:val="Heading2"/>
        <w:numPr>
          <w:ilvl w:val="0"/>
          <w:numId w:val="67"/>
        </w:numPr>
        <w:spacing w:before="0"/>
        <w:ind w:left="360"/>
        <w:jc w:val="both"/>
        <w:rPr>
          <w:color w:val="auto"/>
          <w:sz w:val="20"/>
          <w:szCs w:val="20"/>
        </w:rPr>
      </w:pPr>
      <w:bookmarkStart w:id="38" w:name="_Toc22826188"/>
      <w:bookmarkStart w:id="39" w:name="_Toc150529903"/>
      <w:r w:rsidRPr="0056246C">
        <w:rPr>
          <w:color w:val="auto"/>
          <w:sz w:val="20"/>
          <w:szCs w:val="20"/>
        </w:rPr>
        <w:t>Derecho de petición</w:t>
      </w:r>
      <w:r w:rsidR="000160EE" w:rsidRPr="0056246C">
        <w:rPr>
          <w:rStyle w:val="FootnoteReference"/>
          <w:rFonts w:ascii="Cambria" w:eastAsia="Arial Unicode MS" w:hAnsi="Cambria"/>
          <w:bCs w:val="0"/>
          <w:color w:val="auto"/>
          <w:sz w:val="20"/>
          <w:szCs w:val="20"/>
        </w:rPr>
        <w:footnoteReference w:id="70"/>
      </w:r>
      <w:bookmarkEnd w:id="38"/>
      <w:bookmarkEnd w:id="39"/>
      <w:r w:rsidR="000160EE" w:rsidRPr="0056246C">
        <w:rPr>
          <w:rStyle w:val="FootnoteReference"/>
          <w:rFonts w:ascii="Cambria" w:eastAsia="Arial Unicode MS" w:hAnsi="Cambria"/>
          <w:bCs w:val="0"/>
          <w:color w:val="auto"/>
          <w:sz w:val="20"/>
          <w:szCs w:val="20"/>
        </w:rPr>
        <w:t xml:space="preserve"> </w:t>
      </w:r>
      <w:r w:rsidR="000160EE" w:rsidRPr="0056246C">
        <w:rPr>
          <w:color w:val="auto"/>
          <w:sz w:val="20"/>
          <w:szCs w:val="20"/>
        </w:rPr>
        <w:t xml:space="preserve">  </w:t>
      </w:r>
    </w:p>
    <w:p w14:paraId="7E1485DC" w14:textId="77777777" w:rsidR="00A97B11" w:rsidRPr="00DE2580" w:rsidRDefault="00A97B11"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asciiTheme="majorHAnsi" w:hAnsiTheme="majorHAnsi"/>
          <w:sz w:val="20"/>
          <w:szCs w:val="20"/>
        </w:rPr>
      </w:pPr>
    </w:p>
    <w:p w14:paraId="7460459A" w14:textId="77777777" w:rsidR="00661E6A" w:rsidRPr="00661E6A" w:rsidRDefault="00661E6A"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661E6A">
        <w:rPr>
          <w:rFonts w:asciiTheme="majorHAnsi" w:hAnsiTheme="majorHAnsi"/>
          <w:sz w:val="20"/>
          <w:szCs w:val="20"/>
          <w:lang w:val="es-ES"/>
        </w:rPr>
        <w:t>La denegación de la s</w:t>
      </w:r>
      <w:r>
        <w:rPr>
          <w:rFonts w:asciiTheme="majorHAnsi" w:hAnsiTheme="majorHAnsi"/>
          <w:sz w:val="20"/>
          <w:szCs w:val="20"/>
          <w:lang w:val="es-ES"/>
        </w:rPr>
        <w:t>uspensión de la ejecución por el Estado frente a las medidas cautelares de la Comisión con el propósito de evaluar violaciones de los derechos humanos y el hecho de no haber preservado la vida de un recluso condenado mientras se finalizaba la tramitación de los procedimientos, incluida la implementación de las recomendaciones finales, menosca</w:t>
      </w:r>
      <w:r w:rsidR="00070A43">
        <w:rPr>
          <w:rFonts w:asciiTheme="majorHAnsi" w:hAnsiTheme="majorHAnsi"/>
          <w:sz w:val="20"/>
          <w:szCs w:val="20"/>
          <w:lang w:val="es-ES"/>
        </w:rPr>
        <w:t>ba</w:t>
      </w:r>
      <w:r>
        <w:rPr>
          <w:rFonts w:asciiTheme="majorHAnsi" w:hAnsiTheme="majorHAnsi"/>
          <w:sz w:val="20"/>
          <w:szCs w:val="20"/>
          <w:lang w:val="es-ES"/>
        </w:rPr>
        <w:t xml:space="preserve"> la eficacia del proceso de la Comisión, despoja a las personas condenadas de su derecho de petición y se traduce en daño grave e irreparable para dichos individuos.</w:t>
      </w:r>
      <w:r w:rsidR="000801F8">
        <w:rPr>
          <w:rFonts w:asciiTheme="majorHAnsi" w:hAnsiTheme="majorHAnsi"/>
          <w:sz w:val="20"/>
          <w:szCs w:val="20"/>
          <w:lang w:val="es-ES"/>
        </w:rPr>
        <w:t xml:space="preserve"> Una ejecución en esas circunstancias obstruye la capacidad de la Comisión o de la Corte de investigar eficazmente y emitir determinaciones sobre casos de pena capital.</w:t>
      </w:r>
    </w:p>
    <w:p w14:paraId="2C5B0860" w14:textId="77777777" w:rsidR="00A169DC" w:rsidRPr="00031013" w:rsidRDefault="00A169DC" w:rsidP="00F349BC">
      <w:pPr>
        <w:pStyle w:val="ListParagraph"/>
        <w:tabs>
          <w:tab w:val="left" w:pos="1890"/>
        </w:tabs>
        <w:rPr>
          <w:rFonts w:asciiTheme="majorHAnsi" w:eastAsia="Times" w:hAnsiTheme="majorHAnsi" w:cs="Times"/>
          <w:sz w:val="20"/>
          <w:szCs w:val="20"/>
          <w:lang w:val="es-ES"/>
        </w:rPr>
      </w:pPr>
    </w:p>
    <w:p w14:paraId="3B5D2637" w14:textId="77777777" w:rsidR="00C52361" w:rsidRDefault="00C52361"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C52361">
        <w:rPr>
          <w:rFonts w:asciiTheme="majorHAnsi" w:hAnsiTheme="majorHAnsi"/>
          <w:sz w:val="20"/>
          <w:szCs w:val="20"/>
          <w:lang w:val="es-ES"/>
        </w:rPr>
        <w:t>Tanto la Comisión como la Corte Interamericana han indicado que la ejecución de una persona protegida por medidas cautelares o provisionales, respectivamente, constituye una violación agravada del derecho a la vida.</w:t>
      </w:r>
      <w:r w:rsidRPr="00C52361">
        <w:rPr>
          <w:lang w:val="es-ES"/>
        </w:rPr>
        <w:t> </w:t>
      </w:r>
      <w:r w:rsidR="00410483" w:rsidRPr="00410483">
        <w:rPr>
          <w:rFonts w:asciiTheme="majorHAnsi" w:hAnsiTheme="majorHAnsi"/>
          <w:sz w:val="20"/>
          <w:szCs w:val="20"/>
          <w:lang w:val="es-ES"/>
        </w:rPr>
        <w:t xml:space="preserve">La Comisión ha condenado en forma </w:t>
      </w:r>
      <w:r w:rsidR="00100D45">
        <w:rPr>
          <w:rFonts w:asciiTheme="majorHAnsi" w:hAnsiTheme="majorHAnsi"/>
          <w:sz w:val="20"/>
          <w:szCs w:val="20"/>
          <w:lang w:val="es-ES"/>
        </w:rPr>
        <w:t>sistemática</w:t>
      </w:r>
      <w:r w:rsidR="00410483" w:rsidRPr="00410483">
        <w:rPr>
          <w:rFonts w:asciiTheme="majorHAnsi" w:hAnsiTheme="majorHAnsi"/>
          <w:sz w:val="20"/>
          <w:szCs w:val="20"/>
          <w:lang w:val="es-ES"/>
        </w:rPr>
        <w:t xml:space="preserve"> y enfática la práctica de </w:t>
      </w:r>
      <w:r w:rsidR="00F02BF3">
        <w:rPr>
          <w:rFonts w:asciiTheme="majorHAnsi" w:hAnsiTheme="majorHAnsi"/>
          <w:sz w:val="20"/>
          <w:szCs w:val="20"/>
          <w:lang w:val="es-ES"/>
        </w:rPr>
        <w:t>algunos</w:t>
      </w:r>
      <w:r w:rsidR="00410483" w:rsidRPr="00410483">
        <w:rPr>
          <w:rFonts w:asciiTheme="majorHAnsi" w:hAnsiTheme="majorHAnsi"/>
          <w:sz w:val="20"/>
          <w:szCs w:val="20"/>
          <w:lang w:val="es-ES"/>
        </w:rPr>
        <w:t xml:space="preserve"> Estados de ejecutar personas sentenciadas a muerte</w:t>
      </w:r>
      <w:r w:rsidR="00F02BF3">
        <w:rPr>
          <w:rFonts w:asciiTheme="majorHAnsi" w:hAnsiTheme="majorHAnsi"/>
          <w:sz w:val="20"/>
          <w:szCs w:val="20"/>
          <w:lang w:val="es-ES"/>
        </w:rPr>
        <w:t>,</w:t>
      </w:r>
      <w:r w:rsidR="00410483" w:rsidRPr="00410483">
        <w:rPr>
          <w:rFonts w:asciiTheme="majorHAnsi" w:hAnsiTheme="majorHAnsi"/>
          <w:sz w:val="20"/>
          <w:szCs w:val="20"/>
          <w:lang w:val="es-ES"/>
        </w:rPr>
        <w:t xml:space="preserve"> en violación de medidas cautelares otorgadas</w:t>
      </w:r>
      <w:r w:rsidR="00F02BF3">
        <w:rPr>
          <w:rFonts w:asciiTheme="majorHAnsi" w:hAnsiTheme="majorHAnsi"/>
          <w:sz w:val="20"/>
          <w:szCs w:val="20"/>
          <w:lang w:val="es-ES"/>
        </w:rPr>
        <w:t xml:space="preserve"> por la Comisión,</w:t>
      </w:r>
      <w:r w:rsidR="00100D45">
        <w:rPr>
          <w:rFonts w:asciiTheme="majorHAnsi" w:hAnsiTheme="majorHAnsi"/>
          <w:sz w:val="20"/>
          <w:szCs w:val="20"/>
          <w:lang w:val="es-ES"/>
        </w:rPr>
        <w:t xml:space="preserve"> lo cual</w:t>
      </w:r>
      <w:r w:rsidR="00410483" w:rsidRPr="00410483">
        <w:rPr>
          <w:rFonts w:asciiTheme="majorHAnsi" w:hAnsiTheme="majorHAnsi"/>
          <w:sz w:val="20"/>
          <w:szCs w:val="20"/>
          <w:lang w:val="es-ES"/>
        </w:rPr>
        <w:t xml:space="preserve"> incluye </w:t>
      </w:r>
      <w:r w:rsidR="00410483" w:rsidRPr="00410483">
        <w:rPr>
          <w:rFonts w:asciiTheme="majorHAnsi" w:hAnsiTheme="majorHAnsi"/>
          <w:sz w:val="20"/>
          <w:szCs w:val="20"/>
          <w:lang w:val="es-ES"/>
        </w:rPr>
        <w:lastRenderedPageBreak/>
        <w:t>instancias en las cuales la Comisión se encontraba examinando una petición</w:t>
      </w:r>
      <w:r w:rsidR="00F02BF3">
        <w:rPr>
          <w:rFonts w:asciiTheme="majorHAnsi" w:hAnsiTheme="majorHAnsi"/>
          <w:sz w:val="20"/>
          <w:szCs w:val="20"/>
          <w:lang w:val="es-ES"/>
        </w:rPr>
        <w:t xml:space="preserve"> pendiente</w:t>
      </w:r>
      <w:r w:rsidR="00410483" w:rsidRPr="00410483">
        <w:rPr>
          <w:rFonts w:asciiTheme="majorHAnsi" w:hAnsiTheme="majorHAnsi"/>
          <w:sz w:val="20"/>
          <w:szCs w:val="20"/>
          <w:lang w:val="es-ES"/>
        </w:rPr>
        <w:t xml:space="preserve"> sobre presuntas violaciones al debido proceso u otras violaciones ligadas al proceso que </w:t>
      </w:r>
      <w:r w:rsidR="00850EF8">
        <w:rPr>
          <w:rFonts w:asciiTheme="majorHAnsi" w:hAnsiTheme="majorHAnsi"/>
          <w:sz w:val="20"/>
          <w:szCs w:val="20"/>
          <w:lang w:val="es-ES"/>
        </w:rPr>
        <w:t>dio lugar a</w:t>
      </w:r>
      <w:r w:rsidR="00410483" w:rsidRPr="00410483">
        <w:rPr>
          <w:rFonts w:asciiTheme="majorHAnsi" w:hAnsiTheme="majorHAnsi"/>
          <w:sz w:val="20"/>
          <w:szCs w:val="20"/>
          <w:lang w:val="es-ES"/>
        </w:rPr>
        <w:t xml:space="preserve"> la imposición de la sentencia.</w:t>
      </w:r>
    </w:p>
    <w:p w14:paraId="7F8FCF90" w14:textId="77777777" w:rsidR="00C811D2" w:rsidRPr="00C52361" w:rsidRDefault="00C811D2" w:rsidP="00C811D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4B1AC15F" w14:textId="77777777" w:rsidR="005E2A06" w:rsidRDefault="005E2A06"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5E2A06">
        <w:rPr>
          <w:rFonts w:asciiTheme="majorHAnsi" w:hAnsiTheme="majorHAnsi"/>
          <w:sz w:val="20"/>
          <w:szCs w:val="20"/>
          <w:lang w:val="es-ES"/>
        </w:rPr>
        <w:t>La ejecución de la s</w:t>
      </w:r>
      <w:r>
        <w:rPr>
          <w:rFonts w:asciiTheme="majorHAnsi" w:hAnsiTheme="majorHAnsi"/>
          <w:sz w:val="20"/>
          <w:szCs w:val="20"/>
          <w:lang w:val="es-ES"/>
        </w:rPr>
        <w:t>entencia de muerte contra el señor Housel representa un</w:t>
      </w:r>
      <w:r w:rsidR="00C86E31">
        <w:rPr>
          <w:rFonts w:asciiTheme="majorHAnsi" w:hAnsiTheme="majorHAnsi"/>
          <w:sz w:val="20"/>
          <w:szCs w:val="20"/>
          <w:lang w:val="es-ES"/>
        </w:rPr>
        <w:t xml:space="preserve"> incumplimiento por parte del Estado en la implementación de las medidas cautelares y una violación de los derechos del señor Housel establecidos en el artículo XXIV de la Declaración Americana.  Al permitir que se procediera con la ejecución del señor Housel en esas circunstancias, la Comisión considera que Estados Unidos no actuó de acuerdo con sus obligaciones fundamentales en materia de derechos humanos como miembro de la Organización de los Estados Americanos. La Comisión </w:t>
      </w:r>
      <w:r w:rsidR="00633DD4">
        <w:rPr>
          <w:rFonts w:asciiTheme="majorHAnsi" w:hAnsiTheme="majorHAnsi"/>
          <w:sz w:val="20"/>
          <w:szCs w:val="20"/>
          <w:lang w:val="es-ES"/>
        </w:rPr>
        <w:t>solicita a</w:t>
      </w:r>
      <w:r w:rsidR="00EA289B">
        <w:rPr>
          <w:rFonts w:asciiTheme="majorHAnsi" w:hAnsiTheme="majorHAnsi"/>
          <w:sz w:val="20"/>
          <w:szCs w:val="20"/>
          <w:lang w:val="es-ES"/>
        </w:rPr>
        <w:t xml:space="preserve"> Estados Unidos </w:t>
      </w:r>
      <w:r w:rsidR="00633DD4">
        <w:rPr>
          <w:rFonts w:asciiTheme="majorHAnsi" w:hAnsiTheme="majorHAnsi"/>
          <w:sz w:val="20"/>
          <w:szCs w:val="20"/>
          <w:lang w:val="es-ES"/>
        </w:rPr>
        <w:t xml:space="preserve">que </w:t>
      </w:r>
      <w:r w:rsidR="00EA289B">
        <w:rPr>
          <w:rFonts w:asciiTheme="majorHAnsi" w:hAnsiTheme="majorHAnsi"/>
          <w:sz w:val="20"/>
          <w:szCs w:val="20"/>
          <w:lang w:val="es-ES"/>
        </w:rPr>
        <w:t>tome</w:t>
      </w:r>
      <w:r w:rsidR="00ED58EF">
        <w:rPr>
          <w:rFonts w:asciiTheme="majorHAnsi" w:hAnsiTheme="majorHAnsi"/>
          <w:sz w:val="20"/>
          <w:szCs w:val="20"/>
          <w:lang w:val="es-ES"/>
        </w:rPr>
        <w:t xml:space="preserve"> todas</w:t>
      </w:r>
      <w:r w:rsidR="00EA289B">
        <w:rPr>
          <w:rFonts w:asciiTheme="majorHAnsi" w:hAnsiTheme="majorHAnsi"/>
          <w:sz w:val="20"/>
          <w:szCs w:val="20"/>
          <w:lang w:val="es-ES"/>
        </w:rPr>
        <w:t xml:space="preserve"> las medidas necesarias para cumplir </w:t>
      </w:r>
      <w:r w:rsidR="007F7A84">
        <w:rPr>
          <w:rFonts w:asciiTheme="majorHAnsi" w:hAnsiTheme="majorHAnsi"/>
          <w:sz w:val="20"/>
          <w:szCs w:val="20"/>
          <w:lang w:val="es-ES"/>
        </w:rPr>
        <w:t>con la solicitud de la Comisión con respecto a las medidas cautelares</w:t>
      </w:r>
      <w:r w:rsidR="00633DD4">
        <w:rPr>
          <w:rFonts w:asciiTheme="majorHAnsi" w:hAnsiTheme="majorHAnsi"/>
          <w:sz w:val="20"/>
          <w:szCs w:val="20"/>
          <w:lang w:val="es-ES"/>
        </w:rPr>
        <w:t xml:space="preserve"> en cualquier caso futuro.</w:t>
      </w:r>
    </w:p>
    <w:p w14:paraId="68BBCA65" w14:textId="77777777" w:rsidR="0056246C" w:rsidRPr="005E2A06" w:rsidRDefault="0056246C" w:rsidP="0056246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5C792F4E" w14:textId="63B029C4" w:rsidR="00FE5165" w:rsidRPr="0056246C" w:rsidRDefault="00F9772B" w:rsidP="00ED2F81">
      <w:pPr>
        <w:pStyle w:val="Heading2"/>
        <w:numPr>
          <w:ilvl w:val="0"/>
          <w:numId w:val="67"/>
        </w:numPr>
        <w:spacing w:before="0"/>
        <w:ind w:left="360"/>
        <w:jc w:val="both"/>
        <w:rPr>
          <w:color w:val="auto"/>
          <w:sz w:val="20"/>
          <w:szCs w:val="20"/>
        </w:rPr>
      </w:pPr>
      <w:bookmarkStart w:id="40" w:name="_Toc22826189"/>
      <w:bookmarkStart w:id="41" w:name="_Toc150529904"/>
      <w:r w:rsidRPr="0056246C">
        <w:rPr>
          <w:color w:val="auto"/>
          <w:sz w:val="20"/>
          <w:szCs w:val="20"/>
        </w:rPr>
        <w:t>Derecho a la vida</w:t>
      </w:r>
      <w:r w:rsidR="00AB352F" w:rsidRPr="0056246C">
        <w:rPr>
          <w:rStyle w:val="FootnoteReference"/>
          <w:rFonts w:ascii="Cambria" w:eastAsia="Arial Unicode MS" w:hAnsi="Cambria"/>
          <w:bCs w:val="0"/>
          <w:color w:val="auto"/>
          <w:sz w:val="20"/>
          <w:szCs w:val="20"/>
        </w:rPr>
        <w:footnoteReference w:id="71"/>
      </w:r>
      <w:bookmarkEnd w:id="40"/>
      <w:bookmarkEnd w:id="41"/>
      <w:r w:rsidR="00AB352F" w:rsidRPr="0056246C">
        <w:rPr>
          <w:rStyle w:val="FootnoteReference"/>
          <w:rFonts w:ascii="Cambria" w:eastAsia="Arial Unicode MS" w:hAnsi="Cambria"/>
          <w:bCs w:val="0"/>
        </w:rPr>
        <w:t xml:space="preserve"> </w:t>
      </w:r>
      <w:r w:rsidR="00AB352F" w:rsidRPr="0056246C">
        <w:rPr>
          <w:color w:val="auto"/>
          <w:sz w:val="20"/>
          <w:szCs w:val="20"/>
        </w:rPr>
        <w:t xml:space="preserve"> </w:t>
      </w:r>
    </w:p>
    <w:p w14:paraId="30189C5A" w14:textId="77777777" w:rsidR="00AB352F" w:rsidRPr="00DE2580" w:rsidRDefault="00AB352F" w:rsidP="00F349BC">
      <w:pPr>
        <w:tabs>
          <w:tab w:val="left" w:pos="1890"/>
        </w:tabs>
      </w:pPr>
    </w:p>
    <w:p w14:paraId="3B32FA71" w14:textId="77777777" w:rsidR="00F9772B" w:rsidRPr="00F9772B" w:rsidRDefault="00650D68"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Pr>
          <w:rFonts w:asciiTheme="majorHAnsi" w:hAnsiTheme="majorHAnsi"/>
          <w:sz w:val="20"/>
          <w:szCs w:val="20"/>
          <w:lang w:val="es-ES"/>
        </w:rPr>
        <w:t>Tal c</w:t>
      </w:r>
      <w:r w:rsidR="00F9772B">
        <w:rPr>
          <w:rFonts w:asciiTheme="majorHAnsi" w:hAnsiTheme="majorHAnsi"/>
          <w:sz w:val="20"/>
          <w:szCs w:val="20"/>
          <w:lang w:val="es-ES"/>
        </w:rPr>
        <w:t xml:space="preserve">omo se </w:t>
      </w:r>
      <w:r w:rsidR="00C477EB">
        <w:rPr>
          <w:rFonts w:asciiTheme="majorHAnsi" w:hAnsiTheme="majorHAnsi"/>
          <w:sz w:val="20"/>
          <w:szCs w:val="20"/>
          <w:lang w:val="es-ES"/>
        </w:rPr>
        <w:t>señala</w:t>
      </w:r>
      <w:r w:rsidR="00F9772B">
        <w:rPr>
          <w:rFonts w:asciiTheme="majorHAnsi" w:hAnsiTheme="majorHAnsi"/>
          <w:sz w:val="20"/>
          <w:szCs w:val="20"/>
          <w:lang w:val="es-ES"/>
        </w:rPr>
        <w:t xml:space="preserve"> en el presente informe, e</w:t>
      </w:r>
      <w:r w:rsidR="00F9772B" w:rsidRPr="00F9772B">
        <w:rPr>
          <w:rFonts w:asciiTheme="majorHAnsi" w:hAnsiTheme="majorHAnsi"/>
          <w:sz w:val="20"/>
          <w:szCs w:val="20"/>
          <w:lang w:val="es-ES"/>
        </w:rPr>
        <w:t>l derecho a la vida es ampliamente reconocido como el derecho supremo de</w:t>
      </w:r>
      <w:r w:rsidR="008F373B">
        <w:rPr>
          <w:rFonts w:asciiTheme="majorHAnsi" w:hAnsiTheme="majorHAnsi"/>
          <w:sz w:val="20"/>
          <w:szCs w:val="20"/>
          <w:lang w:val="es-ES"/>
        </w:rPr>
        <w:t>l ser humano.</w:t>
      </w:r>
      <w:r w:rsidR="00F9772B">
        <w:rPr>
          <w:rFonts w:asciiTheme="majorHAnsi" w:hAnsiTheme="majorHAnsi"/>
          <w:sz w:val="20"/>
          <w:szCs w:val="20"/>
          <w:lang w:val="es-ES"/>
        </w:rPr>
        <w:t xml:space="preserve"> Asimismo, la Corte Interamericana </w:t>
      </w:r>
      <w:r w:rsidR="00F9772B" w:rsidRPr="00F9772B">
        <w:rPr>
          <w:rFonts w:asciiTheme="majorHAnsi" w:hAnsiTheme="majorHAnsi"/>
          <w:sz w:val="20"/>
          <w:szCs w:val="20"/>
          <w:lang w:val="es-ES"/>
        </w:rPr>
        <w:t>de Derechos Humanos ha confirmado que</w:t>
      </w:r>
      <w:r w:rsidR="00BE3C09">
        <w:rPr>
          <w:rFonts w:asciiTheme="majorHAnsi" w:hAnsiTheme="majorHAnsi"/>
          <w:sz w:val="20"/>
          <w:szCs w:val="20"/>
          <w:lang w:val="es-ES"/>
        </w:rPr>
        <w:t>:</w:t>
      </w:r>
      <w:r w:rsidR="00F9772B" w:rsidRPr="00F9772B">
        <w:rPr>
          <w:rFonts w:asciiTheme="majorHAnsi" w:hAnsiTheme="majorHAnsi"/>
          <w:sz w:val="20"/>
          <w:szCs w:val="20"/>
          <w:lang w:val="es-ES"/>
        </w:rPr>
        <w:t xml:space="preserve"> “</w:t>
      </w:r>
      <w:r w:rsidR="00F9772B">
        <w:rPr>
          <w:rFonts w:asciiTheme="majorHAnsi" w:hAnsiTheme="majorHAnsi"/>
          <w:sz w:val="20"/>
          <w:szCs w:val="20"/>
          <w:lang w:val="es-ES"/>
        </w:rPr>
        <w:t>[</w:t>
      </w:r>
      <w:r w:rsidR="00F9772B" w:rsidRPr="00F9772B">
        <w:rPr>
          <w:rFonts w:asciiTheme="majorHAnsi" w:hAnsiTheme="majorHAnsi"/>
          <w:sz w:val="20"/>
          <w:szCs w:val="20"/>
          <w:lang w:val="es-ES"/>
        </w:rPr>
        <w:t>s</w:t>
      </w:r>
      <w:r w:rsidR="00F9772B">
        <w:rPr>
          <w:rFonts w:asciiTheme="majorHAnsi" w:hAnsiTheme="majorHAnsi"/>
          <w:sz w:val="20"/>
          <w:szCs w:val="20"/>
          <w:lang w:val="es-ES"/>
        </w:rPr>
        <w:t>]</w:t>
      </w:r>
      <w:r w:rsidR="00F9772B" w:rsidRPr="00F9772B">
        <w:rPr>
          <w:rFonts w:asciiTheme="majorHAnsi" w:hAnsiTheme="majorHAnsi"/>
          <w:sz w:val="20"/>
          <w:szCs w:val="20"/>
          <w:lang w:val="es-ES"/>
        </w:rPr>
        <w:t xml:space="preserve">iendo la ejecución de la pena de muerte una medida de carácter irreversible, exige del Estado el más estricto y riguroso respeto de las garantías </w:t>
      </w:r>
      <w:r w:rsidR="00F9772B" w:rsidRPr="00F9772B">
        <w:rPr>
          <w:rFonts w:asciiTheme="majorHAnsi" w:hAnsiTheme="majorHAnsi"/>
          <w:color w:val="000000"/>
          <w:sz w:val="20"/>
          <w:szCs w:val="20"/>
          <w:shd w:val="clear" w:color="auto" w:fill="FFFFFF"/>
          <w:lang w:val="es-ES"/>
        </w:rPr>
        <w:t>judiciales, de modo a evitar una violación de éstas, que, a su vez, acarrearía una privación arbitraria de la vida.</w:t>
      </w:r>
      <w:r w:rsidR="00BE3C09">
        <w:rPr>
          <w:rFonts w:asciiTheme="majorHAnsi" w:hAnsiTheme="majorHAnsi"/>
          <w:color w:val="000000"/>
          <w:sz w:val="20"/>
          <w:szCs w:val="20"/>
          <w:shd w:val="clear" w:color="auto" w:fill="FFFFFF"/>
          <w:lang w:val="es-ES"/>
        </w:rPr>
        <w:t>”</w:t>
      </w:r>
      <w:r w:rsidR="00BE3C09" w:rsidRPr="00BE3C09">
        <w:rPr>
          <w:rFonts w:asciiTheme="majorHAnsi" w:hAnsiTheme="majorHAnsi"/>
          <w:sz w:val="20"/>
          <w:szCs w:val="16"/>
          <w:vertAlign w:val="superscript"/>
          <w:lang w:val="es-ES"/>
        </w:rPr>
        <w:t xml:space="preserve"> </w:t>
      </w:r>
      <w:r w:rsidR="00BE3C09" w:rsidRPr="00DE2580">
        <w:rPr>
          <w:rFonts w:asciiTheme="majorHAnsi" w:hAnsiTheme="majorHAnsi"/>
          <w:sz w:val="20"/>
          <w:szCs w:val="16"/>
          <w:vertAlign w:val="superscript"/>
        </w:rPr>
        <w:footnoteReference w:id="72"/>
      </w:r>
      <w:r w:rsidR="00105DC1" w:rsidRPr="00105DC1">
        <w:rPr>
          <w:rFonts w:asciiTheme="majorHAnsi" w:hAnsiTheme="majorHAnsi"/>
          <w:sz w:val="20"/>
          <w:szCs w:val="16"/>
          <w:vertAlign w:val="superscript"/>
          <w:lang w:val="es-ES"/>
        </w:rPr>
        <w:t xml:space="preserve"> </w:t>
      </w:r>
    </w:p>
    <w:p w14:paraId="2DBEA169" w14:textId="77777777" w:rsidR="00F9772B" w:rsidRPr="00F9772B" w:rsidRDefault="00F9772B" w:rsidP="00F9772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sz w:val="20"/>
          <w:szCs w:val="20"/>
          <w:lang w:val="es-ES"/>
        </w:rPr>
      </w:pPr>
    </w:p>
    <w:p w14:paraId="05430341" w14:textId="23154D58" w:rsidR="00105DC1" w:rsidRPr="00A847F7" w:rsidRDefault="00105DC1"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105DC1">
        <w:rPr>
          <w:rFonts w:asciiTheme="majorHAnsi" w:hAnsiTheme="majorHAnsi"/>
          <w:sz w:val="20"/>
          <w:szCs w:val="20"/>
          <w:lang w:val="es-ES"/>
        </w:rPr>
        <w:t>Ese derecho fue violado a</w:t>
      </w:r>
      <w:r>
        <w:rPr>
          <w:rFonts w:asciiTheme="majorHAnsi" w:hAnsiTheme="majorHAnsi"/>
          <w:sz w:val="20"/>
          <w:szCs w:val="20"/>
          <w:lang w:val="es-ES"/>
        </w:rPr>
        <w:t xml:space="preserve">l </w:t>
      </w:r>
      <w:r w:rsidR="00745E5F">
        <w:rPr>
          <w:rFonts w:asciiTheme="majorHAnsi" w:hAnsiTheme="majorHAnsi"/>
          <w:sz w:val="20"/>
          <w:szCs w:val="20"/>
          <w:lang w:val="es-ES"/>
        </w:rPr>
        <w:t>consumarse</w:t>
      </w:r>
      <w:r>
        <w:rPr>
          <w:rFonts w:asciiTheme="majorHAnsi" w:hAnsiTheme="majorHAnsi"/>
          <w:sz w:val="20"/>
          <w:szCs w:val="20"/>
          <w:lang w:val="es-ES"/>
        </w:rPr>
        <w:t xml:space="preserve"> la ejecución del señor Housel después de</w:t>
      </w:r>
      <w:r w:rsidR="00F54147">
        <w:rPr>
          <w:rFonts w:asciiTheme="majorHAnsi" w:hAnsiTheme="majorHAnsi"/>
          <w:sz w:val="20"/>
          <w:szCs w:val="20"/>
          <w:lang w:val="es-ES"/>
        </w:rPr>
        <w:t>l</w:t>
      </w:r>
      <w:r w:rsidR="00E904B1">
        <w:rPr>
          <w:rFonts w:asciiTheme="majorHAnsi" w:hAnsiTheme="majorHAnsi"/>
          <w:sz w:val="20"/>
          <w:szCs w:val="20"/>
          <w:lang w:val="es-ES"/>
        </w:rPr>
        <w:t xml:space="preserve"> proceso judicial posterior a la</w:t>
      </w:r>
      <w:r>
        <w:rPr>
          <w:rFonts w:asciiTheme="majorHAnsi" w:hAnsiTheme="majorHAnsi"/>
          <w:sz w:val="20"/>
          <w:szCs w:val="20"/>
          <w:lang w:val="es-ES"/>
        </w:rPr>
        <w:t xml:space="preserve"> condena que no cumpli</w:t>
      </w:r>
      <w:r w:rsidR="001F5BE9">
        <w:rPr>
          <w:rFonts w:asciiTheme="majorHAnsi" w:hAnsiTheme="majorHAnsi"/>
          <w:sz w:val="20"/>
          <w:szCs w:val="20"/>
          <w:lang w:val="es-ES"/>
        </w:rPr>
        <w:t>ó</w:t>
      </w:r>
      <w:r>
        <w:rPr>
          <w:rFonts w:asciiTheme="majorHAnsi" w:hAnsiTheme="majorHAnsi"/>
          <w:sz w:val="20"/>
          <w:szCs w:val="20"/>
          <w:lang w:val="es-ES"/>
        </w:rPr>
        <w:t xml:space="preserve"> con </w:t>
      </w:r>
      <w:r w:rsidR="00BB6382">
        <w:rPr>
          <w:rFonts w:asciiTheme="majorHAnsi" w:hAnsiTheme="majorHAnsi"/>
          <w:sz w:val="20"/>
          <w:szCs w:val="20"/>
          <w:lang w:val="es-ES"/>
        </w:rPr>
        <w:t xml:space="preserve">la condición de </w:t>
      </w:r>
      <w:r>
        <w:rPr>
          <w:rFonts w:asciiTheme="majorHAnsi" w:hAnsiTheme="majorHAnsi"/>
          <w:sz w:val="20"/>
          <w:szCs w:val="20"/>
          <w:lang w:val="es-ES"/>
        </w:rPr>
        <w:t>un juicio justo, debido a la asistencia ineficaz de</w:t>
      </w:r>
      <w:r w:rsidR="00BB6382">
        <w:rPr>
          <w:rFonts w:asciiTheme="majorHAnsi" w:hAnsiTheme="majorHAnsi"/>
          <w:sz w:val="20"/>
          <w:szCs w:val="20"/>
          <w:lang w:val="es-ES"/>
        </w:rPr>
        <w:t xml:space="preserve"> la defensa de oficio</w:t>
      </w:r>
      <w:r>
        <w:rPr>
          <w:rFonts w:asciiTheme="majorHAnsi" w:hAnsiTheme="majorHAnsi"/>
          <w:sz w:val="20"/>
          <w:szCs w:val="20"/>
          <w:lang w:val="es-ES"/>
        </w:rPr>
        <w:t xml:space="preserve"> y a la ejecución previa a la determinación de un recurso de apelación para una prueba de ADN con posibles resultados de pruebas exculpatorias. Además, este derecho fue violado </w:t>
      </w:r>
      <w:r w:rsidR="00C74080">
        <w:rPr>
          <w:rFonts w:asciiTheme="majorHAnsi" w:hAnsiTheme="majorHAnsi"/>
          <w:sz w:val="20"/>
          <w:szCs w:val="20"/>
          <w:lang w:val="es-ES"/>
        </w:rPr>
        <w:t xml:space="preserve">al llevarse a cabo la ejecución del señor Housel </w:t>
      </w:r>
      <w:r w:rsidR="00E07A9F">
        <w:rPr>
          <w:rFonts w:asciiTheme="majorHAnsi" w:hAnsiTheme="majorHAnsi"/>
          <w:sz w:val="20"/>
          <w:szCs w:val="20"/>
          <w:lang w:val="es-ES"/>
        </w:rPr>
        <w:t xml:space="preserve">en vista de que estuvo expuesto al síndrome del </w:t>
      </w:r>
      <w:r w:rsidR="00BB6382">
        <w:rPr>
          <w:rFonts w:asciiTheme="majorHAnsi" w:hAnsiTheme="majorHAnsi"/>
          <w:sz w:val="20"/>
          <w:szCs w:val="20"/>
          <w:lang w:val="es-ES"/>
        </w:rPr>
        <w:t>pabellón</w:t>
      </w:r>
      <w:r w:rsidR="00E07A9F">
        <w:rPr>
          <w:rFonts w:asciiTheme="majorHAnsi" w:hAnsiTheme="majorHAnsi"/>
          <w:sz w:val="20"/>
          <w:szCs w:val="20"/>
          <w:lang w:val="es-ES"/>
        </w:rPr>
        <w:t xml:space="preserve"> de la muerte,</w:t>
      </w:r>
      <w:r w:rsidR="00BB6382">
        <w:rPr>
          <w:rFonts w:asciiTheme="majorHAnsi" w:hAnsiTheme="majorHAnsi"/>
          <w:sz w:val="20"/>
          <w:szCs w:val="20"/>
          <w:lang w:val="es-ES"/>
        </w:rPr>
        <w:t xml:space="preserve"> habiendo estado </w:t>
      </w:r>
      <w:r w:rsidR="00E07A9F">
        <w:rPr>
          <w:rFonts w:asciiTheme="majorHAnsi" w:hAnsiTheme="majorHAnsi"/>
          <w:sz w:val="20"/>
          <w:szCs w:val="20"/>
          <w:lang w:val="es-ES"/>
        </w:rPr>
        <w:t xml:space="preserve">detenido en el </w:t>
      </w:r>
      <w:r w:rsidR="005536B8">
        <w:rPr>
          <w:rFonts w:asciiTheme="majorHAnsi" w:hAnsiTheme="majorHAnsi"/>
          <w:sz w:val="20"/>
          <w:szCs w:val="20"/>
          <w:lang w:val="es-ES"/>
        </w:rPr>
        <w:t xml:space="preserve">pabellón de </w:t>
      </w:r>
      <w:r w:rsidR="00EC767E">
        <w:rPr>
          <w:rFonts w:asciiTheme="majorHAnsi" w:hAnsiTheme="majorHAnsi"/>
          <w:sz w:val="20"/>
          <w:szCs w:val="20"/>
          <w:lang w:val="es-ES"/>
        </w:rPr>
        <w:t>la muert</w:t>
      </w:r>
      <w:r w:rsidR="00E07A9F">
        <w:rPr>
          <w:rFonts w:asciiTheme="majorHAnsi" w:hAnsiTheme="majorHAnsi"/>
          <w:sz w:val="20"/>
          <w:szCs w:val="20"/>
          <w:lang w:val="es-ES"/>
        </w:rPr>
        <w:t>e durante un período más prolongado que el lapso de ti</w:t>
      </w:r>
      <w:r w:rsidR="00E07A9F" w:rsidRPr="00A847F7">
        <w:rPr>
          <w:rFonts w:asciiTheme="majorHAnsi" w:hAnsiTheme="majorHAnsi"/>
          <w:sz w:val="20"/>
          <w:szCs w:val="20"/>
          <w:lang w:val="es-ES"/>
        </w:rPr>
        <w:t>empo aceptable en condiciones que se han descrito como crueles e inhumanas.</w:t>
      </w:r>
    </w:p>
    <w:p w14:paraId="186BB005" w14:textId="77777777" w:rsidR="00F54147" w:rsidRPr="00A847F7" w:rsidRDefault="00F54147"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90"/>
        </w:tabs>
        <w:jc w:val="both"/>
        <w:rPr>
          <w:rFonts w:eastAsia="Times New Roman"/>
          <w:bCs/>
          <w:sz w:val="20"/>
          <w:szCs w:val="20"/>
          <w:bdr w:val="none" w:sz="0" w:space="0" w:color="auto"/>
          <w:lang w:val="es-ES"/>
        </w:rPr>
      </w:pPr>
    </w:p>
    <w:p w14:paraId="4FE7DA61" w14:textId="4788CD47" w:rsidR="0032063E" w:rsidRPr="00A847F7" w:rsidRDefault="0032063E" w:rsidP="0032063E">
      <w:pPr>
        <w:pStyle w:val="Heading1"/>
        <w:tabs>
          <w:tab w:val="left" w:pos="360"/>
        </w:tabs>
        <w:spacing w:before="0"/>
        <w:ind w:left="0" w:firstLine="0"/>
        <w:rPr>
          <w:color w:val="auto"/>
          <w:sz w:val="20"/>
          <w:szCs w:val="20"/>
          <w:lang w:val="es-ES_tradnl"/>
        </w:rPr>
      </w:pPr>
      <w:bookmarkStart w:id="42" w:name="_Toc150529905"/>
      <w:bookmarkStart w:id="43" w:name="_Toc22826190"/>
      <w:r w:rsidRPr="00A847F7">
        <w:rPr>
          <w:color w:val="auto"/>
          <w:sz w:val="20"/>
          <w:szCs w:val="20"/>
          <w:lang w:val="es-ES_tradnl"/>
        </w:rPr>
        <w:t>INFORME Nº 161/19 E INFORMACIÓN SOBRE EL CUMPLIMIENTO</w:t>
      </w:r>
      <w:bookmarkEnd w:id="42"/>
    </w:p>
    <w:p w14:paraId="493DBD44" w14:textId="77777777" w:rsidR="0032063E" w:rsidRPr="00A847F7" w:rsidRDefault="0032063E" w:rsidP="0032063E">
      <w:pPr>
        <w:rPr>
          <w:lang w:val="es-ES_tradnl"/>
        </w:rPr>
      </w:pPr>
    </w:p>
    <w:p w14:paraId="6DCD4D9A" w14:textId="3C2DFEA6" w:rsidR="0032063E" w:rsidRPr="00A847F7" w:rsidRDefault="0032063E" w:rsidP="0032063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color w:val="000000" w:themeColor="text1"/>
          <w:sz w:val="20"/>
          <w:szCs w:val="20"/>
          <w:lang w:val="es-ES_tradnl"/>
        </w:rPr>
      </w:pPr>
      <w:r w:rsidRPr="00A847F7">
        <w:rPr>
          <w:rFonts w:asciiTheme="majorHAnsi" w:hAnsiTheme="majorHAnsi"/>
          <w:color w:val="000000" w:themeColor="text1"/>
          <w:sz w:val="20"/>
          <w:szCs w:val="20"/>
          <w:lang w:val="es-ES_tradnl"/>
        </w:rPr>
        <w:t>El 9 de noviembre de 2019, la Comisión aprobó el Informe No. 161/19 sobre el fondo del presente caso, que comprende los párrafos 1 a 77 supra, y emitió las siguientes recomendaciones al Estado:</w:t>
      </w:r>
    </w:p>
    <w:p w14:paraId="4B8F05C3" w14:textId="77777777" w:rsidR="0032063E" w:rsidRPr="00A847F7" w:rsidRDefault="0032063E" w:rsidP="0032063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color w:val="000000" w:themeColor="text1"/>
          <w:sz w:val="20"/>
          <w:szCs w:val="20"/>
          <w:lang w:val="es-ES_tradnl"/>
        </w:rPr>
      </w:pPr>
    </w:p>
    <w:p w14:paraId="0C9A27A9" w14:textId="3A6E5CC3" w:rsidR="0032063E" w:rsidRPr="00A847F7" w:rsidRDefault="0032063E" w:rsidP="0032063E">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810" w:hanging="450"/>
        <w:jc w:val="both"/>
        <w:rPr>
          <w:rFonts w:asciiTheme="majorHAnsi" w:hAnsiTheme="majorHAnsi" w:cs="Arial"/>
          <w:sz w:val="20"/>
          <w:szCs w:val="20"/>
          <w:lang w:val="es-ES"/>
        </w:rPr>
      </w:pPr>
      <w:r w:rsidRPr="00A847F7">
        <w:rPr>
          <w:rFonts w:asciiTheme="majorHAnsi" w:hAnsiTheme="majorHAnsi"/>
          <w:sz w:val="20"/>
          <w:szCs w:val="20"/>
          <w:lang w:val="es-ES"/>
        </w:rPr>
        <w:t>Otorgue reparaciones a la familia de Tracy Lee Housel en relación con las violaciones establecidas en el presente informe.</w:t>
      </w:r>
    </w:p>
    <w:p w14:paraId="10F03086" w14:textId="77777777" w:rsidR="0032063E" w:rsidRPr="00A847F7" w:rsidRDefault="0032063E" w:rsidP="0032063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hanging="360"/>
        <w:jc w:val="both"/>
        <w:rPr>
          <w:rFonts w:asciiTheme="majorHAnsi" w:eastAsia="Times New Roman" w:hAnsiTheme="majorHAnsi" w:cs="Tahoma"/>
          <w:sz w:val="20"/>
          <w:szCs w:val="20"/>
          <w:bdr w:val="none" w:sz="0" w:space="0" w:color="auto"/>
          <w:lang w:val="es-ES"/>
        </w:rPr>
      </w:pPr>
    </w:p>
    <w:p w14:paraId="69824C02" w14:textId="77777777" w:rsidR="0032063E" w:rsidRPr="00A847F7" w:rsidRDefault="0032063E" w:rsidP="0032063E">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810" w:hanging="450"/>
        <w:jc w:val="both"/>
        <w:rPr>
          <w:rFonts w:asciiTheme="majorHAnsi" w:eastAsia="Times New Roman" w:hAnsiTheme="majorHAnsi" w:cs="Tahoma"/>
          <w:sz w:val="20"/>
          <w:szCs w:val="20"/>
          <w:bdr w:val="none" w:sz="0" w:space="0" w:color="auto"/>
          <w:lang w:val="es-ES"/>
        </w:rPr>
      </w:pPr>
      <w:r w:rsidRPr="00A847F7">
        <w:rPr>
          <w:rFonts w:asciiTheme="majorHAnsi" w:hAnsiTheme="majorHAnsi"/>
          <w:sz w:val="20"/>
          <w:szCs w:val="20"/>
          <w:lang w:val="es-ES"/>
        </w:rPr>
        <w:t>Examine sus leyes, procedimientos y prácticas en los ámbitos federal y estatal para asegurar el cumplimiento de las disposiciones de la Declaración Americana, específicamente para garantizar que las personas acusadas de delito capital sean juzgadas y, de ser declaradas culpables, sean sentenciadas de acuerdo con los derechos establecidos en la Declaración Americana</w:t>
      </w:r>
      <w:r w:rsidRPr="00A847F7">
        <w:rPr>
          <w:rStyle w:val="FootnoteReference"/>
          <w:rFonts w:asciiTheme="majorHAnsi" w:hAnsiTheme="majorHAnsi"/>
          <w:sz w:val="20"/>
          <w:szCs w:val="20"/>
        </w:rPr>
        <w:footnoteReference w:id="73"/>
      </w:r>
      <w:r w:rsidRPr="00A847F7">
        <w:rPr>
          <w:rFonts w:asciiTheme="majorHAnsi" w:hAnsiTheme="majorHAnsi"/>
          <w:sz w:val="20"/>
          <w:szCs w:val="20"/>
          <w:lang w:val="es-ES"/>
        </w:rPr>
        <w:t>, incluidos los artículos I, XI, XVIII, XXV and XXVI de la misma, en especial que:</w:t>
      </w:r>
    </w:p>
    <w:p w14:paraId="46AAE5EF" w14:textId="77777777" w:rsidR="0032063E" w:rsidRPr="00A847F7" w:rsidRDefault="0032063E" w:rsidP="0032063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90"/>
        </w:tabs>
        <w:jc w:val="both"/>
        <w:rPr>
          <w:rFonts w:asciiTheme="majorHAnsi" w:eastAsia="Times New Roman" w:hAnsiTheme="majorHAnsi" w:cs="Tahoma"/>
          <w:sz w:val="20"/>
          <w:szCs w:val="20"/>
          <w:bdr w:val="none" w:sz="0" w:space="0" w:color="auto"/>
          <w:lang w:val="es-ES"/>
        </w:rPr>
      </w:pPr>
    </w:p>
    <w:p w14:paraId="2543C94F" w14:textId="77777777" w:rsidR="0032063E" w:rsidRPr="00A847F7" w:rsidRDefault="0032063E" w:rsidP="0032063E">
      <w:pPr>
        <w:pStyle w:val="ListParagraph"/>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jc w:val="both"/>
        <w:rPr>
          <w:rFonts w:eastAsia="Times New Roman" w:cs="Tahoma"/>
          <w:sz w:val="20"/>
          <w:szCs w:val="20"/>
          <w:bdr w:val="none" w:sz="0" w:space="0" w:color="auto" w:frame="1"/>
          <w:lang w:val="es-ES"/>
        </w:rPr>
      </w:pPr>
      <w:r w:rsidRPr="00A847F7">
        <w:rPr>
          <w:rFonts w:eastAsia="Times New Roman" w:cs="Tahoma"/>
          <w:sz w:val="20"/>
          <w:szCs w:val="20"/>
          <w:bdr w:val="none" w:sz="0" w:space="0" w:color="auto" w:frame="1"/>
          <w:lang w:val="es-ES"/>
        </w:rPr>
        <w:t>El abogado designado por la corte preste asistencia legal adecuada en los casos de pena de muerte, incluida la presentación de pruebas atenuantes, y</w:t>
      </w:r>
    </w:p>
    <w:p w14:paraId="348E9A1E" w14:textId="77777777" w:rsidR="0032063E" w:rsidRPr="00A847F7" w:rsidRDefault="0032063E" w:rsidP="0032063E">
      <w:pPr>
        <w:pStyle w:val="ListParagraph"/>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jc w:val="both"/>
        <w:rPr>
          <w:rFonts w:eastAsia="Times New Roman" w:cs="Tahoma"/>
          <w:sz w:val="20"/>
          <w:szCs w:val="20"/>
          <w:bdr w:val="none" w:sz="0" w:space="0" w:color="auto" w:frame="1"/>
          <w:lang w:val="es-ES"/>
        </w:rPr>
      </w:pPr>
      <w:r w:rsidRPr="00A847F7">
        <w:rPr>
          <w:rFonts w:eastAsia="Times New Roman" w:cs="Tahoma"/>
          <w:sz w:val="20"/>
          <w:szCs w:val="20"/>
          <w:bdr w:val="none" w:sz="0" w:space="0" w:color="auto" w:frame="1"/>
          <w:lang w:val="es-ES"/>
        </w:rPr>
        <w:t>Que las pruebas de delitos que no fueron juzgados no se introduzcan durante la determinación de la pena capital</w:t>
      </w:r>
    </w:p>
    <w:p w14:paraId="5DBB3023" w14:textId="77777777" w:rsidR="0032063E" w:rsidRPr="00A847F7" w:rsidRDefault="0032063E" w:rsidP="0032063E">
      <w:pPr>
        <w:pStyle w:val="ListParagraph"/>
        <w:tabs>
          <w:tab w:val="left" w:pos="1890"/>
        </w:tabs>
        <w:ind w:hanging="360"/>
        <w:rPr>
          <w:rFonts w:asciiTheme="majorHAnsi" w:eastAsia="Times New Roman" w:hAnsiTheme="majorHAnsi" w:cs="Tahoma"/>
          <w:sz w:val="20"/>
          <w:szCs w:val="20"/>
          <w:bdr w:val="none" w:sz="0" w:space="0" w:color="auto"/>
          <w:lang w:val="es-ES"/>
        </w:rPr>
      </w:pPr>
    </w:p>
    <w:p w14:paraId="7132943D" w14:textId="77777777" w:rsidR="0032063E" w:rsidRPr="00A847F7" w:rsidRDefault="0032063E" w:rsidP="0032063E">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810" w:hanging="450"/>
        <w:jc w:val="both"/>
        <w:rPr>
          <w:rFonts w:asciiTheme="majorHAnsi" w:eastAsia="Times New Roman" w:hAnsiTheme="majorHAnsi" w:cs="Tahoma"/>
          <w:sz w:val="20"/>
          <w:szCs w:val="20"/>
          <w:bdr w:val="none" w:sz="0" w:space="0" w:color="auto"/>
          <w:lang w:val="es-ES"/>
        </w:rPr>
      </w:pPr>
      <w:r w:rsidRPr="00A847F7">
        <w:rPr>
          <w:rFonts w:eastAsia="Times New Roman" w:cs="Tahoma"/>
          <w:sz w:val="20"/>
          <w:szCs w:val="20"/>
          <w:bdr w:val="none" w:sz="0" w:space="0" w:color="auto" w:frame="1"/>
          <w:lang w:val="es-ES"/>
        </w:rPr>
        <w:t>Asegurar que el régimen de aislamiento se utilice solamente en circunstancias excepcionales, durante un período que sea lo más breve posible.</w:t>
      </w:r>
    </w:p>
    <w:p w14:paraId="3C6DED15" w14:textId="77777777" w:rsidR="0032063E" w:rsidRPr="00A847F7" w:rsidRDefault="0032063E" w:rsidP="0032063E">
      <w:pPr>
        <w:pStyle w:val="ListParagraph"/>
        <w:tabs>
          <w:tab w:val="left" w:pos="1890"/>
        </w:tabs>
        <w:ind w:hanging="360"/>
        <w:rPr>
          <w:rFonts w:asciiTheme="majorHAnsi" w:hAnsiTheme="majorHAnsi" w:cs="Calibri"/>
          <w:sz w:val="20"/>
          <w:szCs w:val="20"/>
          <w:lang w:val="es-ES"/>
        </w:rPr>
      </w:pPr>
    </w:p>
    <w:p w14:paraId="602D2175" w14:textId="77777777" w:rsidR="0032063E" w:rsidRPr="00A847F7" w:rsidRDefault="0032063E" w:rsidP="0032063E">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810" w:hanging="450"/>
        <w:jc w:val="both"/>
        <w:rPr>
          <w:rFonts w:asciiTheme="majorHAnsi" w:eastAsia="Times New Roman" w:hAnsiTheme="majorHAnsi" w:cs="Tahoma"/>
          <w:sz w:val="20"/>
          <w:szCs w:val="20"/>
          <w:bdr w:val="none" w:sz="0" w:space="0" w:color="auto"/>
          <w:lang w:val="es-ES"/>
        </w:rPr>
      </w:pPr>
      <w:r w:rsidRPr="00A847F7">
        <w:rPr>
          <w:rFonts w:eastAsia="Times New Roman" w:cs="Tahoma"/>
          <w:sz w:val="20"/>
          <w:szCs w:val="20"/>
          <w:bdr w:val="none" w:sz="0" w:space="0" w:color="auto" w:frame="1"/>
          <w:lang w:val="es-ES"/>
        </w:rPr>
        <w:lastRenderedPageBreak/>
        <w:t>Asegurar</w:t>
      </w:r>
      <w:r w:rsidRPr="00A847F7">
        <w:rPr>
          <w:rFonts w:asciiTheme="majorHAnsi" w:hAnsiTheme="majorHAnsi" w:cs="Calibri"/>
          <w:sz w:val="20"/>
          <w:szCs w:val="20"/>
          <w:lang w:val="es-ES"/>
        </w:rPr>
        <w:t xml:space="preserve"> el cumplimiento de las medidas cautelares otorgadas por la CIDH para las personas que enfrentan la pena de muerte.</w:t>
      </w:r>
    </w:p>
    <w:p w14:paraId="3E6975BF" w14:textId="77777777" w:rsidR="0032063E" w:rsidRPr="00A847F7" w:rsidRDefault="0032063E" w:rsidP="0032063E">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720" w:hanging="360"/>
        <w:jc w:val="both"/>
        <w:rPr>
          <w:rFonts w:eastAsia="Times New Roman" w:cs="Tahoma"/>
          <w:sz w:val="20"/>
          <w:szCs w:val="20"/>
          <w:bdr w:val="none" w:sz="0" w:space="0" w:color="auto"/>
          <w:lang w:val="es-ES"/>
        </w:rPr>
      </w:pPr>
    </w:p>
    <w:p w14:paraId="6ED6FDF8" w14:textId="190DAE16" w:rsidR="0032063E" w:rsidRPr="00A847F7" w:rsidRDefault="0032063E" w:rsidP="0032063E">
      <w:pPr>
        <w:pStyle w:val="ListParagraph"/>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810" w:hanging="450"/>
        <w:jc w:val="both"/>
        <w:rPr>
          <w:rFonts w:eastAsia="Times New Roman" w:cs="Tahoma"/>
          <w:sz w:val="20"/>
          <w:szCs w:val="20"/>
          <w:bdr w:val="none" w:sz="0" w:space="0" w:color="auto"/>
          <w:lang w:val="es-ES"/>
        </w:rPr>
      </w:pPr>
      <w:r w:rsidRPr="00A847F7">
        <w:rPr>
          <w:rFonts w:eastAsia="Times New Roman" w:cs="Tahoma"/>
          <w:sz w:val="20"/>
          <w:szCs w:val="20"/>
          <w:bdr w:val="none" w:sz="0" w:space="0" w:color="auto"/>
          <w:lang w:val="es-ES"/>
        </w:rPr>
        <w:t xml:space="preserve">Tomando en cuenta las violaciones de la Declaración Americana establecidas en el presente caso y en otros relacionados con la aplicación de la pena de muerte, la </w:t>
      </w:r>
      <w:r w:rsidRPr="00A847F7">
        <w:rPr>
          <w:sz w:val="20"/>
          <w:szCs w:val="20"/>
          <w:lang w:val="es-ES"/>
        </w:rPr>
        <w:t>Comisión Interamericana también recomienda que Estados Unidos adopte una moratoria en las ejecuciones de las personas condenadas a muerte</w:t>
      </w:r>
      <w:r w:rsidRPr="00A847F7">
        <w:rPr>
          <w:rStyle w:val="FootnoteReference"/>
          <w:sz w:val="20"/>
        </w:rPr>
        <w:footnoteReference w:id="74"/>
      </w:r>
      <w:r w:rsidRPr="00A847F7">
        <w:rPr>
          <w:sz w:val="20"/>
          <w:szCs w:val="20"/>
          <w:lang w:val="es-ES"/>
        </w:rPr>
        <w:t>.</w:t>
      </w:r>
    </w:p>
    <w:p w14:paraId="3CDC4D4C" w14:textId="77777777" w:rsidR="0032063E" w:rsidRPr="00A847F7" w:rsidRDefault="0032063E" w:rsidP="0032063E">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jc w:val="both"/>
        <w:rPr>
          <w:rFonts w:eastAsia="Times New Roman" w:cs="Tahoma"/>
          <w:sz w:val="20"/>
          <w:szCs w:val="20"/>
          <w:bdr w:val="none" w:sz="0" w:space="0" w:color="auto"/>
          <w:lang w:val="es-ES"/>
        </w:rPr>
      </w:pPr>
    </w:p>
    <w:p w14:paraId="787FDBD6" w14:textId="05580601" w:rsidR="0032063E" w:rsidRPr="00A847F7" w:rsidRDefault="0032063E" w:rsidP="0032063E">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color w:val="000000" w:themeColor="text1"/>
          <w:sz w:val="20"/>
          <w:szCs w:val="20"/>
          <w:lang w:val="es-ES_tradnl"/>
        </w:rPr>
      </w:pPr>
      <w:r w:rsidRPr="00A847F7">
        <w:rPr>
          <w:rFonts w:asciiTheme="majorHAnsi" w:hAnsiTheme="majorHAnsi"/>
          <w:color w:val="000000" w:themeColor="text1"/>
          <w:sz w:val="20"/>
          <w:szCs w:val="20"/>
          <w:lang w:val="es-ES"/>
        </w:rPr>
        <w:t>El</w:t>
      </w:r>
      <w:r w:rsidRPr="00A847F7">
        <w:rPr>
          <w:rFonts w:asciiTheme="majorHAnsi" w:hAnsiTheme="majorHAnsi"/>
          <w:color w:val="000000" w:themeColor="text1"/>
          <w:sz w:val="20"/>
          <w:szCs w:val="20"/>
          <w:lang w:val="es-ES_tradnl"/>
        </w:rPr>
        <w:t xml:space="preserve"> 5 de diciembre de 2019 la CIDH transmitió el informe al Estado con un plazo de dos meses para informar a la Comisión sobre las medidas adoptadas para cumplir con sus recomendaciones. Hasta la fecha, la Comisión no ha recibido ninguna respuesta de Estados Unidos en relación con el informe No. 161/19.</w:t>
      </w:r>
    </w:p>
    <w:p w14:paraId="3A0EA32E" w14:textId="77777777" w:rsidR="00A847F7" w:rsidRPr="00D006F7" w:rsidRDefault="00A847F7" w:rsidP="00A847F7">
      <w:pPr>
        <w:tabs>
          <w:tab w:val="left" w:pos="0"/>
          <w:tab w:val="left" w:pos="360"/>
        </w:tabs>
        <w:jc w:val="both"/>
        <w:rPr>
          <w:rFonts w:ascii="Cambria" w:hAnsi="Cambria"/>
          <w:color w:val="000000"/>
          <w:sz w:val="20"/>
          <w:szCs w:val="20"/>
          <w:lang w:val="es-ES_tradnl"/>
        </w:rPr>
      </w:pPr>
    </w:p>
    <w:p w14:paraId="5E96FFD0" w14:textId="5BEB6D2F" w:rsidR="00A847F7" w:rsidRPr="00C826D8" w:rsidRDefault="00A847F7" w:rsidP="00A847F7">
      <w:pPr>
        <w:pStyle w:val="Heading1"/>
        <w:tabs>
          <w:tab w:val="left" w:pos="360"/>
        </w:tabs>
        <w:spacing w:before="0"/>
        <w:ind w:hanging="720"/>
        <w:rPr>
          <w:color w:val="auto"/>
          <w:sz w:val="20"/>
          <w:szCs w:val="20"/>
          <w:lang w:val="es-ES"/>
        </w:rPr>
      </w:pPr>
      <w:bookmarkStart w:id="44" w:name="_Toc26552694"/>
      <w:bookmarkStart w:id="45" w:name="_Toc87522750"/>
      <w:bookmarkStart w:id="46" w:name="_Toc90117848"/>
      <w:bookmarkStart w:id="47" w:name="_Toc90283158"/>
      <w:bookmarkStart w:id="48" w:name="_Toc90284835"/>
      <w:bookmarkStart w:id="49" w:name="_Toc90289330"/>
      <w:bookmarkStart w:id="50" w:name="_Toc90292589"/>
      <w:bookmarkStart w:id="51" w:name="_Toc90298938"/>
      <w:bookmarkStart w:id="52" w:name="_Toc90300982"/>
      <w:bookmarkStart w:id="53" w:name="_Toc150529906"/>
      <w:r w:rsidRPr="00C826D8">
        <w:rPr>
          <w:color w:val="auto"/>
          <w:sz w:val="20"/>
          <w:szCs w:val="20"/>
          <w:lang w:val="es-ES"/>
        </w:rPr>
        <w:t>ACCIONES POSTERIORES AL INFORME No. 335/</w:t>
      </w:r>
      <w:bookmarkEnd w:id="44"/>
      <w:r w:rsidRPr="00C826D8">
        <w:rPr>
          <w:color w:val="auto"/>
          <w:sz w:val="20"/>
          <w:szCs w:val="20"/>
          <w:lang w:val="es-ES"/>
        </w:rPr>
        <w:t>2</w:t>
      </w:r>
      <w:bookmarkEnd w:id="45"/>
      <w:r w:rsidRPr="00C826D8">
        <w:rPr>
          <w:color w:val="auto"/>
          <w:sz w:val="20"/>
          <w:szCs w:val="20"/>
          <w:lang w:val="es-ES"/>
        </w:rPr>
        <w:t>1</w:t>
      </w:r>
      <w:bookmarkEnd w:id="46"/>
      <w:bookmarkEnd w:id="47"/>
      <w:bookmarkEnd w:id="48"/>
      <w:bookmarkEnd w:id="49"/>
      <w:bookmarkEnd w:id="50"/>
      <w:bookmarkEnd w:id="51"/>
      <w:bookmarkEnd w:id="52"/>
      <w:bookmarkEnd w:id="53"/>
    </w:p>
    <w:p w14:paraId="61E0C22D" w14:textId="77777777" w:rsidR="00A847F7" w:rsidRPr="00C826D8" w:rsidRDefault="00A847F7" w:rsidP="00A847F7">
      <w:pPr>
        <w:tabs>
          <w:tab w:val="left" w:pos="0"/>
          <w:tab w:val="left" w:pos="360"/>
        </w:tabs>
        <w:jc w:val="both"/>
        <w:rPr>
          <w:lang w:val="es-AR"/>
        </w:rPr>
      </w:pPr>
    </w:p>
    <w:p w14:paraId="06861C9B" w14:textId="7F08AE93" w:rsidR="00A847F7" w:rsidRPr="00C826D8" w:rsidRDefault="00A847F7" w:rsidP="00A847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sz w:val="20"/>
          <w:szCs w:val="20"/>
          <w:lang w:val="es-UY"/>
        </w:rPr>
      </w:pPr>
      <w:r w:rsidRPr="00C826D8">
        <w:rPr>
          <w:rFonts w:asciiTheme="majorHAnsi" w:hAnsiTheme="majorHAnsi"/>
          <w:color w:val="000000" w:themeColor="text1"/>
          <w:sz w:val="20"/>
          <w:szCs w:val="20"/>
        </w:rPr>
        <w:t>El</w:t>
      </w:r>
      <w:r w:rsidRPr="00C826D8">
        <w:rPr>
          <w:rFonts w:ascii="Cambria" w:hAnsi="Cambria"/>
          <w:sz w:val="20"/>
          <w:szCs w:val="20"/>
          <w:lang w:val="es-UY"/>
        </w:rPr>
        <w:t xml:space="preserve"> 22 de noviembre de 2021, la Comisión aprobó el Informe de Fondo Final No. 335/21, que abarca los párrafos 1 a 79 </w:t>
      </w:r>
      <w:r w:rsidRPr="00C826D8">
        <w:rPr>
          <w:rFonts w:ascii="Cambria" w:hAnsi="Cambria"/>
          <w:i/>
          <w:sz w:val="20"/>
          <w:szCs w:val="20"/>
          <w:lang w:val="es-UY"/>
        </w:rPr>
        <w:t>supra</w:t>
      </w:r>
      <w:r w:rsidRPr="00C826D8">
        <w:rPr>
          <w:rFonts w:ascii="Cambria" w:hAnsi="Cambria"/>
          <w:sz w:val="20"/>
          <w:szCs w:val="20"/>
          <w:lang w:val="es-UY"/>
        </w:rPr>
        <w:t>, y emitió sus conclusiones y recomendaciones finales al Estado. El 67de diciembre de 2021, la Comisión transmitió el informe al Estado y a los peticionarios con un plazo de tres semanas para informar a la Comisión Interamericana sobre las medidas adoptadas para dar cumplimiento a sus recomendaciones. Hasta la fecha, la CIDH no ha recibido respuesta de los Estados Unidos ni de los peticionarios en relación con el Informe 335/21.</w:t>
      </w:r>
    </w:p>
    <w:p w14:paraId="48FDFA9E" w14:textId="77777777" w:rsidR="00A847F7" w:rsidRPr="0032063E" w:rsidRDefault="00A847F7" w:rsidP="0032063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color w:val="000000" w:themeColor="text1"/>
          <w:sz w:val="20"/>
          <w:szCs w:val="20"/>
          <w:lang w:val="es-ES_tradnl"/>
        </w:rPr>
      </w:pPr>
    </w:p>
    <w:p w14:paraId="764C66D0" w14:textId="2CDE78CE" w:rsidR="001C4006" w:rsidRPr="00A847F7" w:rsidRDefault="001C4006" w:rsidP="0056246C">
      <w:pPr>
        <w:pStyle w:val="Heading1"/>
        <w:tabs>
          <w:tab w:val="left" w:pos="360"/>
        </w:tabs>
        <w:spacing w:before="0"/>
        <w:ind w:left="0" w:firstLine="0"/>
        <w:rPr>
          <w:color w:val="auto"/>
          <w:sz w:val="20"/>
          <w:szCs w:val="20"/>
          <w:lang w:val="es-ES_tradnl"/>
        </w:rPr>
      </w:pPr>
      <w:bookmarkStart w:id="54" w:name="_Toc150529907"/>
      <w:r w:rsidRPr="0032063E">
        <w:rPr>
          <w:color w:val="auto"/>
          <w:sz w:val="20"/>
          <w:szCs w:val="20"/>
          <w:lang w:val="es-ES_tradnl"/>
        </w:rPr>
        <w:t>CONCLUSION</w:t>
      </w:r>
      <w:r w:rsidR="00622BFA" w:rsidRPr="0032063E">
        <w:rPr>
          <w:color w:val="auto"/>
          <w:sz w:val="20"/>
          <w:szCs w:val="20"/>
          <w:lang w:val="es-ES_tradnl"/>
        </w:rPr>
        <w:t>E</w:t>
      </w:r>
      <w:r w:rsidRPr="0032063E">
        <w:rPr>
          <w:color w:val="auto"/>
          <w:sz w:val="20"/>
          <w:szCs w:val="20"/>
          <w:lang w:val="es-ES_tradnl"/>
        </w:rPr>
        <w:t>S</w:t>
      </w:r>
      <w:r w:rsidR="00622BFA" w:rsidRPr="0032063E">
        <w:rPr>
          <w:color w:val="auto"/>
          <w:sz w:val="20"/>
          <w:szCs w:val="20"/>
          <w:lang w:val="es-ES_tradnl"/>
        </w:rPr>
        <w:t xml:space="preserve"> Y RECOMENDACIONES</w:t>
      </w:r>
      <w:bookmarkEnd w:id="43"/>
      <w:r w:rsidR="0032063E" w:rsidRPr="0032063E">
        <w:rPr>
          <w:color w:val="auto"/>
          <w:sz w:val="20"/>
          <w:szCs w:val="20"/>
          <w:lang w:val="es-ES_tradnl"/>
        </w:rPr>
        <w:t xml:space="preserve"> </w:t>
      </w:r>
      <w:r w:rsidR="0032063E" w:rsidRPr="00A847F7">
        <w:rPr>
          <w:color w:val="auto"/>
          <w:sz w:val="20"/>
          <w:szCs w:val="20"/>
          <w:lang w:val="es-ES_tradnl"/>
        </w:rPr>
        <w:t>FINALES</w:t>
      </w:r>
      <w:bookmarkEnd w:id="54"/>
    </w:p>
    <w:p w14:paraId="6C111FD6" w14:textId="77777777" w:rsidR="00576D19" w:rsidRPr="00A847F7" w:rsidRDefault="00576D19"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890"/>
        </w:tabs>
        <w:jc w:val="both"/>
        <w:rPr>
          <w:rFonts w:asciiTheme="majorHAnsi" w:hAnsiTheme="majorHAnsi"/>
          <w:b/>
          <w:sz w:val="20"/>
          <w:szCs w:val="20"/>
        </w:rPr>
      </w:pPr>
    </w:p>
    <w:p w14:paraId="67FF52B2" w14:textId="77777777" w:rsidR="00C0566E" w:rsidRPr="00A847F7" w:rsidRDefault="00A74C4C" w:rsidP="00ED2F8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ind w:left="0" w:firstLine="0"/>
        <w:jc w:val="both"/>
        <w:rPr>
          <w:rFonts w:asciiTheme="majorHAnsi" w:hAnsiTheme="majorHAnsi"/>
          <w:sz w:val="20"/>
          <w:szCs w:val="20"/>
          <w:lang w:val="es-ES"/>
        </w:rPr>
      </w:pPr>
      <w:r w:rsidRPr="00A847F7">
        <w:rPr>
          <w:rFonts w:asciiTheme="majorHAnsi" w:hAnsiTheme="majorHAnsi"/>
          <w:color w:val="000000" w:themeColor="text1"/>
          <w:sz w:val="20"/>
          <w:szCs w:val="20"/>
          <w:lang w:val="es-ES"/>
        </w:rPr>
        <w:t>Sobre la base de</w:t>
      </w:r>
      <w:r w:rsidR="00C0566E" w:rsidRPr="00A847F7">
        <w:rPr>
          <w:rFonts w:asciiTheme="majorHAnsi" w:hAnsiTheme="majorHAnsi"/>
          <w:color w:val="000000" w:themeColor="text1"/>
          <w:sz w:val="20"/>
          <w:szCs w:val="20"/>
          <w:lang w:val="es-ES"/>
        </w:rPr>
        <w:t xml:space="preserve"> las consideraciones de hecho y de derecho, la Comisión</w:t>
      </w:r>
      <w:r w:rsidR="00C0566E" w:rsidRPr="00A847F7">
        <w:rPr>
          <w:rFonts w:asciiTheme="majorHAnsi" w:hAnsiTheme="majorHAnsi"/>
          <w:sz w:val="20"/>
          <w:szCs w:val="20"/>
          <w:lang w:val="es-ES"/>
        </w:rPr>
        <w:t xml:space="preserve"> Interamericana de Derechos Humanos concluye que el Estado es responsable por la violación de los artículos </w:t>
      </w:r>
      <w:r w:rsidR="004C1EE6" w:rsidRPr="00A847F7">
        <w:rPr>
          <w:rFonts w:asciiTheme="majorHAnsi" w:hAnsiTheme="majorHAnsi"/>
          <w:sz w:val="20"/>
          <w:szCs w:val="20"/>
          <w:lang w:val="es-ES"/>
        </w:rPr>
        <w:t>1 (</w:t>
      </w:r>
      <w:r w:rsidRPr="00A847F7">
        <w:rPr>
          <w:rFonts w:asciiTheme="majorHAnsi" w:hAnsiTheme="majorHAnsi"/>
          <w:sz w:val="20"/>
          <w:szCs w:val="20"/>
          <w:lang w:val="es-ES"/>
        </w:rPr>
        <w:t xml:space="preserve">derecho a la </w:t>
      </w:r>
      <w:r w:rsidR="004C1EE6" w:rsidRPr="00A847F7">
        <w:rPr>
          <w:rFonts w:asciiTheme="majorHAnsi" w:hAnsiTheme="majorHAnsi"/>
          <w:sz w:val="20"/>
          <w:szCs w:val="20"/>
          <w:lang w:val="es-ES"/>
        </w:rPr>
        <w:t>vida), XI (</w:t>
      </w:r>
      <w:r w:rsidRPr="00A847F7">
        <w:rPr>
          <w:rFonts w:asciiTheme="majorHAnsi" w:hAnsiTheme="majorHAnsi"/>
          <w:sz w:val="20"/>
          <w:szCs w:val="20"/>
          <w:lang w:val="es-ES"/>
        </w:rPr>
        <w:t xml:space="preserve">preservación de la </w:t>
      </w:r>
      <w:r w:rsidR="004C1EE6" w:rsidRPr="00A847F7">
        <w:rPr>
          <w:rFonts w:asciiTheme="majorHAnsi" w:hAnsiTheme="majorHAnsi"/>
          <w:sz w:val="20"/>
          <w:szCs w:val="20"/>
          <w:lang w:val="es-ES"/>
        </w:rPr>
        <w:t>salud), XVIII (</w:t>
      </w:r>
      <w:r w:rsidRPr="00A847F7">
        <w:rPr>
          <w:rFonts w:asciiTheme="majorHAnsi" w:hAnsiTheme="majorHAnsi"/>
          <w:sz w:val="20"/>
          <w:szCs w:val="20"/>
          <w:lang w:val="es-ES"/>
        </w:rPr>
        <w:t>derecho de justicia</w:t>
      </w:r>
      <w:r w:rsidR="004C1EE6" w:rsidRPr="00A847F7">
        <w:rPr>
          <w:rFonts w:asciiTheme="majorHAnsi" w:hAnsiTheme="majorHAnsi"/>
          <w:sz w:val="20"/>
          <w:szCs w:val="20"/>
          <w:lang w:val="es-ES"/>
        </w:rPr>
        <w:t xml:space="preserve">), </w:t>
      </w:r>
      <w:r w:rsidR="00800200" w:rsidRPr="00A847F7">
        <w:rPr>
          <w:rFonts w:asciiTheme="majorHAnsi" w:hAnsiTheme="majorHAnsi"/>
          <w:sz w:val="20"/>
          <w:szCs w:val="20"/>
          <w:lang w:val="es-ES"/>
        </w:rPr>
        <w:t>XXIV (</w:t>
      </w:r>
      <w:r w:rsidR="00C017D8" w:rsidRPr="00A847F7">
        <w:rPr>
          <w:rFonts w:asciiTheme="majorHAnsi" w:hAnsiTheme="majorHAnsi"/>
          <w:sz w:val="20"/>
          <w:szCs w:val="20"/>
          <w:lang w:val="es-ES"/>
        </w:rPr>
        <w:t xml:space="preserve">derecho de </w:t>
      </w:r>
      <w:r w:rsidR="00800200" w:rsidRPr="00A847F7">
        <w:rPr>
          <w:rFonts w:asciiTheme="majorHAnsi" w:hAnsiTheme="majorHAnsi"/>
          <w:sz w:val="20"/>
          <w:szCs w:val="20"/>
          <w:lang w:val="es-ES"/>
        </w:rPr>
        <w:t>petición), XXV (protección contra la detención arbitraria) y XXVI (derecho a proceso regular) de la Declaración Americana.</w:t>
      </w:r>
    </w:p>
    <w:p w14:paraId="49145D8A" w14:textId="77777777" w:rsidR="00A74C4C" w:rsidRPr="00A847F7" w:rsidRDefault="00A74C4C" w:rsidP="00F349BC">
      <w:pPr>
        <w:tabs>
          <w:tab w:val="left" w:pos="1890"/>
        </w:tabs>
        <w:jc w:val="both"/>
        <w:rPr>
          <w:rFonts w:asciiTheme="majorHAnsi" w:hAnsiTheme="majorHAnsi"/>
          <w:b/>
          <w:bCs/>
          <w:sz w:val="20"/>
          <w:szCs w:val="20"/>
          <w:lang w:val="es-ES"/>
        </w:rPr>
      </w:pPr>
    </w:p>
    <w:p w14:paraId="2D556009" w14:textId="2DE43A43" w:rsidR="001C4006" w:rsidRPr="00A847F7" w:rsidRDefault="00277783" w:rsidP="00F349BC">
      <w:pPr>
        <w:tabs>
          <w:tab w:val="left" w:pos="1890"/>
        </w:tabs>
        <w:jc w:val="both"/>
        <w:rPr>
          <w:rFonts w:ascii="Cambria" w:hAnsi="Cambria"/>
          <w:b/>
          <w:sz w:val="20"/>
          <w:szCs w:val="20"/>
          <w:lang w:val="es-ES"/>
        </w:rPr>
      </w:pPr>
      <w:r w:rsidRPr="00A847F7">
        <w:rPr>
          <w:rFonts w:asciiTheme="majorHAnsi" w:hAnsiTheme="majorHAnsi"/>
          <w:b/>
          <w:bCs/>
          <w:sz w:val="20"/>
          <w:szCs w:val="20"/>
          <w:lang w:val="es-ES"/>
        </w:rPr>
        <w:t>LA COMISIÓN INTERAMERICANA DE DERECHOS HUMANOS RE</w:t>
      </w:r>
      <w:r w:rsidR="00CC759E" w:rsidRPr="00A847F7">
        <w:rPr>
          <w:rFonts w:asciiTheme="majorHAnsi" w:hAnsiTheme="majorHAnsi"/>
          <w:b/>
          <w:bCs/>
          <w:sz w:val="20"/>
          <w:szCs w:val="20"/>
          <w:lang w:val="es-ES"/>
        </w:rPr>
        <w:t>ITERA</w:t>
      </w:r>
      <w:r w:rsidRPr="00A847F7">
        <w:rPr>
          <w:rFonts w:asciiTheme="majorHAnsi" w:hAnsiTheme="majorHAnsi"/>
          <w:b/>
          <w:bCs/>
          <w:sz w:val="20"/>
          <w:szCs w:val="20"/>
          <w:lang w:val="es-ES"/>
        </w:rPr>
        <w:t xml:space="preserve"> QUE ESTADOS UNIDOS DE AMÉRICA:</w:t>
      </w:r>
    </w:p>
    <w:p w14:paraId="3F51F822" w14:textId="77777777" w:rsidR="00676345" w:rsidRPr="00A847F7" w:rsidRDefault="00676345"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jc w:val="both"/>
        <w:rPr>
          <w:rFonts w:asciiTheme="majorHAnsi" w:eastAsia="Times New Roman" w:hAnsiTheme="majorHAnsi" w:cs="Tahoma"/>
          <w:sz w:val="20"/>
          <w:szCs w:val="20"/>
          <w:bdr w:val="none" w:sz="0" w:space="0" w:color="auto"/>
          <w:lang w:val="es-ES"/>
        </w:rPr>
      </w:pPr>
    </w:p>
    <w:p w14:paraId="46A91967" w14:textId="783F2947" w:rsidR="001323BB" w:rsidRPr="001323BB" w:rsidRDefault="001323BB" w:rsidP="00F349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720" w:hanging="360"/>
        <w:jc w:val="both"/>
        <w:rPr>
          <w:rFonts w:asciiTheme="majorHAnsi" w:hAnsiTheme="majorHAnsi" w:cs="Arial"/>
          <w:sz w:val="20"/>
          <w:szCs w:val="20"/>
          <w:lang w:val="es-ES"/>
        </w:rPr>
      </w:pPr>
      <w:r w:rsidRPr="00A847F7">
        <w:rPr>
          <w:rFonts w:asciiTheme="majorHAnsi" w:hAnsiTheme="majorHAnsi"/>
          <w:sz w:val="20"/>
          <w:szCs w:val="20"/>
          <w:lang w:val="es-ES"/>
        </w:rPr>
        <w:t>Otorgue reparaciones a la familia de Tracy Lee</w:t>
      </w:r>
      <w:r w:rsidRPr="001323BB">
        <w:rPr>
          <w:rFonts w:asciiTheme="majorHAnsi" w:hAnsiTheme="majorHAnsi"/>
          <w:sz w:val="20"/>
          <w:szCs w:val="20"/>
          <w:lang w:val="es-ES"/>
        </w:rPr>
        <w:t xml:space="preserve"> Housel </w:t>
      </w:r>
      <w:r w:rsidR="0040547A">
        <w:rPr>
          <w:rFonts w:asciiTheme="majorHAnsi" w:hAnsiTheme="majorHAnsi"/>
          <w:sz w:val="20"/>
          <w:szCs w:val="20"/>
          <w:lang w:val="es-ES"/>
        </w:rPr>
        <w:t>en relación con</w:t>
      </w:r>
      <w:r w:rsidRPr="001323BB">
        <w:rPr>
          <w:rFonts w:asciiTheme="majorHAnsi" w:hAnsiTheme="majorHAnsi"/>
          <w:sz w:val="20"/>
          <w:szCs w:val="20"/>
          <w:lang w:val="es-ES"/>
        </w:rPr>
        <w:t xml:space="preserve"> las violaciones establecidas en el</w:t>
      </w:r>
      <w:r>
        <w:rPr>
          <w:rFonts w:asciiTheme="majorHAnsi" w:hAnsiTheme="majorHAnsi"/>
          <w:sz w:val="20"/>
          <w:szCs w:val="20"/>
          <w:lang w:val="es-ES"/>
        </w:rPr>
        <w:t xml:space="preserve"> presente informe</w:t>
      </w:r>
      <w:r w:rsidR="006B4789">
        <w:rPr>
          <w:rFonts w:asciiTheme="majorHAnsi" w:hAnsiTheme="majorHAnsi"/>
          <w:sz w:val="20"/>
          <w:szCs w:val="20"/>
          <w:lang w:val="es-ES"/>
        </w:rPr>
        <w:t>.</w:t>
      </w:r>
    </w:p>
    <w:p w14:paraId="60405138" w14:textId="77777777" w:rsidR="00E42D2B" w:rsidRPr="00031013" w:rsidRDefault="00E42D2B" w:rsidP="00F349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hanging="360"/>
        <w:jc w:val="both"/>
        <w:rPr>
          <w:rFonts w:asciiTheme="majorHAnsi" w:eastAsia="Times New Roman" w:hAnsiTheme="majorHAnsi" w:cs="Tahoma"/>
          <w:sz w:val="20"/>
          <w:szCs w:val="20"/>
          <w:bdr w:val="none" w:sz="0" w:space="0" w:color="auto"/>
          <w:lang w:val="es-ES"/>
        </w:rPr>
      </w:pPr>
    </w:p>
    <w:p w14:paraId="1E78B227" w14:textId="77777777" w:rsidR="00AB3BD0" w:rsidRPr="00AB3BD0" w:rsidRDefault="002A36FE" w:rsidP="00F349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90"/>
        </w:tabs>
        <w:ind w:left="720" w:hanging="360"/>
        <w:jc w:val="both"/>
        <w:rPr>
          <w:rFonts w:asciiTheme="majorHAnsi" w:eastAsia="Times New Roman" w:hAnsiTheme="majorHAnsi" w:cs="Tahoma"/>
          <w:sz w:val="20"/>
          <w:szCs w:val="20"/>
          <w:bdr w:val="none" w:sz="0" w:space="0" w:color="auto"/>
          <w:lang w:val="es-ES"/>
        </w:rPr>
      </w:pPr>
      <w:r>
        <w:rPr>
          <w:rFonts w:asciiTheme="majorHAnsi" w:hAnsiTheme="majorHAnsi"/>
          <w:sz w:val="20"/>
          <w:szCs w:val="20"/>
          <w:lang w:val="es-ES"/>
        </w:rPr>
        <w:t>Examine</w:t>
      </w:r>
      <w:r w:rsidR="00AB3BD0" w:rsidRPr="00AB3BD0">
        <w:rPr>
          <w:rFonts w:asciiTheme="majorHAnsi" w:hAnsiTheme="majorHAnsi"/>
          <w:sz w:val="20"/>
          <w:szCs w:val="20"/>
          <w:lang w:val="es-ES"/>
        </w:rPr>
        <w:t xml:space="preserve"> sus leyes, procedimientos y</w:t>
      </w:r>
      <w:r w:rsidR="00AB3BD0">
        <w:rPr>
          <w:rFonts w:asciiTheme="majorHAnsi" w:hAnsiTheme="majorHAnsi"/>
          <w:sz w:val="20"/>
          <w:szCs w:val="20"/>
          <w:lang w:val="es-ES"/>
        </w:rPr>
        <w:t xml:space="preserve"> prácticas en los ámbitos federal y estatal para asegurar el cumplimiento de las disposiciones de la Declaración Americana, específicamente para garantizar que las personas acusadas de delito capital sean juzgadas y, </w:t>
      </w:r>
      <w:r>
        <w:rPr>
          <w:rFonts w:asciiTheme="majorHAnsi" w:hAnsiTheme="majorHAnsi"/>
          <w:sz w:val="20"/>
          <w:szCs w:val="20"/>
          <w:lang w:val="es-ES"/>
        </w:rPr>
        <w:t>de ser declaradas</w:t>
      </w:r>
      <w:r w:rsidR="00AB3BD0">
        <w:rPr>
          <w:rFonts w:asciiTheme="majorHAnsi" w:hAnsiTheme="majorHAnsi"/>
          <w:sz w:val="20"/>
          <w:szCs w:val="20"/>
          <w:lang w:val="es-ES"/>
        </w:rPr>
        <w:t xml:space="preserve"> culpables, sean sentenciadas de acuerdo con los derechos establecidos en la Declaración Americana</w:t>
      </w:r>
      <w:r w:rsidR="00AB3BD0" w:rsidRPr="00DE2580">
        <w:rPr>
          <w:rStyle w:val="FootnoteReference"/>
          <w:rFonts w:asciiTheme="majorHAnsi" w:hAnsiTheme="majorHAnsi"/>
          <w:sz w:val="20"/>
          <w:szCs w:val="20"/>
        </w:rPr>
        <w:footnoteReference w:id="75"/>
      </w:r>
      <w:r w:rsidR="00AB3BD0" w:rsidRPr="00AB3BD0">
        <w:rPr>
          <w:rFonts w:asciiTheme="majorHAnsi" w:hAnsiTheme="majorHAnsi"/>
          <w:sz w:val="20"/>
          <w:szCs w:val="20"/>
          <w:lang w:val="es-ES"/>
        </w:rPr>
        <w:t>,</w:t>
      </w:r>
      <w:r w:rsidR="00AB3BD0">
        <w:rPr>
          <w:rFonts w:asciiTheme="majorHAnsi" w:hAnsiTheme="majorHAnsi"/>
          <w:sz w:val="20"/>
          <w:szCs w:val="20"/>
          <w:lang w:val="es-ES"/>
        </w:rPr>
        <w:t xml:space="preserve"> incluidos los artículos </w:t>
      </w:r>
      <w:r w:rsidR="00AB3BD0" w:rsidRPr="00AB3BD0">
        <w:rPr>
          <w:rFonts w:asciiTheme="majorHAnsi" w:hAnsiTheme="majorHAnsi"/>
          <w:sz w:val="20"/>
          <w:szCs w:val="20"/>
          <w:lang w:val="es-ES"/>
        </w:rPr>
        <w:t>I, XI, XVIII, XXV and XXVI</w:t>
      </w:r>
      <w:r w:rsidR="00AB3BD0">
        <w:rPr>
          <w:rFonts w:asciiTheme="majorHAnsi" w:hAnsiTheme="majorHAnsi"/>
          <w:sz w:val="20"/>
          <w:szCs w:val="20"/>
          <w:lang w:val="es-ES"/>
        </w:rPr>
        <w:t xml:space="preserve"> de la misma, en especial que:</w:t>
      </w:r>
    </w:p>
    <w:p w14:paraId="17574FB9" w14:textId="77777777" w:rsidR="00E42D2B" w:rsidRPr="00031013" w:rsidRDefault="00E42D2B" w:rsidP="00AB3BD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90"/>
        </w:tabs>
        <w:jc w:val="both"/>
        <w:rPr>
          <w:rFonts w:asciiTheme="majorHAnsi" w:eastAsia="Times New Roman" w:hAnsiTheme="majorHAnsi" w:cs="Tahoma"/>
          <w:sz w:val="20"/>
          <w:szCs w:val="20"/>
          <w:bdr w:val="none" w:sz="0" w:space="0" w:color="auto"/>
          <w:lang w:val="es-ES"/>
        </w:rPr>
      </w:pPr>
    </w:p>
    <w:p w14:paraId="0B9A1F9D" w14:textId="77777777" w:rsidR="00AB3BD0" w:rsidRDefault="00AB3BD0" w:rsidP="00F349BC">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ind w:left="1440"/>
        <w:jc w:val="both"/>
        <w:rPr>
          <w:rFonts w:eastAsia="Times New Roman" w:cs="Tahoma"/>
          <w:sz w:val="20"/>
          <w:szCs w:val="20"/>
          <w:bdr w:val="none" w:sz="0" w:space="0" w:color="auto" w:frame="1"/>
          <w:lang w:val="es-ES"/>
        </w:rPr>
      </w:pPr>
      <w:r w:rsidRPr="00AB3BD0">
        <w:rPr>
          <w:rFonts w:eastAsia="Times New Roman" w:cs="Tahoma"/>
          <w:sz w:val="20"/>
          <w:szCs w:val="20"/>
          <w:bdr w:val="none" w:sz="0" w:space="0" w:color="auto" w:frame="1"/>
          <w:lang w:val="es-ES"/>
        </w:rPr>
        <w:t>El abogado designado por la</w:t>
      </w:r>
      <w:r>
        <w:rPr>
          <w:rFonts w:eastAsia="Times New Roman" w:cs="Tahoma"/>
          <w:sz w:val="20"/>
          <w:szCs w:val="20"/>
          <w:bdr w:val="none" w:sz="0" w:space="0" w:color="auto" w:frame="1"/>
          <w:lang w:val="es-ES"/>
        </w:rPr>
        <w:t xml:space="preserve"> corte preste asistencia legal adecuada en los casos de pena de muerte, incluida la presentación de pruebas atenuantes, y</w:t>
      </w:r>
    </w:p>
    <w:p w14:paraId="32BB6E60" w14:textId="77777777" w:rsidR="00AB3BD0" w:rsidRPr="00AB3BD0" w:rsidRDefault="00410323" w:rsidP="00F349BC">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890"/>
        </w:tabs>
        <w:ind w:left="1440"/>
        <w:jc w:val="both"/>
        <w:rPr>
          <w:rFonts w:eastAsia="Times New Roman" w:cs="Tahoma"/>
          <w:sz w:val="20"/>
          <w:szCs w:val="20"/>
          <w:bdr w:val="none" w:sz="0" w:space="0" w:color="auto" w:frame="1"/>
          <w:lang w:val="es-ES"/>
        </w:rPr>
      </w:pPr>
      <w:r>
        <w:rPr>
          <w:rFonts w:eastAsia="Times New Roman" w:cs="Tahoma"/>
          <w:sz w:val="20"/>
          <w:szCs w:val="20"/>
          <w:bdr w:val="none" w:sz="0" w:space="0" w:color="auto" w:frame="1"/>
          <w:lang w:val="es-ES"/>
        </w:rPr>
        <w:t>Que l</w:t>
      </w:r>
      <w:r w:rsidR="00AB3BD0">
        <w:rPr>
          <w:rFonts w:eastAsia="Times New Roman" w:cs="Tahoma"/>
          <w:sz w:val="20"/>
          <w:szCs w:val="20"/>
          <w:bdr w:val="none" w:sz="0" w:space="0" w:color="auto" w:frame="1"/>
          <w:lang w:val="es-ES"/>
        </w:rPr>
        <w:t>as pruebas de delitos que no fueron juzgados no se introduzcan durante la determinación de la pena capital</w:t>
      </w:r>
    </w:p>
    <w:p w14:paraId="5B863662" w14:textId="77777777" w:rsidR="00E42D2B" w:rsidRPr="00031013" w:rsidRDefault="00E42D2B" w:rsidP="00F349BC">
      <w:pPr>
        <w:pStyle w:val="ListParagraph"/>
        <w:tabs>
          <w:tab w:val="left" w:pos="1890"/>
        </w:tabs>
        <w:ind w:hanging="360"/>
        <w:rPr>
          <w:rFonts w:asciiTheme="majorHAnsi" w:eastAsia="Times New Roman" w:hAnsiTheme="majorHAnsi" w:cs="Tahoma"/>
          <w:sz w:val="20"/>
          <w:szCs w:val="20"/>
          <w:bdr w:val="none" w:sz="0" w:space="0" w:color="auto"/>
          <w:lang w:val="es-ES"/>
        </w:rPr>
      </w:pPr>
    </w:p>
    <w:p w14:paraId="46E141D1" w14:textId="77777777" w:rsidR="00B7387C" w:rsidRPr="00B7387C" w:rsidRDefault="0030501D" w:rsidP="00F349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720" w:hanging="360"/>
        <w:jc w:val="both"/>
        <w:rPr>
          <w:rFonts w:asciiTheme="majorHAnsi" w:eastAsia="Times New Roman" w:hAnsiTheme="majorHAnsi" w:cs="Tahoma"/>
          <w:sz w:val="20"/>
          <w:szCs w:val="20"/>
          <w:bdr w:val="none" w:sz="0" w:space="0" w:color="auto"/>
          <w:lang w:val="es-ES"/>
        </w:rPr>
      </w:pPr>
      <w:r>
        <w:rPr>
          <w:rFonts w:eastAsia="Times New Roman" w:cs="Tahoma"/>
          <w:sz w:val="20"/>
          <w:szCs w:val="20"/>
          <w:bdr w:val="none" w:sz="0" w:space="0" w:color="auto" w:frame="1"/>
          <w:lang w:val="es-ES"/>
        </w:rPr>
        <w:t>Asegurar</w:t>
      </w:r>
      <w:r w:rsidR="00B7387C" w:rsidRPr="00B7387C">
        <w:rPr>
          <w:rFonts w:eastAsia="Times New Roman" w:cs="Tahoma"/>
          <w:sz w:val="20"/>
          <w:szCs w:val="20"/>
          <w:bdr w:val="none" w:sz="0" w:space="0" w:color="auto" w:frame="1"/>
          <w:lang w:val="es-ES"/>
        </w:rPr>
        <w:t xml:space="preserve"> que el r</w:t>
      </w:r>
      <w:r w:rsidR="00B7387C">
        <w:rPr>
          <w:rFonts w:eastAsia="Times New Roman" w:cs="Tahoma"/>
          <w:sz w:val="20"/>
          <w:szCs w:val="20"/>
          <w:bdr w:val="none" w:sz="0" w:space="0" w:color="auto" w:frame="1"/>
          <w:lang w:val="es-ES"/>
        </w:rPr>
        <w:t>égimen de aislamiento se utilice solamente en circunstancias excepcionales, durante un período que sea lo más breve posible.</w:t>
      </w:r>
    </w:p>
    <w:p w14:paraId="4AA6BE33" w14:textId="77777777" w:rsidR="00E42D2B" w:rsidRPr="00031013" w:rsidRDefault="00E42D2B" w:rsidP="00F349BC">
      <w:pPr>
        <w:pStyle w:val="ListParagraph"/>
        <w:tabs>
          <w:tab w:val="left" w:pos="1890"/>
        </w:tabs>
        <w:ind w:hanging="360"/>
        <w:rPr>
          <w:rFonts w:asciiTheme="majorHAnsi" w:hAnsiTheme="majorHAnsi" w:cs="Calibri"/>
          <w:sz w:val="20"/>
          <w:szCs w:val="20"/>
          <w:lang w:val="es-ES"/>
        </w:rPr>
      </w:pPr>
    </w:p>
    <w:p w14:paraId="79DB8B1B" w14:textId="77777777" w:rsidR="000D12D0" w:rsidRPr="000D12D0" w:rsidRDefault="008550F7" w:rsidP="00F349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720" w:hanging="360"/>
        <w:jc w:val="both"/>
        <w:rPr>
          <w:rFonts w:asciiTheme="majorHAnsi" w:eastAsia="Times New Roman" w:hAnsiTheme="majorHAnsi" w:cs="Tahoma"/>
          <w:sz w:val="20"/>
          <w:szCs w:val="20"/>
          <w:bdr w:val="none" w:sz="0" w:space="0" w:color="auto"/>
          <w:lang w:val="es-ES"/>
        </w:rPr>
      </w:pPr>
      <w:r>
        <w:rPr>
          <w:rFonts w:asciiTheme="majorHAnsi" w:hAnsiTheme="majorHAnsi" w:cs="Calibri"/>
          <w:sz w:val="20"/>
          <w:szCs w:val="20"/>
          <w:lang w:val="es-ES"/>
        </w:rPr>
        <w:t>Asegurar</w:t>
      </w:r>
      <w:r w:rsidR="00B7387C" w:rsidRPr="000D12D0">
        <w:rPr>
          <w:rFonts w:asciiTheme="majorHAnsi" w:hAnsiTheme="majorHAnsi" w:cs="Calibri"/>
          <w:sz w:val="20"/>
          <w:szCs w:val="20"/>
          <w:lang w:val="es-ES"/>
        </w:rPr>
        <w:t xml:space="preserve"> el cumplimiento</w:t>
      </w:r>
      <w:r w:rsidR="000D12D0" w:rsidRPr="000D12D0">
        <w:rPr>
          <w:rFonts w:asciiTheme="majorHAnsi" w:hAnsiTheme="majorHAnsi" w:cs="Calibri"/>
          <w:sz w:val="20"/>
          <w:szCs w:val="20"/>
          <w:lang w:val="es-ES"/>
        </w:rPr>
        <w:t xml:space="preserve"> de l</w:t>
      </w:r>
      <w:r w:rsidR="000D12D0">
        <w:rPr>
          <w:rFonts w:asciiTheme="majorHAnsi" w:hAnsiTheme="majorHAnsi" w:cs="Calibri"/>
          <w:sz w:val="20"/>
          <w:szCs w:val="20"/>
          <w:lang w:val="es-ES"/>
        </w:rPr>
        <w:t>as medidas cautelares otorgadas por la CIDH para las personas que enfrentan la pena de muerte.</w:t>
      </w:r>
    </w:p>
    <w:p w14:paraId="7674902E" w14:textId="77777777" w:rsidR="00E42D2B" w:rsidRPr="00031013" w:rsidRDefault="00E42D2B" w:rsidP="00F349BC">
      <w:p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720" w:hanging="360"/>
        <w:jc w:val="both"/>
        <w:rPr>
          <w:rFonts w:eastAsia="Times New Roman" w:cs="Tahoma"/>
          <w:sz w:val="20"/>
          <w:szCs w:val="20"/>
          <w:bdr w:val="none" w:sz="0" w:space="0" w:color="auto"/>
          <w:lang w:val="es-ES"/>
        </w:rPr>
      </w:pPr>
    </w:p>
    <w:p w14:paraId="70CC1AD6" w14:textId="799CB5E2" w:rsidR="000D12D0" w:rsidRPr="0032063E" w:rsidRDefault="00F31FE3" w:rsidP="00F349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890"/>
        </w:tabs>
        <w:ind w:left="720" w:hanging="360"/>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Tomando en cuenta </w:t>
      </w:r>
      <w:r w:rsidR="000D12D0" w:rsidRPr="000D12D0">
        <w:rPr>
          <w:rFonts w:eastAsia="Times New Roman" w:cs="Tahoma"/>
          <w:sz w:val="20"/>
          <w:szCs w:val="20"/>
          <w:bdr w:val="none" w:sz="0" w:space="0" w:color="auto"/>
          <w:lang w:val="es-ES"/>
        </w:rPr>
        <w:t>las v</w:t>
      </w:r>
      <w:r w:rsidR="000D12D0">
        <w:rPr>
          <w:rFonts w:eastAsia="Times New Roman" w:cs="Tahoma"/>
          <w:sz w:val="20"/>
          <w:szCs w:val="20"/>
          <w:bdr w:val="none" w:sz="0" w:space="0" w:color="auto"/>
          <w:lang w:val="es-ES"/>
        </w:rPr>
        <w:t>iolaciones de la Declaración Americana</w:t>
      </w:r>
      <w:r>
        <w:rPr>
          <w:rFonts w:eastAsia="Times New Roman" w:cs="Tahoma"/>
          <w:sz w:val="20"/>
          <w:szCs w:val="20"/>
          <w:bdr w:val="none" w:sz="0" w:space="0" w:color="auto"/>
          <w:lang w:val="es-ES"/>
        </w:rPr>
        <w:t xml:space="preserve"> establecidas en el presente caso y en otros relacionados con la aplicación de la pena de muerte</w:t>
      </w:r>
      <w:r w:rsidRPr="00F31FE3">
        <w:rPr>
          <w:rFonts w:eastAsia="Times New Roman" w:cs="Tahoma"/>
          <w:sz w:val="20"/>
          <w:szCs w:val="20"/>
          <w:bdr w:val="none" w:sz="0" w:space="0" w:color="auto"/>
          <w:lang w:val="es-ES"/>
        </w:rPr>
        <w:t xml:space="preserve">, </w:t>
      </w:r>
      <w:r w:rsidR="000D12D0" w:rsidRPr="00F31FE3">
        <w:rPr>
          <w:rFonts w:eastAsia="Times New Roman" w:cs="Tahoma"/>
          <w:sz w:val="20"/>
          <w:szCs w:val="20"/>
          <w:bdr w:val="none" w:sz="0" w:space="0" w:color="auto"/>
          <w:lang w:val="es-ES"/>
        </w:rPr>
        <w:t xml:space="preserve">la </w:t>
      </w:r>
      <w:r w:rsidRPr="00F31FE3">
        <w:rPr>
          <w:sz w:val="20"/>
          <w:szCs w:val="20"/>
          <w:lang w:val="es-ES"/>
        </w:rPr>
        <w:t>Comisión Interamericana también recomienda que Estados Unidos adopte una moratoria en las ejecuciones de las personas condenadas a muerte</w:t>
      </w:r>
      <w:r w:rsidR="00F62341" w:rsidRPr="00DE2580">
        <w:rPr>
          <w:rStyle w:val="FootnoteReference"/>
          <w:sz w:val="20"/>
        </w:rPr>
        <w:footnoteReference w:id="76"/>
      </w:r>
      <w:r w:rsidR="0040547A">
        <w:rPr>
          <w:sz w:val="20"/>
          <w:szCs w:val="20"/>
          <w:lang w:val="es-ES"/>
        </w:rPr>
        <w:t>.</w:t>
      </w:r>
    </w:p>
    <w:p w14:paraId="58FDF273" w14:textId="77777777" w:rsidR="00A847F7" w:rsidRPr="00D006F7" w:rsidRDefault="00A847F7" w:rsidP="00A847F7">
      <w:pPr>
        <w:jc w:val="both"/>
        <w:rPr>
          <w:rFonts w:ascii="Cambria" w:eastAsia="Times New Roman" w:hAnsi="Cambria" w:cs="Tahoma"/>
          <w:color w:val="000000"/>
          <w:sz w:val="20"/>
          <w:szCs w:val="20"/>
          <w:u w:color="000000"/>
          <w:bdr w:val="none" w:sz="0" w:space="0" w:color="auto" w:frame="1"/>
          <w:lang w:val="es-ES_tradnl" w:eastAsia="es-ES"/>
        </w:rPr>
      </w:pPr>
    </w:p>
    <w:p w14:paraId="214AFEB8" w14:textId="77777777" w:rsidR="00A847F7" w:rsidRPr="00C826D8" w:rsidRDefault="00A847F7" w:rsidP="00A847F7">
      <w:pPr>
        <w:pStyle w:val="Heading1"/>
        <w:tabs>
          <w:tab w:val="left" w:pos="360"/>
        </w:tabs>
        <w:spacing w:before="0"/>
        <w:ind w:hanging="720"/>
        <w:rPr>
          <w:color w:val="auto"/>
          <w:sz w:val="20"/>
          <w:szCs w:val="20"/>
          <w:lang w:val="es-ES"/>
        </w:rPr>
      </w:pPr>
      <w:bookmarkStart w:id="55" w:name="_Toc26552696"/>
      <w:bookmarkStart w:id="56" w:name="_Toc87522752"/>
      <w:bookmarkStart w:id="57" w:name="_Toc90117850"/>
      <w:bookmarkStart w:id="58" w:name="_Toc90283160"/>
      <w:bookmarkStart w:id="59" w:name="_Toc90284837"/>
      <w:bookmarkStart w:id="60" w:name="_Toc90289332"/>
      <w:bookmarkStart w:id="61" w:name="_Toc90292591"/>
      <w:bookmarkStart w:id="62" w:name="_Toc90298940"/>
      <w:bookmarkStart w:id="63" w:name="_Toc90300984"/>
      <w:bookmarkStart w:id="64" w:name="_Toc150529908"/>
      <w:r w:rsidRPr="00C826D8">
        <w:rPr>
          <w:color w:val="auto"/>
          <w:sz w:val="20"/>
          <w:szCs w:val="20"/>
          <w:lang w:val="es-ES"/>
        </w:rPr>
        <w:t>PUBLICACIÓN</w:t>
      </w:r>
      <w:bookmarkEnd w:id="55"/>
      <w:bookmarkEnd w:id="56"/>
      <w:bookmarkEnd w:id="57"/>
      <w:bookmarkEnd w:id="58"/>
      <w:bookmarkEnd w:id="59"/>
      <w:bookmarkEnd w:id="60"/>
      <w:bookmarkEnd w:id="61"/>
      <w:bookmarkEnd w:id="62"/>
      <w:bookmarkEnd w:id="63"/>
      <w:bookmarkEnd w:id="64"/>
    </w:p>
    <w:p w14:paraId="551AA39F" w14:textId="77777777" w:rsidR="00A847F7" w:rsidRPr="00C826D8" w:rsidRDefault="00A847F7" w:rsidP="00A847F7">
      <w:pPr>
        <w:ind w:left="360"/>
        <w:jc w:val="both"/>
        <w:rPr>
          <w:lang w:val="es-UY"/>
        </w:rPr>
      </w:pPr>
    </w:p>
    <w:p w14:paraId="7A03EF3D" w14:textId="77777777" w:rsidR="00A847F7" w:rsidRPr="00C826D8" w:rsidRDefault="00A847F7" w:rsidP="00A847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lang w:val="es-AR"/>
        </w:rPr>
      </w:pPr>
      <w:r w:rsidRPr="00C826D8">
        <w:rPr>
          <w:rFonts w:asciiTheme="majorHAnsi" w:hAnsiTheme="majorHAnsi"/>
          <w:color w:val="000000" w:themeColor="text1"/>
          <w:sz w:val="20"/>
          <w:szCs w:val="20"/>
          <w:lang w:val="es-ES"/>
        </w:rPr>
        <w:t>En</w:t>
      </w:r>
      <w:r w:rsidRPr="00C826D8">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75B514C5" w14:textId="77777777" w:rsidR="00A847F7" w:rsidRPr="0032063E" w:rsidRDefault="00A847F7" w:rsidP="0032063E">
      <w:pPr>
        <w:pStyle w:val="ListParagraph"/>
        <w:rPr>
          <w:rFonts w:eastAsia="Times New Roman" w:cs="Tahoma"/>
          <w:sz w:val="20"/>
          <w:szCs w:val="20"/>
          <w:bdr w:val="none" w:sz="0" w:space="0" w:color="auto"/>
          <w:lang w:val="es-ES"/>
        </w:rPr>
      </w:pPr>
    </w:p>
    <w:p w14:paraId="37CE1A18" w14:textId="13E1752C" w:rsidR="00C826D8" w:rsidRPr="00702483" w:rsidRDefault="00C826D8" w:rsidP="00C826D8">
      <w:pPr>
        <w:tabs>
          <w:tab w:val="center" w:pos="5400"/>
        </w:tabs>
        <w:suppressAutoHyphens/>
        <w:spacing w:line="276" w:lineRule="auto"/>
        <w:jc w:val="both"/>
        <w:rPr>
          <w:rFonts w:ascii="Cambria" w:hAnsi="Cambria"/>
          <w:color w:val="000000"/>
          <w:sz w:val="20"/>
          <w:szCs w:val="20"/>
          <w:highlight w:val="yellow"/>
          <w:lang w:val="es-ES"/>
        </w:rPr>
      </w:pPr>
      <w:r w:rsidRPr="00E64137">
        <w:rPr>
          <w:rFonts w:ascii="Cambria" w:hAnsi="Cambria"/>
          <w:color w:val="000000"/>
          <w:sz w:val="20"/>
          <w:szCs w:val="20"/>
          <w:bdr w:val="none" w:sz="0" w:space="0" w:color="auto" w:frame="1"/>
          <w:shd w:val="clear" w:color="auto" w:fill="FFFFFF"/>
          <w:lang w:val="es-AR"/>
        </w:rPr>
        <w:t>Aprobado por la Comisión Interamericana de Derechos Humanos a los</w:t>
      </w:r>
      <w:r>
        <w:rPr>
          <w:rFonts w:ascii="Cambria" w:hAnsi="Cambria"/>
          <w:color w:val="000000"/>
          <w:sz w:val="20"/>
          <w:szCs w:val="20"/>
          <w:bdr w:val="none" w:sz="0" w:space="0" w:color="auto" w:frame="1"/>
          <w:shd w:val="clear" w:color="auto" w:fill="FFFFFF"/>
          <w:lang w:val="es-AR"/>
        </w:rPr>
        <w:t xml:space="preserve"> 12 días del mes de mayo de 2023 (Firmado): Margarette May Macaulay, Presidenta; Esmeralda Arosemena de Troitiño, Primera Vicepresidenta</w:t>
      </w:r>
      <w:r>
        <w:rPr>
          <w:rFonts w:ascii="Cambria" w:hAnsi="Cambria"/>
          <w:color w:val="000000"/>
          <w:sz w:val="20"/>
          <w:szCs w:val="20"/>
          <w:bdr w:val="none" w:sz="0" w:space="0" w:color="auto" w:frame="1"/>
          <w:shd w:val="clear" w:color="auto" w:fill="FFFFFF"/>
          <w:lang w:val="es-CL"/>
        </w:rPr>
        <w:t xml:space="preserve">; </w:t>
      </w:r>
      <w:r>
        <w:rPr>
          <w:rFonts w:ascii="Cambria" w:hAnsi="Cambria"/>
          <w:color w:val="000000"/>
          <w:sz w:val="20"/>
          <w:szCs w:val="20"/>
          <w:bdr w:val="none" w:sz="0" w:space="0" w:color="auto" w:frame="1"/>
          <w:shd w:val="clear" w:color="auto" w:fill="FFFFFF"/>
          <w:lang w:val="es-AR"/>
        </w:rPr>
        <w:t>Joel Hernández García y Julissa Mantilla Falcón, miembros de la Comisión.</w:t>
      </w:r>
    </w:p>
    <w:p w14:paraId="0BFA9471" w14:textId="1D3BF775" w:rsidR="0032063E" w:rsidRPr="00F31D68" w:rsidRDefault="0032063E" w:rsidP="00A847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1890"/>
        </w:tabs>
        <w:jc w:val="both"/>
        <w:rPr>
          <w:rFonts w:asciiTheme="majorHAnsi" w:hAnsiTheme="majorHAnsi"/>
          <w:color w:val="000000" w:themeColor="text1"/>
          <w:sz w:val="20"/>
          <w:szCs w:val="20"/>
          <w:highlight w:val="yellow"/>
          <w:lang w:val="es-ES"/>
        </w:rPr>
      </w:pPr>
    </w:p>
    <w:sectPr w:rsidR="0032063E" w:rsidRPr="00F31D68" w:rsidSect="00977AE6">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489F" w14:textId="77777777" w:rsidR="00583123" w:rsidRDefault="00583123" w:rsidP="00036A8A">
      <w:r>
        <w:separator/>
      </w:r>
    </w:p>
  </w:endnote>
  <w:endnote w:type="continuationSeparator" w:id="0">
    <w:p w14:paraId="31C6BFF8" w14:textId="77777777" w:rsidR="00583123" w:rsidRDefault="0058312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Italic">
    <w:charset w:val="00"/>
    <w:family w:val="auto"/>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2B751740" w14:textId="77777777" w:rsidR="0032063E" w:rsidRPr="006311DA" w:rsidRDefault="0032063E">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9</w:t>
        </w:r>
        <w:r>
          <w:rPr>
            <w:noProof/>
            <w:sz w:val="16"/>
          </w:rPr>
          <w:fldChar w:fldCharType="end"/>
        </w:r>
      </w:p>
    </w:sdtContent>
  </w:sdt>
  <w:p w14:paraId="4609C845" w14:textId="77777777" w:rsidR="0032063E" w:rsidRDefault="0032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AD82" w14:textId="77777777" w:rsidR="0032063E" w:rsidRDefault="0032063E">
    <w:pPr>
      <w:pStyle w:val="Footer"/>
      <w:jc w:val="center"/>
    </w:pPr>
  </w:p>
  <w:p w14:paraId="7E9135B5" w14:textId="77777777" w:rsidR="0032063E" w:rsidRDefault="00320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AB95D3E" w14:textId="77777777" w:rsidR="0032063E" w:rsidRDefault="0032063E">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43AC9A0" w14:textId="77777777" w:rsidR="0032063E" w:rsidRDefault="0032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0392" w14:textId="77777777" w:rsidR="00583123" w:rsidRPr="00036A8A" w:rsidRDefault="0058312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CC5D344" w14:textId="77777777" w:rsidR="00583123" w:rsidRPr="00036A8A" w:rsidRDefault="00583123" w:rsidP="00036A8A">
      <w:pPr>
        <w:rPr>
          <w:rFonts w:asciiTheme="majorHAnsi" w:hAnsiTheme="majorHAnsi"/>
          <w:sz w:val="16"/>
          <w:szCs w:val="16"/>
        </w:rPr>
      </w:pPr>
      <w:r w:rsidRPr="00036A8A">
        <w:rPr>
          <w:rFonts w:asciiTheme="majorHAnsi" w:hAnsiTheme="majorHAnsi"/>
          <w:sz w:val="16"/>
          <w:szCs w:val="16"/>
        </w:rPr>
        <w:separator/>
      </w:r>
    </w:p>
    <w:p w14:paraId="1C468B42" w14:textId="77777777" w:rsidR="00583123" w:rsidRPr="00036A8A" w:rsidRDefault="0058312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9133E2" w14:textId="77777777" w:rsidR="00583123" w:rsidRPr="0093441A" w:rsidRDefault="0058312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AF4BE3A" w14:textId="77777777" w:rsidR="00C826D8" w:rsidRPr="00AB02D6" w:rsidRDefault="00C826D8" w:rsidP="00C826D8">
      <w:pPr>
        <w:pStyle w:val="FootnoteText"/>
        <w:jc w:val="both"/>
        <w:rPr>
          <w:rFonts w:asciiTheme="majorHAnsi" w:hAnsiTheme="majorHAnsi"/>
          <w:sz w:val="16"/>
          <w:szCs w:val="16"/>
          <w:lang w:val="es-ES"/>
        </w:rPr>
      </w:pPr>
      <w:r w:rsidRPr="00AB02D6">
        <w:rPr>
          <w:rStyle w:val="FootnoteReference"/>
          <w:rFonts w:asciiTheme="majorHAnsi" w:hAnsiTheme="majorHAnsi"/>
          <w:sz w:val="16"/>
          <w:szCs w:val="16"/>
        </w:rPr>
        <w:footnoteRef/>
      </w:r>
      <w:r w:rsidRPr="00AB02D6">
        <w:rPr>
          <w:rFonts w:asciiTheme="majorHAnsi" w:hAnsiTheme="majorHAnsi"/>
          <w:sz w:val="16"/>
          <w:szCs w:val="16"/>
        </w:rPr>
        <w:t xml:space="preserve"> </w:t>
      </w:r>
      <w:r w:rsidRPr="00AB02D6">
        <w:rPr>
          <w:rFonts w:asciiTheme="majorHAnsi" w:hAnsiTheme="majorHAnsi"/>
          <w:sz w:val="16"/>
          <w:szCs w:val="16"/>
          <w:lang w:val="es-US"/>
        </w:rPr>
        <w:t>Conforme con lo dispuesto en el artículo 17.</w:t>
      </w:r>
      <w:r>
        <w:rPr>
          <w:rFonts w:asciiTheme="majorHAnsi" w:hAnsiTheme="majorHAnsi"/>
          <w:sz w:val="16"/>
          <w:szCs w:val="16"/>
          <w:lang w:val="es-US"/>
        </w:rPr>
        <w:t>3</w:t>
      </w:r>
      <w:r w:rsidRPr="00AB02D6">
        <w:rPr>
          <w:rFonts w:asciiTheme="majorHAnsi" w:hAnsiTheme="majorHAnsi"/>
          <w:sz w:val="16"/>
          <w:szCs w:val="16"/>
          <w:lang w:val="es-US"/>
        </w:rPr>
        <w:t xml:space="preserve"> del Reglamento de la Comisión, el Comisionado Carlos Bernal Pulido, residente en Estados Unidos, no participó en el debate ni en la decisión del presente </w:t>
      </w:r>
      <w:r>
        <w:rPr>
          <w:rFonts w:asciiTheme="majorHAnsi" w:hAnsiTheme="majorHAnsi"/>
          <w:sz w:val="16"/>
          <w:szCs w:val="16"/>
          <w:lang w:val="es-US"/>
        </w:rPr>
        <w:t>informe</w:t>
      </w:r>
      <w:r w:rsidRPr="00AB02D6">
        <w:rPr>
          <w:rFonts w:asciiTheme="majorHAnsi" w:hAnsiTheme="majorHAnsi"/>
          <w:sz w:val="16"/>
          <w:szCs w:val="16"/>
          <w:lang w:val="es-US"/>
        </w:rPr>
        <w:t>.</w:t>
      </w:r>
    </w:p>
  </w:footnote>
  <w:footnote w:id="3">
    <w:p w14:paraId="025F379E" w14:textId="77777777" w:rsidR="0032063E" w:rsidRPr="007026DA" w:rsidRDefault="0032063E" w:rsidP="007026DA">
      <w:pPr>
        <w:pStyle w:val="FootnoteText"/>
        <w:jc w:val="both"/>
        <w:rPr>
          <w:rFonts w:asciiTheme="majorHAnsi" w:hAnsiTheme="majorHAnsi"/>
          <w:sz w:val="16"/>
          <w:szCs w:val="16"/>
          <w:lang w:val="es-ES"/>
        </w:rPr>
      </w:pPr>
      <w:r w:rsidRPr="007026DA">
        <w:rPr>
          <w:rStyle w:val="FootnoteReference"/>
          <w:rFonts w:asciiTheme="majorHAnsi" w:hAnsiTheme="majorHAnsi"/>
          <w:sz w:val="16"/>
          <w:szCs w:val="16"/>
        </w:rPr>
        <w:footnoteRef/>
      </w:r>
      <w:r w:rsidRPr="007026DA">
        <w:rPr>
          <w:rFonts w:asciiTheme="majorHAnsi" w:hAnsiTheme="majorHAnsi"/>
          <w:sz w:val="16"/>
          <w:szCs w:val="16"/>
          <w:lang w:val="es-ES"/>
        </w:rPr>
        <w:t xml:space="preserve"> El 27 de febrero de 2002, la CIDH otorgó medidas cautelares en nombre de Tracy Lee Housel, de acuerdo al artículo 25 (1) de su Reglamento y solicitó a Estados Unidos que tomara medidas cautelares para preservar su vida e integridad física de manera de no entorpecer la investigación del presente caso ante el sistema interamericano.</w:t>
      </w:r>
    </w:p>
  </w:footnote>
  <w:footnote w:id="4">
    <w:p w14:paraId="19E555BC" w14:textId="77777777" w:rsidR="0032063E" w:rsidRPr="007026DA" w:rsidRDefault="0032063E" w:rsidP="007026DA">
      <w:pPr>
        <w:pStyle w:val="FootnoteText"/>
        <w:rPr>
          <w:rFonts w:asciiTheme="majorHAnsi" w:hAnsiTheme="majorHAnsi"/>
          <w:sz w:val="16"/>
          <w:szCs w:val="16"/>
          <w:lang w:val="es-ES"/>
        </w:rPr>
      </w:pPr>
      <w:r w:rsidRPr="007026DA">
        <w:rPr>
          <w:rStyle w:val="FootnoteReference"/>
          <w:rFonts w:asciiTheme="majorHAnsi" w:hAnsiTheme="majorHAnsi"/>
          <w:sz w:val="16"/>
          <w:szCs w:val="16"/>
        </w:rPr>
        <w:footnoteRef/>
      </w:r>
      <w:r w:rsidRPr="007026DA">
        <w:rPr>
          <w:rFonts w:asciiTheme="majorHAnsi" w:hAnsiTheme="majorHAnsi"/>
          <w:sz w:val="16"/>
          <w:szCs w:val="16"/>
          <w:lang w:val="es-ES"/>
        </w:rPr>
        <w:t xml:space="preserve"> CIDH. Informe No. 16/04. Petición P129-02. Admisibilidad. Tracy Lee Housel. Estados Unidos. 27 de febrero de 2004.</w:t>
      </w:r>
    </w:p>
  </w:footnote>
  <w:footnote w:id="5">
    <w:p w14:paraId="0E16BCA8" w14:textId="77777777" w:rsidR="0032063E" w:rsidRPr="007026DA" w:rsidRDefault="0032063E" w:rsidP="007026DA">
      <w:pPr>
        <w:pStyle w:val="FootnoteText"/>
        <w:rPr>
          <w:rFonts w:asciiTheme="majorHAnsi" w:hAnsiTheme="majorHAnsi"/>
          <w:sz w:val="16"/>
          <w:szCs w:val="16"/>
          <w:lang w:val="es-ES"/>
        </w:rPr>
      </w:pPr>
      <w:r w:rsidRPr="007026DA">
        <w:rPr>
          <w:rStyle w:val="FootnoteReference"/>
          <w:rFonts w:asciiTheme="majorHAnsi" w:hAnsiTheme="majorHAnsi"/>
          <w:sz w:val="16"/>
          <w:szCs w:val="16"/>
        </w:rPr>
        <w:footnoteRef/>
      </w:r>
      <w:r w:rsidRPr="007026DA">
        <w:rPr>
          <w:rFonts w:asciiTheme="majorHAnsi" w:hAnsiTheme="majorHAnsi"/>
          <w:sz w:val="16"/>
          <w:szCs w:val="16"/>
          <w:lang w:val="es-ES"/>
        </w:rPr>
        <w:t xml:space="preserve"> Respuesta del Estado a la petición, presentada el 28 de febrero de 2005.</w:t>
      </w:r>
    </w:p>
  </w:footnote>
  <w:footnote w:id="6">
    <w:p w14:paraId="19503BB8" w14:textId="77777777" w:rsidR="0032063E" w:rsidRPr="0040547A" w:rsidRDefault="0032063E" w:rsidP="007026DA">
      <w:pPr>
        <w:pStyle w:val="FootnoteText"/>
        <w:rPr>
          <w:rFonts w:asciiTheme="majorHAnsi" w:hAnsiTheme="majorHAnsi"/>
          <w:sz w:val="16"/>
          <w:szCs w:val="16"/>
          <w:lang w:val="es-ES"/>
        </w:rPr>
      </w:pPr>
      <w:r w:rsidRPr="007026DA">
        <w:rPr>
          <w:rStyle w:val="FootnoteReference"/>
          <w:rFonts w:asciiTheme="majorHAnsi" w:hAnsiTheme="majorHAnsi"/>
          <w:sz w:val="16"/>
          <w:szCs w:val="16"/>
        </w:rPr>
        <w:footnoteRef/>
      </w:r>
      <w:r w:rsidRPr="0040547A">
        <w:rPr>
          <w:rFonts w:asciiTheme="majorHAnsi" w:hAnsiTheme="majorHAnsi"/>
          <w:sz w:val="16"/>
          <w:szCs w:val="16"/>
          <w:lang w:val="es-ES"/>
        </w:rPr>
        <w:t xml:space="preserve"> Respuesta del Estado a la petición, presentada el 8 de marzo de 2002.</w:t>
      </w:r>
    </w:p>
  </w:footnote>
  <w:footnote w:id="7">
    <w:p w14:paraId="360FCEA5" w14:textId="77777777" w:rsidR="0032063E" w:rsidRPr="0040547A" w:rsidRDefault="0032063E" w:rsidP="0040547A">
      <w:pPr>
        <w:pStyle w:val="FootnoteText"/>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Respuesta del Estado a la petición, presentada el 8 de marzo de 2002.</w:t>
      </w:r>
    </w:p>
  </w:footnote>
  <w:footnote w:id="8">
    <w:p w14:paraId="177770C0" w14:textId="77777777" w:rsidR="0032063E" w:rsidRPr="0040547A" w:rsidRDefault="0032063E" w:rsidP="0040547A">
      <w:pPr>
        <w:pStyle w:val="FootnoteText"/>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Respuesta del Estado a la petición, presentada el 8 de marzo de 2002.</w:t>
      </w:r>
    </w:p>
  </w:footnote>
  <w:footnote w:id="9">
    <w:p w14:paraId="5C2D434D"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Tracy Lee Housel contra Albert G. Thomas, Director, </w:t>
      </w:r>
      <w:r w:rsidRPr="0040547A">
        <w:rPr>
          <w:rFonts w:asciiTheme="majorHAnsi" w:hAnsiTheme="majorHAnsi"/>
          <w:i/>
          <w:iCs/>
          <w:sz w:val="16"/>
          <w:szCs w:val="16"/>
          <w:lang w:val="es-ES"/>
        </w:rPr>
        <w:t>Georgia Diagnostic and Classification Center</w:t>
      </w:r>
      <w:r w:rsidRPr="0040547A">
        <w:rPr>
          <w:rFonts w:asciiTheme="majorHAnsi" w:hAnsiTheme="majorHAnsi"/>
          <w:sz w:val="16"/>
          <w:szCs w:val="16"/>
          <w:lang w:val="es-ES"/>
        </w:rPr>
        <w:t xml:space="preserve">, proceso civil No. 1:94-CV-1444-ODE, Tribunal de Distrito de los Estados Unidos, </w:t>
      </w:r>
      <w:r w:rsidRPr="0040547A">
        <w:rPr>
          <w:rFonts w:asciiTheme="majorHAnsi" w:hAnsiTheme="majorHAnsi"/>
          <w:i/>
          <w:iCs/>
          <w:sz w:val="16"/>
          <w:szCs w:val="16"/>
          <w:lang w:val="es-ES"/>
        </w:rPr>
        <w:t>Northern District of Georgia, Atlanta Division</w:t>
      </w:r>
      <w:r w:rsidRPr="0040547A">
        <w:rPr>
          <w:rFonts w:asciiTheme="majorHAnsi" w:hAnsiTheme="majorHAnsi"/>
          <w:sz w:val="16"/>
          <w:szCs w:val="16"/>
          <w:lang w:val="es-ES"/>
        </w:rPr>
        <w:t>. Documento de prueba 26 presentado con la petición original de los peticionarios el 25 de febrero de 2002.</w:t>
      </w:r>
    </w:p>
  </w:footnote>
  <w:footnote w:id="10">
    <w:p w14:paraId="4F7BBABC"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Tracy Lee Housel c. Frederick J Head, no. 98-8830, Corte de Apelaciones de Estados Unidos, Undécimo Circuito, 18 de enero de 2001. Documento de prueba 25, presentado con la petición original de los peticionarios el 25 de febrero de 2002.</w:t>
      </w:r>
    </w:p>
  </w:footnote>
  <w:footnote w:id="11">
    <w:p w14:paraId="58B7AF5D"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Tracy Lee Housel c. Frederick J Head, no. 98-8830, Corte de Apelaciones de Estados Unidos, Undécimo Circuito, 18 de enero de 2001. Documento de prueba 25, presentado con la petición original de los peticionarios el 25 de febrero de 2002.</w:t>
      </w:r>
    </w:p>
  </w:footnote>
  <w:footnote w:id="12">
    <w:p w14:paraId="19CF604C"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Tracy Lee Housel v Frederick J Head, no. 98-8830, Corte de Apelaciones de Estados Unidos, Undécimo Circuito, 18 de enero de 2001. Documento de prueba 25, presentada con la petición original de los peticionarios el 25 de febrero de 2002.</w:t>
      </w:r>
    </w:p>
  </w:footnote>
  <w:footnote w:id="13">
    <w:p w14:paraId="43AE1176"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Declaración jurada del Dr. James Merikangas, jurada ante notario público, agosto de 1990. Documento de prueba 27, presentado con la petición original de los peticionarios el 25 de febrero de 2002.</w:t>
      </w:r>
    </w:p>
  </w:footnote>
  <w:footnote w:id="14">
    <w:p w14:paraId="07E0AB25"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Declaración jurada de Brad Fisher, Ph. D, jurada ante notario público, septiembre de 1990. Documento de prueba 28, </w:t>
      </w:r>
      <w:bookmarkStart w:id="15" w:name="_Hlk23611166"/>
      <w:r w:rsidRPr="0040547A">
        <w:rPr>
          <w:rFonts w:asciiTheme="majorHAnsi" w:hAnsiTheme="majorHAnsi"/>
          <w:sz w:val="16"/>
          <w:szCs w:val="16"/>
          <w:lang w:val="es-ES"/>
        </w:rPr>
        <w:t>presentado con la petición original de los peticionarios el 25 de febrero de 2002</w:t>
      </w:r>
      <w:bookmarkEnd w:id="15"/>
      <w:r w:rsidRPr="0040547A">
        <w:rPr>
          <w:rFonts w:asciiTheme="majorHAnsi" w:hAnsiTheme="majorHAnsi"/>
          <w:sz w:val="16"/>
          <w:szCs w:val="16"/>
          <w:lang w:val="es-ES"/>
        </w:rPr>
        <w:t xml:space="preserve">. </w:t>
      </w:r>
    </w:p>
  </w:footnote>
  <w:footnote w:id="15">
    <w:p w14:paraId="511264A9"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rPr>
        <w:t xml:space="preserve"> Tracy Lee Housel v Frederick J Head, no. 98-8830, </w:t>
      </w:r>
      <w:r w:rsidRPr="0040547A">
        <w:rPr>
          <w:rFonts w:asciiTheme="majorHAnsi" w:hAnsiTheme="majorHAnsi"/>
          <w:i/>
          <w:iCs/>
          <w:sz w:val="16"/>
          <w:szCs w:val="16"/>
        </w:rPr>
        <w:t>United States Court of Appeals, Eleventh Circuit</w:t>
      </w:r>
      <w:r w:rsidRPr="0040547A">
        <w:rPr>
          <w:rFonts w:asciiTheme="majorHAnsi" w:hAnsiTheme="majorHAnsi"/>
          <w:sz w:val="16"/>
          <w:szCs w:val="16"/>
        </w:rPr>
        <w:t xml:space="preserve">, 18 de enero de 2001. </w:t>
      </w:r>
      <w:r w:rsidRPr="0040547A">
        <w:rPr>
          <w:rFonts w:asciiTheme="majorHAnsi" w:hAnsiTheme="majorHAnsi"/>
          <w:sz w:val="16"/>
          <w:szCs w:val="16"/>
          <w:lang w:val="es-ES"/>
        </w:rPr>
        <w:t>Documento de prueba 25, presentado con la petición original de los peticionarios el 25 de febrero de 2002.</w:t>
      </w:r>
    </w:p>
  </w:footnote>
  <w:footnote w:id="16">
    <w:p w14:paraId="49AC8667"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Tracy Lee Housel v Albert G. Thomas, Director, </w:t>
      </w:r>
      <w:r w:rsidRPr="0040547A">
        <w:rPr>
          <w:rFonts w:asciiTheme="majorHAnsi" w:hAnsiTheme="majorHAnsi"/>
          <w:i/>
          <w:iCs/>
          <w:sz w:val="16"/>
          <w:szCs w:val="16"/>
          <w:lang w:val="es-ES"/>
        </w:rPr>
        <w:t>Georgia Diagnostic and Classification Center</w:t>
      </w:r>
      <w:r w:rsidRPr="0040547A">
        <w:rPr>
          <w:rFonts w:asciiTheme="majorHAnsi" w:hAnsiTheme="majorHAnsi"/>
          <w:sz w:val="16"/>
          <w:szCs w:val="16"/>
          <w:lang w:val="es-ES"/>
        </w:rPr>
        <w:t>, proceso civil, No. 1:94-CV-1444-ODE, Corte de Distrito de Estados Unidos, Distrito Norte de Georgia, División de Atlanta. Habeas Corpus. Documento de Prueba 26, presentado con la petición original de los peticionarios el 25 de febrero de 2002.</w:t>
      </w:r>
    </w:p>
  </w:footnote>
  <w:footnote w:id="17">
    <w:p w14:paraId="7AAD038B"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Tracy Lee Housel v Albert G. Thomas, Director, </w:t>
      </w:r>
      <w:r w:rsidRPr="0040547A">
        <w:rPr>
          <w:rFonts w:asciiTheme="majorHAnsi" w:hAnsiTheme="majorHAnsi"/>
          <w:i/>
          <w:iCs/>
          <w:sz w:val="16"/>
          <w:szCs w:val="16"/>
          <w:lang w:val="es-ES"/>
        </w:rPr>
        <w:t>Georgia Diagnostic and Classification Center</w:t>
      </w:r>
      <w:r w:rsidRPr="0040547A">
        <w:rPr>
          <w:rFonts w:asciiTheme="majorHAnsi" w:hAnsiTheme="majorHAnsi"/>
          <w:sz w:val="16"/>
          <w:szCs w:val="16"/>
          <w:lang w:val="es-ES"/>
        </w:rPr>
        <w:t>, Director, proceso civil No. 1:94-CV-1444-ODE, Corte de Distrito de Estados Unidos, Distrito Norte de Georgia, División de Atlanta. Habeas Corpus. Documento de Prueba 26, presentado con la petición original de los peticionarios el 25 de febrero de 2002.</w:t>
      </w:r>
    </w:p>
  </w:footnote>
  <w:footnote w:id="18">
    <w:p w14:paraId="5A6DDB70"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Declaración jurada de Walt M. Britt, jurada ante notario público, 13 de junio de 1996. Documento de prueba 29, presentado con la petición original de los peticionarios el 25 de febrero de 2002.</w:t>
      </w:r>
    </w:p>
  </w:footnote>
  <w:footnote w:id="19">
    <w:p w14:paraId="43883FEA" w14:textId="77777777" w:rsidR="0032063E" w:rsidRPr="0040547A" w:rsidRDefault="0032063E" w:rsidP="0040547A">
      <w:pPr>
        <w:pStyle w:val="FootnoteText"/>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Observaciones de los peticionarios presentadas el 10 de mayo de 2002.</w:t>
      </w:r>
    </w:p>
  </w:footnote>
  <w:footnote w:id="20">
    <w:p w14:paraId="5D08C0E2" w14:textId="77777777" w:rsidR="0032063E" w:rsidRPr="0040547A" w:rsidRDefault="0032063E" w:rsidP="0040547A">
      <w:pPr>
        <w:pStyle w:val="FootnoteText"/>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Departamento de Servicios Correccionales, </w:t>
      </w:r>
      <w:r w:rsidRPr="0040547A">
        <w:rPr>
          <w:rFonts w:asciiTheme="majorHAnsi" w:hAnsiTheme="majorHAnsi"/>
          <w:i/>
          <w:iCs/>
          <w:sz w:val="16"/>
          <w:szCs w:val="16"/>
          <w:lang w:val="es-ES"/>
        </w:rPr>
        <w:t>Gwinnett County Jail</w:t>
      </w:r>
      <w:r w:rsidRPr="0040547A">
        <w:rPr>
          <w:rFonts w:asciiTheme="majorHAnsi" w:hAnsiTheme="majorHAnsi"/>
          <w:sz w:val="16"/>
          <w:szCs w:val="16"/>
          <w:lang w:val="es-ES"/>
        </w:rPr>
        <w:t>, Informe anual de 2009 y 2010. https://www.gwinnettcounty.com/static/departments/corrections/pdf/2009_corrections_annual_report.pdf</w:t>
      </w:r>
    </w:p>
    <w:p w14:paraId="33DC85E1" w14:textId="77777777" w:rsidR="0032063E" w:rsidRPr="0040547A" w:rsidRDefault="0032063E" w:rsidP="0040547A">
      <w:pPr>
        <w:pStyle w:val="FootnoteText"/>
        <w:jc w:val="both"/>
        <w:rPr>
          <w:rFonts w:asciiTheme="majorHAnsi" w:hAnsiTheme="majorHAnsi"/>
          <w:sz w:val="16"/>
          <w:szCs w:val="16"/>
          <w:lang w:val="es-ES"/>
        </w:rPr>
      </w:pPr>
      <w:r w:rsidRPr="0040547A">
        <w:rPr>
          <w:rFonts w:asciiTheme="majorHAnsi" w:hAnsiTheme="majorHAnsi"/>
          <w:sz w:val="16"/>
          <w:szCs w:val="16"/>
          <w:lang w:val="es-ES"/>
        </w:rPr>
        <w:t>https://www.gwinnettcounty.com/static/departments/corrections/pdf/2010%20Corrections%20Annual%20Report_FINAL.pdf</w:t>
      </w:r>
    </w:p>
  </w:footnote>
  <w:footnote w:id="21">
    <w:p w14:paraId="2E08D22B"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Declaraciones juradas de: Dee Williams, jurada ante notario público el 8 de agosto de 1990, Estado de California (trabajó en el departamento de procedimientos de admisión en </w:t>
      </w:r>
      <w:r w:rsidRPr="0040547A">
        <w:rPr>
          <w:rFonts w:asciiTheme="majorHAnsi" w:hAnsiTheme="majorHAnsi"/>
          <w:i/>
          <w:iCs/>
          <w:sz w:val="16"/>
          <w:szCs w:val="16"/>
          <w:lang w:val="es-ES"/>
        </w:rPr>
        <w:t>Gwinnett County Jail</w:t>
      </w:r>
      <w:r w:rsidRPr="0040547A">
        <w:rPr>
          <w:rFonts w:asciiTheme="majorHAnsi" w:hAnsiTheme="majorHAnsi"/>
          <w:sz w:val="16"/>
          <w:szCs w:val="16"/>
          <w:lang w:val="es-ES"/>
        </w:rPr>
        <w:t xml:space="preserve"> del Departamento del Sheriff de </w:t>
      </w:r>
      <w:r w:rsidRPr="0040547A">
        <w:rPr>
          <w:rFonts w:asciiTheme="majorHAnsi" w:hAnsiTheme="majorHAnsi"/>
          <w:i/>
          <w:iCs/>
          <w:sz w:val="16"/>
          <w:szCs w:val="16"/>
          <w:lang w:val="es-ES"/>
        </w:rPr>
        <w:t>Gwinnett County</w:t>
      </w:r>
      <w:r w:rsidRPr="0040547A">
        <w:rPr>
          <w:rFonts w:asciiTheme="majorHAnsi" w:hAnsiTheme="majorHAnsi"/>
          <w:sz w:val="16"/>
          <w:szCs w:val="16"/>
          <w:lang w:val="es-ES"/>
        </w:rPr>
        <w:t xml:space="preserve"> durante aproximadamente 10 meses, desde 1985 a 1986); Charles Seabolt, jurada ante notario público el 25 de enero de 1995, Estado de Georgia (alojado en </w:t>
      </w:r>
      <w:r w:rsidRPr="0040547A">
        <w:rPr>
          <w:rFonts w:asciiTheme="majorHAnsi" w:hAnsiTheme="majorHAnsi"/>
          <w:i/>
          <w:iCs/>
          <w:sz w:val="16"/>
          <w:szCs w:val="16"/>
          <w:lang w:val="es-ES"/>
        </w:rPr>
        <w:t>Gwinnett County Jail</w:t>
      </w:r>
      <w:r w:rsidRPr="0040547A">
        <w:rPr>
          <w:rFonts w:asciiTheme="majorHAnsi" w:hAnsiTheme="majorHAnsi"/>
          <w:sz w:val="16"/>
          <w:szCs w:val="16"/>
          <w:lang w:val="es-ES"/>
        </w:rPr>
        <w:t xml:space="preserve"> en el mismo pabellón que el señor Housel); Ceils Smith, jurada ante notario público el 27 de enero de 1995 (recluido en </w:t>
      </w:r>
      <w:r w:rsidRPr="0040547A">
        <w:rPr>
          <w:rFonts w:asciiTheme="majorHAnsi" w:hAnsiTheme="majorHAnsi"/>
          <w:i/>
          <w:iCs/>
          <w:sz w:val="16"/>
          <w:szCs w:val="16"/>
          <w:lang w:val="es-ES"/>
        </w:rPr>
        <w:t>Gwinnett County Jail</w:t>
      </w:r>
      <w:r w:rsidRPr="0040547A">
        <w:rPr>
          <w:rFonts w:asciiTheme="majorHAnsi" w:hAnsiTheme="majorHAnsi"/>
          <w:sz w:val="16"/>
          <w:szCs w:val="16"/>
          <w:lang w:val="es-ES"/>
        </w:rPr>
        <w:t xml:space="preserve"> en 1985 en la C House); James Ard, jurada ante notario público del 23 de enero de 1995 (detenido en </w:t>
      </w:r>
      <w:r w:rsidRPr="0040547A">
        <w:rPr>
          <w:rFonts w:asciiTheme="majorHAnsi" w:hAnsiTheme="majorHAnsi"/>
          <w:i/>
          <w:iCs/>
          <w:sz w:val="16"/>
          <w:szCs w:val="16"/>
          <w:lang w:val="es-ES"/>
        </w:rPr>
        <w:t>Gwinnett County Jail</w:t>
      </w:r>
      <w:r w:rsidRPr="0040547A">
        <w:rPr>
          <w:rFonts w:asciiTheme="majorHAnsi" w:hAnsiTheme="majorHAnsi"/>
          <w:sz w:val="16"/>
          <w:szCs w:val="16"/>
          <w:lang w:val="es-ES"/>
        </w:rPr>
        <w:t xml:space="preserve"> en 1985 y 1986); Samuel Jackson Bell, jurada ante notario público el 24 de enero de 1995 (recluso en Gwinnett County Jail, Pabellón D en abril de 1985); y declaración de Kathy Rape Waddell, 9 de septiembre de 1997, (trabajó en </w:t>
      </w:r>
      <w:r w:rsidRPr="0040547A">
        <w:rPr>
          <w:rFonts w:asciiTheme="majorHAnsi" w:hAnsiTheme="majorHAnsi"/>
          <w:i/>
          <w:iCs/>
          <w:sz w:val="16"/>
          <w:szCs w:val="16"/>
          <w:lang w:val="es-ES"/>
        </w:rPr>
        <w:t>Gwinnett County Jail</w:t>
      </w:r>
      <w:r w:rsidRPr="0040547A">
        <w:rPr>
          <w:rFonts w:asciiTheme="majorHAnsi" w:hAnsiTheme="majorHAnsi"/>
          <w:sz w:val="16"/>
          <w:szCs w:val="16"/>
          <w:lang w:val="es-ES"/>
        </w:rPr>
        <w:t xml:space="preserve"> como funcionaria penitenciaria en 1985 y 1986). Documentos de prueba 21, 22 y 23, presentados con la petición original de los peticionarios e 25 de febrero de 2002.</w:t>
      </w:r>
    </w:p>
  </w:footnote>
  <w:footnote w:id="22">
    <w:p w14:paraId="237395C3" w14:textId="77777777" w:rsidR="0032063E" w:rsidRPr="0040547A" w:rsidRDefault="0032063E" w:rsidP="0040547A">
      <w:pPr>
        <w:pStyle w:val="FootnoteText"/>
        <w:jc w:val="both"/>
        <w:rPr>
          <w:rFonts w:asciiTheme="majorHAnsi" w:hAnsiTheme="majorHAnsi"/>
          <w:sz w:val="16"/>
          <w:szCs w:val="16"/>
          <w:lang w:val="es-ES"/>
        </w:rPr>
      </w:pPr>
      <w:r w:rsidRPr="0040547A">
        <w:rPr>
          <w:rFonts w:asciiTheme="majorHAnsi" w:eastAsia="Cambria" w:hAnsiTheme="majorHAnsi" w:cs="Cambria"/>
          <w:sz w:val="16"/>
          <w:szCs w:val="16"/>
          <w:vertAlign w:val="superscript"/>
        </w:rPr>
        <w:footnoteRef/>
      </w:r>
      <w:r w:rsidRPr="0040547A">
        <w:rPr>
          <w:rFonts w:asciiTheme="majorHAnsi" w:eastAsia="Cambria" w:hAnsiTheme="majorHAnsi" w:cs="Cambria"/>
          <w:sz w:val="16"/>
          <w:szCs w:val="16"/>
          <w:vertAlign w:val="superscript"/>
          <w:lang w:val="es-ES"/>
        </w:rPr>
        <w:t xml:space="preserve"> </w:t>
      </w:r>
      <w:r w:rsidRPr="0040547A">
        <w:rPr>
          <w:rFonts w:asciiTheme="majorHAnsi" w:hAnsiTheme="majorHAnsi"/>
          <w:sz w:val="16"/>
          <w:szCs w:val="16"/>
          <w:lang w:val="es-ES"/>
        </w:rPr>
        <w:t>Declaración jurada de Dee Williams, jurada ante notario público el 8 de agosto de 1990, Estado de California. Documento de prueba 21, presentada con la petición original de los peticionarios el 25 de febrero de 2002.</w:t>
      </w:r>
    </w:p>
  </w:footnote>
  <w:footnote w:id="23">
    <w:p w14:paraId="24452106" w14:textId="77777777" w:rsidR="0032063E" w:rsidRPr="0040547A" w:rsidRDefault="0032063E" w:rsidP="0040547A">
      <w:pPr>
        <w:pStyle w:val="FootnoteText"/>
        <w:jc w:val="both"/>
        <w:rPr>
          <w:rFonts w:asciiTheme="majorHAnsi" w:hAnsiTheme="majorHAnsi"/>
          <w:sz w:val="16"/>
          <w:szCs w:val="16"/>
          <w:lang w:val="es-ES"/>
        </w:rPr>
      </w:pPr>
      <w:r w:rsidRPr="0040547A">
        <w:rPr>
          <w:rFonts w:asciiTheme="majorHAnsi" w:eastAsia="Cambria" w:hAnsiTheme="majorHAnsi" w:cs="Cambria"/>
          <w:sz w:val="16"/>
          <w:szCs w:val="16"/>
          <w:vertAlign w:val="superscript"/>
        </w:rPr>
        <w:footnoteRef/>
      </w:r>
      <w:r w:rsidRPr="0040547A">
        <w:rPr>
          <w:rFonts w:asciiTheme="majorHAnsi" w:eastAsia="Cambria" w:hAnsiTheme="majorHAnsi" w:cs="Cambria"/>
          <w:sz w:val="16"/>
          <w:szCs w:val="16"/>
          <w:lang w:val="es-ES"/>
        </w:rPr>
        <w:t xml:space="preserve"> </w:t>
      </w:r>
      <w:bookmarkStart w:id="23" w:name="_Hlk23491098"/>
      <w:r w:rsidRPr="0040547A">
        <w:rPr>
          <w:rFonts w:asciiTheme="majorHAnsi" w:eastAsia="Cambria" w:hAnsiTheme="majorHAnsi" w:cs="Cambria"/>
          <w:sz w:val="16"/>
          <w:szCs w:val="16"/>
          <w:lang w:val="es-ES"/>
        </w:rPr>
        <w:t xml:space="preserve">Véase, al respecto, CIDH, </w:t>
      </w:r>
      <w:r w:rsidRPr="0040547A">
        <w:rPr>
          <w:rFonts w:asciiTheme="majorHAnsi" w:hAnsiTheme="majorHAnsi"/>
          <w:color w:val="auto"/>
          <w:sz w:val="16"/>
          <w:szCs w:val="16"/>
          <w:lang w:val="es-ES"/>
        </w:rPr>
        <w:t>La pena de muerte en el sistema interamericano de derechos humanos: de restricciones a abolición</w:t>
      </w:r>
      <w:r w:rsidRPr="0040547A">
        <w:rPr>
          <w:rFonts w:asciiTheme="majorHAnsi" w:eastAsia="Cambria" w:hAnsiTheme="majorHAnsi" w:cs="Cambria"/>
          <w:sz w:val="16"/>
          <w:szCs w:val="16"/>
          <w:lang w:val="es-ES"/>
        </w:rPr>
        <w:t>, OEA/Ser.L/V/II.Doc. 68, 31 de diciembre de 2011.</w:t>
      </w:r>
    </w:p>
    <w:bookmarkEnd w:id="23"/>
  </w:footnote>
  <w:footnote w:id="24">
    <w:p w14:paraId="0B10AC17" w14:textId="77777777" w:rsidR="0032063E" w:rsidRPr="0040547A" w:rsidRDefault="0032063E" w:rsidP="0040547A">
      <w:pPr>
        <w:pStyle w:val="FootnoteText"/>
        <w:jc w:val="both"/>
        <w:rPr>
          <w:rFonts w:asciiTheme="majorHAnsi" w:hAnsiTheme="majorHAnsi"/>
          <w:sz w:val="16"/>
          <w:szCs w:val="16"/>
          <w:lang w:val="es-ES"/>
        </w:rPr>
      </w:pPr>
      <w:r w:rsidRPr="0040547A">
        <w:rPr>
          <w:rFonts w:asciiTheme="majorHAnsi" w:eastAsia="Cambria" w:hAnsiTheme="majorHAnsi" w:cs="Cambria"/>
          <w:sz w:val="16"/>
          <w:szCs w:val="16"/>
          <w:vertAlign w:val="superscript"/>
        </w:rPr>
        <w:footnoteRef/>
      </w:r>
      <w:r w:rsidRPr="0040547A">
        <w:rPr>
          <w:rFonts w:asciiTheme="majorHAnsi" w:eastAsia="Cambria" w:hAnsiTheme="majorHAnsi" w:cs="Cambria"/>
          <w:sz w:val="16"/>
          <w:szCs w:val="16"/>
          <w:lang w:val="es-ES"/>
        </w:rPr>
        <w:t xml:space="preserve"> </w:t>
      </w:r>
      <w:r w:rsidRPr="0040547A">
        <w:rPr>
          <w:rFonts w:asciiTheme="majorHAnsi" w:hAnsiTheme="majorHAnsi"/>
          <w:sz w:val="16"/>
          <w:szCs w:val="16"/>
          <w:lang w:val="es-ES"/>
        </w:rPr>
        <w:t>Véase, por ejemplo, Corte I.D.H., Opinión Consultiva OC‐16/99 (1</w:t>
      </w:r>
      <w:r w:rsidRPr="0040547A">
        <w:rPr>
          <w:rFonts w:asciiTheme="majorHAnsi" w:hAnsiTheme="majorHAnsi"/>
          <w:sz w:val="16"/>
          <w:szCs w:val="16"/>
          <w:vertAlign w:val="superscript"/>
          <w:lang w:val="es-ES"/>
        </w:rPr>
        <w:t xml:space="preserve">o </w:t>
      </w:r>
      <w:r w:rsidRPr="0040547A">
        <w:rPr>
          <w:rFonts w:asciiTheme="majorHAnsi" w:hAnsiTheme="majorHAnsi"/>
          <w:sz w:val="16"/>
          <w:szCs w:val="16"/>
          <w:lang w:val="es-ES"/>
        </w:rPr>
        <w:t xml:space="preserve">de octubre de 1999) “El Derecho a la Información sobre la Asistencia Consular en el Marco de las Garantías del Debido Proceso Legal”, párr. 136 (determinación de que “[s]iendo la ejecución de la pena de muerte una medida de carácter irreversible, exige del Estado el más estricto y riguroso respeto de las garantías judiciales, de modo a evitar una violación de éstas, que, a su vez, acarrearía una privación arbitraria de la vida”); CDH‐ONU, </w:t>
      </w:r>
      <w:r w:rsidRPr="0040547A">
        <w:rPr>
          <w:rFonts w:asciiTheme="majorHAnsi" w:hAnsiTheme="majorHAnsi"/>
          <w:i/>
          <w:iCs/>
          <w:sz w:val="16"/>
          <w:szCs w:val="16"/>
          <w:lang w:val="es-ES"/>
        </w:rPr>
        <w:t>Baboheram‐Adhin et al. v. Suriname</w:t>
      </w:r>
      <w:r w:rsidRPr="0040547A">
        <w:rPr>
          <w:rFonts w:asciiTheme="majorHAnsi" w:hAnsiTheme="majorHAnsi"/>
          <w:sz w:val="16"/>
          <w:szCs w:val="16"/>
          <w:lang w:val="es-ES"/>
        </w:rPr>
        <w:t>,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Sr. Bacre Waly Ndiaye,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Doc.E/CN.4/1995/61 (14 de diciembre de 1994) (en adelante el “Informe Ndiaye”),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w:t>
      </w:r>
    </w:p>
  </w:footnote>
  <w:footnote w:id="25">
    <w:p w14:paraId="19A697B8" w14:textId="77777777" w:rsidR="0032063E" w:rsidRPr="0040547A" w:rsidRDefault="0032063E" w:rsidP="0040547A">
      <w:pPr>
        <w:pStyle w:val="FootnoteText"/>
        <w:jc w:val="both"/>
        <w:rPr>
          <w:rFonts w:asciiTheme="majorHAnsi" w:hAnsiTheme="majorHAnsi"/>
          <w:sz w:val="16"/>
          <w:szCs w:val="16"/>
          <w:lang w:val="es-ES"/>
        </w:rPr>
      </w:pPr>
      <w:r w:rsidRPr="0040547A">
        <w:rPr>
          <w:rFonts w:asciiTheme="majorHAnsi" w:eastAsia="Cambria" w:hAnsiTheme="majorHAnsi" w:cs="Cambria"/>
          <w:sz w:val="16"/>
          <w:szCs w:val="16"/>
          <w:vertAlign w:val="superscript"/>
        </w:rPr>
        <w:footnoteRef/>
      </w:r>
      <w:r w:rsidRPr="0040547A">
        <w:rPr>
          <w:rFonts w:asciiTheme="majorHAnsi" w:eastAsia="Cambria" w:hAnsiTheme="majorHAnsi" w:cs="Cambria"/>
          <w:sz w:val="16"/>
          <w:szCs w:val="16"/>
          <w:lang w:val="es-ES"/>
        </w:rPr>
        <w:t xml:space="preserve"> </w:t>
      </w:r>
      <w:r w:rsidRPr="0040547A">
        <w:rPr>
          <w:rFonts w:asciiTheme="majorHAnsi" w:hAnsiTheme="majorHAnsi"/>
          <w:sz w:val="16"/>
          <w:szCs w:val="16"/>
          <w:lang w:val="es-ES"/>
        </w:rPr>
        <w:t>CIDH, Informe N.o 11/15, Caso 12,833, Fondo (publicación), Félix Rocha Díaz, Estados Unidos, 23 de marzo de 2015,</w:t>
      </w:r>
      <w:r w:rsidRPr="0040547A">
        <w:rPr>
          <w:rFonts w:asciiTheme="majorHAnsi" w:eastAsia="Cambria" w:hAnsiTheme="majorHAnsi" w:cs="Cambria"/>
          <w:sz w:val="16"/>
          <w:szCs w:val="16"/>
          <w:lang w:val="es-ES"/>
        </w:rPr>
        <w:t xml:space="preserve"> párrafo 54; Informe No. 44/14, Case 12.873, Fondo (Publicación),</w:t>
      </w:r>
      <w:r w:rsidRPr="0040547A">
        <w:rPr>
          <w:rFonts w:asciiTheme="majorHAnsi" w:hAnsiTheme="majorHAnsi"/>
          <w:sz w:val="16"/>
          <w:szCs w:val="16"/>
          <w:lang w:val="es-ES"/>
        </w:rPr>
        <w:t xml:space="preserve"> Edgar Tamayo Arias, Estados Unidos, 17 de julio de 2014, párrafo. 127; Informe No. 57/96, Andrews, Estados Unidos, Informe Anual de la CIDH, 1997, párrafos 170- 171.</w:t>
      </w:r>
    </w:p>
  </w:footnote>
  <w:footnote w:id="26">
    <w:p w14:paraId="27172B83" w14:textId="77777777" w:rsidR="0032063E" w:rsidRPr="0040547A" w:rsidRDefault="0032063E" w:rsidP="0040547A">
      <w:pPr>
        <w:pStyle w:val="Body"/>
        <w:jc w:val="both"/>
        <w:rPr>
          <w:rFonts w:asciiTheme="majorHAnsi" w:hAnsiTheme="majorHAnsi"/>
          <w:sz w:val="16"/>
          <w:szCs w:val="16"/>
          <w:lang w:val="es-ES"/>
        </w:rPr>
      </w:pPr>
      <w:r w:rsidRPr="0040547A">
        <w:rPr>
          <w:rFonts w:asciiTheme="majorHAnsi" w:eastAsia="Cambria" w:hAnsiTheme="majorHAnsi" w:cs="Cambria"/>
          <w:sz w:val="16"/>
          <w:szCs w:val="16"/>
          <w:vertAlign w:val="superscript"/>
        </w:rPr>
        <w:footnoteRef/>
      </w:r>
      <w:r w:rsidRPr="0040547A">
        <w:rPr>
          <w:rFonts w:asciiTheme="majorHAnsi" w:eastAsia="Cambria" w:hAnsiTheme="majorHAnsi" w:cs="Cambria"/>
          <w:sz w:val="16"/>
          <w:szCs w:val="16"/>
          <w:lang w:val="es-ES"/>
        </w:rPr>
        <w:t xml:space="preserve"> </w:t>
      </w:r>
      <w:r w:rsidRPr="0040547A">
        <w:rPr>
          <w:rFonts w:asciiTheme="majorHAnsi" w:hAnsiTheme="majorHAnsi"/>
          <w:sz w:val="16"/>
          <w:szCs w:val="16"/>
          <w:lang w:val="es-ES"/>
        </w:rPr>
        <w:t>CIDH, La pena de muerte en el Sistema Interamericano de Derechos Humanos: de restricciones a abolición, OEA/Ser.L/V/II.Doc. 68, 31 de diciembre de 2011, párrafo 41.</w:t>
      </w:r>
    </w:p>
  </w:footnote>
  <w:footnote w:id="27">
    <w:p w14:paraId="3EED06DF" w14:textId="77777777" w:rsidR="0032063E" w:rsidRPr="0040547A" w:rsidRDefault="0032063E" w:rsidP="0040547A">
      <w:pPr>
        <w:pStyle w:val="Body"/>
        <w:jc w:val="both"/>
        <w:rPr>
          <w:rFonts w:asciiTheme="majorHAnsi" w:hAnsiTheme="majorHAnsi"/>
          <w:sz w:val="16"/>
          <w:szCs w:val="16"/>
          <w:lang w:val="es-ES"/>
        </w:rPr>
      </w:pPr>
      <w:r w:rsidRPr="0040547A">
        <w:rPr>
          <w:rFonts w:asciiTheme="majorHAnsi" w:eastAsia="Cambria" w:hAnsiTheme="majorHAnsi" w:cs="Cambria"/>
          <w:sz w:val="16"/>
          <w:szCs w:val="16"/>
          <w:vertAlign w:val="superscript"/>
        </w:rPr>
        <w:footnoteRef/>
      </w:r>
      <w:r w:rsidRPr="0040547A">
        <w:rPr>
          <w:rFonts w:asciiTheme="majorHAnsi" w:eastAsia="Cambria" w:hAnsiTheme="majorHAnsi" w:cs="Cambria"/>
          <w:sz w:val="16"/>
          <w:szCs w:val="16"/>
          <w:lang w:val="es-ES"/>
        </w:rPr>
        <w:t xml:space="preserve"> </w:t>
      </w:r>
      <w:r w:rsidRPr="0040547A">
        <w:rPr>
          <w:rFonts w:asciiTheme="majorHAnsi" w:hAnsiTheme="majorHAnsi"/>
          <w:sz w:val="16"/>
          <w:szCs w:val="16"/>
          <w:lang w:val="es-ES"/>
        </w:rPr>
        <w:t>CIDH, Informe No. 78/07, Caso 12.265, Fondo (Publicación), Chad Roger Goodman, Bahamas, 15 de octubre de 2007, párrafo</w:t>
      </w:r>
      <w:r w:rsidRPr="0040547A">
        <w:rPr>
          <w:rFonts w:asciiTheme="majorHAnsi" w:eastAsia="Cambria" w:hAnsiTheme="majorHAnsi" w:cs="Cambria"/>
          <w:sz w:val="16"/>
          <w:szCs w:val="16"/>
          <w:lang w:val="es-ES"/>
        </w:rPr>
        <w:t xml:space="preserve"> 34.</w:t>
      </w:r>
    </w:p>
  </w:footnote>
  <w:footnote w:id="28">
    <w:p w14:paraId="6F1C66FA" w14:textId="77777777" w:rsidR="0032063E" w:rsidRPr="009250C5" w:rsidRDefault="0032063E" w:rsidP="007026DA">
      <w:pPr>
        <w:pStyle w:val="FootnoteText"/>
        <w:jc w:val="both"/>
        <w:rPr>
          <w:rFonts w:asciiTheme="majorHAnsi" w:hAnsiTheme="majorHAnsi"/>
          <w:sz w:val="16"/>
          <w:szCs w:val="16"/>
          <w:lang w:val="es-ES"/>
        </w:rPr>
      </w:pPr>
      <w:r w:rsidRPr="009250C5">
        <w:rPr>
          <w:rFonts w:asciiTheme="majorHAnsi" w:eastAsia="Cambria" w:hAnsiTheme="majorHAnsi" w:cs="Cambria"/>
          <w:sz w:val="16"/>
          <w:szCs w:val="16"/>
          <w:vertAlign w:val="superscript"/>
        </w:rPr>
        <w:footnoteRef/>
      </w:r>
      <w:r w:rsidRPr="009250C5">
        <w:rPr>
          <w:rFonts w:asciiTheme="majorHAnsi" w:eastAsia="Cambria" w:hAnsiTheme="majorHAnsi" w:cs="Cambria"/>
          <w:sz w:val="16"/>
          <w:szCs w:val="16"/>
          <w:lang w:val="es-ES"/>
        </w:rPr>
        <w:t xml:space="preserve"> </w:t>
      </w:r>
      <w:r w:rsidRPr="009250C5">
        <w:rPr>
          <w:rFonts w:asciiTheme="majorHAnsi" w:hAnsiTheme="majorHAnsi"/>
          <w:sz w:val="16"/>
          <w:szCs w:val="16"/>
          <w:lang w:val="es-ES"/>
        </w:rPr>
        <w:t>CIDH, Informe No. 44/14, Caso 12,873, Informe sobre Fondo (Publicación), Edgar Tamayo Arias, Estados Unidos, 17 de julio</w:t>
      </w:r>
      <w:r w:rsidRPr="009250C5">
        <w:rPr>
          <w:rFonts w:asciiTheme="majorHAnsi" w:eastAsia="Cambria" w:hAnsiTheme="majorHAnsi" w:cs="Cambria"/>
          <w:sz w:val="16"/>
          <w:szCs w:val="16"/>
          <w:lang w:val="es-ES"/>
        </w:rPr>
        <w:t xml:space="preserve"> de 2014, párrafo 214.</w:t>
      </w:r>
    </w:p>
  </w:footnote>
  <w:footnote w:id="29">
    <w:p w14:paraId="3AC98DC7" w14:textId="77777777" w:rsidR="0032063E" w:rsidRPr="0040547A" w:rsidRDefault="0032063E" w:rsidP="0040547A">
      <w:pPr>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El artículo XVIII de la Declaración Americana dispone: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30">
    <w:p w14:paraId="6150EAD3" w14:textId="77777777" w:rsidR="0032063E" w:rsidRPr="0040547A" w:rsidRDefault="0032063E" w:rsidP="0040547A">
      <w:pPr>
        <w:keepN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El artículo XXVI de la Declaración Americana dispone: “Se presume que todo acusado es inocente, hasta que se pruebe que es culpable.”</w:t>
      </w:r>
    </w:p>
    <w:p w14:paraId="784D9131" w14:textId="77777777" w:rsidR="0032063E" w:rsidRPr="0040547A" w:rsidRDefault="0032063E" w:rsidP="0040547A">
      <w:pPr>
        <w:pStyle w:val="FootnoteText"/>
        <w:jc w:val="both"/>
        <w:rPr>
          <w:rFonts w:asciiTheme="majorHAnsi" w:hAnsiTheme="majorHAnsi"/>
          <w:sz w:val="16"/>
          <w:szCs w:val="16"/>
          <w:lang w:val="es-ES"/>
        </w:rPr>
      </w:pPr>
      <w:r w:rsidRPr="0040547A">
        <w:rPr>
          <w:rFonts w:asciiTheme="majorHAnsi" w:hAnsiTheme="majorHAnsi"/>
          <w:sz w:val="16"/>
          <w:szCs w:val="16"/>
          <w:lang w:val="es-ES"/>
        </w:rPr>
        <w:t>“Toda persona acusada de delito tiene derecho a ser oída en forma imparcial y pública, a ser juzgada por tribunales anteriormente establecidos de acuerdo con leyes preexistentes y a que no se le imponga penas crueles, infamantes o inusitadas.”</w:t>
      </w:r>
    </w:p>
  </w:footnote>
  <w:footnote w:id="31">
    <w:p w14:paraId="52C7FE42" w14:textId="77777777" w:rsidR="0032063E" w:rsidRPr="0040547A" w:rsidRDefault="0032063E" w:rsidP="0040547A">
      <w:pPr>
        <w:pStyle w:val="FootnoteText"/>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Fonts w:asciiTheme="majorHAnsi" w:hAnsiTheme="majorHAnsi"/>
          <w:color w:val="auto"/>
          <w:sz w:val="16"/>
          <w:szCs w:val="16"/>
          <w:lang w:val="es-ES"/>
        </w:rPr>
        <w:t xml:space="preserve"> CIDH, La pena de muerte en el sistema interamericano de derechos humanos: de restricciones a abolición, OEA/Ser.L/V/II.Doc. 68, 31 de diciembre de 2011, página 123.</w:t>
      </w:r>
    </w:p>
  </w:footnote>
  <w:footnote w:id="32">
    <w:p w14:paraId="5D7214BF" w14:textId="77777777" w:rsidR="0032063E" w:rsidRPr="0040547A" w:rsidRDefault="0032063E" w:rsidP="0040547A">
      <w:pPr>
        <w:pStyle w:val="FootnoteText"/>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Fonts w:asciiTheme="majorHAnsi" w:hAnsiTheme="majorHAnsi"/>
          <w:color w:val="auto"/>
          <w:sz w:val="16"/>
          <w:szCs w:val="16"/>
          <w:lang w:val="es-ES"/>
        </w:rPr>
        <w:t xml:space="preserve"> CIDH, La pena de muerte en el sistema interamericano de derechos humanos: de restricciones a abolición, OEA/Ser.L/V/II.Doc. 68, 31 de diciembre de 2011, página 123.</w:t>
      </w:r>
    </w:p>
  </w:footnote>
  <w:footnote w:id="33">
    <w:p w14:paraId="7C92DD5E"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color w:val="auto"/>
          <w:sz w:val="16"/>
          <w:szCs w:val="16"/>
        </w:rPr>
        <w:footnoteRef/>
      </w:r>
      <w:r w:rsidRPr="0040547A">
        <w:rPr>
          <w:rStyle w:val="FootnoteReference"/>
          <w:rFonts w:asciiTheme="majorHAnsi" w:hAnsiTheme="majorHAnsi"/>
          <w:color w:val="auto"/>
          <w:sz w:val="16"/>
          <w:szCs w:val="16"/>
          <w:lang w:val="es-ES"/>
        </w:rPr>
        <w:t xml:space="preserve"> </w:t>
      </w:r>
      <w:r w:rsidRPr="0040547A">
        <w:rPr>
          <w:rFonts w:asciiTheme="majorHAnsi" w:hAnsiTheme="majorHAnsi" w:cs="Arial"/>
          <w:sz w:val="16"/>
          <w:szCs w:val="16"/>
          <w:lang w:val="es-ES"/>
        </w:rPr>
        <w:t xml:space="preserve">CIDH, Informe </w:t>
      </w:r>
      <w:r w:rsidRPr="0040547A">
        <w:rPr>
          <w:rFonts w:asciiTheme="majorHAnsi" w:hAnsiTheme="majorHAnsi" w:cs="Arial"/>
          <w:bCs/>
          <w:sz w:val="16"/>
          <w:szCs w:val="16"/>
          <w:lang w:val="es-ES"/>
        </w:rPr>
        <w:t>No. 79/15</w:t>
      </w:r>
      <w:r w:rsidRPr="0040547A">
        <w:rPr>
          <w:rFonts w:asciiTheme="majorHAnsi" w:hAnsiTheme="majorHAnsi" w:cs="Arial"/>
          <w:sz w:val="16"/>
          <w:szCs w:val="16"/>
          <w:lang w:val="es-ES"/>
        </w:rPr>
        <w:t>, Caso 12.994. Fondo (Publicación). Bernardo Aban Tercero. Estados Unidos. 28 de octubre de 2015, párrafo 111.</w:t>
      </w:r>
    </w:p>
  </w:footnote>
  <w:footnote w:id="34">
    <w:p w14:paraId="29435443" w14:textId="77777777" w:rsidR="0032063E" w:rsidRPr="0040547A" w:rsidRDefault="0032063E" w:rsidP="0040547A">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Fonts w:asciiTheme="majorHAnsi" w:hAnsiTheme="majorHAnsi"/>
          <w:color w:val="auto"/>
          <w:sz w:val="16"/>
          <w:szCs w:val="16"/>
          <w:lang w:val="es-ES"/>
        </w:rPr>
        <w:t xml:space="preserve"> CIDH, Informe No. 90/09, Case 12.644, Admisibilidad y Fondo (Publicación), Medellín, Ramírez Cárdenas y Leal García, Estados Unidos, 7 de agosto de 2009, párrafo 134.</w:t>
      </w:r>
    </w:p>
  </w:footnote>
  <w:footnote w:id="35">
    <w:p w14:paraId="17046496" w14:textId="77777777" w:rsidR="0032063E" w:rsidRPr="0040547A" w:rsidRDefault="0032063E" w:rsidP="0040547A">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Fonts w:asciiTheme="majorHAnsi" w:hAnsiTheme="majorHAnsi"/>
          <w:color w:val="auto"/>
          <w:sz w:val="16"/>
          <w:szCs w:val="16"/>
          <w:lang w:val="es-ES"/>
        </w:rPr>
        <w:t xml:space="preserve"> CIDH, Informe No. 90/09, Case 12.644, Admisibilidad y Fondo (Publicación), Medellín, Ramírez Cárdenas y Leal García, Estados Unidos, 7 de agosto de 2009, párrafo 134. </w:t>
      </w:r>
    </w:p>
  </w:footnote>
  <w:footnote w:id="36">
    <w:p w14:paraId="1E938498" w14:textId="77777777" w:rsidR="0032063E" w:rsidRPr="0040547A" w:rsidRDefault="0032063E" w:rsidP="0040547A">
      <w:pPr>
        <w:pStyle w:val="FootnoteText"/>
        <w:jc w:val="both"/>
        <w:rPr>
          <w:rFonts w:asciiTheme="majorHAnsi" w:hAnsiTheme="majorHAnsi" w:cs="Arial"/>
          <w:color w:val="auto"/>
          <w:sz w:val="16"/>
          <w:szCs w:val="16"/>
        </w:rPr>
      </w:pPr>
      <w:r w:rsidRPr="0040547A">
        <w:rPr>
          <w:rStyle w:val="FootnoteReference"/>
          <w:rFonts w:asciiTheme="majorHAnsi" w:hAnsiTheme="majorHAnsi" w:cs="Arial"/>
          <w:color w:val="auto"/>
          <w:sz w:val="16"/>
          <w:szCs w:val="16"/>
        </w:rPr>
        <w:footnoteRef/>
      </w:r>
      <w:r w:rsidRPr="0040547A">
        <w:rPr>
          <w:rFonts w:asciiTheme="majorHAnsi" w:hAnsiTheme="majorHAnsi" w:cs="Arial"/>
          <w:color w:val="auto"/>
          <w:sz w:val="16"/>
          <w:szCs w:val="16"/>
        </w:rPr>
        <w:t xml:space="preserve"> American Bar Association, </w:t>
      </w:r>
      <w:r w:rsidRPr="0040547A">
        <w:rPr>
          <w:rFonts w:asciiTheme="majorHAnsi" w:hAnsiTheme="majorHAnsi" w:cs="Arial"/>
          <w:i/>
          <w:iCs/>
          <w:color w:val="auto"/>
          <w:sz w:val="16"/>
          <w:szCs w:val="16"/>
        </w:rPr>
        <w:t>Guidelines for the Appointment and Performance of Defense Counsel in Death Penalty Cases</w:t>
      </w:r>
      <w:r w:rsidRPr="0040547A">
        <w:rPr>
          <w:rFonts w:asciiTheme="majorHAnsi" w:hAnsiTheme="majorHAnsi" w:cs="Arial"/>
          <w:color w:val="auto"/>
          <w:sz w:val="16"/>
          <w:szCs w:val="16"/>
        </w:rPr>
        <w:t xml:space="preserve"> (Revised editions) (febrero 2003), Guideline 10.7 – Investigation. Disponible en: </w:t>
      </w:r>
      <w:hyperlink r:id="rId1" w:history="1">
        <w:r w:rsidRPr="0040547A">
          <w:rPr>
            <w:rStyle w:val="Hyperlink"/>
            <w:rFonts w:asciiTheme="majorHAnsi" w:hAnsiTheme="majorHAnsi" w:cs="Arial"/>
            <w:color w:val="auto"/>
            <w:sz w:val="16"/>
            <w:szCs w:val="16"/>
          </w:rPr>
          <w:t>http://www.abanet.org/legalservices/downloads/ sclaid/deathpenaltyguidelines.pdf</w:t>
        </w:r>
      </w:hyperlink>
      <w:r w:rsidRPr="0040547A">
        <w:rPr>
          <w:rFonts w:asciiTheme="majorHAnsi" w:hAnsiTheme="majorHAnsi" w:cs="Arial"/>
          <w:color w:val="auto"/>
          <w:sz w:val="16"/>
          <w:szCs w:val="16"/>
        </w:rPr>
        <w:t xml:space="preserve">. </w:t>
      </w:r>
    </w:p>
  </w:footnote>
  <w:footnote w:id="37">
    <w:p w14:paraId="1C52743E" w14:textId="77777777" w:rsidR="0032063E" w:rsidRPr="0040547A" w:rsidRDefault="0032063E" w:rsidP="0040547A">
      <w:pPr>
        <w:pStyle w:val="FootnoteText"/>
        <w:jc w:val="both"/>
        <w:rPr>
          <w:rFonts w:asciiTheme="majorHAnsi" w:hAnsiTheme="majorHAnsi" w:cs="Arial"/>
          <w:color w:val="auto"/>
          <w:sz w:val="16"/>
          <w:szCs w:val="16"/>
        </w:rPr>
      </w:pPr>
      <w:r w:rsidRPr="0040547A">
        <w:rPr>
          <w:rStyle w:val="FootnoteReference"/>
          <w:rFonts w:asciiTheme="majorHAnsi" w:hAnsiTheme="majorHAnsi" w:cs="Arial"/>
          <w:color w:val="auto"/>
          <w:sz w:val="16"/>
          <w:szCs w:val="16"/>
        </w:rPr>
        <w:footnoteRef/>
      </w:r>
      <w:r w:rsidRPr="0040547A">
        <w:rPr>
          <w:rFonts w:asciiTheme="majorHAnsi" w:hAnsiTheme="majorHAnsi" w:cs="Arial"/>
          <w:color w:val="auto"/>
          <w:sz w:val="16"/>
          <w:szCs w:val="16"/>
        </w:rPr>
        <w:t xml:space="preserve"> American Bar Association, </w:t>
      </w:r>
      <w:r w:rsidRPr="0040547A">
        <w:rPr>
          <w:rFonts w:asciiTheme="majorHAnsi" w:hAnsiTheme="majorHAnsi" w:cs="Arial"/>
          <w:i/>
          <w:iCs/>
          <w:color w:val="auto"/>
          <w:sz w:val="16"/>
          <w:szCs w:val="16"/>
        </w:rPr>
        <w:t>Guidelines for the Appointment and Performance of Defense Counsel in Death Penalty Cases</w:t>
      </w:r>
      <w:r w:rsidRPr="0040547A">
        <w:rPr>
          <w:rFonts w:asciiTheme="majorHAnsi" w:hAnsiTheme="majorHAnsi" w:cs="Arial"/>
          <w:color w:val="auto"/>
          <w:sz w:val="16"/>
          <w:szCs w:val="16"/>
        </w:rPr>
        <w:t xml:space="preserve"> (Revised editions) (febrero de 2003), Guideline 10.7 – Investigation, at 82.</w:t>
      </w:r>
    </w:p>
  </w:footnote>
  <w:footnote w:id="38">
    <w:p w14:paraId="22422AC5" w14:textId="77777777" w:rsidR="0032063E" w:rsidRPr="0040547A" w:rsidRDefault="0032063E" w:rsidP="0040547A">
      <w:pPr>
        <w:pStyle w:val="FootnoteText"/>
        <w:jc w:val="both"/>
        <w:rPr>
          <w:rFonts w:asciiTheme="majorHAnsi" w:hAnsiTheme="majorHAnsi" w:cs="Arial"/>
          <w:color w:val="auto"/>
          <w:sz w:val="16"/>
          <w:szCs w:val="16"/>
        </w:rPr>
      </w:pPr>
      <w:r w:rsidRPr="0040547A">
        <w:rPr>
          <w:rStyle w:val="FootnoteReference"/>
          <w:rFonts w:asciiTheme="majorHAnsi" w:hAnsiTheme="majorHAnsi" w:cs="Arial"/>
          <w:color w:val="auto"/>
          <w:sz w:val="16"/>
          <w:szCs w:val="16"/>
        </w:rPr>
        <w:footnoteRef/>
      </w:r>
      <w:r w:rsidRPr="0040547A">
        <w:rPr>
          <w:rFonts w:asciiTheme="majorHAnsi" w:hAnsiTheme="majorHAnsi" w:cs="Arial"/>
          <w:color w:val="auto"/>
          <w:sz w:val="16"/>
          <w:szCs w:val="16"/>
        </w:rPr>
        <w:t xml:space="preserve"> American Bar Association, </w:t>
      </w:r>
      <w:r w:rsidRPr="0040547A">
        <w:rPr>
          <w:rFonts w:asciiTheme="majorHAnsi" w:hAnsiTheme="majorHAnsi" w:cs="Arial"/>
          <w:i/>
          <w:iCs/>
          <w:color w:val="auto"/>
          <w:sz w:val="16"/>
          <w:szCs w:val="16"/>
        </w:rPr>
        <w:t>Guidelines for the Appointment and Performance of Defense Counsel in Death Penalty Cases</w:t>
      </w:r>
      <w:r w:rsidRPr="0040547A">
        <w:rPr>
          <w:rFonts w:asciiTheme="majorHAnsi" w:hAnsiTheme="majorHAnsi" w:cs="Arial"/>
          <w:color w:val="auto"/>
          <w:sz w:val="16"/>
          <w:szCs w:val="16"/>
        </w:rPr>
        <w:t xml:space="preserve"> (Revised editions) (febrero de 2003), Guideline 10.7 – Investigation, at 83.</w:t>
      </w:r>
    </w:p>
  </w:footnote>
  <w:footnote w:id="39">
    <w:p w14:paraId="5F6F7C8A" w14:textId="77777777" w:rsidR="0032063E" w:rsidRPr="0040547A" w:rsidRDefault="0032063E" w:rsidP="0040547A">
      <w:pPr>
        <w:pStyle w:val="FootnoteText"/>
        <w:rPr>
          <w:rFonts w:asciiTheme="majorHAnsi" w:hAnsiTheme="majorHAnsi"/>
          <w:sz w:val="16"/>
          <w:szCs w:val="16"/>
          <w:lang w:val="pt-BR"/>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pt-BR"/>
        </w:rPr>
        <w:t xml:space="preserve"> </w:t>
      </w:r>
      <w:bookmarkStart w:id="30" w:name="_Hlk23430672"/>
      <w:r w:rsidRPr="0040547A">
        <w:rPr>
          <w:rFonts w:asciiTheme="majorHAnsi" w:hAnsiTheme="majorHAnsi"/>
          <w:sz w:val="16"/>
          <w:szCs w:val="16"/>
          <w:lang w:val="pt-BR"/>
        </w:rPr>
        <w:t xml:space="preserve">CIDH. Informe N° 52/01, Case 12.243. Juan Raúl Garza. Estados Unidos, 4 de abril de 2001, párrafo </w:t>
      </w:r>
      <w:bookmarkEnd w:id="30"/>
      <w:r w:rsidRPr="0040547A">
        <w:rPr>
          <w:rFonts w:asciiTheme="majorHAnsi" w:hAnsiTheme="majorHAnsi"/>
          <w:sz w:val="16"/>
          <w:szCs w:val="16"/>
          <w:lang w:val="pt-BR"/>
        </w:rPr>
        <w:t>110.</w:t>
      </w:r>
    </w:p>
  </w:footnote>
  <w:footnote w:id="40">
    <w:p w14:paraId="5309A415" w14:textId="77777777" w:rsidR="0032063E" w:rsidRPr="0040547A" w:rsidRDefault="0032063E" w:rsidP="0040547A">
      <w:pPr>
        <w:pStyle w:val="FootnoteText"/>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pt-BR"/>
        </w:rPr>
        <w:t xml:space="preserve"> </w:t>
      </w:r>
      <w:r w:rsidRPr="0040547A">
        <w:rPr>
          <w:rFonts w:asciiTheme="majorHAnsi" w:hAnsiTheme="majorHAnsi"/>
          <w:sz w:val="16"/>
          <w:szCs w:val="16"/>
          <w:lang w:val="pt-BR"/>
        </w:rPr>
        <w:t xml:space="preserve">CIDH. Informe N° 52/01, Case 12.243. </w:t>
      </w:r>
      <w:r w:rsidRPr="0040547A">
        <w:rPr>
          <w:rFonts w:asciiTheme="majorHAnsi" w:hAnsiTheme="majorHAnsi"/>
          <w:sz w:val="16"/>
          <w:szCs w:val="16"/>
          <w:lang w:val="es-ES"/>
        </w:rPr>
        <w:t>Juan Raúl Garza. Estados Unidos, 4 de abril de 2001, párrafo, párrafos 103-112.</w:t>
      </w:r>
    </w:p>
  </w:footnote>
  <w:footnote w:id="41">
    <w:p w14:paraId="33E88D53"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CIDH, Informe N.º 91/05, Caso 12.421, Fondo, Javier Suarez Medina, Estados Unidos, 24 de octubre de 2005; CIDH, Informe N.º 90/09, Caso 12.644, Admisibilidad y Fondo (Publicación), Medellín, Ramírez Cárdenas y Leal García; Estados Unidos, 7 de agosto de 2009 y CIDH. Informe No. 79/15. Caso 12.994. Bernardo Aban Tercero. Estados Unidos. 28 de octubre de 2015.</w:t>
      </w:r>
    </w:p>
  </w:footnote>
  <w:footnote w:id="42">
    <w:p w14:paraId="7B827EDE"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w:t>
      </w:r>
      <w:r w:rsidRPr="0040547A">
        <w:rPr>
          <w:rFonts w:asciiTheme="majorHAnsi" w:eastAsia="Cambria" w:hAnsiTheme="majorHAnsi" w:cs="Cambria"/>
          <w:sz w:val="16"/>
          <w:szCs w:val="16"/>
          <w:lang w:val="es-ES"/>
        </w:rPr>
        <w:t xml:space="preserve">CIDH, </w:t>
      </w:r>
      <w:r w:rsidRPr="0040547A">
        <w:rPr>
          <w:rFonts w:asciiTheme="majorHAnsi" w:hAnsiTheme="majorHAnsi"/>
          <w:color w:val="auto"/>
          <w:sz w:val="16"/>
          <w:szCs w:val="16"/>
          <w:lang w:val="es-ES"/>
        </w:rPr>
        <w:t>La pena de muerte en el sistema interamericano de derechos humanos: de restricciones a abolición</w:t>
      </w:r>
      <w:r w:rsidRPr="0040547A">
        <w:rPr>
          <w:rFonts w:asciiTheme="majorHAnsi" w:eastAsia="Cambria" w:hAnsiTheme="majorHAnsi" w:cs="Cambria"/>
          <w:sz w:val="16"/>
          <w:szCs w:val="16"/>
          <w:lang w:val="es-ES"/>
        </w:rPr>
        <w:t xml:space="preserve">, OEA/Ser.L/V/II.Doc. 68, 31 de diciembre de 2011, página </w:t>
      </w:r>
      <w:r w:rsidRPr="0040547A">
        <w:rPr>
          <w:rFonts w:asciiTheme="majorHAnsi" w:hAnsiTheme="majorHAnsi"/>
          <w:sz w:val="16"/>
          <w:szCs w:val="16"/>
          <w:lang w:val="es-ES"/>
        </w:rPr>
        <w:t>118</w:t>
      </w:r>
    </w:p>
  </w:footnote>
  <w:footnote w:id="43">
    <w:p w14:paraId="584A030F" w14:textId="77777777" w:rsidR="0032063E" w:rsidRPr="0040547A" w:rsidRDefault="0032063E" w:rsidP="0040547A">
      <w:pPr>
        <w:pStyle w:val="FootnoteText"/>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Fonts w:asciiTheme="majorHAnsi" w:hAnsiTheme="majorHAnsi"/>
          <w:color w:val="auto"/>
          <w:sz w:val="16"/>
          <w:szCs w:val="16"/>
          <w:lang w:val="es-ES"/>
        </w:rPr>
        <w:t xml:space="preserve"> El artículo XXV de la Declaración Americana dispone: “[…] Todo individuo que haya sido privado de su libertad tiene derecho […] a un tratamiento humano durante la privación de su libertad.” </w:t>
      </w:r>
    </w:p>
    <w:p w14:paraId="2A642C65" w14:textId="77777777" w:rsidR="0032063E" w:rsidRPr="0040547A" w:rsidRDefault="0032063E" w:rsidP="0040547A">
      <w:pPr>
        <w:pStyle w:val="FootnoteText"/>
        <w:jc w:val="both"/>
        <w:rPr>
          <w:rFonts w:asciiTheme="majorHAnsi" w:hAnsiTheme="majorHAnsi"/>
          <w:color w:val="auto"/>
          <w:sz w:val="16"/>
          <w:szCs w:val="16"/>
          <w:lang w:val="es-ES"/>
        </w:rPr>
      </w:pPr>
      <w:r w:rsidRPr="0040547A">
        <w:rPr>
          <w:rFonts w:asciiTheme="majorHAnsi" w:hAnsiTheme="majorHAnsi"/>
          <w:color w:val="auto"/>
          <w:sz w:val="16"/>
          <w:szCs w:val="16"/>
          <w:lang w:val="es-ES"/>
        </w:rPr>
        <w:t>El artículo XXVI de la Declaración Americana dispone: “[…] Toda persona acusada de delito tiene derecho […]  a que no se le imponga penas crueles, infamantes o inusitadas.”</w:t>
      </w:r>
    </w:p>
  </w:footnote>
  <w:footnote w:id="44">
    <w:p w14:paraId="6007DF47" w14:textId="62107407" w:rsidR="0032063E" w:rsidRPr="0040547A" w:rsidRDefault="0032063E" w:rsidP="0040547A">
      <w:pPr>
        <w:pStyle w:val="FootnoteText"/>
        <w:tabs>
          <w:tab w:val="right" w:pos="540"/>
          <w:tab w:val="left" w:pos="900"/>
        </w:tabs>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CIDH, Informe No. 58/02. Fondo. Caso 12.275. Denton Aitken. Jamaica. 21 de octubre de 2000, párrafos 133 y 134</w:t>
      </w:r>
      <w:r>
        <w:rPr>
          <w:rFonts w:asciiTheme="majorHAnsi" w:hAnsiTheme="majorHAnsi"/>
          <w:sz w:val="16"/>
          <w:szCs w:val="16"/>
          <w:lang w:val="es-ES"/>
        </w:rPr>
        <w:t>.</w:t>
      </w:r>
      <w:r w:rsidRPr="0040547A">
        <w:rPr>
          <w:rFonts w:asciiTheme="majorHAnsi" w:hAnsiTheme="majorHAnsi"/>
          <w:sz w:val="16"/>
          <w:szCs w:val="16"/>
          <w:lang w:val="es-ES"/>
        </w:rPr>
        <w:t xml:space="preserve"> </w:t>
      </w:r>
    </w:p>
  </w:footnote>
  <w:footnote w:id="45">
    <w:p w14:paraId="290D96AA"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CIDH, </w:t>
      </w:r>
      <w:r w:rsidRPr="0040547A">
        <w:rPr>
          <w:rFonts w:asciiTheme="majorHAnsi" w:hAnsiTheme="majorHAnsi"/>
          <w:i/>
          <w:sz w:val="16"/>
          <w:szCs w:val="16"/>
          <w:lang w:val="es-ES"/>
        </w:rPr>
        <w:t>Informe sobre los derechos humanos de las personas privadas de libertad en las Américas;</w:t>
      </w:r>
      <w:r w:rsidRPr="0040547A">
        <w:rPr>
          <w:rFonts w:asciiTheme="majorHAnsi" w:hAnsiTheme="majorHAnsi"/>
          <w:sz w:val="16"/>
          <w:szCs w:val="16"/>
          <w:lang w:val="es-ES"/>
        </w:rPr>
        <w:t xml:space="preserve"> OEA/Ser.L/V/II.Doc.64., 31 de diciembre de 2011, párrafo 517.</w:t>
      </w:r>
    </w:p>
  </w:footnote>
  <w:footnote w:id="46">
    <w:p w14:paraId="0959B281"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CIDH, </w:t>
      </w:r>
      <w:r w:rsidRPr="0040547A">
        <w:rPr>
          <w:rFonts w:asciiTheme="majorHAnsi" w:hAnsiTheme="majorHAnsi"/>
          <w:i/>
          <w:sz w:val="16"/>
          <w:szCs w:val="16"/>
          <w:lang w:val="es-ES"/>
        </w:rPr>
        <w:t>Informe sobre los derechos humanos de las personas privadas de libertad en las Américas</w:t>
      </w:r>
      <w:r w:rsidRPr="0040547A">
        <w:rPr>
          <w:rFonts w:asciiTheme="majorHAnsi" w:hAnsiTheme="majorHAnsi"/>
          <w:sz w:val="16"/>
          <w:szCs w:val="16"/>
          <w:lang w:val="es-ES"/>
        </w:rPr>
        <w:t>, OEA/Ser.L/V/II.Doc.64., 31 de diciembre de 2011, párrafo 411.</w:t>
      </w:r>
    </w:p>
  </w:footnote>
  <w:footnote w:id="47">
    <w:p w14:paraId="5121C1EC"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CIDH, Resolución 1/08, </w:t>
      </w:r>
      <w:bookmarkStart w:id="35" w:name="_Hlk23437015"/>
      <w:r w:rsidRPr="0040547A">
        <w:rPr>
          <w:rFonts w:asciiTheme="majorHAnsi" w:hAnsiTheme="majorHAnsi"/>
          <w:i/>
          <w:iCs/>
          <w:sz w:val="16"/>
          <w:szCs w:val="16"/>
          <w:lang w:val="es-ES"/>
        </w:rPr>
        <w:t>Principios y Buenas Prácticas sobre la Protección de las Personas Privadas de Libertad en las Américas</w:t>
      </w:r>
      <w:bookmarkEnd w:id="35"/>
      <w:r w:rsidRPr="0040547A">
        <w:rPr>
          <w:rFonts w:asciiTheme="majorHAnsi" w:hAnsiTheme="majorHAnsi"/>
          <w:sz w:val="16"/>
          <w:szCs w:val="16"/>
          <w:lang w:val="es-ES"/>
        </w:rPr>
        <w:t>, Principio XXII (3).</w:t>
      </w:r>
    </w:p>
  </w:footnote>
  <w:footnote w:id="48">
    <w:p w14:paraId="17196A61"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Comisión Europea de Derechos Humanos, Dhoest c. Belgium, Solicitud No. 10448/83, 14 de mayo de 1987, párrafo 118.</w:t>
      </w:r>
    </w:p>
  </w:footnote>
  <w:footnote w:id="49">
    <w:p w14:paraId="4512D771"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La tortura en el derecho internacional:  guía de jurisprudencia, APT y CEJIL, 2008, p. 81.</w:t>
      </w:r>
    </w:p>
  </w:footnote>
  <w:footnote w:id="50">
    <w:p w14:paraId="7EDFD979"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Comité de Derechos Humanos, Observaciones finales sobre Dinamarca, ONU Doc. CCPR/CO/70/DNK, 2000, párrafo 12.</w:t>
      </w:r>
    </w:p>
  </w:footnote>
  <w:footnote w:id="51">
    <w:p w14:paraId="6CA6E579" w14:textId="77777777" w:rsidR="0032063E" w:rsidRPr="0040547A" w:rsidRDefault="0032063E" w:rsidP="0040547A">
      <w:pPr>
        <w:pStyle w:val="Default"/>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Fonts w:asciiTheme="majorHAnsi" w:hAnsiTheme="majorHAnsi"/>
          <w:color w:val="auto"/>
          <w:sz w:val="16"/>
          <w:szCs w:val="16"/>
          <w:lang w:val="es-ES"/>
        </w:rPr>
        <w:t xml:space="preserve"> Informe del Relator Especial sobre la tortura y otros tratos o penas crueles, inhumanos o degradantes, Juan E. Méndez, 18 de enero de 2010, A/HRC/19/61, párrafo 26.</w:t>
      </w:r>
    </w:p>
  </w:footnote>
  <w:footnote w:id="52">
    <w:p w14:paraId="59BE5029" w14:textId="77777777" w:rsidR="0032063E" w:rsidRPr="0040547A" w:rsidRDefault="0032063E" w:rsidP="0040547A">
      <w:pPr>
        <w:autoSpaceDE w:val="0"/>
        <w:autoSpaceDN w:val="0"/>
        <w:adjustRightInd w:val="0"/>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Naciones Unidas, Asamblea General, Tortura y otros tratos crueles, inhumanos o degradantes, 5 de agosto de 2011, A/66/268, párrafos 26 y 55.</w:t>
      </w:r>
    </w:p>
  </w:footnote>
  <w:footnote w:id="53">
    <w:p w14:paraId="751622D0" w14:textId="77777777" w:rsidR="0032063E" w:rsidRPr="0040547A" w:rsidRDefault="0032063E" w:rsidP="0040547A">
      <w:pPr>
        <w:autoSpaceDE w:val="0"/>
        <w:autoSpaceDN w:val="0"/>
        <w:adjustRightInd w:val="0"/>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Informe provisional del Relator Especial sobre la tortura y otros tratos o penas crueles, inhumanas o degradante, 9 de agosto de 2013, A/68/295, para. 61.</w:t>
      </w:r>
    </w:p>
  </w:footnote>
  <w:footnote w:id="54">
    <w:p w14:paraId="6D42714F" w14:textId="77777777" w:rsidR="0032063E" w:rsidRPr="0040547A" w:rsidRDefault="0032063E" w:rsidP="0040547A">
      <w:pPr>
        <w:pStyle w:val="FootnoteText"/>
        <w:jc w:val="both"/>
        <w:rPr>
          <w:rFonts w:asciiTheme="majorHAnsi" w:hAnsiTheme="majorHAnsi"/>
          <w:sz w:val="16"/>
          <w:szCs w:val="16"/>
          <w:lang w:val="es-SV"/>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w:t>
      </w:r>
      <w:r w:rsidRPr="0040547A">
        <w:rPr>
          <w:rFonts w:asciiTheme="majorHAnsi" w:hAnsiTheme="majorHAnsi"/>
          <w:sz w:val="16"/>
          <w:szCs w:val="16"/>
          <w:lang w:val="es-SV"/>
        </w:rPr>
        <w:t>Naciones Unidas, Asamblea General, La tortura y otros tratos o penas crueles, inhumanos o degradantes, 5 de agosto de 2011, A/66/268, párrafo 49.</w:t>
      </w:r>
    </w:p>
  </w:footnote>
  <w:footnote w:id="55">
    <w:p w14:paraId="2901C555" w14:textId="77777777" w:rsidR="0032063E" w:rsidRPr="0040547A" w:rsidRDefault="0032063E" w:rsidP="0040547A">
      <w:pPr>
        <w:autoSpaceDE w:val="0"/>
        <w:autoSpaceDN w:val="0"/>
        <w:adjustRightInd w:val="0"/>
        <w:jc w:val="both"/>
        <w:rPr>
          <w:rFonts w:asciiTheme="majorHAnsi" w:hAnsiTheme="majorHAnsi"/>
          <w:sz w:val="16"/>
          <w:szCs w:val="16"/>
          <w:lang w:val="es-SV"/>
        </w:rPr>
      </w:pPr>
      <w:r w:rsidRPr="0040547A">
        <w:rPr>
          <w:rStyle w:val="FootnoteReference"/>
          <w:rFonts w:asciiTheme="majorHAnsi" w:hAnsiTheme="majorHAnsi"/>
          <w:sz w:val="16"/>
          <w:szCs w:val="16"/>
          <w:lang w:val="es-SV"/>
        </w:rPr>
        <w:footnoteRef/>
      </w:r>
      <w:r w:rsidRPr="0040547A">
        <w:rPr>
          <w:rFonts w:asciiTheme="majorHAnsi" w:hAnsiTheme="majorHAnsi"/>
          <w:sz w:val="16"/>
          <w:szCs w:val="16"/>
        </w:rPr>
        <w:t xml:space="preserve"> Shalev, Sharon, </w:t>
      </w:r>
      <w:r w:rsidRPr="0040547A">
        <w:rPr>
          <w:rFonts w:asciiTheme="majorHAnsi" w:hAnsiTheme="majorHAnsi" w:cs="Calibri-Italic"/>
          <w:i/>
          <w:iCs/>
          <w:sz w:val="16"/>
          <w:szCs w:val="16"/>
        </w:rPr>
        <w:t>A sourcebook on solitary confinement</w:t>
      </w:r>
      <w:r w:rsidRPr="0040547A">
        <w:rPr>
          <w:rFonts w:asciiTheme="majorHAnsi" w:hAnsiTheme="majorHAnsi"/>
          <w:sz w:val="16"/>
          <w:szCs w:val="16"/>
        </w:rPr>
        <w:t xml:space="preserve">, Mannheim Centre for Criminology, LSE, 2008, páginas 15 y 16. </w:t>
      </w:r>
      <w:r w:rsidRPr="0040547A">
        <w:rPr>
          <w:rFonts w:asciiTheme="majorHAnsi" w:hAnsiTheme="majorHAnsi"/>
          <w:sz w:val="16"/>
          <w:szCs w:val="16"/>
          <w:lang w:val="es-ES"/>
        </w:rPr>
        <w:t xml:space="preserve">Disponible en: </w:t>
      </w:r>
      <w:hyperlink r:id="rId2" w:history="1">
        <w:r w:rsidRPr="0040547A">
          <w:rPr>
            <w:rStyle w:val="Hyperlink"/>
            <w:rFonts w:asciiTheme="majorHAnsi" w:hAnsiTheme="majorHAnsi"/>
            <w:sz w:val="16"/>
            <w:szCs w:val="16"/>
            <w:lang w:val="es-ES"/>
          </w:rPr>
          <w:t>http://solitaryconfinement.org/uploads/sourcebook_web.pdf</w:t>
        </w:r>
      </w:hyperlink>
      <w:r w:rsidRPr="0040547A">
        <w:rPr>
          <w:rFonts w:asciiTheme="majorHAnsi" w:hAnsiTheme="majorHAnsi"/>
          <w:sz w:val="16"/>
          <w:szCs w:val="16"/>
          <w:lang w:val="es-ES"/>
        </w:rPr>
        <w:t xml:space="preserve">, citado en la CIDH, Informe sobre los derechos humanos de las personas privadas de libertad en las Américas, OEA/Ser.L/V/II.Doc.64., 31 de diciembre de 2011, párr. 492. </w:t>
      </w:r>
    </w:p>
  </w:footnote>
  <w:footnote w:id="56">
    <w:p w14:paraId="43FC1B6E" w14:textId="77777777" w:rsidR="0032063E" w:rsidRPr="0040547A" w:rsidRDefault="0032063E" w:rsidP="0040547A">
      <w:pPr>
        <w:autoSpaceDE w:val="0"/>
        <w:autoSpaceDN w:val="0"/>
        <w:adjustRightInd w:val="0"/>
        <w:jc w:val="both"/>
        <w:rPr>
          <w:rFonts w:asciiTheme="majorHAnsi" w:hAnsiTheme="majorHAnsi"/>
          <w:sz w:val="16"/>
          <w:szCs w:val="16"/>
          <w:lang w:val="es-SV"/>
        </w:rPr>
      </w:pPr>
      <w:r w:rsidRPr="0040547A">
        <w:rPr>
          <w:rStyle w:val="FootnoteReference"/>
          <w:rFonts w:asciiTheme="majorHAnsi" w:hAnsiTheme="majorHAnsi"/>
          <w:sz w:val="16"/>
          <w:szCs w:val="16"/>
          <w:lang w:val="es-SV"/>
        </w:rPr>
        <w:footnoteRef/>
      </w:r>
      <w:r w:rsidRPr="0040547A">
        <w:rPr>
          <w:rFonts w:asciiTheme="majorHAnsi" w:hAnsiTheme="majorHAnsi"/>
          <w:sz w:val="16"/>
          <w:szCs w:val="16"/>
          <w:lang w:val="es-SV"/>
        </w:rPr>
        <w:t xml:space="preserve"> Tribunal Europeo de Derechos Humanos</w:t>
      </w:r>
      <w:r w:rsidRPr="0040547A">
        <w:rPr>
          <w:rFonts w:asciiTheme="majorHAnsi" w:hAnsiTheme="majorHAnsi"/>
          <w:i/>
          <w:sz w:val="16"/>
          <w:szCs w:val="16"/>
          <w:lang w:val="es-SV"/>
        </w:rPr>
        <w:t>, Caso de</w:t>
      </w:r>
      <w:r w:rsidRPr="0040547A">
        <w:rPr>
          <w:rFonts w:asciiTheme="majorHAnsi" w:hAnsiTheme="majorHAnsi" w:cs="Calibri-Italic"/>
          <w:i/>
          <w:iCs/>
          <w:sz w:val="16"/>
          <w:szCs w:val="16"/>
          <w:lang w:val="es-SV"/>
        </w:rPr>
        <w:t xml:space="preserve"> Ramírez Sánchez v. France</w:t>
      </w:r>
      <w:r w:rsidRPr="0040547A">
        <w:rPr>
          <w:rFonts w:asciiTheme="majorHAnsi" w:hAnsiTheme="majorHAnsi"/>
          <w:i/>
          <w:sz w:val="16"/>
          <w:szCs w:val="16"/>
          <w:lang w:val="es-SV"/>
        </w:rPr>
        <w:t>, (Solicitud no. 59450/00), Sentencia del 4 de julio de 2006, Gran Cámara</w:t>
      </w:r>
      <w:r w:rsidRPr="0040547A">
        <w:rPr>
          <w:rFonts w:asciiTheme="majorHAnsi" w:hAnsiTheme="majorHAnsi"/>
          <w:sz w:val="16"/>
          <w:szCs w:val="16"/>
          <w:lang w:val="es-SV"/>
        </w:rPr>
        <w:t>, párrafos 120‐123.</w:t>
      </w:r>
    </w:p>
  </w:footnote>
  <w:footnote w:id="57">
    <w:p w14:paraId="39B524BA" w14:textId="77777777" w:rsidR="0032063E" w:rsidRPr="0040547A" w:rsidRDefault="0032063E" w:rsidP="0040547A">
      <w:pPr>
        <w:pStyle w:val="FootnoteText"/>
        <w:jc w:val="both"/>
        <w:rPr>
          <w:rFonts w:asciiTheme="majorHAnsi" w:hAnsiTheme="majorHAnsi"/>
          <w:sz w:val="16"/>
          <w:szCs w:val="16"/>
          <w:lang w:val="es-SV"/>
        </w:rPr>
      </w:pPr>
      <w:r w:rsidRPr="0040547A">
        <w:rPr>
          <w:rStyle w:val="FootnoteReference"/>
          <w:rFonts w:asciiTheme="majorHAnsi" w:hAnsiTheme="majorHAnsi"/>
          <w:sz w:val="16"/>
          <w:szCs w:val="16"/>
          <w:lang w:val="es-SV"/>
        </w:rPr>
        <w:footnoteRef/>
      </w:r>
      <w:r w:rsidRPr="0040547A">
        <w:rPr>
          <w:rFonts w:asciiTheme="majorHAnsi" w:hAnsiTheme="majorHAnsi"/>
          <w:sz w:val="16"/>
          <w:szCs w:val="16"/>
          <w:lang w:val="es-SV"/>
        </w:rPr>
        <w:t xml:space="preserve"> Naciones Unidas, Comité de Derechos Humanos, CCPR/C/USA/CO/3, 15 de septiembre de 2006, párr. 32. </w:t>
      </w:r>
    </w:p>
  </w:footnote>
  <w:footnote w:id="58">
    <w:p w14:paraId="754EBE45" w14:textId="77777777" w:rsidR="0032063E" w:rsidRPr="0040547A" w:rsidRDefault="0032063E" w:rsidP="0040547A">
      <w:pPr>
        <w:pStyle w:val="FootnoteText"/>
        <w:jc w:val="both"/>
        <w:rPr>
          <w:rFonts w:asciiTheme="majorHAnsi" w:hAnsiTheme="majorHAnsi" w:cs="Arial"/>
          <w:sz w:val="16"/>
          <w:szCs w:val="16"/>
          <w:lang w:val="es-SV"/>
        </w:rPr>
      </w:pPr>
      <w:r w:rsidRPr="0040547A">
        <w:rPr>
          <w:rStyle w:val="FootnoteReference"/>
          <w:rFonts w:asciiTheme="majorHAnsi" w:hAnsiTheme="majorHAnsi" w:cs="Arial"/>
          <w:sz w:val="16"/>
          <w:szCs w:val="16"/>
          <w:lang w:val="es-SV"/>
        </w:rPr>
        <w:footnoteRef/>
      </w:r>
      <w:r w:rsidRPr="0040547A">
        <w:rPr>
          <w:rFonts w:asciiTheme="majorHAnsi" w:hAnsiTheme="majorHAnsi" w:cs="Arial"/>
          <w:sz w:val="16"/>
          <w:szCs w:val="16"/>
          <w:lang w:val="es-SV"/>
        </w:rPr>
        <w:t xml:space="preserve"> Corte I/A de Derechos Humanos, Caso </w:t>
      </w:r>
      <w:r w:rsidRPr="0040547A">
        <w:rPr>
          <w:rFonts w:asciiTheme="majorHAnsi" w:hAnsiTheme="majorHAnsi" w:cs="Arial"/>
          <w:i/>
          <w:sz w:val="16"/>
          <w:szCs w:val="16"/>
          <w:lang w:val="es-SV"/>
        </w:rPr>
        <w:t xml:space="preserve">Hilaire, Constantine y Benjamin y otros. v. Trinidad y Tobago Case. </w:t>
      </w:r>
      <w:r w:rsidRPr="0040547A">
        <w:rPr>
          <w:rFonts w:asciiTheme="majorHAnsi" w:hAnsiTheme="majorHAnsi" w:cs="Arial"/>
          <w:sz w:val="16"/>
          <w:szCs w:val="16"/>
          <w:lang w:val="es-SV"/>
        </w:rPr>
        <w:t>Sentencia del 21 de junio de 2002. Series C No. 94, párrafos 154-156.</w:t>
      </w:r>
    </w:p>
  </w:footnote>
  <w:footnote w:id="59">
    <w:p w14:paraId="68E660F0"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SV"/>
        </w:rPr>
        <w:t xml:space="preserve">CIDH, </w:t>
      </w:r>
      <w:r w:rsidRPr="0040547A">
        <w:rPr>
          <w:rFonts w:asciiTheme="majorHAnsi" w:hAnsiTheme="majorHAnsi"/>
          <w:i/>
          <w:sz w:val="16"/>
          <w:szCs w:val="16"/>
          <w:lang w:val="es-SV"/>
        </w:rPr>
        <w:t>Informe sobre los derechos humanos de las personas privadas de la libertad en las Américas</w:t>
      </w:r>
      <w:r w:rsidRPr="0040547A">
        <w:rPr>
          <w:rFonts w:asciiTheme="majorHAnsi" w:hAnsiTheme="majorHAnsi"/>
          <w:sz w:val="16"/>
          <w:szCs w:val="16"/>
          <w:lang w:val="es-SV"/>
        </w:rPr>
        <w:t xml:space="preserve">, OEA/Ser.L/V/II.Doc.64. </w:t>
      </w:r>
      <w:r w:rsidRPr="0040547A">
        <w:rPr>
          <w:rFonts w:asciiTheme="majorHAnsi" w:hAnsiTheme="majorHAnsi"/>
          <w:sz w:val="16"/>
          <w:szCs w:val="16"/>
          <w:lang w:val="es-ES"/>
        </w:rPr>
        <w:t>31 de diciembre de 2011, párrafo 513.</w:t>
      </w:r>
    </w:p>
  </w:footnote>
  <w:footnote w:id="60">
    <w:p w14:paraId="6921CB66" w14:textId="77777777" w:rsidR="0032063E" w:rsidRPr="0040547A" w:rsidRDefault="0032063E" w:rsidP="0040547A">
      <w:pPr>
        <w:pStyle w:val="FootnoteText"/>
        <w:tabs>
          <w:tab w:val="right" w:pos="0"/>
          <w:tab w:val="left" w:pos="180"/>
          <w:tab w:val="left" w:pos="900"/>
        </w:tabs>
        <w:jc w:val="both"/>
        <w:rPr>
          <w:rFonts w:asciiTheme="majorHAnsi" w:hAnsiTheme="majorHAnsi"/>
          <w:sz w:val="16"/>
          <w:szCs w:val="16"/>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Naciones Unidas. Informe del Relator Especial sobre la tortura y otros tratos o penas crueles, inhumanas o degradantes.  </w:t>
      </w:r>
      <w:r w:rsidRPr="0040547A">
        <w:rPr>
          <w:rFonts w:asciiTheme="majorHAnsi" w:hAnsiTheme="majorHAnsi"/>
          <w:sz w:val="16"/>
          <w:szCs w:val="16"/>
        </w:rPr>
        <w:t xml:space="preserve">9 de agosto de 2012. A/67/279, párrafo 42. Cita de: Patrick Hudson, “Does the death row phenomenon violate a prisoner’s rights under international law?”, </w:t>
      </w:r>
      <w:r w:rsidRPr="0040547A">
        <w:rPr>
          <w:rFonts w:asciiTheme="majorHAnsi" w:hAnsiTheme="majorHAnsi"/>
          <w:i/>
          <w:sz w:val="16"/>
          <w:szCs w:val="16"/>
        </w:rPr>
        <w:t>European Journal of International Law</w:t>
      </w:r>
      <w:r w:rsidRPr="0040547A">
        <w:rPr>
          <w:rFonts w:asciiTheme="majorHAnsi" w:hAnsiTheme="majorHAnsi"/>
          <w:sz w:val="16"/>
          <w:szCs w:val="16"/>
        </w:rPr>
        <w:t>, vol. 11, No. 4 (2000), pp. 834-837.</w:t>
      </w:r>
    </w:p>
  </w:footnote>
  <w:footnote w:id="61">
    <w:p w14:paraId="5084FDB1" w14:textId="77777777" w:rsidR="0032063E" w:rsidRPr="0040547A" w:rsidRDefault="0032063E" w:rsidP="0040547A">
      <w:pPr>
        <w:pStyle w:val="FootnoteText"/>
        <w:jc w:val="both"/>
        <w:rPr>
          <w:rFonts w:asciiTheme="majorHAnsi" w:hAnsiTheme="majorHAnsi"/>
          <w:sz w:val="16"/>
          <w:szCs w:val="16"/>
          <w:highlight w:val="yellow"/>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Naciones Unidas. Informe del Relator Especial sobre la tortura y otros tratos o penas crueles, inhumanas o degradantes.  9 de agosto de 2012. A/67/279, párrafo 42.</w:t>
      </w:r>
    </w:p>
  </w:footnote>
  <w:footnote w:id="62">
    <w:p w14:paraId="19054FE3" w14:textId="77777777" w:rsidR="0032063E" w:rsidRPr="0040547A" w:rsidRDefault="0032063E" w:rsidP="0040547A">
      <w:pPr>
        <w:pStyle w:val="FootnoteText"/>
        <w:tabs>
          <w:tab w:val="right" w:pos="540"/>
          <w:tab w:val="left" w:pos="900"/>
        </w:tabs>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Tribunal Europeo de Derechos Humanos. </w:t>
      </w:r>
      <w:r w:rsidRPr="0040547A">
        <w:rPr>
          <w:rFonts w:asciiTheme="majorHAnsi" w:hAnsiTheme="majorHAnsi"/>
          <w:i/>
          <w:iCs/>
          <w:sz w:val="16"/>
          <w:szCs w:val="16"/>
          <w:lang w:val="es-ES"/>
        </w:rPr>
        <w:t>Caso de Soering v.  Reino Unido. I</w:t>
      </w:r>
      <w:r w:rsidRPr="0040547A">
        <w:rPr>
          <w:rFonts w:asciiTheme="majorHAnsi" w:hAnsiTheme="majorHAnsi"/>
          <w:sz w:val="16"/>
          <w:szCs w:val="16"/>
          <w:lang w:val="es-ES"/>
        </w:rPr>
        <w:t>nforme No. 14038/88. Sentencia, 7 de julio de 1989. párrafo 104.</w:t>
      </w:r>
    </w:p>
  </w:footnote>
  <w:footnote w:id="63">
    <w:p w14:paraId="7BD6701B"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Tribunal Europeo de Derechos Humanos, </w:t>
      </w:r>
      <w:r w:rsidRPr="0040547A">
        <w:rPr>
          <w:rFonts w:asciiTheme="majorHAnsi" w:hAnsiTheme="majorHAnsi"/>
          <w:i/>
          <w:iCs/>
          <w:sz w:val="16"/>
          <w:szCs w:val="16"/>
          <w:lang w:val="es-ES"/>
        </w:rPr>
        <w:t>Soering c. El Reino Unido</w:t>
      </w:r>
      <w:r w:rsidRPr="0040547A">
        <w:rPr>
          <w:rFonts w:asciiTheme="majorHAnsi" w:hAnsiTheme="majorHAnsi"/>
          <w:sz w:val="16"/>
          <w:szCs w:val="16"/>
          <w:lang w:val="es-ES"/>
        </w:rPr>
        <w:t>, Sentencia del 7 de julio de 1989. Serie A., Vol. 161. Asimismo, la Suprema Corte de Estados Unidos reconoció en Furman c. Georgia que el tiempo transcurrido en espera de ejecución de una sentencia de muerte destruye el espíritu humano y constituye una tortura que a menudo puede llevar a la demencia.  Furman c. Georgia 408 U.S. 238, 287‐288 (197). </w:t>
      </w:r>
    </w:p>
  </w:footnote>
  <w:footnote w:id="64">
    <w:p w14:paraId="6C97C84C" w14:textId="77777777" w:rsidR="0032063E" w:rsidRPr="0040547A" w:rsidRDefault="0032063E" w:rsidP="0040547A">
      <w:pPr>
        <w:pStyle w:val="FootnoteText"/>
        <w:tabs>
          <w:tab w:val="right" w:pos="540"/>
          <w:tab w:val="left" w:pos="900"/>
        </w:tabs>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Tribunal Europeo de Derechos Humanos. Caso de Soering c. Reino Unido. Informe No. 14038/88. Sentencia, 7 de julio de 1989, párrafo 106.</w:t>
      </w:r>
    </w:p>
  </w:footnote>
  <w:footnote w:id="65">
    <w:p w14:paraId="15EBFBA1" w14:textId="77777777" w:rsidR="0032063E" w:rsidRPr="0040547A" w:rsidRDefault="0032063E" w:rsidP="0040547A">
      <w:pPr>
        <w:pStyle w:val="FootnoteText"/>
        <w:tabs>
          <w:tab w:val="right" w:pos="540"/>
          <w:tab w:val="left" w:pos="900"/>
        </w:tabs>
        <w:jc w:val="both"/>
        <w:rPr>
          <w:rFonts w:asciiTheme="majorHAnsi" w:hAnsiTheme="majorHAnsi"/>
          <w:sz w:val="16"/>
          <w:szCs w:val="16"/>
          <w:highlight w:val="yellow"/>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Tribunal Europeo de Derechos Humanos. Caso de Soering c. Reino Unido. Informe No. 14038/88. Sentencia, 7 de julio de 1989. párrafo 111.</w:t>
      </w:r>
    </w:p>
  </w:footnote>
  <w:footnote w:id="66">
    <w:p w14:paraId="4C9D048D" w14:textId="77777777" w:rsidR="0032063E" w:rsidRPr="009B16CF" w:rsidRDefault="0032063E" w:rsidP="0040547A">
      <w:pPr>
        <w:widowControl w:val="0"/>
        <w:autoSpaceDE w:val="0"/>
        <w:autoSpaceDN w:val="0"/>
        <w:adjustRightInd w:val="0"/>
        <w:jc w:val="both"/>
        <w:rPr>
          <w:rFonts w:asciiTheme="majorHAnsi" w:hAnsiTheme="majorHAnsi" w:cs="Arial"/>
          <w:bCs/>
          <w:sz w:val="16"/>
          <w:szCs w:val="16"/>
          <w:lang w:val="es-ES"/>
        </w:rPr>
      </w:pPr>
      <w:r w:rsidRPr="009B16CF">
        <w:rPr>
          <w:rStyle w:val="FootnoteReference"/>
          <w:rFonts w:asciiTheme="majorHAnsi" w:hAnsiTheme="majorHAnsi"/>
          <w:sz w:val="16"/>
          <w:szCs w:val="16"/>
        </w:rPr>
        <w:footnoteRef/>
      </w:r>
      <w:r w:rsidRPr="009B16CF">
        <w:rPr>
          <w:rFonts w:asciiTheme="majorHAnsi" w:hAnsiTheme="majorHAnsi"/>
          <w:sz w:val="16"/>
          <w:szCs w:val="16"/>
          <w:lang w:val="es-ES"/>
        </w:rPr>
        <w:t xml:space="preserve"> Pratt y Morgan c. Procurador General de Jamaica y otro (Jamaica) [1993] UKPC 1 (2 de noviembre de 1993), párrafos 73, 74, 75, y 84. </w:t>
      </w:r>
    </w:p>
  </w:footnote>
  <w:footnote w:id="67">
    <w:p w14:paraId="25ABEAAD"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Suprema Corte de Uganda en: Procurador General c.</w:t>
      </w:r>
      <w:r w:rsidRPr="0040547A">
        <w:rPr>
          <w:rFonts w:asciiTheme="majorHAnsi" w:hAnsiTheme="majorHAnsi"/>
          <w:i/>
          <w:sz w:val="16"/>
          <w:szCs w:val="16"/>
          <w:lang w:val="es-ES"/>
        </w:rPr>
        <w:t xml:space="preserve"> Susan Kigula</w:t>
      </w:r>
      <w:r w:rsidRPr="0040547A">
        <w:rPr>
          <w:rFonts w:asciiTheme="majorHAnsi" w:hAnsiTheme="majorHAnsi"/>
          <w:sz w:val="16"/>
          <w:szCs w:val="16"/>
          <w:lang w:val="es-ES"/>
        </w:rPr>
        <w:t xml:space="preserve"> y otros 417 (Apelación Constitucional No. 3 de 2006), 2009.</w:t>
      </w:r>
    </w:p>
  </w:footnote>
  <w:footnote w:id="68">
    <w:p w14:paraId="4F56B4C1" w14:textId="77777777" w:rsidR="0032063E" w:rsidRPr="0040547A" w:rsidRDefault="0032063E" w:rsidP="0040547A">
      <w:pPr>
        <w:pStyle w:val="FootnoteText"/>
        <w:jc w:val="both"/>
        <w:rPr>
          <w:rFonts w:asciiTheme="majorHAnsi" w:hAnsiTheme="majorHAnsi"/>
          <w:sz w:val="16"/>
          <w:szCs w:val="16"/>
          <w:lang w:val="es-ES"/>
        </w:rPr>
      </w:pPr>
      <w:r w:rsidRPr="0040547A">
        <w:rPr>
          <w:rStyle w:val="FootnoteReference"/>
          <w:rFonts w:asciiTheme="majorHAnsi" w:hAnsiTheme="majorHAnsi"/>
          <w:sz w:val="16"/>
          <w:szCs w:val="16"/>
        </w:rPr>
        <w:footnoteRef/>
      </w:r>
      <w:r w:rsidRPr="0040547A">
        <w:rPr>
          <w:rFonts w:asciiTheme="majorHAnsi" w:hAnsiTheme="majorHAnsi"/>
          <w:sz w:val="16"/>
          <w:szCs w:val="16"/>
          <w:lang w:val="es-ES"/>
        </w:rPr>
        <w:t xml:space="preserve"> Sentencia de la Suprema Corte de Zimbabwue del 24 de junio de 1993 en: </w:t>
      </w:r>
      <w:r w:rsidRPr="0040547A">
        <w:rPr>
          <w:rFonts w:asciiTheme="majorHAnsi" w:hAnsiTheme="majorHAnsi"/>
          <w:i/>
          <w:sz w:val="16"/>
          <w:szCs w:val="16"/>
          <w:lang w:val="es-ES"/>
        </w:rPr>
        <w:t>Catholic Commissioner for Justice and Peace in Zimbabwe c. Procurador General</w:t>
      </w:r>
      <w:r w:rsidRPr="0040547A">
        <w:rPr>
          <w:rFonts w:asciiTheme="majorHAnsi" w:hAnsiTheme="majorHAnsi"/>
          <w:sz w:val="16"/>
          <w:szCs w:val="16"/>
          <w:lang w:val="es-ES"/>
        </w:rPr>
        <w:t xml:space="preserve"> (4) SA 239 (ZS).</w:t>
      </w:r>
    </w:p>
  </w:footnote>
  <w:footnote w:id="69">
    <w:p w14:paraId="4C613C02" w14:textId="77777777" w:rsidR="0032063E" w:rsidRPr="0040547A" w:rsidRDefault="0032063E" w:rsidP="0040547A">
      <w:pPr>
        <w:pStyle w:val="FootnoteText"/>
        <w:jc w:val="both"/>
        <w:rPr>
          <w:rFonts w:asciiTheme="majorHAnsi" w:hAnsiTheme="majorHAnsi"/>
          <w:color w:val="auto"/>
          <w:sz w:val="16"/>
          <w:szCs w:val="16"/>
          <w:lang w:val="es-ES"/>
        </w:rPr>
      </w:pPr>
      <w:r w:rsidRPr="0040547A">
        <w:rPr>
          <w:rStyle w:val="FootnoteReference"/>
          <w:rFonts w:asciiTheme="majorHAnsi" w:hAnsiTheme="majorHAnsi"/>
          <w:color w:val="auto"/>
          <w:sz w:val="16"/>
          <w:szCs w:val="16"/>
        </w:rPr>
        <w:footnoteRef/>
      </w:r>
      <w:r w:rsidRPr="0040547A">
        <w:rPr>
          <w:rStyle w:val="FootnoteReference"/>
          <w:rFonts w:asciiTheme="majorHAnsi" w:hAnsiTheme="majorHAnsi"/>
          <w:color w:val="auto"/>
          <w:sz w:val="16"/>
          <w:szCs w:val="16"/>
          <w:lang w:val="es-ES"/>
        </w:rPr>
        <w:t xml:space="preserve"> </w:t>
      </w:r>
      <w:r w:rsidRPr="0040547A">
        <w:rPr>
          <w:rFonts w:asciiTheme="majorHAnsi" w:hAnsiTheme="majorHAnsi"/>
          <w:color w:val="auto"/>
          <w:sz w:val="16"/>
          <w:szCs w:val="16"/>
          <w:lang w:val="es-ES"/>
        </w:rPr>
        <w:t>CIDH, Informe No. 71/18, Caso 12.958. Fondo. Russell Bucklew. Estados Unidos, 10 de mayo de 2018, párrafo 86-90. En este informe, la Comisión cita una serie de avances en el sistema interamericano y en otros sistemas de protección, incluidos el sistema regional y el sistema de las Naciones Unidas.</w:t>
      </w:r>
    </w:p>
  </w:footnote>
  <w:footnote w:id="70">
    <w:p w14:paraId="49480825" w14:textId="77777777" w:rsidR="0032063E" w:rsidRPr="0040547A" w:rsidRDefault="0032063E" w:rsidP="0040547A">
      <w:pPr>
        <w:pStyle w:val="Body"/>
        <w:jc w:val="both"/>
        <w:rPr>
          <w:rFonts w:asciiTheme="majorHAnsi" w:eastAsia="Cambria" w:hAnsiTheme="majorHAnsi" w:cs="Cambria"/>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El artículo XXIV de la Declaración Americana dispone que: “Toda persona tiene derecho a presentar peticiones respetuosas a cualquier autoridad competente, ya sea por motivo de interés general, ya de interés particular, y el de obtener pronta resolución.”</w:t>
      </w:r>
    </w:p>
  </w:footnote>
  <w:footnote w:id="71">
    <w:p w14:paraId="6B6D5119" w14:textId="77777777" w:rsidR="0032063E" w:rsidRPr="0040547A" w:rsidRDefault="0032063E" w:rsidP="0040547A">
      <w:pPr>
        <w:pStyle w:val="Body"/>
        <w:jc w:val="both"/>
        <w:rPr>
          <w:rFonts w:asciiTheme="majorHAnsi" w:eastAsia="Cambria" w:hAnsiTheme="majorHAnsi" w:cs="Cambria"/>
          <w:sz w:val="16"/>
          <w:szCs w:val="16"/>
          <w:lang w:val="es-ES"/>
        </w:rPr>
      </w:pPr>
      <w:r w:rsidRPr="0040547A">
        <w:rPr>
          <w:rStyle w:val="FootnoteReference"/>
          <w:rFonts w:asciiTheme="majorHAnsi" w:hAnsiTheme="majorHAnsi"/>
          <w:sz w:val="16"/>
          <w:szCs w:val="16"/>
        </w:rPr>
        <w:footnoteRef/>
      </w:r>
      <w:r w:rsidRPr="0040547A">
        <w:rPr>
          <w:rStyle w:val="FootnoteReference"/>
          <w:rFonts w:asciiTheme="majorHAnsi" w:hAnsiTheme="majorHAnsi"/>
          <w:sz w:val="16"/>
          <w:szCs w:val="16"/>
          <w:lang w:val="es-ES"/>
        </w:rPr>
        <w:t xml:space="preserve"> </w:t>
      </w:r>
      <w:r w:rsidRPr="0040547A">
        <w:rPr>
          <w:rFonts w:asciiTheme="majorHAnsi" w:hAnsiTheme="majorHAnsi"/>
          <w:sz w:val="16"/>
          <w:szCs w:val="16"/>
          <w:lang w:val="es-ES"/>
        </w:rPr>
        <w:t>El artículo I de la Declaración Americana dispone: “Todo ser humano tiene derecho a la vida, a la libertad y a la seguridad de su persona.”</w:t>
      </w:r>
    </w:p>
  </w:footnote>
  <w:footnote w:id="72">
    <w:p w14:paraId="5BCD2E3B" w14:textId="77777777" w:rsidR="0032063E" w:rsidRPr="0040547A" w:rsidRDefault="0032063E" w:rsidP="0040547A">
      <w:pPr>
        <w:pStyle w:val="NormalWeb"/>
        <w:spacing w:before="0" w:beforeAutospacing="0" w:after="0" w:afterAutospacing="0"/>
        <w:jc w:val="both"/>
        <w:rPr>
          <w:rFonts w:asciiTheme="majorHAnsi" w:hAnsiTheme="majorHAnsi"/>
          <w:sz w:val="16"/>
          <w:szCs w:val="16"/>
          <w:lang w:val="es-ES"/>
        </w:rPr>
      </w:pPr>
      <w:r w:rsidRPr="0040547A">
        <w:rPr>
          <w:rFonts w:asciiTheme="majorHAnsi" w:eastAsia="Calibri" w:hAnsiTheme="majorHAnsi" w:cs="Calibri"/>
          <w:sz w:val="16"/>
          <w:szCs w:val="16"/>
          <w:vertAlign w:val="superscript"/>
        </w:rPr>
        <w:footnoteRef/>
      </w:r>
      <w:r w:rsidRPr="0040547A">
        <w:rPr>
          <w:rFonts w:asciiTheme="majorHAnsi" w:hAnsiTheme="majorHAnsi"/>
          <w:sz w:val="16"/>
          <w:szCs w:val="16"/>
          <w:lang w:val="es-ES"/>
        </w:rPr>
        <w:t xml:space="preserve"> Corte Interamericana de Derechos Humanos</w:t>
      </w:r>
      <w:r w:rsidRPr="0040547A">
        <w:rPr>
          <w:rFonts w:asciiTheme="majorHAnsi" w:eastAsia="Calibri" w:hAnsiTheme="majorHAnsi" w:cs="Calibri"/>
          <w:sz w:val="16"/>
          <w:szCs w:val="16"/>
          <w:lang w:val="es-ES"/>
        </w:rPr>
        <w:t xml:space="preserve">, </w:t>
      </w:r>
      <w:r w:rsidRPr="0040547A">
        <w:rPr>
          <w:rFonts w:asciiTheme="majorHAnsi" w:hAnsiTheme="majorHAnsi"/>
          <w:i/>
          <w:iCs/>
          <w:sz w:val="16"/>
          <w:szCs w:val="16"/>
          <w:lang w:val="es-ES"/>
        </w:rPr>
        <w:t xml:space="preserve">El Derecho a la Información sobre la Asistencia Consular en el Marco de las Garantías del Debido Proceso Legal, </w:t>
      </w:r>
      <w:r w:rsidRPr="0040547A">
        <w:rPr>
          <w:rFonts w:asciiTheme="majorHAnsi" w:hAnsiTheme="majorHAnsi"/>
          <w:sz w:val="16"/>
          <w:szCs w:val="16"/>
          <w:lang w:val="es-ES"/>
        </w:rPr>
        <w:t>Opinión consultiva</w:t>
      </w:r>
      <w:r w:rsidRPr="0040547A">
        <w:rPr>
          <w:rFonts w:asciiTheme="majorHAnsi" w:eastAsia="Calibri" w:hAnsiTheme="majorHAnsi" w:cs="Calibri"/>
          <w:sz w:val="16"/>
          <w:szCs w:val="16"/>
          <w:lang w:val="es-ES"/>
        </w:rPr>
        <w:t xml:space="preserve"> OC‐16/99 del 1 de octubre de 1999. Serie A No. 16, párrafo 136.  </w:t>
      </w:r>
    </w:p>
  </w:footnote>
  <w:footnote w:id="73">
    <w:p w14:paraId="48DA0E47" w14:textId="77777777" w:rsidR="0032063E" w:rsidRPr="0056246C" w:rsidRDefault="0032063E" w:rsidP="0032063E">
      <w:pPr>
        <w:pStyle w:val="FootnoteText"/>
        <w:jc w:val="both"/>
        <w:rPr>
          <w:rFonts w:asciiTheme="majorHAnsi" w:hAnsiTheme="majorHAnsi"/>
          <w:sz w:val="16"/>
          <w:szCs w:val="16"/>
          <w:lang w:val="es-ES"/>
        </w:rPr>
      </w:pPr>
      <w:r w:rsidRPr="0056246C">
        <w:rPr>
          <w:rStyle w:val="FootnoteReference"/>
          <w:rFonts w:asciiTheme="majorHAnsi" w:hAnsiTheme="majorHAnsi"/>
          <w:color w:val="auto"/>
          <w:sz w:val="16"/>
          <w:szCs w:val="16"/>
        </w:rPr>
        <w:footnoteRef/>
      </w:r>
      <w:r w:rsidRPr="0056246C">
        <w:rPr>
          <w:rStyle w:val="FootnoteReference"/>
          <w:rFonts w:asciiTheme="majorHAnsi" w:hAnsiTheme="majorHAnsi"/>
          <w:color w:val="auto"/>
          <w:sz w:val="16"/>
          <w:szCs w:val="16"/>
          <w:lang w:val="es-ES"/>
        </w:rPr>
        <w:t xml:space="preserve"> </w:t>
      </w:r>
      <w:r w:rsidRPr="0056246C">
        <w:rPr>
          <w:rFonts w:asciiTheme="majorHAnsi" w:eastAsia="Cambria" w:hAnsiTheme="majorHAnsi" w:cs="Cambria"/>
          <w:sz w:val="16"/>
          <w:szCs w:val="16"/>
          <w:lang w:val="es-ES"/>
        </w:rPr>
        <w:t xml:space="preserve">Véase, al respecto, CIDH, </w:t>
      </w:r>
      <w:r w:rsidRPr="0056246C">
        <w:rPr>
          <w:rFonts w:asciiTheme="majorHAnsi" w:hAnsiTheme="majorHAnsi"/>
          <w:color w:val="auto"/>
          <w:sz w:val="16"/>
          <w:szCs w:val="16"/>
          <w:lang w:val="es-ES"/>
        </w:rPr>
        <w:t>La pena de muerte en el sistema interamericano de derechos humanos: de restricciones a abolición</w:t>
      </w:r>
      <w:r w:rsidRPr="0056246C">
        <w:rPr>
          <w:rFonts w:asciiTheme="majorHAnsi" w:eastAsia="Cambria" w:hAnsiTheme="majorHAnsi" w:cs="Cambria"/>
          <w:sz w:val="16"/>
          <w:szCs w:val="16"/>
          <w:lang w:val="es-ES"/>
        </w:rPr>
        <w:t>, OEA/Ser.L/V/II.Doc. 68, 31 de diciembre de 2011.</w:t>
      </w:r>
    </w:p>
  </w:footnote>
  <w:footnote w:id="74">
    <w:p w14:paraId="706284F2" w14:textId="77777777" w:rsidR="0032063E" w:rsidRPr="0040547A" w:rsidRDefault="0032063E" w:rsidP="0032063E">
      <w:pPr>
        <w:pStyle w:val="FootnoteText"/>
        <w:jc w:val="both"/>
        <w:rPr>
          <w:rFonts w:asciiTheme="majorHAnsi" w:hAnsiTheme="majorHAnsi"/>
          <w:sz w:val="16"/>
          <w:szCs w:val="16"/>
          <w:lang w:val="es-ES"/>
        </w:rPr>
      </w:pPr>
      <w:r w:rsidRPr="0056246C">
        <w:rPr>
          <w:rStyle w:val="FootnoteReference"/>
          <w:rFonts w:asciiTheme="majorHAnsi" w:hAnsiTheme="majorHAnsi"/>
          <w:color w:val="auto"/>
          <w:sz w:val="16"/>
          <w:szCs w:val="16"/>
        </w:rPr>
        <w:footnoteRef/>
      </w:r>
      <w:r w:rsidRPr="0056246C">
        <w:rPr>
          <w:rFonts w:asciiTheme="majorHAnsi" w:hAnsiTheme="majorHAnsi"/>
          <w:color w:val="auto"/>
          <w:sz w:val="16"/>
          <w:szCs w:val="16"/>
          <w:lang w:val="es-ES"/>
        </w:rPr>
        <w:t xml:space="preserve"> </w:t>
      </w:r>
      <w:r w:rsidRPr="0056246C">
        <w:rPr>
          <w:rFonts w:asciiTheme="majorHAnsi" w:eastAsia="Cambria" w:hAnsiTheme="majorHAnsi" w:cs="Cambria"/>
          <w:sz w:val="16"/>
          <w:szCs w:val="16"/>
          <w:lang w:val="es-ES"/>
        </w:rPr>
        <w:t xml:space="preserve">Véase, al respecto, CIDH, </w:t>
      </w:r>
      <w:r w:rsidRPr="0056246C">
        <w:rPr>
          <w:rFonts w:asciiTheme="majorHAnsi" w:hAnsiTheme="majorHAnsi"/>
          <w:color w:val="auto"/>
          <w:sz w:val="16"/>
          <w:szCs w:val="16"/>
          <w:lang w:val="es-ES"/>
        </w:rPr>
        <w:t>La pena de muerte en el sistema interamericano de derechos humanos: de restricciones a abolición</w:t>
      </w:r>
      <w:r w:rsidRPr="0056246C">
        <w:rPr>
          <w:rFonts w:asciiTheme="majorHAnsi" w:eastAsia="Cambria" w:hAnsiTheme="majorHAnsi" w:cs="Cambria"/>
          <w:sz w:val="16"/>
          <w:szCs w:val="16"/>
          <w:lang w:val="es-ES"/>
        </w:rPr>
        <w:t>, OEA/Ser.L/V/II.Doc. 68, 31 de diciembre de 2011.</w:t>
      </w:r>
    </w:p>
    <w:p w14:paraId="0E9318E0" w14:textId="77777777" w:rsidR="0032063E" w:rsidRPr="0040547A" w:rsidRDefault="0032063E" w:rsidP="0032063E">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p>
  </w:footnote>
  <w:footnote w:id="75">
    <w:p w14:paraId="69737AE7" w14:textId="77777777" w:rsidR="0032063E" w:rsidRPr="0056246C" w:rsidRDefault="0032063E" w:rsidP="0040547A">
      <w:pPr>
        <w:pStyle w:val="FootnoteText"/>
        <w:jc w:val="both"/>
        <w:rPr>
          <w:rFonts w:asciiTheme="majorHAnsi" w:hAnsiTheme="majorHAnsi"/>
          <w:sz w:val="16"/>
          <w:szCs w:val="16"/>
          <w:lang w:val="es-ES"/>
        </w:rPr>
      </w:pPr>
      <w:r w:rsidRPr="0056246C">
        <w:rPr>
          <w:rStyle w:val="FootnoteReference"/>
          <w:rFonts w:asciiTheme="majorHAnsi" w:hAnsiTheme="majorHAnsi"/>
          <w:color w:val="auto"/>
          <w:sz w:val="16"/>
          <w:szCs w:val="16"/>
        </w:rPr>
        <w:footnoteRef/>
      </w:r>
      <w:r w:rsidRPr="0056246C">
        <w:rPr>
          <w:rStyle w:val="FootnoteReference"/>
          <w:rFonts w:asciiTheme="majorHAnsi" w:hAnsiTheme="majorHAnsi"/>
          <w:color w:val="auto"/>
          <w:sz w:val="16"/>
          <w:szCs w:val="16"/>
          <w:lang w:val="es-ES"/>
        </w:rPr>
        <w:t xml:space="preserve"> </w:t>
      </w:r>
      <w:r w:rsidRPr="0056246C">
        <w:rPr>
          <w:rFonts w:asciiTheme="majorHAnsi" w:eastAsia="Cambria" w:hAnsiTheme="majorHAnsi" w:cs="Cambria"/>
          <w:sz w:val="16"/>
          <w:szCs w:val="16"/>
          <w:lang w:val="es-ES"/>
        </w:rPr>
        <w:t xml:space="preserve">Véase, al respecto, CIDH, </w:t>
      </w:r>
      <w:r w:rsidRPr="0056246C">
        <w:rPr>
          <w:rFonts w:asciiTheme="majorHAnsi" w:hAnsiTheme="majorHAnsi"/>
          <w:color w:val="auto"/>
          <w:sz w:val="16"/>
          <w:szCs w:val="16"/>
          <w:lang w:val="es-ES"/>
        </w:rPr>
        <w:t>La pena de muerte en el sistema interamericano de derechos humanos: de restricciones a abolición</w:t>
      </w:r>
      <w:r w:rsidRPr="0056246C">
        <w:rPr>
          <w:rFonts w:asciiTheme="majorHAnsi" w:eastAsia="Cambria" w:hAnsiTheme="majorHAnsi" w:cs="Cambria"/>
          <w:sz w:val="16"/>
          <w:szCs w:val="16"/>
          <w:lang w:val="es-ES"/>
        </w:rPr>
        <w:t>, OEA/Ser.L/V/II.Doc. 68, 31 de diciembre de 2011.</w:t>
      </w:r>
    </w:p>
  </w:footnote>
  <w:footnote w:id="76">
    <w:p w14:paraId="0E3ED839" w14:textId="77777777" w:rsidR="0032063E" w:rsidRPr="0040547A" w:rsidRDefault="0032063E" w:rsidP="0040547A">
      <w:pPr>
        <w:pStyle w:val="FootnoteText"/>
        <w:jc w:val="both"/>
        <w:rPr>
          <w:rFonts w:asciiTheme="majorHAnsi" w:hAnsiTheme="majorHAnsi"/>
          <w:sz w:val="16"/>
          <w:szCs w:val="16"/>
          <w:lang w:val="es-ES"/>
        </w:rPr>
      </w:pPr>
      <w:r w:rsidRPr="0056246C">
        <w:rPr>
          <w:rStyle w:val="FootnoteReference"/>
          <w:rFonts w:asciiTheme="majorHAnsi" w:hAnsiTheme="majorHAnsi"/>
          <w:color w:val="auto"/>
          <w:sz w:val="16"/>
          <w:szCs w:val="16"/>
        </w:rPr>
        <w:footnoteRef/>
      </w:r>
      <w:r w:rsidRPr="0056246C">
        <w:rPr>
          <w:rFonts w:asciiTheme="majorHAnsi" w:hAnsiTheme="majorHAnsi"/>
          <w:color w:val="auto"/>
          <w:sz w:val="16"/>
          <w:szCs w:val="16"/>
          <w:lang w:val="es-ES"/>
        </w:rPr>
        <w:t xml:space="preserve"> </w:t>
      </w:r>
      <w:r w:rsidRPr="0056246C">
        <w:rPr>
          <w:rFonts w:asciiTheme="majorHAnsi" w:eastAsia="Cambria" w:hAnsiTheme="majorHAnsi" w:cs="Cambria"/>
          <w:sz w:val="16"/>
          <w:szCs w:val="16"/>
          <w:lang w:val="es-ES"/>
        </w:rPr>
        <w:t xml:space="preserve">Véase, al respecto, CIDH, </w:t>
      </w:r>
      <w:r w:rsidRPr="0056246C">
        <w:rPr>
          <w:rFonts w:asciiTheme="majorHAnsi" w:hAnsiTheme="majorHAnsi"/>
          <w:color w:val="auto"/>
          <w:sz w:val="16"/>
          <w:szCs w:val="16"/>
          <w:lang w:val="es-ES"/>
        </w:rPr>
        <w:t>La pena de muerte en el sistema interamericano de derechos humanos: de restricciones a abolición</w:t>
      </w:r>
      <w:r w:rsidRPr="0056246C">
        <w:rPr>
          <w:rFonts w:asciiTheme="majorHAnsi" w:eastAsia="Cambria" w:hAnsiTheme="majorHAnsi" w:cs="Cambria"/>
          <w:sz w:val="16"/>
          <w:szCs w:val="16"/>
          <w:lang w:val="es-ES"/>
        </w:rPr>
        <w:t>, OEA/Ser.L/V/II.Doc. 68, 31 de diciembre de 2011.</w:t>
      </w:r>
    </w:p>
    <w:p w14:paraId="1BF9B031" w14:textId="77777777" w:rsidR="0032063E" w:rsidRPr="0040547A" w:rsidRDefault="0032063E" w:rsidP="0040547A">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E0A3" w14:textId="77777777" w:rsidR="0032063E" w:rsidRDefault="0032063E"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1248F9A" w14:textId="77777777" w:rsidR="0032063E" w:rsidRDefault="0032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9517" w14:textId="77777777" w:rsidR="0032063E" w:rsidRDefault="0032063E" w:rsidP="002C1641">
    <w:pPr>
      <w:pStyle w:val="Header"/>
      <w:tabs>
        <w:tab w:val="clear" w:pos="4320"/>
        <w:tab w:val="clear" w:pos="8640"/>
      </w:tabs>
      <w:jc w:val="center"/>
      <w:rPr>
        <w:sz w:val="22"/>
        <w:szCs w:val="22"/>
      </w:rPr>
    </w:pPr>
  </w:p>
  <w:p w14:paraId="0EA35F69" w14:textId="77777777" w:rsidR="0032063E" w:rsidRPr="00EC7D62" w:rsidRDefault="00B12078" w:rsidP="002C1641">
    <w:pPr>
      <w:pStyle w:val="Header"/>
      <w:tabs>
        <w:tab w:val="clear" w:pos="4320"/>
        <w:tab w:val="clear" w:pos="8640"/>
      </w:tabs>
      <w:jc w:val="center"/>
      <w:rPr>
        <w:sz w:val="22"/>
        <w:szCs w:val="22"/>
      </w:rPr>
    </w:pPr>
    <w:r>
      <w:rPr>
        <w:noProof/>
        <w:sz w:val="22"/>
        <w:szCs w:val="22"/>
        <w:bdr w:val="nil"/>
      </w:rPr>
      <w:pict w14:anchorId="572F169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4" w15:restartNumberingAfterBreak="0">
    <w:nsid w:val="10CB7825"/>
    <w:multiLevelType w:val="hybridMultilevel"/>
    <w:tmpl w:val="0B341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93EB6"/>
    <w:multiLevelType w:val="hybridMultilevel"/>
    <w:tmpl w:val="25FED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7" w15:restartNumberingAfterBreak="0">
    <w:nsid w:val="138B70D6"/>
    <w:multiLevelType w:val="hybridMultilevel"/>
    <w:tmpl w:val="2A346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Univers"/>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4"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9" w15:restartNumberingAfterBreak="0">
    <w:nsid w:val="2B42448A"/>
    <w:multiLevelType w:val="hybridMultilevel"/>
    <w:tmpl w:val="E9EED6E0"/>
    <w:lvl w:ilvl="0" w:tplc="088C45DC">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30"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Univers"/>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4"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6"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8" w15:restartNumberingAfterBreak="0">
    <w:nsid w:val="5B3C4519"/>
    <w:multiLevelType w:val="hybridMultilevel"/>
    <w:tmpl w:val="2E4C9852"/>
    <w:lvl w:ilvl="0" w:tplc="529A4590">
      <w:start w:val="1"/>
      <w:numFmt w:val="decimal"/>
      <w:lvlText w:val="%1."/>
      <w:lvlJc w:val="left"/>
      <w:pPr>
        <w:ind w:left="1170" w:hanging="360"/>
      </w:pPr>
      <w:rPr>
        <w:rFonts w:hint="default"/>
        <w:sz w:val="20"/>
        <w:szCs w:val="20"/>
      </w:rPr>
    </w:lvl>
    <w:lvl w:ilvl="1" w:tplc="837CCE94">
      <w:start w:val="1"/>
      <w:numFmt w:val="decimal"/>
      <w:lvlText w:val="%2."/>
      <w:lvlJc w:val="left"/>
      <w:pPr>
        <w:ind w:left="1890" w:hanging="360"/>
      </w:pPr>
      <w:rPr>
        <w:rFonts w:ascii="Cambria" w:hAnsi="Cambria" w:hint="default"/>
        <w:b w:val="0"/>
        <w:i w:val="0"/>
        <w:color w:val="auto"/>
        <w:sz w:val="20"/>
        <w:szCs w:val="20"/>
      </w:rPr>
    </w:lvl>
    <w:lvl w:ilvl="2" w:tplc="040A001B" w:tentative="1">
      <w:start w:val="1"/>
      <w:numFmt w:val="lowerRoman"/>
      <w:lvlText w:val="%3."/>
      <w:lvlJc w:val="right"/>
      <w:pPr>
        <w:ind w:left="2610" w:hanging="180"/>
      </w:pPr>
    </w:lvl>
    <w:lvl w:ilvl="3" w:tplc="040A000F" w:tentative="1">
      <w:start w:val="1"/>
      <w:numFmt w:val="decimal"/>
      <w:lvlText w:val="%4."/>
      <w:lvlJc w:val="left"/>
      <w:pPr>
        <w:ind w:left="3330" w:hanging="360"/>
      </w:pPr>
    </w:lvl>
    <w:lvl w:ilvl="4" w:tplc="040A0019" w:tentative="1">
      <w:start w:val="1"/>
      <w:numFmt w:val="lowerLetter"/>
      <w:lvlText w:val="%5."/>
      <w:lvlJc w:val="left"/>
      <w:pPr>
        <w:ind w:left="4050" w:hanging="360"/>
      </w:pPr>
    </w:lvl>
    <w:lvl w:ilvl="5" w:tplc="040A001B" w:tentative="1">
      <w:start w:val="1"/>
      <w:numFmt w:val="lowerRoman"/>
      <w:lvlText w:val="%6."/>
      <w:lvlJc w:val="right"/>
      <w:pPr>
        <w:ind w:left="4770" w:hanging="180"/>
      </w:pPr>
    </w:lvl>
    <w:lvl w:ilvl="6" w:tplc="040A000F" w:tentative="1">
      <w:start w:val="1"/>
      <w:numFmt w:val="decimal"/>
      <w:lvlText w:val="%7."/>
      <w:lvlJc w:val="left"/>
      <w:pPr>
        <w:ind w:left="5490" w:hanging="360"/>
      </w:pPr>
    </w:lvl>
    <w:lvl w:ilvl="7" w:tplc="040A0019" w:tentative="1">
      <w:start w:val="1"/>
      <w:numFmt w:val="lowerLetter"/>
      <w:lvlText w:val="%8."/>
      <w:lvlJc w:val="left"/>
      <w:pPr>
        <w:ind w:left="6210" w:hanging="360"/>
      </w:pPr>
    </w:lvl>
    <w:lvl w:ilvl="8" w:tplc="040A001B" w:tentative="1">
      <w:start w:val="1"/>
      <w:numFmt w:val="lowerRoman"/>
      <w:lvlText w:val="%9."/>
      <w:lvlJc w:val="right"/>
      <w:pPr>
        <w:ind w:left="693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50"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224374"/>
    <w:multiLevelType w:val="hybridMultilevel"/>
    <w:tmpl w:val="A688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55"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8" w15:restartNumberingAfterBreak="0">
    <w:nsid w:val="70786ED7"/>
    <w:multiLevelType w:val="hybridMultilevel"/>
    <w:tmpl w:val="EF08A930"/>
    <w:lvl w:ilvl="0" w:tplc="69020C3E">
      <w:start w:val="1"/>
      <w:numFmt w:val="upperRoman"/>
      <w:pStyle w:val="Heading1"/>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Univer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4"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num w:numId="1" w16cid:durableId="1425803730">
    <w:abstractNumId w:val="3"/>
  </w:num>
  <w:num w:numId="2" w16cid:durableId="1964773519">
    <w:abstractNumId w:val="6"/>
  </w:num>
  <w:num w:numId="3" w16cid:durableId="86342175">
    <w:abstractNumId w:val="62"/>
  </w:num>
  <w:num w:numId="4" w16cid:durableId="1406730403">
    <w:abstractNumId w:val="24"/>
  </w:num>
  <w:num w:numId="5" w16cid:durableId="1542286166">
    <w:abstractNumId w:val="54"/>
  </w:num>
  <w:num w:numId="6" w16cid:durableId="1833526862">
    <w:abstractNumId w:val="29"/>
  </w:num>
  <w:num w:numId="7" w16cid:durableId="1284120590">
    <w:abstractNumId w:val="8"/>
  </w:num>
  <w:num w:numId="8" w16cid:durableId="1580022262">
    <w:abstractNumId w:val="20"/>
  </w:num>
  <w:num w:numId="9" w16cid:durableId="1455757855">
    <w:abstractNumId w:val="45"/>
  </w:num>
  <w:num w:numId="10" w16cid:durableId="2133740342">
    <w:abstractNumId w:val="0"/>
  </w:num>
  <w:num w:numId="11" w16cid:durableId="1136995796">
    <w:abstractNumId w:val="39"/>
  </w:num>
  <w:num w:numId="12" w16cid:durableId="567033195">
    <w:abstractNumId w:val="40"/>
  </w:num>
  <w:num w:numId="13" w16cid:durableId="1855071253">
    <w:abstractNumId w:val="47"/>
  </w:num>
  <w:num w:numId="14" w16cid:durableId="130563378">
    <w:abstractNumId w:val="1"/>
  </w:num>
  <w:num w:numId="15" w16cid:durableId="604191645">
    <w:abstractNumId w:val="2"/>
  </w:num>
  <w:num w:numId="16" w16cid:durableId="404768096">
    <w:abstractNumId w:val="9"/>
  </w:num>
  <w:num w:numId="17" w16cid:durableId="206725345">
    <w:abstractNumId w:val="10"/>
  </w:num>
  <w:num w:numId="18" w16cid:durableId="1447695193">
    <w:abstractNumId w:val="11"/>
  </w:num>
  <w:num w:numId="19" w16cid:durableId="767697033">
    <w:abstractNumId w:val="12"/>
  </w:num>
  <w:num w:numId="20" w16cid:durableId="915018015">
    <w:abstractNumId w:val="13"/>
  </w:num>
  <w:num w:numId="21" w16cid:durableId="1436097969">
    <w:abstractNumId w:val="15"/>
  </w:num>
  <w:num w:numId="22" w16cid:durableId="856426640">
    <w:abstractNumId w:val="16"/>
  </w:num>
  <w:num w:numId="23" w16cid:durableId="2059737607">
    <w:abstractNumId w:val="17"/>
  </w:num>
  <w:num w:numId="24" w16cid:durableId="1472752088">
    <w:abstractNumId w:val="18"/>
  </w:num>
  <w:num w:numId="25" w16cid:durableId="534998086">
    <w:abstractNumId w:val="21"/>
  </w:num>
  <w:num w:numId="26" w16cid:durableId="1359157062">
    <w:abstractNumId w:val="22"/>
  </w:num>
  <w:num w:numId="27" w16cid:durableId="999650008">
    <w:abstractNumId w:val="25"/>
  </w:num>
  <w:num w:numId="28" w16cid:durableId="1603302177">
    <w:abstractNumId w:val="26"/>
  </w:num>
  <w:num w:numId="29" w16cid:durableId="787971845">
    <w:abstractNumId w:val="27"/>
  </w:num>
  <w:num w:numId="30" w16cid:durableId="1933321184">
    <w:abstractNumId w:val="28"/>
  </w:num>
  <w:num w:numId="31" w16cid:durableId="371075952">
    <w:abstractNumId w:val="31"/>
  </w:num>
  <w:num w:numId="32" w16cid:durableId="625743137">
    <w:abstractNumId w:val="32"/>
  </w:num>
  <w:num w:numId="33" w16cid:durableId="2031100255">
    <w:abstractNumId w:val="33"/>
  </w:num>
  <w:num w:numId="34" w16cid:durableId="2059552606">
    <w:abstractNumId w:val="34"/>
  </w:num>
  <w:num w:numId="35" w16cid:durableId="1695419682">
    <w:abstractNumId w:val="35"/>
  </w:num>
  <w:num w:numId="36" w16cid:durableId="2143427349">
    <w:abstractNumId w:val="36"/>
  </w:num>
  <w:num w:numId="37" w16cid:durableId="1469396806">
    <w:abstractNumId w:val="37"/>
  </w:num>
  <w:num w:numId="38" w16cid:durableId="451897475">
    <w:abstractNumId w:val="38"/>
  </w:num>
  <w:num w:numId="39" w16cid:durableId="402677490">
    <w:abstractNumId w:val="41"/>
  </w:num>
  <w:num w:numId="40" w16cid:durableId="1596009672">
    <w:abstractNumId w:val="42"/>
  </w:num>
  <w:num w:numId="41" w16cid:durableId="549803591">
    <w:abstractNumId w:val="53"/>
  </w:num>
  <w:num w:numId="42" w16cid:durableId="673186059">
    <w:abstractNumId w:val="56"/>
  </w:num>
  <w:num w:numId="43" w16cid:durableId="1491479785">
    <w:abstractNumId w:val="57"/>
  </w:num>
  <w:num w:numId="44" w16cid:durableId="1295600428">
    <w:abstractNumId w:val="60"/>
  </w:num>
  <w:num w:numId="45" w16cid:durableId="2035763022">
    <w:abstractNumId w:val="61"/>
  </w:num>
  <w:num w:numId="46" w16cid:durableId="2108575350">
    <w:abstractNumId w:val="63"/>
  </w:num>
  <w:num w:numId="47" w16cid:durableId="790976666">
    <w:abstractNumId w:val="65"/>
  </w:num>
  <w:num w:numId="48" w16cid:durableId="866068979">
    <w:abstractNumId w:val="66"/>
  </w:num>
  <w:num w:numId="49" w16cid:durableId="1031490159">
    <w:abstractNumId w:val="67"/>
  </w:num>
  <w:num w:numId="50" w16cid:durableId="496118887">
    <w:abstractNumId w:val="68"/>
  </w:num>
  <w:num w:numId="51" w16cid:durableId="279342535">
    <w:abstractNumId w:val="23"/>
  </w:num>
  <w:num w:numId="52" w16cid:durableId="317077435">
    <w:abstractNumId w:val="43"/>
  </w:num>
  <w:num w:numId="53" w16cid:durableId="1206023806">
    <w:abstractNumId w:val="58"/>
  </w:num>
  <w:num w:numId="54" w16cid:durableId="1433747264">
    <w:abstractNumId w:val="49"/>
  </w:num>
  <w:num w:numId="55" w16cid:durableId="1997759048">
    <w:abstractNumId w:val="51"/>
  </w:num>
  <w:num w:numId="56" w16cid:durableId="1658219144">
    <w:abstractNumId w:val="46"/>
  </w:num>
  <w:num w:numId="57" w16cid:durableId="1132598162">
    <w:abstractNumId w:val="55"/>
  </w:num>
  <w:num w:numId="58" w16cid:durableId="2105571653">
    <w:abstractNumId w:val="64"/>
  </w:num>
  <w:num w:numId="59" w16cid:durableId="476071756">
    <w:abstractNumId w:val="44"/>
  </w:num>
  <w:num w:numId="60" w16cid:durableId="1113864611">
    <w:abstractNumId w:val="30"/>
  </w:num>
  <w:num w:numId="61" w16cid:durableId="743721837">
    <w:abstractNumId w:val="14"/>
  </w:num>
  <w:num w:numId="62" w16cid:durableId="1440297170">
    <w:abstractNumId w:val="50"/>
  </w:num>
  <w:num w:numId="63" w16cid:durableId="879708757">
    <w:abstractNumId w:val="5"/>
  </w:num>
  <w:num w:numId="64" w16cid:durableId="1117064936">
    <w:abstractNumId w:val="19"/>
  </w:num>
  <w:num w:numId="65" w16cid:durableId="986207416">
    <w:abstractNumId w:val="59"/>
  </w:num>
  <w:num w:numId="66" w16cid:durableId="870655540">
    <w:abstractNumId w:val="4"/>
  </w:num>
  <w:num w:numId="67" w16cid:durableId="1786004783">
    <w:abstractNumId w:val="7"/>
  </w:num>
  <w:num w:numId="68" w16cid:durableId="441263166">
    <w:abstractNumId w:val="52"/>
  </w:num>
  <w:num w:numId="69" w16cid:durableId="670067779">
    <w:abstractNumId w:val="58"/>
  </w:num>
  <w:num w:numId="70" w16cid:durableId="866329297">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707"/>
    <w:rsid w:val="00000CB5"/>
    <w:rsid w:val="00000CDA"/>
    <w:rsid w:val="00001132"/>
    <w:rsid w:val="00001343"/>
    <w:rsid w:val="0000145C"/>
    <w:rsid w:val="000018F5"/>
    <w:rsid w:val="00001B5B"/>
    <w:rsid w:val="00002328"/>
    <w:rsid w:val="00002626"/>
    <w:rsid w:val="000027CC"/>
    <w:rsid w:val="000038CF"/>
    <w:rsid w:val="000043BF"/>
    <w:rsid w:val="00004774"/>
    <w:rsid w:val="000050CC"/>
    <w:rsid w:val="000055D1"/>
    <w:rsid w:val="00006932"/>
    <w:rsid w:val="00006DD7"/>
    <w:rsid w:val="00006E50"/>
    <w:rsid w:val="00006EDD"/>
    <w:rsid w:val="000070D7"/>
    <w:rsid w:val="0000756F"/>
    <w:rsid w:val="00007690"/>
    <w:rsid w:val="0000775B"/>
    <w:rsid w:val="00007B4D"/>
    <w:rsid w:val="00007C5F"/>
    <w:rsid w:val="00007CFF"/>
    <w:rsid w:val="00007D97"/>
    <w:rsid w:val="000105CE"/>
    <w:rsid w:val="00010877"/>
    <w:rsid w:val="00010A7E"/>
    <w:rsid w:val="00010E1E"/>
    <w:rsid w:val="00011094"/>
    <w:rsid w:val="000111A8"/>
    <w:rsid w:val="00011553"/>
    <w:rsid w:val="00011684"/>
    <w:rsid w:val="00011E4C"/>
    <w:rsid w:val="00011EB8"/>
    <w:rsid w:val="00012470"/>
    <w:rsid w:val="00012683"/>
    <w:rsid w:val="00012ADD"/>
    <w:rsid w:val="00012E4F"/>
    <w:rsid w:val="00013850"/>
    <w:rsid w:val="00013F78"/>
    <w:rsid w:val="000157B5"/>
    <w:rsid w:val="00015F42"/>
    <w:rsid w:val="000160EE"/>
    <w:rsid w:val="00016852"/>
    <w:rsid w:val="00017552"/>
    <w:rsid w:val="0001788C"/>
    <w:rsid w:val="00017FC5"/>
    <w:rsid w:val="00020344"/>
    <w:rsid w:val="00021201"/>
    <w:rsid w:val="00021F59"/>
    <w:rsid w:val="00022424"/>
    <w:rsid w:val="00023402"/>
    <w:rsid w:val="0002357A"/>
    <w:rsid w:val="000238BA"/>
    <w:rsid w:val="00024730"/>
    <w:rsid w:val="00024BB7"/>
    <w:rsid w:val="000250FC"/>
    <w:rsid w:val="00025D23"/>
    <w:rsid w:val="000265CB"/>
    <w:rsid w:val="0002681D"/>
    <w:rsid w:val="00026A6C"/>
    <w:rsid w:val="00027222"/>
    <w:rsid w:val="00027C37"/>
    <w:rsid w:val="0003022F"/>
    <w:rsid w:val="00030834"/>
    <w:rsid w:val="000308C1"/>
    <w:rsid w:val="00030A19"/>
    <w:rsid w:val="00030BAC"/>
    <w:rsid w:val="00031013"/>
    <w:rsid w:val="00031A82"/>
    <w:rsid w:val="000328C5"/>
    <w:rsid w:val="00032B68"/>
    <w:rsid w:val="00032BDA"/>
    <w:rsid w:val="0003324D"/>
    <w:rsid w:val="000332F4"/>
    <w:rsid w:val="00033498"/>
    <w:rsid w:val="000351D4"/>
    <w:rsid w:val="00035CE2"/>
    <w:rsid w:val="00036A8A"/>
    <w:rsid w:val="00037388"/>
    <w:rsid w:val="00037AB2"/>
    <w:rsid w:val="00037CC9"/>
    <w:rsid w:val="00040C3A"/>
    <w:rsid w:val="000418DE"/>
    <w:rsid w:val="00041C13"/>
    <w:rsid w:val="00042565"/>
    <w:rsid w:val="000427EE"/>
    <w:rsid w:val="000433B6"/>
    <w:rsid w:val="00043556"/>
    <w:rsid w:val="0004390C"/>
    <w:rsid w:val="000441A2"/>
    <w:rsid w:val="0004475F"/>
    <w:rsid w:val="00044DA8"/>
    <w:rsid w:val="00045151"/>
    <w:rsid w:val="00045601"/>
    <w:rsid w:val="000459E0"/>
    <w:rsid w:val="0004681B"/>
    <w:rsid w:val="0004761C"/>
    <w:rsid w:val="00047C7C"/>
    <w:rsid w:val="00047F35"/>
    <w:rsid w:val="00050526"/>
    <w:rsid w:val="000516F4"/>
    <w:rsid w:val="000517B2"/>
    <w:rsid w:val="00051D5E"/>
    <w:rsid w:val="00051EB4"/>
    <w:rsid w:val="000520FB"/>
    <w:rsid w:val="00053172"/>
    <w:rsid w:val="00054E1B"/>
    <w:rsid w:val="000550C0"/>
    <w:rsid w:val="00055110"/>
    <w:rsid w:val="000564E1"/>
    <w:rsid w:val="000572DC"/>
    <w:rsid w:val="000576AA"/>
    <w:rsid w:val="00057D4F"/>
    <w:rsid w:val="00057EDB"/>
    <w:rsid w:val="00060666"/>
    <w:rsid w:val="0006097A"/>
    <w:rsid w:val="0006097F"/>
    <w:rsid w:val="00061152"/>
    <w:rsid w:val="00062C0F"/>
    <w:rsid w:val="00062C28"/>
    <w:rsid w:val="00062FEC"/>
    <w:rsid w:val="000630E1"/>
    <w:rsid w:val="000639C0"/>
    <w:rsid w:val="00064BE5"/>
    <w:rsid w:val="00064D49"/>
    <w:rsid w:val="000657E1"/>
    <w:rsid w:val="000679BC"/>
    <w:rsid w:val="0007019C"/>
    <w:rsid w:val="0007060D"/>
    <w:rsid w:val="00070A43"/>
    <w:rsid w:val="00070B00"/>
    <w:rsid w:val="00070F3A"/>
    <w:rsid w:val="0007127E"/>
    <w:rsid w:val="0007143C"/>
    <w:rsid w:val="000716C5"/>
    <w:rsid w:val="00071A9D"/>
    <w:rsid w:val="00071E45"/>
    <w:rsid w:val="00073088"/>
    <w:rsid w:val="00074669"/>
    <w:rsid w:val="00075570"/>
    <w:rsid w:val="00075766"/>
    <w:rsid w:val="00075E23"/>
    <w:rsid w:val="000764E3"/>
    <w:rsid w:val="0007650E"/>
    <w:rsid w:val="00076D82"/>
    <w:rsid w:val="0007744E"/>
    <w:rsid w:val="00077A87"/>
    <w:rsid w:val="000801F8"/>
    <w:rsid w:val="00080249"/>
    <w:rsid w:val="00080357"/>
    <w:rsid w:val="00081658"/>
    <w:rsid w:val="00081EC3"/>
    <w:rsid w:val="000823DA"/>
    <w:rsid w:val="00082CBB"/>
    <w:rsid w:val="00082CF2"/>
    <w:rsid w:val="00082F7D"/>
    <w:rsid w:val="000830D5"/>
    <w:rsid w:val="0008319E"/>
    <w:rsid w:val="00083E19"/>
    <w:rsid w:val="00083E3C"/>
    <w:rsid w:val="00084032"/>
    <w:rsid w:val="00084427"/>
    <w:rsid w:val="00084A11"/>
    <w:rsid w:val="00084C5B"/>
    <w:rsid w:val="00084FE7"/>
    <w:rsid w:val="00085F08"/>
    <w:rsid w:val="00085F60"/>
    <w:rsid w:val="00085F65"/>
    <w:rsid w:val="00086BFA"/>
    <w:rsid w:val="0008733D"/>
    <w:rsid w:val="00090720"/>
    <w:rsid w:val="000913AB"/>
    <w:rsid w:val="00091707"/>
    <w:rsid w:val="000919DF"/>
    <w:rsid w:val="000922C5"/>
    <w:rsid w:val="000924E3"/>
    <w:rsid w:val="00092817"/>
    <w:rsid w:val="000929D9"/>
    <w:rsid w:val="00092D09"/>
    <w:rsid w:val="00092F32"/>
    <w:rsid w:val="00093055"/>
    <w:rsid w:val="0009344A"/>
    <w:rsid w:val="0009454E"/>
    <w:rsid w:val="000945BB"/>
    <w:rsid w:val="00094901"/>
    <w:rsid w:val="00094AFA"/>
    <w:rsid w:val="00094D32"/>
    <w:rsid w:val="00095575"/>
    <w:rsid w:val="0009575D"/>
    <w:rsid w:val="0009719E"/>
    <w:rsid w:val="000973C5"/>
    <w:rsid w:val="000975C0"/>
    <w:rsid w:val="00097966"/>
    <w:rsid w:val="00097DA5"/>
    <w:rsid w:val="000A0445"/>
    <w:rsid w:val="000A056E"/>
    <w:rsid w:val="000A0EF3"/>
    <w:rsid w:val="000A1126"/>
    <w:rsid w:val="000A16DB"/>
    <w:rsid w:val="000A16E4"/>
    <w:rsid w:val="000A1840"/>
    <w:rsid w:val="000A1E84"/>
    <w:rsid w:val="000A2085"/>
    <w:rsid w:val="000A20F7"/>
    <w:rsid w:val="000A250A"/>
    <w:rsid w:val="000A254B"/>
    <w:rsid w:val="000A3276"/>
    <w:rsid w:val="000A33F6"/>
    <w:rsid w:val="000A3E84"/>
    <w:rsid w:val="000A4138"/>
    <w:rsid w:val="000A4954"/>
    <w:rsid w:val="000A4BE5"/>
    <w:rsid w:val="000A4DDD"/>
    <w:rsid w:val="000A575F"/>
    <w:rsid w:val="000A584B"/>
    <w:rsid w:val="000A59A6"/>
    <w:rsid w:val="000A5B0F"/>
    <w:rsid w:val="000A62C0"/>
    <w:rsid w:val="000A650D"/>
    <w:rsid w:val="000A6C50"/>
    <w:rsid w:val="000A6DFC"/>
    <w:rsid w:val="000A77EF"/>
    <w:rsid w:val="000A7A76"/>
    <w:rsid w:val="000A7DBA"/>
    <w:rsid w:val="000B040F"/>
    <w:rsid w:val="000B1666"/>
    <w:rsid w:val="000B25FC"/>
    <w:rsid w:val="000B276D"/>
    <w:rsid w:val="000B2EF7"/>
    <w:rsid w:val="000B3618"/>
    <w:rsid w:val="000B4067"/>
    <w:rsid w:val="000B44C0"/>
    <w:rsid w:val="000B478D"/>
    <w:rsid w:val="000B4AEC"/>
    <w:rsid w:val="000B4DAF"/>
    <w:rsid w:val="000B4DBB"/>
    <w:rsid w:val="000B4EAA"/>
    <w:rsid w:val="000B50C3"/>
    <w:rsid w:val="000B64A7"/>
    <w:rsid w:val="000B68C7"/>
    <w:rsid w:val="000B6B28"/>
    <w:rsid w:val="000B6BC3"/>
    <w:rsid w:val="000B6F8A"/>
    <w:rsid w:val="000C0092"/>
    <w:rsid w:val="000C0149"/>
    <w:rsid w:val="000C04CF"/>
    <w:rsid w:val="000C067C"/>
    <w:rsid w:val="000C0CE1"/>
    <w:rsid w:val="000C1094"/>
    <w:rsid w:val="000C1587"/>
    <w:rsid w:val="000C1B5A"/>
    <w:rsid w:val="000C1FD3"/>
    <w:rsid w:val="000C293C"/>
    <w:rsid w:val="000C2AFD"/>
    <w:rsid w:val="000C35E0"/>
    <w:rsid w:val="000C376B"/>
    <w:rsid w:val="000C3F7B"/>
    <w:rsid w:val="000C5983"/>
    <w:rsid w:val="000C6FFD"/>
    <w:rsid w:val="000D090B"/>
    <w:rsid w:val="000D10DB"/>
    <w:rsid w:val="000D12D0"/>
    <w:rsid w:val="000D166E"/>
    <w:rsid w:val="000D1F3B"/>
    <w:rsid w:val="000D1FC7"/>
    <w:rsid w:val="000D3921"/>
    <w:rsid w:val="000D3B27"/>
    <w:rsid w:val="000D5691"/>
    <w:rsid w:val="000D6817"/>
    <w:rsid w:val="000D68F4"/>
    <w:rsid w:val="000D6EEF"/>
    <w:rsid w:val="000E0F8F"/>
    <w:rsid w:val="000E1356"/>
    <w:rsid w:val="000E2A4D"/>
    <w:rsid w:val="000E2BD0"/>
    <w:rsid w:val="000E3937"/>
    <w:rsid w:val="000E44C7"/>
    <w:rsid w:val="000E5679"/>
    <w:rsid w:val="000E56C3"/>
    <w:rsid w:val="000E69B3"/>
    <w:rsid w:val="000E6EDD"/>
    <w:rsid w:val="000E7140"/>
    <w:rsid w:val="000E7636"/>
    <w:rsid w:val="000E7ED0"/>
    <w:rsid w:val="000E7EF9"/>
    <w:rsid w:val="000E7F69"/>
    <w:rsid w:val="000F0A25"/>
    <w:rsid w:val="000F0E52"/>
    <w:rsid w:val="000F0EEC"/>
    <w:rsid w:val="000F158E"/>
    <w:rsid w:val="000F1BCC"/>
    <w:rsid w:val="000F1E39"/>
    <w:rsid w:val="000F214A"/>
    <w:rsid w:val="000F232B"/>
    <w:rsid w:val="000F2A83"/>
    <w:rsid w:val="000F2B0E"/>
    <w:rsid w:val="000F4547"/>
    <w:rsid w:val="000F4C8A"/>
    <w:rsid w:val="000F4D36"/>
    <w:rsid w:val="000F5C19"/>
    <w:rsid w:val="000F5E9D"/>
    <w:rsid w:val="000F70AE"/>
    <w:rsid w:val="000F7409"/>
    <w:rsid w:val="00100D45"/>
    <w:rsid w:val="00101553"/>
    <w:rsid w:val="00102348"/>
    <w:rsid w:val="001024E3"/>
    <w:rsid w:val="001025B1"/>
    <w:rsid w:val="001032AB"/>
    <w:rsid w:val="00103526"/>
    <w:rsid w:val="00104889"/>
    <w:rsid w:val="00104896"/>
    <w:rsid w:val="00104C50"/>
    <w:rsid w:val="00104ED3"/>
    <w:rsid w:val="00104FA4"/>
    <w:rsid w:val="00105433"/>
    <w:rsid w:val="00105462"/>
    <w:rsid w:val="00105DC1"/>
    <w:rsid w:val="00105E6E"/>
    <w:rsid w:val="001063FA"/>
    <w:rsid w:val="00106990"/>
    <w:rsid w:val="00107414"/>
    <w:rsid w:val="001122AE"/>
    <w:rsid w:val="00112617"/>
    <w:rsid w:val="001126EB"/>
    <w:rsid w:val="001127D0"/>
    <w:rsid w:val="00113149"/>
    <w:rsid w:val="00114527"/>
    <w:rsid w:val="00115009"/>
    <w:rsid w:val="0011681B"/>
    <w:rsid w:val="001168E8"/>
    <w:rsid w:val="00116ECF"/>
    <w:rsid w:val="00117507"/>
    <w:rsid w:val="00120585"/>
    <w:rsid w:val="00120763"/>
    <w:rsid w:val="00123ECD"/>
    <w:rsid w:val="00125D3B"/>
    <w:rsid w:val="001267FB"/>
    <w:rsid w:val="00127715"/>
    <w:rsid w:val="00130A27"/>
    <w:rsid w:val="00130DE9"/>
    <w:rsid w:val="00131042"/>
    <w:rsid w:val="0013104F"/>
    <w:rsid w:val="00131239"/>
    <w:rsid w:val="0013178F"/>
    <w:rsid w:val="00131B01"/>
    <w:rsid w:val="00131F28"/>
    <w:rsid w:val="001323BB"/>
    <w:rsid w:val="001331AD"/>
    <w:rsid w:val="001332F2"/>
    <w:rsid w:val="00133465"/>
    <w:rsid w:val="0013403C"/>
    <w:rsid w:val="001345FE"/>
    <w:rsid w:val="00134B21"/>
    <w:rsid w:val="00134FF0"/>
    <w:rsid w:val="001356BA"/>
    <w:rsid w:val="001357AD"/>
    <w:rsid w:val="0013624A"/>
    <w:rsid w:val="001365B6"/>
    <w:rsid w:val="001369FD"/>
    <w:rsid w:val="00137EBA"/>
    <w:rsid w:val="00137FBC"/>
    <w:rsid w:val="0014075D"/>
    <w:rsid w:val="00140921"/>
    <w:rsid w:val="00141BCB"/>
    <w:rsid w:val="00141DEA"/>
    <w:rsid w:val="00142223"/>
    <w:rsid w:val="00142AE8"/>
    <w:rsid w:val="00143507"/>
    <w:rsid w:val="00143E4B"/>
    <w:rsid w:val="00143EB9"/>
    <w:rsid w:val="00144208"/>
    <w:rsid w:val="00145EDC"/>
    <w:rsid w:val="00146086"/>
    <w:rsid w:val="0014619A"/>
    <w:rsid w:val="0014619D"/>
    <w:rsid w:val="00146571"/>
    <w:rsid w:val="00147723"/>
    <w:rsid w:val="00147812"/>
    <w:rsid w:val="001478AF"/>
    <w:rsid w:val="00147974"/>
    <w:rsid w:val="00147BB3"/>
    <w:rsid w:val="0015003F"/>
    <w:rsid w:val="001503E0"/>
    <w:rsid w:val="00150DD0"/>
    <w:rsid w:val="00152085"/>
    <w:rsid w:val="00152829"/>
    <w:rsid w:val="00152944"/>
    <w:rsid w:val="0015335C"/>
    <w:rsid w:val="00154179"/>
    <w:rsid w:val="001541B4"/>
    <w:rsid w:val="001550EA"/>
    <w:rsid w:val="001554E2"/>
    <w:rsid w:val="00155F1D"/>
    <w:rsid w:val="0015613B"/>
    <w:rsid w:val="001567DE"/>
    <w:rsid w:val="00157341"/>
    <w:rsid w:val="001577B2"/>
    <w:rsid w:val="00157A9F"/>
    <w:rsid w:val="001600A4"/>
    <w:rsid w:val="0016108B"/>
    <w:rsid w:val="00161150"/>
    <w:rsid w:val="00161160"/>
    <w:rsid w:val="00162AAD"/>
    <w:rsid w:val="00162CEF"/>
    <w:rsid w:val="001638DF"/>
    <w:rsid w:val="0016440B"/>
    <w:rsid w:val="0016465A"/>
    <w:rsid w:val="00166F26"/>
    <w:rsid w:val="00167A34"/>
    <w:rsid w:val="0017088C"/>
    <w:rsid w:val="00170952"/>
    <w:rsid w:val="00170976"/>
    <w:rsid w:val="001710D1"/>
    <w:rsid w:val="0017168D"/>
    <w:rsid w:val="00171725"/>
    <w:rsid w:val="001733D5"/>
    <w:rsid w:val="0017348C"/>
    <w:rsid w:val="001739DA"/>
    <w:rsid w:val="001739F5"/>
    <w:rsid w:val="00173A2B"/>
    <w:rsid w:val="0017404E"/>
    <w:rsid w:val="001747B4"/>
    <w:rsid w:val="00174911"/>
    <w:rsid w:val="00174F72"/>
    <w:rsid w:val="00175827"/>
    <w:rsid w:val="0017635E"/>
    <w:rsid w:val="0017642E"/>
    <w:rsid w:val="00177010"/>
    <w:rsid w:val="00177259"/>
    <w:rsid w:val="0018037F"/>
    <w:rsid w:val="001805B4"/>
    <w:rsid w:val="00180D3C"/>
    <w:rsid w:val="00180E3B"/>
    <w:rsid w:val="001810E2"/>
    <w:rsid w:val="00181186"/>
    <w:rsid w:val="001813CD"/>
    <w:rsid w:val="001819A8"/>
    <w:rsid w:val="00182A11"/>
    <w:rsid w:val="00182F27"/>
    <w:rsid w:val="00183AE6"/>
    <w:rsid w:val="00184083"/>
    <w:rsid w:val="001846E6"/>
    <w:rsid w:val="00184A3B"/>
    <w:rsid w:val="00184BFA"/>
    <w:rsid w:val="00184C6F"/>
    <w:rsid w:val="00186CA9"/>
    <w:rsid w:val="00187268"/>
    <w:rsid w:val="00187CED"/>
    <w:rsid w:val="00190214"/>
    <w:rsid w:val="001917D9"/>
    <w:rsid w:val="00191F07"/>
    <w:rsid w:val="00192BBE"/>
    <w:rsid w:val="0019332D"/>
    <w:rsid w:val="001937A5"/>
    <w:rsid w:val="00193AD5"/>
    <w:rsid w:val="00193C99"/>
    <w:rsid w:val="00194499"/>
    <w:rsid w:val="00195976"/>
    <w:rsid w:val="001965CC"/>
    <w:rsid w:val="00196A0A"/>
    <w:rsid w:val="0019748D"/>
    <w:rsid w:val="001A1776"/>
    <w:rsid w:val="001A2434"/>
    <w:rsid w:val="001A3A62"/>
    <w:rsid w:val="001A4608"/>
    <w:rsid w:val="001A4F37"/>
    <w:rsid w:val="001A5588"/>
    <w:rsid w:val="001A5F27"/>
    <w:rsid w:val="001A6423"/>
    <w:rsid w:val="001A64EB"/>
    <w:rsid w:val="001A6951"/>
    <w:rsid w:val="001A7214"/>
    <w:rsid w:val="001A7439"/>
    <w:rsid w:val="001A7870"/>
    <w:rsid w:val="001A7EDC"/>
    <w:rsid w:val="001B10A1"/>
    <w:rsid w:val="001B17B9"/>
    <w:rsid w:val="001B21F7"/>
    <w:rsid w:val="001B2492"/>
    <w:rsid w:val="001B2B37"/>
    <w:rsid w:val="001B3279"/>
    <w:rsid w:val="001B347D"/>
    <w:rsid w:val="001B353E"/>
    <w:rsid w:val="001B3895"/>
    <w:rsid w:val="001B4974"/>
    <w:rsid w:val="001B56BC"/>
    <w:rsid w:val="001B5F45"/>
    <w:rsid w:val="001B6073"/>
    <w:rsid w:val="001B7BA1"/>
    <w:rsid w:val="001C04BF"/>
    <w:rsid w:val="001C067A"/>
    <w:rsid w:val="001C152E"/>
    <w:rsid w:val="001C1B41"/>
    <w:rsid w:val="001C2003"/>
    <w:rsid w:val="001C2173"/>
    <w:rsid w:val="001C2919"/>
    <w:rsid w:val="001C3032"/>
    <w:rsid w:val="001C38BC"/>
    <w:rsid w:val="001C3B2D"/>
    <w:rsid w:val="001C3BAD"/>
    <w:rsid w:val="001C4006"/>
    <w:rsid w:val="001C48AF"/>
    <w:rsid w:val="001C548C"/>
    <w:rsid w:val="001C6025"/>
    <w:rsid w:val="001C68E7"/>
    <w:rsid w:val="001C6E0E"/>
    <w:rsid w:val="001C6F52"/>
    <w:rsid w:val="001C7B1C"/>
    <w:rsid w:val="001D0A93"/>
    <w:rsid w:val="001D0C61"/>
    <w:rsid w:val="001D1343"/>
    <w:rsid w:val="001D1408"/>
    <w:rsid w:val="001D1A17"/>
    <w:rsid w:val="001D1FC1"/>
    <w:rsid w:val="001D2946"/>
    <w:rsid w:val="001D328C"/>
    <w:rsid w:val="001D4D75"/>
    <w:rsid w:val="001D59B1"/>
    <w:rsid w:val="001D79DA"/>
    <w:rsid w:val="001D7B45"/>
    <w:rsid w:val="001E0270"/>
    <w:rsid w:val="001E1018"/>
    <w:rsid w:val="001E10CA"/>
    <w:rsid w:val="001E163E"/>
    <w:rsid w:val="001E2867"/>
    <w:rsid w:val="001E2C73"/>
    <w:rsid w:val="001E3060"/>
    <w:rsid w:val="001E39A6"/>
    <w:rsid w:val="001E3D8C"/>
    <w:rsid w:val="001E3F3E"/>
    <w:rsid w:val="001E477E"/>
    <w:rsid w:val="001E4D7D"/>
    <w:rsid w:val="001E53FB"/>
    <w:rsid w:val="001E5A1A"/>
    <w:rsid w:val="001E5E1E"/>
    <w:rsid w:val="001E5F04"/>
    <w:rsid w:val="001E699E"/>
    <w:rsid w:val="001E6C37"/>
    <w:rsid w:val="001E7672"/>
    <w:rsid w:val="001F0943"/>
    <w:rsid w:val="001F0B72"/>
    <w:rsid w:val="001F0BD8"/>
    <w:rsid w:val="001F16C8"/>
    <w:rsid w:val="001F3B00"/>
    <w:rsid w:val="001F3CD7"/>
    <w:rsid w:val="001F3D15"/>
    <w:rsid w:val="001F4294"/>
    <w:rsid w:val="001F5BE9"/>
    <w:rsid w:val="001F62D9"/>
    <w:rsid w:val="001F66AA"/>
    <w:rsid w:val="001F7015"/>
    <w:rsid w:val="001F71DA"/>
    <w:rsid w:val="00201715"/>
    <w:rsid w:val="00201F31"/>
    <w:rsid w:val="00202359"/>
    <w:rsid w:val="002027D1"/>
    <w:rsid w:val="00202A19"/>
    <w:rsid w:val="00203307"/>
    <w:rsid w:val="00203587"/>
    <w:rsid w:val="00203841"/>
    <w:rsid w:val="00204924"/>
    <w:rsid w:val="00204DFD"/>
    <w:rsid w:val="002056C8"/>
    <w:rsid w:val="0020586E"/>
    <w:rsid w:val="002062FB"/>
    <w:rsid w:val="00206A36"/>
    <w:rsid w:val="00206EA6"/>
    <w:rsid w:val="00207544"/>
    <w:rsid w:val="0021055A"/>
    <w:rsid w:val="00210E0E"/>
    <w:rsid w:val="00211876"/>
    <w:rsid w:val="0021240C"/>
    <w:rsid w:val="00212B35"/>
    <w:rsid w:val="00212CAA"/>
    <w:rsid w:val="002132CB"/>
    <w:rsid w:val="00213838"/>
    <w:rsid w:val="00213A2F"/>
    <w:rsid w:val="002155D7"/>
    <w:rsid w:val="00215755"/>
    <w:rsid w:val="00215813"/>
    <w:rsid w:val="0021591D"/>
    <w:rsid w:val="00215981"/>
    <w:rsid w:val="00215CE2"/>
    <w:rsid w:val="002175C0"/>
    <w:rsid w:val="00217D6A"/>
    <w:rsid w:val="002208F4"/>
    <w:rsid w:val="0022169F"/>
    <w:rsid w:val="00222050"/>
    <w:rsid w:val="002226AA"/>
    <w:rsid w:val="00223245"/>
    <w:rsid w:val="00225375"/>
    <w:rsid w:val="002256AE"/>
    <w:rsid w:val="00226552"/>
    <w:rsid w:val="002277C3"/>
    <w:rsid w:val="00230054"/>
    <w:rsid w:val="0023061B"/>
    <w:rsid w:val="00231CD1"/>
    <w:rsid w:val="00232A19"/>
    <w:rsid w:val="002347C2"/>
    <w:rsid w:val="00234ADF"/>
    <w:rsid w:val="002351E7"/>
    <w:rsid w:val="00236057"/>
    <w:rsid w:val="00236FA5"/>
    <w:rsid w:val="002378F0"/>
    <w:rsid w:val="00240631"/>
    <w:rsid w:val="0024070A"/>
    <w:rsid w:val="00241B9E"/>
    <w:rsid w:val="00241EC7"/>
    <w:rsid w:val="0024247E"/>
    <w:rsid w:val="00242855"/>
    <w:rsid w:val="00243387"/>
    <w:rsid w:val="0024379B"/>
    <w:rsid w:val="0024466F"/>
    <w:rsid w:val="00245446"/>
    <w:rsid w:val="0024571C"/>
    <w:rsid w:val="002467B4"/>
    <w:rsid w:val="00246D03"/>
    <w:rsid w:val="00246E7D"/>
    <w:rsid w:val="00246FE2"/>
    <w:rsid w:val="00247019"/>
    <w:rsid w:val="00247403"/>
    <w:rsid w:val="00247542"/>
    <w:rsid w:val="00247592"/>
    <w:rsid w:val="00247B06"/>
    <w:rsid w:val="00250662"/>
    <w:rsid w:val="00250B61"/>
    <w:rsid w:val="00250F0E"/>
    <w:rsid w:val="00250F42"/>
    <w:rsid w:val="00252FB1"/>
    <w:rsid w:val="00253096"/>
    <w:rsid w:val="002535F1"/>
    <w:rsid w:val="00253F1B"/>
    <w:rsid w:val="00255140"/>
    <w:rsid w:val="002552DF"/>
    <w:rsid w:val="0025532E"/>
    <w:rsid w:val="00255475"/>
    <w:rsid w:val="00255759"/>
    <w:rsid w:val="00255A63"/>
    <w:rsid w:val="00255E39"/>
    <w:rsid w:val="00256020"/>
    <w:rsid w:val="0025654E"/>
    <w:rsid w:val="00256813"/>
    <w:rsid w:val="00256D45"/>
    <w:rsid w:val="00256DDA"/>
    <w:rsid w:val="0025757C"/>
    <w:rsid w:val="00257893"/>
    <w:rsid w:val="0026109F"/>
    <w:rsid w:val="0026154C"/>
    <w:rsid w:val="002616C9"/>
    <w:rsid w:val="00262482"/>
    <w:rsid w:val="002626A2"/>
    <w:rsid w:val="002626F5"/>
    <w:rsid w:val="00262ECA"/>
    <w:rsid w:val="00263B2B"/>
    <w:rsid w:val="00264033"/>
    <w:rsid w:val="00264225"/>
    <w:rsid w:val="00264870"/>
    <w:rsid w:val="0026487D"/>
    <w:rsid w:val="00264944"/>
    <w:rsid w:val="00265354"/>
    <w:rsid w:val="00266092"/>
    <w:rsid w:val="00266775"/>
    <w:rsid w:val="002669F0"/>
    <w:rsid w:val="00266B61"/>
    <w:rsid w:val="0026712A"/>
    <w:rsid w:val="00267891"/>
    <w:rsid w:val="00267EF0"/>
    <w:rsid w:val="002701A7"/>
    <w:rsid w:val="0027027C"/>
    <w:rsid w:val="002704DB"/>
    <w:rsid w:val="002704E0"/>
    <w:rsid w:val="0027057B"/>
    <w:rsid w:val="00270C7A"/>
    <w:rsid w:val="00271175"/>
    <w:rsid w:val="00272596"/>
    <w:rsid w:val="00272854"/>
    <w:rsid w:val="00272A02"/>
    <w:rsid w:val="00272DAF"/>
    <w:rsid w:val="00272DEF"/>
    <w:rsid w:val="00272F7D"/>
    <w:rsid w:val="00273032"/>
    <w:rsid w:val="002730F6"/>
    <w:rsid w:val="00273176"/>
    <w:rsid w:val="00273645"/>
    <w:rsid w:val="00273817"/>
    <w:rsid w:val="00274F86"/>
    <w:rsid w:val="002759B3"/>
    <w:rsid w:val="00275FC9"/>
    <w:rsid w:val="00276C31"/>
    <w:rsid w:val="00277783"/>
    <w:rsid w:val="00277CC3"/>
    <w:rsid w:val="0028111A"/>
    <w:rsid w:val="00282785"/>
    <w:rsid w:val="00282807"/>
    <w:rsid w:val="00283121"/>
    <w:rsid w:val="00283909"/>
    <w:rsid w:val="00284E33"/>
    <w:rsid w:val="00284E86"/>
    <w:rsid w:val="00285D4D"/>
    <w:rsid w:val="002860B1"/>
    <w:rsid w:val="002869C6"/>
    <w:rsid w:val="00287642"/>
    <w:rsid w:val="00287680"/>
    <w:rsid w:val="00287A26"/>
    <w:rsid w:val="00290094"/>
    <w:rsid w:val="00291C7D"/>
    <w:rsid w:val="00292239"/>
    <w:rsid w:val="00292CEC"/>
    <w:rsid w:val="00292E86"/>
    <w:rsid w:val="00292EEC"/>
    <w:rsid w:val="0029397E"/>
    <w:rsid w:val="00293AEB"/>
    <w:rsid w:val="00293B75"/>
    <w:rsid w:val="0029445B"/>
    <w:rsid w:val="0029466E"/>
    <w:rsid w:val="00294727"/>
    <w:rsid w:val="00294B4A"/>
    <w:rsid w:val="00294FA9"/>
    <w:rsid w:val="0029615A"/>
    <w:rsid w:val="002963E4"/>
    <w:rsid w:val="00296572"/>
    <w:rsid w:val="002966C2"/>
    <w:rsid w:val="0029715B"/>
    <w:rsid w:val="00297288"/>
    <w:rsid w:val="0029754B"/>
    <w:rsid w:val="00297C9F"/>
    <w:rsid w:val="002A00C2"/>
    <w:rsid w:val="002A036F"/>
    <w:rsid w:val="002A03BA"/>
    <w:rsid w:val="002A05B1"/>
    <w:rsid w:val="002A07A8"/>
    <w:rsid w:val="002A1C6E"/>
    <w:rsid w:val="002A1D6A"/>
    <w:rsid w:val="002A1DEF"/>
    <w:rsid w:val="002A2195"/>
    <w:rsid w:val="002A24D4"/>
    <w:rsid w:val="002A2720"/>
    <w:rsid w:val="002A2836"/>
    <w:rsid w:val="002A2E09"/>
    <w:rsid w:val="002A3311"/>
    <w:rsid w:val="002A36FE"/>
    <w:rsid w:val="002A39B9"/>
    <w:rsid w:val="002A3A4E"/>
    <w:rsid w:val="002A3CD5"/>
    <w:rsid w:val="002A53FA"/>
    <w:rsid w:val="002A6F65"/>
    <w:rsid w:val="002A733A"/>
    <w:rsid w:val="002A7A01"/>
    <w:rsid w:val="002A7ACE"/>
    <w:rsid w:val="002B008D"/>
    <w:rsid w:val="002B01A2"/>
    <w:rsid w:val="002B0744"/>
    <w:rsid w:val="002B0BE7"/>
    <w:rsid w:val="002B110C"/>
    <w:rsid w:val="002B1184"/>
    <w:rsid w:val="002B1A65"/>
    <w:rsid w:val="002B1AE6"/>
    <w:rsid w:val="002B2AB5"/>
    <w:rsid w:val="002B2BCD"/>
    <w:rsid w:val="002B30E6"/>
    <w:rsid w:val="002B3A92"/>
    <w:rsid w:val="002B4889"/>
    <w:rsid w:val="002B4B61"/>
    <w:rsid w:val="002B54C1"/>
    <w:rsid w:val="002B5F8A"/>
    <w:rsid w:val="002B7740"/>
    <w:rsid w:val="002C0899"/>
    <w:rsid w:val="002C10D7"/>
    <w:rsid w:val="002C1641"/>
    <w:rsid w:val="002C1EB3"/>
    <w:rsid w:val="002C3312"/>
    <w:rsid w:val="002C3671"/>
    <w:rsid w:val="002C3D66"/>
    <w:rsid w:val="002C4070"/>
    <w:rsid w:val="002C4DD9"/>
    <w:rsid w:val="002C58D2"/>
    <w:rsid w:val="002C5A89"/>
    <w:rsid w:val="002C5EC4"/>
    <w:rsid w:val="002C68A5"/>
    <w:rsid w:val="002D033F"/>
    <w:rsid w:val="002D10B0"/>
    <w:rsid w:val="002D2782"/>
    <w:rsid w:val="002D2C07"/>
    <w:rsid w:val="002D36D6"/>
    <w:rsid w:val="002D45C2"/>
    <w:rsid w:val="002D4CA0"/>
    <w:rsid w:val="002D4E22"/>
    <w:rsid w:val="002D5B26"/>
    <w:rsid w:val="002D5B60"/>
    <w:rsid w:val="002D628F"/>
    <w:rsid w:val="002D6E69"/>
    <w:rsid w:val="002D7DC4"/>
    <w:rsid w:val="002D7EA2"/>
    <w:rsid w:val="002E03A4"/>
    <w:rsid w:val="002E10DC"/>
    <w:rsid w:val="002E14FF"/>
    <w:rsid w:val="002E15DF"/>
    <w:rsid w:val="002E187C"/>
    <w:rsid w:val="002E18E3"/>
    <w:rsid w:val="002E1CDE"/>
    <w:rsid w:val="002E2451"/>
    <w:rsid w:val="002E349E"/>
    <w:rsid w:val="002E35D7"/>
    <w:rsid w:val="002E3C15"/>
    <w:rsid w:val="002E432F"/>
    <w:rsid w:val="002E4F78"/>
    <w:rsid w:val="002E5CB6"/>
    <w:rsid w:val="002E5CE1"/>
    <w:rsid w:val="002E61E7"/>
    <w:rsid w:val="002E6267"/>
    <w:rsid w:val="002E6465"/>
    <w:rsid w:val="002E6E57"/>
    <w:rsid w:val="002E755E"/>
    <w:rsid w:val="002E78C1"/>
    <w:rsid w:val="002E7E79"/>
    <w:rsid w:val="002F097A"/>
    <w:rsid w:val="002F15EA"/>
    <w:rsid w:val="002F1626"/>
    <w:rsid w:val="002F17C9"/>
    <w:rsid w:val="002F1A6B"/>
    <w:rsid w:val="002F1B00"/>
    <w:rsid w:val="002F26D5"/>
    <w:rsid w:val="002F2D41"/>
    <w:rsid w:val="002F2E1F"/>
    <w:rsid w:val="002F3202"/>
    <w:rsid w:val="002F3554"/>
    <w:rsid w:val="002F3598"/>
    <w:rsid w:val="002F35CB"/>
    <w:rsid w:val="002F3D27"/>
    <w:rsid w:val="002F414B"/>
    <w:rsid w:val="002F443F"/>
    <w:rsid w:val="002F4602"/>
    <w:rsid w:val="002F503E"/>
    <w:rsid w:val="002F5E45"/>
    <w:rsid w:val="002F6201"/>
    <w:rsid w:val="002F63D9"/>
    <w:rsid w:val="002F6C1E"/>
    <w:rsid w:val="002F6ECD"/>
    <w:rsid w:val="002F7B0F"/>
    <w:rsid w:val="00301075"/>
    <w:rsid w:val="0030148A"/>
    <w:rsid w:val="003014EA"/>
    <w:rsid w:val="00301B3D"/>
    <w:rsid w:val="00301F71"/>
    <w:rsid w:val="00302733"/>
    <w:rsid w:val="00303707"/>
    <w:rsid w:val="00303B04"/>
    <w:rsid w:val="0030446B"/>
    <w:rsid w:val="00304509"/>
    <w:rsid w:val="00304EED"/>
    <w:rsid w:val="00304FBA"/>
    <w:rsid w:val="0030501D"/>
    <w:rsid w:val="0030600F"/>
    <w:rsid w:val="00306184"/>
    <w:rsid w:val="00306234"/>
    <w:rsid w:val="00306856"/>
    <w:rsid w:val="00306D2A"/>
    <w:rsid w:val="003078C0"/>
    <w:rsid w:val="00307C8D"/>
    <w:rsid w:val="00310227"/>
    <w:rsid w:val="0031107E"/>
    <w:rsid w:val="003112C6"/>
    <w:rsid w:val="00311A4F"/>
    <w:rsid w:val="003121F4"/>
    <w:rsid w:val="00313332"/>
    <w:rsid w:val="00314078"/>
    <w:rsid w:val="00314C20"/>
    <w:rsid w:val="003157E2"/>
    <w:rsid w:val="00315905"/>
    <w:rsid w:val="0031603C"/>
    <w:rsid w:val="00316559"/>
    <w:rsid w:val="0031724D"/>
    <w:rsid w:val="00317255"/>
    <w:rsid w:val="00317386"/>
    <w:rsid w:val="00317E8A"/>
    <w:rsid w:val="00320402"/>
    <w:rsid w:val="0032063E"/>
    <w:rsid w:val="00320A64"/>
    <w:rsid w:val="00321A96"/>
    <w:rsid w:val="00322398"/>
    <w:rsid w:val="00322450"/>
    <w:rsid w:val="00323194"/>
    <w:rsid w:val="003241CF"/>
    <w:rsid w:val="003245A7"/>
    <w:rsid w:val="003246B5"/>
    <w:rsid w:val="003249CF"/>
    <w:rsid w:val="00325862"/>
    <w:rsid w:val="003262D9"/>
    <w:rsid w:val="003267B5"/>
    <w:rsid w:val="00326963"/>
    <w:rsid w:val="00326AC3"/>
    <w:rsid w:val="00327501"/>
    <w:rsid w:val="0032764A"/>
    <w:rsid w:val="00330196"/>
    <w:rsid w:val="00330C56"/>
    <w:rsid w:val="00330E0E"/>
    <w:rsid w:val="0033161A"/>
    <w:rsid w:val="00331687"/>
    <w:rsid w:val="0033169F"/>
    <w:rsid w:val="00332152"/>
    <w:rsid w:val="003330D2"/>
    <w:rsid w:val="0033414F"/>
    <w:rsid w:val="0033463E"/>
    <w:rsid w:val="00335466"/>
    <w:rsid w:val="0033551B"/>
    <w:rsid w:val="00335DF1"/>
    <w:rsid w:val="00336085"/>
    <w:rsid w:val="003362C3"/>
    <w:rsid w:val="00336F08"/>
    <w:rsid w:val="0033706A"/>
    <w:rsid w:val="003371DA"/>
    <w:rsid w:val="003374B9"/>
    <w:rsid w:val="00337546"/>
    <w:rsid w:val="003378E0"/>
    <w:rsid w:val="00337961"/>
    <w:rsid w:val="00337C43"/>
    <w:rsid w:val="003407E0"/>
    <w:rsid w:val="00340A95"/>
    <w:rsid w:val="003410A6"/>
    <w:rsid w:val="003414AC"/>
    <w:rsid w:val="003414E6"/>
    <w:rsid w:val="00342070"/>
    <w:rsid w:val="00342AF4"/>
    <w:rsid w:val="00342F3E"/>
    <w:rsid w:val="00343261"/>
    <w:rsid w:val="0034357F"/>
    <w:rsid w:val="003447BB"/>
    <w:rsid w:val="00344B38"/>
    <w:rsid w:val="003464A2"/>
    <w:rsid w:val="0034654D"/>
    <w:rsid w:val="00346D16"/>
    <w:rsid w:val="00347742"/>
    <w:rsid w:val="0034794C"/>
    <w:rsid w:val="00347AF6"/>
    <w:rsid w:val="00350BB3"/>
    <w:rsid w:val="00350C9E"/>
    <w:rsid w:val="0035129B"/>
    <w:rsid w:val="003518AC"/>
    <w:rsid w:val="003520F3"/>
    <w:rsid w:val="003521EC"/>
    <w:rsid w:val="003538F7"/>
    <w:rsid w:val="00353B65"/>
    <w:rsid w:val="00354353"/>
    <w:rsid w:val="00354744"/>
    <w:rsid w:val="0035485A"/>
    <w:rsid w:val="00355779"/>
    <w:rsid w:val="0035611D"/>
    <w:rsid w:val="00356185"/>
    <w:rsid w:val="003566A9"/>
    <w:rsid w:val="00357206"/>
    <w:rsid w:val="00357C4D"/>
    <w:rsid w:val="00357D78"/>
    <w:rsid w:val="00360380"/>
    <w:rsid w:val="00360BA7"/>
    <w:rsid w:val="0036137D"/>
    <w:rsid w:val="00361EB7"/>
    <w:rsid w:val="00362FE0"/>
    <w:rsid w:val="0036346A"/>
    <w:rsid w:val="00364148"/>
    <w:rsid w:val="00365D52"/>
    <w:rsid w:val="00366182"/>
    <w:rsid w:val="00366DBE"/>
    <w:rsid w:val="00367305"/>
    <w:rsid w:val="00367444"/>
    <w:rsid w:val="003675B8"/>
    <w:rsid w:val="00370357"/>
    <w:rsid w:val="00370DD4"/>
    <w:rsid w:val="003712A0"/>
    <w:rsid w:val="003712A2"/>
    <w:rsid w:val="003712A7"/>
    <w:rsid w:val="00371EFD"/>
    <w:rsid w:val="0037269A"/>
    <w:rsid w:val="00372C5E"/>
    <w:rsid w:val="00372F8E"/>
    <w:rsid w:val="00373790"/>
    <w:rsid w:val="003741EF"/>
    <w:rsid w:val="00374410"/>
    <w:rsid w:val="003745F9"/>
    <w:rsid w:val="00374940"/>
    <w:rsid w:val="00374FC9"/>
    <w:rsid w:val="003750C8"/>
    <w:rsid w:val="003759D2"/>
    <w:rsid w:val="00376244"/>
    <w:rsid w:val="00376653"/>
    <w:rsid w:val="00377AD8"/>
    <w:rsid w:val="00377DD7"/>
    <w:rsid w:val="00380645"/>
    <w:rsid w:val="00380A1D"/>
    <w:rsid w:val="00380B68"/>
    <w:rsid w:val="00380C85"/>
    <w:rsid w:val="00380CEB"/>
    <w:rsid w:val="00380DA1"/>
    <w:rsid w:val="00380ECF"/>
    <w:rsid w:val="0038209A"/>
    <w:rsid w:val="00382463"/>
    <w:rsid w:val="00382598"/>
    <w:rsid w:val="00382B98"/>
    <w:rsid w:val="00382CE7"/>
    <w:rsid w:val="0038330F"/>
    <w:rsid w:val="00384072"/>
    <w:rsid w:val="0038421B"/>
    <w:rsid w:val="003858ED"/>
    <w:rsid w:val="00385B08"/>
    <w:rsid w:val="00385C97"/>
    <w:rsid w:val="00385EF8"/>
    <w:rsid w:val="00386959"/>
    <w:rsid w:val="00386CF0"/>
    <w:rsid w:val="00386FEA"/>
    <w:rsid w:val="00387480"/>
    <w:rsid w:val="003902B2"/>
    <w:rsid w:val="0039061F"/>
    <w:rsid w:val="00390A8A"/>
    <w:rsid w:val="00390D19"/>
    <w:rsid w:val="00390E3C"/>
    <w:rsid w:val="00391CD8"/>
    <w:rsid w:val="00392FEA"/>
    <w:rsid w:val="00393C8E"/>
    <w:rsid w:val="00394608"/>
    <w:rsid w:val="0039471C"/>
    <w:rsid w:val="00394A5D"/>
    <w:rsid w:val="00394D87"/>
    <w:rsid w:val="003954CE"/>
    <w:rsid w:val="00396106"/>
    <w:rsid w:val="00396211"/>
    <w:rsid w:val="0039640C"/>
    <w:rsid w:val="003964BF"/>
    <w:rsid w:val="00397B1B"/>
    <w:rsid w:val="003A104B"/>
    <w:rsid w:val="003A187E"/>
    <w:rsid w:val="003A1AE3"/>
    <w:rsid w:val="003A27F4"/>
    <w:rsid w:val="003A2DC1"/>
    <w:rsid w:val="003A2E2E"/>
    <w:rsid w:val="003A3C43"/>
    <w:rsid w:val="003A4790"/>
    <w:rsid w:val="003A485E"/>
    <w:rsid w:val="003A4B42"/>
    <w:rsid w:val="003A4EDD"/>
    <w:rsid w:val="003A527A"/>
    <w:rsid w:val="003A5EB5"/>
    <w:rsid w:val="003A6019"/>
    <w:rsid w:val="003A632E"/>
    <w:rsid w:val="003A71F1"/>
    <w:rsid w:val="003A7BFE"/>
    <w:rsid w:val="003B2C86"/>
    <w:rsid w:val="003B2CF5"/>
    <w:rsid w:val="003B349D"/>
    <w:rsid w:val="003B3E94"/>
    <w:rsid w:val="003B55AA"/>
    <w:rsid w:val="003B560F"/>
    <w:rsid w:val="003B57D0"/>
    <w:rsid w:val="003B5B32"/>
    <w:rsid w:val="003B5B98"/>
    <w:rsid w:val="003B5C8C"/>
    <w:rsid w:val="003B63A0"/>
    <w:rsid w:val="003B640E"/>
    <w:rsid w:val="003B6423"/>
    <w:rsid w:val="003B6609"/>
    <w:rsid w:val="003B66DC"/>
    <w:rsid w:val="003B6950"/>
    <w:rsid w:val="003B6D56"/>
    <w:rsid w:val="003C2732"/>
    <w:rsid w:val="003C32BC"/>
    <w:rsid w:val="003C3722"/>
    <w:rsid w:val="003C4BC0"/>
    <w:rsid w:val="003C54AD"/>
    <w:rsid w:val="003C6480"/>
    <w:rsid w:val="003C669C"/>
    <w:rsid w:val="003C7061"/>
    <w:rsid w:val="003C70BD"/>
    <w:rsid w:val="003C7271"/>
    <w:rsid w:val="003C78CF"/>
    <w:rsid w:val="003D0A3F"/>
    <w:rsid w:val="003D0ABB"/>
    <w:rsid w:val="003D0C05"/>
    <w:rsid w:val="003D0D3E"/>
    <w:rsid w:val="003D13BA"/>
    <w:rsid w:val="003D1B14"/>
    <w:rsid w:val="003D1E49"/>
    <w:rsid w:val="003D2871"/>
    <w:rsid w:val="003D28BB"/>
    <w:rsid w:val="003D2C7F"/>
    <w:rsid w:val="003D3435"/>
    <w:rsid w:val="003D3484"/>
    <w:rsid w:val="003D3507"/>
    <w:rsid w:val="003D37C4"/>
    <w:rsid w:val="003D3CD4"/>
    <w:rsid w:val="003D3E1C"/>
    <w:rsid w:val="003D40A7"/>
    <w:rsid w:val="003D4A67"/>
    <w:rsid w:val="003D4DC0"/>
    <w:rsid w:val="003D5176"/>
    <w:rsid w:val="003D51A2"/>
    <w:rsid w:val="003D5317"/>
    <w:rsid w:val="003D5A38"/>
    <w:rsid w:val="003D5CD7"/>
    <w:rsid w:val="003D5F18"/>
    <w:rsid w:val="003D706E"/>
    <w:rsid w:val="003D79BC"/>
    <w:rsid w:val="003D7B9A"/>
    <w:rsid w:val="003E06A3"/>
    <w:rsid w:val="003E0852"/>
    <w:rsid w:val="003E1408"/>
    <w:rsid w:val="003E1FEC"/>
    <w:rsid w:val="003E2564"/>
    <w:rsid w:val="003E366F"/>
    <w:rsid w:val="003E3DD2"/>
    <w:rsid w:val="003E49F8"/>
    <w:rsid w:val="003E4D93"/>
    <w:rsid w:val="003E4E8A"/>
    <w:rsid w:val="003E51F3"/>
    <w:rsid w:val="003E520F"/>
    <w:rsid w:val="003E5342"/>
    <w:rsid w:val="003E6039"/>
    <w:rsid w:val="003E60B8"/>
    <w:rsid w:val="003E621E"/>
    <w:rsid w:val="003E65E7"/>
    <w:rsid w:val="003E68BB"/>
    <w:rsid w:val="003E6FB6"/>
    <w:rsid w:val="003E70A6"/>
    <w:rsid w:val="003E7380"/>
    <w:rsid w:val="003E745C"/>
    <w:rsid w:val="003E7E90"/>
    <w:rsid w:val="003F0153"/>
    <w:rsid w:val="003F03FA"/>
    <w:rsid w:val="003F0B2B"/>
    <w:rsid w:val="003F1230"/>
    <w:rsid w:val="003F1434"/>
    <w:rsid w:val="003F1820"/>
    <w:rsid w:val="003F1950"/>
    <w:rsid w:val="003F1BBF"/>
    <w:rsid w:val="003F2A75"/>
    <w:rsid w:val="003F2D46"/>
    <w:rsid w:val="003F393E"/>
    <w:rsid w:val="003F42C4"/>
    <w:rsid w:val="003F5436"/>
    <w:rsid w:val="003F5BB0"/>
    <w:rsid w:val="003F6707"/>
    <w:rsid w:val="003F7001"/>
    <w:rsid w:val="003F7161"/>
    <w:rsid w:val="00400E6B"/>
    <w:rsid w:val="00400EA4"/>
    <w:rsid w:val="004010E9"/>
    <w:rsid w:val="004018EA"/>
    <w:rsid w:val="004022E4"/>
    <w:rsid w:val="00402332"/>
    <w:rsid w:val="00404333"/>
    <w:rsid w:val="00404A51"/>
    <w:rsid w:val="00404EFC"/>
    <w:rsid w:val="00404F22"/>
    <w:rsid w:val="00405388"/>
    <w:rsid w:val="0040547A"/>
    <w:rsid w:val="00405991"/>
    <w:rsid w:val="00405C11"/>
    <w:rsid w:val="00405F19"/>
    <w:rsid w:val="00406721"/>
    <w:rsid w:val="00406CB6"/>
    <w:rsid w:val="0040735D"/>
    <w:rsid w:val="0040759C"/>
    <w:rsid w:val="004075CF"/>
    <w:rsid w:val="00407F3D"/>
    <w:rsid w:val="00410323"/>
    <w:rsid w:val="00410483"/>
    <w:rsid w:val="00410925"/>
    <w:rsid w:val="00411571"/>
    <w:rsid w:val="00411932"/>
    <w:rsid w:val="004122AE"/>
    <w:rsid w:val="00413B37"/>
    <w:rsid w:val="004142F6"/>
    <w:rsid w:val="004142FD"/>
    <w:rsid w:val="004155D1"/>
    <w:rsid w:val="00415BAE"/>
    <w:rsid w:val="004165C2"/>
    <w:rsid w:val="00417263"/>
    <w:rsid w:val="00417356"/>
    <w:rsid w:val="0041797E"/>
    <w:rsid w:val="00417E33"/>
    <w:rsid w:val="004201BB"/>
    <w:rsid w:val="00421ECF"/>
    <w:rsid w:val="00422D64"/>
    <w:rsid w:val="0042334E"/>
    <w:rsid w:val="00423909"/>
    <w:rsid w:val="004251BB"/>
    <w:rsid w:val="004254D0"/>
    <w:rsid w:val="004255D2"/>
    <w:rsid w:val="004256FD"/>
    <w:rsid w:val="0042574B"/>
    <w:rsid w:val="00425BC5"/>
    <w:rsid w:val="0042692E"/>
    <w:rsid w:val="00426A93"/>
    <w:rsid w:val="00426B2E"/>
    <w:rsid w:val="00426DB7"/>
    <w:rsid w:val="004273FF"/>
    <w:rsid w:val="00427406"/>
    <w:rsid w:val="00427487"/>
    <w:rsid w:val="0042749C"/>
    <w:rsid w:val="00427B63"/>
    <w:rsid w:val="00430A33"/>
    <w:rsid w:val="00430E07"/>
    <w:rsid w:val="00432731"/>
    <w:rsid w:val="004330B5"/>
    <w:rsid w:val="004332C3"/>
    <w:rsid w:val="00433505"/>
    <w:rsid w:val="00435B99"/>
    <w:rsid w:val="00436C66"/>
    <w:rsid w:val="0043700E"/>
    <w:rsid w:val="00437266"/>
    <w:rsid w:val="004413C0"/>
    <w:rsid w:val="00441954"/>
    <w:rsid w:val="00441D48"/>
    <w:rsid w:val="00442747"/>
    <w:rsid w:val="00443E6F"/>
    <w:rsid w:val="00444596"/>
    <w:rsid w:val="004452A8"/>
    <w:rsid w:val="004455F2"/>
    <w:rsid w:val="00445786"/>
    <w:rsid w:val="00445C74"/>
    <w:rsid w:val="0044656D"/>
    <w:rsid w:val="00446F15"/>
    <w:rsid w:val="0044706E"/>
    <w:rsid w:val="00447468"/>
    <w:rsid w:val="00447B8F"/>
    <w:rsid w:val="00450A4A"/>
    <w:rsid w:val="00450D96"/>
    <w:rsid w:val="0045180D"/>
    <w:rsid w:val="00451A25"/>
    <w:rsid w:val="00451E96"/>
    <w:rsid w:val="00452810"/>
    <w:rsid w:val="00452DAB"/>
    <w:rsid w:val="00453073"/>
    <w:rsid w:val="00453332"/>
    <w:rsid w:val="00453466"/>
    <w:rsid w:val="0045376B"/>
    <w:rsid w:val="00454492"/>
    <w:rsid w:val="0045481D"/>
    <w:rsid w:val="004550A3"/>
    <w:rsid w:val="00455165"/>
    <w:rsid w:val="0045524E"/>
    <w:rsid w:val="00457228"/>
    <w:rsid w:val="00457616"/>
    <w:rsid w:val="00457B89"/>
    <w:rsid w:val="004600B9"/>
    <w:rsid w:val="00460177"/>
    <w:rsid w:val="0046041C"/>
    <w:rsid w:val="00460513"/>
    <w:rsid w:val="0046072C"/>
    <w:rsid w:val="0046208F"/>
    <w:rsid w:val="00462248"/>
    <w:rsid w:val="00462781"/>
    <w:rsid w:val="00462F9A"/>
    <w:rsid w:val="004630F5"/>
    <w:rsid w:val="00463D79"/>
    <w:rsid w:val="004641C1"/>
    <w:rsid w:val="004642EF"/>
    <w:rsid w:val="0046574C"/>
    <w:rsid w:val="004660D1"/>
    <w:rsid w:val="0046622A"/>
    <w:rsid w:val="004666FB"/>
    <w:rsid w:val="00466A8C"/>
    <w:rsid w:val="00467542"/>
    <w:rsid w:val="00467972"/>
    <w:rsid w:val="00467B7E"/>
    <w:rsid w:val="00467CF1"/>
    <w:rsid w:val="0047006D"/>
    <w:rsid w:val="004704A9"/>
    <w:rsid w:val="00471149"/>
    <w:rsid w:val="004712D1"/>
    <w:rsid w:val="00471927"/>
    <w:rsid w:val="00471BC8"/>
    <w:rsid w:val="00471C4A"/>
    <w:rsid w:val="00471EC7"/>
    <w:rsid w:val="004730AF"/>
    <w:rsid w:val="00473463"/>
    <w:rsid w:val="004740BF"/>
    <w:rsid w:val="004743E0"/>
    <w:rsid w:val="00474819"/>
    <w:rsid w:val="00475527"/>
    <w:rsid w:val="00475FEB"/>
    <w:rsid w:val="00476B10"/>
    <w:rsid w:val="00477BE3"/>
    <w:rsid w:val="00477C46"/>
    <w:rsid w:val="00477D29"/>
    <w:rsid w:val="00481142"/>
    <w:rsid w:val="0048119E"/>
    <w:rsid w:val="00481C1F"/>
    <w:rsid w:val="00482208"/>
    <w:rsid w:val="00482528"/>
    <w:rsid w:val="00482644"/>
    <w:rsid w:val="00483146"/>
    <w:rsid w:val="00483697"/>
    <w:rsid w:val="00483974"/>
    <w:rsid w:val="00483D9E"/>
    <w:rsid w:val="004840CE"/>
    <w:rsid w:val="00484B2F"/>
    <w:rsid w:val="00484F80"/>
    <w:rsid w:val="004850C2"/>
    <w:rsid w:val="004855D8"/>
    <w:rsid w:val="0048612B"/>
    <w:rsid w:val="00486773"/>
    <w:rsid w:val="0048683A"/>
    <w:rsid w:val="00486A15"/>
    <w:rsid w:val="00486D1F"/>
    <w:rsid w:val="0048701C"/>
    <w:rsid w:val="00487254"/>
    <w:rsid w:val="00487318"/>
    <w:rsid w:val="00487358"/>
    <w:rsid w:val="004900BD"/>
    <w:rsid w:val="004907E1"/>
    <w:rsid w:val="00490BE7"/>
    <w:rsid w:val="00490C98"/>
    <w:rsid w:val="00490FC7"/>
    <w:rsid w:val="00491384"/>
    <w:rsid w:val="00493254"/>
    <w:rsid w:val="00493649"/>
    <w:rsid w:val="0049419D"/>
    <w:rsid w:val="00494B61"/>
    <w:rsid w:val="00495029"/>
    <w:rsid w:val="00495396"/>
    <w:rsid w:val="00495CD7"/>
    <w:rsid w:val="004962B8"/>
    <w:rsid w:val="004965A8"/>
    <w:rsid w:val="00496687"/>
    <w:rsid w:val="00496C69"/>
    <w:rsid w:val="00496DBC"/>
    <w:rsid w:val="00497448"/>
    <w:rsid w:val="0049749D"/>
    <w:rsid w:val="004977D3"/>
    <w:rsid w:val="00497D5E"/>
    <w:rsid w:val="00497D68"/>
    <w:rsid w:val="004A0088"/>
    <w:rsid w:val="004A00E5"/>
    <w:rsid w:val="004A02E5"/>
    <w:rsid w:val="004A0977"/>
    <w:rsid w:val="004A17A5"/>
    <w:rsid w:val="004A1B66"/>
    <w:rsid w:val="004A1EEA"/>
    <w:rsid w:val="004A29AF"/>
    <w:rsid w:val="004A2B9D"/>
    <w:rsid w:val="004A3698"/>
    <w:rsid w:val="004A37A5"/>
    <w:rsid w:val="004A3806"/>
    <w:rsid w:val="004A3DC4"/>
    <w:rsid w:val="004A4A3E"/>
    <w:rsid w:val="004A4DB0"/>
    <w:rsid w:val="004A4F52"/>
    <w:rsid w:val="004A514F"/>
    <w:rsid w:val="004A5407"/>
    <w:rsid w:val="004A576E"/>
    <w:rsid w:val="004A7B58"/>
    <w:rsid w:val="004B0263"/>
    <w:rsid w:val="004B07B9"/>
    <w:rsid w:val="004B2762"/>
    <w:rsid w:val="004B2DE8"/>
    <w:rsid w:val="004B2F7D"/>
    <w:rsid w:val="004B388C"/>
    <w:rsid w:val="004B3B3C"/>
    <w:rsid w:val="004B3C84"/>
    <w:rsid w:val="004B40A9"/>
    <w:rsid w:val="004B45B7"/>
    <w:rsid w:val="004B4E6F"/>
    <w:rsid w:val="004B567D"/>
    <w:rsid w:val="004B577F"/>
    <w:rsid w:val="004B62CE"/>
    <w:rsid w:val="004B7EB6"/>
    <w:rsid w:val="004C0878"/>
    <w:rsid w:val="004C0C19"/>
    <w:rsid w:val="004C0FE4"/>
    <w:rsid w:val="004C127B"/>
    <w:rsid w:val="004C17B4"/>
    <w:rsid w:val="004C1EE6"/>
    <w:rsid w:val="004C26B9"/>
    <w:rsid w:val="004C284F"/>
    <w:rsid w:val="004C2E2F"/>
    <w:rsid w:val="004C4A47"/>
    <w:rsid w:val="004C4B62"/>
    <w:rsid w:val="004C56A6"/>
    <w:rsid w:val="004C599D"/>
    <w:rsid w:val="004C64DA"/>
    <w:rsid w:val="004C68B8"/>
    <w:rsid w:val="004C6FAC"/>
    <w:rsid w:val="004C7257"/>
    <w:rsid w:val="004C758F"/>
    <w:rsid w:val="004C77DC"/>
    <w:rsid w:val="004C7EE2"/>
    <w:rsid w:val="004D0229"/>
    <w:rsid w:val="004D0C08"/>
    <w:rsid w:val="004D18DA"/>
    <w:rsid w:val="004D21AE"/>
    <w:rsid w:val="004D27DE"/>
    <w:rsid w:val="004D28C5"/>
    <w:rsid w:val="004D37B1"/>
    <w:rsid w:val="004D4782"/>
    <w:rsid w:val="004D4A6A"/>
    <w:rsid w:val="004D4D1B"/>
    <w:rsid w:val="004D5088"/>
    <w:rsid w:val="004D519A"/>
    <w:rsid w:val="004D53E4"/>
    <w:rsid w:val="004D6025"/>
    <w:rsid w:val="004D657F"/>
    <w:rsid w:val="004D72BC"/>
    <w:rsid w:val="004D7566"/>
    <w:rsid w:val="004D78B4"/>
    <w:rsid w:val="004E0EBD"/>
    <w:rsid w:val="004E164B"/>
    <w:rsid w:val="004E2452"/>
    <w:rsid w:val="004E25D5"/>
    <w:rsid w:val="004E3178"/>
    <w:rsid w:val="004E3928"/>
    <w:rsid w:val="004E3A16"/>
    <w:rsid w:val="004E4761"/>
    <w:rsid w:val="004E6889"/>
    <w:rsid w:val="004E6B90"/>
    <w:rsid w:val="004E6C9C"/>
    <w:rsid w:val="004E729F"/>
    <w:rsid w:val="004F04A5"/>
    <w:rsid w:val="004F0842"/>
    <w:rsid w:val="004F1086"/>
    <w:rsid w:val="004F15C4"/>
    <w:rsid w:val="004F16E8"/>
    <w:rsid w:val="004F1DAD"/>
    <w:rsid w:val="004F263F"/>
    <w:rsid w:val="004F2694"/>
    <w:rsid w:val="004F2EBF"/>
    <w:rsid w:val="004F2FC4"/>
    <w:rsid w:val="004F37CA"/>
    <w:rsid w:val="004F3905"/>
    <w:rsid w:val="004F3B00"/>
    <w:rsid w:val="004F441A"/>
    <w:rsid w:val="004F4AEF"/>
    <w:rsid w:val="004F4C1C"/>
    <w:rsid w:val="004F530D"/>
    <w:rsid w:val="004F5466"/>
    <w:rsid w:val="004F6949"/>
    <w:rsid w:val="004F69EA"/>
    <w:rsid w:val="004F69ED"/>
    <w:rsid w:val="004F6FEE"/>
    <w:rsid w:val="004F70ED"/>
    <w:rsid w:val="00500142"/>
    <w:rsid w:val="005008C7"/>
    <w:rsid w:val="00500D46"/>
    <w:rsid w:val="0050128F"/>
    <w:rsid w:val="00501399"/>
    <w:rsid w:val="00501C65"/>
    <w:rsid w:val="00501DFB"/>
    <w:rsid w:val="005028FE"/>
    <w:rsid w:val="00502E35"/>
    <w:rsid w:val="00503804"/>
    <w:rsid w:val="00503C4C"/>
    <w:rsid w:val="0050536C"/>
    <w:rsid w:val="00505B63"/>
    <w:rsid w:val="005066A4"/>
    <w:rsid w:val="005068B0"/>
    <w:rsid w:val="00506C98"/>
    <w:rsid w:val="00507534"/>
    <w:rsid w:val="00507BC4"/>
    <w:rsid w:val="00510311"/>
    <w:rsid w:val="00511671"/>
    <w:rsid w:val="00511CE5"/>
    <w:rsid w:val="005126DA"/>
    <w:rsid w:val="005128E4"/>
    <w:rsid w:val="00512A35"/>
    <w:rsid w:val="00513229"/>
    <w:rsid w:val="0051436D"/>
    <w:rsid w:val="005152B7"/>
    <w:rsid w:val="00516BBE"/>
    <w:rsid w:val="0052142D"/>
    <w:rsid w:val="00521909"/>
    <w:rsid w:val="0052217A"/>
    <w:rsid w:val="005223AF"/>
    <w:rsid w:val="00522FF1"/>
    <w:rsid w:val="00523977"/>
    <w:rsid w:val="0052411B"/>
    <w:rsid w:val="00524268"/>
    <w:rsid w:val="00524748"/>
    <w:rsid w:val="0052498A"/>
    <w:rsid w:val="00525278"/>
    <w:rsid w:val="00525560"/>
    <w:rsid w:val="00525A81"/>
    <w:rsid w:val="00525C32"/>
    <w:rsid w:val="00525F05"/>
    <w:rsid w:val="00526204"/>
    <w:rsid w:val="005267AC"/>
    <w:rsid w:val="00527461"/>
    <w:rsid w:val="00530295"/>
    <w:rsid w:val="00530412"/>
    <w:rsid w:val="00530B2B"/>
    <w:rsid w:val="00530C37"/>
    <w:rsid w:val="00531008"/>
    <w:rsid w:val="0053187E"/>
    <w:rsid w:val="00531EC5"/>
    <w:rsid w:val="005325F6"/>
    <w:rsid w:val="00532F64"/>
    <w:rsid w:val="00533CF3"/>
    <w:rsid w:val="005343C0"/>
    <w:rsid w:val="005346E1"/>
    <w:rsid w:val="005348AB"/>
    <w:rsid w:val="00535135"/>
    <w:rsid w:val="005357A6"/>
    <w:rsid w:val="0053592E"/>
    <w:rsid w:val="00535FF9"/>
    <w:rsid w:val="005366E5"/>
    <w:rsid w:val="005367D0"/>
    <w:rsid w:val="00536848"/>
    <w:rsid w:val="00536B9E"/>
    <w:rsid w:val="005374B7"/>
    <w:rsid w:val="0053755D"/>
    <w:rsid w:val="00537B13"/>
    <w:rsid w:val="005401F2"/>
    <w:rsid w:val="00540AEC"/>
    <w:rsid w:val="005411B3"/>
    <w:rsid w:val="005411BE"/>
    <w:rsid w:val="005417F8"/>
    <w:rsid w:val="00541B01"/>
    <w:rsid w:val="00541E39"/>
    <w:rsid w:val="005422EF"/>
    <w:rsid w:val="005425FB"/>
    <w:rsid w:val="005430A6"/>
    <w:rsid w:val="00543705"/>
    <w:rsid w:val="005439C3"/>
    <w:rsid w:val="00543E08"/>
    <w:rsid w:val="00544127"/>
    <w:rsid w:val="00544278"/>
    <w:rsid w:val="00544C49"/>
    <w:rsid w:val="0054561F"/>
    <w:rsid w:val="005456B2"/>
    <w:rsid w:val="0054591A"/>
    <w:rsid w:val="00547100"/>
    <w:rsid w:val="00547C5D"/>
    <w:rsid w:val="00547EB7"/>
    <w:rsid w:val="00550141"/>
    <w:rsid w:val="0055033A"/>
    <w:rsid w:val="0055160C"/>
    <w:rsid w:val="00551B83"/>
    <w:rsid w:val="00551C71"/>
    <w:rsid w:val="00552BE8"/>
    <w:rsid w:val="00552FC3"/>
    <w:rsid w:val="005531BB"/>
    <w:rsid w:val="005536B8"/>
    <w:rsid w:val="00553EC6"/>
    <w:rsid w:val="00554AD7"/>
    <w:rsid w:val="00554BAB"/>
    <w:rsid w:val="005557F2"/>
    <w:rsid w:val="00555A6E"/>
    <w:rsid w:val="00556CBA"/>
    <w:rsid w:val="00557C07"/>
    <w:rsid w:val="00560AD7"/>
    <w:rsid w:val="00561652"/>
    <w:rsid w:val="0056246C"/>
    <w:rsid w:val="00562740"/>
    <w:rsid w:val="005627AC"/>
    <w:rsid w:val="005627FD"/>
    <w:rsid w:val="00562E4A"/>
    <w:rsid w:val="005633E7"/>
    <w:rsid w:val="0056351E"/>
    <w:rsid w:val="00563F04"/>
    <w:rsid w:val="0056432A"/>
    <w:rsid w:val="00565B4B"/>
    <w:rsid w:val="00566646"/>
    <w:rsid w:val="005706EF"/>
    <w:rsid w:val="00570AF2"/>
    <w:rsid w:val="00570EC6"/>
    <w:rsid w:val="00571247"/>
    <w:rsid w:val="005728E2"/>
    <w:rsid w:val="005733B9"/>
    <w:rsid w:val="0057402A"/>
    <w:rsid w:val="00574148"/>
    <w:rsid w:val="005744A4"/>
    <w:rsid w:val="005755D5"/>
    <w:rsid w:val="00575C82"/>
    <w:rsid w:val="005764DD"/>
    <w:rsid w:val="00576832"/>
    <w:rsid w:val="00576B5B"/>
    <w:rsid w:val="00576D19"/>
    <w:rsid w:val="005771D0"/>
    <w:rsid w:val="00577B28"/>
    <w:rsid w:val="00577ED6"/>
    <w:rsid w:val="0058022B"/>
    <w:rsid w:val="0058058F"/>
    <w:rsid w:val="0058161C"/>
    <w:rsid w:val="00581ACD"/>
    <w:rsid w:val="00582378"/>
    <w:rsid w:val="00582750"/>
    <w:rsid w:val="005827BF"/>
    <w:rsid w:val="00583123"/>
    <w:rsid w:val="005833F0"/>
    <w:rsid w:val="0058343A"/>
    <w:rsid w:val="00584599"/>
    <w:rsid w:val="00584C28"/>
    <w:rsid w:val="00585D66"/>
    <w:rsid w:val="00585DED"/>
    <w:rsid w:val="005868C5"/>
    <w:rsid w:val="00587964"/>
    <w:rsid w:val="00587D7B"/>
    <w:rsid w:val="00590236"/>
    <w:rsid w:val="005902A3"/>
    <w:rsid w:val="0059066D"/>
    <w:rsid w:val="00590BF3"/>
    <w:rsid w:val="00590C43"/>
    <w:rsid w:val="005910C0"/>
    <w:rsid w:val="00591267"/>
    <w:rsid w:val="00591663"/>
    <w:rsid w:val="005916E2"/>
    <w:rsid w:val="0059191A"/>
    <w:rsid w:val="00591B96"/>
    <w:rsid w:val="00591F60"/>
    <w:rsid w:val="005921FF"/>
    <w:rsid w:val="005922C5"/>
    <w:rsid w:val="0059318E"/>
    <w:rsid w:val="005937E2"/>
    <w:rsid w:val="00594CE1"/>
    <w:rsid w:val="00596514"/>
    <w:rsid w:val="00596694"/>
    <w:rsid w:val="0059670F"/>
    <w:rsid w:val="00596ABE"/>
    <w:rsid w:val="00596AD3"/>
    <w:rsid w:val="00596F42"/>
    <w:rsid w:val="00597162"/>
    <w:rsid w:val="0059770B"/>
    <w:rsid w:val="00597C8A"/>
    <w:rsid w:val="00597E00"/>
    <w:rsid w:val="005A0410"/>
    <w:rsid w:val="005A20B8"/>
    <w:rsid w:val="005A21FA"/>
    <w:rsid w:val="005A23A4"/>
    <w:rsid w:val="005A2E9B"/>
    <w:rsid w:val="005A425D"/>
    <w:rsid w:val="005A482E"/>
    <w:rsid w:val="005A5172"/>
    <w:rsid w:val="005A6205"/>
    <w:rsid w:val="005A6D0E"/>
    <w:rsid w:val="005A6E50"/>
    <w:rsid w:val="005A734E"/>
    <w:rsid w:val="005A7AD8"/>
    <w:rsid w:val="005B0001"/>
    <w:rsid w:val="005B08CF"/>
    <w:rsid w:val="005B222D"/>
    <w:rsid w:val="005B28A7"/>
    <w:rsid w:val="005B39AB"/>
    <w:rsid w:val="005B3DEC"/>
    <w:rsid w:val="005B3EF2"/>
    <w:rsid w:val="005B501B"/>
    <w:rsid w:val="005B50CE"/>
    <w:rsid w:val="005B52B0"/>
    <w:rsid w:val="005B67DE"/>
    <w:rsid w:val="005B6806"/>
    <w:rsid w:val="005B711D"/>
    <w:rsid w:val="005B7522"/>
    <w:rsid w:val="005B7BC5"/>
    <w:rsid w:val="005C00C6"/>
    <w:rsid w:val="005C00F9"/>
    <w:rsid w:val="005C05FA"/>
    <w:rsid w:val="005C164F"/>
    <w:rsid w:val="005C17CB"/>
    <w:rsid w:val="005C1853"/>
    <w:rsid w:val="005C1A8D"/>
    <w:rsid w:val="005C1D3C"/>
    <w:rsid w:val="005C1D8E"/>
    <w:rsid w:val="005C207A"/>
    <w:rsid w:val="005C23BD"/>
    <w:rsid w:val="005C288D"/>
    <w:rsid w:val="005C2BA2"/>
    <w:rsid w:val="005C2E02"/>
    <w:rsid w:val="005C3149"/>
    <w:rsid w:val="005C4011"/>
    <w:rsid w:val="005C4225"/>
    <w:rsid w:val="005C428E"/>
    <w:rsid w:val="005C4AF4"/>
    <w:rsid w:val="005C5E2B"/>
    <w:rsid w:val="005C5F93"/>
    <w:rsid w:val="005C717C"/>
    <w:rsid w:val="005D0AC5"/>
    <w:rsid w:val="005D0FBF"/>
    <w:rsid w:val="005D1076"/>
    <w:rsid w:val="005D19E7"/>
    <w:rsid w:val="005D1B5D"/>
    <w:rsid w:val="005D3F64"/>
    <w:rsid w:val="005D50AD"/>
    <w:rsid w:val="005D55A5"/>
    <w:rsid w:val="005D5C54"/>
    <w:rsid w:val="005D5C5B"/>
    <w:rsid w:val="005D5DED"/>
    <w:rsid w:val="005D6891"/>
    <w:rsid w:val="005D6A03"/>
    <w:rsid w:val="005D6A8E"/>
    <w:rsid w:val="005D6AC4"/>
    <w:rsid w:val="005D6B2C"/>
    <w:rsid w:val="005D7191"/>
    <w:rsid w:val="005D7280"/>
    <w:rsid w:val="005D738A"/>
    <w:rsid w:val="005D7740"/>
    <w:rsid w:val="005E09BC"/>
    <w:rsid w:val="005E19D5"/>
    <w:rsid w:val="005E1D4B"/>
    <w:rsid w:val="005E2A06"/>
    <w:rsid w:val="005E2BDE"/>
    <w:rsid w:val="005E3396"/>
    <w:rsid w:val="005E47EE"/>
    <w:rsid w:val="005E49AA"/>
    <w:rsid w:val="005E4A95"/>
    <w:rsid w:val="005E5196"/>
    <w:rsid w:val="005E5258"/>
    <w:rsid w:val="005E5419"/>
    <w:rsid w:val="005E6564"/>
    <w:rsid w:val="005E6C0C"/>
    <w:rsid w:val="005E6EE3"/>
    <w:rsid w:val="005E70A4"/>
    <w:rsid w:val="005E726D"/>
    <w:rsid w:val="005E74C5"/>
    <w:rsid w:val="005E7642"/>
    <w:rsid w:val="005E772D"/>
    <w:rsid w:val="005F0CEC"/>
    <w:rsid w:val="005F0F33"/>
    <w:rsid w:val="005F1025"/>
    <w:rsid w:val="005F1C54"/>
    <w:rsid w:val="005F238A"/>
    <w:rsid w:val="005F2A0D"/>
    <w:rsid w:val="005F32A0"/>
    <w:rsid w:val="005F3F11"/>
    <w:rsid w:val="005F5456"/>
    <w:rsid w:val="005F55DC"/>
    <w:rsid w:val="005F66C7"/>
    <w:rsid w:val="005F6785"/>
    <w:rsid w:val="005F6935"/>
    <w:rsid w:val="005F7459"/>
    <w:rsid w:val="005F7C35"/>
    <w:rsid w:val="0060040E"/>
    <w:rsid w:val="006005C1"/>
    <w:rsid w:val="00600711"/>
    <w:rsid w:val="00600A96"/>
    <w:rsid w:val="00600DEB"/>
    <w:rsid w:val="00600EE3"/>
    <w:rsid w:val="00602146"/>
    <w:rsid w:val="006021BB"/>
    <w:rsid w:val="00602B9B"/>
    <w:rsid w:val="00603428"/>
    <w:rsid w:val="00603949"/>
    <w:rsid w:val="00603D6F"/>
    <w:rsid w:val="00604107"/>
    <w:rsid w:val="00604B83"/>
    <w:rsid w:val="006059FA"/>
    <w:rsid w:val="00605CBE"/>
    <w:rsid w:val="006063BA"/>
    <w:rsid w:val="00607F83"/>
    <w:rsid w:val="006112EF"/>
    <w:rsid w:val="0061144C"/>
    <w:rsid w:val="0061250B"/>
    <w:rsid w:val="00612D8E"/>
    <w:rsid w:val="00612E1C"/>
    <w:rsid w:val="00613027"/>
    <w:rsid w:val="006130E4"/>
    <w:rsid w:val="00613120"/>
    <w:rsid w:val="00613A08"/>
    <w:rsid w:val="0061412F"/>
    <w:rsid w:val="00614153"/>
    <w:rsid w:val="00614AE8"/>
    <w:rsid w:val="00615073"/>
    <w:rsid w:val="0061546B"/>
    <w:rsid w:val="00616320"/>
    <w:rsid w:val="00617156"/>
    <w:rsid w:val="006177F7"/>
    <w:rsid w:val="00617B09"/>
    <w:rsid w:val="00617EFC"/>
    <w:rsid w:val="006206FF"/>
    <w:rsid w:val="00620715"/>
    <w:rsid w:val="00620A30"/>
    <w:rsid w:val="00620A65"/>
    <w:rsid w:val="00620B75"/>
    <w:rsid w:val="00621073"/>
    <w:rsid w:val="006225B7"/>
    <w:rsid w:val="00622843"/>
    <w:rsid w:val="00622BFA"/>
    <w:rsid w:val="006232C2"/>
    <w:rsid w:val="00623324"/>
    <w:rsid w:val="00623347"/>
    <w:rsid w:val="006238CB"/>
    <w:rsid w:val="0062433B"/>
    <w:rsid w:val="00624716"/>
    <w:rsid w:val="006247DB"/>
    <w:rsid w:val="00624B14"/>
    <w:rsid w:val="00624E66"/>
    <w:rsid w:val="00626360"/>
    <w:rsid w:val="006263C9"/>
    <w:rsid w:val="006263CE"/>
    <w:rsid w:val="00626A1D"/>
    <w:rsid w:val="006276F2"/>
    <w:rsid w:val="00627913"/>
    <w:rsid w:val="00627A51"/>
    <w:rsid w:val="00627C9F"/>
    <w:rsid w:val="00627CAE"/>
    <w:rsid w:val="006307DF"/>
    <w:rsid w:val="00630B42"/>
    <w:rsid w:val="00630C75"/>
    <w:rsid w:val="00630F01"/>
    <w:rsid w:val="00630F7D"/>
    <w:rsid w:val="006311DA"/>
    <w:rsid w:val="006311E9"/>
    <w:rsid w:val="006322B9"/>
    <w:rsid w:val="00632354"/>
    <w:rsid w:val="00632429"/>
    <w:rsid w:val="00632BF2"/>
    <w:rsid w:val="00632D1D"/>
    <w:rsid w:val="00633261"/>
    <w:rsid w:val="006333B2"/>
    <w:rsid w:val="0063377E"/>
    <w:rsid w:val="00633DD4"/>
    <w:rsid w:val="006348DE"/>
    <w:rsid w:val="006354CD"/>
    <w:rsid w:val="006361A8"/>
    <w:rsid w:val="00636406"/>
    <w:rsid w:val="0063657B"/>
    <w:rsid w:val="00636E0C"/>
    <w:rsid w:val="00636F4A"/>
    <w:rsid w:val="00637539"/>
    <w:rsid w:val="00637ADC"/>
    <w:rsid w:val="00637B7B"/>
    <w:rsid w:val="00637E84"/>
    <w:rsid w:val="00640173"/>
    <w:rsid w:val="0064088C"/>
    <w:rsid w:val="006418C1"/>
    <w:rsid w:val="006420B7"/>
    <w:rsid w:val="006422BC"/>
    <w:rsid w:val="00642810"/>
    <w:rsid w:val="006429CF"/>
    <w:rsid w:val="00643F66"/>
    <w:rsid w:val="006444E3"/>
    <w:rsid w:val="00644643"/>
    <w:rsid w:val="00644E9E"/>
    <w:rsid w:val="006458AD"/>
    <w:rsid w:val="0064667F"/>
    <w:rsid w:val="006468F2"/>
    <w:rsid w:val="0064712F"/>
    <w:rsid w:val="0064793C"/>
    <w:rsid w:val="00650D68"/>
    <w:rsid w:val="00650E83"/>
    <w:rsid w:val="00650FA3"/>
    <w:rsid w:val="006516A4"/>
    <w:rsid w:val="006516FE"/>
    <w:rsid w:val="00651D1D"/>
    <w:rsid w:val="00651DB9"/>
    <w:rsid w:val="00652333"/>
    <w:rsid w:val="00653AC7"/>
    <w:rsid w:val="00653C89"/>
    <w:rsid w:val="0065426B"/>
    <w:rsid w:val="00654573"/>
    <w:rsid w:val="006549A4"/>
    <w:rsid w:val="00654F6F"/>
    <w:rsid w:val="00656085"/>
    <w:rsid w:val="00656831"/>
    <w:rsid w:val="00656C35"/>
    <w:rsid w:val="00656FE7"/>
    <w:rsid w:val="0065765B"/>
    <w:rsid w:val="006605AC"/>
    <w:rsid w:val="00660ABF"/>
    <w:rsid w:val="00660F3A"/>
    <w:rsid w:val="00661590"/>
    <w:rsid w:val="00661E6A"/>
    <w:rsid w:val="006626BF"/>
    <w:rsid w:val="00662F5D"/>
    <w:rsid w:val="006634C1"/>
    <w:rsid w:val="00663571"/>
    <w:rsid w:val="0066374F"/>
    <w:rsid w:val="00664C08"/>
    <w:rsid w:val="00664DDE"/>
    <w:rsid w:val="0066612E"/>
    <w:rsid w:val="00666536"/>
    <w:rsid w:val="00666AEF"/>
    <w:rsid w:val="00670690"/>
    <w:rsid w:val="006716C1"/>
    <w:rsid w:val="006722E2"/>
    <w:rsid w:val="00672B56"/>
    <w:rsid w:val="0067329C"/>
    <w:rsid w:val="006735AA"/>
    <w:rsid w:val="00673D07"/>
    <w:rsid w:val="00674465"/>
    <w:rsid w:val="0067472A"/>
    <w:rsid w:val="00675BB9"/>
    <w:rsid w:val="0067617F"/>
    <w:rsid w:val="00676345"/>
    <w:rsid w:val="00677938"/>
    <w:rsid w:val="0068009E"/>
    <w:rsid w:val="00680A75"/>
    <w:rsid w:val="006827DC"/>
    <w:rsid w:val="00682E0F"/>
    <w:rsid w:val="00683305"/>
    <w:rsid w:val="00683ED6"/>
    <w:rsid w:val="00684434"/>
    <w:rsid w:val="006847BC"/>
    <w:rsid w:val="006849BF"/>
    <w:rsid w:val="00685184"/>
    <w:rsid w:val="00685A78"/>
    <w:rsid w:val="006871C6"/>
    <w:rsid w:val="00687432"/>
    <w:rsid w:val="00687725"/>
    <w:rsid w:val="006901ED"/>
    <w:rsid w:val="0069023C"/>
    <w:rsid w:val="006906BB"/>
    <w:rsid w:val="00691118"/>
    <w:rsid w:val="0069244C"/>
    <w:rsid w:val="00692861"/>
    <w:rsid w:val="00692996"/>
    <w:rsid w:val="00692A55"/>
    <w:rsid w:val="00692D53"/>
    <w:rsid w:val="00693E4A"/>
    <w:rsid w:val="0069578C"/>
    <w:rsid w:val="00695807"/>
    <w:rsid w:val="00696F9A"/>
    <w:rsid w:val="006972FB"/>
    <w:rsid w:val="006A0036"/>
    <w:rsid w:val="006A0256"/>
    <w:rsid w:val="006A0548"/>
    <w:rsid w:val="006A0ACB"/>
    <w:rsid w:val="006A0E85"/>
    <w:rsid w:val="006A0F00"/>
    <w:rsid w:val="006A0F77"/>
    <w:rsid w:val="006A11FD"/>
    <w:rsid w:val="006A17D2"/>
    <w:rsid w:val="006A3B33"/>
    <w:rsid w:val="006A3C7B"/>
    <w:rsid w:val="006A508B"/>
    <w:rsid w:val="006A538E"/>
    <w:rsid w:val="006A58D1"/>
    <w:rsid w:val="006A5AC8"/>
    <w:rsid w:val="006A6A79"/>
    <w:rsid w:val="006A6E1A"/>
    <w:rsid w:val="006A70B4"/>
    <w:rsid w:val="006A72B7"/>
    <w:rsid w:val="006A73E6"/>
    <w:rsid w:val="006A7408"/>
    <w:rsid w:val="006A7764"/>
    <w:rsid w:val="006A79A7"/>
    <w:rsid w:val="006B0169"/>
    <w:rsid w:val="006B057B"/>
    <w:rsid w:val="006B130C"/>
    <w:rsid w:val="006B17B3"/>
    <w:rsid w:val="006B1AEA"/>
    <w:rsid w:val="006B1BB7"/>
    <w:rsid w:val="006B248C"/>
    <w:rsid w:val="006B2623"/>
    <w:rsid w:val="006B265D"/>
    <w:rsid w:val="006B295E"/>
    <w:rsid w:val="006B2D5C"/>
    <w:rsid w:val="006B3773"/>
    <w:rsid w:val="006B3F4E"/>
    <w:rsid w:val="006B4324"/>
    <w:rsid w:val="006B4789"/>
    <w:rsid w:val="006B4B50"/>
    <w:rsid w:val="006B544B"/>
    <w:rsid w:val="006B6B92"/>
    <w:rsid w:val="006B6D64"/>
    <w:rsid w:val="006B6FFA"/>
    <w:rsid w:val="006B7965"/>
    <w:rsid w:val="006B7BAC"/>
    <w:rsid w:val="006B7BF6"/>
    <w:rsid w:val="006C07D9"/>
    <w:rsid w:val="006C0F5D"/>
    <w:rsid w:val="006C1751"/>
    <w:rsid w:val="006C1815"/>
    <w:rsid w:val="006C19AC"/>
    <w:rsid w:val="006C2346"/>
    <w:rsid w:val="006C2B38"/>
    <w:rsid w:val="006C2CF7"/>
    <w:rsid w:val="006C379B"/>
    <w:rsid w:val="006C39E9"/>
    <w:rsid w:val="006C3D28"/>
    <w:rsid w:val="006C3D33"/>
    <w:rsid w:val="006C3F7D"/>
    <w:rsid w:val="006C3FB4"/>
    <w:rsid w:val="006C4233"/>
    <w:rsid w:val="006C4596"/>
    <w:rsid w:val="006C46BD"/>
    <w:rsid w:val="006C49B8"/>
    <w:rsid w:val="006C4DFA"/>
    <w:rsid w:val="006C4EB1"/>
    <w:rsid w:val="006C51A2"/>
    <w:rsid w:val="006C5268"/>
    <w:rsid w:val="006C61FA"/>
    <w:rsid w:val="006C6E31"/>
    <w:rsid w:val="006C7E62"/>
    <w:rsid w:val="006D0195"/>
    <w:rsid w:val="006D01E3"/>
    <w:rsid w:val="006D0424"/>
    <w:rsid w:val="006D0FA3"/>
    <w:rsid w:val="006D1A3C"/>
    <w:rsid w:val="006D27EC"/>
    <w:rsid w:val="006D28DA"/>
    <w:rsid w:val="006D2C28"/>
    <w:rsid w:val="006D2D13"/>
    <w:rsid w:val="006D42CB"/>
    <w:rsid w:val="006D48BB"/>
    <w:rsid w:val="006D5467"/>
    <w:rsid w:val="006D56E5"/>
    <w:rsid w:val="006D5D5D"/>
    <w:rsid w:val="006D6E36"/>
    <w:rsid w:val="006D6E3A"/>
    <w:rsid w:val="006D6FFF"/>
    <w:rsid w:val="006D7976"/>
    <w:rsid w:val="006E00AB"/>
    <w:rsid w:val="006E0166"/>
    <w:rsid w:val="006E0392"/>
    <w:rsid w:val="006E1163"/>
    <w:rsid w:val="006E18B8"/>
    <w:rsid w:val="006E35A0"/>
    <w:rsid w:val="006E4A68"/>
    <w:rsid w:val="006E4B61"/>
    <w:rsid w:val="006E4CCE"/>
    <w:rsid w:val="006E5C58"/>
    <w:rsid w:val="006E6048"/>
    <w:rsid w:val="006E67F6"/>
    <w:rsid w:val="006E6C78"/>
    <w:rsid w:val="006E6F1E"/>
    <w:rsid w:val="006E7B34"/>
    <w:rsid w:val="006E7EA4"/>
    <w:rsid w:val="006F157C"/>
    <w:rsid w:val="006F20FE"/>
    <w:rsid w:val="006F2612"/>
    <w:rsid w:val="006F2AC7"/>
    <w:rsid w:val="006F2FA9"/>
    <w:rsid w:val="006F3590"/>
    <w:rsid w:val="006F3597"/>
    <w:rsid w:val="006F374D"/>
    <w:rsid w:val="006F3F13"/>
    <w:rsid w:val="006F672E"/>
    <w:rsid w:val="006F6EA2"/>
    <w:rsid w:val="006F732C"/>
    <w:rsid w:val="006F7488"/>
    <w:rsid w:val="006F7B98"/>
    <w:rsid w:val="006F7DA2"/>
    <w:rsid w:val="0070045F"/>
    <w:rsid w:val="00700471"/>
    <w:rsid w:val="00700C65"/>
    <w:rsid w:val="00701610"/>
    <w:rsid w:val="00701B24"/>
    <w:rsid w:val="00702565"/>
    <w:rsid w:val="007025B9"/>
    <w:rsid w:val="0070267B"/>
    <w:rsid w:val="007026DA"/>
    <w:rsid w:val="00702A7C"/>
    <w:rsid w:val="00702BF9"/>
    <w:rsid w:val="00702CD7"/>
    <w:rsid w:val="00702DE6"/>
    <w:rsid w:val="00702EA5"/>
    <w:rsid w:val="007036B5"/>
    <w:rsid w:val="00703F90"/>
    <w:rsid w:val="0070404E"/>
    <w:rsid w:val="00704098"/>
    <w:rsid w:val="0070456C"/>
    <w:rsid w:val="00704C82"/>
    <w:rsid w:val="00704E5C"/>
    <w:rsid w:val="0070603C"/>
    <w:rsid w:val="007060B5"/>
    <w:rsid w:val="00706591"/>
    <w:rsid w:val="00706698"/>
    <w:rsid w:val="00706D7E"/>
    <w:rsid w:val="00707116"/>
    <w:rsid w:val="00707486"/>
    <w:rsid w:val="007079D5"/>
    <w:rsid w:val="00707BAF"/>
    <w:rsid w:val="00707E8E"/>
    <w:rsid w:val="00710376"/>
    <w:rsid w:val="00710ED5"/>
    <w:rsid w:val="00711137"/>
    <w:rsid w:val="007140C0"/>
    <w:rsid w:val="00715928"/>
    <w:rsid w:val="00716BEC"/>
    <w:rsid w:val="00716D62"/>
    <w:rsid w:val="007171CD"/>
    <w:rsid w:val="007173F3"/>
    <w:rsid w:val="00717B70"/>
    <w:rsid w:val="0072003B"/>
    <w:rsid w:val="0072130B"/>
    <w:rsid w:val="00722812"/>
    <w:rsid w:val="00722FE1"/>
    <w:rsid w:val="00723200"/>
    <w:rsid w:val="0072335A"/>
    <w:rsid w:val="007237C3"/>
    <w:rsid w:val="0072382C"/>
    <w:rsid w:val="0072472F"/>
    <w:rsid w:val="007247E2"/>
    <w:rsid w:val="00724BC2"/>
    <w:rsid w:val="007266F3"/>
    <w:rsid w:val="00726B51"/>
    <w:rsid w:val="00727727"/>
    <w:rsid w:val="007278E3"/>
    <w:rsid w:val="00727D80"/>
    <w:rsid w:val="00730731"/>
    <w:rsid w:val="00730F35"/>
    <w:rsid w:val="00731024"/>
    <w:rsid w:val="007314E5"/>
    <w:rsid w:val="00731DA0"/>
    <w:rsid w:val="007321A6"/>
    <w:rsid w:val="00732C7E"/>
    <w:rsid w:val="00733761"/>
    <w:rsid w:val="007359CB"/>
    <w:rsid w:val="00735B09"/>
    <w:rsid w:val="00735F7D"/>
    <w:rsid w:val="007363E4"/>
    <w:rsid w:val="007364B7"/>
    <w:rsid w:val="00737A15"/>
    <w:rsid w:val="00737B6E"/>
    <w:rsid w:val="007400D8"/>
    <w:rsid w:val="0074145C"/>
    <w:rsid w:val="00741808"/>
    <w:rsid w:val="007419F4"/>
    <w:rsid w:val="00741D4C"/>
    <w:rsid w:val="0074240C"/>
    <w:rsid w:val="00742B43"/>
    <w:rsid w:val="00742BDF"/>
    <w:rsid w:val="007433B0"/>
    <w:rsid w:val="007451C8"/>
    <w:rsid w:val="0074535C"/>
    <w:rsid w:val="0074572F"/>
    <w:rsid w:val="0074581C"/>
    <w:rsid w:val="00745830"/>
    <w:rsid w:val="00745899"/>
    <w:rsid w:val="00745E5F"/>
    <w:rsid w:val="0074676E"/>
    <w:rsid w:val="00746AB9"/>
    <w:rsid w:val="00746AC2"/>
    <w:rsid w:val="00747304"/>
    <w:rsid w:val="00750078"/>
    <w:rsid w:val="00750568"/>
    <w:rsid w:val="00750BB6"/>
    <w:rsid w:val="00751245"/>
    <w:rsid w:val="00751248"/>
    <w:rsid w:val="00751379"/>
    <w:rsid w:val="0075164B"/>
    <w:rsid w:val="00751FAC"/>
    <w:rsid w:val="0075273E"/>
    <w:rsid w:val="00753890"/>
    <w:rsid w:val="007538FC"/>
    <w:rsid w:val="007542BA"/>
    <w:rsid w:val="00754A2A"/>
    <w:rsid w:val="00754E95"/>
    <w:rsid w:val="00755F05"/>
    <w:rsid w:val="007561AD"/>
    <w:rsid w:val="00756737"/>
    <w:rsid w:val="00756CFE"/>
    <w:rsid w:val="007570FA"/>
    <w:rsid w:val="00757F66"/>
    <w:rsid w:val="007607C4"/>
    <w:rsid w:val="007607EC"/>
    <w:rsid w:val="007609BF"/>
    <w:rsid w:val="00761A58"/>
    <w:rsid w:val="00762A2F"/>
    <w:rsid w:val="007636C7"/>
    <w:rsid w:val="0076457E"/>
    <w:rsid w:val="007649AF"/>
    <w:rsid w:val="00765584"/>
    <w:rsid w:val="00765A72"/>
    <w:rsid w:val="00765CB7"/>
    <w:rsid w:val="007663C8"/>
    <w:rsid w:val="0076643F"/>
    <w:rsid w:val="00771045"/>
    <w:rsid w:val="00771205"/>
    <w:rsid w:val="007712FF"/>
    <w:rsid w:val="007713BA"/>
    <w:rsid w:val="007715DD"/>
    <w:rsid w:val="007717FA"/>
    <w:rsid w:val="00771836"/>
    <w:rsid w:val="00772CBF"/>
    <w:rsid w:val="00773C5A"/>
    <w:rsid w:val="00774375"/>
    <w:rsid w:val="007744CC"/>
    <w:rsid w:val="00774D86"/>
    <w:rsid w:val="0077552C"/>
    <w:rsid w:val="00775EEC"/>
    <w:rsid w:val="00776813"/>
    <w:rsid w:val="007771C5"/>
    <w:rsid w:val="007773C9"/>
    <w:rsid w:val="00777413"/>
    <w:rsid w:val="007776FF"/>
    <w:rsid w:val="0078009D"/>
    <w:rsid w:val="0078069F"/>
    <w:rsid w:val="0078085D"/>
    <w:rsid w:val="00780876"/>
    <w:rsid w:val="007809DA"/>
    <w:rsid w:val="00780ED7"/>
    <w:rsid w:val="00781C89"/>
    <w:rsid w:val="007820BB"/>
    <w:rsid w:val="00782E68"/>
    <w:rsid w:val="0078305D"/>
    <w:rsid w:val="007835B8"/>
    <w:rsid w:val="00783D1B"/>
    <w:rsid w:val="0078426B"/>
    <w:rsid w:val="00784600"/>
    <w:rsid w:val="00784DE5"/>
    <w:rsid w:val="00784FEC"/>
    <w:rsid w:val="0078587E"/>
    <w:rsid w:val="0078595F"/>
    <w:rsid w:val="00785F8D"/>
    <w:rsid w:val="00786501"/>
    <w:rsid w:val="0078748C"/>
    <w:rsid w:val="0078762E"/>
    <w:rsid w:val="00790499"/>
    <w:rsid w:val="00790C90"/>
    <w:rsid w:val="007928DA"/>
    <w:rsid w:val="00793A12"/>
    <w:rsid w:val="00795940"/>
    <w:rsid w:val="00795E01"/>
    <w:rsid w:val="00796BDF"/>
    <w:rsid w:val="00796E7A"/>
    <w:rsid w:val="007977A5"/>
    <w:rsid w:val="00797F59"/>
    <w:rsid w:val="007A04A8"/>
    <w:rsid w:val="007A13D7"/>
    <w:rsid w:val="007A15D6"/>
    <w:rsid w:val="007A17C8"/>
    <w:rsid w:val="007A18EB"/>
    <w:rsid w:val="007A1919"/>
    <w:rsid w:val="007A2423"/>
    <w:rsid w:val="007A2EC7"/>
    <w:rsid w:val="007A2F70"/>
    <w:rsid w:val="007A3194"/>
    <w:rsid w:val="007A3293"/>
    <w:rsid w:val="007A3478"/>
    <w:rsid w:val="007A4193"/>
    <w:rsid w:val="007A4240"/>
    <w:rsid w:val="007A44FF"/>
    <w:rsid w:val="007A496C"/>
    <w:rsid w:val="007A4980"/>
    <w:rsid w:val="007A57A6"/>
    <w:rsid w:val="007A7F31"/>
    <w:rsid w:val="007B04BF"/>
    <w:rsid w:val="007B0768"/>
    <w:rsid w:val="007B186C"/>
    <w:rsid w:val="007B19A1"/>
    <w:rsid w:val="007B19FE"/>
    <w:rsid w:val="007B1B6A"/>
    <w:rsid w:val="007B1F5C"/>
    <w:rsid w:val="007B2769"/>
    <w:rsid w:val="007B321F"/>
    <w:rsid w:val="007B3669"/>
    <w:rsid w:val="007B3C72"/>
    <w:rsid w:val="007B430B"/>
    <w:rsid w:val="007B4826"/>
    <w:rsid w:val="007B4AD5"/>
    <w:rsid w:val="007B4C00"/>
    <w:rsid w:val="007B50FB"/>
    <w:rsid w:val="007B56ED"/>
    <w:rsid w:val="007B5867"/>
    <w:rsid w:val="007B5C21"/>
    <w:rsid w:val="007B6279"/>
    <w:rsid w:val="007B6583"/>
    <w:rsid w:val="007B6B8A"/>
    <w:rsid w:val="007B6C22"/>
    <w:rsid w:val="007B757E"/>
    <w:rsid w:val="007B75CC"/>
    <w:rsid w:val="007B762A"/>
    <w:rsid w:val="007C09E6"/>
    <w:rsid w:val="007C10AC"/>
    <w:rsid w:val="007C16AB"/>
    <w:rsid w:val="007C2060"/>
    <w:rsid w:val="007C22DF"/>
    <w:rsid w:val="007C2DA6"/>
    <w:rsid w:val="007C3334"/>
    <w:rsid w:val="007C3481"/>
    <w:rsid w:val="007C3C0E"/>
    <w:rsid w:val="007C50F6"/>
    <w:rsid w:val="007C52BB"/>
    <w:rsid w:val="007C5476"/>
    <w:rsid w:val="007C5529"/>
    <w:rsid w:val="007C58E8"/>
    <w:rsid w:val="007C632A"/>
    <w:rsid w:val="007C6557"/>
    <w:rsid w:val="007C7402"/>
    <w:rsid w:val="007C757E"/>
    <w:rsid w:val="007C798F"/>
    <w:rsid w:val="007C7B95"/>
    <w:rsid w:val="007D0207"/>
    <w:rsid w:val="007D0309"/>
    <w:rsid w:val="007D06CB"/>
    <w:rsid w:val="007D0BAE"/>
    <w:rsid w:val="007D0FFC"/>
    <w:rsid w:val="007D183F"/>
    <w:rsid w:val="007D203B"/>
    <w:rsid w:val="007D278F"/>
    <w:rsid w:val="007D2B98"/>
    <w:rsid w:val="007D2FEE"/>
    <w:rsid w:val="007D3E9B"/>
    <w:rsid w:val="007D4C93"/>
    <w:rsid w:val="007D4DC4"/>
    <w:rsid w:val="007D4FA5"/>
    <w:rsid w:val="007D69AC"/>
    <w:rsid w:val="007E02ED"/>
    <w:rsid w:val="007E12F5"/>
    <w:rsid w:val="007E13CE"/>
    <w:rsid w:val="007E1856"/>
    <w:rsid w:val="007E3BD5"/>
    <w:rsid w:val="007E3FE3"/>
    <w:rsid w:val="007E42C4"/>
    <w:rsid w:val="007E5338"/>
    <w:rsid w:val="007E591E"/>
    <w:rsid w:val="007E5C9F"/>
    <w:rsid w:val="007E6DAC"/>
    <w:rsid w:val="007E6ED6"/>
    <w:rsid w:val="007E71C5"/>
    <w:rsid w:val="007E783F"/>
    <w:rsid w:val="007E7889"/>
    <w:rsid w:val="007E7EEE"/>
    <w:rsid w:val="007F05E6"/>
    <w:rsid w:val="007F074A"/>
    <w:rsid w:val="007F076B"/>
    <w:rsid w:val="007F11B4"/>
    <w:rsid w:val="007F20D6"/>
    <w:rsid w:val="007F2DA5"/>
    <w:rsid w:val="007F410D"/>
    <w:rsid w:val="007F42BF"/>
    <w:rsid w:val="007F4A54"/>
    <w:rsid w:val="007F4B82"/>
    <w:rsid w:val="007F4F2C"/>
    <w:rsid w:val="007F4FE2"/>
    <w:rsid w:val="007F5472"/>
    <w:rsid w:val="007F549E"/>
    <w:rsid w:val="007F5625"/>
    <w:rsid w:val="007F6371"/>
    <w:rsid w:val="007F6B79"/>
    <w:rsid w:val="007F70EB"/>
    <w:rsid w:val="007F7A84"/>
    <w:rsid w:val="007F7AA0"/>
    <w:rsid w:val="008001B0"/>
    <w:rsid w:val="00800200"/>
    <w:rsid w:val="00800983"/>
    <w:rsid w:val="00800A07"/>
    <w:rsid w:val="00800E57"/>
    <w:rsid w:val="008013A5"/>
    <w:rsid w:val="0080189B"/>
    <w:rsid w:val="00801B96"/>
    <w:rsid w:val="0080392B"/>
    <w:rsid w:val="0080393B"/>
    <w:rsid w:val="00803952"/>
    <w:rsid w:val="00803F1C"/>
    <w:rsid w:val="0080488C"/>
    <w:rsid w:val="00805784"/>
    <w:rsid w:val="00805885"/>
    <w:rsid w:val="0080600E"/>
    <w:rsid w:val="008060E3"/>
    <w:rsid w:val="00806D7D"/>
    <w:rsid w:val="00807D54"/>
    <w:rsid w:val="0081181A"/>
    <w:rsid w:val="008125F1"/>
    <w:rsid w:val="00812EAF"/>
    <w:rsid w:val="00813CCC"/>
    <w:rsid w:val="00815FD5"/>
    <w:rsid w:val="00816166"/>
    <w:rsid w:val="008166DA"/>
    <w:rsid w:val="00817428"/>
    <w:rsid w:val="00817612"/>
    <w:rsid w:val="00817664"/>
    <w:rsid w:val="00817D2F"/>
    <w:rsid w:val="00820D73"/>
    <w:rsid w:val="008215C0"/>
    <w:rsid w:val="008218A2"/>
    <w:rsid w:val="00823A91"/>
    <w:rsid w:val="008255CF"/>
    <w:rsid w:val="0082595F"/>
    <w:rsid w:val="00825AC2"/>
    <w:rsid w:val="00825B7F"/>
    <w:rsid w:val="00825CC2"/>
    <w:rsid w:val="00827DB7"/>
    <w:rsid w:val="0083041F"/>
    <w:rsid w:val="008306BF"/>
    <w:rsid w:val="00830930"/>
    <w:rsid w:val="00830E88"/>
    <w:rsid w:val="008321E7"/>
    <w:rsid w:val="008339E1"/>
    <w:rsid w:val="0083469D"/>
    <w:rsid w:val="00834E18"/>
    <w:rsid w:val="00834E72"/>
    <w:rsid w:val="0083565F"/>
    <w:rsid w:val="00835F5A"/>
    <w:rsid w:val="0083716D"/>
    <w:rsid w:val="008373B6"/>
    <w:rsid w:val="00837C45"/>
    <w:rsid w:val="0084024F"/>
    <w:rsid w:val="00840A80"/>
    <w:rsid w:val="00840D10"/>
    <w:rsid w:val="008414A3"/>
    <w:rsid w:val="0084248C"/>
    <w:rsid w:val="008426FE"/>
    <w:rsid w:val="008459EB"/>
    <w:rsid w:val="00845C1A"/>
    <w:rsid w:val="00845CDF"/>
    <w:rsid w:val="00846865"/>
    <w:rsid w:val="00846904"/>
    <w:rsid w:val="008472FB"/>
    <w:rsid w:val="00847A8B"/>
    <w:rsid w:val="00847B26"/>
    <w:rsid w:val="00847D00"/>
    <w:rsid w:val="008509CC"/>
    <w:rsid w:val="00850B3B"/>
    <w:rsid w:val="00850E05"/>
    <w:rsid w:val="00850EF8"/>
    <w:rsid w:val="00851B6A"/>
    <w:rsid w:val="00852AFB"/>
    <w:rsid w:val="00852CED"/>
    <w:rsid w:val="00853419"/>
    <w:rsid w:val="00853A23"/>
    <w:rsid w:val="00854FE3"/>
    <w:rsid w:val="008550F7"/>
    <w:rsid w:val="00855C7B"/>
    <w:rsid w:val="00855DEF"/>
    <w:rsid w:val="00855FB6"/>
    <w:rsid w:val="008560E1"/>
    <w:rsid w:val="008562E8"/>
    <w:rsid w:val="00856433"/>
    <w:rsid w:val="0085746D"/>
    <w:rsid w:val="00860233"/>
    <w:rsid w:val="00860453"/>
    <w:rsid w:val="00861437"/>
    <w:rsid w:val="0086147D"/>
    <w:rsid w:val="00861835"/>
    <w:rsid w:val="00861972"/>
    <w:rsid w:val="00861EC2"/>
    <w:rsid w:val="008628FD"/>
    <w:rsid w:val="0086292E"/>
    <w:rsid w:val="00863454"/>
    <w:rsid w:val="00864785"/>
    <w:rsid w:val="008648E9"/>
    <w:rsid w:val="00865279"/>
    <w:rsid w:val="00865368"/>
    <w:rsid w:val="00865A1C"/>
    <w:rsid w:val="00865C9B"/>
    <w:rsid w:val="00865D73"/>
    <w:rsid w:val="0086628D"/>
    <w:rsid w:val="008665EC"/>
    <w:rsid w:val="00866D7E"/>
    <w:rsid w:val="008678EF"/>
    <w:rsid w:val="0087014C"/>
    <w:rsid w:val="00870E7C"/>
    <w:rsid w:val="00871372"/>
    <w:rsid w:val="00871EBE"/>
    <w:rsid w:val="00872A53"/>
    <w:rsid w:val="00872A88"/>
    <w:rsid w:val="008741A2"/>
    <w:rsid w:val="008745E4"/>
    <w:rsid w:val="0087484B"/>
    <w:rsid w:val="00874BEE"/>
    <w:rsid w:val="00875ABB"/>
    <w:rsid w:val="00875EC6"/>
    <w:rsid w:val="00876085"/>
    <w:rsid w:val="008766AB"/>
    <w:rsid w:val="00877E1B"/>
    <w:rsid w:val="008801C6"/>
    <w:rsid w:val="00880B21"/>
    <w:rsid w:val="00880F95"/>
    <w:rsid w:val="00881D67"/>
    <w:rsid w:val="00882952"/>
    <w:rsid w:val="00882C32"/>
    <w:rsid w:val="0088323B"/>
    <w:rsid w:val="0088373B"/>
    <w:rsid w:val="00883CB7"/>
    <w:rsid w:val="00883E89"/>
    <w:rsid w:val="00883EA4"/>
    <w:rsid w:val="00884270"/>
    <w:rsid w:val="008867C0"/>
    <w:rsid w:val="008869BA"/>
    <w:rsid w:val="00887B7D"/>
    <w:rsid w:val="008903D5"/>
    <w:rsid w:val="0089156D"/>
    <w:rsid w:val="008917C2"/>
    <w:rsid w:val="00893BFF"/>
    <w:rsid w:val="00893E24"/>
    <w:rsid w:val="00893E44"/>
    <w:rsid w:val="008945B4"/>
    <w:rsid w:val="008950E0"/>
    <w:rsid w:val="0089514B"/>
    <w:rsid w:val="008969D3"/>
    <w:rsid w:val="008971D8"/>
    <w:rsid w:val="00897E12"/>
    <w:rsid w:val="008A065A"/>
    <w:rsid w:val="008A0798"/>
    <w:rsid w:val="008A0A13"/>
    <w:rsid w:val="008A0F37"/>
    <w:rsid w:val="008A0FD2"/>
    <w:rsid w:val="008A1C4B"/>
    <w:rsid w:val="008A1C95"/>
    <w:rsid w:val="008A266A"/>
    <w:rsid w:val="008A3434"/>
    <w:rsid w:val="008A36FA"/>
    <w:rsid w:val="008A3783"/>
    <w:rsid w:val="008A3B03"/>
    <w:rsid w:val="008A41F6"/>
    <w:rsid w:val="008A4398"/>
    <w:rsid w:val="008A4B7D"/>
    <w:rsid w:val="008A4FAC"/>
    <w:rsid w:val="008A51A9"/>
    <w:rsid w:val="008A5A80"/>
    <w:rsid w:val="008A5BF4"/>
    <w:rsid w:val="008A67CF"/>
    <w:rsid w:val="008A6DA2"/>
    <w:rsid w:val="008A6E6B"/>
    <w:rsid w:val="008A775D"/>
    <w:rsid w:val="008A7F97"/>
    <w:rsid w:val="008A7FC7"/>
    <w:rsid w:val="008B0E6D"/>
    <w:rsid w:val="008B0EE7"/>
    <w:rsid w:val="008B14CB"/>
    <w:rsid w:val="008B1BBD"/>
    <w:rsid w:val="008B1E82"/>
    <w:rsid w:val="008B24D5"/>
    <w:rsid w:val="008B25FC"/>
    <w:rsid w:val="008B2D30"/>
    <w:rsid w:val="008B2DA9"/>
    <w:rsid w:val="008B3466"/>
    <w:rsid w:val="008B3AB3"/>
    <w:rsid w:val="008B3D02"/>
    <w:rsid w:val="008B44C5"/>
    <w:rsid w:val="008B5124"/>
    <w:rsid w:val="008B5432"/>
    <w:rsid w:val="008B6F85"/>
    <w:rsid w:val="008B7D60"/>
    <w:rsid w:val="008C00EE"/>
    <w:rsid w:val="008C2789"/>
    <w:rsid w:val="008C2DF6"/>
    <w:rsid w:val="008C3661"/>
    <w:rsid w:val="008C44A0"/>
    <w:rsid w:val="008C606A"/>
    <w:rsid w:val="008C6FC4"/>
    <w:rsid w:val="008C7401"/>
    <w:rsid w:val="008C7564"/>
    <w:rsid w:val="008C7572"/>
    <w:rsid w:val="008C7F4C"/>
    <w:rsid w:val="008D0556"/>
    <w:rsid w:val="008D307A"/>
    <w:rsid w:val="008D33C9"/>
    <w:rsid w:val="008D3C06"/>
    <w:rsid w:val="008D3F7F"/>
    <w:rsid w:val="008D43BA"/>
    <w:rsid w:val="008D5673"/>
    <w:rsid w:val="008D6249"/>
    <w:rsid w:val="008D6303"/>
    <w:rsid w:val="008D7317"/>
    <w:rsid w:val="008D7CFC"/>
    <w:rsid w:val="008D7DF4"/>
    <w:rsid w:val="008E083B"/>
    <w:rsid w:val="008E10AE"/>
    <w:rsid w:val="008E2077"/>
    <w:rsid w:val="008E2758"/>
    <w:rsid w:val="008E3602"/>
    <w:rsid w:val="008E3759"/>
    <w:rsid w:val="008E46CE"/>
    <w:rsid w:val="008E4DBE"/>
    <w:rsid w:val="008E52AC"/>
    <w:rsid w:val="008E53E4"/>
    <w:rsid w:val="008E5615"/>
    <w:rsid w:val="008E652A"/>
    <w:rsid w:val="008E71E6"/>
    <w:rsid w:val="008E744D"/>
    <w:rsid w:val="008E76E1"/>
    <w:rsid w:val="008E7B4C"/>
    <w:rsid w:val="008F0EC1"/>
    <w:rsid w:val="008F1387"/>
    <w:rsid w:val="008F2597"/>
    <w:rsid w:val="008F25A2"/>
    <w:rsid w:val="008F298E"/>
    <w:rsid w:val="008F2A35"/>
    <w:rsid w:val="008F2A73"/>
    <w:rsid w:val="008F2E03"/>
    <w:rsid w:val="008F2E1C"/>
    <w:rsid w:val="008F373B"/>
    <w:rsid w:val="008F38CD"/>
    <w:rsid w:val="008F3BF9"/>
    <w:rsid w:val="008F3E4A"/>
    <w:rsid w:val="008F405E"/>
    <w:rsid w:val="008F4101"/>
    <w:rsid w:val="008F4522"/>
    <w:rsid w:val="008F49E6"/>
    <w:rsid w:val="008F559D"/>
    <w:rsid w:val="008F6470"/>
    <w:rsid w:val="008F76CE"/>
    <w:rsid w:val="008F7B4C"/>
    <w:rsid w:val="008F7D4D"/>
    <w:rsid w:val="008F7F3F"/>
    <w:rsid w:val="0090091F"/>
    <w:rsid w:val="00900C04"/>
    <w:rsid w:val="009011A8"/>
    <w:rsid w:val="009018DD"/>
    <w:rsid w:val="009021D6"/>
    <w:rsid w:val="009025A9"/>
    <w:rsid w:val="00902845"/>
    <w:rsid w:val="009031C4"/>
    <w:rsid w:val="009041DC"/>
    <w:rsid w:val="009047EE"/>
    <w:rsid w:val="00904B4B"/>
    <w:rsid w:val="00904C7D"/>
    <w:rsid w:val="00905924"/>
    <w:rsid w:val="0090668D"/>
    <w:rsid w:val="00906FB8"/>
    <w:rsid w:val="00907012"/>
    <w:rsid w:val="00907BFF"/>
    <w:rsid w:val="00907CCD"/>
    <w:rsid w:val="009104B4"/>
    <w:rsid w:val="00910C14"/>
    <w:rsid w:val="009113EE"/>
    <w:rsid w:val="00912000"/>
    <w:rsid w:val="00912171"/>
    <w:rsid w:val="00912642"/>
    <w:rsid w:val="00912D06"/>
    <w:rsid w:val="00913B6D"/>
    <w:rsid w:val="00914897"/>
    <w:rsid w:val="00914931"/>
    <w:rsid w:val="00914E3C"/>
    <w:rsid w:val="009153F8"/>
    <w:rsid w:val="00915CDE"/>
    <w:rsid w:val="00915FDE"/>
    <w:rsid w:val="0091677E"/>
    <w:rsid w:val="0091728F"/>
    <w:rsid w:val="0091789D"/>
    <w:rsid w:val="00917ACD"/>
    <w:rsid w:val="00917C37"/>
    <w:rsid w:val="00920A46"/>
    <w:rsid w:val="00921023"/>
    <w:rsid w:val="00921D05"/>
    <w:rsid w:val="00922A9F"/>
    <w:rsid w:val="00923428"/>
    <w:rsid w:val="00923525"/>
    <w:rsid w:val="00923920"/>
    <w:rsid w:val="00924D62"/>
    <w:rsid w:val="00924DDD"/>
    <w:rsid w:val="00924F0A"/>
    <w:rsid w:val="00925564"/>
    <w:rsid w:val="00925C35"/>
    <w:rsid w:val="00925FCD"/>
    <w:rsid w:val="009261A4"/>
    <w:rsid w:val="00926A46"/>
    <w:rsid w:val="00926BAD"/>
    <w:rsid w:val="00926E99"/>
    <w:rsid w:val="00927155"/>
    <w:rsid w:val="00927B0B"/>
    <w:rsid w:val="0093035E"/>
    <w:rsid w:val="00930ED0"/>
    <w:rsid w:val="009322FE"/>
    <w:rsid w:val="009324EB"/>
    <w:rsid w:val="00933242"/>
    <w:rsid w:val="0093396C"/>
    <w:rsid w:val="00933A60"/>
    <w:rsid w:val="0093441A"/>
    <w:rsid w:val="00934829"/>
    <w:rsid w:val="0093569C"/>
    <w:rsid w:val="009356F2"/>
    <w:rsid w:val="00935735"/>
    <w:rsid w:val="009359E3"/>
    <w:rsid w:val="00935A29"/>
    <w:rsid w:val="0093658A"/>
    <w:rsid w:val="00936A1B"/>
    <w:rsid w:val="00936C4F"/>
    <w:rsid w:val="00937BDD"/>
    <w:rsid w:val="00940F2D"/>
    <w:rsid w:val="009412E0"/>
    <w:rsid w:val="0094199B"/>
    <w:rsid w:val="009419DC"/>
    <w:rsid w:val="009424BD"/>
    <w:rsid w:val="00942A54"/>
    <w:rsid w:val="00942AA6"/>
    <w:rsid w:val="00942BBC"/>
    <w:rsid w:val="009435DC"/>
    <w:rsid w:val="00943789"/>
    <w:rsid w:val="009437BF"/>
    <w:rsid w:val="00943C6D"/>
    <w:rsid w:val="00945138"/>
    <w:rsid w:val="00945A7E"/>
    <w:rsid w:val="00945F51"/>
    <w:rsid w:val="00946532"/>
    <w:rsid w:val="00946C73"/>
    <w:rsid w:val="00946C83"/>
    <w:rsid w:val="0094702E"/>
    <w:rsid w:val="00950525"/>
    <w:rsid w:val="00950B97"/>
    <w:rsid w:val="00950D77"/>
    <w:rsid w:val="00951A16"/>
    <w:rsid w:val="0095229E"/>
    <w:rsid w:val="00952CAA"/>
    <w:rsid w:val="00952DC4"/>
    <w:rsid w:val="0095466D"/>
    <w:rsid w:val="009546BF"/>
    <w:rsid w:val="00954940"/>
    <w:rsid w:val="00954BF7"/>
    <w:rsid w:val="00955093"/>
    <w:rsid w:val="009550DF"/>
    <w:rsid w:val="009554F0"/>
    <w:rsid w:val="00955C80"/>
    <w:rsid w:val="00955EA3"/>
    <w:rsid w:val="0095624F"/>
    <w:rsid w:val="0095641C"/>
    <w:rsid w:val="009576D9"/>
    <w:rsid w:val="00957A32"/>
    <w:rsid w:val="00957EF8"/>
    <w:rsid w:val="00960555"/>
    <w:rsid w:val="0096111A"/>
    <w:rsid w:val="00963233"/>
    <w:rsid w:val="0096524E"/>
    <w:rsid w:val="009653A0"/>
    <w:rsid w:val="00965F42"/>
    <w:rsid w:val="009661AD"/>
    <w:rsid w:val="009668D9"/>
    <w:rsid w:val="009668E5"/>
    <w:rsid w:val="00966FF8"/>
    <w:rsid w:val="0096706E"/>
    <w:rsid w:val="00967DF8"/>
    <w:rsid w:val="00967ECF"/>
    <w:rsid w:val="00971399"/>
    <w:rsid w:val="009714F6"/>
    <w:rsid w:val="009720EB"/>
    <w:rsid w:val="0097237F"/>
    <w:rsid w:val="009724C3"/>
    <w:rsid w:val="00972D83"/>
    <w:rsid w:val="00973675"/>
    <w:rsid w:val="00973798"/>
    <w:rsid w:val="00973B6A"/>
    <w:rsid w:val="00973E1D"/>
    <w:rsid w:val="00973FD3"/>
    <w:rsid w:val="00974676"/>
    <w:rsid w:val="00974A2A"/>
    <w:rsid w:val="00974B67"/>
    <w:rsid w:val="009753D7"/>
    <w:rsid w:val="00975E26"/>
    <w:rsid w:val="00976209"/>
    <w:rsid w:val="00976E74"/>
    <w:rsid w:val="00977A44"/>
    <w:rsid w:val="00977AE6"/>
    <w:rsid w:val="00980AE8"/>
    <w:rsid w:val="00980D23"/>
    <w:rsid w:val="00981203"/>
    <w:rsid w:val="00981A41"/>
    <w:rsid w:val="00981FBA"/>
    <w:rsid w:val="009826CC"/>
    <w:rsid w:val="00982E24"/>
    <w:rsid w:val="009834DE"/>
    <w:rsid w:val="009835AD"/>
    <w:rsid w:val="00983AF6"/>
    <w:rsid w:val="009843A2"/>
    <w:rsid w:val="00985A4B"/>
    <w:rsid w:val="00985A97"/>
    <w:rsid w:val="00985A98"/>
    <w:rsid w:val="00985CF4"/>
    <w:rsid w:val="00986129"/>
    <w:rsid w:val="009861A1"/>
    <w:rsid w:val="00986662"/>
    <w:rsid w:val="00986868"/>
    <w:rsid w:val="00986AEE"/>
    <w:rsid w:val="00986B05"/>
    <w:rsid w:val="00986F77"/>
    <w:rsid w:val="0098734F"/>
    <w:rsid w:val="009879D3"/>
    <w:rsid w:val="00990873"/>
    <w:rsid w:val="00991846"/>
    <w:rsid w:val="00991AEA"/>
    <w:rsid w:val="009922CA"/>
    <w:rsid w:val="009923C3"/>
    <w:rsid w:val="00992A7F"/>
    <w:rsid w:val="009937A7"/>
    <w:rsid w:val="00994ECF"/>
    <w:rsid w:val="00995BB7"/>
    <w:rsid w:val="009967AF"/>
    <w:rsid w:val="009967CD"/>
    <w:rsid w:val="0099714E"/>
    <w:rsid w:val="00997E99"/>
    <w:rsid w:val="009A03DC"/>
    <w:rsid w:val="009A03E7"/>
    <w:rsid w:val="009A0816"/>
    <w:rsid w:val="009A0B09"/>
    <w:rsid w:val="009A0B24"/>
    <w:rsid w:val="009A0F04"/>
    <w:rsid w:val="009A19DC"/>
    <w:rsid w:val="009A1A5D"/>
    <w:rsid w:val="009A1D2A"/>
    <w:rsid w:val="009A28FA"/>
    <w:rsid w:val="009A3109"/>
    <w:rsid w:val="009A3692"/>
    <w:rsid w:val="009A6130"/>
    <w:rsid w:val="009A67CC"/>
    <w:rsid w:val="009A7953"/>
    <w:rsid w:val="009B07BE"/>
    <w:rsid w:val="009B08A6"/>
    <w:rsid w:val="009B1206"/>
    <w:rsid w:val="009B1525"/>
    <w:rsid w:val="009B26C8"/>
    <w:rsid w:val="009B2F9E"/>
    <w:rsid w:val="009B351F"/>
    <w:rsid w:val="009B381B"/>
    <w:rsid w:val="009B4536"/>
    <w:rsid w:val="009B5129"/>
    <w:rsid w:val="009B541A"/>
    <w:rsid w:val="009B5CD5"/>
    <w:rsid w:val="009B61B2"/>
    <w:rsid w:val="009B61CE"/>
    <w:rsid w:val="009B6664"/>
    <w:rsid w:val="009B71D5"/>
    <w:rsid w:val="009B74A4"/>
    <w:rsid w:val="009B7763"/>
    <w:rsid w:val="009B7A99"/>
    <w:rsid w:val="009C0286"/>
    <w:rsid w:val="009C1615"/>
    <w:rsid w:val="009C1691"/>
    <w:rsid w:val="009C1877"/>
    <w:rsid w:val="009C1D8B"/>
    <w:rsid w:val="009C2F9F"/>
    <w:rsid w:val="009C312B"/>
    <w:rsid w:val="009C3D1D"/>
    <w:rsid w:val="009C458A"/>
    <w:rsid w:val="009C4893"/>
    <w:rsid w:val="009C4D68"/>
    <w:rsid w:val="009C5423"/>
    <w:rsid w:val="009D0946"/>
    <w:rsid w:val="009D0A25"/>
    <w:rsid w:val="009D0DEE"/>
    <w:rsid w:val="009D15C7"/>
    <w:rsid w:val="009D16D3"/>
    <w:rsid w:val="009D2342"/>
    <w:rsid w:val="009D280B"/>
    <w:rsid w:val="009D3728"/>
    <w:rsid w:val="009D50C6"/>
    <w:rsid w:val="009D561E"/>
    <w:rsid w:val="009D5C37"/>
    <w:rsid w:val="009D6116"/>
    <w:rsid w:val="009D7087"/>
    <w:rsid w:val="009D7611"/>
    <w:rsid w:val="009D7889"/>
    <w:rsid w:val="009E027C"/>
    <w:rsid w:val="009E06AC"/>
    <w:rsid w:val="009E075C"/>
    <w:rsid w:val="009E27A9"/>
    <w:rsid w:val="009E329B"/>
    <w:rsid w:val="009E3488"/>
    <w:rsid w:val="009E374A"/>
    <w:rsid w:val="009E3A41"/>
    <w:rsid w:val="009E3ABD"/>
    <w:rsid w:val="009E3C23"/>
    <w:rsid w:val="009E3C4D"/>
    <w:rsid w:val="009E4906"/>
    <w:rsid w:val="009E4BB8"/>
    <w:rsid w:val="009E5394"/>
    <w:rsid w:val="009E53DE"/>
    <w:rsid w:val="009E566A"/>
    <w:rsid w:val="009E5D2B"/>
    <w:rsid w:val="009E6002"/>
    <w:rsid w:val="009E6FD9"/>
    <w:rsid w:val="009E7A69"/>
    <w:rsid w:val="009E7D87"/>
    <w:rsid w:val="009F08C8"/>
    <w:rsid w:val="009F0AED"/>
    <w:rsid w:val="009F0CF2"/>
    <w:rsid w:val="009F114F"/>
    <w:rsid w:val="009F1587"/>
    <w:rsid w:val="009F1B62"/>
    <w:rsid w:val="009F1ED5"/>
    <w:rsid w:val="009F24AF"/>
    <w:rsid w:val="009F24FF"/>
    <w:rsid w:val="009F297A"/>
    <w:rsid w:val="009F2CC4"/>
    <w:rsid w:val="009F3705"/>
    <w:rsid w:val="009F4761"/>
    <w:rsid w:val="009F4AA8"/>
    <w:rsid w:val="009F51A2"/>
    <w:rsid w:val="009F54BA"/>
    <w:rsid w:val="009F5622"/>
    <w:rsid w:val="009F6306"/>
    <w:rsid w:val="009F7113"/>
    <w:rsid w:val="009F76DF"/>
    <w:rsid w:val="009F76E5"/>
    <w:rsid w:val="009F7C41"/>
    <w:rsid w:val="00A011DB"/>
    <w:rsid w:val="00A014DA"/>
    <w:rsid w:val="00A0161A"/>
    <w:rsid w:val="00A018F5"/>
    <w:rsid w:val="00A026D7"/>
    <w:rsid w:val="00A03579"/>
    <w:rsid w:val="00A03B6C"/>
    <w:rsid w:val="00A03DA5"/>
    <w:rsid w:val="00A04BB7"/>
    <w:rsid w:val="00A05C64"/>
    <w:rsid w:val="00A06FEB"/>
    <w:rsid w:val="00A072E8"/>
    <w:rsid w:val="00A07CAA"/>
    <w:rsid w:val="00A10246"/>
    <w:rsid w:val="00A10403"/>
    <w:rsid w:val="00A10450"/>
    <w:rsid w:val="00A10A25"/>
    <w:rsid w:val="00A10C01"/>
    <w:rsid w:val="00A1101C"/>
    <w:rsid w:val="00A11ABB"/>
    <w:rsid w:val="00A12250"/>
    <w:rsid w:val="00A13A94"/>
    <w:rsid w:val="00A13E1D"/>
    <w:rsid w:val="00A14D37"/>
    <w:rsid w:val="00A1533D"/>
    <w:rsid w:val="00A15A9B"/>
    <w:rsid w:val="00A15C9A"/>
    <w:rsid w:val="00A1636C"/>
    <w:rsid w:val="00A163A4"/>
    <w:rsid w:val="00A1688B"/>
    <w:rsid w:val="00A169DC"/>
    <w:rsid w:val="00A17625"/>
    <w:rsid w:val="00A17E82"/>
    <w:rsid w:val="00A2015A"/>
    <w:rsid w:val="00A20B65"/>
    <w:rsid w:val="00A20F5F"/>
    <w:rsid w:val="00A213FD"/>
    <w:rsid w:val="00A21E68"/>
    <w:rsid w:val="00A22963"/>
    <w:rsid w:val="00A22B7B"/>
    <w:rsid w:val="00A23924"/>
    <w:rsid w:val="00A24331"/>
    <w:rsid w:val="00A24409"/>
    <w:rsid w:val="00A2456A"/>
    <w:rsid w:val="00A25C0A"/>
    <w:rsid w:val="00A25DDC"/>
    <w:rsid w:val="00A27314"/>
    <w:rsid w:val="00A278BE"/>
    <w:rsid w:val="00A27AA6"/>
    <w:rsid w:val="00A31098"/>
    <w:rsid w:val="00A3109B"/>
    <w:rsid w:val="00A31276"/>
    <w:rsid w:val="00A31451"/>
    <w:rsid w:val="00A31CB0"/>
    <w:rsid w:val="00A32364"/>
    <w:rsid w:val="00A3286C"/>
    <w:rsid w:val="00A328B3"/>
    <w:rsid w:val="00A32D38"/>
    <w:rsid w:val="00A34016"/>
    <w:rsid w:val="00A34273"/>
    <w:rsid w:val="00A34C30"/>
    <w:rsid w:val="00A34F17"/>
    <w:rsid w:val="00A36168"/>
    <w:rsid w:val="00A36BF5"/>
    <w:rsid w:val="00A36E16"/>
    <w:rsid w:val="00A3773C"/>
    <w:rsid w:val="00A37DA9"/>
    <w:rsid w:val="00A40463"/>
    <w:rsid w:val="00A40CED"/>
    <w:rsid w:val="00A411A7"/>
    <w:rsid w:val="00A42E7D"/>
    <w:rsid w:val="00A43458"/>
    <w:rsid w:val="00A4348C"/>
    <w:rsid w:val="00A438C4"/>
    <w:rsid w:val="00A438F6"/>
    <w:rsid w:val="00A444C4"/>
    <w:rsid w:val="00A445B3"/>
    <w:rsid w:val="00A447CD"/>
    <w:rsid w:val="00A44B56"/>
    <w:rsid w:val="00A44EF1"/>
    <w:rsid w:val="00A45B54"/>
    <w:rsid w:val="00A4635E"/>
    <w:rsid w:val="00A467D6"/>
    <w:rsid w:val="00A47174"/>
    <w:rsid w:val="00A47A8D"/>
    <w:rsid w:val="00A47CBE"/>
    <w:rsid w:val="00A47D0B"/>
    <w:rsid w:val="00A500DA"/>
    <w:rsid w:val="00A50201"/>
    <w:rsid w:val="00A5028C"/>
    <w:rsid w:val="00A502E8"/>
    <w:rsid w:val="00A50CF2"/>
    <w:rsid w:val="00A51C8A"/>
    <w:rsid w:val="00A51EF3"/>
    <w:rsid w:val="00A52375"/>
    <w:rsid w:val="00A5251F"/>
    <w:rsid w:val="00A527E1"/>
    <w:rsid w:val="00A528D1"/>
    <w:rsid w:val="00A53D13"/>
    <w:rsid w:val="00A53D23"/>
    <w:rsid w:val="00A540F5"/>
    <w:rsid w:val="00A542D1"/>
    <w:rsid w:val="00A54585"/>
    <w:rsid w:val="00A54A91"/>
    <w:rsid w:val="00A54E22"/>
    <w:rsid w:val="00A54FA9"/>
    <w:rsid w:val="00A55776"/>
    <w:rsid w:val="00A56955"/>
    <w:rsid w:val="00A56E51"/>
    <w:rsid w:val="00A5736F"/>
    <w:rsid w:val="00A60093"/>
    <w:rsid w:val="00A60243"/>
    <w:rsid w:val="00A603A3"/>
    <w:rsid w:val="00A60D01"/>
    <w:rsid w:val="00A610C7"/>
    <w:rsid w:val="00A611B1"/>
    <w:rsid w:val="00A618DF"/>
    <w:rsid w:val="00A6269C"/>
    <w:rsid w:val="00A6287A"/>
    <w:rsid w:val="00A62FDE"/>
    <w:rsid w:val="00A63958"/>
    <w:rsid w:val="00A63F17"/>
    <w:rsid w:val="00A644C1"/>
    <w:rsid w:val="00A64DA8"/>
    <w:rsid w:val="00A64EE8"/>
    <w:rsid w:val="00A64F5F"/>
    <w:rsid w:val="00A650D1"/>
    <w:rsid w:val="00A669C6"/>
    <w:rsid w:val="00A66BE5"/>
    <w:rsid w:val="00A709DB"/>
    <w:rsid w:val="00A70FA6"/>
    <w:rsid w:val="00A71D99"/>
    <w:rsid w:val="00A731AE"/>
    <w:rsid w:val="00A74BB4"/>
    <w:rsid w:val="00A74C4C"/>
    <w:rsid w:val="00A75252"/>
    <w:rsid w:val="00A7605D"/>
    <w:rsid w:val="00A76983"/>
    <w:rsid w:val="00A76E36"/>
    <w:rsid w:val="00A774E2"/>
    <w:rsid w:val="00A77577"/>
    <w:rsid w:val="00A7774D"/>
    <w:rsid w:val="00A80C1E"/>
    <w:rsid w:val="00A80CC5"/>
    <w:rsid w:val="00A81438"/>
    <w:rsid w:val="00A81D28"/>
    <w:rsid w:val="00A8335C"/>
    <w:rsid w:val="00A83527"/>
    <w:rsid w:val="00A83588"/>
    <w:rsid w:val="00A84169"/>
    <w:rsid w:val="00A847F7"/>
    <w:rsid w:val="00A84A45"/>
    <w:rsid w:val="00A84A53"/>
    <w:rsid w:val="00A84B01"/>
    <w:rsid w:val="00A871CA"/>
    <w:rsid w:val="00A8779D"/>
    <w:rsid w:val="00A87FF5"/>
    <w:rsid w:val="00A90884"/>
    <w:rsid w:val="00A91C87"/>
    <w:rsid w:val="00A91F89"/>
    <w:rsid w:val="00A91FA2"/>
    <w:rsid w:val="00A92178"/>
    <w:rsid w:val="00A92714"/>
    <w:rsid w:val="00A92784"/>
    <w:rsid w:val="00A92DCA"/>
    <w:rsid w:val="00A93A8A"/>
    <w:rsid w:val="00A947C6"/>
    <w:rsid w:val="00A94E7D"/>
    <w:rsid w:val="00A9520B"/>
    <w:rsid w:val="00A95F1A"/>
    <w:rsid w:val="00A96A24"/>
    <w:rsid w:val="00A9783F"/>
    <w:rsid w:val="00A978E7"/>
    <w:rsid w:val="00A97B11"/>
    <w:rsid w:val="00A97CDE"/>
    <w:rsid w:val="00AA00C2"/>
    <w:rsid w:val="00AA0337"/>
    <w:rsid w:val="00AA0705"/>
    <w:rsid w:val="00AA10C4"/>
    <w:rsid w:val="00AA23D3"/>
    <w:rsid w:val="00AA3229"/>
    <w:rsid w:val="00AA33AF"/>
    <w:rsid w:val="00AA3C5F"/>
    <w:rsid w:val="00AA43EE"/>
    <w:rsid w:val="00AA4746"/>
    <w:rsid w:val="00AA4AED"/>
    <w:rsid w:val="00AA57B5"/>
    <w:rsid w:val="00AA5C88"/>
    <w:rsid w:val="00AA6345"/>
    <w:rsid w:val="00AA6A3B"/>
    <w:rsid w:val="00AA792C"/>
    <w:rsid w:val="00AA7A2C"/>
    <w:rsid w:val="00AA7E8A"/>
    <w:rsid w:val="00AB069C"/>
    <w:rsid w:val="00AB0745"/>
    <w:rsid w:val="00AB097B"/>
    <w:rsid w:val="00AB2004"/>
    <w:rsid w:val="00AB2F3B"/>
    <w:rsid w:val="00AB30C2"/>
    <w:rsid w:val="00AB3118"/>
    <w:rsid w:val="00AB352F"/>
    <w:rsid w:val="00AB3712"/>
    <w:rsid w:val="00AB3BD0"/>
    <w:rsid w:val="00AB4F85"/>
    <w:rsid w:val="00AB55B8"/>
    <w:rsid w:val="00AB5A7B"/>
    <w:rsid w:val="00AB6166"/>
    <w:rsid w:val="00AB7134"/>
    <w:rsid w:val="00AB76DE"/>
    <w:rsid w:val="00AB7B52"/>
    <w:rsid w:val="00AC043D"/>
    <w:rsid w:val="00AC045C"/>
    <w:rsid w:val="00AC0531"/>
    <w:rsid w:val="00AC0892"/>
    <w:rsid w:val="00AC11E4"/>
    <w:rsid w:val="00AC2C74"/>
    <w:rsid w:val="00AC313B"/>
    <w:rsid w:val="00AC32D7"/>
    <w:rsid w:val="00AC388E"/>
    <w:rsid w:val="00AC4106"/>
    <w:rsid w:val="00AC4C5A"/>
    <w:rsid w:val="00AC4E50"/>
    <w:rsid w:val="00AC4F7C"/>
    <w:rsid w:val="00AC5DD9"/>
    <w:rsid w:val="00AC619C"/>
    <w:rsid w:val="00AC6614"/>
    <w:rsid w:val="00AC6AE6"/>
    <w:rsid w:val="00AC6B66"/>
    <w:rsid w:val="00AC73D9"/>
    <w:rsid w:val="00AC7F4D"/>
    <w:rsid w:val="00AD1164"/>
    <w:rsid w:val="00AD1257"/>
    <w:rsid w:val="00AD1759"/>
    <w:rsid w:val="00AD1E27"/>
    <w:rsid w:val="00AD29F5"/>
    <w:rsid w:val="00AD2BC6"/>
    <w:rsid w:val="00AD34D9"/>
    <w:rsid w:val="00AD37C1"/>
    <w:rsid w:val="00AD38AF"/>
    <w:rsid w:val="00AD38E9"/>
    <w:rsid w:val="00AD4435"/>
    <w:rsid w:val="00AD452E"/>
    <w:rsid w:val="00AD4A7C"/>
    <w:rsid w:val="00AD4CD7"/>
    <w:rsid w:val="00AD4E05"/>
    <w:rsid w:val="00AD5749"/>
    <w:rsid w:val="00AD5EB5"/>
    <w:rsid w:val="00AD6A28"/>
    <w:rsid w:val="00AD7A33"/>
    <w:rsid w:val="00AE0243"/>
    <w:rsid w:val="00AE0DEC"/>
    <w:rsid w:val="00AE1302"/>
    <w:rsid w:val="00AE15A9"/>
    <w:rsid w:val="00AE1F0C"/>
    <w:rsid w:val="00AE38BC"/>
    <w:rsid w:val="00AE448F"/>
    <w:rsid w:val="00AE4C43"/>
    <w:rsid w:val="00AE5154"/>
    <w:rsid w:val="00AE5D8B"/>
    <w:rsid w:val="00AE6271"/>
    <w:rsid w:val="00AE66EC"/>
    <w:rsid w:val="00AE6AE5"/>
    <w:rsid w:val="00AE6F91"/>
    <w:rsid w:val="00AF0440"/>
    <w:rsid w:val="00AF04C9"/>
    <w:rsid w:val="00AF0C26"/>
    <w:rsid w:val="00AF22CE"/>
    <w:rsid w:val="00AF24AF"/>
    <w:rsid w:val="00AF2782"/>
    <w:rsid w:val="00AF2BB3"/>
    <w:rsid w:val="00AF3344"/>
    <w:rsid w:val="00AF3895"/>
    <w:rsid w:val="00AF3B2B"/>
    <w:rsid w:val="00AF3E62"/>
    <w:rsid w:val="00AF53B1"/>
    <w:rsid w:val="00AF5571"/>
    <w:rsid w:val="00AF5A1F"/>
    <w:rsid w:val="00AF5D9C"/>
    <w:rsid w:val="00AF6831"/>
    <w:rsid w:val="00AF7449"/>
    <w:rsid w:val="00AF79FA"/>
    <w:rsid w:val="00B016BF"/>
    <w:rsid w:val="00B016EF"/>
    <w:rsid w:val="00B01D8D"/>
    <w:rsid w:val="00B0268D"/>
    <w:rsid w:val="00B0327B"/>
    <w:rsid w:val="00B033E8"/>
    <w:rsid w:val="00B03D29"/>
    <w:rsid w:val="00B057C9"/>
    <w:rsid w:val="00B05FCA"/>
    <w:rsid w:val="00B0667E"/>
    <w:rsid w:val="00B06BF4"/>
    <w:rsid w:val="00B071CF"/>
    <w:rsid w:val="00B12078"/>
    <w:rsid w:val="00B124E6"/>
    <w:rsid w:val="00B141CE"/>
    <w:rsid w:val="00B1479A"/>
    <w:rsid w:val="00B14837"/>
    <w:rsid w:val="00B15049"/>
    <w:rsid w:val="00B1519B"/>
    <w:rsid w:val="00B15809"/>
    <w:rsid w:val="00B160A4"/>
    <w:rsid w:val="00B163A2"/>
    <w:rsid w:val="00B167E9"/>
    <w:rsid w:val="00B16FF4"/>
    <w:rsid w:val="00B1724A"/>
    <w:rsid w:val="00B17E2C"/>
    <w:rsid w:val="00B203B7"/>
    <w:rsid w:val="00B207F5"/>
    <w:rsid w:val="00B20B83"/>
    <w:rsid w:val="00B21064"/>
    <w:rsid w:val="00B211D5"/>
    <w:rsid w:val="00B21BC5"/>
    <w:rsid w:val="00B21EEC"/>
    <w:rsid w:val="00B2214A"/>
    <w:rsid w:val="00B22C40"/>
    <w:rsid w:val="00B23A86"/>
    <w:rsid w:val="00B24843"/>
    <w:rsid w:val="00B25323"/>
    <w:rsid w:val="00B268A5"/>
    <w:rsid w:val="00B26A47"/>
    <w:rsid w:val="00B27127"/>
    <w:rsid w:val="00B2728E"/>
    <w:rsid w:val="00B2742E"/>
    <w:rsid w:val="00B301E8"/>
    <w:rsid w:val="00B30278"/>
    <w:rsid w:val="00B30364"/>
    <w:rsid w:val="00B30872"/>
    <w:rsid w:val="00B30C31"/>
    <w:rsid w:val="00B314DB"/>
    <w:rsid w:val="00B316A7"/>
    <w:rsid w:val="00B31EBE"/>
    <w:rsid w:val="00B329C9"/>
    <w:rsid w:val="00B33CC8"/>
    <w:rsid w:val="00B3469B"/>
    <w:rsid w:val="00B34B9E"/>
    <w:rsid w:val="00B34D82"/>
    <w:rsid w:val="00B36E37"/>
    <w:rsid w:val="00B3718B"/>
    <w:rsid w:val="00B37C3B"/>
    <w:rsid w:val="00B404E9"/>
    <w:rsid w:val="00B418CA"/>
    <w:rsid w:val="00B41AAC"/>
    <w:rsid w:val="00B421AF"/>
    <w:rsid w:val="00B424CD"/>
    <w:rsid w:val="00B4294C"/>
    <w:rsid w:val="00B42AA4"/>
    <w:rsid w:val="00B42ABC"/>
    <w:rsid w:val="00B42FB2"/>
    <w:rsid w:val="00B432D6"/>
    <w:rsid w:val="00B44EEE"/>
    <w:rsid w:val="00B44F4C"/>
    <w:rsid w:val="00B45BE7"/>
    <w:rsid w:val="00B45ECD"/>
    <w:rsid w:val="00B46033"/>
    <w:rsid w:val="00B46313"/>
    <w:rsid w:val="00B4632A"/>
    <w:rsid w:val="00B478B1"/>
    <w:rsid w:val="00B478C4"/>
    <w:rsid w:val="00B47EEC"/>
    <w:rsid w:val="00B506F8"/>
    <w:rsid w:val="00B50B12"/>
    <w:rsid w:val="00B50F68"/>
    <w:rsid w:val="00B5149E"/>
    <w:rsid w:val="00B515A8"/>
    <w:rsid w:val="00B51D63"/>
    <w:rsid w:val="00B52A4B"/>
    <w:rsid w:val="00B5358C"/>
    <w:rsid w:val="00B53F8B"/>
    <w:rsid w:val="00B540E8"/>
    <w:rsid w:val="00B553D0"/>
    <w:rsid w:val="00B55AA9"/>
    <w:rsid w:val="00B55E95"/>
    <w:rsid w:val="00B56EF1"/>
    <w:rsid w:val="00B57134"/>
    <w:rsid w:val="00B574A4"/>
    <w:rsid w:val="00B574EE"/>
    <w:rsid w:val="00B575D6"/>
    <w:rsid w:val="00B57FCF"/>
    <w:rsid w:val="00B60E25"/>
    <w:rsid w:val="00B62894"/>
    <w:rsid w:val="00B62BC0"/>
    <w:rsid w:val="00B63572"/>
    <w:rsid w:val="00B63577"/>
    <w:rsid w:val="00B64D22"/>
    <w:rsid w:val="00B669D9"/>
    <w:rsid w:val="00B673F4"/>
    <w:rsid w:val="00B67539"/>
    <w:rsid w:val="00B70462"/>
    <w:rsid w:val="00B717BA"/>
    <w:rsid w:val="00B7194C"/>
    <w:rsid w:val="00B71E4E"/>
    <w:rsid w:val="00B72E00"/>
    <w:rsid w:val="00B73454"/>
    <w:rsid w:val="00B7387C"/>
    <w:rsid w:val="00B73D06"/>
    <w:rsid w:val="00B7460F"/>
    <w:rsid w:val="00B74DAF"/>
    <w:rsid w:val="00B75961"/>
    <w:rsid w:val="00B75D57"/>
    <w:rsid w:val="00B765F1"/>
    <w:rsid w:val="00B76BE8"/>
    <w:rsid w:val="00B77B09"/>
    <w:rsid w:val="00B77B2B"/>
    <w:rsid w:val="00B801CB"/>
    <w:rsid w:val="00B83313"/>
    <w:rsid w:val="00B83A94"/>
    <w:rsid w:val="00B83A9C"/>
    <w:rsid w:val="00B84DF8"/>
    <w:rsid w:val="00B84FC7"/>
    <w:rsid w:val="00B85791"/>
    <w:rsid w:val="00B85B6B"/>
    <w:rsid w:val="00B85EDC"/>
    <w:rsid w:val="00B8646F"/>
    <w:rsid w:val="00B86577"/>
    <w:rsid w:val="00B8664E"/>
    <w:rsid w:val="00B868A4"/>
    <w:rsid w:val="00B86BC3"/>
    <w:rsid w:val="00B86FC5"/>
    <w:rsid w:val="00B871DF"/>
    <w:rsid w:val="00B8726C"/>
    <w:rsid w:val="00B8786D"/>
    <w:rsid w:val="00B90178"/>
    <w:rsid w:val="00B9089A"/>
    <w:rsid w:val="00B913F9"/>
    <w:rsid w:val="00B920B7"/>
    <w:rsid w:val="00B926B1"/>
    <w:rsid w:val="00B9296D"/>
    <w:rsid w:val="00B92DC9"/>
    <w:rsid w:val="00B933E4"/>
    <w:rsid w:val="00B945B3"/>
    <w:rsid w:val="00B96AD9"/>
    <w:rsid w:val="00BA0089"/>
    <w:rsid w:val="00BA06DA"/>
    <w:rsid w:val="00BA0E3E"/>
    <w:rsid w:val="00BA11D2"/>
    <w:rsid w:val="00BA198F"/>
    <w:rsid w:val="00BA19D1"/>
    <w:rsid w:val="00BA1D41"/>
    <w:rsid w:val="00BA276C"/>
    <w:rsid w:val="00BA2988"/>
    <w:rsid w:val="00BA2AD4"/>
    <w:rsid w:val="00BA3099"/>
    <w:rsid w:val="00BA3133"/>
    <w:rsid w:val="00BA31DF"/>
    <w:rsid w:val="00BA483C"/>
    <w:rsid w:val="00BA48C0"/>
    <w:rsid w:val="00BA6FFA"/>
    <w:rsid w:val="00BA70B5"/>
    <w:rsid w:val="00BA7984"/>
    <w:rsid w:val="00BB151F"/>
    <w:rsid w:val="00BB16BE"/>
    <w:rsid w:val="00BB285D"/>
    <w:rsid w:val="00BB2876"/>
    <w:rsid w:val="00BB3066"/>
    <w:rsid w:val="00BB306F"/>
    <w:rsid w:val="00BB31F9"/>
    <w:rsid w:val="00BB3466"/>
    <w:rsid w:val="00BB356D"/>
    <w:rsid w:val="00BB36D4"/>
    <w:rsid w:val="00BB3899"/>
    <w:rsid w:val="00BB4021"/>
    <w:rsid w:val="00BB413D"/>
    <w:rsid w:val="00BB438F"/>
    <w:rsid w:val="00BB4587"/>
    <w:rsid w:val="00BB521F"/>
    <w:rsid w:val="00BB53AD"/>
    <w:rsid w:val="00BB5553"/>
    <w:rsid w:val="00BB5A59"/>
    <w:rsid w:val="00BB6382"/>
    <w:rsid w:val="00BB6678"/>
    <w:rsid w:val="00BB6D96"/>
    <w:rsid w:val="00BB78FE"/>
    <w:rsid w:val="00BB7B0A"/>
    <w:rsid w:val="00BB7C2F"/>
    <w:rsid w:val="00BB7C52"/>
    <w:rsid w:val="00BC04F8"/>
    <w:rsid w:val="00BC0C11"/>
    <w:rsid w:val="00BC1FAD"/>
    <w:rsid w:val="00BC2154"/>
    <w:rsid w:val="00BC243A"/>
    <w:rsid w:val="00BC2C00"/>
    <w:rsid w:val="00BC3132"/>
    <w:rsid w:val="00BC35EB"/>
    <w:rsid w:val="00BC397C"/>
    <w:rsid w:val="00BC421C"/>
    <w:rsid w:val="00BC5C8F"/>
    <w:rsid w:val="00BC5E67"/>
    <w:rsid w:val="00BC6061"/>
    <w:rsid w:val="00BC6674"/>
    <w:rsid w:val="00BC68ED"/>
    <w:rsid w:val="00BC6FB1"/>
    <w:rsid w:val="00BC72D2"/>
    <w:rsid w:val="00BC73B5"/>
    <w:rsid w:val="00BC7FDD"/>
    <w:rsid w:val="00BD078A"/>
    <w:rsid w:val="00BD0A6D"/>
    <w:rsid w:val="00BD10AC"/>
    <w:rsid w:val="00BD232B"/>
    <w:rsid w:val="00BD2C5B"/>
    <w:rsid w:val="00BD3469"/>
    <w:rsid w:val="00BD356C"/>
    <w:rsid w:val="00BD393F"/>
    <w:rsid w:val="00BD4B89"/>
    <w:rsid w:val="00BD5826"/>
    <w:rsid w:val="00BD5B66"/>
    <w:rsid w:val="00BD769A"/>
    <w:rsid w:val="00BD7F14"/>
    <w:rsid w:val="00BE0098"/>
    <w:rsid w:val="00BE014C"/>
    <w:rsid w:val="00BE118B"/>
    <w:rsid w:val="00BE1438"/>
    <w:rsid w:val="00BE14B2"/>
    <w:rsid w:val="00BE201A"/>
    <w:rsid w:val="00BE35D9"/>
    <w:rsid w:val="00BE36D7"/>
    <w:rsid w:val="00BE3C09"/>
    <w:rsid w:val="00BE4872"/>
    <w:rsid w:val="00BE4C89"/>
    <w:rsid w:val="00BE5BDB"/>
    <w:rsid w:val="00BE60A3"/>
    <w:rsid w:val="00BE6182"/>
    <w:rsid w:val="00BE6B74"/>
    <w:rsid w:val="00BE6FA8"/>
    <w:rsid w:val="00BE7E23"/>
    <w:rsid w:val="00BF0063"/>
    <w:rsid w:val="00BF00F6"/>
    <w:rsid w:val="00BF023A"/>
    <w:rsid w:val="00BF08CB"/>
    <w:rsid w:val="00BF0EF8"/>
    <w:rsid w:val="00BF1E5E"/>
    <w:rsid w:val="00BF1F10"/>
    <w:rsid w:val="00BF2000"/>
    <w:rsid w:val="00BF2523"/>
    <w:rsid w:val="00BF2527"/>
    <w:rsid w:val="00BF2939"/>
    <w:rsid w:val="00BF2F38"/>
    <w:rsid w:val="00BF334F"/>
    <w:rsid w:val="00BF4865"/>
    <w:rsid w:val="00BF4871"/>
    <w:rsid w:val="00BF4AF7"/>
    <w:rsid w:val="00BF4BCF"/>
    <w:rsid w:val="00BF6351"/>
    <w:rsid w:val="00BF7C42"/>
    <w:rsid w:val="00C0028D"/>
    <w:rsid w:val="00C010E4"/>
    <w:rsid w:val="00C01451"/>
    <w:rsid w:val="00C017D8"/>
    <w:rsid w:val="00C01BA5"/>
    <w:rsid w:val="00C03059"/>
    <w:rsid w:val="00C0391B"/>
    <w:rsid w:val="00C03A29"/>
    <w:rsid w:val="00C03B76"/>
    <w:rsid w:val="00C04473"/>
    <w:rsid w:val="00C04E64"/>
    <w:rsid w:val="00C04F02"/>
    <w:rsid w:val="00C0566E"/>
    <w:rsid w:val="00C056D8"/>
    <w:rsid w:val="00C065BC"/>
    <w:rsid w:val="00C06FD9"/>
    <w:rsid w:val="00C070BA"/>
    <w:rsid w:val="00C07148"/>
    <w:rsid w:val="00C07884"/>
    <w:rsid w:val="00C101BC"/>
    <w:rsid w:val="00C11023"/>
    <w:rsid w:val="00C11716"/>
    <w:rsid w:val="00C12AFC"/>
    <w:rsid w:val="00C12FE4"/>
    <w:rsid w:val="00C13E98"/>
    <w:rsid w:val="00C144E7"/>
    <w:rsid w:val="00C14557"/>
    <w:rsid w:val="00C14701"/>
    <w:rsid w:val="00C14CE0"/>
    <w:rsid w:val="00C14FC1"/>
    <w:rsid w:val="00C1525C"/>
    <w:rsid w:val="00C1586E"/>
    <w:rsid w:val="00C160D2"/>
    <w:rsid w:val="00C161C8"/>
    <w:rsid w:val="00C16D95"/>
    <w:rsid w:val="00C20CB3"/>
    <w:rsid w:val="00C21389"/>
    <w:rsid w:val="00C2142B"/>
    <w:rsid w:val="00C21569"/>
    <w:rsid w:val="00C21762"/>
    <w:rsid w:val="00C21999"/>
    <w:rsid w:val="00C224DF"/>
    <w:rsid w:val="00C22DD6"/>
    <w:rsid w:val="00C2324A"/>
    <w:rsid w:val="00C23BA8"/>
    <w:rsid w:val="00C24049"/>
    <w:rsid w:val="00C24543"/>
    <w:rsid w:val="00C24B1B"/>
    <w:rsid w:val="00C24E63"/>
    <w:rsid w:val="00C256A2"/>
    <w:rsid w:val="00C25808"/>
    <w:rsid w:val="00C26345"/>
    <w:rsid w:val="00C26A69"/>
    <w:rsid w:val="00C27F77"/>
    <w:rsid w:val="00C31770"/>
    <w:rsid w:val="00C317B3"/>
    <w:rsid w:val="00C317F9"/>
    <w:rsid w:val="00C3238A"/>
    <w:rsid w:val="00C32A61"/>
    <w:rsid w:val="00C338B0"/>
    <w:rsid w:val="00C33D69"/>
    <w:rsid w:val="00C33EB0"/>
    <w:rsid w:val="00C33F19"/>
    <w:rsid w:val="00C340DC"/>
    <w:rsid w:val="00C3492D"/>
    <w:rsid w:val="00C34E6A"/>
    <w:rsid w:val="00C34F68"/>
    <w:rsid w:val="00C35CD6"/>
    <w:rsid w:val="00C3629F"/>
    <w:rsid w:val="00C36747"/>
    <w:rsid w:val="00C36934"/>
    <w:rsid w:val="00C36A73"/>
    <w:rsid w:val="00C36E35"/>
    <w:rsid w:val="00C378D1"/>
    <w:rsid w:val="00C40496"/>
    <w:rsid w:val="00C4068A"/>
    <w:rsid w:val="00C40941"/>
    <w:rsid w:val="00C41602"/>
    <w:rsid w:val="00C41AB9"/>
    <w:rsid w:val="00C423E4"/>
    <w:rsid w:val="00C43FC7"/>
    <w:rsid w:val="00C442DF"/>
    <w:rsid w:val="00C443E8"/>
    <w:rsid w:val="00C44886"/>
    <w:rsid w:val="00C44ECB"/>
    <w:rsid w:val="00C45555"/>
    <w:rsid w:val="00C45976"/>
    <w:rsid w:val="00C45A93"/>
    <w:rsid w:val="00C45B7D"/>
    <w:rsid w:val="00C46415"/>
    <w:rsid w:val="00C4696E"/>
    <w:rsid w:val="00C46A80"/>
    <w:rsid w:val="00C4716E"/>
    <w:rsid w:val="00C47791"/>
    <w:rsid w:val="00C477EB"/>
    <w:rsid w:val="00C4793D"/>
    <w:rsid w:val="00C47E39"/>
    <w:rsid w:val="00C505EB"/>
    <w:rsid w:val="00C506EB"/>
    <w:rsid w:val="00C50A5C"/>
    <w:rsid w:val="00C50C1E"/>
    <w:rsid w:val="00C51257"/>
    <w:rsid w:val="00C51288"/>
    <w:rsid w:val="00C52361"/>
    <w:rsid w:val="00C53133"/>
    <w:rsid w:val="00C53B04"/>
    <w:rsid w:val="00C53F60"/>
    <w:rsid w:val="00C546AB"/>
    <w:rsid w:val="00C5474E"/>
    <w:rsid w:val="00C548FA"/>
    <w:rsid w:val="00C55378"/>
    <w:rsid w:val="00C5553F"/>
    <w:rsid w:val="00C55560"/>
    <w:rsid w:val="00C573C7"/>
    <w:rsid w:val="00C60506"/>
    <w:rsid w:val="00C60644"/>
    <w:rsid w:val="00C61997"/>
    <w:rsid w:val="00C62393"/>
    <w:rsid w:val="00C6266E"/>
    <w:rsid w:val="00C62BF4"/>
    <w:rsid w:val="00C63125"/>
    <w:rsid w:val="00C6332D"/>
    <w:rsid w:val="00C641FA"/>
    <w:rsid w:val="00C65357"/>
    <w:rsid w:val="00C669C1"/>
    <w:rsid w:val="00C66B72"/>
    <w:rsid w:val="00C674CD"/>
    <w:rsid w:val="00C67F18"/>
    <w:rsid w:val="00C7147D"/>
    <w:rsid w:val="00C714BB"/>
    <w:rsid w:val="00C7205C"/>
    <w:rsid w:val="00C7262E"/>
    <w:rsid w:val="00C7275B"/>
    <w:rsid w:val="00C7281A"/>
    <w:rsid w:val="00C731F7"/>
    <w:rsid w:val="00C73487"/>
    <w:rsid w:val="00C74080"/>
    <w:rsid w:val="00C74AAA"/>
    <w:rsid w:val="00C74C37"/>
    <w:rsid w:val="00C7526E"/>
    <w:rsid w:val="00C75A4F"/>
    <w:rsid w:val="00C75ABE"/>
    <w:rsid w:val="00C75E68"/>
    <w:rsid w:val="00C76135"/>
    <w:rsid w:val="00C768EA"/>
    <w:rsid w:val="00C76EBB"/>
    <w:rsid w:val="00C76EDA"/>
    <w:rsid w:val="00C77013"/>
    <w:rsid w:val="00C771A2"/>
    <w:rsid w:val="00C77965"/>
    <w:rsid w:val="00C77F47"/>
    <w:rsid w:val="00C80BAC"/>
    <w:rsid w:val="00C811D2"/>
    <w:rsid w:val="00C81339"/>
    <w:rsid w:val="00C81378"/>
    <w:rsid w:val="00C81F32"/>
    <w:rsid w:val="00C81FBE"/>
    <w:rsid w:val="00C82267"/>
    <w:rsid w:val="00C826D8"/>
    <w:rsid w:val="00C82B0B"/>
    <w:rsid w:val="00C84B0E"/>
    <w:rsid w:val="00C84E16"/>
    <w:rsid w:val="00C850FD"/>
    <w:rsid w:val="00C85897"/>
    <w:rsid w:val="00C85CF6"/>
    <w:rsid w:val="00C85DDE"/>
    <w:rsid w:val="00C86018"/>
    <w:rsid w:val="00C866C0"/>
    <w:rsid w:val="00C86C06"/>
    <w:rsid w:val="00C86E31"/>
    <w:rsid w:val="00C86F26"/>
    <w:rsid w:val="00C8737F"/>
    <w:rsid w:val="00C9055F"/>
    <w:rsid w:val="00C921FC"/>
    <w:rsid w:val="00C922B0"/>
    <w:rsid w:val="00C92CF7"/>
    <w:rsid w:val="00C936C3"/>
    <w:rsid w:val="00C938D3"/>
    <w:rsid w:val="00C94522"/>
    <w:rsid w:val="00C949B1"/>
    <w:rsid w:val="00C949E2"/>
    <w:rsid w:val="00C94BF5"/>
    <w:rsid w:val="00C9567A"/>
    <w:rsid w:val="00C957E5"/>
    <w:rsid w:val="00C95BF6"/>
    <w:rsid w:val="00C96035"/>
    <w:rsid w:val="00C9670F"/>
    <w:rsid w:val="00C96AF3"/>
    <w:rsid w:val="00C96BFF"/>
    <w:rsid w:val="00C973A8"/>
    <w:rsid w:val="00C974F4"/>
    <w:rsid w:val="00CA00C2"/>
    <w:rsid w:val="00CA0E2F"/>
    <w:rsid w:val="00CA249C"/>
    <w:rsid w:val="00CA28C5"/>
    <w:rsid w:val="00CA2934"/>
    <w:rsid w:val="00CA3C02"/>
    <w:rsid w:val="00CA43BB"/>
    <w:rsid w:val="00CA44E8"/>
    <w:rsid w:val="00CA53D1"/>
    <w:rsid w:val="00CA545D"/>
    <w:rsid w:val="00CA61E3"/>
    <w:rsid w:val="00CA65F1"/>
    <w:rsid w:val="00CA6BF3"/>
    <w:rsid w:val="00CA6DB4"/>
    <w:rsid w:val="00CA6E49"/>
    <w:rsid w:val="00CB004A"/>
    <w:rsid w:val="00CB088F"/>
    <w:rsid w:val="00CB1005"/>
    <w:rsid w:val="00CB13BC"/>
    <w:rsid w:val="00CB17C1"/>
    <w:rsid w:val="00CB1A0B"/>
    <w:rsid w:val="00CB1AE0"/>
    <w:rsid w:val="00CB2422"/>
    <w:rsid w:val="00CB2660"/>
    <w:rsid w:val="00CB2A1A"/>
    <w:rsid w:val="00CB3738"/>
    <w:rsid w:val="00CB3827"/>
    <w:rsid w:val="00CB3A1A"/>
    <w:rsid w:val="00CB4A00"/>
    <w:rsid w:val="00CB6764"/>
    <w:rsid w:val="00CB712B"/>
    <w:rsid w:val="00CB7A42"/>
    <w:rsid w:val="00CC0D91"/>
    <w:rsid w:val="00CC20D7"/>
    <w:rsid w:val="00CC30E5"/>
    <w:rsid w:val="00CC3891"/>
    <w:rsid w:val="00CC5E13"/>
    <w:rsid w:val="00CC5E90"/>
    <w:rsid w:val="00CC6B6C"/>
    <w:rsid w:val="00CC6D4D"/>
    <w:rsid w:val="00CC7329"/>
    <w:rsid w:val="00CC759E"/>
    <w:rsid w:val="00CD046C"/>
    <w:rsid w:val="00CD1D05"/>
    <w:rsid w:val="00CD282C"/>
    <w:rsid w:val="00CD2EE9"/>
    <w:rsid w:val="00CD36BA"/>
    <w:rsid w:val="00CD4A63"/>
    <w:rsid w:val="00CD4D5A"/>
    <w:rsid w:val="00CD50BE"/>
    <w:rsid w:val="00CD55C7"/>
    <w:rsid w:val="00CD6BCF"/>
    <w:rsid w:val="00CD7BB2"/>
    <w:rsid w:val="00CE0209"/>
    <w:rsid w:val="00CE029B"/>
    <w:rsid w:val="00CE1390"/>
    <w:rsid w:val="00CE420F"/>
    <w:rsid w:val="00CE4868"/>
    <w:rsid w:val="00CE4999"/>
    <w:rsid w:val="00CE5199"/>
    <w:rsid w:val="00CE58F0"/>
    <w:rsid w:val="00CE6543"/>
    <w:rsid w:val="00CE66D5"/>
    <w:rsid w:val="00CE6E2C"/>
    <w:rsid w:val="00CF0E6C"/>
    <w:rsid w:val="00CF100C"/>
    <w:rsid w:val="00CF171F"/>
    <w:rsid w:val="00CF1FF5"/>
    <w:rsid w:val="00CF2156"/>
    <w:rsid w:val="00CF24B3"/>
    <w:rsid w:val="00CF2824"/>
    <w:rsid w:val="00CF2867"/>
    <w:rsid w:val="00CF3EBB"/>
    <w:rsid w:val="00CF4138"/>
    <w:rsid w:val="00CF439C"/>
    <w:rsid w:val="00CF449A"/>
    <w:rsid w:val="00CF5539"/>
    <w:rsid w:val="00CF6754"/>
    <w:rsid w:val="00CF75B4"/>
    <w:rsid w:val="00CF768E"/>
    <w:rsid w:val="00CF7CF2"/>
    <w:rsid w:val="00D002FC"/>
    <w:rsid w:val="00D00384"/>
    <w:rsid w:val="00D00C23"/>
    <w:rsid w:val="00D02B96"/>
    <w:rsid w:val="00D02E9F"/>
    <w:rsid w:val="00D03633"/>
    <w:rsid w:val="00D03C39"/>
    <w:rsid w:val="00D04137"/>
    <w:rsid w:val="00D04674"/>
    <w:rsid w:val="00D04D23"/>
    <w:rsid w:val="00D05066"/>
    <w:rsid w:val="00D07439"/>
    <w:rsid w:val="00D074C6"/>
    <w:rsid w:val="00D0799B"/>
    <w:rsid w:val="00D07A1B"/>
    <w:rsid w:val="00D07CAB"/>
    <w:rsid w:val="00D07CEC"/>
    <w:rsid w:val="00D10133"/>
    <w:rsid w:val="00D112C7"/>
    <w:rsid w:val="00D11349"/>
    <w:rsid w:val="00D1169D"/>
    <w:rsid w:val="00D11888"/>
    <w:rsid w:val="00D12D6C"/>
    <w:rsid w:val="00D1409E"/>
    <w:rsid w:val="00D14582"/>
    <w:rsid w:val="00D14B21"/>
    <w:rsid w:val="00D15ABB"/>
    <w:rsid w:val="00D15E54"/>
    <w:rsid w:val="00D16299"/>
    <w:rsid w:val="00D16C41"/>
    <w:rsid w:val="00D16E97"/>
    <w:rsid w:val="00D203AC"/>
    <w:rsid w:val="00D20D54"/>
    <w:rsid w:val="00D211D9"/>
    <w:rsid w:val="00D2131F"/>
    <w:rsid w:val="00D21D95"/>
    <w:rsid w:val="00D21DA2"/>
    <w:rsid w:val="00D2250C"/>
    <w:rsid w:val="00D22F94"/>
    <w:rsid w:val="00D2345D"/>
    <w:rsid w:val="00D235E9"/>
    <w:rsid w:val="00D23785"/>
    <w:rsid w:val="00D23F4B"/>
    <w:rsid w:val="00D24154"/>
    <w:rsid w:val="00D24291"/>
    <w:rsid w:val="00D2456B"/>
    <w:rsid w:val="00D251CD"/>
    <w:rsid w:val="00D25889"/>
    <w:rsid w:val="00D25C75"/>
    <w:rsid w:val="00D26593"/>
    <w:rsid w:val="00D2729B"/>
    <w:rsid w:val="00D2761D"/>
    <w:rsid w:val="00D27FBF"/>
    <w:rsid w:val="00D31A13"/>
    <w:rsid w:val="00D32D94"/>
    <w:rsid w:val="00D32E0E"/>
    <w:rsid w:val="00D340AA"/>
    <w:rsid w:val="00D34155"/>
    <w:rsid w:val="00D3442A"/>
    <w:rsid w:val="00D34786"/>
    <w:rsid w:val="00D35103"/>
    <w:rsid w:val="00D35609"/>
    <w:rsid w:val="00D36696"/>
    <w:rsid w:val="00D36A2C"/>
    <w:rsid w:val="00D37273"/>
    <w:rsid w:val="00D37539"/>
    <w:rsid w:val="00D375E2"/>
    <w:rsid w:val="00D376F5"/>
    <w:rsid w:val="00D37CDB"/>
    <w:rsid w:val="00D4040F"/>
    <w:rsid w:val="00D40A1E"/>
    <w:rsid w:val="00D40D9F"/>
    <w:rsid w:val="00D41308"/>
    <w:rsid w:val="00D419CA"/>
    <w:rsid w:val="00D41DE7"/>
    <w:rsid w:val="00D42BAB"/>
    <w:rsid w:val="00D43C78"/>
    <w:rsid w:val="00D43F3A"/>
    <w:rsid w:val="00D44A80"/>
    <w:rsid w:val="00D44B04"/>
    <w:rsid w:val="00D44B3B"/>
    <w:rsid w:val="00D44BDF"/>
    <w:rsid w:val="00D45150"/>
    <w:rsid w:val="00D45164"/>
    <w:rsid w:val="00D45500"/>
    <w:rsid w:val="00D46CDC"/>
    <w:rsid w:val="00D47631"/>
    <w:rsid w:val="00D47E97"/>
    <w:rsid w:val="00D5025B"/>
    <w:rsid w:val="00D50AFF"/>
    <w:rsid w:val="00D512DC"/>
    <w:rsid w:val="00D5170F"/>
    <w:rsid w:val="00D52B5B"/>
    <w:rsid w:val="00D532B4"/>
    <w:rsid w:val="00D537DA"/>
    <w:rsid w:val="00D53F3D"/>
    <w:rsid w:val="00D54FB1"/>
    <w:rsid w:val="00D54FD9"/>
    <w:rsid w:val="00D558C4"/>
    <w:rsid w:val="00D55933"/>
    <w:rsid w:val="00D55C50"/>
    <w:rsid w:val="00D55D01"/>
    <w:rsid w:val="00D568A0"/>
    <w:rsid w:val="00D57019"/>
    <w:rsid w:val="00D57833"/>
    <w:rsid w:val="00D6092C"/>
    <w:rsid w:val="00D609E5"/>
    <w:rsid w:val="00D61163"/>
    <w:rsid w:val="00D6144B"/>
    <w:rsid w:val="00D61965"/>
    <w:rsid w:val="00D623FB"/>
    <w:rsid w:val="00D6258E"/>
    <w:rsid w:val="00D62BD0"/>
    <w:rsid w:val="00D62FFA"/>
    <w:rsid w:val="00D63033"/>
    <w:rsid w:val="00D63233"/>
    <w:rsid w:val="00D63965"/>
    <w:rsid w:val="00D65E4F"/>
    <w:rsid w:val="00D6603B"/>
    <w:rsid w:val="00D677D5"/>
    <w:rsid w:val="00D712D3"/>
    <w:rsid w:val="00D71422"/>
    <w:rsid w:val="00D7145E"/>
    <w:rsid w:val="00D7184E"/>
    <w:rsid w:val="00D71A30"/>
    <w:rsid w:val="00D72985"/>
    <w:rsid w:val="00D7314E"/>
    <w:rsid w:val="00D73376"/>
    <w:rsid w:val="00D73E27"/>
    <w:rsid w:val="00D7455E"/>
    <w:rsid w:val="00D74A1F"/>
    <w:rsid w:val="00D74B5B"/>
    <w:rsid w:val="00D74C5C"/>
    <w:rsid w:val="00D74C93"/>
    <w:rsid w:val="00D74F68"/>
    <w:rsid w:val="00D7558D"/>
    <w:rsid w:val="00D76163"/>
    <w:rsid w:val="00D76232"/>
    <w:rsid w:val="00D76345"/>
    <w:rsid w:val="00D7649A"/>
    <w:rsid w:val="00D77629"/>
    <w:rsid w:val="00D80137"/>
    <w:rsid w:val="00D80277"/>
    <w:rsid w:val="00D80440"/>
    <w:rsid w:val="00D80E88"/>
    <w:rsid w:val="00D811FF"/>
    <w:rsid w:val="00D81D92"/>
    <w:rsid w:val="00D826A0"/>
    <w:rsid w:val="00D82EA8"/>
    <w:rsid w:val="00D83699"/>
    <w:rsid w:val="00D838BE"/>
    <w:rsid w:val="00D83DD3"/>
    <w:rsid w:val="00D83FFE"/>
    <w:rsid w:val="00D844E8"/>
    <w:rsid w:val="00D84B06"/>
    <w:rsid w:val="00D8584B"/>
    <w:rsid w:val="00D86569"/>
    <w:rsid w:val="00D87416"/>
    <w:rsid w:val="00D8763F"/>
    <w:rsid w:val="00D9040B"/>
    <w:rsid w:val="00D9087A"/>
    <w:rsid w:val="00D915AB"/>
    <w:rsid w:val="00D91B1E"/>
    <w:rsid w:val="00D92441"/>
    <w:rsid w:val="00D92A9D"/>
    <w:rsid w:val="00D93446"/>
    <w:rsid w:val="00D9382D"/>
    <w:rsid w:val="00D9409A"/>
    <w:rsid w:val="00D942FF"/>
    <w:rsid w:val="00D946AA"/>
    <w:rsid w:val="00D94D1C"/>
    <w:rsid w:val="00D9539C"/>
    <w:rsid w:val="00D95402"/>
    <w:rsid w:val="00D96245"/>
    <w:rsid w:val="00D97210"/>
    <w:rsid w:val="00D978E5"/>
    <w:rsid w:val="00DA0BEF"/>
    <w:rsid w:val="00DA12D9"/>
    <w:rsid w:val="00DA1520"/>
    <w:rsid w:val="00DA15AC"/>
    <w:rsid w:val="00DA1878"/>
    <w:rsid w:val="00DA2A7C"/>
    <w:rsid w:val="00DA2DC0"/>
    <w:rsid w:val="00DA3005"/>
    <w:rsid w:val="00DA300A"/>
    <w:rsid w:val="00DA341C"/>
    <w:rsid w:val="00DA41B6"/>
    <w:rsid w:val="00DA446A"/>
    <w:rsid w:val="00DA4868"/>
    <w:rsid w:val="00DA4E4E"/>
    <w:rsid w:val="00DA5393"/>
    <w:rsid w:val="00DA559E"/>
    <w:rsid w:val="00DA55E5"/>
    <w:rsid w:val="00DA5ECF"/>
    <w:rsid w:val="00DA6106"/>
    <w:rsid w:val="00DA6AB3"/>
    <w:rsid w:val="00DA6B04"/>
    <w:rsid w:val="00DA7151"/>
    <w:rsid w:val="00DA77AA"/>
    <w:rsid w:val="00DA7982"/>
    <w:rsid w:val="00DA79D0"/>
    <w:rsid w:val="00DA7B5F"/>
    <w:rsid w:val="00DB05AA"/>
    <w:rsid w:val="00DB0D0D"/>
    <w:rsid w:val="00DB0F13"/>
    <w:rsid w:val="00DB1260"/>
    <w:rsid w:val="00DB187F"/>
    <w:rsid w:val="00DB18A8"/>
    <w:rsid w:val="00DB3050"/>
    <w:rsid w:val="00DB30EC"/>
    <w:rsid w:val="00DB3374"/>
    <w:rsid w:val="00DB4A1E"/>
    <w:rsid w:val="00DB4D80"/>
    <w:rsid w:val="00DB5B7C"/>
    <w:rsid w:val="00DB5C3C"/>
    <w:rsid w:val="00DB5EE6"/>
    <w:rsid w:val="00DB689A"/>
    <w:rsid w:val="00DB710E"/>
    <w:rsid w:val="00DB73E5"/>
    <w:rsid w:val="00DB79B0"/>
    <w:rsid w:val="00DB7B94"/>
    <w:rsid w:val="00DC008A"/>
    <w:rsid w:val="00DC07A4"/>
    <w:rsid w:val="00DC10F5"/>
    <w:rsid w:val="00DC174D"/>
    <w:rsid w:val="00DC28C0"/>
    <w:rsid w:val="00DC2FF2"/>
    <w:rsid w:val="00DC3121"/>
    <w:rsid w:val="00DC3E4E"/>
    <w:rsid w:val="00DC4839"/>
    <w:rsid w:val="00DC5165"/>
    <w:rsid w:val="00DC58DC"/>
    <w:rsid w:val="00DC610B"/>
    <w:rsid w:val="00DC6453"/>
    <w:rsid w:val="00DC693D"/>
    <w:rsid w:val="00DC6944"/>
    <w:rsid w:val="00DC6D2C"/>
    <w:rsid w:val="00DC7597"/>
    <w:rsid w:val="00DC7693"/>
    <w:rsid w:val="00DC7E7D"/>
    <w:rsid w:val="00DC7F30"/>
    <w:rsid w:val="00DD045E"/>
    <w:rsid w:val="00DD0CE8"/>
    <w:rsid w:val="00DD1E65"/>
    <w:rsid w:val="00DD2615"/>
    <w:rsid w:val="00DD2635"/>
    <w:rsid w:val="00DD2BE4"/>
    <w:rsid w:val="00DD2C54"/>
    <w:rsid w:val="00DD2DF2"/>
    <w:rsid w:val="00DD3E9A"/>
    <w:rsid w:val="00DD42E9"/>
    <w:rsid w:val="00DD44F2"/>
    <w:rsid w:val="00DD58C0"/>
    <w:rsid w:val="00DD5E45"/>
    <w:rsid w:val="00DD6420"/>
    <w:rsid w:val="00DD6427"/>
    <w:rsid w:val="00DD6460"/>
    <w:rsid w:val="00DD6DEF"/>
    <w:rsid w:val="00DD6F04"/>
    <w:rsid w:val="00DD759E"/>
    <w:rsid w:val="00DD7C5E"/>
    <w:rsid w:val="00DD7FF1"/>
    <w:rsid w:val="00DE0266"/>
    <w:rsid w:val="00DE12E3"/>
    <w:rsid w:val="00DE2580"/>
    <w:rsid w:val="00DE26A2"/>
    <w:rsid w:val="00DE28E4"/>
    <w:rsid w:val="00DE30EF"/>
    <w:rsid w:val="00DE3714"/>
    <w:rsid w:val="00DE4F50"/>
    <w:rsid w:val="00DE57CD"/>
    <w:rsid w:val="00DE5D25"/>
    <w:rsid w:val="00DE62F2"/>
    <w:rsid w:val="00DE657E"/>
    <w:rsid w:val="00DE67FF"/>
    <w:rsid w:val="00DE735D"/>
    <w:rsid w:val="00DE7417"/>
    <w:rsid w:val="00DE783D"/>
    <w:rsid w:val="00DE7D2E"/>
    <w:rsid w:val="00DE7FC2"/>
    <w:rsid w:val="00DF1CDD"/>
    <w:rsid w:val="00DF1DF9"/>
    <w:rsid w:val="00DF31A7"/>
    <w:rsid w:val="00DF3CFD"/>
    <w:rsid w:val="00DF3E4E"/>
    <w:rsid w:val="00DF4190"/>
    <w:rsid w:val="00DF4BDE"/>
    <w:rsid w:val="00DF4E88"/>
    <w:rsid w:val="00DF5077"/>
    <w:rsid w:val="00DF76CC"/>
    <w:rsid w:val="00DF7793"/>
    <w:rsid w:val="00DF7CCA"/>
    <w:rsid w:val="00E00EFF"/>
    <w:rsid w:val="00E00F7B"/>
    <w:rsid w:val="00E018BD"/>
    <w:rsid w:val="00E018FC"/>
    <w:rsid w:val="00E01B40"/>
    <w:rsid w:val="00E01E2B"/>
    <w:rsid w:val="00E02360"/>
    <w:rsid w:val="00E023DF"/>
    <w:rsid w:val="00E028BA"/>
    <w:rsid w:val="00E03FA5"/>
    <w:rsid w:val="00E04093"/>
    <w:rsid w:val="00E04837"/>
    <w:rsid w:val="00E052B0"/>
    <w:rsid w:val="00E06219"/>
    <w:rsid w:val="00E0623C"/>
    <w:rsid w:val="00E067A6"/>
    <w:rsid w:val="00E06DDE"/>
    <w:rsid w:val="00E0702F"/>
    <w:rsid w:val="00E0734B"/>
    <w:rsid w:val="00E0740A"/>
    <w:rsid w:val="00E07A9F"/>
    <w:rsid w:val="00E10805"/>
    <w:rsid w:val="00E109A2"/>
    <w:rsid w:val="00E11392"/>
    <w:rsid w:val="00E11D68"/>
    <w:rsid w:val="00E1233A"/>
    <w:rsid w:val="00E13139"/>
    <w:rsid w:val="00E1339C"/>
    <w:rsid w:val="00E1451D"/>
    <w:rsid w:val="00E14EB3"/>
    <w:rsid w:val="00E15407"/>
    <w:rsid w:val="00E1542D"/>
    <w:rsid w:val="00E15FBA"/>
    <w:rsid w:val="00E16BA2"/>
    <w:rsid w:val="00E16F9D"/>
    <w:rsid w:val="00E17683"/>
    <w:rsid w:val="00E1796D"/>
    <w:rsid w:val="00E200F9"/>
    <w:rsid w:val="00E2058C"/>
    <w:rsid w:val="00E2121C"/>
    <w:rsid w:val="00E22278"/>
    <w:rsid w:val="00E2284A"/>
    <w:rsid w:val="00E230FD"/>
    <w:rsid w:val="00E2398E"/>
    <w:rsid w:val="00E23A6C"/>
    <w:rsid w:val="00E23A98"/>
    <w:rsid w:val="00E24348"/>
    <w:rsid w:val="00E24EEF"/>
    <w:rsid w:val="00E25A41"/>
    <w:rsid w:val="00E2673A"/>
    <w:rsid w:val="00E2688E"/>
    <w:rsid w:val="00E26EDD"/>
    <w:rsid w:val="00E26F97"/>
    <w:rsid w:val="00E26FCD"/>
    <w:rsid w:val="00E27AA4"/>
    <w:rsid w:val="00E27E1F"/>
    <w:rsid w:val="00E27EDD"/>
    <w:rsid w:val="00E30281"/>
    <w:rsid w:val="00E308B5"/>
    <w:rsid w:val="00E31DA5"/>
    <w:rsid w:val="00E32154"/>
    <w:rsid w:val="00E32210"/>
    <w:rsid w:val="00E3317B"/>
    <w:rsid w:val="00E337D9"/>
    <w:rsid w:val="00E33C3E"/>
    <w:rsid w:val="00E33E08"/>
    <w:rsid w:val="00E33E64"/>
    <w:rsid w:val="00E35C29"/>
    <w:rsid w:val="00E361A7"/>
    <w:rsid w:val="00E3622A"/>
    <w:rsid w:val="00E364C4"/>
    <w:rsid w:val="00E3757F"/>
    <w:rsid w:val="00E37661"/>
    <w:rsid w:val="00E37980"/>
    <w:rsid w:val="00E37F2F"/>
    <w:rsid w:val="00E40122"/>
    <w:rsid w:val="00E4292A"/>
    <w:rsid w:val="00E4296A"/>
    <w:rsid w:val="00E42C74"/>
    <w:rsid w:val="00E42D2B"/>
    <w:rsid w:val="00E43157"/>
    <w:rsid w:val="00E43212"/>
    <w:rsid w:val="00E4390D"/>
    <w:rsid w:val="00E43C54"/>
    <w:rsid w:val="00E43C96"/>
    <w:rsid w:val="00E458F9"/>
    <w:rsid w:val="00E45D29"/>
    <w:rsid w:val="00E46152"/>
    <w:rsid w:val="00E461F9"/>
    <w:rsid w:val="00E46307"/>
    <w:rsid w:val="00E46996"/>
    <w:rsid w:val="00E4781D"/>
    <w:rsid w:val="00E50136"/>
    <w:rsid w:val="00E50498"/>
    <w:rsid w:val="00E51980"/>
    <w:rsid w:val="00E533FF"/>
    <w:rsid w:val="00E53BD8"/>
    <w:rsid w:val="00E53DC6"/>
    <w:rsid w:val="00E53E5E"/>
    <w:rsid w:val="00E54EF8"/>
    <w:rsid w:val="00E55363"/>
    <w:rsid w:val="00E55C5A"/>
    <w:rsid w:val="00E5621D"/>
    <w:rsid w:val="00E56477"/>
    <w:rsid w:val="00E56B6C"/>
    <w:rsid w:val="00E576F7"/>
    <w:rsid w:val="00E5780B"/>
    <w:rsid w:val="00E57833"/>
    <w:rsid w:val="00E57B6B"/>
    <w:rsid w:val="00E57ECF"/>
    <w:rsid w:val="00E6049E"/>
    <w:rsid w:val="00E608CA"/>
    <w:rsid w:val="00E60EA1"/>
    <w:rsid w:val="00E61067"/>
    <w:rsid w:val="00E61732"/>
    <w:rsid w:val="00E61DC3"/>
    <w:rsid w:val="00E61FC3"/>
    <w:rsid w:val="00E62163"/>
    <w:rsid w:val="00E62965"/>
    <w:rsid w:val="00E6356C"/>
    <w:rsid w:val="00E6364D"/>
    <w:rsid w:val="00E638AB"/>
    <w:rsid w:val="00E63A9C"/>
    <w:rsid w:val="00E63B98"/>
    <w:rsid w:val="00E64645"/>
    <w:rsid w:val="00E64863"/>
    <w:rsid w:val="00E648F3"/>
    <w:rsid w:val="00E64AF6"/>
    <w:rsid w:val="00E64E6F"/>
    <w:rsid w:val="00E654A2"/>
    <w:rsid w:val="00E65CB4"/>
    <w:rsid w:val="00E66037"/>
    <w:rsid w:val="00E66ACD"/>
    <w:rsid w:val="00E67358"/>
    <w:rsid w:val="00E67989"/>
    <w:rsid w:val="00E70442"/>
    <w:rsid w:val="00E70556"/>
    <w:rsid w:val="00E70974"/>
    <w:rsid w:val="00E709B3"/>
    <w:rsid w:val="00E70B54"/>
    <w:rsid w:val="00E71079"/>
    <w:rsid w:val="00E711AB"/>
    <w:rsid w:val="00E7126F"/>
    <w:rsid w:val="00E71E57"/>
    <w:rsid w:val="00E71FD7"/>
    <w:rsid w:val="00E72AF5"/>
    <w:rsid w:val="00E74123"/>
    <w:rsid w:val="00E74177"/>
    <w:rsid w:val="00E74274"/>
    <w:rsid w:val="00E753FA"/>
    <w:rsid w:val="00E75D1D"/>
    <w:rsid w:val="00E75FA5"/>
    <w:rsid w:val="00E766FD"/>
    <w:rsid w:val="00E7676B"/>
    <w:rsid w:val="00E767BD"/>
    <w:rsid w:val="00E76AE8"/>
    <w:rsid w:val="00E7739E"/>
    <w:rsid w:val="00E774E4"/>
    <w:rsid w:val="00E80849"/>
    <w:rsid w:val="00E80A85"/>
    <w:rsid w:val="00E80E83"/>
    <w:rsid w:val="00E8112F"/>
    <w:rsid w:val="00E81771"/>
    <w:rsid w:val="00E81A3E"/>
    <w:rsid w:val="00E82347"/>
    <w:rsid w:val="00E829F2"/>
    <w:rsid w:val="00E82A20"/>
    <w:rsid w:val="00E82F32"/>
    <w:rsid w:val="00E830CC"/>
    <w:rsid w:val="00E833EB"/>
    <w:rsid w:val="00E85E7B"/>
    <w:rsid w:val="00E867DE"/>
    <w:rsid w:val="00E86ABD"/>
    <w:rsid w:val="00E86E84"/>
    <w:rsid w:val="00E86EAF"/>
    <w:rsid w:val="00E87515"/>
    <w:rsid w:val="00E8789F"/>
    <w:rsid w:val="00E87CBA"/>
    <w:rsid w:val="00E904B1"/>
    <w:rsid w:val="00E906DD"/>
    <w:rsid w:val="00E908CF"/>
    <w:rsid w:val="00E91BE2"/>
    <w:rsid w:val="00E920D0"/>
    <w:rsid w:val="00E92215"/>
    <w:rsid w:val="00E92993"/>
    <w:rsid w:val="00E92B95"/>
    <w:rsid w:val="00E9316D"/>
    <w:rsid w:val="00E9318F"/>
    <w:rsid w:val="00E93BDB"/>
    <w:rsid w:val="00E94203"/>
    <w:rsid w:val="00E94D19"/>
    <w:rsid w:val="00E94E3D"/>
    <w:rsid w:val="00E95E34"/>
    <w:rsid w:val="00E96942"/>
    <w:rsid w:val="00E96A96"/>
    <w:rsid w:val="00E972E9"/>
    <w:rsid w:val="00E978C5"/>
    <w:rsid w:val="00E97B71"/>
    <w:rsid w:val="00EA01E7"/>
    <w:rsid w:val="00EA0483"/>
    <w:rsid w:val="00EA04BE"/>
    <w:rsid w:val="00EA077D"/>
    <w:rsid w:val="00EA0E0D"/>
    <w:rsid w:val="00EA1283"/>
    <w:rsid w:val="00EA16E0"/>
    <w:rsid w:val="00EA26BA"/>
    <w:rsid w:val="00EA289B"/>
    <w:rsid w:val="00EA35BA"/>
    <w:rsid w:val="00EA425E"/>
    <w:rsid w:val="00EA4410"/>
    <w:rsid w:val="00EA4428"/>
    <w:rsid w:val="00EA4681"/>
    <w:rsid w:val="00EA5084"/>
    <w:rsid w:val="00EA5A04"/>
    <w:rsid w:val="00EA5FE2"/>
    <w:rsid w:val="00EA603E"/>
    <w:rsid w:val="00EA6A6E"/>
    <w:rsid w:val="00EA6F1C"/>
    <w:rsid w:val="00EA70E0"/>
    <w:rsid w:val="00EA7138"/>
    <w:rsid w:val="00EA7958"/>
    <w:rsid w:val="00EB0252"/>
    <w:rsid w:val="00EB1AC2"/>
    <w:rsid w:val="00EB24D7"/>
    <w:rsid w:val="00EB2848"/>
    <w:rsid w:val="00EB291F"/>
    <w:rsid w:val="00EB3A0E"/>
    <w:rsid w:val="00EB4080"/>
    <w:rsid w:val="00EB454D"/>
    <w:rsid w:val="00EB454F"/>
    <w:rsid w:val="00EB4B7E"/>
    <w:rsid w:val="00EB51DC"/>
    <w:rsid w:val="00EB51EA"/>
    <w:rsid w:val="00EB55C1"/>
    <w:rsid w:val="00EB56B5"/>
    <w:rsid w:val="00EB6170"/>
    <w:rsid w:val="00EB6206"/>
    <w:rsid w:val="00EB62D9"/>
    <w:rsid w:val="00EB6316"/>
    <w:rsid w:val="00EB6B06"/>
    <w:rsid w:val="00EB6B3A"/>
    <w:rsid w:val="00EB7F0A"/>
    <w:rsid w:val="00EC0411"/>
    <w:rsid w:val="00EC0AFF"/>
    <w:rsid w:val="00EC0BA4"/>
    <w:rsid w:val="00EC112E"/>
    <w:rsid w:val="00EC1628"/>
    <w:rsid w:val="00EC20C2"/>
    <w:rsid w:val="00EC2307"/>
    <w:rsid w:val="00EC267A"/>
    <w:rsid w:val="00EC27D8"/>
    <w:rsid w:val="00EC2AAD"/>
    <w:rsid w:val="00EC2E20"/>
    <w:rsid w:val="00EC31F9"/>
    <w:rsid w:val="00EC3F65"/>
    <w:rsid w:val="00EC45C1"/>
    <w:rsid w:val="00EC5570"/>
    <w:rsid w:val="00EC596F"/>
    <w:rsid w:val="00EC68B2"/>
    <w:rsid w:val="00EC6931"/>
    <w:rsid w:val="00EC73C8"/>
    <w:rsid w:val="00EC74EB"/>
    <w:rsid w:val="00EC767E"/>
    <w:rsid w:val="00EC7B7F"/>
    <w:rsid w:val="00ED0C52"/>
    <w:rsid w:val="00ED0E31"/>
    <w:rsid w:val="00ED1405"/>
    <w:rsid w:val="00ED147C"/>
    <w:rsid w:val="00ED17AC"/>
    <w:rsid w:val="00ED18FD"/>
    <w:rsid w:val="00ED19E9"/>
    <w:rsid w:val="00ED1A76"/>
    <w:rsid w:val="00ED2D1D"/>
    <w:rsid w:val="00ED2F81"/>
    <w:rsid w:val="00ED3A8E"/>
    <w:rsid w:val="00ED3AB2"/>
    <w:rsid w:val="00ED4CBA"/>
    <w:rsid w:val="00ED5232"/>
    <w:rsid w:val="00ED56AB"/>
    <w:rsid w:val="00ED5817"/>
    <w:rsid w:val="00ED58A6"/>
    <w:rsid w:val="00ED58EF"/>
    <w:rsid w:val="00ED5BE1"/>
    <w:rsid w:val="00ED62B2"/>
    <w:rsid w:val="00EE04C1"/>
    <w:rsid w:val="00EE0BA9"/>
    <w:rsid w:val="00EE0BB0"/>
    <w:rsid w:val="00EE0D3E"/>
    <w:rsid w:val="00EE140F"/>
    <w:rsid w:val="00EE316A"/>
    <w:rsid w:val="00EE3522"/>
    <w:rsid w:val="00EE36D7"/>
    <w:rsid w:val="00EE39AD"/>
    <w:rsid w:val="00EE39F1"/>
    <w:rsid w:val="00EE4E4B"/>
    <w:rsid w:val="00EE54EA"/>
    <w:rsid w:val="00EE5694"/>
    <w:rsid w:val="00EE5A81"/>
    <w:rsid w:val="00EE5C5E"/>
    <w:rsid w:val="00EE5D7E"/>
    <w:rsid w:val="00EE5E58"/>
    <w:rsid w:val="00EE723A"/>
    <w:rsid w:val="00EF04A0"/>
    <w:rsid w:val="00EF0CEF"/>
    <w:rsid w:val="00EF1247"/>
    <w:rsid w:val="00EF2493"/>
    <w:rsid w:val="00EF2C67"/>
    <w:rsid w:val="00EF36AC"/>
    <w:rsid w:val="00EF49F0"/>
    <w:rsid w:val="00EF4EC3"/>
    <w:rsid w:val="00EF4F97"/>
    <w:rsid w:val="00EF56CE"/>
    <w:rsid w:val="00EF5AA9"/>
    <w:rsid w:val="00EF5C73"/>
    <w:rsid w:val="00EF619B"/>
    <w:rsid w:val="00EF6972"/>
    <w:rsid w:val="00EF7231"/>
    <w:rsid w:val="00EF774B"/>
    <w:rsid w:val="00F005EE"/>
    <w:rsid w:val="00F009D3"/>
    <w:rsid w:val="00F00B55"/>
    <w:rsid w:val="00F00C75"/>
    <w:rsid w:val="00F0193E"/>
    <w:rsid w:val="00F02BF3"/>
    <w:rsid w:val="00F040BD"/>
    <w:rsid w:val="00F04AFE"/>
    <w:rsid w:val="00F059CF"/>
    <w:rsid w:val="00F05B93"/>
    <w:rsid w:val="00F063BF"/>
    <w:rsid w:val="00F06961"/>
    <w:rsid w:val="00F06B58"/>
    <w:rsid w:val="00F06DAD"/>
    <w:rsid w:val="00F0764A"/>
    <w:rsid w:val="00F1005F"/>
    <w:rsid w:val="00F11242"/>
    <w:rsid w:val="00F1246F"/>
    <w:rsid w:val="00F1380F"/>
    <w:rsid w:val="00F13CDA"/>
    <w:rsid w:val="00F14F0E"/>
    <w:rsid w:val="00F14F98"/>
    <w:rsid w:val="00F15271"/>
    <w:rsid w:val="00F15799"/>
    <w:rsid w:val="00F15B6A"/>
    <w:rsid w:val="00F161AA"/>
    <w:rsid w:val="00F16AD4"/>
    <w:rsid w:val="00F175ED"/>
    <w:rsid w:val="00F1763D"/>
    <w:rsid w:val="00F17799"/>
    <w:rsid w:val="00F20236"/>
    <w:rsid w:val="00F2059E"/>
    <w:rsid w:val="00F20D2B"/>
    <w:rsid w:val="00F21553"/>
    <w:rsid w:val="00F21703"/>
    <w:rsid w:val="00F2328B"/>
    <w:rsid w:val="00F24208"/>
    <w:rsid w:val="00F24C29"/>
    <w:rsid w:val="00F253CC"/>
    <w:rsid w:val="00F25C31"/>
    <w:rsid w:val="00F25CBA"/>
    <w:rsid w:val="00F25DB1"/>
    <w:rsid w:val="00F263DC"/>
    <w:rsid w:val="00F267BE"/>
    <w:rsid w:val="00F27458"/>
    <w:rsid w:val="00F277DB"/>
    <w:rsid w:val="00F27861"/>
    <w:rsid w:val="00F27ACD"/>
    <w:rsid w:val="00F27CD8"/>
    <w:rsid w:val="00F27D9E"/>
    <w:rsid w:val="00F30680"/>
    <w:rsid w:val="00F311E2"/>
    <w:rsid w:val="00F31814"/>
    <w:rsid w:val="00F31D68"/>
    <w:rsid w:val="00F31FE3"/>
    <w:rsid w:val="00F3223E"/>
    <w:rsid w:val="00F3379A"/>
    <w:rsid w:val="00F34192"/>
    <w:rsid w:val="00F34265"/>
    <w:rsid w:val="00F3471A"/>
    <w:rsid w:val="00F347D2"/>
    <w:rsid w:val="00F349BC"/>
    <w:rsid w:val="00F34AE5"/>
    <w:rsid w:val="00F352FC"/>
    <w:rsid w:val="00F3576E"/>
    <w:rsid w:val="00F35C2A"/>
    <w:rsid w:val="00F35E2A"/>
    <w:rsid w:val="00F36D40"/>
    <w:rsid w:val="00F36F27"/>
    <w:rsid w:val="00F37464"/>
    <w:rsid w:val="00F37481"/>
    <w:rsid w:val="00F37F99"/>
    <w:rsid w:val="00F40879"/>
    <w:rsid w:val="00F40B92"/>
    <w:rsid w:val="00F427E6"/>
    <w:rsid w:val="00F434F9"/>
    <w:rsid w:val="00F438CD"/>
    <w:rsid w:val="00F43FDB"/>
    <w:rsid w:val="00F441B9"/>
    <w:rsid w:val="00F4466A"/>
    <w:rsid w:val="00F449FB"/>
    <w:rsid w:val="00F44CE7"/>
    <w:rsid w:val="00F45EBF"/>
    <w:rsid w:val="00F461D1"/>
    <w:rsid w:val="00F46498"/>
    <w:rsid w:val="00F503B5"/>
    <w:rsid w:val="00F508E3"/>
    <w:rsid w:val="00F511F7"/>
    <w:rsid w:val="00F51F0D"/>
    <w:rsid w:val="00F54147"/>
    <w:rsid w:val="00F545AC"/>
    <w:rsid w:val="00F548A6"/>
    <w:rsid w:val="00F5497B"/>
    <w:rsid w:val="00F55507"/>
    <w:rsid w:val="00F55697"/>
    <w:rsid w:val="00F55F3B"/>
    <w:rsid w:val="00F5694D"/>
    <w:rsid w:val="00F56A40"/>
    <w:rsid w:val="00F56BA5"/>
    <w:rsid w:val="00F56BE1"/>
    <w:rsid w:val="00F56D59"/>
    <w:rsid w:val="00F57275"/>
    <w:rsid w:val="00F57538"/>
    <w:rsid w:val="00F6022A"/>
    <w:rsid w:val="00F605A2"/>
    <w:rsid w:val="00F60E01"/>
    <w:rsid w:val="00F61379"/>
    <w:rsid w:val="00F6160F"/>
    <w:rsid w:val="00F61BE4"/>
    <w:rsid w:val="00F61C0D"/>
    <w:rsid w:val="00F62341"/>
    <w:rsid w:val="00F6255A"/>
    <w:rsid w:val="00F62C42"/>
    <w:rsid w:val="00F635FB"/>
    <w:rsid w:val="00F637BF"/>
    <w:rsid w:val="00F6434E"/>
    <w:rsid w:val="00F644E6"/>
    <w:rsid w:val="00F6589A"/>
    <w:rsid w:val="00F66451"/>
    <w:rsid w:val="00F66BDC"/>
    <w:rsid w:val="00F71643"/>
    <w:rsid w:val="00F71F53"/>
    <w:rsid w:val="00F725D1"/>
    <w:rsid w:val="00F737D9"/>
    <w:rsid w:val="00F7392C"/>
    <w:rsid w:val="00F746CA"/>
    <w:rsid w:val="00F74B0B"/>
    <w:rsid w:val="00F75B5F"/>
    <w:rsid w:val="00F760C8"/>
    <w:rsid w:val="00F769C7"/>
    <w:rsid w:val="00F7730A"/>
    <w:rsid w:val="00F7784C"/>
    <w:rsid w:val="00F77995"/>
    <w:rsid w:val="00F77BFA"/>
    <w:rsid w:val="00F77E6F"/>
    <w:rsid w:val="00F77F46"/>
    <w:rsid w:val="00F81EC0"/>
    <w:rsid w:val="00F820EF"/>
    <w:rsid w:val="00F8219E"/>
    <w:rsid w:val="00F82683"/>
    <w:rsid w:val="00F83D11"/>
    <w:rsid w:val="00F8403F"/>
    <w:rsid w:val="00F857F6"/>
    <w:rsid w:val="00F858FA"/>
    <w:rsid w:val="00F86E36"/>
    <w:rsid w:val="00F86EE8"/>
    <w:rsid w:val="00F87A9A"/>
    <w:rsid w:val="00F90522"/>
    <w:rsid w:val="00F90BD3"/>
    <w:rsid w:val="00F90E86"/>
    <w:rsid w:val="00F916AC"/>
    <w:rsid w:val="00F92AF4"/>
    <w:rsid w:val="00F92CA1"/>
    <w:rsid w:val="00F93061"/>
    <w:rsid w:val="00F93826"/>
    <w:rsid w:val="00F94B11"/>
    <w:rsid w:val="00F9518D"/>
    <w:rsid w:val="00F95787"/>
    <w:rsid w:val="00F95F1F"/>
    <w:rsid w:val="00F9630D"/>
    <w:rsid w:val="00F9653B"/>
    <w:rsid w:val="00F97397"/>
    <w:rsid w:val="00F9772B"/>
    <w:rsid w:val="00F97B89"/>
    <w:rsid w:val="00F97D53"/>
    <w:rsid w:val="00FA081A"/>
    <w:rsid w:val="00FA1297"/>
    <w:rsid w:val="00FA1759"/>
    <w:rsid w:val="00FA1ADA"/>
    <w:rsid w:val="00FA2245"/>
    <w:rsid w:val="00FA2C02"/>
    <w:rsid w:val="00FA2C1D"/>
    <w:rsid w:val="00FA310E"/>
    <w:rsid w:val="00FA359A"/>
    <w:rsid w:val="00FA3BDF"/>
    <w:rsid w:val="00FA63CD"/>
    <w:rsid w:val="00FA769D"/>
    <w:rsid w:val="00FA7982"/>
    <w:rsid w:val="00FA7A6B"/>
    <w:rsid w:val="00FA7CCD"/>
    <w:rsid w:val="00FB0896"/>
    <w:rsid w:val="00FB0E27"/>
    <w:rsid w:val="00FB0F94"/>
    <w:rsid w:val="00FB10AF"/>
    <w:rsid w:val="00FB1A16"/>
    <w:rsid w:val="00FB1A3C"/>
    <w:rsid w:val="00FB2597"/>
    <w:rsid w:val="00FB296D"/>
    <w:rsid w:val="00FB3E1E"/>
    <w:rsid w:val="00FB4E78"/>
    <w:rsid w:val="00FB4EE9"/>
    <w:rsid w:val="00FB582D"/>
    <w:rsid w:val="00FB62CF"/>
    <w:rsid w:val="00FB70E7"/>
    <w:rsid w:val="00FC052E"/>
    <w:rsid w:val="00FC084F"/>
    <w:rsid w:val="00FC1BBF"/>
    <w:rsid w:val="00FC1E3D"/>
    <w:rsid w:val="00FC2C34"/>
    <w:rsid w:val="00FC3262"/>
    <w:rsid w:val="00FC3283"/>
    <w:rsid w:val="00FC33D3"/>
    <w:rsid w:val="00FC3EB4"/>
    <w:rsid w:val="00FC544A"/>
    <w:rsid w:val="00FC56F1"/>
    <w:rsid w:val="00FC6C58"/>
    <w:rsid w:val="00FC7496"/>
    <w:rsid w:val="00FC78B0"/>
    <w:rsid w:val="00FD04EA"/>
    <w:rsid w:val="00FD0AC0"/>
    <w:rsid w:val="00FD0DE9"/>
    <w:rsid w:val="00FD0FAC"/>
    <w:rsid w:val="00FD0FD8"/>
    <w:rsid w:val="00FD1AC2"/>
    <w:rsid w:val="00FD1C8A"/>
    <w:rsid w:val="00FD1DD0"/>
    <w:rsid w:val="00FD279F"/>
    <w:rsid w:val="00FD2EC4"/>
    <w:rsid w:val="00FD3999"/>
    <w:rsid w:val="00FD3BD1"/>
    <w:rsid w:val="00FD49B3"/>
    <w:rsid w:val="00FD5518"/>
    <w:rsid w:val="00FD635E"/>
    <w:rsid w:val="00FD64AE"/>
    <w:rsid w:val="00FD71F0"/>
    <w:rsid w:val="00FD746F"/>
    <w:rsid w:val="00FE0888"/>
    <w:rsid w:val="00FE09CA"/>
    <w:rsid w:val="00FE140A"/>
    <w:rsid w:val="00FE144F"/>
    <w:rsid w:val="00FE157F"/>
    <w:rsid w:val="00FE1D48"/>
    <w:rsid w:val="00FE1EAD"/>
    <w:rsid w:val="00FE21AB"/>
    <w:rsid w:val="00FE314A"/>
    <w:rsid w:val="00FE3324"/>
    <w:rsid w:val="00FE36B0"/>
    <w:rsid w:val="00FE3B59"/>
    <w:rsid w:val="00FE3CEC"/>
    <w:rsid w:val="00FE4039"/>
    <w:rsid w:val="00FE40DE"/>
    <w:rsid w:val="00FE4368"/>
    <w:rsid w:val="00FE4DCD"/>
    <w:rsid w:val="00FE5165"/>
    <w:rsid w:val="00FE57F6"/>
    <w:rsid w:val="00FE5EC3"/>
    <w:rsid w:val="00FE6B45"/>
    <w:rsid w:val="00FE6B58"/>
    <w:rsid w:val="00FE6EBC"/>
    <w:rsid w:val="00FE769E"/>
    <w:rsid w:val="00FE76A1"/>
    <w:rsid w:val="00FF05BC"/>
    <w:rsid w:val="00FF0651"/>
    <w:rsid w:val="00FF0EE5"/>
    <w:rsid w:val="00FF1B5F"/>
    <w:rsid w:val="00FF1C1C"/>
    <w:rsid w:val="00FF24CE"/>
    <w:rsid w:val="00FF379A"/>
    <w:rsid w:val="00FF3FB7"/>
    <w:rsid w:val="00FF4B22"/>
    <w:rsid w:val="00FF4C3A"/>
    <w:rsid w:val="00FF5724"/>
    <w:rsid w:val="00FF5851"/>
    <w:rsid w:val="00FF5D8C"/>
    <w:rsid w:val="00FF61EA"/>
    <w:rsid w:val="00FF654F"/>
    <w:rsid w:val="00FF6C89"/>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031C4"/>
    <w:pPr>
      <w:tabs>
        <w:tab w:val="left" w:pos="1440"/>
        <w:tab w:val="left" w:pos="1800"/>
        <w:tab w:val="right" w:leader="dot" w:pos="9350"/>
      </w:tabs>
      <w:spacing w:after="100"/>
      <w:ind w:left="1440" w:hanging="360"/>
    </w:pPr>
  </w:style>
  <w:style w:type="paragraph" w:styleId="TOC1">
    <w:name w:val="toc 1"/>
    <w:basedOn w:val="Normal"/>
    <w:next w:val="Normal"/>
    <w:autoRedefine/>
    <w:uiPriority w:val="39"/>
    <w:unhideWhenUsed/>
    <w:rsid w:val="007D4DC4"/>
    <w:pPr>
      <w:tabs>
        <w:tab w:val="left" w:pos="1080"/>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11"/>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rsid w:val="00191F07"/>
    <w:rPr>
      <w:rFonts w:cs="Arial Unicode MS"/>
      <w:color w:val="000000"/>
      <w:u w:color="000000"/>
      <w:lang w:val="en-US" w:eastAsia="en-US"/>
    </w:rPr>
  </w:style>
  <w:style w:type="numbering" w:customStyle="1" w:styleId="ImportedStyle3">
    <w:name w:val="Imported Style 3"/>
    <w:rsid w:val="006A72B7"/>
    <w:pPr>
      <w:numPr>
        <w:numId w:val="58"/>
      </w:numPr>
    </w:pPr>
  </w:style>
  <w:style w:type="numbering" w:customStyle="1" w:styleId="ImportedStyle4">
    <w:name w:val="Imported Style 4"/>
    <w:rsid w:val="00EA425E"/>
    <w:pPr>
      <w:numPr>
        <w:numId w:val="59"/>
      </w:numPr>
    </w:pPr>
  </w:style>
  <w:style w:type="numbering" w:customStyle="1" w:styleId="ImportedStyle5">
    <w:name w:val="Imported Style 5"/>
    <w:rsid w:val="00C80BAC"/>
    <w:pPr>
      <w:numPr>
        <w:numId w:val="60"/>
      </w:numPr>
    </w:pPr>
  </w:style>
  <w:style w:type="numbering" w:customStyle="1" w:styleId="ImportedStyle6">
    <w:name w:val="Imported Style 6"/>
    <w:rsid w:val="00264225"/>
    <w:pPr>
      <w:numPr>
        <w:numId w:val="61"/>
      </w:numPr>
    </w:pPr>
  </w:style>
  <w:style w:type="numbering" w:customStyle="1" w:styleId="ImportedStyle8">
    <w:name w:val="Imported Style 8"/>
    <w:rsid w:val="00037CC9"/>
    <w:pPr>
      <w:numPr>
        <w:numId w:val="62"/>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character" w:customStyle="1" w:styleId="fontstyle01">
    <w:name w:val="fontstyle01"/>
    <w:basedOn w:val="DefaultParagraphFont"/>
    <w:rsid w:val="006B1AEA"/>
    <w:rPr>
      <w:rFonts w:ascii="Verdana" w:hAnsi="Verdana" w:hint="default"/>
      <w:b w:val="0"/>
      <w:bCs w:val="0"/>
      <w:i w:val="0"/>
      <w:iCs w:val="0"/>
      <w:color w:val="000000"/>
      <w:sz w:val="20"/>
      <w:szCs w:val="20"/>
    </w:rPr>
  </w:style>
  <w:style w:type="paragraph" w:styleId="TOCHeading">
    <w:name w:val="TOC Heading"/>
    <w:basedOn w:val="Heading1"/>
    <w:next w:val="Normal"/>
    <w:uiPriority w:val="39"/>
    <w:semiHidden/>
    <w:unhideWhenUsed/>
    <w:qFormat/>
    <w:rsid w:val="0056246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31023587">
      <w:bodyDiv w:val="1"/>
      <w:marLeft w:val="0"/>
      <w:marRight w:val="0"/>
      <w:marTop w:val="0"/>
      <w:marBottom w:val="0"/>
      <w:divBdr>
        <w:top w:val="none" w:sz="0" w:space="0" w:color="auto"/>
        <w:left w:val="none" w:sz="0" w:space="0" w:color="auto"/>
        <w:bottom w:val="none" w:sz="0" w:space="0" w:color="auto"/>
        <w:right w:val="none" w:sz="0" w:space="0" w:color="auto"/>
      </w:divBdr>
      <w:divsChild>
        <w:div w:id="792481931">
          <w:marLeft w:val="0"/>
          <w:marRight w:val="0"/>
          <w:marTop w:val="0"/>
          <w:marBottom w:val="0"/>
          <w:divBdr>
            <w:top w:val="none" w:sz="0" w:space="0" w:color="auto"/>
            <w:left w:val="none" w:sz="0" w:space="0" w:color="auto"/>
            <w:bottom w:val="none" w:sz="0" w:space="0" w:color="auto"/>
            <w:right w:val="none" w:sz="0" w:space="0" w:color="auto"/>
          </w:divBdr>
          <w:divsChild>
            <w:div w:id="1950046063">
              <w:marLeft w:val="0"/>
              <w:marRight w:val="0"/>
              <w:marTop w:val="0"/>
              <w:marBottom w:val="0"/>
              <w:divBdr>
                <w:top w:val="none" w:sz="0" w:space="0" w:color="auto"/>
                <w:left w:val="none" w:sz="0" w:space="0" w:color="auto"/>
                <w:bottom w:val="none" w:sz="0" w:space="0" w:color="auto"/>
                <w:right w:val="none" w:sz="0" w:space="0" w:color="auto"/>
              </w:divBdr>
              <w:divsChild>
                <w:div w:id="1731419409">
                  <w:marLeft w:val="0"/>
                  <w:marRight w:val="0"/>
                  <w:marTop w:val="0"/>
                  <w:marBottom w:val="0"/>
                  <w:divBdr>
                    <w:top w:val="none" w:sz="0" w:space="0" w:color="auto"/>
                    <w:left w:val="none" w:sz="0" w:space="0" w:color="auto"/>
                    <w:bottom w:val="none" w:sz="0" w:space="0" w:color="auto"/>
                    <w:right w:val="none" w:sz="0" w:space="0" w:color="auto"/>
                  </w:divBdr>
                </w:div>
              </w:divsChild>
            </w:div>
            <w:div w:id="2134515933">
              <w:marLeft w:val="0"/>
              <w:marRight w:val="0"/>
              <w:marTop w:val="0"/>
              <w:marBottom w:val="0"/>
              <w:divBdr>
                <w:top w:val="none" w:sz="0" w:space="0" w:color="auto"/>
                <w:left w:val="none" w:sz="0" w:space="0" w:color="auto"/>
                <w:bottom w:val="none" w:sz="0" w:space="0" w:color="auto"/>
                <w:right w:val="none" w:sz="0" w:space="0" w:color="auto"/>
              </w:divBdr>
              <w:divsChild>
                <w:div w:id="1431508840">
                  <w:marLeft w:val="0"/>
                  <w:marRight w:val="0"/>
                  <w:marTop w:val="0"/>
                  <w:marBottom w:val="0"/>
                  <w:divBdr>
                    <w:top w:val="none" w:sz="0" w:space="0" w:color="auto"/>
                    <w:left w:val="none" w:sz="0" w:space="0" w:color="auto"/>
                    <w:bottom w:val="none" w:sz="0" w:space="0" w:color="auto"/>
                    <w:right w:val="none" w:sz="0" w:space="0" w:color="auto"/>
                  </w:divBdr>
                </w:div>
              </w:divsChild>
            </w:div>
            <w:div w:id="373505296">
              <w:marLeft w:val="0"/>
              <w:marRight w:val="0"/>
              <w:marTop w:val="0"/>
              <w:marBottom w:val="0"/>
              <w:divBdr>
                <w:top w:val="none" w:sz="0" w:space="0" w:color="auto"/>
                <w:left w:val="none" w:sz="0" w:space="0" w:color="auto"/>
                <w:bottom w:val="none" w:sz="0" w:space="0" w:color="auto"/>
                <w:right w:val="none" w:sz="0" w:space="0" w:color="auto"/>
              </w:divBdr>
              <w:divsChild>
                <w:div w:id="1441994958">
                  <w:marLeft w:val="0"/>
                  <w:marRight w:val="0"/>
                  <w:marTop w:val="0"/>
                  <w:marBottom w:val="0"/>
                  <w:divBdr>
                    <w:top w:val="none" w:sz="0" w:space="0" w:color="auto"/>
                    <w:left w:val="none" w:sz="0" w:space="0" w:color="auto"/>
                    <w:bottom w:val="none" w:sz="0" w:space="0" w:color="auto"/>
                    <w:right w:val="none" w:sz="0" w:space="0" w:color="auto"/>
                  </w:divBdr>
                </w:div>
              </w:divsChild>
            </w:div>
            <w:div w:id="1710884645">
              <w:marLeft w:val="0"/>
              <w:marRight w:val="0"/>
              <w:marTop w:val="0"/>
              <w:marBottom w:val="0"/>
              <w:divBdr>
                <w:top w:val="none" w:sz="0" w:space="0" w:color="auto"/>
                <w:left w:val="none" w:sz="0" w:space="0" w:color="auto"/>
                <w:bottom w:val="none" w:sz="0" w:space="0" w:color="auto"/>
                <w:right w:val="none" w:sz="0" w:space="0" w:color="auto"/>
              </w:divBdr>
              <w:divsChild>
                <w:div w:id="668093268">
                  <w:marLeft w:val="0"/>
                  <w:marRight w:val="0"/>
                  <w:marTop w:val="0"/>
                  <w:marBottom w:val="0"/>
                  <w:divBdr>
                    <w:top w:val="none" w:sz="0" w:space="0" w:color="auto"/>
                    <w:left w:val="none" w:sz="0" w:space="0" w:color="auto"/>
                    <w:bottom w:val="none" w:sz="0" w:space="0" w:color="auto"/>
                    <w:right w:val="none" w:sz="0" w:space="0" w:color="auto"/>
                  </w:divBdr>
                </w:div>
              </w:divsChild>
            </w:div>
            <w:div w:id="1941916112">
              <w:marLeft w:val="0"/>
              <w:marRight w:val="0"/>
              <w:marTop w:val="0"/>
              <w:marBottom w:val="0"/>
              <w:divBdr>
                <w:top w:val="none" w:sz="0" w:space="0" w:color="auto"/>
                <w:left w:val="none" w:sz="0" w:space="0" w:color="auto"/>
                <w:bottom w:val="none" w:sz="0" w:space="0" w:color="auto"/>
                <w:right w:val="none" w:sz="0" w:space="0" w:color="auto"/>
              </w:divBdr>
              <w:divsChild>
                <w:div w:id="485709409">
                  <w:marLeft w:val="0"/>
                  <w:marRight w:val="0"/>
                  <w:marTop w:val="0"/>
                  <w:marBottom w:val="0"/>
                  <w:divBdr>
                    <w:top w:val="none" w:sz="0" w:space="0" w:color="auto"/>
                    <w:left w:val="none" w:sz="0" w:space="0" w:color="auto"/>
                    <w:bottom w:val="none" w:sz="0" w:space="0" w:color="auto"/>
                    <w:right w:val="none" w:sz="0" w:space="0" w:color="auto"/>
                  </w:divBdr>
                </w:div>
              </w:divsChild>
            </w:div>
            <w:div w:id="2056926840">
              <w:marLeft w:val="0"/>
              <w:marRight w:val="0"/>
              <w:marTop w:val="0"/>
              <w:marBottom w:val="0"/>
              <w:divBdr>
                <w:top w:val="none" w:sz="0" w:space="0" w:color="auto"/>
                <w:left w:val="none" w:sz="0" w:space="0" w:color="auto"/>
                <w:bottom w:val="none" w:sz="0" w:space="0" w:color="auto"/>
                <w:right w:val="none" w:sz="0" w:space="0" w:color="auto"/>
              </w:divBdr>
              <w:divsChild>
                <w:div w:id="13545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07296216">
      <w:bodyDiv w:val="1"/>
      <w:marLeft w:val="0"/>
      <w:marRight w:val="0"/>
      <w:marTop w:val="0"/>
      <w:marBottom w:val="0"/>
      <w:divBdr>
        <w:top w:val="none" w:sz="0" w:space="0" w:color="auto"/>
        <w:left w:val="none" w:sz="0" w:space="0" w:color="auto"/>
        <w:bottom w:val="none" w:sz="0" w:space="0" w:color="auto"/>
        <w:right w:val="none" w:sz="0" w:space="0" w:color="auto"/>
      </w:divBdr>
      <w:divsChild>
        <w:div w:id="1089429906">
          <w:marLeft w:val="0"/>
          <w:marRight w:val="0"/>
          <w:marTop w:val="0"/>
          <w:marBottom w:val="0"/>
          <w:divBdr>
            <w:top w:val="none" w:sz="0" w:space="0" w:color="auto"/>
            <w:left w:val="none" w:sz="0" w:space="0" w:color="auto"/>
            <w:bottom w:val="none" w:sz="0" w:space="0" w:color="auto"/>
            <w:right w:val="none" w:sz="0" w:space="0" w:color="auto"/>
          </w:divBdr>
          <w:divsChild>
            <w:div w:id="32312152">
              <w:marLeft w:val="0"/>
              <w:marRight w:val="0"/>
              <w:marTop w:val="0"/>
              <w:marBottom w:val="0"/>
              <w:divBdr>
                <w:top w:val="none" w:sz="0" w:space="0" w:color="auto"/>
                <w:left w:val="none" w:sz="0" w:space="0" w:color="auto"/>
                <w:bottom w:val="none" w:sz="0" w:space="0" w:color="auto"/>
                <w:right w:val="none" w:sz="0" w:space="0" w:color="auto"/>
              </w:divBdr>
              <w:divsChild>
                <w:div w:id="491483317">
                  <w:marLeft w:val="0"/>
                  <w:marRight w:val="0"/>
                  <w:marTop w:val="0"/>
                  <w:marBottom w:val="0"/>
                  <w:divBdr>
                    <w:top w:val="none" w:sz="0" w:space="0" w:color="auto"/>
                    <w:left w:val="none" w:sz="0" w:space="0" w:color="auto"/>
                    <w:bottom w:val="none" w:sz="0" w:space="0" w:color="auto"/>
                    <w:right w:val="none" w:sz="0" w:space="0" w:color="auto"/>
                  </w:divBdr>
                  <w:divsChild>
                    <w:div w:id="1401051643">
                      <w:marLeft w:val="0"/>
                      <w:marRight w:val="0"/>
                      <w:marTop w:val="0"/>
                      <w:marBottom w:val="0"/>
                      <w:divBdr>
                        <w:top w:val="none" w:sz="0" w:space="0" w:color="auto"/>
                        <w:left w:val="none" w:sz="0" w:space="0" w:color="auto"/>
                        <w:bottom w:val="none" w:sz="0" w:space="0" w:color="auto"/>
                        <w:right w:val="none" w:sz="0" w:space="0" w:color="auto"/>
                      </w:divBdr>
                      <w:divsChild>
                        <w:div w:id="1004211956">
                          <w:marLeft w:val="0"/>
                          <w:marRight w:val="0"/>
                          <w:marTop w:val="0"/>
                          <w:marBottom w:val="0"/>
                          <w:divBdr>
                            <w:top w:val="none" w:sz="0" w:space="0" w:color="auto"/>
                            <w:left w:val="none" w:sz="0" w:space="0" w:color="auto"/>
                            <w:bottom w:val="none" w:sz="0" w:space="0" w:color="auto"/>
                            <w:right w:val="none" w:sz="0" w:space="0" w:color="auto"/>
                          </w:divBdr>
                          <w:divsChild>
                            <w:div w:id="6190691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17918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505261">
      <w:bodyDiv w:val="1"/>
      <w:marLeft w:val="0"/>
      <w:marRight w:val="0"/>
      <w:marTop w:val="0"/>
      <w:marBottom w:val="0"/>
      <w:divBdr>
        <w:top w:val="none" w:sz="0" w:space="0" w:color="auto"/>
        <w:left w:val="none" w:sz="0" w:space="0" w:color="auto"/>
        <w:bottom w:val="none" w:sz="0" w:space="0" w:color="auto"/>
        <w:right w:val="none" w:sz="0" w:space="0" w:color="auto"/>
      </w:divBdr>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41907950">
      <w:bodyDiv w:val="1"/>
      <w:marLeft w:val="0"/>
      <w:marRight w:val="0"/>
      <w:marTop w:val="0"/>
      <w:marBottom w:val="0"/>
      <w:divBdr>
        <w:top w:val="none" w:sz="0" w:space="0" w:color="auto"/>
        <w:left w:val="none" w:sz="0" w:space="0" w:color="auto"/>
        <w:bottom w:val="none" w:sz="0" w:space="0" w:color="auto"/>
        <w:right w:val="none" w:sz="0" w:space="0" w:color="auto"/>
      </w:divBdr>
      <w:divsChild>
        <w:div w:id="474949210">
          <w:marLeft w:val="0"/>
          <w:marRight w:val="0"/>
          <w:marTop w:val="0"/>
          <w:marBottom w:val="0"/>
          <w:divBdr>
            <w:top w:val="none" w:sz="0" w:space="0" w:color="auto"/>
            <w:left w:val="none" w:sz="0" w:space="0" w:color="auto"/>
            <w:bottom w:val="none" w:sz="0" w:space="0" w:color="auto"/>
            <w:right w:val="none" w:sz="0" w:space="0" w:color="auto"/>
          </w:divBdr>
          <w:divsChild>
            <w:div w:id="189488302">
              <w:marLeft w:val="0"/>
              <w:marRight w:val="0"/>
              <w:marTop w:val="0"/>
              <w:marBottom w:val="0"/>
              <w:divBdr>
                <w:top w:val="none" w:sz="0" w:space="0" w:color="auto"/>
                <w:left w:val="none" w:sz="0" w:space="0" w:color="auto"/>
                <w:bottom w:val="none" w:sz="0" w:space="0" w:color="auto"/>
                <w:right w:val="none" w:sz="0" w:space="0" w:color="auto"/>
              </w:divBdr>
              <w:divsChild>
                <w:div w:id="2881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65847747">
      <w:bodyDiv w:val="1"/>
      <w:marLeft w:val="0"/>
      <w:marRight w:val="0"/>
      <w:marTop w:val="0"/>
      <w:marBottom w:val="0"/>
      <w:divBdr>
        <w:top w:val="none" w:sz="0" w:space="0" w:color="auto"/>
        <w:left w:val="none" w:sz="0" w:space="0" w:color="auto"/>
        <w:bottom w:val="none" w:sz="0" w:space="0" w:color="auto"/>
        <w:right w:val="none" w:sz="0" w:space="0" w:color="auto"/>
      </w:divBdr>
      <w:divsChild>
        <w:div w:id="1438209429">
          <w:marLeft w:val="0"/>
          <w:marRight w:val="0"/>
          <w:marTop w:val="0"/>
          <w:marBottom w:val="0"/>
          <w:divBdr>
            <w:top w:val="none" w:sz="0" w:space="0" w:color="auto"/>
            <w:left w:val="none" w:sz="0" w:space="0" w:color="auto"/>
            <w:bottom w:val="none" w:sz="0" w:space="0" w:color="auto"/>
            <w:right w:val="none" w:sz="0" w:space="0" w:color="auto"/>
          </w:divBdr>
          <w:divsChild>
            <w:div w:id="1718896183">
              <w:marLeft w:val="0"/>
              <w:marRight w:val="0"/>
              <w:marTop w:val="0"/>
              <w:marBottom w:val="0"/>
              <w:divBdr>
                <w:top w:val="none" w:sz="0" w:space="0" w:color="auto"/>
                <w:left w:val="none" w:sz="0" w:space="0" w:color="auto"/>
                <w:bottom w:val="none" w:sz="0" w:space="0" w:color="auto"/>
                <w:right w:val="none" w:sz="0" w:space="0" w:color="auto"/>
              </w:divBdr>
            </w:div>
            <w:div w:id="1315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37657479">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litaryconfinement.org/uploads/sourcebook_web.pdf" TargetMode="External"/><Relationship Id="rId1" Type="http://schemas.openxmlformats.org/officeDocument/2006/relationships/hyperlink" Target="http://www.abanet.org/legalservices/downloads/%20sclaid/deathpenalty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2433-C1A2-F44E-A35E-7D6C3565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9237</Words>
  <Characters>52651</Characters>
  <Application>Microsoft Office Word</Application>
  <DocSecurity>0</DocSecurity>
  <Lines>438</Lines>
  <Paragraphs>123</Paragraphs>
  <ScaleCrop>false</ScaleCrop>
  <Company/>
  <LinksUpToDate>false</LinksUpToDate>
  <CharactersWithSpaces>61765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2023-11-14T22:30:00Z</dcterms:created>
  <dcterms:modified xsi:type="dcterms:W3CDTF">2023-11-14T22:30:00Z</dcterms:modified>
</cp:coreProperties>
</file>