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73C5" w14:textId="77777777" w:rsidR="00040C3A" w:rsidRPr="00262E8F" w:rsidRDefault="00D306D1" w:rsidP="00627C9F">
      <w:pPr>
        <w:jc w:val="both"/>
        <w:rPr>
          <w:rFonts w:asciiTheme="majorHAnsi" w:hAnsiTheme="majorHAnsi" w:cs="Univers"/>
          <w:b/>
          <w:bCs/>
          <w:sz w:val="22"/>
          <w:szCs w:val="22"/>
          <w:lang w:val="es-ES_tradnl"/>
        </w:rPr>
      </w:pPr>
      <w:r w:rsidRPr="00262E8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7BE491" wp14:editId="33FC4ED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A740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62E8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1686DFB" wp14:editId="4E50300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A5255" w14:textId="77777777" w:rsidR="002718F0" w:rsidRDefault="002718F0" w:rsidP="00AE5488">
                            <w:r>
                              <w:rPr>
                                <w:noProof/>
                              </w:rPr>
                              <w:drawing>
                                <wp:inline distT="0" distB="0" distL="0" distR="0" wp14:anchorId="29E30DBA" wp14:editId="0692691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86DF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0A5255" w14:textId="77777777" w:rsidR="002718F0" w:rsidRDefault="002718F0" w:rsidP="00AE5488">
                      <w:r>
                        <w:rPr>
                          <w:noProof/>
                        </w:rPr>
                        <w:drawing>
                          <wp:inline distT="0" distB="0" distL="0" distR="0" wp14:anchorId="29E30DBA" wp14:editId="0692691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4630EBB" w14:textId="77777777" w:rsidR="00040C3A" w:rsidRPr="00262E8F" w:rsidRDefault="00040C3A" w:rsidP="00040C3A">
      <w:pPr>
        <w:tabs>
          <w:tab w:val="center" w:pos="5400"/>
        </w:tabs>
        <w:suppressAutoHyphens/>
        <w:jc w:val="both"/>
        <w:rPr>
          <w:rFonts w:asciiTheme="majorHAnsi" w:hAnsiTheme="majorHAnsi"/>
          <w:sz w:val="22"/>
          <w:szCs w:val="22"/>
          <w:lang w:val="es-ES"/>
        </w:rPr>
      </w:pPr>
    </w:p>
    <w:p w14:paraId="5738DE52" w14:textId="77777777" w:rsidR="00040C3A" w:rsidRPr="00262E8F" w:rsidRDefault="00040C3A" w:rsidP="00040C3A">
      <w:pPr>
        <w:tabs>
          <w:tab w:val="center" w:pos="5400"/>
        </w:tabs>
        <w:suppressAutoHyphens/>
        <w:jc w:val="both"/>
        <w:rPr>
          <w:rFonts w:asciiTheme="majorHAnsi" w:hAnsiTheme="majorHAnsi"/>
          <w:sz w:val="22"/>
          <w:szCs w:val="22"/>
          <w:lang w:val="es-ES"/>
        </w:rPr>
      </w:pPr>
    </w:p>
    <w:p w14:paraId="3BB5C715" w14:textId="77777777" w:rsidR="005128E4" w:rsidRPr="00262E8F" w:rsidRDefault="005128E4" w:rsidP="00040C3A">
      <w:pPr>
        <w:tabs>
          <w:tab w:val="center" w:pos="5400"/>
        </w:tabs>
        <w:suppressAutoHyphens/>
        <w:rPr>
          <w:rFonts w:asciiTheme="majorHAnsi" w:hAnsiTheme="majorHAnsi"/>
          <w:sz w:val="22"/>
          <w:szCs w:val="22"/>
          <w:lang w:val="es-ES_tradnl"/>
        </w:rPr>
      </w:pPr>
    </w:p>
    <w:p w14:paraId="47A33B8F" w14:textId="77777777" w:rsidR="005128E4" w:rsidRPr="00262E8F" w:rsidRDefault="005128E4" w:rsidP="00040C3A">
      <w:pPr>
        <w:tabs>
          <w:tab w:val="center" w:pos="5400"/>
        </w:tabs>
        <w:suppressAutoHyphens/>
        <w:rPr>
          <w:rFonts w:asciiTheme="majorHAnsi" w:hAnsiTheme="majorHAnsi"/>
          <w:sz w:val="22"/>
          <w:szCs w:val="22"/>
          <w:lang w:val="es-ES_tradnl"/>
        </w:rPr>
      </w:pPr>
    </w:p>
    <w:p w14:paraId="5C30A900" w14:textId="77777777" w:rsidR="005128E4" w:rsidRPr="00262E8F" w:rsidRDefault="005128E4" w:rsidP="00040C3A">
      <w:pPr>
        <w:tabs>
          <w:tab w:val="center" w:pos="5400"/>
        </w:tabs>
        <w:suppressAutoHyphens/>
        <w:rPr>
          <w:rFonts w:asciiTheme="majorHAnsi" w:hAnsiTheme="majorHAnsi"/>
          <w:sz w:val="22"/>
          <w:szCs w:val="22"/>
          <w:lang w:val="es-ES_tradnl"/>
        </w:rPr>
      </w:pPr>
    </w:p>
    <w:p w14:paraId="51D04CDA" w14:textId="77777777" w:rsidR="00040C3A" w:rsidRPr="00262E8F" w:rsidRDefault="00040C3A" w:rsidP="005128E4">
      <w:pPr>
        <w:tabs>
          <w:tab w:val="center" w:pos="5400"/>
        </w:tabs>
        <w:suppressAutoHyphens/>
        <w:jc w:val="center"/>
        <w:rPr>
          <w:rFonts w:asciiTheme="majorHAnsi" w:hAnsiTheme="majorHAnsi"/>
          <w:sz w:val="22"/>
          <w:szCs w:val="22"/>
          <w:lang w:val="es-ES_tradnl"/>
        </w:rPr>
      </w:pPr>
    </w:p>
    <w:p w14:paraId="3F211798" w14:textId="77777777" w:rsidR="00040C3A" w:rsidRPr="00262E8F" w:rsidRDefault="00040C3A" w:rsidP="005128E4">
      <w:pPr>
        <w:tabs>
          <w:tab w:val="center" w:pos="5400"/>
        </w:tabs>
        <w:suppressAutoHyphens/>
        <w:jc w:val="center"/>
        <w:rPr>
          <w:rFonts w:asciiTheme="majorHAnsi" w:hAnsiTheme="majorHAnsi"/>
          <w:sz w:val="22"/>
          <w:szCs w:val="22"/>
          <w:lang w:val="es-ES_tradnl"/>
        </w:rPr>
      </w:pPr>
    </w:p>
    <w:p w14:paraId="7392F83C" w14:textId="77777777" w:rsidR="005B52B0" w:rsidRPr="00262E8F" w:rsidRDefault="005B52B0" w:rsidP="005128E4">
      <w:pPr>
        <w:tabs>
          <w:tab w:val="center" w:pos="5400"/>
        </w:tabs>
        <w:suppressAutoHyphens/>
        <w:jc w:val="center"/>
        <w:rPr>
          <w:rFonts w:asciiTheme="majorHAnsi" w:hAnsiTheme="majorHAnsi"/>
          <w:sz w:val="22"/>
          <w:szCs w:val="22"/>
          <w:lang w:val="es-ES_tradnl"/>
        </w:rPr>
      </w:pPr>
    </w:p>
    <w:p w14:paraId="684A03B7" w14:textId="77777777" w:rsidR="005B52B0" w:rsidRPr="00262E8F" w:rsidRDefault="005B52B0" w:rsidP="005128E4">
      <w:pPr>
        <w:tabs>
          <w:tab w:val="center" w:pos="5400"/>
        </w:tabs>
        <w:suppressAutoHyphens/>
        <w:jc w:val="center"/>
        <w:rPr>
          <w:rFonts w:asciiTheme="majorHAnsi" w:hAnsiTheme="majorHAnsi"/>
          <w:sz w:val="22"/>
          <w:szCs w:val="22"/>
          <w:lang w:val="es-ES_tradnl"/>
        </w:rPr>
      </w:pPr>
    </w:p>
    <w:p w14:paraId="7A7D6F4D" w14:textId="77777777" w:rsidR="005B52B0" w:rsidRPr="00262E8F" w:rsidRDefault="005B52B0" w:rsidP="005128E4">
      <w:pPr>
        <w:tabs>
          <w:tab w:val="center" w:pos="5400"/>
        </w:tabs>
        <w:suppressAutoHyphens/>
        <w:jc w:val="center"/>
        <w:rPr>
          <w:rFonts w:asciiTheme="majorHAnsi" w:hAnsiTheme="majorHAnsi"/>
          <w:sz w:val="22"/>
          <w:szCs w:val="22"/>
          <w:lang w:val="es-ES_tradnl"/>
        </w:rPr>
      </w:pPr>
    </w:p>
    <w:p w14:paraId="3923C56C"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2C59A22B"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05AF0E9C" w14:textId="77777777" w:rsidR="00040C3A" w:rsidRPr="00262E8F" w:rsidRDefault="003D3BC2" w:rsidP="00040C3A">
      <w:pPr>
        <w:tabs>
          <w:tab w:val="center" w:pos="5400"/>
        </w:tabs>
        <w:suppressAutoHyphens/>
        <w:jc w:val="center"/>
        <w:rPr>
          <w:rFonts w:asciiTheme="majorHAnsi" w:hAnsiTheme="majorHAnsi"/>
          <w:sz w:val="22"/>
          <w:szCs w:val="22"/>
          <w:lang w:val="es-ES_tradnl"/>
        </w:rPr>
      </w:pPr>
      <w:r w:rsidRPr="00262E8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54EF0C7" wp14:editId="7077EEA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EA1EE" w14:textId="5C0645A7" w:rsidR="002718F0" w:rsidRPr="004E2649" w:rsidRDefault="002718F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E64137">
                              <w:rPr>
                                <w:rFonts w:asciiTheme="majorHAnsi" w:hAnsiTheme="majorHAnsi" w:cs="Arial"/>
                                <w:b/>
                                <w:bCs/>
                                <w:color w:val="0D0D0D" w:themeColor="text1" w:themeTint="F2"/>
                                <w:sz w:val="36"/>
                                <w:szCs w:val="22"/>
                                <w:lang w:val="es-ES_tradnl"/>
                              </w:rPr>
                              <w:t>263</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E74F76">
                              <w:rPr>
                                <w:rFonts w:asciiTheme="majorHAnsi" w:hAnsiTheme="majorHAnsi" w:cs="Arial"/>
                                <w:b/>
                                <w:bCs/>
                                <w:color w:val="0D0D0D" w:themeColor="text1" w:themeTint="F2"/>
                                <w:sz w:val="36"/>
                                <w:szCs w:val="22"/>
                                <w:lang w:val="es-ES_tradnl"/>
                              </w:rPr>
                              <w:t>3</w:t>
                            </w:r>
                          </w:p>
                          <w:p w14:paraId="63770FFC" w14:textId="77777777" w:rsidR="002718F0" w:rsidRPr="004E2649" w:rsidRDefault="002718F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13.352</w:t>
                            </w:r>
                          </w:p>
                          <w:p w14:paraId="69AD1F4B" w14:textId="77777777" w:rsidR="002718F0" w:rsidRPr="0010736F" w:rsidRDefault="002718F0"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 Y FONDO (</w:t>
                            </w:r>
                            <w:r w:rsidRPr="00E64137">
                              <w:rPr>
                                <w:rFonts w:asciiTheme="majorHAnsi" w:hAnsiTheme="majorHAnsi" w:cs="Arial"/>
                                <w:color w:val="0D0D0D" w:themeColor="text1" w:themeTint="F2"/>
                                <w:szCs w:val="22"/>
                                <w:lang w:val="es-ES_tradnl"/>
                              </w:rPr>
                              <w:t>PUBLICACIÓN</w:t>
                            </w:r>
                            <w:r>
                              <w:rPr>
                                <w:rFonts w:asciiTheme="majorHAnsi" w:hAnsiTheme="majorHAnsi" w:cs="Arial"/>
                                <w:color w:val="0D0D0D" w:themeColor="text1" w:themeTint="F2"/>
                                <w:szCs w:val="22"/>
                                <w:lang w:val="es-ES_tradnl"/>
                              </w:rPr>
                              <w:t>)</w:t>
                            </w:r>
                          </w:p>
                          <w:p w14:paraId="31967DE7" w14:textId="77777777" w:rsidR="002718F0" w:rsidRPr="0010736F" w:rsidRDefault="002718F0"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568D1D8" w14:textId="77777777" w:rsidR="002718F0" w:rsidRPr="0088045B" w:rsidRDefault="002718F0" w:rsidP="00702483">
                            <w:pPr>
                              <w:spacing w:line="276" w:lineRule="auto"/>
                              <w:rPr>
                                <w:rFonts w:asciiTheme="majorHAnsi" w:hAnsiTheme="majorHAnsi" w:cs="Arial"/>
                                <w:color w:val="0D0D0D" w:themeColor="text1" w:themeTint="F2"/>
                                <w:szCs w:val="22"/>
                                <w:lang w:val="es-ES"/>
                              </w:rPr>
                            </w:pPr>
                            <w:r w:rsidRPr="0088045B">
                              <w:rPr>
                                <w:rFonts w:asciiTheme="majorHAnsi" w:hAnsiTheme="majorHAnsi" w:cs="Arial"/>
                                <w:color w:val="0D0D0D" w:themeColor="text1" w:themeTint="F2"/>
                                <w:szCs w:val="22"/>
                                <w:lang w:val="es-ES"/>
                              </w:rPr>
                              <w:t>JURIJUS KADAMOVAS Y OTROS</w:t>
                            </w:r>
                          </w:p>
                          <w:p w14:paraId="51473DE2" w14:textId="77777777" w:rsidR="002718F0" w:rsidRPr="0088045B" w:rsidRDefault="002718F0" w:rsidP="00702483">
                            <w:pPr>
                              <w:spacing w:line="276" w:lineRule="auto"/>
                              <w:rPr>
                                <w:rFonts w:asciiTheme="majorHAnsi" w:hAnsiTheme="majorHAnsi" w:cs="Arial"/>
                                <w:color w:val="0D0D0D" w:themeColor="text1" w:themeTint="F2"/>
                                <w:szCs w:val="22"/>
                                <w:lang w:val="es-ES"/>
                              </w:rPr>
                            </w:pPr>
                            <w:r w:rsidRPr="0088045B">
                              <w:rPr>
                                <w:rFonts w:asciiTheme="majorHAnsi" w:hAnsiTheme="majorHAnsi" w:cs="Arial"/>
                                <w:color w:val="0D0D0D" w:themeColor="text1" w:themeTint="F2"/>
                                <w:szCs w:val="22"/>
                                <w:lang w:val="es-ES"/>
                              </w:rPr>
                              <w:t>ESTADOS UNIDOS DE AMÉRICA</w:t>
                            </w:r>
                          </w:p>
                          <w:p w14:paraId="351DEF07" w14:textId="77777777" w:rsidR="002718F0" w:rsidRPr="00AE5488" w:rsidRDefault="002718F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EF0C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EA1EE" w14:textId="5C0645A7" w:rsidR="002718F0" w:rsidRPr="004E2649" w:rsidRDefault="002718F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E64137">
                        <w:rPr>
                          <w:rFonts w:asciiTheme="majorHAnsi" w:hAnsiTheme="majorHAnsi" w:cs="Arial"/>
                          <w:b/>
                          <w:bCs/>
                          <w:color w:val="0D0D0D" w:themeColor="text1" w:themeTint="F2"/>
                          <w:sz w:val="36"/>
                          <w:szCs w:val="22"/>
                          <w:lang w:val="es-ES_tradnl"/>
                        </w:rPr>
                        <w:t>263</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E74F76">
                        <w:rPr>
                          <w:rFonts w:asciiTheme="majorHAnsi" w:hAnsiTheme="majorHAnsi" w:cs="Arial"/>
                          <w:b/>
                          <w:bCs/>
                          <w:color w:val="0D0D0D" w:themeColor="text1" w:themeTint="F2"/>
                          <w:sz w:val="36"/>
                          <w:szCs w:val="22"/>
                          <w:lang w:val="es-ES_tradnl"/>
                        </w:rPr>
                        <w:t>3</w:t>
                      </w:r>
                    </w:p>
                    <w:p w14:paraId="63770FFC" w14:textId="77777777" w:rsidR="002718F0" w:rsidRPr="004E2649" w:rsidRDefault="002718F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13.352</w:t>
                      </w:r>
                    </w:p>
                    <w:p w14:paraId="69AD1F4B" w14:textId="77777777" w:rsidR="002718F0" w:rsidRPr="0010736F" w:rsidRDefault="002718F0"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 Y FONDO (</w:t>
                      </w:r>
                      <w:r w:rsidRPr="00E64137">
                        <w:rPr>
                          <w:rFonts w:asciiTheme="majorHAnsi" w:hAnsiTheme="majorHAnsi" w:cs="Arial"/>
                          <w:color w:val="0D0D0D" w:themeColor="text1" w:themeTint="F2"/>
                          <w:szCs w:val="22"/>
                          <w:lang w:val="es-ES_tradnl"/>
                        </w:rPr>
                        <w:t>PUBLICACIÓN</w:t>
                      </w:r>
                      <w:r>
                        <w:rPr>
                          <w:rFonts w:asciiTheme="majorHAnsi" w:hAnsiTheme="majorHAnsi" w:cs="Arial"/>
                          <w:color w:val="0D0D0D" w:themeColor="text1" w:themeTint="F2"/>
                          <w:szCs w:val="22"/>
                          <w:lang w:val="es-ES_tradnl"/>
                        </w:rPr>
                        <w:t>)</w:t>
                      </w:r>
                    </w:p>
                    <w:p w14:paraId="31967DE7" w14:textId="77777777" w:rsidR="002718F0" w:rsidRPr="0010736F" w:rsidRDefault="002718F0"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568D1D8" w14:textId="77777777" w:rsidR="002718F0" w:rsidRPr="0088045B" w:rsidRDefault="002718F0" w:rsidP="00702483">
                      <w:pPr>
                        <w:spacing w:line="276" w:lineRule="auto"/>
                        <w:rPr>
                          <w:rFonts w:asciiTheme="majorHAnsi" w:hAnsiTheme="majorHAnsi" w:cs="Arial"/>
                          <w:color w:val="0D0D0D" w:themeColor="text1" w:themeTint="F2"/>
                          <w:szCs w:val="22"/>
                          <w:lang w:val="es-ES"/>
                        </w:rPr>
                      </w:pPr>
                      <w:r w:rsidRPr="0088045B">
                        <w:rPr>
                          <w:rFonts w:asciiTheme="majorHAnsi" w:hAnsiTheme="majorHAnsi" w:cs="Arial"/>
                          <w:color w:val="0D0D0D" w:themeColor="text1" w:themeTint="F2"/>
                          <w:szCs w:val="22"/>
                          <w:lang w:val="es-ES"/>
                        </w:rPr>
                        <w:t>JURIJUS KADAMOVAS Y OTROS</w:t>
                      </w:r>
                    </w:p>
                    <w:p w14:paraId="51473DE2" w14:textId="77777777" w:rsidR="002718F0" w:rsidRPr="0088045B" w:rsidRDefault="002718F0" w:rsidP="00702483">
                      <w:pPr>
                        <w:spacing w:line="276" w:lineRule="auto"/>
                        <w:rPr>
                          <w:rFonts w:asciiTheme="majorHAnsi" w:hAnsiTheme="majorHAnsi" w:cs="Arial"/>
                          <w:color w:val="0D0D0D" w:themeColor="text1" w:themeTint="F2"/>
                          <w:szCs w:val="22"/>
                          <w:lang w:val="es-ES"/>
                        </w:rPr>
                      </w:pPr>
                      <w:r w:rsidRPr="0088045B">
                        <w:rPr>
                          <w:rFonts w:asciiTheme="majorHAnsi" w:hAnsiTheme="majorHAnsi" w:cs="Arial"/>
                          <w:color w:val="0D0D0D" w:themeColor="text1" w:themeTint="F2"/>
                          <w:szCs w:val="22"/>
                          <w:lang w:val="es-ES"/>
                        </w:rPr>
                        <w:t>ESTADOS UNIDOS DE AMÉRICA</w:t>
                      </w:r>
                    </w:p>
                    <w:p w14:paraId="351DEF07" w14:textId="77777777" w:rsidR="002718F0" w:rsidRPr="00AE5488" w:rsidRDefault="002718F0" w:rsidP="007A5817">
                      <w:pPr>
                        <w:rPr>
                          <w:color w:val="0D0D0D" w:themeColor="text1" w:themeTint="F2"/>
                          <w:lang w:val="es-ES_tradnl"/>
                        </w:rPr>
                      </w:pPr>
                    </w:p>
                  </w:txbxContent>
                </v:textbox>
              </v:shape>
            </w:pict>
          </mc:Fallback>
        </mc:AlternateContent>
      </w:r>
      <w:r w:rsidR="004E2649" w:rsidRPr="00262E8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40AD63B" wp14:editId="6EC9686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0DA8B" w14:textId="77777777" w:rsidR="002718F0" w:rsidRPr="004E2649" w:rsidRDefault="002718F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562CCE6D" w14:textId="03523C71" w:rsidR="002718F0" w:rsidRPr="004E2649" w:rsidRDefault="002718F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64137">
                              <w:rPr>
                                <w:rFonts w:asciiTheme="minorHAnsi" w:hAnsiTheme="minorHAnsi"/>
                                <w:color w:val="FFFFFF" w:themeColor="background1"/>
                                <w:sz w:val="22"/>
                                <w:lang w:val="pt-BR"/>
                              </w:rPr>
                              <w:t>28</w:t>
                            </w:r>
                            <w:r w:rsidR="00516657">
                              <w:rPr>
                                <w:rFonts w:asciiTheme="minorHAnsi" w:hAnsiTheme="minorHAnsi"/>
                                <w:color w:val="FFFFFF" w:themeColor="background1"/>
                                <w:sz w:val="22"/>
                                <w:lang w:val="pt-BR"/>
                              </w:rPr>
                              <w:t>2</w:t>
                            </w:r>
                          </w:p>
                          <w:p w14:paraId="0FF813D3" w14:textId="7704749A" w:rsidR="002718F0" w:rsidRPr="00702483" w:rsidRDefault="00E6413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12</w:t>
                            </w:r>
                            <w:r w:rsidR="002718F0" w:rsidRPr="00702483">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mayo</w:t>
                            </w:r>
                            <w:r w:rsidR="00E74F76">
                              <w:rPr>
                                <w:rFonts w:asciiTheme="minorHAnsi" w:hAnsiTheme="minorHAnsi"/>
                                <w:color w:val="FFFFFF" w:themeColor="background1"/>
                                <w:sz w:val="22"/>
                                <w:lang w:val="es-US"/>
                              </w:rPr>
                              <w:t xml:space="preserve"> </w:t>
                            </w:r>
                            <w:r w:rsidR="002718F0" w:rsidRPr="00702483">
                              <w:rPr>
                                <w:rFonts w:asciiTheme="minorHAnsi" w:hAnsiTheme="minorHAnsi"/>
                                <w:color w:val="FFFFFF" w:themeColor="background1"/>
                                <w:sz w:val="22"/>
                                <w:lang w:val="es-US"/>
                              </w:rPr>
                              <w:t>20</w:t>
                            </w:r>
                            <w:r w:rsidR="002718F0">
                              <w:rPr>
                                <w:rFonts w:asciiTheme="minorHAnsi" w:hAnsiTheme="minorHAnsi"/>
                                <w:color w:val="FFFFFF" w:themeColor="background1"/>
                                <w:sz w:val="22"/>
                                <w:lang w:val="es-US"/>
                              </w:rPr>
                              <w:t>2</w:t>
                            </w:r>
                            <w:r w:rsidR="00DA70DD">
                              <w:rPr>
                                <w:rFonts w:asciiTheme="minorHAnsi" w:hAnsiTheme="minorHAnsi"/>
                                <w:color w:val="FFFFFF" w:themeColor="background1"/>
                                <w:sz w:val="22"/>
                                <w:lang w:val="es-US"/>
                              </w:rPr>
                              <w:t>2</w:t>
                            </w:r>
                          </w:p>
                          <w:p w14:paraId="3B1D5288" w14:textId="77777777" w:rsidR="002718F0" w:rsidRPr="00702483" w:rsidRDefault="002718F0" w:rsidP="007A5817">
                            <w:pPr>
                              <w:spacing w:line="276" w:lineRule="auto"/>
                              <w:jc w:val="right"/>
                              <w:rPr>
                                <w:rFonts w:asciiTheme="minorHAnsi" w:hAnsiTheme="minorHAnsi"/>
                                <w:color w:val="FFFFFF" w:themeColor="background1"/>
                                <w:sz w:val="22"/>
                                <w:lang w:val="es-US"/>
                              </w:rPr>
                            </w:pPr>
                            <w:r w:rsidRPr="00702483">
                              <w:rPr>
                                <w:rFonts w:asciiTheme="minorHAnsi" w:hAnsiTheme="minorHAnsi"/>
                                <w:color w:val="FFFFFF" w:themeColor="background1"/>
                                <w:sz w:val="22"/>
                                <w:lang w:val="es-U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AD63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DE0DA8B" w14:textId="77777777" w:rsidR="002718F0" w:rsidRPr="004E2649" w:rsidRDefault="002718F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562CCE6D" w14:textId="03523C71" w:rsidR="002718F0" w:rsidRPr="004E2649" w:rsidRDefault="002718F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64137">
                        <w:rPr>
                          <w:rFonts w:asciiTheme="minorHAnsi" w:hAnsiTheme="minorHAnsi"/>
                          <w:color w:val="FFFFFF" w:themeColor="background1"/>
                          <w:sz w:val="22"/>
                          <w:lang w:val="pt-BR"/>
                        </w:rPr>
                        <w:t>28</w:t>
                      </w:r>
                      <w:r w:rsidR="00516657">
                        <w:rPr>
                          <w:rFonts w:asciiTheme="minorHAnsi" w:hAnsiTheme="minorHAnsi"/>
                          <w:color w:val="FFFFFF" w:themeColor="background1"/>
                          <w:sz w:val="22"/>
                          <w:lang w:val="pt-BR"/>
                        </w:rPr>
                        <w:t>2</w:t>
                      </w:r>
                    </w:p>
                    <w:p w14:paraId="0FF813D3" w14:textId="7704749A" w:rsidR="002718F0" w:rsidRPr="00702483" w:rsidRDefault="00E6413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12</w:t>
                      </w:r>
                      <w:r w:rsidR="002718F0" w:rsidRPr="00702483">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mayo</w:t>
                      </w:r>
                      <w:r w:rsidR="00E74F76">
                        <w:rPr>
                          <w:rFonts w:asciiTheme="minorHAnsi" w:hAnsiTheme="minorHAnsi"/>
                          <w:color w:val="FFFFFF" w:themeColor="background1"/>
                          <w:sz w:val="22"/>
                          <w:lang w:val="es-US"/>
                        </w:rPr>
                        <w:t xml:space="preserve"> </w:t>
                      </w:r>
                      <w:r w:rsidR="002718F0" w:rsidRPr="00702483">
                        <w:rPr>
                          <w:rFonts w:asciiTheme="minorHAnsi" w:hAnsiTheme="minorHAnsi"/>
                          <w:color w:val="FFFFFF" w:themeColor="background1"/>
                          <w:sz w:val="22"/>
                          <w:lang w:val="es-US"/>
                        </w:rPr>
                        <w:t>20</w:t>
                      </w:r>
                      <w:r w:rsidR="002718F0">
                        <w:rPr>
                          <w:rFonts w:asciiTheme="minorHAnsi" w:hAnsiTheme="minorHAnsi"/>
                          <w:color w:val="FFFFFF" w:themeColor="background1"/>
                          <w:sz w:val="22"/>
                          <w:lang w:val="es-US"/>
                        </w:rPr>
                        <w:t>2</w:t>
                      </w:r>
                      <w:r w:rsidR="00DA70DD">
                        <w:rPr>
                          <w:rFonts w:asciiTheme="minorHAnsi" w:hAnsiTheme="minorHAnsi"/>
                          <w:color w:val="FFFFFF" w:themeColor="background1"/>
                          <w:sz w:val="22"/>
                          <w:lang w:val="es-US"/>
                        </w:rPr>
                        <w:t>2</w:t>
                      </w:r>
                    </w:p>
                    <w:p w14:paraId="3B1D5288" w14:textId="77777777" w:rsidR="002718F0" w:rsidRPr="00702483" w:rsidRDefault="002718F0" w:rsidP="007A5817">
                      <w:pPr>
                        <w:spacing w:line="276" w:lineRule="auto"/>
                        <w:jc w:val="right"/>
                        <w:rPr>
                          <w:rFonts w:asciiTheme="minorHAnsi" w:hAnsiTheme="minorHAnsi"/>
                          <w:color w:val="FFFFFF" w:themeColor="background1"/>
                          <w:sz w:val="22"/>
                          <w:lang w:val="es-US"/>
                        </w:rPr>
                      </w:pPr>
                      <w:r w:rsidRPr="00702483">
                        <w:rPr>
                          <w:rFonts w:asciiTheme="minorHAnsi" w:hAnsiTheme="minorHAnsi"/>
                          <w:color w:val="FFFFFF" w:themeColor="background1"/>
                          <w:sz w:val="22"/>
                          <w:lang w:val="es-US"/>
                        </w:rPr>
                        <w:t>Original: inglés</w:t>
                      </w:r>
                    </w:p>
                  </w:txbxContent>
                </v:textbox>
              </v:shape>
            </w:pict>
          </mc:Fallback>
        </mc:AlternateContent>
      </w:r>
    </w:p>
    <w:p w14:paraId="27D038FC"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7A26EBDE"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42339910" w14:textId="77777777" w:rsidR="00040C3A" w:rsidRPr="00262E8F" w:rsidRDefault="00040C3A" w:rsidP="00040C3A">
      <w:pPr>
        <w:tabs>
          <w:tab w:val="center" w:pos="5400"/>
        </w:tabs>
        <w:suppressAutoHyphens/>
        <w:jc w:val="center"/>
        <w:rPr>
          <w:rFonts w:asciiTheme="majorHAnsi" w:hAnsiTheme="majorHAnsi" w:cs="Arial"/>
          <w:sz w:val="22"/>
          <w:szCs w:val="22"/>
          <w:lang w:val="es-ES_tradnl"/>
        </w:rPr>
      </w:pPr>
    </w:p>
    <w:p w14:paraId="5083C690"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6A6574A7"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51390B8D"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147CF4BF"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18C5F2AB" w14:textId="77777777" w:rsidR="005128E4" w:rsidRPr="00262E8F" w:rsidRDefault="005128E4" w:rsidP="00040C3A">
      <w:pPr>
        <w:tabs>
          <w:tab w:val="center" w:pos="5400"/>
        </w:tabs>
        <w:suppressAutoHyphens/>
        <w:jc w:val="center"/>
        <w:rPr>
          <w:rFonts w:asciiTheme="majorHAnsi" w:hAnsiTheme="majorHAnsi"/>
          <w:sz w:val="22"/>
          <w:szCs w:val="22"/>
          <w:lang w:val="es-ES_tradnl"/>
        </w:rPr>
      </w:pPr>
    </w:p>
    <w:p w14:paraId="7CFB5532"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51005F84" w14:textId="77777777" w:rsidR="005128E4" w:rsidRPr="00262E8F" w:rsidRDefault="005128E4" w:rsidP="00040C3A">
      <w:pPr>
        <w:tabs>
          <w:tab w:val="center" w:pos="5400"/>
        </w:tabs>
        <w:suppressAutoHyphens/>
        <w:jc w:val="center"/>
        <w:rPr>
          <w:rFonts w:asciiTheme="majorHAnsi" w:hAnsiTheme="majorHAnsi"/>
          <w:sz w:val="22"/>
          <w:szCs w:val="22"/>
          <w:lang w:val="es-ES_tradnl"/>
        </w:rPr>
      </w:pPr>
    </w:p>
    <w:p w14:paraId="165D2AA4" w14:textId="77777777" w:rsidR="005128E4" w:rsidRPr="00262E8F" w:rsidRDefault="005128E4" w:rsidP="00040C3A">
      <w:pPr>
        <w:tabs>
          <w:tab w:val="center" w:pos="5400"/>
        </w:tabs>
        <w:suppressAutoHyphens/>
        <w:jc w:val="center"/>
        <w:rPr>
          <w:rFonts w:asciiTheme="majorHAnsi" w:hAnsiTheme="majorHAnsi"/>
          <w:sz w:val="22"/>
          <w:szCs w:val="22"/>
          <w:lang w:val="es-ES_tradnl"/>
        </w:rPr>
      </w:pPr>
    </w:p>
    <w:p w14:paraId="0F398755" w14:textId="77777777" w:rsidR="005128E4" w:rsidRPr="00262E8F" w:rsidRDefault="005128E4" w:rsidP="00040C3A">
      <w:pPr>
        <w:tabs>
          <w:tab w:val="center" w:pos="5400"/>
        </w:tabs>
        <w:suppressAutoHyphens/>
        <w:jc w:val="center"/>
        <w:rPr>
          <w:rFonts w:asciiTheme="majorHAnsi" w:hAnsiTheme="majorHAnsi"/>
          <w:sz w:val="22"/>
          <w:szCs w:val="22"/>
          <w:lang w:val="es-ES_tradnl"/>
        </w:rPr>
      </w:pPr>
    </w:p>
    <w:p w14:paraId="2D0992BC"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634EFB61" w14:textId="77777777" w:rsidR="00040C3A" w:rsidRPr="00262E8F" w:rsidRDefault="00040C3A" w:rsidP="00040C3A">
      <w:pPr>
        <w:tabs>
          <w:tab w:val="center" w:pos="5400"/>
        </w:tabs>
        <w:suppressAutoHyphens/>
        <w:jc w:val="center"/>
        <w:rPr>
          <w:rFonts w:asciiTheme="majorHAnsi" w:hAnsiTheme="majorHAnsi"/>
          <w:sz w:val="22"/>
          <w:szCs w:val="22"/>
          <w:lang w:val="es-ES_tradnl"/>
        </w:rPr>
      </w:pPr>
    </w:p>
    <w:p w14:paraId="680EA435"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14BE7BA5"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6A9A1C1D"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35358710"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618B3452"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346320E1"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59F13193"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1507CC71"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673ABE13"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539AD37D"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75B05486"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08A78B06"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1E8D1FDA"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270BAA4A"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0590A64A" w14:textId="77777777" w:rsidR="00A50FCF" w:rsidRPr="00262E8F" w:rsidRDefault="0090270B" w:rsidP="00040C3A">
      <w:pPr>
        <w:tabs>
          <w:tab w:val="center" w:pos="5400"/>
        </w:tabs>
        <w:suppressAutoHyphens/>
        <w:jc w:val="center"/>
        <w:rPr>
          <w:rFonts w:asciiTheme="majorHAnsi" w:hAnsiTheme="majorHAnsi"/>
          <w:sz w:val="18"/>
          <w:szCs w:val="22"/>
          <w:lang w:val="es-ES_tradnl"/>
        </w:rPr>
      </w:pPr>
      <w:r w:rsidRPr="00262E8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FB62E00" wp14:editId="4B0F8B0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0FDB9" w14:textId="128C9076" w:rsidR="002718F0" w:rsidRPr="00702483" w:rsidRDefault="002718F0" w:rsidP="00702483">
                            <w:pPr>
                              <w:tabs>
                                <w:tab w:val="center" w:pos="5400"/>
                              </w:tabs>
                              <w:suppressAutoHyphens/>
                              <w:spacing w:before="60"/>
                              <w:rPr>
                                <w:rFonts w:asciiTheme="majorHAnsi" w:hAnsiTheme="majorHAnsi"/>
                                <w:color w:val="0D0D0D" w:themeColor="text1" w:themeTint="F2"/>
                                <w:sz w:val="18"/>
                                <w:szCs w:val="22"/>
                                <w:lang w:val="es-US"/>
                              </w:rPr>
                            </w:pPr>
                            <w:r w:rsidRPr="00E56BB1">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Pr="00E56BB1">
                              <w:rPr>
                                <w:rFonts w:asciiTheme="majorHAnsi" w:hAnsiTheme="majorHAnsi"/>
                                <w:color w:val="0D0D0D" w:themeColor="text1" w:themeTint="F2"/>
                                <w:sz w:val="18"/>
                                <w:szCs w:val="20"/>
                                <w:lang w:val="es-ES"/>
                              </w:rPr>
                              <w:t xml:space="preserve">por la Comisión el </w:t>
                            </w:r>
                            <w:r w:rsidR="00E64137">
                              <w:rPr>
                                <w:rFonts w:asciiTheme="majorHAnsi" w:hAnsiTheme="majorHAnsi"/>
                                <w:color w:val="0D0D0D" w:themeColor="text1" w:themeTint="F2"/>
                                <w:sz w:val="18"/>
                                <w:szCs w:val="20"/>
                                <w:lang w:val="es-ES"/>
                              </w:rPr>
                              <w:t>12</w:t>
                            </w:r>
                            <w:r w:rsidRPr="00E56BB1">
                              <w:rPr>
                                <w:rFonts w:asciiTheme="majorHAnsi" w:hAnsiTheme="majorHAnsi"/>
                                <w:color w:val="0D0D0D" w:themeColor="text1" w:themeTint="F2"/>
                                <w:sz w:val="18"/>
                                <w:szCs w:val="20"/>
                                <w:lang w:val="es-ES"/>
                              </w:rPr>
                              <w:t xml:space="preserve"> de </w:t>
                            </w:r>
                            <w:r w:rsidR="00E64137">
                              <w:rPr>
                                <w:rFonts w:asciiTheme="majorHAnsi" w:hAnsiTheme="majorHAnsi"/>
                                <w:color w:val="0D0D0D" w:themeColor="text1" w:themeTint="F2"/>
                                <w:sz w:val="18"/>
                                <w:szCs w:val="20"/>
                                <w:lang w:val="es-ES"/>
                              </w:rPr>
                              <w:t>mayo</w:t>
                            </w:r>
                            <w:r w:rsidRPr="00E56BB1">
                              <w:rPr>
                                <w:rFonts w:asciiTheme="majorHAnsi" w:hAnsiTheme="majorHAnsi"/>
                                <w:color w:val="0D0D0D" w:themeColor="text1" w:themeTint="F2"/>
                                <w:sz w:val="18"/>
                                <w:szCs w:val="20"/>
                                <w:lang w:val="es-ES"/>
                              </w:rPr>
                              <w:t xml:space="preserve"> de</w:t>
                            </w:r>
                            <w:r w:rsidRPr="00702483">
                              <w:rPr>
                                <w:rFonts w:asciiTheme="majorHAnsi" w:hAnsiTheme="majorHAnsi"/>
                                <w:color w:val="0D0D0D" w:themeColor="text1" w:themeTint="F2"/>
                                <w:sz w:val="18"/>
                                <w:szCs w:val="20"/>
                                <w:lang w:val="es-US"/>
                              </w:rPr>
                              <w:t xml:space="preserve"> 20</w:t>
                            </w:r>
                            <w:r>
                              <w:rPr>
                                <w:rFonts w:asciiTheme="majorHAnsi" w:hAnsiTheme="majorHAnsi"/>
                                <w:color w:val="0D0D0D" w:themeColor="text1" w:themeTint="F2"/>
                                <w:sz w:val="18"/>
                                <w:szCs w:val="20"/>
                                <w:lang w:val="es-US"/>
                              </w:rPr>
                              <w:t>2</w:t>
                            </w:r>
                            <w:r w:rsidR="00E74F76">
                              <w:rPr>
                                <w:rFonts w:asciiTheme="majorHAnsi" w:hAnsiTheme="majorHAnsi"/>
                                <w:color w:val="0D0D0D" w:themeColor="text1" w:themeTint="F2"/>
                                <w:sz w:val="18"/>
                                <w:szCs w:val="20"/>
                                <w:lang w:val="es-US"/>
                              </w:rPr>
                              <w:t>3</w:t>
                            </w:r>
                          </w:p>
                          <w:p w14:paraId="52A255FB" w14:textId="77777777" w:rsidR="002718F0" w:rsidRPr="007A5817" w:rsidRDefault="002718F0" w:rsidP="00247403">
                            <w:pPr>
                              <w:tabs>
                                <w:tab w:val="center" w:pos="5400"/>
                              </w:tabs>
                              <w:suppressAutoHyphens/>
                              <w:spacing w:before="60"/>
                              <w:rPr>
                                <w:rFonts w:asciiTheme="minorHAnsi" w:hAnsiTheme="minorHAnsi" w:cs="Univers"/>
                                <w:color w:val="0D0D0D" w:themeColor="text1" w:themeTint="F2"/>
                                <w:sz w:val="20"/>
                                <w:szCs w:val="20"/>
                                <w:lang w:val="es-ES"/>
                              </w:rPr>
                            </w:pPr>
                          </w:p>
                          <w:p w14:paraId="38C96BBB" w14:textId="77777777" w:rsidR="002718F0" w:rsidRPr="00167A34" w:rsidRDefault="002718F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62E0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ED0FDB9" w14:textId="128C9076" w:rsidR="002718F0" w:rsidRPr="00702483" w:rsidRDefault="002718F0" w:rsidP="00702483">
                      <w:pPr>
                        <w:tabs>
                          <w:tab w:val="center" w:pos="5400"/>
                        </w:tabs>
                        <w:suppressAutoHyphens/>
                        <w:spacing w:before="60"/>
                        <w:rPr>
                          <w:rFonts w:asciiTheme="majorHAnsi" w:hAnsiTheme="majorHAnsi"/>
                          <w:color w:val="0D0D0D" w:themeColor="text1" w:themeTint="F2"/>
                          <w:sz w:val="18"/>
                          <w:szCs w:val="22"/>
                          <w:lang w:val="es-US"/>
                        </w:rPr>
                      </w:pPr>
                      <w:r w:rsidRPr="00E56BB1">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Pr="00E56BB1">
                        <w:rPr>
                          <w:rFonts w:asciiTheme="majorHAnsi" w:hAnsiTheme="majorHAnsi"/>
                          <w:color w:val="0D0D0D" w:themeColor="text1" w:themeTint="F2"/>
                          <w:sz w:val="18"/>
                          <w:szCs w:val="20"/>
                          <w:lang w:val="es-ES"/>
                        </w:rPr>
                        <w:t xml:space="preserve">por la Comisión el </w:t>
                      </w:r>
                      <w:r w:rsidR="00E64137">
                        <w:rPr>
                          <w:rFonts w:asciiTheme="majorHAnsi" w:hAnsiTheme="majorHAnsi"/>
                          <w:color w:val="0D0D0D" w:themeColor="text1" w:themeTint="F2"/>
                          <w:sz w:val="18"/>
                          <w:szCs w:val="20"/>
                          <w:lang w:val="es-ES"/>
                        </w:rPr>
                        <w:t>12</w:t>
                      </w:r>
                      <w:r w:rsidRPr="00E56BB1">
                        <w:rPr>
                          <w:rFonts w:asciiTheme="majorHAnsi" w:hAnsiTheme="majorHAnsi"/>
                          <w:color w:val="0D0D0D" w:themeColor="text1" w:themeTint="F2"/>
                          <w:sz w:val="18"/>
                          <w:szCs w:val="20"/>
                          <w:lang w:val="es-ES"/>
                        </w:rPr>
                        <w:t xml:space="preserve"> de </w:t>
                      </w:r>
                      <w:r w:rsidR="00E64137">
                        <w:rPr>
                          <w:rFonts w:asciiTheme="majorHAnsi" w:hAnsiTheme="majorHAnsi"/>
                          <w:color w:val="0D0D0D" w:themeColor="text1" w:themeTint="F2"/>
                          <w:sz w:val="18"/>
                          <w:szCs w:val="20"/>
                          <w:lang w:val="es-ES"/>
                        </w:rPr>
                        <w:t>mayo</w:t>
                      </w:r>
                      <w:r w:rsidRPr="00E56BB1">
                        <w:rPr>
                          <w:rFonts w:asciiTheme="majorHAnsi" w:hAnsiTheme="majorHAnsi"/>
                          <w:color w:val="0D0D0D" w:themeColor="text1" w:themeTint="F2"/>
                          <w:sz w:val="18"/>
                          <w:szCs w:val="20"/>
                          <w:lang w:val="es-ES"/>
                        </w:rPr>
                        <w:t xml:space="preserve"> de</w:t>
                      </w:r>
                      <w:r w:rsidRPr="00702483">
                        <w:rPr>
                          <w:rFonts w:asciiTheme="majorHAnsi" w:hAnsiTheme="majorHAnsi"/>
                          <w:color w:val="0D0D0D" w:themeColor="text1" w:themeTint="F2"/>
                          <w:sz w:val="18"/>
                          <w:szCs w:val="20"/>
                          <w:lang w:val="es-US"/>
                        </w:rPr>
                        <w:t xml:space="preserve"> 20</w:t>
                      </w:r>
                      <w:r>
                        <w:rPr>
                          <w:rFonts w:asciiTheme="majorHAnsi" w:hAnsiTheme="majorHAnsi"/>
                          <w:color w:val="0D0D0D" w:themeColor="text1" w:themeTint="F2"/>
                          <w:sz w:val="18"/>
                          <w:szCs w:val="20"/>
                          <w:lang w:val="es-US"/>
                        </w:rPr>
                        <w:t>2</w:t>
                      </w:r>
                      <w:r w:rsidR="00E74F76">
                        <w:rPr>
                          <w:rFonts w:asciiTheme="majorHAnsi" w:hAnsiTheme="majorHAnsi"/>
                          <w:color w:val="0D0D0D" w:themeColor="text1" w:themeTint="F2"/>
                          <w:sz w:val="18"/>
                          <w:szCs w:val="20"/>
                          <w:lang w:val="es-US"/>
                        </w:rPr>
                        <w:t>3</w:t>
                      </w:r>
                    </w:p>
                    <w:p w14:paraId="52A255FB" w14:textId="77777777" w:rsidR="002718F0" w:rsidRPr="007A5817" w:rsidRDefault="002718F0" w:rsidP="00247403">
                      <w:pPr>
                        <w:tabs>
                          <w:tab w:val="center" w:pos="5400"/>
                        </w:tabs>
                        <w:suppressAutoHyphens/>
                        <w:spacing w:before="60"/>
                        <w:rPr>
                          <w:rFonts w:asciiTheme="minorHAnsi" w:hAnsiTheme="minorHAnsi" w:cs="Univers"/>
                          <w:color w:val="0D0D0D" w:themeColor="text1" w:themeTint="F2"/>
                          <w:sz w:val="20"/>
                          <w:szCs w:val="20"/>
                          <w:lang w:val="es-ES"/>
                        </w:rPr>
                      </w:pPr>
                    </w:p>
                    <w:p w14:paraId="38C96BBB" w14:textId="77777777" w:rsidR="002718F0" w:rsidRPr="00167A34" w:rsidRDefault="002718F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9480A5A"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7BC1CB46"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54A03F8E"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22B2FFA2"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4805A38C" w14:textId="77777777" w:rsidR="00A50FCF" w:rsidRPr="00262E8F" w:rsidRDefault="0090270B" w:rsidP="00040C3A">
      <w:pPr>
        <w:tabs>
          <w:tab w:val="center" w:pos="5400"/>
        </w:tabs>
        <w:suppressAutoHyphens/>
        <w:jc w:val="center"/>
        <w:rPr>
          <w:rFonts w:asciiTheme="majorHAnsi" w:hAnsiTheme="majorHAnsi"/>
          <w:sz w:val="18"/>
          <w:szCs w:val="22"/>
          <w:lang w:val="es-ES_tradnl"/>
        </w:rPr>
      </w:pPr>
      <w:r w:rsidRPr="00262E8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56050E" wp14:editId="54A1451A">
                <wp:simplePos x="0" y="0"/>
                <wp:positionH relativeFrom="column">
                  <wp:posOffset>1333500</wp:posOffset>
                </wp:positionH>
                <wp:positionV relativeFrom="paragraph">
                  <wp:posOffset>5715</wp:posOffset>
                </wp:positionV>
                <wp:extent cx="4943475" cy="65836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3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7E0D5" w14:textId="524B7F81" w:rsidR="002718F0" w:rsidRPr="00F77AD3" w:rsidRDefault="002718F0" w:rsidP="00702483">
                            <w:pPr>
                              <w:spacing w:line="276" w:lineRule="auto"/>
                              <w:jc w:val="both"/>
                              <w:rPr>
                                <w:rFonts w:asciiTheme="majorHAnsi" w:hAnsiTheme="majorHAnsi"/>
                                <w:color w:val="595959" w:themeColor="text1" w:themeTint="A6"/>
                                <w:sz w:val="18"/>
                                <w:lang w:val="es-ES"/>
                              </w:rPr>
                            </w:pPr>
                            <w:r w:rsidRPr="00D755C5">
                              <w:rPr>
                                <w:rFonts w:asciiTheme="majorHAnsi" w:hAnsiTheme="majorHAnsi"/>
                                <w:b/>
                                <w:color w:val="595959" w:themeColor="text1" w:themeTint="A6"/>
                                <w:sz w:val="18"/>
                                <w:lang w:val="pt-BR"/>
                              </w:rPr>
                              <w:t>Citar como:</w:t>
                            </w:r>
                            <w:r w:rsidRPr="00D755C5">
                              <w:rPr>
                                <w:rFonts w:asciiTheme="majorHAnsi" w:hAnsiTheme="majorHAnsi"/>
                                <w:color w:val="595959" w:themeColor="text1" w:themeTint="A6"/>
                                <w:sz w:val="18"/>
                                <w:lang w:val="pt-BR"/>
                              </w:rPr>
                              <w:t xml:space="preserve"> CIDH, Informe No. </w:t>
                            </w:r>
                            <w:r w:rsidR="00E64137">
                              <w:rPr>
                                <w:rFonts w:asciiTheme="majorHAnsi" w:hAnsiTheme="majorHAnsi"/>
                                <w:color w:val="595959" w:themeColor="text1" w:themeTint="A6"/>
                                <w:sz w:val="18"/>
                                <w:lang w:val="es-ES"/>
                              </w:rPr>
                              <w:t>263</w:t>
                            </w:r>
                            <w:r w:rsidRPr="00F77AD3">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2</w:t>
                            </w:r>
                            <w:r w:rsidR="00E74F76">
                              <w:rPr>
                                <w:rFonts w:asciiTheme="majorHAnsi" w:hAnsiTheme="majorHAnsi"/>
                                <w:color w:val="595959" w:themeColor="text1" w:themeTint="A6"/>
                                <w:sz w:val="18"/>
                                <w:lang w:val="es-ES"/>
                              </w:rPr>
                              <w:t>3</w:t>
                            </w:r>
                            <w:r w:rsidRPr="00F77AD3">
                              <w:rPr>
                                <w:rFonts w:asciiTheme="majorHAnsi" w:hAnsiTheme="majorHAnsi"/>
                                <w:color w:val="595959" w:themeColor="text1" w:themeTint="A6"/>
                                <w:sz w:val="18"/>
                                <w:lang w:val="es-ES"/>
                              </w:rPr>
                              <w:t>. Caso 13.352. Admisibilidad y Fondo</w:t>
                            </w:r>
                            <w:r>
                              <w:rPr>
                                <w:rFonts w:asciiTheme="majorHAnsi" w:hAnsiTheme="majorHAnsi"/>
                                <w:color w:val="595959" w:themeColor="text1" w:themeTint="A6"/>
                                <w:sz w:val="18"/>
                                <w:lang w:val="es-ES"/>
                              </w:rPr>
                              <w:t xml:space="preserve"> (</w:t>
                            </w:r>
                            <w:r w:rsidRPr="00E64137">
                              <w:rPr>
                                <w:rFonts w:asciiTheme="majorHAnsi" w:hAnsiTheme="majorHAnsi"/>
                                <w:color w:val="595959" w:themeColor="text1" w:themeTint="A6"/>
                                <w:sz w:val="18"/>
                                <w:lang w:val="es-ES"/>
                              </w:rPr>
                              <w:t>Publicación</w:t>
                            </w:r>
                            <w:r>
                              <w:rPr>
                                <w:rFonts w:asciiTheme="majorHAnsi" w:hAnsiTheme="majorHAnsi"/>
                                <w:color w:val="595959" w:themeColor="text1" w:themeTint="A6"/>
                                <w:sz w:val="18"/>
                                <w:lang w:val="es-ES"/>
                              </w:rPr>
                              <w:t>)</w:t>
                            </w:r>
                            <w:r w:rsidRPr="00F77AD3">
                              <w:rPr>
                                <w:rFonts w:asciiTheme="majorHAnsi" w:hAnsiTheme="majorHAnsi"/>
                                <w:color w:val="595959" w:themeColor="text1" w:themeTint="A6"/>
                                <w:sz w:val="18"/>
                                <w:lang w:val="es-ES"/>
                              </w:rPr>
                              <w:t xml:space="preserve">. Jurijus Kadamovas y otros. Estados Unidos de América. </w:t>
                            </w:r>
                            <w:r w:rsidR="00E64137">
                              <w:rPr>
                                <w:rFonts w:asciiTheme="majorHAnsi" w:hAnsiTheme="majorHAnsi"/>
                                <w:color w:val="595959" w:themeColor="text1" w:themeTint="A6"/>
                                <w:sz w:val="18"/>
                                <w:lang w:val="es-ES"/>
                              </w:rPr>
                              <w:t>12</w:t>
                            </w:r>
                            <w:r w:rsidRPr="00F77AD3">
                              <w:rPr>
                                <w:rFonts w:asciiTheme="majorHAnsi" w:hAnsiTheme="majorHAnsi"/>
                                <w:color w:val="595959" w:themeColor="text1" w:themeTint="A6"/>
                                <w:sz w:val="18"/>
                                <w:lang w:val="es-ES"/>
                              </w:rPr>
                              <w:t xml:space="preserve"> de </w:t>
                            </w:r>
                            <w:r w:rsidR="00E64137">
                              <w:rPr>
                                <w:rFonts w:asciiTheme="majorHAnsi" w:hAnsiTheme="majorHAnsi"/>
                                <w:color w:val="595959" w:themeColor="text1" w:themeTint="A6"/>
                                <w:sz w:val="18"/>
                                <w:lang w:val="es-ES"/>
                              </w:rPr>
                              <w:t>mayo</w:t>
                            </w:r>
                            <w:r w:rsidR="00E74F76">
                              <w:rPr>
                                <w:rFonts w:asciiTheme="majorHAnsi" w:hAnsiTheme="majorHAnsi"/>
                                <w:color w:val="595959" w:themeColor="text1" w:themeTint="A6"/>
                                <w:sz w:val="18"/>
                                <w:lang w:val="es-ES"/>
                              </w:rPr>
                              <w:t xml:space="preserve"> </w:t>
                            </w:r>
                            <w:r w:rsidRPr="00F77AD3">
                              <w:rPr>
                                <w:rFonts w:asciiTheme="majorHAnsi" w:hAnsiTheme="majorHAnsi"/>
                                <w:color w:val="595959" w:themeColor="text1" w:themeTint="A6"/>
                                <w:sz w:val="18"/>
                                <w:lang w:val="es-ES"/>
                              </w:rPr>
                              <w:t>de 20</w:t>
                            </w:r>
                            <w:r>
                              <w:rPr>
                                <w:rFonts w:asciiTheme="majorHAnsi" w:hAnsiTheme="majorHAnsi"/>
                                <w:color w:val="595959" w:themeColor="text1" w:themeTint="A6"/>
                                <w:sz w:val="18"/>
                                <w:lang w:val="es-ES"/>
                              </w:rPr>
                              <w:t>2</w:t>
                            </w:r>
                            <w:r w:rsidR="00E74F76">
                              <w:rPr>
                                <w:rFonts w:asciiTheme="majorHAnsi" w:hAnsiTheme="majorHAnsi"/>
                                <w:color w:val="595959" w:themeColor="text1" w:themeTint="A6"/>
                                <w:sz w:val="18"/>
                                <w:lang w:val="es-ES"/>
                              </w:rPr>
                              <w:t>3</w:t>
                            </w:r>
                            <w:r w:rsidRPr="00F77AD3">
                              <w:rPr>
                                <w:rFonts w:asciiTheme="majorHAnsi" w:hAnsiTheme="majorHAnsi"/>
                                <w:color w:val="595959" w:themeColor="text1" w:themeTint="A6"/>
                                <w:sz w:val="18"/>
                                <w:lang w:val="es-ES"/>
                              </w:rPr>
                              <w:t>.</w:t>
                            </w:r>
                          </w:p>
                          <w:p w14:paraId="7739090B" w14:textId="77777777" w:rsidR="002718F0" w:rsidRPr="007E78B1" w:rsidRDefault="002718F0" w:rsidP="00113F73">
                            <w:pPr>
                              <w:spacing w:line="276" w:lineRule="auto"/>
                              <w:rPr>
                                <w:rFonts w:asciiTheme="majorHAnsi" w:hAnsiTheme="majorHAnsi"/>
                                <w:color w:val="595959" w:themeColor="text1" w:themeTint="A6"/>
                                <w:sz w:val="18"/>
                                <w:szCs w:val="18"/>
                                <w:lang w:val="es-N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050E"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" filled="f" stroked="f" strokeweight=".5pt">
                <v:textbox>
                  <w:txbxContent>
                    <w:p w14:paraId="26B7E0D5" w14:textId="524B7F81" w:rsidR="002718F0" w:rsidRPr="00F77AD3" w:rsidRDefault="002718F0" w:rsidP="00702483">
                      <w:pPr>
                        <w:spacing w:line="276" w:lineRule="auto"/>
                        <w:jc w:val="both"/>
                        <w:rPr>
                          <w:rFonts w:asciiTheme="majorHAnsi" w:hAnsiTheme="majorHAnsi"/>
                          <w:color w:val="595959" w:themeColor="text1" w:themeTint="A6"/>
                          <w:sz w:val="18"/>
                          <w:lang w:val="es-ES"/>
                        </w:rPr>
                      </w:pPr>
                      <w:r w:rsidRPr="00D755C5">
                        <w:rPr>
                          <w:rFonts w:asciiTheme="majorHAnsi" w:hAnsiTheme="majorHAnsi"/>
                          <w:b/>
                          <w:color w:val="595959" w:themeColor="text1" w:themeTint="A6"/>
                          <w:sz w:val="18"/>
                          <w:lang w:val="pt-BR"/>
                        </w:rPr>
                        <w:t>Citar como:</w:t>
                      </w:r>
                      <w:r w:rsidRPr="00D755C5">
                        <w:rPr>
                          <w:rFonts w:asciiTheme="majorHAnsi" w:hAnsiTheme="majorHAnsi"/>
                          <w:color w:val="595959" w:themeColor="text1" w:themeTint="A6"/>
                          <w:sz w:val="18"/>
                          <w:lang w:val="pt-BR"/>
                        </w:rPr>
                        <w:t xml:space="preserve"> CIDH, Informe No. </w:t>
                      </w:r>
                      <w:r w:rsidR="00E64137">
                        <w:rPr>
                          <w:rFonts w:asciiTheme="majorHAnsi" w:hAnsiTheme="majorHAnsi"/>
                          <w:color w:val="595959" w:themeColor="text1" w:themeTint="A6"/>
                          <w:sz w:val="18"/>
                          <w:lang w:val="es-ES"/>
                        </w:rPr>
                        <w:t>263</w:t>
                      </w:r>
                      <w:r w:rsidRPr="00F77AD3">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2</w:t>
                      </w:r>
                      <w:r w:rsidR="00E74F76">
                        <w:rPr>
                          <w:rFonts w:asciiTheme="majorHAnsi" w:hAnsiTheme="majorHAnsi"/>
                          <w:color w:val="595959" w:themeColor="text1" w:themeTint="A6"/>
                          <w:sz w:val="18"/>
                          <w:lang w:val="es-ES"/>
                        </w:rPr>
                        <w:t>3</w:t>
                      </w:r>
                      <w:r w:rsidRPr="00F77AD3">
                        <w:rPr>
                          <w:rFonts w:asciiTheme="majorHAnsi" w:hAnsiTheme="majorHAnsi"/>
                          <w:color w:val="595959" w:themeColor="text1" w:themeTint="A6"/>
                          <w:sz w:val="18"/>
                          <w:lang w:val="es-ES"/>
                        </w:rPr>
                        <w:t>. Caso 13.352. Admisibilidad y Fondo</w:t>
                      </w:r>
                      <w:r>
                        <w:rPr>
                          <w:rFonts w:asciiTheme="majorHAnsi" w:hAnsiTheme="majorHAnsi"/>
                          <w:color w:val="595959" w:themeColor="text1" w:themeTint="A6"/>
                          <w:sz w:val="18"/>
                          <w:lang w:val="es-ES"/>
                        </w:rPr>
                        <w:t xml:space="preserve"> (</w:t>
                      </w:r>
                      <w:r w:rsidRPr="00E64137">
                        <w:rPr>
                          <w:rFonts w:asciiTheme="majorHAnsi" w:hAnsiTheme="majorHAnsi"/>
                          <w:color w:val="595959" w:themeColor="text1" w:themeTint="A6"/>
                          <w:sz w:val="18"/>
                          <w:lang w:val="es-ES"/>
                        </w:rPr>
                        <w:t>Publicación</w:t>
                      </w:r>
                      <w:r>
                        <w:rPr>
                          <w:rFonts w:asciiTheme="majorHAnsi" w:hAnsiTheme="majorHAnsi"/>
                          <w:color w:val="595959" w:themeColor="text1" w:themeTint="A6"/>
                          <w:sz w:val="18"/>
                          <w:lang w:val="es-ES"/>
                        </w:rPr>
                        <w:t>)</w:t>
                      </w:r>
                      <w:r w:rsidRPr="00F77AD3">
                        <w:rPr>
                          <w:rFonts w:asciiTheme="majorHAnsi" w:hAnsiTheme="majorHAnsi"/>
                          <w:color w:val="595959" w:themeColor="text1" w:themeTint="A6"/>
                          <w:sz w:val="18"/>
                          <w:lang w:val="es-ES"/>
                        </w:rPr>
                        <w:t xml:space="preserve">. Jurijus Kadamovas y otros. Estados Unidos de América. </w:t>
                      </w:r>
                      <w:r w:rsidR="00E64137">
                        <w:rPr>
                          <w:rFonts w:asciiTheme="majorHAnsi" w:hAnsiTheme="majorHAnsi"/>
                          <w:color w:val="595959" w:themeColor="text1" w:themeTint="A6"/>
                          <w:sz w:val="18"/>
                          <w:lang w:val="es-ES"/>
                        </w:rPr>
                        <w:t>12</w:t>
                      </w:r>
                      <w:r w:rsidRPr="00F77AD3">
                        <w:rPr>
                          <w:rFonts w:asciiTheme="majorHAnsi" w:hAnsiTheme="majorHAnsi"/>
                          <w:color w:val="595959" w:themeColor="text1" w:themeTint="A6"/>
                          <w:sz w:val="18"/>
                          <w:lang w:val="es-ES"/>
                        </w:rPr>
                        <w:t xml:space="preserve"> de </w:t>
                      </w:r>
                      <w:r w:rsidR="00E64137">
                        <w:rPr>
                          <w:rFonts w:asciiTheme="majorHAnsi" w:hAnsiTheme="majorHAnsi"/>
                          <w:color w:val="595959" w:themeColor="text1" w:themeTint="A6"/>
                          <w:sz w:val="18"/>
                          <w:lang w:val="es-ES"/>
                        </w:rPr>
                        <w:t>mayo</w:t>
                      </w:r>
                      <w:r w:rsidR="00E74F76">
                        <w:rPr>
                          <w:rFonts w:asciiTheme="majorHAnsi" w:hAnsiTheme="majorHAnsi"/>
                          <w:color w:val="595959" w:themeColor="text1" w:themeTint="A6"/>
                          <w:sz w:val="18"/>
                          <w:lang w:val="es-ES"/>
                        </w:rPr>
                        <w:t xml:space="preserve"> </w:t>
                      </w:r>
                      <w:r w:rsidRPr="00F77AD3">
                        <w:rPr>
                          <w:rFonts w:asciiTheme="majorHAnsi" w:hAnsiTheme="majorHAnsi"/>
                          <w:color w:val="595959" w:themeColor="text1" w:themeTint="A6"/>
                          <w:sz w:val="18"/>
                          <w:lang w:val="es-ES"/>
                        </w:rPr>
                        <w:t>de 20</w:t>
                      </w:r>
                      <w:r>
                        <w:rPr>
                          <w:rFonts w:asciiTheme="majorHAnsi" w:hAnsiTheme="majorHAnsi"/>
                          <w:color w:val="595959" w:themeColor="text1" w:themeTint="A6"/>
                          <w:sz w:val="18"/>
                          <w:lang w:val="es-ES"/>
                        </w:rPr>
                        <w:t>2</w:t>
                      </w:r>
                      <w:r w:rsidR="00E74F76">
                        <w:rPr>
                          <w:rFonts w:asciiTheme="majorHAnsi" w:hAnsiTheme="majorHAnsi"/>
                          <w:color w:val="595959" w:themeColor="text1" w:themeTint="A6"/>
                          <w:sz w:val="18"/>
                          <w:lang w:val="es-ES"/>
                        </w:rPr>
                        <w:t>3</w:t>
                      </w:r>
                      <w:r w:rsidRPr="00F77AD3">
                        <w:rPr>
                          <w:rFonts w:asciiTheme="majorHAnsi" w:hAnsiTheme="majorHAnsi"/>
                          <w:color w:val="595959" w:themeColor="text1" w:themeTint="A6"/>
                          <w:sz w:val="18"/>
                          <w:lang w:val="es-ES"/>
                        </w:rPr>
                        <w:t>.</w:t>
                      </w:r>
                    </w:p>
                    <w:p w14:paraId="7739090B" w14:textId="77777777" w:rsidR="002718F0" w:rsidRPr="007E78B1" w:rsidRDefault="002718F0" w:rsidP="00113F73">
                      <w:pPr>
                        <w:spacing w:line="276" w:lineRule="auto"/>
                        <w:rPr>
                          <w:rFonts w:asciiTheme="majorHAnsi" w:hAnsiTheme="majorHAnsi"/>
                          <w:color w:val="595959" w:themeColor="text1" w:themeTint="A6"/>
                          <w:sz w:val="18"/>
                          <w:szCs w:val="18"/>
                          <w:lang w:val="es-NI"/>
                        </w:rPr>
                      </w:pPr>
                    </w:p>
                  </w:txbxContent>
                </v:textbox>
              </v:shape>
            </w:pict>
          </mc:Fallback>
        </mc:AlternateContent>
      </w:r>
    </w:p>
    <w:p w14:paraId="1B600675" w14:textId="77777777" w:rsidR="00A50FCF" w:rsidRPr="00262E8F" w:rsidRDefault="00A50FCF" w:rsidP="00040C3A">
      <w:pPr>
        <w:tabs>
          <w:tab w:val="center" w:pos="5400"/>
        </w:tabs>
        <w:suppressAutoHyphens/>
        <w:jc w:val="center"/>
        <w:rPr>
          <w:rFonts w:asciiTheme="majorHAnsi" w:hAnsiTheme="majorHAnsi"/>
          <w:sz w:val="18"/>
          <w:szCs w:val="22"/>
          <w:lang w:val="es-ES_tradnl"/>
        </w:rPr>
      </w:pPr>
    </w:p>
    <w:p w14:paraId="4DE46CC0" w14:textId="77777777" w:rsidR="0090270B" w:rsidRPr="00262E8F" w:rsidRDefault="00D306D1" w:rsidP="005516A1">
      <w:pPr>
        <w:tabs>
          <w:tab w:val="center" w:pos="5400"/>
        </w:tabs>
        <w:suppressAutoHyphens/>
        <w:jc w:val="center"/>
        <w:rPr>
          <w:rFonts w:asciiTheme="majorHAnsi" w:hAnsiTheme="majorHAnsi"/>
          <w:b/>
          <w:sz w:val="20"/>
          <w:lang w:val="es-ES_tradnl"/>
        </w:rPr>
      </w:pPr>
      <w:r w:rsidRPr="00262E8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4FBF5D3" wp14:editId="1112669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9971B" w14:textId="77777777" w:rsidR="002718F0" w:rsidRPr="00D72DC6" w:rsidRDefault="002718F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9D787DA" wp14:editId="1C839BE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F5D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0789971B" w14:textId="77777777" w:rsidR="002718F0" w:rsidRPr="00D72DC6" w:rsidRDefault="002718F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9D787DA" wp14:editId="1C839BE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262E8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9F7490A" wp14:editId="6EB9BA5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5BA75" w14:textId="77777777" w:rsidR="002718F0" w:rsidRPr="004B7EB6" w:rsidRDefault="002718F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7490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1745BA75" w14:textId="77777777" w:rsidR="002718F0" w:rsidRPr="004B7EB6" w:rsidRDefault="002718F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F2CEF12" w14:textId="77777777" w:rsidR="0070697F" w:rsidRPr="00262E8F" w:rsidRDefault="0070697F" w:rsidP="005516A1">
      <w:pPr>
        <w:tabs>
          <w:tab w:val="center" w:pos="5400"/>
        </w:tabs>
        <w:suppressAutoHyphens/>
        <w:jc w:val="center"/>
        <w:rPr>
          <w:rFonts w:asciiTheme="majorHAnsi" w:hAnsiTheme="majorHAnsi"/>
          <w:b/>
          <w:sz w:val="20"/>
          <w:lang w:val="es-ES_tradnl"/>
        </w:rPr>
        <w:sectPr w:rsidR="0070697F" w:rsidRPr="00262E8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AF1BB2C" w14:textId="2BFD5A4A" w:rsidR="00E64137" w:rsidRPr="004D2902" w:rsidRDefault="00E64137" w:rsidP="00E64137">
      <w:pPr>
        <w:tabs>
          <w:tab w:val="center" w:pos="5400"/>
        </w:tabs>
        <w:suppressAutoHyphens/>
        <w:jc w:val="center"/>
        <w:rPr>
          <w:rFonts w:ascii="Cambria" w:hAnsi="Cambria"/>
          <w:b/>
          <w:sz w:val="20"/>
          <w:szCs w:val="20"/>
          <w:lang w:val="es-VE"/>
        </w:rPr>
      </w:pPr>
      <w:r w:rsidRPr="004D2902">
        <w:rPr>
          <w:rFonts w:ascii="Cambria" w:hAnsi="Cambria"/>
          <w:b/>
          <w:sz w:val="20"/>
          <w:szCs w:val="20"/>
          <w:lang w:val="es-VE"/>
        </w:rPr>
        <w:lastRenderedPageBreak/>
        <w:t xml:space="preserve">INFORME No. </w:t>
      </w:r>
      <w:r>
        <w:rPr>
          <w:rFonts w:ascii="Cambria" w:hAnsi="Cambria"/>
          <w:b/>
          <w:sz w:val="20"/>
          <w:szCs w:val="20"/>
          <w:lang w:val="es-VE"/>
        </w:rPr>
        <w:t>263</w:t>
      </w:r>
      <w:r w:rsidRPr="004D2902">
        <w:rPr>
          <w:rFonts w:ascii="Cambria" w:hAnsi="Cambria"/>
          <w:b/>
          <w:sz w:val="20"/>
          <w:szCs w:val="20"/>
          <w:lang w:val="es-VE"/>
        </w:rPr>
        <w:t>/2</w:t>
      </w:r>
      <w:r>
        <w:rPr>
          <w:rFonts w:ascii="Cambria" w:hAnsi="Cambria"/>
          <w:b/>
          <w:sz w:val="20"/>
          <w:szCs w:val="20"/>
          <w:lang w:val="es-VE"/>
        </w:rPr>
        <w:t>3</w:t>
      </w:r>
    </w:p>
    <w:p w14:paraId="76A63A4F" w14:textId="12E50D93" w:rsidR="00E64137" w:rsidRPr="004D2902" w:rsidRDefault="00E64137" w:rsidP="00E64137">
      <w:pPr>
        <w:tabs>
          <w:tab w:val="center" w:pos="5400"/>
        </w:tabs>
        <w:suppressAutoHyphens/>
        <w:jc w:val="center"/>
        <w:rPr>
          <w:rFonts w:ascii="Cambria" w:hAnsi="Cambria"/>
          <w:b/>
          <w:sz w:val="20"/>
          <w:szCs w:val="20"/>
          <w:lang w:val="es-VE"/>
        </w:rPr>
      </w:pPr>
      <w:r w:rsidRPr="004D2902">
        <w:rPr>
          <w:rFonts w:ascii="Cambria" w:hAnsi="Cambria"/>
          <w:b/>
          <w:sz w:val="20"/>
          <w:szCs w:val="20"/>
          <w:lang w:val="es-VE"/>
        </w:rPr>
        <w:t>CASO 1</w:t>
      </w:r>
      <w:r>
        <w:rPr>
          <w:rFonts w:ascii="Cambria" w:hAnsi="Cambria"/>
          <w:b/>
          <w:sz w:val="20"/>
          <w:szCs w:val="20"/>
          <w:lang w:val="es-VE"/>
        </w:rPr>
        <w:t>3</w:t>
      </w:r>
      <w:r w:rsidRPr="004D2902">
        <w:rPr>
          <w:rFonts w:ascii="Cambria" w:hAnsi="Cambria"/>
          <w:b/>
          <w:sz w:val="20"/>
          <w:szCs w:val="20"/>
          <w:lang w:val="es-VE"/>
        </w:rPr>
        <w:t>.</w:t>
      </w:r>
      <w:r>
        <w:rPr>
          <w:rFonts w:ascii="Cambria" w:hAnsi="Cambria"/>
          <w:b/>
          <w:sz w:val="20"/>
          <w:szCs w:val="20"/>
          <w:lang w:val="es-VE"/>
        </w:rPr>
        <w:t>352</w:t>
      </w:r>
    </w:p>
    <w:p w14:paraId="6217D2CC" w14:textId="68183F26" w:rsidR="00E64137" w:rsidRPr="00E64137" w:rsidRDefault="00E64137" w:rsidP="00E64137">
      <w:pPr>
        <w:tabs>
          <w:tab w:val="center" w:pos="5400"/>
        </w:tabs>
        <w:suppressAutoHyphens/>
        <w:jc w:val="center"/>
        <w:rPr>
          <w:rFonts w:ascii="Cambria" w:hAnsi="Cambria"/>
          <w:b/>
          <w:bCs/>
          <w:sz w:val="20"/>
          <w:szCs w:val="20"/>
          <w:lang w:val="es-VE"/>
        </w:rPr>
      </w:pPr>
      <w:r w:rsidRPr="00E64137">
        <w:rPr>
          <w:rFonts w:ascii="Cambria" w:hAnsi="Cambria"/>
          <w:b/>
          <w:bCs/>
          <w:sz w:val="20"/>
          <w:szCs w:val="20"/>
          <w:lang w:val="es-VE"/>
        </w:rPr>
        <w:t>INFORME DE ADMMISIBILIDAD Y FONDO</w:t>
      </w:r>
      <w:r w:rsidR="00AB02D6">
        <w:rPr>
          <w:rFonts w:ascii="Cambria" w:hAnsi="Cambria"/>
          <w:b/>
          <w:bCs/>
          <w:sz w:val="20"/>
          <w:szCs w:val="20"/>
          <w:lang w:val="es-VE"/>
        </w:rPr>
        <w:t xml:space="preserve"> (PUBLICACIÓN)</w:t>
      </w:r>
    </w:p>
    <w:p w14:paraId="46FEBDBE" w14:textId="0F994179" w:rsidR="00E64137" w:rsidRPr="00E64137" w:rsidRDefault="00E64137" w:rsidP="00E64137">
      <w:pPr>
        <w:tabs>
          <w:tab w:val="center" w:pos="5400"/>
        </w:tabs>
        <w:suppressAutoHyphens/>
        <w:jc w:val="center"/>
        <w:rPr>
          <w:rFonts w:ascii="Cambria" w:hAnsi="Cambria"/>
          <w:b/>
          <w:bCs/>
          <w:sz w:val="20"/>
          <w:szCs w:val="20"/>
          <w:lang w:val="es-VE"/>
        </w:rPr>
      </w:pPr>
      <w:r w:rsidRPr="00E64137">
        <w:rPr>
          <w:rFonts w:ascii="Cambria" w:hAnsi="Cambria"/>
          <w:b/>
          <w:bCs/>
          <w:sz w:val="20"/>
          <w:szCs w:val="20"/>
          <w:lang w:val="es-VE"/>
        </w:rPr>
        <w:t xml:space="preserve">JURIJUS KADAMOVAS ET AL </w:t>
      </w:r>
    </w:p>
    <w:p w14:paraId="35C1EF80" w14:textId="053B94A3" w:rsidR="00E64137" w:rsidRPr="00E64137" w:rsidRDefault="00E64137" w:rsidP="00E64137">
      <w:pPr>
        <w:tabs>
          <w:tab w:val="center" w:pos="5400"/>
        </w:tabs>
        <w:suppressAutoHyphens/>
        <w:jc w:val="center"/>
        <w:rPr>
          <w:rFonts w:ascii="Cambria" w:hAnsi="Cambria"/>
          <w:b/>
          <w:bCs/>
          <w:sz w:val="20"/>
          <w:szCs w:val="20"/>
          <w:lang w:val="es-ES_tradnl"/>
        </w:rPr>
      </w:pPr>
      <w:r w:rsidRPr="00E64137">
        <w:rPr>
          <w:rFonts w:ascii="Cambria" w:hAnsi="Cambria"/>
          <w:b/>
          <w:bCs/>
          <w:sz w:val="20"/>
          <w:szCs w:val="20"/>
          <w:lang w:val="es-ES_tradnl"/>
        </w:rPr>
        <w:t>ESTADOS UNIDOS</w:t>
      </w:r>
      <w:r w:rsidR="00AB02D6">
        <w:rPr>
          <w:rStyle w:val="FootnoteReference"/>
          <w:rFonts w:ascii="Cambria" w:hAnsi="Cambria"/>
          <w:b/>
          <w:bCs/>
          <w:sz w:val="20"/>
          <w:szCs w:val="20"/>
          <w:lang w:val="es-ES_tradnl"/>
        </w:rPr>
        <w:footnoteReference w:id="2"/>
      </w:r>
    </w:p>
    <w:p w14:paraId="6C0DD44B" w14:textId="7AC532E0" w:rsidR="00E64137" w:rsidRPr="00E64137" w:rsidRDefault="00E64137" w:rsidP="00E64137">
      <w:pPr>
        <w:tabs>
          <w:tab w:val="center" w:pos="5400"/>
        </w:tabs>
        <w:suppressAutoHyphens/>
        <w:jc w:val="center"/>
        <w:rPr>
          <w:rFonts w:ascii="Cambria" w:hAnsi="Cambria"/>
          <w:b/>
          <w:bCs/>
          <w:sz w:val="20"/>
          <w:szCs w:val="20"/>
          <w:lang w:val="es-ES_tradnl"/>
        </w:rPr>
      </w:pPr>
      <w:r w:rsidRPr="00E64137">
        <w:rPr>
          <w:rFonts w:ascii="Cambria" w:hAnsi="Cambria"/>
          <w:b/>
          <w:bCs/>
          <w:sz w:val="20"/>
          <w:szCs w:val="20"/>
          <w:lang w:val="es-ES_tradnl"/>
        </w:rPr>
        <w:t>12 DE MAYO DE 2023</w:t>
      </w:r>
    </w:p>
    <w:p w14:paraId="238205B1" w14:textId="77777777" w:rsidR="00E64137" w:rsidRDefault="00E64137" w:rsidP="00702483">
      <w:pPr>
        <w:tabs>
          <w:tab w:val="center" w:pos="5400"/>
        </w:tabs>
        <w:suppressAutoHyphens/>
        <w:spacing w:line="276" w:lineRule="auto"/>
        <w:jc w:val="center"/>
        <w:rPr>
          <w:rFonts w:asciiTheme="majorHAnsi" w:hAnsiTheme="majorHAnsi"/>
          <w:b/>
          <w:sz w:val="20"/>
          <w:szCs w:val="20"/>
          <w:lang w:val="es-ES"/>
        </w:rPr>
      </w:pPr>
    </w:p>
    <w:p w14:paraId="09DC5FE8" w14:textId="5D33B3B5" w:rsidR="00702483" w:rsidRPr="008D5BCE" w:rsidRDefault="00702483" w:rsidP="00702483">
      <w:pPr>
        <w:tabs>
          <w:tab w:val="center" w:pos="5400"/>
        </w:tabs>
        <w:suppressAutoHyphens/>
        <w:spacing w:line="276" w:lineRule="auto"/>
        <w:jc w:val="center"/>
        <w:rPr>
          <w:rFonts w:asciiTheme="majorHAnsi" w:hAnsiTheme="majorHAnsi"/>
          <w:b/>
          <w:sz w:val="20"/>
          <w:szCs w:val="20"/>
          <w:lang w:val="es-ES"/>
        </w:rPr>
      </w:pPr>
      <w:r w:rsidRPr="008D5BCE">
        <w:rPr>
          <w:rFonts w:asciiTheme="majorHAnsi" w:hAnsiTheme="majorHAnsi"/>
          <w:b/>
          <w:sz w:val="20"/>
          <w:szCs w:val="20"/>
          <w:lang w:val="es-ES"/>
        </w:rPr>
        <w:t>ÍNDICE</w:t>
      </w:r>
    </w:p>
    <w:p w14:paraId="6657FD01" w14:textId="77777777" w:rsidR="00702483" w:rsidRPr="0001772D" w:rsidRDefault="00702483" w:rsidP="00702483">
      <w:pPr>
        <w:tabs>
          <w:tab w:val="center" w:pos="5400"/>
        </w:tabs>
        <w:suppressAutoHyphens/>
        <w:spacing w:line="276" w:lineRule="auto"/>
        <w:rPr>
          <w:rFonts w:asciiTheme="majorHAnsi" w:hAnsiTheme="majorHAnsi"/>
          <w:sz w:val="20"/>
          <w:szCs w:val="20"/>
          <w:lang w:val="es-ES"/>
        </w:rPr>
      </w:pPr>
    </w:p>
    <w:p w14:paraId="5891F244" w14:textId="382634AC" w:rsidR="0001772D" w:rsidRPr="0061354F" w:rsidRDefault="00702483">
      <w:pPr>
        <w:pStyle w:val="TOC1"/>
        <w:rPr>
          <w:rFonts w:eastAsiaTheme="minorEastAsia" w:cstheme="minorBidi"/>
          <w:b w:val="0"/>
          <w:bdr w:val="none" w:sz="0" w:space="0" w:color="auto"/>
          <w:lang w:val="es-US" w:eastAsia="zh-CN"/>
        </w:rPr>
      </w:pPr>
      <w:r w:rsidRPr="0061354F">
        <w:fldChar w:fldCharType="begin"/>
      </w:r>
      <w:r w:rsidRPr="0061354F">
        <w:instrText xml:space="preserve"> TOC \o "1-3" \h \z \u </w:instrText>
      </w:r>
      <w:r w:rsidRPr="0061354F">
        <w:fldChar w:fldCharType="separate"/>
      </w:r>
      <w:hyperlink w:anchor="_Toc90289306" w:history="1">
        <w:r w:rsidR="0001772D" w:rsidRPr="0061354F">
          <w:rPr>
            <w:rStyle w:val="Hyperlink"/>
          </w:rPr>
          <w:t>I.</w:t>
        </w:r>
        <w:r w:rsidR="0001772D" w:rsidRPr="0061354F">
          <w:rPr>
            <w:rFonts w:eastAsiaTheme="minorEastAsia" w:cstheme="minorBidi"/>
            <w:b w:val="0"/>
            <w:bdr w:val="none" w:sz="0" w:space="0" w:color="auto"/>
            <w:lang w:val="es-US" w:eastAsia="zh-CN"/>
          </w:rPr>
          <w:tab/>
        </w:r>
        <w:r w:rsidR="0001772D" w:rsidRPr="0061354F">
          <w:rPr>
            <w:rStyle w:val="Hyperlink"/>
          </w:rPr>
          <w:t>INTRODUCCIÓN</w:t>
        </w:r>
        <w:r w:rsidR="0001772D" w:rsidRPr="0061354F">
          <w:rPr>
            <w:webHidden/>
          </w:rPr>
          <w:tab/>
        </w:r>
        <w:r w:rsidR="0001772D" w:rsidRPr="0061354F">
          <w:rPr>
            <w:webHidden/>
          </w:rPr>
          <w:fldChar w:fldCharType="begin"/>
        </w:r>
        <w:r w:rsidR="0001772D" w:rsidRPr="0061354F">
          <w:rPr>
            <w:webHidden/>
          </w:rPr>
          <w:instrText xml:space="preserve"> PAGEREF _Toc90289306 \h </w:instrText>
        </w:r>
        <w:r w:rsidR="0001772D" w:rsidRPr="0061354F">
          <w:rPr>
            <w:webHidden/>
          </w:rPr>
        </w:r>
        <w:r w:rsidR="0001772D" w:rsidRPr="0061354F">
          <w:rPr>
            <w:webHidden/>
          </w:rPr>
          <w:fldChar w:fldCharType="separate"/>
        </w:r>
        <w:r w:rsidR="008A1547">
          <w:rPr>
            <w:webHidden/>
          </w:rPr>
          <w:t>3</w:t>
        </w:r>
        <w:r w:rsidR="0001772D" w:rsidRPr="0061354F">
          <w:rPr>
            <w:webHidden/>
          </w:rPr>
          <w:fldChar w:fldCharType="end"/>
        </w:r>
      </w:hyperlink>
    </w:p>
    <w:p w14:paraId="720811E9" w14:textId="497DDEBF" w:rsidR="0001772D" w:rsidRPr="0061354F" w:rsidRDefault="008A1547">
      <w:pPr>
        <w:pStyle w:val="TOC1"/>
        <w:rPr>
          <w:rFonts w:eastAsiaTheme="minorEastAsia" w:cstheme="minorBidi"/>
          <w:b w:val="0"/>
          <w:bdr w:val="none" w:sz="0" w:space="0" w:color="auto"/>
          <w:lang w:val="es-US" w:eastAsia="zh-CN"/>
        </w:rPr>
      </w:pPr>
      <w:hyperlink w:anchor="_Toc90289307" w:history="1">
        <w:r w:rsidR="0001772D" w:rsidRPr="0061354F">
          <w:rPr>
            <w:rStyle w:val="Hyperlink"/>
          </w:rPr>
          <w:t>II.</w:t>
        </w:r>
        <w:r w:rsidR="0001772D" w:rsidRPr="0061354F">
          <w:rPr>
            <w:rFonts w:eastAsiaTheme="minorEastAsia" w:cstheme="minorBidi"/>
            <w:b w:val="0"/>
            <w:bdr w:val="none" w:sz="0" w:space="0" w:color="auto"/>
            <w:lang w:val="es-US" w:eastAsia="zh-CN"/>
          </w:rPr>
          <w:tab/>
        </w:r>
        <w:r w:rsidR="0001772D" w:rsidRPr="0061354F">
          <w:rPr>
            <w:rStyle w:val="Hyperlink"/>
          </w:rPr>
          <w:t>POSICIÓN DE LAS PARTES</w:t>
        </w:r>
        <w:r w:rsidR="0001772D" w:rsidRPr="0061354F">
          <w:rPr>
            <w:webHidden/>
          </w:rPr>
          <w:tab/>
        </w:r>
        <w:r w:rsidR="0001772D" w:rsidRPr="0061354F">
          <w:rPr>
            <w:webHidden/>
          </w:rPr>
          <w:fldChar w:fldCharType="begin"/>
        </w:r>
        <w:r w:rsidR="0001772D" w:rsidRPr="0061354F">
          <w:rPr>
            <w:webHidden/>
          </w:rPr>
          <w:instrText xml:space="preserve"> PAGEREF _Toc90289307 \h </w:instrText>
        </w:r>
        <w:r w:rsidR="0001772D" w:rsidRPr="0061354F">
          <w:rPr>
            <w:webHidden/>
          </w:rPr>
        </w:r>
        <w:r w:rsidR="0001772D" w:rsidRPr="0061354F">
          <w:rPr>
            <w:webHidden/>
          </w:rPr>
          <w:fldChar w:fldCharType="separate"/>
        </w:r>
        <w:r>
          <w:rPr>
            <w:webHidden/>
          </w:rPr>
          <w:t>3</w:t>
        </w:r>
        <w:r w:rsidR="0001772D" w:rsidRPr="0061354F">
          <w:rPr>
            <w:webHidden/>
          </w:rPr>
          <w:fldChar w:fldCharType="end"/>
        </w:r>
      </w:hyperlink>
    </w:p>
    <w:p w14:paraId="3AA41779" w14:textId="66230B3A"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08" w:history="1">
        <w:r w:rsidR="0001772D" w:rsidRPr="0061354F">
          <w:rPr>
            <w:rStyle w:val="Hyperlink"/>
            <w:rFonts w:asciiTheme="majorHAnsi" w:hAnsiTheme="majorHAnsi"/>
            <w:noProof/>
            <w:sz w:val="20"/>
            <w:szCs w:val="20"/>
            <w:lang w:val="es-ES"/>
          </w:rPr>
          <w:t>A.</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Posición de los peticionarios</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_Toc90289308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3</w:t>
        </w:r>
        <w:r w:rsidR="0001772D" w:rsidRPr="0061354F">
          <w:rPr>
            <w:rFonts w:asciiTheme="majorHAnsi" w:hAnsiTheme="majorHAnsi"/>
            <w:noProof/>
            <w:webHidden/>
            <w:sz w:val="20"/>
            <w:szCs w:val="20"/>
          </w:rPr>
          <w:fldChar w:fldCharType="end"/>
        </w:r>
      </w:hyperlink>
    </w:p>
    <w:p w14:paraId="4425524D" w14:textId="6FB3412B"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09" w:history="1">
        <w:r w:rsidR="0001772D" w:rsidRPr="0061354F">
          <w:rPr>
            <w:rStyle w:val="Hyperlink"/>
            <w:rFonts w:asciiTheme="majorHAnsi" w:hAnsiTheme="majorHAnsi"/>
            <w:noProof/>
            <w:sz w:val="20"/>
            <w:szCs w:val="20"/>
            <w:lang w:val="es-ES"/>
          </w:rPr>
          <w:t>B.</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Posición del Estado</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_Toc90289309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5</w:t>
        </w:r>
        <w:r w:rsidR="0001772D" w:rsidRPr="0061354F">
          <w:rPr>
            <w:rFonts w:asciiTheme="majorHAnsi" w:hAnsiTheme="majorHAnsi"/>
            <w:noProof/>
            <w:webHidden/>
            <w:sz w:val="20"/>
            <w:szCs w:val="20"/>
          </w:rPr>
          <w:fldChar w:fldCharType="end"/>
        </w:r>
      </w:hyperlink>
    </w:p>
    <w:p w14:paraId="66D3298A" w14:textId="5C0E59CC" w:rsidR="0001772D" w:rsidRPr="0061354F" w:rsidRDefault="008A1547">
      <w:pPr>
        <w:pStyle w:val="TOC1"/>
        <w:rPr>
          <w:rFonts w:eastAsiaTheme="minorEastAsia" w:cstheme="minorBidi"/>
          <w:b w:val="0"/>
          <w:bdr w:val="none" w:sz="0" w:space="0" w:color="auto"/>
          <w:lang w:val="es-US" w:eastAsia="zh-CN"/>
        </w:rPr>
      </w:pPr>
      <w:hyperlink w:anchor="_Toc90289310" w:history="1">
        <w:r w:rsidR="0001772D" w:rsidRPr="0061354F">
          <w:rPr>
            <w:rStyle w:val="Hyperlink"/>
          </w:rPr>
          <w:t>III.</w:t>
        </w:r>
        <w:r w:rsidR="0001772D" w:rsidRPr="0061354F">
          <w:rPr>
            <w:rFonts w:eastAsiaTheme="minorEastAsia" w:cstheme="minorBidi"/>
            <w:b w:val="0"/>
            <w:bdr w:val="none" w:sz="0" w:space="0" w:color="auto"/>
            <w:lang w:val="es-US" w:eastAsia="zh-CN"/>
          </w:rPr>
          <w:tab/>
        </w:r>
        <w:r w:rsidR="0001772D" w:rsidRPr="0061354F">
          <w:rPr>
            <w:rStyle w:val="Hyperlink"/>
          </w:rPr>
          <w:t>ADMISIBILIDAD</w:t>
        </w:r>
        <w:r w:rsidR="0001772D" w:rsidRPr="0061354F">
          <w:rPr>
            <w:webHidden/>
          </w:rPr>
          <w:tab/>
        </w:r>
        <w:r w:rsidR="0001772D" w:rsidRPr="0061354F">
          <w:rPr>
            <w:webHidden/>
          </w:rPr>
          <w:fldChar w:fldCharType="begin"/>
        </w:r>
        <w:r w:rsidR="0001772D" w:rsidRPr="0061354F">
          <w:rPr>
            <w:webHidden/>
          </w:rPr>
          <w:instrText xml:space="preserve"> PAGEREF _Toc90289310 \h </w:instrText>
        </w:r>
        <w:r w:rsidR="0001772D" w:rsidRPr="0061354F">
          <w:rPr>
            <w:webHidden/>
          </w:rPr>
        </w:r>
        <w:r w:rsidR="0001772D" w:rsidRPr="0061354F">
          <w:rPr>
            <w:webHidden/>
          </w:rPr>
          <w:fldChar w:fldCharType="separate"/>
        </w:r>
        <w:r>
          <w:rPr>
            <w:webHidden/>
          </w:rPr>
          <w:t>6</w:t>
        </w:r>
        <w:r w:rsidR="0001772D" w:rsidRPr="0061354F">
          <w:rPr>
            <w:webHidden/>
          </w:rPr>
          <w:fldChar w:fldCharType="end"/>
        </w:r>
      </w:hyperlink>
    </w:p>
    <w:p w14:paraId="4DED7D9B" w14:textId="3372C933"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11" w:history="1">
        <w:r w:rsidR="0001772D" w:rsidRPr="0061354F">
          <w:rPr>
            <w:rStyle w:val="Hyperlink"/>
            <w:rFonts w:asciiTheme="majorHAnsi" w:hAnsiTheme="majorHAnsi"/>
            <w:noProof/>
            <w:sz w:val="20"/>
            <w:szCs w:val="20"/>
            <w:lang w:val="es-ES"/>
          </w:rPr>
          <w:t>A.</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Competencia, duplicación de procedimientos y cosa juzgada internacional</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_Toc90289311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6</w:t>
        </w:r>
        <w:r w:rsidR="0001772D" w:rsidRPr="0061354F">
          <w:rPr>
            <w:rFonts w:asciiTheme="majorHAnsi" w:hAnsiTheme="majorHAnsi"/>
            <w:noProof/>
            <w:webHidden/>
            <w:sz w:val="20"/>
            <w:szCs w:val="20"/>
          </w:rPr>
          <w:fldChar w:fldCharType="end"/>
        </w:r>
      </w:hyperlink>
    </w:p>
    <w:p w14:paraId="2AF8816C" w14:textId="136445C0"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12" w:history="1">
        <w:r w:rsidR="0001772D" w:rsidRPr="0061354F">
          <w:rPr>
            <w:rStyle w:val="Hyperlink"/>
            <w:rFonts w:asciiTheme="majorHAnsi" w:hAnsiTheme="majorHAnsi" w:cs="Tahoma"/>
            <w:noProof/>
            <w:sz w:val="20"/>
            <w:szCs w:val="20"/>
            <w:lang w:val="es-ES"/>
          </w:rPr>
          <w:t>B.</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cs="Tahoma"/>
            <w:noProof/>
            <w:sz w:val="20"/>
            <w:szCs w:val="20"/>
            <w:shd w:val="clear" w:color="auto" w:fill="FFFFFF"/>
            <w:lang w:val="es-ES"/>
          </w:rPr>
          <w:t>Agotamiento de los recursos internos y plazo de presentación</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_Toc90289312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6</w:t>
        </w:r>
        <w:r w:rsidR="0001772D" w:rsidRPr="0061354F">
          <w:rPr>
            <w:rFonts w:asciiTheme="majorHAnsi" w:hAnsiTheme="majorHAnsi"/>
            <w:noProof/>
            <w:webHidden/>
            <w:sz w:val="20"/>
            <w:szCs w:val="20"/>
          </w:rPr>
          <w:fldChar w:fldCharType="end"/>
        </w:r>
      </w:hyperlink>
    </w:p>
    <w:p w14:paraId="1A89C51C" w14:textId="5EA1EF67"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13" w:history="1">
        <w:r w:rsidR="0001772D" w:rsidRPr="0061354F">
          <w:rPr>
            <w:rStyle w:val="Hyperlink"/>
            <w:rFonts w:asciiTheme="majorHAnsi" w:hAnsiTheme="majorHAnsi"/>
            <w:noProof/>
            <w:sz w:val="20"/>
            <w:szCs w:val="20"/>
            <w:lang w:val="es-ES"/>
          </w:rPr>
          <w:t>C.</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Caracterización de los hechos alegados</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_Toc90289313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7</w:t>
        </w:r>
        <w:r w:rsidR="0001772D" w:rsidRPr="0061354F">
          <w:rPr>
            <w:rFonts w:asciiTheme="majorHAnsi" w:hAnsiTheme="majorHAnsi"/>
            <w:noProof/>
            <w:webHidden/>
            <w:sz w:val="20"/>
            <w:szCs w:val="20"/>
          </w:rPr>
          <w:fldChar w:fldCharType="end"/>
        </w:r>
      </w:hyperlink>
    </w:p>
    <w:p w14:paraId="325B717B" w14:textId="544EF030" w:rsidR="0001772D" w:rsidRPr="0061354F" w:rsidRDefault="008A1547">
      <w:pPr>
        <w:pStyle w:val="TOC1"/>
        <w:rPr>
          <w:rFonts w:eastAsiaTheme="minorEastAsia" w:cstheme="minorBidi"/>
          <w:b w:val="0"/>
          <w:bdr w:val="none" w:sz="0" w:space="0" w:color="auto"/>
          <w:lang w:val="es-US" w:eastAsia="zh-CN"/>
        </w:rPr>
      </w:pPr>
      <w:hyperlink w:anchor="_Toc90289314" w:history="1">
        <w:r w:rsidR="0001772D" w:rsidRPr="0061354F">
          <w:rPr>
            <w:rStyle w:val="Hyperlink"/>
          </w:rPr>
          <w:t>IV.</w:t>
        </w:r>
        <w:r w:rsidR="0001772D" w:rsidRPr="0061354F">
          <w:rPr>
            <w:rFonts w:eastAsiaTheme="minorEastAsia" w:cstheme="minorBidi"/>
            <w:b w:val="0"/>
            <w:bdr w:val="none" w:sz="0" w:space="0" w:color="auto"/>
            <w:lang w:val="es-US" w:eastAsia="zh-CN"/>
          </w:rPr>
          <w:tab/>
        </w:r>
        <w:r w:rsidR="0001772D" w:rsidRPr="0061354F">
          <w:rPr>
            <w:rStyle w:val="Hyperlink"/>
          </w:rPr>
          <w:t>DETERMINACIONES DE HECHO</w:t>
        </w:r>
        <w:r w:rsidR="0001772D" w:rsidRPr="0061354F">
          <w:rPr>
            <w:webHidden/>
          </w:rPr>
          <w:tab/>
        </w:r>
        <w:r w:rsidR="0001772D" w:rsidRPr="0061354F">
          <w:rPr>
            <w:webHidden/>
          </w:rPr>
          <w:fldChar w:fldCharType="begin"/>
        </w:r>
        <w:r w:rsidR="0001772D" w:rsidRPr="0061354F">
          <w:rPr>
            <w:webHidden/>
          </w:rPr>
          <w:instrText xml:space="preserve"> PAGEREF _Toc90289314 \h </w:instrText>
        </w:r>
        <w:r w:rsidR="0001772D" w:rsidRPr="0061354F">
          <w:rPr>
            <w:webHidden/>
          </w:rPr>
        </w:r>
        <w:r w:rsidR="0001772D" w:rsidRPr="0061354F">
          <w:rPr>
            <w:webHidden/>
          </w:rPr>
          <w:fldChar w:fldCharType="separate"/>
        </w:r>
        <w:r>
          <w:rPr>
            <w:webHidden/>
          </w:rPr>
          <w:t>7</w:t>
        </w:r>
        <w:r w:rsidR="0001772D" w:rsidRPr="0061354F">
          <w:rPr>
            <w:webHidden/>
          </w:rPr>
          <w:fldChar w:fldCharType="end"/>
        </w:r>
      </w:hyperlink>
    </w:p>
    <w:p w14:paraId="791D38E6" w14:textId="76F7A442"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15" w:history="1">
        <w:r w:rsidR="0001772D" w:rsidRPr="0061354F">
          <w:rPr>
            <w:rStyle w:val="Hyperlink"/>
            <w:rFonts w:asciiTheme="majorHAnsi" w:hAnsiTheme="majorHAnsi"/>
            <w:noProof/>
            <w:sz w:val="20"/>
            <w:szCs w:val="20"/>
            <w:lang w:val="es-ES"/>
          </w:rPr>
          <w:t>A.</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Hechos del caso</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_Toc90289315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7</w:t>
        </w:r>
        <w:r w:rsidR="0001772D" w:rsidRPr="0061354F">
          <w:rPr>
            <w:rFonts w:asciiTheme="majorHAnsi" w:hAnsiTheme="majorHAnsi"/>
            <w:noProof/>
            <w:webHidden/>
            <w:sz w:val="20"/>
            <w:szCs w:val="20"/>
          </w:rPr>
          <w:fldChar w:fldCharType="end"/>
        </w:r>
      </w:hyperlink>
    </w:p>
    <w:p w14:paraId="711CB8C0" w14:textId="7224BE6B"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16" w:history="1">
        <w:r w:rsidR="0001772D" w:rsidRPr="0061354F">
          <w:rPr>
            <w:rStyle w:val="Hyperlink"/>
            <w:rFonts w:asciiTheme="majorHAnsi" w:hAnsiTheme="majorHAnsi"/>
            <w:noProof/>
            <w:sz w:val="20"/>
            <w:szCs w:val="20"/>
            <w:lang w:val="es-ES"/>
          </w:rPr>
          <w:t>B.</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El juicio y la pena de muerte</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_Toc90289316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8</w:t>
        </w:r>
        <w:r w:rsidR="0001772D" w:rsidRPr="0061354F">
          <w:rPr>
            <w:rFonts w:asciiTheme="majorHAnsi" w:hAnsiTheme="majorHAnsi"/>
            <w:noProof/>
            <w:webHidden/>
            <w:sz w:val="20"/>
            <w:szCs w:val="20"/>
          </w:rPr>
          <w:fldChar w:fldCharType="end"/>
        </w:r>
      </w:hyperlink>
    </w:p>
    <w:p w14:paraId="75E89ED9" w14:textId="4433C7AF"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17" w:history="1">
        <w:r w:rsidR="0001772D" w:rsidRPr="0061354F">
          <w:rPr>
            <w:rStyle w:val="Hyperlink"/>
            <w:rFonts w:asciiTheme="majorHAnsi" w:hAnsiTheme="majorHAnsi"/>
            <w:noProof/>
            <w:sz w:val="20"/>
            <w:szCs w:val="20"/>
            <w:lang w:val="es-ES"/>
          </w:rPr>
          <w:t>C.</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Apelaciones y otros recursos</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_Toc90289317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9</w:t>
        </w:r>
        <w:r w:rsidR="0001772D" w:rsidRPr="0061354F">
          <w:rPr>
            <w:rFonts w:asciiTheme="majorHAnsi" w:hAnsiTheme="majorHAnsi"/>
            <w:noProof/>
            <w:webHidden/>
            <w:sz w:val="20"/>
            <w:szCs w:val="20"/>
          </w:rPr>
          <w:fldChar w:fldCharType="end"/>
        </w:r>
      </w:hyperlink>
    </w:p>
    <w:p w14:paraId="7822E9D5" w14:textId="02881325" w:rsidR="0001772D" w:rsidRPr="0061354F" w:rsidRDefault="008A1547">
      <w:pPr>
        <w:pStyle w:val="TOC1"/>
        <w:rPr>
          <w:rFonts w:eastAsiaTheme="minorEastAsia" w:cstheme="minorBidi"/>
          <w:b w:val="0"/>
          <w:bdr w:val="none" w:sz="0" w:space="0" w:color="auto"/>
          <w:lang w:val="es-US" w:eastAsia="zh-CN"/>
        </w:rPr>
      </w:pPr>
      <w:hyperlink w:anchor="_Toc90289318" w:history="1">
        <w:r w:rsidR="0001772D" w:rsidRPr="0061354F">
          <w:rPr>
            <w:rStyle w:val="Hyperlink"/>
          </w:rPr>
          <w:t>V.</w:t>
        </w:r>
        <w:r w:rsidR="0001772D" w:rsidRPr="0061354F">
          <w:rPr>
            <w:rFonts w:eastAsiaTheme="minorEastAsia" w:cstheme="minorBidi"/>
            <w:b w:val="0"/>
            <w:bdr w:val="none" w:sz="0" w:space="0" w:color="auto"/>
            <w:lang w:val="es-US" w:eastAsia="zh-CN"/>
          </w:rPr>
          <w:tab/>
        </w:r>
        <w:r w:rsidR="0001772D" w:rsidRPr="0061354F">
          <w:rPr>
            <w:rStyle w:val="Hyperlink"/>
          </w:rPr>
          <w:t>ANÁLISIS DE DERECHO</w:t>
        </w:r>
        <w:r w:rsidR="0001772D" w:rsidRPr="0061354F">
          <w:rPr>
            <w:webHidden/>
          </w:rPr>
          <w:tab/>
        </w:r>
        <w:r w:rsidR="0001772D" w:rsidRPr="0061354F">
          <w:rPr>
            <w:webHidden/>
          </w:rPr>
          <w:fldChar w:fldCharType="begin"/>
        </w:r>
        <w:r w:rsidR="0001772D" w:rsidRPr="0061354F">
          <w:rPr>
            <w:webHidden/>
          </w:rPr>
          <w:instrText xml:space="preserve"> PAGEREF _Toc90289318 \h </w:instrText>
        </w:r>
        <w:r w:rsidR="0001772D" w:rsidRPr="0061354F">
          <w:rPr>
            <w:webHidden/>
          </w:rPr>
        </w:r>
        <w:r w:rsidR="0001772D" w:rsidRPr="0061354F">
          <w:rPr>
            <w:webHidden/>
          </w:rPr>
          <w:fldChar w:fldCharType="separate"/>
        </w:r>
        <w:r>
          <w:rPr>
            <w:webHidden/>
          </w:rPr>
          <w:t>10</w:t>
        </w:r>
        <w:r w:rsidR="0001772D" w:rsidRPr="0061354F">
          <w:rPr>
            <w:webHidden/>
          </w:rPr>
          <w:fldChar w:fldCharType="end"/>
        </w:r>
      </w:hyperlink>
    </w:p>
    <w:p w14:paraId="6E718C15" w14:textId="44476C8A"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19" w:history="1">
        <w:r w:rsidR="0001772D" w:rsidRPr="0061354F">
          <w:rPr>
            <w:rStyle w:val="Hyperlink"/>
            <w:rFonts w:asciiTheme="majorHAnsi" w:hAnsiTheme="majorHAnsi"/>
            <w:noProof/>
            <w:sz w:val="20"/>
            <w:szCs w:val="20"/>
            <w:lang w:val="es-ES"/>
          </w:rPr>
          <w:t>A.</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Consideraciones preliminares</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_Toc90289319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10</w:t>
        </w:r>
        <w:r w:rsidR="0001772D" w:rsidRPr="0061354F">
          <w:rPr>
            <w:rFonts w:asciiTheme="majorHAnsi" w:hAnsiTheme="majorHAnsi"/>
            <w:noProof/>
            <w:webHidden/>
            <w:sz w:val="20"/>
            <w:szCs w:val="20"/>
          </w:rPr>
          <w:fldChar w:fldCharType="end"/>
        </w:r>
      </w:hyperlink>
    </w:p>
    <w:p w14:paraId="1517FDA3" w14:textId="5AEF3C7D"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20" w:history="1">
        <w:r w:rsidR="0001772D" w:rsidRPr="0061354F">
          <w:rPr>
            <w:rStyle w:val="Hyperlink"/>
            <w:rFonts w:asciiTheme="majorHAnsi" w:hAnsiTheme="majorHAnsi"/>
            <w:noProof/>
            <w:sz w:val="20"/>
            <w:szCs w:val="20"/>
            <w:lang w:val="es-ES"/>
          </w:rPr>
          <w:t>B.</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Derecho de justicia, derecho de petición</w:t>
        </w:r>
        <w:r w:rsidR="0001772D" w:rsidRPr="0061354F">
          <w:rPr>
            <w:rStyle w:val="Hyperlink"/>
            <w:rFonts w:asciiTheme="majorHAnsi" w:hAnsiTheme="majorHAnsi"/>
            <w:noProof/>
            <w:sz w:val="20"/>
            <w:szCs w:val="20"/>
            <w:vertAlign w:val="superscript"/>
            <w:lang w:val="es-ES"/>
          </w:rPr>
          <w:t xml:space="preserve"> </w:t>
        </w:r>
        <w:r w:rsidR="0001772D" w:rsidRPr="0061354F">
          <w:rPr>
            <w:rStyle w:val="Hyperlink"/>
            <w:rFonts w:asciiTheme="majorHAnsi" w:hAnsiTheme="majorHAnsi"/>
            <w:noProof/>
            <w:sz w:val="20"/>
            <w:szCs w:val="20"/>
            <w:lang w:val="es-ES"/>
          </w:rPr>
          <w:t xml:space="preserve"> y derecho a proceso regular</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_Toc90289320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11</w:t>
        </w:r>
        <w:r w:rsidR="0001772D" w:rsidRPr="0061354F">
          <w:rPr>
            <w:rFonts w:asciiTheme="majorHAnsi" w:hAnsiTheme="majorHAnsi"/>
            <w:noProof/>
            <w:webHidden/>
            <w:sz w:val="20"/>
            <w:szCs w:val="20"/>
          </w:rPr>
          <w:fldChar w:fldCharType="end"/>
        </w:r>
      </w:hyperlink>
    </w:p>
    <w:p w14:paraId="546A215E" w14:textId="734D8931" w:rsidR="0001772D" w:rsidRPr="0061354F" w:rsidRDefault="008A1547">
      <w:pPr>
        <w:pStyle w:val="TOC3"/>
        <w:rPr>
          <w:rFonts w:asciiTheme="majorHAnsi" w:eastAsiaTheme="minorEastAsia" w:hAnsiTheme="majorHAnsi" w:cstheme="minorBidi"/>
          <w:noProof/>
          <w:sz w:val="20"/>
          <w:szCs w:val="20"/>
          <w:bdr w:val="none" w:sz="0" w:space="0" w:color="auto"/>
          <w:lang w:val="es-US" w:eastAsia="zh-CN"/>
        </w:rPr>
      </w:pPr>
      <w:hyperlink w:anchor="_Toc90289321" w:history="1">
        <w:r w:rsidR="0001772D" w:rsidRPr="0061354F">
          <w:rPr>
            <w:rStyle w:val="Hyperlink"/>
            <w:rFonts w:asciiTheme="majorHAnsi" w:hAnsiTheme="majorHAnsi"/>
            <w:noProof/>
            <w:sz w:val="20"/>
            <w:szCs w:val="20"/>
            <w:lang w:val="es-ES"/>
          </w:rPr>
          <w:t>1.</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Derecho a la notificación consular</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_Toc90289321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11</w:t>
        </w:r>
        <w:r w:rsidR="0001772D" w:rsidRPr="0061354F">
          <w:rPr>
            <w:rFonts w:asciiTheme="majorHAnsi" w:hAnsiTheme="majorHAnsi"/>
            <w:noProof/>
            <w:webHidden/>
            <w:sz w:val="20"/>
            <w:szCs w:val="20"/>
          </w:rPr>
          <w:fldChar w:fldCharType="end"/>
        </w:r>
      </w:hyperlink>
    </w:p>
    <w:p w14:paraId="068EF41C" w14:textId="72476F63" w:rsidR="0001772D" w:rsidRPr="0061354F" w:rsidRDefault="008A1547">
      <w:pPr>
        <w:pStyle w:val="TOC3"/>
        <w:rPr>
          <w:rFonts w:asciiTheme="majorHAnsi" w:eastAsiaTheme="minorEastAsia" w:hAnsiTheme="majorHAnsi" w:cstheme="minorBidi"/>
          <w:noProof/>
          <w:sz w:val="20"/>
          <w:szCs w:val="20"/>
          <w:bdr w:val="none" w:sz="0" w:space="0" w:color="auto"/>
          <w:lang w:val="es-US" w:eastAsia="zh-CN"/>
        </w:rPr>
      </w:pPr>
      <w:hyperlink w:anchor="_Toc90289322" w:history="1">
        <w:r w:rsidR="0001772D" w:rsidRPr="0061354F">
          <w:rPr>
            <w:rStyle w:val="Hyperlink"/>
            <w:rFonts w:asciiTheme="majorHAnsi" w:hAnsiTheme="majorHAnsi"/>
            <w:noProof/>
            <w:sz w:val="20"/>
            <w:szCs w:val="20"/>
            <w:lang w:val="es-ES"/>
          </w:rPr>
          <w:t>2.</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Asistencia letrada de oficio ineficaz</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_Toc90289322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13</w:t>
        </w:r>
        <w:r w:rsidR="0001772D" w:rsidRPr="0061354F">
          <w:rPr>
            <w:rFonts w:asciiTheme="majorHAnsi" w:hAnsiTheme="majorHAnsi"/>
            <w:noProof/>
            <w:webHidden/>
            <w:sz w:val="20"/>
            <w:szCs w:val="20"/>
          </w:rPr>
          <w:fldChar w:fldCharType="end"/>
        </w:r>
      </w:hyperlink>
    </w:p>
    <w:p w14:paraId="35378B4C" w14:textId="5D7BD9A6" w:rsidR="0001772D" w:rsidRPr="0061354F" w:rsidRDefault="008A1547">
      <w:pPr>
        <w:pStyle w:val="TOC3"/>
        <w:rPr>
          <w:rFonts w:asciiTheme="majorHAnsi" w:eastAsiaTheme="minorEastAsia" w:hAnsiTheme="majorHAnsi" w:cstheme="minorBidi"/>
          <w:noProof/>
          <w:sz w:val="20"/>
          <w:szCs w:val="20"/>
          <w:bdr w:val="none" w:sz="0" w:space="0" w:color="auto"/>
          <w:lang w:val="es-US" w:eastAsia="zh-CN"/>
        </w:rPr>
      </w:pPr>
      <w:hyperlink w:anchor="_Toc90289323" w:history="1">
        <w:r w:rsidR="0001772D" w:rsidRPr="0061354F">
          <w:rPr>
            <w:rStyle w:val="Hyperlink"/>
            <w:rFonts w:asciiTheme="majorHAnsi" w:hAnsiTheme="majorHAnsi"/>
            <w:noProof/>
            <w:sz w:val="20"/>
            <w:szCs w:val="20"/>
            <w:lang w:val="es-ES"/>
          </w:rPr>
          <w:t>3.</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La peligrosidad futura en la imposición de la pena de muerte</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_Toc90289323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13</w:t>
        </w:r>
        <w:r w:rsidR="0001772D" w:rsidRPr="0061354F">
          <w:rPr>
            <w:rFonts w:asciiTheme="majorHAnsi" w:hAnsiTheme="majorHAnsi"/>
            <w:noProof/>
            <w:webHidden/>
            <w:sz w:val="20"/>
            <w:szCs w:val="20"/>
          </w:rPr>
          <w:fldChar w:fldCharType="end"/>
        </w:r>
      </w:hyperlink>
    </w:p>
    <w:p w14:paraId="2EE7B422" w14:textId="52673B7A"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24" w:history="1">
        <w:r w:rsidR="0001772D" w:rsidRPr="0061354F">
          <w:rPr>
            <w:rStyle w:val="Hyperlink"/>
            <w:rFonts w:asciiTheme="majorHAnsi" w:hAnsiTheme="majorHAnsi"/>
            <w:noProof/>
            <w:sz w:val="20"/>
            <w:szCs w:val="20"/>
            <w:lang w:val="es-ES"/>
          </w:rPr>
          <w:t>C.</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Derecho al trato humanitario durante la privación de la libertad, a la salud y a no recibir un castigo cruel, infamante o inusitado</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_Toc90289324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15</w:t>
        </w:r>
        <w:r w:rsidR="0001772D" w:rsidRPr="0061354F">
          <w:rPr>
            <w:rFonts w:asciiTheme="majorHAnsi" w:hAnsiTheme="majorHAnsi"/>
            <w:noProof/>
            <w:webHidden/>
            <w:sz w:val="20"/>
            <w:szCs w:val="20"/>
          </w:rPr>
          <w:fldChar w:fldCharType="end"/>
        </w:r>
      </w:hyperlink>
    </w:p>
    <w:p w14:paraId="09F647CF" w14:textId="049751B9" w:rsidR="0001772D" w:rsidRPr="0061354F" w:rsidRDefault="008A1547">
      <w:pPr>
        <w:pStyle w:val="TOC3"/>
        <w:rPr>
          <w:rFonts w:asciiTheme="majorHAnsi" w:eastAsiaTheme="minorEastAsia" w:hAnsiTheme="majorHAnsi" w:cstheme="minorBidi"/>
          <w:noProof/>
          <w:sz w:val="20"/>
          <w:szCs w:val="20"/>
          <w:bdr w:val="none" w:sz="0" w:space="0" w:color="auto"/>
          <w:lang w:val="es-US" w:eastAsia="zh-CN"/>
        </w:rPr>
      </w:pPr>
      <w:hyperlink w:anchor="_Toc90289325" w:history="1">
        <w:r w:rsidR="0001772D" w:rsidRPr="0061354F">
          <w:rPr>
            <w:rStyle w:val="Hyperlink"/>
            <w:rFonts w:asciiTheme="majorHAnsi" w:hAnsiTheme="majorHAnsi"/>
            <w:noProof/>
            <w:sz w:val="20"/>
            <w:szCs w:val="20"/>
            <w:lang w:val="es-ES"/>
          </w:rPr>
          <w:t>1.</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La privación de la libertad en el corredor de la muerte y el derecho a la protección contra un castigo cruel, infamante o inusitado</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_Toc90289325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15</w:t>
        </w:r>
        <w:r w:rsidR="0001772D" w:rsidRPr="0061354F">
          <w:rPr>
            <w:rFonts w:asciiTheme="majorHAnsi" w:hAnsiTheme="majorHAnsi"/>
            <w:noProof/>
            <w:webHidden/>
            <w:sz w:val="20"/>
            <w:szCs w:val="20"/>
          </w:rPr>
          <w:fldChar w:fldCharType="end"/>
        </w:r>
      </w:hyperlink>
    </w:p>
    <w:p w14:paraId="482D804E" w14:textId="3A6B5562" w:rsidR="0001772D" w:rsidRPr="0061354F" w:rsidRDefault="008A1547">
      <w:pPr>
        <w:pStyle w:val="TOC3"/>
        <w:rPr>
          <w:rFonts w:asciiTheme="majorHAnsi" w:eastAsiaTheme="minorEastAsia" w:hAnsiTheme="majorHAnsi" w:cstheme="minorBidi"/>
          <w:noProof/>
          <w:sz w:val="20"/>
          <w:szCs w:val="20"/>
          <w:bdr w:val="none" w:sz="0" w:space="0" w:color="auto"/>
          <w:lang w:val="es-US" w:eastAsia="zh-CN"/>
        </w:rPr>
      </w:pPr>
      <w:hyperlink w:anchor="_Toc90289326" w:history="1">
        <w:r w:rsidR="0001772D" w:rsidRPr="0061354F">
          <w:rPr>
            <w:rStyle w:val="Hyperlink"/>
            <w:rFonts w:asciiTheme="majorHAnsi" w:hAnsiTheme="majorHAnsi"/>
            <w:noProof/>
            <w:sz w:val="20"/>
            <w:szCs w:val="20"/>
            <w:lang w:val="es-ES"/>
          </w:rPr>
          <w:t>2.</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Derecho a la preservación de la salud y al bienestar</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_Toc90289326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16</w:t>
        </w:r>
        <w:r w:rsidR="0001772D" w:rsidRPr="0061354F">
          <w:rPr>
            <w:rFonts w:asciiTheme="majorHAnsi" w:hAnsiTheme="majorHAnsi"/>
            <w:noProof/>
            <w:webHidden/>
            <w:sz w:val="20"/>
            <w:szCs w:val="20"/>
          </w:rPr>
          <w:fldChar w:fldCharType="end"/>
        </w:r>
      </w:hyperlink>
    </w:p>
    <w:p w14:paraId="149FFB58" w14:textId="1147850E" w:rsidR="0001772D" w:rsidRPr="0061354F" w:rsidRDefault="008A1547">
      <w:pPr>
        <w:pStyle w:val="TOC3"/>
        <w:rPr>
          <w:rFonts w:asciiTheme="majorHAnsi" w:eastAsiaTheme="minorEastAsia" w:hAnsiTheme="majorHAnsi" w:cstheme="minorBidi"/>
          <w:noProof/>
          <w:sz w:val="20"/>
          <w:szCs w:val="20"/>
          <w:bdr w:val="none" w:sz="0" w:space="0" w:color="auto"/>
          <w:lang w:val="es-US" w:eastAsia="zh-CN"/>
        </w:rPr>
      </w:pPr>
      <w:hyperlink w:anchor="_Toc90289327" w:history="1">
        <w:r w:rsidR="0001772D" w:rsidRPr="0061354F">
          <w:rPr>
            <w:rStyle w:val="Hyperlink"/>
            <w:rFonts w:asciiTheme="majorHAnsi" w:hAnsiTheme="majorHAnsi"/>
            <w:noProof/>
            <w:sz w:val="20"/>
            <w:szCs w:val="20"/>
            <w:lang w:val="es-ES"/>
          </w:rPr>
          <w:t>3.</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Alimentación forzada</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_Toc90289327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16</w:t>
        </w:r>
        <w:r w:rsidR="0001772D" w:rsidRPr="0061354F">
          <w:rPr>
            <w:rFonts w:asciiTheme="majorHAnsi" w:hAnsiTheme="majorHAnsi"/>
            <w:noProof/>
            <w:webHidden/>
            <w:sz w:val="20"/>
            <w:szCs w:val="20"/>
          </w:rPr>
          <w:fldChar w:fldCharType="end"/>
        </w:r>
      </w:hyperlink>
    </w:p>
    <w:p w14:paraId="587A0BA0" w14:textId="3AAFF428" w:rsidR="0001772D" w:rsidRPr="0061354F" w:rsidRDefault="008A1547">
      <w:pPr>
        <w:pStyle w:val="TOC2"/>
        <w:rPr>
          <w:rFonts w:asciiTheme="majorHAnsi" w:eastAsiaTheme="minorEastAsia" w:hAnsiTheme="majorHAnsi" w:cstheme="minorBidi"/>
          <w:noProof/>
          <w:sz w:val="20"/>
          <w:szCs w:val="20"/>
          <w:bdr w:val="none" w:sz="0" w:space="0" w:color="auto"/>
          <w:lang w:val="es-US" w:eastAsia="zh-CN"/>
        </w:rPr>
      </w:pPr>
      <w:hyperlink w:anchor="_Toc90289328" w:history="1">
        <w:r w:rsidR="0001772D" w:rsidRPr="0061354F">
          <w:rPr>
            <w:rStyle w:val="Hyperlink"/>
            <w:rFonts w:asciiTheme="majorHAnsi" w:hAnsiTheme="majorHAnsi"/>
            <w:noProof/>
            <w:sz w:val="20"/>
            <w:szCs w:val="20"/>
            <w:lang w:val="es-ES"/>
          </w:rPr>
          <w:t>D.</w:t>
        </w:r>
        <w:r w:rsidR="0001772D" w:rsidRPr="0061354F">
          <w:rPr>
            <w:rFonts w:asciiTheme="majorHAnsi" w:eastAsiaTheme="minorEastAsia" w:hAnsiTheme="majorHAnsi" w:cstheme="minorBidi"/>
            <w:noProof/>
            <w:sz w:val="20"/>
            <w:szCs w:val="20"/>
            <w:bdr w:val="none" w:sz="0" w:space="0" w:color="auto"/>
            <w:lang w:val="es-US" w:eastAsia="zh-CN"/>
          </w:rPr>
          <w:tab/>
        </w:r>
        <w:r w:rsidR="0001772D" w:rsidRPr="0061354F">
          <w:rPr>
            <w:rStyle w:val="Hyperlink"/>
            <w:rFonts w:asciiTheme="majorHAnsi" w:hAnsiTheme="majorHAnsi"/>
            <w:noProof/>
            <w:sz w:val="20"/>
            <w:szCs w:val="20"/>
            <w:lang w:val="es-ES"/>
          </w:rPr>
          <w:t>Derecho a la vida y derecho a la protección contra un castigo cruel, infamante o inusitado con respecto a la eventual ejecución de Jurijus Kadamovas y Robert L. Bolden</w:t>
        </w:r>
        <w:r w:rsidR="0001772D" w:rsidRPr="0061354F">
          <w:rPr>
            <w:rFonts w:asciiTheme="majorHAnsi" w:hAnsiTheme="majorHAnsi"/>
            <w:noProof/>
            <w:webHidden/>
            <w:sz w:val="20"/>
            <w:szCs w:val="20"/>
          </w:rPr>
          <w:tab/>
        </w:r>
        <w:r w:rsidR="0001772D" w:rsidRPr="0061354F">
          <w:rPr>
            <w:rFonts w:asciiTheme="majorHAnsi" w:hAnsiTheme="majorHAnsi"/>
            <w:noProof/>
            <w:webHidden/>
            <w:sz w:val="20"/>
            <w:szCs w:val="20"/>
          </w:rPr>
          <w:fldChar w:fldCharType="begin"/>
        </w:r>
        <w:r w:rsidR="0001772D" w:rsidRPr="0061354F">
          <w:rPr>
            <w:rFonts w:asciiTheme="majorHAnsi" w:hAnsiTheme="majorHAnsi"/>
            <w:noProof/>
            <w:webHidden/>
            <w:sz w:val="20"/>
            <w:szCs w:val="20"/>
          </w:rPr>
          <w:instrText xml:space="preserve"> PAGEREF _Toc90289328 \h </w:instrText>
        </w:r>
        <w:r w:rsidR="0001772D" w:rsidRPr="0061354F">
          <w:rPr>
            <w:rFonts w:asciiTheme="majorHAnsi" w:hAnsiTheme="majorHAnsi"/>
            <w:noProof/>
            <w:webHidden/>
            <w:sz w:val="20"/>
            <w:szCs w:val="20"/>
          </w:rPr>
        </w:r>
        <w:r w:rsidR="0001772D" w:rsidRPr="0061354F">
          <w:rPr>
            <w:rFonts w:asciiTheme="majorHAnsi" w:hAnsiTheme="majorHAnsi"/>
            <w:noProof/>
            <w:webHidden/>
            <w:sz w:val="20"/>
            <w:szCs w:val="20"/>
          </w:rPr>
          <w:fldChar w:fldCharType="separate"/>
        </w:r>
        <w:r>
          <w:rPr>
            <w:rFonts w:asciiTheme="majorHAnsi" w:hAnsiTheme="majorHAnsi"/>
            <w:noProof/>
            <w:webHidden/>
            <w:sz w:val="20"/>
            <w:szCs w:val="20"/>
          </w:rPr>
          <w:t>17</w:t>
        </w:r>
        <w:r w:rsidR="0001772D" w:rsidRPr="0061354F">
          <w:rPr>
            <w:rFonts w:asciiTheme="majorHAnsi" w:hAnsiTheme="majorHAnsi"/>
            <w:noProof/>
            <w:webHidden/>
            <w:sz w:val="20"/>
            <w:szCs w:val="20"/>
          </w:rPr>
          <w:fldChar w:fldCharType="end"/>
        </w:r>
      </w:hyperlink>
    </w:p>
    <w:p w14:paraId="5D1CDCDA" w14:textId="45F7870B" w:rsidR="0001772D" w:rsidRPr="0061354F" w:rsidRDefault="008A1547">
      <w:pPr>
        <w:pStyle w:val="TOC1"/>
        <w:rPr>
          <w:rFonts w:eastAsiaTheme="minorEastAsia" w:cstheme="minorBidi"/>
          <w:b w:val="0"/>
          <w:bdr w:val="none" w:sz="0" w:space="0" w:color="auto"/>
          <w:lang w:val="es-US" w:eastAsia="zh-CN"/>
        </w:rPr>
      </w:pPr>
      <w:hyperlink w:anchor="_Toc90289329" w:history="1">
        <w:r w:rsidR="0001772D" w:rsidRPr="0061354F">
          <w:rPr>
            <w:rStyle w:val="Hyperlink"/>
            <w:lang w:val="es-ES_tradnl"/>
          </w:rPr>
          <w:t>VI.</w:t>
        </w:r>
        <w:r w:rsidR="0001772D" w:rsidRPr="0061354F">
          <w:rPr>
            <w:rFonts w:eastAsiaTheme="minorEastAsia" w:cstheme="minorBidi"/>
            <w:b w:val="0"/>
            <w:bdr w:val="none" w:sz="0" w:space="0" w:color="auto"/>
            <w:lang w:val="es-US" w:eastAsia="zh-CN"/>
          </w:rPr>
          <w:tab/>
        </w:r>
        <w:r w:rsidR="0001772D" w:rsidRPr="0061354F">
          <w:rPr>
            <w:rStyle w:val="Hyperlink"/>
            <w:lang w:val="es-ES_tradnl"/>
          </w:rPr>
          <w:t>INFORME Nº 10/20 E INFORMACIÓN SOBRE EL CUMPLIMIENTO</w:t>
        </w:r>
        <w:r w:rsidR="0001772D" w:rsidRPr="0061354F">
          <w:rPr>
            <w:webHidden/>
          </w:rPr>
          <w:tab/>
        </w:r>
        <w:r w:rsidR="0001772D" w:rsidRPr="0061354F">
          <w:rPr>
            <w:webHidden/>
          </w:rPr>
          <w:fldChar w:fldCharType="begin"/>
        </w:r>
        <w:r w:rsidR="0001772D" w:rsidRPr="0061354F">
          <w:rPr>
            <w:webHidden/>
          </w:rPr>
          <w:instrText xml:space="preserve"> PAGEREF _Toc90289329 \h </w:instrText>
        </w:r>
        <w:r w:rsidR="0001772D" w:rsidRPr="0061354F">
          <w:rPr>
            <w:webHidden/>
          </w:rPr>
        </w:r>
        <w:r w:rsidR="0001772D" w:rsidRPr="0061354F">
          <w:rPr>
            <w:webHidden/>
          </w:rPr>
          <w:fldChar w:fldCharType="separate"/>
        </w:r>
        <w:r>
          <w:rPr>
            <w:webHidden/>
          </w:rPr>
          <w:t>17</w:t>
        </w:r>
        <w:r w:rsidR="0001772D" w:rsidRPr="0061354F">
          <w:rPr>
            <w:webHidden/>
          </w:rPr>
          <w:fldChar w:fldCharType="end"/>
        </w:r>
      </w:hyperlink>
    </w:p>
    <w:p w14:paraId="37518E55" w14:textId="7DD33F76" w:rsidR="0001772D" w:rsidRPr="0061354F" w:rsidRDefault="008A1547">
      <w:pPr>
        <w:pStyle w:val="TOC1"/>
        <w:rPr>
          <w:rFonts w:eastAsiaTheme="minorEastAsia" w:cstheme="minorBidi"/>
          <w:b w:val="0"/>
          <w:bdr w:val="none" w:sz="0" w:space="0" w:color="auto"/>
          <w:lang w:val="es-US" w:eastAsia="zh-CN"/>
        </w:rPr>
      </w:pPr>
      <w:hyperlink w:anchor="_Toc90289330" w:history="1">
        <w:r w:rsidR="0001772D" w:rsidRPr="0061354F">
          <w:rPr>
            <w:rStyle w:val="Hyperlink"/>
          </w:rPr>
          <w:t>VII.</w:t>
        </w:r>
        <w:r w:rsidR="0001772D" w:rsidRPr="0061354F">
          <w:rPr>
            <w:rFonts w:eastAsiaTheme="minorEastAsia" w:cstheme="minorBidi"/>
            <w:b w:val="0"/>
            <w:bdr w:val="none" w:sz="0" w:space="0" w:color="auto"/>
            <w:lang w:val="es-US" w:eastAsia="zh-CN"/>
          </w:rPr>
          <w:tab/>
        </w:r>
        <w:r w:rsidR="0001772D" w:rsidRPr="0061354F">
          <w:rPr>
            <w:rStyle w:val="Hyperlink"/>
          </w:rPr>
          <w:t>ACCIONES POSTERIORES AL INFORME No. 330/21</w:t>
        </w:r>
        <w:r w:rsidR="0001772D" w:rsidRPr="0061354F">
          <w:rPr>
            <w:webHidden/>
          </w:rPr>
          <w:tab/>
        </w:r>
        <w:r w:rsidR="0001772D" w:rsidRPr="0061354F">
          <w:rPr>
            <w:webHidden/>
          </w:rPr>
          <w:fldChar w:fldCharType="begin"/>
        </w:r>
        <w:r w:rsidR="0001772D" w:rsidRPr="0061354F">
          <w:rPr>
            <w:webHidden/>
          </w:rPr>
          <w:instrText xml:space="preserve"> PAGEREF _Toc90289330 \h </w:instrText>
        </w:r>
        <w:r w:rsidR="0001772D" w:rsidRPr="0061354F">
          <w:rPr>
            <w:webHidden/>
          </w:rPr>
        </w:r>
        <w:r w:rsidR="0001772D" w:rsidRPr="0061354F">
          <w:rPr>
            <w:webHidden/>
          </w:rPr>
          <w:fldChar w:fldCharType="separate"/>
        </w:r>
        <w:r>
          <w:rPr>
            <w:webHidden/>
          </w:rPr>
          <w:t>18</w:t>
        </w:r>
        <w:r w:rsidR="0001772D" w:rsidRPr="0061354F">
          <w:rPr>
            <w:webHidden/>
          </w:rPr>
          <w:fldChar w:fldCharType="end"/>
        </w:r>
      </w:hyperlink>
    </w:p>
    <w:p w14:paraId="4ECE2560" w14:textId="44D38B2F" w:rsidR="0001772D" w:rsidRPr="0061354F" w:rsidRDefault="008A1547">
      <w:pPr>
        <w:pStyle w:val="TOC1"/>
        <w:rPr>
          <w:rFonts w:eastAsiaTheme="minorEastAsia" w:cstheme="minorBidi"/>
          <w:b w:val="0"/>
          <w:bdr w:val="none" w:sz="0" w:space="0" w:color="auto"/>
          <w:lang w:val="es-US" w:eastAsia="zh-CN"/>
        </w:rPr>
      </w:pPr>
      <w:hyperlink w:anchor="_Toc90289331" w:history="1">
        <w:r w:rsidR="0001772D" w:rsidRPr="0061354F">
          <w:rPr>
            <w:rStyle w:val="Hyperlink"/>
          </w:rPr>
          <w:t>VIII</w:t>
        </w:r>
        <w:r w:rsidR="00AF0AB8" w:rsidRPr="0061354F">
          <w:rPr>
            <w:rStyle w:val="Hyperlink"/>
          </w:rPr>
          <w:t xml:space="preserve">. </w:t>
        </w:r>
        <w:r w:rsidR="0001772D" w:rsidRPr="0061354F">
          <w:rPr>
            <w:rStyle w:val="Hyperlink"/>
          </w:rPr>
          <w:t>CONCLUSIONES Y RECOMENDACIONES FINALES</w:t>
        </w:r>
        <w:r w:rsidR="0001772D" w:rsidRPr="0061354F">
          <w:rPr>
            <w:webHidden/>
          </w:rPr>
          <w:tab/>
        </w:r>
        <w:r w:rsidR="0001772D" w:rsidRPr="0061354F">
          <w:rPr>
            <w:webHidden/>
          </w:rPr>
          <w:fldChar w:fldCharType="begin"/>
        </w:r>
        <w:r w:rsidR="0001772D" w:rsidRPr="0061354F">
          <w:rPr>
            <w:webHidden/>
          </w:rPr>
          <w:instrText xml:space="preserve"> PAGEREF _Toc90289331 \h </w:instrText>
        </w:r>
        <w:r w:rsidR="0001772D" w:rsidRPr="0061354F">
          <w:rPr>
            <w:webHidden/>
          </w:rPr>
        </w:r>
        <w:r w:rsidR="0001772D" w:rsidRPr="0061354F">
          <w:rPr>
            <w:webHidden/>
          </w:rPr>
          <w:fldChar w:fldCharType="separate"/>
        </w:r>
        <w:r>
          <w:rPr>
            <w:webHidden/>
          </w:rPr>
          <w:t>18</w:t>
        </w:r>
        <w:r w:rsidR="0001772D" w:rsidRPr="0061354F">
          <w:rPr>
            <w:webHidden/>
          </w:rPr>
          <w:fldChar w:fldCharType="end"/>
        </w:r>
      </w:hyperlink>
    </w:p>
    <w:p w14:paraId="557CAD30" w14:textId="4FA014B5" w:rsidR="0001772D" w:rsidRPr="0061354F" w:rsidRDefault="008A1547">
      <w:pPr>
        <w:pStyle w:val="TOC1"/>
        <w:rPr>
          <w:rFonts w:eastAsiaTheme="minorEastAsia" w:cstheme="minorBidi"/>
          <w:b w:val="0"/>
          <w:bdr w:val="none" w:sz="0" w:space="0" w:color="auto"/>
          <w:lang w:val="es-US" w:eastAsia="zh-CN"/>
        </w:rPr>
      </w:pPr>
      <w:hyperlink w:anchor="_Toc90289332" w:history="1">
        <w:r w:rsidR="0001772D" w:rsidRPr="0061354F">
          <w:rPr>
            <w:rStyle w:val="Hyperlink"/>
          </w:rPr>
          <w:t>IX.</w:t>
        </w:r>
        <w:r w:rsidR="0001772D" w:rsidRPr="0061354F">
          <w:rPr>
            <w:rFonts w:eastAsiaTheme="minorEastAsia" w:cstheme="minorBidi"/>
            <w:b w:val="0"/>
            <w:bdr w:val="none" w:sz="0" w:space="0" w:color="auto"/>
            <w:lang w:val="es-US" w:eastAsia="zh-CN"/>
          </w:rPr>
          <w:tab/>
        </w:r>
        <w:r w:rsidR="0001772D" w:rsidRPr="0061354F">
          <w:rPr>
            <w:rStyle w:val="Hyperlink"/>
          </w:rPr>
          <w:t>PUBLICACIÓN</w:t>
        </w:r>
        <w:r w:rsidR="0001772D" w:rsidRPr="0061354F">
          <w:rPr>
            <w:webHidden/>
          </w:rPr>
          <w:tab/>
        </w:r>
        <w:r w:rsidR="0001772D" w:rsidRPr="0061354F">
          <w:rPr>
            <w:webHidden/>
          </w:rPr>
          <w:fldChar w:fldCharType="begin"/>
        </w:r>
        <w:r w:rsidR="0001772D" w:rsidRPr="0061354F">
          <w:rPr>
            <w:webHidden/>
          </w:rPr>
          <w:instrText xml:space="preserve"> PAGEREF _Toc90289332 \h </w:instrText>
        </w:r>
        <w:r w:rsidR="0001772D" w:rsidRPr="0061354F">
          <w:rPr>
            <w:webHidden/>
          </w:rPr>
        </w:r>
        <w:r w:rsidR="0001772D" w:rsidRPr="0061354F">
          <w:rPr>
            <w:webHidden/>
          </w:rPr>
          <w:fldChar w:fldCharType="separate"/>
        </w:r>
        <w:r>
          <w:rPr>
            <w:webHidden/>
          </w:rPr>
          <w:t>19</w:t>
        </w:r>
        <w:r w:rsidR="0001772D" w:rsidRPr="0061354F">
          <w:rPr>
            <w:webHidden/>
          </w:rPr>
          <w:fldChar w:fldCharType="end"/>
        </w:r>
      </w:hyperlink>
    </w:p>
    <w:p w14:paraId="2B0CF80F" w14:textId="77777777" w:rsidR="00702483" w:rsidRPr="00702483" w:rsidRDefault="00702483" w:rsidP="00702483">
      <w:pPr>
        <w:tabs>
          <w:tab w:val="center" w:pos="5400"/>
        </w:tabs>
        <w:suppressAutoHyphens/>
        <w:spacing w:line="276" w:lineRule="auto"/>
        <w:rPr>
          <w:rFonts w:asciiTheme="majorHAnsi" w:hAnsiTheme="majorHAnsi"/>
          <w:sz w:val="20"/>
          <w:szCs w:val="20"/>
          <w:lang w:val="es-ES"/>
        </w:rPr>
      </w:pPr>
      <w:r w:rsidRPr="0061354F">
        <w:rPr>
          <w:rFonts w:asciiTheme="majorHAnsi" w:hAnsiTheme="majorHAnsi"/>
          <w:sz w:val="20"/>
          <w:szCs w:val="20"/>
          <w:lang w:val="es-ES"/>
        </w:rPr>
        <w:fldChar w:fldCharType="end"/>
      </w:r>
    </w:p>
    <w:p w14:paraId="2B952753" w14:textId="77777777" w:rsidR="00702483" w:rsidRPr="008D5BCE" w:rsidRDefault="00702483" w:rsidP="00702483">
      <w:pPr>
        <w:rPr>
          <w:rFonts w:asciiTheme="majorHAnsi" w:eastAsiaTheme="majorEastAsia" w:hAnsiTheme="majorHAnsi" w:cstheme="majorBidi"/>
          <w:b/>
          <w:bCs/>
          <w:sz w:val="20"/>
          <w:szCs w:val="20"/>
          <w:lang w:val="es-ES"/>
        </w:rPr>
      </w:pPr>
      <w:r w:rsidRPr="008D5BCE">
        <w:rPr>
          <w:sz w:val="20"/>
          <w:szCs w:val="20"/>
          <w:lang w:val="es-ES"/>
        </w:rPr>
        <w:lastRenderedPageBreak/>
        <w:br w:type="page"/>
      </w:r>
    </w:p>
    <w:p w14:paraId="141266C2" w14:textId="77777777" w:rsidR="00702483" w:rsidRPr="008D5BCE" w:rsidRDefault="00702483" w:rsidP="00702483">
      <w:pPr>
        <w:pStyle w:val="Heading1"/>
        <w:tabs>
          <w:tab w:val="left" w:pos="360"/>
        </w:tabs>
        <w:spacing w:before="0"/>
        <w:ind w:hanging="720"/>
        <w:rPr>
          <w:color w:val="auto"/>
          <w:sz w:val="20"/>
          <w:szCs w:val="20"/>
          <w:lang w:val="es-ES"/>
        </w:rPr>
      </w:pPr>
      <w:bookmarkStart w:id="2" w:name="_Toc90289306"/>
      <w:r w:rsidRPr="008D5BCE">
        <w:rPr>
          <w:color w:val="auto"/>
          <w:sz w:val="20"/>
          <w:szCs w:val="20"/>
          <w:lang w:val="es-ES"/>
        </w:rPr>
        <w:lastRenderedPageBreak/>
        <w:t>INTRODUCCIÓN</w:t>
      </w:r>
      <w:bookmarkEnd w:id="2"/>
      <w:r w:rsidRPr="008D5BCE">
        <w:rPr>
          <w:color w:val="auto"/>
          <w:sz w:val="20"/>
          <w:szCs w:val="20"/>
          <w:lang w:val="es-ES"/>
        </w:rPr>
        <w:t xml:space="preserve"> </w:t>
      </w:r>
    </w:p>
    <w:p w14:paraId="20FCDE85" w14:textId="77777777" w:rsidR="00702483" w:rsidRPr="008D5BCE" w:rsidRDefault="00702483" w:rsidP="00702483">
      <w:pPr>
        <w:suppressAutoHyphens/>
        <w:ind w:left="1440" w:hanging="720"/>
        <w:rPr>
          <w:rFonts w:asciiTheme="majorHAnsi" w:hAnsiTheme="majorHAnsi"/>
          <w:b/>
          <w:sz w:val="20"/>
          <w:szCs w:val="20"/>
          <w:lang w:val="es-ES"/>
        </w:rPr>
      </w:pPr>
    </w:p>
    <w:p w14:paraId="1FF15714"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El 21 de septiembre de 2011, la Comisión Interamericana de Derechos Humanos (“la Comisión Interamericana”, “la Comisión” o “la CIDH”) recibió una petición </w:t>
      </w:r>
      <w:r>
        <w:rPr>
          <w:rFonts w:asciiTheme="majorHAnsi" w:hAnsiTheme="majorHAnsi"/>
          <w:sz w:val="20"/>
          <w:szCs w:val="20"/>
          <w:lang w:val="es-ES"/>
        </w:rPr>
        <w:t>de</w:t>
      </w:r>
      <w:r w:rsidRPr="008D5BCE">
        <w:rPr>
          <w:rFonts w:asciiTheme="majorHAnsi" w:hAnsiTheme="majorHAnsi"/>
          <w:sz w:val="20"/>
          <w:szCs w:val="20"/>
          <w:lang w:val="es-ES"/>
        </w:rPr>
        <w:t xml:space="preserve"> Robert L. Bolden, ciudadano canadiense, y Jurijus Kadamovas, ciudadano lituano (“los peticionarios”)</w:t>
      </w:r>
      <w:r w:rsidRPr="008D5BCE">
        <w:rPr>
          <w:rStyle w:val="FootnoteReference"/>
          <w:rFonts w:asciiTheme="majorHAnsi" w:hAnsiTheme="majorHAnsi"/>
          <w:sz w:val="20"/>
          <w:szCs w:val="20"/>
          <w:lang w:val="es-ES"/>
        </w:rPr>
        <w:footnoteReference w:id="3"/>
      </w:r>
      <w:r w:rsidRPr="008D5BCE">
        <w:rPr>
          <w:rFonts w:asciiTheme="majorHAnsi" w:hAnsiTheme="majorHAnsi"/>
          <w:sz w:val="20"/>
          <w:szCs w:val="20"/>
          <w:lang w:val="es-ES"/>
        </w:rPr>
        <w:t xml:space="preserve">, </w:t>
      </w:r>
      <w:r w:rsidRPr="00E07EDD">
        <w:rPr>
          <w:rFonts w:asciiTheme="majorHAnsi" w:hAnsiTheme="majorHAnsi"/>
          <w:sz w:val="20"/>
          <w:szCs w:val="20"/>
          <w:lang w:val="es-ES"/>
        </w:rPr>
        <w:t xml:space="preserve">presentada </w:t>
      </w:r>
      <w:r w:rsidRPr="008D5BCE">
        <w:rPr>
          <w:rFonts w:asciiTheme="majorHAnsi" w:hAnsiTheme="majorHAnsi"/>
          <w:sz w:val="20"/>
          <w:szCs w:val="20"/>
          <w:lang w:val="es-ES"/>
        </w:rPr>
        <w:t>en nombre propio y de Germán Sinisterra y Arboleda Ortiz</w:t>
      </w:r>
      <w:r>
        <w:rPr>
          <w:rFonts w:asciiTheme="majorHAnsi" w:hAnsiTheme="majorHAnsi"/>
          <w:sz w:val="20"/>
          <w:szCs w:val="20"/>
          <w:lang w:val="es-ES"/>
        </w:rPr>
        <w:t xml:space="preserve"> (</w:t>
      </w:r>
      <w:r w:rsidRPr="008D5BCE">
        <w:rPr>
          <w:rFonts w:asciiTheme="majorHAnsi" w:hAnsiTheme="majorHAnsi"/>
          <w:sz w:val="20"/>
          <w:szCs w:val="20"/>
          <w:lang w:val="es-ES"/>
        </w:rPr>
        <w:t>ciudadanos colombianos</w:t>
      </w:r>
      <w:r>
        <w:rPr>
          <w:rFonts w:asciiTheme="majorHAnsi" w:hAnsiTheme="majorHAnsi"/>
          <w:sz w:val="20"/>
          <w:szCs w:val="20"/>
          <w:lang w:val="es-ES"/>
        </w:rPr>
        <w:t>),</w:t>
      </w:r>
      <w:r w:rsidRPr="008D5BCE">
        <w:rPr>
          <w:rFonts w:asciiTheme="majorHAnsi" w:hAnsiTheme="majorHAnsi"/>
          <w:sz w:val="20"/>
          <w:szCs w:val="20"/>
          <w:lang w:val="es-ES"/>
        </w:rPr>
        <w:t xml:space="preserve"> Iouri Mikhel</w:t>
      </w:r>
      <w:r>
        <w:rPr>
          <w:rFonts w:asciiTheme="majorHAnsi" w:hAnsiTheme="majorHAnsi"/>
          <w:sz w:val="20"/>
          <w:szCs w:val="20"/>
          <w:lang w:val="es-ES"/>
        </w:rPr>
        <w:t xml:space="preserve"> (</w:t>
      </w:r>
      <w:r w:rsidRPr="008D5BCE">
        <w:rPr>
          <w:rFonts w:asciiTheme="majorHAnsi" w:hAnsiTheme="majorHAnsi"/>
          <w:sz w:val="20"/>
          <w:szCs w:val="20"/>
          <w:lang w:val="es-ES"/>
        </w:rPr>
        <w:t>ciudadano ruso</w:t>
      </w:r>
      <w:r>
        <w:rPr>
          <w:rFonts w:asciiTheme="majorHAnsi" w:hAnsiTheme="majorHAnsi"/>
          <w:sz w:val="20"/>
          <w:szCs w:val="20"/>
          <w:lang w:val="es-ES"/>
        </w:rPr>
        <w:t>)</w:t>
      </w:r>
      <w:r w:rsidRPr="008D5BCE">
        <w:rPr>
          <w:rFonts w:asciiTheme="majorHAnsi" w:hAnsiTheme="majorHAnsi"/>
          <w:sz w:val="20"/>
          <w:szCs w:val="20"/>
          <w:lang w:val="es-ES"/>
        </w:rPr>
        <w:t xml:space="preserve"> y Alejandro Umana</w:t>
      </w:r>
      <w:r>
        <w:rPr>
          <w:rFonts w:asciiTheme="majorHAnsi" w:hAnsiTheme="majorHAnsi"/>
          <w:sz w:val="20"/>
          <w:szCs w:val="20"/>
          <w:lang w:val="es-ES"/>
        </w:rPr>
        <w:t xml:space="preserve"> (</w:t>
      </w:r>
      <w:r w:rsidRPr="008D5BCE">
        <w:rPr>
          <w:rFonts w:asciiTheme="majorHAnsi" w:hAnsiTheme="majorHAnsi"/>
          <w:sz w:val="20"/>
          <w:szCs w:val="20"/>
          <w:lang w:val="es-ES"/>
        </w:rPr>
        <w:t>ciudadano salvadoreño</w:t>
      </w:r>
      <w:r>
        <w:rPr>
          <w:rFonts w:asciiTheme="majorHAnsi" w:hAnsiTheme="majorHAnsi"/>
          <w:sz w:val="20"/>
          <w:szCs w:val="20"/>
          <w:lang w:val="es-ES"/>
        </w:rPr>
        <w:t>)</w:t>
      </w:r>
      <w:r w:rsidRPr="008D5BCE">
        <w:rPr>
          <w:rFonts w:asciiTheme="majorHAnsi" w:hAnsiTheme="majorHAnsi"/>
          <w:sz w:val="20"/>
          <w:szCs w:val="20"/>
          <w:lang w:val="es-ES"/>
        </w:rPr>
        <w:t>, en la cual se alega la responsabilidad internacional de Estados Unidos de América (“el Estado” o “Estados Unidos”) por la violación de sus derechos como reclusos federales</w:t>
      </w:r>
      <w:r w:rsidRPr="008D5BCE">
        <w:rPr>
          <w:rStyle w:val="FootnoteReference"/>
          <w:rFonts w:asciiTheme="majorHAnsi" w:hAnsiTheme="majorHAnsi"/>
          <w:sz w:val="20"/>
          <w:szCs w:val="20"/>
          <w:lang w:val="es-ES"/>
        </w:rPr>
        <w:footnoteReference w:id="4"/>
      </w:r>
      <w:r w:rsidRPr="008D5BCE">
        <w:rPr>
          <w:rFonts w:asciiTheme="majorHAnsi" w:hAnsiTheme="majorHAnsi"/>
          <w:sz w:val="20"/>
          <w:szCs w:val="20"/>
          <w:lang w:val="es-ES"/>
        </w:rPr>
        <w:t xml:space="preserve">. </w:t>
      </w:r>
    </w:p>
    <w:p w14:paraId="08A66E0A"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lang w:val="es-ES"/>
        </w:rPr>
      </w:pPr>
    </w:p>
    <w:p w14:paraId="73D82BF4"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El 18 de octubre de 2016, la Comisión notificó a las partes la aplicación del artículo 36.3 de su Reglamento, ya que la petición se encuadra en lo</w:t>
      </w:r>
      <w:r w:rsidR="008838C2">
        <w:rPr>
          <w:rFonts w:asciiTheme="majorHAnsi" w:hAnsiTheme="majorHAnsi"/>
          <w:sz w:val="20"/>
          <w:szCs w:val="20"/>
          <w:lang w:val="es-ES"/>
        </w:rPr>
        <w:t>s criterios establecidos en su R</w:t>
      </w:r>
      <w:r w:rsidRPr="008D5BCE">
        <w:rPr>
          <w:rFonts w:asciiTheme="majorHAnsi" w:hAnsiTheme="majorHAnsi"/>
          <w:sz w:val="20"/>
          <w:szCs w:val="20"/>
          <w:lang w:val="es-ES"/>
        </w:rPr>
        <w:t xml:space="preserve">esolución 1/16, y se puso a disposición de </w:t>
      </w:r>
      <w:r w:rsidR="008838C2">
        <w:rPr>
          <w:rFonts w:asciiTheme="majorHAnsi" w:hAnsiTheme="majorHAnsi"/>
          <w:sz w:val="20"/>
          <w:szCs w:val="20"/>
          <w:lang w:val="es-ES"/>
        </w:rPr>
        <w:t>las partes</w:t>
      </w:r>
      <w:r w:rsidRPr="008D5BCE">
        <w:rPr>
          <w:rFonts w:asciiTheme="majorHAnsi" w:hAnsiTheme="majorHAnsi"/>
          <w:sz w:val="20"/>
          <w:szCs w:val="20"/>
          <w:lang w:val="es-ES"/>
        </w:rPr>
        <w:t xml:space="preserve"> para llegar a una solución amistosa. Las partes contaron con los plazos dispuestos en el Reglamento de la CIDH para presentar observaciones adicionales sobre el fondo. Toda la información recibida por la Comisión fue transmitida debidamente a las partes.</w:t>
      </w:r>
    </w:p>
    <w:p w14:paraId="471B23EE"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lang w:val="es-ES"/>
        </w:rPr>
      </w:pPr>
    </w:p>
    <w:p w14:paraId="773E37B3" w14:textId="77777777" w:rsidR="00702483" w:rsidRPr="008D5BCE" w:rsidRDefault="00702483" w:rsidP="00702483">
      <w:pPr>
        <w:pStyle w:val="Heading1"/>
        <w:tabs>
          <w:tab w:val="left" w:pos="360"/>
        </w:tabs>
        <w:spacing w:before="0"/>
        <w:ind w:hanging="720"/>
        <w:rPr>
          <w:color w:val="auto"/>
          <w:sz w:val="20"/>
          <w:szCs w:val="20"/>
          <w:lang w:val="es-ES"/>
        </w:rPr>
      </w:pPr>
      <w:bookmarkStart w:id="3" w:name="_Toc90289307"/>
      <w:r w:rsidRPr="008D5BCE">
        <w:rPr>
          <w:color w:val="auto"/>
          <w:sz w:val="20"/>
          <w:szCs w:val="20"/>
          <w:lang w:val="es-ES"/>
        </w:rPr>
        <w:t>POSICIÓN DE LAS PARTES</w:t>
      </w:r>
      <w:bookmarkEnd w:id="3"/>
    </w:p>
    <w:p w14:paraId="28EBD0DB" w14:textId="77777777" w:rsidR="00702483" w:rsidRPr="008D5BCE" w:rsidRDefault="00702483" w:rsidP="00702483">
      <w:pPr>
        <w:suppressAutoHyphens/>
        <w:ind w:left="1440" w:hanging="720"/>
        <w:rPr>
          <w:rFonts w:asciiTheme="majorHAnsi" w:hAnsiTheme="majorHAnsi"/>
          <w:sz w:val="20"/>
          <w:szCs w:val="20"/>
          <w:lang w:val="es-ES"/>
        </w:rPr>
      </w:pPr>
    </w:p>
    <w:p w14:paraId="79B81ABA" w14:textId="77777777" w:rsidR="00702483" w:rsidRPr="00702483" w:rsidRDefault="00702483" w:rsidP="007E283D">
      <w:pPr>
        <w:pStyle w:val="Heading2"/>
        <w:keepLines/>
        <w:numPr>
          <w:ilvl w:val="0"/>
          <w:numId w:val="57"/>
        </w:numPr>
        <w:pBdr>
          <w:top w:val="nil"/>
          <w:left w:val="nil"/>
          <w:bottom w:val="nil"/>
          <w:right w:val="nil"/>
          <w:between w:val="nil"/>
          <w:bar w:val="nil"/>
        </w:pBdr>
        <w:tabs>
          <w:tab w:val="left" w:pos="360"/>
        </w:tabs>
        <w:spacing w:before="0" w:after="0"/>
        <w:ind w:hanging="720"/>
        <w:rPr>
          <w:rFonts w:asciiTheme="majorHAnsi" w:hAnsiTheme="majorHAnsi"/>
          <w:i w:val="0"/>
          <w:sz w:val="20"/>
          <w:szCs w:val="20"/>
          <w:lang w:val="es-ES"/>
        </w:rPr>
      </w:pPr>
      <w:bookmarkStart w:id="4" w:name="_Toc90289308"/>
      <w:r w:rsidRPr="00702483">
        <w:rPr>
          <w:rFonts w:asciiTheme="majorHAnsi" w:hAnsiTheme="majorHAnsi"/>
          <w:i w:val="0"/>
          <w:sz w:val="20"/>
          <w:szCs w:val="20"/>
          <w:lang w:val="es-ES"/>
        </w:rPr>
        <w:t>Posición de los peticionarios</w:t>
      </w:r>
      <w:bookmarkEnd w:id="4"/>
    </w:p>
    <w:p w14:paraId="26E6421D" w14:textId="77777777" w:rsidR="00702483" w:rsidRPr="008D5BCE" w:rsidRDefault="00702483" w:rsidP="00702483">
      <w:pPr>
        <w:rPr>
          <w:lang w:val="es-ES"/>
        </w:rPr>
      </w:pPr>
    </w:p>
    <w:p w14:paraId="6A8325C7"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Los peticionarios afirman que les </w:t>
      </w:r>
      <w:r w:rsidR="008838C2">
        <w:rPr>
          <w:rFonts w:asciiTheme="majorHAnsi" w:hAnsiTheme="majorHAnsi"/>
          <w:sz w:val="20"/>
          <w:szCs w:val="20"/>
          <w:lang w:val="es-ES"/>
        </w:rPr>
        <w:t>fueron denegados sus</w:t>
      </w:r>
      <w:r w:rsidRPr="008D5BCE">
        <w:rPr>
          <w:rFonts w:asciiTheme="majorHAnsi" w:hAnsiTheme="majorHAnsi"/>
          <w:sz w:val="20"/>
          <w:szCs w:val="20"/>
          <w:lang w:val="es-ES"/>
        </w:rPr>
        <w:t xml:space="preserve"> derechos consulares </w:t>
      </w:r>
      <w:r w:rsidR="008838C2">
        <w:rPr>
          <w:rFonts w:asciiTheme="majorHAnsi" w:hAnsiTheme="majorHAnsi"/>
          <w:sz w:val="20"/>
          <w:szCs w:val="20"/>
          <w:lang w:val="es-ES"/>
        </w:rPr>
        <w:t xml:space="preserve">establecidos en </w:t>
      </w:r>
      <w:r w:rsidRPr="008D5BCE">
        <w:rPr>
          <w:rFonts w:asciiTheme="majorHAnsi" w:hAnsiTheme="majorHAnsi"/>
          <w:sz w:val="20"/>
          <w:szCs w:val="20"/>
          <w:lang w:val="es-ES"/>
        </w:rPr>
        <w:t>el artículo 36 de la Convención de Viena sobre Relaciones Consulares (“la Convención de Viena”)</w:t>
      </w:r>
      <w:r>
        <w:rPr>
          <w:rFonts w:asciiTheme="majorHAnsi" w:hAnsiTheme="majorHAnsi"/>
          <w:sz w:val="20"/>
          <w:szCs w:val="20"/>
          <w:lang w:val="es-ES"/>
        </w:rPr>
        <w:t xml:space="preserve">, </w:t>
      </w:r>
      <w:r w:rsidRPr="008D5BCE">
        <w:rPr>
          <w:rFonts w:asciiTheme="majorHAnsi" w:hAnsiTheme="majorHAnsi"/>
          <w:sz w:val="20"/>
          <w:szCs w:val="20"/>
          <w:lang w:val="es-ES"/>
        </w:rPr>
        <w:t xml:space="preserve">que fueron víctimas de discriminación por razones de nacionalidad, </w:t>
      </w:r>
      <w:r>
        <w:rPr>
          <w:rFonts w:asciiTheme="majorHAnsi" w:hAnsiTheme="majorHAnsi"/>
          <w:sz w:val="20"/>
          <w:szCs w:val="20"/>
          <w:lang w:val="es-ES"/>
        </w:rPr>
        <w:t xml:space="preserve">que sus </w:t>
      </w:r>
      <w:r w:rsidRPr="008D5BCE">
        <w:rPr>
          <w:rFonts w:asciiTheme="majorHAnsi" w:hAnsiTheme="majorHAnsi"/>
          <w:sz w:val="20"/>
          <w:szCs w:val="20"/>
          <w:lang w:val="es-ES"/>
        </w:rPr>
        <w:t xml:space="preserve">condiciones de encarcelamiento </w:t>
      </w:r>
      <w:r>
        <w:rPr>
          <w:rFonts w:asciiTheme="majorHAnsi" w:hAnsiTheme="majorHAnsi"/>
          <w:sz w:val="20"/>
          <w:szCs w:val="20"/>
          <w:lang w:val="es-ES"/>
        </w:rPr>
        <w:t xml:space="preserve">son inhumanas </w:t>
      </w:r>
      <w:r w:rsidRPr="008D5BCE">
        <w:rPr>
          <w:rFonts w:asciiTheme="majorHAnsi" w:hAnsiTheme="majorHAnsi"/>
          <w:sz w:val="20"/>
          <w:szCs w:val="20"/>
          <w:lang w:val="es-ES"/>
        </w:rPr>
        <w:t xml:space="preserve">y </w:t>
      </w:r>
      <w:r>
        <w:rPr>
          <w:rFonts w:asciiTheme="majorHAnsi" w:hAnsiTheme="majorHAnsi"/>
          <w:sz w:val="20"/>
          <w:szCs w:val="20"/>
          <w:lang w:val="es-ES"/>
        </w:rPr>
        <w:t xml:space="preserve">que no reciben </w:t>
      </w:r>
      <w:r w:rsidRPr="008D5BCE">
        <w:rPr>
          <w:rFonts w:asciiTheme="majorHAnsi" w:hAnsiTheme="majorHAnsi"/>
          <w:sz w:val="20"/>
          <w:szCs w:val="20"/>
          <w:lang w:val="es-ES"/>
        </w:rPr>
        <w:t>atención médica</w:t>
      </w:r>
      <w:r>
        <w:rPr>
          <w:rFonts w:asciiTheme="majorHAnsi" w:hAnsiTheme="majorHAnsi"/>
          <w:sz w:val="20"/>
          <w:szCs w:val="20"/>
          <w:lang w:val="es-ES"/>
        </w:rPr>
        <w:t xml:space="preserve"> adecuada</w:t>
      </w:r>
      <w:r w:rsidRPr="008D5BCE">
        <w:rPr>
          <w:rFonts w:asciiTheme="majorHAnsi" w:hAnsiTheme="majorHAnsi"/>
          <w:sz w:val="20"/>
          <w:szCs w:val="20"/>
          <w:lang w:val="es-ES"/>
        </w:rPr>
        <w:t>. Al respecto</w:t>
      </w:r>
      <w:r w:rsidRPr="008D5BCE">
        <w:rPr>
          <w:rFonts w:asciiTheme="majorHAnsi" w:hAnsiTheme="majorHAnsi" w:cs="Arial"/>
          <w:color w:val="000000"/>
          <w:sz w:val="20"/>
          <w:szCs w:val="20"/>
          <w:lang w:val="es-ES"/>
        </w:rPr>
        <w:t>, los peticionarios alegan que Jurijus Kadamovas no ha recibido asistencia psiquiátrica o psicológica a pesar de haberla solicitado y que Robert L. Bolden no está recibiendo tratamiento para su diabetes de tipo 1.</w:t>
      </w:r>
    </w:p>
    <w:p w14:paraId="444D3BED"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6200DDDE"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Los peticionarios agregan que se ha infringido la prohibición establecida en la Constitución de Estados Unidos del castigo cruel e inhumano como consecuencia de la humillación sufrida en las tortuosas condiciones de confinamiento. Señalan que han sufrido y siguen sufriendo bajo la custodia de la Administración Federal de Prisiones en el corredor de la muerte del sistema de justicia federal en Terre Haute (Indiana). </w:t>
      </w:r>
    </w:p>
    <w:p w14:paraId="564C87A1"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50FC209A"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Con respecto al señor Kadamovas, en la petición se explica que su lengua materna es el ruso y ha tenido dificultades para aprender inglés y, por lo tanto, para comunicarse con su abogado y asistirlo. Asimismo, </w:t>
      </w:r>
      <w:r w:rsidR="008838C2">
        <w:rPr>
          <w:rFonts w:asciiTheme="majorHAnsi" w:hAnsiTheme="majorHAnsi"/>
          <w:sz w:val="20"/>
          <w:szCs w:val="20"/>
          <w:lang w:val="es-ES"/>
        </w:rPr>
        <w:t xml:space="preserve">se alega que </w:t>
      </w:r>
      <w:r w:rsidRPr="008D5BCE">
        <w:rPr>
          <w:rFonts w:asciiTheme="majorHAnsi" w:hAnsiTheme="majorHAnsi"/>
          <w:sz w:val="20"/>
          <w:szCs w:val="20"/>
          <w:lang w:val="es-ES"/>
        </w:rPr>
        <w:t xml:space="preserve">tiene poco acceso a material en su lengua materna. Según los peticionarios, se violaron los derechos de la presunta víctima amparados por el artículo 36 de la Convención de Viena porque, cuando lo arrestaron, no le informaron sobre su derecho a comunicarse con el Consulado de Lituania ni se notificó al consulado su arresto. Además, el señor Kadamovas afirma que no lo habrían condenado por los delitos que se le imputaron si hubiera podido examinar los documentos del expediente en su lengua materna. </w:t>
      </w:r>
      <w:r>
        <w:rPr>
          <w:rFonts w:asciiTheme="majorHAnsi" w:hAnsiTheme="majorHAnsi"/>
          <w:sz w:val="20"/>
          <w:szCs w:val="20"/>
          <w:lang w:val="es-ES"/>
        </w:rPr>
        <w:t>A</w:t>
      </w:r>
      <w:r w:rsidRPr="008D5BCE">
        <w:rPr>
          <w:rFonts w:asciiTheme="majorHAnsi" w:hAnsiTheme="majorHAnsi"/>
          <w:sz w:val="20"/>
          <w:szCs w:val="20"/>
          <w:lang w:val="es-ES"/>
        </w:rPr>
        <w:t xml:space="preserve">lega que, debido a esta limitación, no pudo señalar discrepancias ni errores fácticos en la etapa de presentación de prueba. El señor Kadamovas </w:t>
      </w:r>
      <w:r>
        <w:rPr>
          <w:rFonts w:asciiTheme="majorHAnsi" w:hAnsiTheme="majorHAnsi"/>
          <w:sz w:val="20"/>
          <w:szCs w:val="20"/>
          <w:lang w:val="es-ES"/>
        </w:rPr>
        <w:t xml:space="preserve">asevera </w:t>
      </w:r>
      <w:r w:rsidRPr="008D5BCE">
        <w:rPr>
          <w:rFonts w:asciiTheme="majorHAnsi" w:hAnsiTheme="majorHAnsi"/>
          <w:sz w:val="20"/>
          <w:szCs w:val="20"/>
          <w:lang w:val="es-ES"/>
        </w:rPr>
        <w:t>que, cuando presentó la petición, las transcripciones de la etapa de presentación de pruebas y del juicio seguían sin traducir y que sigue sin contar con dispositivos y asistencia adecuados para traducirl</w:t>
      </w:r>
      <w:r>
        <w:rPr>
          <w:rFonts w:asciiTheme="majorHAnsi" w:hAnsiTheme="majorHAnsi"/>
          <w:sz w:val="20"/>
          <w:szCs w:val="20"/>
          <w:lang w:val="es-ES"/>
        </w:rPr>
        <w:t>a</w:t>
      </w:r>
      <w:r w:rsidRPr="008D5BCE">
        <w:rPr>
          <w:rFonts w:asciiTheme="majorHAnsi" w:hAnsiTheme="majorHAnsi"/>
          <w:sz w:val="20"/>
          <w:szCs w:val="20"/>
          <w:lang w:val="es-ES"/>
        </w:rPr>
        <w:t xml:space="preserve">s. </w:t>
      </w:r>
    </w:p>
    <w:p w14:paraId="737B8A1C"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656E5007"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En la petición se alega discriminación por la Administración Federal de Prisiones porque el Departamento de Educación no le dio al señor Kadamovas la oportunidad de aprender inglés, ya que, según él, la institución proporciona materiales </w:t>
      </w:r>
      <w:r>
        <w:rPr>
          <w:rFonts w:asciiTheme="majorHAnsi" w:hAnsiTheme="majorHAnsi"/>
          <w:sz w:val="20"/>
          <w:szCs w:val="20"/>
          <w:lang w:val="es-ES"/>
        </w:rPr>
        <w:t xml:space="preserve">solo </w:t>
      </w:r>
      <w:r w:rsidRPr="008D5BCE">
        <w:rPr>
          <w:rFonts w:asciiTheme="majorHAnsi" w:hAnsiTheme="majorHAnsi"/>
          <w:sz w:val="20"/>
          <w:szCs w:val="20"/>
          <w:lang w:val="es-ES"/>
        </w:rPr>
        <w:t xml:space="preserve">para hispanohablantes. Además, se afirma que la Administración Federal de Prisiones no salvaguardó los materiales del señor Kadamovas e incluso permitió que un dispositivo para traducir fuera sustraído y roto por otro recluso que, según el señor Kadamovas, tenía acceso a su material confidencial, lo cual infringió su derecho a la privacidad y a la confidencialidad con su abogado. Asimismo, el señor Kadamovas </w:t>
      </w:r>
      <w:r>
        <w:rPr>
          <w:rFonts w:asciiTheme="majorHAnsi" w:hAnsiTheme="majorHAnsi"/>
          <w:sz w:val="20"/>
          <w:szCs w:val="20"/>
          <w:lang w:val="es-ES"/>
        </w:rPr>
        <w:t xml:space="preserve">dice </w:t>
      </w:r>
      <w:r w:rsidRPr="008D5BCE">
        <w:rPr>
          <w:rFonts w:asciiTheme="majorHAnsi" w:hAnsiTheme="majorHAnsi"/>
          <w:sz w:val="20"/>
          <w:szCs w:val="20"/>
          <w:lang w:val="es-ES"/>
        </w:rPr>
        <w:t xml:space="preserve">que la Administración Federal de Prisiones le impuso injustamente restricciones a la </w:t>
      </w:r>
      <w:r w:rsidRPr="008D5BCE">
        <w:rPr>
          <w:rFonts w:asciiTheme="majorHAnsi" w:hAnsiTheme="majorHAnsi"/>
          <w:sz w:val="20"/>
          <w:szCs w:val="20"/>
          <w:lang w:val="es-ES"/>
        </w:rPr>
        <w:lastRenderedPageBreak/>
        <w:t xml:space="preserve">correspondencia general escrita, razón por la cual podía recibir correspondencia </w:t>
      </w:r>
      <w:r>
        <w:rPr>
          <w:rFonts w:asciiTheme="majorHAnsi" w:hAnsiTheme="majorHAnsi"/>
          <w:sz w:val="20"/>
          <w:szCs w:val="20"/>
          <w:lang w:val="es-ES"/>
        </w:rPr>
        <w:t xml:space="preserve">solo </w:t>
      </w:r>
      <w:r w:rsidRPr="008D5BCE">
        <w:rPr>
          <w:rFonts w:asciiTheme="majorHAnsi" w:hAnsiTheme="majorHAnsi"/>
          <w:sz w:val="20"/>
          <w:szCs w:val="20"/>
          <w:lang w:val="es-ES"/>
        </w:rPr>
        <w:t xml:space="preserve">de su abogado, la embajada y la familia directa. </w:t>
      </w:r>
    </w:p>
    <w:p w14:paraId="5401001F"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456E8E76"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Los peticionarios señalan que el señor Kadamovas sigue sufriendo los efectos del régimen de aislamiento </w:t>
      </w:r>
      <w:r>
        <w:rPr>
          <w:rFonts w:asciiTheme="majorHAnsi" w:hAnsiTheme="majorHAnsi"/>
          <w:sz w:val="20"/>
          <w:szCs w:val="20"/>
          <w:lang w:val="es-ES"/>
        </w:rPr>
        <w:t xml:space="preserve">prolongado </w:t>
      </w:r>
      <w:r w:rsidRPr="008D5BCE">
        <w:rPr>
          <w:rFonts w:asciiTheme="majorHAnsi" w:hAnsiTheme="majorHAnsi"/>
          <w:sz w:val="20"/>
          <w:szCs w:val="20"/>
          <w:lang w:val="es-ES"/>
        </w:rPr>
        <w:t xml:space="preserve">en su salud mental, física y emocional, y </w:t>
      </w:r>
      <w:r w:rsidR="000A58E5">
        <w:rPr>
          <w:rFonts w:asciiTheme="majorHAnsi" w:hAnsiTheme="majorHAnsi"/>
          <w:sz w:val="20"/>
          <w:szCs w:val="20"/>
          <w:lang w:val="es-ES"/>
        </w:rPr>
        <w:t>habría realizado</w:t>
      </w:r>
      <w:r w:rsidRPr="008D5BCE">
        <w:rPr>
          <w:rFonts w:asciiTheme="majorHAnsi" w:hAnsiTheme="majorHAnsi"/>
          <w:sz w:val="20"/>
          <w:szCs w:val="20"/>
          <w:lang w:val="es-ES"/>
        </w:rPr>
        <w:t xml:space="preserve"> dos huelgas de hambre para protestar las condiciones de su reclusión. Indican que, en la primera huelga de hambre, sufrió lesiones cuando lo alimentaron por la fuerza prematuramente, táctica con la cual los peticionarios creen que querían obligarlo a abandonar la huelga de hambre. Agregan que fue lesionado</w:t>
      </w:r>
      <w:r w:rsidRPr="006A1ECB">
        <w:rPr>
          <w:rFonts w:asciiTheme="majorHAnsi" w:hAnsiTheme="majorHAnsi"/>
          <w:sz w:val="20"/>
          <w:szCs w:val="20"/>
          <w:lang w:val="es-ES"/>
        </w:rPr>
        <w:t xml:space="preserve"> otra vez</w:t>
      </w:r>
      <w:r w:rsidRPr="008D5BCE">
        <w:rPr>
          <w:rFonts w:asciiTheme="majorHAnsi" w:hAnsiTheme="majorHAnsi"/>
          <w:sz w:val="20"/>
          <w:szCs w:val="20"/>
          <w:lang w:val="es-ES"/>
        </w:rPr>
        <w:t xml:space="preserve"> durante la segunda huelga de hambre cuando algunos miembros del personal penitenciario lo empujaron y le lastimaron la pierna y el hombro izquierdo para sacarle sangre con el fin de monitorear su estado de salud. </w:t>
      </w:r>
    </w:p>
    <w:p w14:paraId="3D5C1F9B"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123555E1"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En cuanto a</w:t>
      </w:r>
      <w:r w:rsidRPr="008D5BCE">
        <w:rPr>
          <w:rFonts w:asciiTheme="majorHAnsi" w:hAnsiTheme="majorHAnsi"/>
          <w:sz w:val="20"/>
          <w:szCs w:val="20"/>
          <w:lang w:val="es-ES"/>
        </w:rPr>
        <w:t>l señor Bolden</w:t>
      </w:r>
      <w:r>
        <w:rPr>
          <w:rFonts w:asciiTheme="majorHAnsi" w:hAnsiTheme="majorHAnsi"/>
          <w:sz w:val="20"/>
          <w:szCs w:val="20"/>
          <w:lang w:val="es-ES"/>
        </w:rPr>
        <w:t xml:space="preserve">, </w:t>
      </w:r>
      <w:r w:rsidR="000A58E5">
        <w:rPr>
          <w:rFonts w:asciiTheme="majorHAnsi" w:hAnsiTheme="majorHAnsi"/>
          <w:sz w:val="20"/>
          <w:szCs w:val="20"/>
          <w:lang w:val="es-ES"/>
        </w:rPr>
        <w:t>alegan</w:t>
      </w:r>
      <w:r>
        <w:rPr>
          <w:rFonts w:asciiTheme="majorHAnsi" w:hAnsiTheme="majorHAnsi"/>
          <w:sz w:val="20"/>
          <w:szCs w:val="20"/>
          <w:lang w:val="es-ES"/>
        </w:rPr>
        <w:t xml:space="preserve"> que </w:t>
      </w:r>
      <w:r w:rsidR="000A58E5">
        <w:rPr>
          <w:rFonts w:asciiTheme="majorHAnsi" w:hAnsiTheme="majorHAnsi"/>
          <w:sz w:val="20"/>
          <w:szCs w:val="20"/>
          <w:lang w:val="es-ES"/>
        </w:rPr>
        <w:t>fue avisado</w:t>
      </w:r>
      <w:r w:rsidRPr="008D5BCE">
        <w:rPr>
          <w:rFonts w:asciiTheme="majorHAnsi" w:hAnsiTheme="majorHAnsi"/>
          <w:sz w:val="20"/>
          <w:szCs w:val="20"/>
          <w:lang w:val="es-ES"/>
        </w:rPr>
        <w:t xml:space="preserve"> sobre su derecho a comunicarse con el Consulado de Canadá y </w:t>
      </w:r>
      <w:r>
        <w:rPr>
          <w:rFonts w:asciiTheme="majorHAnsi" w:hAnsiTheme="majorHAnsi"/>
          <w:sz w:val="20"/>
          <w:szCs w:val="20"/>
          <w:lang w:val="es-ES"/>
        </w:rPr>
        <w:t xml:space="preserve">que se notificó </w:t>
      </w:r>
      <w:r w:rsidRPr="008D5BCE">
        <w:rPr>
          <w:rFonts w:asciiTheme="majorHAnsi" w:hAnsiTheme="majorHAnsi"/>
          <w:sz w:val="20"/>
          <w:szCs w:val="20"/>
          <w:lang w:val="es-ES"/>
        </w:rPr>
        <w:t xml:space="preserve">al consulado acerca de su arresto y detención casi ocho años después. </w:t>
      </w:r>
      <w:r w:rsidR="000A58E5">
        <w:rPr>
          <w:rFonts w:asciiTheme="majorHAnsi" w:hAnsiTheme="majorHAnsi"/>
          <w:sz w:val="20"/>
          <w:szCs w:val="20"/>
          <w:lang w:val="es-ES"/>
        </w:rPr>
        <w:t>Afirman</w:t>
      </w:r>
      <w:r w:rsidRPr="008D5BCE">
        <w:rPr>
          <w:rFonts w:asciiTheme="majorHAnsi" w:hAnsiTheme="majorHAnsi"/>
          <w:sz w:val="20"/>
          <w:szCs w:val="20"/>
          <w:lang w:val="es-ES"/>
        </w:rPr>
        <w:t xml:space="preserve"> que, en consecuencia, le denegaron asistencia consular antes </w:t>
      </w:r>
      <w:r w:rsidR="000A58E5">
        <w:rPr>
          <w:rFonts w:asciiTheme="majorHAnsi" w:hAnsiTheme="majorHAnsi"/>
          <w:sz w:val="20"/>
          <w:szCs w:val="20"/>
          <w:lang w:val="es-ES"/>
        </w:rPr>
        <w:t>y durante e</w:t>
      </w:r>
      <w:r w:rsidRPr="008D5BCE">
        <w:rPr>
          <w:rFonts w:asciiTheme="majorHAnsi" w:hAnsiTheme="majorHAnsi"/>
          <w:sz w:val="20"/>
          <w:szCs w:val="20"/>
          <w:lang w:val="es-ES"/>
        </w:rPr>
        <w:t xml:space="preserve">l </w:t>
      </w:r>
      <w:r w:rsidR="000A58E5">
        <w:rPr>
          <w:rFonts w:asciiTheme="majorHAnsi" w:hAnsiTheme="majorHAnsi"/>
          <w:sz w:val="20"/>
          <w:szCs w:val="20"/>
          <w:lang w:val="es-ES"/>
        </w:rPr>
        <w:t>juicio</w:t>
      </w:r>
      <w:r w:rsidRPr="008D5BCE">
        <w:rPr>
          <w:rFonts w:asciiTheme="majorHAnsi" w:hAnsiTheme="majorHAnsi"/>
          <w:sz w:val="20"/>
          <w:szCs w:val="20"/>
          <w:lang w:val="es-ES"/>
        </w:rPr>
        <w:t xml:space="preserve">. En la petición se indica que </w:t>
      </w:r>
      <w:r w:rsidR="000A58E5">
        <w:rPr>
          <w:rFonts w:asciiTheme="majorHAnsi" w:hAnsiTheme="majorHAnsi"/>
          <w:sz w:val="20"/>
          <w:szCs w:val="20"/>
          <w:lang w:val="es-ES"/>
        </w:rPr>
        <w:t xml:space="preserve">el </w:t>
      </w:r>
      <w:r w:rsidR="000A58E5" w:rsidRPr="008D5BCE">
        <w:rPr>
          <w:rFonts w:asciiTheme="majorHAnsi" w:hAnsiTheme="majorHAnsi"/>
          <w:sz w:val="20"/>
          <w:szCs w:val="20"/>
          <w:lang w:val="es-ES"/>
        </w:rPr>
        <w:t xml:space="preserve">Consulado de Canadá </w:t>
      </w:r>
      <w:r w:rsidR="000A58E5">
        <w:rPr>
          <w:rFonts w:asciiTheme="majorHAnsi" w:hAnsiTheme="majorHAnsi"/>
          <w:sz w:val="20"/>
          <w:szCs w:val="20"/>
          <w:lang w:val="es-ES"/>
        </w:rPr>
        <w:t xml:space="preserve">fue notificado </w:t>
      </w:r>
      <w:r w:rsidRPr="008D5BCE">
        <w:rPr>
          <w:rFonts w:asciiTheme="majorHAnsi" w:hAnsiTheme="majorHAnsi"/>
          <w:sz w:val="20"/>
          <w:szCs w:val="20"/>
          <w:lang w:val="es-ES"/>
        </w:rPr>
        <w:t>sobre el caso en 2010, cuando los abogados que estaban preparando el recurso de hábeas corpus del señor Bolden investigaron el caso. Se agrega que, por ser diabético, con diagnóstico de diabetes insulinodependiente</w:t>
      </w:r>
      <w:r w:rsidRPr="002560B5">
        <w:rPr>
          <w:rFonts w:asciiTheme="majorHAnsi" w:hAnsiTheme="majorHAnsi"/>
          <w:sz w:val="20"/>
          <w:szCs w:val="20"/>
          <w:lang w:val="es-ES"/>
        </w:rPr>
        <w:t xml:space="preserve"> de tipo 1</w:t>
      </w:r>
      <w:r w:rsidRPr="008D5BCE">
        <w:rPr>
          <w:rFonts w:asciiTheme="majorHAnsi" w:hAnsiTheme="majorHAnsi"/>
          <w:sz w:val="20"/>
          <w:szCs w:val="20"/>
          <w:lang w:val="es-ES"/>
        </w:rPr>
        <w:t>, el señor Bolden necesita insulina, un control regular de glucemia, ejercicio regular y una dieta controlada para diabéticos a fin de manejar su enfermedad.</w:t>
      </w:r>
    </w:p>
    <w:p w14:paraId="232C40AD" w14:textId="77777777" w:rsidR="00702483" w:rsidRPr="008D5BCE" w:rsidRDefault="00702483" w:rsidP="00702483">
      <w:pPr>
        <w:pStyle w:val="ListParagraph"/>
        <w:rPr>
          <w:rFonts w:asciiTheme="majorHAnsi" w:hAnsiTheme="majorHAnsi"/>
          <w:sz w:val="20"/>
          <w:szCs w:val="20"/>
          <w:lang w:val="es-ES"/>
        </w:rPr>
      </w:pPr>
    </w:p>
    <w:p w14:paraId="73B9FF91"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En la petición se explica que, tras la condena del señor Bolden, el tribunal recomendó que la Administración Federal de Prisiones lo recluyera en un establecimiento médico a fin de que pudiera recibir tratamiento para la diabetes. Se alega que la Administración hizo caso omiso del pedido del tribunal y envió al señor Bolden a Terre Haute, donde, según él, los funcionarios se muestran indiferentes a sus necesidades médicas. El señor Bolden afirma que la hiperglucemia prolongada ha puesto en peligro su vida, al </w:t>
      </w:r>
      <w:r w:rsidR="00856EC7" w:rsidRPr="008D5BCE">
        <w:rPr>
          <w:rFonts w:asciiTheme="majorHAnsi" w:hAnsiTheme="majorHAnsi"/>
          <w:sz w:val="20"/>
          <w:szCs w:val="20"/>
          <w:lang w:val="es-ES"/>
        </w:rPr>
        <w:t>causarle cetoacidosis</w:t>
      </w:r>
      <w:r w:rsidRPr="008D5BCE">
        <w:rPr>
          <w:rFonts w:asciiTheme="majorHAnsi" w:hAnsiTheme="majorHAnsi"/>
          <w:sz w:val="20"/>
          <w:szCs w:val="20"/>
          <w:lang w:val="es-ES"/>
        </w:rPr>
        <w:t xml:space="preserve"> y episodios de hipoglucemia que lo dejaron incoherente, sin conocimiento y comatoso</w:t>
      </w:r>
      <w:r>
        <w:rPr>
          <w:rFonts w:asciiTheme="majorHAnsi" w:hAnsiTheme="majorHAnsi"/>
          <w:sz w:val="20"/>
          <w:szCs w:val="20"/>
          <w:lang w:val="es-ES"/>
        </w:rPr>
        <w:t xml:space="preserve"> en varias ocsiones</w:t>
      </w:r>
      <w:r w:rsidRPr="008D5BCE">
        <w:rPr>
          <w:rFonts w:asciiTheme="majorHAnsi" w:hAnsiTheme="majorHAnsi"/>
          <w:sz w:val="20"/>
          <w:szCs w:val="20"/>
          <w:lang w:val="es-ES"/>
        </w:rPr>
        <w:t xml:space="preserve">. Agrega que la conducta de la Administración Federal de Prisiones interfiere en su derecho constitucional de acceso a la justicia, ya que podría necesitar diálisis debido al aumento de la creatinina. Asimismo, dice que, como consecuencia del acortamiento de su esperanza de vida, tiene menos oportunidades de impugnar plenamente su condena, </w:t>
      </w:r>
      <w:r>
        <w:rPr>
          <w:rFonts w:asciiTheme="majorHAnsi" w:hAnsiTheme="majorHAnsi"/>
          <w:sz w:val="20"/>
          <w:szCs w:val="20"/>
          <w:lang w:val="es-ES"/>
        </w:rPr>
        <w:t xml:space="preserve">ya </w:t>
      </w:r>
      <w:r w:rsidRPr="008D5BCE">
        <w:rPr>
          <w:rFonts w:asciiTheme="majorHAnsi" w:hAnsiTheme="majorHAnsi"/>
          <w:sz w:val="20"/>
          <w:szCs w:val="20"/>
          <w:lang w:val="es-ES"/>
        </w:rPr>
        <w:t>que el debilitamiento que sufre le impide concentrarse en su caso y lo lleva a concentrarse en cambio en el deterioro de su salud y en la falta de cuidado que sufre en la cárcel.</w:t>
      </w:r>
    </w:p>
    <w:p w14:paraId="418E4BE5" w14:textId="77777777" w:rsidR="00702483" w:rsidRPr="008D5BCE" w:rsidRDefault="00702483" w:rsidP="00702483">
      <w:pPr>
        <w:pStyle w:val="ListParagraph"/>
        <w:rPr>
          <w:rFonts w:asciiTheme="majorHAnsi" w:hAnsiTheme="majorHAnsi"/>
          <w:sz w:val="20"/>
          <w:szCs w:val="20"/>
          <w:lang w:val="es-ES"/>
        </w:rPr>
      </w:pPr>
    </w:p>
    <w:p w14:paraId="0B027187"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Los representantes legales del señor Bolden explican que tuvieron dificultades para conseguir una copia completa del expediente médico que obraba en poder de la Administración Federal de Prisiones. Además, </w:t>
      </w:r>
      <w:r>
        <w:rPr>
          <w:rFonts w:asciiTheme="majorHAnsi" w:hAnsiTheme="majorHAnsi"/>
          <w:sz w:val="20"/>
          <w:szCs w:val="20"/>
          <w:lang w:val="es-ES"/>
        </w:rPr>
        <w:t>al</w:t>
      </w:r>
      <w:r w:rsidRPr="008D5BCE">
        <w:rPr>
          <w:rFonts w:asciiTheme="majorHAnsi" w:hAnsiTheme="majorHAnsi"/>
          <w:sz w:val="20"/>
          <w:szCs w:val="20"/>
          <w:lang w:val="es-ES"/>
        </w:rPr>
        <w:t xml:space="preserve"> preparar el litigio del señor Bolden, el equipo solicitó que se emitiera una orden judicial de presentación del expediente, solicitud que fue denegada. Se </w:t>
      </w:r>
      <w:r>
        <w:rPr>
          <w:rFonts w:asciiTheme="majorHAnsi" w:hAnsiTheme="majorHAnsi"/>
          <w:sz w:val="20"/>
          <w:szCs w:val="20"/>
          <w:lang w:val="es-ES"/>
        </w:rPr>
        <w:t>indica</w:t>
      </w:r>
      <w:r w:rsidRPr="008D5BCE">
        <w:rPr>
          <w:rFonts w:asciiTheme="majorHAnsi" w:hAnsiTheme="majorHAnsi"/>
          <w:sz w:val="20"/>
          <w:szCs w:val="20"/>
          <w:lang w:val="es-ES"/>
        </w:rPr>
        <w:t xml:space="preserve"> que las pruebas recientes de la A1C del señor Bolden muestran que la diabetes no está bien controlada. En la petición se recalca que la Administración Federal de Prisiones observó que el señor Bolden no tenía la glucemia debidamente controlada. Además, la Asociación Estadounidense para la Diabetes recomienda que los diabéticos mantengan la A1C por debajo de 7 y </w:t>
      </w:r>
      <w:r>
        <w:rPr>
          <w:rFonts w:asciiTheme="majorHAnsi" w:hAnsiTheme="majorHAnsi"/>
          <w:sz w:val="20"/>
          <w:szCs w:val="20"/>
          <w:lang w:val="es-ES"/>
        </w:rPr>
        <w:t>señala q</w:t>
      </w:r>
      <w:r w:rsidRPr="008D5BCE">
        <w:rPr>
          <w:rFonts w:asciiTheme="majorHAnsi" w:hAnsiTheme="majorHAnsi"/>
          <w:sz w:val="20"/>
          <w:szCs w:val="20"/>
          <w:lang w:val="es-ES"/>
        </w:rPr>
        <w:t xml:space="preserve">ue una A1C de 8,3 muestra que la diabetes no está bien controlada.  Se afirma que, si se recurre únicamente a las pruebas de la A1C, no se tienen en cuenta las fluctuaciones de la glucemia de una hora para otra y de un día para otro y que, durante la semana del 16 de julio de 2012, el señor Bolden sufrió tres episodios hipoglucémicos que podrían haberle causado la muerte. Se señala que la Administración Federal de Prisiones no tiene un menú para diabéticos, que la dieta “para un corazón sano” que le ofrecieron no está concebida específicamente para diabéticos y que, después de un tiempo, el señor Bolden la rechazó porque no le dieron carne con varias comidas. </w:t>
      </w:r>
    </w:p>
    <w:p w14:paraId="77C9F9A4"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1A7B1239"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Se aduce que, aunque la Administración Federal de Prisiones afirma que el señor Bolden tiene la culpa de que no tenga la glucemia bajo control porque compra bocadillos, eso forma parte del manejo de la diabetes, ya que los bocadillos le ayudan si la glucemia le baja entre comidas. En la petición se indica que el señor Bolden no vio a un médico desde el 4 de noviembre de 2011 hasta el 15 de mayo de 2012. Se agrega que, como represalia por las quejas del señor Bolden con respecto a la cárcel, la Administración Federal de Prisiones está interfiriendo con malicia en su capacidad para utilizar el proceso interno de recursos administrativos y ha comenzado a denegarle apelaciones de recursos administrativos por tecnicismos tales como la falta de copias, cuando los encargados de sacar copias para los presos son los empleados de la Administración, y a negarse a </w:t>
      </w:r>
      <w:r w:rsidRPr="008D5BCE">
        <w:rPr>
          <w:rFonts w:asciiTheme="majorHAnsi" w:hAnsiTheme="majorHAnsi"/>
          <w:sz w:val="20"/>
          <w:szCs w:val="20"/>
          <w:lang w:val="es-ES"/>
        </w:rPr>
        <w:lastRenderedPageBreak/>
        <w:t xml:space="preserve">darle recibos para documentar la denegación de pedidos con el fin de corregir defectos procesales a partir de las fechas de tales denegaciones. </w:t>
      </w:r>
    </w:p>
    <w:p w14:paraId="7E76E21B"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31CD1800"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Por último, los peticionarios afirman que el acceso limitado a los otros reclusos nombrados en la petición impide un análisis detallado de las violaciones sufridas por ellos. </w:t>
      </w:r>
    </w:p>
    <w:p w14:paraId="241E8AF3"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42C542AD" w14:textId="77777777" w:rsidR="00702483" w:rsidRPr="00702483" w:rsidRDefault="00702483" w:rsidP="007E283D">
      <w:pPr>
        <w:pStyle w:val="Heading2"/>
        <w:keepLines/>
        <w:numPr>
          <w:ilvl w:val="0"/>
          <w:numId w:val="57"/>
        </w:numPr>
        <w:pBdr>
          <w:top w:val="nil"/>
          <w:left w:val="nil"/>
          <w:bottom w:val="nil"/>
          <w:right w:val="nil"/>
          <w:between w:val="nil"/>
          <w:bar w:val="nil"/>
        </w:pBdr>
        <w:tabs>
          <w:tab w:val="left" w:pos="360"/>
        </w:tabs>
        <w:spacing w:before="0" w:after="0"/>
        <w:ind w:hanging="720"/>
        <w:rPr>
          <w:rFonts w:asciiTheme="majorHAnsi" w:hAnsiTheme="majorHAnsi"/>
          <w:i w:val="0"/>
          <w:sz w:val="20"/>
          <w:szCs w:val="20"/>
          <w:lang w:val="es-ES"/>
        </w:rPr>
      </w:pPr>
      <w:bookmarkStart w:id="5" w:name="_Toc90289309"/>
      <w:r w:rsidRPr="00702483">
        <w:rPr>
          <w:rFonts w:asciiTheme="majorHAnsi" w:hAnsiTheme="majorHAnsi"/>
          <w:i w:val="0"/>
          <w:sz w:val="20"/>
          <w:szCs w:val="20"/>
          <w:lang w:val="es-ES"/>
        </w:rPr>
        <w:t>Posición del Estado</w:t>
      </w:r>
      <w:bookmarkEnd w:id="5"/>
    </w:p>
    <w:p w14:paraId="249BBBBE" w14:textId="77777777" w:rsidR="00702483" w:rsidRPr="008D5BCE" w:rsidRDefault="00702483" w:rsidP="00702483">
      <w:pPr>
        <w:rPr>
          <w:rFonts w:asciiTheme="majorHAnsi" w:hAnsiTheme="majorHAnsi"/>
          <w:sz w:val="20"/>
          <w:szCs w:val="20"/>
          <w:lang w:val="es-ES"/>
        </w:rPr>
      </w:pPr>
    </w:p>
    <w:p w14:paraId="057E3A26"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D5BCE">
        <w:rPr>
          <w:rFonts w:asciiTheme="majorHAnsi" w:hAnsiTheme="majorHAnsi"/>
          <w:sz w:val="20"/>
          <w:szCs w:val="20"/>
          <w:lang w:val="es-ES"/>
        </w:rPr>
        <w:t>El Estado re</w:t>
      </w:r>
      <w:r>
        <w:rPr>
          <w:rFonts w:asciiTheme="majorHAnsi" w:hAnsiTheme="majorHAnsi"/>
          <w:sz w:val="20"/>
          <w:szCs w:val="20"/>
          <w:lang w:val="es-ES"/>
        </w:rPr>
        <w:t xml:space="preserve">chaza los reclamos efectuados en </w:t>
      </w:r>
      <w:r w:rsidRPr="008D5BCE">
        <w:rPr>
          <w:rFonts w:asciiTheme="majorHAnsi" w:hAnsiTheme="majorHAnsi"/>
          <w:sz w:val="20"/>
          <w:szCs w:val="20"/>
          <w:lang w:val="es-ES"/>
        </w:rPr>
        <w:t>la petición</w:t>
      </w:r>
      <w:r>
        <w:rPr>
          <w:rFonts w:asciiTheme="majorHAnsi" w:hAnsiTheme="majorHAnsi"/>
          <w:sz w:val="20"/>
          <w:szCs w:val="20"/>
          <w:lang w:val="es-ES"/>
        </w:rPr>
        <w:t xml:space="preserve"> y señala específicamente que </w:t>
      </w:r>
      <w:r w:rsidRPr="008D5BCE">
        <w:rPr>
          <w:rFonts w:asciiTheme="majorHAnsi" w:hAnsiTheme="majorHAnsi"/>
          <w:sz w:val="20"/>
          <w:szCs w:val="20"/>
          <w:lang w:val="es-ES"/>
        </w:rPr>
        <w:t>el señor Kadamovas</w:t>
      </w:r>
      <w:r>
        <w:rPr>
          <w:rFonts w:asciiTheme="majorHAnsi" w:hAnsiTheme="majorHAnsi"/>
          <w:sz w:val="20"/>
          <w:szCs w:val="20"/>
          <w:lang w:val="es-ES"/>
        </w:rPr>
        <w:t xml:space="preserve"> no tiene antecedentes significativos de problemas de salud </w:t>
      </w:r>
      <w:r w:rsidRPr="008D5BCE">
        <w:rPr>
          <w:rFonts w:asciiTheme="majorHAnsi" w:hAnsiTheme="majorHAnsi"/>
          <w:sz w:val="20"/>
          <w:szCs w:val="20"/>
          <w:lang w:val="es-ES"/>
        </w:rPr>
        <w:t xml:space="preserve">mental </w:t>
      </w:r>
      <w:r>
        <w:rPr>
          <w:rFonts w:asciiTheme="majorHAnsi" w:hAnsiTheme="majorHAnsi"/>
          <w:sz w:val="20"/>
          <w:szCs w:val="20"/>
          <w:lang w:val="es-ES"/>
        </w:rPr>
        <w:t>ni de tratamiento para problemas de ese tipo, ha permanecido relativamente estable y</w:t>
      </w:r>
      <w:r w:rsidRPr="00655AF9">
        <w:rPr>
          <w:rFonts w:asciiTheme="majorHAnsi" w:hAnsiTheme="majorHAnsi"/>
          <w:sz w:val="20"/>
          <w:szCs w:val="20"/>
          <w:lang w:val="es-ES"/>
        </w:rPr>
        <w:t xml:space="preserve"> recibe visitas mensuales del psicólogo</w:t>
      </w:r>
      <w:r w:rsidRPr="008D5BCE">
        <w:rPr>
          <w:rFonts w:asciiTheme="majorHAnsi" w:hAnsiTheme="majorHAnsi"/>
          <w:sz w:val="20"/>
          <w:szCs w:val="20"/>
          <w:lang w:val="es-ES"/>
        </w:rPr>
        <w:t xml:space="preserve">. </w:t>
      </w:r>
      <w:r>
        <w:rPr>
          <w:rFonts w:asciiTheme="majorHAnsi" w:hAnsiTheme="majorHAnsi"/>
          <w:sz w:val="20"/>
          <w:szCs w:val="20"/>
          <w:lang w:val="es-ES"/>
        </w:rPr>
        <w:t xml:space="preserve">Agrega que </w:t>
      </w:r>
      <w:r w:rsidRPr="008D5BCE">
        <w:rPr>
          <w:rFonts w:asciiTheme="majorHAnsi" w:hAnsiTheme="majorHAnsi"/>
          <w:sz w:val="20"/>
          <w:szCs w:val="20"/>
          <w:lang w:val="es-ES"/>
        </w:rPr>
        <w:t xml:space="preserve">el señor Kadamovas </w:t>
      </w:r>
      <w:r>
        <w:rPr>
          <w:rFonts w:asciiTheme="majorHAnsi" w:hAnsiTheme="majorHAnsi"/>
          <w:sz w:val="20"/>
          <w:szCs w:val="20"/>
          <w:lang w:val="es-ES"/>
        </w:rPr>
        <w:t xml:space="preserve">recibe visitas adicionales de un psicólogo de la </w:t>
      </w:r>
      <w:r w:rsidRPr="008D5BCE">
        <w:rPr>
          <w:rFonts w:asciiTheme="majorHAnsi" w:hAnsiTheme="majorHAnsi"/>
          <w:sz w:val="20"/>
          <w:szCs w:val="20"/>
          <w:lang w:val="es-ES"/>
        </w:rPr>
        <w:t xml:space="preserve">Administración Federal de Prisiones </w:t>
      </w:r>
      <w:r>
        <w:rPr>
          <w:rFonts w:asciiTheme="majorHAnsi" w:hAnsiTheme="majorHAnsi"/>
          <w:sz w:val="20"/>
          <w:szCs w:val="20"/>
          <w:lang w:val="es-ES"/>
        </w:rPr>
        <w:t>a petición o si el personal del centro penitenciario lo solicita</w:t>
      </w:r>
      <w:r w:rsidRPr="008D5BCE">
        <w:rPr>
          <w:rFonts w:asciiTheme="majorHAnsi" w:hAnsiTheme="majorHAnsi"/>
          <w:sz w:val="20"/>
          <w:szCs w:val="20"/>
          <w:lang w:val="es-ES"/>
        </w:rPr>
        <w:t xml:space="preserve">.  </w:t>
      </w:r>
    </w:p>
    <w:p w14:paraId="56897A47"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7324D1A7"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 xml:space="preserve">Con respecto al </w:t>
      </w:r>
      <w:r w:rsidRPr="008D5BCE">
        <w:rPr>
          <w:rFonts w:asciiTheme="majorHAnsi" w:hAnsiTheme="majorHAnsi"/>
          <w:sz w:val="20"/>
          <w:szCs w:val="20"/>
          <w:lang w:val="es-ES"/>
        </w:rPr>
        <w:t>señor Bolden, el Estado a</w:t>
      </w:r>
      <w:r>
        <w:rPr>
          <w:rFonts w:asciiTheme="majorHAnsi" w:hAnsiTheme="majorHAnsi"/>
          <w:sz w:val="20"/>
          <w:szCs w:val="20"/>
          <w:lang w:val="es-ES"/>
        </w:rPr>
        <w:t xml:space="preserve">firma que ha recibido amplia atención para la diabetes y que los chequeos recientes muestran que su diabetes está bien controlada. Además, está autorizado a recibir comidas para diabéticos, pero él ha optado por no recibirlas. </w:t>
      </w:r>
      <w:r w:rsidRPr="008D5BCE">
        <w:rPr>
          <w:rFonts w:asciiTheme="majorHAnsi" w:hAnsiTheme="majorHAnsi"/>
          <w:sz w:val="20"/>
          <w:szCs w:val="20"/>
          <w:lang w:val="es-ES"/>
        </w:rPr>
        <w:t>El Estado expl</w:t>
      </w:r>
      <w:r>
        <w:rPr>
          <w:rFonts w:asciiTheme="majorHAnsi" w:hAnsiTheme="majorHAnsi"/>
          <w:sz w:val="20"/>
          <w:szCs w:val="20"/>
          <w:lang w:val="es-ES"/>
        </w:rPr>
        <w:t xml:space="preserve">ica que </w:t>
      </w:r>
      <w:r w:rsidRPr="008D5BCE">
        <w:rPr>
          <w:rFonts w:asciiTheme="majorHAnsi" w:hAnsiTheme="majorHAnsi"/>
          <w:sz w:val="20"/>
          <w:szCs w:val="20"/>
          <w:lang w:val="es-ES"/>
        </w:rPr>
        <w:t xml:space="preserve">el señor Bolden </w:t>
      </w:r>
      <w:r>
        <w:rPr>
          <w:rFonts w:asciiTheme="majorHAnsi" w:hAnsiTheme="majorHAnsi"/>
          <w:sz w:val="20"/>
          <w:szCs w:val="20"/>
          <w:lang w:val="es-ES"/>
        </w:rPr>
        <w:t>no siempre ha cumplido las recomendaciones relativas a la dieta y ha tenido episodios de hipoglucemia</w:t>
      </w:r>
      <w:r w:rsidRPr="008D5BCE">
        <w:rPr>
          <w:rFonts w:asciiTheme="majorHAnsi" w:hAnsiTheme="majorHAnsi"/>
          <w:sz w:val="20"/>
          <w:szCs w:val="20"/>
          <w:lang w:val="es-ES"/>
        </w:rPr>
        <w:t xml:space="preserve">. </w:t>
      </w:r>
      <w:r>
        <w:rPr>
          <w:rFonts w:asciiTheme="majorHAnsi" w:hAnsiTheme="majorHAnsi"/>
          <w:sz w:val="20"/>
          <w:szCs w:val="20"/>
          <w:lang w:val="es-ES"/>
        </w:rPr>
        <w:t xml:space="preserve">Señala que el personal lo monitorea y está disponible para ayudarle a controlar mejor la glucemia, que </w:t>
      </w:r>
      <w:r w:rsidRPr="008D5BCE">
        <w:rPr>
          <w:rFonts w:asciiTheme="majorHAnsi" w:hAnsiTheme="majorHAnsi"/>
          <w:sz w:val="20"/>
          <w:szCs w:val="20"/>
          <w:lang w:val="es-ES"/>
        </w:rPr>
        <w:t xml:space="preserve">el señor Bolden </w:t>
      </w:r>
      <w:r>
        <w:rPr>
          <w:rFonts w:asciiTheme="majorHAnsi" w:hAnsiTheme="majorHAnsi"/>
          <w:sz w:val="20"/>
          <w:szCs w:val="20"/>
          <w:lang w:val="es-ES"/>
        </w:rPr>
        <w:t>tiene como mínimo consultas trimestrales con un médico en el consultorio de enfermedades crónicas y que una enfermera hace rondas diarias en la sección de la cárcel donde está recluido, distribuye medicamentos, avisa a los médicos sobre cualquier problema de índole médica y pide consultas con el médico o con un profesional de nivel medio</w:t>
      </w:r>
      <w:r w:rsidRPr="008D5BCE">
        <w:rPr>
          <w:rFonts w:asciiTheme="majorHAnsi" w:hAnsiTheme="majorHAnsi"/>
          <w:sz w:val="20"/>
          <w:szCs w:val="20"/>
          <w:lang w:val="es-ES"/>
        </w:rPr>
        <w:t>.</w:t>
      </w:r>
    </w:p>
    <w:p w14:paraId="668BE808"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20515832"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8D5BCE">
        <w:rPr>
          <w:rFonts w:asciiTheme="majorHAnsi" w:hAnsiTheme="majorHAnsi"/>
          <w:sz w:val="20"/>
          <w:szCs w:val="20"/>
          <w:lang w:val="es-ES"/>
        </w:rPr>
        <w:t xml:space="preserve">El Estado </w:t>
      </w:r>
      <w:r>
        <w:rPr>
          <w:rFonts w:asciiTheme="majorHAnsi" w:hAnsiTheme="majorHAnsi"/>
          <w:sz w:val="20"/>
          <w:szCs w:val="20"/>
          <w:lang w:val="es-ES"/>
        </w:rPr>
        <w:t>recalca que los asuntos que son el objeto de los reclamos relativos a la</w:t>
      </w:r>
      <w:r w:rsidRPr="008D5BCE">
        <w:rPr>
          <w:rFonts w:asciiTheme="majorHAnsi" w:hAnsiTheme="majorHAnsi"/>
          <w:sz w:val="20"/>
          <w:szCs w:val="20"/>
          <w:lang w:val="es-ES"/>
        </w:rPr>
        <w:t xml:space="preserve"> </w:t>
      </w:r>
      <w:r>
        <w:rPr>
          <w:rFonts w:asciiTheme="majorHAnsi" w:hAnsiTheme="majorHAnsi"/>
          <w:sz w:val="20"/>
          <w:szCs w:val="20"/>
          <w:lang w:val="es-ES"/>
        </w:rPr>
        <w:t>notificación consular</w:t>
      </w:r>
      <w:r w:rsidRPr="008D5BCE">
        <w:rPr>
          <w:rFonts w:asciiTheme="majorHAnsi" w:hAnsiTheme="majorHAnsi"/>
          <w:sz w:val="20"/>
          <w:szCs w:val="20"/>
          <w:lang w:val="es-ES"/>
        </w:rPr>
        <w:t xml:space="preserve"> </w:t>
      </w:r>
      <w:r>
        <w:rPr>
          <w:rFonts w:asciiTheme="majorHAnsi" w:hAnsiTheme="majorHAnsi"/>
          <w:sz w:val="20"/>
          <w:szCs w:val="20"/>
          <w:lang w:val="es-ES"/>
        </w:rPr>
        <w:t>no constituyen una violación de un derecho</w:t>
      </w:r>
      <w:r w:rsidRPr="008D5BCE">
        <w:rPr>
          <w:rFonts w:asciiTheme="majorHAnsi" w:hAnsiTheme="majorHAnsi"/>
          <w:sz w:val="20"/>
          <w:szCs w:val="20"/>
          <w:lang w:val="es-ES"/>
        </w:rPr>
        <w:t xml:space="preserve"> human</w:t>
      </w:r>
      <w:r>
        <w:rPr>
          <w:rFonts w:asciiTheme="majorHAnsi" w:hAnsiTheme="majorHAnsi"/>
          <w:sz w:val="20"/>
          <w:szCs w:val="20"/>
          <w:lang w:val="es-ES"/>
        </w:rPr>
        <w:t>o</w:t>
      </w:r>
      <w:r w:rsidRPr="008D5BCE">
        <w:rPr>
          <w:rFonts w:asciiTheme="majorHAnsi" w:hAnsiTheme="majorHAnsi"/>
          <w:sz w:val="20"/>
          <w:szCs w:val="20"/>
          <w:lang w:val="es-ES"/>
        </w:rPr>
        <w:t xml:space="preserve"> </w:t>
      </w:r>
      <w:r>
        <w:rPr>
          <w:rFonts w:asciiTheme="majorHAnsi" w:hAnsiTheme="majorHAnsi"/>
          <w:sz w:val="20"/>
          <w:szCs w:val="20"/>
          <w:lang w:val="es-ES"/>
        </w:rPr>
        <w:t xml:space="preserve">consagrado en ningún instrumento internacional del cual </w:t>
      </w:r>
      <w:r w:rsidRPr="008D5BCE">
        <w:rPr>
          <w:rFonts w:asciiTheme="majorHAnsi" w:hAnsiTheme="majorHAnsi"/>
          <w:sz w:val="20"/>
          <w:szCs w:val="20"/>
          <w:lang w:val="es-ES"/>
        </w:rPr>
        <w:t xml:space="preserve">el Estado </w:t>
      </w:r>
      <w:r>
        <w:rPr>
          <w:rFonts w:asciiTheme="majorHAnsi" w:hAnsiTheme="majorHAnsi"/>
          <w:sz w:val="20"/>
          <w:szCs w:val="20"/>
          <w:lang w:val="es-ES"/>
        </w:rPr>
        <w:t xml:space="preserve">sea parte o que el Estado haya refrendado. Agrega que, de conformidad con el </w:t>
      </w:r>
      <w:r w:rsidRPr="008D5BCE">
        <w:rPr>
          <w:rFonts w:asciiTheme="majorHAnsi" w:hAnsiTheme="majorHAnsi"/>
          <w:sz w:val="20"/>
          <w:szCs w:val="20"/>
          <w:lang w:val="es-ES"/>
        </w:rPr>
        <w:t xml:space="preserve">artículo 20 </w:t>
      </w:r>
      <w:r>
        <w:rPr>
          <w:rFonts w:asciiTheme="majorHAnsi" w:hAnsiTheme="majorHAnsi"/>
          <w:sz w:val="20"/>
          <w:szCs w:val="20"/>
          <w:lang w:val="es-ES"/>
        </w:rPr>
        <w:t xml:space="preserve">del Estatuto de </w:t>
      </w:r>
      <w:r w:rsidRPr="008D5BCE">
        <w:rPr>
          <w:rFonts w:asciiTheme="majorHAnsi" w:hAnsiTheme="majorHAnsi"/>
          <w:sz w:val="20"/>
          <w:szCs w:val="20"/>
          <w:lang w:val="es-ES"/>
        </w:rPr>
        <w:t>la Comisión</w:t>
      </w:r>
      <w:r>
        <w:rPr>
          <w:rFonts w:asciiTheme="majorHAnsi" w:hAnsiTheme="majorHAnsi"/>
          <w:sz w:val="20"/>
          <w:szCs w:val="20"/>
          <w:lang w:val="es-ES"/>
        </w:rPr>
        <w:t xml:space="preserve"> y los </w:t>
      </w:r>
      <w:r w:rsidRPr="008D5BCE">
        <w:rPr>
          <w:rFonts w:asciiTheme="majorHAnsi" w:hAnsiTheme="majorHAnsi"/>
          <w:sz w:val="20"/>
          <w:szCs w:val="20"/>
          <w:lang w:val="es-ES"/>
        </w:rPr>
        <w:t xml:space="preserve">artículos 23 </w:t>
      </w:r>
      <w:r>
        <w:rPr>
          <w:rFonts w:asciiTheme="majorHAnsi" w:hAnsiTheme="majorHAnsi"/>
          <w:sz w:val="20"/>
          <w:szCs w:val="20"/>
          <w:lang w:val="es-ES"/>
        </w:rPr>
        <w:t>y</w:t>
      </w:r>
      <w:r w:rsidRPr="008D5BCE">
        <w:rPr>
          <w:rFonts w:asciiTheme="majorHAnsi" w:hAnsiTheme="majorHAnsi"/>
          <w:sz w:val="20"/>
          <w:szCs w:val="20"/>
          <w:lang w:val="es-ES"/>
        </w:rPr>
        <w:t xml:space="preserve"> 27 </w:t>
      </w:r>
      <w:r>
        <w:rPr>
          <w:rFonts w:asciiTheme="majorHAnsi" w:hAnsiTheme="majorHAnsi"/>
          <w:sz w:val="20"/>
          <w:szCs w:val="20"/>
          <w:lang w:val="es-ES"/>
        </w:rPr>
        <w:t>del Reglamento, la Comisión no tiene competencia para considerar dichos reclamos</w:t>
      </w:r>
      <w:r w:rsidRPr="008D5BCE">
        <w:rPr>
          <w:rFonts w:asciiTheme="majorHAnsi" w:hAnsiTheme="majorHAnsi"/>
          <w:sz w:val="20"/>
          <w:szCs w:val="20"/>
          <w:lang w:val="es-ES"/>
        </w:rPr>
        <w:t xml:space="preserve">. </w:t>
      </w:r>
    </w:p>
    <w:p w14:paraId="6BB12F1B"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076920D0"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Estados Unidos afirma que el caso es inadmisible de conformidad con los </w:t>
      </w:r>
      <w:r w:rsidRPr="008D5BCE">
        <w:rPr>
          <w:rFonts w:asciiTheme="majorHAnsi" w:hAnsiTheme="majorHAnsi"/>
          <w:sz w:val="20"/>
          <w:szCs w:val="20"/>
          <w:lang w:val="es-ES"/>
        </w:rPr>
        <w:t>artículos 28, 31</w:t>
      </w:r>
      <w:r>
        <w:rPr>
          <w:rFonts w:asciiTheme="majorHAnsi" w:hAnsiTheme="majorHAnsi"/>
          <w:sz w:val="20"/>
          <w:szCs w:val="20"/>
          <w:lang w:val="es-ES"/>
        </w:rPr>
        <w:t xml:space="preserve"> y </w:t>
      </w:r>
      <w:r w:rsidRPr="008D5BCE">
        <w:rPr>
          <w:rFonts w:asciiTheme="majorHAnsi" w:hAnsiTheme="majorHAnsi"/>
          <w:sz w:val="20"/>
          <w:szCs w:val="20"/>
          <w:lang w:val="es-ES"/>
        </w:rPr>
        <w:t xml:space="preserve">34 </w:t>
      </w:r>
      <w:r>
        <w:rPr>
          <w:rFonts w:asciiTheme="majorHAnsi" w:hAnsiTheme="majorHAnsi"/>
          <w:sz w:val="20"/>
          <w:szCs w:val="20"/>
          <w:lang w:val="es-ES"/>
        </w:rPr>
        <w:t xml:space="preserve">del Reglamento. </w:t>
      </w:r>
      <w:r w:rsidRPr="008D5BCE">
        <w:rPr>
          <w:rFonts w:asciiTheme="majorHAnsi" w:hAnsiTheme="majorHAnsi"/>
          <w:sz w:val="20"/>
          <w:szCs w:val="20"/>
          <w:lang w:val="es-ES"/>
        </w:rPr>
        <w:t xml:space="preserve">El Estado </w:t>
      </w:r>
      <w:r>
        <w:rPr>
          <w:rFonts w:asciiTheme="majorHAnsi" w:hAnsiTheme="majorHAnsi"/>
          <w:sz w:val="20"/>
          <w:szCs w:val="20"/>
          <w:lang w:val="es-ES"/>
        </w:rPr>
        <w:t>indica que, si se consideran los reclamos enunciados en</w:t>
      </w:r>
      <w:r w:rsidRPr="008D5BCE">
        <w:rPr>
          <w:rFonts w:asciiTheme="majorHAnsi" w:hAnsiTheme="majorHAnsi"/>
          <w:sz w:val="20"/>
          <w:szCs w:val="20"/>
          <w:lang w:val="es-ES"/>
        </w:rPr>
        <w:t xml:space="preserve"> la petición</w:t>
      </w:r>
      <w:r>
        <w:rPr>
          <w:rFonts w:asciiTheme="majorHAnsi" w:hAnsiTheme="majorHAnsi"/>
          <w:sz w:val="20"/>
          <w:szCs w:val="20"/>
          <w:lang w:val="es-ES"/>
        </w:rPr>
        <w:t xml:space="preserve">, deben desestimarse porque no llegan al umbral establecido en el </w:t>
      </w:r>
      <w:r w:rsidRPr="008D5BCE">
        <w:rPr>
          <w:rFonts w:asciiTheme="majorHAnsi" w:hAnsiTheme="majorHAnsi"/>
          <w:sz w:val="20"/>
          <w:szCs w:val="20"/>
          <w:lang w:val="es-ES"/>
        </w:rPr>
        <w:t xml:space="preserve">artículo 28 </w:t>
      </w:r>
      <w:r>
        <w:rPr>
          <w:rFonts w:asciiTheme="majorHAnsi" w:hAnsiTheme="majorHAnsi"/>
          <w:sz w:val="20"/>
          <w:szCs w:val="20"/>
          <w:lang w:val="es-ES"/>
        </w:rPr>
        <w:t xml:space="preserve">y, si llegan al umbral, son inadmisibles de conformidad con el </w:t>
      </w:r>
      <w:r w:rsidRPr="008D5BCE">
        <w:rPr>
          <w:rFonts w:asciiTheme="majorHAnsi" w:hAnsiTheme="majorHAnsi"/>
          <w:sz w:val="20"/>
          <w:szCs w:val="20"/>
          <w:lang w:val="es-ES"/>
        </w:rPr>
        <w:t>artículo 34</w:t>
      </w:r>
      <w:r>
        <w:rPr>
          <w:rFonts w:asciiTheme="majorHAnsi" w:hAnsiTheme="majorHAnsi"/>
          <w:sz w:val="20"/>
          <w:szCs w:val="20"/>
          <w:lang w:val="es-ES"/>
        </w:rPr>
        <w:t>.</w:t>
      </w:r>
      <w:r w:rsidRPr="008D5BCE">
        <w:rPr>
          <w:rFonts w:asciiTheme="majorHAnsi" w:hAnsiTheme="majorHAnsi"/>
          <w:sz w:val="20"/>
          <w:szCs w:val="20"/>
          <w:lang w:val="es-ES"/>
        </w:rPr>
        <w:t>a</w:t>
      </w:r>
      <w:r>
        <w:rPr>
          <w:rFonts w:asciiTheme="majorHAnsi" w:hAnsiTheme="majorHAnsi"/>
          <w:sz w:val="20"/>
          <w:szCs w:val="20"/>
          <w:lang w:val="es-ES"/>
        </w:rPr>
        <w:t xml:space="preserve"> porque no exponen hechos </w:t>
      </w:r>
      <w:r w:rsidRPr="00B62CA8">
        <w:rPr>
          <w:rFonts w:asciiTheme="majorHAnsi" w:hAnsiTheme="majorHAnsi"/>
          <w:sz w:val="20"/>
          <w:szCs w:val="20"/>
          <w:lang w:val="es-ES"/>
        </w:rPr>
        <w:t>que tiendan a caracterizar una violación de derechos amparados en la Declaración Americana</w:t>
      </w:r>
      <w:r w:rsidRPr="008D5BCE">
        <w:rPr>
          <w:rFonts w:asciiTheme="majorHAnsi" w:hAnsiTheme="majorHAnsi"/>
          <w:sz w:val="20"/>
          <w:szCs w:val="20"/>
          <w:lang w:val="es-ES"/>
        </w:rPr>
        <w:t xml:space="preserve">. </w:t>
      </w:r>
      <w:r>
        <w:rPr>
          <w:rFonts w:asciiTheme="majorHAnsi" w:hAnsiTheme="majorHAnsi"/>
          <w:sz w:val="20"/>
          <w:szCs w:val="20"/>
          <w:lang w:val="es-ES"/>
        </w:rPr>
        <w:t xml:space="preserve">Agrega que </w:t>
      </w:r>
      <w:r w:rsidRPr="008D5BCE">
        <w:rPr>
          <w:rFonts w:asciiTheme="majorHAnsi" w:hAnsiTheme="majorHAnsi"/>
          <w:sz w:val="20"/>
          <w:szCs w:val="20"/>
          <w:lang w:val="es-ES"/>
        </w:rPr>
        <w:t xml:space="preserve">la petición </w:t>
      </w:r>
      <w:r>
        <w:rPr>
          <w:rFonts w:asciiTheme="majorHAnsi" w:hAnsiTheme="majorHAnsi"/>
          <w:sz w:val="20"/>
          <w:szCs w:val="20"/>
          <w:lang w:val="es-ES"/>
        </w:rPr>
        <w:t>e</w:t>
      </w:r>
      <w:r w:rsidRPr="008D5BCE">
        <w:rPr>
          <w:rFonts w:asciiTheme="majorHAnsi" w:hAnsiTheme="majorHAnsi"/>
          <w:sz w:val="20"/>
          <w:szCs w:val="20"/>
          <w:lang w:val="es-ES"/>
        </w:rPr>
        <w:t xml:space="preserve">s inadmisible </w:t>
      </w:r>
      <w:r>
        <w:rPr>
          <w:rFonts w:asciiTheme="majorHAnsi" w:hAnsiTheme="majorHAnsi"/>
          <w:sz w:val="20"/>
          <w:szCs w:val="20"/>
          <w:lang w:val="es-ES"/>
        </w:rPr>
        <w:t xml:space="preserve">de acuerdo con el requisito establecido en el </w:t>
      </w:r>
      <w:r w:rsidRPr="008D5BCE">
        <w:rPr>
          <w:rFonts w:asciiTheme="majorHAnsi" w:hAnsiTheme="majorHAnsi"/>
          <w:sz w:val="20"/>
          <w:szCs w:val="20"/>
          <w:lang w:val="es-ES"/>
        </w:rPr>
        <w:t>artículo 31</w:t>
      </w:r>
      <w:r>
        <w:rPr>
          <w:rFonts w:asciiTheme="majorHAnsi" w:hAnsiTheme="majorHAnsi"/>
          <w:sz w:val="20"/>
          <w:szCs w:val="20"/>
          <w:lang w:val="es-ES"/>
        </w:rPr>
        <w:t xml:space="preserve"> relativo al agotamiento de recursos internos</w:t>
      </w:r>
      <w:r w:rsidRPr="008D5BCE">
        <w:rPr>
          <w:rFonts w:asciiTheme="majorHAnsi" w:hAnsiTheme="majorHAnsi"/>
          <w:sz w:val="20"/>
          <w:szCs w:val="20"/>
          <w:lang w:val="es-ES"/>
        </w:rPr>
        <w:t xml:space="preserve">, </w:t>
      </w:r>
      <w:r>
        <w:rPr>
          <w:rFonts w:asciiTheme="majorHAnsi" w:hAnsiTheme="majorHAnsi"/>
          <w:sz w:val="20"/>
          <w:szCs w:val="20"/>
          <w:lang w:val="es-ES"/>
        </w:rPr>
        <w:t>ya que la apelación de la condena penal d</w:t>
      </w:r>
      <w:r w:rsidRPr="008D5BCE">
        <w:rPr>
          <w:rFonts w:asciiTheme="majorHAnsi" w:hAnsiTheme="majorHAnsi"/>
          <w:sz w:val="20"/>
          <w:szCs w:val="20"/>
          <w:lang w:val="es-ES"/>
        </w:rPr>
        <w:t xml:space="preserve">el señor Kadamovas </w:t>
      </w:r>
      <w:r>
        <w:rPr>
          <w:rFonts w:asciiTheme="majorHAnsi" w:hAnsiTheme="majorHAnsi"/>
          <w:sz w:val="20"/>
          <w:szCs w:val="20"/>
          <w:lang w:val="es-ES"/>
        </w:rPr>
        <w:t xml:space="preserve">está tramitando ante </w:t>
      </w:r>
      <w:r w:rsidRPr="00FA7810">
        <w:rPr>
          <w:rFonts w:asciiTheme="majorHAnsi" w:hAnsiTheme="majorHAnsi"/>
          <w:sz w:val="20"/>
          <w:szCs w:val="20"/>
          <w:lang w:val="es-ES"/>
        </w:rPr>
        <w:t>el Tribunal Federal de Apelaciones para el Noveno Circuito</w:t>
      </w:r>
      <w:r w:rsidRPr="008D5BCE">
        <w:rPr>
          <w:rFonts w:asciiTheme="majorHAnsi" w:hAnsiTheme="majorHAnsi"/>
          <w:sz w:val="20"/>
          <w:szCs w:val="20"/>
          <w:lang w:val="es-ES"/>
        </w:rPr>
        <w:t xml:space="preserve"> </w:t>
      </w:r>
      <w:r>
        <w:rPr>
          <w:rFonts w:asciiTheme="majorHAnsi" w:hAnsiTheme="majorHAnsi"/>
          <w:sz w:val="20"/>
          <w:szCs w:val="20"/>
          <w:lang w:val="es-ES"/>
        </w:rPr>
        <w:t xml:space="preserve">y hay dos acciones </w:t>
      </w:r>
      <w:r w:rsidRPr="008D5BCE">
        <w:rPr>
          <w:rFonts w:asciiTheme="majorHAnsi" w:hAnsiTheme="majorHAnsi"/>
          <w:sz w:val="20"/>
          <w:szCs w:val="20"/>
          <w:lang w:val="es-ES"/>
        </w:rPr>
        <w:t>civil</w:t>
      </w:r>
      <w:r>
        <w:rPr>
          <w:rFonts w:asciiTheme="majorHAnsi" w:hAnsiTheme="majorHAnsi"/>
          <w:sz w:val="20"/>
          <w:szCs w:val="20"/>
          <w:lang w:val="es-ES"/>
        </w:rPr>
        <w:t xml:space="preserve">es relativas a las condiciones de reclusión que están pendientes ante el </w:t>
      </w:r>
      <w:r w:rsidRPr="00FA7810">
        <w:rPr>
          <w:rFonts w:asciiTheme="majorHAnsi" w:hAnsiTheme="majorHAnsi"/>
          <w:sz w:val="20"/>
          <w:szCs w:val="20"/>
          <w:lang w:val="es-ES"/>
        </w:rPr>
        <w:t>Tribunal Federal de Primera Instancia para el Distrito del Sur de Indiana</w:t>
      </w:r>
      <w:r w:rsidRPr="008D5BCE">
        <w:rPr>
          <w:rFonts w:asciiTheme="majorHAnsi" w:hAnsiTheme="majorHAnsi"/>
          <w:sz w:val="20"/>
          <w:szCs w:val="20"/>
          <w:lang w:val="es-ES"/>
        </w:rPr>
        <w:t xml:space="preserve">. </w:t>
      </w:r>
    </w:p>
    <w:p w14:paraId="671C84BB" w14:textId="77777777" w:rsidR="00702483" w:rsidRPr="008D5BCE" w:rsidRDefault="00702483" w:rsidP="00702483">
      <w:pPr>
        <w:rPr>
          <w:rFonts w:asciiTheme="majorHAnsi" w:hAnsiTheme="majorHAnsi"/>
          <w:sz w:val="20"/>
          <w:szCs w:val="20"/>
          <w:lang w:val="es-ES"/>
        </w:rPr>
      </w:pPr>
    </w:p>
    <w:p w14:paraId="4C1CEA7A"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Asimismo, e</w:t>
      </w:r>
      <w:r w:rsidRPr="008D5BCE">
        <w:rPr>
          <w:rFonts w:asciiTheme="majorHAnsi" w:hAnsiTheme="majorHAnsi"/>
          <w:sz w:val="20"/>
          <w:szCs w:val="20"/>
          <w:lang w:val="es-ES"/>
        </w:rPr>
        <w:t xml:space="preserve">l Estado </w:t>
      </w:r>
      <w:r>
        <w:rPr>
          <w:rFonts w:asciiTheme="majorHAnsi" w:hAnsiTheme="majorHAnsi"/>
          <w:sz w:val="20"/>
          <w:szCs w:val="20"/>
          <w:lang w:val="es-ES"/>
        </w:rPr>
        <w:t xml:space="preserve">afirma que </w:t>
      </w:r>
      <w:r w:rsidRPr="008D5BCE">
        <w:rPr>
          <w:rFonts w:asciiTheme="majorHAnsi" w:hAnsiTheme="majorHAnsi"/>
          <w:sz w:val="20"/>
          <w:szCs w:val="20"/>
          <w:lang w:val="es-ES"/>
        </w:rPr>
        <w:t xml:space="preserve">el señor Bolden </w:t>
      </w:r>
      <w:r>
        <w:rPr>
          <w:rFonts w:asciiTheme="majorHAnsi" w:hAnsiTheme="majorHAnsi"/>
          <w:sz w:val="20"/>
          <w:szCs w:val="20"/>
          <w:lang w:val="es-ES"/>
        </w:rPr>
        <w:t xml:space="preserve">no ha demostrado la </w:t>
      </w:r>
      <w:r w:rsidRPr="008D5BCE">
        <w:rPr>
          <w:rFonts w:asciiTheme="majorHAnsi" w:hAnsiTheme="majorHAnsi"/>
          <w:sz w:val="20"/>
          <w:szCs w:val="20"/>
          <w:lang w:val="es-ES"/>
        </w:rPr>
        <w:t xml:space="preserve">admisibilidad </w:t>
      </w:r>
      <w:r>
        <w:rPr>
          <w:rFonts w:asciiTheme="majorHAnsi" w:hAnsiTheme="majorHAnsi"/>
          <w:sz w:val="20"/>
          <w:szCs w:val="20"/>
          <w:lang w:val="es-ES"/>
        </w:rPr>
        <w:t>de sus reclamos</w:t>
      </w:r>
      <w:r w:rsidRPr="008D5BCE">
        <w:rPr>
          <w:rFonts w:asciiTheme="majorHAnsi" w:hAnsiTheme="majorHAnsi"/>
          <w:sz w:val="20"/>
          <w:szCs w:val="20"/>
          <w:lang w:val="es-ES"/>
        </w:rPr>
        <w:t xml:space="preserve">. </w:t>
      </w:r>
      <w:r>
        <w:rPr>
          <w:rFonts w:asciiTheme="majorHAnsi" w:hAnsiTheme="majorHAnsi"/>
          <w:sz w:val="20"/>
          <w:szCs w:val="20"/>
          <w:lang w:val="es-ES"/>
        </w:rPr>
        <w:t xml:space="preserve">Específicamente, </w:t>
      </w:r>
      <w:r w:rsidRPr="008D5BCE">
        <w:rPr>
          <w:rFonts w:asciiTheme="majorHAnsi" w:hAnsiTheme="majorHAnsi"/>
          <w:sz w:val="20"/>
          <w:szCs w:val="20"/>
          <w:lang w:val="es-ES"/>
        </w:rPr>
        <w:t>el Estado expl</w:t>
      </w:r>
      <w:r>
        <w:rPr>
          <w:rFonts w:asciiTheme="majorHAnsi" w:hAnsiTheme="majorHAnsi"/>
          <w:sz w:val="20"/>
          <w:szCs w:val="20"/>
          <w:lang w:val="es-ES"/>
        </w:rPr>
        <w:t>ica que, a la fecha de presentación de</w:t>
      </w:r>
      <w:r w:rsidRPr="008D5BCE">
        <w:rPr>
          <w:rFonts w:asciiTheme="majorHAnsi" w:hAnsiTheme="majorHAnsi"/>
          <w:sz w:val="20"/>
          <w:szCs w:val="20"/>
          <w:lang w:val="es-ES"/>
        </w:rPr>
        <w:t xml:space="preserve"> la petición, el señor Bolden ha</w:t>
      </w:r>
      <w:r>
        <w:rPr>
          <w:rFonts w:asciiTheme="majorHAnsi" w:hAnsiTheme="majorHAnsi"/>
          <w:sz w:val="20"/>
          <w:szCs w:val="20"/>
          <w:lang w:val="es-ES"/>
        </w:rPr>
        <w:t xml:space="preserve">bía interpuesto varias acciones </w:t>
      </w:r>
      <w:r w:rsidRPr="008D5BCE">
        <w:rPr>
          <w:rFonts w:asciiTheme="majorHAnsi" w:hAnsiTheme="majorHAnsi"/>
          <w:sz w:val="20"/>
          <w:szCs w:val="20"/>
          <w:lang w:val="es-ES"/>
        </w:rPr>
        <w:t>civil</w:t>
      </w:r>
      <w:r>
        <w:rPr>
          <w:rFonts w:asciiTheme="majorHAnsi" w:hAnsiTheme="majorHAnsi"/>
          <w:sz w:val="20"/>
          <w:szCs w:val="20"/>
          <w:lang w:val="es-ES"/>
        </w:rPr>
        <w:t xml:space="preserve">es relacionadas con supuestas falencias de la atención médica, la nutrición y </w:t>
      </w:r>
      <w:r w:rsidRPr="008D5BCE">
        <w:rPr>
          <w:rFonts w:asciiTheme="majorHAnsi" w:hAnsiTheme="majorHAnsi"/>
          <w:sz w:val="20"/>
          <w:szCs w:val="20"/>
          <w:lang w:val="es-ES"/>
        </w:rPr>
        <w:t xml:space="preserve"> </w:t>
      </w:r>
      <w:r>
        <w:rPr>
          <w:rFonts w:asciiTheme="majorHAnsi" w:hAnsiTheme="majorHAnsi"/>
          <w:sz w:val="20"/>
          <w:szCs w:val="20"/>
          <w:lang w:val="es-ES"/>
        </w:rPr>
        <w:t xml:space="preserve">el acceso a la biblioteca de derecho, a los servicios de informática y a servicios de asistencia jurídica y seguía litigando por lo menos una de las acciones ante </w:t>
      </w:r>
      <w:r w:rsidRPr="008D5BCE">
        <w:rPr>
          <w:rFonts w:asciiTheme="majorHAnsi" w:hAnsiTheme="majorHAnsi"/>
          <w:sz w:val="20"/>
          <w:szCs w:val="20"/>
          <w:lang w:val="es-ES"/>
        </w:rPr>
        <w:t xml:space="preserve">el Tribunal Federal </w:t>
      </w:r>
      <w:r>
        <w:rPr>
          <w:rFonts w:asciiTheme="majorHAnsi" w:hAnsiTheme="majorHAnsi"/>
          <w:sz w:val="20"/>
          <w:szCs w:val="20"/>
          <w:lang w:val="es-ES"/>
        </w:rPr>
        <w:t>de</w:t>
      </w:r>
      <w:r w:rsidRPr="008D5BCE">
        <w:rPr>
          <w:rFonts w:asciiTheme="majorHAnsi" w:hAnsiTheme="majorHAnsi"/>
          <w:sz w:val="20"/>
          <w:szCs w:val="20"/>
          <w:lang w:val="es-ES"/>
        </w:rPr>
        <w:t xml:space="preserve"> Primera Instancia </w:t>
      </w:r>
      <w:r>
        <w:rPr>
          <w:rFonts w:asciiTheme="majorHAnsi" w:hAnsiTheme="majorHAnsi"/>
          <w:sz w:val="20"/>
          <w:szCs w:val="20"/>
          <w:lang w:val="es-ES"/>
        </w:rPr>
        <w:t xml:space="preserve">para el Distrito del Sur de </w:t>
      </w:r>
      <w:r w:rsidRPr="008D5BCE">
        <w:rPr>
          <w:rFonts w:asciiTheme="majorHAnsi" w:hAnsiTheme="majorHAnsi"/>
          <w:sz w:val="20"/>
          <w:szCs w:val="20"/>
          <w:lang w:val="es-ES"/>
        </w:rPr>
        <w:t xml:space="preserve">Indiana, </w:t>
      </w:r>
      <w:r>
        <w:rPr>
          <w:rFonts w:asciiTheme="majorHAnsi" w:hAnsiTheme="majorHAnsi"/>
          <w:sz w:val="20"/>
          <w:szCs w:val="20"/>
          <w:lang w:val="es-ES"/>
        </w:rPr>
        <w:t xml:space="preserve">en la cual alegaba que </w:t>
      </w:r>
      <w:r w:rsidRPr="008D5BCE">
        <w:rPr>
          <w:rFonts w:asciiTheme="majorHAnsi" w:hAnsiTheme="majorHAnsi"/>
          <w:sz w:val="20"/>
          <w:szCs w:val="20"/>
          <w:lang w:val="es-ES"/>
        </w:rPr>
        <w:t xml:space="preserve">la Administración Federal de Prisiones </w:t>
      </w:r>
      <w:r>
        <w:rPr>
          <w:rFonts w:asciiTheme="majorHAnsi" w:hAnsiTheme="majorHAnsi"/>
          <w:sz w:val="20"/>
          <w:szCs w:val="20"/>
          <w:lang w:val="es-ES"/>
        </w:rPr>
        <w:t xml:space="preserve">le había negado el tratamiento médico requerido de acuerdo con la Constitución. En vista de que </w:t>
      </w:r>
      <w:r w:rsidRPr="008D5BCE">
        <w:rPr>
          <w:rFonts w:asciiTheme="majorHAnsi" w:hAnsiTheme="majorHAnsi"/>
          <w:sz w:val="20"/>
          <w:szCs w:val="20"/>
          <w:lang w:val="es-ES"/>
        </w:rPr>
        <w:t xml:space="preserve">el señor Bolden </w:t>
      </w:r>
      <w:r>
        <w:rPr>
          <w:rFonts w:asciiTheme="majorHAnsi" w:hAnsiTheme="majorHAnsi"/>
          <w:sz w:val="20"/>
          <w:szCs w:val="20"/>
          <w:lang w:val="es-ES"/>
        </w:rPr>
        <w:t xml:space="preserve">sigue interponiendo recursos y de que hay más recursos internos que podría interponer, </w:t>
      </w:r>
      <w:r w:rsidRPr="008D5BCE">
        <w:rPr>
          <w:rFonts w:asciiTheme="majorHAnsi" w:hAnsiTheme="majorHAnsi"/>
          <w:sz w:val="20"/>
          <w:szCs w:val="20"/>
          <w:lang w:val="es-ES"/>
        </w:rPr>
        <w:t>el Estado a</w:t>
      </w:r>
      <w:r>
        <w:rPr>
          <w:rFonts w:asciiTheme="majorHAnsi" w:hAnsiTheme="majorHAnsi"/>
          <w:sz w:val="20"/>
          <w:szCs w:val="20"/>
          <w:lang w:val="es-ES"/>
        </w:rPr>
        <w:t>duce que no reúne los requisitos del</w:t>
      </w:r>
      <w:r w:rsidRPr="008D5BCE">
        <w:rPr>
          <w:rFonts w:asciiTheme="majorHAnsi" w:hAnsiTheme="majorHAnsi"/>
          <w:sz w:val="20"/>
          <w:szCs w:val="20"/>
          <w:lang w:val="es-ES"/>
        </w:rPr>
        <w:t xml:space="preserve"> artículo 31 </w:t>
      </w:r>
      <w:r>
        <w:rPr>
          <w:rFonts w:asciiTheme="majorHAnsi" w:hAnsiTheme="majorHAnsi"/>
          <w:sz w:val="20"/>
          <w:szCs w:val="20"/>
          <w:lang w:val="es-ES"/>
        </w:rPr>
        <w:t>del Reglamento</w:t>
      </w:r>
      <w:r w:rsidRPr="008D5BCE">
        <w:rPr>
          <w:rFonts w:asciiTheme="majorHAnsi" w:hAnsiTheme="majorHAnsi"/>
          <w:sz w:val="20"/>
          <w:szCs w:val="20"/>
          <w:lang w:val="es-ES"/>
        </w:rPr>
        <w:t xml:space="preserve">. </w:t>
      </w:r>
    </w:p>
    <w:p w14:paraId="0C5C1D6B"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44E15635"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suppressAutoHyphens/>
        <w:ind w:left="0" w:firstLine="0"/>
        <w:jc w:val="both"/>
        <w:textAlignment w:val="baseline"/>
        <w:rPr>
          <w:rFonts w:asciiTheme="majorHAnsi" w:hAnsiTheme="majorHAnsi"/>
          <w:sz w:val="20"/>
          <w:szCs w:val="20"/>
          <w:lang w:val="es-ES"/>
        </w:rPr>
      </w:pPr>
      <w:r>
        <w:rPr>
          <w:rFonts w:asciiTheme="majorHAnsi" w:hAnsiTheme="majorHAnsi"/>
          <w:sz w:val="20"/>
          <w:szCs w:val="20"/>
          <w:lang w:val="es-ES"/>
        </w:rPr>
        <w:t>Con respecto a los señores</w:t>
      </w:r>
      <w:r w:rsidRPr="008D5BCE">
        <w:rPr>
          <w:rFonts w:asciiTheme="majorHAnsi" w:hAnsiTheme="majorHAnsi"/>
          <w:sz w:val="20"/>
          <w:szCs w:val="20"/>
          <w:lang w:val="es-ES"/>
        </w:rPr>
        <w:t xml:space="preserve"> Sinisterra, Ortiz, Mikhel </w:t>
      </w:r>
      <w:r>
        <w:rPr>
          <w:rFonts w:asciiTheme="majorHAnsi" w:hAnsiTheme="majorHAnsi"/>
          <w:sz w:val="20"/>
          <w:szCs w:val="20"/>
          <w:lang w:val="es-ES"/>
        </w:rPr>
        <w:t xml:space="preserve">y </w:t>
      </w:r>
      <w:r w:rsidRPr="008D5BCE">
        <w:rPr>
          <w:rFonts w:asciiTheme="majorHAnsi" w:hAnsiTheme="majorHAnsi"/>
          <w:sz w:val="20"/>
          <w:szCs w:val="20"/>
          <w:lang w:val="es-ES"/>
        </w:rPr>
        <w:t xml:space="preserve">Umana, el Estado </w:t>
      </w:r>
      <w:r>
        <w:rPr>
          <w:rFonts w:asciiTheme="majorHAnsi" w:hAnsiTheme="majorHAnsi"/>
          <w:sz w:val="20"/>
          <w:szCs w:val="20"/>
          <w:lang w:val="es-ES"/>
        </w:rPr>
        <w:t xml:space="preserve">afirma que </w:t>
      </w:r>
      <w:r w:rsidRPr="008D5BCE">
        <w:rPr>
          <w:rFonts w:asciiTheme="majorHAnsi" w:hAnsiTheme="majorHAnsi"/>
          <w:sz w:val="20"/>
          <w:szCs w:val="20"/>
          <w:lang w:val="es-ES"/>
        </w:rPr>
        <w:t xml:space="preserve">la petición </w:t>
      </w:r>
      <w:r>
        <w:rPr>
          <w:rFonts w:asciiTheme="majorHAnsi" w:hAnsiTheme="majorHAnsi"/>
          <w:sz w:val="20"/>
          <w:szCs w:val="20"/>
          <w:lang w:val="es-ES"/>
        </w:rPr>
        <w:t xml:space="preserve">no cumple los requisitos del umbral establecido en el </w:t>
      </w:r>
      <w:r w:rsidRPr="008D5BCE">
        <w:rPr>
          <w:rFonts w:asciiTheme="majorHAnsi" w:hAnsiTheme="majorHAnsi"/>
          <w:sz w:val="20"/>
          <w:szCs w:val="20"/>
          <w:lang w:val="es-ES"/>
        </w:rPr>
        <w:t xml:space="preserve">artículo 28 </w:t>
      </w:r>
      <w:r>
        <w:rPr>
          <w:rFonts w:asciiTheme="majorHAnsi" w:hAnsiTheme="majorHAnsi"/>
          <w:sz w:val="20"/>
          <w:szCs w:val="20"/>
          <w:lang w:val="es-ES"/>
        </w:rPr>
        <w:t xml:space="preserve">del Reglamento. Agrega que, debido a la ausencia de hechos relacionados con dichos </w:t>
      </w:r>
      <w:r w:rsidRPr="008D5BCE">
        <w:rPr>
          <w:rFonts w:asciiTheme="majorHAnsi" w:hAnsiTheme="majorHAnsi"/>
          <w:sz w:val="20"/>
          <w:szCs w:val="20"/>
          <w:lang w:val="es-ES"/>
        </w:rPr>
        <w:t>peticionarios</w:t>
      </w:r>
      <w:r>
        <w:rPr>
          <w:rFonts w:asciiTheme="majorHAnsi" w:hAnsiTheme="majorHAnsi"/>
          <w:sz w:val="20"/>
          <w:szCs w:val="20"/>
          <w:lang w:val="es-ES"/>
        </w:rPr>
        <w:t>, todo reclamo relativo a ellos sería i</w:t>
      </w:r>
      <w:r w:rsidRPr="008D5BCE">
        <w:rPr>
          <w:rFonts w:asciiTheme="majorHAnsi" w:hAnsiTheme="majorHAnsi"/>
          <w:sz w:val="20"/>
          <w:szCs w:val="20"/>
          <w:lang w:val="es-ES"/>
        </w:rPr>
        <w:t xml:space="preserve">nadmisible </w:t>
      </w:r>
      <w:r>
        <w:rPr>
          <w:rFonts w:asciiTheme="majorHAnsi" w:hAnsiTheme="majorHAnsi"/>
          <w:sz w:val="20"/>
          <w:szCs w:val="20"/>
          <w:lang w:val="es-ES"/>
        </w:rPr>
        <w:t xml:space="preserve">de acuerdo con el </w:t>
      </w:r>
      <w:r w:rsidRPr="008D5BCE">
        <w:rPr>
          <w:rFonts w:asciiTheme="majorHAnsi" w:hAnsiTheme="majorHAnsi"/>
          <w:sz w:val="20"/>
          <w:szCs w:val="20"/>
          <w:lang w:val="es-ES"/>
        </w:rPr>
        <w:t>artículo 34</w:t>
      </w:r>
      <w:r>
        <w:rPr>
          <w:rFonts w:asciiTheme="majorHAnsi" w:hAnsiTheme="majorHAnsi"/>
          <w:sz w:val="20"/>
          <w:szCs w:val="20"/>
          <w:lang w:val="es-ES"/>
        </w:rPr>
        <w:t>.</w:t>
      </w:r>
      <w:r w:rsidRPr="008D5BCE">
        <w:rPr>
          <w:rFonts w:asciiTheme="majorHAnsi" w:hAnsiTheme="majorHAnsi"/>
          <w:sz w:val="20"/>
          <w:szCs w:val="20"/>
          <w:lang w:val="es-ES"/>
        </w:rPr>
        <w:t>a</w:t>
      </w:r>
      <w:r>
        <w:rPr>
          <w:rFonts w:asciiTheme="majorHAnsi" w:hAnsiTheme="majorHAnsi"/>
          <w:sz w:val="20"/>
          <w:szCs w:val="20"/>
          <w:lang w:val="es-ES"/>
        </w:rPr>
        <w:t xml:space="preserve"> incluso si se llegara al umbral</w:t>
      </w:r>
      <w:r w:rsidRPr="008D5BCE">
        <w:rPr>
          <w:rFonts w:asciiTheme="majorHAnsi" w:hAnsiTheme="majorHAnsi"/>
          <w:sz w:val="20"/>
          <w:szCs w:val="20"/>
          <w:lang w:val="es-ES"/>
        </w:rPr>
        <w:t xml:space="preserve">. </w:t>
      </w:r>
    </w:p>
    <w:p w14:paraId="13B4FBE9"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suppressAutoHyphens/>
        <w:jc w:val="both"/>
        <w:textAlignment w:val="baseline"/>
        <w:rPr>
          <w:rFonts w:asciiTheme="majorHAnsi" w:hAnsiTheme="majorHAnsi"/>
          <w:sz w:val="20"/>
          <w:szCs w:val="20"/>
          <w:lang w:val="es-ES"/>
        </w:rPr>
      </w:pPr>
    </w:p>
    <w:p w14:paraId="2130C627"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D5BCE">
        <w:rPr>
          <w:rFonts w:asciiTheme="majorHAnsi" w:hAnsiTheme="majorHAnsi"/>
          <w:sz w:val="20"/>
          <w:szCs w:val="20"/>
          <w:lang w:val="es-ES"/>
        </w:rPr>
        <w:lastRenderedPageBreak/>
        <w:t xml:space="preserve">El Estado afirma que la Comisión no está facultada para </w:t>
      </w:r>
      <w:r w:rsidR="0021742B">
        <w:rPr>
          <w:rFonts w:asciiTheme="majorHAnsi" w:hAnsiTheme="majorHAnsi"/>
          <w:sz w:val="20"/>
          <w:szCs w:val="20"/>
          <w:lang w:val="es-ES"/>
        </w:rPr>
        <w:t>solicitar</w:t>
      </w:r>
      <w:r w:rsidRPr="008D5BCE">
        <w:rPr>
          <w:rFonts w:asciiTheme="majorHAnsi" w:hAnsiTheme="majorHAnsi"/>
          <w:sz w:val="20"/>
          <w:szCs w:val="20"/>
          <w:lang w:val="es-ES"/>
        </w:rPr>
        <w:t xml:space="preserve"> que Estados Unidos adopte medidas cautelares </w:t>
      </w:r>
      <w:r w:rsidR="0021742B">
        <w:rPr>
          <w:rFonts w:asciiTheme="majorHAnsi" w:hAnsiTheme="majorHAnsi"/>
          <w:sz w:val="20"/>
          <w:szCs w:val="20"/>
          <w:lang w:val="es-ES"/>
        </w:rPr>
        <w:t>y considera que este tipo de solicitudes son</w:t>
      </w:r>
      <w:r w:rsidRPr="008D5BCE">
        <w:rPr>
          <w:rFonts w:asciiTheme="majorHAnsi" w:hAnsiTheme="majorHAnsi"/>
          <w:sz w:val="20"/>
          <w:szCs w:val="20"/>
          <w:lang w:val="es-ES"/>
        </w:rPr>
        <w:t xml:space="preserve"> una recomendación no vinculante. El Estado rechaza respetuosamente la </w:t>
      </w:r>
      <w:r w:rsidR="0021742B">
        <w:rPr>
          <w:rFonts w:asciiTheme="majorHAnsi" w:hAnsiTheme="majorHAnsi"/>
          <w:sz w:val="20"/>
          <w:szCs w:val="20"/>
          <w:lang w:val="es-ES"/>
        </w:rPr>
        <w:t>solicitud de medida cautelar</w:t>
      </w:r>
      <w:r w:rsidRPr="008D5BCE">
        <w:rPr>
          <w:rFonts w:asciiTheme="majorHAnsi" w:hAnsiTheme="majorHAnsi"/>
          <w:sz w:val="20"/>
          <w:szCs w:val="20"/>
          <w:lang w:val="es-ES"/>
        </w:rPr>
        <w:t xml:space="preserve"> a la Comisión </w:t>
      </w:r>
      <w:r w:rsidR="0021742B">
        <w:rPr>
          <w:rFonts w:asciiTheme="majorHAnsi" w:hAnsiTheme="majorHAnsi"/>
          <w:sz w:val="20"/>
          <w:szCs w:val="20"/>
          <w:lang w:val="es-ES"/>
        </w:rPr>
        <w:t>y pide que la levante</w:t>
      </w:r>
      <w:r w:rsidRPr="008D5BCE">
        <w:rPr>
          <w:rFonts w:asciiTheme="majorHAnsi" w:hAnsiTheme="majorHAnsi"/>
          <w:sz w:val="20"/>
          <w:szCs w:val="20"/>
          <w:lang w:val="es-ES"/>
        </w:rPr>
        <w:t xml:space="preserve">. Pone de relieve la falta de información y señala que los peticionarios no corren un riesgo inminente de sufrir un daño irreparable, ya que no se ha programado la ejecución de ninguno de ellos y algunos </w:t>
      </w:r>
      <w:r w:rsidR="0021742B">
        <w:rPr>
          <w:rFonts w:asciiTheme="majorHAnsi" w:hAnsiTheme="majorHAnsi"/>
          <w:sz w:val="20"/>
          <w:szCs w:val="20"/>
          <w:lang w:val="es-ES"/>
        </w:rPr>
        <w:t>aún</w:t>
      </w:r>
      <w:r w:rsidRPr="008D5BCE">
        <w:rPr>
          <w:rFonts w:asciiTheme="majorHAnsi" w:hAnsiTheme="majorHAnsi"/>
          <w:sz w:val="20"/>
          <w:szCs w:val="20"/>
          <w:lang w:val="es-ES"/>
        </w:rPr>
        <w:t xml:space="preserve"> están interponiendo recursos internos. Además, informa que el Departamento de Justicia sigue revisando el protocolo federal para ejecuciones utilizado por la Administración Federal de Prisiones, así como cuestiones de política relacionadas con la pena de muerte, y no habrá ejecuciones mientras dicha revisión siga pendiente. </w:t>
      </w:r>
    </w:p>
    <w:p w14:paraId="672E9BF5"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02220563" w14:textId="77777777" w:rsidR="00702483" w:rsidRPr="008D5BCE" w:rsidRDefault="00702483" w:rsidP="00702483">
      <w:pPr>
        <w:pStyle w:val="Heading1"/>
        <w:tabs>
          <w:tab w:val="left" w:pos="360"/>
        </w:tabs>
        <w:spacing w:before="0"/>
        <w:ind w:hanging="720"/>
        <w:rPr>
          <w:color w:val="auto"/>
          <w:sz w:val="20"/>
          <w:szCs w:val="20"/>
          <w:lang w:val="es-ES"/>
        </w:rPr>
      </w:pPr>
      <w:bookmarkStart w:id="6" w:name="_Toc90289310"/>
      <w:r w:rsidRPr="008D5BCE">
        <w:rPr>
          <w:color w:val="auto"/>
          <w:sz w:val="20"/>
          <w:szCs w:val="20"/>
          <w:lang w:val="es-ES"/>
        </w:rPr>
        <w:t>ADMISIBILIDAD</w:t>
      </w:r>
      <w:bookmarkEnd w:id="6"/>
      <w:r w:rsidRPr="008D5BCE">
        <w:rPr>
          <w:sz w:val="20"/>
          <w:szCs w:val="20"/>
          <w:lang w:val="es-ES"/>
        </w:rPr>
        <w:tab/>
      </w:r>
    </w:p>
    <w:p w14:paraId="6E355259" w14:textId="77777777" w:rsidR="00702483" w:rsidRPr="008D5BCE" w:rsidRDefault="00702483" w:rsidP="00702483">
      <w:pPr>
        <w:rPr>
          <w:rFonts w:asciiTheme="majorHAnsi" w:hAnsiTheme="majorHAnsi"/>
          <w:sz w:val="20"/>
          <w:szCs w:val="20"/>
          <w:lang w:val="es-ES"/>
        </w:rPr>
      </w:pPr>
    </w:p>
    <w:p w14:paraId="0EA500B2" w14:textId="77777777" w:rsidR="00702483" w:rsidRPr="00702483" w:rsidRDefault="00702483" w:rsidP="007E283D">
      <w:pPr>
        <w:pStyle w:val="Heading2"/>
        <w:numPr>
          <w:ilvl w:val="0"/>
          <w:numId w:val="59"/>
        </w:numPr>
        <w:spacing w:before="0" w:after="0"/>
        <w:ind w:left="360"/>
        <w:rPr>
          <w:rFonts w:asciiTheme="majorHAnsi" w:hAnsiTheme="majorHAnsi" w:cs="Times New Roman"/>
          <w:i w:val="0"/>
          <w:sz w:val="20"/>
          <w:szCs w:val="20"/>
          <w:lang w:val="es-ES"/>
        </w:rPr>
      </w:pPr>
      <w:bookmarkStart w:id="7" w:name="_Toc90289311"/>
      <w:bookmarkStart w:id="8" w:name="_Toc6349142"/>
      <w:r w:rsidRPr="00702483">
        <w:rPr>
          <w:rFonts w:asciiTheme="majorHAnsi" w:hAnsiTheme="majorHAnsi" w:cs="Times New Roman"/>
          <w:i w:val="0"/>
          <w:sz w:val="20"/>
          <w:szCs w:val="20"/>
          <w:lang w:val="es-ES"/>
        </w:rPr>
        <w:t>Competencia, duplicación de procedimientos y cosa juzgada internacional</w:t>
      </w:r>
      <w:bookmarkEnd w:id="7"/>
      <w:r w:rsidRPr="00702483">
        <w:rPr>
          <w:rFonts w:asciiTheme="majorHAnsi" w:hAnsiTheme="majorHAnsi" w:cs="Times New Roman"/>
          <w:i w:val="0"/>
          <w:sz w:val="20"/>
          <w:szCs w:val="20"/>
          <w:lang w:val="es-ES"/>
        </w:rPr>
        <w:t xml:space="preserve"> </w:t>
      </w:r>
      <w:bookmarkEnd w:id="8"/>
    </w:p>
    <w:p w14:paraId="6B18677B" w14:textId="77777777" w:rsidR="00702483" w:rsidRPr="008D5BCE" w:rsidRDefault="00702483" w:rsidP="00702483">
      <w:pPr>
        <w:rPr>
          <w:rFonts w:asciiTheme="majorHAnsi" w:hAnsiTheme="majorHAnsi"/>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702483" w:rsidRPr="008D5BCE" w14:paraId="29A5F02D" w14:textId="77777777" w:rsidTr="000A58E5">
        <w:trPr>
          <w:cantSplit/>
        </w:trPr>
        <w:tc>
          <w:tcPr>
            <w:tcW w:w="3600" w:type="dxa"/>
            <w:tcBorders>
              <w:top w:val="single" w:sz="4" w:space="0" w:color="auto"/>
              <w:bottom w:val="single" w:sz="6" w:space="0" w:color="auto"/>
            </w:tcBorders>
            <w:shd w:val="clear" w:color="auto" w:fill="386294"/>
            <w:vAlign w:val="center"/>
          </w:tcPr>
          <w:p w14:paraId="2246CA14" w14:textId="77777777" w:rsidR="00702483" w:rsidRPr="008D5BCE" w:rsidRDefault="00702483" w:rsidP="000A58E5">
            <w:pPr>
              <w:jc w:val="center"/>
              <w:rPr>
                <w:rFonts w:asciiTheme="majorHAnsi" w:hAnsiTheme="majorHAnsi"/>
                <w:b/>
                <w:bCs/>
                <w:i/>
                <w:color w:val="FFFFFF" w:themeColor="background1"/>
                <w:sz w:val="20"/>
                <w:szCs w:val="20"/>
                <w:lang w:val="es-ES"/>
              </w:rPr>
            </w:pPr>
            <w:r w:rsidRPr="008D5BCE">
              <w:rPr>
                <w:rFonts w:asciiTheme="majorHAnsi" w:hAnsiTheme="majorHAnsi"/>
                <w:b/>
                <w:bCs/>
                <w:color w:val="FFFFFF" w:themeColor="background1"/>
                <w:sz w:val="20"/>
                <w:szCs w:val="20"/>
                <w:lang w:val="es-ES"/>
              </w:rPr>
              <w:t xml:space="preserve">Competencia </w:t>
            </w:r>
            <w:r w:rsidRPr="008D5BCE">
              <w:rPr>
                <w:rFonts w:asciiTheme="majorHAnsi" w:hAnsiTheme="majorHAnsi"/>
                <w:b/>
                <w:bCs/>
                <w:i/>
                <w:color w:val="FFFFFF" w:themeColor="background1"/>
                <w:sz w:val="20"/>
                <w:szCs w:val="20"/>
                <w:lang w:val="es-ES"/>
              </w:rPr>
              <w:t>ratione personae</w:t>
            </w:r>
            <w:r w:rsidRPr="004E0737">
              <w:rPr>
                <w:rFonts w:asciiTheme="majorHAnsi" w:hAnsiTheme="majorHAnsi"/>
                <w:b/>
                <w:bCs/>
                <w:color w:val="FFFFFF" w:themeColor="background1"/>
                <w:sz w:val="20"/>
                <w:szCs w:val="20"/>
                <w:lang w:val="es-ES"/>
              </w:rPr>
              <w:t>:</w:t>
            </w:r>
          </w:p>
        </w:tc>
        <w:tc>
          <w:tcPr>
            <w:tcW w:w="5760" w:type="dxa"/>
            <w:vAlign w:val="center"/>
          </w:tcPr>
          <w:p w14:paraId="10C3266D" w14:textId="77777777" w:rsidR="00702483" w:rsidRPr="008D5BCE" w:rsidRDefault="00702483" w:rsidP="000A58E5">
            <w:pPr>
              <w:rPr>
                <w:rFonts w:asciiTheme="majorHAnsi" w:hAnsiTheme="majorHAnsi"/>
                <w:bCs/>
                <w:sz w:val="20"/>
                <w:szCs w:val="20"/>
                <w:lang w:val="es-ES"/>
              </w:rPr>
            </w:pPr>
            <w:r w:rsidRPr="008D5BCE">
              <w:rPr>
                <w:rFonts w:asciiTheme="majorHAnsi" w:hAnsiTheme="majorHAnsi"/>
                <w:bCs/>
                <w:sz w:val="20"/>
                <w:szCs w:val="20"/>
                <w:lang w:val="es-ES"/>
              </w:rPr>
              <w:t>Sí</w:t>
            </w:r>
          </w:p>
        </w:tc>
      </w:tr>
      <w:tr w:rsidR="00702483" w:rsidRPr="008D5BCE" w14:paraId="2FF73AE6" w14:textId="77777777" w:rsidTr="000A58E5">
        <w:trPr>
          <w:cantSplit/>
        </w:trPr>
        <w:tc>
          <w:tcPr>
            <w:tcW w:w="3600" w:type="dxa"/>
            <w:tcBorders>
              <w:top w:val="single" w:sz="6" w:space="0" w:color="auto"/>
              <w:bottom w:val="single" w:sz="6" w:space="0" w:color="auto"/>
            </w:tcBorders>
            <w:shd w:val="clear" w:color="auto" w:fill="386294"/>
            <w:vAlign w:val="center"/>
          </w:tcPr>
          <w:p w14:paraId="5DFBBA40" w14:textId="77777777" w:rsidR="00702483" w:rsidRPr="008D5BCE" w:rsidRDefault="00702483" w:rsidP="000A58E5">
            <w:pPr>
              <w:jc w:val="center"/>
              <w:rPr>
                <w:rFonts w:asciiTheme="majorHAnsi" w:hAnsiTheme="majorHAnsi"/>
                <w:b/>
                <w:bCs/>
                <w:color w:val="FFFFFF" w:themeColor="background1"/>
                <w:sz w:val="20"/>
                <w:szCs w:val="20"/>
                <w:lang w:val="es-ES"/>
              </w:rPr>
            </w:pPr>
            <w:r w:rsidRPr="008D5BCE">
              <w:rPr>
                <w:rFonts w:asciiTheme="majorHAnsi" w:hAnsiTheme="majorHAnsi"/>
                <w:b/>
                <w:bCs/>
                <w:color w:val="FFFFFF" w:themeColor="background1"/>
                <w:sz w:val="20"/>
                <w:szCs w:val="20"/>
                <w:lang w:val="es-ES"/>
              </w:rPr>
              <w:t>Competencia</w:t>
            </w:r>
            <w:r w:rsidRPr="008D5BCE">
              <w:rPr>
                <w:rFonts w:asciiTheme="majorHAnsi" w:hAnsiTheme="majorHAnsi"/>
                <w:b/>
                <w:bCs/>
                <w:i/>
                <w:color w:val="FFFFFF" w:themeColor="background1"/>
                <w:sz w:val="20"/>
                <w:szCs w:val="20"/>
                <w:lang w:val="es-ES"/>
              </w:rPr>
              <w:t xml:space="preserve"> ratione loci</w:t>
            </w:r>
            <w:r w:rsidRPr="008D5BCE">
              <w:rPr>
                <w:rFonts w:asciiTheme="majorHAnsi" w:hAnsiTheme="majorHAnsi"/>
                <w:b/>
                <w:bCs/>
                <w:color w:val="FFFFFF" w:themeColor="background1"/>
                <w:sz w:val="20"/>
                <w:szCs w:val="20"/>
                <w:lang w:val="es-ES"/>
              </w:rPr>
              <w:t>:</w:t>
            </w:r>
          </w:p>
        </w:tc>
        <w:tc>
          <w:tcPr>
            <w:tcW w:w="5760" w:type="dxa"/>
            <w:vAlign w:val="center"/>
          </w:tcPr>
          <w:p w14:paraId="1D25032B" w14:textId="77777777" w:rsidR="00702483" w:rsidRPr="008D5BCE" w:rsidRDefault="00702483" w:rsidP="000A58E5">
            <w:pPr>
              <w:rPr>
                <w:rFonts w:asciiTheme="majorHAnsi" w:hAnsiTheme="majorHAnsi"/>
                <w:bCs/>
                <w:sz w:val="20"/>
                <w:szCs w:val="20"/>
                <w:lang w:val="es-ES"/>
              </w:rPr>
            </w:pPr>
            <w:r w:rsidRPr="008D5BCE">
              <w:rPr>
                <w:rFonts w:asciiTheme="majorHAnsi" w:hAnsiTheme="majorHAnsi"/>
                <w:bCs/>
                <w:sz w:val="20"/>
                <w:szCs w:val="20"/>
                <w:lang w:val="es-ES"/>
              </w:rPr>
              <w:t>Sí</w:t>
            </w:r>
          </w:p>
        </w:tc>
      </w:tr>
      <w:tr w:rsidR="00702483" w:rsidRPr="008D5BCE" w14:paraId="6CCAECD7" w14:textId="77777777" w:rsidTr="000A58E5">
        <w:trPr>
          <w:cantSplit/>
        </w:trPr>
        <w:tc>
          <w:tcPr>
            <w:tcW w:w="3600" w:type="dxa"/>
            <w:tcBorders>
              <w:top w:val="single" w:sz="6" w:space="0" w:color="auto"/>
              <w:bottom w:val="single" w:sz="6" w:space="0" w:color="auto"/>
            </w:tcBorders>
            <w:shd w:val="clear" w:color="auto" w:fill="386294"/>
            <w:vAlign w:val="center"/>
          </w:tcPr>
          <w:p w14:paraId="3A9B5ED3" w14:textId="77777777" w:rsidR="00702483" w:rsidRPr="008D5BCE" w:rsidRDefault="00702483" w:rsidP="000A58E5">
            <w:pPr>
              <w:jc w:val="center"/>
              <w:rPr>
                <w:rFonts w:asciiTheme="majorHAnsi" w:hAnsiTheme="majorHAnsi"/>
                <w:b/>
                <w:bCs/>
                <w:color w:val="FFFFFF" w:themeColor="background1"/>
                <w:sz w:val="20"/>
                <w:szCs w:val="20"/>
                <w:lang w:val="es-ES"/>
              </w:rPr>
            </w:pPr>
            <w:r w:rsidRPr="008D5BCE">
              <w:rPr>
                <w:rFonts w:asciiTheme="majorHAnsi" w:hAnsiTheme="majorHAnsi"/>
                <w:b/>
                <w:bCs/>
                <w:color w:val="FFFFFF" w:themeColor="background1"/>
                <w:sz w:val="20"/>
                <w:szCs w:val="20"/>
                <w:lang w:val="es-ES"/>
              </w:rPr>
              <w:t>Competencia</w:t>
            </w:r>
            <w:r w:rsidRPr="008D5BCE">
              <w:rPr>
                <w:rFonts w:asciiTheme="majorHAnsi" w:hAnsiTheme="majorHAnsi"/>
                <w:b/>
                <w:bCs/>
                <w:i/>
                <w:color w:val="FFFFFF" w:themeColor="background1"/>
                <w:sz w:val="20"/>
                <w:szCs w:val="20"/>
                <w:lang w:val="es-ES"/>
              </w:rPr>
              <w:t xml:space="preserve"> ratione temporis</w:t>
            </w:r>
            <w:r w:rsidRPr="008D5BCE">
              <w:rPr>
                <w:rFonts w:asciiTheme="majorHAnsi" w:hAnsiTheme="majorHAnsi"/>
                <w:b/>
                <w:bCs/>
                <w:color w:val="FFFFFF" w:themeColor="background1"/>
                <w:sz w:val="20"/>
                <w:szCs w:val="20"/>
                <w:lang w:val="es-ES"/>
              </w:rPr>
              <w:t>:</w:t>
            </w:r>
          </w:p>
        </w:tc>
        <w:tc>
          <w:tcPr>
            <w:tcW w:w="5760" w:type="dxa"/>
            <w:vAlign w:val="center"/>
          </w:tcPr>
          <w:p w14:paraId="75919340" w14:textId="77777777" w:rsidR="00702483" w:rsidRPr="008D5BCE" w:rsidRDefault="00702483" w:rsidP="000A58E5">
            <w:pPr>
              <w:rPr>
                <w:rFonts w:asciiTheme="majorHAnsi" w:hAnsiTheme="majorHAnsi"/>
                <w:bCs/>
                <w:sz w:val="20"/>
                <w:szCs w:val="20"/>
                <w:lang w:val="es-ES"/>
              </w:rPr>
            </w:pPr>
            <w:r w:rsidRPr="008D5BCE">
              <w:rPr>
                <w:rFonts w:asciiTheme="majorHAnsi" w:hAnsiTheme="majorHAnsi"/>
                <w:bCs/>
                <w:sz w:val="20"/>
                <w:szCs w:val="20"/>
                <w:lang w:val="es-ES"/>
              </w:rPr>
              <w:t>Sí</w:t>
            </w:r>
          </w:p>
        </w:tc>
      </w:tr>
      <w:tr w:rsidR="00702483" w:rsidRPr="00D755C5" w14:paraId="2F801416" w14:textId="77777777" w:rsidTr="000A58E5">
        <w:trPr>
          <w:cantSplit/>
        </w:trPr>
        <w:tc>
          <w:tcPr>
            <w:tcW w:w="3600" w:type="dxa"/>
            <w:tcBorders>
              <w:top w:val="single" w:sz="6" w:space="0" w:color="auto"/>
              <w:bottom w:val="single" w:sz="6" w:space="0" w:color="auto"/>
            </w:tcBorders>
            <w:shd w:val="clear" w:color="auto" w:fill="386294"/>
            <w:vAlign w:val="center"/>
          </w:tcPr>
          <w:p w14:paraId="3FECF834" w14:textId="77777777" w:rsidR="00702483" w:rsidRPr="008D5BCE" w:rsidRDefault="00702483" w:rsidP="000A58E5">
            <w:pPr>
              <w:jc w:val="center"/>
              <w:rPr>
                <w:rFonts w:asciiTheme="majorHAnsi" w:hAnsiTheme="majorHAnsi"/>
                <w:b/>
                <w:bCs/>
                <w:color w:val="FFFFFF" w:themeColor="background1"/>
                <w:sz w:val="20"/>
                <w:szCs w:val="20"/>
                <w:lang w:val="es-ES"/>
              </w:rPr>
            </w:pPr>
            <w:r w:rsidRPr="008D5BCE">
              <w:rPr>
                <w:rFonts w:asciiTheme="majorHAnsi" w:hAnsiTheme="majorHAnsi"/>
                <w:b/>
                <w:bCs/>
                <w:color w:val="FFFFFF" w:themeColor="background1"/>
                <w:sz w:val="20"/>
                <w:szCs w:val="20"/>
                <w:lang w:val="es-ES"/>
              </w:rPr>
              <w:t>Competencia</w:t>
            </w:r>
            <w:r w:rsidRPr="008D5BCE">
              <w:rPr>
                <w:rFonts w:asciiTheme="majorHAnsi" w:hAnsiTheme="majorHAnsi"/>
                <w:b/>
                <w:bCs/>
                <w:i/>
                <w:color w:val="FFFFFF" w:themeColor="background1"/>
                <w:sz w:val="20"/>
                <w:szCs w:val="20"/>
                <w:lang w:val="es-ES"/>
              </w:rPr>
              <w:t xml:space="preserve"> ratione materiae</w:t>
            </w:r>
            <w:r w:rsidRPr="008D5BCE">
              <w:rPr>
                <w:rFonts w:asciiTheme="majorHAnsi" w:hAnsiTheme="majorHAnsi"/>
                <w:b/>
                <w:bCs/>
                <w:color w:val="FFFFFF" w:themeColor="background1"/>
                <w:sz w:val="20"/>
                <w:szCs w:val="20"/>
                <w:lang w:val="es-ES"/>
              </w:rPr>
              <w:t>:</w:t>
            </w:r>
          </w:p>
        </w:tc>
        <w:tc>
          <w:tcPr>
            <w:tcW w:w="5760" w:type="dxa"/>
            <w:vAlign w:val="center"/>
          </w:tcPr>
          <w:p w14:paraId="00FAC5BA" w14:textId="77777777" w:rsidR="00702483" w:rsidRPr="008D5BCE" w:rsidRDefault="00702483" w:rsidP="00B12933">
            <w:pPr>
              <w:jc w:val="both"/>
              <w:rPr>
                <w:rFonts w:asciiTheme="majorHAnsi" w:hAnsiTheme="majorHAnsi"/>
                <w:bCs/>
                <w:sz w:val="20"/>
                <w:szCs w:val="20"/>
                <w:lang w:val="es-ES"/>
              </w:rPr>
            </w:pPr>
            <w:r w:rsidRPr="008D5BCE">
              <w:rPr>
                <w:rFonts w:asciiTheme="majorHAnsi" w:hAnsiTheme="majorHAnsi"/>
                <w:bCs/>
                <w:sz w:val="20"/>
                <w:szCs w:val="20"/>
                <w:lang w:val="es-ES"/>
              </w:rPr>
              <w:t>Sí, Declaración Americana de los Derechos y Deberes del Hombre (ratificación de la Carta de la OEA el 19 de junio de 1951)</w:t>
            </w:r>
          </w:p>
        </w:tc>
      </w:tr>
      <w:tr w:rsidR="00702483" w:rsidRPr="008D5BCE" w14:paraId="39566D2E" w14:textId="77777777" w:rsidTr="000A58E5">
        <w:trPr>
          <w:cantSplit/>
        </w:trPr>
        <w:tc>
          <w:tcPr>
            <w:tcW w:w="3600" w:type="dxa"/>
            <w:tcBorders>
              <w:top w:val="single" w:sz="6" w:space="0" w:color="auto"/>
              <w:bottom w:val="single" w:sz="6" w:space="0" w:color="auto"/>
            </w:tcBorders>
            <w:shd w:val="clear" w:color="auto" w:fill="386294"/>
            <w:vAlign w:val="center"/>
          </w:tcPr>
          <w:p w14:paraId="5F8F6D94" w14:textId="77777777" w:rsidR="00702483" w:rsidRPr="008D5BCE" w:rsidRDefault="00702483" w:rsidP="000A58E5">
            <w:pPr>
              <w:jc w:val="center"/>
              <w:rPr>
                <w:rFonts w:asciiTheme="majorHAnsi" w:hAnsiTheme="majorHAnsi"/>
                <w:b/>
                <w:bCs/>
                <w:color w:val="FFFFFF" w:themeColor="background1"/>
                <w:sz w:val="20"/>
                <w:szCs w:val="20"/>
                <w:lang w:val="es-ES"/>
              </w:rPr>
            </w:pPr>
            <w:r w:rsidRPr="008D5BCE">
              <w:rPr>
                <w:rFonts w:asciiTheme="majorHAnsi" w:hAnsiTheme="majorHAnsi"/>
                <w:b/>
                <w:bCs/>
                <w:color w:val="FFFFFF" w:themeColor="background1"/>
                <w:sz w:val="20"/>
                <w:szCs w:val="20"/>
                <w:lang w:val="es-ES"/>
              </w:rPr>
              <w:t>Duplicación de procedimientos</w:t>
            </w:r>
          </w:p>
          <w:p w14:paraId="1C6BA717" w14:textId="77777777" w:rsidR="00702483" w:rsidRPr="008D5BCE" w:rsidRDefault="00702483" w:rsidP="000A58E5">
            <w:pPr>
              <w:jc w:val="center"/>
              <w:rPr>
                <w:rFonts w:asciiTheme="majorHAnsi" w:hAnsiTheme="majorHAnsi"/>
                <w:b/>
                <w:bCs/>
                <w:color w:val="FFFFFF" w:themeColor="background1"/>
                <w:sz w:val="20"/>
                <w:szCs w:val="20"/>
                <w:lang w:val="es-ES"/>
              </w:rPr>
            </w:pPr>
            <w:r w:rsidRPr="008D5BCE">
              <w:rPr>
                <w:rFonts w:asciiTheme="majorHAnsi" w:hAnsiTheme="majorHAnsi"/>
                <w:b/>
                <w:bCs/>
                <w:color w:val="FFFFFF" w:themeColor="background1"/>
                <w:sz w:val="20"/>
                <w:szCs w:val="20"/>
                <w:lang w:val="es-ES"/>
              </w:rPr>
              <w:t>y cosa juzgada internacional:</w:t>
            </w:r>
          </w:p>
        </w:tc>
        <w:tc>
          <w:tcPr>
            <w:tcW w:w="5760" w:type="dxa"/>
            <w:vAlign w:val="center"/>
          </w:tcPr>
          <w:p w14:paraId="68F5D0C1" w14:textId="77777777" w:rsidR="00702483" w:rsidRPr="008D5BCE" w:rsidRDefault="00702483" w:rsidP="000A58E5">
            <w:pPr>
              <w:jc w:val="both"/>
              <w:rPr>
                <w:rFonts w:asciiTheme="majorHAnsi" w:hAnsiTheme="majorHAnsi"/>
                <w:bCs/>
                <w:sz w:val="20"/>
                <w:szCs w:val="20"/>
                <w:lang w:val="es-ES"/>
              </w:rPr>
            </w:pPr>
            <w:r w:rsidRPr="008D5BCE">
              <w:rPr>
                <w:rFonts w:asciiTheme="majorHAnsi" w:hAnsiTheme="majorHAnsi"/>
                <w:bCs/>
                <w:sz w:val="20"/>
                <w:szCs w:val="20"/>
                <w:lang w:val="es-ES"/>
              </w:rPr>
              <w:t>No</w:t>
            </w:r>
          </w:p>
        </w:tc>
      </w:tr>
    </w:tbl>
    <w:p w14:paraId="43A75B39" w14:textId="77777777" w:rsidR="00702483" w:rsidRPr="008D5BCE" w:rsidRDefault="00702483" w:rsidP="00702483">
      <w:pPr>
        <w:rPr>
          <w:rFonts w:asciiTheme="majorHAnsi" w:hAnsiTheme="majorHAnsi"/>
          <w:sz w:val="20"/>
          <w:szCs w:val="20"/>
          <w:lang w:val="es-ES"/>
        </w:rPr>
      </w:pPr>
    </w:p>
    <w:p w14:paraId="06636790"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D5BCE">
        <w:rPr>
          <w:rFonts w:asciiTheme="majorHAnsi" w:hAnsiTheme="majorHAnsi"/>
          <w:sz w:val="20"/>
          <w:szCs w:val="20"/>
          <w:lang w:val="es-ES"/>
        </w:rPr>
        <w:t>La CIDH toma nota de la posición del Estado de que la Comisión no tiene competencia para entender en reclamos surgidos de la Convención de Viena. Como se explica más adelante, aunque la Comisión no tiene competencia para decidir si se han infringido disposiciones de dicha Convención, puede tenerlas en cuenta a efectos de evaluar la observancia por el Estado del derecho de un ciudadano extranjero al debido proceso amparado por la Declaración Americana.</w:t>
      </w:r>
    </w:p>
    <w:p w14:paraId="2E88A83A" w14:textId="77777777" w:rsidR="00702483" w:rsidRPr="008D5BCE" w:rsidRDefault="00702483" w:rsidP="00702483">
      <w:pPr>
        <w:rPr>
          <w:rFonts w:asciiTheme="majorHAnsi" w:hAnsiTheme="majorHAnsi"/>
          <w:sz w:val="20"/>
          <w:szCs w:val="20"/>
          <w:lang w:val="es-ES"/>
        </w:rPr>
      </w:pPr>
    </w:p>
    <w:p w14:paraId="4BAA734A" w14:textId="77777777" w:rsidR="00702483" w:rsidRPr="00702483" w:rsidRDefault="00702483" w:rsidP="007E283D">
      <w:pPr>
        <w:pStyle w:val="Heading2"/>
        <w:numPr>
          <w:ilvl w:val="0"/>
          <w:numId w:val="60"/>
        </w:numPr>
        <w:spacing w:before="0" w:after="0"/>
        <w:ind w:left="360"/>
        <w:rPr>
          <w:rFonts w:asciiTheme="majorHAnsi" w:hAnsiTheme="majorHAnsi" w:cs="Tahoma"/>
          <w:i w:val="0"/>
          <w:sz w:val="20"/>
          <w:szCs w:val="20"/>
          <w:shd w:val="clear" w:color="auto" w:fill="FFFFFF"/>
          <w:lang w:val="es-ES"/>
        </w:rPr>
      </w:pPr>
      <w:bookmarkStart w:id="9" w:name="_Toc90289312"/>
      <w:r w:rsidRPr="00702483">
        <w:rPr>
          <w:rFonts w:asciiTheme="majorHAnsi" w:hAnsiTheme="majorHAnsi" w:cs="Tahoma"/>
          <w:i w:val="0"/>
          <w:sz w:val="20"/>
          <w:szCs w:val="20"/>
          <w:shd w:val="clear" w:color="auto" w:fill="FFFFFF"/>
          <w:lang w:val="es-ES"/>
        </w:rPr>
        <w:t>Agotamiento de los recursos internos y plazo de presentación</w:t>
      </w:r>
      <w:bookmarkEnd w:id="9"/>
    </w:p>
    <w:p w14:paraId="6515BCE4" w14:textId="77777777" w:rsidR="00702483" w:rsidRPr="008D5BCE" w:rsidRDefault="00702483" w:rsidP="00702483">
      <w:pPr>
        <w:rPr>
          <w:rFonts w:asciiTheme="majorHAnsi" w:hAnsiTheme="majorHAnsi"/>
          <w:color w:val="FF0000"/>
          <w:sz w:val="20"/>
          <w:szCs w:val="20"/>
          <w:lang w:val="es-ES"/>
        </w:rPr>
      </w:pPr>
    </w:p>
    <w:p w14:paraId="0DFC5CF5"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8D5BCE">
        <w:rPr>
          <w:rFonts w:asciiTheme="majorHAnsi" w:hAnsiTheme="majorHAnsi"/>
          <w:sz w:val="20"/>
          <w:szCs w:val="20"/>
          <w:lang w:val="es-ES"/>
        </w:rPr>
        <w:t>Según la información disponible y tal como demuestran los hechos que se describen más adelante, los señores Kadamovas y Bolden han recurrido a</w:t>
      </w:r>
      <w:r>
        <w:rPr>
          <w:rFonts w:asciiTheme="majorHAnsi" w:hAnsiTheme="majorHAnsi"/>
          <w:sz w:val="20"/>
          <w:szCs w:val="20"/>
          <w:lang w:val="es-ES"/>
        </w:rPr>
        <w:t xml:space="preserve"> </w:t>
      </w:r>
      <w:r w:rsidRPr="008D5BCE">
        <w:rPr>
          <w:rFonts w:asciiTheme="majorHAnsi" w:hAnsiTheme="majorHAnsi"/>
          <w:sz w:val="20"/>
          <w:szCs w:val="20"/>
          <w:lang w:val="es-ES"/>
        </w:rPr>
        <w:t>apelaciones judiciales de su condena y sentencia, así como a</w:t>
      </w:r>
      <w:r>
        <w:rPr>
          <w:rFonts w:asciiTheme="majorHAnsi" w:hAnsiTheme="majorHAnsi"/>
          <w:sz w:val="20"/>
          <w:szCs w:val="20"/>
          <w:lang w:val="es-ES"/>
        </w:rPr>
        <w:t xml:space="preserve"> </w:t>
      </w:r>
      <w:r w:rsidRPr="008D5BCE">
        <w:rPr>
          <w:rFonts w:asciiTheme="majorHAnsi" w:hAnsiTheme="majorHAnsi"/>
          <w:sz w:val="20"/>
          <w:szCs w:val="20"/>
          <w:lang w:val="es-ES"/>
        </w:rPr>
        <w:t xml:space="preserve">recursos administrativos de la Administración Federal de Prisiones, que es el paso procesal primordial para obtener una reparación en lo que respecta a las condiciones de </w:t>
      </w:r>
      <w:r>
        <w:rPr>
          <w:rFonts w:asciiTheme="majorHAnsi" w:hAnsiTheme="majorHAnsi"/>
          <w:sz w:val="20"/>
          <w:szCs w:val="20"/>
          <w:lang w:val="es-ES"/>
        </w:rPr>
        <w:t xml:space="preserve">reclusión </w:t>
      </w:r>
      <w:r w:rsidRPr="008D5BCE">
        <w:rPr>
          <w:rFonts w:asciiTheme="majorHAnsi" w:hAnsiTheme="majorHAnsi"/>
          <w:sz w:val="20"/>
          <w:szCs w:val="20"/>
          <w:lang w:val="es-ES"/>
        </w:rPr>
        <w:t xml:space="preserve">en el sistema federal de Estados Unidos. </w:t>
      </w:r>
    </w:p>
    <w:p w14:paraId="2586EC96"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442EF834"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8D5BCE">
        <w:rPr>
          <w:rFonts w:asciiTheme="majorHAnsi" w:hAnsiTheme="majorHAnsi"/>
          <w:sz w:val="20"/>
          <w:szCs w:val="20"/>
          <w:lang w:val="es-ES"/>
        </w:rPr>
        <w:t xml:space="preserve">La condena y la sentencia de primera instancia del señor Bolden fueron ratificadas en segunda instancia en 2008, y su petición de auto de avocación fue denegada en 2009. </w:t>
      </w:r>
      <w:r>
        <w:rPr>
          <w:rFonts w:asciiTheme="majorHAnsi" w:hAnsiTheme="majorHAnsi"/>
          <w:sz w:val="20"/>
          <w:szCs w:val="20"/>
          <w:lang w:val="es-ES"/>
        </w:rPr>
        <w:t xml:space="preserve">Posteriormente, el señor Bolden </w:t>
      </w:r>
      <w:r w:rsidRPr="008D5BCE">
        <w:rPr>
          <w:rFonts w:asciiTheme="majorHAnsi" w:hAnsiTheme="majorHAnsi"/>
          <w:sz w:val="20"/>
          <w:szCs w:val="20"/>
          <w:lang w:val="es-ES"/>
        </w:rPr>
        <w:t xml:space="preserve">interpuso un recurso de reparación poscondenatoria de </w:t>
      </w:r>
      <w:r>
        <w:rPr>
          <w:rFonts w:asciiTheme="majorHAnsi" w:hAnsiTheme="majorHAnsi"/>
          <w:sz w:val="20"/>
          <w:szCs w:val="20"/>
          <w:lang w:val="es-ES"/>
        </w:rPr>
        <w:t xml:space="preserve">acuerdo </w:t>
      </w:r>
      <w:r w:rsidRPr="008D5BCE">
        <w:rPr>
          <w:rFonts w:asciiTheme="majorHAnsi" w:hAnsiTheme="majorHAnsi"/>
          <w:sz w:val="20"/>
          <w:szCs w:val="20"/>
          <w:lang w:val="es-ES"/>
        </w:rPr>
        <w:t>con el Código de Estados Unidos, Título 28, artículo 2253, que fue desestimado por el Tribunal Federal de Apelaciones para el Octavo Circuito en 2016. El tribunal también denegó un certificado de apelabilidad. Se apeló también la sentencia de los señores Kadamovas y Mikhel, y el 10 de enero de 2018 se ratificó la sentencia del tribunal federal de primera instancia. El 14 de enero de 2019</w:t>
      </w:r>
      <w:r>
        <w:rPr>
          <w:rFonts w:asciiTheme="majorHAnsi" w:hAnsiTheme="majorHAnsi"/>
          <w:sz w:val="20"/>
          <w:szCs w:val="20"/>
          <w:lang w:val="es-ES"/>
        </w:rPr>
        <w:t>,</w:t>
      </w:r>
      <w:r w:rsidRPr="00361083">
        <w:rPr>
          <w:rFonts w:asciiTheme="majorHAnsi" w:hAnsiTheme="majorHAnsi"/>
          <w:sz w:val="20"/>
          <w:szCs w:val="20"/>
          <w:lang w:val="es-ES"/>
        </w:rPr>
        <w:t xml:space="preserve"> los señores Kadamovas y Mikhel</w:t>
      </w:r>
      <w:r w:rsidRPr="008D5BCE">
        <w:rPr>
          <w:rFonts w:asciiTheme="majorHAnsi" w:hAnsiTheme="majorHAnsi"/>
          <w:sz w:val="20"/>
          <w:szCs w:val="20"/>
          <w:lang w:val="es-ES"/>
        </w:rPr>
        <w:t xml:space="preserve"> solicitaron un auto de avocación y presentaron una petición de autorización para proceder, pero el 7 de octubre 2019 se desestimó la petición. </w:t>
      </w:r>
    </w:p>
    <w:p w14:paraId="58F4C831"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41B0EFD2"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8D5BCE">
        <w:rPr>
          <w:rFonts w:asciiTheme="majorHAnsi" w:hAnsiTheme="majorHAnsi"/>
          <w:sz w:val="20"/>
          <w:szCs w:val="20"/>
          <w:lang w:val="es-ES"/>
        </w:rPr>
        <w:t xml:space="preserve">Con respecto a las otras presuntas víctimas, según la información disponible, el señor Mikhel fue condenado a muerte en un juicio conjunto con el señor Kadamovas, con quien también interpuso recursos de manera conjunta. El señor Umana fue condenado a muerte el 28 de abril de 2010, y el Tribunal de Apelaciones para el Cuarto Circuito reafirmó la condena y la sentencia. El 22 de junio de 2015, la Corte Suprema de Estados Unidos desestimó la petición de auto de avocación. Los señores Ortiz y Sinisterra fueron condenados a muerte en un juicio conjunto en mayo de 2000. Posteriormente, el </w:t>
      </w:r>
      <w:r w:rsidR="00DF33A7">
        <w:rPr>
          <w:rFonts w:asciiTheme="majorHAnsi" w:hAnsiTheme="majorHAnsi"/>
          <w:sz w:val="20"/>
          <w:szCs w:val="20"/>
          <w:lang w:val="es-ES"/>
        </w:rPr>
        <w:t>P</w:t>
      </w:r>
      <w:r w:rsidRPr="008D5BCE">
        <w:rPr>
          <w:rFonts w:asciiTheme="majorHAnsi" w:hAnsiTheme="majorHAnsi"/>
          <w:sz w:val="20"/>
          <w:szCs w:val="20"/>
          <w:lang w:val="es-ES"/>
        </w:rPr>
        <w:t xml:space="preserve">residente </w:t>
      </w:r>
      <w:r w:rsidR="00DF33A7">
        <w:rPr>
          <w:rFonts w:asciiTheme="majorHAnsi" w:hAnsiTheme="majorHAnsi"/>
          <w:sz w:val="20"/>
          <w:szCs w:val="20"/>
          <w:lang w:val="es-ES"/>
        </w:rPr>
        <w:t>de los Estados Unidos</w:t>
      </w:r>
      <w:r w:rsidRPr="008D5BCE">
        <w:rPr>
          <w:rFonts w:asciiTheme="majorHAnsi" w:hAnsiTheme="majorHAnsi"/>
          <w:sz w:val="20"/>
          <w:szCs w:val="20"/>
          <w:lang w:val="es-ES"/>
        </w:rPr>
        <w:t xml:space="preserve"> conmutó la sentencia del señor Ortiz a cadena perpetua. El señor Sinisterra falleció en la cárcel en marzo de 2013. </w:t>
      </w:r>
    </w:p>
    <w:p w14:paraId="3BED13F8" w14:textId="77777777" w:rsidR="00702483" w:rsidRPr="008D5BCE" w:rsidRDefault="00702483" w:rsidP="00702483">
      <w:pPr>
        <w:pStyle w:val="ListParagraph"/>
        <w:rPr>
          <w:rFonts w:asciiTheme="majorHAnsi" w:hAnsiTheme="majorHAnsi"/>
          <w:sz w:val="20"/>
          <w:szCs w:val="20"/>
          <w:lang w:val="es-ES"/>
        </w:rPr>
      </w:pPr>
    </w:p>
    <w:p w14:paraId="1123F247" w14:textId="77777777" w:rsidR="00702483" w:rsidRPr="008D5BCE" w:rsidRDefault="00702483" w:rsidP="00702483">
      <w:pPr>
        <w:pStyle w:val="parrafos"/>
        <w:numPr>
          <w:ilvl w:val="0"/>
          <w:numId w:val="55"/>
        </w:numPr>
        <w:ind w:left="0" w:firstLine="0"/>
        <w:rPr>
          <w:color w:val="FF0000"/>
          <w:lang w:val="es-ES"/>
        </w:rPr>
      </w:pPr>
      <w:r w:rsidRPr="008D5BCE">
        <w:rPr>
          <w:lang w:val="es-ES"/>
        </w:rPr>
        <w:t xml:space="preserve">La CIDH observa que el Estado aduce que los señores Kadamovas y Bolden no han agotado los recursos internos, ya que tienen acciones civiles pendientes ante tribunales de jurisdicción interna. En ese sentido, la </w:t>
      </w:r>
      <w:r w:rsidRPr="008D5BCE">
        <w:rPr>
          <w:lang w:val="es-ES"/>
        </w:rPr>
        <w:lastRenderedPageBreak/>
        <w:t>regla relativa al agotamiento de los recursos internos no significa que las presuntas víctimas tengan que agotar todos los recursos que estén a su alcance. La Comisión ha señalado reiteradamente que “la regla que exige el previo agotamiento de los recursos internos está concebida en interés del Estado, pues busca dispensarlo de responder ante un órgano internacional por actos que se le imputen, antes de haber tenido la ocasión de remediarlos con sus propios medios”</w:t>
      </w:r>
      <w:r w:rsidRPr="008D5BCE">
        <w:rPr>
          <w:rStyle w:val="FootnoteReference"/>
          <w:lang w:val="es-ES"/>
        </w:rPr>
        <w:footnoteReference w:id="5"/>
      </w:r>
      <w:r w:rsidRPr="008D5BCE">
        <w:rPr>
          <w:lang w:val="es-ES"/>
        </w:rPr>
        <w:t>. Por lo tanto, si la presunta víctima planteó el asunto valiéndose de una alternativa legal y apropiada en el marco del sistema jurídico interno y el Estado tuvo la oportunidad de remediar el asunto dentro de su jurisdicción, se ha cumplido el propósito de la regla internacional</w:t>
      </w:r>
      <w:r w:rsidRPr="008D5BCE">
        <w:rPr>
          <w:rStyle w:val="FootnoteReference"/>
          <w:lang w:val="es-ES"/>
        </w:rPr>
        <w:footnoteReference w:id="6"/>
      </w:r>
      <w:r w:rsidRPr="008D5BCE">
        <w:rPr>
          <w:lang w:val="es-ES"/>
        </w:rPr>
        <w:t xml:space="preserve">. </w:t>
      </w:r>
    </w:p>
    <w:p w14:paraId="2B1257D3" w14:textId="77777777" w:rsidR="00702483" w:rsidRPr="008D5BCE" w:rsidRDefault="00702483" w:rsidP="00702483">
      <w:pPr>
        <w:pStyle w:val="ListParagraph"/>
        <w:rPr>
          <w:rFonts w:asciiTheme="majorHAnsi" w:hAnsiTheme="majorHAnsi"/>
          <w:color w:val="FF0000"/>
          <w:sz w:val="20"/>
          <w:szCs w:val="20"/>
          <w:lang w:val="es-ES"/>
        </w:rPr>
      </w:pPr>
    </w:p>
    <w:p w14:paraId="79BFFECF" w14:textId="77777777" w:rsidR="00702483" w:rsidRPr="008D5BCE" w:rsidRDefault="00702483" w:rsidP="00702483">
      <w:pPr>
        <w:pStyle w:val="parrafos"/>
        <w:numPr>
          <w:ilvl w:val="0"/>
          <w:numId w:val="55"/>
        </w:numPr>
        <w:ind w:left="0" w:firstLine="0"/>
        <w:rPr>
          <w:lang w:val="es-ES"/>
        </w:rPr>
      </w:pPr>
      <w:r w:rsidRPr="008D5BCE">
        <w:rPr>
          <w:lang w:val="es-ES"/>
        </w:rPr>
        <w:t xml:space="preserve">Por consiguiente, la Comisión Interamericana concluye que las presuntas víctimas agotaron debidamente los recursos internos que tenían a su alcance en el ordenamiento jurídico interno y, </w:t>
      </w:r>
      <w:r>
        <w:rPr>
          <w:lang w:val="es-ES"/>
        </w:rPr>
        <w:t>en consecuencia</w:t>
      </w:r>
      <w:r w:rsidRPr="008D5BCE">
        <w:rPr>
          <w:lang w:val="es-ES"/>
        </w:rPr>
        <w:t xml:space="preserve">, el requisito establecido en el artículo 31.1 del Reglamento con respecto al agotamiento de los recursos internos no constituye un impedimento para que la Comisión considere los reclamos. </w:t>
      </w:r>
    </w:p>
    <w:p w14:paraId="559F3E23" w14:textId="77777777" w:rsidR="00702483" w:rsidRPr="008D5BCE" w:rsidRDefault="00702483" w:rsidP="00702483">
      <w:pPr>
        <w:pStyle w:val="ListParagraph"/>
        <w:rPr>
          <w:lang w:val="es-ES"/>
        </w:rPr>
      </w:pPr>
    </w:p>
    <w:p w14:paraId="591FB721" w14:textId="77777777" w:rsidR="00702483" w:rsidRPr="008D5BCE" w:rsidRDefault="00702483" w:rsidP="00702483">
      <w:pPr>
        <w:pStyle w:val="parrafos"/>
        <w:numPr>
          <w:ilvl w:val="0"/>
          <w:numId w:val="55"/>
        </w:numPr>
        <w:ind w:left="0" w:firstLine="0"/>
        <w:rPr>
          <w:lang w:val="es-ES"/>
        </w:rPr>
      </w:pPr>
      <w:r w:rsidRPr="008D5BCE">
        <w:rPr>
          <w:lang w:val="es-ES"/>
        </w:rPr>
        <w:t xml:space="preserve">La petición que obra ante la CIDH fue presentada el 21 de septiembre de 2011. La Corte Suprema de Estados Unidos denegó el auto de avocación del señor Bolden en 2009 y el de los señores Kadamovas y Mikhel el 7 de octubre de 2019. Los asuntos planteados por los señores Kadamovas y Bolden a la Comisión corresponden a diversos juicios civiles relativos a las condiciones de reclusión y el trato recibido por los reclusos. Con respecto a las otras presuntas víctimas, el 22 de junio de 2015, la Corte Suprema de Estados Unidos denegó la petición de auto de avocación interpuesta por el señor Umana. El 18 de enero de 2017, la sentencia del señor Ortiz fue conmutada a cadena perpetua, y el señor Sinisterra falleció en la cárcel en marzo de 2013. Por lo tanto, la Comisión concluye que se ha cumplido el requisito establecido en el artículo 32.1 de su Reglamento. </w:t>
      </w:r>
    </w:p>
    <w:p w14:paraId="30C154D7" w14:textId="77777777" w:rsidR="00702483" w:rsidRPr="008D5BCE" w:rsidRDefault="00702483" w:rsidP="00702483">
      <w:pPr>
        <w:pStyle w:val="parrafos"/>
        <w:ind w:left="0" w:firstLine="0"/>
        <w:rPr>
          <w:lang w:val="es-ES"/>
        </w:rPr>
      </w:pPr>
    </w:p>
    <w:p w14:paraId="03E08C82" w14:textId="77777777" w:rsidR="00702483" w:rsidRPr="00702483" w:rsidRDefault="00702483" w:rsidP="007E283D">
      <w:pPr>
        <w:pStyle w:val="Heading2"/>
        <w:numPr>
          <w:ilvl w:val="0"/>
          <w:numId w:val="60"/>
        </w:numPr>
        <w:spacing w:before="0" w:after="0"/>
        <w:ind w:left="360"/>
        <w:rPr>
          <w:rFonts w:asciiTheme="majorHAnsi" w:hAnsiTheme="majorHAnsi" w:cs="Times New Roman"/>
          <w:i w:val="0"/>
          <w:sz w:val="20"/>
          <w:szCs w:val="20"/>
          <w:lang w:val="es-ES"/>
        </w:rPr>
      </w:pPr>
      <w:bookmarkStart w:id="10" w:name="_Toc90289313"/>
      <w:bookmarkStart w:id="11" w:name="_Toc6349144"/>
      <w:r w:rsidRPr="00702483">
        <w:rPr>
          <w:rFonts w:asciiTheme="majorHAnsi" w:hAnsiTheme="majorHAnsi" w:cs="Times New Roman"/>
          <w:i w:val="0"/>
          <w:sz w:val="20"/>
          <w:szCs w:val="20"/>
          <w:lang w:val="es-ES"/>
        </w:rPr>
        <w:t>Caracterización de los hechos alegados</w:t>
      </w:r>
      <w:bookmarkEnd w:id="10"/>
      <w:r w:rsidRPr="00702483">
        <w:rPr>
          <w:rFonts w:asciiTheme="majorHAnsi" w:hAnsiTheme="majorHAnsi" w:cs="Times New Roman"/>
          <w:i w:val="0"/>
          <w:sz w:val="20"/>
          <w:szCs w:val="20"/>
          <w:lang w:val="es-ES"/>
        </w:rPr>
        <w:t xml:space="preserve"> </w:t>
      </w:r>
      <w:bookmarkEnd w:id="11"/>
    </w:p>
    <w:p w14:paraId="587B06E1" w14:textId="77777777" w:rsidR="00702483" w:rsidRPr="008D5BCE" w:rsidRDefault="00702483" w:rsidP="00702483">
      <w:pPr>
        <w:rPr>
          <w:rFonts w:asciiTheme="majorHAnsi" w:hAnsiTheme="majorHAnsi"/>
          <w:sz w:val="20"/>
          <w:szCs w:val="20"/>
          <w:lang w:val="es-ES"/>
        </w:rPr>
      </w:pPr>
    </w:p>
    <w:p w14:paraId="02C3D3AA"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D5BCE">
        <w:rPr>
          <w:rFonts w:asciiTheme="majorHAnsi" w:hAnsiTheme="majorHAnsi"/>
          <w:sz w:val="20"/>
          <w:szCs w:val="20"/>
          <w:lang w:val="es-ES"/>
        </w:rPr>
        <w:t xml:space="preserve">La Comisión considera que los hechos alegados, de probarse, podrían constituir una violación de los derechos enunciados en los artículos I, XI, XVIII, XXV y XXVI de la Declaración Americana, en perjuicio de los señores Kadamovas y Bolden. </w:t>
      </w:r>
    </w:p>
    <w:p w14:paraId="2D9BBFC8" w14:textId="77777777" w:rsidR="00702483" w:rsidRPr="008D5BCE" w:rsidRDefault="00702483" w:rsidP="00702483">
      <w:pPr>
        <w:pStyle w:val="ListParagraph"/>
        <w:rPr>
          <w:rFonts w:asciiTheme="majorHAnsi" w:hAnsiTheme="majorHAnsi"/>
          <w:sz w:val="20"/>
          <w:szCs w:val="20"/>
          <w:lang w:val="es-ES"/>
        </w:rPr>
      </w:pPr>
    </w:p>
    <w:p w14:paraId="4B1916C7"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D5BCE">
        <w:rPr>
          <w:rFonts w:asciiTheme="majorHAnsi" w:hAnsiTheme="majorHAnsi"/>
          <w:sz w:val="20"/>
          <w:szCs w:val="20"/>
          <w:lang w:val="es-ES"/>
        </w:rPr>
        <w:t>Con respecto a los señores Sinisterra, Ortiz, Mikhel y Umana, la Comisión carece de información sobre sus reclamos. En vista de esta falta de información sobre los hechos, la Comisión declara la petición inadmisible de conformidad con el artículo 34.a de su Reglamento con respecto a las cuatro presuntas víctimas antedichas.</w:t>
      </w:r>
    </w:p>
    <w:p w14:paraId="1C8BA6D6" w14:textId="77777777" w:rsidR="00702483" w:rsidRPr="008D5BCE" w:rsidRDefault="00702483" w:rsidP="00702483">
      <w:pPr>
        <w:pStyle w:val="ListParagraph"/>
        <w:rPr>
          <w:rFonts w:asciiTheme="majorHAnsi" w:hAnsiTheme="majorHAnsi"/>
          <w:sz w:val="20"/>
          <w:szCs w:val="20"/>
          <w:lang w:val="es-ES"/>
        </w:rPr>
      </w:pPr>
    </w:p>
    <w:p w14:paraId="348C31B7" w14:textId="77777777" w:rsidR="00702483" w:rsidRPr="008D5BCE" w:rsidRDefault="00702483" w:rsidP="00702483">
      <w:pPr>
        <w:pStyle w:val="Heading1"/>
        <w:tabs>
          <w:tab w:val="left" w:pos="360"/>
        </w:tabs>
        <w:spacing w:before="0"/>
        <w:ind w:hanging="720"/>
        <w:rPr>
          <w:color w:val="auto"/>
          <w:sz w:val="20"/>
          <w:szCs w:val="20"/>
          <w:lang w:val="es-ES"/>
        </w:rPr>
      </w:pPr>
      <w:bookmarkStart w:id="12" w:name="_Toc90289314"/>
      <w:r w:rsidRPr="008D5BCE">
        <w:rPr>
          <w:color w:val="auto"/>
          <w:sz w:val="20"/>
          <w:szCs w:val="20"/>
          <w:lang w:val="es-ES"/>
        </w:rPr>
        <w:t>DETERMINACIONES DE HECHO</w:t>
      </w:r>
      <w:bookmarkEnd w:id="12"/>
    </w:p>
    <w:p w14:paraId="015C0862" w14:textId="77777777" w:rsidR="00702483" w:rsidRPr="008D5BCE" w:rsidRDefault="00702483" w:rsidP="00702483">
      <w:pPr>
        <w:rPr>
          <w:rFonts w:asciiTheme="majorHAnsi" w:hAnsiTheme="majorHAnsi"/>
          <w:sz w:val="20"/>
          <w:szCs w:val="20"/>
          <w:lang w:val="es-ES"/>
        </w:rPr>
      </w:pPr>
    </w:p>
    <w:p w14:paraId="42BA5558" w14:textId="77777777" w:rsidR="00702483" w:rsidRPr="00702483" w:rsidRDefault="00702483" w:rsidP="007E283D">
      <w:pPr>
        <w:pStyle w:val="Heading2"/>
        <w:keepLines/>
        <w:numPr>
          <w:ilvl w:val="0"/>
          <w:numId w:val="58"/>
        </w:numPr>
        <w:pBdr>
          <w:top w:val="nil"/>
          <w:left w:val="nil"/>
          <w:bottom w:val="nil"/>
          <w:right w:val="nil"/>
          <w:between w:val="nil"/>
          <w:bar w:val="nil"/>
        </w:pBdr>
        <w:tabs>
          <w:tab w:val="left" w:pos="360"/>
        </w:tabs>
        <w:spacing w:before="0" w:after="0"/>
        <w:ind w:hanging="720"/>
        <w:rPr>
          <w:rFonts w:asciiTheme="majorHAnsi" w:hAnsiTheme="majorHAnsi"/>
          <w:i w:val="0"/>
          <w:sz w:val="20"/>
          <w:szCs w:val="20"/>
          <w:lang w:val="es-ES"/>
        </w:rPr>
      </w:pPr>
      <w:bookmarkStart w:id="13" w:name="_Toc90289315"/>
      <w:r w:rsidRPr="00702483">
        <w:rPr>
          <w:rFonts w:asciiTheme="majorHAnsi" w:hAnsiTheme="majorHAnsi"/>
          <w:i w:val="0"/>
          <w:sz w:val="20"/>
          <w:szCs w:val="20"/>
          <w:lang w:val="es-ES"/>
        </w:rPr>
        <w:t>Hechos del caso</w:t>
      </w:r>
      <w:bookmarkEnd w:id="13"/>
    </w:p>
    <w:p w14:paraId="0168DE3A" w14:textId="77777777" w:rsidR="00702483" w:rsidRPr="008D5BCE" w:rsidRDefault="00702483" w:rsidP="00702483">
      <w:pPr>
        <w:rPr>
          <w:rFonts w:asciiTheme="majorHAnsi" w:hAnsiTheme="majorHAnsi"/>
          <w:sz w:val="20"/>
          <w:szCs w:val="20"/>
          <w:lang w:val="es-ES"/>
        </w:rPr>
      </w:pPr>
    </w:p>
    <w:p w14:paraId="2F21FA10"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8D5BCE">
        <w:rPr>
          <w:rFonts w:ascii="Cambria" w:hAnsi="Cambria"/>
          <w:sz w:val="20"/>
          <w:szCs w:val="20"/>
          <w:lang w:val="es-ES"/>
        </w:rPr>
        <w:t>De acuerdo con la información que consta en la apelación interpuesta ante el Tribunal Federal de Apelaciones para el Noveno Circuito en 2018</w:t>
      </w:r>
      <w:r w:rsidRPr="008D5BCE">
        <w:rPr>
          <w:rStyle w:val="FootnoteReference"/>
          <w:rFonts w:ascii="Cambria" w:hAnsi="Cambria"/>
          <w:sz w:val="20"/>
          <w:szCs w:val="20"/>
          <w:lang w:val="es-ES"/>
        </w:rPr>
        <w:footnoteReference w:id="7"/>
      </w:r>
      <w:r w:rsidRPr="008D5BCE">
        <w:rPr>
          <w:rFonts w:ascii="Cambria" w:hAnsi="Cambria"/>
          <w:sz w:val="20"/>
          <w:szCs w:val="20"/>
          <w:lang w:val="es-ES"/>
        </w:rPr>
        <w:t xml:space="preserve">, entre fines de 2001 y principios de 2002, los señores Kadamovas y Mikhel secuestraron a cinco personas, las mantuvieron como rehenes, las mataron y dejaron los cadáveres en el Embalse New Melones, afuera del Parque Nacional Yosemite. Al cabo de un juicio que duró cinco meses, un jurado los declaró culpables de diversos delitos del orden federal, entre ellos varios cargos de secuestro </w:t>
      </w:r>
      <w:r>
        <w:rPr>
          <w:rFonts w:ascii="Cambria" w:hAnsi="Cambria"/>
          <w:sz w:val="20"/>
          <w:szCs w:val="20"/>
          <w:lang w:val="es-ES"/>
        </w:rPr>
        <w:t xml:space="preserve">con muerte </w:t>
      </w:r>
      <w:r w:rsidRPr="008D5BCE">
        <w:rPr>
          <w:rFonts w:ascii="Cambria" w:hAnsi="Cambria"/>
          <w:sz w:val="20"/>
          <w:szCs w:val="20"/>
          <w:lang w:val="es-ES"/>
        </w:rPr>
        <w:t>resultante. Ambos hombres vivían en Los Ángeles (California) en el momento en que se produjeron los hechos. Se señala que ambos contaron en diversos momentos</w:t>
      </w:r>
      <w:r w:rsidRPr="00F272A7">
        <w:rPr>
          <w:rFonts w:ascii="Cambria" w:hAnsi="Cambria"/>
          <w:sz w:val="20"/>
          <w:szCs w:val="20"/>
          <w:lang w:val="es-ES"/>
        </w:rPr>
        <w:t xml:space="preserve"> con la asistencia</w:t>
      </w:r>
      <w:r w:rsidRPr="008D5BCE">
        <w:rPr>
          <w:rFonts w:ascii="Cambria" w:hAnsi="Cambria"/>
          <w:sz w:val="20"/>
          <w:szCs w:val="20"/>
          <w:lang w:val="es-ES"/>
        </w:rPr>
        <w:t xml:space="preserve"> de los conspiradores Petro Krylov, Ainar Altmanis, Aleksejus Markovskis y Natalya Solovyeva, que se declararon culpables y </w:t>
      </w:r>
      <w:r>
        <w:rPr>
          <w:rFonts w:ascii="Cambria" w:hAnsi="Cambria"/>
          <w:sz w:val="20"/>
          <w:szCs w:val="20"/>
          <w:lang w:val="es-ES"/>
        </w:rPr>
        <w:t xml:space="preserve">fueron </w:t>
      </w:r>
      <w:r w:rsidRPr="008D5BCE">
        <w:rPr>
          <w:rFonts w:ascii="Cambria" w:hAnsi="Cambria"/>
          <w:sz w:val="20"/>
          <w:szCs w:val="20"/>
          <w:lang w:val="es-ES"/>
        </w:rPr>
        <w:t xml:space="preserve">testigos de cargo. El señor Krylov </w:t>
      </w:r>
      <w:r>
        <w:rPr>
          <w:rFonts w:ascii="Cambria" w:hAnsi="Cambria"/>
          <w:sz w:val="20"/>
          <w:szCs w:val="20"/>
          <w:lang w:val="es-ES"/>
        </w:rPr>
        <w:t xml:space="preserve">fue </w:t>
      </w:r>
      <w:r w:rsidRPr="008D5BCE">
        <w:rPr>
          <w:rFonts w:ascii="Cambria" w:hAnsi="Cambria"/>
          <w:sz w:val="20"/>
          <w:szCs w:val="20"/>
          <w:lang w:val="es-ES"/>
        </w:rPr>
        <w:t xml:space="preserve">condenado en un juicio separado. </w:t>
      </w:r>
    </w:p>
    <w:p w14:paraId="45830AFC"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4F493C5A"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8D5BCE">
        <w:rPr>
          <w:rFonts w:asciiTheme="majorHAnsi" w:hAnsiTheme="majorHAnsi"/>
          <w:sz w:val="20"/>
          <w:szCs w:val="20"/>
          <w:lang w:val="es-ES"/>
        </w:rPr>
        <w:lastRenderedPageBreak/>
        <w:t xml:space="preserve">Los hombres fueron declarados culpables del homicidio de Meyer Muscatel, Rita Pekler, Alexander Umansky, Nick Kharabaze y George Safiev. Todas las muertes se produjeron tras los intentos de </w:t>
      </w:r>
      <w:r>
        <w:rPr>
          <w:rFonts w:asciiTheme="majorHAnsi" w:hAnsiTheme="majorHAnsi"/>
          <w:sz w:val="20"/>
          <w:szCs w:val="20"/>
          <w:lang w:val="es-ES"/>
        </w:rPr>
        <w:t xml:space="preserve">extraer dinero de las víctimas. Con respecto a </w:t>
      </w:r>
      <w:r w:rsidRPr="008D5BCE">
        <w:rPr>
          <w:rFonts w:asciiTheme="majorHAnsi" w:hAnsiTheme="majorHAnsi"/>
          <w:sz w:val="20"/>
          <w:szCs w:val="20"/>
          <w:lang w:val="es-ES"/>
        </w:rPr>
        <w:t xml:space="preserve">Meyer Muscatel, los señores Kadamovas y Mikhel </w:t>
      </w:r>
      <w:r>
        <w:rPr>
          <w:rFonts w:asciiTheme="majorHAnsi" w:hAnsiTheme="majorHAnsi"/>
          <w:sz w:val="20"/>
          <w:szCs w:val="20"/>
          <w:lang w:val="es-ES"/>
        </w:rPr>
        <w:t xml:space="preserve">le inyectaron el sedante </w:t>
      </w:r>
      <w:r w:rsidRPr="008D5BCE">
        <w:rPr>
          <w:rFonts w:asciiTheme="majorHAnsi" w:hAnsiTheme="majorHAnsi"/>
          <w:sz w:val="20"/>
          <w:szCs w:val="20"/>
          <w:lang w:val="es-ES"/>
        </w:rPr>
        <w:t>Dimedrol</w:t>
      </w:r>
      <w:r>
        <w:rPr>
          <w:rFonts w:asciiTheme="majorHAnsi" w:hAnsiTheme="majorHAnsi"/>
          <w:sz w:val="20"/>
          <w:szCs w:val="20"/>
          <w:lang w:val="es-ES"/>
        </w:rPr>
        <w:t xml:space="preserve"> y, con una bolsa de plástico y por la fuerza, lo sofocaron hasta que murió</w:t>
      </w:r>
      <w:r w:rsidRPr="008D5BCE">
        <w:rPr>
          <w:rFonts w:asciiTheme="majorHAnsi" w:hAnsiTheme="majorHAnsi"/>
          <w:sz w:val="20"/>
          <w:szCs w:val="20"/>
          <w:lang w:val="es-ES"/>
        </w:rPr>
        <w:t xml:space="preserve">. </w:t>
      </w:r>
      <w:r>
        <w:rPr>
          <w:rFonts w:asciiTheme="majorHAnsi" w:hAnsiTheme="majorHAnsi"/>
          <w:sz w:val="20"/>
          <w:szCs w:val="20"/>
          <w:lang w:val="es-ES"/>
        </w:rPr>
        <w:t xml:space="preserve">Después dejaron su cadáver en el </w:t>
      </w:r>
      <w:r w:rsidRPr="008D5BCE">
        <w:rPr>
          <w:rFonts w:asciiTheme="majorHAnsi" w:hAnsiTheme="majorHAnsi"/>
          <w:sz w:val="20"/>
          <w:szCs w:val="20"/>
          <w:lang w:val="es-ES"/>
        </w:rPr>
        <w:t xml:space="preserve">Embalse New Melones. </w:t>
      </w:r>
      <w:r>
        <w:rPr>
          <w:rFonts w:asciiTheme="majorHAnsi" w:hAnsiTheme="majorHAnsi"/>
          <w:sz w:val="20"/>
          <w:szCs w:val="20"/>
          <w:lang w:val="es-ES"/>
        </w:rPr>
        <w:t xml:space="preserve">A </w:t>
      </w:r>
      <w:r w:rsidRPr="008D5BCE">
        <w:rPr>
          <w:rFonts w:asciiTheme="majorHAnsi" w:hAnsiTheme="majorHAnsi"/>
          <w:sz w:val="20"/>
          <w:szCs w:val="20"/>
          <w:lang w:val="es-ES"/>
        </w:rPr>
        <w:t xml:space="preserve">Rita Pekler </w:t>
      </w:r>
      <w:r>
        <w:rPr>
          <w:rFonts w:asciiTheme="majorHAnsi" w:hAnsiTheme="majorHAnsi"/>
          <w:sz w:val="20"/>
          <w:szCs w:val="20"/>
          <w:lang w:val="es-ES"/>
        </w:rPr>
        <w:t xml:space="preserve">le inyectaron </w:t>
      </w:r>
      <w:r w:rsidRPr="008D5BCE">
        <w:rPr>
          <w:rFonts w:asciiTheme="majorHAnsi" w:hAnsiTheme="majorHAnsi"/>
          <w:sz w:val="20"/>
          <w:szCs w:val="20"/>
          <w:lang w:val="es-ES"/>
        </w:rPr>
        <w:t xml:space="preserve">Dimedrol, </w:t>
      </w:r>
      <w:r>
        <w:rPr>
          <w:rFonts w:asciiTheme="majorHAnsi" w:hAnsiTheme="majorHAnsi"/>
          <w:sz w:val="20"/>
          <w:szCs w:val="20"/>
          <w:lang w:val="es-ES"/>
        </w:rPr>
        <w:t>la estrangularon y la arrojaron del puente</w:t>
      </w:r>
      <w:r w:rsidRPr="008D5BCE">
        <w:rPr>
          <w:rFonts w:asciiTheme="majorHAnsi" w:hAnsiTheme="majorHAnsi"/>
          <w:sz w:val="20"/>
          <w:szCs w:val="20"/>
          <w:lang w:val="es-ES"/>
        </w:rPr>
        <w:t xml:space="preserve"> Ferry. Alexander Umansky </w:t>
      </w:r>
      <w:r>
        <w:rPr>
          <w:rFonts w:asciiTheme="majorHAnsi" w:hAnsiTheme="majorHAnsi"/>
          <w:sz w:val="20"/>
          <w:szCs w:val="20"/>
          <w:lang w:val="es-ES"/>
        </w:rPr>
        <w:t xml:space="preserve">fue estrangulado con una cuerda y arrojado al </w:t>
      </w:r>
      <w:r w:rsidRPr="008D5BCE">
        <w:rPr>
          <w:rFonts w:asciiTheme="majorHAnsi" w:hAnsiTheme="majorHAnsi"/>
          <w:sz w:val="20"/>
          <w:szCs w:val="20"/>
          <w:lang w:val="es-ES"/>
        </w:rPr>
        <w:t xml:space="preserve">Embalse New Melones. Nick Kharabaze </w:t>
      </w:r>
      <w:r>
        <w:rPr>
          <w:rFonts w:asciiTheme="majorHAnsi" w:hAnsiTheme="majorHAnsi"/>
          <w:sz w:val="20"/>
          <w:szCs w:val="20"/>
          <w:lang w:val="es-ES"/>
        </w:rPr>
        <w:t>y</w:t>
      </w:r>
      <w:r w:rsidRPr="008D5BCE">
        <w:rPr>
          <w:rFonts w:asciiTheme="majorHAnsi" w:hAnsiTheme="majorHAnsi"/>
          <w:sz w:val="20"/>
          <w:szCs w:val="20"/>
          <w:lang w:val="es-ES"/>
        </w:rPr>
        <w:t xml:space="preserve"> George Safiev </w:t>
      </w:r>
      <w:r>
        <w:rPr>
          <w:rFonts w:asciiTheme="majorHAnsi" w:hAnsiTheme="majorHAnsi"/>
          <w:sz w:val="20"/>
          <w:szCs w:val="20"/>
          <w:lang w:val="es-ES"/>
        </w:rPr>
        <w:t>fueron estrangulados y arrojados al</w:t>
      </w:r>
      <w:r w:rsidRPr="008D5BCE">
        <w:rPr>
          <w:rFonts w:asciiTheme="majorHAnsi" w:hAnsiTheme="majorHAnsi"/>
          <w:sz w:val="20"/>
          <w:szCs w:val="20"/>
          <w:lang w:val="es-ES"/>
        </w:rPr>
        <w:t xml:space="preserve"> Embalse New Melones.</w:t>
      </w:r>
    </w:p>
    <w:p w14:paraId="479D1FE9" w14:textId="77777777" w:rsidR="00702483" w:rsidRPr="008D5BCE" w:rsidRDefault="00702483" w:rsidP="00702483">
      <w:pPr>
        <w:rPr>
          <w:rFonts w:asciiTheme="majorHAnsi" w:hAnsiTheme="majorHAnsi"/>
          <w:sz w:val="20"/>
          <w:szCs w:val="20"/>
          <w:lang w:val="es-ES"/>
        </w:rPr>
      </w:pPr>
    </w:p>
    <w:p w14:paraId="71DE17F7"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Cambria" w:hAnsi="Cambria"/>
          <w:sz w:val="20"/>
          <w:szCs w:val="20"/>
          <w:lang w:val="es-ES"/>
        </w:rPr>
        <w:t xml:space="preserve">Según la información que consta en el expediente de la apelación interpuesta ante el </w:t>
      </w:r>
      <w:r w:rsidRPr="008D5BCE">
        <w:rPr>
          <w:rFonts w:ascii="Cambria" w:hAnsi="Cambria"/>
          <w:sz w:val="20"/>
          <w:szCs w:val="20"/>
          <w:lang w:val="es-ES"/>
        </w:rPr>
        <w:t>Tribunal Federal de Apelaciones para el Noveno Circuito</w:t>
      </w:r>
      <w:r>
        <w:rPr>
          <w:rFonts w:ascii="Cambria" w:hAnsi="Cambria"/>
          <w:sz w:val="20"/>
          <w:szCs w:val="20"/>
          <w:lang w:val="es-ES"/>
        </w:rPr>
        <w:t xml:space="preserve"> en</w:t>
      </w:r>
      <w:r w:rsidRPr="008D5BCE">
        <w:rPr>
          <w:rFonts w:ascii="Cambria" w:hAnsi="Cambria"/>
          <w:sz w:val="20"/>
          <w:szCs w:val="20"/>
          <w:lang w:val="es-ES"/>
        </w:rPr>
        <w:t xml:space="preserve"> 2009</w:t>
      </w:r>
      <w:r w:rsidRPr="008D5BCE">
        <w:rPr>
          <w:rStyle w:val="FootnoteReference"/>
          <w:rFonts w:ascii="Cambria" w:hAnsi="Cambria"/>
          <w:sz w:val="20"/>
          <w:szCs w:val="20"/>
          <w:lang w:val="es-ES"/>
        </w:rPr>
        <w:footnoteReference w:id="8"/>
      </w:r>
      <w:r w:rsidRPr="008D5BCE">
        <w:rPr>
          <w:rFonts w:ascii="Cambria" w:hAnsi="Cambria"/>
          <w:sz w:val="20"/>
          <w:szCs w:val="20"/>
          <w:lang w:val="es-ES"/>
        </w:rPr>
        <w:t xml:space="preserve">, </w:t>
      </w:r>
      <w:r w:rsidRPr="008D5BCE">
        <w:rPr>
          <w:rFonts w:asciiTheme="majorHAnsi" w:hAnsiTheme="majorHAnsi"/>
          <w:sz w:val="20"/>
          <w:szCs w:val="28"/>
          <w:bdr w:val="none" w:sz="0" w:space="0" w:color="auto"/>
          <w:lang w:val="es-ES"/>
        </w:rPr>
        <w:t xml:space="preserve">Dominick Price </w:t>
      </w:r>
      <w:r>
        <w:rPr>
          <w:rFonts w:asciiTheme="majorHAnsi" w:hAnsiTheme="majorHAnsi"/>
          <w:sz w:val="20"/>
          <w:szCs w:val="28"/>
          <w:bdr w:val="none" w:sz="0" w:space="0" w:color="auto"/>
          <w:lang w:val="es-ES"/>
        </w:rPr>
        <w:t xml:space="preserve">declaró que, en la mañana del </w:t>
      </w:r>
      <w:r w:rsidRPr="008D5BCE">
        <w:rPr>
          <w:rFonts w:asciiTheme="majorHAnsi" w:hAnsiTheme="majorHAnsi"/>
          <w:sz w:val="20"/>
          <w:szCs w:val="28"/>
          <w:bdr w:val="none" w:sz="0" w:space="0" w:color="auto"/>
          <w:lang w:val="es-ES"/>
        </w:rPr>
        <w:t>7</w:t>
      </w:r>
      <w:r>
        <w:rPr>
          <w:rFonts w:asciiTheme="majorHAnsi" w:hAnsiTheme="majorHAnsi"/>
          <w:sz w:val="20"/>
          <w:szCs w:val="28"/>
          <w:bdr w:val="none" w:sz="0" w:space="0" w:color="auto"/>
          <w:lang w:val="es-ES"/>
        </w:rPr>
        <w:t xml:space="preserve"> de octubre de</w:t>
      </w:r>
      <w:r w:rsidRPr="008D5BCE">
        <w:rPr>
          <w:rFonts w:asciiTheme="majorHAnsi" w:hAnsiTheme="majorHAnsi"/>
          <w:sz w:val="20"/>
          <w:szCs w:val="28"/>
          <w:bdr w:val="none" w:sz="0" w:space="0" w:color="auto"/>
          <w:lang w:val="es-ES"/>
        </w:rPr>
        <w:t xml:space="preserve"> 2002, Bolden </w:t>
      </w:r>
      <w:r>
        <w:rPr>
          <w:rFonts w:asciiTheme="majorHAnsi" w:hAnsiTheme="majorHAnsi"/>
          <w:sz w:val="20"/>
          <w:szCs w:val="28"/>
          <w:bdr w:val="none" w:sz="0" w:space="0" w:color="auto"/>
          <w:lang w:val="es-ES"/>
        </w:rPr>
        <w:t>le pidió que le ayudara a robar una sucursal de</w:t>
      </w:r>
      <w:r w:rsidRPr="008D5BCE">
        <w:rPr>
          <w:rFonts w:asciiTheme="majorHAnsi" w:hAnsiTheme="majorHAnsi"/>
          <w:sz w:val="20"/>
          <w:szCs w:val="28"/>
          <w:bdr w:val="none" w:sz="0" w:space="0" w:color="auto"/>
          <w:lang w:val="es-ES"/>
        </w:rPr>
        <w:t xml:space="preserve"> Bank of America </w:t>
      </w:r>
      <w:r>
        <w:rPr>
          <w:rFonts w:asciiTheme="majorHAnsi" w:hAnsiTheme="majorHAnsi"/>
          <w:sz w:val="20"/>
          <w:szCs w:val="28"/>
          <w:bdr w:val="none" w:sz="0" w:space="0" w:color="auto"/>
          <w:lang w:val="es-ES"/>
        </w:rPr>
        <w:t xml:space="preserve">porque necesitaba </w:t>
      </w:r>
      <w:r w:rsidRPr="008D5BCE">
        <w:rPr>
          <w:rFonts w:asciiTheme="majorHAnsi" w:hAnsiTheme="majorHAnsi"/>
          <w:sz w:val="20"/>
          <w:szCs w:val="28"/>
          <w:bdr w:val="none" w:sz="0" w:space="0" w:color="auto"/>
          <w:lang w:val="es-ES"/>
        </w:rPr>
        <w:t>$2</w:t>
      </w:r>
      <w:r>
        <w:rPr>
          <w:rFonts w:asciiTheme="majorHAnsi" w:hAnsiTheme="majorHAnsi"/>
          <w:sz w:val="20"/>
          <w:szCs w:val="28"/>
          <w:bdr w:val="none" w:sz="0" w:space="0" w:color="auto"/>
          <w:lang w:val="es-ES"/>
        </w:rPr>
        <w:t>.</w:t>
      </w:r>
      <w:r w:rsidRPr="008D5BCE">
        <w:rPr>
          <w:rFonts w:asciiTheme="majorHAnsi" w:hAnsiTheme="majorHAnsi"/>
          <w:sz w:val="20"/>
          <w:szCs w:val="28"/>
          <w:bdr w:val="none" w:sz="0" w:space="0" w:color="auto"/>
          <w:lang w:val="es-ES"/>
        </w:rPr>
        <w:t xml:space="preserve">000 </w:t>
      </w:r>
      <w:r>
        <w:rPr>
          <w:rFonts w:asciiTheme="majorHAnsi" w:hAnsiTheme="majorHAnsi"/>
          <w:sz w:val="20"/>
          <w:szCs w:val="28"/>
          <w:bdr w:val="none" w:sz="0" w:space="0" w:color="auto"/>
          <w:lang w:val="es-ES"/>
        </w:rPr>
        <w:t>para que no lo desalojaran de su vivienda</w:t>
      </w:r>
      <w:r w:rsidRPr="008D5BCE">
        <w:rPr>
          <w:rFonts w:asciiTheme="majorHAnsi" w:hAnsiTheme="majorHAnsi"/>
          <w:sz w:val="20"/>
          <w:szCs w:val="28"/>
          <w:bdr w:val="none" w:sz="0" w:space="0" w:color="auto"/>
          <w:lang w:val="es-ES"/>
        </w:rPr>
        <w:t xml:space="preserve">. </w:t>
      </w:r>
      <w:r>
        <w:rPr>
          <w:rFonts w:asciiTheme="majorHAnsi" w:hAnsiTheme="majorHAnsi"/>
          <w:sz w:val="20"/>
          <w:szCs w:val="28"/>
          <w:bdr w:val="none" w:sz="0" w:space="0" w:color="auto"/>
          <w:lang w:val="es-ES"/>
        </w:rPr>
        <w:t xml:space="preserve">Mientras ambos espiaban el banco, </w:t>
      </w:r>
      <w:r w:rsidRPr="008D5BCE">
        <w:rPr>
          <w:rFonts w:asciiTheme="majorHAnsi" w:hAnsiTheme="majorHAnsi"/>
          <w:sz w:val="20"/>
          <w:szCs w:val="28"/>
          <w:bdr w:val="none" w:sz="0" w:space="0" w:color="auto"/>
          <w:lang w:val="es-ES"/>
        </w:rPr>
        <w:t xml:space="preserve">Bolden </w:t>
      </w:r>
      <w:r>
        <w:rPr>
          <w:rFonts w:asciiTheme="majorHAnsi" w:hAnsiTheme="majorHAnsi"/>
          <w:sz w:val="20"/>
          <w:szCs w:val="28"/>
          <w:bdr w:val="none" w:sz="0" w:space="0" w:color="auto"/>
          <w:lang w:val="es-ES"/>
        </w:rPr>
        <w:t xml:space="preserve">le explicó su plan a </w:t>
      </w:r>
      <w:r w:rsidRPr="008D5BCE">
        <w:rPr>
          <w:rFonts w:asciiTheme="majorHAnsi" w:hAnsiTheme="majorHAnsi"/>
          <w:sz w:val="20"/>
          <w:szCs w:val="28"/>
          <w:bdr w:val="none" w:sz="0" w:space="0" w:color="auto"/>
          <w:lang w:val="es-ES"/>
        </w:rPr>
        <w:t>Price</w:t>
      </w:r>
      <w:r>
        <w:rPr>
          <w:rFonts w:asciiTheme="majorHAnsi" w:hAnsiTheme="majorHAnsi"/>
          <w:sz w:val="20"/>
          <w:szCs w:val="28"/>
          <w:bdr w:val="none" w:sz="0" w:space="0" w:color="auto"/>
          <w:lang w:val="es-ES"/>
        </w:rPr>
        <w:t>, que tenía dudas</w:t>
      </w:r>
      <w:r w:rsidRPr="008D5BCE">
        <w:rPr>
          <w:rFonts w:asciiTheme="majorHAnsi" w:hAnsiTheme="majorHAnsi"/>
          <w:sz w:val="20"/>
          <w:szCs w:val="28"/>
          <w:bdr w:val="none" w:sz="0" w:space="0" w:color="auto"/>
          <w:lang w:val="es-ES"/>
        </w:rPr>
        <w:t xml:space="preserve">: </w:t>
      </w:r>
      <w:r>
        <w:rPr>
          <w:rFonts w:asciiTheme="majorHAnsi" w:hAnsiTheme="majorHAnsi"/>
          <w:sz w:val="20"/>
          <w:szCs w:val="28"/>
          <w:bdr w:val="none" w:sz="0" w:space="0" w:color="auto"/>
          <w:lang w:val="es-ES"/>
        </w:rPr>
        <w:t xml:space="preserve">pistola en mano, </w:t>
      </w:r>
      <w:r w:rsidRPr="008D5BCE">
        <w:rPr>
          <w:rFonts w:asciiTheme="majorHAnsi" w:hAnsiTheme="majorHAnsi"/>
          <w:sz w:val="20"/>
          <w:szCs w:val="28"/>
          <w:bdr w:val="none" w:sz="0" w:space="0" w:color="auto"/>
          <w:lang w:val="es-ES"/>
        </w:rPr>
        <w:t xml:space="preserve">Bolden </w:t>
      </w:r>
      <w:r>
        <w:rPr>
          <w:rFonts w:asciiTheme="majorHAnsi" w:hAnsiTheme="majorHAnsi"/>
          <w:sz w:val="20"/>
          <w:szCs w:val="28"/>
          <w:bdr w:val="none" w:sz="0" w:space="0" w:color="auto"/>
          <w:lang w:val="es-ES"/>
        </w:rPr>
        <w:t xml:space="preserve">desarmaría al guardia que estaba afuera del banco; después, </w:t>
      </w:r>
      <w:r w:rsidRPr="008D5BCE">
        <w:rPr>
          <w:rFonts w:asciiTheme="majorHAnsi" w:hAnsiTheme="majorHAnsi"/>
          <w:sz w:val="20"/>
          <w:szCs w:val="28"/>
          <w:bdr w:val="none" w:sz="0" w:space="0" w:color="auto"/>
          <w:lang w:val="es-ES"/>
        </w:rPr>
        <w:t xml:space="preserve">Bolden </w:t>
      </w:r>
      <w:r>
        <w:rPr>
          <w:rFonts w:asciiTheme="majorHAnsi" w:hAnsiTheme="majorHAnsi"/>
          <w:sz w:val="20"/>
          <w:szCs w:val="28"/>
          <w:bdr w:val="none" w:sz="0" w:space="0" w:color="auto"/>
          <w:lang w:val="es-ES"/>
        </w:rPr>
        <w:t xml:space="preserve">y </w:t>
      </w:r>
      <w:r w:rsidRPr="008D5BCE">
        <w:rPr>
          <w:rFonts w:asciiTheme="majorHAnsi" w:hAnsiTheme="majorHAnsi"/>
          <w:sz w:val="20"/>
          <w:szCs w:val="28"/>
          <w:bdr w:val="none" w:sz="0" w:space="0" w:color="auto"/>
          <w:lang w:val="es-ES"/>
        </w:rPr>
        <w:t xml:space="preserve">Price </w:t>
      </w:r>
      <w:r>
        <w:rPr>
          <w:rFonts w:asciiTheme="majorHAnsi" w:hAnsiTheme="majorHAnsi"/>
          <w:sz w:val="20"/>
          <w:szCs w:val="28"/>
          <w:bdr w:val="none" w:sz="0" w:space="0" w:color="auto"/>
          <w:lang w:val="es-ES"/>
        </w:rPr>
        <w:t>entrarían en el banco con el guardia como rehén, exigirían que les entregaran dinero y se fugarían en el automóvil de</w:t>
      </w:r>
      <w:r w:rsidRPr="008D5BCE">
        <w:rPr>
          <w:rFonts w:asciiTheme="majorHAnsi" w:hAnsiTheme="majorHAnsi"/>
          <w:sz w:val="20"/>
          <w:szCs w:val="28"/>
          <w:bdr w:val="none" w:sz="0" w:space="0" w:color="auto"/>
          <w:lang w:val="es-ES"/>
        </w:rPr>
        <w:t xml:space="preserve"> Bolden</w:t>
      </w:r>
      <w:r>
        <w:rPr>
          <w:rFonts w:asciiTheme="majorHAnsi" w:hAnsiTheme="majorHAnsi"/>
          <w:sz w:val="20"/>
          <w:szCs w:val="28"/>
          <w:bdr w:val="none" w:sz="0" w:space="0" w:color="auto"/>
          <w:lang w:val="es-ES"/>
        </w:rPr>
        <w:t>. Los dos hombres compraron gorros de nailon para pelucas</w:t>
      </w:r>
      <w:r w:rsidRPr="008D5BCE">
        <w:rPr>
          <w:rFonts w:asciiTheme="majorHAnsi" w:hAnsiTheme="majorHAnsi"/>
          <w:sz w:val="20"/>
          <w:szCs w:val="28"/>
          <w:bdr w:val="none" w:sz="0" w:space="0" w:color="auto"/>
          <w:lang w:val="es-ES"/>
        </w:rPr>
        <w:t xml:space="preserve">, </w:t>
      </w:r>
      <w:r>
        <w:rPr>
          <w:rFonts w:asciiTheme="majorHAnsi" w:hAnsiTheme="majorHAnsi"/>
          <w:sz w:val="20"/>
          <w:szCs w:val="28"/>
          <w:bdr w:val="none" w:sz="0" w:space="0" w:color="auto"/>
          <w:lang w:val="es-ES"/>
        </w:rPr>
        <w:t>y</w:t>
      </w:r>
      <w:r w:rsidRPr="008D5BCE">
        <w:rPr>
          <w:rFonts w:asciiTheme="majorHAnsi" w:hAnsiTheme="majorHAnsi"/>
          <w:sz w:val="20"/>
          <w:szCs w:val="28"/>
          <w:bdr w:val="none" w:sz="0" w:space="0" w:color="auto"/>
          <w:lang w:val="es-ES"/>
        </w:rPr>
        <w:t xml:space="preserve"> Bolden </w:t>
      </w:r>
      <w:r>
        <w:rPr>
          <w:rFonts w:asciiTheme="majorHAnsi" w:hAnsiTheme="majorHAnsi"/>
          <w:sz w:val="20"/>
          <w:szCs w:val="28"/>
          <w:bdr w:val="none" w:sz="0" w:space="0" w:color="auto"/>
          <w:lang w:val="es-ES"/>
        </w:rPr>
        <w:t xml:space="preserve">consiguió a un tercer hombre, </w:t>
      </w:r>
      <w:r w:rsidRPr="008D5BCE">
        <w:rPr>
          <w:rFonts w:asciiTheme="majorHAnsi" w:hAnsiTheme="majorHAnsi"/>
          <w:sz w:val="20"/>
          <w:szCs w:val="28"/>
          <w:bdr w:val="none" w:sz="0" w:space="0" w:color="auto"/>
          <w:lang w:val="es-ES"/>
        </w:rPr>
        <w:t xml:space="preserve">Corteze Edwards, </w:t>
      </w:r>
      <w:r>
        <w:rPr>
          <w:rFonts w:asciiTheme="majorHAnsi" w:hAnsiTheme="majorHAnsi"/>
          <w:sz w:val="20"/>
          <w:szCs w:val="28"/>
          <w:bdr w:val="none" w:sz="0" w:space="0" w:color="auto"/>
          <w:lang w:val="es-ES"/>
        </w:rPr>
        <w:t>para que les ayudara en el robo.</w:t>
      </w:r>
    </w:p>
    <w:p w14:paraId="704A5544"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8"/>
          <w:bdr w:val="none" w:sz="0" w:space="0" w:color="auto"/>
          <w:lang w:val="es-ES"/>
        </w:rPr>
      </w:pPr>
    </w:p>
    <w:p w14:paraId="6EB5F954"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8"/>
          <w:bdr w:val="none" w:sz="0" w:space="0" w:color="auto"/>
          <w:lang w:val="es-ES"/>
        </w:rPr>
        <w:t>Temprano por la tarde de ese día, los tres se vistieron con ropa oscura y fueron en automóvil hasta un estacionamiento cercano al banco</w:t>
      </w:r>
      <w:r w:rsidRPr="008D5BCE">
        <w:rPr>
          <w:rFonts w:asciiTheme="majorHAnsi" w:hAnsiTheme="majorHAnsi"/>
          <w:sz w:val="20"/>
          <w:szCs w:val="28"/>
          <w:bdr w:val="none" w:sz="0" w:space="0" w:color="auto"/>
          <w:lang w:val="es-ES"/>
        </w:rPr>
        <w:t xml:space="preserve">. Price </w:t>
      </w:r>
      <w:r>
        <w:rPr>
          <w:rFonts w:asciiTheme="majorHAnsi" w:hAnsiTheme="majorHAnsi"/>
          <w:sz w:val="20"/>
          <w:szCs w:val="28"/>
          <w:bdr w:val="none" w:sz="0" w:space="0" w:color="auto"/>
          <w:lang w:val="es-ES"/>
        </w:rPr>
        <w:t>y</w:t>
      </w:r>
      <w:r w:rsidRPr="008D5BCE">
        <w:rPr>
          <w:rFonts w:asciiTheme="majorHAnsi" w:hAnsiTheme="majorHAnsi"/>
          <w:sz w:val="20"/>
          <w:szCs w:val="28"/>
          <w:bdr w:val="none" w:sz="0" w:space="0" w:color="auto"/>
          <w:lang w:val="es-ES"/>
        </w:rPr>
        <w:t xml:space="preserve"> Edwards </w:t>
      </w:r>
      <w:r>
        <w:rPr>
          <w:rFonts w:asciiTheme="majorHAnsi" w:hAnsiTheme="majorHAnsi"/>
          <w:sz w:val="20"/>
          <w:szCs w:val="28"/>
          <w:bdr w:val="none" w:sz="0" w:space="0" w:color="auto"/>
          <w:lang w:val="es-ES"/>
        </w:rPr>
        <w:t xml:space="preserve">se pusieron máscaras; </w:t>
      </w:r>
      <w:r w:rsidRPr="008D5BCE">
        <w:rPr>
          <w:rFonts w:asciiTheme="majorHAnsi" w:hAnsiTheme="majorHAnsi"/>
          <w:sz w:val="20"/>
          <w:szCs w:val="28"/>
          <w:bdr w:val="none" w:sz="0" w:space="0" w:color="auto"/>
          <w:lang w:val="es-ES"/>
        </w:rPr>
        <w:t>Bolden</w:t>
      </w:r>
      <w:r>
        <w:rPr>
          <w:rFonts w:asciiTheme="majorHAnsi" w:hAnsiTheme="majorHAnsi"/>
          <w:sz w:val="20"/>
          <w:szCs w:val="28"/>
          <w:bdr w:val="none" w:sz="0" w:space="0" w:color="auto"/>
          <w:lang w:val="es-ES"/>
        </w:rPr>
        <w:t xml:space="preserve">, no. Cuando Ley, el guardia, salió del banco, </w:t>
      </w:r>
      <w:r w:rsidRPr="008D5BCE">
        <w:rPr>
          <w:rFonts w:asciiTheme="majorHAnsi" w:hAnsiTheme="majorHAnsi"/>
          <w:sz w:val="20"/>
          <w:szCs w:val="28"/>
          <w:bdr w:val="none" w:sz="0" w:space="0" w:color="auto"/>
          <w:lang w:val="es-ES"/>
        </w:rPr>
        <w:t xml:space="preserve">Bolden </w:t>
      </w:r>
      <w:r>
        <w:rPr>
          <w:rFonts w:asciiTheme="majorHAnsi" w:hAnsiTheme="majorHAnsi"/>
          <w:sz w:val="20"/>
          <w:szCs w:val="28"/>
          <w:bdr w:val="none" w:sz="0" w:space="0" w:color="auto"/>
          <w:lang w:val="es-ES"/>
        </w:rPr>
        <w:t xml:space="preserve">se le acercó a pie, con </w:t>
      </w:r>
      <w:r w:rsidRPr="008D5BCE">
        <w:rPr>
          <w:rFonts w:asciiTheme="majorHAnsi" w:hAnsiTheme="majorHAnsi"/>
          <w:sz w:val="20"/>
          <w:szCs w:val="28"/>
          <w:bdr w:val="none" w:sz="0" w:space="0" w:color="auto"/>
          <w:lang w:val="es-ES"/>
        </w:rPr>
        <w:t xml:space="preserve">Price </w:t>
      </w:r>
      <w:r>
        <w:rPr>
          <w:rFonts w:asciiTheme="majorHAnsi" w:hAnsiTheme="majorHAnsi"/>
          <w:sz w:val="20"/>
          <w:szCs w:val="28"/>
          <w:bdr w:val="none" w:sz="0" w:space="0" w:color="auto"/>
          <w:lang w:val="es-ES"/>
        </w:rPr>
        <w:t>y</w:t>
      </w:r>
      <w:r w:rsidRPr="008D5BCE">
        <w:rPr>
          <w:rFonts w:asciiTheme="majorHAnsi" w:hAnsiTheme="majorHAnsi"/>
          <w:sz w:val="20"/>
          <w:szCs w:val="28"/>
          <w:bdr w:val="none" w:sz="0" w:space="0" w:color="auto"/>
          <w:lang w:val="es-ES"/>
        </w:rPr>
        <w:t xml:space="preserve"> Edwards </w:t>
      </w:r>
      <w:r>
        <w:rPr>
          <w:rFonts w:asciiTheme="majorHAnsi" w:hAnsiTheme="majorHAnsi"/>
          <w:sz w:val="20"/>
          <w:szCs w:val="28"/>
          <w:bdr w:val="none" w:sz="0" w:space="0" w:color="auto"/>
          <w:lang w:val="es-ES"/>
        </w:rPr>
        <w:t xml:space="preserve">entre quince y veinte pies más atrás. </w:t>
      </w:r>
      <w:r w:rsidRPr="008D5BCE">
        <w:rPr>
          <w:rFonts w:asciiTheme="majorHAnsi" w:hAnsiTheme="majorHAnsi"/>
          <w:sz w:val="20"/>
          <w:szCs w:val="28"/>
          <w:bdr w:val="none" w:sz="0" w:space="0" w:color="auto"/>
          <w:lang w:val="es-ES"/>
        </w:rPr>
        <w:t xml:space="preserve">Price </w:t>
      </w:r>
      <w:r>
        <w:rPr>
          <w:rFonts w:asciiTheme="majorHAnsi" w:hAnsiTheme="majorHAnsi"/>
          <w:sz w:val="20"/>
          <w:szCs w:val="28"/>
          <w:bdr w:val="none" w:sz="0" w:space="0" w:color="auto"/>
          <w:lang w:val="es-ES"/>
        </w:rPr>
        <w:t xml:space="preserve">declaró que </w:t>
      </w:r>
      <w:r w:rsidRPr="008D5BCE">
        <w:rPr>
          <w:rFonts w:asciiTheme="majorHAnsi" w:hAnsiTheme="majorHAnsi"/>
          <w:sz w:val="20"/>
          <w:szCs w:val="28"/>
          <w:bdr w:val="none" w:sz="0" w:space="0" w:color="auto"/>
          <w:lang w:val="es-ES"/>
        </w:rPr>
        <w:t xml:space="preserve">Bolden </w:t>
      </w:r>
      <w:r>
        <w:rPr>
          <w:rFonts w:asciiTheme="majorHAnsi" w:hAnsiTheme="majorHAnsi"/>
          <w:sz w:val="20"/>
          <w:szCs w:val="28"/>
          <w:bdr w:val="none" w:sz="0" w:space="0" w:color="auto"/>
          <w:lang w:val="es-ES"/>
        </w:rPr>
        <w:t xml:space="preserve">se detuvo a poca distancia de </w:t>
      </w:r>
      <w:r w:rsidRPr="008D5BCE">
        <w:rPr>
          <w:rFonts w:asciiTheme="majorHAnsi" w:hAnsiTheme="majorHAnsi"/>
          <w:sz w:val="20"/>
          <w:szCs w:val="28"/>
          <w:bdr w:val="none" w:sz="0" w:space="0" w:color="auto"/>
          <w:lang w:val="es-ES"/>
        </w:rPr>
        <w:t xml:space="preserve">Ley </w:t>
      </w:r>
      <w:r>
        <w:rPr>
          <w:rFonts w:asciiTheme="majorHAnsi" w:hAnsiTheme="majorHAnsi"/>
          <w:sz w:val="20"/>
          <w:szCs w:val="28"/>
          <w:bdr w:val="none" w:sz="0" w:space="0" w:color="auto"/>
          <w:lang w:val="es-ES"/>
        </w:rPr>
        <w:t xml:space="preserve">y lo apuntó con el arma. Tras un breve diálogo, </w:t>
      </w:r>
      <w:r w:rsidRPr="008D5BCE">
        <w:rPr>
          <w:rFonts w:asciiTheme="majorHAnsi" w:hAnsiTheme="majorHAnsi"/>
          <w:sz w:val="20"/>
          <w:szCs w:val="28"/>
          <w:bdr w:val="none" w:sz="0" w:space="0" w:color="auto"/>
          <w:lang w:val="es-ES"/>
        </w:rPr>
        <w:t xml:space="preserve">Ley </w:t>
      </w:r>
      <w:r>
        <w:rPr>
          <w:rFonts w:asciiTheme="majorHAnsi" w:hAnsiTheme="majorHAnsi"/>
          <w:sz w:val="20"/>
          <w:szCs w:val="28"/>
          <w:bdr w:val="none" w:sz="0" w:space="0" w:color="auto"/>
          <w:lang w:val="es-ES"/>
        </w:rPr>
        <w:t xml:space="preserve">trató de quitarle el arma y ambos forcejearon. </w:t>
      </w:r>
      <w:r w:rsidRPr="008D5BCE">
        <w:rPr>
          <w:rFonts w:asciiTheme="majorHAnsi" w:hAnsiTheme="majorHAnsi"/>
          <w:sz w:val="20"/>
          <w:szCs w:val="28"/>
          <w:bdr w:val="none" w:sz="0" w:space="0" w:color="auto"/>
          <w:lang w:val="es-ES"/>
        </w:rPr>
        <w:t>Bolden re</w:t>
      </w:r>
      <w:r>
        <w:rPr>
          <w:rFonts w:asciiTheme="majorHAnsi" w:hAnsiTheme="majorHAnsi"/>
          <w:sz w:val="20"/>
          <w:szCs w:val="28"/>
          <w:bdr w:val="none" w:sz="0" w:space="0" w:color="auto"/>
          <w:lang w:val="es-ES"/>
        </w:rPr>
        <w:t xml:space="preserve">cuperó el arma y le disparó a </w:t>
      </w:r>
      <w:r w:rsidRPr="008D5BCE">
        <w:rPr>
          <w:rFonts w:asciiTheme="majorHAnsi" w:hAnsiTheme="majorHAnsi"/>
          <w:sz w:val="20"/>
          <w:szCs w:val="28"/>
          <w:bdr w:val="none" w:sz="0" w:space="0" w:color="auto"/>
          <w:lang w:val="es-ES"/>
        </w:rPr>
        <w:t xml:space="preserve">Ley </w:t>
      </w:r>
      <w:r>
        <w:rPr>
          <w:rFonts w:asciiTheme="majorHAnsi" w:hAnsiTheme="majorHAnsi"/>
          <w:sz w:val="20"/>
          <w:szCs w:val="28"/>
          <w:bdr w:val="none" w:sz="0" w:space="0" w:color="auto"/>
          <w:lang w:val="es-ES"/>
        </w:rPr>
        <w:t>en la mandíbula</w:t>
      </w:r>
      <w:r w:rsidRPr="008D5BCE">
        <w:rPr>
          <w:rFonts w:asciiTheme="majorHAnsi" w:hAnsiTheme="majorHAnsi"/>
          <w:sz w:val="20"/>
          <w:szCs w:val="28"/>
          <w:bdr w:val="none" w:sz="0" w:space="0" w:color="auto"/>
          <w:lang w:val="es-ES"/>
        </w:rPr>
        <w:t xml:space="preserve">. </w:t>
      </w:r>
      <w:r>
        <w:rPr>
          <w:rFonts w:asciiTheme="majorHAnsi" w:hAnsiTheme="majorHAnsi"/>
          <w:sz w:val="20"/>
          <w:szCs w:val="28"/>
          <w:bdr w:val="none" w:sz="0" w:space="0" w:color="auto"/>
          <w:lang w:val="es-ES"/>
        </w:rPr>
        <w:t>Cuando</w:t>
      </w:r>
      <w:r w:rsidRPr="008D5BCE">
        <w:rPr>
          <w:rFonts w:asciiTheme="majorHAnsi" w:hAnsiTheme="majorHAnsi"/>
          <w:sz w:val="20"/>
          <w:szCs w:val="28"/>
          <w:bdr w:val="none" w:sz="0" w:space="0" w:color="auto"/>
          <w:lang w:val="es-ES"/>
        </w:rPr>
        <w:t xml:space="preserve"> Ley </w:t>
      </w:r>
      <w:r>
        <w:rPr>
          <w:rFonts w:asciiTheme="majorHAnsi" w:hAnsiTheme="majorHAnsi"/>
          <w:sz w:val="20"/>
          <w:szCs w:val="28"/>
          <w:bdr w:val="none" w:sz="0" w:space="0" w:color="auto"/>
          <w:lang w:val="es-ES"/>
        </w:rPr>
        <w:t xml:space="preserve">cayó, </w:t>
      </w:r>
      <w:r w:rsidRPr="008D5BCE">
        <w:rPr>
          <w:rFonts w:asciiTheme="majorHAnsi" w:hAnsiTheme="majorHAnsi"/>
          <w:sz w:val="20"/>
          <w:szCs w:val="28"/>
          <w:bdr w:val="none" w:sz="0" w:space="0" w:color="auto"/>
          <w:lang w:val="es-ES"/>
        </w:rPr>
        <w:t xml:space="preserve">Bolden </w:t>
      </w:r>
      <w:r>
        <w:rPr>
          <w:rFonts w:asciiTheme="majorHAnsi" w:hAnsiTheme="majorHAnsi"/>
          <w:sz w:val="20"/>
          <w:szCs w:val="28"/>
          <w:bdr w:val="none" w:sz="0" w:space="0" w:color="auto"/>
          <w:lang w:val="es-ES"/>
        </w:rPr>
        <w:t xml:space="preserve">dio un paso atrás y le descerrajó un tiro en la cabeza. Esa tarde, </w:t>
      </w:r>
      <w:r w:rsidRPr="008D5BCE">
        <w:rPr>
          <w:rFonts w:asciiTheme="majorHAnsi" w:hAnsiTheme="majorHAnsi"/>
          <w:sz w:val="20"/>
          <w:szCs w:val="28"/>
          <w:bdr w:val="none" w:sz="0" w:space="0" w:color="auto"/>
          <w:lang w:val="es-ES"/>
        </w:rPr>
        <w:t xml:space="preserve">Ley </w:t>
      </w:r>
      <w:r>
        <w:rPr>
          <w:rFonts w:asciiTheme="majorHAnsi" w:hAnsiTheme="majorHAnsi"/>
          <w:sz w:val="20"/>
          <w:szCs w:val="28"/>
          <w:bdr w:val="none" w:sz="0" w:space="0" w:color="auto"/>
          <w:lang w:val="es-ES"/>
        </w:rPr>
        <w:t xml:space="preserve">murió de la segunda herida. Los tres asaltantes se fugaron, quitándose prendas de vestir mientras corrían. Muchos espectadores circunstanciales presenciaron el tiroteo. Uno vio a </w:t>
      </w:r>
      <w:r w:rsidRPr="008D5BCE">
        <w:rPr>
          <w:rFonts w:asciiTheme="majorHAnsi" w:hAnsiTheme="majorHAnsi"/>
          <w:sz w:val="20"/>
          <w:szCs w:val="28"/>
          <w:bdr w:val="none" w:sz="0" w:space="0" w:color="auto"/>
          <w:lang w:val="es-ES"/>
        </w:rPr>
        <w:t xml:space="preserve">Bolden </w:t>
      </w:r>
      <w:r>
        <w:rPr>
          <w:rFonts w:asciiTheme="majorHAnsi" w:hAnsiTheme="majorHAnsi"/>
          <w:sz w:val="20"/>
          <w:szCs w:val="28"/>
          <w:bdr w:val="none" w:sz="0" w:space="0" w:color="auto"/>
          <w:lang w:val="es-ES"/>
        </w:rPr>
        <w:t>cuando se alejaba en el automóvil. Bolden fue arrestado esa noche</w:t>
      </w:r>
      <w:r w:rsidRPr="008D5BCE">
        <w:rPr>
          <w:rFonts w:asciiTheme="majorHAnsi" w:hAnsiTheme="majorHAnsi"/>
          <w:sz w:val="20"/>
          <w:szCs w:val="28"/>
          <w:bdr w:val="none" w:sz="0" w:space="0" w:color="auto"/>
          <w:lang w:val="es-ES"/>
        </w:rPr>
        <w:t xml:space="preserve">. </w:t>
      </w:r>
    </w:p>
    <w:p w14:paraId="562AED72"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47E417D7" w14:textId="77777777" w:rsidR="00702483" w:rsidRPr="00702483" w:rsidRDefault="00702483" w:rsidP="007E283D">
      <w:pPr>
        <w:pStyle w:val="Heading2"/>
        <w:keepLines/>
        <w:numPr>
          <w:ilvl w:val="0"/>
          <w:numId w:val="58"/>
        </w:numPr>
        <w:pBdr>
          <w:top w:val="nil"/>
          <w:left w:val="nil"/>
          <w:bottom w:val="nil"/>
          <w:right w:val="nil"/>
          <w:between w:val="nil"/>
          <w:bar w:val="nil"/>
        </w:pBdr>
        <w:tabs>
          <w:tab w:val="left" w:pos="360"/>
        </w:tabs>
        <w:spacing w:before="0" w:after="0"/>
        <w:ind w:hanging="720"/>
        <w:rPr>
          <w:rFonts w:asciiTheme="majorHAnsi" w:hAnsiTheme="majorHAnsi"/>
          <w:i w:val="0"/>
          <w:sz w:val="20"/>
          <w:szCs w:val="20"/>
          <w:lang w:val="es-ES"/>
        </w:rPr>
      </w:pPr>
      <w:bookmarkStart w:id="14" w:name="_Toc90289316"/>
      <w:r w:rsidRPr="00702483">
        <w:rPr>
          <w:rFonts w:asciiTheme="majorHAnsi" w:hAnsiTheme="majorHAnsi"/>
          <w:i w:val="0"/>
          <w:sz w:val="20"/>
          <w:szCs w:val="20"/>
          <w:lang w:val="es-ES"/>
        </w:rPr>
        <w:t>El juicio y la pena de muerte</w:t>
      </w:r>
      <w:bookmarkEnd w:id="14"/>
    </w:p>
    <w:p w14:paraId="14735C63" w14:textId="77777777" w:rsidR="00702483" w:rsidRPr="008D5BCE" w:rsidRDefault="00702483" w:rsidP="00702483">
      <w:pPr>
        <w:rPr>
          <w:lang w:val="es-ES"/>
        </w:rPr>
      </w:pPr>
    </w:p>
    <w:p w14:paraId="28AC0E2B"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Según la información disponible</w:t>
      </w:r>
      <w:r w:rsidRPr="008D5BCE">
        <w:rPr>
          <w:rFonts w:asciiTheme="majorHAnsi" w:hAnsiTheme="majorHAnsi"/>
          <w:sz w:val="20"/>
          <w:szCs w:val="20"/>
          <w:lang w:val="es-ES"/>
        </w:rPr>
        <w:t xml:space="preserve">, </w:t>
      </w:r>
      <w:r>
        <w:rPr>
          <w:rFonts w:asciiTheme="majorHAnsi" w:hAnsiTheme="majorHAnsi"/>
          <w:sz w:val="20"/>
          <w:szCs w:val="20"/>
          <w:lang w:val="es-ES"/>
        </w:rPr>
        <w:t>un gran jurado acusó formalmente a</w:t>
      </w:r>
      <w:r w:rsidRPr="008D5BCE">
        <w:rPr>
          <w:rFonts w:asciiTheme="majorHAnsi" w:hAnsiTheme="majorHAnsi"/>
          <w:sz w:val="20"/>
          <w:szCs w:val="20"/>
          <w:lang w:val="es-ES"/>
        </w:rPr>
        <w:t xml:space="preserve">l señor Kadamovas </w:t>
      </w:r>
      <w:r>
        <w:rPr>
          <w:rFonts w:asciiTheme="majorHAnsi" w:hAnsiTheme="majorHAnsi"/>
          <w:sz w:val="20"/>
          <w:szCs w:val="20"/>
          <w:lang w:val="es-ES"/>
        </w:rPr>
        <w:t>de conspiración para tomar rehenes con muerte resultante, secuestro con muerte resultante, conspiración para lavar instrumentos monetarios, conspiración para fugarse y confiscación impuesta como pena de un delito. La etapa de culpabilidad o inocencia</w:t>
      </w:r>
      <w:r w:rsidRPr="008D5BCE">
        <w:rPr>
          <w:rFonts w:asciiTheme="majorHAnsi" w:hAnsiTheme="majorHAnsi"/>
          <w:sz w:val="20"/>
          <w:szCs w:val="20"/>
          <w:lang w:val="es-ES"/>
        </w:rPr>
        <w:t xml:space="preserve"> </w:t>
      </w:r>
      <w:r>
        <w:rPr>
          <w:rFonts w:asciiTheme="majorHAnsi" w:hAnsiTheme="majorHAnsi"/>
          <w:sz w:val="20"/>
          <w:szCs w:val="20"/>
          <w:lang w:val="es-ES"/>
        </w:rPr>
        <w:t xml:space="preserve">del juicio comenzó en julio de </w:t>
      </w:r>
      <w:r w:rsidRPr="008D5BCE">
        <w:rPr>
          <w:rFonts w:asciiTheme="majorHAnsi" w:hAnsiTheme="majorHAnsi"/>
          <w:sz w:val="20"/>
          <w:szCs w:val="20"/>
          <w:lang w:val="es-ES"/>
        </w:rPr>
        <w:t>2006</w:t>
      </w:r>
      <w:r>
        <w:rPr>
          <w:rFonts w:asciiTheme="majorHAnsi" w:hAnsiTheme="majorHAnsi"/>
          <w:sz w:val="20"/>
          <w:szCs w:val="20"/>
          <w:lang w:val="es-ES"/>
        </w:rPr>
        <w:t xml:space="preserve"> y duró cinco meses. E</w:t>
      </w:r>
      <w:r w:rsidRPr="008D5BCE">
        <w:rPr>
          <w:rFonts w:asciiTheme="majorHAnsi" w:hAnsiTheme="majorHAnsi"/>
          <w:sz w:val="20"/>
          <w:szCs w:val="20"/>
          <w:lang w:val="es-ES"/>
        </w:rPr>
        <w:t xml:space="preserve">l señor Kadamovas </w:t>
      </w:r>
      <w:r>
        <w:rPr>
          <w:rFonts w:asciiTheme="majorHAnsi" w:hAnsiTheme="majorHAnsi"/>
          <w:sz w:val="20"/>
          <w:szCs w:val="20"/>
          <w:lang w:val="es-ES"/>
        </w:rPr>
        <w:t>fue declarado culpable el</w:t>
      </w:r>
      <w:r w:rsidRPr="008D5BCE">
        <w:rPr>
          <w:rFonts w:asciiTheme="majorHAnsi" w:hAnsiTheme="majorHAnsi"/>
          <w:sz w:val="20"/>
          <w:szCs w:val="20"/>
          <w:lang w:val="es-ES"/>
        </w:rPr>
        <w:t xml:space="preserve"> 17</w:t>
      </w:r>
      <w:r>
        <w:rPr>
          <w:rFonts w:asciiTheme="majorHAnsi" w:hAnsiTheme="majorHAnsi"/>
          <w:sz w:val="20"/>
          <w:szCs w:val="20"/>
          <w:lang w:val="es-ES"/>
        </w:rPr>
        <w:t xml:space="preserve"> de enero de</w:t>
      </w:r>
      <w:r w:rsidRPr="008D5BCE">
        <w:rPr>
          <w:rFonts w:asciiTheme="majorHAnsi" w:hAnsiTheme="majorHAnsi"/>
          <w:sz w:val="20"/>
          <w:szCs w:val="20"/>
          <w:lang w:val="es-ES"/>
        </w:rPr>
        <w:t xml:space="preserve"> 2007</w:t>
      </w:r>
      <w:r>
        <w:rPr>
          <w:rFonts w:asciiTheme="majorHAnsi" w:hAnsiTheme="majorHAnsi"/>
          <w:sz w:val="20"/>
          <w:szCs w:val="20"/>
          <w:lang w:val="es-ES"/>
        </w:rPr>
        <w:t xml:space="preserve">; el </w:t>
      </w:r>
      <w:r w:rsidRPr="008D5BCE">
        <w:rPr>
          <w:rFonts w:asciiTheme="majorHAnsi" w:hAnsiTheme="majorHAnsi"/>
          <w:sz w:val="20"/>
          <w:szCs w:val="20"/>
          <w:lang w:val="es-ES"/>
        </w:rPr>
        <w:t>13</w:t>
      </w:r>
      <w:r>
        <w:rPr>
          <w:rFonts w:asciiTheme="majorHAnsi" w:hAnsiTheme="majorHAnsi"/>
          <w:sz w:val="20"/>
          <w:szCs w:val="20"/>
          <w:lang w:val="es-ES"/>
        </w:rPr>
        <w:t xml:space="preserve"> de febrero de</w:t>
      </w:r>
      <w:r w:rsidRPr="008D5BCE">
        <w:rPr>
          <w:rFonts w:asciiTheme="majorHAnsi" w:hAnsiTheme="majorHAnsi"/>
          <w:sz w:val="20"/>
          <w:szCs w:val="20"/>
          <w:lang w:val="es-ES"/>
        </w:rPr>
        <w:t xml:space="preserve"> 2007</w:t>
      </w:r>
      <w:r>
        <w:rPr>
          <w:rFonts w:asciiTheme="majorHAnsi" w:hAnsiTheme="majorHAnsi"/>
          <w:sz w:val="20"/>
          <w:szCs w:val="20"/>
          <w:lang w:val="es-ES"/>
        </w:rPr>
        <w:t>,</w:t>
      </w:r>
      <w:r w:rsidRPr="008D5BCE">
        <w:rPr>
          <w:rFonts w:asciiTheme="majorHAnsi" w:hAnsiTheme="majorHAnsi"/>
          <w:sz w:val="20"/>
          <w:szCs w:val="20"/>
          <w:lang w:val="es-ES"/>
        </w:rPr>
        <w:t xml:space="preserve"> </w:t>
      </w:r>
      <w:r>
        <w:rPr>
          <w:rFonts w:asciiTheme="majorHAnsi" w:hAnsiTheme="majorHAnsi"/>
          <w:sz w:val="20"/>
          <w:szCs w:val="20"/>
          <w:lang w:val="es-ES"/>
        </w:rPr>
        <w:t>un jurado lo condenó a muerte</w:t>
      </w:r>
      <w:r w:rsidRPr="008D5BCE">
        <w:rPr>
          <w:rStyle w:val="FootnoteReference"/>
          <w:rFonts w:asciiTheme="majorHAnsi" w:hAnsiTheme="majorHAnsi"/>
          <w:sz w:val="20"/>
          <w:szCs w:val="20"/>
          <w:lang w:val="es-ES"/>
        </w:rPr>
        <w:footnoteReference w:id="9"/>
      </w:r>
      <w:r>
        <w:rPr>
          <w:rFonts w:asciiTheme="majorHAnsi" w:hAnsiTheme="majorHAnsi"/>
          <w:sz w:val="20"/>
          <w:szCs w:val="20"/>
          <w:lang w:val="es-ES"/>
        </w:rPr>
        <w:t>.</w:t>
      </w:r>
    </w:p>
    <w:p w14:paraId="6BA8570B"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34202F84"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E</w:t>
      </w:r>
      <w:r w:rsidRPr="008D5BCE">
        <w:rPr>
          <w:rFonts w:asciiTheme="majorHAnsi" w:hAnsiTheme="majorHAnsi"/>
          <w:sz w:val="20"/>
          <w:szCs w:val="20"/>
          <w:lang w:val="es-ES"/>
        </w:rPr>
        <w:t>l señor Bolden</w:t>
      </w:r>
      <w:r>
        <w:rPr>
          <w:rFonts w:asciiTheme="majorHAnsi" w:hAnsiTheme="majorHAnsi"/>
          <w:sz w:val="20"/>
          <w:szCs w:val="20"/>
          <w:lang w:val="es-ES"/>
        </w:rPr>
        <w:t xml:space="preserve"> fue acusado de conspiración para cometer un robo a mano armado y asesinato de un guardia en el curso del robo, portación de un arma de fuego durante el intento de robo de un banco y uso de la misma para cometer un asesinato, y posesión de un arma de fuego por un delincuente. El </w:t>
      </w:r>
      <w:r w:rsidRPr="008D5BCE">
        <w:rPr>
          <w:rFonts w:asciiTheme="majorHAnsi" w:hAnsiTheme="majorHAnsi"/>
          <w:sz w:val="20"/>
          <w:szCs w:val="20"/>
          <w:lang w:val="es-ES"/>
        </w:rPr>
        <w:t>23</w:t>
      </w:r>
      <w:r>
        <w:rPr>
          <w:rFonts w:asciiTheme="majorHAnsi" w:hAnsiTheme="majorHAnsi"/>
          <w:sz w:val="20"/>
          <w:szCs w:val="20"/>
          <w:lang w:val="es-ES"/>
        </w:rPr>
        <w:t xml:space="preserve"> de mayo de</w:t>
      </w:r>
      <w:r w:rsidRPr="008D5BCE">
        <w:rPr>
          <w:rFonts w:asciiTheme="majorHAnsi" w:hAnsiTheme="majorHAnsi"/>
          <w:sz w:val="20"/>
          <w:szCs w:val="20"/>
          <w:lang w:val="es-ES"/>
        </w:rPr>
        <w:t xml:space="preserve"> 2006</w:t>
      </w:r>
      <w:r>
        <w:rPr>
          <w:rFonts w:asciiTheme="majorHAnsi" w:hAnsiTheme="majorHAnsi"/>
          <w:sz w:val="20"/>
          <w:szCs w:val="20"/>
          <w:lang w:val="es-ES"/>
        </w:rPr>
        <w:t>, un jurado declaró a</w:t>
      </w:r>
      <w:r w:rsidRPr="008D5BCE">
        <w:rPr>
          <w:rFonts w:asciiTheme="majorHAnsi" w:hAnsiTheme="majorHAnsi"/>
          <w:sz w:val="20"/>
          <w:szCs w:val="20"/>
          <w:lang w:val="es-ES"/>
        </w:rPr>
        <w:t xml:space="preserve">l señor Bolden </w:t>
      </w:r>
      <w:r>
        <w:rPr>
          <w:rFonts w:asciiTheme="majorHAnsi" w:hAnsiTheme="majorHAnsi"/>
          <w:sz w:val="20"/>
          <w:szCs w:val="20"/>
          <w:lang w:val="es-ES"/>
        </w:rPr>
        <w:t xml:space="preserve">culpable de los cuatro cargos y lo condenó a muerte. La sentencia fue ratificada en segunda instancia en </w:t>
      </w:r>
      <w:r w:rsidRPr="008D5BCE">
        <w:rPr>
          <w:rFonts w:asciiTheme="majorHAnsi" w:hAnsiTheme="majorHAnsi"/>
          <w:sz w:val="20"/>
          <w:szCs w:val="20"/>
          <w:lang w:val="es-ES"/>
        </w:rPr>
        <w:t>2008</w:t>
      </w:r>
      <w:r>
        <w:rPr>
          <w:rFonts w:asciiTheme="majorHAnsi" w:hAnsiTheme="majorHAnsi"/>
          <w:sz w:val="20"/>
          <w:szCs w:val="20"/>
          <w:lang w:val="es-ES"/>
        </w:rPr>
        <w:t xml:space="preserve">, </w:t>
      </w:r>
      <w:r w:rsidRPr="008D5BCE">
        <w:rPr>
          <w:rFonts w:asciiTheme="majorHAnsi" w:hAnsiTheme="majorHAnsi"/>
          <w:sz w:val="20"/>
          <w:szCs w:val="20"/>
          <w:lang w:val="es-ES"/>
        </w:rPr>
        <w:t xml:space="preserve"> </w:t>
      </w:r>
      <w:r>
        <w:rPr>
          <w:rFonts w:asciiTheme="majorHAnsi" w:hAnsiTheme="majorHAnsi"/>
          <w:sz w:val="20"/>
          <w:szCs w:val="20"/>
          <w:lang w:val="es-ES"/>
        </w:rPr>
        <w:t>y su petición de auto de avocación fue denegada en</w:t>
      </w:r>
      <w:r w:rsidRPr="008D5BCE">
        <w:rPr>
          <w:rFonts w:asciiTheme="majorHAnsi" w:hAnsiTheme="majorHAnsi"/>
          <w:sz w:val="20"/>
          <w:szCs w:val="20"/>
          <w:lang w:val="es-ES"/>
        </w:rPr>
        <w:t xml:space="preserve"> 2009</w:t>
      </w:r>
      <w:r w:rsidRPr="008D5BCE">
        <w:rPr>
          <w:rStyle w:val="FootnoteReference"/>
          <w:rFonts w:asciiTheme="majorHAnsi" w:hAnsiTheme="majorHAnsi"/>
          <w:sz w:val="20"/>
          <w:lang w:val="es-ES"/>
        </w:rPr>
        <w:footnoteReference w:id="10"/>
      </w:r>
      <w:r>
        <w:rPr>
          <w:rFonts w:asciiTheme="majorHAnsi" w:hAnsiTheme="majorHAnsi"/>
          <w:sz w:val="20"/>
          <w:szCs w:val="20"/>
          <w:lang w:val="es-ES"/>
        </w:rPr>
        <w:t>.</w:t>
      </w:r>
    </w:p>
    <w:p w14:paraId="51CBB1CB"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0E70A698" w14:textId="77777777" w:rsidR="00702483" w:rsidRPr="00711677" w:rsidRDefault="00702483" w:rsidP="00702483">
      <w:pPr>
        <w:pStyle w:val="NormalWeb"/>
        <w:numPr>
          <w:ilvl w:val="0"/>
          <w:numId w:val="55"/>
        </w:numPr>
        <w:shd w:val="clear" w:color="auto" w:fill="FFFFFF"/>
        <w:tabs>
          <w:tab w:val="left" w:pos="360"/>
          <w:tab w:val="left" w:pos="720"/>
          <w:tab w:val="left" w:pos="1440"/>
        </w:tabs>
        <w:spacing w:before="0" w:beforeAutospacing="0" w:after="0" w:afterAutospacing="0"/>
        <w:ind w:left="0" w:firstLine="0"/>
        <w:jc w:val="both"/>
        <w:textAlignment w:val="baseline"/>
        <w:rPr>
          <w:rFonts w:asciiTheme="majorHAnsi" w:hAnsiTheme="majorHAnsi"/>
          <w:sz w:val="20"/>
          <w:szCs w:val="20"/>
          <w:lang w:val="es-ES"/>
        </w:rPr>
      </w:pPr>
      <w:r>
        <w:rPr>
          <w:rFonts w:asciiTheme="majorHAnsi" w:hAnsiTheme="majorHAnsi"/>
          <w:sz w:val="20"/>
          <w:szCs w:val="20"/>
          <w:lang w:val="es-ES"/>
        </w:rPr>
        <w:t>E</w:t>
      </w:r>
      <w:r w:rsidRPr="008D5BCE">
        <w:rPr>
          <w:rFonts w:asciiTheme="majorHAnsi" w:hAnsiTheme="majorHAnsi"/>
          <w:sz w:val="20"/>
          <w:szCs w:val="20"/>
          <w:lang w:val="es-ES"/>
        </w:rPr>
        <w:t xml:space="preserve">l señor Mikhel, </w:t>
      </w:r>
      <w:r>
        <w:rPr>
          <w:rFonts w:asciiTheme="majorHAnsi" w:hAnsiTheme="majorHAnsi"/>
          <w:sz w:val="20"/>
          <w:szCs w:val="20"/>
          <w:lang w:val="es-ES"/>
        </w:rPr>
        <w:t xml:space="preserve">en un juicio conjunto con </w:t>
      </w:r>
      <w:r w:rsidRPr="008D5BCE">
        <w:rPr>
          <w:rFonts w:asciiTheme="majorHAnsi" w:hAnsiTheme="majorHAnsi"/>
          <w:sz w:val="20"/>
          <w:szCs w:val="20"/>
          <w:lang w:val="es-ES"/>
        </w:rPr>
        <w:t xml:space="preserve">el señor Kadamovas, </w:t>
      </w:r>
      <w:r>
        <w:rPr>
          <w:rFonts w:asciiTheme="majorHAnsi" w:hAnsiTheme="majorHAnsi"/>
          <w:sz w:val="20"/>
          <w:szCs w:val="20"/>
          <w:lang w:val="es-ES"/>
        </w:rPr>
        <w:t xml:space="preserve">también fue condenado a muerte el </w:t>
      </w:r>
      <w:r w:rsidRPr="008D5BCE">
        <w:rPr>
          <w:rFonts w:asciiTheme="majorHAnsi" w:hAnsiTheme="majorHAnsi"/>
          <w:sz w:val="20"/>
          <w:szCs w:val="20"/>
          <w:lang w:val="es-ES"/>
        </w:rPr>
        <w:t>13</w:t>
      </w:r>
      <w:r>
        <w:rPr>
          <w:rFonts w:asciiTheme="majorHAnsi" w:hAnsiTheme="majorHAnsi"/>
          <w:sz w:val="20"/>
          <w:szCs w:val="20"/>
          <w:lang w:val="es-ES"/>
        </w:rPr>
        <w:t xml:space="preserve"> de febrero de</w:t>
      </w:r>
      <w:r w:rsidRPr="008D5BCE">
        <w:rPr>
          <w:rFonts w:asciiTheme="majorHAnsi" w:hAnsiTheme="majorHAnsi"/>
          <w:sz w:val="20"/>
          <w:szCs w:val="20"/>
          <w:lang w:val="es-ES"/>
        </w:rPr>
        <w:t xml:space="preserve"> 2007 </w:t>
      </w:r>
      <w:r>
        <w:rPr>
          <w:rFonts w:asciiTheme="majorHAnsi" w:hAnsiTheme="majorHAnsi"/>
          <w:sz w:val="20"/>
          <w:szCs w:val="20"/>
          <w:lang w:val="es-ES"/>
        </w:rPr>
        <w:t>después de haber sido declarado culpable de homicidios en un secuestro extorsivo. En lo que respecta al proceso del juicio</w:t>
      </w:r>
      <w:r w:rsidRPr="008D5BCE">
        <w:rPr>
          <w:rFonts w:asciiTheme="majorHAnsi" w:hAnsiTheme="majorHAnsi"/>
          <w:sz w:val="20"/>
          <w:szCs w:val="20"/>
          <w:lang w:val="es-ES"/>
        </w:rPr>
        <w:t>, Sonia E. Chahin</w:t>
      </w:r>
      <w:r w:rsidRPr="008D5BCE">
        <w:rPr>
          <w:rStyle w:val="FootnoteReference"/>
          <w:rFonts w:asciiTheme="majorHAnsi" w:hAnsiTheme="majorHAnsi"/>
          <w:sz w:val="20"/>
          <w:szCs w:val="20"/>
          <w:lang w:val="es-ES"/>
        </w:rPr>
        <w:footnoteReference w:id="11"/>
      </w:r>
      <w:r>
        <w:rPr>
          <w:rFonts w:asciiTheme="majorHAnsi" w:hAnsiTheme="majorHAnsi"/>
          <w:sz w:val="20"/>
          <w:szCs w:val="20"/>
          <w:lang w:val="es-ES"/>
        </w:rPr>
        <w:t>,</w:t>
      </w:r>
      <w:r w:rsidRPr="008D5BCE">
        <w:rPr>
          <w:rFonts w:asciiTheme="majorHAnsi" w:hAnsiTheme="majorHAnsi"/>
          <w:sz w:val="20"/>
          <w:szCs w:val="20"/>
          <w:lang w:val="es-ES"/>
        </w:rPr>
        <w:t xml:space="preserve"> </w:t>
      </w:r>
      <w:r>
        <w:rPr>
          <w:rFonts w:asciiTheme="majorHAnsi" w:hAnsiTheme="majorHAnsi"/>
          <w:sz w:val="20"/>
          <w:szCs w:val="20"/>
          <w:lang w:val="es-ES"/>
        </w:rPr>
        <w:t>abogada de oficio de</w:t>
      </w:r>
      <w:r w:rsidRPr="008D5BCE">
        <w:rPr>
          <w:rFonts w:asciiTheme="majorHAnsi" w:hAnsiTheme="majorHAnsi"/>
          <w:sz w:val="20"/>
          <w:szCs w:val="20"/>
          <w:lang w:val="es-ES"/>
        </w:rPr>
        <w:t>l señor Kadamovas, admit</w:t>
      </w:r>
      <w:r>
        <w:rPr>
          <w:rFonts w:asciiTheme="majorHAnsi" w:hAnsiTheme="majorHAnsi"/>
          <w:sz w:val="20"/>
          <w:szCs w:val="20"/>
          <w:lang w:val="es-ES"/>
        </w:rPr>
        <w:t>e que no tuvo suficiente tiempo para prepararse en vista de la complejidad y la magnitud del caso, del volumen del material para leer y de los diversos idi</w:t>
      </w:r>
      <w:r w:rsidRPr="00711677">
        <w:rPr>
          <w:rFonts w:asciiTheme="majorHAnsi" w:hAnsiTheme="majorHAnsi"/>
          <w:sz w:val="20"/>
          <w:szCs w:val="20"/>
          <w:lang w:val="es-ES"/>
        </w:rPr>
        <w:t xml:space="preserve">omas en los cuales constaban las pruebas. </w:t>
      </w:r>
    </w:p>
    <w:p w14:paraId="12B3D3A3" w14:textId="77777777" w:rsidR="00702483" w:rsidRPr="00711677" w:rsidRDefault="00702483" w:rsidP="00702483">
      <w:pPr>
        <w:pStyle w:val="NormalWeb"/>
        <w:shd w:val="clear" w:color="auto" w:fill="FFFFFF"/>
        <w:tabs>
          <w:tab w:val="left" w:pos="360"/>
          <w:tab w:val="left" w:pos="720"/>
          <w:tab w:val="left" w:pos="1440"/>
        </w:tabs>
        <w:spacing w:before="0" w:beforeAutospacing="0" w:after="0" w:afterAutospacing="0"/>
        <w:jc w:val="both"/>
        <w:textAlignment w:val="baseline"/>
        <w:rPr>
          <w:rFonts w:asciiTheme="majorHAnsi" w:hAnsiTheme="majorHAnsi"/>
          <w:sz w:val="20"/>
          <w:szCs w:val="20"/>
          <w:lang w:val="es-ES"/>
        </w:rPr>
      </w:pPr>
    </w:p>
    <w:p w14:paraId="17CAD375" w14:textId="77777777" w:rsidR="00702483" w:rsidRPr="00711677"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711677">
        <w:rPr>
          <w:rFonts w:asciiTheme="majorHAnsi" w:hAnsiTheme="majorHAnsi"/>
          <w:sz w:val="20"/>
          <w:szCs w:val="20"/>
          <w:lang w:val="es-ES"/>
        </w:rPr>
        <w:lastRenderedPageBreak/>
        <w:t>El señor Umana fue condenado a muerte el 28 de abril de 2010. Según la información de dominio público, el Tribunal de Apelaciones para el Cuarto Circuito ratificó la condena y la sentencia. El 22 de junio de 2015, la Corte Suprema de Estados Unidos denegó una petición de auto de avocación</w:t>
      </w:r>
      <w:r w:rsidRPr="00711677">
        <w:rPr>
          <w:rStyle w:val="FootnoteReference"/>
          <w:rFonts w:asciiTheme="majorHAnsi" w:hAnsiTheme="majorHAnsi"/>
          <w:sz w:val="20"/>
          <w:szCs w:val="20"/>
          <w:lang w:val="es-ES"/>
        </w:rPr>
        <w:footnoteReference w:id="12"/>
      </w:r>
      <w:r w:rsidRPr="00711677">
        <w:rPr>
          <w:rFonts w:asciiTheme="majorHAnsi" w:hAnsiTheme="majorHAnsi"/>
          <w:sz w:val="20"/>
          <w:szCs w:val="20"/>
          <w:lang w:val="es-ES"/>
        </w:rPr>
        <w:t>. El señor Ortiz fue condenado a muerte en mayo de 2000. El 14 de diciembre de 2007, el tribunal federal de primera instancia denegó un recurso de reparación poscondenatoria. Posteriormente, el Tribunal Federal de Apelaciones para el Octavo Circuito anuló la denegación y devolvió autos al tribunal de primera instancia el 19 de diciembre de 2011</w:t>
      </w:r>
      <w:r w:rsidRPr="00711677">
        <w:rPr>
          <w:rStyle w:val="FootnoteReference"/>
          <w:rFonts w:asciiTheme="majorHAnsi" w:hAnsiTheme="majorHAnsi"/>
          <w:sz w:val="20"/>
          <w:szCs w:val="20"/>
          <w:lang w:val="es-ES"/>
        </w:rPr>
        <w:footnoteReference w:id="13"/>
      </w:r>
      <w:r w:rsidRPr="00711677">
        <w:rPr>
          <w:rFonts w:asciiTheme="majorHAnsi" w:hAnsiTheme="majorHAnsi"/>
          <w:sz w:val="20"/>
          <w:szCs w:val="20"/>
          <w:lang w:val="es-ES"/>
        </w:rPr>
        <w:t>. La pena de muerte fue conmutada a cadena perpetua sin posibilidad de libertad condicional el 18 de enero de 2017 a raíz de una petición de clemencia dirigida al presidente Obama en la cual se alegaban la discapacidad intelectual del señor Ortiz, la violación de</w:t>
      </w:r>
      <w:r>
        <w:rPr>
          <w:rFonts w:asciiTheme="majorHAnsi" w:hAnsiTheme="majorHAnsi"/>
          <w:sz w:val="20"/>
          <w:szCs w:val="20"/>
          <w:lang w:val="es-ES"/>
        </w:rPr>
        <w:t>l</w:t>
      </w:r>
      <w:r w:rsidRPr="00711677">
        <w:rPr>
          <w:rFonts w:asciiTheme="majorHAnsi" w:hAnsiTheme="majorHAnsi"/>
          <w:sz w:val="20"/>
          <w:szCs w:val="20"/>
          <w:lang w:val="es-ES"/>
        </w:rPr>
        <w:t xml:space="preserve"> derecho amparado en la Convención de Viena, el hecho de que había sido cómplice y no se encontraba en la sala en el momento del homicidio y la denegación de asistencia letrada eficaz. El señor Sinisterra también fue condenado a muerte en un juicio conjunto con el señor Ortiz y </w:t>
      </w:r>
      <w:r>
        <w:rPr>
          <w:rFonts w:asciiTheme="majorHAnsi" w:hAnsiTheme="majorHAnsi"/>
          <w:sz w:val="20"/>
          <w:szCs w:val="20"/>
          <w:lang w:val="es-ES"/>
        </w:rPr>
        <w:t>falleció</w:t>
      </w:r>
      <w:r w:rsidRPr="00711677">
        <w:rPr>
          <w:rFonts w:asciiTheme="majorHAnsi" w:hAnsiTheme="majorHAnsi"/>
          <w:sz w:val="20"/>
          <w:szCs w:val="20"/>
          <w:lang w:val="es-ES"/>
        </w:rPr>
        <w:t xml:space="preserve"> en la cárcel en marzo de 2013. </w:t>
      </w:r>
    </w:p>
    <w:p w14:paraId="5B1EEEAB" w14:textId="77777777" w:rsidR="00702483" w:rsidRPr="00711677"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4CB6F4AE" w14:textId="77777777" w:rsidR="00702483" w:rsidRPr="00702483" w:rsidRDefault="00702483" w:rsidP="007E283D">
      <w:pPr>
        <w:pStyle w:val="Heading2"/>
        <w:keepLines/>
        <w:numPr>
          <w:ilvl w:val="0"/>
          <w:numId w:val="58"/>
        </w:numPr>
        <w:pBdr>
          <w:top w:val="nil"/>
          <w:left w:val="nil"/>
          <w:bottom w:val="nil"/>
          <w:right w:val="nil"/>
          <w:between w:val="nil"/>
          <w:bar w:val="nil"/>
        </w:pBdr>
        <w:tabs>
          <w:tab w:val="left" w:pos="360"/>
        </w:tabs>
        <w:spacing w:before="0" w:after="0"/>
        <w:ind w:hanging="720"/>
        <w:rPr>
          <w:rFonts w:asciiTheme="majorHAnsi" w:hAnsiTheme="majorHAnsi"/>
          <w:i w:val="0"/>
          <w:sz w:val="20"/>
          <w:szCs w:val="20"/>
          <w:lang w:val="es-ES"/>
        </w:rPr>
      </w:pPr>
      <w:bookmarkStart w:id="15" w:name="_Toc90289317"/>
      <w:r w:rsidRPr="00702483">
        <w:rPr>
          <w:rFonts w:asciiTheme="majorHAnsi" w:hAnsiTheme="majorHAnsi"/>
          <w:i w:val="0"/>
          <w:sz w:val="20"/>
          <w:szCs w:val="20"/>
          <w:lang w:val="es-ES"/>
        </w:rPr>
        <w:t>Apelaciones y otros recursos</w:t>
      </w:r>
      <w:bookmarkEnd w:id="15"/>
    </w:p>
    <w:p w14:paraId="21D599E5"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1A7DA223"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L</w:t>
      </w:r>
      <w:r w:rsidRPr="008D5BCE">
        <w:rPr>
          <w:rFonts w:asciiTheme="majorHAnsi" w:hAnsiTheme="majorHAnsi"/>
          <w:sz w:val="20"/>
          <w:szCs w:val="20"/>
          <w:lang w:val="es-ES"/>
        </w:rPr>
        <w:t>os señores Kadamovas y Mikhel ap</w:t>
      </w:r>
      <w:r>
        <w:rPr>
          <w:rFonts w:asciiTheme="majorHAnsi" w:hAnsiTheme="majorHAnsi"/>
          <w:sz w:val="20"/>
          <w:szCs w:val="20"/>
          <w:lang w:val="es-ES"/>
        </w:rPr>
        <w:t>elaron su condena y su sentencia</w:t>
      </w:r>
      <w:r w:rsidRPr="008D5BCE">
        <w:rPr>
          <w:rStyle w:val="FootnoteReference"/>
          <w:rFonts w:asciiTheme="majorHAnsi" w:hAnsiTheme="majorHAnsi"/>
          <w:sz w:val="20"/>
          <w:szCs w:val="20"/>
          <w:lang w:val="es-ES"/>
        </w:rPr>
        <w:footnoteReference w:id="14"/>
      </w:r>
      <w:r>
        <w:rPr>
          <w:rFonts w:asciiTheme="majorHAnsi" w:hAnsiTheme="majorHAnsi"/>
          <w:sz w:val="20"/>
          <w:szCs w:val="20"/>
          <w:lang w:val="es-ES"/>
        </w:rPr>
        <w:t>, para lo cual alegaron que se habían cometido errores tanto en la etapa de culpabilidad o inocencia como en la etapa de la sentencia. En cuanto a la presunta denegación</w:t>
      </w:r>
      <w:r w:rsidRPr="00C933CB">
        <w:rPr>
          <w:rFonts w:asciiTheme="majorHAnsi" w:hAnsiTheme="majorHAnsi"/>
          <w:sz w:val="20"/>
          <w:szCs w:val="20"/>
          <w:lang w:val="es-ES"/>
        </w:rPr>
        <w:t xml:space="preserve"> </w:t>
      </w:r>
      <w:r>
        <w:rPr>
          <w:rFonts w:asciiTheme="majorHAnsi" w:hAnsiTheme="majorHAnsi"/>
          <w:sz w:val="20"/>
          <w:szCs w:val="20"/>
          <w:lang w:val="es-ES"/>
        </w:rPr>
        <w:t>a</w:t>
      </w:r>
      <w:r w:rsidRPr="00C933CB">
        <w:rPr>
          <w:rFonts w:asciiTheme="majorHAnsi" w:hAnsiTheme="majorHAnsi"/>
          <w:sz w:val="20"/>
          <w:szCs w:val="20"/>
          <w:lang w:val="es-ES"/>
        </w:rPr>
        <w:t>l señor Kadamovas</w:t>
      </w:r>
      <w:r>
        <w:rPr>
          <w:rFonts w:asciiTheme="majorHAnsi" w:hAnsiTheme="majorHAnsi"/>
          <w:sz w:val="20"/>
          <w:szCs w:val="20"/>
          <w:lang w:val="es-ES"/>
        </w:rPr>
        <w:t xml:space="preserve"> de acceso a una computadora, el tribunal concluyó que no había habido tal denegación, puesto que en una declaración detallada del abogado supervisor de</w:t>
      </w:r>
      <w:r w:rsidRPr="008D5BCE">
        <w:rPr>
          <w:rFonts w:asciiTheme="majorHAnsi" w:hAnsiTheme="majorHAnsi"/>
          <w:sz w:val="20"/>
          <w:szCs w:val="20"/>
          <w:lang w:val="es-ES"/>
        </w:rPr>
        <w:t xml:space="preserve"> la Administración Federal de Prisiones</w:t>
      </w:r>
      <w:r>
        <w:rPr>
          <w:rFonts w:asciiTheme="majorHAnsi" w:hAnsiTheme="majorHAnsi"/>
          <w:sz w:val="20"/>
          <w:szCs w:val="20"/>
          <w:lang w:val="es-ES"/>
        </w:rPr>
        <w:t xml:space="preserve"> se daba fe de que </w:t>
      </w:r>
      <w:r w:rsidRPr="008D5BCE">
        <w:rPr>
          <w:rFonts w:asciiTheme="majorHAnsi" w:hAnsiTheme="majorHAnsi"/>
          <w:sz w:val="20"/>
          <w:szCs w:val="20"/>
          <w:lang w:val="es-ES"/>
        </w:rPr>
        <w:t>el señor Kadamovas ha</w:t>
      </w:r>
      <w:r>
        <w:rPr>
          <w:rFonts w:asciiTheme="majorHAnsi" w:hAnsiTheme="majorHAnsi"/>
          <w:sz w:val="20"/>
          <w:szCs w:val="20"/>
          <w:lang w:val="es-ES"/>
        </w:rPr>
        <w:t xml:space="preserve">bía tenido acceso </w:t>
      </w:r>
      <w:r w:rsidRPr="008D5BCE">
        <w:rPr>
          <w:rFonts w:asciiTheme="majorHAnsi" w:hAnsiTheme="majorHAnsi"/>
          <w:sz w:val="20"/>
          <w:szCs w:val="20"/>
          <w:lang w:val="es-ES"/>
        </w:rPr>
        <w:t xml:space="preserve">regular </w:t>
      </w:r>
      <w:r>
        <w:rPr>
          <w:rFonts w:asciiTheme="majorHAnsi" w:hAnsiTheme="majorHAnsi"/>
          <w:sz w:val="20"/>
          <w:szCs w:val="20"/>
          <w:lang w:val="es-ES"/>
        </w:rPr>
        <w:t xml:space="preserve">a una computadora, pero con frecuencia no la usaba. Además, en los registros de la cárcel constaba la aprobación de varios pedidos de uso de la computadora, junto con algunos incidentes aislados de denegación del uso que se encuadraban en las estipulaciones del gobierno de que tal acceso estaba supeditado a la seguridad, la protección, la gestión y las necesidades operacionales. Con respecto al reclamo relativo a la </w:t>
      </w:r>
      <w:r w:rsidR="00DF33A7">
        <w:rPr>
          <w:rFonts w:asciiTheme="majorHAnsi" w:hAnsiTheme="majorHAnsi"/>
          <w:sz w:val="20"/>
          <w:szCs w:val="20"/>
          <w:lang w:val="es-ES"/>
        </w:rPr>
        <w:t xml:space="preserve">mala </w:t>
      </w:r>
      <w:r>
        <w:rPr>
          <w:rFonts w:asciiTheme="majorHAnsi" w:hAnsiTheme="majorHAnsi"/>
          <w:sz w:val="20"/>
          <w:szCs w:val="20"/>
          <w:lang w:val="es-ES"/>
        </w:rPr>
        <w:t>conducta de la fiscalía, el tribunal razonó que la fiscalía no debería haber comparado la vida en la cárcel con la muerte de la víctima para argumentar que la vida en la cárcel no era tan mala como los acusados aducían (la vida en la cárcel era suficientemente dura como castigo</w:t>
      </w:r>
      <w:r w:rsidRPr="008D5BCE">
        <w:rPr>
          <w:rFonts w:asciiTheme="majorHAnsi" w:hAnsiTheme="majorHAnsi"/>
          <w:sz w:val="20"/>
          <w:szCs w:val="20"/>
          <w:lang w:val="es-ES"/>
        </w:rPr>
        <w:t xml:space="preserve">). </w:t>
      </w:r>
    </w:p>
    <w:p w14:paraId="60C1D82D"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078F30C9"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El tribunal reconoció que la comparación no era necesaria para refutar los argumentos del acusado y parecía ser un acto calculado con objeto de inflamar innecesariamente las pasiones del jurado. Sin embargo, el tribunal concluyó que las declaraciones de la fiscalía no habían afectado la capacidad del jurado para considerar la totalidad de la prueba de una manera justa ni habían viciado el veredicto o privado a los acusados de un juicio imparcial. </w:t>
      </w:r>
      <w:r w:rsidRPr="008D5BCE">
        <w:rPr>
          <w:rFonts w:asciiTheme="majorHAnsi" w:hAnsiTheme="majorHAnsi"/>
          <w:sz w:val="20"/>
          <w:szCs w:val="20"/>
          <w:lang w:val="es-ES"/>
        </w:rPr>
        <w:t>Ad</w:t>
      </w:r>
      <w:r>
        <w:rPr>
          <w:rFonts w:asciiTheme="majorHAnsi" w:hAnsiTheme="majorHAnsi"/>
          <w:sz w:val="20"/>
          <w:szCs w:val="20"/>
          <w:lang w:val="es-ES"/>
        </w:rPr>
        <w:t>emás, en la apelación se señaló que la agravante no tipificada de peligrosidad futura</w:t>
      </w:r>
      <w:r w:rsidRPr="008D5BCE">
        <w:rPr>
          <w:rFonts w:asciiTheme="majorHAnsi" w:hAnsiTheme="majorHAnsi"/>
          <w:sz w:val="20"/>
          <w:szCs w:val="20"/>
          <w:lang w:val="es-ES"/>
        </w:rPr>
        <w:t xml:space="preserve"> </w:t>
      </w:r>
      <w:r>
        <w:rPr>
          <w:rFonts w:asciiTheme="majorHAnsi" w:hAnsiTheme="majorHAnsi"/>
          <w:sz w:val="20"/>
          <w:szCs w:val="20"/>
          <w:lang w:val="es-ES"/>
        </w:rPr>
        <w:t>era contraria al debido proceso y constituía una intromisión en la función del jurado de determinar los hechos relativos a la causa. Aunque la agravante se limitaba a la peligrosidad futura</w:t>
      </w:r>
      <w:r w:rsidRPr="008D5BCE">
        <w:rPr>
          <w:rFonts w:asciiTheme="majorHAnsi" w:hAnsiTheme="majorHAnsi"/>
          <w:sz w:val="20"/>
          <w:szCs w:val="20"/>
          <w:lang w:val="es-ES"/>
        </w:rPr>
        <w:t xml:space="preserve"> </w:t>
      </w:r>
      <w:r>
        <w:rPr>
          <w:rFonts w:asciiTheme="majorHAnsi" w:hAnsiTheme="majorHAnsi"/>
          <w:sz w:val="20"/>
          <w:szCs w:val="20"/>
          <w:lang w:val="es-ES"/>
        </w:rPr>
        <w:t>e</w:t>
      </w:r>
      <w:r w:rsidRPr="008D5BCE">
        <w:rPr>
          <w:rFonts w:asciiTheme="majorHAnsi" w:hAnsiTheme="majorHAnsi"/>
          <w:sz w:val="20"/>
          <w:szCs w:val="20"/>
          <w:lang w:val="es-ES"/>
        </w:rPr>
        <w:t xml:space="preserve">n </w:t>
      </w:r>
      <w:r>
        <w:rPr>
          <w:rFonts w:asciiTheme="majorHAnsi" w:hAnsiTheme="majorHAnsi"/>
          <w:sz w:val="20"/>
          <w:szCs w:val="20"/>
          <w:lang w:val="es-ES"/>
        </w:rPr>
        <w:t xml:space="preserve">una cárcel </w:t>
      </w:r>
      <w:r w:rsidRPr="008D5BCE">
        <w:rPr>
          <w:rFonts w:asciiTheme="majorHAnsi" w:hAnsiTheme="majorHAnsi"/>
          <w:sz w:val="20"/>
          <w:szCs w:val="20"/>
          <w:lang w:val="es-ES"/>
        </w:rPr>
        <w:t>federal</w:t>
      </w:r>
      <w:r>
        <w:rPr>
          <w:rFonts w:asciiTheme="majorHAnsi" w:hAnsiTheme="majorHAnsi"/>
          <w:sz w:val="20"/>
          <w:szCs w:val="20"/>
          <w:lang w:val="es-ES"/>
        </w:rPr>
        <w:t>, tenía en cuenta la posibilidad de una continuación de la conducta violenta, el riesgo de fuga y de mala conducta en la institución, y la falta de arrepentimiento</w:t>
      </w:r>
      <w:r w:rsidRPr="008D5BCE">
        <w:rPr>
          <w:rFonts w:asciiTheme="majorHAnsi" w:hAnsiTheme="majorHAnsi"/>
          <w:sz w:val="20"/>
          <w:szCs w:val="20"/>
          <w:lang w:val="es-ES"/>
        </w:rPr>
        <w:t xml:space="preserve">. </w:t>
      </w:r>
      <w:r>
        <w:rPr>
          <w:rFonts w:asciiTheme="majorHAnsi" w:hAnsiTheme="majorHAnsi"/>
          <w:sz w:val="20"/>
          <w:szCs w:val="20"/>
          <w:lang w:val="es-ES"/>
        </w:rPr>
        <w:t xml:space="preserve">El tribunal concluyó que ningún </w:t>
      </w:r>
      <w:r w:rsidRPr="008D5BCE">
        <w:rPr>
          <w:rFonts w:asciiTheme="majorHAnsi" w:hAnsiTheme="majorHAnsi"/>
          <w:sz w:val="20"/>
          <w:szCs w:val="20"/>
          <w:lang w:val="es-ES"/>
        </w:rPr>
        <w:t xml:space="preserve">error </w:t>
      </w:r>
      <w:r>
        <w:rPr>
          <w:rFonts w:asciiTheme="majorHAnsi" w:hAnsiTheme="majorHAnsi"/>
          <w:sz w:val="20"/>
          <w:szCs w:val="20"/>
          <w:lang w:val="es-ES"/>
        </w:rPr>
        <w:t>e</w:t>
      </w:r>
      <w:r w:rsidRPr="008D5BCE">
        <w:rPr>
          <w:rFonts w:asciiTheme="majorHAnsi" w:hAnsiTheme="majorHAnsi"/>
          <w:sz w:val="20"/>
          <w:szCs w:val="20"/>
          <w:lang w:val="es-ES"/>
        </w:rPr>
        <w:t xml:space="preserve">n </w:t>
      </w:r>
      <w:r>
        <w:rPr>
          <w:rFonts w:asciiTheme="majorHAnsi" w:hAnsiTheme="majorHAnsi"/>
          <w:sz w:val="20"/>
          <w:szCs w:val="20"/>
          <w:lang w:val="es-ES"/>
        </w:rPr>
        <w:t>ese senti</w:t>
      </w:r>
      <w:r w:rsidRPr="008D5BCE">
        <w:rPr>
          <w:rFonts w:asciiTheme="majorHAnsi" w:hAnsiTheme="majorHAnsi"/>
          <w:sz w:val="20"/>
          <w:szCs w:val="20"/>
          <w:lang w:val="es-ES"/>
        </w:rPr>
        <w:t>d</w:t>
      </w:r>
      <w:r>
        <w:rPr>
          <w:rFonts w:asciiTheme="majorHAnsi" w:hAnsiTheme="majorHAnsi"/>
          <w:sz w:val="20"/>
          <w:szCs w:val="20"/>
          <w:lang w:val="es-ES"/>
        </w:rPr>
        <w:t>o era</w:t>
      </w:r>
      <w:r w:rsidRPr="008D5BCE">
        <w:rPr>
          <w:rFonts w:asciiTheme="majorHAnsi" w:hAnsiTheme="majorHAnsi"/>
          <w:sz w:val="20"/>
          <w:szCs w:val="20"/>
          <w:lang w:val="es-ES"/>
        </w:rPr>
        <w:t xml:space="preserve"> </w:t>
      </w:r>
      <w:r>
        <w:rPr>
          <w:rFonts w:asciiTheme="majorHAnsi" w:hAnsiTheme="majorHAnsi"/>
          <w:sz w:val="20"/>
          <w:szCs w:val="20"/>
          <w:lang w:val="es-ES"/>
        </w:rPr>
        <w:t xml:space="preserve">inofensivo y, de acuerdo con el </w:t>
      </w:r>
      <w:r w:rsidRPr="008D5BCE">
        <w:rPr>
          <w:rFonts w:asciiTheme="majorHAnsi" w:hAnsiTheme="majorHAnsi"/>
          <w:sz w:val="20"/>
          <w:szCs w:val="20"/>
          <w:lang w:val="es-ES"/>
        </w:rPr>
        <w:t>precedent</w:t>
      </w:r>
      <w:r>
        <w:rPr>
          <w:rFonts w:asciiTheme="majorHAnsi" w:hAnsiTheme="majorHAnsi"/>
          <w:sz w:val="20"/>
          <w:szCs w:val="20"/>
          <w:lang w:val="es-ES"/>
        </w:rPr>
        <w:t>e</w:t>
      </w:r>
      <w:r w:rsidRPr="008D5BCE">
        <w:rPr>
          <w:rStyle w:val="FootnoteReference"/>
          <w:rFonts w:asciiTheme="majorHAnsi" w:hAnsiTheme="majorHAnsi"/>
          <w:sz w:val="20"/>
          <w:szCs w:val="20"/>
          <w:lang w:val="es-ES"/>
        </w:rPr>
        <w:footnoteReference w:id="15"/>
      </w:r>
      <w:r>
        <w:rPr>
          <w:rFonts w:asciiTheme="majorHAnsi" w:hAnsiTheme="majorHAnsi"/>
          <w:sz w:val="20"/>
          <w:szCs w:val="20"/>
          <w:lang w:val="es-ES"/>
        </w:rPr>
        <w:t xml:space="preserve">, razonó que un </w:t>
      </w:r>
      <w:r w:rsidRPr="008D5BCE">
        <w:rPr>
          <w:rFonts w:asciiTheme="majorHAnsi" w:hAnsiTheme="majorHAnsi"/>
          <w:sz w:val="20"/>
          <w:szCs w:val="20"/>
          <w:lang w:val="es-ES"/>
        </w:rPr>
        <w:t xml:space="preserve">error </w:t>
      </w:r>
      <w:r>
        <w:rPr>
          <w:rFonts w:asciiTheme="majorHAnsi" w:hAnsiTheme="majorHAnsi"/>
          <w:sz w:val="20"/>
          <w:szCs w:val="20"/>
          <w:lang w:val="es-ES"/>
        </w:rPr>
        <w:t>en las instrucciones al jurado o en la forma del veredicto era inofensivo si era evide</w:t>
      </w:r>
      <w:r w:rsidRPr="00CB3956">
        <w:rPr>
          <w:rFonts w:asciiTheme="majorHAnsi" w:hAnsiTheme="majorHAnsi"/>
          <w:sz w:val="20"/>
          <w:szCs w:val="20"/>
          <w:lang w:val="es-ES"/>
        </w:rPr>
        <w:t>nte, sin dejar lugar a dudas razonables, que un jurado racional habría llegado a la misma decisión de no mediar el erro</w:t>
      </w:r>
      <w:r w:rsidRPr="008D5BCE">
        <w:rPr>
          <w:rFonts w:asciiTheme="majorHAnsi" w:hAnsiTheme="majorHAnsi"/>
          <w:sz w:val="20"/>
          <w:szCs w:val="20"/>
          <w:lang w:val="es-ES"/>
        </w:rPr>
        <w:t xml:space="preserve">r. </w:t>
      </w:r>
      <w:r>
        <w:rPr>
          <w:rFonts w:asciiTheme="majorHAnsi" w:hAnsiTheme="majorHAnsi"/>
          <w:sz w:val="20"/>
          <w:szCs w:val="20"/>
          <w:lang w:val="es-ES"/>
        </w:rPr>
        <w:t xml:space="preserve">El tribunal de apelaciones ratificó los fallos del </w:t>
      </w:r>
      <w:r w:rsidRPr="008D5BCE">
        <w:rPr>
          <w:rFonts w:asciiTheme="majorHAnsi" w:hAnsiTheme="majorHAnsi"/>
          <w:sz w:val="20"/>
          <w:szCs w:val="20"/>
          <w:lang w:val="es-ES"/>
        </w:rPr>
        <w:t>tribunal federal de primera instancia</w:t>
      </w:r>
      <w:r>
        <w:rPr>
          <w:rFonts w:asciiTheme="majorHAnsi" w:hAnsiTheme="majorHAnsi"/>
          <w:sz w:val="20"/>
          <w:szCs w:val="20"/>
          <w:lang w:val="es-ES"/>
        </w:rPr>
        <w:t xml:space="preserve"> relativos a la condena y la sentencia</w:t>
      </w:r>
      <w:r w:rsidRPr="008D5BCE">
        <w:rPr>
          <w:rFonts w:asciiTheme="majorHAnsi" w:hAnsiTheme="majorHAnsi"/>
          <w:sz w:val="20"/>
          <w:szCs w:val="20"/>
          <w:lang w:val="es-ES"/>
        </w:rPr>
        <w:t xml:space="preserve">. </w:t>
      </w:r>
    </w:p>
    <w:p w14:paraId="1B4F3ADB"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4991A100"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Según la información proporcionada por</w:t>
      </w:r>
      <w:r w:rsidRPr="008D5BCE">
        <w:rPr>
          <w:rFonts w:asciiTheme="majorHAnsi" w:hAnsiTheme="majorHAnsi"/>
          <w:sz w:val="20"/>
          <w:szCs w:val="20"/>
          <w:lang w:val="es-ES"/>
        </w:rPr>
        <w:t xml:space="preserve"> los peticionarios, </w:t>
      </w:r>
      <w:r>
        <w:rPr>
          <w:rFonts w:asciiTheme="majorHAnsi" w:hAnsiTheme="majorHAnsi"/>
          <w:sz w:val="20"/>
          <w:szCs w:val="20"/>
          <w:lang w:val="es-ES"/>
        </w:rPr>
        <w:t>que no fue impugnada por el Estado</w:t>
      </w:r>
      <w:r w:rsidRPr="008D5BCE">
        <w:rPr>
          <w:rFonts w:asciiTheme="majorHAnsi" w:hAnsiTheme="majorHAnsi"/>
          <w:sz w:val="20"/>
          <w:szCs w:val="20"/>
          <w:lang w:val="es-ES"/>
        </w:rPr>
        <w:t xml:space="preserve">, el señor Kadamovas </w:t>
      </w:r>
      <w:r>
        <w:rPr>
          <w:rFonts w:asciiTheme="majorHAnsi" w:hAnsiTheme="majorHAnsi"/>
          <w:sz w:val="20"/>
          <w:szCs w:val="20"/>
          <w:lang w:val="es-ES"/>
        </w:rPr>
        <w:t xml:space="preserve">entabló una acción </w:t>
      </w:r>
      <w:r w:rsidRPr="008D5BCE">
        <w:rPr>
          <w:rFonts w:asciiTheme="majorHAnsi" w:hAnsiTheme="majorHAnsi"/>
          <w:sz w:val="20"/>
          <w:szCs w:val="20"/>
          <w:lang w:val="es-ES"/>
        </w:rPr>
        <w:t xml:space="preserve">civil </w:t>
      </w:r>
      <w:r>
        <w:rPr>
          <w:rFonts w:asciiTheme="majorHAnsi" w:hAnsiTheme="majorHAnsi"/>
          <w:sz w:val="20"/>
          <w:szCs w:val="20"/>
          <w:lang w:val="es-ES"/>
        </w:rPr>
        <w:t xml:space="preserve">contra el establecimiento penitenciario en la cual se quejaba de irregularidades en el manejo de los materiales relacionados con su caso y de que no le permitían trabajar en su caso en su lengua materna. Esta acción concluyó el 2 de octubre de </w:t>
      </w:r>
      <w:r w:rsidRPr="008D5BCE">
        <w:rPr>
          <w:rFonts w:asciiTheme="majorHAnsi" w:hAnsiTheme="majorHAnsi"/>
          <w:sz w:val="20"/>
          <w:szCs w:val="20"/>
          <w:lang w:val="es-ES"/>
        </w:rPr>
        <w:t>2017</w:t>
      </w:r>
      <w:r>
        <w:rPr>
          <w:rFonts w:asciiTheme="majorHAnsi" w:hAnsiTheme="majorHAnsi"/>
          <w:sz w:val="20"/>
          <w:szCs w:val="20"/>
          <w:lang w:val="es-ES"/>
        </w:rPr>
        <w:t xml:space="preserve"> con la decisión de l</w:t>
      </w:r>
      <w:r w:rsidRPr="008D5BCE">
        <w:rPr>
          <w:rFonts w:asciiTheme="majorHAnsi" w:hAnsiTheme="majorHAnsi"/>
          <w:sz w:val="20"/>
          <w:szCs w:val="20"/>
          <w:lang w:val="es-ES"/>
        </w:rPr>
        <w:t>a Corte Suprema de Estados Unidos de</w:t>
      </w:r>
      <w:r>
        <w:rPr>
          <w:rFonts w:asciiTheme="majorHAnsi" w:hAnsiTheme="majorHAnsi"/>
          <w:sz w:val="20"/>
          <w:szCs w:val="20"/>
          <w:lang w:val="es-ES"/>
        </w:rPr>
        <w:t xml:space="preserve"> no considerar la </w:t>
      </w:r>
      <w:r w:rsidRPr="008D5BCE">
        <w:rPr>
          <w:rFonts w:asciiTheme="majorHAnsi" w:hAnsiTheme="majorHAnsi"/>
          <w:sz w:val="20"/>
          <w:szCs w:val="20"/>
          <w:lang w:val="es-ES"/>
        </w:rPr>
        <w:t>petición</w:t>
      </w:r>
      <w:r>
        <w:rPr>
          <w:rStyle w:val="FootnoteReference"/>
          <w:rFonts w:asciiTheme="majorHAnsi" w:hAnsiTheme="majorHAnsi"/>
          <w:sz w:val="20"/>
          <w:szCs w:val="20"/>
          <w:lang w:val="es-ES"/>
        </w:rPr>
        <w:footnoteReference w:id="16"/>
      </w:r>
      <w:r>
        <w:rPr>
          <w:rFonts w:asciiTheme="majorHAnsi" w:hAnsiTheme="majorHAnsi"/>
          <w:sz w:val="20"/>
          <w:szCs w:val="20"/>
          <w:lang w:val="es-ES"/>
        </w:rPr>
        <w:t>.</w:t>
      </w:r>
    </w:p>
    <w:p w14:paraId="72DA54BD"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3CF1CB66"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lastRenderedPageBreak/>
        <w:t xml:space="preserve">El </w:t>
      </w:r>
      <w:r w:rsidRPr="008D5BCE">
        <w:rPr>
          <w:rFonts w:asciiTheme="majorHAnsi" w:hAnsiTheme="majorHAnsi"/>
          <w:sz w:val="20"/>
          <w:szCs w:val="20"/>
          <w:lang w:val="es-ES"/>
        </w:rPr>
        <w:t>19</w:t>
      </w:r>
      <w:r>
        <w:rPr>
          <w:rFonts w:asciiTheme="majorHAnsi" w:hAnsiTheme="majorHAnsi"/>
          <w:sz w:val="20"/>
          <w:szCs w:val="20"/>
          <w:lang w:val="es-ES"/>
        </w:rPr>
        <w:t xml:space="preserve"> de septiembre de</w:t>
      </w:r>
      <w:r w:rsidRPr="008D5BCE">
        <w:rPr>
          <w:rFonts w:asciiTheme="majorHAnsi" w:hAnsiTheme="majorHAnsi"/>
          <w:sz w:val="20"/>
          <w:szCs w:val="20"/>
          <w:lang w:val="es-ES"/>
        </w:rPr>
        <w:t xml:space="preserve"> 2018</w:t>
      </w:r>
      <w:r w:rsidR="00847F21">
        <w:rPr>
          <w:rFonts w:asciiTheme="majorHAnsi" w:hAnsiTheme="majorHAnsi"/>
          <w:sz w:val="20"/>
          <w:szCs w:val="20"/>
          <w:lang w:val="es-ES"/>
        </w:rPr>
        <w:t xml:space="preserve"> se presentó al P</w:t>
      </w:r>
      <w:r>
        <w:rPr>
          <w:rFonts w:asciiTheme="majorHAnsi" w:hAnsiTheme="majorHAnsi"/>
          <w:sz w:val="20"/>
          <w:szCs w:val="20"/>
          <w:lang w:val="es-ES"/>
        </w:rPr>
        <w:t xml:space="preserve">residente </w:t>
      </w:r>
      <w:r w:rsidR="00847F21">
        <w:rPr>
          <w:rFonts w:asciiTheme="majorHAnsi" w:hAnsiTheme="majorHAnsi"/>
          <w:sz w:val="20"/>
          <w:szCs w:val="20"/>
          <w:lang w:val="es-ES"/>
        </w:rPr>
        <w:t>de los Estados Unidos</w:t>
      </w:r>
      <w:r>
        <w:rPr>
          <w:rFonts w:asciiTheme="majorHAnsi" w:hAnsiTheme="majorHAnsi"/>
          <w:sz w:val="20"/>
          <w:szCs w:val="20"/>
          <w:lang w:val="es-ES"/>
        </w:rPr>
        <w:t xml:space="preserve"> una solicitud de indulto en nombre d</w:t>
      </w:r>
      <w:r w:rsidRPr="008D5BCE">
        <w:rPr>
          <w:rFonts w:asciiTheme="majorHAnsi" w:hAnsiTheme="majorHAnsi"/>
          <w:sz w:val="20"/>
          <w:szCs w:val="20"/>
          <w:lang w:val="es-ES"/>
        </w:rPr>
        <w:t>el señor Kadamovas</w:t>
      </w:r>
      <w:r w:rsidRPr="008D5BCE">
        <w:rPr>
          <w:rStyle w:val="FootnoteReference"/>
          <w:rFonts w:asciiTheme="majorHAnsi" w:hAnsiTheme="majorHAnsi"/>
          <w:sz w:val="20"/>
          <w:szCs w:val="20"/>
          <w:lang w:val="es-ES"/>
        </w:rPr>
        <w:footnoteReference w:id="17"/>
      </w:r>
      <w:r>
        <w:rPr>
          <w:rFonts w:asciiTheme="majorHAnsi" w:hAnsiTheme="majorHAnsi"/>
          <w:sz w:val="20"/>
          <w:szCs w:val="20"/>
          <w:lang w:val="es-ES"/>
        </w:rPr>
        <w:t>. No hay información en el expediente sobre el resultado de esta petición</w:t>
      </w:r>
      <w:r w:rsidRPr="008D5BCE">
        <w:rPr>
          <w:rFonts w:asciiTheme="majorHAnsi" w:hAnsiTheme="majorHAnsi"/>
          <w:sz w:val="20"/>
          <w:szCs w:val="20"/>
          <w:lang w:val="es-ES"/>
        </w:rPr>
        <w:t>.</w:t>
      </w:r>
    </w:p>
    <w:p w14:paraId="2314E1E5"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732ADFDC"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 xml:space="preserve">El </w:t>
      </w:r>
      <w:r w:rsidRPr="008D5BCE">
        <w:rPr>
          <w:rFonts w:asciiTheme="majorHAnsi" w:hAnsiTheme="majorHAnsi"/>
          <w:sz w:val="20"/>
          <w:szCs w:val="20"/>
          <w:lang w:val="es-ES"/>
        </w:rPr>
        <w:t>14</w:t>
      </w:r>
      <w:r>
        <w:rPr>
          <w:rFonts w:asciiTheme="majorHAnsi" w:hAnsiTheme="majorHAnsi"/>
          <w:sz w:val="20"/>
          <w:szCs w:val="20"/>
          <w:lang w:val="es-ES"/>
        </w:rPr>
        <w:t xml:space="preserve"> de enero de</w:t>
      </w:r>
      <w:r w:rsidRPr="008D5BCE">
        <w:rPr>
          <w:rFonts w:asciiTheme="majorHAnsi" w:hAnsiTheme="majorHAnsi"/>
          <w:sz w:val="20"/>
          <w:szCs w:val="20"/>
          <w:lang w:val="es-ES"/>
        </w:rPr>
        <w:t xml:space="preserve"> 2019, el señor Kadamovas </w:t>
      </w:r>
      <w:r>
        <w:rPr>
          <w:rFonts w:asciiTheme="majorHAnsi" w:hAnsiTheme="majorHAnsi"/>
          <w:sz w:val="20"/>
          <w:szCs w:val="20"/>
          <w:lang w:val="es-ES"/>
        </w:rPr>
        <w:t xml:space="preserve">solicitó un </w:t>
      </w:r>
      <w:r w:rsidRPr="008D5BCE">
        <w:rPr>
          <w:rFonts w:asciiTheme="majorHAnsi" w:hAnsiTheme="majorHAnsi"/>
          <w:sz w:val="20"/>
          <w:szCs w:val="20"/>
          <w:lang w:val="es-ES"/>
        </w:rPr>
        <w:t xml:space="preserve">auto de avocación </w:t>
      </w:r>
      <w:r>
        <w:rPr>
          <w:rFonts w:asciiTheme="majorHAnsi" w:hAnsiTheme="majorHAnsi"/>
          <w:sz w:val="20"/>
          <w:szCs w:val="20"/>
          <w:lang w:val="es-ES"/>
        </w:rPr>
        <w:t xml:space="preserve">y presentó una </w:t>
      </w:r>
      <w:r w:rsidRPr="00E02AB5">
        <w:rPr>
          <w:rFonts w:asciiTheme="majorHAnsi" w:hAnsiTheme="majorHAnsi"/>
          <w:sz w:val="20"/>
          <w:szCs w:val="20"/>
          <w:lang w:val="es-ES"/>
        </w:rPr>
        <w:t>petición de autorización para proceder</w:t>
      </w:r>
      <w:r>
        <w:rPr>
          <w:rFonts w:asciiTheme="majorHAnsi" w:hAnsiTheme="majorHAnsi"/>
          <w:sz w:val="20"/>
          <w:szCs w:val="20"/>
          <w:lang w:val="es-ES"/>
        </w:rPr>
        <w:t xml:space="preserve">. La solicitud fue denegada el </w:t>
      </w:r>
      <w:r w:rsidRPr="008D5BCE">
        <w:rPr>
          <w:rFonts w:asciiTheme="majorHAnsi" w:hAnsiTheme="majorHAnsi"/>
          <w:sz w:val="20"/>
          <w:szCs w:val="20"/>
          <w:lang w:val="es-ES"/>
        </w:rPr>
        <w:t>7</w:t>
      </w:r>
      <w:r>
        <w:rPr>
          <w:rFonts w:asciiTheme="majorHAnsi" w:hAnsiTheme="majorHAnsi"/>
          <w:sz w:val="20"/>
          <w:szCs w:val="20"/>
          <w:lang w:val="es-ES"/>
        </w:rPr>
        <w:t xml:space="preserve"> de octubre de</w:t>
      </w:r>
      <w:r w:rsidRPr="008D5BCE">
        <w:rPr>
          <w:rFonts w:asciiTheme="majorHAnsi" w:hAnsiTheme="majorHAnsi"/>
          <w:sz w:val="20"/>
          <w:szCs w:val="20"/>
          <w:lang w:val="es-ES"/>
        </w:rPr>
        <w:t xml:space="preserve"> 2019</w:t>
      </w:r>
      <w:r w:rsidRPr="008D5BCE">
        <w:rPr>
          <w:rStyle w:val="FootnoteReference"/>
          <w:rFonts w:asciiTheme="majorHAnsi" w:hAnsiTheme="majorHAnsi"/>
          <w:sz w:val="20"/>
          <w:szCs w:val="20"/>
          <w:lang w:val="es-ES"/>
        </w:rPr>
        <w:footnoteReference w:id="18"/>
      </w:r>
      <w:r>
        <w:rPr>
          <w:rFonts w:asciiTheme="majorHAnsi" w:hAnsiTheme="majorHAnsi"/>
          <w:sz w:val="20"/>
          <w:szCs w:val="20"/>
          <w:lang w:val="es-ES"/>
        </w:rPr>
        <w:t>. E</w:t>
      </w:r>
      <w:r w:rsidRPr="008D5BCE">
        <w:rPr>
          <w:rFonts w:asciiTheme="majorHAnsi" w:hAnsiTheme="majorHAnsi"/>
          <w:sz w:val="20"/>
          <w:szCs w:val="20"/>
          <w:lang w:val="es-ES"/>
        </w:rPr>
        <w:t xml:space="preserve">l señor Kadamovas </w:t>
      </w:r>
      <w:r>
        <w:rPr>
          <w:rFonts w:asciiTheme="majorHAnsi" w:hAnsiTheme="majorHAnsi"/>
          <w:sz w:val="20"/>
          <w:szCs w:val="20"/>
          <w:lang w:val="es-ES"/>
        </w:rPr>
        <w:t xml:space="preserve">también trató de obtener reparación por medio de solicitudes y apelaciones administrativas relacionadas con la comunicación limitada, el </w:t>
      </w:r>
      <w:r w:rsidRPr="008D5BCE">
        <w:rPr>
          <w:rFonts w:asciiTheme="majorHAnsi" w:hAnsiTheme="majorHAnsi"/>
          <w:sz w:val="20"/>
          <w:szCs w:val="20"/>
          <w:lang w:val="es-ES"/>
        </w:rPr>
        <w:t xml:space="preserve">régimen de aislamiento </w:t>
      </w:r>
      <w:r>
        <w:rPr>
          <w:rFonts w:asciiTheme="majorHAnsi" w:hAnsiTheme="majorHAnsi"/>
          <w:sz w:val="20"/>
          <w:szCs w:val="20"/>
          <w:lang w:val="es-ES"/>
        </w:rPr>
        <w:t>y el acceso a información.</w:t>
      </w:r>
    </w:p>
    <w:p w14:paraId="4EDAFAAD"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41CF8D26"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E</w:t>
      </w:r>
      <w:r w:rsidRPr="008D5BCE">
        <w:rPr>
          <w:rFonts w:asciiTheme="majorHAnsi" w:hAnsiTheme="majorHAnsi"/>
          <w:sz w:val="20"/>
          <w:szCs w:val="20"/>
          <w:lang w:val="es-ES"/>
        </w:rPr>
        <w:t>l señor Bolden ap</w:t>
      </w:r>
      <w:r>
        <w:rPr>
          <w:rFonts w:asciiTheme="majorHAnsi" w:hAnsiTheme="majorHAnsi"/>
          <w:sz w:val="20"/>
          <w:szCs w:val="20"/>
          <w:lang w:val="es-ES"/>
        </w:rPr>
        <w:t xml:space="preserve">eló la sentencia </w:t>
      </w:r>
      <w:r w:rsidRPr="008D5BCE">
        <w:rPr>
          <w:rFonts w:asciiTheme="majorHAnsi" w:hAnsiTheme="majorHAnsi"/>
          <w:sz w:val="20"/>
          <w:szCs w:val="20"/>
          <w:lang w:val="es-ES"/>
        </w:rPr>
        <w:t>de primera</w:t>
      </w:r>
      <w:r>
        <w:rPr>
          <w:rFonts w:asciiTheme="majorHAnsi" w:hAnsiTheme="majorHAnsi"/>
          <w:sz w:val="20"/>
          <w:szCs w:val="20"/>
          <w:lang w:val="es-ES"/>
        </w:rPr>
        <w:t xml:space="preserve"> instancia, aduciendo que el tribunal federal había cometido errores </w:t>
      </w:r>
      <w:r w:rsidRPr="008D5BCE">
        <w:rPr>
          <w:rFonts w:asciiTheme="majorHAnsi" w:hAnsiTheme="majorHAnsi"/>
          <w:sz w:val="20"/>
          <w:szCs w:val="20"/>
          <w:lang w:val="es-ES"/>
        </w:rPr>
        <w:t>reversible</w:t>
      </w:r>
      <w:r>
        <w:rPr>
          <w:rFonts w:asciiTheme="majorHAnsi" w:hAnsiTheme="majorHAnsi"/>
          <w:sz w:val="20"/>
          <w:szCs w:val="20"/>
          <w:lang w:val="es-ES"/>
        </w:rPr>
        <w:t>s antes del juicio y durante el mismo</w:t>
      </w:r>
      <w:r w:rsidRPr="008D5BCE">
        <w:rPr>
          <w:rFonts w:asciiTheme="majorHAnsi" w:hAnsiTheme="majorHAnsi"/>
          <w:sz w:val="20"/>
          <w:szCs w:val="20"/>
          <w:lang w:val="es-ES"/>
        </w:rPr>
        <w:t xml:space="preserve">. </w:t>
      </w:r>
      <w:r>
        <w:rPr>
          <w:rFonts w:asciiTheme="majorHAnsi" w:hAnsiTheme="majorHAnsi"/>
          <w:sz w:val="20"/>
          <w:szCs w:val="20"/>
          <w:lang w:val="es-ES"/>
        </w:rPr>
        <w:t xml:space="preserve">Los asuntos planteados implicaban una impugnación </w:t>
      </w:r>
      <w:r w:rsidRPr="008D5BCE">
        <w:rPr>
          <w:rFonts w:asciiTheme="majorHAnsi" w:hAnsiTheme="majorHAnsi"/>
          <w:sz w:val="20"/>
          <w:szCs w:val="20"/>
          <w:lang w:val="es-ES"/>
        </w:rPr>
        <w:t xml:space="preserve">Batson </w:t>
      </w:r>
      <w:r>
        <w:rPr>
          <w:rFonts w:asciiTheme="majorHAnsi" w:hAnsiTheme="majorHAnsi"/>
          <w:sz w:val="20"/>
          <w:szCs w:val="20"/>
          <w:lang w:val="es-ES"/>
        </w:rPr>
        <w:t>y una impugnación de las agravantes presentadas. Con respecto a la impugnación</w:t>
      </w:r>
      <w:r w:rsidRPr="008D5BCE">
        <w:rPr>
          <w:rFonts w:asciiTheme="majorHAnsi" w:hAnsiTheme="majorHAnsi"/>
          <w:sz w:val="20"/>
          <w:szCs w:val="20"/>
          <w:lang w:val="es-ES"/>
        </w:rPr>
        <w:t xml:space="preserve"> Batson, el señor Bolden a</w:t>
      </w:r>
      <w:r>
        <w:rPr>
          <w:rFonts w:asciiTheme="majorHAnsi" w:hAnsiTheme="majorHAnsi"/>
          <w:sz w:val="20"/>
          <w:szCs w:val="20"/>
          <w:lang w:val="es-ES"/>
        </w:rPr>
        <w:t>dujo que la fiscalía había ejercido una recusación sin causa para impedir que una candidata afroestadounidense integrara el jurado solo por motivos de raza. La fiscalía había expresado preocupación por la posibilidad de que la candidata diera más peso del que se justificaba a su formación jurídica, lo cual podría afectar las deliberaciones. El tribunal consideró que el razonamiento de la fiscalía había sido neutral desde el punto de vista racial. El</w:t>
      </w:r>
      <w:r w:rsidRPr="008D5BCE">
        <w:rPr>
          <w:rFonts w:asciiTheme="majorHAnsi" w:hAnsiTheme="majorHAnsi"/>
          <w:sz w:val="20"/>
          <w:szCs w:val="20"/>
          <w:lang w:val="es-ES"/>
        </w:rPr>
        <w:t xml:space="preserve"> señor Bolden </w:t>
      </w:r>
      <w:r>
        <w:rPr>
          <w:rFonts w:asciiTheme="majorHAnsi" w:hAnsiTheme="majorHAnsi"/>
          <w:sz w:val="20"/>
          <w:szCs w:val="20"/>
          <w:lang w:val="es-ES"/>
        </w:rPr>
        <w:t>impugnó las dos agravantes —beneficio pecuniario y condena anterior por dos delitos mayores relacionados con drogas—, pero el tribunal no concluyó que las instrucciones sobre la ley dadas al jurado hubieran sido incorrectas. La condena y la sentencia d</w:t>
      </w:r>
      <w:r w:rsidRPr="008D5BCE">
        <w:rPr>
          <w:rFonts w:asciiTheme="majorHAnsi" w:hAnsiTheme="majorHAnsi"/>
          <w:sz w:val="20"/>
          <w:szCs w:val="20"/>
          <w:lang w:val="es-ES"/>
        </w:rPr>
        <w:t>el señor Bolden</w:t>
      </w:r>
      <w:r>
        <w:rPr>
          <w:rFonts w:asciiTheme="majorHAnsi" w:hAnsiTheme="majorHAnsi"/>
          <w:sz w:val="20"/>
          <w:szCs w:val="20"/>
          <w:lang w:val="es-ES"/>
        </w:rPr>
        <w:t xml:space="preserve"> fueron ratificadas en segunda instancia en </w:t>
      </w:r>
      <w:r w:rsidRPr="008D5BCE">
        <w:rPr>
          <w:rFonts w:asciiTheme="majorHAnsi" w:hAnsiTheme="majorHAnsi"/>
          <w:sz w:val="20"/>
          <w:szCs w:val="20"/>
          <w:lang w:val="es-ES"/>
        </w:rPr>
        <w:t>2008</w:t>
      </w:r>
      <w:r w:rsidRPr="008D5BCE">
        <w:rPr>
          <w:rStyle w:val="FootnoteReference"/>
          <w:rFonts w:asciiTheme="majorHAnsi" w:hAnsiTheme="majorHAnsi"/>
          <w:sz w:val="20"/>
          <w:szCs w:val="20"/>
          <w:lang w:val="es-ES"/>
        </w:rPr>
        <w:footnoteReference w:id="19"/>
      </w:r>
      <w:r>
        <w:rPr>
          <w:rFonts w:asciiTheme="majorHAnsi" w:hAnsiTheme="majorHAnsi"/>
          <w:sz w:val="20"/>
          <w:szCs w:val="20"/>
          <w:lang w:val="es-ES"/>
        </w:rPr>
        <w:t xml:space="preserve">, y su petición de </w:t>
      </w:r>
      <w:r w:rsidRPr="008D5BCE">
        <w:rPr>
          <w:rFonts w:asciiTheme="majorHAnsi" w:hAnsiTheme="majorHAnsi"/>
          <w:sz w:val="20"/>
          <w:szCs w:val="20"/>
          <w:lang w:val="es-ES"/>
        </w:rPr>
        <w:t xml:space="preserve">auto de avocación </w:t>
      </w:r>
      <w:r>
        <w:rPr>
          <w:rFonts w:asciiTheme="majorHAnsi" w:hAnsiTheme="majorHAnsi"/>
          <w:sz w:val="20"/>
          <w:szCs w:val="20"/>
          <w:lang w:val="es-ES"/>
        </w:rPr>
        <w:t>fue denegada en</w:t>
      </w:r>
      <w:r w:rsidRPr="008D5BCE">
        <w:rPr>
          <w:rFonts w:asciiTheme="majorHAnsi" w:hAnsiTheme="majorHAnsi"/>
          <w:sz w:val="20"/>
          <w:szCs w:val="20"/>
          <w:lang w:val="es-ES"/>
        </w:rPr>
        <w:t xml:space="preserve"> 2009</w:t>
      </w:r>
      <w:r w:rsidRPr="008D5BCE">
        <w:rPr>
          <w:rStyle w:val="FootnoteReference"/>
          <w:rFonts w:asciiTheme="majorHAnsi" w:hAnsiTheme="majorHAnsi"/>
          <w:sz w:val="20"/>
          <w:szCs w:val="20"/>
          <w:lang w:val="es-ES"/>
        </w:rPr>
        <w:footnoteReference w:id="20"/>
      </w:r>
      <w:r>
        <w:rPr>
          <w:rFonts w:asciiTheme="majorHAnsi" w:hAnsiTheme="majorHAnsi"/>
          <w:sz w:val="20"/>
          <w:szCs w:val="20"/>
          <w:lang w:val="es-ES"/>
        </w:rPr>
        <w:t>.</w:t>
      </w:r>
    </w:p>
    <w:p w14:paraId="5266BD86" w14:textId="77777777" w:rsidR="00702483" w:rsidRPr="008D5BCE" w:rsidRDefault="00702483" w:rsidP="00702483">
      <w:pPr>
        <w:pStyle w:val="ListParagraph"/>
        <w:rPr>
          <w:rFonts w:asciiTheme="majorHAnsi" w:hAnsiTheme="majorHAnsi"/>
          <w:sz w:val="20"/>
          <w:szCs w:val="20"/>
          <w:lang w:val="es-ES"/>
        </w:rPr>
      </w:pPr>
    </w:p>
    <w:p w14:paraId="4A81ABE6"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Posteriormente, e</w:t>
      </w:r>
      <w:r w:rsidRPr="008D5BCE">
        <w:rPr>
          <w:rFonts w:asciiTheme="majorHAnsi" w:hAnsiTheme="majorHAnsi"/>
          <w:sz w:val="20"/>
          <w:szCs w:val="20"/>
          <w:lang w:val="es-ES"/>
        </w:rPr>
        <w:t xml:space="preserve">l señor Bolden </w:t>
      </w:r>
      <w:r>
        <w:rPr>
          <w:rFonts w:asciiTheme="majorHAnsi" w:hAnsiTheme="majorHAnsi"/>
          <w:sz w:val="20"/>
          <w:szCs w:val="20"/>
          <w:lang w:val="es-ES"/>
        </w:rPr>
        <w:t>interpuso un</w:t>
      </w:r>
      <w:r w:rsidRPr="008D5BCE">
        <w:rPr>
          <w:rFonts w:asciiTheme="majorHAnsi" w:hAnsiTheme="majorHAnsi"/>
          <w:sz w:val="20"/>
          <w:szCs w:val="20"/>
          <w:lang w:val="es-ES"/>
        </w:rPr>
        <w:t xml:space="preserve"> </w:t>
      </w:r>
      <w:r>
        <w:rPr>
          <w:rFonts w:asciiTheme="majorHAnsi" w:hAnsiTheme="majorHAnsi"/>
          <w:sz w:val="20"/>
          <w:szCs w:val="20"/>
          <w:lang w:val="es-ES"/>
        </w:rPr>
        <w:t>recurso de reparación poscondenatoria</w:t>
      </w:r>
      <w:r w:rsidRPr="008D5BCE">
        <w:rPr>
          <w:rFonts w:asciiTheme="majorHAnsi" w:hAnsiTheme="majorHAnsi"/>
          <w:sz w:val="20"/>
          <w:szCs w:val="20"/>
          <w:lang w:val="es-ES"/>
        </w:rPr>
        <w:t xml:space="preserve"> </w:t>
      </w:r>
      <w:r>
        <w:rPr>
          <w:rFonts w:asciiTheme="majorHAnsi" w:hAnsiTheme="majorHAnsi"/>
          <w:sz w:val="20"/>
          <w:szCs w:val="20"/>
          <w:lang w:val="es-ES"/>
        </w:rPr>
        <w:t xml:space="preserve">de acuerdo </w:t>
      </w:r>
      <w:r w:rsidRPr="00F861AF">
        <w:rPr>
          <w:rFonts w:asciiTheme="majorHAnsi" w:hAnsiTheme="majorHAnsi"/>
          <w:sz w:val="20"/>
          <w:szCs w:val="20"/>
          <w:lang w:val="es-ES"/>
        </w:rPr>
        <w:t>con el Código de Estados Unidos, Título 28, artículo 2253</w:t>
      </w:r>
      <w:r w:rsidRPr="008D5BCE">
        <w:rPr>
          <w:rFonts w:asciiTheme="majorHAnsi" w:hAnsiTheme="majorHAnsi"/>
          <w:sz w:val="20"/>
          <w:szCs w:val="20"/>
          <w:lang w:val="es-ES"/>
        </w:rPr>
        <w:t xml:space="preserve">. </w:t>
      </w:r>
      <w:r>
        <w:rPr>
          <w:rFonts w:asciiTheme="majorHAnsi" w:hAnsiTheme="majorHAnsi"/>
          <w:sz w:val="20"/>
          <w:szCs w:val="20"/>
          <w:lang w:val="es-ES"/>
        </w:rPr>
        <w:t>En esa petición afirmó, entre otras cosas, que la fiscalía no le había comunicado los derechos que tenía de conformidad con</w:t>
      </w:r>
      <w:r w:rsidRPr="008D5BCE">
        <w:rPr>
          <w:rFonts w:asciiTheme="majorHAnsi" w:hAnsiTheme="majorHAnsi"/>
          <w:sz w:val="20"/>
          <w:szCs w:val="20"/>
          <w:lang w:val="es-ES"/>
        </w:rPr>
        <w:t xml:space="preserve"> la Convención de Viena</w:t>
      </w:r>
      <w:r>
        <w:rPr>
          <w:rFonts w:asciiTheme="majorHAnsi" w:hAnsiTheme="majorHAnsi"/>
          <w:sz w:val="20"/>
          <w:szCs w:val="20"/>
          <w:lang w:val="es-ES"/>
        </w:rPr>
        <w:t xml:space="preserve"> ni había avisado al Consulado de Canadá sobre el proceso penal en su contra. El </w:t>
      </w:r>
      <w:r w:rsidRPr="008D5BCE">
        <w:rPr>
          <w:rFonts w:asciiTheme="majorHAnsi" w:hAnsiTheme="majorHAnsi"/>
          <w:sz w:val="20"/>
          <w:szCs w:val="20"/>
          <w:lang w:val="es-ES"/>
        </w:rPr>
        <w:t xml:space="preserve">Tribunal Federal de Apelaciones para el Octavo Circuito </w:t>
      </w:r>
      <w:r>
        <w:rPr>
          <w:rFonts w:asciiTheme="majorHAnsi" w:hAnsiTheme="majorHAnsi"/>
          <w:sz w:val="20"/>
          <w:szCs w:val="20"/>
          <w:lang w:val="es-ES"/>
        </w:rPr>
        <w:t>dictaminó que este recla</w:t>
      </w:r>
      <w:r w:rsidRPr="00F861AF">
        <w:rPr>
          <w:rFonts w:asciiTheme="majorHAnsi" w:hAnsiTheme="majorHAnsi"/>
          <w:sz w:val="20"/>
          <w:szCs w:val="20"/>
          <w:lang w:val="es-ES"/>
        </w:rPr>
        <w:t>mo estaba precluido desde el punto de vista procesal porq</w:t>
      </w:r>
      <w:r>
        <w:rPr>
          <w:rFonts w:asciiTheme="majorHAnsi" w:hAnsiTheme="majorHAnsi"/>
          <w:sz w:val="20"/>
          <w:szCs w:val="20"/>
          <w:lang w:val="es-ES"/>
        </w:rPr>
        <w:t xml:space="preserve">ue </w:t>
      </w:r>
      <w:r w:rsidRPr="008D5BCE">
        <w:rPr>
          <w:rFonts w:asciiTheme="majorHAnsi" w:hAnsiTheme="majorHAnsi"/>
          <w:sz w:val="20"/>
          <w:szCs w:val="20"/>
          <w:lang w:val="es-ES"/>
        </w:rPr>
        <w:t xml:space="preserve">el señor Bolden </w:t>
      </w:r>
      <w:r>
        <w:rPr>
          <w:rFonts w:asciiTheme="majorHAnsi" w:hAnsiTheme="majorHAnsi"/>
          <w:sz w:val="20"/>
          <w:szCs w:val="20"/>
          <w:lang w:val="es-ES"/>
        </w:rPr>
        <w:t xml:space="preserve">no lo presentó en su apelación directa y que </w:t>
      </w:r>
      <w:r w:rsidRPr="008D5BCE">
        <w:rPr>
          <w:rFonts w:asciiTheme="majorHAnsi" w:hAnsiTheme="majorHAnsi"/>
          <w:sz w:val="20"/>
          <w:szCs w:val="20"/>
          <w:lang w:val="es-ES"/>
        </w:rPr>
        <w:t xml:space="preserve">el señor Bolden </w:t>
      </w:r>
      <w:r>
        <w:rPr>
          <w:rFonts w:asciiTheme="majorHAnsi" w:hAnsiTheme="majorHAnsi"/>
          <w:sz w:val="20"/>
          <w:szCs w:val="20"/>
          <w:lang w:val="es-ES"/>
        </w:rPr>
        <w:t xml:space="preserve">no podía demostrar la existencia del incumplimiento y, por lo tanto, no podía probar que había sido perjudicado. Al respecto, el tribunal concluyó que </w:t>
      </w:r>
      <w:r w:rsidRPr="008D5BCE">
        <w:rPr>
          <w:rFonts w:asciiTheme="majorHAnsi" w:hAnsiTheme="majorHAnsi"/>
          <w:sz w:val="20"/>
          <w:szCs w:val="20"/>
          <w:lang w:val="es-ES"/>
        </w:rPr>
        <w:t xml:space="preserve">el señor Bolden </w:t>
      </w:r>
      <w:r>
        <w:rPr>
          <w:rFonts w:asciiTheme="majorHAnsi" w:hAnsiTheme="majorHAnsi"/>
          <w:sz w:val="20"/>
          <w:szCs w:val="20"/>
          <w:lang w:val="es-ES"/>
        </w:rPr>
        <w:t xml:space="preserve">no había mostrado que las presuntas violaciones de la Convención hubieran afectado su condena y su sentencia. La petición fue desestimada en </w:t>
      </w:r>
      <w:r w:rsidRPr="008D5BCE">
        <w:rPr>
          <w:rFonts w:asciiTheme="majorHAnsi" w:hAnsiTheme="majorHAnsi"/>
          <w:sz w:val="20"/>
          <w:szCs w:val="20"/>
          <w:lang w:val="es-ES"/>
        </w:rPr>
        <w:t xml:space="preserve">2016 </w:t>
      </w:r>
      <w:r>
        <w:rPr>
          <w:rFonts w:asciiTheme="majorHAnsi" w:hAnsiTheme="majorHAnsi"/>
          <w:sz w:val="20"/>
          <w:szCs w:val="20"/>
          <w:lang w:val="es-ES"/>
        </w:rPr>
        <w:t xml:space="preserve">y el tribunal no emitió un </w:t>
      </w:r>
      <w:r w:rsidRPr="008D5BCE">
        <w:rPr>
          <w:rFonts w:asciiTheme="majorHAnsi" w:hAnsiTheme="majorHAnsi"/>
          <w:sz w:val="20"/>
          <w:szCs w:val="20"/>
          <w:lang w:val="es-ES"/>
        </w:rPr>
        <w:t>certificado de apelabilidad</w:t>
      </w:r>
      <w:r w:rsidRPr="008D5BCE">
        <w:rPr>
          <w:rStyle w:val="FootnoteReference"/>
          <w:rFonts w:asciiTheme="majorHAnsi" w:hAnsiTheme="majorHAnsi"/>
          <w:sz w:val="20"/>
          <w:szCs w:val="20"/>
          <w:lang w:val="es-ES"/>
        </w:rPr>
        <w:footnoteReference w:id="21"/>
      </w:r>
      <w:r>
        <w:rPr>
          <w:rFonts w:asciiTheme="majorHAnsi" w:hAnsiTheme="majorHAnsi"/>
          <w:sz w:val="20"/>
          <w:szCs w:val="20"/>
          <w:lang w:val="es-ES"/>
        </w:rPr>
        <w:t>.</w:t>
      </w:r>
    </w:p>
    <w:p w14:paraId="6BAC77CF"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14:paraId="527D378F"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Como recurso adicional, los representantes legales d</w:t>
      </w:r>
      <w:r w:rsidRPr="008D5BCE">
        <w:rPr>
          <w:rFonts w:asciiTheme="majorHAnsi" w:hAnsiTheme="majorHAnsi"/>
          <w:sz w:val="20"/>
          <w:szCs w:val="20"/>
          <w:lang w:val="es-ES"/>
        </w:rPr>
        <w:t>el señor Bolden</w:t>
      </w:r>
      <w:r>
        <w:rPr>
          <w:rFonts w:asciiTheme="majorHAnsi" w:hAnsiTheme="majorHAnsi"/>
          <w:sz w:val="20"/>
          <w:szCs w:val="20"/>
          <w:lang w:val="es-ES"/>
        </w:rPr>
        <w:t xml:space="preserve"> enviaron cartas a la </w:t>
      </w:r>
      <w:r w:rsidRPr="008D5BCE">
        <w:rPr>
          <w:rFonts w:asciiTheme="majorHAnsi" w:hAnsiTheme="majorHAnsi"/>
          <w:sz w:val="20"/>
          <w:szCs w:val="20"/>
          <w:lang w:val="es-ES"/>
        </w:rPr>
        <w:t>Administración Federal de Prisiones</w:t>
      </w:r>
      <w:r>
        <w:rPr>
          <w:rFonts w:asciiTheme="majorHAnsi" w:hAnsiTheme="majorHAnsi"/>
          <w:sz w:val="20"/>
          <w:szCs w:val="20"/>
          <w:lang w:val="es-ES"/>
        </w:rPr>
        <w:t xml:space="preserve"> para pedir su expediente médico y le señalaron la necesidad de monitorear mejor el problema de salud d</w:t>
      </w:r>
      <w:r w:rsidRPr="008D5BCE">
        <w:rPr>
          <w:rFonts w:asciiTheme="majorHAnsi" w:hAnsiTheme="majorHAnsi"/>
          <w:sz w:val="20"/>
          <w:szCs w:val="20"/>
          <w:lang w:val="es-ES"/>
        </w:rPr>
        <w:t xml:space="preserve">el señor Bolden. </w:t>
      </w:r>
      <w:r w:rsidR="00AE32A8">
        <w:rPr>
          <w:rFonts w:asciiTheme="majorHAnsi" w:hAnsiTheme="majorHAnsi"/>
          <w:sz w:val="20"/>
          <w:szCs w:val="20"/>
          <w:lang w:val="es-ES"/>
        </w:rPr>
        <w:t xml:space="preserve"> </w:t>
      </w:r>
      <w:r w:rsidR="00AE32A8">
        <w:rPr>
          <w:rFonts w:ascii="Cambria" w:hAnsi="Cambria"/>
          <w:sz w:val="20"/>
          <w:lang w:val="es-ES"/>
        </w:rPr>
        <w:t xml:space="preserve">La prueba que obra ante </w:t>
      </w:r>
      <w:r w:rsidR="00AE32A8" w:rsidRPr="008D5BCE">
        <w:rPr>
          <w:rFonts w:ascii="Cambria" w:hAnsi="Cambria"/>
          <w:sz w:val="20"/>
          <w:lang w:val="es-ES"/>
        </w:rPr>
        <w:t xml:space="preserve">la Comisión </w:t>
      </w:r>
      <w:r w:rsidR="00AE32A8">
        <w:rPr>
          <w:rFonts w:ascii="Cambria" w:hAnsi="Cambria"/>
          <w:sz w:val="20"/>
          <w:lang w:val="es-ES"/>
        </w:rPr>
        <w:t xml:space="preserve">muestra que </w:t>
      </w:r>
      <w:r w:rsidR="00AE32A8" w:rsidRPr="008D5BCE">
        <w:rPr>
          <w:rFonts w:ascii="Cambria" w:hAnsi="Cambria"/>
          <w:sz w:val="20"/>
          <w:lang w:val="es-ES"/>
        </w:rPr>
        <w:t xml:space="preserve">el señor Bolden </w:t>
      </w:r>
      <w:r w:rsidR="00AE32A8">
        <w:rPr>
          <w:rFonts w:ascii="Cambria" w:hAnsi="Cambria"/>
          <w:sz w:val="20"/>
          <w:lang w:val="es-ES"/>
        </w:rPr>
        <w:t xml:space="preserve">tuvo varios incidentes de glucemia anormal entre </w:t>
      </w:r>
      <w:r w:rsidR="00AE32A8" w:rsidRPr="008D5BCE">
        <w:rPr>
          <w:rFonts w:ascii="Cambria" w:hAnsi="Cambria"/>
          <w:sz w:val="20"/>
          <w:lang w:val="es-ES"/>
        </w:rPr>
        <w:t xml:space="preserve">2010 </w:t>
      </w:r>
      <w:r w:rsidR="00AE32A8">
        <w:rPr>
          <w:rFonts w:ascii="Cambria" w:hAnsi="Cambria"/>
          <w:sz w:val="20"/>
          <w:lang w:val="es-ES"/>
        </w:rPr>
        <w:t>y</w:t>
      </w:r>
      <w:r w:rsidR="00AE32A8" w:rsidRPr="008D5BCE">
        <w:rPr>
          <w:rFonts w:ascii="Cambria" w:hAnsi="Cambria"/>
          <w:sz w:val="20"/>
          <w:lang w:val="es-ES"/>
        </w:rPr>
        <w:t xml:space="preserve"> 2012 </w:t>
      </w:r>
      <w:r w:rsidR="00AE32A8">
        <w:rPr>
          <w:rFonts w:ascii="Cambria" w:hAnsi="Cambria"/>
          <w:sz w:val="20"/>
          <w:lang w:val="es-ES"/>
        </w:rPr>
        <w:t>y que le ajustaron la dosis de insulina en varias ocasiones</w:t>
      </w:r>
      <w:r w:rsidR="00AE32A8">
        <w:rPr>
          <w:rStyle w:val="FootnoteReference"/>
          <w:rFonts w:ascii="Cambria" w:hAnsi="Cambria"/>
          <w:sz w:val="20"/>
          <w:lang w:val="es-ES"/>
        </w:rPr>
        <w:footnoteReference w:id="22"/>
      </w:r>
      <w:r w:rsidR="00AE32A8">
        <w:rPr>
          <w:rFonts w:ascii="Cambria" w:hAnsi="Cambria"/>
          <w:sz w:val="20"/>
          <w:lang w:val="es-ES"/>
        </w:rPr>
        <w:t>.</w:t>
      </w:r>
    </w:p>
    <w:p w14:paraId="28C9506D"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right="360"/>
        <w:jc w:val="both"/>
        <w:rPr>
          <w:rFonts w:asciiTheme="majorHAnsi" w:hAnsiTheme="majorHAnsi"/>
          <w:sz w:val="20"/>
          <w:szCs w:val="20"/>
          <w:lang w:val="es-ES"/>
        </w:rPr>
      </w:pPr>
    </w:p>
    <w:p w14:paraId="4E1F3984" w14:textId="77777777" w:rsidR="00702483" w:rsidRPr="008D5BCE" w:rsidRDefault="00702483" w:rsidP="00702483">
      <w:pPr>
        <w:pStyle w:val="Heading1"/>
        <w:tabs>
          <w:tab w:val="left" w:pos="360"/>
        </w:tabs>
        <w:spacing w:before="0"/>
        <w:ind w:hanging="720"/>
        <w:rPr>
          <w:color w:val="auto"/>
          <w:sz w:val="20"/>
          <w:szCs w:val="20"/>
          <w:lang w:val="es-ES"/>
        </w:rPr>
      </w:pPr>
      <w:bookmarkStart w:id="16" w:name="_Toc90289318"/>
      <w:r w:rsidRPr="008D5BCE">
        <w:rPr>
          <w:color w:val="auto"/>
          <w:sz w:val="20"/>
          <w:szCs w:val="20"/>
          <w:lang w:val="es-ES"/>
        </w:rPr>
        <w:t>ANÁLISIS DE DERECHO</w:t>
      </w:r>
      <w:bookmarkEnd w:id="16"/>
    </w:p>
    <w:p w14:paraId="1EEE6794" w14:textId="77777777" w:rsidR="00702483" w:rsidRPr="008D5BCE" w:rsidRDefault="00702483" w:rsidP="00702483">
      <w:pPr>
        <w:keepNext/>
        <w:keepLines/>
        <w:rPr>
          <w:rFonts w:asciiTheme="majorHAnsi" w:hAnsiTheme="majorHAnsi"/>
          <w:sz w:val="20"/>
          <w:szCs w:val="20"/>
          <w:lang w:val="es-ES"/>
        </w:rPr>
      </w:pPr>
    </w:p>
    <w:p w14:paraId="3B085E73" w14:textId="77777777" w:rsidR="00702483" w:rsidRPr="00702483" w:rsidRDefault="00702483" w:rsidP="007E283D">
      <w:pPr>
        <w:pStyle w:val="Heading2"/>
        <w:keepLines/>
        <w:numPr>
          <w:ilvl w:val="0"/>
          <w:numId w:val="61"/>
        </w:numPr>
        <w:pBdr>
          <w:top w:val="nil"/>
          <w:left w:val="nil"/>
          <w:bottom w:val="nil"/>
          <w:right w:val="nil"/>
          <w:between w:val="nil"/>
          <w:bar w:val="nil"/>
        </w:pBdr>
        <w:tabs>
          <w:tab w:val="left" w:pos="360"/>
        </w:tabs>
        <w:spacing w:before="0" w:after="0"/>
        <w:ind w:left="0" w:firstLine="0"/>
        <w:rPr>
          <w:rFonts w:asciiTheme="majorHAnsi" w:hAnsiTheme="majorHAnsi"/>
          <w:i w:val="0"/>
          <w:sz w:val="20"/>
          <w:szCs w:val="20"/>
          <w:lang w:val="es-ES"/>
        </w:rPr>
      </w:pPr>
      <w:bookmarkStart w:id="17" w:name="_Toc90289319"/>
      <w:r w:rsidRPr="00702483">
        <w:rPr>
          <w:rFonts w:asciiTheme="majorHAnsi" w:hAnsiTheme="majorHAnsi"/>
          <w:i w:val="0"/>
          <w:sz w:val="20"/>
          <w:szCs w:val="20"/>
          <w:lang w:val="es-ES"/>
        </w:rPr>
        <w:t>Consideraciones preliminares</w:t>
      </w:r>
      <w:bookmarkEnd w:id="17"/>
    </w:p>
    <w:p w14:paraId="4B1C38C5" w14:textId="77777777" w:rsidR="00702483" w:rsidRPr="008D5BCE" w:rsidRDefault="00702483" w:rsidP="00702483">
      <w:pPr>
        <w:pStyle w:val="ListParagraph"/>
        <w:keepNext/>
        <w:keepLines/>
        <w:rPr>
          <w:sz w:val="20"/>
          <w:szCs w:val="20"/>
          <w:lang w:val="es-ES"/>
        </w:rPr>
      </w:pPr>
    </w:p>
    <w:p w14:paraId="14BAB2FD" w14:textId="77777777" w:rsidR="00702483" w:rsidRPr="008D5BCE" w:rsidRDefault="00702483" w:rsidP="00702483">
      <w:pPr>
        <w:pStyle w:val="parrafos"/>
        <w:keepNext/>
        <w:keepLines/>
        <w:numPr>
          <w:ilvl w:val="0"/>
          <w:numId w:val="55"/>
        </w:numPr>
        <w:ind w:left="0" w:firstLine="0"/>
        <w:rPr>
          <w:lang w:val="es-ES"/>
        </w:rPr>
      </w:pPr>
      <w:r w:rsidRPr="008D5BCE">
        <w:rPr>
          <w:lang w:val="es-ES"/>
        </w:rPr>
        <w:t xml:space="preserve">Antes de embarcarse en un análisis del fondo en el caso de Jurijus Kadamovas y Robert L. Bolden, la Comisión Interamericana </w:t>
      </w:r>
      <w:r w:rsidR="00847F21">
        <w:rPr>
          <w:lang w:val="es-ES"/>
        </w:rPr>
        <w:t>reitera</w:t>
      </w:r>
      <w:r w:rsidRPr="008D5BCE">
        <w:rPr>
          <w:lang w:val="es-ES"/>
        </w:rPr>
        <w:t xml:space="preserve"> sus conclusiones anteriores con respecto al escrutinio riguroso que debe efectuarse en los casos de delitos punibles con la pena de muerte. El derecho a la vida ha sido ampliamente reconocido como el derecho humano supremo y como </w:t>
      </w:r>
      <w:r w:rsidRPr="008D5BCE">
        <w:rPr>
          <w:i/>
          <w:iCs/>
          <w:lang w:val="es-ES"/>
        </w:rPr>
        <w:t>sine qua non</w:t>
      </w:r>
      <w:r w:rsidRPr="008D5BCE">
        <w:rPr>
          <w:lang w:val="es-ES"/>
        </w:rPr>
        <w:t xml:space="preserve"> para el goce de los demás derechos. </w:t>
      </w:r>
    </w:p>
    <w:p w14:paraId="59714A15"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6A33EDFB" w14:textId="77777777" w:rsidR="00702483" w:rsidRPr="008D5BCE" w:rsidRDefault="00702483" w:rsidP="00702483">
      <w:pPr>
        <w:pStyle w:val="parrafos"/>
        <w:numPr>
          <w:ilvl w:val="0"/>
          <w:numId w:val="55"/>
        </w:numPr>
        <w:ind w:left="0" w:firstLine="0"/>
        <w:rPr>
          <w:lang w:val="es-ES"/>
        </w:rPr>
      </w:pPr>
      <w:r w:rsidRPr="008D5BCE">
        <w:rPr>
          <w:lang w:val="es-ES"/>
        </w:rPr>
        <w:t xml:space="preserve">De ahí la particular importancia de la obligación de la CIDH de cerciorarse de que toda denegación de la vida que surja de la aplicación de la pena de muerte se ciña estrictamente a los requisitos establecidos en los </w:t>
      </w:r>
      <w:r w:rsidRPr="008D5BCE">
        <w:rPr>
          <w:lang w:val="es-ES"/>
        </w:rPr>
        <w:lastRenderedPageBreak/>
        <w:t>instrumentos pertinentes del sistema interamericano de derechos humanos, entre ellos la Declaración Americana. Ese escrutinio riguroso es compatible con el enfoque restrictivo adoptado por otros órganos internacionales de derechos humanos en casos de pena de muerte</w:t>
      </w:r>
      <w:r w:rsidRPr="008D5BCE">
        <w:rPr>
          <w:rStyle w:val="FootnoteReference"/>
          <w:lang w:val="es-ES"/>
        </w:rPr>
        <w:footnoteReference w:id="23"/>
      </w:r>
      <w:r w:rsidRPr="008D5BCE">
        <w:rPr>
          <w:lang w:val="es-ES"/>
        </w:rPr>
        <w:t>, y la Comisión lo ha expuesto y aplicado en casos anteriores que llegaron ante ella</w:t>
      </w:r>
      <w:r w:rsidRPr="008D5BCE">
        <w:rPr>
          <w:rStyle w:val="FootnoteReference"/>
          <w:lang w:val="es-ES"/>
        </w:rPr>
        <w:footnoteReference w:id="24"/>
      </w:r>
      <w:r w:rsidRPr="008D5BCE">
        <w:rPr>
          <w:lang w:val="es-ES"/>
        </w:rPr>
        <w:t>. Según ha explicado la Comisión Interamericana, este estándar de revisión es una consecuencia necesaria de la pena específicamente en cuestión y del derecho a un juicio justo y todas las garantías del debido proceso relacionadas</w:t>
      </w:r>
      <w:r w:rsidRPr="008D5BCE">
        <w:rPr>
          <w:rStyle w:val="FootnoteReference"/>
          <w:lang w:val="es-ES"/>
        </w:rPr>
        <w:footnoteReference w:id="25"/>
      </w:r>
      <w:r w:rsidRPr="008D5BCE">
        <w:rPr>
          <w:lang w:val="es-ES"/>
        </w:rPr>
        <w:t>:</w:t>
      </w:r>
    </w:p>
    <w:p w14:paraId="653D94AB" w14:textId="77777777" w:rsidR="00702483" w:rsidRPr="008D5BCE" w:rsidRDefault="00702483" w:rsidP="00702483">
      <w:pPr>
        <w:pStyle w:val="ListParagraph"/>
        <w:rPr>
          <w:sz w:val="20"/>
          <w:szCs w:val="20"/>
          <w:lang w:val="es-ES"/>
        </w:rPr>
      </w:pPr>
    </w:p>
    <w:p w14:paraId="067D3FD6" w14:textId="77777777" w:rsidR="00702483" w:rsidRPr="008D5BCE" w:rsidRDefault="00702483" w:rsidP="00702483">
      <w:pPr>
        <w:autoSpaceDE w:val="0"/>
        <w:autoSpaceDN w:val="0"/>
        <w:adjustRightInd w:val="0"/>
        <w:ind w:left="360" w:right="360"/>
        <w:jc w:val="both"/>
        <w:rPr>
          <w:rFonts w:ascii="Cambria" w:hAnsi="Cambria" w:cs="Calibri"/>
          <w:sz w:val="18"/>
          <w:szCs w:val="18"/>
          <w:lang w:val="es-ES"/>
        </w:rPr>
      </w:pPr>
      <w:r w:rsidRPr="008D5BCE">
        <w:rPr>
          <w:rFonts w:ascii="Cambria" w:hAnsi="Cambria" w:cs="Calibri"/>
          <w:sz w:val="18"/>
          <w:szCs w:val="18"/>
          <w:lang w:val="es-ES"/>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8D5BCE">
        <w:rPr>
          <w:rStyle w:val="FootnoteReference"/>
          <w:rFonts w:ascii="Cambria" w:hAnsi="Cambria"/>
          <w:sz w:val="18"/>
          <w:szCs w:val="18"/>
          <w:lang w:val="es-ES"/>
        </w:rPr>
        <w:footnoteReference w:id="26"/>
      </w:r>
      <w:r w:rsidRPr="008D5BCE">
        <w:rPr>
          <w:rFonts w:ascii="Cambria" w:hAnsi="Cambria" w:cs="Calibri"/>
          <w:sz w:val="18"/>
          <w:szCs w:val="18"/>
          <w:lang w:val="es-ES"/>
        </w:rPr>
        <w:t>.</w:t>
      </w:r>
    </w:p>
    <w:p w14:paraId="0E06B4CF" w14:textId="77777777" w:rsidR="00702483" w:rsidRPr="008D5BCE" w:rsidRDefault="00702483" w:rsidP="00702483">
      <w:pPr>
        <w:jc w:val="both"/>
        <w:rPr>
          <w:rFonts w:ascii="Cambria" w:hAnsi="Cambria"/>
          <w:sz w:val="20"/>
          <w:szCs w:val="20"/>
          <w:lang w:val="es-ES"/>
        </w:rPr>
      </w:pPr>
    </w:p>
    <w:p w14:paraId="3253284A"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bdr w:val="nil"/>
          <w:lang w:val="es-ES"/>
        </w:rPr>
      </w:pPr>
      <w:r w:rsidRPr="008D5BCE">
        <w:rPr>
          <w:rFonts w:asciiTheme="majorHAnsi" w:hAnsiTheme="majorHAnsi"/>
          <w:sz w:val="20"/>
          <w:szCs w:val="20"/>
          <w:lang w:val="es-ES"/>
        </w:rPr>
        <w:t>Por lo tanto, la Comisión Interamericana examinará los argumentos de los peticionarios en el caso de autos con un criterio riguroso a fin de cerciorarse en particular de que el Estado haya respetado el derecho a la vida, el derecho a no recibir un castigo cruel, infamante o inusitado, el derecho al debido proceso y el derecho a un juicio imparcial establecidos en la Declaración Americana. En cuanto a la condición jurídica de la Declaración Americana, la CIDH reitera lo siguiente</w:t>
      </w:r>
      <w:r w:rsidRPr="008D5BCE">
        <w:rPr>
          <w:rStyle w:val="FootnoteReference"/>
          <w:rFonts w:ascii="Cambria" w:hAnsi="Cambria"/>
          <w:sz w:val="20"/>
          <w:szCs w:val="20"/>
          <w:lang w:val="es-ES"/>
        </w:rPr>
        <w:footnoteReference w:id="27"/>
      </w:r>
      <w:r w:rsidRPr="008D5BCE">
        <w:rPr>
          <w:rFonts w:ascii="Cambria" w:hAnsi="Cambria" w:cs="Tahoma"/>
          <w:color w:val="262626"/>
          <w:sz w:val="20"/>
          <w:szCs w:val="20"/>
          <w:lang w:val="es-ES"/>
        </w:rPr>
        <w:t>:</w:t>
      </w:r>
    </w:p>
    <w:p w14:paraId="3B3D7679" w14:textId="77777777" w:rsidR="00702483" w:rsidRPr="008D5BCE" w:rsidRDefault="00702483" w:rsidP="00702483">
      <w:pPr>
        <w:tabs>
          <w:tab w:val="left" w:pos="630"/>
          <w:tab w:val="left" w:pos="810"/>
        </w:tabs>
        <w:autoSpaceDE w:val="0"/>
        <w:autoSpaceDN w:val="0"/>
        <w:adjustRightInd w:val="0"/>
        <w:jc w:val="both"/>
        <w:rPr>
          <w:rFonts w:ascii="Cambria" w:hAnsi="Cambria" w:cs="Calibri"/>
          <w:sz w:val="20"/>
          <w:szCs w:val="20"/>
          <w:lang w:val="es-ES"/>
        </w:rPr>
      </w:pPr>
    </w:p>
    <w:p w14:paraId="3FF6E6C2" w14:textId="77777777" w:rsidR="00702483" w:rsidRPr="008D5BCE" w:rsidRDefault="00702483" w:rsidP="00702483">
      <w:pPr>
        <w:tabs>
          <w:tab w:val="left" w:pos="630"/>
          <w:tab w:val="left" w:pos="810"/>
        </w:tabs>
        <w:autoSpaceDE w:val="0"/>
        <w:autoSpaceDN w:val="0"/>
        <w:adjustRightInd w:val="0"/>
        <w:ind w:left="360" w:right="360"/>
        <w:jc w:val="both"/>
        <w:rPr>
          <w:rFonts w:ascii="Cambria" w:hAnsi="Cambria" w:cs="Calibri"/>
          <w:sz w:val="18"/>
          <w:szCs w:val="18"/>
          <w:lang w:val="es-ES"/>
        </w:rPr>
      </w:pPr>
      <w:r w:rsidRPr="008D5BCE">
        <w:rPr>
          <w:rFonts w:ascii="Cambria" w:hAnsi="Cambria"/>
          <w:sz w:val="18"/>
          <w:szCs w:val="18"/>
          <w:lang w:val="es-ES"/>
        </w:rPr>
        <w:t>Para los Estados Miembros que no son parte de la Convención Americana, la Declaración es la fuente de obligaciones internacionales relacionadas con la Carta de la OEA. La Carta de la Organización confirió a la CIDH la función principal de promover la observancia y la protección de los derechos humanos en los Estados Miembros. El artículo 106 de la Carta de la OEA, sin embargo, no enumera o define esos derechos. La Asamblea General de la OEA, en su noveno período ordinario de sesiones</w:t>
      </w:r>
      <w:r>
        <w:rPr>
          <w:rFonts w:ascii="Cambria" w:hAnsi="Cambria"/>
          <w:sz w:val="18"/>
          <w:szCs w:val="18"/>
          <w:lang w:val="es-ES"/>
        </w:rPr>
        <w:t>,</w:t>
      </w:r>
      <w:r w:rsidRPr="008D5BCE">
        <w:rPr>
          <w:rFonts w:ascii="Cambria" w:hAnsi="Cambria"/>
          <w:sz w:val="18"/>
          <w:szCs w:val="18"/>
          <w:lang w:val="es-ES"/>
        </w:rPr>
        <w:t xml:space="preserve"> celebrado en La Paz, Bolivia, en octubre de 1979, convino en que esos derechos son aquellos enunciados y definidos en la Declaración Americana.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p>
    <w:p w14:paraId="7DFF8268" w14:textId="77777777" w:rsidR="00702483" w:rsidRPr="008D5BCE" w:rsidRDefault="00702483" w:rsidP="00702483">
      <w:pPr>
        <w:pStyle w:val="ListParagraph"/>
        <w:rPr>
          <w:sz w:val="20"/>
          <w:szCs w:val="20"/>
          <w:lang w:val="es-ES"/>
        </w:rPr>
      </w:pPr>
    </w:p>
    <w:p w14:paraId="4E3AB921"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il"/>
          <w:lang w:val="es-ES"/>
        </w:rPr>
      </w:pPr>
      <w:r w:rsidRPr="008D5BCE">
        <w:rPr>
          <w:rFonts w:asciiTheme="majorHAnsi" w:hAnsiTheme="majorHAnsi"/>
          <w:sz w:val="20"/>
          <w:lang w:val="es-ES"/>
        </w:rPr>
        <w:t>Por último, la Comisión recuerda que su examen no consiste en determinar si la pena de muerte en sí infringe la Declaración Americana. Lo que se aborda en este apartado es la norma aplicable al examen de las presuntas violaciones de derechos humanos en el contexto de un procedimiento penal que culminó con la imposición de la pena de muerte.</w:t>
      </w:r>
    </w:p>
    <w:p w14:paraId="3DDD0FD0" w14:textId="77777777" w:rsidR="00702483" w:rsidRDefault="00702483" w:rsidP="00702483">
      <w:pPr>
        <w:pStyle w:val="Heading2"/>
        <w:tabs>
          <w:tab w:val="left" w:pos="360"/>
        </w:tabs>
        <w:spacing w:before="0"/>
        <w:rPr>
          <w:sz w:val="20"/>
          <w:szCs w:val="20"/>
          <w:lang w:val="es-ES"/>
        </w:rPr>
      </w:pPr>
    </w:p>
    <w:p w14:paraId="64B47CD2" w14:textId="77777777" w:rsidR="00702483" w:rsidRPr="00702483" w:rsidRDefault="00702483" w:rsidP="007E283D">
      <w:pPr>
        <w:pStyle w:val="Heading2"/>
        <w:keepLines/>
        <w:numPr>
          <w:ilvl w:val="0"/>
          <w:numId w:val="61"/>
        </w:numPr>
        <w:pBdr>
          <w:top w:val="nil"/>
          <w:left w:val="nil"/>
          <w:bottom w:val="nil"/>
          <w:right w:val="nil"/>
          <w:between w:val="nil"/>
          <w:bar w:val="nil"/>
        </w:pBdr>
        <w:tabs>
          <w:tab w:val="left" w:pos="360"/>
        </w:tabs>
        <w:spacing w:before="0" w:after="0"/>
        <w:ind w:left="0" w:firstLine="0"/>
        <w:jc w:val="both"/>
        <w:rPr>
          <w:rFonts w:asciiTheme="majorHAnsi" w:hAnsiTheme="majorHAnsi"/>
          <w:i w:val="0"/>
          <w:sz w:val="20"/>
          <w:szCs w:val="20"/>
          <w:lang w:val="es-ES"/>
        </w:rPr>
      </w:pPr>
      <w:bookmarkStart w:id="18" w:name="_Toc90289320"/>
      <w:r w:rsidRPr="00702483">
        <w:rPr>
          <w:rFonts w:asciiTheme="majorHAnsi" w:hAnsiTheme="majorHAnsi"/>
          <w:i w:val="0"/>
          <w:sz w:val="20"/>
          <w:szCs w:val="20"/>
          <w:lang w:val="es-ES"/>
        </w:rPr>
        <w:t>Derecho de justicia</w:t>
      </w:r>
      <w:r w:rsidRPr="00702483">
        <w:rPr>
          <w:rStyle w:val="FootnoteReference"/>
          <w:rFonts w:asciiTheme="majorHAnsi" w:hAnsiTheme="majorHAnsi"/>
          <w:i w:val="0"/>
          <w:sz w:val="20"/>
          <w:szCs w:val="20"/>
          <w:lang w:val="es-ES"/>
        </w:rPr>
        <w:footnoteReference w:id="28"/>
      </w:r>
      <w:r w:rsidRPr="00702483">
        <w:rPr>
          <w:rFonts w:asciiTheme="majorHAnsi" w:hAnsiTheme="majorHAnsi"/>
          <w:i w:val="0"/>
          <w:sz w:val="20"/>
          <w:szCs w:val="20"/>
          <w:lang w:val="es-ES"/>
        </w:rPr>
        <w:t>, derecho de petición</w:t>
      </w:r>
      <w:r w:rsidRPr="00702483">
        <w:rPr>
          <w:rFonts w:asciiTheme="majorHAnsi" w:hAnsiTheme="majorHAnsi"/>
          <w:i w:val="0"/>
          <w:sz w:val="20"/>
          <w:szCs w:val="20"/>
          <w:vertAlign w:val="superscript"/>
          <w:lang w:val="es-ES"/>
        </w:rPr>
        <w:t xml:space="preserve"> </w:t>
      </w:r>
      <w:r w:rsidRPr="00702483">
        <w:rPr>
          <w:rStyle w:val="FootnoteReference"/>
          <w:rFonts w:asciiTheme="majorHAnsi" w:hAnsiTheme="majorHAnsi"/>
          <w:i w:val="0"/>
          <w:sz w:val="20"/>
          <w:szCs w:val="20"/>
          <w:lang w:val="es-ES"/>
        </w:rPr>
        <w:footnoteReference w:id="29"/>
      </w:r>
      <w:r w:rsidRPr="00702483">
        <w:rPr>
          <w:rFonts w:asciiTheme="majorHAnsi" w:hAnsiTheme="majorHAnsi"/>
          <w:i w:val="0"/>
          <w:sz w:val="20"/>
          <w:szCs w:val="20"/>
          <w:lang w:val="es-ES"/>
        </w:rPr>
        <w:t xml:space="preserve"> y derecho a proceso regular</w:t>
      </w:r>
      <w:r w:rsidRPr="00702483">
        <w:rPr>
          <w:rStyle w:val="FootnoteReference"/>
          <w:rFonts w:asciiTheme="majorHAnsi" w:hAnsiTheme="majorHAnsi"/>
          <w:i w:val="0"/>
          <w:sz w:val="20"/>
          <w:szCs w:val="20"/>
          <w:lang w:val="es-ES"/>
        </w:rPr>
        <w:footnoteReference w:id="30"/>
      </w:r>
      <w:bookmarkEnd w:id="18"/>
      <w:r w:rsidRPr="00702483">
        <w:rPr>
          <w:rFonts w:asciiTheme="majorHAnsi" w:hAnsiTheme="majorHAnsi"/>
          <w:i w:val="0"/>
          <w:sz w:val="20"/>
          <w:szCs w:val="20"/>
          <w:lang w:val="es-ES"/>
        </w:rPr>
        <w:t xml:space="preserve"> </w:t>
      </w:r>
    </w:p>
    <w:p w14:paraId="7B257175"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667E884B" w14:textId="77777777" w:rsidR="00702483" w:rsidRPr="00702483" w:rsidRDefault="00702483" w:rsidP="00847F21">
      <w:pPr>
        <w:pStyle w:val="Heading3"/>
        <w:keepLines/>
        <w:numPr>
          <w:ilvl w:val="3"/>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19" w:name="_Toc90289321"/>
      <w:r w:rsidRPr="00702483">
        <w:rPr>
          <w:rFonts w:asciiTheme="majorHAnsi" w:hAnsiTheme="majorHAnsi"/>
          <w:sz w:val="20"/>
          <w:szCs w:val="20"/>
          <w:lang w:val="es-ES"/>
        </w:rPr>
        <w:t>Derecho a la notificación consular</w:t>
      </w:r>
      <w:bookmarkEnd w:id="19"/>
      <w:r w:rsidRPr="00702483">
        <w:rPr>
          <w:rFonts w:asciiTheme="majorHAnsi" w:hAnsiTheme="majorHAnsi"/>
          <w:sz w:val="20"/>
          <w:szCs w:val="20"/>
          <w:lang w:val="es-ES"/>
        </w:rPr>
        <w:t xml:space="preserve"> </w:t>
      </w:r>
    </w:p>
    <w:p w14:paraId="1F3F8994"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638DAE8E"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8D5BCE">
        <w:rPr>
          <w:rFonts w:asciiTheme="majorHAnsi" w:hAnsiTheme="majorHAnsi"/>
          <w:sz w:val="20"/>
          <w:szCs w:val="20"/>
          <w:lang w:val="es-ES"/>
        </w:rPr>
        <w:lastRenderedPageBreak/>
        <w:t>La Comisión determinó en casos anteriores que es necesario y procedente considerar la medida en que un Estado Parte se ha ceñido a los requisitos del artículo 36 de la Convención de Viena sobre Relaciones Consulares a efectos de evaluar su observancia de los derechos de un extranjero al debido proceso de acuerdo con los artículos XVIII y XXVI de la Declaración Americana. Por lo tanto, tiene en cuenta el cumplimiento del artículo 36 de la Convención de Viena al interpretar y aplicar las disposiciones de la Declaración Americana a un extranjero que haya sido arrestado, enjuiciado, procesado con prisión preventiva o detenido de cualquier otra manera por dicho Estado</w:t>
      </w:r>
      <w:r w:rsidRPr="008D5BCE">
        <w:rPr>
          <w:rStyle w:val="FootnoteReference"/>
          <w:rFonts w:asciiTheme="majorHAnsi" w:hAnsiTheme="majorHAnsi"/>
          <w:sz w:val="20"/>
          <w:szCs w:val="20"/>
          <w:lang w:val="es-ES"/>
        </w:rPr>
        <w:footnoteReference w:id="31"/>
      </w:r>
      <w:r w:rsidRPr="008D5BCE">
        <w:rPr>
          <w:rFonts w:asciiTheme="majorHAnsi" w:hAnsiTheme="majorHAnsi"/>
          <w:sz w:val="20"/>
          <w:szCs w:val="20"/>
          <w:lang w:val="es-ES"/>
        </w:rPr>
        <w:t>.</w:t>
      </w:r>
    </w:p>
    <w:p w14:paraId="4D6E7BD7"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2291C36B" w14:textId="77777777" w:rsidR="003C15C1" w:rsidRPr="003C15C1" w:rsidRDefault="003C15C1" w:rsidP="003C15C1">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3C15C1">
        <w:rPr>
          <w:rFonts w:asciiTheme="majorHAnsi" w:hAnsiTheme="majorHAnsi"/>
          <w:sz w:val="20"/>
          <w:szCs w:val="20"/>
          <w:lang w:val="es-ES"/>
        </w:rPr>
        <w:t>En su Opinión Consultiva OC-16/99, la Corte Interamericana estableció que los incisos b) y c) del artículo 36.1 de la Convención de Viena "reconocen, entre otros, el derecho del extranjero detenido a ser informado, sin demora, de que tiene</w:t>
      </w:r>
      <w:r>
        <w:rPr>
          <w:rFonts w:asciiTheme="majorHAnsi" w:hAnsiTheme="majorHAnsi"/>
          <w:sz w:val="20"/>
          <w:szCs w:val="20"/>
          <w:lang w:val="es-ES"/>
        </w:rPr>
        <w:t>:</w:t>
      </w:r>
    </w:p>
    <w:p w14:paraId="4D02B151" w14:textId="77777777" w:rsidR="003C15C1" w:rsidRPr="003C15C1" w:rsidRDefault="003C15C1" w:rsidP="003C15C1">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7B595B45" w14:textId="77777777" w:rsidR="003C15C1" w:rsidRPr="003C15C1" w:rsidRDefault="003C15C1" w:rsidP="003C15C1">
      <w:pPr>
        <w:pStyle w:val="NormalWeb"/>
        <w:tabs>
          <w:tab w:val="left" w:pos="360"/>
        </w:tabs>
        <w:spacing w:before="0" w:beforeAutospacing="0" w:after="0" w:afterAutospacing="0"/>
        <w:ind w:left="360" w:right="360"/>
        <w:jc w:val="both"/>
        <w:rPr>
          <w:rFonts w:asciiTheme="majorHAnsi" w:eastAsia="Times New Roman" w:hAnsiTheme="majorHAnsi"/>
          <w:sz w:val="18"/>
          <w:szCs w:val="18"/>
          <w:lang w:val="en-US" w:eastAsia="en-US"/>
        </w:rPr>
      </w:pPr>
      <w:r w:rsidRPr="003C15C1">
        <w:rPr>
          <w:rFonts w:asciiTheme="majorHAnsi" w:hAnsiTheme="majorHAnsi"/>
          <w:sz w:val="18"/>
          <w:szCs w:val="18"/>
          <w:lang w:val="es-ES"/>
        </w:rPr>
        <w:t xml:space="preserve">a) </w:t>
      </w:r>
      <w:r w:rsidRPr="003C15C1">
        <w:rPr>
          <w:rFonts w:asciiTheme="majorHAnsi" w:eastAsia="Times New Roman" w:hAnsiTheme="majorHAnsi"/>
          <w:sz w:val="18"/>
          <w:szCs w:val="18"/>
          <w:lang w:val="en-US" w:eastAsia="en-US"/>
        </w:rPr>
        <w:t>el derecho a solicitar y obtener de las autoridades competentes del Estado de acogida que informen a la oficina consular correspondiente de que ha sido detenido, ingresado en prisión, puesto en prisión preventiva o detenido de otro modo, y</w:t>
      </w:r>
    </w:p>
    <w:p w14:paraId="2E0F6705" w14:textId="77777777" w:rsidR="003C15C1" w:rsidRDefault="003C15C1" w:rsidP="003C15C1">
      <w:pPr>
        <w:pStyle w:val="NormalWeb"/>
        <w:tabs>
          <w:tab w:val="left" w:pos="360"/>
        </w:tabs>
        <w:spacing w:before="0" w:beforeAutospacing="0" w:after="0" w:afterAutospacing="0"/>
        <w:ind w:left="360" w:right="360"/>
        <w:jc w:val="both"/>
        <w:rPr>
          <w:rFonts w:asciiTheme="majorHAnsi" w:eastAsia="Times New Roman" w:hAnsiTheme="majorHAnsi"/>
          <w:sz w:val="18"/>
          <w:szCs w:val="18"/>
          <w:lang w:val="en-US" w:eastAsia="en-US"/>
        </w:rPr>
      </w:pPr>
      <w:r w:rsidRPr="003C15C1">
        <w:rPr>
          <w:rFonts w:asciiTheme="majorHAnsi" w:eastAsia="Times New Roman" w:hAnsiTheme="majorHAnsi"/>
          <w:sz w:val="18"/>
          <w:szCs w:val="18"/>
          <w:lang w:val="en-US" w:eastAsia="en-US"/>
        </w:rPr>
        <w:t>b) el derecho a dirigir una comunicación a la oficina consular correspondiente, que deberá ser remitida "sin demora"</w:t>
      </w:r>
      <w:r w:rsidR="00D04A76">
        <w:rPr>
          <w:rStyle w:val="FootnoteReference"/>
          <w:rFonts w:asciiTheme="majorHAnsi" w:eastAsia="Times New Roman" w:hAnsiTheme="majorHAnsi"/>
          <w:sz w:val="18"/>
          <w:szCs w:val="18"/>
          <w:lang w:val="en-US" w:eastAsia="en-US"/>
        </w:rPr>
        <w:footnoteReference w:id="32"/>
      </w:r>
      <w:r w:rsidRPr="003C15C1">
        <w:rPr>
          <w:rFonts w:asciiTheme="majorHAnsi" w:eastAsia="Times New Roman" w:hAnsiTheme="majorHAnsi"/>
          <w:sz w:val="18"/>
          <w:szCs w:val="18"/>
          <w:lang w:val="en-US" w:eastAsia="en-US"/>
        </w:rPr>
        <w:t>.</w:t>
      </w:r>
    </w:p>
    <w:p w14:paraId="1FEFF586" w14:textId="77777777" w:rsidR="003C15C1" w:rsidRPr="003C15C1" w:rsidRDefault="003C15C1" w:rsidP="00D04A76">
      <w:pPr>
        <w:pStyle w:val="NormalWeb"/>
        <w:shd w:val="clear" w:color="auto" w:fill="FFFFFF"/>
        <w:tabs>
          <w:tab w:val="left" w:pos="360"/>
        </w:tabs>
        <w:spacing w:before="0" w:beforeAutospacing="0" w:after="0" w:afterAutospacing="0"/>
        <w:jc w:val="both"/>
        <w:rPr>
          <w:rFonts w:asciiTheme="majorHAnsi" w:eastAsia="Times New Roman" w:hAnsiTheme="majorHAnsi"/>
          <w:sz w:val="18"/>
          <w:szCs w:val="18"/>
          <w:lang w:val="en-US" w:eastAsia="en-US"/>
        </w:rPr>
      </w:pPr>
    </w:p>
    <w:p w14:paraId="53AACCD3"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8D5BCE">
        <w:rPr>
          <w:rFonts w:ascii="Cambria" w:hAnsi="Cambria"/>
          <w:sz w:val="20"/>
          <w:szCs w:val="20"/>
          <w:lang w:val="es-ES"/>
        </w:rPr>
        <w:t>La importancia de la notificación consular se refleja también en las directrices para el ejercicio de la abogacía, como las adoptadas por el Colegio de Abogados de Estados Unidos, organización nacional de abogados de Estados Unidos, con respecto a los derechos de los extranjeros al debido proceso en juicios por delitos punibles con la pena de muerte. El Colegio de Abogados, en sus directrices para el nombramiento y el desempeño del abogado defensor en casos de pena de muerte, ha indicado lo siguiente</w:t>
      </w:r>
      <w:r w:rsidRPr="008D5BCE">
        <w:rPr>
          <w:rStyle w:val="FootnoteReference"/>
          <w:rFonts w:ascii="Cambria" w:hAnsi="Cambria" w:cs="Arial"/>
          <w:sz w:val="20"/>
          <w:szCs w:val="20"/>
          <w:lang w:val="es-ES"/>
        </w:rPr>
        <w:footnoteReference w:id="33"/>
      </w:r>
      <w:r w:rsidRPr="008D5BCE">
        <w:rPr>
          <w:rFonts w:ascii="Cambria" w:hAnsi="Cambria"/>
          <w:sz w:val="20"/>
          <w:szCs w:val="20"/>
          <w:lang w:val="es-ES"/>
        </w:rPr>
        <w:t>:</w:t>
      </w:r>
    </w:p>
    <w:p w14:paraId="5A80AEDD" w14:textId="77777777" w:rsidR="00702483" w:rsidRPr="008D5BCE" w:rsidRDefault="00702483" w:rsidP="00702483">
      <w:pPr>
        <w:jc w:val="both"/>
        <w:rPr>
          <w:rFonts w:ascii="Cambria" w:hAnsi="Cambria" w:cs="Arial"/>
          <w:sz w:val="20"/>
          <w:szCs w:val="20"/>
          <w:lang w:val="es-ES"/>
        </w:rPr>
      </w:pPr>
    </w:p>
    <w:p w14:paraId="15C149ED" w14:textId="77777777" w:rsidR="00702483" w:rsidRPr="008D5BCE" w:rsidRDefault="00702483" w:rsidP="00702483">
      <w:pPr>
        <w:ind w:left="360" w:right="360"/>
        <w:jc w:val="both"/>
        <w:rPr>
          <w:rFonts w:ascii="Cambria" w:hAnsi="Cambria" w:cs="Arial"/>
          <w:sz w:val="18"/>
          <w:szCs w:val="18"/>
          <w:lang w:val="es-ES"/>
        </w:rPr>
      </w:pPr>
      <w:r w:rsidRPr="008D5BCE">
        <w:rPr>
          <w:rFonts w:ascii="Cambria" w:hAnsi="Cambria" w:cs="Arial"/>
          <w:sz w:val="18"/>
          <w:szCs w:val="18"/>
          <w:lang w:val="es-ES"/>
        </w:rPr>
        <w:t>[s]alvo que el abogado anterior ya lo haya hecho, el abogado que patrocine a un extranjero debe 1) avisar de inmediato al cliente sobre su derecho a comunicarse con la oficina consular pertinente; y 2) obtener el consentimiento del cliente para comunicarse con la oficina consular. Después de obtener tal consentimiento, el abogado debe comunicarse de inmediato con la oficina consular del cliente e informarle sobre su detención o arresto […]</w:t>
      </w:r>
    </w:p>
    <w:p w14:paraId="333DC351"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637AD96F"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D5BCE">
        <w:rPr>
          <w:rFonts w:ascii="Cambria" w:hAnsi="Cambria"/>
          <w:sz w:val="20"/>
          <w:szCs w:val="20"/>
          <w:lang w:val="es-ES"/>
        </w:rPr>
        <w:t xml:space="preserve">En el caso de autos, la Comisión </w:t>
      </w:r>
      <w:r>
        <w:rPr>
          <w:rFonts w:ascii="Cambria" w:hAnsi="Cambria"/>
          <w:sz w:val="20"/>
          <w:szCs w:val="20"/>
          <w:lang w:val="es-ES"/>
        </w:rPr>
        <w:t xml:space="preserve">observa que </w:t>
      </w:r>
      <w:r w:rsidRPr="008D5BCE">
        <w:rPr>
          <w:rFonts w:ascii="Cambria" w:hAnsi="Cambria"/>
          <w:sz w:val="20"/>
          <w:szCs w:val="20"/>
          <w:lang w:val="es-ES"/>
        </w:rPr>
        <w:t xml:space="preserve">el señor Kadamovas </w:t>
      </w:r>
      <w:r>
        <w:rPr>
          <w:rFonts w:ascii="Cambria" w:hAnsi="Cambria"/>
          <w:sz w:val="20"/>
          <w:szCs w:val="20"/>
          <w:lang w:val="es-ES"/>
        </w:rPr>
        <w:t xml:space="preserve">es ciudadano lituano y </w:t>
      </w:r>
      <w:r w:rsidRPr="008D5BCE">
        <w:rPr>
          <w:rFonts w:ascii="Cambria" w:hAnsi="Cambria"/>
          <w:sz w:val="20"/>
          <w:szCs w:val="20"/>
          <w:lang w:val="es-ES"/>
        </w:rPr>
        <w:t xml:space="preserve">el señor Bolden </w:t>
      </w:r>
      <w:r>
        <w:rPr>
          <w:rFonts w:ascii="Cambria" w:hAnsi="Cambria"/>
          <w:sz w:val="20"/>
          <w:szCs w:val="20"/>
          <w:lang w:val="es-ES"/>
        </w:rPr>
        <w:t>es ciudadano canadiense. Ambos alegan que no les informaron sobre su d</w:t>
      </w:r>
      <w:r w:rsidRPr="008D5BCE">
        <w:rPr>
          <w:rFonts w:ascii="Cambria" w:hAnsi="Cambria"/>
          <w:sz w:val="20"/>
          <w:szCs w:val="20"/>
          <w:lang w:val="es-ES"/>
        </w:rPr>
        <w:t xml:space="preserve">erecho a la notificación consular </w:t>
      </w:r>
      <w:r>
        <w:rPr>
          <w:rFonts w:ascii="Cambria" w:hAnsi="Cambria"/>
          <w:sz w:val="20"/>
          <w:szCs w:val="20"/>
          <w:lang w:val="es-ES"/>
        </w:rPr>
        <w:t xml:space="preserve">cuando los arrestaron o con posterioridad en el </w:t>
      </w:r>
      <w:r w:rsidRPr="008D5BCE">
        <w:rPr>
          <w:rFonts w:ascii="Cambria" w:hAnsi="Cambria"/>
          <w:sz w:val="20"/>
          <w:szCs w:val="20"/>
          <w:lang w:val="es-ES"/>
        </w:rPr>
        <w:t>cas</w:t>
      </w:r>
      <w:r>
        <w:rPr>
          <w:rFonts w:ascii="Cambria" w:hAnsi="Cambria"/>
          <w:sz w:val="20"/>
          <w:szCs w:val="20"/>
          <w:lang w:val="es-ES"/>
        </w:rPr>
        <w:t>o d</w:t>
      </w:r>
      <w:r w:rsidRPr="008D5BCE">
        <w:rPr>
          <w:rFonts w:ascii="Cambria" w:hAnsi="Cambria"/>
          <w:sz w:val="20"/>
          <w:szCs w:val="20"/>
          <w:lang w:val="es-ES"/>
        </w:rPr>
        <w:t xml:space="preserve">el señor Bolden. </w:t>
      </w:r>
    </w:p>
    <w:p w14:paraId="7AF45D73"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0BB1F4B9"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Theme="majorHAnsi" w:hAnsiTheme="majorHAnsi"/>
          <w:sz w:val="20"/>
          <w:szCs w:val="20"/>
          <w:lang w:val="es-ES"/>
        </w:rPr>
        <w:t>E</w:t>
      </w:r>
      <w:r w:rsidRPr="008D5BCE">
        <w:rPr>
          <w:rFonts w:asciiTheme="majorHAnsi" w:hAnsiTheme="majorHAnsi"/>
          <w:sz w:val="20"/>
          <w:szCs w:val="20"/>
          <w:lang w:val="es-ES"/>
        </w:rPr>
        <w:t xml:space="preserve">l señor Kadamovas </w:t>
      </w:r>
      <w:r>
        <w:rPr>
          <w:rFonts w:asciiTheme="majorHAnsi" w:hAnsiTheme="majorHAnsi"/>
          <w:sz w:val="20"/>
          <w:szCs w:val="20"/>
          <w:lang w:val="es-ES"/>
        </w:rPr>
        <w:t>fue arrestado en marzo de</w:t>
      </w:r>
      <w:r w:rsidRPr="008D5BCE">
        <w:rPr>
          <w:rFonts w:asciiTheme="majorHAnsi" w:hAnsiTheme="majorHAnsi"/>
          <w:sz w:val="20"/>
          <w:szCs w:val="20"/>
          <w:lang w:val="es-ES"/>
        </w:rPr>
        <w:t xml:space="preserve"> 2002</w:t>
      </w:r>
      <w:r w:rsidRPr="008D5BCE">
        <w:rPr>
          <w:rStyle w:val="FootnoteReference"/>
          <w:rFonts w:asciiTheme="majorHAnsi" w:hAnsiTheme="majorHAnsi"/>
          <w:sz w:val="20"/>
          <w:szCs w:val="20"/>
          <w:lang w:val="es-ES"/>
        </w:rPr>
        <w:footnoteReference w:id="34"/>
      </w:r>
      <w:r>
        <w:rPr>
          <w:rFonts w:asciiTheme="majorHAnsi" w:hAnsiTheme="majorHAnsi"/>
          <w:sz w:val="20"/>
          <w:szCs w:val="20"/>
          <w:lang w:val="es-ES"/>
        </w:rPr>
        <w:t xml:space="preserve">. Según una carta del Ministerio de Relaciones Exteriores de la República de Lituania con fecha de </w:t>
      </w:r>
      <w:r w:rsidRPr="008D5BCE">
        <w:rPr>
          <w:rFonts w:asciiTheme="majorHAnsi" w:hAnsiTheme="majorHAnsi"/>
          <w:sz w:val="20"/>
          <w:szCs w:val="20"/>
          <w:lang w:val="es-ES"/>
        </w:rPr>
        <w:t>14</w:t>
      </w:r>
      <w:r>
        <w:rPr>
          <w:rFonts w:asciiTheme="majorHAnsi" w:hAnsiTheme="majorHAnsi"/>
          <w:sz w:val="20"/>
          <w:szCs w:val="20"/>
          <w:lang w:val="es-ES"/>
        </w:rPr>
        <w:t xml:space="preserve"> de noviembre de</w:t>
      </w:r>
      <w:r w:rsidRPr="008D5BCE">
        <w:rPr>
          <w:rFonts w:asciiTheme="majorHAnsi" w:hAnsiTheme="majorHAnsi"/>
          <w:sz w:val="20"/>
          <w:szCs w:val="20"/>
          <w:lang w:val="es-ES"/>
        </w:rPr>
        <w:t xml:space="preserve"> 2016, </w:t>
      </w:r>
      <w:r>
        <w:rPr>
          <w:rFonts w:asciiTheme="majorHAnsi" w:hAnsiTheme="majorHAnsi"/>
          <w:sz w:val="20"/>
          <w:szCs w:val="20"/>
          <w:lang w:val="es-ES"/>
        </w:rPr>
        <w:t xml:space="preserve">desde </w:t>
      </w:r>
      <w:r w:rsidRPr="008D5BCE">
        <w:rPr>
          <w:rFonts w:asciiTheme="majorHAnsi" w:hAnsiTheme="majorHAnsi"/>
          <w:sz w:val="20"/>
          <w:szCs w:val="20"/>
          <w:lang w:val="es-ES"/>
        </w:rPr>
        <w:t xml:space="preserve">2003 </w:t>
      </w:r>
      <w:r>
        <w:rPr>
          <w:rFonts w:asciiTheme="majorHAnsi" w:hAnsiTheme="majorHAnsi"/>
          <w:sz w:val="20"/>
          <w:szCs w:val="20"/>
          <w:lang w:val="es-ES"/>
        </w:rPr>
        <w:t xml:space="preserve">la Embajada de Lituania en </w:t>
      </w:r>
      <w:r w:rsidRPr="008D5BCE">
        <w:rPr>
          <w:rFonts w:asciiTheme="majorHAnsi" w:hAnsiTheme="majorHAnsi"/>
          <w:sz w:val="20"/>
          <w:szCs w:val="20"/>
          <w:lang w:val="es-ES"/>
        </w:rPr>
        <w:t>Estados Unidos ha</w:t>
      </w:r>
      <w:r>
        <w:rPr>
          <w:rFonts w:asciiTheme="majorHAnsi" w:hAnsiTheme="majorHAnsi"/>
          <w:sz w:val="20"/>
          <w:szCs w:val="20"/>
          <w:lang w:val="es-ES"/>
        </w:rPr>
        <w:t xml:space="preserve">bía estado en constante comunicación con </w:t>
      </w:r>
      <w:r w:rsidRPr="008D5BCE">
        <w:rPr>
          <w:rFonts w:asciiTheme="majorHAnsi" w:hAnsiTheme="majorHAnsi"/>
          <w:sz w:val="20"/>
          <w:szCs w:val="20"/>
          <w:lang w:val="es-ES"/>
        </w:rPr>
        <w:t xml:space="preserve">el señor Kadamovas, </w:t>
      </w:r>
      <w:r>
        <w:rPr>
          <w:rFonts w:asciiTheme="majorHAnsi" w:hAnsiTheme="majorHAnsi"/>
          <w:sz w:val="20"/>
          <w:szCs w:val="20"/>
          <w:lang w:val="es-ES"/>
        </w:rPr>
        <w:t>sus abogados y organizaciones no gubernamentales interesadas en el caso</w:t>
      </w:r>
      <w:r w:rsidRPr="008D5BCE">
        <w:rPr>
          <w:rFonts w:asciiTheme="majorHAnsi" w:hAnsiTheme="majorHAnsi"/>
          <w:sz w:val="20"/>
          <w:szCs w:val="20"/>
          <w:lang w:val="es-ES"/>
        </w:rPr>
        <w:t xml:space="preserve">. </w:t>
      </w:r>
      <w:r>
        <w:rPr>
          <w:rFonts w:asciiTheme="majorHAnsi" w:hAnsiTheme="majorHAnsi"/>
          <w:sz w:val="20"/>
          <w:szCs w:val="20"/>
          <w:lang w:val="es-ES"/>
        </w:rPr>
        <w:t>Asimismo</w:t>
      </w:r>
      <w:r w:rsidRPr="008D5BCE">
        <w:rPr>
          <w:rFonts w:asciiTheme="majorHAnsi" w:hAnsiTheme="majorHAnsi"/>
          <w:sz w:val="20"/>
          <w:szCs w:val="20"/>
          <w:lang w:val="es-ES"/>
        </w:rPr>
        <w:t>, el señor Kadamovas ha</w:t>
      </w:r>
      <w:r>
        <w:rPr>
          <w:rFonts w:asciiTheme="majorHAnsi" w:hAnsiTheme="majorHAnsi"/>
          <w:sz w:val="20"/>
          <w:szCs w:val="20"/>
          <w:lang w:val="es-ES"/>
        </w:rPr>
        <w:t xml:space="preserve"> afirmado que el abogado que lo representó en el juicio viajó a </w:t>
      </w:r>
      <w:r w:rsidRPr="008D5BCE">
        <w:rPr>
          <w:rFonts w:asciiTheme="majorHAnsi" w:hAnsiTheme="majorHAnsi"/>
          <w:sz w:val="20"/>
          <w:szCs w:val="20"/>
          <w:lang w:val="es-ES"/>
        </w:rPr>
        <w:t xml:space="preserve">Lituania </w:t>
      </w:r>
      <w:r>
        <w:rPr>
          <w:rFonts w:asciiTheme="majorHAnsi" w:hAnsiTheme="majorHAnsi"/>
          <w:sz w:val="20"/>
          <w:szCs w:val="20"/>
          <w:lang w:val="es-ES"/>
        </w:rPr>
        <w:t>antes del juicio. Por lo tanto, la información disponible muestra que</w:t>
      </w:r>
      <w:r w:rsidRPr="008D5BCE">
        <w:rPr>
          <w:rFonts w:asciiTheme="majorHAnsi" w:hAnsiTheme="majorHAnsi"/>
          <w:sz w:val="20"/>
          <w:szCs w:val="20"/>
          <w:lang w:val="es-ES"/>
        </w:rPr>
        <w:t xml:space="preserve"> el señor Kadamovas </w:t>
      </w:r>
      <w:r>
        <w:rPr>
          <w:rFonts w:asciiTheme="majorHAnsi" w:hAnsiTheme="majorHAnsi"/>
          <w:sz w:val="20"/>
          <w:szCs w:val="20"/>
          <w:lang w:val="es-ES"/>
        </w:rPr>
        <w:t xml:space="preserve">tuvo acceso a las autoridades </w:t>
      </w:r>
      <w:r w:rsidRPr="008D5BCE">
        <w:rPr>
          <w:rFonts w:asciiTheme="majorHAnsi" w:hAnsiTheme="majorHAnsi"/>
          <w:sz w:val="20"/>
          <w:szCs w:val="20"/>
          <w:lang w:val="es-ES"/>
        </w:rPr>
        <w:t>consular</w:t>
      </w:r>
      <w:r>
        <w:rPr>
          <w:rFonts w:asciiTheme="majorHAnsi" w:hAnsiTheme="majorHAnsi"/>
          <w:sz w:val="20"/>
          <w:szCs w:val="20"/>
          <w:lang w:val="es-ES"/>
        </w:rPr>
        <w:t>es un año después de su arresto</w:t>
      </w:r>
      <w:r w:rsidRPr="008D5BCE">
        <w:rPr>
          <w:rFonts w:asciiTheme="majorHAnsi" w:hAnsiTheme="majorHAnsi"/>
          <w:sz w:val="20"/>
          <w:szCs w:val="20"/>
          <w:lang w:val="es-ES"/>
        </w:rPr>
        <w:t xml:space="preserve">. </w:t>
      </w:r>
    </w:p>
    <w:p w14:paraId="45061F12"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16E2C26B" w14:textId="77777777" w:rsidR="00702483" w:rsidRPr="008D5BCE" w:rsidRDefault="00702483" w:rsidP="00702483">
      <w:pPr>
        <w:pStyle w:val="NormalWeb"/>
        <w:numPr>
          <w:ilvl w:val="0"/>
          <w:numId w:val="55"/>
        </w:numPr>
        <w:shd w:val="clear" w:color="auto" w:fill="FFFFFF"/>
        <w:tabs>
          <w:tab w:val="left" w:pos="360"/>
          <w:tab w:val="left" w:pos="720"/>
          <w:tab w:val="left" w:pos="1440"/>
        </w:tabs>
        <w:spacing w:before="0" w:beforeAutospacing="0" w:after="0" w:afterAutospacing="0"/>
        <w:ind w:left="0" w:firstLine="0"/>
        <w:jc w:val="both"/>
        <w:textAlignment w:val="baseline"/>
        <w:rPr>
          <w:rFonts w:ascii="Cambria" w:hAnsi="Cambria"/>
          <w:sz w:val="20"/>
          <w:szCs w:val="20"/>
          <w:lang w:val="es-ES"/>
        </w:rPr>
      </w:pPr>
      <w:r>
        <w:rPr>
          <w:rFonts w:ascii="Cambria" w:hAnsi="Cambria"/>
          <w:sz w:val="20"/>
          <w:szCs w:val="20"/>
          <w:lang w:val="es-ES"/>
        </w:rPr>
        <w:t>Con respecto a</w:t>
      </w:r>
      <w:r w:rsidRPr="008D5BCE">
        <w:rPr>
          <w:rFonts w:ascii="Cambria" w:hAnsi="Cambria"/>
          <w:sz w:val="20"/>
          <w:szCs w:val="20"/>
          <w:lang w:val="es-ES"/>
        </w:rPr>
        <w:t xml:space="preserve">l señor Bolden, la Comisión </w:t>
      </w:r>
      <w:r>
        <w:rPr>
          <w:rFonts w:ascii="Cambria" w:hAnsi="Cambria"/>
          <w:sz w:val="20"/>
          <w:szCs w:val="20"/>
          <w:lang w:val="es-ES"/>
        </w:rPr>
        <w:t>observa que</w:t>
      </w:r>
      <w:r w:rsidRPr="008D5BCE">
        <w:rPr>
          <w:rFonts w:asciiTheme="majorHAnsi" w:hAnsiTheme="majorHAnsi"/>
          <w:sz w:val="20"/>
          <w:szCs w:val="20"/>
          <w:lang w:val="es-ES"/>
        </w:rPr>
        <w:t xml:space="preserve"> el </w:t>
      </w:r>
      <w:r>
        <w:rPr>
          <w:rFonts w:asciiTheme="majorHAnsi" w:hAnsiTheme="majorHAnsi"/>
          <w:sz w:val="20"/>
          <w:szCs w:val="20"/>
          <w:lang w:val="es-ES"/>
        </w:rPr>
        <w:t xml:space="preserve">abogado de oficio no le informó sobre sus derechos consulares durante el juicio ni durante la apelación. Asimismo, según los hechos comprobados en el presente informe, el </w:t>
      </w:r>
      <w:r w:rsidRPr="008D5BCE">
        <w:rPr>
          <w:rFonts w:ascii="Cambria" w:hAnsi="Cambria"/>
          <w:sz w:val="20"/>
          <w:szCs w:val="20"/>
          <w:lang w:val="es-ES"/>
        </w:rPr>
        <w:t xml:space="preserve">señor Bolden </w:t>
      </w:r>
      <w:r>
        <w:rPr>
          <w:rFonts w:ascii="Cambria" w:hAnsi="Cambria"/>
          <w:sz w:val="20"/>
          <w:szCs w:val="20"/>
          <w:lang w:val="es-ES"/>
        </w:rPr>
        <w:t>planteó este reclamo en un recurso poscondenatorio, pero el tribunal consideró que no había probado que la falta de notificación consular</w:t>
      </w:r>
      <w:r w:rsidRPr="008D5BCE">
        <w:rPr>
          <w:rFonts w:ascii="Cambria" w:hAnsi="Cambria"/>
          <w:sz w:val="20"/>
          <w:szCs w:val="20"/>
          <w:lang w:val="es-ES"/>
        </w:rPr>
        <w:t xml:space="preserve"> </w:t>
      </w:r>
      <w:r>
        <w:rPr>
          <w:rFonts w:ascii="Cambria" w:hAnsi="Cambria"/>
          <w:sz w:val="20"/>
          <w:szCs w:val="20"/>
          <w:lang w:val="es-ES"/>
        </w:rPr>
        <w:t>hubiera afectado la condena y la sentencia.</w:t>
      </w:r>
    </w:p>
    <w:p w14:paraId="14494449" w14:textId="77777777" w:rsidR="00702483" w:rsidRPr="008D5BCE" w:rsidRDefault="00702483" w:rsidP="00702483">
      <w:pPr>
        <w:pStyle w:val="NormalWeb"/>
        <w:shd w:val="clear" w:color="auto" w:fill="FFFFFF"/>
        <w:tabs>
          <w:tab w:val="left" w:pos="360"/>
          <w:tab w:val="left" w:pos="720"/>
          <w:tab w:val="left" w:pos="1440"/>
        </w:tabs>
        <w:spacing w:before="0" w:beforeAutospacing="0" w:after="0" w:afterAutospacing="0"/>
        <w:jc w:val="both"/>
        <w:textAlignment w:val="baseline"/>
        <w:rPr>
          <w:rFonts w:ascii="Cambria" w:hAnsi="Cambria"/>
          <w:sz w:val="20"/>
          <w:szCs w:val="20"/>
          <w:lang w:val="es-ES"/>
        </w:rPr>
      </w:pPr>
    </w:p>
    <w:p w14:paraId="59CD6DF3"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D5BCE">
        <w:rPr>
          <w:rFonts w:ascii="Cambria" w:hAnsi="Cambria"/>
          <w:sz w:val="20"/>
          <w:szCs w:val="20"/>
          <w:lang w:val="es-ES"/>
        </w:rPr>
        <w:t xml:space="preserve">El Estado </w:t>
      </w:r>
      <w:r>
        <w:rPr>
          <w:rFonts w:ascii="Cambria" w:hAnsi="Cambria"/>
          <w:sz w:val="20"/>
          <w:szCs w:val="20"/>
          <w:lang w:val="es-ES"/>
        </w:rPr>
        <w:t>no ha refutado los argumentos de</w:t>
      </w:r>
      <w:r w:rsidRPr="008D5BCE">
        <w:rPr>
          <w:rFonts w:ascii="Cambria" w:hAnsi="Cambria"/>
          <w:sz w:val="20"/>
          <w:szCs w:val="20"/>
          <w:lang w:val="es-ES"/>
        </w:rPr>
        <w:t xml:space="preserve"> los peticionarios</w:t>
      </w:r>
      <w:r>
        <w:rPr>
          <w:rFonts w:ascii="Cambria" w:hAnsi="Cambria"/>
          <w:sz w:val="20"/>
          <w:szCs w:val="20"/>
          <w:lang w:val="es-ES"/>
        </w:rPr>
        <w:t xml:space="preserve"> en ese sentido, aunque señala que el objeto de los reclamos relativos a una notificación consular</w:t>
      </w:r>
      <w:r w:rsidRPr="008D5BCE">
        <w:rPr>
          <w:rFonts w:ascii="Cambria" w:hAnsi="Cambria"/>
          <w:sz w:val="20"/>
          <w:szCs w:val="20"/>
          <w:lang w:val="es-ES"/>
        </w:rPr>
        <w:t xml:space="preserve"> </w:t>
      </w:r>
      <w:r>
        <w:rPr>
          <w:rFonts w:ascii="Cambria" w:hAnsi="Cambria"/>
          <w:sz w:val="20"/>
          <w:szCs w:val="20"/>
          <w:lang w:val="es-ES"/>
        </w:rPr>
        <w:t>no constituye una violación de un derecho humano</w:t>
      </w:r>
      <w:r w:rsidRPr="008D5BCE">
        <w:rPr>
          <w:rFonts w:ascii="Cambria" w:hAnsi="Cambria"/>
          <w:sz w:val="20"/>
          <w:szCs w:val="20"/>
          <w:lang w:val="es-ES"/>
        </w:rPr>
        <w:t xml:space="preserve">. </w:t>
      </w:r>
      <w:r>
        <w:rPr>
          <w:rFonts w:ascii="Cambria" w:hAnsi="Cambria"/>
          <w:sz w:val="20"/>
          <w:szCs w:val="20"/>
          <w:lang w:val="es-ES"/>
        </w:rPr>
        <w:t xml:space="preserve">Por </w:t>
      </w:r>
      <w:r>
        <w:rPr>
          <w:rFonts w:ascii="Cambria" w:hAnsi="Cambria"/>
          <w:sz w:val="20"/>
          <w:szCs w:val="20"/>
          <w:lang w:val="es-ES"/>
        </w:rPr>
        <w:lastRenderedPageBreak/>
        <w:t>consiguiente, sobre la base de la información y los argumentos expuestos</w:t>
      </w:r>
      <w:r w:rsidRPr="008D5BCE">
        <w:rPr>
          <w:rFonts w:ascii="Cambria" w:hAnsi="Cambria"/>
          <w:sz w:val="20"/>
          <w:szCs w:val="20"/>
          <w:lang w:val="es-ES"/>
        </w:rPr>
        <w:t>, la Comisión conclu</w:t>
      </w:r>
      <w:r>
        <w:rPr>
          <w:rFonts w:ascii="Cambria" w:hAnsi="Cambria"/>
          <w:sz w:val="20"/>
          <w:szCs w:val="20"/>
          <w:lang w:val="es-ES"/>
        </w:rPr>
        <w:t xml:space="preserve">ye que no se le comunicó a la presunta víctima su derecho </w:t>
      </w:r>
      <w:r w:rsidRPr="008D5BCE">
        <w:rPr>
          <w:rFonts w:ascii="Cambria" w:hAnsi="Cambria"/>
          <w:sz w:val="20"/>
          <w:szCs w:val="20"/>
          <w:lang w:val="es-ES"/>
        </w:rPr>
        <w:t xml:space="preserve">a la notificación consular </w:t>
      </w:r>
      <w:r>
        <w:rPr>
          <w:rFonts w:ascii="Cambria" w:hAnsi="Cambria"/>
          <w:sz w:val="20"/>
          <w:szCs w:val="20"/>
          <w:lang w:val="es-ES"/>
        </w:rPr>
        <w:t>cuando la arrestaron o con posterioridad</w:t>
      </w:r>
      <w:r w:rsidRPr="008D5BCE">
        <w:rPr>
          <w:rFonts w:ascii="Cambria" w:hAnsi="Cambria"/>
          <w:sz w:val="20"/>
          <w:szCs w:val="20"/>
          <w:lang w:val="es-ES"/>
        </w:rPr>
        <w:t xml:space="preserve">. </w:t>
      </w:r>
    </w:p>
    <w:p w14:paraId="38FFDD6B" w14:textId="77777777" w:rsidR="00702483" w:rsidRPr="008D5BCE" w:rsidRDefault="00702483" w:rsidP="00702483">
      <w:pPr>
        <w:rPr>
          <w:sz w:val="20"/>
          <w:szCs w:val="20"/>
          <w:lang w:val="es-ES"/>
        </w:rPr>
      </w:pPr>
    </w:p>
    <w:p w14:paraId="4ADE190D"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D5BCE">
        <w:rPr>
          <w:rFonts w:ascii="Cambria" w:hAnsi="Cambria"/>
          <w:sz w:val="20"/>
          <w:szCs w:val="20"/>
          <w:lang w:val="es-ES"/>
        </w:rPr>
        <w:t>Sobre la base de lo que antecede, la CIDH concluye que la obligación del Estado de acuerdo con el artículo 36 de la Convención de Viena de informar al señor Kadamovas (</w:t>
      </w:r>
      <w:r>
        <w:rPr>
          <w:rFonts w:ascii="Cambria" w:hAnsi="Cambria"/>
          <w:sz w:val="20"/>
          <w:szCs w:val="20"/>
          <w:lang w:val="es-ES"/>
        </w:rPr>
        <w:t>en el momento de su arresto</w:t>
      </w:r>
      <w:r w:rsidRPr="008D5BCE">
        <w:rPr>
          <w:rFonts w:ascii="Cambria" w:hAnsi="Cambria"/>
          <w:sz w:val="20"/>
          <w:szCs w:val="20"/>
          <w:lang w:val="es-ES"/>
        </w:rPr>
        <w:t xml:space="preserve">) </w:t>
      </w:r>
      <w:r>
        <w:rPr>
          <w:rFonts w:ascii="Cambria" w:hAnsi="Cambria"/>
          <w:sz w:val="20"/>
          <w:szCs w:val="20"/>
          <w:lang w:val="es-ES"/>
        </w:rPr>
        <w:t>y a</w:t>
      </w:r>
      <w:r w:rsidRPr="008D5BCE">
        <w:rPr>
          <w:rFonts w:ascii="Cambria" w:hAnsi="Cambria"/>
          <w:sz w:val="20"/>
          <w:szCs w:val="20"/>
          <w:lang w:val="es-ES"/>
        </w:rPr>
        <w:t xml:space="preserve">l señor Bolden sobre su derecho a la notificación consular era un componente fundamental de las normas del debido proceso en consonancia con los artículos XVIII y XXVI de la Declaración Americana. Por consiguiente, al no respetar y cumplir esta obligación, el Estado privó a las presuntas víctimas de un proceso penal que satisficiera las normas mínimas del debido proceso y de un juicio imparcial requeridas por los artículos XVIII y XXVI de la Declaración. </w:t>
      </w:r>
    </w:p>
    <w:p w14:paraId="4573F6FE" w14:textId="77777777" w:rsidR="00D5032E" w:rsidRPr="008D5BCE" w:rsidRDefault="00D5032E" w:rsidP="00702483">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0CD73E00" w14:textId="77777777" w:rsidR="00702483" w:rsidRPr="00742C05" w:rsidRDefault="00702483" w:rsidP="00742C05">
      <w:pPr>
        <w:pStyle w:val="Heading3"/>
        <w:keepLines/>
        <w:numPr>
          <w:ilvl w:val="3"/>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20" w:name="_Toc90289322"/>
      <w:r w:rsidRPr="00742C05">
        <w:rPr>
          <w:rFonts w:asciiTheme="majorHAnsi" w:hAnsiTheme="majorHAnsi"/>
          <w:sz w:val="20"/>
          <w:szCs w:val="20"/>
          <w:lang w:val="es-ES"/>
        </w:rPr>
        <w:t xml:space="preserve">Asistencia </w:t>
      </w:r>
      <w:r w:rsidR="00476711">
        <w:rPr>
          <w:rFonts w:asciiTheme="majorHAnsi" w:hAnsiTheme="majorHAnsi"/>
          <w:sz w:val="20"/>
          <w:szCs w:val="20"/>
          <w:lang w:val="es-ES"/>
        </w:rPr>
        <w:t>letrada</w:t>
      </w:r>
      <w:r w:rsidRPr="00742C05">
        <w:rPr>
          <w:rFonts w:asciiTheme="majorHAnsi" w:hAnsiTheme="majorHAnsi"/>
          <w:sz w:val="20"/>
          <w:szCs w:val="20"/>
          <w:lang w:val="es-ES"/>
        </w:rPr>
        <w:t xml:space="preserve"> de oficio</w:t>
      </w:r>
      <w:r w:rsidR="00476711">
        <w:rPr>
          <w:rFonts w:asciiTheme="majorHAnsi" w:hAnsiTheme="majorHAnsi"/>
          <w:sz w:val="20"/>
          <w:szCs w:val="20"/>
          <w:lang w:val="es-ES"/>
        </w:rPr>
        <w:t xml:space="preserve"> ineficaz</w:t>
      </w:r>
      <w:bookmarkEnd w:id="20"/>
      <w:r w:rsidRPr="00742C05">
        <w:rPr>
          <w:rFonts w:asciiTheme="majorHAnsi" w:hAnsiTheme="majorHAnsi"/>
          <w:sz w:val="20"/>
          <w:szCs w:val="20"/>
          <w:lang w:val="es-ES"/>
        </w:rPr>
        <w:t xml:space="preserve"> </w:t>
      </w:r>
    </w:p>
    <w:p w14:paraId="387243AB"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Theme="majorHAnsi" w:hAnsiTheme="majorHAnsi"/>
          <w:b/>
          <w:sz w:val="20"/>
          <w:szCs w:val="20"/>
          <w:lang w:val="es-ES"/>
        </w:rPr>
      </w:pPr>
    </w:p>
    <w:p w14:paraId="129ABD68"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8D5BCE">
        <w:rPr>
          <w:rFonts w:asciiTheme="majorHAnsi" w:hAnsiTheme="majorHAnsi"/>
          <w:sz w:val="20"/>
          <w:szCs w:val="20"/>
          <w:lang w:val="es-ES"/>
        </w:rPr>
        <w:t>El patrocinio letrado adecuado es un componente fundamental del derecho a un juicio imparcial. La CIDH ha dictaminado que “</w:t>
      </w:r>
      <w:r w:rsidRPr="009C625A">
        <w:rPr>
          <w:rFonts w:asciiTheme="majorHAnsi" w:hAnsiTheme="majorHAnsi"/>
          <w:sz w:val="20"/>
          <w:szCs w:val="20"/>
          <w:lang w:val="es-ES"/>
        </w:rPr>
        <w:t>[e]l derecho al debido proceso y al juicio justo incluye el derecho a recursos adecuados para la preparación de la defensa y a una adecuada asistencia legal”</w:t>
      </w:r>
      <w:r w:rsidRPr="008D5BCE">
        <w:rPr>
          <w:rStyle w:val="FootnoteReference"/>
          <w:rFonts w:asciiTheme="majorHAnsi" w:hAnsiTheme="majorHAnsi"/>
          <w:sz w:val="20"/>
          <w:szCs w:val="20"/>
          <w:bdr w:val="nil"/>
          <w:lang w:val="es-ES"/>
        </w:rPr>
        <w:footnoteReference w:id="35"/>
      </w:r>
      <w:r>
        <w:rPr>
          <w:rFonts w:asciiTheme="majorHAnsi" w:hAnsiTheme="majorHAnsi"/>
          <w:sz w:val="20"/>
          <w:szCs w:val="20"/>
          <w:lang w:val="es-ES"/>
        </w:rPr>
        <w:t xml:space="preserve">. Según </w:t>
      </w:r>
      <w:r w:rsidRPr="008D5BCE">
        <w:rPr>
          <w:rFonts w:asciiTheme="majorHAnsi" w:hAnsiTheme="majorHAnsi"/>
          <w:sz w:val="20"/>
          <w:szCs w:val="20"/>
          <w:lang w:val="es-ES"/>
        </w:rPr>
        <w:t>la Comisión, “[e]l Estado no puede ser declarado responsable por todas las deficiencias en la conducta de la asistencia legal nombrada por el Estado. Sin embargo, cuando la ineficacia de dicha asistencia legal es puesta en conocimiento de las autoridades nacionales en forma manifiesta y suficiente, éstas están obligadas a intervenir […]. El cumplimiento rigoroso del derecho de recibir patrocinio letrado competente es impuesto por la posibilidad de la aplicación de la pena de muerte”</w:t>
      </w:r>
      <w:r w:rsidRPr="008D5BCE">
        <w:rPr>
          <w:rStyle w:val="FootnoteReference"/>
          <w:rFonts w:asciiTheme="majorHAnsi" w:hAnsiTheme="majorHAnsi"/>
          <w:sz w:val="20"/>
          <w:szCs w:val="20"/>
          <w:bdr w:val="nil"/>
          <w:lang w:val="es-ES"/>
        </w:rPr>
        <w:footnoteReference w:id="36"/>
      </w:r>
      <w:r w:rsidRPr="008D5BCE">
        <w:rPr>
          <w:rFonts w:asciiTheme="majorHAnsi" w:hAnsiTheme="majorHAnsi"/>
          <w:sz w:val="20"/>
          <w:szCs w:val="20"/>
          <w:lang w:val="es-ES"/>
        </w:rPr>
        <w:t>.</w:t>
      </w:r>
    </w:p>
    <w:p w14:paraId="556100CB"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05684690"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Theme="majorHAnsi" w:hAnsiTheme="majorHAnsi"/>
          <w:sz w:val="20"/>
          <w:szCs w:val="20"/>
          <w:lang w:val="es-ES"/>
        </w:rPr>
        <w:t>Como ya se dijo, el hecho de que la abogada de oficio no le hubiera informado a</w:t>
      </w:r>
      <w:r w:rsidRPr="008D5BCE">
        <w:rPr>
          <w:rFonts w:asciiTheme="majorHAnsi" w:hAnsiTheme="majorHAnsi"/>
          <w:sz w:val="20"/>
          <w:szCs w:val="20"/>
          <w:lang w:val="es-ES"/>
        </w:rPr>
        <w:t xml:space="preserve">l señor Bolden </w:t>
      </w:r>
      <w:r>
        <w:rPr>
          <w:rFonts w:asciiTheme="majorHAnsi" w:hAnsiTheme="majorHAnsi"/>
          <w:sz w:val="20"/>
          <w:szCs w:val="20"/>
          <w:lang w:val="es-ES"/>
        </w:rPr>
        <w:t>sobre su</w:t>
      </w:r>
      <w:r w:rsidRPr="008D5BCE">
        <w:rPr>
          <w:rFonts w:asciiTheme="majorHAnsi" w:hAnsiTheme="majorHAnsi"/>
          <w:sz w:val="20"/>
          <w:szCs w:val="20"/>
          <w:lang w:val="es-ES"/>
        </w:rPr>
        <w:t xml:space="preserve"> derecho a la notificación consular</w:t>
      </w:r>
      <w:r>
        <w:rPr>
          <w:rFonts w:asciiTheme="majorHAnsi" w:hAnsiTheme="majorHAnsi"/>
          <w:sz w:val="20"/>
          <w:szCs w:val="20"/>
          <w:lang w:val="es-ES"/>
        </w:rPr>
        <w:t xml:space="preserve"> constitu</w:t>
      </w:r>
      <w:r w:rsidR="00476711">
        <w:rPr>
          <w:rFonts w:asciiTheme="majorHAnsi" w:hAnsiTheme="majorHAnsi"/>
          <w:sz w:val="20"/>
          <w:szCs w:val="20"/>
          <w:lang w:val="es-ES"/>
        </w:rPr>
        <w:t>ye</w:t>
      </w:r>
      <w:r>
        <w:rPr>
          <w:rFonts w:asciiTheme="majorHAnsi" w:hAnsiTheme="majorHAnsi"/>
          <w:sz w:val="20"/>
          <w:szCs w:val="20"/>
          <w:lang w:val="es-ES"/>
        </w:rPr>
        <w:t xml:space="preserve"> una violación de su derecho al debido proceso y a un juicio imparcial. Además, la abogada no presentó el reclamo relativo a la falta de notificación consular</w:t>
      </w:r>
      <w:r w:rsidRPr="008D5BCE">
        <w:rPr>
          <w:rFonts w:asciiTheme="majorHAnsi" w:hAnsiTheme="majorHAnsi"/>
          <w:sz w:val="20"/>
          <w:szCs w:val="20"/>
          <w:lang w:val="es-ES"/>
        </w:rPr>
        <w:t xml:space="preserve"> </w:t>
      </w:r>
      <w:r>
        <w:rPr>
          <w:rFonts w:asciiTheme="majorHAnsi" w:hAnsiTheme="majorHAnsi"/>
          <w:sz w:val="20"/>
          <w:szCs w:val="20"/>
          <w:lang w:val="es-ES"/>
        </w:rPr>
        <w:t>en apelación directa. Eso influyó en el recurso poscondenatorio interpuesto por</w:t>
      </w:r>
      <w:r w:rsidRPr="008D5BCE">
        <w:rPr>
          <w:rFonts w:asciiTheme="majorHAnsi" w:hAnsiTheme="majorHAnsi"/>
          <w:sz w:val="20"/>
          <w:szCs w:val="20"/>
          <w:lang w:val="es-ES"/>
        </w:rPr>
        <w:t xml:space="preserve"> el señor Bolden</w:t>
      </w:r>
      <w:r>
        <w:rPr>
          <w:rFonts w:asciiTheme="majorHAnsi" w:hAnsiTheme="majorHAnsi"/>
          <w:sz w:val="20"/>
          <w:szCs w:val="20"/>
          <w:lang w:val="es-ES"/>
        </w:rPr>
        <w:t xml:space="preserve">, ya que el </w:t>
      </w:r>
      <w:r w:rsidRPr="001560FA">
        <w:rPr>
          <w:rFonts w:asciiTheme="majorHAnsi" w:hAnsiTheme="majorHAnsi"/>
          <w:sz w:val="20"/>
          <w:szCs w:val="20"/>
          <w:lang w:val="es-ES"/>
        </w:rPr>
        <w:t>Tribunal Federal de Apelaciones para el Octavo Circuito</w:t>
      </w:r>
      <w:r>
        <w:rPr>
          <w:rFonts w:asciiTheme="majorHAnsi" w:hAnsiTheme="majorHAnsi"/>
          <w:sz w:val="20"/>
          <w:szCs w:val="20"/>
          <w:lang w:val="es-ES"/>
        </w:rPr>
        <w:t xml:space="preserve"> dictaminó que el reclamo estaba </w:t>
      </w:r>
      <w:r w:rsidRPr="001560FA">
        <w:rPr>
          <w:rFonts w:asciiTheme="majorHAnsi" w:hAnsiTheme="majorHAnsi"/>
          <w:sz w:val="20"/>
          <w:szCs w:val="20"/>
          <w:lang w:val="es-ES"/>
        </w:rPr>
        <w:t>precluido desde el punto de vista procesal</w:t>
      </w:r>
      <w:r w:rsidRPr="008D5BCE">
        <w:rPr>
          <w:rFonts w:asciiTheme="majorHAnsi" w:hAnsiTheme="majorHAnsi"/>
          <w:sz w:val="20"/>
          <w:szCs w:val="20"/>
          <w:lang w:val="es-ES"/>
        </w:rPr>
        <w:t>.</w:t>
      </w:r>
    </w:p>
    <w:p w14:paraId="0C67BB7C" w14:textId="77777777" w:rsidR="00702483" w:rsidRPr="008D5BCE" w:rsidRDefault="00702483" w:rsidP="00702483">
      <w:pPr>
        <w:pStyle w:val="ListParagraph"/>
        <w:rPr>
          <w:rFonts w:asciiTheme="majorHAnsi" w:hAnsiTheme="majorHAnsi"/>
          <w:sz w:val="20"/>
          <w:szCs w:val="20"/>
          <w:lang w:val="es-ES"/>
        </w:rPr>
      </w:pPr>
    </w:p>
    <w:p w14:paraId="02904E3B"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8D5BCE">
        <w:rPr>
          <w:rFonts w:asciiTheme="majorHAnsi" w:hAnsiTheme="majorHAnsi"/>
          <w:sz w:val="20"/>
          <w:szCs w:val="20"/>
          <w:lang w:val="es-ES"/>
        </w:rPr>
        <w:t>Ad</w:t>
      </w:r>
      <w:r>
        <w:rPr>
          <w:rFonts w:asciiTheme="majorHAnsi" w:hAnsiTheme="majorHAnsi"/>
          <w:sz w:val="20"/>
          <w:szCs w:val="20"/>
          <w:lang w:val="es-ES"/>
        </w:rPr>
        <w:t>emás</w:t>
      </w:r>
      <w:r w:rsidRPr="008D5BCE">
        <w:rPr>
          <w:rFonts w:asciiTheme="majorHAnsi" w:hAnsiTheme="majorHAnsi"/>
          <w:sz w:val="20"/>
          <w:szCs w:val="20"/>
          <w:lang w:val="es-ES"/>
        </w:rPr>
        <w:t xml:space="preserve">, la Comisión </w:t>
      </w:r>
      <w:r>
        <w:rPr>
          <w:rFonts w:asciiTheme="majorHAnsi" w:hAnsiTheme="majorHAnsi"/>
          <w:sz w:val="20"/>
          <w:szCs w:val="20"/>
          <w:lang w:val="es-ES"/>
        </w:rPr>
        <w:t xml:space="preserve">observa que </w:t>
      </w:r>
      <w:r w:rsidRPr="008D5BCE">
        <w:rPr>
          <w:rFonts w:asciiTheme="majorHAnsi" w:hAnsiTheme="majorHAnsi"/>
          <w:sz w:val="20"/>
          <w:szCs w:val="20"/>
          <w:lang w:val="es-ES"/>
        </w:rPr>
        <w:t>Sonia E. Chahin</w:t>
      </w:r>
      <w:r w:rsidRPr="008D5BCE">
        <w:rPr>
          <w:rStyle w:val="FootnoteReference"/>
          <w:rFonts w:asciiTheme="majorHAnsi" w:hAnsiTheme="majorHAnsi"/>
          <w:sz w:val="20"/>
          <w:szCs w:val="20"/>
          <w:lang w:val="es-ES"/>
        </w:rPr>
        <w:footnoteReference w:id="37"/>
      </w:r>
      <w:r w:rsidRPr="008D5BCE">
        <w:rPr>
          <w:rFonts w:asciiTheme="majorHAnsi" w:hAnsiTheme="majorHAnsi"/>
          <w:sz w:val="20"/>
          <w:szCs w:val="20"/>
          <w:lang w:val="es-ES"/>
        </w:rPr>
        <w:t xml:space="preserve">, </w:t>
      </w:r>
      <w:r>
        <w:rPr>
          <w:rFonts w:asciiTheme="majorHAnsi" w:hAnsiTheme="majorHAnsi"/>
          <w:sz w:val="20"/>
          <w:szCs w:val="20"/>
          <w:lang w:val="es-ES"/>
        </w:rPr>
        <w:t>abogada de oficio</w:t>
      </w:r>
      <w:r w:rsidRPr="008D5BCE">
        <w:rPr>
          <w:rFonts w:asciiTheme="majorHAnsi" w:hAnsiTheme="majorHAnsi"/>
          <w:sz w:val="20"/>
          <w:szCs w:val="20"/>
          <w:lang w:val="es-ES"/>
        </w:rPr>
        <w:t xml:space="preserve"> </w:t>
      </w:r>
      <w:r>
        <w:rPr>
          <w:rFonts w:asciiTheme="majorHAnsi" w:hAnsiTheme="majorHAnsi"/>
          <w:sz w:val="20"/>
          <w:szCs w:val="20"/>
          <w:lang w:val="es-ES"/>
        </w:rPr>
        <w:t>d</w:t>
      </w:r>
      <w:r w:rsidRPr="008D5BCE">
        <w:rPr>
          <w:rFonts w:asciiTheme="majorHAnsi" w:hAnsiTheme="majorHAnsi"/>
          <w:sz w:val="20"/>
          <w:szCs w:val="20"/>
          <w:lang w:val="es-ES"/>
        </w:rPr>
        <w:t xml:space="preserve">el señor Kadamovas, </w:t>
      </w:r>
      <w:r w:rsidRPr="00915355">
        <w:rPr>
          <w:rFonts w:asciiTheme="majorHAnsi" w:hAnsiTheme="majorHAnsi"/>
          <w:sz w:val="20"/>
          <w:szCs w:val="20"/>
          <w:lang w:val="es-ES"/>
        </w:rPr>
        <w:t>admite que no tuvo suficiente tiempo para prepararse en vista de la complejidad y la magnitud del caso, del volumen del material para leer y de los diversos idiomas en los cuales constaban las pruebas</w:t>
      </w:r>
      <w:r w:rsidRPr="008D5BCE">
        <w:rPr>
          <w:rFonts w:asciiTheme="majorHAnsi" w:hAnsiTheme="majorHAnsi"/>
          <w:sz w:val="20"/>
          <w:szCs w:val="20"/>
          <w:lang w:val="es-ES"/>
        </w:rPr>
        <w:t xml:space="preserve">. </w:t>
      </w:r>
      <w:r w:rsidRPr="008D5BCE">
        <w:rPr>
          <w:rFonts w:asciiTheme="majorHAnsi" w:hAnsiTheme="majorHAnsi"/>
          <w:sz w:val="20"/>
          <w:lang w:val="es-ES"/>
        </w:rPr>
        <w:t>Sonia Chahin expl</w:t>
      </w:r>
      <w:r>
        <w:rPr>
          <w:rFonts w:asciiTheme="majorHAnsi" w:hAnsiTheme="majorHAnsi"/>
          <w:sz w:val="20"/>
          <w:lang w:val="es-ES"/>
        </w:rPr>
        <w:t xml:space="preserve">icó que no tenía conocimiento de la cantidad de pruebas no documentales que constituían gran parte de la prueba y que, el </w:t>
      </w:r>
      <w:r w:rsidRPr="008D5BCE">
        <w:rPr>
          <w:rFonts w:asciiTheme="majorHAnsi" w:hAnsiTheme="majorHAnsi"/>
          <w:sz w:val="20"/>
          <w:lang w:val="es-ES"/>
        </w:rPr>
        <w:t>15</w:t>
      </w:r>
      <w:r>
        <w:rPr>
          <w:rFonts w:asciiTheme="majorHAnsi" w:hAnsiTheme="majorHAnsi"/>
          <w:sz w:val="20"/>
          <w:lang w:val="es-ES"/>
        </w:rPr>
        <w:t xml:space="preserve"> de marzo de</w:t>
      </w:r>
      <w:r w:rsidRPr="008D5BCE">
        <w:rPr>
          <w:rFonts w:asciiTheme="majorHAnsi" w:hAnsiTheme="majorHAnsi"/>
          <w:sz w:val="20"/>
          <w:lang w:val="es-ES"/>
        </w:rPr>
        <w:t xml:space="preserve"> 2006</w:t>
      </w:r>
      <w:r>
        <w:rPr>
          <w:rFonts w:asciiTheme="majorHAnsi" w:hAnsiTheme="majorHAnsi"/>
          <w:sz w:val="20"/>
          <w:lang w:val="es-ES"/>
        </w:rPr>
        <w:t xml:space="preserve">, aproximadamente, pudo determinar que la prueba no documental consistía en </w:t>
      </w:r>
      <w:r w:rsidRPr="008D5BCE">
        <w:rPr>
          <w:rFonts w:asciiTheme="majorHAnsi" w:hAnsiTheme="majorHAnsi"/>
          <w:sz w:val="20"/>
          <w:lang w:val="es-ES"/>
        </w:rPr>
        <w:t xml:space="preserve">121 </w:t>
      </w:r>
      <w:r>
        <w:rPr>
          <w:rFonts w:asciiTheme="majorHAnsi" w:hAnsiTheme="majorHAnsi"/>
          <w:sz w:val="20"/>
          <w:lang w:val="es-ES"/>
        </w:rPr>
        <w:t>cintas de audio</w:t>
      </w:r>
      <w:r w:rsidRPr="008D5BCE">
        <w:rPr>
          <w:rFonts w:asciiTheme="majorHAnsi" w:hAnsiTheme="majorHAnsi"/>
          <w:sz w:val="20"/>
          <w:lang w:val="es-ES"/>
        </w:rPr>
        <w:t>, 139 CD</w:t>
      </w:r>
      <w:r>
        <w:rPr>
          <w:rFonts w:asciiTheme="majorHAnsi" w:hAnsiTheme="majorHAnsi"/>
          <w:sz w:val="20"/>
          <w:lang w:val="es-ES"/>
        </w:rPr>
        <w:t xml:space="preserve">-ROM, </w:t>
      </w:r>
      <w:r w:rsidRPr="008D5BCE">
        <w:rPr>
          <w:rFonts w:asciiTheme="majorHAnsi" w:hAnsiTheme="majorHAnsi"/>
          <w:sz w:val="20"/>
          <w:lang w:val="es-ES"/>
        </w:rPr>
        <w:t xml:space="preserve">29 DVD, 117 </w:t>
      </w:r>
      <w:r>
        <w:rPr>
          <w:rFonts w:asciiTheme="majorHAnsi" w:hAnsiTheme="majorHAnsi"/>
          <w:sz w:val="20"/>
          <w:lang w:val="es-ES"/>
        </w:rPr>
        <w:t xml:space="preserve">cintas de </w:t>
      </w:r>
      <w:r w:rsidRPr="008D5BCE">
        <w:rPr>
          <w:rFonts w:asciiTheme="majorHAnsi" w:hAnsiTheme="majorHAnsi"/>
          <w:sz w:val="20"/>
          <w:lang w:val="es-ES"/>
        </w:rPr>
        <w:t>video</w:t>
      </w:r>
      <w:r>
        <w:rPr>
          <w:rFonts w:asciiTheme="majorHAnsi" w:hAnsiTheme="majorHAnsi"/>
          <w:sz w:val="20"/>
          <w:lang w:val="es-ES"/>
        </w:rPr>
        <w:t xml:space="preserve"> e información extraída del disco duro de alrededor de </w:t>
      </w:r>
      <w:r w:rsidRPr="008D5BCE">
        <w:rPr>
          <w:rFonts w:asciiTheme="majorHAnsi" w:hAnsiTheme="majorHAnsi"/>
          <w:sz w:val="20"/>
          <w:lang w:val="es-ES"/>
        </w:rPr>
        <w:t>19 comput</w:t>
      </w:r>
      <w:r>
        <w:rPr>
          <w:rFonts w:asciiTheme="majorHAnsi" w:hAnsiTheme="majorHAnsi"/>
          <w:sz w:val="20"/>
          <w:lang w:val="es-ES"/>
        </w:rPr>
        <w:t>adoras que habían sido incautadas en el curso de la investigación</w:t>
      </w:r>
      <w:r w:rsidRPr="008D5BCE">
        <w:rPr>
          <w:rFonts w:asciiTheme="majorHAnsi" w:hAnsiTheme="majorHAnsi"/>
          <w:sz w:val="20"/>
          <w:lang w:val="es-ES"/>
        </w:rPr>
        <w:t xml:space="preserve">. </w:t>
      </w:r>
      <w:r>
        <w:rPr>
          <w:rFonts w:asciiTheme="majorHAnsi" w:hAnsiTheme="majorHAnsi"/>
          <w:sz w:val="20"/>
          <w:lang w:val="es-ES"/>
        </w:rPr>
        <w:t xml:space="preserve">Se solicitó un aplazamiento de seis meses a partir de la fecha programada para el comienzo del juicio —el </w:t>
      </w:r>
      <w:r w:rsidRPr="008D5BCE">
        <w:rPr>
          <w:rFonts w:asciiTheme="majorHAnsi" w:hAnsiTheme="majorHAnsi"/>
          <w:sz w:val="20"/>
          <w:lang w:val="es-ES"/>
        </w:rPr>
        <w:t>11</w:t>
      </w:r>
      <w:r>
        <w:rPr>
          <w:rFonts w:asciiTheme="majorHAnsi" w:hAnsiTheme="majorHAnsi"/>
          <w:sz w:val="20"/>
          <w:lang w:val="es-ES"/>
        </w:rPr>
        <w:t xml:space="preserve"> de julio de</w:t>
      </w:r>
      <w:r w:rsidRPr="008D5BCE">
        <w:rPr>
          <w:rFonts w:asciiTheme="majorHAnsi" w:hAnsiTheme="majorHAnsi"/>
          <w:sz w:val="20"/>
          <w:lang w:val="es-ES"/>
        </w:rPr>
        <w:t xml:space="preserve"> 2006</w:t>
      </w:r>
      <w:r>
        <w:rPr>
          <w:rFonts w:asciiTheme="majorHAnsi" w:hAnsiTheme="majorHAnsi"/>
          <w:sz w:val="20"/>
          <w:lang w:val="es-ES"/>
        </w:rPr>
        <w:t xml:space="preserve">— hasta el </w:t>
      </w:r>
      <w:r w:rsidRPr="008D5BCE">
        <w:rPr>
          <w:rFonts w:asciiTheme="majorHAnsi" w:hAnsiTheme="majorHAnsi"/>
          <w:sz w:val="20"/>
          <w:lang w:val="es-ES"/>
        </w:rPr>
        <w:t>9</w:t>
      </w:r>
      <w:r>
        <w:rPr>
          <w:rFonts w:asciiTheme="majorHAnsi" w:hAnsiTheme="majorHAnsi"/>
          <w:sz w:val="20"/>
          <w:lang w:val="es-ES"/>
        </w:rPr>
        <w:t xml:space="preserve"> de enero de </w:t>
      </w:r>
      <w:r w:rsidRPr="008D5BCE">
        <w:rPr>
          <w:rFonts w:asciiTheme="majorHAnsi" w:hAnsiTheme="majorHAnsi"/>
          <w:sz w:val="20"/>
          <w:lang w:val="es-ES"/>
        </w:rPr>
        <w:t>2007</w:t>
      </w:r>
      <w:r>
        <w:rPr>
          <w:rFonts w:asciiTheme="majorHAnsi" w:hAnsiTheme="majorHAnsi"/>
          <w:sz w:val="20"/>
          <w:lang w:val="es-ES"/>
        </w:rPr>
        <w:t>, pero los tribunales denegaron la petición</w:t>
      </w:r>
      <w:r w:rsidRPr="008D5BCE">
        <w:rPr>
          <w:rFonts w:asciiTheme="majorHAnsi" w:hAnsiTheme="majorHAnsi"/>
          <w:sz w:val="20"/>
          <w:lang w:val="es-ES"/>
        </w:rPr>
        <w:t xml:space="preserve">. </w:t>
      </w:r>
    </w:p>
    <w:p w14:paraId="7515DA2A" w14:textId="77777777" w:rsidR="00702483" w:rsidRPr="008D5BCE" w:rsidRDefault="00702483" w:rsidP="00702483">
      <w:pPr>
        <w:pStyle w:val="ListParagraph"/>
        <w:rPr>
          <w:rFonts w:asciiTheme="majorHAnsi" w:hAnsiTheme="majorHAnsi"/>
          <w:sz w:val="20"/>
          <w:szCs w:val="20"/>
          <w:lang w:val="es-ES"/>
        </w:rPr>
      </w:pPr>
    </w:p>
    <w:p w14:paraId="625F67F5"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Theme="majorHAnsi" w:hAnsiTheme="majorHAnsi"/>
          <w:sz w:val="20"/>
          <w:szCs w:val="20"/>
          <w:lang w:val="es-ES"/>
        </w:rPr>
        <w:t>U</w:t>
      </w:r>
      <w:r w:rsidRPr="008D5BCE">
        <w:rPr>
          <w:rFonts w:asciiTheme="majorHAnsi" w:hAnsiTheme="majorHAnsi"/>
          <w:sz w:val="20"/>
          <w:szCs w:val="20"/>
          <w:lang w:val="es-ES"/>
        </w:rPr>
        <w:t>no de los requisitos fundamentales del debido proceso y el juicio imparcial en casos de delitos punibles con la pena de muerte es la obligación de otorgar patrocinio letrado adecuado, inclu</w:t>
      </w:r>
      <w:r>
        <w:rPr>
          <w:rFonts w:asciiTheme="majorHAnsi" w:hAnsiTheme="majorHAnsi"/>
          <w:sz w:val="20"/>
          <w:szCs w:val="20"/>
          <w:lang w:val="es-ES"/>
        </w:rPr>
        <w:t xml:space="preserve">so suficiente tiempo para la preparación para el juicio, </w:t>
      </w:r>
      <w:r w:rsidRPr="008D5BCE">
        <w:rPr>
          <w:rFonts w:asciiTheme="majorHAnsi" w:hAnsiTheme="majorHAnsi"/>
          <w:sz w:val="20"/>
          <w:szCs w:val="20"/>
          <w:lang w:val="es-ES"/>
        </w:rPr>
        <w:t xml:space="preserve">y no informar al cliente sobre su derecho a </w:t>
      </w:r>
      <w:r>
        <w:rPr>
          <w:rFonts w:asciiTheme="majorHAnsi" w:hAnsiTheme="majorHAnsi"/>
          <w:sz w:val="20"/>
          <w:szCs w:val="20"/>
          <w:lang w:val="es-ES"/>
        </w:rPr>
        <w:t xml:space="preserve">diversos tipos de asistencia, en particular a la asistencia </w:t>
      </w:r>
      <w:r w:rsidRPr="008D5BCE">
        <w:rPr>
          <w:rFonts w:asciiTheme="majorHAnsi" w:hAnsiTheme="majorHAnsi"/>
          <w:sz w:val="20"/>
          <w:szCs w:val="20"/>
          <w:lang w:val="es-ES"/>
        </w:rPr>
        <w:t xml:space="preserve">consular </w:t>
      </w:r>
      <w:r>
        <w:rPr>
          <w:rFonts w:asciiTheme="majorHAnsi" w:hAnsiTheme="majorHAnsi"/>
          <w:sz w:val="20"/>
          <w:szCs w:val="20"/>
          <w:lang w:val="es-ES"/>
        </w:rPr>
        <w:t>en los casos en que el acusado sea un extranjero</w:t>
      </w:r>
      <w:r w:rsidRPr="008D5BCE">
        <w:rPr>
          <w:rFonts w:asciiTheme="majorHAnsi" w:hAnsiTheme="majorHAnsi"/>
          <w:sz w:val="20"/>
          <w:szCs w:val="20"/>
          <w:lang w:val="es-ES"/>
        </w:rPr>
        <w:t xml:space="preserve">, constituiría patrocinio inadecuado. </w:t>
      </w:r>
      <w:r>
        <w:rPr>
          <w:rFonts w:asciiTheme="majorHAnsi" w:hAnsiTheme="majorHAnsi"/>
          <w:sz w:val="20"/>
          <w:szCs w:val="20"/>
          <w:lang w:val="es-ES"/>
        </w:rPr>
        <w:t>En vista de estas consideraciones y de la información que obra en el expediente,</w:t>
      </w:r>
      <w:r w:rsidRPr="008D5BCE">
        <w:rPr>
          <w:rFonts w:asciiTheme="majorHAnsi" w:hAnsiTheme="majorHAnsi"/>
          <w:sz w:val="20"/>
          <w:szCs w:val="20"/>
          <w:lang w:val="es-ES"/>
        </w:rPr>
        <w:t xml:space="preserve"> la C</w:t>
      </w:r>
      <w:r>
        <w:rPr>
          <w:rFonts w:asciiTheme="majorHAnsi" w:hAnsiTheme="majorHAnsi"/>
          <w:sz w:val="20"/>
          <w:szCs w:val="20"/>
          <w:lang w:val="es-ES"/>
        </w:rPr>
        <w:t>IDH</w:t>
      </w:r>
      <w:r w:rsidRPr="008D5BCE">
        <w:rPr>
          <w:rFonts w:asciiTheme="majorHAnsi" w:hAnsiTheme="majorHAnsi"/>
          <w:sz w:val="20"/>
          <w:szCs w:val="20"/>
          <w:lang w:val="es-ES"/>
        </w:rPr>
        <w:t xml:space="preserve"> conclu</w:t>
      </w:r>
      <w:r>
        <w:rPr>
          <w:rFonts w:asciiTheme="majorHAnsi" w:hAnsiTheme="majorHAnsi"/>
          <w:sz w:val="20"/>
          <w:szCs w:val="20"/>
          <w:lang w:val="es-ES"/>
        </w:rPr>
        <w:t xml:space="preserve">ye que la actuación de la abogada de oficio constituyó patrocinio inadecuado y que </w:t>
      </w:r>
      <w:r w:rsidRPr="008D5BCE">
        <w:rPr>
          <w:rFonts w:asciiTheme="majorHAnsi" w:hAnsiTheme="majorHAnsi" w:cs="Arial"/>
          <w:sz w:val="20"/>
          <w:szCs w:val="20"/>
          <w:lang w:val="es-ES"/>
        </w:rPr>
        <w:t>Estados Unidos ha violado el derecho de justicia y el derecho a proceso regular de los señores Kadamovas y Bolden amparados por los artículos XVIII y XXVI de la Declaración Americana.</w:t>
      </w:r>
    </w:p>
    <w:p w14:paraId="012405BD" w14:textId="77777777" w:rsidR="00702483" w:rsidRDefault="00702483" w:rsidP="00702483">
      <w:pPr>
        <w:pStyle w:val="NormalWeb"/>
        <w:tabs>
          <w:tab w:val="left" w:pos="360"/>
        </w:tabs>
        <w:spacing w:before="0" w:beforeAutospacing="0" w:after="0" w:afterAutospacing="0"/>
        <w:jc w:val="both"/>
        <w:rPr>
          <w:rFonts w:asciiTheme="majorHAnsi" w:hAnsiTheme="majorHAnsi"/>
          <w:sz w:val="20"/>
          <w:szCs w:val="20"/>
          <w:lang w:val="es-ES"/>
        </w:rPr>
      </w:pPr>
    </w:p>
    <w:p w14:paraId="5DFCCE11" w14:textId="77777777" w:rsidR="00702483" w:rsidRPr="00476711" w:rsidRDefault="00702483" w:rsidP="00476711">
      <w:pPr>
        <w:pStyle w:val="Heading3"/>
        <w:keepLines/>
        <w:numPr>
          <w:ilvl w:val="3"/>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21" w:name="_Toc90289323"/>
      <w:r w:rsidRPr="00476711">
        <w:rPr>
          <w:rFonts w:asciiTheme="majorHAnsi" w:hAnsiTheme="majorHAnsi"/>
          <w:sz w:val="20"/>
          <w:szCs w:val="20"/>
          <w:lang w:val="es-ES"/>
        </w:rPr>
        <w:t>La peligrosidad futura en la imposición de la pena de muerte</w:t>
      </w:r>
      <w:bookmarkEnd w:id="21"/>
    </w:p>
    <w:p w14:paraId="467A5B09" w14:textId="77777777" w:rsidR="00702483" w:rsidRPr="008D5BCE" w:rsidRDefault="00702483" w:rsidP="00702483">
      <w:pPr>
        <w:pStyle w:val="NormalWeb"/>
        <w:tabs>
          <w:tab w:val="left" w:pos="360"/>
        </w:tabs>
        <w:spacing w:before="0" w:beforeAutospacing="0" w:after="0" w:afterAutospacing="0"/>
        <w:jc w:val="both"/>
        <w:rPr>
          <w:rFonts w:asciiTheme="majorHAnsi" w:hAnsiTheme="majorHAnsi"/>
          <w:sz w:val="20"/>
          <w:szCs w:val="20"/>
          <w:lang w:val="es-ES"/>
        </w:rPr>
      </w:pPr>
    </w:p>
    <w:p w14:paraId="5F034D0C" w14:textId="77777777" w:rsidR="00702483" w:rsidRPr="008D5BCE" w:rsidRDefault="00702483" w:rsidP="0070248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bCs/>
          <w:sz w:val="20"/>
          <w:szCs w:val="20"/>
          <w:lang w:val="es-ES"/>
        </w:rPr>
      </w:pPr>
      <w:r>
        <w:rPr>
          <w:rFonts w:asciiTheme="majorHAnsi" w:hAnsiTheme="majorHAnsi"/>
          <w:bCs/>
          <w:sz w:val="20"/>
          <w:szCs w:val="20"/>
          <w:lang w:val="es-ES"/>
        </w:rPr>
        <w:lastRenderedPageBreak/>
        <w:t>Con respecto a la evaluación de la</w:t>
      </w:r>
      <w:r w:rsidRPr="008D5BCE">
        <w:rPr>
          <w:rFonts w:asciiTheme="majorHAnsi" w:hAnsiTheme="majorHAnsi"/>
          <w:bCs/>
          <w:sz w:val="20"/>
          <w:szCs w:val="20"/>
          <w:lang w:val="es-ES"/>
        </w:rPr>
        <w:t xml:space="preserve"> </w:t>
      </w:r>
      <w:r>
        <w:rPr>
          <w:rFonts w:asciiTheme="majorHAnsi" w:hAnsiTheme="majorHAnsi"/>
          <w:bCs/>
          <w:sz w:val="20"/>
          <w:szCs w:val="20"/>
          <w:lang w:val="es-ES"/>
        </w:rPr>
        <w:t>peligrosidad futura</w:t>
      </w:r>
      <w:r w:rsidRPr="008D5BCE">
        <w:rPr>
          <w:rFonts w:asciiTheme="majorHAnsi" w:hAnsiTheme="majorHAnsi"/>
          <w:bCs/>
          <w:sz w:val="20"/>
          <w:szCs w:val="20"/>
          <w:lang w:val="es-ES"/>
        </w:rPr>
        <w:t xml:space="preserve"> </w:t>
      </w:r>
      <w:r>
        <w:rPr>
          <w:rFonts w:asciiTheme="majorHAnsi" w:hAnsiTheme="majorHAnsi"/>
          <w:bCs/>
          <w:sz w:val="20"/>
          <w:szCs w:val="20"/>
          <w:lang w:val="es-ES"/>
        </w:rPr>
        <w:t>en la imposición de una sentencia, esta Comisión ha observado que los estudios indican que no es fiable</w:t>
      </w:r>
      <w:r w:rsidRPr="008D5BCE">
        <w:rPr>
          <w:rStyle w:val="FootnoteReference"/>
          <w:sz w:val="20"/>
          <w:lang w:val="es-ES"/>
        </w:rPr>
        <w:footnoteReference w:id="38"/>
      </w:r>
      <w:r>
        <w:rPr>
          <w:rFonts w:asciiTheme="majorHAnsi" w:hAnsiTheme="majorHAnsi"/>
          <w:bCs/>
          <w:sz w:val="20"/>
          <w:szCs w:val="20"/>
          <w:lang w:val="es-ES"/>
        </w:rPr>
        <w:t xml:space="preserve">. </w:t>
      </w:r>
      <w:r w:rsidRPr="008D5BCE">
        <w:rPr>
          <w:sz w:val="20"/>
          <w:lang w:val="es-ES"/>
        </w:rPr>
        <w:t>La CIDH ha señalado que la peligrosidad futura puede ser problemática, en vista de su índole discrecional y del riesgo de que se consideren factores tales como la raza</w:t>
      </w:r>
      <w:r w:rsidRPr="008D5BCE">
        <w:rPr>
          <w:rStyle w:val="FootnoteReference"/>
          <w:sz w:val="20"/>
          <w:lang w:val="es-ES"/>
        </w:rPr>
        <w:footnoteReference w:id="39"/>
      </w:r>
      <w:r w:rsidRPr="008D5BCE">
        <w:rPr>
          <w:sz w:val="20"/>
          <w:lang w:val="es-ES"/>
        </w:rPr>
        <w:t>:</w:t>
      </w:r>
    </w:p>
    <w:p w14:paraId="1CAFAAF7" w14:textId="77777777" w:rsidR="00702483" w:rsidRPr="008D5BCE" w:rsidRDefault="00702483" w:rsidP="00702483">
      <w:pPr>
        <w:pStyle w:val="ListParagraph"/>
        <w:rPr>
          <w:sz w:val="20"/>
          <w:lang w:val="es-ES"/>
        </w:rPr>
      </w:pPr>
    </w:p>
    <w:p w14:paraId="1A3E84E6" w14:textId="77777777" w:rsidR="00702483" w:rsidRPr="008D5BCE" w:rsidRDefault="00702483" w:rsidP="00702483">
      <w:pPr>
        <w:pStyle w:val="ListParagraph"/>
        <w:tabs>
          <w:tab w:val="left" w:pos="360"/>
        </w:tabs>
        <w:autoSpaceDE w:val="0"/>
        <w:autoSpaceDN w:val="0"/>
        <w:adjustRightInd w:val="0"/>
        <w:ind w:left="360" w:right="360"/>
        <w:jc w:val="both"/>
        <w:rPr>
          <w:bCs/>
          <w:sz w:val="18"/>
          <w:szCs w:val="18"/>
          <w:lang w:val="es-ES"/>
        </w:rPr>
      </w:pPr>
      <w:r w:rsidRPr="008D5BCE">
        <w:rPr>
          <w:sz w:val="18"/>
          <w:szCs w:val="18"/>
          <w:lang w:val="es-ES"/>
        </w:rPr>
        <w:t>el elemento de la peligrosidad futura otorga un alto grado de discrecionalidad al jurado para establecer la pena más grave posible, lo que puede resultar problemático al tratarse de la probabilidad de que un hecho futuro llegue a ocurrir, excediendo al delito efectivamente cometido por la persona en cuestión. En ese sentido, la Comisión considera que</w:t>
      </w:r>
      <w:r>
        <w:rPr>
          <w:sz w:val="18"/>
          <w:szCs w:val="18"/>
          <w:lang w:val="es-ES"/>
        </w:rPr>
        <w:t xml:space="preserve">, </w:t>
      </w:r>
      <w:r w:rsidRPr="008D5BCE">
        <w:rPr>
          <w:sz w:val="18"/>
          <w:szCs w:val="18"/>
          <w:lang w:val="es-ES"/>
        </w:rPr>
        <w:t xml:space="preserve">al tratarse de un criterio que requiere de una decisión subjetiva y especulativa por parte del jurado, su sola exigencia en la legislación interna del estado de Texas constituye un riesgo permanente de que se cometan violaciones a los derechos humanos en perjuicio de la persona condenada y, en consecuencia, se imponga la pena de muerte de manera arbitraria. Esto puede incluir la consideración indebida de factores como la raza o la salud mental […].   </w:t>
      </w:r>
    </w:p>
    <w:p w14:paraId="6B7D23C0" w14:textId="77777777" w:rsidR="00702483" w:rsidRPr="008D5BCE" w:rsidRDefault="00702483" w:rsidP="00702483">
      <w:pPr>
        <w:pStyle w:val="ListParagraph"/>
        <w:tabs>
          <w:tab w:val="left" w:pos="360"/>
        </w:tabs>
        <w:autoSpaceDE w:val="0"/>
        <w:autoSpaceDN w:val="0"/>
        <w:adjustRightInd w:val="0"/>
        <w:ind w:left="0"/>
        <w:jc w:val="both"/>
        <w:rPr>
          <w:rFonts w:asciiTheme="majorHAnsi" w:hAnsiTheme="majorHAnsi"/>
          <w:bCs/>
          <w:color w:val="auto"/>
          <w:sz w:val="20"/>
          <w:szCs w:val="20"/>
          <w:lang w:val="es-ES"/>
        </w:rPr>
      </w:pPr>
    </w:p>
    <w:p w14:paraId="3AD15F6E" w14:textId="77777777" w:rsidR="00702483" w:rsidRPr="008D5BCE" w:rsidRDefault="00702483" w:rsidP="0070248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lang w:val="es-ES"/>
        </w:rPr>
      </w:pPr>
      <w:r w:rsidRPr="008D5BCE">
        <w:rPr>
          <w:rFonts w:asciiTheme="majorHAnsi" w:hAnsiTheme="majorHAnsi"/>
          <w:sz w:val="20"/>
          <w:szCs w:val="20"/>
          <w:lang w:val="es-ES"/>
        </w:rPr>
        <w:t>La Corte Interamericana ha señalado que la invocación de la peligrosidad futura infringe el principio de legalidad</w:t>
      </w:r>
      <w:r>
        <w:rPr>
          <w:rFonts w:asciiTheme="majorHAnsi" w:hAnsiTheme="majorHAnsi"/>
          <w:sz w:val="20"/>
          <w:szCs w:val="20"/>
          <w:lang w:val="es-ES"/>
        </w:rPr>
        <w:t xml:space="preserve"> y </w:t>
      </w:r>
      <w:r w:rsidRPr="008D5BCE">
        <w:rPr>
          <w:rFonts w:asciiTheme="majorHAnsi" w:hAnsiTheme="majorHAnsi"/>
          <w:sz w:val="20"/>
          <w:szCs w:val="20"/>
          <w:lang w:val="es-ES"/>
        </w:rPr>
        <w:t xml:space="preserve">“constituye claramente una expresión del ejercicio del </w:t>
      </w:r>
      <w:r w:rsidRPr="008D5BCE">
        <w:rPr>
          <w:rFonts w:asciiTheme="majorHAnsi" w:hAnsiTheme="majorHAnsi"/>
          <w:i/>
          <w:iCs/>
          <w:sz w:val="20"/>
          <w:szCs w:val="20"/>
          <w:lang w:val="es-ES"/>
        </w:rPr>
        <w:t>ius puniendi</w:t>
      </w:r>
      <w:r w:rsidRPr="008D5BCE">
        <w:rPr>
          <w:rFonts w:asciiTheme="majorHAnsi" w:hAnsiTheme="majorHAnsi"/>
          <w:sz w:val="20"/>
          <w:szCs w:val="20"/>
          <w:lang w:val="es-ES"/>
        </w:rPr>
        <w:t xml:space="preserve"> estatal sobre la base de las características personales del agente y no del hecho cometido, es decir, sustituye el Derecho Penal de acto o de hecho, propio del sistema penal de una sociedad democrática, por el Derecho Penal de autor, que abre la puerta al autoritarismo precisamente en una materia en la que se hallan en juego los bienes jurídicos de mayor jerarquía”</w:t>
      </w:r>
      <w:r w:rsidRPr="008D5BCE">
        <w:rPr>
          <w:rStyle w:val="FootnoteReference"/>
          <w:rFonts w:asciiTheme="majorHAnsi" w:hAnsiTheme="majorHAnsi"/>
          <w:sz w:val="20"/>
          <w:szCs w:val="20"/>
          <w:lang w:val="es-ES"/>
        </w:rPr>
        <w:footnoteReference w:id="40"/>
      </w:r>
      <w:r w:rsidRPr="008D5BCE">
        <w:rPr>
          <w:rFonts w:asciiTheme="majorHAnsi" w:hAnsiTheme="majorHAnsi"/>
          <w:sz w:val="20"/>
          <w:szCs w:val="20"/>
          <w:lang w:val="es-ES"/>
        </w:rPr>
        <w:t xml:space="preserve">. </w:t>
      </w:r>
      <w:r w:rsidRPr="008D5BCE">
        <w:rPr>
          <w:bCs/>
          <w:sz w:val="20"/>
          <w:szCs w:val="20"/>
          <w:lang w:val="es-ES"/>
        </w:rPr>
        <w:t>La Corte agregó que la valoración de la peligrosidad</w:t>
      </w:r>
      <w:r w:rsidRPr="008D5BCE">
        <w:rPr>
          <w:rStyle w:val="FootnoteReference"/>
          <w:bCs/>
          <w:sz w:val="20"/>
          <w:szCs w:val="20"/>
          <w:lang w:val="es-ES"/>
        </w:rPr>
        <w:footnoteReference w:id="41"/>
      </w:r>
      <w:r w:rsidRPr="008D5BCE">
        <w:rPr>
          <w:bCs/>
          <w:sz w:val="20"/>
          <w:szCs w:val="20"/>
          <w:lang w:val="es-ES"/>
        </w:rPr>
        <w:t>:</w:t>
      </w:r>
    </w:p>
    <w:p w14:paraId="0D46E158" w14:textId="77777777" w:rsidR="00702483" w:rsidRPr="008D5BCE" w:rsidRDefault="00702483" w:rsidP="00702483">
      <w:pPr>
        <w:pStyle w:val="ListParagraph"/>
        <w:tabs>
          <w:tab w:val="num" w:pos="0"/>
          <w:tab w:val="left" w:pos="360"/>
        </w:tabs>
        <w:autoSpaceDE w:val="0"/>
        <w:autoSpaceDN w:val="0"/>
        <w:adjustRightInd w:val="0"/>
        <w:ind w:left="0"/>
        <w:jc w:val="both"/>
        <w:rPr>
          <w:bCs/>
          <w:sz w:val="20"/>
          <w:szCs w:val="20"/>
          <w:lang w:val="es-ES"/>
        </w:rPr>
      </w:pPr>
    </w:p>
    <w:p w14:paraId="733FB366" w14:textId="77777777" w:rsidR="00702483" w:rsidRPr="008D5BCE" w:rsidRDefault="00702483" w:rsidP="00702483">
      <w:pPr>
        <w:pStyle w:val="ListParagraph"/>
        <w:tabs>
          <w:tab w:val="num" w:pos="360"/>
        </w:tabs>
        <w:autoSpaceDE w:val="0"/>
        <w:autoSpaceDN w:val="0"/>
        <w:adjustRightInd w:val="0"/>
        <w:ind w:left="360" w:right="360"/>
        <w:jc w:val="both"/>
        <w:rPr>
          <w:bCs/>
          <w:sz w:val="18"/>
          <w:szCs w:val="18"/>
          <w:lang w:val="es-ES"/>
        </w:rPr>
      </w:pPr>
      <w:r w:rsidRPr="008D5BCE">
        <w:rPr>
          <w:bCs/>
          <w:sz w:val="18"/>
          <w:szCs w:val="18"/>
          <w:lang w:val="es-ES"/>
        </w:rPr>
        <w:t>implica la apreciación del juzgador acerca de las probabilidades de que el imputado cometa hechos delictuosos en el futuro, es decir, agrega a la imputación por los hechos realizados la previsión de hechos futuros que probablemente ocurrirán. […]</w:t>
      </w:r>
      <w:r>
        <w:rPr>
          <w:bCs/>
          <w:sz w:val="18"/>
          <w:szCs w:val="18"/>
          <w:lang w:val="es-ES"/>
        </w:rPr>
        <w:t xml:space="preserve"> </w:t>
      </w:r>
      <w:r w:rsidRPr="008D5BCE">
        <w:rPr>
          <w:bCs/>
          <w:sz w:val="18"/>
          <w:szCs w:val="18"/>
          <w:lang w:val="es-ES"/>
        </w:rPr>
        <w:t xml:space="preserve">En fin de cuentas, se sancionaría al individuo —con pena de muerte inclusive— no con apoyo en lo que ha hecho, sino en lo que es. Sobra ponderar las implicaciones, que son evidentes, de este retorno al pasado, absolutamente inaceptable desde la perspectiva de los derechos humanos. </w:t>
      </w:r>
    </w:p>
    <w:p w14:paraId="6DD2465D" w14:textId="77777777" w:rsidR="00702483" w:rsidRPr="008D5BCE" w:rsidRDefault="00702483" w:rsidP="00702483">
      <w:pPr>
        <w:pStyle w:val="NormalWeb"/>
        <w:tabs>
          <w:tab w:val="left" w:pos="360"/>
        </w:tabs>
        <w:spacing w:before="0" w:beforeAutospacing="0" w:after="0" w:afterAutospacing="0"/>
        <w:jc w:val="both"/>
        <w:rPr>
          <w:rFonts w:asciiTheme="majorHAnsi" w:hAnsiTheme="majorHAnsi"/>
          <w:sz w:val="20"/>
          <w:szCs w:val="20"/>
          <w:lang w:val="es-ES"/>
        </w:rPr>
      </w:pPr>
    </w:p>
    <w:p w14:paraId="36E256CC" w14:textId="77777777" w:rsidR="00702483" w:rsidRPr="008D5BCE" w:rsidRDefault="00702483" w:rsidP="00702483">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lang w:val="es-ES"/>
        </w:rPr>
      </w:pPr>
      <w:r>
        <w:rPr>
          <w:rFonts w:asciiTheme="majorHAnsi" w:eastAsiaTheme="minorHAnsi" w:hAnsiTheme="majorHAnsi"/>
          <w:sz w:val="20"/>
          <w:lang w:val="es-ES"/>
        </w:rPr>
        <w:t xml:space="preserve">Por lo tanto, basar una sentencia en una evaluación subjetiva de la </w:t>
      </w:r>
      <w:r>
        <w:rPr>
          <w:rFonts w:asciiTheme="majorHAnsi" w:hAnsiTheme="majorHAnsi"/>
          <w:bCs/>
          <w:sz w:val="20"/>
          <w:szCs w:val="20"/>
          <w:lang w:val="es-ES"/>
        </w:rPr>
        <w:t>peligrosidad futura</w:t>
      </w:r>
      <w:r w:rsidRPr="008D5BCE">
        <w:rPr>
          <w:rFonts w:asciiTheme="majorHAnsi" w:hAnsiTheme="majorHAnsi"/>
          <w:bCs/>
          <w:sz w:val="20"/>
          <w:szCs w:val="20"/>
          <w:lang w:val="es-ES"/>
        </w:rPr>
        <w:t xml:space="preserve"> </w:t>
      </w:r>
      <w:r>
        <w:rPr>
          <w:rFonts w:asciiTheme="majorHAnsi" w:hAnsiTheme="majorHAnsi"/>
          <w:bCs/>
          <w:sz w:val="20"/>
          <w:szCs w:val="20"/>
          <w:lang w:val="es-ES"/>
        </w:rPr>
        <w:t>infringe la presunción de inocencia porque equivale a una presunción de culpabilidad de delitos futuros que quizá nunca se cometan. Por lo tanto, se impondría una pena para prevenir tales actos presuntos, en vez de sancionar al condenado por los actos cometidos</w:t>
      </w:r>
      <w:r w:rsidRPr="008D5BCE">
        <w:rPr>
          <w:rStyle w:val="FootnoteReference"/>
          <w:rFonts w:asciiTheme="majorHAnsi" w:hAnsiTheme="majorHAnsi"/>
          <w:bCs/>
          <w:sz w:val="20"/>
          <w:szCs w:val="20"/>
          <w:lang w:val="es-ES"/>
        </w:rPr>
        <w:footnoteReference w:id="42"/>
      </w:r>
      <w:r w:rsidRPr="008D5BCE">
        <w:rPr>
          <w:rFonts w:asciiTheme="majorHAnsi" w:hAnsiTheme="majorHAnsi"/>
          <w:bCs/>
          <w:sz w:val="20"/>
          <w:szCs w:val="20"/>
          <w:lang w:val="es-ES"/>
        </w:rPr>
        <w:t xml:space="preserve">. </w:t>
      </w:r>
      <w:r>
        <w:rPr>
          <w:rFonts w:asciiTheme="majorHAnsi" w:hAnsiTheme="majorHAnsi"/>
          <w:bCs/>
          <w:sz w:val="20"/>
          <w:szCs w:val="20"/>
          <w:lang w:val="es-ES"/>
        </w:rPr>
        <w:t>En consecuencia</w:t>
      </w:r>
      <w:r w:rsidRPr="008D5BCE">
        <w:rPr>
          <w:rFonts w:asciiTheme="majorHAnsi" w:hAnsiTheme="majorHAnsi"/>
          <w:sz w:val="20"/>
          <w:lang w:val="es-ES"/>
        </w:rPr>
        <w:t xml:space="preserve">, el elemento de peligrosidad futura otorga al jurado un alto grado de discrecionalidad para imponer la pena más severa posible y puede resultar </w:t>
      </w:r>
      <w:r w:rsidRPr="008D5BCE">
        <w:rPr>
          <w:rFonts w:asciiTheme="majorHAnsi" w:eastAsiaTheme="minorHAnsi" w:hAnsiTheme="majorHAnsi"/>
          <w:sz w:val="20"/>
          <w:lang w:val="es-ES"/>
        </w:rPr>
        <w:t>problemátic</w:t>
      </w:r>
      <w:r>
        <w:rPr>
          <w:rFonts w:asciiTheme="majorHAnsi" w:eastAsiaTheme="minorHAnsi" w:hAnsiTheme="majorHAnsi"/>
          <w:sz w:val="20"/>
          <w:lang w:val="es-ES"/>
        </w:rPr>
        <w:t>o</w:t>
      </w:r>
      <w:r w:rsidRPr="008D5BCE">
        <w:rPr>
          <w:rFonts w:asciiTheme="majorHAnsi" w:hAnsiTheme="majorHAnsi"/>
          <w:sz w:val="20"/>
          <w:lang w:val="es-ES"/>
        </w:rPr>
        <w:t xml:space="preserve">, </w:t>
      </w:r>
      <w:r>
        <w:rPr>
          <w:rFonts w:asciiTheme="majorHAnsi" w:hAnsiTheme="majorHAnsi"/>
          <w:sz w:val="20"/>
          <w:lang w:val="es-ES"/>
        </w:rPr>
        <w:t xml:space="preserve">en vista de </w:t>
      </w:r>
      <w:r w:rsidRPr="008D5BCE">
        <w:rPr>
          <w:rFonts w:asciiTheme="majorHAnsi" w:hAnsiTheme="majorHAnsi"/>
          <w:sz w:val="20"/>
          <w:lang w:val="es-ES"/>
        </w:rPr>
        <w:t xml:space="preserve">la probabilidad de que ocurra un acto futuro que exceda el alcance del delito efectivamente cometido por la persona en cuestión. </w:t>
      </w:r>
      <w:r w:rsidRPr="008D5BCE">
        <w:rPr>
          <w:rFonts w:asciiTheme="majorHAnsi" w:eastAsiaTheme="minorHAnsi" w:hAnsiTheme="majorHAnsi"/>
          <w:sz w:val="20"/>
          <w:lang w:val="es-ES"/>
        </w:rPr>
        <w:t>El Comité de Derechos Humanos del Pacto Internacional de Derechos Civiles y Políticos ha</w:t>
      </w:r>
      <w:r>
        <w:rPr>
          <w:rFonts w:asciiTheme="majorHAnsi" w:eastAsiaTheme="minorHAnsi" w:hAnsiTheme="majorHAnsi"/>
          <w:sz w:val="20"/>
          <w:lang w:val="es-ES"/>
        </w:rPr>
        <w:t xml:space="preserve"> llegado a conclusiones </w:t>
      </w:r>
      <w:r w:rsidRPr="008D5BCE">
        <w:rPr>
          <w:rFonts w:asciiTheme="majorHAnsi" w:eastAsiaTheme="minorHAnsi" w:hAnsiTheme="majorHAnsi"/>
          <w:sz w:val="20"/>
          <w:lang w:val="es-ES"/>
        </w:rPr>
        <w:t>similar</w:t>
      </w:r>
      <w:r>
        <w:rPr>
          <w:rFonts w:asciiTheme="majorHAnsi" w:eastAsiaTheme="minorHAnsi" w:hAnsiTheme="majorHAnsi"/>
          <w:sz w:val="20"/>
          <w:lang w:val="es-ES"/>
        </w:rPr>
        <w:t>es</w:t>
      </w:r>
      <w:r w:rsidRPr="008D5BCE">
        <w:rPr>
          <w:rStyle w:val="FootnoteReference"/>
          <w:rFonts w:asciiTheme="majorHAnsi" w:eastAsia="Cambria" w:hAnsiTheme="majorHAnsi"/>
          <w:bCs/>
          <w:color w:val="000000"/>
          <w:sz w:val="20"/>
          <w:u w:color="000000"/>
          <w:bdr w:val="nil"/>
          <w:lang w:val="es-ES" w:eastAsia="es-ES"/>
        </w:rPr>
        <w:footnoteReference w:id="43"/>
      </w:r>
      <w:r>
        <w:rPr>
          <w:rFonts w:asciiTheme="majorHAnsi" w:eastAsiaTheme="minorHAnsi" w:hAnsiTheme="majorHAnsi"/>
          <w:sz w:val="20"/>
          <w:lang w:val="es-ES"/>
        </w:rPr>
        <w:t>.</w:t>
      </w:r>
    </w:p>
    <w:p w14:paraId="24289113" w14:textId="77777777" w:rsidR="00702483" w:rsidRPr="008D5BCE" w:rsidRDefault="00702483" w:rsidP="00702483">
      <w:pPr>
        <w:pStyle w:val="ListParagraph"/>
        <w:rPr>
          <w:rFonts w:asciiTheme="majorHAnsi" w:eastAsiaTheme="minorHAnsi" w:hAnsiTheme="majorHAnsi"/>
          <w:sz w:val="20"/>
          <w:lang w:val="es-ES"/>
        </w:rPr>
      </w:pPr>
    </w:p>
    <w:p w14:paraId="43524BE3" w14:textId="77777777" w:rsidR="00702483" w:rsidRPr="008D5BCE" w:rsidRDefault="00702483" w:rsidP="00702483">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lang w:val="es-ES"/>
        </w:rPr>
      </w:pPr>
      <w:r w:rsidRPr="008D5BCE">
        <w:rPr>
          <w:rFonts w:asciiTheme="majorHAnsi" w:eastAsiaTheme="minorHAnsi" w:hAnsiTheme="majorHAnsi"/>
          <w:sz w:val="20"/>
          <w:lang w:val="es-ES"/>
        </w:rPr>
        <w:t xml:space="preserve">La Comisión </w:t>
      </w:r>
      <w:r>
        <w:rPr>
          <w:rFonts w:asciiTheme="majorHAnsi" w:eastAsiaTheme="minorHAnsi" w:hAnsiTheme="majorHAnsi"/>
          <w:sz w:val="20"/>
          <w:lang w:val="es-ES"/>
        </w:rPr>
        <w:t xml:space="preserve">considera </w:t>
      </w:r>
      <w:r w:rsidRPr="008D5BCE">
        <w:rPr>
          <w:rFonts w:asciiTheme="majorHAnsi" w:eastAsiaTheme="minorHAnsi" w:hAnsiTheme="majorHAnsi"/>
          <w:sz w:val="20"/>
          <w:lang w:val="es-ES"/>
        </w:rPr>
        <w:t>important</w:t>
      </w:r>
      <w:r>
        <w:rPr>
          <w:rFonts w:asciiTheme="majorHAnsi" w:eastAsiaTheme="minorHAnsi" w:hAnsiTheme="majorHAnsi"/>
          <w:sz w:val="20"/>
          <w:lang w:val="es-ES"/>
        </w:rPr>
        <w:t>e</w:t>
      </w:r>
      <w:r w:rsidRPr="008D5BCE">
        <w:rPr>
          <w:rFonts w:asciiTheme="majorHAnsi" w:eastAsiaTheme="minorHAnsi" w:hAnsiTheme="majorHAnsi"/>
          <w:sz w:val="20"/>
          <w:lang w:val="es-ES"/>
        </w:rPr>
        <w:t xml:space="preserve"> </w:t>
      </w:r>
      <w:r>
        <w:rPr>
          <w:rFonts w:asciiTheme="majorHAnsi" w:eastAsiaTheme="minorHAnsi" w:hAnsiTheme="majorHAnsi"/>
          <w:sz w:val="20"/>
          <w:lang w:val="es-ES"/>
        </w:rPr>
        <w:t>tener en cuenta las observaciones</w:t>
      </w:r>
      <w:r w:rsidRPr="008D5BCE">
        <w:rPr>
          <w:rFonts w:asciiTheme="majorHAnsi" w:eastAsiaTheme="minorHAnsi" w:hAnsiTheme="majorHAnsi"/>
          <w:sz w:val="20"/>
          <w:lang w:val="es-ES"/>
        </w:rPr>
        <w:t xml:space="preserve"> similar</w:t>
      </w:r>
      <w:r>
        <w:rPr>
          <w:rFonts w:asciiTheme="majorHAnsi" w:eastAsiaTheme="minorHAnsi" w:hAnsiTheme="majorHAnsi"/>
          <w:sz w:val="20"/>
          <w:lang w:val="es-ES"/>
        </w:rPr>
        <w:t xml:space="preserve">es del </w:t>
      </w:r>
      <w:r w:rsidRPr="009E1B0C">
        <w:rPr>
          <w:rFonts w:asciiTheme="majorHAnsi" w:eastAsiaTheme="minorHAnsi" w:hAnsiTheme="majorHAnsi"/>
          <w:sz w:val="20"/>
          <w:lang w:val="es-ES"/>
        </w:rPr>
        <w:t>Comité de Derechos Humanos</w:t>
      </w:r>
      <w:r>
        <w:rPr>
          <w:rFonts w:asciiTheme="majorHAnsi" w:eastAsiaTheme="minorHAnsi" w:hAnsiTheme="majorHAnsi"/>
          <w:sz w:val="20"/>
          <w:lang w:val="es-ES"/>
        </w:rPr>
        <w:t xml:space="preserve">, del cual </w:t>
      </w:r>
      <w:r w:rsidRPr="008D5BCE">
        <w:rPr>
          <w:rFonts w:asciiTheme="majorHAnsi" w:eastAsiaTheme="minorHAnsi" w:hAnsiTheme="majorHAnsi"/>
          <w:sz w:val="20"/>
          <w:lang w:val="es-ES"/>
        </w:rPr>
        <w:t xml:space="preserve">Estados Unidos </w:t>
      </w:r>
      <w:r>
        <w:rPr>
          <w:rFonts w:asciiTheme="majorHAnsi" w:eastAsiaTheme="minorHAnsi" w:hAnsiTheme="majorHAnsi"/>
          <w:sz w:val="20"/>
          <w:lang w:val="es-ES"/>
        </w:rPr>
        <w:t>es parte</w:t>
      </w:r>
      <w:r w:rsidRPr="008D5BCE">
        <w:rPr>
          <w:rFonts w:asciiTheme="majorHAnsi" w:eastAsiaTheme="minorHAnsi" w:hAnsiTheme="majorHAnsi"/>
          <w:sz w:val="20"/>
          <w:lang w:val="es-ES"/>
        </w:rPr>
        <w:t xml:space="preserve">: </w:t>
      </w:r>
    </w:p>
    <w:p w14:paraId="47360FF7" w14:textId="77777777" w:rsidR="00702483" w:rsidRPr="008D5BCE" w:rsidRDefault="00702483" w:rsidP="00702483">
      <w:pPr>
        <w:pStyle w:val="ListParagraph"/>
        <w:ind w:left="360"/>
        <w:rPr>
          <w:rFonts w:asciiTheme="majorHAnsi" w:eastAsiaTheme="minorHAnsi" w:hAnsiTheme="majorHAnsi"/>
          <w:sz w:val="20"/>
          <w:bdr w:val="none" w:sz="0" w:space="0" w:color="auto"/>
          <w:lang w:val="es-ES"/>
        </w:rPr>
      </w:pPr>
    </w:p>
    <w:p w14:paraId="000F6208"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Cambria" w:hAnsi="Cambria" w:cs="Cambria"/>
          <w:sz w:val="18"/>
          <w:szCs w:val="20"/>
          <w:lang w:val="es-ES"/>
        </w:rPr>
      </w:pPr>
      <w:r w:rsidRPr="008D5BCE">
        <w:rPr>
          <w:rFonts w:ascii="Cambria" w:eastAsia="Cambria" w:hAnsi="Cambria" w:cs="Cambria"/>
          <w:sz w:val="18"/>
          <w:szCs w:val="20"/>
          <w:lang w:val="es-ES"/>
        </w:rPr>
        <w:t>El concepto de peligro temido o previsto para la colectividad, que se aplica en el caso de las personas que han delinquido, es en sí problemático. Se basa esencialmente en una opinión y no en pruebas fácticas [...].</w:t>
      </w:r>
      <w:r>
        <w:rPr>
          <w:rFonts w:ascii="Cambria" w:eastAsia="Cambria" w:hAnsi="Cambria" w:cs="Cambria"/>
          <w:sz w:val="18"/>
          <w:szCs w:val="20"/>
          <w:lang w:val="es-ES"/>
        </w:rPr>
        <w:t xml:space="preserve"> </w:t>
      </w:r>
      <w:r w:rsidRPr="008D5BCE">
        <w:rPr>
          <w:rFonts w:ascii="Cambria" w:eastAsia="Cambria" w:hAnsi="Cambria" w:cs="Cambria"/>
          <w:sz w:val="18"/>
          <w:szCs w:val="20"/>
          <w:lang w:val="es-ES"/>
        </w:rPr>
        <w:t>Si bien es cierto que los tribunales son libres de aceptar o rechazar la opinión de los expertos y deben examinar todas las demás pruebas pertinentes de que se disponga, la realidad es que los tribunales tienen que pronunciarse sobre la sospecha de comportamiento futuro de una persona que ha delinquido, comportamiento que podrá o no convertirse en realidad.</w:t>
      </w:r>
    </w:p>
    <w:p w14:paraId="69308493" w14:textId="77777777" w:rsidR="00702483" w:rsidRPr="008D5BCE" w:rsidRDefault="00702483" w:rsidP="00702483">
      <w:pPr>
        <w:pStyle w:val="NormalWeb"/>
        <w:tabs>
          <w:tab w:val="left" w:pos="360"/>
        </w:tabs>
        <w:spacing w:before="0" w:beforeAutospacing="0" w:after="0" w:afterAutospacing="0"/>
        <w:jc w:val="both"/>
        <w:rPr>
          <w:rFonts w:asciiTheme="majorHAnsi" w:hAnsiTheme="majorHAnsi"/>
          <w:sz w:val="20"/>
          <w:szCs w:val="20"/>
          <w:lang w:val="es-ES"/>
        </w:rPr>
      </w:pPr>
    </w:p>
    <w:p w14:paraId="055AFA09" w14:textId="77777777" w:rsidR="00702483" w:rsidRPr="008D5BCE" w:rsidRDefault="00702483" w:rsidP="00702483">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lang w:val="es-ES"/>
        </w:rPr>
      </w:pPr>
      <w:r w:rsidRPr="008D5BCE">
        <w:rPr>
          <w:rFonts w:asciiTheme="majorHAnsi" w:hAnsiTheme="majorHAnsi"/>
          <w:sz w:val="20"/>
          <w:lang w:val="es-ES"/>
        </w:rPr>
        <w:lastRenderedPageBreak/>
        <w:t xml:space="preserve">La Comisión </w:t>
      </w:r>
      <w:r>
        <w:rPr>
          <w:rFonts w:asciiTheme="majorHAnsi" w:hAnsiTheme="majorHAnsi"/>
          <w:sz w:val="20"/>
          <w:lang w:val="es-ES"/>
        </w:rPr>
        <w:t>observa que, en el juicio d</w:t>
      </w:r>
      <w:r w:rsidRPr="008D5BCE">
        <w:rPr>
          <w:rFonts w:asciiTheme="majorHAnsi" w:hAnsiTheme="majorHAnsi"/>
          <w:sz w:val="20"/>
          <w:lang w:val="es-ES"/>
        </w:rPr>
        <w:t>el señor Kadamovas</w:t>
      </w:r>
      <w:r>
        <w:rPr>
          <w:rFonts w:asciiTheme="majorHAnsi" w:hAnsiTheme="majorHAnsi"/>
          <w:sz w:val="20"/>
          <w:lang w:val="es-ES"/>
        </w:rPr>
        <w:t>, se dio instrucciones al jurado para que considerara su peligrosidad futura</w:t>
      </w:r>
      <w:r w:rsidRPr="008D5BCE">
        <w:rPr>
          <w:rFonts w:asciiTheme="majorHAnsi" w:hAnsiTheme="majorHAnsi"/>
          <w:sz w:val="20"/>
          <w:lang w:val="es-ES"/>
        </w:rPr>
        <w:t xml:space="preserve"> </w:t>
      </w:r>
      <w:r>
        <w:rPr>
          <w:rFonts w:asciiTheme="majorHAnsi" w:hAnsiTheme="majorHAnsi"/>
          <w:sz w:val="20"/>
          <w:lang w:val="es-ES"/>
        </w:rPr>
        <w:t xml:space="preserve">en una cárcel </w:t>
      </w:r>
      <w:r w:rsidRPr="008D5BCE">
        <w:rPr>
          <w:rFonts w:asciiTheme="majorHAnsi" w:hAnsiTheme="majorHAnsi"/>
          <w:sz w:val="20"/>
          <w:szCs w:val="20"/>
          <w:lang w:val="es-ES"/>
        </w:rPr>
        <w:t xml:space="preserve">federal </w:t>
      </w:r>
      <w:r>
        <w:rPr>
          <w:rFonts w:asciiTheme="majorHAnsi" w:hAnsiTheme="majorHAnsi"/>
          <w:sz w:val="20"/>
          <w:szCs w:val="20"/>
          <w:lang w:val="es-ES"/>
        </w:rPr>
        <w:t>y, e</w:t>
      </w:r>
      <w:r w:rsidRPr="008D5BCE">
        <w:rPr>
          <w:rFonts w:asciiTheme="majorHAnsi" w:hAnsiTheme="majorHAnsi"/>
          <w:sz w:val="20"/>
          <w:szCs w:val="20"/>
          <w:lang w:val="es-ES"/>
        </w:rPr>
        <w:t xml:space="preserve">n particular, </w:t>
      </w:r>
      <w:r>
        <w:rPr>
          <w:rFonts w:asciiTheme="majorHAnsi" w:hAnsiTheme="majorHAnsi"/>
          <w:sz w:val="20"/>
          <w:szCs w:val="20"/>
          <w:lang w:val="es-ES"/>
        </w:rPr>
        <w:t xml:space="preserve">la posibilidad </w:t>
      </w:r>
      <w:r w:rsidRPr="0018481F">
        <w:rPr>
          <w:rFonts w:asciiTheme="majorHAnsi" w:hAnsiTheme="majorHAnsi"/>
          <w:sz w:val="20"/>
          <w:szCs w:val="20"/>
          <w:lang w:val="es-ES"/>
        </w:rPr>
        <w:t>de una continuación de la conducta violenta, el riesgo de fuga y de mala conducta en la institución, y la falta de arrepentimiento</w:t>
      </w:r>
      <w:r w:rsidRPr="008D5BCE">
        <w:rPr>
          <w:rFonts w:asciiTheme="majorHAnsi" w:hAnsiTheme="majorHAnsi"/>
          <w:sz w:val="20"/>
          <w:szCs w:val="20"/>
          <w:lang w:val="es-ES"/>
        </w:rPr>
        <w:t>.</w:t>
      </w:r>
      <w:r w:rsidRPr="008D5BCE">
        <w:rPr>
          <w:rFonts w:asciiTheme="majorHAnsi" w:hAnsiTheme="majorHAnsi"/>
          <w:sz w:val="20"/>
          <w:lang w:val="es-ES"/>
        </w:rPr>
        <w:t xml:space="preserve"> </w:t>
      </w:r>
      <w:r>
        <w:rPr>
          <w:rFonts w:asciiTheme="majorHAnsi" w:hAnsiTheme="majorHAnsi"/>
          <w:sz w:val="20"/>
          <w:lang w:val="es-ES"/>
        </w:rPr>
        <w:t>Por lo tanto,</w:t>
      </w:r>
      <w:r w:rsidRPr="008D5BCE">
        <w:rPr>
          <w:rFonts w:asciiTheme="majorHAnsi" w:hAnsiTheme="majorHAnsi"/>
          <w:sz w:val="20"/>
          <w:lang w:val="es-ES"/>
        </w:rPr>
        <w:t xml:space="preserve"> la Comisión consider</w:t>
      </w:r>
      <w:r>
        <w:rPr>
          <w:rFonts w:asciiTheme="majorHAnsi" w:hAnsiTheme="majorHAnsi"/>
          <w:sz w:val="20"/>
          <w:lang w:val="es-ES"/>
        </w:rPr>
        <w:t xml:space="preserve">a que, en vista de que esto es una cuestión de criterio que depende de una decisión subjetiva y especulativa del jurado, el simple hecho de que se requiriera tal consideración y de que se hubieran dado instrucciones al jurado al respecto constituye una violación de los derechos amparados por los </w:t>
      </w:r>
      <w:r w:rsidRPr="008D5BCE">
        <w:rPr>
          <w:rFonts w:asciiTheme="majorHAnsi" w:hAnsiTheme="majorHAnsi"/>
          <w:sz w:val="20"/>
          <w:szCs w:val="20"/>
          <w:lang w:val="es-ES"/>
        </w:rPr>
        <w:t xml:space="preserve">artículos XVIII </w:t>
      </w:r>
      <w:r>
        <w:rPr>
          <w:rFonts w:asciiTheme="majorHAnsi" w:hAnsiTheme="majorHAnsi"/>
          <w:sz w:val="20"/>
          <w:szCs w:val="20"/>
          <w:lang w:val="es-ES"/>
        </w:rPr>
        <w:t>y</w:t>
      </w:r>
      <w:r w:rsidRPr="008D5BCE">
        <w:rPr>
          <w:rFonts w:asciiTheme="majorHAnsi" w:hAnsiTheme="majorHAnsi"/>
          <w:sz w:val="20"/>
          <w:szCs w:val="20"/>
          <w:lang w:val="es-ES"/>
        </w:rPr>
        <w:t xml:space="preserve"> XXVI </w:t>
      </w:r>
      <w:r>
        <w:rPr>
          <w:rFonts w:asciiTheme="majorHAnsi" w:hAnsiTheme="majorHAnsi"/>
          <w:sz w:val="20"/>
          <w:szCs w:val="20"/>
          <w:lang w:val="es-ES"/>
        </w:rPr>
        <w:t>de la Declaración</w:t>
      </w:r>
      <w:r w:rsidRPr="008D5BCE">
        <w:rPr>
          <w:rFonts w:asciiTheme="majorHAnsi" w:hAnsiTheme="majorHAnsi"/>
          <w:sz w:val="20"/>
          <w:szCs w:val="20"/>
          <w:lang w:val="es-ES"/>
        </w:rPr>
        <w:t xml:space="preserve"> American</w:t>
      </w:r>
      <w:r>
        <w:rPr>
          <w:rFonts w:asciiTheme="majorHAnsi" w:hAnsiTheme="majorHAnsi"/>
          <w:sz w:val="20"/>
          <w:szCs w:val="20"/>
          <w:lang w:val="es-ES"/>
        </w:rPr>
        <w:t xml:space="preserve">a, en perjuicio del </w:t>
      </w:r>
      <w:r w:rsidRPr="008D5BCE">
        <w:rPr>
          <w:rFonts w:asciiTheme="majorHAnsi" w:hAnsiTheme="majorHAnsi"/>
          <w:sz w:val="20"/>
          <w:szCs w:val="20"/>
          <w:lang w:val="es-ES"/>
        </w:rPr>
        <w:t xml:space="preserve">señor Kadamovas. </w:t>
      </w:r>
    </w:p>
    <w:p w14:paraId="0E36EB56"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6BEF0154" w14:textId="77777777" w:rsidR="00702483" w:rsidRPr="00476711" w:rsidRDefault="00702483" w:rsidP="007E283D">
      <w:pPr>
        <w:pStyle w:val="Heading2"/>
        <w:keepLines/>
        <w:numPr>
          <w:ilvl w:val="0"/>
          <w:numId w:val="61"/>
        </w:numPr>
        <w:pBdr>
          <w:top w:val="nil"/>
          <w:left w:val="nil"/>
          <w:bottom w:val="nil"/>
          <w:right w:val="nil"/>
          <w:between w:val="nil"/>
          <w:bar w:val="nil"/>
        </w:pBdr>
        <w:tabs>
          <w:tab w:val="left" w:pos="360"/>
        </w:tabs>
        <w:spacing w:before="0" w:after="0"/>
        <w:ind w:left="0" w:firstLine="0"/>
        <w:jc w:val="both"/>
        <w:rPr>
          <w:rFonts w:asciiTheme="majorHAnsi" w:hAnsiTheme="majorHAnsi"/>
          <w:i w:val="0"/>
          <w:sz w:val="20"/>
          <w:szCs w:val="20"/>
          <w:lang w:val="es-ES"/>
        </w:rPr>
      </w:pPr>
      <w:bookmarkStart w:id="22" w:name="_Toc90289324"/>
      <w:r w:rsidRPr="00476711">
        <w:rPr>
          <w:rFonts w:asciiTheme="majorHAnsi" w:hAnsiTheme="majorHAnsi"/>
          <w:i w:val="0"/>
          <w:sz w:val="20"/>
          <w:szCs w:val="20"/>
          <w:lang w:val="es-ES"/>
        </w:rPr>
        <w:t>Derecho al trato humanitario durante la privación de la libertad</w:t>
      </w:r>
      <w:r w:rsidRPr="00476711">
        <w:rPr>
          <w:rStyle w:val="FootnoteReference"/>
          <w:rFonts w:asciiTheme="majorHAnsi" w:hAnsiTheme="majorHAnsi"/>
          <w:i w:val="0"/>
          <w:sz w:val="20"/>
          <w:szCs w:val="20"/>
          <w:lang w:val="es-ES"/>
        </w:rPr>
        <w:footnoteReference w:id="44"/>
      </w:r>
      <w:r w:rsidRPr="00476711">
        <w:rPr>
          <w:rFonts w:asciiTheme="majorHAnsi" w:hAnsiTheme="majorHAnsi"/>
          <w:i w:val="0"/>
          <w:sz w:val="20"/>
          <w:szCs w:val="20"/>
          <w:lang w:val="es-ES"/>
        </w:rPr>
        <w:t>, a la salud</w:t>
      </w:r>
      <w:r w:rsidRPr="00476711">
        <w:rPr>
          <w:rStyle w:val="FootnoteReference"/>
          <w:rFonts w:asciiTheme="majorHAnsi" w:hAnsiTheme="majorHAnsi"/>
          <w:i w:val="0"/>
          <w:sz w:val="20"/>
          <w:szCs w:val="20"/>
          <w:lang w:val="es-ES"/>
        </w:rPr>
        <w:footnoteReference w:id="45"/>
      </w:r>
      <w:r w:rsidRPr="00476711">
        <w:rPr>
          <w:rFonts w:asciiTheme="majorHAnsi" w:hAnsiTheme="majorHAnsi"/>
          <w:i w:val="0"/>
          <w:sz w:val="20"/>
          <w:szCs w:val="20"/>
          <w:lang w:val="es-ES"/>
        </w:rPr>
        <w:t xml:space="preserve"> y a no recibir un castigo cruel, infamante o inusitado</w:t>
      </w:r>
      <w:bookmarkEnd w:id="22"/>
      <w:r w:rsidRPr="00476711">
        <w:rPr>
          <w:rFonts w:asciiTheme="majorHAnsi" w:hAnsiTheme="majorHAnsi"/>
          <w:i w:val="0"/>
          <w:sz w:val="20"/>
          <w:szCs w:val="20"/>
          <w:lang w:val="es-ES"/>
        </w:rPr>
        <w:t xml:space="preserve">  </w:t>
      </w:r>
    </w:p>
    <w:p w14:paraId="4B12F178" w14:textId="77777777" w:rsidR="00702483" w:rsidRPr="00476711" w:rsidRDefault="00702483" w:rsidP="00702483">
      <w:pPr>
        <w:pStyle w:val="ListParagraph"/>
        <w:tabs>
          <w:tab w:val="left" w:pos="360"/>
        </w:tabs>
        <w:rPr>
          <w:rFonts w:asciiTheme="majorHAnsi" w:hAnsiTheme="majorHAnsi"/>
          <w:sz w:val="20"/>
          <w:szCs w:val="20"/>
          <w:lang w:val="es-ES"/>
        </w:rPr>
      </w:pPr>
    </w:p>
    <w:p w14:paraId="30C66F79" w14:textId="77777777" w:rsidR="00702483" w:rsidRPr="00476711" w:rsidRDefault="00702483" w:rsidP="007E283D">
      <w:pPr>
        <w:pStyle w:val="Heading3"/>
        <w:keepLines/>
        <w:numPr>
          <w:ilvl w:val="0"/>
          <w:numId w:val="63"/>
        </w:numPr>
        <w:pBdr>
          <w:top w:val="nil"/>
          <w:left w:val="nil"/>
          <w:bottom w:val="nil"/>
          <w:right w:val="nil"/>
          <w:between w:val="nil"/>
          <w:bar w:val="nil"/>
        </w:pBdr>
        <w:spacing w:before="0" w:after="0"/>
        <w:ind w:left="360"/>
        <w:jc w:val="both"/>
        <w:rPr>
          <w:rFonts w:asciiTheme="majorHAnsi" w:hAnsiTheme="majorHAnsi"/>
          <w:sz w:val="20"/>
          <w:szCs w:val="20"/>
          <w:lang w:val="es-ES"/>
        </w:rPr>
      </w:pPr>
      <w:bookmarkStart w:id="23" w:name="_Toc90289325"/>
      <w:r w:rsidRPr="00476711">
        <w:rPr>
          <w:rFonts w:asciiTheme="majorHAnsi" w:hAnsiTheme="majorHAnsi"/>
          <w:sz w:val="20"/>
          <w:szCs w:val="20"/>
          <w:lang w:val="es-ES"/>
        </w:rPr>
        <w:t>La privación de la libertad en el corredor de la muerte y el derecho a la protección contra un castigo cruel, infamante o inusitado</w:t>
      </w:r>
      <w:bookmarkEnd w:id="23"/>
    </w:p>
    <w:p w14:paraId="47AF377E" w14:textId="77777777" w:rsidR="00702483" w:rsidRPr="008D5BCE" w:rsidRDefault="00702483" w:rsidP="00702483">
      <w:pPr>
        <w:pStyle w:val="ListParagraph"/>
        <w:tabs>
          <w:tab w:val="left" w:pos="360"/>
        </w:tabs>
        <w:ind w:left="0"/>
        <w:rPr>
          <w:b/>
          <w:sz w:val="20"/>
          <w:szCs w:val="20"/>
          <w:lang w:val="es-ES"/>
        </w:rPr>
      </w:pPr>
    </w:p>
    <w:p w14:paraId="27F0C201"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D5BCE">
        <w:rPr>
          <w:rFonts w:ascii="Cambria" w:hAnsi="Cambria"/>
          <w:sz w:val="20"/>
          <w:szCs w:val="20"/>
          <w:lang w:val="es-ES"/>
        </w:rPr>
        <w:t>Tanto en el derecho internacional de los derechos humanos como en el derecho comparado se ha desarrollado a lo largo de décadas el tema de la privación prolongada de la libertad en el corredor de la muerte, conocido como el “fenómeno del corredor de la muerte”, a la luz de la prohibición del trato cruel, inhumano y degradante dispuesta en las constituciones y en muchos tratados internacionales, entre ellos la Declaración Americana (artículos XXV y XXVI)</w:t>
      </w:r>
      <w:r w:rsidRPr="008D5BCE">
        <w:rPr>
          <w:rFonts w:ascii="Cambria" w:hAnsi="Cambria"/>
          <w:sz w:val="20"/>
          <w:bdr w:val="nil"/>
          <w:vertAlign w:val="superscript"/>
          <w:lang w:val="es-ES"/>
        </w:rPr>
        <w:footnoteReference w:id="46"/>
      </w:r>
      <w:r w:rsidRPr="008D5BCE">
        <w:rPr>
          <w:rFonts w:ascii="Cambria" w:hAnsi="Cambria"/>
          <w:sz w:val="20"/>
          <w:szCs w:val="20"/>
          <w:lang w:val="es-ES"/>
        </w:rPr>
        <w:t>.</w:t>
      </w:r>
      <w:r w:rsidRPr="008D5BCE">
        <w:rPr>
          <w:rFonts w:ascii="Cambria" w:hAnsi="Cambria"/>
          <w:sz w:val="20"/>
          <w:bdr w:val="nil"/>
          <w:vertAlign w:val="superscript"/>
          <w:lang w:val="es-ES"/>
        </w:rPr>
        <w:t xml:space="preserve"> </w:t>
      </w:r>
      <w:r w:rsidRPr="008D5BCE">
        <w:rPr>
          <w:rFonts w:ascii="Cambria" w:hAnsi="Cambria"/>
          <w:sz w:val="20"/>
          <w:szCs w:val="20"/>
          <w:lang w:val="es-ES"/>
        </w:rPr>
        <w:t>En vista de esas normas, en el caso Russell Bucklew, la CIDH señaló que “[e]l hecho de pasar 20 años en el corredor de la muerte es, desde todo punto de vista, excesivo e inhumano”</w:t>
      </w:r>
      <w:r w:rsidRPr="008D5BCE">
        <w:rPr>
          <w:rFonts w:ascii="Cambria" w:hAnsi="Cambria"/>
          <w:sz w:val="20"/>
          <w:bdr w:val="nil"/>
          <w:vertAlign w:val="superscript"/>
          <w:lang w:val="es-ES"/>
        </w:rPr>
        <w:footnoteReference w:id="47"/>
      </w:r>
      <w:r w:rsidRPr="008D5BCE">
        <w:rPr>
          <w:rFonts w:ascii="Cambria" w:hAnsi="Cambria"/>
          <w:sz w:val="20"/>
          <w:szCs w:val="20"/>
          <w:lang w:val="es-ES"/>
        </w:rPr>
        <w:t>.</w:t>
      </w:r>
    </w:p>
    <w:p w14:paraId="5A4F630C"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3297B686"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D5BCE">
        <w:rPr>
          <w:rFonts w:ascii="Cambria" w:hAnsi="Cambria"/>
          <w:sz w:val="20"/>
          <w:lang w:val="es-ES"/>
        </w:rPr>
        <w:t>En lo que se refiere específicamente al régimen de aislamiento prolongado en el corredor de la muerte, la Comisión Interamericana ha determinado que la privación de libertad en ciertas condiciones en el corredor de la muerte, incluido el régimen de aislamiento durante cuatro años, constituyó un trato inhumano</w:t>
      </w:r>
      <w:r w:rsidRPr="008D5BCE">
        <w:rPr>
          <w:rFonts w:ascii="Cambria" w:hAnsi="Cambria"/>
          <w:sz w:val="20"/>
          <w:bdr w:val="nil"/>
          <w:vertAlign w:val="superscript"/>
          <w:lang w:val="es-ES"/>
        </w:rPr>
        <w:footnoteReference w:id="48"/>
      </w:r>
      <w:r w:rsidRPr="008D5BCE">
        <w:rPr>
          <w:rFonts w:ascii="Cambria" w:hAnsi="Cambria"/>
          <w:sz w:val="20"/>
          <w:lang w:val="es-ES"/>
        </w:rPr>
        <w:t>.</w:t>
      </w:r>
      <w:r w:rsidRPr="008D5BCE">
        <w:rPr>
          <w:rFonts w:ascii="Cambria" w:hAnsi="Cambria"/>
          <w:sz w:val="20"/>
          <w:bdr w:val="nil"/>
          <w:vertAlign w:val="superscript"/>
          <w:lang w:val="es-ES"/>
        </w:rPr>
        <w:t xml:space="preserve">   </w:t>
      </w:r>
      <w:r w:rsidRPr="008D5BCE">
        <w:rPr>
          <w:rFonts w:ascii="Cambria" w:hAnsi="Cambria"/>
          <w:sz w:val="20"/>
          <w:lang w:val="es-ES"/>
        </w:rPr>
        <w:t xml:space="preserve">  </w:t>
      </w:r>
    </w:p>
    <w:p w14:paraId="0142137E" w14:textId="77777777" w:rsidR="00702483" w:rsidRPr="008D5BCE" w:rsidRDefault="00702483" w:rsidP="00702483">
      <w:pPr>
        <w:pStyle w:val="ListParagraph"/>
        <w:rPr>
          <w:sz w:val="20"/>
          <w:lang w:val="es-ES"/>
        </w:rPr>
      </w:pPr>
    </w:p>
    <w:p w14:paraId="5EF26FF6"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D5BCE">
        <w:rPr>
          <w:rFonts w:ascii="Cambria" w:hAnsi="Cambria"/>
          <w:sz w:val="20"/>
          <w:lang w:val="es-ES"/>
        </w:rPr>
        <w:t xml:space="preserve">El Relator Especial sobre la tortura, de las Naciones Unidas, observa lo siguiente: </w:t>
      </w:r>
    </w:p>
    <w:p w14:paraId="15BE0A23" w14:textId="77777777" w:rsidR="00702483" w:rsidRPr="008D5BCE" w:rsidRDefault="00702483" w:rsidP="0070248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lang w:val="es-ES"/>
        </w:rPr>
      </w:pPr>
    </w:p>
    <w:p w14:paraId="36979085" w14:textId="77777777" w:rsidR="00702483" w:rsidRPr="008D5BCE" w:rsidRDefault="00702483" w:rsidP="00702483">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lang w:val="es-ES"/>
        </w:rPr>
      </w:pPr>
      <w:r w:rsidRPr="008D5BCE">
        <w:rPr>
          <w:rFonts w:ascii="Cambria" w:eastAsia="Times New Roman" w:hAnsi="Cambria"/>
          <w:sz w:val="18"/>
          <w:szCs w:val="18"/>
          <w:lang w:val="es-ES"/>
        </w:rPr>
        <w:t>Las personas recluidas en régimen de aislamiento padecen formas extremas de privación sensorial, ansiedad y exclusión, que exceden, sin lugar a dudas, las condiciones legales de privación de la libertad. La reclusión en régimen de aislamiento, en combinación con la idea de una muerte inminente y la incertidumbre acerca de si la ejecución tendrá o no lugar, y cuándo, contribuye al riesgo de daño mental y físico irreparable y sufrimiento infligidos al recluso. La reclusión en régimen de aislamiento utilizada en el pabellón de condenados a muerte es, por definición, de duración prolongada e indefinida y constituye, por ende, un trato o pena cruel, inhumano o degradante, o incluso tortura</w:t>
      </w:r>
      <w:r w:rsidRPr="008D5BCE">
        <w:rPr>
          <w:rFonts w:ascii="Cambria" w:eastAsia="Times New Roman" w:hAnsi="Cambria"/>
          <w:sz w:val="18"/>
          <w:szCs w:val="18"/>
          <w:vertAlign w:val="superscript"/>
          <w:lang w:val="es-ES"/>
        </w:rPr>
        <w:footnoteReference w:id="49"/>
      </w:r>
      <w:r w:rsidRPr="008D5BCE">
        <w:rPr>
          <w:rFonts w:ascii="Cambria" w:eastAsia="Times New Roman" w:hAnsi="Cambria"/>
          <w:sz w:val="18"/>
          <w:szCs w:val="18"/>
          <w:lang w:val="es-ES"/>
        </w:rPr>
        <w:t>.</w:t>
      </w:r>
    </w:p>
    <w:p w14:paraId="6F9013CF"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14:paraId="0554CFB5"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lang w:val="es-ES"/>
        </w:rPr>
      </w:pPr>
      <w:r w:rsidRPr="008D5BCE">
        <w:rPr>
          <w:rFonts w:ascii="Cambria" w:hAnsi="Cambria"/>
          <w:sz w:val="20"/>
          <w:lang w:val="es-ES"/>
        </w:rPr>
        <w:t xml:space="preserve">Como se ha señalado en este informe, el señor Kadamovas ha estado privado de libertad en el corredor de la muerte durante 12 </w:t>
      </w:r>
      <w:r>
        <w:rPr>
          <w:rFonts w:ascii="Cambria" w:hAnsi="Cambria"/>
          <w:sz w:val="20"/>
          <w:lang w:val="es-ES"/>
        </w:rPr>
        <w:t xml:space="preserve">años, y </w:t>
      </w:r>
      <w:r w:rsidRPr="008D5BCE">
        <w:rPr>
          <w:rFonts w:ascii="Cambria" w:hAnsi="Cambria"/>
          <w:sz w:val="20"/>
          <w:lang w:val="es-ES"/>
        </w:rPr>
        <w:t>el señor Bolden</w:t>
      </w:r>
      <w:r>
        <w:rPr>
          <w:rFonts w:ascii="Cambria" w:hAnsi="Cambria"/>
          <w:sz w:val="20"/>
          <w:lang w:val="es-ES"/>
        </w:rPr>
        <w:t>,</w:t>
      </w:r>
      <w:r w:rsidRPr="008D5BCE">
        <w:rPr>
          <w:rFonts w:ascii="Cambria" w:hAnsi="Cambria"/>
          <w:sz w:val="20"/>
          <w:lang w:val="es-ES"/>
        </w:rPr>
        <w:t xml:space="preserve"> </w:t>
      </w:r>
      <w:r>
        <w:rPr>
          <w:rFonts w:ascii="Cambria" w:hAnsi="Cambria"/>
          <w:sz w:val="20"/>
          <w:lang w:val="es-ES"/>
        </w:rPr>
        <w:t xml:space="preserve">durante </w:t>
      </w:r>
      <w:r w:rsidRPr="008D5BCE">
        <w:rPr>
          <w:rFonts w:ascii="Cambria" w:hAnsi="Cambria"/>
          <w:sz w:val="20"/>
          <w:lang w:val="es-ES"/>
        </w:rPr>
        <w:t xml:space="preserve">13 </w:t>
      </w:r>
      <w:r>
        <w:rPr>
          <w:rFonts w:ascii="Cambria" w:hAnsi="Cambria"/>
          <w:sz w:val="20"/>
          <w:lang w:val="es-ES"/>
        </w:rPr>
        <w:t>años</w:t>
      </w:r>
      <w:r w:rsidRPr="008D5BCE">
        <w:rPr>
          <w:rFonts w:ascii="Cambria" w:hAnsi="Cambria"/>
          <w:sz w:val="20"/>
          <w:lang w:val="es-ES"/>
        </w:rPr>
        <w:t xml:space="preserve">. La Comisión observa que el mero hecho de pasar 12 </w:t>
      </w:r>
      <w:r>
        <w:rPr>
          <w:rFonts w:ascii="Cambria" w:hAnsi="Cambria"/>
          <w:sz w:val="20"/>
          <w:lang w:val="es-ES"/>
        </w:rPr>
        <w:t>y</w:t>
      </w:r>
      <w:r w:rsidRPr="008D5BCE">
        <w:rPr>
          <w:rFonts w:ascii="Cambria" w:hAnsi="Cambria"/>
          <w:sz w:val="20"/>
          <w:lang w:val="es-ES"/>
        </w:rPr>
        <w:t xml:space="preserve"> 13 </w:t>
      </w:r>
      <w:r>
        <w:rPr>
          <w:rFonts w:ascii="Cambria" w:hAnsi="Cambria"/>
          <w:sz w:val="20"/>
          <w:lang w:val="es-ES"/>
        </w:rPr>
        <w:t xml:space="preserve">años, respectivamente, </w:t>
      </w:r>
      <w:r w:rsidRPr="008D5BCE">
        <w:rPr>
          <w:rFonts w:ascii="Cambria" w:hAnsi="Cambria"/>
          <w:sz w:val="20"/>
          <w:lang w:val="es-ES"/>
        </w:rPr>
        <w:t>en el corredor de la muerte es, desde todo punto de vista, excesivo e inhumano, con la agravante del régimen de aislamiento</w:t>
      </w:r>
      <w:r>
        <w:rPr>
          <w:rFonts w:ascii="Cambria" w:hAnsi="Cambria"/>
          <w:sz w:val="20"/>
          <w:lang w:val="es-ES"/>
        </w:rPr>
        <w:t xml:space="preserve">, que es la norma en </w:t>
      </w:r>
      <w:r w:rsidRPr="008D5BCE">
        <w:rPr>
          <w:rFonts w:ascii="Cambria" w:hAnsi="Cambria"/>
          <w:sz w:val="20"/>
          <w:lang w:val="es-ES"/>
        </w:rPr>
        <w:t xml:space="preserve">la Administración Federal de Prisiones </w:t>
      </w:r>
      <w:r>
        <w:rPr>
          <w:rFonts w:ascii="Cambria" w:hAnsi="Cambria"/>
          <w:sz w:val="20"/>
          <w:lang w:val="es-ES"/>
        </w:rPr>
        <w:t>para los reclusos condenados a muerte</w:t>
      </w:r>
      <w:r w:rsidRPr="008D5BCE">
        <w:rPr>
          <w:rFonts w:ascii="Cambria" w:hAnsi="Cambria"/>
          <w:sz w:val="20"/>
          <w:lang w:val="es-ES"/>
        </w:rPr>
        <w:t xml:space="preserve">, </w:t>
      </w:r>
      <w:r>
        <w:rPr>
          <w:rFonts w:ascii="Cambria" w:hAnsi="Cambria"/>
          <w:sz w:val="20"/>
          <w:lang w:val="es-ES"/>
        </w:rPr>
        <w:t xml:space="preserve">así como </w:t>
      </w:r>
      <w:r w:rsidRPr="008D5BCE">
        <w:rPr>
          <w:rFonts w:ascii="Cambria" w:hAnsi="Cambria"/>
          <w:sz w:val="20"/>
          <w:lang w:val="es-ES"/>
        </w:rPr>
        <w:t xml:space="preserve">la expectativa prolongada de la ejecución. Por lo tanto, Estados Unidos es responsable de la violación del derecho a un trato humanitario y a no recibir un castigo cruel, infamante o inusitado de acuerdo con los artículos XXV y XXVI de la Declaración Americana, en perjuicio de las presuntas víctimas.  </w:t>
      </w:r>
    </w:p>
    <w:p w14:paraId="21B10EA0" w14:textId="77777777" w:rsidR="00702483" w:rsidRPr="008D5BCE" w:rsidRDefault="00702483" w:rsidP="00702483">
      <w:pPr>
        <w:tabs>
          <w:tab w:val="left" w:pos="360"/>
        </w:tabs>
        <w:rPr>
          <w:sz w:val="20"/>
          <w:szCs w:val="20"/>
          <w:lang w:val="es-ES"/>
        </w:rPr>
      </w:pPr>
    </w:p>
    <w:p w14:paraId="208AC8A0" w14:textId="77777777" w:rsidR="00702483" w:rsidRPr="00666E14" w:rsidRDefault="00702483" w:rsidP="007E283D">
      <w:pPr>
        <w:pStyle w:val="Heading3"/>
        <w:keepLines/>
        <w:numPr>
          <w:ilvl w:val="0"/>
          <w:numId w:val="63"/>
        </w:numPr>
        <w:pBdr>
          <w:top w:val="nil"/>
          <w:left w:val="nil"/>
          <w:bottom w:val="nil"/>
          <w:right w:val="nil"/>
          <w:between w:val="nil"/>
          <w:bar w:val="nil"/>
        </w:pBdr>
        <w:spacing w:before="0" w:after="0"/>
        <w:ind w:left="360"/>
        <w:jc w:val="both"/>
        <w:rPr>
          <w:rFonts w:asciiTheme="majorHAnsi" w:hAnsiTheme="majorHAnsi"/>
          <w:sz w:val="20"/>
          <w:szCs w:val="20"/>
          <w:lang w:val="es-ES"/>
        </w:rPr>
      </w:pPr>
      <w:bookmarkStart w:id="24" w:name="_Toc90289326"/>
      <w:r w:rsidRPr="00666E14">
        <w:rPr>
          <w:rFonts w:asciiTheme="majorHAnsi" w:hAnsiTheme="majorHAnsi"/>
          <w:sz w:val="20"/>
          <w:szCs w:val="20"/>
          <w:lang w:val="es-ES"/>
        </w:rPr>
        <w:t>Derecho a la preservación de la salud y al bienestar</w:t>
      </w:r>
      <w:bookmarkEnd w:id="24"/>
    </w:p>
    <w:p w14:paraId="073F53F5" w14:textId="77777777" w:rsidR="00702483" w:rsidRPr="008D5BCE" w:rsidRDefault="00702483" w:rsidP="00702483">
      <w:pPr>
        <w:pStyle w:val="ListParagraph"/>
        <w:tabs>
          <w:tab w:val="left" w:pos="360"/>
        </w:tabs>
        <w:ind w:left="0"/>
        <w:rPr>
          <w:b/>
          <w:sz w:val="20"/>
          <w:szCs w:val="20"/>
          <w:lang w:val="es-ES"/>
        </w:rPr>
      </w:pPr>
    </w:p>
    <w:p w14:paraId="23848977" w14:textId="77777777" w:rsidR="00702483" w:rsidRPr="00C76256"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cs="Arial"/>
          <w:sz w:val="20"/>
          <w:szCs w:val="20"/>
          <w:lang w:val="es-ES"/>
        </w:rPr>
      </w:pPr>
      <w:r w:rsidRPr="008D5BCE">
        <w:rPr>
          <w:rFonts w:asciiTheme="majorHAnsi" w:hAnsiTheme="majorHAnsi"/>
          <w:sz w:val="20"/>
          <w:lang w:val="es-ES"/>
        </w:rPr>
        <w:t>La Comisión Interamericana ha</w:t>
      </w:r>
      <w:r>
        <w:rPr>
          <w:rFonts w:asciiTheme="majorHAnsi" w:hAnsiTheme="majorHAnsi"/>
          <w:sz w:val="20"/>
          <w:lang w:val="es-ES"/>
        </w:rPr>
        <w:t xml:space="preserve"> dictaminado que la obligación de proporcionar atención médica adecuada </w:t>
      </w:r>
      <w:r w:rsidRPr="00C76256">
        <w:rPr>
          <w:rFonts w:asciiTheme="majorHAnsi" w:hAnsiTheme="majorHAnsi"/>
          <w:sz w:val="20"/>
          <w:lang w:val="es-ES"/>
        </w:rPr>
        <w:t xml:space="preserve">a los detenidos </w:t>
      </w:r>
      <w:r>
        <w:rPr>
          <w:rFonts w:asciiTheme="majorHAnsi" w:hAnsiTheme="majorHAnsi"/>
          <w:sz w:val="20"/>
          <w:lang w:val="es-ES"/>
        </w:rPr>
        <w:t>emana directamente del deber de</w:t>
      </w:r>
      <w:r w:rsidRPr="008D5BCE">
        <w:rPr>
          <w:rFonts w:asciiTheme="majorHAnsi" w:hAnsiTheme="majorHAnsi"/>
          <w:sz w:val="20"/>
          <w:lang w:val="es-ES"/>
        </w:rPr>
        <w:t>l Estado</w:t>
      </w:r>
      <w:r>
        <w:rPr>
          <w:rFonts w:asciiTheme="majorHAnsi" w:hAnsiTheme="majorHAnsi"/>
          <w:sz w:val="20"/>
          <w:lang w:val="es-ES"/>
        </w:rPr>
        <w:t xml:space="preserve"> de asegurar que los detenidos reciban un trato humanitario de conformidad con la D</w:t>
      </w:r>
      <w:r w:rsidRPr="00C76256">
        <w:rPr>
          <w:rFonts w:asciiTheme="majorHAnsi" w:hAnsiTheme="majorHAnsi"/>
          <w:sz w:val="20"/>
          <w:lang w:val="es-ES"/>
        </w:rPr>
        <w:t>eclaración Americana</w:t>
      </w:r>
      <w:r w:rsidRPr="00C76256">
        <w:rPr>
          <w:rStyle w:val="FootnoteReference"/>
          <w:rFonts w:asciiTheme="majorHAnsi" w:hAnsiTheme="majorHAnsi"/>
          <w:sz w:val="20"/>
          <w:lang w:val="es-ES"/>
        </w:rPr>
        <w:footnoteReference w:id="50"/>
      </w:r>
      <w:r w:rsidRPr="00C76256">
        <w:rPr>
          <w:rFonts w:asciiTheme="majorHAnsi" w:hAnsiTheme="majorHAnsi"/>
          <w:sz w:val="20"/>
          <w:lang w:val="es-ES"/>
        </w:rPr>
        <w:t>. En ese sentido, la CIDH ha señalado que “la obligación de los Estados de respetar la integridad física, de no emplear tratos crueles, inhumanos y de respetar la dignidad inherente al ser humano se extiende a garantizar el acceso a la atención médica adecuada”</w:t>
      </w:r>
      <w:r w:rsidRPr="00C76256">
        <w:rPr>
          <w:rStyle w:val="FootnoteReference"/>
          <w:rFonts w:asciiTheme="majorHAnsi" w:hAnsiTheme="majorHAnsi"/>
          <w:sz w:val="20"/>
          <w:lang w:val="es-ES"/>
        </w:rPr>
        <w:footnoteReference w:id="51"/>
      </w:r>
      <w:r w:rsidRPr="00C76256">
        <w:rPr>
          <w:rFonts w:asciiTheme="majorHAnsi" w:hAnsiTheme="majorHAnsi"/>
          <w:sz w:val="20"/>
          <w:lang w:val="es-ES"/>
        </w:rPr>
        <w:t xml:space="preserve">. </w:t>
      </w:r>
    </w:p>
    <w:p w14:paraId="2E9A5B32"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Cambria" w:hAnsi="Cambria" w:cs="Arial"/>
          <w:sz w:val="20"/>
          <w:szCs w:val="20"/>
          <w:lang w:val="es-ES"/>
        </w:rPr>
      </w:pPr>
    </w:p>
    <w:p w14:paraId="72A95325" w14:textId="77777777" w:rsidR="00702483" w:rsidRPr="002466C0"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cs="Arial"/>
          <w:sz w:val="20"/>
          <w:szCs w:val="20"/>
          <w:lang w:val="es-ES"/>
        </w:rPr>
      </w:pPr>
      <w:r>
        <w:rPr>
          <w:rFonts w:asciiTheme="majorHAnsi" w:hAnsiTheme="majorHAnsi"/>
          <w:sz w:val="20"/>
          <w:lang w:val="es-ES"/>
        </w:rPr>
        <w:t xml:space="preserve">Con respecto a la calidad de la atención médica, según el principio </w:t>
      </w:r>
      <w:r w:rsidRPr="008D5BCE">
        <w:rPr>
          <w:rFonts w:asciiTheme="majorHAnsi" w:hAnsiTheme="majorHAnsi"/>
          <w:sz w:val="20"/>
          <w:lang w:val="es-ES"/>
        </w:rPr>
        <w:t xml:space="preserve">X </w:t>
      </w:r>
      <w:r>
        <w:rPr>
          <w:rFonts w:asciiTheme="majorHAnsi" w:hAnsiTheme="majorHAnsi"/>
          <w:sz w:val="20"/>
          <w:lang w:val="es-ES"/>
        </w:rPr>
        <w:t xml:space="preserve">de los </w:t>
      </w:r>
      <w:r w:rsidRPr="002466C0">
        <w:rPr>
          <w:rFonts w:asciiTheme="majorHAnsi" w:hAnsiTheme="majorHAnsi"/>
          <w:i/>
          <w:sz w:val="20"/>
          <w:lang w:val="es-ES"/>
        </w:rPr>
        <w:t>Principios y buenas prácticas sobre la protección de las personas privadas de libertad en las Américas</w:t>
      </w:r>
      <w:r w:rsidRPr="002466C0">
        <w:rPr>
          <w:rFonts w:asciiTheme="majorHAnsi" w:hAnsiTheme="majorHAnsi"/>
          <w:sz w:val="20"/>
          <w:lang w:val="es-ES"/>
        </w:rPr>
        <w:t>, “[e]l tratamiento deberá basarse en principios científicos y aplicar las mejores prácticas”. Asimismo, “[e]n toda circunstancia, la prestación del servicio de salud deberá respetar los principios siguientes: confidencialidad de la información médica</w:t>
      </w:r>
      <w:r>
        <w:rPr>
          <w:rFonts w:asciiTheme="majorHAnsi" w:hAnsiTheme="majorHAnsi"/>
          <w:sz w:val="20"/>
          <w:lang w:val="es-ES"/>
        </w:rPr>
        <w:t>,</w:t>
      </w:r>
      <w:r w:rsidRPr="002466C0">
        <w:rPr>
          <w:rFonts w:asciiTheme="majorHAnsi" w:hAnsiTheme="majorHAnsi"/>
          <w:sz w:val="20"/>
          <w:lang w:val="es-ES"/>
        </w:rPr>
        <w:t xml:space="preserve"> autonomía de los pacientes respecto de su propia salud y consentimiento informado en la relación médico-paciente”.</w:t>
      </w:r>
    </w:p>
    <w:p w14:paraId="64E7A54E" w14:textId="77777777" w:rsidR="00702483" w:rsidRPr="008D5BCE" w:rsidRDefault="00702483" w:rsidP="00702483">
      <w:pPr>
        <w:pStyle w:val="ListParagraph"/>
        <w:rPr>
          <w:rFonts w:cs="Arial"/>
          <w:sz w:val="20"/>
          <w:szCs w:val="20"/>
          <w:lang w:val="es-ES"/>
        </w:rPr>
      </w:pPr>
    </w:p>
    <w:p w14:paraId="25BD8CB6" w14:textId="77777777" w:rsidR="00702483" w:rsidRPr="002466C0"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cs="Arial"/>
          <w:sz w:val="20"/>
          <w:szCs w:val="20"/>
          <w:lang w:val="es-ES"/>
        </w:rPr>
      </w:pPr>
      <w:r>
        <w:rPr>
          <w:rFonts w:ascii="Cambria" w:hAnsi="Cambria" w:cs="Arial"/>
          <w:sz w:val="20"/>
          <w:szCs w:val="20"/>
          <w:lang w:val="es-ES"/>
        </w:rPr>
        <w:t>No obstante, de acuerdo con el sistema interamericano</w:t>
      </w:r>
      <w:r w:rsidRPr="008D5BCE">
        <w:rPr>
          <w:rFonts w:ascii="Cambria" w:hAnsi="Cambria" w:cs="Arial"/>
          <w:sz w:val="20"/>
          <w:szCs w:val="20"/>
          <w:lang w:val="es-ES"/>
        </w:rPr>
        <w:t xml:space="preserve">, el </w:t>
      </w:r>
      <w:r>
        <w:rPr>
          <w:rFonts w:ascii="Cambria" w:hAnsi="Cambria" w:cs="Arial"/>
          <w:sz w:val="20"/>
          <w:szCs w:val="20"/>
          <w:lang w:val="es-ES"/>
        </w:rPr>
        <w:t xml:space="preserve">deber del </w:t>
      </w:r>
      <w:r w:rsidRPr="008D5BCE">
        <w:rPr>
          <w:rFonts w:ascii="Cambria" w:hAnsi="Cambria" w:cs="Arial"/>
          <w:sz w:val="20"/>
          <w:szCs w:val="20"/>
          <w:lang w:val="es-ES"/>
        </w:rPr>
        <w:t>Estado</w:t>
      </w:r>
      <w:r>
        <w:rPr>
          <w:rFonts w:ascii="Cambria" w:hAnsi="Cambria" w:cs="Arial"/>
          <w:sz w:val="20"/>
          <w:szCs w:val="20"/>
          <w:lang w:val="es-ES"/>
        </w:rPr>
        <w:t xml:space="preserve"> de proporcionar atención médica adecuada a los detenidos no significa qu</w:t>
      </w:r>
      <w:r w:rsidRPr="002466C0">
        <w:rPr>
          <w:rFonts w:ascii="Cambria" w:hAnsi="Cambria" w:cs="Arial"/>
          <w:sz w:val="20"/>
          <w:szCs w:val="20"/>
          <w:lang w:val="es-ES"/>
        </w:rPr>
        <w:t>e “existe una obligación de cumplir con todos los deseos y preferencias de la persona privada de libertad en cuanto a atención médica, sino con aquellas verdaderamente necesarias conforme a su situación real”</w:t>
      </w:r>
      <w:r w:rsidRPr="002466C0">
        <w:rPr>
          <w:rStyle w:val="FootnoteReference"/>
          <w:rFonts w:ascii="Cambria" w:hAnsi="Cambria"/>
          <w:sz w:val="20"/>
          <w:szCs w:val="20"/>
          <w:lang w:val="es-ES"/>
        </w:rPr>
        <w:footnoteReference w:id="52"/>
      </w:r>
      <w:r w:rsidRPr="002466C0">
        <w:rPr>
          <w:rFonts w:ascii="Cambria" w:hAnsi="Cambria" w:cs="Arial"/>
          <w:sz w:val="20"/>
          <w:szCs w:val="20"/>
          <w:lang w:val="es-ES"/>
        </w:rPr>
        <w:t xml:space="preserve">. </w:t>
      </w:r>
    </w:p>
    <w:p w14:paraId="73CBE0C1" w14:textId="77777777" w:rsidR="00702483" w:rsidRPr="008D5BCE" w:rsidRDefault="00702483" w:rsidP="00702483">
      <w:pPr>
        <w:pStyle w:val="ListParagraph"/>
        <w:rPr>
          <w:rFonts w:asciiTheme="majorHAnsi" w:hAnsiTheme="majorHAnsi"/>
          <w:sz w:val="20"/>
          <w:lang w:val="es-ES"/>
        </w:rPr>
      </w:pPr>
    </w:p>
    <w:p w14:paraId="6F7A469E"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lang w:val="es-ES"/>
        </w:rPr>
      </w:pPr>
      <w:r w:rsidRPr="008D5BCE">
        <w:rPr>
          <w:rFonts w:ascii="Cambria" w:hAnsi="Cambria"/>
          <w:sz w:val="20"/>
          <w:lang w:val="es-ES"/>
        </w:rPr>
        <w:t xml:space="preserve">La Comisión </w:t>
      </w:r>
      <w:r>
        <w:rPr>
          <w:rFonts w:ascii="Cambria" w:hAnsi="Cambria"/>
          <w:sz w:val="20"/>
          <w:lang w:val="es-ES"/>
        </w:rPr>
        <w:t xml:space="preserve">observa que </w:t>
      </w:r>
      <w:r w:rsidRPr="008D5BCE">
        <w:rPr>
          <w:rFonts w:ascii="Cambria" w:hAnsi="Cambria"/>
          <w:sz w:val="20"/>
          <w:lang w:val="es-ES"/>
        </w:rPr>
        <w:t xml:space="preserve">el Estado </w:t>
      </w:r>
      <w:r>
        <w:rPr>
          <w:rFonts w:ascii="Cambria" w:hAnsi="Cambria"/>
          <w:sz w:val="20"/>
          <w:lang w:val="es-ES"/>
        </w:rPr>
        <w:t>tiene el deber de proporcionar atención médica adecuada a</w:t>
      </w:r>
      <w:r w:rsidRPr="008D5BCE">
        <w:rPr>
          <w:rFonts w:ascii="Cambria" w:hAnsi="Cambria"/>
          <w:sz w:val="20"/>
          <w:lang w:val="es-ES"/>
        </w:rPr>
        <w:t xml:space="preserve">l señor Bolden, </w:t>
      </w:r>
      <w:r>
        <w:rPr>
          <w:rFonts w:ascii="Cambria" w:hAnsi="Cambria"/>
          <w:sz w:val="20"/>
          <w:lang w:val="es-ES"/>
        </w:rPr>
        <w:t xml:space="preserve">que es un recluso diabético. </w:t>
      </w:r>
      <w:r w:rsidRPr="008D5BCE">
        <w:rPr>
          <w:rFonts w:ascii="Cambria" w:hAnsi="Cambria"/>
          <w:sz w:val="20"/>
          <w:lang w:val="es-ES"/>
        </w:rPr>
        <w:t xml:space="preserve">El Estado, </w:t>
      </w:r>
      <w:r>
        <w:rPr>
          <w:rFonts w:ascii="Cambria" w:hAnsi="Cambria"/>
          <w:sz w:val="20"/>
          <w:lang w:val="es-ES"/>
        </w:rPr>
        <w:t>por su parte, niega las aserciones del señor Bolden sobre la falta de atención médica adecuada</w:t>
      </w:r>
      <w:r w:rsidRPr="008D5BCE">
        <w:rPr>
          <w:rFonts w:ascii="Cambria" w:hAnsi="Cambria"/>
          <w:sz w:val="20"/>
          <w:lang w:val="es-ES"/>
        </w:rPr>
        <w:t xml:space="preserve">. </w:t>
      </w:r>
      <w:r>
        <w:rPr>
          <w:rFonts w:ascii="Cambria" w:hAnsi="Cambria"/>
          <w:sz w:val="20"/>
          <w:lang w:val="es-ES"/>
        </w:rPr>
        <w:t xml:space="preserve">La prueba que obra ante </w:t>
      </w:r>
      <w:r w:rsidRPr="008D5BCE">
        <w:rPr>
          <w:rFonts w:ascii="Cambria" w:hAnsi="Cambria"/>
          <w:sz w:val="20"/>
          <w:lang w:val="es-ES"/>
        </w:rPr>
        <w:t xml:space="preserve">la Comisión </w:t>
      </w:r>
      <w:r>
        <w:rPr>
          <w:rFonts w:ascii="Cambria" w:hAnsi="Cambria"/>
          <w:sz w:val="20"/>
          <w:lang w:val="es-ES"/>
        </w:rPr>
        <w:t xml:space="preserve">muestra que </w:t>
      </w:r>
      <w:r w:rsidRPr="008D5BCE">
        <w:rPr>
          <w:rFonts w:ascii="Cambria" w:hAnsi="Cambria"/>
          <w:sz w:val="20"/>
          <w:lang w:val="es-ES"/>
        </w:rPr>
        <w:t xml:space="preserve">el señor Bolden </w:t>
      </w:r>
      <w:r>
        <w:rPr>
          <w:rFonts w:ascii="Cambria" w:hAnsi="Cambria"/>
          <w:sz w:val="20"/>
          <w:lang w:val="es-ES"/>
        </w:rPr>
        <w:t xml:space="preserve">tuvo varios incidentes de glucemia anormal entre </w:t>
      </w:r>
      <w:r w:rsidRPr="008D5BCE">
        <w:rPr>
          <w:rFonts w:ascii="Cambria" w:hAnsi="Cambria"/>
          <w:sz w:val="20"/>
          <w:lang w:val="es-ES"/>
        </w:rPr>
        <w:t xml:space="preserve">2010 </w:t>
      </w:r>
      <w:r>
        <w:rPr>
          <w:rFonts w:ascii="Cambria" w:hAnsi="Cambria"/>
          <w:sz w:val="20"/>
          <w:lang w:val="es-ES"/>
        </w:rPr>
        <w:t>y</w:t>
      </w:r>
      <w:r w:rsidRPr="008D5BCE">
        <w:rPr>
          <w:rFonts w:ascii="Cambria" w:hAnsi="Cambria"/>
          <w:sz w:val="20"/>
          <w:lang w:val="es-ES"/>
        </w:rPr>
        <w:t xml:space="preserve"> 2012 </w:t>
      </w:r>
      <w:r>
        <w:rPr>
          <w:rFonts w:ascii="Cambria" w:hAnsi="Cambria"/>
          <w:sz w:val="20"/>
          <w:lang w:val="es-ES"/>
        </w:rPr>
        <w:t>y que le ajustaron la dosis de insulina en varias ocasiones</w:t>
      </w:r>
      <w:r w:rsidRPr="008D5BCE">
        <w:rPr>
          <w:rFonts w:ascii="Cambria" w:hAnsi="Cambria"/>
          <w:sz w:val="20"/>
          <w:lang w:val="es-ES"/>
        </w:rPr>
        <w:t>. A</w:t>
      </w:r>
      <w:r>
        <w:rPr>
          <w:rFonts w:ascii="Cambria" w:hAnsi="Cambria"/>
          <w:sz w:val="20"/>
          <w:lang w:val="es-ES"/>
        </w:rPr>
        <w:t>demás</w:t>
      </w:r>
      <w:r w:rsidRPr="008D5BCE">
        <w:rPr>
          <w:rFonts w:ascii="Cambria" w:hAnsi="Cambria"/>
          <w:sz w:val="20"/>
          <w:lang w:val="es-ES"/>
        </w:rPr>
        <w:t xml:space="preserve">, </w:t>
      </w:r>
      <w:r>
        <w:rPr>
          <w:rFonts w:ascii="Cambria" w:hAnsi="Cambria"/>
          <w:sz w:val="20"/>
          <w:lang w:val="es-ES"/>
        </w:rPr>
        <w:t xml:space="preserve">según el expediente de la </w:t>
      </w:r>
      <w:r w:rsidRPr="00621357">
        <w:rPr>
          <w:rFonts w:ascii="Cambria" w:hAnsi="Cambria"/>
          <w:sz w:val="20"/>
          <w:lang w:val="es-ES"/>
        </w:rPr>
        <w:t>Administración Federal de Prisiones</w:t>
      </w:r>
      <w:r w:rsidR="00D755C5">
        <w:rPr>
          <w:rStyle w:val="FootnoteReference"/>
          <w:rFonts w:ascii="Cambria" w:hAnsi="Cambria"/>
          <w:sz w:val="20"/>
          <w:lang w:val="es-ES"/>
        </w:rPr>
        <w:footnoteReference w:id="53"/>
      </w:r>
      <w:r>
        <w:rPr>
          <w:rFonts w:ascii="Cambria" w:hAnsi="Cambria"/>
          <w:sz w:val="20"/>
          <w:lang w:val="es-ES"/>
        </w:rPr>
        <w:t>,</w:t>
      </w:r>
      <w:r w:rsidRPr="008D5BCE">
        <w:rPr>
          <w:rFonts w:ascii="Cambria" w:hAnsi="Cambria"/>
          <w:sz w:val="20"/>
          <w:lang w:val="es-ES"/>
        </w:rPr>
        <w:t xml:space="preserve"> </w:t>
      </w:r>
      <w:r>
        <w:rPr>
          <w:rFonts w:ascii="Cambria" w:hAnsi="Cambria"/>
          <w:sz w:val="20"/>
          <w:lang w:val="es-ES"/>
        </w:rPr>
        <w:t>le proporcionaron una dieta para diabéticos y le autorizaron consultas con especialistas.</w:t>
      </w:r>
      <w:r w:rsidRPr="008D5BCE">
        <w:rPr>
          <w:rFonts w:ascii="Cambria" w:hAnsi="Cambria"/>
          <w:sz w:val="20"/>
          <w:lang w:val="es-ES"/>
        </w:rPr>
        <w:t xml:space="preserve"> </w:t>
      </w:r>
      <w:r>
        <w:rPr>
          <w:rFonts w:ascii="Cambria" w:hAnsi="Cambria"/>
          <w:sz w:val="20"/>
          <w:lang w:val="es-ES"/>
        </w:rPr>
        <w:t>L</w:t>
      </w:r>
      <w:r w:rsidRPr="008D5BCE">
        <w:rPr>
          <w:rFonts w:ascii="Cambria" w:hAnsi="Cambria"/>
          <w:sz w:val="20"/>
          <w:lang w:val="es-ES"/>
        </w:rPr>
        <w:t xml:space="preserve">a Comisión </w:t>
      </w:r>
      <w:r>
        <w:rPr>
          <w:rFonts w:ascii="Cambria" w:hAnsi="Cambria"/>
          <w:sz w:val="20"/>
          <w:lang w:val="es-ES"/>
        </w:rPr>
        <w:t xml:space="preserve">no cuenta con información o pruebas de que el Estado haya infringido alguno de los principios antedichos </w:t>
      </w:r>
      <w:r w:rsidRPr="008D5BCE">
        <w:rPr>
          <w:rFonts w:ascii="Cambria" w:hAnsi="Cambria"/>
          <w:sz w:val="20"/>
          <w:lang w:val="es-ES"/>
        </w:rPr>
        <w:t>(</w:t>
      </w:r>
      <w:r w:rsidRPr="002466C0">
        <w:rPr>
          <w:rFonts w:asciiTheme="majorHAnsi" w:hAnsiTheme="majorHAnsi"/>
          <w:sz w:val="20"/>
          <w:lang w:val="es-ES"/>
        </w:rPr>
        <w:t>confidencialidad de la información médica</w:t>
      </w:r>
      <w:r>
        <w:rPr>
          <w:rFonts w:asciiTheme="majorHAnsi" w:hAnsiTheme="majorHAnsi"/>
          <w:sz w:val="20"/>
          <w:lang w:val="es-ES"/>
        </w:rPr>
        <w:t>,</w:t>
      </w:r>
      <w:r w:rsidRPr="002466C0">
        <w:rPr>
          <w:rFonts w:asciiTheme="majorHAnsi" w:hAnsiTheme="majorHAnsi"/>
          <w:sz w:val="20"/>
          <w:lang w:val="es-ES"/>
        </w:rPr>
        <w:t xml:space="preserve"> autonomía de los pacientes y consentimiento informado </w:t>
      </w:r>
      <w:r>
        <w:rPr>
          <w:rFonts w:asciiTheme="majorHAnsi" w:hAnsiTheme="majorHAnsi"/>
          <w:sz w:val="20"/>
          <w:lang w:val="es-ES"/>
        </w:rPr>
        <w:t>con respecto al tratamiento médico</w:t>
      </w:r>
      <w:r w:rsidRPr="008D5BCE">
        <w:rPr>
          <w:rFonts w:asciiTheme="majorHAnsi" w:hAnsiTheme="majorHAnsi"/>
          <w:sz w:val="20"/>
          <w:lang w:val="es-ES"/>
        </w:rPr>
        <w:t>)</w:t>
      </w:r>
      <w:r>
        <w:rPr>
          <w:rFonts w:asciiTheme="majorHAnsi" w:hAnsiTheme="majorHAnsi"/>
          <w:sz w:val="20"/>
          <w:lang w:val="es-ES"/>
        </w:rPr>
        <w:t>. Por lo tanto</w:t>
      </w:r>
      <w:r w:rsidRPr="008D5BCE">
        <w:rPr>
          <w:rFonts w:asciiTheme="majorHAnsi" w:hAnsiTheme="majorHAnsi"/>
          <w:sz w:val="20"/>
          <w:lang w:val="es-ES"/>
        </w:rPr>
        <w:t xml:space="preserve">, la CIDH </w:t>
      </w:r>
      <w:r>
        <w:rPr>
          <w:rFonts w:asciiTheme="majorHAnsi" w:hAnsiTheme="majorHAnsi"/>
          <w:sz w:val="20"/>
          <w:lang w:val="es-ES"/>
        </w:rPr>
        <w:t xml:space="preserve">no cuenta con suficientes </w:t>
      </w:r>
      <w:r w:rsidRPr="008D5BCE">
        <w:rPr>
          <w:rFonts w:asciiTheme="majorHAnsi" w:hAnsiTheme="majorHAnsi"/>
          <w:sz w:val="20"/>
          <w:lang w:val="es-ES"/>
        </w:rPr>
        <w:t>element</w:t>
      </w:r>
      <w:r>
        <w:rPr>
          <w:rFonts w:asciiTheme="majorHAnsi" w:hAnsiTheme="majorHAnsi"/>
          <w:sz w:val="20"/>
          <w:lang w:val="es-ES"/>
        </w:rPr>
        <w:t>o</w:t>
      </w:r>
      <w:r w:rsidRPr="008D5BCE">
        <w:rPr>
          <w:rFonts w:asciiTheme="majorHAnsi" w:hAnsiTheme="majorHAnsi"/>
          <w:sz w:val="20"/>
          <w:lang w:val="es-ES"/>
        </w:rPr>
        <w:t xml:space="preserve">s </w:t>
      </w:r>
      <w:r>
        <w:rPr>
          <w:rFonts w:asciiTheme="majorHAnsi" w:hAnsiTheme="majorHAnsi"/>
          <w:sz w:val="20"/>
          <w:lang w:val="es-ES"/>
        </w:rPr>
        <w:t xml:space="preserve">para concluir que </w:t>
      </w:r>
      <w:r w:rsidRPr="008D5BCE">
        <w:rPr>
          <w:rFonts w:asciiTheme="majorHAnsi" w:hAnsiTheme="majorHAnsi"/>
          <w:sz w:val="20"/>
          <w:lang w:val="es-ES"/>
        </w:rPr>
        <w:t xml:space="preserve">Estados Unidos </w:t>
      </w:r>
      <w:r>
        <w:rPr>
          <w:rFonts w:asciiTheme="majorHAnsi" w:hAnsiTheme="majorHAnsi"/>
          <w:sz w:val="20"/>
          <w:lang w:val="es-ES"/>
        </w:rPr>
        <w:t xml:space="preserve">sea responsable en el plano internacional de la violación del derecho del </w:t>
      </w:r>
      <w:r w:rsidRPr="008D5BCE">
        <w:rPr>
          <w:rFonts w:asciiTheme="majorHAnsi" w:hAnsiTheme="majorHAnsi"/>
          <w:sz w:val="20"/>
          <w:lang w:val="es-ES"/>
        </w:rPr>
        <w:t>señor Bolden</w:t>
      </w:r>
      <w:r>
        <w:rPr>
          <w:rFonts w:asciiTheme="majorHAnsi" w:hAnsiTheme="majorHAnsi"/>
          <w:sz w:val="20"/>
          <w:lang w:val="es-ES"/>
        </w:rPr>
        <w:t xml:space="preserve"> a la salud por falta de atención médica adecuada</w:t>
      </w:r>
      <w:r w:rsidRPr="008D5BCE">
        <w:rPr>
          <w:rFonts w:asciiTheme="majorHAnsi" w:hAnsiTheme="majorHAnsi"/>
          <w:sz w:val="20"/>
          <w:lang w:val="es-ES"/>
        </w:rPr>
        <w:t xml:space="preserve">. </w:t>
      </w:r>
    </w:p>
    <w:p w14:paraId="40F41B00"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Cambria" w:hAnsi="Cambria"/>
          <w:sz w:val="20"/>
          <w:lang w:val="es-ES"/>
        </w:rPr>
      </w:pPr>
    </w:p>
    <w:p w14:paraId="6FBCB5B9" w14:textId="77777777" w:rsidR="00702483" w:rsidRPr="00666E14" w:rsidRDefault="00702483" w:rsidP="007E283D">
      <w:pPr>
        <w:pStyle w:val="Heading3"/>
        <w:keepLines/>
        <w:numPr>
          <w:ilvl w:val="0"/>
          <w:numId w:val="63"/>
        </w:numPr>
        <w:pBdr>
          <w:top w:val="nil"/>
          <w:left w:val="nil"/>
          <w:bottom w:val="nil"/>
          <w:right w:val="nil"/>
          <w:between w:val="nil"/>
          <w:bar w:val="nil"/>
        </w:pBdr>
        <w:spacing w:before="0" w:after="0"/>
        <w:ind w:left="360"/>
        <w:jc w:val="both"/>
        <w:rPr>
          <w:rFonts w:asciiTheme="majorHAnsi" w:hAnsiTheme="majorHAnsi"/>
          <w:sz w:val="20"/>
          <w:szCs w:val="20"/>
          <w:lang w:val="es-ES"/>
        </w:rPr>
      </w:pPr>
      <w:bookmarkStart w:id="25" w:name="_Toc90289327"/>
      <w:r w:rsidRPr="00666E14">
        <w:rPr>
          <w:rFonts w:asciiTheme="majorHAnsi" w:hAnsiTheme="majorHAnsi"/>
          <w:sz w:val="20"/>
          <w:szCs w:val="20"/>
          <w:lang w:val="es-ES"/>
        </w:rPr>
        <w:t>Alimentación forzada</w:t>
      </w:r>
      <w:bookmarkEnd w:id="25"/>
    </w:p>
    <w:p w14:paraId="35947B89" w14:textId="77777777" w:rsidR="00702483" w:rsidRPr="008D5BCE" w:rsidRDefault="00702483" w:rsidP="00702483">
      <w:pPr>
        <w:pStyle w:val="ListParagraph"/>
        <w:rPr>
          <w:sz w:val="20"/>
          <w:lang w:val="es-ES"/>
        </w:rPr>
      </w:pPr>
    </w:p>
    <w:p w14:paraId="1C53FE07"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lang w:val="es-ES"/>
        </w:rPr>
      </w:pPr>
      <w:r>
        <w:rPr>
          <w:rFonts w:ascii="Cambria" w:hAnsi="Cambria"/>
          <w:sz w:val="20"/>
          <w:lang w:val="es-ES"/>
        </w:rPr>
        <w:t>Según la información disponible, los funcionarios penitenciarios trataron de alimentar al se</w:t>
      </w:r>
      <w:r w:rsidRPr="008D5BCE">
        <w:rPr>
          <w:rFonts w:ascii="Cambria" w:hAnsi="Cambria"/>
          <w:sz w:val="20"/>
          <w:lang w:val="es-ES"/>
        </w:rPr>
        <w:t>ñor Kadamovas</w:t>
      </w:r>
      <w:r>
        <w:rPr>
          <w:rFonts w:ascii="Cambria" w:hAnsi="Cambria"/>
          <w:sz w:val="20"/>
          <w:lang w:val="es-ES"/>
        </w:rPr>
        <w:t xml:space="preserve"> por la fuerza</w:t>
      </w:r>
      <w:r w:rsidRPr="008D5BCE">
        <w:rPr>
          <w:rFonts w:ascii="Cambria" w:hAnsi="Cambria"/>
          <w:sz w:val="20"/>
          <w:lang w:val="es-ES"/>
        </w:rPr>
        <w:t>. La Comisión Interamericana ha</w:t>
      </w:r>
      <w:r>
        <w:rPr>
          <w:rFonts w:ascii="Cambria" w:hAnsi="Cambria"/>
          <w:sz w:val="20"/>
          <w:lang w:val="es-ES"/>
        </w:rPr>
        <w:t xml:space="preserve"> observado que las huelgas de hambre son una forma muy conocida de protesta y que tomar una determinación generalizada de que todas las personas que estén haciendo una huelga de hambre tienen la intención de suicidarse y, por lo tanto, deben ser alimentadas por la fuerza</w:t>
      </w:r>
      <w:r w:rsidR="00D5032E">
        <w:rPr>
          <w:rFonts w:ascii="Cambria" w:hAnsi="Cambria"/>
          <w:sz w:val="20"/>
          <w:lang w:val="es-ES"/>
        </w:rPr>
        <w:t>,</w:t>
      </w:r>
      <w:r>
        <w:rPr>
          <w:rFonts w:ascii="Cambria" w:hAnsi="Cambria"/>
          <w:sz w:val="20"/>
          <w:lang w:val="es-ES"/>
        </w:rPr>
        <w:t xml:space="preserve"> no es compatible con los requisitos de la ética médica. Al respecto, </w:t>
      </w:r>
      <w:r w:rsidRPr="008D5BCE">
        <w:rPr>
          <w:rFonts w:ascii="Cambria" w:hAnsi="Cambria"/>
          <w:sz w:val="20"/>
          <w:lang w:val="es-ES"/>
        </w:rPr>
        <w:t>la Comisión ha</w:t>
      </w:r>
      <w:r>
        <w:rPr>
          <w:rFonts w:ascii="Cambria" w:hAnsi="Cambria"/>
          <w:sz w:val="20"/>
          <w:lang w:val="es-ES"/>
        </w:rPr>
        <w:t xml:space="preserve"> señalado que </w:t>
      </w:r>
      <w:r w:rsidRPr="008D5BCE">
        <w:rPr>
          <w:rFonts w:ascii="Cambria" w:hAnsi="Cambria"/>
          <w:sz w:val="20"/>
          <w:lang w:val="es-ES"/>
        </w:rPr>
        <w:t>el Estado “tiene la obligación de realizar una evaluación individualizada para determinar si el detenido específico en verdad se encuentra en capacidad de formarse un juicio con respecto a las consecuencias físicas de rechazar la comida. Si la persona comprende esas consecuencias, su derecho a rechazar la comida debe ser respetado en cumplimiento de la ética médica como del derecho internacional”</w:t>
      </w:r>
      <w:r w:rsidRPr="008D5BCE">
        <w:rPr>
          <w:rStyle w:val="FootnoteReference"/>
          <w:rFonts w:ascii="Cambria" w:hAnsi="Cambria"/>
          <w:sz w:val="20"/>
          <w:lang w:val="es-ES"/>
        </w:rPr>
        <w:footnoteReference w:id="54"/>
      </w:r>
      <w:r w:rsidRPr="008D5BCE">
        <w:rPr>
          <w:rFonts w:ascii="Cambria" w:hAnsi="Cambria"/>
          <w:sz w:val="20"/>
          <w:lang w:val="es-ES"/>
        </w:rPr>
        <w:t>.</w:t>
      </w:r>
    </w:p>
    <w:p w14:paraId="5D45226A" w14:textId="77777777" w:rsidR="00702483" w:rsidRPr="008D5BCE" w:rsidRDefault="00702483" w:rsidP="00702483">
      <w:pPr>
        <w:pStyle w:val="ListParagraph"/>
        <w:rPr>
          <w:sz w:val="20"/>
          <w:lang w:val="es-ES"/>
        </w:rPr>
      </w:pPr>
    </w:p>
    <w:p w14:paraId="40462E79" w14:textId="77777777" w:rsidR="00702483" w:rsidRPr="008D5BCE" w:rsidRDefault="00702483" w:rsidP="00702483">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lang w:val="es-ES"/>
        </w:rPr>
      </w:pPr>
      <w:r w:rsidRPr="008D5BCE">
        <w:rPr>
          <w:rFonts w:ascii="Cambria" w:hAnsi="Cambria"/>
          <w:sz w:val="20"/>
          <w:lang w:val="es-ES"/>
        </w:rPr>
        <w:t>La CIDH ha</w:t>
      </w:r>
      <w:r>
        <w:rPr>
          <w:rFonts w:ascii="Cambria" w:hAnsi="Cambria"/>
          <w:sz w:val="20"/>
          <w:lang w:val="es-ES"/>
        </w:rPr>
        <w:t xml:space="preserve"> recalcado que</w:t>
      </w:r>
      <w:r w:rsidRPr="008D5BCE">
        <w:rPr>
          <w:rStyle w:val="FootnoteReference"/>
          <w:rFonts w:ascii="Cambria" w:hAnsi="Cambria"/>
          <w:sz w:val="20"/>
          <w:lang w:val="es-ES"/>
        </w:rPr>
        <w:footnoteReference w:id="55"/>
      </w:r>
      <w:r>
        <w:rPr>
          <w:rFonts w:ascii="Cambria" w:hAnsi="Cambria"/>
          <w:sz w:val="20"/>
          <w:lang w:val="es-ES"/>
        </w:rPr>
        <w:t>:</w:t>
      </w:r>
    </w:p>
    <w:p w14:paraId="5F71BC5C" w14:textId="77777777" w:rsidR="00702483" w:rsidRPr="008D5BCE" w:rsidRDefault="00702483" w:rsidP="00702483">
      <w:pPr>
        <w:pStyle w:val="ListParagraph"/>
        <w:rPr>
          <w:sz w:val="20"/>
          <w:lang w:val="es-ES"/>
        </w:rPr>
      </w:pPr>
    </w:p>
    <w:p w14:paraId="2953FE8C" w14:textId="77777777" w:rsidR="00702483" w:rsidRPr="008D5BCE" w:rsidRDefault="00702483" w:rsidP="00702483">
      <w:pPr>
        <w:pStyle w:val="NormalWeb"/>
        <w:shd w:val="clear" w:color="auto" w:fill="FFFFFF"/>
        <w:tabs>
          <w:tab w:val="left" w:pos="360"/>
        </w:tabs>
        <w:spacing w:before="0" w:beforeAutospacing="0" w:after="0" w:afterAutospacing="0"/>
        <w:ind w:left="360" w:right="360"/>
        <w:jc w:val="both"/>
        <w:rPr>
          <w:rFonts w:ascii="Cambria" w:hAnsi="Cambria"/>
          <w:sz w:val="18"/>
          <w:szCs w:val="18"/>
          <w:lang w:val="es-ES"/>
        </w:rPr>
      </w:pPr>
      <w:r w:rsidRPr="008D5BCE">
        <w:rPr>
          <w:rFonts w:ascii="Cambria" w:hAnsi="Cambria"/>
          <w:sz w:val="18"/>
          <w:szCs w:val="18"/>
          <w:lang w:val="es-ES"/>
        </w:rPr>
        <w:lastRenderedPageBreak/>
        <w:t>según la Declaración adoptada por la Asamblea Médica Mundial de Malta, en casos que involucren personas en huelga de hambre, el deber del personal médico de actuar de manera ética y respetuosa de la autonomía individual, entre otros principios, deben ser respetados. Según estos principios, son injustificables las prácticas de alimentación forzada de personas en contra de su negativa informada y voluntaria contra tal medida. Además, las huelgas de hambre deben ser protegidas contra toda forma de coerción, más aún cuando esto se lleva a cabo a través del uso de la fuerza y, en ciertos casos, a través de violencia extrema. El personal de cuidados de salud no puede aplicar presión indebida de ningún tipo respecto de los individuos que han optado por el recurso extremo de mantenerse en huelga de hambre. Tampoco es aceptable utilizar amenazas de alimentación forzada u otros tipos de coerción física o psicológica contra personas que voluntariamente hayan decidido ponerse en huelga de hambre.</w:t>
      </w:r>
    </w:p>
    <w:p w14:paraId="165914A2" w14:textId="77777777" w:rsidR="00702483" w:rsidRPr="008D5BCE" w:rsidRDefault="00702483" w:rsidP="00702483">
      <w:pPr>
        <w:pStyle w:val="ListParagraph"/>
        <w:rPr>
          <w:sz w:val="20"/>
          <w:lang w:val="es-ES"/>
        </w:rPr>
      </w:pPr>
    </w:p>
    <w:p w14:paraId="7279412C" w14:textId="77777777" w:rsidR="00702483" w:rsidRPr="008D5BCE" w:rsidRDefault="00702483" w:rsidP="00702483">
      <w:pPr>
        <w:pStyle w:val="NormalWeb"/>
        <w:numPr>
          <w:ilvl w:val="0"/>
          <w:numId w:val="55"/>
        </w:numPr>
        <w:shd w:val="clear" w:color="auto" w:fill="FFFFFF"/>
        <w:tabs>
          <w:tab w:val="left" w:pos="0"/>
          <w:tab w:val="left" w:pos="360"/>
        </w:tabs>
        <w:spacing w:before="0" w:beforeAutospacing="0" w:after="0" w:afterAutospacing="0"/>
        <w:ind w:left="0" w:firstLine="0"/>
        <w:jc w:val="both"/>
        <w:rPr>
          <w:rFonts w:ascii="Cambria" w:hAnsi="Cambria"/>
          <w:sz w:val="20"/>
          <w:lang w:val="es-ES"/>
        </w:rPr>
      </w:pPr>
      <w:r>
        <w:rPr>
          <w:rFonts w:ascii="Cambria" w:hAnsi="Cambria"/>
          <w:sz w:val="20"/>
          <w:lang w:val="es-ES"/>
        </w:rPr>
        <w:t>No hay ninguna indicación en el expediente de que los funcionarios penitenciarios, antes de alimentar por la fuerza a</w:t>
      </w:r>
      <w:r w:rsidRPr="008D5BCE">
        <w:rPr>
          <w:rFonts w:ascii="Cambria" w:hAnsi="Cambria"/>
          <w:sz w:val="20"/>
          <w:lang w:val="es-ES"/>
        </w:rPr>
        <w:t xml:space="preserve">l señor Kadamovas, </w:t>
      </w:r>
      <w:r>
        <w:rPr>
          <w:rFonts w:ascii="Cambria" w:hAnsi="Cambria"/>
          <w:sz w:val="20"/>
          <w:lang w:val="es-ES"/>
        </w:rPr>
        <w:t>hayan hecho una evaluación individualizada para determinar si el detenido era capaz de emitir un juicio acerca de las consecuencias físicas del rechazo de los alimentos. En vista de que el caso de autos se refiere a una persona que se encuentra bajo la custodia d</w:t>
      </w:r>
      <w:r w:rsidRPr="008D5BCE">
        <w:rPr>
          <w:rFonts w:ascii="Cambria" w:hAnsi="Cambria"/>
          <w:sz w:val="20"/>
          <w:lang w:val="es-ES"/>
        </w:rPr>
        <w:t xml:space="preserve">el Estado </w:t>
      </w:r>
      <w:r>
        <w:rPr>
          <w:rFonts w:ascii="Cambria" w:hAnsi="Cambria"/>
          <w:sz w:val="20"/>
          <w:lang w:val="es-ES"/>
        </w:rPr>
        <w:t xml:space="preserve">y que se aplica un escrutinio riguroso, </w:t>
      </w:r>
      <w:r w:rsidRPr="008D5BCE">
        <w:rPr>
          <w:rFonts w:ascii="Cambria" w:hAnsi="Cambria"/>
          <w:sz w:val="20"/>
          <w:lang w:val="es-ES"/>
        </w:rPr>
        <w:t xml:space="preserve">el Estado </w:t>
      </w:r>
      <w:r>
        <w:rPr>
          <w:rFonts w:ascii="Cambria" w:hAnsi="Cambria"/>
          <w:sz w:val="20"/>
          <w:lang w:val="es-ES"/>
        </w:rPr>
        <w:t xml:space="preserve">tiene la carga de refutar el reclamo de </w:t>
      </w:r>
      <w:r w:rsidRPr="008D5BCE">
        <w:rPr>
          <w:rFonts w:ascii="Cambria" w:hAnsi="Cambria"/>
          <w:sz w:val="20"/>
          <w:lang w:val="es-ES"/>
        </w:rPr>
        <w:t xml:space="preserve">los peticionarios. </w:t>
      </w:r>
      <w:r>
        <w:rPr>
          <w:rFonts w:ascii="Cambria" w:hAnsi="Cambria"/>
          <w:sz w:val="20"/>
          <w:lang w:val="es-ES"/>
        </w:rPr>
        <w:t>Considerando las circunstancias, la información disponible y las normas antedichas</w:t>
      </w:r>
      <w:r w:rsidRPr="008D5BCE">
        <w:rPr>
          <w:rFonts w:ascii="Cambria" w:hAnsi="Cambria"/>
          <w:sz w:val="20"/>
          <w:lang w:val="es-ES"/>
        </w:rPr>
        <w:t>, la Comisión conclu</w:t>
      </w:r>
      <w:r>
        <w:rPr>
          <w:rFonts w:ascii="Cambria" w:hAnsi="Cambria"/>
          <w:sz w:val="20"/>
          <w:lang w:val="es-ES"/>
        </w:rPr>
        <w:t>ye que la falta de una evaluación individualizada antes de alimentar a</w:t>
      </w:r>
      <w:r w:rsidRPr="008D5BCE">
        <w:rPr>
          <w:rFonts w:ascii="Cambria" w:hAnsi="Cambria"/>
          <w:sz w:val="20"/>
          <w:lang w:val="es-ES"/>
        </w:rPr>
        <w:t xml:space="preserve">l señor Kadamovas </w:t>
      </w:r>
      <w:r>
        <w:rPr>
          <w:rFonts w:ascii="Cambria" w:hAnsi="Cambria"/>
          <w:sz w:val="20"/>
          <w:lang w:val="es-ES"/>
        </w:rPr>
        <w:t xml:space="preserve">por la fuerza constituyó una violación de su derecho a un trato humanitario mientras estaba privado de libertad amparado en el </w:t>
      </w:r>
      <w:r w:rsidRPr="008D5BCE">
        <w:rPr>
          <w:rFonts w:ascii="Cambria" w:hAnsi="Cambria"/>
          <w:sz w:val="20"/>
          <w:lang w:val="es-ES"/>
        </w:rPr>
        <w:t xml:space="preserve">artículo XXV </w:t>
      </w:r>
      <w:r>
        <w:rPr>
          <w:rFonts w:ascii="Cambria" w:hAnsi="Cambria"/>
          <w:sz w:val="20"/>
          <w:lang w:val="es-ES"/>
        </w:rPr>
        <w:t>de la Declaración</w:t>
      </w:r>
      <w:r w:rsidRPr="008D5BCE">
        <w:rPr>
          <w:rFonts w:ascii="Cambria" w:hAnsi="Cambria"/>
          <w:sz w:val="20"/>
          <w:lang w:val="es-ES"/>
        </w:rPr>
        <w:t xml:space="preserve"> American</w:t>
      </w:r>
      <w:r>
        <w:rPr>
          <w:rFonts w:ascii="Cambria" w:hAnsi="Cambria"/>
          <w:sz w:val="20"/>
          <w:lang w:val="es-ES"/>
        </w:rPr>
        <w:t>a</w:t>
      </w:r>
      <w:r w:rsidRPr="008D5BCE">
        <w:rPr>
          <w:rFonts w:ascii="Cambria" w:hAnsi="Cambria"/>
          <w:sz w:val="20"/>
          <w:lang w:val="es-ES"/>
        </w:rPr>
        <w:t>.</w:t>
      </w:r>
    </w:p>
    <w:p w14:paraId="30C62946" w14:textId="77777777" w:rsidR="00702483" w:rsidRPr="008D5BCE" w:rsidRDefault="00702483" w:rsidP="00702483">
      <w:pPr>
        <w:pStyle w:val="NormalWeb"/>
        <w:shd w:val="clear" w:color="auto" w:fill="FFFFFF"/>
        <w:tabs>
          <w:tab w:val="left" w:pos="360"/>
        </w:tabs>
        <w:spacing w:before="0" w:beforeAutospacing="0" w:after="0" w:afterAutospacing="0"/>
        <w:jc w:val="both"/>
        <w:rPr>
          <w:rFonts w:ascii="Cambria" w:hAnsi="Cambria"/>
          <w:sz w:val="20"/>
          <w:lang w:val="es-ES"/>
        </w:rPr>
      </w:pPr>
    </w:p>
    <w:p w14:paraId="3D2A38AC" w14:textId="77777777" w:rsidR="00702483" w:rsidRPr="00666E14" w:rsidRDefault="00C92401" w:rsidP="007E283D">
      <w:pPr>
        <w:pStyle w:val="Heading2"/>
        <w:keepLines/>
        <w:numPr>
          <w:ilvl w:val="0"/>
          <w:numId w:val="61"/>
        </w:numPr>
        <w:pBdr>
          <w:top w:val="nil"/>
          <w:left w:val="nil"/>
          <w:bottom w:val="nil"/>
          <w:right w:val="nil"/>
          <w:between w:val="nil"/>
          <w:bar w:val="nil"/>
        </w:pBdr>
        <w:tabs>
          <w:tab w:val="left" w:pos="360"/>
        </w:tabs>
        <w:spacing w:before="0" w:after="0"/>
        <w:ind w:left="0" w:firstLine="0"/>
        <w:jc w:val="both"/>
        <w:rPr>
          <w:rFonts w:asciiTheme="majorHAnsi" w:hAnsiTheme="majorHAnsi"/>
          <w:i w:val="0"/>
          <w:sz w:val="20"/>
          <w:szCs w:val="20"/>
          <w:lang w:val="es-ES"/>
        </w:rPr>
      </w:pPr>
      <w:bookmarkStart w:id="26" w:name="_Toc90289328"/>
      <w:r>
        <w:rPr>
          <w:rFonts w:asciiTheme="majorHAnsi" w:hAnsiTheme="majorHAnsi"/>
          <w:i w:val="0"/>
          <w:sz w:val="20"/>
          <w:szCs w:val="20"/>
          <w:lang w:val="es-ES"/>
        </w:rPr>
        <w:t>D</w:t>
      </w:r>
      <w:r w:rsidR="00702483" w:rsidRPr="00666E14">
        <w:rPr>
          <w:rFonts w:asciiTheme="majorHAnsi" w:hAnsiTheme="majorHAnsi"/>
          <w:i w:val="0"/>
          <w:sz w:val="20"/>
          <w:szCs w:val="20"/>
          <w:lang w:val="es-ES"/>
        </w:rPr>
        <w:t>erecho a la vida</w:t>
      </w:r>
      <w:r w:rsidR="00702483" w:rsidRPr="00033F69">
        <w:rPr>
          <w:rStyle w:val="FootnoteReference"/>
          <w:rFonts w:ascii="Cambria" w:eastAsia="Arial Unicode MS" w:hAnsi="Cambria" w:cs="Times New Roman"/>
          <w:bCs w:val="0"/>
          <w:i w:val="0"/>
          <w:iCs w:val="0"/>
          <w:sz w:val="20"/>
          <w:szCs w:val="24"/>
          <w:lang w:val="es-ES" w:eastAsia="es-ES_tradnl"/>
        </w:rPr>
        <w:footnoteReference w:id="56"/>
      </w:r>
      <w:r>
        <w:rPr>
          <w:rFonts w:asciiTheme="majorHAnsi" w:hAnsiTheme="majorHAnsi"/>
          <w:i w:val="0"/>
          <w:sz w:val="20"/>
          <w:szCs w:val="20"/>
          <w:lang w:val="es-ES"/>
        </w:rPr>
        <w:t xml:space="preserve"> y </w:t>
      </w:r>
      <w:r w:rsidR="00702483" w:rsidRPr="00666E14">
        <w:rPr>
          <w:rFonts w:asciiTheme="majorHAnsi" w:hAnsiTheme="majorHAnsi"/>
          <w:i w:val="0"/>
          <w:sz w:val="20"/>
          <w:szCs w:val="20"/>
          <w:lang w:val="es-ES"/>
        </w:rPr>
        <w:t>derecho a la protección contra un castigo cruel, infamante o inusitado con respecto a la eventual ejecución de Jurijus Kadamovas y Robert L. Bolden</w:t>
      </w:r>
      <w:bookmarkEnd w:id="26"/>
      <w:r w:rsidR="00702483" w:rsidRPr="00033F69">
        <w:rPr>
          <w:rFonts w:asciiTheme="majorHAnsi" w:hAnsiTheme="majorHAnsi"/>
          <w:i w:val="0"/>
          <w:sz w:val="20"/>
          <w:szCs w:val="20"/>
          <w:lang w:val="es-ES"/>
        </w:rPr>
        <w:t xml:space="preserve"> </w:t>
      </w:r>
    </w:p>
    <w:p w14:paraId="17CCFAF3" w14:textId="77777777" w:rsidR="00702483" w:rsidRPr="008D5BCE" w:rsidRDefault="00702483" w:rsidP="00702483">
      <w:pPr>
        <w:rPr>
          <w:rFonts w:asciiTheme="majorHAnsi" w:hAnsiTheme="majorHAnsi"/>
          <w:sz w:val="20"/>
          <w:szCs w:val="20"/>
          <w:lang w:val="es-ES"/>
        </w:rPr>
      </w:pPr>
    </w:p>
    <w:p w14:paraId="2DC3F54D"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022941">
        <w:rPr>
          <w:rFonts w:ascii="Cambria" w:hAnsi="Cambria"/>
          <w:sz w:val="20"/>
          <w:szCs w:val="20"/>
          <w:lang w:val="es-ES"/>
        </w:rPr>
        <w:t xml:space="preserve">Como ya se dijo, la Comisión Interamericana considera que incumbe a los tribunales de jurisdicción interna, y no a </w:t>
      </w:r>
      <w:r>
        <w:rPr>
          <w:rFonts w:ascii="Cambria" w:hAnsi="Cambria"/>
          <w:sz w:val="20"/>
          <w:szCs w:val="20"/>
          <w:lang w:val="es-ES"/>
        </w:rPr>
        <w:t>ella</w:t>
      </w:r>
      <w:r w:rsidRPr="00022941">
        <w:rPr>
          <w:rFonts w:ascii="Cambria" w:hAnsi="Cambria"/>
          <w:sz w:val="20"/>
          <w:szCs w:val="20"/>
          <w:lang w:val="es-ES"/>
        </w:rPr>
        <w:t>, interpretar y aplicar el derecho interno. No obstante, la CIDH debe asegurar que la privación de la vida como consecuencia de la imposición de la pena de muerte se ciña a los requisitos de</w:t>
      </w:r>
      <w:r w:rsidRPr="007A3389">
        <w:rPr>
          <w:rFonts w:ascii="Cambria" w:hAnsi="Cambria"/>
          <w:sz w:val="20"/>
          <w:szCs w:val="20"/>
          <w:lang w:val="es-ES"/>
        </w:rPr>
        <w:t xml:space="preserve"> la Declaración Americana</w:t>
      </w:r>
      <w:r w:rsidRPr="008D5BCE">
        <w:rPr>
          <w:rStyle w:val="FootnoteReference"/>
          <w:rFonts w:ascii="Cambria" w:hAnsi="Cambria"/>
          <w:sz w:val="20"/>
          <w:szCs w:val="20"/>
          <w:lang w:val="es-ES"/>
        </w:rPr>
        <w:footnoteReference w:id="57"/>
      </w:r>
      <w:r>
        <w:rPr>
          <w:rFonts w:ascii="Cambria" w:hAnsi="Cambria"/>
          <w:sz w:val="20"/>
          <w:szCs w:val="20"/>
          <w:lang w:val="es-ES"/>
        </w:rPr>
        <w:t>.</w:t>
      </w:r>
    </w:p>
    <w:p w14:paraId="51A64737" w14:textId="77777777" w:rsidR="00702483" w:rsidRPr="008D5BCE" w:rsidRDefault="00702483" w:rsidP="00702483">
      <w:pPr>
        <w:rPr>
          <w:sz w:val="20"/>
          <w:szCs w:val="20"/>
          <w:lang w:val="es-ES"/>
        </w:rPr>
      </w:pPr>
    </w:p>
    <w:p w14:paraId="7306E451" w14:textId="77777777" w:rsidR="00702483" w:rsidRPr="008D5BCE" w:rsidRDefault="00702483" w:rsidP="007024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773136">
        <w:rPr>
          <w:rFonts w:ascii="Cambria" w:hAnsi="Cambria"/>
          <w:sz w:val="20"/>
          <w:szCs w:val="20"/>
          <w:lang w:val="es-ES"/>
        </w:rPr>
        <w:t>En tales circunstancias, la CIDH ha afirmado que ejecutar a una persona al cabo de procedimientos que infringieron sus derechos sería un acto sumamente grave que constituiría una violación deliberada del derecho a la vida enunciado en el artículo I de la Declaración Americana</w:t>
      </w:r>
      <w:r w:rsidRPr="008D5BCE">
        <w:rPr>
          <w:rStyle w:val="FootnoteReference"/>
          <w:rFonts w:ascii="Cambria" w:hAnsi="Cambria"/>
          <w:sz w:val="20"/>
          <w:szCs w:val="20"/>
          <w:lang w:val="es-ES"/>
        </w:rPr>
        <w:footnoteReference w:id="58"/>
      </w:r>
      <w:r>
        <w:rPr>
          <w:rFonts w:ascii="Cambria" w:hAnsi="Cambria"/>
          <w:sz w:val="20"/>
          <w:szCs w:val="20"/>
          <w:lang w:val="es-ES"/>
        </w:rPr>
        <w:t xml:space="preserve">. </w:t>
      </w:r>
      <w:r w:rsidRPr="00773136">
        <w:rPr>
          <w:rFonts w:ascii="Cambria" w:hAnsi="Cambria"/>
          <w:sz w:val="20"/>
          <w:szCs w:val="20"/>
          <w:lang w:val="es-ES"/>
        </w:rPr>
        <w:t>Asimismo, sobre la base de las conclusiones relativas a la privación de libertad en el corredor de la muerte, la eventual ejecución</w:t>
      </w:r>
      <w:r w:rsidRPr="008D5BCE">
        <w:rPr>
          <w:rFonts w:ascii="Cambria" w:hAnsi="Cambria"/>
          <w:sz w:val="20"/>
          <w:szCs w:val="20"/>
          <w:lang w:val="es-ES"/>
        </w:rPr>
        <w:t xml:space="preserve"> </w:t>
      </w:r>
      <w:r>
        <w:rPr>
          <w:rFonts w:ascii="Cambria" w:hAnsi="Cambria"/>
          <w:sz w:val="20"/>
          <w:szCs w:val="20"/>
          <w:lang w:val="es-ES"/>
        </w:rPr>
        <w:t>de</w:t>
      </w:r>
      <w:r w:rsidRPr="008D5BCE">
        <w:rPr>
          <w:rFonts w:ascii="Cambria" w:hAnsi="Cambria"/>
          <w:sz w:val="20"/>
          <w:szCs w:val="20"/>
          <w:lang w:val="es-ES"/>
        </w:rPr>
        <w:t xml:space="preserve"> las presuntas víctimas </w:t>
      </w:r>
      <w:r w:rsidRPr="00773136">
        <w:rPr>
          <w:rFonts w:ascii="Cambria" w:hAnsi="Cambria"/>
          <w:sz w:val="20"/>
          <w:szCs w:val="20"/>
          <w:lang w:val="es-ES"/>
        </w:rPr>
        <w:t>constituiría, desde todo punto de vista, una violación del derecho a la protección contra un castigo cruel, infamante o inusitado. En vista de lo que antecede y teniendo en cuenta las determinaciones formuladas a lo largo de este informe, la CIDH concluye que la ejecución de</w:t>
      </w:r>
      <w:r>
        <w:rPr>
          <w:rFonts w:ascii="Cambria" w:hAnsi="Cambria"/>
          <w:sz w:val="20"/>
          <w:szCs w:val="20"/>
          <w:lang w:val="es-ES"/>
        </w:rPr>
        <w:t xml:space="preserve"> los</w:t>
      </w:r>
      <w:r w:rsidRPr="008D5BCE">
        <w:rPr>
          <w:rFonts w:ascii="Cambria" w:hAnsi="Cambria"/>
          <w:sz w:val="20"/>
          <w:szCs w:val="20"/>
          <w:lang w:val="es-ES"/>
        </w:rPr>
        <w:t xml:space="preserve"> señor</w:t>
      </w:r>
      <w:r>
        <w:rPr>
          <w:rFonts w:ascii="Cambria" w:hAnsi="Cambria"/>
          <w:sz w:val="20"/>
          <w:szCs w:val="20"/>
          <w:lang w:val="es-ES"/>
        </w:rPr>
        <w:t>es</w:t>
      </w:r>
      <w:r w:rsidRPr="008D5BCE">
        <w:rPr>
          <w:rFonts w:ascii="Cambria" w:hAnsi="Cambria"/>
          <w:sz w:val="20"/>
          <w:szCs w:val="20"/>
          <w:lang w:val="es-ES"/>
        </w:rPr>
        <w:t xml:space="preserve"> Kadamovas </w:t>
      </w:r>
      <w:r>
        <w:rPr>
          <w:rFonts w:ascii="Cambria" w:hAnsi="Cambria"/>
          <w:sz w:val="20"/>
          <w:szCs w:val="20"/>
          <w:lang w:val="es-ES"/>
        </w:rPr>
        <w:t xml:space="preserve">y </w:t>
      </w:r>
      <w:r w:rsidRPr="008D5BCE">
        <w:rPr>
          <w:rFonts w:ascii="Cambria" w:hAnsi="Cambria"/>
          <w:sz w:val="20"/>
          <w:szCs w:val="20"/>
          <w:lang w:val="es-ES"/>
        </w:rPr>
        <w:t xml:space="preserve">Bolden </w:t>
      </w:r>
      <w:r w:rsidRPr="00773136">
        <w:rPr>
          <w:rFonts w:ascii="Cambria" w:hAnsi="Cambria"/>
          <w:sz w:val="20"/>
          <w:szCs w:val="20"/>
          <w:lang w:val="es-ES"/>
        </w:rPr>
        <w:t>constituiría una grave violación del derecho a la vida enunciado en el artículo I de la Declaración Americana</w:t>
      </w:r>
      <w:r w:rsidRPr="008D5BCE">
        <w:rPr>
          <w:rFonts w:ascii="Cambria" w:hAnsi="Cambria"/>
          <w:sz w:val="20"/>
          <w:szCs w:val="20"/>
          <w:lang w:val="es-ES"/>
        </w:rPr>
        <w:t>.</w:t>
      </w:r>
    </w:p>
    <w:p w14:paraId="6A71E15F" w14:textId="77777777" w:rsidR="0031320A" w:rsidRPr="0099456A" w:rsidRDefault="0031320A" w:rsidP="0031320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2DDFF3B9" w14:textId="77777777" w:rsidR="0031320A" w:rsidRPr="002718F0" w:rsidRDefault="0031320A" w:rsidP="0031320A">
      <w:pPr>
        <w:pStyle w:val="Heading1"/>
        <w:tabs>
          <w:tab w:val="left" w:pos="360"/>
        </w:tabs>
        <w:spacing w:before="0"/>
        <w:ind w:left="0" w:firstLine="0"/>
        <w:rPr>
          <w:color w:val="auto"/>
          <w:sz w:val="20"/>
          <w:szCs w:val="20"/>
          <w:lang w:val="es-ES_tradnl"/>
        </w:rPr>
      </w:pPr>
      <w:bookmarkStart w:id="27" w:name="_Toc87434319"/>
      <w:bookmarkStart w:id="28" w:name="_Toc87519108"/>
      <w:bookmarkStart w:id="29" w:name="_Toc90289329"/>
      <w:r w:rsidRPr="002718F0">
        <w:rPr>
          <w:color w:val="auto"/>
          <w:sz w:val="20"/>
          <w:szCs w:val="20"/>
          <w:lang w:val="es-ES_tradnl"/>
        </w:rPr>
        <w:t>INFORME Nº 10/20 E INFORMACIÓN SOBRE EL CUMPLIMIENTO</w:t>
      </w:r>
      <w:bookmarkEnd w:id="27"/>
      <w:bookmarkEnd w:id="28"/>
      <w:bookmarkEnd w:id="29"/>
    </w:p>
    <w:p w14:paraId="0395BD81" w14:textId="77777777" w:rsidR="0031320A" w:rsidRPr="002718F0" w:rsidRDefault="0031320A" w:rsidP="0031320A">
      <w:pPr>
        <w:rPr>
          <w:lang w:val="es-ES_tradnl"/>
        </w:rPr>
      </w:pPr>
    </w:p>
    <w:p w14:paraId="2293A14E" w14:textId="77777777" w:rsidR="0031320A" w:rsidRPr="002718F0" w:rsidRDefault="0031320A" w:rsidP="009B767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color w:val="000000" w:themeColor="text1"/>
          <w:sz w:val="20"/>
          <w:szCs w:val="20"/>
          <w:lang w:val="es-ES_tradnl"/>
        </w:rPr>
      </w:pPr>
      <w:r w:rsidRPr="002718F0">
        <w:rPr>
          <w:rFonts w:ascii="Cambria" w:hAnsi="Cambria"/>
          <w:sz w:val="20"/>
          <w:szCs w:val="20"/>
          <w:lang w:val="es-ES"/>
        </w:rPr>
        <w:t>El</w:t>
      </w:r>
      <w:r w:rsidRPr="002718F0">
        <w:rPr>
          <w:rFonts w:asciiTheme="majorHAnsi" w:hAnsiTheme="majorHAnsi"/>
          <w:color w:val="000000" w:themeColor="text1"/>
          <w:sz w:val="20"/>
          <w:szCs w:val="20"/>
          <w:lang w:val="es-ES_tradnl"/>
        </w:rPr>
        <w:t xml:space="preserve"> 3 de marzo de 2020, la Comisión aprobó el Informe No. 10/20 sobre el fondo del presente caso, que comprende los párrafos 1 a </w:t>
      </w:r>
      <w:r w:rsidR="00D04A76" w:rsidRPr="002718F0">
        <w:rPr>
          <w:rFonts w:asciiTheme="majorHAnsi" w:hAnsiTheme="majorHAnsi"/>
          <w:color w:val="000000" w:themeColor="text1"/>
          <w:sz w:val="20"/>
          <w:szCs w:val="20"/>
          <w:lang w:val="es-ES_tradnl"/>
        </w:rPr>
        <w:t>78</w:t>
      </w:r>
      <w:r w:rsidRPr="002718F0">
        <w:rPr>
          <w:rFonts w:asciiTheme="majorHAnsi" w:hAnsiTheme="majorHAnsi"/>
          <w:color w:val="000000" w:themeColor="text1"/>
          <w:sz w:val="20"/>
          <w:szCs w:val="20"/>
          <w:lang w:val="es-ES_tradnl"/>
        </w:rPr>
        <w:t xml:space="preserve"> supra, y emitió las siguientes recomendaciones al Estado:</w:t>
      </w:r>
    </w:p>
    <w:p w14:paraId="14A003F5" w14:textId="77777777" w:rsidR="0031320A" w:rsidRDefault="0031320A" w:rsidP="0031320A">
      <w:pPr>
        <w:rPr>
          <w:rFonts w:asciiTheme="majorHAnsi" w:hAnsiTheme="majorHAnsi"/>
          <w:sz w:val="20"/>
          <w:szCs w:val="20"/>
          <w:lang w:val="es-ES"/>
        </w:rPr>
      </w:pPr>
    </w:p>
    <w:p w14:paraId="59C48094" w14:textId="77777777" w:rsidR="0031320A" w:rsidRPr="008D5BCE" w:rsidRDefault="0031320A" w:rsidP="0031320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8D5BCE">
        <w:rPr>
          <w:rFonts w:eastAsia="Times New Roman" w:cs="Tahoma"/>
          <w:sz w:val="20"/>
          <w:szCs w:val="20"/>
          <w:bdr w:val="none" w:sz="0" w:space="0" w:color="auto" w:frame="1"/>
          <w:lang w:val="es-ES"/>
        </w:rPr>
        <w:t xml:space="preserve">Que otorgue a </w:t>
      </w:r>
      <w:r w:rsidRPr="008D5BCE">
        <w:rPr>
          <w:rFonts w:asciiTheme="majorHAnsi" w:hAnsiTheme="majorHAnsi"/>
          <w:color w:val="auto"/>
          <w:sz w:val="20"/>
          <w:szCs w:val="20"/>
          <w:lang w:val="es-ES"/>
        </w:rPr>
        <w:t>Jurijus Kadamovas y Robert Bolden</w:t>
      </w:r>
      <w:r w:rsidRPr="008D5BCE">
        <w:rPr>
          <w:rFonts w:eastAsia="Times New Roman" w:cs="Tahoma"/>
          <w:sz w:val="20"/>
          <w:szCs w:val="20"/>
          <w:bdr w:val="none" w:sz="0" w:space="0" w:color="auto" w:frame="1"/>
          <w:lang w:val="es-ES"/>
        </w:rPr>
        <w:t xml:space="preserve"> una reparación eficaz, incluida la revisión de su juicio y su sentencia, de conformidad con las garantías del derecho de justicia y el derecho a proceso regular establecidas en los artículos XVIII y XXVI de la Declaración Americana, así como una indemnización pecuniaria. Teniendo en cuenta las conclusiones de la CIDH con respecto al tiempo que</w:t>
      </w:r>
      <w:r w:rsidRPr="008D5BCE">
        <w:rPr>
          <w:rFonts w:cs="Arial"/>
          <w:color w:val="auto"/>
          <w:sz w:val="20"/>
          <w:szCs w:val="20"/>
          <w:lang w:val="es-ES"/>
        </w:rPr>
        <w:t xml:space="preserve"> </w:t>
      </w:r>
      <w:r w:rsidRPr="008D5BCE">
        <w:rPr>
          <w:rFonts w:asciiTheme="majorHAnsi" w:hAnsiTheme="majorHAnsi"/>
          <w:color w:val="auto"/>
          <w:sz w:val="20"/>
          <w:szCs w:val="20"/>
          <w:lang w:val="es-ES"/>
        </w:rPr>
        <w:t>las presuntas víctimas han estado en el corredor de la muerte, la Comisión recomienda que se les conmute la pena</w:t>
      </w:r>
      <w:r w:rsidRPr="008D5BCE">
        <w:rPr>
          <w:rFonts w:eastAsia="Times New Roman" w:cs="Tahoma"/>
          <w:sz w:val="20"/>
          <w:szCs w:val="20"/>
          <w:bdr w:val="none" w:sz="0" w:space="0" w:color="auto" w:frame="1"/>
          <w:lang w:val="es-ES"/>
        </w:rPr>
        <w:t>.</w:t>
      </w:r>
    </w:p>
    <w:p w14:paraId="62859EE8" w14:textId="77777777" w:rsidR="0031320A" w:rsidRPr="008D5BCE" w:rsidRDefault="0031320A" w:rsidP="0031320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p>
    <w:p w14:paraId="3B2E0EC3" w14:textId="77777777" w:rsidR="0031320A" w:rsidRPr="008D5BCE" w:rsidRDefault="0031320A" w:rsidP="0031320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8D5BCE">
        <w:rPr>
          <w:sz w:val="20"/>
          <w:lang w:val="es-ES"/>
        </w:rPr>
        <w:t xml:space="preserve">Que revise sus leyes, procedimientos y prácticas estatales y federales a fin de que las personas acusadas de delitos punibles con la pena de muerte sean juzgadas y, de ser declaradas culpables, sean sentenciadas de </w:t>
      </w:r>
      <w:r w:rsidRPr="008D5BCE">
        <w:rPr>
          <w:sz w:val="20"/>
          <w:lang w:val="es-ES"/>
        </w:rPr>
        <w:lastRenderedPageBreak/>
        <w:t>conformidad con los derechos establecidos en la Declaración Americana, incluidos sus artículos I, XVIII, XXV y XXVI y, en particular:</w:t>
      </w:r>
    </w:p>
    <w:p w14:paraId="70F91891" w14:textId="77777777" w:rsidR="0031320A" w:rsidRPr="008D5BCE" w:rsidRDefault="0031320A" w:rsidP="0031320A">
      <w:pPr>
        <w:pStyle w:val="ListParagraph"/>
        <w:rPr>
          <w:rFonts w:asciiTheme="majorHAnsi" w:eastAsia="Times New Roman" w:hAnsiTheme="majorHAnsi" w:cs="Tahoma"/>
          <w:sz w:val="20"/>
          <w:szCs w:val="20"/>
          <w:bdr w:val="none" w:sz="0" w:space="0" w:color="auto"/>
          <w:lang w:val="es-ES"/>
        </w:rPr>
      </w:pPr>
    </w:p>
    <w:p w14:paraId="1F3068B1" w14:textId="77777777" w:rsidR="0031320A" w:rsidRPr="008D5BCE" w:rsidRDefault="0031320A" w:rsidP="0031320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8D5BCE">
        <w:rPr>
          <w:rFonts w:asciiTheme="majorHAnsi" w:hAnsiTheme="majorHAnsi"/>
          <w:sz w:val="20"/>
          <w:szCs w:val="20"/>
          <w:lang w:val="es-ES"/>
        </w:rPr>
        <w:t>Que asegure que a todo extranjero privado de la libertad se le informe, sin demora y antes de que efectúe su primera declaración, sobre su derecho a solicitar que se notifique de inmediato a las autoridades diplomáticas sobre su arresto o detención;</w:t>
      </w:r>
    </w:p>
    <w:p w14:paraId="1F2D0513" w14:textId="77777777" w:rsidR="0031320A" w:rsidRPr="008D5BCE" w:rsidRDefault="0031320A" w:rsidP="0031320A">
      <w:pPr>
        <w:pStyle w:val="ListParagraph"/>
        <w:ind w:left="1080"/>
        <w:rPr>
          <w:sz w:val="20"/>
          <w:szCs w:val="20"/>
          <w:bdr w:val="none" w:sz="0" w:space="0" w:color="auto" w:frame="1"/>
          <w:lang w:val="es-ES"/>
        </w:rPr>
      </w:pPr>
    </w:p>
    <w:p w14:paraId="1D287B47" w14:textId="77777777" w:rsidR="0031320A" w:rsidRPr="008D5BCE" w:rsidRDefault="0031320A" w:rsidP="0031320A">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8D5BCE">
        <w:rPr>
          <w:sz w:val="20"/>
          <w:szCs w:val="20"/>
          <w:bdr w:val="none" w:sz="0" w:space="0" w:color="auto" w:frame="1"/>
          <w:lang w:val="es-ES"/>
        </w:rPr>
        <w:t xml:space="preserve">Que asegure que el abogado de oficio que represente al acusado en la apelación proporcione asistencia letrada adecuada en los casos de delitos punibles con la pena de muerte. </w:t>
      </w:r>
    </w:p>
    <w:p w14:paraId="350E104F" w14:textId="77777777" w:rsidR="0031320A" w:rsidRPr="008D5BCE" w:rsidRDefault="0031320A" w:rsidP="0031320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p>
    <w:p w14:paraId="77948568" w14:textId="77777777" w:rsidR="0031320A" w:rsidRPr="008D5BCE" w:rsidRDefault="0031320A" w:rsidP="0031320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Pr>
          <w:rFonts w:eastAsia="Times New Roman" w:cs="Tahoma"/>
          <w:sz w:val="20"/>
          <w:szCs w:val="20"/>
          <w:bdr w:val="none" w:sz="0" w:space="0" w:color="auto" w:frame="1"/>
          <w:lang w:val="es-ES"/>
        </w:rPr>
        <w:t>Que asegure que no se alimente por la fuerza a ningún detenido que esté haciendo huelga de hambre siempre que el detenido sea capaz de tomar decisiones fundamentadas</w:t>
      </w:r>
      <w:r w:rsidRPr="008D5BCE">
        <w:rPr>
          <w:rFonts w:eastAsia="Times New Roman" w:cs="Tahoma"/>
          <w:sz w:val="20"/>
          <w:szCs w:val="20"/>
          <w:bdr w:val="none" w:sz="0" w:space="0" w:color="auto" w:frame="1"/>
          <w:lang w:val="es-ES"/>
        </w:rPr>
        <w:t xml:space="preserve">. </w:t>
      </w:r>
    </w:p>
    <w:p w14:paraId="17CED767" w14:textId="77777777" w:rsidR="0031320A" w:rsidRPr="008D5BCE" w:rsidRDefault="0031320A" w:rsidP="0031320A">
      <w:pPr>
        <w:tabs>
          <w:tab w:val="left" w:pos="360"/>
        </w:tabs>
        <w:jc w:val="both"/>
        <w:rPr>
          <w:rFonts w:eastAsia="Times New Roman" w:cs="Tahoma"/>
          <w:sz w:val="20"/>
          <w:szCs w:val="20"/>
          <w:bdr w:val="none" w:sz="0" w:space="0" w:color="auto" w:frame="1"/>
          <w:lang w:val="es-ES"/>
        </w:rPr>
      </w:pPr>
    </w:p>
    <w:p w14:paraId="752A3E31" w14:textId="77777777" w:rsidR="0031320A" w:rsidRPr="008D5BCE" w:rsidRDefault="0031320A" w:rsidP="0031320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8D5BCE">
        <w:rPr>
          <w:rFonts w:asciiTheme="majorHAnsi" w:hAnsiTheme="majorHAnsi"/>
          <w:sz w:val="20"/>
          <w:lang w:val="es-ES"/>
        </w:rPr>
        <w:t>Que imponga una moratoria de las ejecuciones de personas condena</w:t>
      </w:r>
      <w:r>
        <w:rPr>
          <w:rFonts w:asciiTheme="majorHAnsi" w:hAnsiTheme="majorHAnsi"/>
          <w:sz w:val="20"/>
          <w:lang w:val="es-ES"/>
        </w:rPr>
        <w:t>da</w:t>
      </w:r>
      <w:r w:rsidRPr="008D5BCE">
        <w:rPr>
          <w:rFonts w:asciiTheme="majorHAnsi" w:hAnsiTheme="majorHAnsi"/>
          <w:sz w:val="20"/>
          <w:lang w:val="es-ES"/>
        </w:rPr>
        <w:t>s a muerte, en vista de las violaciones de la Declaración Americana que la CIDH ha observado en el caso de autos y en otros relacionados con la aplicación de la pena de muerte</w:t>
      </w:r>
      <w:r w:rsidRPr="008D5BCE">
        <w:rPr>
          <w:rStyle w:val="FootnoteReference"/>
          <w:sz w:val="20"/>
          <w:lang w:val="es-ES"/>
        </w:rPr>
        <w:footnoteReference w:id="59"/>
      </w:r>
      <w:r w:rsidRPr="008D5BCE">
        <w:rPr>
          <w:rFonts w:asciiTheme="majorHAnsi" w:hAnsiTheme="majorHAnsi"/>
          <w:sz w:val="20"/>
          <w:lang w:val="es-ES"/>
        </w:rPr>
        <w:t>.</w:t>
      </w:r>
    </w:p>
    <w:p w14:paraId="70A0CB58" w14:textId="77777777" w:rsidR="0031320A" w:rsidRPr="002D3AEB" w:rsidRDefault="0031320A" w:rsidP="0031320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
    <w:p w14:paraId="63A5DE63" w14:textId="77777777" w:rsidR="0031320A" w:rsidRPr="0061354F" w:rsidRDefault="0031320A" w:rsidP="009B767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color w:val="000000" w:themeColor="text1"/>
          <w:sz w:val="20"/>
          <w:szCs w:val="20"/>
          <w:lang w:val="es-SV"/>
        </w:rPr>
      </w:pPr>
      <w:r w:rsidRPr="002718F0">
        <w:rPr>
          <w:rFonts w:ascii="Cambria" w:hAnsi="Cambria"/>
          <w:sz w:val="20"/>
          <w:szCs w:val="20"/>
          <w:lang w:val="es-ES"/>
        </w:rPr>
        <w:t>El</w:t>
      </w:r>
      <w:r w:rsidRPr="002718F0">
        <w:rPr>
          <w:rFonts w:asciiTheme="majorHAnsi" w:hAnsiTheme="majorHAnsi"/>
          <w:color w:val="000000" w:themeColor="text1"/>
          <w:sz w:val="20"/>
          <w:szCs w:val="20"/>
          <w:lang w:val="es-SV"/>
        </w:rPr>
        <w:t xml:space="preserve"> 2 de </w:t>
      </w:r>
      <w:r w:rsidR="009B7678" w:rsidRPr="002718F0">
        <w:rPr>
          <w:rFonts w:asciiTheme="majorHAnsi" w:hAnsiTheme="majorHAnsi"/>
          <w:color w:val="000000" w:themeColor="text1"/>
          <w:sz w:val="20"/>
          <w:szCs w:val="20"/>
          <w:lang w:val="es-SV"/>
        </w:rPr>
        <w:t>julio</w:t>
      </w:r>
      <w:r w:rsidRPr="002718F0">
        <w:rPr>
          <w:rFonts w:asciiTheme="majorHAnsi" w:hAnsiTheme="majorHAnsi"/>
          <w:color w:val="000000" w:themeColor="text1"/>
          <w:sz w:val="20"/>
          <w:szCs w:val="20"/>
          <w:lang w:val="es-SV"/>
        </w:rPr>
        <w:t xml:space="preserve"> de 2020 la CIDH transmitió el informe al Estado con un plazo de dos meses para informar a la Comisión sobre las medidas adoptadas para cumplir con sus recomendaciones. Hasta la fecha, la Comisión no ha recibido ninguna </w:t>
      </w:r>
      <w:r w:rsidRPr="0061354F">
        <w:rPr>
          <w:rFonts w:asciiTheme="majorHAnsi" w:hAnsiTheme="majorHAnsi"/>
          <w:color w:val="000000" w:themeColor="text1"/>
          <w:sz w:val="20"/>
          <w:szCs w:val="20"/>
          <w:lang w:val="es-SV"/>
        </w:rPr>
        <w:t xml:space="preserve">respuesta de Estados Unidos en relación con el informe No. </w:t>
      </w:r>
      <w:r w:rsidR="009B7678" w:rsidRPr="0061354F">
        <w:rPr>
          <w:rFonts w:asciiTheme="majorHAnsi" w:hAnsiTheme="majorHAnsi"/>
          <w:color w:val="000000" w:themeColor="text1"/>
          <w:sz w:val="20"/>
          <w:szCs w:val="20"/>
          <w:lang w:val="es-SV"/>
        </w:rPr>
        <w:t>10</w:t>
      </w:r>
      <w:r w:rsidRPr="0061354F">
        <w:rPr>
          <w:rFonts w:asciiTheme="majorHAnsi" w:hAnsiTheme="majorHAnsi"/>
          <w:color w:val="000000" w:themeColor="text1"/>
          <w:sz w:val="20"/>
          <w:szCs w:val="20"/>
          <w:lang w:val="es-SV"/>
        </w:rPr>
        <w:t>/</w:t>
      </w:r>
      <w:r w:rsidR="009B7678" w:rsidRPr="0061354F">
        <w:rPr>
          <w:rFonts w:asciiTheme="majorHAnsi" w:hAnsiTheme="majorHAnsi"/>
          <w:color w:val="000000" w:themeColor="text1"/>
          <w:sz w:val="20"/>
          <w:szCs w:val="20"/>
          <w:lang w:val="es-SV"/>
        </w:rPr>
        <w:t>20</w:t>
      </w:r>
      <w:r w:rsidRPr="0061354F">
        <w:rPr>
          <w:rFonts w:asciiTheme="majorHAnsi" w:hAnsiTheme="majorHAnsi"/>
          <w:color w:val="000000" w:themeColor="text1"/>
          <w:sz w:val="20"/>
          <w:szCs w:val="20"/>
          <w:lang w:val="es-SV"/>
        </w:rPr>
        <w:t>.</w:t>
      </w:r>
    </w:p>
    <w:p w14:paraId="6D5159B3" w14:textId="77777777" w:rsidR="002718F0" w:rsidRPr="0061354F" w:rsidRDefault="002718F0" w:rsidP="002718F0">
      <w:pPr>
        <w:tabs>
          <w:tab w:val="left" w:pos="0"/>
          <w:tab w:val="left" w:pos="360"/>
        </w:tabs>
        <w:jc w:val="both"/>
        <w:rPr>
          <w:rFonts w:ascii="Cambria" w:hAnsi="Cambria"/>
          <w:color w:val="000000"/>
          <w:sz w:val="20"/>
          <w:szCs w:val="20"/>
          <w:lang w:val="es-ES_tradnl"/>
        </w:rPr>
      </w:pPr>
    </w:p>
    <w:p w14:paraId="64EB0AC8" w14:textId="77777777" w:rsidR="002718F0" w:rsidRPr="0061354F" w:rsidRDefault="002718F0" w:rsidP="002718F0">
      <w:pPr>
        <w:pStyle w:val="Heading1"/>
        <w:tabs>
          <w:tab w:val="left" w:pos="360"/>
        </w:tabs>
        <w:spacing w:before="0"/>
        <w:ind w:hanging="720"/>
        <w:rPr>
          <w:color w:val="auto"/>
          <w:sz w:val="20"/>
          <w:szCs w:val="20"/>
          <w:lang w:val="es-ES"/>
        </w:rPr>
      </w:pPr>
      <w:bookmarkStart w:id="30" w:name="_Toc26552694"/>
      <w:bookmarkStart w:id="31" w:name="_Toc87522750"/>
      <w:bookmarkStart w:id="32" w:name="_Toc90117848"/>
      <w:bookmarkStart w:id="33" w:name="_Toc90283158"/>
      <w:bookmarkStart w:id="34" w:name="_Toc90284835"/>
      <w:bookmarkStart w:id="35" w:name="_Toc90289330"/>
      <w:r w:rsidRPr="0061354F">
        <w:rPr>
          <w:color w:val="auto"/>
          <w:sz w:val="20"/>
          <w:szCs w:val="20"/>
          <w:lang w:val="es-ES"/>
        </w:rPr>
        <w:t>ACCIONES POSTERIORES AL INFORME No. 3</w:t>
      </w:r>
      <w:r w:rsidR="0001772D" w:rsidRPr="0061354F">
        <w:rPr>
          <w:color w:val="auto"/>
          <w:sz w:val="20"/>
          <w:szCs w:val="20"/>
          <w:lang w:val="es-ES"/>
        </w:rPr>
        <w:t>30</w:t>
      </w:r>
      <w:r w:rsidRPr="0061354F">
        <w:rPr>
          <w:color w:val="auto"/>
          <w:sz w:val="20"/>
          <w:szCs w:val="20"/>
          <w:lang w:val="es-ES"/>
        </w:rPr>
        <w:t>/</w:t>
      </w:r>
      <w:bookmarkEnd w:id="30"/>
      <w:r w:rsidRPr="0061354F">
        <w:rPr>
          <w:color w:val="auto"/>
          <w:sz w:val="20"/>
          <w:szCs w:val="20"/>
          <w:lang w:val="es-ES"/>
        </w:rPr>
        <w:t>2</w:t>
      </w:r>
      <w:bookmarkEnd w:id="31"/>
      <w:r w:rsidRPr="0061354F">
        <w:rPr>
          <w:color w:val="auto"/>
          <w:sz w:val="20"/>
          <w:szCs w:val="20"/>
          <w:lang w:val="es-ES"/>
        </w:rPr>
        <w:t>1</w:t>
      </w:r>
      <w:bookmarkEnd w:id="32"/>
      <w:bookmarkEnd w:id="33"/>
      <w:bookmarkEnd w:id="34"/>
      <w:bookmarkEnd w:id="35"/>
    </w:p>
    <w:p w14:paraId="28098415" w14:textId="77777777" w:rsidR="002718F0" w:rsidRPr="0061354F" w:rsidRDefault="002718F0" w:rsidP="002718F0">
      <w:pPr>
        <w:tabs>
          <w:tab w:val="left" w:pos="0"/>
          <w:tab w:val="left" w:pos="360"/>
        </w:tabs>
        <w:jc w:val="both"/>
        <w:rPr>
          <w:lang w:val="es-AR"/>
        </w:rPr>
      </w:pPr>
    </w:p>
    <w:p w14:paraId="101CE2E9" w14:textId="77777777" w:rsidR="002718F0" w:rsidRPr="0061354F" w:rsidRDefault="002718F0" w:rsidP="002718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Cambria" w:hAnsi="Cambria"/>
          <w:sz w:val="20"/>
          <w:szCs w:val="20"/>
          <w:lang w:val="es-UY"/>
        </w:rPr>
      </w:pPr>
      <w:r w:rsidRPr="0061354F">
        <w:rPr>
          <w:rFonts w:asciiTheme="majorHAnsi" w:hAnsiTheme="majorHAnsi"/>
          <w:color w:val="000000" w:themeColor="text1"/>
          <w:sz w:val="20"/>
          <w:szCs w:val="20"/>
        </w:rPr>
        <w:t>El</w:t>
      </w:r>
      <w:r w:rsidRPr="0061354F">
        <w:rPr>
          <w:rFonts w:ascii="Cambria" w:hAnsi="Cambria"/>
          <w:sz w:val="20"/>
          <w:szCs w:val="20"/>
          <w:lang w:val="es-UY"/>
        </w:rPr>
        <w:t xml:space="preserve"> 19 de noviembre de 2021, la Comisión aprobó el Informe de Fondo Final No. 3</w:t>
      </w:r>
      <w:r w:rsidR="0001772D" w:rsidRPr="0061354F">
        <w:rPr>
          <w:rFonts w:ascii="Cambria" w:hAnsi="Cambria"/>
          <w:sz w:val="20"/>
          <w:szCs w:val="20"/>
          <w:lang w:val="es-UY"/>
        </w:rPr>
        <w:t>30</w:t>
      </w:r>
      <w:r w:rsidRPr="0061354F">
        <w:rPr>
          <w:rFonts w:ascii="Cambria" w:hAnsi="Cambria"/>
          <w:sz w:val="20"/>
          <w:szCs w:val="20"/>
          <w:lang w:val="es-UY"/>
        </w:rPr>
        <w:t xml:space="preserve">/21, que abarca los párrafos 1 a </w:t>
      </w:r>
      <w:r w:rsidR="0001772D" w:rsidRPr="0061354F">
        <w:rPr>
          <w:rFonts w:ascii="Cambria" w:hAnsi="Cambria"/>
          <w:sz w:val="20"/>
          <w:szCs w:val="20"/>
          <w:lang w:val="es-UY"/>
        </w:rPr>
        <w:t>80</w:t>
      </w:r>
      <w:r w:rsidRPr="0061354F">
        <w:rPr>
          <w:rFonts w:ascii="Cambria" w:hAnsi="Cambria"/>
          <w:sz w:val="20"/>
          <w:szCs w:val="20"/>
          <w:lang w:val="es-UY"/>
        </w:rPr>
        <w:t xml:space="preserve"> </w:t>
      </w:r>
      <w:r w:rsidRPr="0061354F">
        <w:rPr>
          <w:rFonts w:ascii="Cambria" w:hAnsi="Cambria"/>
          <w:i/>
          <w:sz w:val="20"/>
          <w:szCs w:val="20"/>
          <w:lang w:val="es-UY"/>
        </w:rPr>
        <w:t>supra</w:t>
      </w:r>
      <w:r w:rsidRPr="0061354F">
        <w:rPr>
          <w:rFonts w:ascii="Cambria" w:hAnsi="Cambria"/>
          <w:sz w:val="20"/>
          <w:szCs w:val="20"/>
          <w:lang w:val="es-UY"/>
        </w:rPr>
        <w:t xml:space="preserve">, y emitió sus conclusiones y recomendaciones finales al Estado. El </w:t>
      </w:r>
      <w:r w:rsidR="0001772D" w:rsidRPr="0061354F">
        <w:rPr>
          <w:rFonts w:ascii="Cambria" w:hAnsi="Cambria"/>
          <w:sz w:val="20"/>
          <w:szCs w:val="20"/>
          <w:lang w:val="es-UY"/>
        </w:rPr>
        <w:t>1</w:t>
      </w:r>
      <w:r w:rsidRPr="0061354F">
        <w:rPr>
          <w:rFonts w:ascii="Cambria" w:hAnsi="Cambria"/>
          <w:sz w:val="20"/>
          <w:szCs w:val="20"/>
          <w:lang w:val="es-UY"/>
        </w:rPr>
        <w:t xml:space="preserve"> de </w:t>
      </w:r>
      <w:r w:rsidR="0001772D" w:rsidRPr="0061354F">
        <w:rPr>
          <w:rFonts w:ascii="Cambria" w:hAnsi="Cambria"/>
          <w:sz w:val="20"/>
          <w:szCs w:val="20"/>
          <w:lang w:val="es-UY"/>
        </w:rPr>
        <w:t>dic</w:t>
      </w:r>
      <w:r w:rsidRPr="0061354F">
        <w:rPr>
          <w:rFonts w:ascii="Cambria" w:hAnsi="Cambria"/>
          <w:sz w:val="20"/>
          <w:szCs w:val="20"/>
          <w:lang w:val="es-UY"/>
        </w:rPr>
        <w:t>iembre de 2021, la Comisión transmitió el informe al Estado y a los peticionarios con un plazo de tres semanas para informar a la Comisión Interamericana sobre las medidas adoptadas para dar cumplimiento a sus recomendaciones. Hasta la fecha, la CIDH no ha recibido respuesta de los Estados Unidos ni de los peticionarios en relación con el Informe 3</w:t>
      </w:r>
      <w:r w:rsidR="0001772D" w:rsidRPr="0061354F">
        <w:rPr>
          <w:rFonts w:ascii="Cambria" w:hAnsi="Cambria"/>
          <w:sz w:val="20"/>
          <w:szCs w:val="20"/>
          <w:lang w:val="es-UY"/>
        </w:rPr>
        <w:t>30</w:t>
      </w:r>
      <w:r w:rsidRPr="0061354F">
        <w:rPr>
          <w:rFonts w:ascii="Cambria" w:hAnsi="Cambria"/>
          <w:sz w:val="20"/>
          <w:szCs w:val="20"/>
          <w:lang w:val="es-UY"/>
        </w:rPr>
        <w:t>/21.</w:t>
      </w:r>
    </w:p>
    <w:p w14:paraId="3F39D0D9" w14:textId="77777777" w:rsidR="002718F0" w:rsidRPr="008D5BCE" w:rsidRDefault="002718F0" w:rsidP="009B7678">
      <w:pPr>
        <w:rPr>
          <w:rFonts w:asciiTheme="majorHAnsi" w:hAnsiTheme="majorHAnsi"/>
          <w:sz w:val="20"/>
          <w:szCs w:val="20"/>
          <w:lang w:val="es-ES"/>
        </w:rPr>
      </w:pPr>
    </w:p>
    <w:p w14:paraId="280DE442" w14:textId="77777777" w:rsidR="009B7678" w:rsidRPr="008D5BCE" w:rsidRDefault="009B7678" w:rsidP="009B7678">
      <w:pPr>
        <w:pStyle w:val="Heading1"/>
        <w:tabs>
          <w:tab w:val="left" w:pos="360"/>
        </w:tabs>
        <w:spacing w:before="0"/>
        <w:ind w:hanging="720"/>
        <w:rPr>
          <w:color w:val="auto"/>
          <w:sz w:val="20"/>
          <w:szCs w:val="20"/>
          <w:lang w:val="es-ES"/>
        </w:rPr>
      </w:pPr>
      <w:bookmarkStart w:id="36" w:name="_Toc90289331"/>
      <w:r w:rsidRPr="008D5BCE">
        <w:rPr>
          <w:color w:val="auto"/>
          <w:sz w:val="20"/>
          <w:szCs w:val="20"/>
          <w:lang w:val="es-ES"/>
        </w:rPr>
        <w:t>CONCLUSIONES Y RECOMENDACIONES</w:t>
      </w:r>
      <w:r>
        <w:rPr>
          <w:color w:val="auto"/>
          <w:sz w:val="20"/>
          <w:szCs w:val="20"/>
          <w:lang w:val="es-ES"/>
        </w:rPr>
        <w:t xml:space="preserve"> </w:t>
      </w:r>
      <w:r w:rsidRPr="002718F0">
        <w:rPr>
          <w:color w:val="auto"/>
          <w:sz w:val="20"/>
          <w:szCs w:val="20"/>
          <w:lang w:val="es-ES"/>
        </w:rPr>
        <w:t>FINALES</w:t>
      </w:r>
      <w:bookmarkEnd w:id="36"/>
    </w:p>
    <w:p w14:paraId="37FA8022" w14:textId="77777777" w:rsidR="009B7678" w:rsidRPr="008D5BCE" w:rsidRDefault="009B7678" w:rsidP="009B7678">
      <w:pPr>
        <w:pStyle w:val="NoSpacing"/>
        <w:rPr>
          <w:lang w:val="es-ES"/>
        </w:rPr>
      </w:pPr>
    </w:p>
    <w:p w14:paraId="20126F1F" w14:textId="77777777" w:rsidR="009B7678" w:rsidRPr="008D5BCE" w:rsidRDefault="009B7678" w:rsidP="009B7678">
      <w:pPr>
        <w:keepNext/>
        <w:keepLines/>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Cambria" w:hAnsi="Cambria"/>
          <w:sz w:val="20"/>
          <w:szCs w:val="20"/>
          <w:lang w:val="es-ES"/>
        </w:rPr>
      </w:pPr>
      <w:r w:rsidRPr="008D5BCE">
        <w:rPr>
          <w:rFonts w:asciiTheme="majorHAnsi" w:hAnsiTheme="majorHAnsi"/>
          <w:color w:val="000000" w:themeColor="text1"/>
          <w:sz w:val="20"/>
          <w:szCs w:val="20"/>
          <w:lang w:val="es-ES"/>
        </w:rPr>
        <w:t xml:space="preserve">Sobre la base de las determinaciones de hecho y de derecho, la Comisión Interamericana concluye que el Estado es responsable de la violación de los artículos I (derecho a la vida, a la libertad, a la seguridad e integridad de la persona), XVIII (derecho de justicia), XXV (derecho a la protección contra el arresto arbitrario) y XXVI (derecho a proceso regular) de la Declaración Americana. </w:t>
      </w:r>
    </w:p>
    <w:p w14:paraId="7E3DB8C6" w14:textId="77777777" w:rsidR="009B7678" w:rsidRDefault="009B7678" w:rsidP="00702483">
      <w:pPr>
        <w:tabs>
          <w:tab w:val="left" w:pos="360"/>
        </w:tabs>
        <w:jc w:val="both"/>
        <w:rPr>
          <w:rFonts w:ascii="Cambria" w:hAnsi="Cambria"/>
          <w:b/>
          <w:sz w:val="20"/>
          <w:szCs w:val="20"/>
          <w:lang w:val="es-ES"/>
        </w:rPr>
      </w:pPr>
    </w:p>
    <w:p w14:paraId="20E66CD5" w14:textId="77777777" w:rsidR="00702483" w:rsidRPr="008D5BCE" w:rsidRDefault="00702483" w:rsidP="00702483">
      <w:pPr>
        <w:tabs>
          <w:tab w:val="left" w:pos="360"/>
        </w:tabs>
        <w:jc w:val="both"/>
        <w:rPr>
          <w:rFonts w:ascii="Cambria" w:hAnsi="Cambria"/>
          <w:b/>
          <w:sz w:val="20"/>
          <w:szCs w:val="20"/>
          <w:lang w:val="es-ES"/>
        </w:rPr>
      </w:pPr>
      <w:r w:rsidRPr="008D5BCE">
        <w:rPr>
          <w:rFonts w:ascii="Cambria" w:hAnsi="Cambria"/>
          <w:b/>
          <w:bCs/>
          <w:sz w:val="20"/>
          <w:szCs w:val="20"/>
          <w:lang w:val="es-ES"/>
        </w:rPr>
        <w:t xml:space="preserve">LA COMISIÓN INTERAMERICANA DE DERECHOS HUMANOS </w:t>
      </w:r>
      <w:r w:rsidRPr="002718F0">
        <w:rPr>
          <w:rFonts w:ascii="Cambria" w:hAnsi="Cambria"/>
          <w:b/>
          <w:bCs/>
          <w:sz w:val="20"/>
          <w:szCs w:val="20"/>
          <w:lang w:val="es-ES"/>
        </w:rPr>
        <w:t>RE</w:t>
      </w:r>
      <w:r w:rsidR="0031320A" w:rsidRPr="002718F0">
        <w:rPr>
          <w:rFonts w:ascii="Cambria" w:hAnsi="Cambria"/>
          <w:b/>
          <w:bCs/>
          <w:sz w:val="20"/>
          <w:szCs w:val="20"/>
          <w:lang w:val="es-ES"/>
        </w:rPr>
        <w:t>ITERA</w:t>
      </w:r>
      <w:r w:rsidRPr="008D5BCE">
        <w:rPr>
          <w:rFonts w:ascii="Cambria" w:hAnsi="Cambria"/>
          <w:b/>
          <w:bCs/>
          <w:sz w:val="20"/>
          <w:szCs w:val="20"/>
          <w:lang w:val="es-ES"/>
        </w:rPr>
        <w:t xml:space="preserve"> A ESTADOS UNIDOS DE AMÉRICA:</w:t>
      </w:r>
    </w:p>
    <w:p w14:paraId="42E9E63E" w14:textId="77777777" w:rsidR="00702483" w:rsidRPr="008D5BCE" w:rsidRDefault="00702483" w:rsidP="00702483">
      <w:pPr>
        <w:rPr>
          <w:lang w:val="es-ES"/>
        </w:rPr>
      </w:pPr>
    </w:p>
    <w:p w14:paraId="2232C193" w14:textId="77777777" w:rsidR="00702483" w:rsidRPr="00D04A76" w:rsidRDefault="007D3E53" w:rsidP="00D04A76">
      <w:pPr>
        <w:pStyle w:val="ListParagraph"/>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D04A76">
        <w:rPr>
          <w:rFonts w:eastAsia="Times New Roman" w:cs="Tahoma"/>
          <w:sz w:val="20"/>
          <w:szCs w:val="20"/>
          <w:bdr w:val="none" w:sz="0" w:space="0" w:color="auto" w:frame="1"/>
          <w:lang w:val="es-ES"/>
        </w:rPr>
        <w:t>Otorgar</w:t>
      </w:r>
      <w:r w:rsidR="00702483" w:rsidRPr="00D04A76">
        <w:rPr>
          <w:rFonts w:eastAsia="Times New Roman" w:cs="Tahoma"/>
          <w:sz w:val="20"/>
          <w:szCs w:val="20"/>
          <w:bdr w:val="none" w:sz="0" w:space="0" w:color="auto" w:frame="1"/>
          <w:lang w:val="es-ES"/>
        </w:rPr>
        <w:t xml:space="preserve"> a </w:t>
      </w:r>
      <w:r w:rsidR="00702483" w:rsidRPr="00D04A76">
        <w:rPr>
          <w:rFonts w:asciiTheme="majorHAnsi" w:hAnsiTheme="majorHAnsi"/>
          <w:color w:val="auto"/>
          <w:sz w:val="20"/>
          <w:szCs w:val="20"/>
          <w:lang w:val="es-ES"/>
        </w:rPr>
        <w:t>Jurijus Kadamovas y Robert Bolden</w:t>
      </w:r>
      <w:r w:rsidR="00702483" w:rsidRPr="00D04A76">
        <w:rPr>
          <w:rFonts w:eastAsia="Times New Roman" w:cs="Tahoma"/>
          <w:sz w:val="20"/>
          <w:szCs w:val="20"/>
          <w:bdr w:val="none" w:sz="0" w:space="0" w:color="auto" w:frame="1"/>
          <w:lang w:val="es-ES"/>
        </w:rPr>
        <w:t xml:space="preserve"> una reparación eficaz, incluida la revisión de su</w:t>
      </w:r>
      <w:r w:rsidR="00465170" w:rsidRPr="00D04A76">
        <w:rPr>
          <w:rFonts w:eastAsia="Times New Roman" w:cs="Tahoma"/>
          <w:sz w:val="20"/>
          <w:szCs w:val="20"/>
          <w:bdr w:val="none" w:sz="0" w:space="0" w:color="auto" w:frame="1"/>
          <w:lang w:val="es-ES"/>
        </w:rPr>
        <w:t>s</w:t>
      </w:r>
      <w:r w:rsidR="00702483" w:rsidRPr="00D04A76">
        <w:rPr>
          <w:rFonts w:eastAsia="Times New Roman" w:cs="Tahoma"/>
          <w:sz w:val="20"/>
          <w:szCs w:val="20"/>
          <w:bdr w:val="none" w:sz="0" w:space="0" w:color="auto" w:frame="1"/>
          <w:lang w:val="es-ES"/>
        </w:rPr>
        <w:t xml:space="preserve"> juicio</w:t>
      </w:r>
      <w:r w:rsidR="00465170" w:rsidRPr="00D04A76">
        <w:rPr>
          <w:rFonts w:eastAsia="Times New Roman" w:cs="Tahoma"/>
          <w:sz w:val="20"/>
          <w:szCs w:val="20"/>
          <w:bdr w:val="none" w:sz="0" w:space="0" w:color="auto" w:frame="1"/>
          <w:lang w:val="es-ES"/>
        </w:rPr>
        <w:t>s</w:t>
      </w:r>
      <w:r w:rsidR="00702483" w:rsidRPr="00D04A76">
        <w:rPr>
          <w:rFonts w:eastAsia="Times New Roman" w:cs="Tahoma"/>
          <w:sz w:val="20"/>
          <w:szCs w:val="20"/>
          <w:bdr w:val="none" w:sz="0" w:space="0" w:color="auto" w:frame="1"/>
          <w:lang w:val="es-ES"/>
        </w:rPr>
        <w:t xml:space="preserve"> y </w:t>
      </w:r>
      <w:r w:rsidR="00465170" w:rsidRPr="00D04A76">
        <w:rPr>
          <w:rFonts w:eastAsia="Times New Roman" w:cs="Tahoma"/>
          <w:sz w:val="20"/>
          <w:szCs w:val="20"/>
          <w:bdr w:val="none" w:sz="0" w:space="0" w:color="auto" w:frame="1"/>
          <w:lang w:val="es-ES"/>
        </w:rPr>
        <w:t>condenas</w:t>
      </w:r>
      <w:r w:rsidR="00702483" w:rsidRPr="00D04A76">
        <w:rPr>
          <w:rFonts w:eastAsia="Times New Roman" w:cs="Tahoma"/>
          <w:sz w:val="20"/>
          <w:szCs w:val="20"/>
          <w:bdr w:val="none" w:sz="0" w:space="0" w:color="auto" w:frame="1"/>
          <w:lang w:val="es-ES"/>
        </w:rPr>
        <w:t>, de conformidad con las garantías del derecho de justicia y el derecho a proceso regular establecidas en los artículos XVIII y XXVI de la Declaración Americana, así como una indemnización pecuniaria. Teniendo en cuenta las conclusiones de la CIDH con respecto al tiempo que</w:t>
      </w:r>
      <w:r w:rsidR="00702483" w:rsidRPr="00D04A76">
        <w:rPr>
          <w:rFonts w:cs="Arial"/>
          <w:color w:val="auto"/>
          <w:sz w:val="20"/>
          <w:szCs w:val="20"/>
          <w:lang w:val="es-ES"/>
        </w:rPr>
        <w:t xml:space="preserve"> </w:t>
      </w:r>
      <w:r w:rsidR="00702483" w:rsidRPr="00D04A76">
        <w:rPr>
          <w:rFonts w:asciiTheme="majorHAnsi" w:hAnsiTheme="majorHAnsi"/>
          <w:color w:val="auto"/>
          <w:sz w:val="20"/>
          <w:szCs w:val="20"/>
          <w:lang w:val="es-ES"/>
        </w:rPr>
        <w:t>las presuntas víctimas han estado en el corredor de la muerte, la Comisión recomienda que se les conmute la pena</w:t>
      </w:r>
      <w:r w:rsidR="00702483" w:rsidRPr="00D04A76">
        <w:rPr>
          <w:rFonts w:eastAsia="Times New Roman" w:cs="Tahoma"/>
          <w:sz w:val="20"/>
          <w:szCs w:val="20"/>
          <w:bdr w:val="none" w:sz="0" w:space="0" w:color="auto" w:frame="1"/>
          <w:lang w:val="es-ES"/>
        </w:rPr>
        <w:t>.</w:t>
      </w:r>
    </w:p>
    <w:p w14:paraId="1038F135" w14:textId="77777777" w:rsidR="00702483" w:rsidRPr="008D5BCE" w:rsidRDefault="00702483" w:rsidP="0070248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p>
    <w:p w14:paraId="738A38B2" w14:textId="77777777" w:rsidR="00702483" w:rsidRPr="008D5BCE" w:rsidRDefault="007D3E53" w:rsidP="00D04A76">
      <w:pPr>
        <w:pStyle w:val="ListParagraph"/>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D04A76">
        <w:rPr>
          <w:rFonts w:eastAsia="Times New Roman" w:cs="Tahoma"/>
          <w:sz w:val="20"/>
          <w:szCs w:val="20"/>
          <w:bdr w:val="none" w:sz="0" w:space="0" w:color="auto" w:frame="1"/>
          <w:lang w:val="es-ES"/>
        </w:rPr>
        <w:t>Revisar</w:t>
      </w:r>
      <w:r w:rsidR="00702483" w:rsidRPr="008D5BCE">
        <w:rPr>
          <w:sz w:val="20"/>
          <w:lang w:val="es-ES"/>
        </w:rPr>
        <w:t xml:space="preserve"> sus leyes, procedimientos y prácticas federales a fin de que las personas acusadas de delitos punibles con la pena de muerte sean juzgadas y, de ser declaradas culpables, sean sentenciadas de conformidad con los derechos establecidos en la Declaración Americana, incluidos sus artículos I, XVIII, XXV y XXVI y, en particular:</w:t>
      </w:r>
    </w:p>
    <w:p w14:paraId="18ADF895" w14:textId="77777777" w:rsidR="00702483" w:rsidRPr="008D5BCE" w:rsidRDefault="00702483" w:rsidP="00702483">
      <w:pPr>
        <w:pStyle w:val="ListParagraph"/>
        <w:rPr>
          <w:rFonts w:asciiTheme="majorHAnsi" w:eastAsia="Times New Roman" w:hAnsiTheme="majorHAnsi" w:cs="Tahoma"/>
          <w:sz w:val="20"/>
          <w:szCs w:val="20"/>
          <w:bdr w:val="none" w:sz="0" w:space="0" w:color="auto"/>
          <w:lang w:val="es-ES"/>
        </w:rPr>
      </w:pPr>
    </w:p>
    <w:p w14:paraId="65261F9A" w14:textId="77777777" w:rsidR="00702483" w:rsidRPr="008D5BCE" w:rsidRDefault="007D3E53" w:rsidP="007E283D">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Pr>
          <w:rFonts w:asciiTheme="majorHAnsi" w:hAnsiTheme="majorHAnsi"/>
          <w:sz w:val="20"/>
          <w:szCs w:val="20"/>
          <w:lang w:val="es-ES"/>
        </w:rPr>
        <w:lastRenderedPageBreak/>
        <w:t>Asegurar</w:t>
      </w:r>
      <w:r w:rsidR="00702483" w:rsidRPr="008D5BCE">
        <w:rPr>
          <w:rFonts w:asciiTheme="majorHAnsi" w:hAnsiTheme="majorHAnsi"/>
          <w:sz w:val="20"/>
          <w:szCs w:val="20"/>
          <w:lang w:val="es-ES"/>
        </w:rPr>
        <w:t xml:space="preserve"> que a todo extranjero privado de la libertad se le informe, sin demora y antes de que efectúe su primera declaración, sobre su derecho a solicitar que se notifique de inmediato a las autoridades diplomáticas sobre su arresto o detención;</w:t>
      </w:r>
    </w:p>
    <w:p w14:paraId="02974EFC" w14:textId="77777777" w:rsidR="00702483" w:rsidRPr="008D5BCE" w:rsidRDefault="00702483" w:rsidP="00702483">
      <w:pPr>
        <w:pStyle w:val="ListParagraph"/>
        <w:ind w:left="1080"/>
        <w:rPr>
          <w:sz w:val="20"/>
          <w:szCs w:val="20"/>
          <w:bdr w:val="none" w:sz="0" w:space="0" w:color="auto" w:frame="1"/>
          <w:lang w:val="es-ES"/>
        </w:rPr>
      </w:pPr>
    </w:p>
    <w:p w14:paraId="01BDCC94" w14:textId="77777777" w:rsidR="00702483" w:rsidRPr="008D5BCE" w:rsidRDefault="007D3E53" w:rsidP="007E283D">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Pr>
          <w:sz w:val="20"/>
          <w:szCs w:val="20"/>
          <w:bdr w:val="none" w:sz="0" w:space="0" w:color="auto" w:frame="1"/>
          <w:lang w:val="es-ES"/>
        </w:rPr>
        <w:t>Asegurar</w:t>
      </w:r>
      <w:r w:rsidR="00702483" w:rsidRPr="008D5BCE">
        <w:rPr>
          <w:sz w:val="20"/>
          <w:szCs w:val="20"/>
          <w:bdr w:val="none" w:sz="0" w:space="0" w:color="auto" w:frame="1"/>
          <w:lang w:val="es-ES"/>
        </w:rPr>
        <w:t xml:space="preserve"> que el abogado de oficio que represente al acusado en la apelación proporcione asistencia letrada adecuada en los casos de delitos punibles con la pena de muerte. </w:t>
      </w:r>
    </w:p>
    <w:p w14:paraId="695DF1A1" w14:textId="77777777" w:rsidR="00702483" w:rsidRPr="008D5BCE" w:rsidRDefault="00702483" w:rsidP="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p>
    <w:p w14:paraId="540B903D" w14:textId="77777777" w:rsidR="00702483" w:rsidRPr="008D5BCE" w:rsidRDefault="007D3E53" w:rsidP="00D04A76">
      <w:pPr>
        <w:pStyle w:val="ListParagraph"/>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Pr>
          <w:rFonts w:eastAsia="Times New Roman" w:cs="Tahoma"/>
          <w:sz w:val="20"/>
          <w:szCs w:val="20"/>
          <w:bdr w:val="none" w:sz="0" w:space="0" w:color="auto" w:frame="1"/>
          <w:lang w:val="es-ES"/>
        </w:rPr>
        <w:t>Asegurar</w:t>
      </w:r>
      <w:r w:rsidR="00702483">
        <w:rPr>
          <w:rFonts w:eastAsia="Times New Roman" w:cs="Tahoma"/>
          <w:sz w:val="20"/>
          <w:szCs w:val="20"/>
          <w:bdr w:val="none" w:sz="0" w:space="0" w:color="auto" w:frame="1"/>
          <w:lang w:val="es-ES"/>
        </w:rPr>
        <w:t xml:space="preserve"> que </w:t>
      </w:r>
      <w:r w:rsidRPr="007D3E53">
        <w:rPr>
          <w:rFonts w:eastAsia="Times New Roman" w:cs="Tahoma"/>
          <w:sz w:val="20"/>
          <w:szCs w:val="20"/>
          <w:bdr w:val="none" w:sz="0" w:space="0" w:color="auto" w:frame="1"/>
          <w:lang w:val="es-ES"/>
        </w:rPr>
        <w:t>se realice una evaluación individual, de conformidad con los principios establecidos en el presente informe, cada vez que una persona esté en huelga de hambre, para determinar el plan de acción apropiado, respe</w:t>
      </w:r>
      <w:r>
        <w:rPr>
          <w:rFonts w:eastAsia="Times New Roman" w:cs="Tahoma"/>
          <w:sz w:val="20"/>
          <w:szCs w:val="20"/>
          <w:bdr w:val="none" w:sz="0" w:space="0" w:color="auto" w:frame="1"/>
          <w:lang w:val="es-ES"/>
        </w:rPr>
        <w:t>tando su derecho a la autonomía</w:t>
      </w:r>
      <w:r w:rsidR="00702483" w:rsidRPr="007D3E53">
        <w:rPr>
          <w:rFonts w:eastAsia="Times New Roman" w:cs="Tahoma"/>
          <w:sz w:val="20"/>
          <w:szCs w:val="20"/>
          <w:bdr w:val="none" w:sz="0" w:space="0" w:color="auto" w:frame="1"/>
          <w:lang w:val="es-ES"/>
        </w:rPr>
        <w:t>.</w:t>
      </w:r>
      <w:r w:rsidR="00702483" w:rsidRPr="008D5BCE">
        <w:rPr>
          <w:rFonts w:eastAsia="Times New Roman" w:cs="Tahoma"/>
          <w:sz w:val="20"/>
          <w:szCs w:val="20"/>
          <w:bdr w:val="none" w:sz="0" w:space="0" w:color="auto" w:frame="1"/>
          <w:lang w:val="es-ES"/>
        </w:rPr>
        <w:t xml:space="preserve"> </w:t>
      </w:r>
    </w:p>
    <w:p w14:paraId="5AA955CA" w14:textId="77777777" w:rsidR="00702483" w:rsidRPr="008D5BCE" w:rsidRDefault="00702483" w:rsidP="00702483">
      <w:pPr>
        <w:tabs>
          <w:tab w:val="left" w:pos="360"/>
        </w:tabs>
        <w:jc w:val="both"/>
        <w:rPr>
          <w:rFonts w:eastAsia="Times New Roman" w:cs="Tahoma"/>
          <w:sz w:val="20"/>
          <w:szCs w:val="20"/>
          <w:bdr w:val="none" w:sz="0" w:space="0" w:color="auto" w:frame="1"/>
          <w:lang w:val="es-ES"/>
        </w:rPr>
      </w:pPr>
    </w:p>
    <w:p w14:paraId="2D4D1A39" w14:textId="77777777" w:rsidR="0031320A" w:rsidRPr="002718F0" w:rsidRDefault="007D3E53" w:rsidP="002718F0">
      <w:pPr>
        <w:pStyle w:val="ListParagraph"/>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D04A76">
        <w:rPr>
          <w:rFonts w:eastAsia="Times New Roman" w:cs="Tahoma"/>
          <w:sz w:val="20"/>
          <w:szCs w:val="20"/>
          <w:bdr w:val="none" w:sz="0" w:space="0" w:color="auto" w:frame="1"/>
          <w:lang w:val="es-ES"/>
        </w:rPr>
        <w:t>Asegurar</w:t>
      </w:r>
      <w:r>
        <w:rPr>
          <w:rFonts w:asciiTheme="majorHAnsi" w:hAnsiTheme="majorHAnsi"/>
          <w:sz w:val="20"/>
          <w:lang w:val="es-ES"/>
        </w:rPr>
        <w:t xml:space="preserve"> q</w:t>
      </w:r>
      <w:r w:rsidR="00702483" w:rsidRPr="008D5BCE">
        <w:rPr>
          <w:rFonts w:asciiTheme="majorHAnsi" w:hAnsiTheme="majorHAnsi"/>
          <w:sz w:val="20"/>
          <w:lang w:val="es-ES"/>
        </w:rPr>
        <w:t>ue imponga una moratoria de las ejecuciones de personas condena</w:t>
      </w:r>
      <w:r w:rsidR="00702483">
        <w:rPr>
          <w:rFonts w:asciiTheme="majorHAnsi" w:hAnsiTheme="majorHAnsi"/>
          <w:sz w:val="20"/>
          <w:lang w:val="es-ES"/>
        </w:rPr>
        <w:t>da</w:t>
      </w:r>
      <w:r w:rsidR="00702483" w:rsidRPr="008D5BCE">
        <w:rPr>
          <w:rFonts w:asciiTheme="majorHAnsi" w:hAnsiTheme="majorHAnsi"/>
          <w:sz w:val="20"/>
          <w:lang w:val="es-ES"/>
        </w:rPr>
        <w:t>s a muerte, en vista de las violaciones de la Declaración Americana que la CIDH ha observado en el caso de autos y en otros relacionados con la aplicación de la pena de muerte</w:t>
      </w:r>
      <w:r w:rsidR="00702483" w:rsidRPr="008D5BCE">
        <w:rPr>
          <w:rStyle w:val="FootnoteReference"/>
          <w:sz w:val="20"/>
          <w:lang w:val="es-ES"/>
        </w:rPr>
        <w:footnoteReference w:id="60"/>
      </w:r>
      <w:r w:rsidR="00702483" w:rsidRPr="008D5BCE">
        <w:rPr>
          <w:rFonts w:asciiTheme="majorHAnsi" w:hAnsiTheme="majorHAnsi"/>
          <w:sz w:val="20"/>
          <w:lang w:val="es-ES"/>
        </w:rPr>
        <w:t>.</w:t>
      </w:r>
    </w:p>
    <w:p w14:paraId="01F3CF82" w14:textId="77777777" w:rsidR="002718F0" w:rsidRPr="00D006F7" w:rsidRDefault="002718F0" w:rsidP="002718F0">
      <w:pPr>
        <w:jc w:val="both"/>
        <w:rPr>
          <w:rFonts w:ascii="Cambria" w:eastAsia="Times New Roman" w:hAnsi="Cambria" w:cs="Tahoma"/>
          <w:color w:val="000000"/>
          <w:sz w:val="20"/>
          <w:szCs w:val="20"/>
          <w:u w:color="000000"/>
          <w:bdr w:val="none" w:sz="0" w:space="0" w:color="auto" w:frame="1"/>
          <w:lang w:val="es-ES_tradnl" w:eastAsia="es-ES"/>
        </w:rPr>
      </w:pPr>
    </w:p>
    <w:p w14:paraId="016C56B1" w14:textId="77777777" w:rsidR="002718F0" w:rsidRPr="00E64137" w:rsidRDefault="002718F0" w:rsidP="002718F0">
      <w:pPr>
        <w:pStyle w:val="Heading1"/>
        <w:tabs>
          <w:tab w:val="left" w:pos="360"/>
        </w:tabs>
        <w:spacing w:before="0"/>
        <w:ind w:hanging="720"/>
        <w:rPr>
          <w:color w:val="auto"/>
          <w:sz w:val="20"/>
          <w:szCs w:val="20"/>
          <w:lang w:val="es-ES"/>
        </w:rPr>
      </w:pPr>
      <w:bookmarkStart w:id="37" w:name="_Toc26552696"/>
      <w:bookmarkStart w:id="38" w:name="_Toc87522752"/>
      <w:bookmarkStart w:id="39" w:name="_Toc90117850"/>
      <w:bookmarkStart w:id="40" w:name="_Toc90283160"/>
      <w:bookmarkStart w:id="41" w:name="_Toc90284837"/>
      <w:bookmarkStart w:id="42" w:name="_Toc90289332"/>
      <w:r w:rsidRPr="00E64137">
        <w:rPr>
          <w:color w:val="auto"/>
          <w:sz w:val="20"/>
          <w:szCs w:val="20"/>
          <w:lang w:val="es-ES"/>
        </w:rPr>
        <w:t>PUBLICACIÓN</w:t>
      </w:r>
      <w:bookmarkEnd w:id="37"/>
      <w:bookmarkEnd w:id="38"/>
      <w:bookmarkEnd w:id="39"/>
      <w:bookmarkEnd w:id="40"/>
      <w:bookmarkEnd w:id="41"/>
      <w:bookmarkEnd w:id="42"/>
    </w:p>
    <w:p w14:paraId="34467B14" w14:textId="77777777" w:rsidR="002718F0" w:rsidRPr="00E64137" w:rsidRDefault="002718F0" w:rsidP="002718F0">
      <w:pPr>
        <w:ind w:left="360"/>
        <w:jc w:val="both"/>
        <w:rPr>
          <w:lang w:val="es-UY"/>
        </w:rPr>
      </w:pPr>
    </w:p>
    <w:p w14:paraId="0EEC7046" w14:textId="77777777" w:rsidR="002718F0" w:rsidRPr="00E64137" w:rsidRDefault="002718F0" w:rsidP="002718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color w:val="000000"/>
          <w:sz w:val="20"/>
          <w:szCs w:val="20"/>
          <w:lang w:val="es-AR"/>
        </w:rPr>
      </w:pPr>
      <w:r w:rsidRPr="00E64137">
        <w:rPr>
          <w:rFonts w:asciiTheme="majorHAnsi" w:hAnsiTheme="majorHAnsi"/>
          <w:color w:val="000000" w:themeColor="text1"/>
          <w:sz w:val="20"/>
          <w:szCs w:val="20"/>
          <w:lang w:val="es-ES"/>
        </w:rPr>
        <w:t>En</w:t>
      </w:r>
      <w:r w:rsidRPr="00E64137">
        <w:rPr>
          <w:rFonts w:ascii="Cambria" w:hAnsi="Cambria"/>
          <w:color w:val="000000"/>
          <w:sz w:val="20"/>
          <w:szCs w:val="20"/>
          <w:lang w:val="es-AR"/>
        </w:rPr>
        <w:t xml:space="preserve">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1F9BF51A" w14:textId="77777777" w:rsidR="00702483" w:rsidRPr="00E64137" w:rsidRDefault="00702483" w:rsidP="00702483">
      <w:pPr>
        <w:rPr>
          <w:rFonts w:asciiTheme="majorHAnsi" w:hAnsiTheme="majorHAnsi"/>
          <w:sz w:val="20"/>
          <w:szCs w:val="20"/>
          <w:lang w:val="es-ES"/>
        </w:rPr>
      </w:pPr>
    </w:p>
    <w:p w14:paraId="3D16A31A" w14:textId="30ACA175" w:rsidR="00722C9F" w:rsidRPr="00702483" w:rsidRDefault="00E64137" w:rsidP="00E64137">
      <w:pPr>
        <w:tabs>
          <w:tab w:val="center" w:pos="5400"/>
        </w:tabs>
        <w:suppressAutoHyphens/>
        <w:spacing w:line="276" w:lineRule="auto"/>
        <w:jc w:val="both"/>
        <w:rPr>
          <w:rFonts w:ascii="Cambria" w:hAnsi="Cambria"/>
          <w:color w:val="000000"/>
          <w:sz w:val="20"/>
          <w:szCs w:val="20"/>
          <w:highlight w:val="yellow"/>
          <w:lang w:val="es-ES"/>
        </w:rPr>
      </w:pPr>
      <w:r w:rsidRPr="00E64137">
        <w:rPr>
          <w:rFonts w:ascii="Cambria" w:hAnsi="Cambria"/>
          <w:color w:val="000000"/>
          <w:sz w:val="20"/>
          <w:szCs w:val="20"/>
          <w:bdr w:val="none" w:sz="0" w:space="0" w:color="auto" w:frame="1"/>
          <w:shd w:val="clear" w:color="auto" w:fill="FFFFFF"/>
          <w:lang w:val="es-AR"/>
        </w:rPr>
        <w:t>Aprobado por la Comisión Interamericana de Derechos Humanos a los</w:t>
      </w:r>
      <w:r>
        <w:rPr>
          <w:rFonts w:ascii="Cambria" w:hAnsi="Cambria"/>
          <w:color w:val="000000"/>
          <w:sz w:val="20"/>
          <w:szCs w:val="20"/>
          <w:bdr w:val="none" w:sz="0" w:space="0" w:color="auto" w:frame="1"/>
          <w:shd w:val="clear" w:color="auto" w:fill="FFFFFF"/>
          <w:lang w:val="es-AR"/>
        </w:rPr>
        <w:t xml:space="preserve"> 12 días del mes de mayo de 2023 (Firmado): Margarette May Macaulay, Presidenta; Esmeralda Arosemena de Troitiño, Primera Vicepresidenta; </w:t>
      </w:r>
      <w:r>
        <w:rPr>
          <w:rFonts w:ascii="Cambria" w:hAnsi="Cambria"/>
          <w:color w:val="000000"/>
          <w:sz w:val="20"/>
          <w:szCs w:val="20"/>
          <w:bdr w:val="none" w:sz="0" w:space="0" w:color="auto" w:frame="1"/>
          <w:shd w:val="clear" w:color="auto" w:fill="FFFFFF"/>
          <w:lang w:val="es-CL"/>
        </w:rPr>
        <w:t xml:space="preserve">Roberta Clarke, Segunda Vicepresidenta; </w:t>
      </w:r>
      <w:r>
        <w:rPr>
          <w:rFonts w:ascii="Cambria" w:hAnsi="Cambria"/>
          <w:color w:val="000000"/>
          <w:sz w:val="20"/>
          <w:szCs w:val="20"/>
          <w:bdr w:val="none" w:sz="0" w:space="0" w:color="auto" w:frame="1"/>
          <w:shd w:val="clear" w:color="auto" w:fill="FFFFFF"/>
          <w:lang w:val="es-AR"/>
        </w:rPr>
        <w:t>Joel Hernández García y Julissa Mantilla Falcón, miembros de la Comisión.</w:t>
      </w:r>
    </w:p>
    <w:sectPr w:rsidR="00722C9F" w:rsidRPr="00702483" w:rsidSect="00702483">
      <w:footerReference w:type="first" r:id="rId1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1F58" w14:textId="77777777" w:rsidR="004209C6" w:rsidRDefault="004209C6">
      <w:r>
        <w:separator/>
      </w:r>
    </w:p>
  </w:endnote>
  <w:endnote w:type="continuationSeparator" w:id="0">
    <w:p w14:paraId="75C7E5FE" w14:textId="77777777" w:rsidR="004209C6" w:rsidRDefault="0042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792EB560" w14:textId="77777777" w:rsidR="002718F0" w:rsidRPr="00934A2C" w:rsidRDefault="002718F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17</w:t>
        </w:r>
        <w:r w:rsidRPr="00934A2C">
          <w:rPr>
            <w:noProof/>
            <w:sz w:val="16"/>
            <w:szCs w:val="22"/>
          </w:rPr>
          <w:fldChar w:fldCharType="end"/>
        </w:r>
      </w:p>
    </w:sdtContent>
  </w:sdt>
  <w:p w14:paraId="0FF11B04" w14:textId="77777777" w:rsidR="002718F0" w:rsidRDefault="0027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578D" w14:textId="77777777" w:rsidR="002718F0" w:rsidRPr="00934A2C" w:rsidRDefault="002718F0">
    <w:pPr>
      <w:pStyle w:val="Footer"/>
      <w:jc w:val="center"/>
      <w:rPr>
        <w:sz w:val="16"/>
        <w:szCs w:val="22"/>
      </w:rPr>
    </w:pPr>
  </w:p>
  <w:p w14:paraId="04097B3E" w14:textId="77777777" w:rsidR="002718F0" w:rsidRDefault="00271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249D1A95" w14:textId="77777777" w:rsidR="002718F0" w:rsidRDefault="002718F0">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3A118166" w14:textId="77777777" w:rsidR="002718F0" w:rsidRDefault="0027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015C" w14:textId="77777777" w:rsidR="004209C6" w:rsidRPr="000F35ED" w:rsidRDefault="004209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220E21" w14:textId="77777777" w:rsidR="004209C6" w:rsidRPr="000F35ED" w:rsidRDefault="004209C6" w:rsidP="000F35ED">
      <w:pPr>
        <w:rPr>
          <w:rFonts w:asciiTheme="majorHAnsi" w:hAnsiTheme="majorHAnsi"/>
          <w:sz w:val="16"/>
          <w:szCs w:val="16"/>
        </w:rPr>
      </w:pPr>
      <w:r w:rsidRPr="000F35ED">
        <w:rPr>
          <w:rFonts w:asciiTheme="majorHAnsi" w:hAnsiTheme="majorHAnsi"/>
          <w:sz w:val="16"/>
          <w:szCs w:val="16"/>
        </w:rPr>
        <w:separator/>
      </w:r>
    </w:p>
    <w:p w14:paraId="0084E2BB" w14:textId="77777777" w:rsidR="004209C6" w:rsidRPr="000F35ED" w:rsidRDefault="004209C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55C5705" w14:textId="77777777" w:rsidR="004209C6" w:rsidRPr="000F35ED" w:rsidRDefault="004209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C1E00B" w14:textId="567100B0" w:rsidR="00AB02D6" w:rsidRPr="00AB02D6" w:rsidRDefault="00AB02D6" w:rsidP="00AB02D6">
      <w:pPr>
        <w:pStyle w:val="FootnoteText"/>
        <w:jc w:val="both"/>
        <w:rPr>
          <w:rFonts w:asciiTheme="majorHAnsi" w:hAnsiTheme="majorHAnsi"/>
          <w:sz w:val="16"/>
          <w:szCs w:val="16"/>
          <w:lang w:val="es-ES"/>
        </w:rPr>
      </w:pPr>
      <w:r w:rsidRPr="00AB02D6">
        <w:rPr>
          <w:rStyle w:val="FootnoteReference"/>
          <w:rFonts w:asciiTheme="majorHAnsi" w:hAnsiTheme="majorHAnsi"/>
          <w:sz w:val="16"/>
          <w:szCs w:val="16"/>
        </w:rPr>
        <w:footnoteRef/>
      </w:r>
      <w:r w:rsidRPr="00AB02D6">
        <w:rPr>
          <w:rFonts w:asciiTheme="majorHAnsi" w:hAnsiTheme="majorHAnsi"/>
          <w:sz w:val="16"/>
          <w:szCs w:val="16"/>
        </w:rPr>
        <w:t xml:space="preserve"> </w:t>
      </w:r>
      <w:r w:rsidRPr="00AB02D6">
        <w:rPr>
          <w:rFonts w:asciiTheme="majorHAnsi" w:hAnsiTheme="majorHAnsi"/>
          <w:sz w:val="16"/>
          <w:szCs w:val="16"/>
          <w:lang w:val="es-US"/>
        </w:rPr>
        <w:t>Conforme con lo dispuesto en el artículo 17.</w:t>
      </w:r>
      <w:r>
        <w:rPr>
          <w:rFonts w:asciiTheme="majorHAnsi" w:hAnsiTheme="majorHAnsi"/>
          <w:sz w:val="16"/>
          <w:szCs w:val="16"/>
          <w:lang w:val="es-US"/>
        </w:rPr>
        <w:t>3</w:t>
      </w:r>
      <w:r w:rsidRPr="00AB02D6">
        <w:rPr>
          <w:rFonts w:asciiTheme="majorHAnsi" w:hAnsiTheme="majorHAnsi"/>
          <w:sz w:val="16"/>
          <w:szCs w:val="16"/>
          <w:lang w:val="es-US"/>
        </w:rPr>
        <w:t xml:space="preserve"> del Reglamento de la Comisión, el Comisionado Carlos Bernal Pulido, residente en Estados Unidos, no participó en el debate ni en la decisión del presente </w:t>
      </w:r>
      <w:r>
        <w:rPr>
          <w:rFonts w:asciiTheme="majorHAnsi" w:hAnsiTheme="majorHAnsi"/>
          <w:sz w:val="16"/>
          <w:szCs w:val="16"/>
          <w:lang w:val="es-US"/>
        </w:rPr>
        <w:t>informe</w:t>
      </w:r>
      <w:r w:rsidRPr="00AB02D6">
        <w:rPr>
          <w:rFonts w:asciiTheme="majorHAnsi" w:hAnsiTheme="majorHAnsi"/>
          <w:sz w:val="16"/>
          <w:szCs w:val="16"/>
          <w:lang w:val="es-US"/>
        </w:rPr>
        <w:t>.</w:t>
      </w:r>
    </w:p>
  </w:footnote>
  <w:footnote w:id="3">
    <w:p w14:paraId="0F0AA604"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El 27 de febrero de 2012, Death Penalty Litigation Clinic informó que estaba representando al señor Bolden. El 6 de agosto de 2012, la abogada Margaret O’Donnell informó que estaba representando al señor Kadamovas.</w:t>
      </w:r>
    </w:p>
  </w:footnote>
  <w:footnote w:id="4">
    <w:p w14:paraId="268FB215"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El 27 de diciembre de 2011, la CIDH otorgó medidas cautelares a favor de los señores Kadamovas, Bolden, </w:t>
      </w:r>
      <w:r w:rsidRPr="00D755C5">
        <w:rPr>
          <w:rFonts w:asciiTheme="majorHAnsi" w:hAnsiTheme="majorHAnsi" w:cs="Arial"/>
          <w:sz w:val="16"/>
          <w:szCs w:val="16"/>
          <w:lang w:val="es-ES"/>
        </w:rPr>
        <w:t xml:space="preserve">Sinnistera, Ortiz, Mikhel y Umana de conformidad con el artículo </w:t>
      </w:r>
      <w:r w:rsidRPr="00D755C5">
        <w:rPr>
          <w:rFonts w:asciiTheme="majorHAnsi" w:hAnsiTheme="majorHAnsi"/>
          <w:sz w:val="16"/>
          <w:szCs w:val="16"/>
          <w:lang w:val="es-ES"/>
        </w:rPr>
        <w:t>25.1 de su Reglamento y pidió a Estados Unidos que tomara las medidas necesarias para preservar la vida y la integridad personal de las presuntas víctimas a fin de no obstaculizar la tramitación de su caso ante el sistema interamericano.</w:t>
      </w:r>
    </w:p>
  </w:footnote>
  <w:footnote w:id="5">
    <w:p w14:paraId="71AFA62B"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color w:val="auto"/>
          <w:sz w:val="16"/>
          <w:szCs w:val="16"/>
          <w:lang w:val="es-ES"/>
        </w:rPr>
        <w:footnoteRef/>
      </w:r>
      <w:r w:rsidRPr="00D755C5">
        <w:rPr>
          <w:rStyle w:val="FootnoteReference"/>
          <w:rFonts w:asciiTheme="majorHAnsi" w:hAnsiTheme="majorHAnsi"/>
          <w:color w:val="auto"/>
          <w:sz w:val="16"/>
          <w:szCs w:val="16"/>
          <w:lang w:val="es-ES"/>
        </w:rPr>
        <w:t xml:space="preserve"> </w:t>
      </w:r>
      <w:r w:rsidRPr="00D755C5">
        <w:rPr>
          <w:rFonts w:asciiTheme="majorHAnsi" w:hAnsiTheme="majorHAnsi"/>
          <w:color w:val="auto"/>
          <w:sz w:val="16"/>
          <w:szCs w:val="16"/>
          <w:lang w:val="es-ES"/>
        </w:rPr>
        <w:t xml:space="preserve">CIDH. Informe No. 54/14. Petición 684-14. Admisibilidad. </w:t>
      </w:r>
      <w:r w:rsidRPr="00D755C5">
        <w:rPr>
          <w:rFonts w:asciiTheme="majorHAnsi" w:hAnsiTheme="majorHAnsi"/>
          <w:color w:val="auto"/>
          <w:sz w:val="16"/>
          <w:szCs w:val="16"/>
        </w:rPr>
        <w:t xml:space="preserve">Russel Bucklew y Charles Warner. </w:t>
      </w:r>
      <w:r w:rsidRPr="00D755C5">
        <w:rPr>
          <w:rFonts w:asciiTheme="majorHAnsi" w:hAnsiTheme="majorHAnsi"/>
          <w:color w:val="auto"/>
          <w:sz w:val="16"/>
          <w:szCs w:val="16"/>
          <w:lang w:val="es-ES"/>
        </w:rPr>
        <w:t>Estados Unidos. 21 de julio de 2014, párr. 28.</w:t>
      </w:r>
    </w:p>
  </w:footnote>
  <w:footnote w:id="6">
    <w:p w14:paraId="7A86B7F4" w14:textId="77777777" w:rsidR="002718F0" w:rsidRPr="00D755C5" w:rsidRDefault="002718F0" w:rsidP="00D755C5">
      <w:pPr>
        <w:pStyle w:val="FootnoteText"/>
        <w:jc w:val="both"/>
        <w:rPr>
          <w:rFonts w:asciiTheme="majorHAnsi" w:hAnsiTheme="majorHAnsi"/>
          <w:sz w:val="16"/>
          <w:szCs w:val="16"/>
        </w:rPr>
      </w:pPr>
      <w:r w:rsidRPr="00D755C5">
        <w:rPr>
          <w:rStyle w:val="FootnoteReference"/>
          <w:rFonts w:asciiTheme="majorHAnsi" w:hAnsiTheme="majorHAnsi"/>
          <w:color w:val="auto"/>
          <w:sz w:val="16"/>
          <w:szCs w:val="16"/>
          <w:lang w:val="es-ES"/>
        </w:rPr>
        <w:footnoteRef/>
      </w:r>
      <w:r w:rsidRPr="00D755C5">
        <w:rPr>
          <w:rStyle w:val="FootnoteReference"/>
          <w:rFonts w:asciiTheme="majorHAnsi" w:hAnsiTheme="majorHAnsi"/>
          <w:color w:val="auto"/>
          <w:sz w:val="16"/>
          <w:szCs w:val="16"/>
          <w:lang w:val="es-ES"/>
        </w:rPr>
        <w:t xml:space="preserve"> </w:t>
      </w:r>
      <w:r w:rsidRPr="00D755C5">
        <w:rPr>
          <w:rFonts w:asciiTheme="majorHAnsi" w:hAnsiTheme="majorHAnsi"/>
          <w:color w:val="auto"/>
          <w:sz w:val="16"/>
          <w:szCs w:val="16"/>
          <w:lang w:val="es-ES"/>
        </w:rPr>
        <w:t xml:space="preserve">CIDH. Informe No. 54/14. Petición 684-14. Admisibilidad. </w:t>
      </w:r>
      <w:r w:rsidRPr="00D755C5">
        <w:rPr>
          <w:rFonts w:asciiTheme="majorHAnsi" w:hAnsiTheme="majorHAnsi"/>
          <w:color w:val="auto"/>
          <w:sz w:val="16"/>
          <w:szCs w:val="16"/>
          <w:lang w:val="es-US"/>
        </w:rPr>
        <w:t xml:space="preserve">Russel Bucklew y Charles Warner. </w:t>
      </w:r>
      <w:r w:rsidRPr="00D755C5">
        <w:rPr>
          <w:rFonts w:asciiTheme="majorHAnsi" w:hAnsiTheme="majorHAnsi"/>
          <w:color w:val="auto"/>
          <w:sz w:val="16"/>
          <w:szCs w:val="16"/>
        </w:rPr>
        <w:t>Estados Unidos. 21 de julio de 2014, párr. 28.</w:t>
      </w:r>
    </w:p>
  </w:footnote>
  <w:footnote w:id="7">
    <w:p w14:paraId="1D4C010E" w14:textId="77777777" w:rsidR="002718F0" w:rsidRPr="00D755C5" w:rsidRDefault="002718F0" w:rsidP="00D755C5">
      <w:pPr>
        <w:pStyle w:val="FootnoteText"/>
        <w:jc w:val="both"/>
        <w:rPr>
          <w:sz w:val="16"/>
          <w:szCs w:val="16"/>
          <w:lang w:val="es-ES"/>
        </w:rPr>
      </w:pPr>
      <w:r w:rsidRPr="00D755C5">
        <w:rPr>
          <w:rStyle w:val="FootnoteReference"/>
          <w:sz w:val="16"/>
          <w:szCs w:val="16"/>
          <w:lang w:val="es-ES"/>
        </w:rPr>
        <w:footnoteRef/>
      </w:r>
      <w:r w:rsidRPr="00D755C5">
        <w:rPr>
          <w:sz w:val="16"/>
          <w:szCs w:val="16"/>
        </w:rPr>
        <w:t xml:space="preserve"> </w:t>
      </w:r>
      <w:r w:rsidRPr="00D755C5">
        <w:rPr>
          <w:rFonts w:asciiTheme="majorHAnsi" w:hAnsiTheme="majorHAnsi"/>
          <w:sz w:val="16"/>
          <w:szCs w:val="16"/>
        </w:rPr>
        <w:t xml:space="preserve">United States of America v Mikhel and Kadamovas, No. 07-99008 and No. 07-99009. United States Court of Appeals for the Ninth Circuit. </w:t>
      </w:r>
      <w:r w:rsidRPr="00D755C5">
        <w:rPr>
          <w:rFonts w:asciiTheme="majorHAnsi" w:hAnsiTheme="majorHAnsi"/>
          <w:sz w:val="16"/>
          <w:szCs w:val="16"/>
          <w:lang w:val="es-ES"/>
        </w:rPr>
        <w:t>Presentada el 10 de enero de 2018 y registrada el 9 de mayo de 2018. Se adjunta a una comunicación entregada por los peticionarios el 27 de julio de 2008.</w:t>
      </w:r>
    </w:p>
  </w:footnote>
  <w:footnote w:id="8">
    <w:p w14:paraId="07D141D8" w14:textId="77777777" w:rsidR="002718F0" w:rsidRPr="00D755C5" w:rsidRDefault="002718F0" w:rsidP="00D755C5">
      <w:pPr>
        <w:pStyle w:val="FootnoteText"/>
        <w:jc w:val="both"/>
        <w:rPr>
          <w:sz w:val="16"/>
          <w:szCs w:val="16"/>
          <w:lang w:val="es-ES"/>
        </w:rPr>
      </w:pPr>
      <w:r w:rsidRPr="00D755C5">
        <w:rPr>
          <w:rStyle w:val="FootnoteReference"/>
          <w:sz w:val="16"/>
          <w:szCs w:val="16"/>
          <w:lang w:val="es-ES"/>
        </w:rPr>
        <w:footnoteRef/>
      </w:r>
      <w:r w:rsidRPr="00D755C5">
        <w:rPr>
          <w:sz w:val="16"/>
          <w:szCs w:val="16"/>
        </w:rPr>
        <w:t xml:space="preserve"> </w:t>
      </w:r>
      <w:r w:rsidRPr="00D755C5">
        <w:rPr>
          <w:rFonts w:asciiTheme="majorHAnsi" w:hAnsiTheme="majorHAnsi"/>
          <w:sz w:val="16"/>
          <w:szCs w:val="16"/>
        </w:rPr>
        <w:t xml:space="preserve">United States of America v Robert L. Bolden, No. 06-3264, United States Court of Appeals for the Eighth Circuit. </w:t>
      </w:r>
      <w:r w:rsidRPr="00D755C5">
        <w:rPr>
          <w:rFonts w:asciiTheme="majorHAnsi" w:hAnsiTheme="majorHAnsi"/>
          <w:sz w:val="16"/>
          <w:szCs w:val="16"/>
          <w:lang w:val="es-ES"/>
        </w:rPr>
        <w:t>Presentada el 9 de junio de 2008 y registrada el 4 de noviembre de 2008.</w:t>
      </w:r>
    </w:p>
  </w:footnote>
  <w:footnote w:id="9">
    <w:p w14:paraId="01D7A116"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rPr>
        <w:t xml:space="preserve"> United States of America v Mikhel and Kadamovas, No. 07-99008 and No. 07-99009, United States Court of Appeals for the Ninth Circuit. </w:t>
      </w:r>
      <w:r w:rsidRPr="00D755C5">
        <w:rPr>
          <w:rFonts w:asciiTheme="majorHAnsi" w:hAnsiTheme="majorHAnsi"/>
          <w:sz w:val="16"/>
          <w:szCs w:val="16"/>
          <w:lang w:val="es-ES"/>
        </w:rPr>
        <w:t>Presentada el 10 de enero de 2018 y registrada el 9 de mayo de 2018.</w:t>
      </w:r>
    </w:p>
  </w:footnote>
  <w:footnote w:id="10">
    <w:p w14:paraId="484B8383" w14:textId="77777777" w:rsidR="002718F0" w:rsidRPr="00D755C5" w:rsidRDefault="002718F0" w:rsidP="00D755C5">
      <w:pPr>
        <w:pStyle w:val="FootnoteText"/>
        <w:jc w:val="both"/>
        <w:rPr>
          <w:rFonts w:asciiTheme="majorHAnsi" w:hAnsiTheme="majorHAnsi"/>
          <w:sz w:val="16"/>
          <w:szCs w:val="16"/>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rPr>
        <w:t xml:space="preserve"> </w:t>
      </w:r>
      <w:r w:rsidRPr="00D755C5">
        <w:rPr>
          <w:rFonts w:asciiTheme="majorHAnsi" w:eastAsia="Times New Roman" w:hAnsiTheme="majorHAnsi"/>
          <w:iCs/>
          <w:sz w:val="16"/>
          <w:szCs w:val="16"/>
          <w:bdr w:val="none" w:sz="0" w:space="0" w:color="auto"/>
        </w:rPr>
        <w:t>Bolden v. United States</w:t>
      </w:r>
      <w:r w:rsidRPr="00D755C5">
        <w:rPr>
          <w:rFonts w:asciiTheme="majorHAnsi" w:eastAsia="Times New Roman" w:hAnsiTheme="majorHAnsi"/>
          <w:sz w:val="16"/>
          <w:szCs w:val="16"/>
          <w:bdr w:val="none" w:sz="0" w:space="0" w:color="auto"/>
        </w:rPr>
        <w:t>, 171 F. Supp. 3d 891, 899 (E.D. Mo. 2016).</w:t>
      </w:r>
    </w:p>
  </w:footnote>
  <w:footnote w:id="11">
    <w:p w14:paraId="14010D1D"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Abogada de oficio del señor Kadamovas a partir del 28 de noviembre de 2005, después que Marcia Brewer pidió que la reemplazaran. Anexo 10, presentado con la comunicación de los peticionarios del 7 de marzo de 2019. </w:t>
      </w:r>
    </w:p>
  </w:footnote>
  <w:footnote w:id="12">
    <w:p w14:paraId="0760D7D2" w14:textId="77777777" w:rsidR="002718F0" w:rsidRPr="00D755C5" w:rsidRDefault="002718F0" w:rsidP="00D755C5">
      <w:pPr>
        <w:pStyle w:val="FootnoteText"/>
        <w:jc w:val="both"/>
        <w:rPr>
          <w:rFonts w:asciiTheme="majorHAnsi" w:hAnsiTheme="majorHAnsi"/>
          <w:color w:val="auto"/>
          <w:sz w:val="16"/>
          <w:szCs w:val="16"/>
        </w:rPr>
      </w:pPr>
      <w:r w:rsidRPr="00D755C5">
        <w:rPr>
          <w:rStyle w:val="FootnoteReference"/>
          <w:rFonts w:asciiTheme="majorHAnsi" w:hAnsiTheme="majorHAnsi"/>
          <w:color w:val="auto"/>
          <w:sz w:val="16"/>
          <w:szCs w:val="16"/>
          <w:lang w:val="es-ES"/>
        </w:rPr>
        <w:footnoteRef/>
      </w:r>
      <w:r w:rsidRPr="00D755C5">
        <w:rPr>
          <w:rFonts w:asciiTheme="majorHAnsi" w:hAnsiTheme="majorHAnsi"/>
          <w:color w:val="auto"/>
          <w:sz w:val="16"/>
          <w:szCs w:val="16"/>
        </w:rPr>
        <w:t xml:space="preserve"> </w:t>
      </w:r>
      <w:hyperlink r:id="rId1" w:history="1">
        <w:r w:rsidRPr="00D755C5">
          <w:rPr>
            <w:rStyle w:val="Hyperlink"/>
            <w:rFonts w:asciiTheme="majorHAnsi" w:hAnsiTheme="majorHAnsi"/>
            <w:sz w:val="16"/>
            <w:szCs w:val="16"/>
          </w:rPr>
          <w:t xml:space="preserve">Umaña v. U.S. </w:t>
        </w:r>
        <w:r w:rsidRPr="00D755C5">
          <w:rPr>
            <w:rStyle w:val="Hyperlink"/>
            <w:rFonts w:asciiTheme="majorHAnsi" w:hAnsiTheme="majorHAnsi" w:cs="Helvetica"/>
            <w:sz w:val="16"/>
            <w:szCs w:val="16"/>
          </w:rPr>
          <w:t>229 F.Supp.3d 388</w:t>
        </w:r>
      </w:hyperlink>
      <w:r w:rsidRPr="00D755C5">
        <w:rPr>
          <w:rFonts w:asciiTheme="majorHAnsi" w:hAnsiTheme="majorHAnsi" w:cs="Helvetica"/>
          <w:color w:val="auto"/>
          <w:sz w:val="16"/>
          <w:szCs w:val="16"/>
        </w:rPr>
        <w:t xml:space="preserve"> (2017) y </w:t>
      </w:r>
      <w:hyperlink r:id="rId2" w:history="1">
        <w:r w:rsidRPr="00D755C5">
          <w:rPr>
            <w:rStyle w:val="Hyperlink"/>
            <w:rFonts w:asciiTheme="majorHAnsi" w:hAnsiTheme="majorHAnsi" w:cs="Helvetica"/>
            <w:sz w:val="16"/>
            <w:szCs w:val="16"/>
          </w:rPr>
          <w:t>Umana v. United States. Petition for certiorari denied on June 22, 2015</w:t>
        </w:r>
      </w:hyperlink>
      <w:r w:rsidRPr="00D755C5">
        <w:rPr>
          <w:rFonts w:asciiTheme="majorHAnsi" w:hAnsiTheme="majorHAnsi" w:cs="Helvetica"/>
          <w:color w:val="auto"/>
          <w:sz w:val="16"/>
          <w:szCs w:val="16"/>
        </w:rPr>
        <w:t xml:space="preserve">.   </w:t>
      </w:r>
    </w:p>
  </w:footnote>
  <w:footnote w:id="13">
    <w:p w14:paraId="2944554D" w14:textId="77777777" w:rsidR="002718F0" w:rsidRPr="00D755C5" w:rsidRDefault="002718F0" w:rsidP="00D755C5">
      <w:pPr>
        <w:pStyle w:val="FootnoteText"/>
        <w:jc w:val="both"/>
        <w:rPr>
          <w:rFonts w:asciiTheme="majorHAnsi" w:hAnsiTheme="majorHAnsi"/>
          <w:sz w:val="16"/>
          <w:szCs w:val="16"/>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rPr>
        <w:t xml:space="preserve"> </w:t>
      </w:r>
      <w:hyperlink r:id="rId3" w:history="1">
        <w:r w:rsidRPr="00D755C5">
          <w:rPr>
            <w:rStyle w:val="Hyperlink"/>
            <w:rFonts w:asciiTheme="majorHAnsi" w:hAnsiTheme="majorHAnsi"/>
            <w:sz w:val="16"/>
            <w:szCs w:val="16"/>
          </w:rPr>
          <w:t>Arboleda A. Ortiz, v. United States of America. United States Court of Appeals for the Eighth Circuit. December 19, 2011</w:t>
        </w:r>
      </w:hyperlink>
      <w:r w:rsidRPr="00D755C5">
        <w:rPr>
          <w:rFonts w:asciiTheme="majorHAnsi" w:hAnsiTheme="majorHAnsi"/>
          <w:sz w:val="16"/>
          <w:szCs w:val="16"/>
        </w:rPr>
        <w:t xml:space="preserve">. </w:t>
      </w:r>
    </w:p>
  </w:footnote>
  <w:footnote w:id="14">
    <w:p w14:paraId="3D8945C9" w14:textId="77777777" w:rsidR="002718F0" w:rsidRPr="00D755C5" w:rsidRDefault="002718F0" w:rsidP="00D755C5">
      <w:pPr>
        <w:pStyle w:val="FootnoteText"/>
        <w:jc w:val="both"/>
        <w:rPr>
          <w:sz w:val="16"/>
          <w:szCs w:val="16"/>
          <w:lang w:val="es-ES"/>
        </w:rPr>
      </w:pPr>
      <w:r w:rsidRPr="00D755C5">
        <w:rPr>
          <w:rStyle w:val="FootnoteReference"/>
          <w:sz w:val="16"/>
          <w:szCs w:val="16"/>
          <w:lang w:val="es-ES"/>
        </w:rPr>
        <w:footnoteRef/>
      </w:r>
      <w:r w:rsidRPr="00D755C5">
        <w:rPr>
          <w:sz w:val="16"/>
          <w:szCs w:val="16"/>
        </w:rPr>
        <w:t xml:space="preserve"> </w:t>
      </w:r>
      <w:r w:rsidRPr="00D755C5">
        <w:rPr>
          <w:rFonts w:asciiTheme="majorHAnsi" w:hAnsiTheme="majorHAnsi"/>
          <w:sz w:val="16"/>
          <w:szCs w:val="16"/>
        </w:rPr>
        <w:t xml:space="preserve">United States of America v Mikhel and Kadamovas, No. 07-99008 and No. 07-99009, United States Court of Appeals for the Ninth Circuit. </w:t>
      </w:r>
      <w:r w:rsidRPr="00D755C5">
        <w:rPr>
          <w:rFonts w:asciiTheme="majorHAnsi" w:hAnsiTheme="majorHAnsi"/>
          <w:sz w:val="16"/>
          <w:szCs w:val="16"/>
          <w:lang w:val="es-ES"/>
        </w:rPr>
        <w:t>Presentada el 10 de enero de 2018 y registrada el 9 de mayo de 2018.</w:t>
      </w:r>
    </w:p>
  </w:footnote>
  <w:footnote w:id="15">
    <w:p w14:paraId="56470F8D" w14:textId="77777777" w:rsidR="002718F0" w:rsidRPr="00D755C5" w:rsidRDefault="002718F0" w:rsidP="00D755C5">
      <w:pPr>
        <w:pStyle w:val="FootnoteText"/>
        <w:jc w:val="both"/>
        <w:rPr>
          <w:rFonts w:asciiTheme="majorHAnsi" w:hAnsiTheme="majorHAnsi"/>
          <w:sz w:val="16"/>
          <w:szCs w:val="16"/>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rPr>
        <w:t xml:space="preserve"> United States v Anchrum, 590 F. 3d 795, 801 (9</w:t>
      </w:r>
      <w:r w:rsidRPr="00D755C5">
        <w:rPr>
          <w:rFonts w:asciiTheme="majorHAnsi" w:hAnsiTheme="majorHAnsi"/>
          <w:sz w:val="16"/>
          <w:szCs w:val="16"/>
          <w:vertAlign w:val="superscript"/>
        </w:rPr>
        <w:t>th</w:t>
      </w:r>
      <w:r w:rsidRPr="00D755C5">
        <w:rPr>
          <w:rFonts w:asciiTheme="majorHAnsi" w:hAnsiTheme="majorHAnsi"/>
          <w:sz w:val="16"/>
          <w:szCs w:val="16"/>
        </w:rPr>
        <w:t xml:space="preserve"> Circuit 2009).</w:t>
      </w:r>
    </w:p>
  </w:footnote>
  <w:footnote w:id="16">
    <w:p w14:paraId="7F2C84C3" w14:textId="77777777" w:rsidR="002718F0" w:rsidRPr="00D755C5" w:rsidRDefault="002718F0" w:rsidP="00D755C5">
      <w:pPr>
        <w:pStyle w:val="FootnoteText"/>
        <w:jc w:val="both"/>
        <w:rPr>
          <w:sz w:val="16"/>
          <w:szCs w:val="16"/>
          <w:lang w:val="es-US"/>
        </w:rPr>
      </w:pPr>
      <w:r w:rsidRPr="00D755C5">
        <w:rPr>
          <w:rStyle w:val="FootnoteReference"/>
          <w:rFonts w:asciiTheme="majorHAnsi" w:hAnsiTheme="majorHAnsi"/>
          <w:sz w:val="16"/>
          <w:szCs w:val="16"/>
          <w:lang w:val="es-ES"/>
        </w:rPr>
        <w:footnoteRef/>
      </w:r>
      <w:r w:rsidRPr="00D755C5">
        <w:rPr>
          <w:rStyle w:val="FootnoteReference"/>
          <w:rFonts w:asciiTheme="majorHAnsi" w:hAnsiTheme="majorHAnsi"/>
          <w:sz w:val="16"/>
          <w:szCs w:val="16"/>
          <w:lang w:val="es-ES"/>
        </w:rPr>
        <w:t xml:space="preserve"> </w:t>
      </w:r>
      <w:r w:rsidRPr="00D755C5">
        <w:rPr>
          <w:rFonts w:asciiTheme="majorHAnsi" w:hAnsiTheme="majorHAnsi"/>
          <w:sz w:val="16"/>
          <w:szCs w:val="16"/>
          <w:lang w:val="es-ES"/>
        </w:rPr>
        <w:t>Carta con fecha de 4 de octubre de 2017 de Margareth H. O’Donnel, Esq., al Ministro de Justicia de la República de Lituania, presentada por los peticionarios el 12 de marzo de 2019.</w:t>
      </w:r>
    </w:p>
  </w:footnote>
  <w:footnote w:id="17">
    <w:p w14:paraId="69EE264C" w14:textId="77777777" w:rsidR="002718F0" w:rsidRPr="00D755C5" w:rsidRDefault="002718F0" w:rsidP="00D755C5">
      <w:pPr>
        <w:pStyle w:val="FootnoteText"/>
        <w:jc w:val="both"/>
        <w:rPr>
          <w:sz w:val="16"/>
          <w:szCs w:val="16"/>
          <w:lang w:val="es-ES"/>
        </w:rPr>
      </w:pPr>
      <w:r w:rsidRPr="00D755C5">
        <w:rPr>
          <w:rStyle w:val="FootnoteReference"/>
          <w:rFonts w:asciiTheme="majorHAnsi" w:hAnsiTheme="majorHAnsi"/>
          <w:sz w:val="16"/>
          <w:szCs w:val="16"/>
          <w:lang w:val="es-ES"/>
        </w:rPr>
        <w:footnoteRef/>
      </w:r>
      <w:r w:rsidRPr="00D755C5">
        <w:rPr>
          <w:rStyle w:val="FootnoteReference"/>
          <w:rFonts w:asciiTheme="majorHAnsi" w:hAnsiTheme="majorHAnsi"/>
          <w:sz w:val="16"/>
          <w:szCs w:val="16"/>
          <w:lang w:val="es-ES"/>
        </w:rPr>
        <w:t xml:space="preserve"> </w:t>
      </w:r>
      <w:r w:rsidRPr="00D755C5">
        <w:rPr>
          <w:rFonts w:asciiTheme="majorHAnsi" w:hAnsiTheme="majorHAnsi"/>
          <w:sz w:val="16"/>
          <w:szCs w:val="16"/>
          <w:lang w:val="es-ES"/>
        </w:rPr>
        <w:t>Escrito presentado por los peticionarios el 12 de marzo de 2019.</w:t>
      </w:r>
    </w:p>
  </w:footnote>
  <w:footnote w:id="18">
    <w:p w14:paraId="70401C61"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Esta información consta en el sitio web de la Corte Suprema de Estados Unidos: </w:t>
      </w:r>
      <w:hyperlink r:id="rId4" w:history="1">
        <w:r w:rsidRPr="00D755C5">
          <w:rPr>
            <w:rStyle w:val="Hyperlink"/>
            <w:rFonts w:asciiTheme="majorHAnsi" w:hAnsiTheme="majorHAnsi"/>
            <w:sz w:val="16"/>
            <w:szCs w:val="16"/>
            <w:lang w:val="es-ES"/>
          </w:rPr>
          <w:t>https://www.supremecourt.gov/search.aspx?filename=/docket/docketfiles/html/public/18-7489.html</w:t>
        </w:r>
      </w:hyperlink>
      <w:r w:rsidRPr="00D755C5">
        <w:rPr>
          <w:rFonts w:asciiTheme="majorHAnsi" w:hAnsiTheme="majorHAnsi"/>
          <w:sz w:val="16"/>
          <w:szCs w:val="16"/>
          <w:lang w:val="es-ES"/>
        </w:rPr>
        <w:t xml:space="preserve"> </w:t>
      </w:r>
    </w:p>
  </w:footnote>
  <w:footnote w:id="19">
    <w:p w14:paraId="668DAF38" w14:textId="77777777" w:rsidR="002718F0" w:rsidRPr="00D755C5" w:rsidRDefault="002718F0" w:rsidP="00D755C5">
      <w:pPr>
        <w:pStyle w:val="FootnoteText"/>
        <w:jc w:val="both"/>
        <w:rPr>
          <w:rFonts w:asciiTheme="majorHAnsi" w:hAnsiTheme="majorHAnsi"/>
          <w:sz w:val="16"/>
          <w:szCs w:val="16"/>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rPr>
        <w:t xml:space="preserve"> United States v Bolden, 545 F. 3d 609 (8</w:t>
      </w:r>
      <w:r w:rsidRPr="00D755C5">
        <w:rPr>
          <w:rFonts w:asciiTheme="majorHAnsi" w:hAnsiTheme="majorHAnsi"/>
          <w:sz w:val="16"/>
          <w:szCs w:val="16"/>
          <w:vertAlign w:val="superscript"/>
        </w:rPr>
        <w:t>th</w:t>
      </w:r>
      <w:r w:rsidRPr="00D755C5">
        <w:rPr>
          <w:rFonts w:asciiTheme="majorHAnsi" w:hAnsiTheme="majorHAnsi"/>
          <w:sz w:val="16"/>
          <w:szCs w:val="16"/>
        </w:rPr>
        <w:t xml:space="preserve"> Cir. 2008).</w:t>
      </w:r>
    </w:p>
  </w:footnote>
  <w:footnote w:id="20">
    <w:p w14:paraId="6487EC74" w14:textId="77777777" w:rsidR="002718F0" w:rsidRPr="00D755C5" w:rsidRDefault="002718F0" w:rsidP="00D755C5">
      <w:pPr>
        <w:pStyle w:val="FootnoteText"/>
        <w:jc w:val="both"/>
        <w:rPr>
          <w:rFonts w:asciiTheme="majorHAnsi" w:hAnsiTheme="majorHAnsi"/>
          <w:sz w:val="16"/>
          <w:szCs w:val="16"/>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rPr>
        <w:t xml:space="preserve"> United States v Bolden, 558 U.S. 1077 (2009).</w:t>
      </w:r>
    </w:p>
  </w:footnote>
  <w:footnote w:id="21">
    <w:p w14:paraId="4D871AAC" w14:textId="77777777" w:rsidR="002718F0" w:rsidRPr="00D755C5" w:rsidRDefault="002718F0" w:rsidP="00D755C5">
      <w:pPr>
        <w:pStyle w:val="FootnoteText"/>
        <w:jc w:val="both"/>
        <w:rPr>
          <w:rFonts w:asciiTheme="majorHAnsi" w:hAnsiTheme="majorHAnsi"/>
          <w:sz w:val="16"/>
          <w:szCs w:val="16"/>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rPr>
        <w:t xml:space="preserve"> </w:t>
      </w:r>
      <w:r w:rsidRPr="00D755C5">
        <w:rPr>
          <w:rFonts w:asciiTheme="majorHAnsi" w:eastAsia="Times New Roman" w:hAnsiTheme="majorHAnsi"/>
          <w:iCs/>
          <w:sz w:val="16"/>
          <w:szCs w:val="16"/>
          <w:bdr w:val="none" w:sz="0" w:space="0" w:color="auto"/>
        </w:rPr>
        <w:t>Bolden v. United States</w:t>
      </w:r>
      <w:r w:rsidRPr="00D755C5">
        <w:rPr>
          <w:rFonts w:asciiTheme="majorHAnsi" w:eastAsia="Times New Roman" w:hAnsiTheme="majorHAnsi"/>
          <w:sz w:val="16"/>
          <w:szCs w:val="16"/>
          <w:bdr w:val="none" w:sz="0" w:space="0" w:color="auto"/>
        </w:rPr>
        <w:t>, 171 F. Supp. 3d 891, 899 (E.D. Mo. 2016).</w:t>
      </w:r>
    </w:p>
  </w:footnote>
  <w:footnote w:id="22">
    <w:p w14:paraId="53170DFA" w14:textId="77777777" w:rsidR="002718F0" w:rsidRPr="00D755C5" w:rsidRDefault="002718F0" w:rsidP="00AE32A8">
      <w:pPr>
        <w:pStyle w:val="FootnoteText"/>
        <w:jc w:val="both"/>
        <w:rPr>
          <w:rFonts w:asciiTheme="majorHAnsi" w:hAnsiTheme="majorHAnsi"/>
          <w:sz w:val="16"/>
          <w:szCs w:val="16"/>
          <w:lang w:val="es-ES"/>
        </w:rPr>
      </w:pPr>
      <w:r w:rsidRPr="00D755C5">
        <w:rPr>
          <w:rStyle w:val="FootnoteReference"/>
          <w:sz w:val="16"/>
          <w:szCs w:val="16"/>
        </w:rPr>
        <w:footnoteRef/>
      </w:r>
      <w:r w:rsidRPr="00D755C5">
        <w:rPr>
          <w:sz w:val="16"/>
          <w:szCs w:val="16"/>
          <w:lang w:val="es-US"/>
        </w:rPr>
        <w:t xml:space="preserve"> Ver al respecto, </w:t>
      </w:r>
      <w:r w:rsidRPr="00D755C5">
        <w:rPr>
          <w:rFonts w:asciiTheme="majorHAnsi" w:hAnsiTheme="majorHAnsi"/>
          <w:sz w:val="16"/>
          <w:szCs w:val="16"/>
          <w:lang w:val="es-ES"/>
        </w:rPr>
        <w:t>Administración Federal de Prisiones, Servicios Salud, registro de glucemia, nota administrativa de consulta clínica</w:t>
      </w:r>
      <w:r>
        <w:rPr>
          <w:rFonts w:asciiTheme="majorHAnsi" w:hAnsiTheme="majorHAnsi"/>
          <w:sz w:val="16"/>
          <w:szCs w:val="16"/>
          <w:lang w:val="es-ES"/>
        </w:rPr>
        <w:t xml:space="preserve"> y </w:t>
      </w:r>
      <w:r w:rsidRPr="00D755C5">
        <w:rPr>
          <w:rFonts w:asciiTheme="majorHAnsi" w:hAnsiTheme="majorHAnsi"/>
          <w:sz w:val="16"/>
          <w:szCs w:val="16"/>
          <w:lang w:val="es-ES"/>
        </w:rPr>
        <w:t>evaluación de la educación del paciente y tema.</w:t>
      </w:r>
    </w:p>
  </w:footnote>
  <w:footnote w:id="23">
    <w:p w14:paraId="36801353" w14:textId="77777777" w:rsidR="002718F0" w:rsidRPr="00D755C5" w:rsidRDefault="002718F0" w:rsidP="00D755C5">
      <w:pPr>
        <w:pStyle w:val="FootnoteText"/>
        <w:jc w:val="both"/>
        <w:rPr>
          <w:rFonts w:asciiTheme="majorHAnsi" w:hAnsiTheme="majorHAnsi"/>
          <w:color w:val="auto"/>
          <w:sz w:val="16"/>
          <w:szCs w:val="16"/>
          <w:lang w:val="es-ES"/>
        </w:rPr>
      </w:pPr>
      <w:r w:rsidRPr="00D755C5">
        <w:rPr>
          <w:rStyle w:val="FootnoteReference"/>
          <w:rFonts w:asciiTheme="majorHAnsi" w:hAnsiTheme="majorHAnsi"/>
          <w:color w:val="auto"/>
          <w:sz w:val="16"/>
          <w:szCs w:val="16"/>
          <w:lang w:val="es-ES"/>
        </w:rPr>
        <w:footnoteRef/>
      </w:r>
      <w:r w:rsidRPr="00D755C5">
        <w:rPr>
          <w:rFonts w:asciiTheme="majorHAnsi" w:hAnsiTheme="majorHAnsi"/>
          <w:color w:val="auto"/>
          <w:sz w:val="16"/>
          <w:szCs w:val="16"/>
          <w:lang w:val="es-ES"/>
        </w:rPr>
        <w:t xml:space="preserve"> Véanse, por ejemplo, Corte IDH, Opinión Consultiva OC-16/99 (1 de octubre de 1999), </w:t>
      </w:r>
      <w:r w:rsidRPr="00D755C5">
        <w:rPr>
          <w:rFonts w:asciiTheme="majorHAnsi" w:hAnsiTheme="majorHAnsi"/>
          <w:i/>
          <w:color w:val="auto"/>
          <w:sz w:val="16"/>
          <w:szCs w:val="16"/>
          <w:lang w:val="es-ES"/>
        </w:rPr>
        <w:t>El derecho a la información sobre la asistencia consular en el marco de las garantías del debido proceso legal</w:t>
      </w:r>
      <w:r w:rsidRPr="00D755C5">
        <w:rPr>
          <w:rFonts w:asciiTheme="majorHAnsi" w:hAnsiTheme="majorHAnsi"/>
          <w:color w:val="auto"/>
          <w:sz w:val="16"/>
          <w:szCs w:val="16"/>
          <w:lang w:val="es-ES"/>
        </w:rPr>
        <w:t xml:space="preserve">, párr. 136; Comité de Derechos Humanos de las Naciones Unidas, Baboheram-Adhin et al. c. Suriname, Comunicaciones Nos. 148 a 154/1983, aprobadas el 4 de abril de 1985, párr. 14.3; </w:t>
      </w:r>
      <w:r w:rsidRPr="00D755C5">
        <w:rPr>
          <w:rFonts w:asciiTheme="majorHAnsi" w:hAnsiTheme="majorHAnsi"/>
          <w:i/>
          <w:iCs/>
          <w:color w:val="auto"/>
          <w:sz w:val="16"/>
          <w:szCs w:val="16"/>
          <w:lang w:val="es-ES"/>
        </w:rPr>
        <w:t xml:space="preserve">Informe del Relator Especial de las Naciones Unidas sobre ejecuciones extrajudiciales, sumarias o arbitrarias, Sr. Bacre Waly Ndiaye, presentado en cumplimiento de la resolución 1994/82 de la Comisión de Derechos Humanos, “Cuestión de la violación de los derechos humanos y las libertades fundamentales en cualquier parte del mundo, especialmente en los países y territorios coloniales y dependientes”, </w:t>
      </w:r>
      <w:r w:rsidRPr="00D755C5">
        <w:rPr>
          <w:rFonts w:asciiTheme="majorHAnsi" w:hAnsiTheme="majorHAnsi"/>
          <w:color w:val="auto"/>
          <w:sz w:val="16"/>
          <w:szCs w:val="16"/>
          <w:lang w:val="es-ES"/>
        </w:rPr>
        <w:t>E/CN.4/1995/61 (14 de diciembre de 1994), párr. 378.</w:t>
      </w:r>
    </w:p>
  </w:footnote>
  <w:footnote w:id="24">
    <w:p w14:paraId="6A723962" w14:textId="77777777" w:rsidR="002718F0" w:rsidRPr="00D755C5" w:rsidRDefault="002718F0" w:rsidP="00D755C5">
      <w:pPr>
        <w:pStyle w:val="FootnoteText"/>
        <w:jc w:val="both"/>
        <w:rPr>
          <w:rFonts w:asciiTheme="majorHAnsi" w:hAnsiTheme="majorHAnsi"/>
          <w:color w:val="auto"/>
          <w:sz w:val="16"/>
          <w:szCs w:val="16"/>
          <w:lang w:val="es-ES"/>
        </w:rPr>
      </w:pPr>
      <w:r w:rsidRPr="00D755C5">
        <w:rPr>
          <w:rStyle w:val="FootnoteReference"/>
          <w:rFonts w:asciiTheme="majorHAnsi" w:hAnsiTheme="majorHAnsi"/>
          <w:color w:val="auto"/>
          <w:sz w:val="16"/>
          <w:szCs w:val="16"/>
          <w:lang w:val="es-ES"/>
        </w:rPr>
        <w:footnoteRef/>
      </w:r>
      <w:r w:rsidRPr="00D755C5">
        <w:rPr>
          <w:rFonts w:asciiTheme="majorHAnsi" w:hAnsiTheme="majorHAnsi"/>
          <w:color w:val="auto"/>
          <w:sz w:val="16"/>
          <w:szCs w:val="16"/>
          <w:lang w:val="es-ES"/>
        </w:rPr>
        <w:t xml:space="preserve"> CIDH. Informe No. 57/96. </w:t>
      </w:r>
      <w:r w:rsidRPr="00D755C5">
        <w:rPr>
          <w:rFonts w:asciiTheme="majorHAnsi" w:hAnsiTheme="majorHAnsi"/>
          <w:iCs/>
          <w:color w:val="auto"/>
          <w:sz w:val="16"/>
          <w:szCs w:val="16"/>
          <w:lang w:val="es-ES"/>
        </w:rPr>
        <w:t>Andrews. Estados Unidos.</w:t>
      </w:r>
      <w:r w:rsidRPr="00D755C5">
        <w:rPr>
          <w:rFonts w:asciiTheme="majorHAnsi" w:hAnsiTheme="majorHAnsi"/>
          <w:color w:val="auto"/>
          <w:sz w:val="16"/>
          <w:szCs w:val="16"/>
          <w:lang w:val="es-ES"/>
        </w:rPr>
        <w:t xml:space="preserve"> Informe Anual de la CIDH 1997, párrs. 170 y 171; Informe No. 38/00. Baptiste. Grenada. Informe Anual de la CIDH 1999, párrs. 64 a 66; Informe No. 41/00, McKenzie y otros. Jamaica. Informe Anual de la CIDH 1999, párrs. 169 a 171.</w:t>
      </w:r>
    </w:p>
  </w:footnote>
  <w:footnote w:id="25">
    <w:p w14:paraId="3B104376" w14:textId="77777777" w:rsidR="002718F0" w:rsidRPr="00D755C5" w:rsidRDefault="002718F0" w:rsidP="00D755C5">
      <w:pPr>
        <w:autoSpaceDE w:val="0"/>
        <w:autoSpaceDN w:val="0"/>
        <w:adjustRightInd w:val="0"/>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CIDH. </w:t>
      </w:r>
      <w:r w:rsidRPr="00D755C5">
        <w:rPr>
          <w:rFonts w:asciiTheme="majorHAnsi" w:hAnsiTheme="majorHAnsi"/>
          <w:i/>
          <w:sz w:val="16"/>
          <w:szCs w:val="16"/>
          <w:lang w:val="es-ES"/>
        </w:rPr>
        <w:t>La pena de muerte en el Sistema Interamericano de Derechos Humanos: de restricciones a abolición.</w:t>
      </w:r>
      <w:r w:rsidRPr="00D755C5">
        <w:rPr>
          <w:rFonts w:asciiTheme="majorHAnsi" w:hAnsiTheme="majorHAnsi"/>
          <w:sz w:val="16"/>
          <w:szCs w:val="16"/>
          <w:lang w:val="es-ES"/>
        </w:rPr>
        <w:t xml:space="preserve"> OEA/Ser.L/V/II.Doc. 68, 31 de diciembre de 2011</w:t>
      </w:r>
      <w:r w:rsidRPr="00D755C5">
        <w:rPr>
          <w:rFonts w:asciiTheme="majorHAnsi" w:hAnsiTheme="majorHAnsi" w:cs="Calibri"/>
          <w:sz w:val="16"/>
          <w:szCs w:val="16"/>
          <w:lang w:val="es-ES"/>
        </w:rPr>
        <w:t>, párr.</w:t>
      </w:r>
      <w:r w:rsidRPr="00D755C5">
        <w:rPr>
          <w:rFonts w:asciiTheme="majorHAnsi" w:hAnsiTheme="majorHAnsi"/>
          <w:sz w:val="16"/>
          <w:szCs w:val="16"/>
          <w:lang w:val="es-ES"/>
        </w:rPr>
        <w:t xml:space="preserve"> 41.</w:t>
      </w:r>
    </w:p>
  </w:footnote>
  <w:footnote w:id="26">
    <w:p w14:paraId="79F8DE0E" w14:textId="77777777" w:rsidR="002718F0" w:rsidRPr="00D755C5" w:rsidRDefault="002718F0" w:rsidP="00D755C5">
      <w:pPr>
        <w:autoSpaceDE w:val="0"/>
        <w:autoSpaceDN w:val="0"/>
        <w:adjustRightInd w:val="0"/>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CIDH. Informe No. 78/07. Caso 12.265. Fondo (Publicación). Chad Roger Goodman. Bahamas. 15 de octubre de 2007, párr. 34.</w:t>
      </w:r>
    </w:p>
  </w:footnote>
  <w:footnote w:id="27">
    <w:p w14:paraId="5B6BB745" w14:textId="77777777" w:rsidR="002718F0" w:rsidRPr="00D755C5" w:rsidRDefault="002718F0" w:rsidP="00D755C5">
      <w:pPr>
        <w:pStyle w:val="FootnoteText"/>
        <w:jc w:val="both"/>
        <w:rPr>
          <w:rFonts w:asciiTheme="majorHAnsi" w:hAnsiTheme="majorHAnsi" w:cs="Times New Roman"/>
          <w:color w:val="auto"/>
          <w:sz w:val="16"/>
          <w:szCs w:val="16"/>
          <w:lang w:val="es-ES"/>
        </w:rPr>
      </w:pPr>
      <w:r w:rsidRPr="00D755C5">
        <w:rPr>
          <w:rStyle w:val="FootnoteReference"/>
          <w:rFonts w:asciiTheme="majorHAnsi" w:hAnsiTheme="majorHAnsi"/>
          <w:color w:val="auto"/>
          <w:sz w:val="16"/>
          <w:szCs w:val="16"/>
          <w:lang w:val="es-ES"/>
        </w:rPr>
        <w:footnoteRef/>
      </w:r>
      <w:r w:rsidRPr="00D755C5">
        <w:rPr>
          <w:rFonts w:asciiTheme="majorHAnsi" w:hAnsiTheme="majorHAnsi"/>
          <w:color w:val="auto"/>
          <w:sz w:val="16"/>
          <w:szCs w:val="16"/>
          <w:lang w:val="es-ES"/>
        </w:rPr>
        <w:t xml:space="preserve"> CIDH. Informe No. 44/14. Caso 12.873. Fondo (Publicación). Edgar Tamayo Arias. Estados Unidos. 17 de julio de 2014, párr. 214.</w:t>
      </w:r>
    </w:p>
  </w:footnote>
  <w:footnote w:id="28">
    <w:p w14:paraId="4E62B964"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w:t>
      </w:r>
      <w:r w:rsidRPr="00D755C5">
        <w:rPr>
          <w:rFonts w:asciiTheme="majorHAnsi" w:eastAsia="Arial Unicode MS" w:hAnsiTheme="majorHAnsi" w:cs="Times New Roman"/>
          <w:color w:val="auto"/>
          <w:sz w:val="16"/>
          <w:szCs w:val="16"/>
          <w:lang w:val="es-ES" w:eastAsia="en-US"/>
        </w:rPr>
        <w:t>El artículo XVIII de la Declaración Americana dice: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29">
    <w:p w14:paraId="3C6F1DAD" w14:textId="77777777" w:rsidR="002718F0" w:rsidRPr="00D755C5" w:rsidRDefault="002718F0" w:rsidP="00D755C5">
      <w:pPr>
        <w:pStyle w:val="FootnoteText"/>
        <w:jc w:val="both"/>
        <w:rPr>
          <w:sz w:val="16"/>
          <w:szCs w:val="16"/>
          <w:lang w:val="es-ES"/>
        </w:rPr>
      </w:pPr>
      <w:r w:rsidRPr="00D755C5">
        <w:rPr>
          <w:rStyle w:val="FootnoteReference"/>
          <w:rFonts w:asciiTheme="majorHAnsi" w:hAnsiTheme="majorHAnsi"/>
          <w:sz w:val="16"/>
          <w:szCs w:val="16"/>
          <w:lang w:val="es-ES"/>
        </w:rPr>
        <w:footnoteRef/>
      </w:r>
      <w:r w:rsidRPr="00D755C5">
        <w:rPr>
          <w:rStyle w:val="FootnoteReference"/>
          <w:rFonts w:asciiTheme="majorHAnsi" w:hAnsiTheme="majorHAnsi"/>
          <w:sz w:val="16"/>
          <w:szCs w:val="16"/>
          <w:lang w:val="es-ES"/>
        </w:rPr>
        <w:t xml:space="preserve"> </w:t>
      </w:r>
      <w:r w:rsidRPr="00D755C5">
        <w:rPr>
          <w:rFonts w:asciiTheme="majorHAnsi" w:eastAsia="Arial Unicode MS" w:hAnsiTheme="majorHAnsi" w:cs="Times New Roman"/>
          <w:color w:val="auto"/>
          <w:sz w:val="16"/>
          <w:szCs w:val="16"/>
          <w:lang w:val="es-ES" w:eastAsia="en-US"/>
        </w:rPr>
        <w:t>El artículo XXIV de la Declaración Americana dice: “Toda persona tiene derecho de presentar peticiones respetuosas a cualquiera autoridad competente, ya sea por motivo de interés general, ya de interés particular, y el de obtener pronta resolución”</w:t>
      </w:r>
      <w:r w:rsidRPr="00D755C5">
        <w:rPr>
          <w:rFonts w:asciiTheme="majorHAnsi" w:hAnsiTheme="majorHAnsi"/>
          <w:sz w:val="16"/>
          <w:szCs w:val="16"/>
          <w:lang w:val="es-ES"/>
        </w:rPr>
        <w:t>.</w:t>
      </w:r>
    </w:p>
  </w:footnote>
  <w:footnote w:id="30">
    <w:p w14:paraId="0DD2425A" w14:textId="77777777" w:rsidR="002718F0" w:rsidRPr="00D755C5" w:rsidRDefault="002718F0" w:rsidP="00D755C5">
      <w:pPr>
        <w:pStyle w:val="FootnoteText"/>
        <w:jc w:val="both"/>
        <w:rPr>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w:t>
      </w:r>
      <w:r w:rsidRPr="00D755C5">
        <w:rPr>
          <w:rFonts w:asciiTheme="majorHAnsi" w:eastAsia="Arial Unicode MS" w:hAnsiTheme="majorHAnsi" w:cs="Times New Roman"/>
          <w:color w:val="auto"/>
          <w:sz w:val="16"/>
          <w:szCs w:val="16"/>
          <w:lang w:val="es-ES" w:eastAsia="en-US"/>
        </w:rPr>
        <w:t>El artículo XXVI de la Declaración Americana dice: “Se presume que todo acusado es inocente, hasta que se pruebe que es culpable. Toda persona acusada de delito tiene derecho a ser oída en forma imparcial y pública, a ser juzgada por tribunales anteriormente establecidos de acuerdo con leyes preexistentes y a que no se le imponga penas crueles, infamantes o inusitadas”.</w:t>
      </w:r>
    </w:p>
  </w:footnote>
  <w:footnote w:id="31">
    <w:p w14:paraId="56483BA1" w14:textId="77777777" w:rsidR="002718F0" w:rsidRPr="00D755C5" w:rsidRDefault="002718F0" w:rsidP="00D755C5">
      <w:pPr>
        <w:pStyle w:val="FootnoteText"/>
        <w:jc w:val="both"/>
        <w:rPr>
          <w:rFonts w:ascii="Cambria" w:hAnsi="Cambria"/>
          <w:sz w:val="16"/>
          <w:szCs w:val="16"/>
          <w:lang w:val="es-ES"/>
        </w:rPr>
      </w:pPr>
      <w:r w:rsidRPr="00D755C5">
        <w:rPr>
          <w:rStyle w:val="FootnoteReference"/>
          <w:rFonts w:ascii="Cambria" w:hAnsi="Cambria" w:cs="Arial"/>
          <w:sz w:val="16"/>
          <w:szCs w:val="16"/>
          <w:lang w:val="es-ES"/>
        </w:rPr>
        <w:footnoteRef/>
      </w:r>
      <w:r w:rsidRPr="00D755C5">
        <w:rPr>
          <w:rFonts w:ascii="Cambria" w:hAnsi="Cambria" w:cs="Arial"/>
          <w:sz w:val="16"/>
          <w:szCs w:val="16"/>
          <w:lang w:val="es-ES"/>
        </w:rPr>
        <w:t xml:space="preserve"> CIDH. Informe</w:t>
      </w:r>
      <w:r w:rsidRPr="00D755C5">
        <w:rPr>
          <w:rFonts w:ascii="Cambria" w:hAnsi="Cambria" w:cs="Arial"/>
          <w:bCs/>
          <w:sz w:val="16"/>
          <w:szCs w:val="16"/>
          <w:lang w:val="es-ES"/>
        </w:rPr>
        <w:t xml:space="preserve"> No. 90/09.</w:t>
      </w:r>
      <w:r w:rsidRPr="00D755C5">
        <w:rPr>
          <w:rFonts w:ascii="Cambria" w:hAnsi="Cambria" w:cs="Arial"/>
          <w:sz w:val="16"/>
          <w:szCs w:val="16"/>
          <w:lang w:val="es-ES"/>
        </w:rPr>
        <w:t xml:space="preserve"> Caso 12.644. </w:t>
      </w:r>
      <w:r w:rsidRPr="00D755C5">
        <w:rPr>
          <w:rFonts w:asciiTheme="majorHAnsi" w:hAnsiTheme="majorHAnsi"/>
          <w:color w:val="auto"/>
          <w:sz w:val="16"/>
          <w:szCs w:val="16"/>
          <w:lang w:val="es-ES"/>
        </w:rPr>
        <w:t>Admisibilidad y Fondo (Publicación). Medellín, Ramírez Cárdenas y Leal García. Estados Unidos. 7 de agosto de 2009, párr</w:t>
      </w:r>
      <w:r w:rsidRPr="00D755C5">
        <w:rPr>
          <w:rFonts w:ascii="Cambria" w:hAnsi="Cambria" w:cs="Arial"/>
          <w:sz w:val="16"/>
          <w:szCs w:val="16"/>
          <w:lang w:val="es-ES"/>
        </w:rPr>
        <w:t>s. 124 a 132.  Véanse también CIDH, Informe No. 91/05, Javier Suárez Medina, Estados Unidos, Informe Anual de la CIDH 2005; Informe No. 1/05, Roberto Moreno Ramos, Estados Unidos, Informe Anual de la CIDH 2005; Informe 52/02, Caso 11.753, Ramón Martínez Villarreal, Estados Unidos, Informe Anual de la CIDH 2002.</w:t>
      </w:r>
    </w:p>
  </w:footnote>
  <w:footnote w:id="32">
    <w:p w14:paraId="2C246D86" w14:textId="77777777" w:rsidR="002718F0" w:rsidRDefault="002718F0" w:rsidP="00D04A76">
      <w:pPr>
        <w:pStyle w:val="FootnoteText"/>
        <w:jc w:val="both"/>
      </w:pPr>
      <w:r w:rsidRPr="00D04A76">
        <w:rPr>
          <w:rFonts w:ascii="Cambria" w:hAnsi="Cambria" w:cs="Arial"/>
          <w:sz w:val="16"/>
          <w:szCs w:val="16"/>
          <w:vertAlign w:val="superscript"/>
          <w:lang w:val="es-ES"/>
        </w:rPr>
        <w:footnoteRef/>
      </w:r>
      <w:r w:rsidRPr="00D04A76">
        <w:rPr>
          <w:rFonts w:ascii="Cambria" w:hAnsi="Cambria" w:cs="Arial"/>
          <w:sz w:val="16"/>
          <w:szCs w:val="16"/>
          <w:lang w:val="es-ES"/>
        </w:rPr>
        <w:t xml:space="preserve"> Corte I</w:t>
      </w:r>
      <w:r>
        <w:rPr>
          <w:rFonts w:ascii="Cambria" w:hAnsi="Cambria" w:cs="Arial"/>
          <w:sz w:val="16"/>
          <w:szCs w:val="16"/>
          <w:lang w:val="es-ES"/>
        </w:rPr>
        <w:t>DH</w:t>
      </w:r>
      <w:r w:rsidRPr="00D04A76">
        <w:rPr>
          <w:rFonts w:ascii="Cambria" w:hAnsi="Cambria" w:cs="Arial"/>
          <w:sz w:val="16"/>
          <w:szCs w:val="16"/>
          <w:lang w:val="es-ES"/>
        </w:rPr>
        <w:t xml:space="preserve">, El Derecho a la Información sobre la Asistencia Consular en el Marco de las Garantías del Debido Proceso Legal. Opinión Consultiva OC-16/99 de 1 de octubre de 1999. Serie A No.16, </w:t>
      </w:r>
      <w:r>
        <w:rPr>
          <w:rFonts w:ascii="Cambria" w:hAnsi="Cambria" w:cs="Arial"/>
          <w:sz w:val="16"/>
          <w:szCs w:val="16"/>
          <w:lang w:val="es-ES"/>
        </w:rPr>
        <w:t>párr.</w:t>
      </w:r>
      <w:r w:rsidRPr="00D04A76">
        <w:rPr>
          <w:rFonts w:ascii="Cambria" w:hAnsi="Cambria" w:cs="Arial"/>
          <w:sz w:val="16"/>
          <w:szCs w:val="16"/>
          <w:lang w:val="es-ES"/>
        </w:rPr>
        <w:t xml:space="preserve"> 81.</w:t>
      </w:r>
    </w:p>
  </w:footnote>
  <w:footnote w:id="33">
    <w:p w14:paraId="0C8A85F3" w14:textId="77777777" w:rsidR="002718F0" w:rsidRPr="00D755C5" w:rsidRDefault="002718F0" w:rsidP="00D755C5">
      <w:pPr>
        <w:pStyle w:val="FootnoteText"/>
        <w:jc w:val="both"/>
        <w:rPr>
          <w:rFonts w:ascii="Cambria" w:hAnsi="Cambria"/>
          <w:sz w:val="16"/>
          <w:szCs w:val="16"/>
        </w:rPr>
      </w:pPr>
      <w:r w:rsidRPr="00D755C5">
        <w:rPr>
          <w:rStyle w:val="FootnoteReference"/>
          <w:rFonts w:ascii="Cambria" w:hAnsi="Cambria" w:cs="Arial"/>
          <w:sz w:val="16"/>
          <w:szCs w:val="16"/>
          <w:lang w:val="es-ES"/>
        </w:rPr>
        <w:footnoteRef/>
      </w:r>
      <w:r w:rsidRPr="00D755C5">
        <w:rPr>
          <w:rFonts w:ascii="Cambria" w:hAnsi="Cambria" w:cs="Arial"/>
          <w:sz w:val="16"/>
          <w:szCs w:val="16"/>
        </w:rPr>
        <w:t xml:space="preserve"> American Bar Association. </w:t>
      </w:r>
      <w:r w:rsidRPr="00D755C5">
        <w:rPr>
          <w:rFonts w:ascii="Cambria" w:hAnsi="Cambria" w:cs="Arial"/>
          <w:i/>
          <w:iCs/>
          <w:sz w:val="16"/>
          <w:szCs w:val="16"/>
        </w:rPr>
        <w:t>Guidelines for the Appointment and Performance of Defense Counsel in Death Penalty Cases</w:t>
      </w:r>
      <w:r w:rsidRPr="00D755C5">
        <w:rPr>
          <w:rFonts w:ascii="Cambria" w:hAnsi="Cambria" w:cs="Arial"/>
          <w:sz w:val="16"/>
          <w:szCs w:val="16"/>
        </w:rPr>
        <w:t xml:space="preserve"> (edición revisada) (febrero de 2003), Guideline 10.6B - Additional Obligations of Counsel Representing a Foreign National.</w:t>
      </w:r>
    </w:p>
  </w:footnote>
  <w:footnote w:id="34">
    <w:p w14:paraId="39416DB4"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rPr>
        <w:t xml:space="preserve"> The New York Times. </w:t>
      </w:r>
      <w:hyperlink r:id="rId5" w:history="1">
        <w:r w:rsidRPr="00D755C5">
          <w:rPr>
            <w:rStyle w:val="Hyperlink"/>
            <w:rFonts w:asciiTheme="majorHAnsi" w:hAnsiTheme="majorHAnsi"/>
            <w:i/>
            <w:sz w:val="16"/>
            <w:szCs w:val="16"/>
          </w:rPr>
          <w:t>4 Immigrant Killings Linked to Russian Kidnapping Gang</w:t>
        </w:r>
      </w:hyperlink>
      <w:r w:rsidRPr="00D755C5">
        <w:rPr>
          <w:rFonts w:asciiTheme="majorHAnsi" w:hAnsiTheme="majorHAnsi"/>
          <w:sz w:val="16"/>
          <w:szCs w:val="16"/>
        </w:rPr>
        <w:t xml:space="preserve">. </w:t>
      </w:r>
      <w:r w:rsidRPr="00D755C5">
        <w:rPr>
          <w:rFonts w:asciiTheme="majorHAnsi" w:hAnsiTheme="majorHAnsi"/>
          <w:sz w:val="16"/>
          <w:szCs w:val="16"/>
          <w:lang w:val="es-ES"/>
        </w:rPr>
        <w:t xml:space="preserve">23 de marzo de 2002. </w:t>
      </w:r>
    </w:p>
  </w:footnote>
  <w:footnote w:id="35">
    <w:p w14:paraId="1E1A7599" w14:textId="77777777" w:rsidR="002718F0" w:rsidRPr="00D755C5" w:rsidRDefault="002718F0" w:rsidP="00D755C5">
      <w:pPr>
        <w:pStyle w:val="FootnoteText"/>
        <w:jc w:val="both"/>
        <w:rPr>
          <w:rFonts w:asciiTheme="majorHAnsi" w:hAnsiTheme="majorHAnsi"/>
          <w:color w:val="auto"/>
          <w:sz w:val="16"/>
          <w:szCs w:val="16"/>
          <w:lang w:val="es-ES"/>
        </w:rPr>
      </w:pPr>
      <w:r w:rsidRPr="00D755C5">
        <w:rPr>
          <w:rStyle w:val="FootnoteReference"/>
          <w:rFonts w:asciiTheme="majorHAnsi" w:hAnsiTheme="majorHAnsi"/>
          <w:color w:val="auto"/>
          <w:sz w:val="16"/>
          <w:szCs w:val="16"/>
          <w:lang w:val="es-ES"/>
        </w:rPr>
        <w:footnoteRef/>
      </w:r>
      <w:r w:rsidRPr="00D755C5">
        <w:rPr>
          <w:rFonts w:asciiTheme="majorHAnsi" w:hAnsiTheme="majorHAnsi"/>
          <w:color w:val="auto"/>
          <w:sz w:val="16"/>
          <w:szCs w:val="16"/>
          <w:lang w:val="es-ES"/>
        </w:rPr>
        <w:t xml:space="preserve"> CIDH. </w:t>
      </w:r>
      <w:r w:rsidRPr="00D755C5">
        <w:rPr>
          <w:rFonts w:asciiTheme="majorHAnsi" w:hAnsiTheme="majorHAnsi"/>
          <w:i/>
          <w:color w:val="auto"/>
          <w:sz w:val="16"/>
          <w:szCs w:val="16"/>
          <w:lang w:val="es-ES"/>
        </w:rPr>
        <w:t>La pena de muerte en el Sistema Interamericano de Derechos Humanos: de restricciones a abolición</w:t>
      </w:r>
      <w:r w:rsidRPr="00D755C5">
        <w:rPr>
          <w:rFonts w:asciiTheme="majorHAnsi" w:hAnsiTheme="majorHAnsi"/>
          <w:color w:val="auto"/>
          <w:sz w:val="16"/>
          <w:szCs w:val="16"/>
          <w:lang w:val="es-ES"/>
        </w:rPr>
        <w:t>, OEA/Ser.L/V/II.Doc. 68, 31 de diciembre de 2011, p. 123.</w:t>
      </w:r>
    </w:p>
  </w:footnote>
  <w:footnote w:id="36">
    <w:p w14:paraId="781E34F0" w14:textId="77777777" w:rsidR="002718F0" w:rsidRPr="00D755C5" w:rsidRDefault="002718F0" w:rsidP="00D755C5">
      <w:pPr>
        <w:pStyle w:val="FootnoteText"/>
        <w:jc w:val="both"/>
        <w:rPr>
          <w:rFonts w:asciiTheme="majorHAnsi" w:hAnsiTheme="majorHAnsi"/>
          <w:color w:val="auto"/>
          <w:sz w:val="16"/>
          <w:szCs w:val="16"/>
          <w:lang w:val="es-ES"/>
        </w:rPr>
      </w:pPr>
      <w:r w:rsidRPr="00D755C5">
        <w:rPr>
          <w:rStyle w:val="FootnoteReference"/>
          <w:rFonts w:asciiTheme="majorHAnsi" w:hAnsiTheme="majorHAnsi"/>
          <w:color w:val="auto"/>
          <w:sz w:val="16"/>
          <w:szCs w:val="16"/>
          <w:lang w:val="es-ES"/>
        </w:rPr>
        <w:footnoteRef/>
      </w:r>
      <w:r w:rsidRPr="00D755C5">
        <w:rPr>
          <w:rFonts w:asciiTheme="majorHAnsi" w:hAnsiTheme="majorHAnsi"/>
          <w:color w:val="auto"/>
          <w:sz w:val="16"/>
          <w:szCs w:val="16"/>
          <w:lang w:val="es-ES"/>
        </w:rPr>
        <w:t xml:space="preserve"> CIDH. </w:t>
      </w:r>
      <w:r w:rsidRPr="00D755C5">
        <w:rPr>
          <w:rFonts w:asciiTheme="majorHAnsi" w:hAnsiTheme="majorHAnsi"/>
          <w:i/>
          <w:color w:val="auto"/>
          <w:sz w:val="16"/>
          <w:szCs w:val="16"/>
          <w:lang w:val="es-ES"/>
        </w:rPr>
        <w:t>La pena de muerte en el Sistema Interamericano de Derechos Humanos: de restricciones a abolición</w:t>
      </w:r>
      <w:r w:rsidRPr="00D755C5">
        <w:rPr>
          <w:rFonts w:asciiTheme="majorHAnsi" w:hAnsiTheme="majorHAnsi"/>
          <w:color w:val="auto"/>
          <w:sz w:val="16"/>
          <w:szCs w:val="16"/>
          <w:lang w:val="es-ES"/>
        </w:rPr>
        <w:t>, OEA/Ser.L/V/II.Doc. 68, 31 de diciembre de 2011, p. 123.</w:t>
      </w:r>
    </w:p>
  </w:footnote>
  <w:footnote w:id="37">
    <w:p w14:paraId="39E1CA88"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Abogada de oficio del señor Kadamovas a partir del 28 de noviembre de 2005, después que Marcia Brewer pidió que la reemplazaran.</w:t>
      </w:r>
    </w:p>
  </w:footnote>
  <w:footnote w:id="38">
    <w:p w14:paraId="26239A40" w14:textId="77777777" w:rsidR="002718F0" w:rsidRPr="00D755C5" w:rsidRDefault="002718F0" w:rsidP="00D755C5">
      <w:pPr>
        <w:pStyle w:val="FootnoteText"/>
        <w:jc w:val="both"/>
        <w:rPr>
          <w:color w:val="auto"/>
          <w:sz w:val="16"/>
          <w:szCs w:val="16"/>
        </w:rPr>
      </w:pPr>
      <w:r w:rsidRPr="00D755C5">
        <w:rPr>
          <w:rStyle w:val="FootnoteReference"/>
          <w:rFonts w:ascii="Cambria" w:hAnsi="Cambria"/>
          <w:color w:val="auto"/>
          <w:sz w:val="16"/>
          <w:szCs w:val="16"/>
          <w:lang w:val="es-ES"/>
        </w:rPr>
        <w:footnoteRef/>
      </w:r>
      <w:hyperlink r:id="rId6" w:history="1">
        <w:r w:rsidRPr="00D755C5">
          <w:rPr>
            <w:rStyle w:val="Hyperlink"/>
            <w:rFonts w:ascii="Cambria" w:hAnsi="Cambria"/>
            <w:i/>
            <w:sz w:val="16"/>
            <w:szCs w:val="16"/>
          </w:rPr>
          <w:t>Deadly Speculation: Misleading Texas Capital Juries with False Predictions of Future Dangerousness</w:t>
        </w:r>
      </w:hyperlink>
      <w:r w:rsidRPr="00D755C5">
        <w:rPr>
          <w:rFonts w:ascii="Cambria" w:hAnsi="Cambria"/>
          <w:color w:val="auto"/>
          <w:sz w:val="16"/>
          <w:szCs w:val="16"/>
        </w:rPr>
        <w:t xml:space="preserve"> 34 (2004); Thomas J. Reidy, Jon R. Sorenson &amp; Mark D. Cunningham, </w:t>
      </w:r>
      <w:r w:rsidRPr="00D755C5">
        <w:rPr>
          <w:rFonts w:ascii="Cambria" w:hAnsi="Cambria"/>
          <w:i/>
          <w:color w:val="auto"/>
          <w:sz w:val="16"/>
          <w:szCs w:val="16"/>
        </w:rPr>
        <w:t>Probability of Criminal Acts of Violence: A Test of Jury Predictive Accuracy</w:t>
      </w:r>
      <w:r w:rsidRPr="00D755C5">
        <w:rPr>
          <w:rFonts w:ascii="Cambria" w:hAnsi="Cambria"/>
          <w:color w:val="auto"/>
          <w:sz w:val="16"/>
          <w:szCs w:val="16"/>
        </w:rPr>
        <w:t xml:space="preserve">, 31 Behav. Sci. L. 286, 289 (2013). </w:t>
      </w:r>
    </w:p>
  </w:footnote>
  <w:footnote w:id="39">
    <w:p w14:paraId="3EE150BB" w14:textId="77777777" w:rsidR="002718F0" w:rsidRPr="00D755C5" w:rsidRDefault="002718F0" w:rsidP="00D755C5">
      <w:pPr>
        <w:pStyle w:val="FootnoteText"/>
        <w:jc w:val="both"/>
        <w:rPr>
          <w:sz w:val="16"/>
          <w:szCs w:val="16"/>
        </w:rPr>
      </w:pPr>
      <w:r w:rsidRPr="00D755C5">
        <w:rPr>
          <w:rStyle w:val="FootnoteReference"/>
          <w:rFonts w:ascii="Cambria" w:hAnsi="Cambria"/>
          <w:color w:val="auto"/>
          <w:sz w:val="16"/>
          <w:szCs w:val="16"/>
          <w:lang w:val="es-ES"/>
        </w:rPr>
        <w:footnoteRef/>
      </w:r>
      <w:r w:rsidRPr="00D755C5">
        <w:rPr>
          <w:rStyle w:val="FootnoteReference"/>
          <w:rFonts w:ascii="Cambria" w:hAnsi="Cambria"/>
          <w:color w:val="auto"/>
          <w:sz w:val="16"/>
          <w:szCs w:val="16"/>
        </w:rPr>
        <w:t xml:space="preserve"> </w:t>
      </w:r>
      <w:r w:rsidRPr="00D755C5">
        <w:rPr>
          <w:rFonts w:asciiTheme="majorHAnsi" w:eastAsia="Arial Unicode MS" w:hAnsiTheme="majorHAnsi" w:cs="Times New Roman"/>
          <w:color w:val="auto"/>
          <w:sz w:val="16"/>
          <w:szCs w:val="16"/>
          <w:lang w:eastAsia="en-US"/>
        </w:rPr>
        <w:t>CIDH. Informe No. 24/17. Caso 12.254. Fondo. Víctor Saldaño. Estados Unidos. 18 de marzo de 2017, párr. 184.</w:t>
      </w:r>
    </w:p>
  </w:footnote>
  <w:footnote w:id="40">
    <w:p w14:paraId="64E2FAB6"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rPr>
        <w:t xml:space="preserve"> Corte IDH. Caso Fermín Ramírez Vs. </w:t>
      </w:r>
      <w:r w:rsidRPr="00D755C5">
        <w:rPr>
          <w:rFonts w:asciiTheme="majorHAnsi" w:hAnsiTheme="majorHAnsi"/>
          <w:sz w:val="16"/>
          <w:szCs w:val="16"/>
          <w:lang w:val="es-ES"/>
        </w:rPr>
        <w:t xml:space="preserve">Guatemala. Fondo, Reparaciones y Costas. Sentencia de 20 de junio de 2005. Serie C No. 126, párr. 94. </w:t>
      </w:r>
    </w:p>
  </w:footnote>
  <w:footnote w:id="41">
    <w:p w14:paraId="72B8FDB8" w14:textId="77777777" w:rsidR="002718F0" w:rsidRPr="00D755C5" w:rsidRDefault="002718F0" w:rsidP="00D755C5">
      <w:pPr>
        <w:pStyle w:val="FootnoteText"/>
        <w:jc w:val="both"/>
        <w:rPr>
          <w:sz w:val="16"/>
          <w:szCs w:val="16"/>
          <w:lang w:val="es-ES"/>
        </w:rPr>
      </w:pPr>
      <w:r w:rsidRPr="00D755C5">
        <w:rPr>
          <w:rStyle w:val="FootnoteReference"/>
          <w:rFonts w:asciiTheme="majorHAnsi" w:hAnsiTheme="majorHAnsi"/>
          <w:sz w:val="16"/>
          <w:szCs w:val="16"/>
          <w:lang w:val="es-ES"/>
        </w:rPr>
        <w:footnoteRef/>
      </w:r>
      <w:r w:rsidRPr="00D755C5">
        <w:rPr>
          <w:rStyle w:val="FootnoteReference"/>
          <w:rFonts w:asciiTheme="majorHAnsi" w:hAnsiTheme="majorHAnsi"/>
          <w:sz w:val="16"/>
          <w:szCs w:val="16"/>
          <w:lang w:val="es-ES"/>
        </w:rPr>
        <w:t xml:space="preserve"> </w:t>
      </w:r>
      <w:r w:rsidRPr="00D755C5">
        <w:rPr>
          <w:rFonts w:asciiTheme="majorHAnsi" w:hAnsiTheme="majorHAnsi"/>
          <w:sz w:val="16"/>
          <w:szCs w:val="16"/>
          <w:lang w:val="es-ES"/>
        </w:rPr>
        <w:t>Corte IDH. Caso Fermín Ramírez Vs. Guatemala. Fondo, Reparaciones y Costas. Sentencia de 20 de junio de 2005. Serie C No. 126, párr. 94.</w:t>
      </w:r>
    </w:p>
  </w:footnote>
  <w:footnote w:id="42">
    <w:p w14:paraId="3DEA615F" w14:textId="77777777" w:rsidR="002718F0" w:rsidRPr="00D755C5" w:rsidRDefault="002718F0" w:rsidP="00D755C5">
      <w:pPr>
        <w:pStyle w:val="FootnoteText"/>
        <w:jc w:val="both"/>
        <w:rPr>
          <w:rFonts w:ascii="Cambria" w:hAnsi="Cambria"/>
          <w:sz w:val="16"/>
          <w:szCs w:val="16"/>
          <w:lang w:val="es-ES"/>
        </w:rPr>
      </w:pPr>
      <w:r w:rsidRPr="00D755C5">
        <w:rPr>
          <w:rStyle w:val="FootnoteReference"/>
          <w:rFonts w:ascii="Cambria" w:hAnsi="Cambria"/>
          <w:sz w:val="16"/>
          <w:szCs w:val="16"/>
          <w:lang w:val="es-ES"/>
        </w:rPr>
        <w:footnoteRef/>
      </w:r>
      <w:r w:rsidRPr="00D755C5">
        <w:rPr>
          <w:rFonts w:ascii="Cambria" w:hAnsi="Cambria"/>
          <w:sz w:val="16"/>
          <w:szCs w:val="16"/>
          <w:lang w:val="es-ES"/>
        </w:rPr>
        <w:t xml:space="preserve"> </w:t>
      </w:r>
      <w:r w:rsidRPr="00D755C5">
        <w:rPr>
          <w:rFonts w:asciiTheme="majorHAnsi" w:hAnsiTheme="majorHAnsi"/>
          <w:sz w:val="16"/>
          <w:szCs w:val="16"/>
          <w:lang w:val="es-ES"/>
        </w:rPr>
        <w:t xml:space="preserve">CIDH. </w:t>
      </w:r>
      <w:r w:rsidRPr="00D755C5">
        <w:rPr>
          <w:rFonts w:asciiTheme="majorHAnsi" w:hAnsiTheme="majorHAnsi"/>
          <w:i/>
          <w:sz w:val="16"/>
          <w:szCs w:val="16"/>
          <w:lang w:val="es-ES"/>
        </w:rPr>
        <w:t>La pena de muerte en el Sistema Interamericano de Derechos Humanos: de restricciones a abolición</w:t>
      </w:r>
      <w:r w:rsidRPr="00D755C5">
        <w:rPr>
          <w:rFonts w:asciiTheme="majorHAnsi" w:hAnsiTheme="majorHAnsi"/>
          <w:sz w:val="16"/>
          <w:szCs w:val="16"/>
          <w:lang w:val="es-ES"/>
        </w:rPr>
        <w:t>, OEA/Ser.L/V/II.Doc. 68, 31 de diciembre de 2011</w:t>
      </w:r>
      <w:r w:rsidRPr="00D755C5">
        <w:rPr>
          <w:rFonts w:ascii="Cambria" w:hAnsi="Cambria"/>
          <w:sz w:val="16"/>
          <w:szCs w:val="16"/>
          <w:lang w:val="es-ES"/>
        </w:rPr>
        <w:t>.</w:t>
      </w:r>
    </w:p>
  </w:footnote>
  <w:footnote w:id="43">
    <w:p w14:paraId="63A65825" w14:textId="77777777" w:rsidR="002718F0" w:rsidRPr="00D755C5" w:rsidRDefault="002718F0" w:rsidP="00D755C5">
      <w:pPr>
        <w:jc w:val="both"/>
        <w:rPr>
          <w:rFonts w:asciiTheme="majorHAnsi" w:hAnsiTheme="majorHAnsi"/>
          <w:bCs/>
          <w:sz w:val="16"/>
          <w:szCs w:val="16"/>
          <w:lang w:val="es-ES"/>
        </w:rPr>
      </w:pPr>
      <w:r w:rsidRPr="00D755C5">
        <w:rPr>
          <w:rStyle w:val="FootnoteReference"/>
          <w:rFonts w:asciiTheme="majorHAnsi" w:hAnsiTheme="majorHAnsi"/>
          <w:sz w:val="16"/>
          <w:szCs w:val="16"/>
          <w:lang w:val="es-ES"/>
        </w:rPr>
        <w:footnoteRef/>
      </w:r>
      <w:r w:rsidRPr="00D755C5">
        <w:rPr>
          <w:rFonts w:asciiTheme="majorHAnsi" w:eastAsiaTheme="minorHAnsi" w:hAnsiTheme="majorHAnsi"/>
          <w:sz w:val="16"/>
          <w:szCs w:val="16"/>
          <w:bdr w:val="none" w:sz="0" w:space="0" w:color="auto"/>
          <w:lang w:val="es-ES"/>
        </w:rPr>
        <w:t xml:space="preserve"> Comité de Derechos Humanos del PIDCP. Robert John Fardon v. Australia, Comunicación No. 1629/2007, CCPR/C/98/D/1629/2007 (2010), párr. 7.4.</w:t>
      </w:r>
    </w:p>
  </w:footnote>
  <w:footnote w:id="44">
    <w:p w14:paraId="7F906D16" w14:textId="77777777" w:rsidR="002718F0" w:rsidRPr="00D755C5" w:rsidRDefault="002718F0" w:rsidP="00D755C5">
      <w:pPr>
        <w:pStyle w:val="FootnoteText"/>
        <w:jc w:val="both"/>
        <w:rPr>
          <w:rFonts w:asciiTheme="majorHAnsi" w:hAnsiTheme="majorHAnsi"/>
          <w:color w:val="auto"/>
          <w:sz w:val="16"/>
          <w:szCs w:val="16"/>
          <w:lang w:val="es-ES"/>
        </w:rPr>
      </w:pPr>
      <w:r w:rsidRPr="00D755C5">
        <w:rPr>
          <w:rStyle w:val="FootnoteReference"/>
          <w:rFonts w:asciiTheme="majorHAnsi" w:hAnsiTheme="majorHAnsi"/>
          <w:sz w:val="16"/>
          <w:szCs w:val="16"/>
          <w:lang w:val="es-ES"/>
        </w:rPr>
        <w:footnoteRef/>
      </w:r>
      <w:r w:rsidRPr="00D755C5">
        <w:rPr>
          <w:rStyle w:val="FootnoteReference"/>
          <w:rFonts w:asciiTheme="majorHAnsi" w:hAnsiTheme="majorHAnsi"/>
          <w:sz w:val="16"/>
          <w:szCs w:val="16"/>
          <w:lang w:val="es-ES"/>
        </w:rPr>
        <w:t xml:space="preserve"> </w:t>
      </w:r>
      <w:r w:rsidRPr="00D755C5">
        <w:rPr>
          <w:rFonts w:asciiTheme="majorHAnsi" w:hAnsiTheme="majorHAnsi"/>
          <w:color w:val="auto"/>
          <w:sz w:val="16"/>
          <w:szCs w:val="16"/>
          <w:lang w:val="es-ES"/>
        </w:rPr>
        <w:t>El artículo I de la Declaración Americana dice: “Todo ser humano tiene derecho a la vida, a la libertad y a la seguridad de su persona”.</w:t>
      </w:r>
    </w:p>
    <w:p w14:paraId="62B5E98A" w14:textId="77777777" w:rsidR="002718F0" w:rsidRPr="00D755C5" w:rsidRDefault="002718F0" w:rsidP="00D755C5">
      <w:pPr>
        <w:pStyle w:val="FootnoteText"/>
        <w:jc w:val="both"/>
        <w:rPr>
          <w:sz w:val="16"/>
          <w:szCs w:val="16"/>
          <w:lang w:val="es-ES"/>
        </w:rPr>
      </w:pPr>
      <w:r w:rsidRPr="00D755C5">
        <w:rPr>
          <w:rFonts w:asciiTheme="majorHAnsi" w:hAnsiTheme="majorHAnsi"/>
          <w:color w:val="auto"/>
          <w:sz w:val="16"/>
          <w:szCs w:val="16"/>
          <w:lang w:val="es-ES"/>
        </w:rPr>
        <w:t xml:space="preserve">El artículo XXV de la Declaración Americana dice: “[…] Todo individuo que haya sido privado de su libertad […] </w:t>
      </w:r>
      <w:r w:rsidRPr="00D755C5">
        <w:rPr>
          <w:rFonts w:asciiTheme="majorHAnsi" w:hAnsiTheme="majorHAnsi"/>
          <w:color w:val="auto"/>
          <w:sz w:val="16"/>
          <w:szCs w:val="16"/>
          <w:lang w:val="es-US"/>
        </w:rPr>
        <w:t>[t]</w:t>
      </w:r>
      <w:r w:rsidRPr="00D755C5">
        <w:rPr>
          <w:rFonts w:asciiTheme="majorHAnsi" w:hAnsiTheme="majorHAnsi"/>
          <w:color w:val="auto"/>
          <w:sz w:val="16"/>
          <w:szCs w:val="16"/>
          <w:lang w:val="es-ES"/>
        </w:rPr>
        <w:t>iene derecho también a un tratamiento humano durante la privación de su libertad”.</w:t>
      </w:r>
    </w:p>
  </w:footnote>
  <w:footnote w:id="45">
    <w:p w14:paraId="77CD3968" w14:textId="77777777" w:rsidR="002718F0" w:rsidRPr="00D755C5" w:rsidRDefault="002718F0" w:rsidP="00D755C5">
      <w:pPr>
        <w:pStyle w:val="FootnoteText"/>
        <w:jc w:val="both"/>
        <w:rPr>
          <w:sz w:val="16"/>
          <w:szCs w:val="16"/>
          <w:lang w:val="es-ES"/>
        </w:rPr>
      </w:pPr>
      <w:r w:rsidRPr="00D755C5">
        <w:rPr>
          <w:rStyle w:val="FootnoteReference"/>
          <w:rFonts w:asciiTheme="majorHAnsi" w:eastAsia="Arial Unicode MS" w:hAnsiTheme="majorHAnsi"/>
          <w:color w:val="auto"/>
          <w:sz w:val="16"/>
          <w:szCs w:val="16"/>
          <w:lang w:val="es-ES"/>
        </w:rPr>
        <w:footnoteRef/>
      </w:r>
      <w:r w:rsidRPr="00D755C5">
        <w:rPr>
          <w:rStyle w:val="FootnoteReference"/>
          <w:rFonts w:asciiTheme="majorHAnsi" w:eastAsia="Arial Unicode MS" w:hAnsiTheme="majorHAnsi"/>
          <w:color w:val="auto"/>
          <w:sz w:val="16"/>
          <w:szCs w:val="16"/>
          <w:lang w:val="es-ES"/>
        </w:rPr>
        <w:t xml:space="preserve"> </w:t>
      </w:r>
      <w:r w:rsidRPr="00D755C5">
        <w:rPr>
          <w:rFonts w:asciiTheme="majorHAnsi" w:hAnsiTheme="majorHAnsi"/>
          <w:color w:val="auto"/>
          <w:sz w:val="16"/>
          <w:szCs w:val="16"/>
          <w:lang w:val="es-ES"/>
        </w:rPr>
        <w:t>El artículo XI de la Declaración Americana dice: “Toda persona tiene derecho a que su salud sea preservada por medidas sanitarias y sociales, relativas a la alimentación, el vestido, la vivienda y la asistencia médica, correspondientes al nivel que permitan los recursos públicos y los de la comunidad”.</w:t>
      </w:r>
    </w:p>
  </w:footnote>
  <w:footnote w:id="46">
    <w:p w14:paraId="172048AA" w14:textId="77777777" w:rsidR="002718F0" w:rsidRPr="00D755C5" w:rsidRDefault="002718F0" w:rsidP="00D755C5">
      <w:pPr>
        <w:pStyle w:val="FootnoteText"/>
        <w:jc w:val="both"/>
        <w:rPr>
          <w:rFonts w:asciiTheme="majorHAnsi" w:hAnsiTheme="majorHAnsi"/>
          <w:color w:val="auto"/>
          <w:sz w:val="16"/>
          <w:szCs w:val="16"/>
          <w:lang w:val="es-ES"/>
        </w:rPr>
      </w:pPr>
      <w:r w:rsidRPr="00D755C5">
        <w:rPr>
          <w:rStyle w:val="FootnoteReference"/>
          <w:rFonts w:asciiTheme="majorHAnsi" w:hAnsiTheme="majorHAnsi"/>
          <w:color w:val="auto"/>
          <w:sz w:val="16"/>
          <w:szCs w:val="16"/>
          <w:lang w:val="es-ES"/>
        </w:rPr>
        <w:footnoteRef/>
      </w:r>
      <w:r w:rsidRPr="00D755C5">
        <w:rPr>
          <w:rStyle w:val="FootnoteReference"/>
          <w:rFonts w:asciiTheme="majorHAnsi" w:hAnsiTheme="majorHAnsi"/>
          <w:color w:val="auto"/>
          <w:sz w:val="16"/>
          <w:szCs w:val="16"/>
          <w:lang w:val="es-ES"/>
        </w:rPr>
        <w:t xml:space="preserve"> </w:t>
      </w:r>
      <w:r w:rsidRPr="00D755C5">
        <w:rPr>
          <w:rFonts w:asciiTheme="majorHAnsi" w:hAnsiTheme="majorHAnsi"/>
          <w:color w:val="auto"/>
          <w:sz w:val="16"/>
          <w:szCs w:val="16"/>
          <w:lang w:val="es-ES"/>
        </w:rPr>
        <w:t>CIDH. Informe No. 71/18. Caso 12.958. Fondo. Russell Bucklew. Estados Unidos. 10 de mayo de 2018, párrs. 86 a 90. En este informe, la Comisión cita varios avances en el sistema interamericano y en otros sistemas de protección, entre ellos los sistemas regionales y el sistema de las Naciones Unidas.</w:t>
      </w:r>
    </w:p>
  </w:footnote>
  <w:footnote w:id="47">
    <w:p w14:paraId="4C905B3A" w14:textId="77777777" w:rsidR="002718F0" w:rsidRPr="00D755C5" w:rsidRDefault="002718F0" w:rsidP="00D755C5">
      <w:pPr>
        <w:pStyle w:val="FootnoteText"/>
        <w:tabs>
          <w:tab w:val="left" w:pos="0"/>
        </w:tabs>
        <w:jc w:val="both"/>
        <w:rPr>
          <w:sz w:val="16"/>
          <w:szCs w:val="16"/>
          <w:lang w:val="es-ES"/>
        </w:rPr>
      </w:pPr>
      <w:r w:rsidRPr="00D755C5">
        <w:rPr>
          <w:rStyle w:val="FootnoteReference"/>
          <w:rFonts w:asciiTheme="majorHAnsi" w:hAnsiTheme="majorHAnsi"/>
          <w:color w:val="auto"/>
          <w:sz w:val="16"/>
          <w:szCs w:val="16"/>
          <w:lang w:val="es-ES"/>
        </w:rPr>
        <w:footnoteRef/>
      </w:r>
      <w:r w:rsidRPr="00D755C5">
        <w:rPr>
          <w:rStyle w:val="FootnoteReference"/>
          <w:rFonts w:asciiTheme="majorHAnsi" w:hAnsiTheme="majorHAnsi"/>
          <w:color w:val="auto"/>
          <w:sz w:val="16"/>
          <w:szCs w:val="16"/>
          <w:lang w:val="es-ES"/>
        </w:rPr>
        <w:t xml:space="preserve"> </w:t>
      </w:r>
      <w:r w:rsidRPr="00D755C5">
        <w:rPr>
          <w:rFonts w:asciiTheme="majorHAnsi" w:hAnsiTheme="majorHAnsi"/>
          <w:color w:val="auto"/>
          <w:sz w:val="16"/>
          <w:szCs w:val="16"/>
          <w:lang w:val="es-ES"/>
        </w:rPr>
        <w:t>CIDH. Informe No. 71/18. Caso 12.958. Fondo. Russell Bucklew. Estados Unidos. 10 de mayo de 2018, párr. 83.</w:t>
      </w:r>
    </w:p>
  </w:footnote>
  <w:footnote w:id="48">
    <w:p w14:paraId="5908A61F" w14:textId="77777777" w:rsidR="002718F0" w:rsidRPr="00D755C5" w:rsidRDefault="002718F0" w:rsidP="00D755C5">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sz w:val="16"/>
          <w:szCs w:val="16"/>
          <w:lang w:val="es-ES"/>
        </w:rPr>
      </w:pPr>
      <w:r w:rsidRPr="00D755C5">
        <w:rPr>
          <w:rStyle w:val="FootnoteReference"/>
          <w:rFonts w:asciiTheme="majorHAnsi" w:hAnsiTheme="majorHAnsi"/>
          <w:color w:val="auto"/>
          <w:sz w:val="16"/>
          <w:szCs w:val="16"/>
          <w:lang w:val="es-ES"/>
        </w:rPr>
        <w:footnoteRef/>
      </w:r>
      <w:r w:rsidRPr="00D755C5">
        <w:rPr>
          <w:rStyle w:val="FootnoteReference"/>
          <w:rFonts w:asciiTheme="majorHAnsi" w:hAnsiTheme="majorHAnsi"/>
          <w:color w:val="auto"/>
          <w:sz w:val="16"/>
          <w:szCs w:val="16"/>
          <w:lang w:val="es-ES"/>
        </w:rPr>
        <w:t xml:space="preserve"> </w:t>
      </w:r>
      <w:r w:rsidRPr="00D755C5">
        <w:rPr>
          <w:rFonts w:asciiTheme="majorHAnsi" w:hAnsiTheme="majorHAnsi"/>
          <w:color w:val="auto"/>
          <w:sz w:val="16"/>
          <w:szCs w:val="16"/>
          <w:lang w:val="es-ES"/>
        </w:rPr>
        <w:t>CIDH. Informe No. 24/17. Caso 12.254. Fondo. Víctor Saldaño. Estados Unidos. 18 de marzo de 2017, párr. 246, donde se cita CIDH, Informe No. 58/02. Fondo. Caso 12.275. Denton Aitken. Jamaica. 21 de octubre de 2002, párrs. 133 y 134.</w:t>
      </w:r>
    </w:p>
  </w:footnote>
  <w:footnote w:id="49">
    <w:p w14:paraId="3BD9DC3D" w14:textId="77777777" w:rsidR="002718F0" w:rsidRPr="00D755C5" w:rsidRDefault="002718F0" w:rsidP="00D755C5">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sz w:val="16"/>
          <w:szCs w:val="16"/>
          <w:lang w:val="es-ES"/>
        </w:rPr>
      </w:pPr>
      <w:r w:rsidRPr="00D755C5">
        <w:rPr>
          <w:rStyle w:val="FootnoteReference"/>
          <w:rFonts w:ascii="Cambria" w:hAnsi="Cambria"/>
          <w:color w:val="auto"/>
          <w:sz w:val="16"/>
          <w:szCs w:val="16"/>
          <w:lang w:val="es-ES"/>
        </w:rPr>
        <w:footnoteRef/>
      </w:r>
      <w:r w:rsidRPr="00D755C5">
        <w:rPr>
          <w:rFonts w:ascii="Cambria" w:hAnsi="Cambria"/>
          <w:color w:val="auto"/>
          <w:sz w:val="16"/>
          <w:szCs w:val="16"/>
          <w:lang w:val="es-ES"/>
        </w:rPr>
        <w:t xml:space="preserve"> Asamblea General de las Naciones Unidas. </w:t>
      </w:r>
      <w:hyperlink r:id="rId7" w:history="1">
        <w:r w:rsidRPr="00D755C5">
          <w:rPr>
            <w:rStyle w:val="Hyperlink"/>
            <w:rFonts w:ascii="Cambria" w:hAnsi="Cambria"/>
            <w:i/>
            <w:iCs/>
            <w:sz w:val="16"/>
            <w:szCs w:val="16"/>
          </w:rPr>
          <w:t>Informe provisional del Relator Especial sobre la tortura y otros tratos o penas crueles, inhumanos o degradantes</w:t>
        </w:r>
      </w:hyperlink>
      <w:r w:rsidRPr="00D755C5">
        <w:rPr>
          <w:rFonts w:ascii="Cambria" w:hAnsi="Cambria"/>
          <w:color w:val="auto"/>
          <w:sz w:val="16"/>
          <w:szCs w:val="16"/>
        </w:rPr>
        <w:t xml:space="preserve">. 9 de agosto de 2012. </w:t>
      </w:r>
      <w:r w:rsidRPr="00D755C5">
        <w:rPr>
          <w:rFonts w:ascii="Cambria" w:hAnsi="Cambria"/>
          <w:color w:val="auto"/>
          <w:sz w:val="16"/>
          <w:szCs w:val="16"/>
          <w:lang w:val="es-ES"/>
        </w:rPr>
        <w:t>A/67/279, párr. 48.</w:t>
      </w:r>
    </w:p>
  </w:footnote>
  <w:footnote w:id="50">
    <w:p w14:paraId="2FE2D5FF"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CIDH. </w:t>
      </w:r>
      <w:r w:rsidRPr="00D755C5">
        <w:rPr>
          <w:rFonts w:asciiTheme="majorHAnsi" w:hAnsiTheme="majorHAnsi"/>
          <w:i/>
          <w:sz w:val="16"/>
          <w:szCs w:val="16"/>
          <w:lang w:val="es-ES"/>
        </w:rPr>
        <w:t>Informe sobre los derechos humanos de las personas privadas de libertad en las Américas</w:t>
      </w:r>
      <w:r w:rsidRPr="00D755C5">
        <w:rPr>
          <w:rFonts w:asciiTheme="majorHAnsi" w:hAnsiTheme="majorHAnsi"/>
          <w:sz w:val="16"/>
          <w:szCs w:val="16"/>
          <w:lang w:val="es-ES"/>
        </w:rPr>
        <w:t>. OEA/Ser.L/V/II. Doc. 64, 31 de diciembre de 2011, párr. 519.</w:t>
      </w:r>
    </w:p>
  </w:footnote>
  <w:footnote w:id="51">
    <w:p w14:paraId="2C385634"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CIDH. </w:t>
      </w:r>
      <w:hyperlink r:id="rId8" w:history="1">
        <w:r w:rsidRPr="00D755C5">
          <w:rPr>
            <w:rStyle w:val="Hyperlink"/>
            <w:rFonts w:asciiTheme="majorHAnsi" w:hAnsiTheme="majorHAnsi"/>
            <w:sz w:val="16"/>
            <w:szCs w:val="16"/>
            <w:lang w:val="es-ES"/>
          </w:rPr>
          <w:t>Demanda ante la Corte Interamericana de Derechos Humanos en el caso de Pedro Miguel Vera Vera y otros (Caso 11.535) contra la República de Ecuador</w:t>
        </w:r>
      </w:hyperlink>
      <w:r w:rsidRPr="00D755C5">
        <w:rPr>
          <w:rFonts w:asciiTheme="majorHAnsi" w:hAnsiTheme="majorHAnsi"/>
          <w:sz w:val="16"/>
          <w:szCs w:val="16"/>
          <w:lang w:val="es-ES"/>
        </w:rPr>
        <w:t>. 24 de febrero de 2010, párr. 42.</w:t>
      </w:r>
    </w:p>
  </w:footnote>
  <w:footnote w:id="52">
    <w:p w14:paraId="084FD612"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Corte IDH. Caso Montero Aranguren y otros (Retén de Catia) Vs. Venezuela. Sentencia de 25 de julio de 2006. Serie C No. 150, párr. 126.</w:t>
      </w:r>
    </w:p>
  </w:footnote>
  <w:footnote w:id="53">
    <w:p w14:paraId="79D42775"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sz w:val="16"/>
          <w:szCs w:val="16"/>
        </w:rPr>
        <w:footnoteRef/>
      </w:r>
      <w:r w:rsidRPr="00D755C5">
        <w:rPr>
          <w:sz w:val="16"/>
          <w:szCs w:val="16"/>
          <w:lang w:val="es-US"/>
        </w:rPr>
        <w:t xml:space="preserve"> Ver al respecto, </w:t>
      </w:r>
      <w:r w:rsidRPr="00D755C5">
        <w:rPr>
          <w:rFonts w:asciiTheme="majorHAnsi" w:hAnsiTheme="majorHAnsi"/>
          <w:sz w:val="16"/>
          <w:szCs w:val="16"/>
          <w:lang w:val="es-ES"/>
        </w:rPr>
        <w:t>Administración Federal de Prisiones, Servicios Salud, registro de glucemia, nota administrativa de consulta clínica</w:t>
      </w:r>
      <w:r>
        <w:rPr>
          <w:rFonts w:asciiTheme="majorHAnsi" w:hAnsiTheme="majorHAnsi"/>
          <w:sz w:val="16"/>
          <w:szCs w:val="16"/>
          <w:lang w:val="es-ES"/>
        </w:rPr>
        <w:t xml:space="preserve"> y </w:t>
      </w:r>
      <w:r w:rsidRPr="00D755C5">
        <w:rPr>
          <w:rFonts w:asciiTheme="majorHAnsi" w:hAnsiTheme="majorHAnsi"/>
          <w:sz w:val="16"/>
          <w:szCs w:val="16"/>
          <w:lang w:val="es-ES"/>
        </w:rPr>
        <w:t>evaluación de la educación del paciente y tema.</w:t>
      </w:r>
    </w:p>
  </w:footnote>
  <w:footnote w:id="54">
    <w:p w14:paraId="5AFAB92D" w14:textId="77777777" w:rsidR="002718F0" w:rsidRPr="00D755C5" w:rsidRDefault="002718F0" w:rsidP="00D755C5">
      <w:pPr>
        <w:pStyle w:val="FootnoteText"/>
        <w:shd w:val="clear" w:color="auto" w:fill="FFFFFF" w:themeFill="background1"/>
        <w:jc w:val="both"/>
        <w:rPr>
          <w:rFonts w:asciiTheme="majorHAnsi" w:hAnsiTheme="majorHAnsi"/>
          <w:sz w:val="16"/>
          <w:szCs w:val="16"/>
          <w:lang w:val="es-ES"/>
        </w:rPr>
      </w:pPr>
      <w:r w:rsidRPr="00D755C5">
        <w:rPr>
          <w:rStyle w:val="FootnoteReference"/>
          <w:rFonts w:asciiTheme="majorHAnsi" w:hAnsiTheme="majorHAnsi"/>
          <w:sz w:val="16"/>
          <w:szCs w:val="16"/>
          <w:lang w:val="es-ES"/>
        </w:rPr>
        <w:footnoteRef/>
      </w:r>
      <w:r w:rsidRPr="00D755C5">
        <w:rPr>
          <w:rFonts w:asciiTheme="majorHAnsi" w:hAnsiTheme="majorHAnsi"/>
          <w:sz w:val="16"/>
          <w:szCs w:val="16"/>
          <w:lang w:val="es-ES"/>
        </w:rPr>
        <w:t xml:space="preserve"> CIDH. </w:t>
      </w:r>
      <w:r w:rsidRPr="00D755C5">
        <w:rPr>
          <w:rFonts w:asciiTheme="majorHAnsi" w:hAnsiTheme="majorHAnsi"/>
          <w:i/>
          <w:sz w:val="16"/>
          <w:szCs w:val="16"/>
          <w:lang w:val="es-ES"/>
        </w:rPr>
        <w:t>Hacia el cierre de Guantánamo</w:t>
      </w:r>
      <w:r w:rsidRPr="00D755C5">
        <w:rPr>
          <w:rFonts w:asciiTheme="majorHAnsi" w:hAnsiTheme="majorHAnsi"/>
          <w:sz w:val="16"/>
          <w:szCs w:val="16"/>
          <w:lang w:val="es-ES"/>
        </w:rPr>
        <w:t>. OAS/Ser.L/V/II. Doc.20/15, 3 de junio de 2015, párr. 146.</w:t>
      </w:r>
    </w:p>
  </w:footnote>
  <w:footnote w:id="55">
    <w:p w14:paraId="5F9ECEFC" w14:textId="77777777" w:rsidR="002718F0" w:rsidRPr="00D755C5" w:rsidRDefault="002718F0" w:rsidP="00D755C5">
      <w:pPr>
        <w:pStyle w:val="FootnoteText"/>
        <w:shd w:val="clear" w:color="auto" w:fill="FFFFFF" w:themeFill="background1"/>
        <w:jc w:val="both"/>
        <w:rPr>
          <w:sz w:val="16"/>
          <w:szCs w:val="16"/>
          <w:lang w:val="es-ES"/>
        </w:rPr>
      </w:pPr>
      <w:r w:rsidRPr="00D755C5">
        <w:rPr>
          <w:rStyle w:val="FootnoteReference"/>
          <w:rFonts w:asciiTheme="majorHAnsi" w:hAnsiTheme="majorHAnsi"/>
          <w:sz w:val="16"/>
          <w:szCs w:val="16"/>
          <w:lang w:val="es-ES"/>
        </w:rPr>
        <w:footnoteRef/>
      </w:r>
      <w:r w:rsidRPr="00D755C5">
        <w:rPr>
          <w:sz w:val="16"/>
          <w:szCs w:val="16"/>
          <w:lang w:val="es-ES"/>
        </w:rPr>
        <w:t xml:space="preserve"> </w:t>
      </w:r>
      <w:r w:rsidRPr="00D755C5">
        <w:rPr>
          <w:rFonts w:asciiTheme="majorHAnsi" w:hAnsiTheme="majorHAnsi"/>
          <w:sz w:val="16"/>
          <w:szCs w:val="16"/>
          <w:lang w:val="es-ES"/>
        </w:rPr>
        <w:t xml:space="preserve">CIDH. </w:t>
      </w:r>
      <w:r w:rsidRPr="00D755C5">
        <w:rPr>
          <w:rFonts w:asciiTheme="majorHAnsi" w:hAnsiTheme="majorHAnsi"/>
          <w:i/>
          <w:sz w:val="16"/>
          <w:szCs w:val="16"/>
          <w:lang w:val="es-ES"/>
        </w:rPr>
        <w:t>Hacia el cierre de Guantánamo</w:t>
      </w:r>
      <w:r w:rsidRPr="00D755C5">
        <w:rPr>
          <w:rFonts w:asciiTheme="majorHAnsi" w:hAnsiTheme="majorHAnsi"/>
          <w:sz w:val="16"/>
          <w:szCs w:val="16"/>
          <w:lang w:val="es-ES"/>
        </w:rPr>
        <w:t>, párr. 148.</w:t>
      </w:r>
    </w:p>
  </w:footnote>
  <w:footnote w:id="56">
    <w:p w14:paraId="6A777901" w14:textId="77777777" w:rsidR="002718F0" w:rsidRPr="00D755C5" w:rsidRDefault="002718F0" w:rsidP="00D755C5">
      <w:pPr>
        <w:pStyle w:val="FootnoteText"/>
        <w:jc w:val="both"/>
        <w:rPr>
          <w:rFonts w:asciiTheme="majorHAnsi" w:hAnsiTheme="majorHAnsi"/>
          <w:sz w:val="16"/>
          <w:szCs w:val="16"/>
          <w:lang w:val="es-ES"/>
        </w:rPr>
      </w:pPr>
      <w:r w:rsidRPr="00D755C5">
        <w:rPr>
          <w:rStyle w:val="FootnoteReference"/>
          <w:rFonts w:asciiTheme="majorHAnsi" w:hAnsiTheme="majorHAnsi"/>
          <w:color w:val="auto"/>
          <w:sz w:val="16"/>
          <w:szCs w:val="16"/>
          <w:lang w:val="es-ES"/>
        </w:rPr>
        <w:footnoteRef/>
      </w:r>
      <w:r w:rsidRPr="00D755C5">
        <w:rPr>
          <w:rStyle w:val="FootnoteReference"/>
          <w:rFonts w:asciiTheme="majorHAnsi" w:hAnsiTheme="majorHAnsi"/>
          <w:color w:val="auto"/>
          <w:sz w:val="16"/>
          <w:szCs w:val="16"/>
          <w:lang w:val="es-ES"/>
        </w:rPr>
        <w:t xml:space="preserve"> </w:t>
      </w:r>
      <w:r w:rsidRPr="00D755C5">
        <w:rPr>
          <w:rFonts w:asciiTheme="majorHAnsi" w:hAnsiTheme="majorHAnsi"/>
          <w:color w:val="auto"/>
          <w:sz w:val="16"/>
          <w:szCs w:val="16"/>
          <w:lang w:val="es-ES"/>
        </w:rPr>
        <w:t>El artículo I de la Declaración Americana dice: “Todo ser humano tiene derecho a la vida, a la libertad y a la seguridad de su persona”.</w:t>
      </w:r>
    </w:p>
  </w:footnote>
  <w:footnote w:id="57">
    <w:p w14:paraId="046A04F1" w14:textId="77777777" w:rsidR="002718F0" w:rsidRPr="00D755C5" w:rsidRDefault="002718F0" w:rsidP="00D755C5">
      <w:pPr>
        <w:pStyle w:val="FootnoteText"/>
        <w:jc w:val="both"/>
        <w:rPr>
          <w:rFonts w:asciiTheme="majorHAnsi" w:hAnsiTheme="majorHAnsi"/>
          <w:color w:val="auto"/>
          <w:sz w:val="16"/>
          <w:szCs w:val="16"/>
          <w:lang w:val="es-ES"/>
        </w:rPr>
      </w:pPr>
      <w:r w:rsidRPr="00D755C5">
        <w:rPr>
          <w:rStyle w:val="FootnoteReference"/>
          <w:rFonts w:asciiTheme="majorHAnsi" w:hAnsiTheme="majorHAnsi"/>
          <w:color w:val="auto"/>
          <w:sz w:val="16"/>
          <w:szCs w:val="16"/>
          <w:lang w:val="es-ES"/>
        </w:rPr>
        <w:footnoteRef/>
      </w:r>
      <w:r w:rsidRPr="00D755C5">
        <w:rPr>
          <w:rFonts w:asciiTheme="majorHAnsi" w:hAnsiTheme="majorHAnsi"/>
          <w:color w:val="auto"/>
          <w:sz w:val="16"/>
          <w:szCs w:val="16"/>
          <w:lang w:val="es-ES"/>
        </w:rPr>
        <w:t xml:space="preserve"> CIDH. Informe No. 53/13. Caso 12.864. Fondo (Publicación). Ivan Teleguz. Estados Unidos. 15 de julio de 2013, párr. 129.</w:t>
      </w:r>
    </w:p>
  </w:footnote>
  <w:footnote w:id="58">
    <w:p w14:paraId="724C4267" w14:textId="77777777" w:rsidR="002718F0" w:rsidRPr="00D755C5" w:rsidRDefault="002718F0" w:rsidP="00D755C5">
      <w:pPr>
        <w:pStyle w:val="FootnoteText"/>
        <w:jc w:val="both"/>
        <w:rPr>
          <w:rFonts w:asciiTheme="majorHAnsi" w:hAnsiTheme="majorHAnsi"/>
          <w:color w:val="auto"/>
          <w:sz w:val="16"/>
          <w:szCs w:val="16"/>
          <w:lang w:val="es-ES"/>
        </w:rPr>
      </w:pPr>
      <w:r w:rsidRPr="00D755C5">
        <w:rPr>
          <w:rStyle w:val="FootnoteReference"/>
          <w:rFonts w:asciiTheme="majorHAnsi" w:hAnsiTheme="majorHAnsi"/>
          <w:color w:val="auto"/>
          <w:sz w:val="16"/>
          <w:szCs w:val="16"/>
          <w:lang w:val="es-ES"/>
        </w:rPr>
        <w:footnoteRef/>
      </w:r>
      <w:r w:rsidRPr="00D755C5">
        <w:rPr>
          <w:rFonts w:asciiTheme="majorHAnsi" w:hAnsiTheme="majorHAnsi"/>
          <w:color w:val="auto"/>
          <w:sz w:val="16"/>
          <w:szCs w:val="16"/>
          <w:lang w:val="es-ES"/>
        </w:rPr>
        <w:t xml:space="preserve"> CIDH. Informe No. 11/15. Caso 12.833. Fondo (Publicación). Félix Rocha Díaz. Estados Unidos, 23 de marzo de 2015, párr. 106.</w:t>
      </w:r>
    </w:p>
  </w:footnote>
  <w:footnote w:id="59">
    <w:p w14:paraId="729C53BD" w14:textId="77777777" w:rsidR="002718F0" w:rsidRPr="00DD5204" w:rsidRDefault="002718F0" w:rsidP="0031320A">
      <w:pPr>
        <w:pStyle w:val="FootnoteText"/>
        <w:jc w:val="both"/>
        <w:rPr>
          <w:rFonts w:asciiTheme="majorHAnsi" w:hAnsiTheme="majorHAnsi"/>
          <w:color w:val="auto"/>
          <w:sz w:val="16"/>
          <w:szCs w:val="16"/>
          <w:bdr w:val="none" w:sz="0" w:space="0" w:color="auto"/>
          <w:lang w:val="es-ES"/>
        </w:rPr>
      </w:pPr>
      <w:r w:rsidRPr="00DD5204">
        <w:rPr>
          <w:rStyle w:val="FootnoteReference"/>
          <w:rFonts w:asciiTheme="majorHAnsi" w:hAnsiTheme="majorHAnsi"/>
          <w:color w:val="auto"/>
          <w:sz w:val="16"/>
          <w:szCs w:val="16"/>
          <w:lang w:val="es-ES"/>
        </w:rPr>
        <w:footnoteRef/>
      </w:r>
      <w:r w:rsidRPr="00DD5204">
        <w:rPr>
          <w:rFonts w:asciiTheme="majorHAnsi" w:hAnsiTheme="majorHAnsi"/>
          <w:color w:val="auto"/>
          <w:sz w:val="16"/>
          <w:szCs w:val="16"/>
          <w:lang w:val="es-ES"/>
        </w:rPr>
        <w:t xml:space="preserve"> </w:t>
      </w:r>
      <w:r w:rsidRPr="00D839D6">
        <w:rPr>
          <w:rFonts w:asciiTheme="majorHAnsi" w:hAnsiTheme="majorHAnsi"/>
          <w:color w:val="auto"/>
          <w:sz w:val="16"/>
          <w:szCs w:val="16"/>
          <w:lang w:val="es-ES"/>
        </w:rPr>
        <w:t xml:space="preserve">Véase, en ese sentido, CIDH, </w:t>
      </w:r>
      <w:r w:rsidRPr="00D839D6">
        <w:rPr>
          <w:rFonts w:asciiTheme="majorHAnsi" w:hAnsiTheme="majorHAnsi"/>
          <w:i/>
          <w:color w:val="auto"/>
          <w:sz w:val="16"/>
          <w:szCs w:val="16"/>
          <w:lang w:val="es-ES"/>
        </w:rPr>
        <w:t>La pena de muerte en el Sistema Interamericano de Derechos Humanos: de restricciones a abolición</w:t>
      </w:r>
      <w:r w:rsidRPr="00D839D6">
        <w:rPr>
          <w:rFonts w:asciiTheme="majorHAnsi" w:hAnsiTheme="majorHAnsi"/>
          <w:color w:val="auto"/>
          <w:sz w:val="16"/>
          <w:szCs w:val="16"/>
          <w:lang w:val="es-ES"/>
        </w:rPr>
        <w:t>, OEA/Ser.L/V/II.Doc. 68, 31 de diciembre de 2011</w:t>
      </w:r>
      <w:r w:rsidRPr="00DD5204">
        <w:rPr>
          <w:rFonts w:asciiTheme="majorHAnsi" w:hAnsiTheme="majorHAnsi"/>
          <w:color w:val="auto"/>
          <w:sz w:val="16"/>
          <w:szCs w:val="16"/>
          <w:lang w:val="es-ES"/>
        </w:rPr>
        <w:t>.</w:t>
      </w:r>
    </w:p>
  </w:footnote>
  <w:footnote w:id="60">
    <w:p w14:paraId="72457045" w14:textId="77777777" w:rsidR="002718F0" w:rsidRPr="00D755C5" w:rsidRDefault="002718F0" w:rsidP="00D755C5">
      <w:pPr>
        <w:pStyle w:val="FootnoteText"/>
        <w:jc w:val="both"/>
        <w:rPr>
          <w:rFonts w:asciiTheme="majorHAnsi" w:hAnsiTheme="majorHAnsi"/>
          <w:color w:val="auto"/>
          <w:sz w:val="16"/>
          <w:szCs w:val="16"/>
          <w:bdr w:val="none" w:sz="0" w:space="0" w:color="auto"/>
          <w:lang w:val="es-ES"/>
        </w:rPr>
      </w:pPr>
      <w:r w:rsidRPr="00D755C5">
        <w:rPr>
          <w:rStyle w:val="FootnoteReference"/>
          <w:rFonts w:asciiTheme="majorHAnsi" w:hAnsiTheme="majorHAnsi"/>
          <w:color w:val="auto"/>
          <w:sz w:val="16"/>
          <w:szCs w:val="16"/>
          <w:lang w:val="es-ES"/>
        </w:rPr>
        <w:footnoteRef/>
      </w:r>
      <w:r w:rsidRPr="00D755C5">
        <w:rPr>
          <w:rFonts w:asciiTheme="majorHAnsi" w:hAnsiTheme="majorHAnsi"/>
          <w:color w:val="auto"/>
          <w:sz w:val="16"/>
          <w:szCs w:val="16"/>
          <w:lang w:val="es-ES"/>
        </w:rPr>
        <w:t xml:space="preserve"> Véase, en ese sentido, CIDH, </w:t>
      </w:r>
      <w:r w:rsidRPr="00D755C5">
        <w:rPr>
          <w:rFonts w:asciiTheme="majorHAnsi" w:hAnsiTheme="majorHAnsi"/>
          <w:i/>
          <w:color w:val="auto"/>
          <w:sz w:val="16"/>
          <w:szCs w:val="16"/>
          <w:lang w:val="es-ES"/>
        </w:rPr>
        <w:t>La pena de muerte en el Sistema Interamericano de Derechos Humanos: de restricciones a abolición</w:t>
      </w:r>
      <w:r w:rsidRPr="00D755C5">
        <w:rPr>
          <w:rFonts w:asciiTheme="majorHAnsi" w:hAnsiTheme="majorHAnsi"/>
          <w:color w:val="auto"/>
          <w:sz w:val="16"/>
          <w:szCs w:val="16"/>
          <w:lang w:val="es-ES"/>
        </w:rPr>
        <w:t>, OEA/Ser.L/V/II.Doc. 68, 31 de diciembre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9EE3" w14:textId="77777777" w:rsidR="002718F0" w:rsidRDefault="002718F0" w:rsidP="00262E8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5C6400" w14:textId="77777777" w:rsidR="002718F0" w:rsidRDefault="0027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7B9C" w14:textId="77777777" w:rsidR="002718F0" w:rsidRDefault="002718F0" w:rsidP="00A50FCF">
    <w:pPr>
      <w:pStyle w:val="Header"/>
      <w:tabs>
        <w:tab w:val="clear" w:pos="4320"/>
        <w:tab w:val="clear" w:pos="8640"/>
      </w:tabs>
      <w:jc w:val="center"/>
      <w:rPr>
        <w:sz w:val="22"/>
        <w:szCs w:val="22"/>
      </w:rPr>
    </w:pPr>
    <w:r>
      <w:rPr>
        <w:noProof/>
        <w:sz w:val="22"/>
        <w:szCs w:val="22"/>
      </w:rPr>
      <w:drawing>
        <wp:inline distT="0" distB="0" distL="0" distR="0" wp14:anchorId="754748B6" wp14:editId="4ABD719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446DAAC" w14:textId="77777777" w:rsidR="002718F0" w:rsidRPr="00EC7D62" w:rsidRDefault="008A1547" w:rsidP="00A50FCF">
    <w:pPr>
      <w:pStyle w:val="Header"/>
      <w:tabs>
        <w:tab w:val="clear" w:pos="4320"/>
        <w:tab w:val="clear" w:pos="8640"/>
      </w:tabs>
      <w:jc w:val="center"/>
      <w:rPr>
        <w:sz w:val="22"/>
        <w:szCs w:val="22"/>
      </w:rPr>
    </w:pPr>
    <w:r>
      <w:rPr>
        <w:noProof/>
        <w:sz w:val="22"/>
        <w:szCs w:val="22"/>
        <w:bdr w:val="nil"/>
      </w:rPr>
      <w:pict w14:anchorId="6777714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3BD"/>
    <w:multiLevelType w:val="hybridMultilevel"/>
    <w:tmpl w:val="0F56DD9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4A2B98"/>
    <w:multiLevelType w:val="hybridMultilevel"/>
    <w:tmpl w:val="5EA6A17C"/>
    <w:lvl w:ilvl="0" w:tplc="B67A0BEE">
      <w:start w:val="1"/>
      <w:numFmt w:val="upperLetter"/>
      <w:lvlText w:val="%1."/>
      <w:lvlJc w:val="left"/>
      <w:pPr>
        <w:ind w:left="720" w:hanging="360"/>
      </w:pPr>
      <w:rPr>
        <w:rFonts w:cs="Times New Roman" w:hint="default"/>
        <w:vanish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681F10"/>
    <w:multiLevelType w:val="hybridMultilevel"/>
    <w:tmpl w:val="F2E24B34"/>
    <w:lvl w:ilvl="0" w:tplc="57FCD128">
      <w:start w:val="1"/>
      <w:numFmt w:val="decimal"/>
      <w:lvlText w:val="%1."/>
      <w:lvlJc w:val="left"/>
      <w:pPr>
        <w:ind w:left="1425" w:hanging="705"/>
      </w:pPr>
      <w:rPr>
        <w:rFonts w:cs="Times New Roman" w:hint="default"/>
        <w:vanish w:val="0"/>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D4B9D"/>
    <w:multiLevelType w:val="hybridMultilevel"/>
    <w:tmpl w:val="9D1014EE"/>
    <w:lvl w:ilvl="0" w:tplc="3B823F14">
      <w:start w:val="1"/>
      <w:numFmt w:val="decimal"/>
      <w:lvlText w:val="%1."/>
      <w:lvlJc w:val="left"/>
      <w:pPr>
        <w:ind w:left="720" w:hanging="360"/>
      </w:pPr>
      <w:rPr>
        <w:rFonts w:ascii="Cambria" w:hAnsi="Cambria" w:cs="Times New Roman" w:hint="default"/>
        <w:b w:val="0"/>
        <w:i w:val="0"/>
        <w:vanish w:val="0"/>
        <w:color w:val="auto"/>
        <w:sz w:val="20"/>
        <w:szCs w:val="20"/>
      </w:rPr>
    </w:lvl>
    <w:lvl w:ilvl="1" w:tplc="4652457E">
      <w:start w:val="1"/>
      <w:numFmt w:val="lowerLetter"/>
      <w:lvlText w:val="%2."/>
      <w:lvlJc w:val="left"/>
      <w:pPr>
        <w:ind w:left="1440" w:hanging="360"/>
      </w:pPr>
      <w:rPr>
        <w:rFonts w:cs="Times New Roman"/>
        <w:vanish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7CC5ADF"/>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5C861304"/>
    <w:lvl w:ilvl="0" w:tplc="69020C3E">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CF00C61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0B5D47"/>
    <w:multiLevelType w:val="hybridMultilevel"/>
    <w:tmpl w:val="9404D1E2"/>
    <w:lvl w:ilvl="0" w:tplc="CD2A5A04">
      <w:start w:val="3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45554A"/>
    <w:multiLevelType w:val="hybridMultilevel"/>
    <w:tmpl w:val="C8B09ACE"/>
    <w:lvl w:ilvl="0" w:tplc="7C9CDC1A">
      <w:start w:val="1"/>
      <w:numFmt w:val="upperLetter"/>
      <w:lvlText w:val="%1."/>
      <w:lvlJc w:val="left"/>
      <w:pPr>
        <w:ind w:left="720" w:hanging="360"/>
      </w:pPr>
      <w:rPr>
        <w:rFonts w:cs="Times New Roman" w:hint="default"/>
        <w:vanish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B6D641E"/>
    <w:multiLevelType w:val="hybridMultilevel"/>
    <w:tmpl w:val="02E4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54188178">
    <w:abstractNumId w:val="4"/>
  </w:num>
  <w:num w:numId="2" w16cid:durableId="24798135">
    <w:abstractNumId w:val="5"/>
  </w:num>
  <w:num w:numId="3" w16cid:durableId="323748967">
    <w:abstractNumId w:val="57"/>
  </w:num>
  <w:num w:numId="4" w16cid:durableId="1041906321">
    <w:abstractNumId w:val="20"/>
  </w:num>
  <w:num w:numId="5" w16cid:durableId="539633970">
    <w:abstractNumId w:val="47"/>
  </w:num>
  <w:num w:numId="6" w16cid:durableId="1170176602">
    <w:abstractNumId w:val="25"/>
  </w:num>
  <w:num w:numId="7" w16cid:durableId="1974749804">
    <w:abstractNumId w:val="6"/>
  </w:num>
  <w:num w:numId="8" w16cid:durableId="1886674098">
    <w:abstractNumId w:val="16"/>
  </w:num>
  <w:num w:numId="9" w16cid:durableId="1975869037">
    <w:abstractNumId w:val="41"/>
  </w:num>
  <w:num w:numId="10" w16cid:durableId="1485779164">
    <w:abstractNumId w:val="1"/>
  </w:num>
  <w:num w:numId="11" w16cid:durableId="1996641331">
    <w:abstractNumId w:val="34"/>
  </w:num>
  <w:num w:numId="12" w16cid:durableId="270433667">
    <w:abstractNumId w:val="35"/>
  </w:num>
  <w:num w:numId="13" w16cid:durableId="1318415655">
    <w:abstractNumId w:val="43"/>
  </w:num>
  <w:num w:numId="14" w16cid:durableId="46103550">
    <w:abstractNumId w:val="2"/>
  </w:num>
  <w:num w:numId="15" w16cid:durableId="1063795474">
    <w:abstractNumId w:val="3"/>
  </w:num>
  <w:num w:numId="16" w16cid:durableId="202865167">
    <w:abstractNumId w:val="7"/>
  </w:num>
  <w:num w:numId="17" w16cid:durableId="771434031">
    <w:abstractNumId w:val="8"/>
  </w:num>
  <w:num w:numId="18" w16cid:durableId="927349006">
    <w:abstractNumId w:val="9"/>
  </w:num>
  <w:num w:numId="19" w16cid:durableId="1990744805">
    <w:abstractNumId w:val="10"/>
  </w:num>
  <w:num w:numId="20" w16cid:durableId="1144927945">
    <w:abstractNumId w:val="11"/>
  </w:num>
  <w:num w:numId="21" w16cid:durableId="1857890409">
    <w:abstractNumId w:val="12"/>
  </w:num>
  <w:num w:numId="22" w16cid:durableId="426385983">
    <w:abstractNumId w:val="13"/>
  </w:num>
  <w:num w:numId="23" w16cid:durableId="1457332919">
    <w:abstractNumId w:val="14"/>
  </w:num>
  <w:num w:numId="24" w16cid:durableId="809202300">
    <w:abstractNumId w:val="15"/>
  </w:num>
  <w:num w:numId="25" w16cid:durableId="1218399814">
    <w:abstractNumId w:val="17"/>
  </w:num>
  <w:num w:numId="26" w16cid:durableId="953251118">
    <w:abstractNumId w:val="18"/>
  </w:num>
  <w:num w:numId="27" w16cid:durableId="1453014852">
    <w:abstractNumId w:val="21"/>
  </w:num>
  <w:num w:numId="28" w16cid:durableId="1919048822">
    <w:abstractNumId w:val="22"/>
  </w:num>
  <w:num w:numId="29" w16cid:durableId="1840120355">
    <w:abstractNumId w:val="23"/>
  </w:num>
  <w:num w:numId="30" w16cid:durableId="1218128723">
    <w:abstractNumId w:val="24"/>
  </w:num>
  <w:num w:numId="31" w16cid:durableId="398943986">
    <w:abstractNumId w:val="26"/>
  </w:num>
  <w:num w:numId="32" w16cid:durableId="813067324">
    <w:abstractNumId w:val="27"/>
  </w:num>
  <w:num w:numId="33" w16cid:durableId="1661890227">
    <w:abstractNumId w:val="28"/>
  </w:num>
  <w:num w:numId="34" w16cid:durableId="1918779191">
    <w:abstractNumId w:val="29"/>
  </w:num>
  <w:num w:numId="35" w16cid:durableId="430512307">
    <w:abstractNumId w:val="30"/>
  </w:num>
  <w:num w:numId="36" w16cid:durableId="1880967442">
    <w:abstractNumId w:val="31"/>
  </w:num>
  <w:num w:numId="37" w16cid:durableId="694306712">
    <w:abstractNumId w:val="32"/>
  </w:num>
  <w:num w:numId="38" w16cid:durableId="187793362">
    <w:abstractNumId w:val="33"/>
  </w:num>
  <w:num w:numId="39" w16cid:durableId="1174303040">
    <w:abstractNumId w:val="36"/>
  </w:num>
  <w:num w:numId="40" w16cid:durableId="1469587780">
    <w:abstractNumId w:val="37"/>
  </w:num>
  <w:num w:numId="41" w16cid:durableId="4750420">
    <w:abstractNumId w:val="46"/>
  </w:num>
  <w:num w:numId="42" w16cid:durableId="194736652">
    <w:abstractNumId w:val="49"/>
  </w:num>
  <w:num w:numId="43" w16cid:durableId="1213809293">
    <w:abstractNumId w:val="50"/>
  </w:num>
  <w:num w:numId="44" w16cid:durableId="1606646776">
    <w:abstractNumId w:val="54"/>
  </w:num>
  <w:num w:numId="45" w16cid:durableId="1651788511">
    <w:abstractNumId w:val="56"/>
  </w:num>
  <w:num w:numId="46" w16cid:durableId="735592443">
    <w:abstractNumId w:val="58"/>
  </w:num>
  <w:num w:numId="47" w16cid:durableId="2009092903">
    <w:abstractNumId w:val="60"/>
  </w:num>
  <w:num w:numId="48" w16cid:durableId="432557786">
    <w:abstractNumId w:val="61"/>
  </w:num>
  <w:num w:numId="49" w16cid:durableId="157423854">
    <w:abstractNumId w:val="62"/>
  </w:num>
  <w:num w:numId="50" w16cid:durableId="1631740473">
    <w:abstractNumId w:val="63"/>
  </w:num>
  <w:num w:numId="51" w16cid:durableId="1968193559">
    <w:abstractNumId w:val="19"/>
  </w:num>
  <w:num w:numId="52" w16cid:durableId="704253853">
    <w:abstractNumId w:val="38"/>
  </w:num>
  <w:num w:numId="53" w16cid:durableId="257561772">
    <w:abstractNumId w:val="51"/>
  </w:num>
  <w:num w:numId="54" w16cid:durableId="974607495">
    <w:abstractNumId w:val="44"/>
  </w:num>
  <w:num w:numId="55" w16cid:durableId="20474091">
    <w:abstractNumId w:val="45"/>
  </w:num>
  <w:num w:numId="56" w16cid:durableId="1050880144">
    <w:abstractNumId w:val="48"/>
  </w:num>
  <w:num w:numId="57" w16cid:durableId="2144618080">
    <w:abstractNumId w:val="40"/>
  </w:num>
  <w:num w:numId="58" w16cid:durableId="110127393">
    <w:abstractNumId w:val="55"/>
  </w:num>
  <w:num w:numId="59" w16cid:durableId="1771119699">
    <w:abstractNumId w:val="53"/>
    <w:lvlOverride w:ilvl="0">
      <w:startOverride w:val="1"/>
    </w:lvlOverride>
  </w:num>
  <w:num w:numId="60" w16cid:durableId="968048200">
    <w:abstractNumId w:val="53"/>
  </w:num>
  <w:num w:numId="61" w16cid:durableId="518663957">
    <w:abstractNumId w:val="39"/>
  </w:num>
  <w:num w:numId="62" w16cid:durableId="2423730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4287445">
    <w:abstractNumId w:val="59"/>
  </w:num>
  <w:num w:numId="64" w16cid:durableId="545416219">
    <w:abstractNumId w:val="52"/>
  </w:num>
  <w:num w:numId="65" w16cid:durableId="520750599">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6D07"/>
    <w:rsid w:val="0001772D"/>
    <w:rsid w:val="0001788C"/>
    <w:rsid w:val="00033F69"/>
    <w:rsid w:val="00040C3A"/>
    <w:rsid w:val="000716C5"/>
    <w:rsid w:val="00075E23"/>
    <w:rsid w:val="0009344A"/>
    <w:rsid w:val="000A392E"/>
    <w:rsid w:val="000A575F"/>
    <w:rsid w:val="000A58E5"/>
    <w:rsid w:val="000D10DB"/>
    <w:rsid w:val="000E5EB5"/>
    <w:rsid w:val="000F35ED"/>
    <w:rsid w:val="00107131"/>
    <w:rsid w:val="0010736F"/>
    <w:rsid w:val="00113F73"/>
    <w:rsid w:val="00121CC2"/>
    <w:rsid w:val="00133EE5"/>
    <w:rsid w:val="00167A34"/>
    <w:rsid w:val="001A7870"/>
    <w:rsid w:val="001C1B41"/>
    <w:rsid w:val="001D65EF"/>
    <w:rsid w:val="0021742B"/>
    <w:rsid w:val="002250A3"/>
    <w:rsid w:val="00235217"/>
    <w:rsid w:val="00246D1F"/>
    <w:rsid w:val="00247403"/>
    <w:rsid w:val="00247542"/>
    <w:rsid w:val="00262E8F"/>
    <w:rsid w:val="00266B61"/>
    <w:rsid w:val="0026712A"/>
    <w:rsid w:val="002704DB"/>
    <w:rsid w:val="002718F0"/>
    <w:rsid w:val="002A0AAE"/>
    <w:rsid w:val="002A264B"/>
    <w:rsid w:val="002A5820"/>
    <w:rsid w:val="002D2B26"/>
    <w:rsid w:val="002D7EA2"/>
    <w:rsid w:val="002E187C"/>
    <w:rsid w:val="00302733"/>
    <w:rsid w:val="0031320A"/>
    <w:rsid w:val="00314078"/>
    <w:rsid w:val="0031535D"/>
    <w:rsid w:val="0033169F"/>
    <w:rsid w:val="00333E3E"/>
    <w:rsid w:val="00346C95"/>
    <w:rsid w:val="00347AE8"/>
    <w:rsid w:val="00356185"/>
    <w:rsid w:val="00360380"/>
    <w:rsid w:val="00364384"/>
    <w:rsid w:val="0037519E"/>
    <w:rsid w:val="00386CF0"/>
    <w:rsid w:val="003C15C1"/>
    <w:rsid w:val="003C676B"/>
    <w:rsid w:val="003D3BC2"/>
    <w:rsid w:val="003E6CA1"/>
    <w:rsid w:val="004165C2"/>
    <w:rsid w:val="004209C6"/>
    <w:rsid w:val="00436A00"/>
    <w:rsid w:val="00441ECB"/>
    <w:rsid w:val="0046514D"/>
    <w:rsid w:val="00465170"/>
    <w:rsid w:val="00467B7E"/>
    <w:rsid w:val="00473D0D"/>
    <w:rsid w:val="00476711"/>
    <w:rsid w:val="00477592"/>
    <w:rsid w:val="00486F1C"/>
    <w:rsid w:val="0049419D"/>
    <w:rsid w:val="004C20D2"/>
    <w:rsid w:val="004C4B62"/>
    <w:rsid w:val="004C54C9"/>
    <w:rsid w:val="004D6025"/>
    <w:rsid w:val="004E2649"/>
    <w:rsid w:val="00501399"/>
    <w:rsid w:val="0050633D"/>
    <w:rsid w:val="00507BC4"/>
    <w:rsid w:val="005128E4"/>
    <w:rsid w:val="005133DB"/>
    <w:rsid w:val="00516657"/>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1354F"/>
    <w:rsid w:val="00620E35"/>
    <w:rsid w:val="00627C9F"/>
    <w:rsid w:val="006311E9"/>
    <w:rsid w:val="00632354"/>
    <w:rsid w:val="006427A8"/>
    <w:rsid w:val="00642810"/>
    <w:rsid w:val="00652333"/>
    <w:rsid w:val="00666E14"/>
    <w:rsid w:val="0068009E"/>
    <w:rsid w:val="00692219"/>
    <w:rsid w:val="006A17D2"/>
    <w:rsid w:val="006A73E6"/>
    <w:rsid w:val="006B2D5C"/>
    <w:rsid w:val="006B6A49"/>
    <w:rsid w:val="006C4EB1"/>
    <w:rsid w:val="006E0166"/>
    <w:rsid w:val="006E7B34"/>
    <w:rsid w:val="00702483"/>
    <w:rsid w:val="0070697F"/>
    <w:rsid w:val="0072199C"/>
    <w:rsid w:val="00722C9F"/>
    <w:rsid w:val="007253B8"/>
    <w:rsid w:val="0073741F"/>
    <w:rsid w:val="00742C05"/>
    <w:rsid w:val="0076643F"/>
    <w:rsid w:val="00777F63"/>
    <w:rsid w:val="007A5817"/>
    <w:rsid w:val="007B3D58"/>
    <w:rsid w:val="007B60E9"/>
    <w:rsid w:val="007B6CC3"/>
    <w:rsid w:val="007C3334"/>
    <w:rsid w:val="007D2B98"/>
    <w:rsid w:val="007D3E53"/>
    <w:rsid w:val="007E21BC"/>
    <w:rsid w:val="007E283D"/>
    <w:rsid w:val="007E78B1"/>
    <w:rsid w:val="00803A3C"/>
    <w:rsid w:val="00803F1C"/>
    <w:rsid w:val="0080600E"/>
    <w:rsid w:val="00817612"/>
    <w:rsid w:val="008338A4"/>
    <w:rsid w:val="00837C45"/>
    <w:rsid w:val="00844730"/>
    <w:rsid w:val="008457C2"/>
    <w:rsid w:val="00845F1B"/>
    <w:rsid w:val="00847F21"/>
    <w:rsid w:val="00853317"/>
    <w:rsid w:val="00856EC7"/>
    <w:rsid w:val="00857A82"/>
    <w:rsid w:val="00873836"/>
    <w:rsid w:val="008803FA"/>
    <w:rsid w:val="008838C2"/>
    <w:rsid w:val="00885737"/>
    <w:rsid w:val="00890650"/>
    <w:rsid w:val="00897E12"/>
    <w:rsid w:val="008A1547"/>
    <w:rsid w:val="008A7E0F"/>
    <w:rsid w:val="008B12F5"/>
    <w:rsid w:val="008D768D"/>
    <w:rsid w:val="008E3759"/>
    <w:rsid w:val="008F1912"/>
    <w:rsid w:val="0090270B"/>
    <w:rsid w:val="009041DC"/>
    <w:rsid w:val="00917B5A"/>
    <w:rsid w:val="00920A58"/>
    <w:rsid w:val="00920A8C"/>
    <w:rsid w:val="0093094B"/>
    <w:rsid w:val="00934A2C"/>
    <w:rsid w:val="00934AD8"/>
    <w:rsid w:val="00944D62"/>
    <w:rsid w:val="00963354"/>
    <w:rsid w:val="0096706E"/>
    <w:rsid w:val="00975C4E"/>
    <w:rsid w:val="00981FBA"/>
    <w:rsid w:val="00997BC5"/>
    <w:rsid w:val="009A4F41"/>
    <w:rsid w:val="009B381B"/>
    <w:rsid w:val="009B7678"/>
    <w:rsid w:val="009D1753"/>
    <w:rsid w:val="009D7611"/>
    <w:rsid w:val="009E0B61"/>
    <w:rsid w:val="009E53DE"/>
    <w:rsid w:val="00A101A6"/>
    <w:rsid w:val="00A328B3"/>
    <w:rsid w:val="00A47A50"/>
    <w:rsid w:val="00A50FCF"/>
    <w:rsid w:val="00A528D1"/>
    <w:rsid w:val="00A610CD"/>
    <w:rsid w:val="00A6497A"/>
    <w:rsid w:val="00AA09A2"/>
    <w:rsid w:val="00AA7996"/>
    <w:rsid w:val="00AB02D6"/>
    <w:rsid w:val="00AC19CB"/>
    <w:rsid w:val="00AD0C98"/>
    <w:rsid w:val="00AD2262"/>
    <w:rsid w:val="00AD7189"/>
    <w:rsid w:val="00AE32A8"/>
    <w:rsid w:val="00AE5488"/>
    <w:rsid w:val="00AE6F91"/>
    <w:rsid w:val="00AF0AB8"/>
    <w:rsid w:val="00AF5571"/>
    <w:rsid w:val="00B07341"/>
    <w:rsid w:val="00B11401"/>
    <w:rsid w:val="00B12933"/>
    <w:rsid w:val="00B30539"/>
    <w:rsid w:val="00B314DB"/>
    <w:rsid w:val="00B361F2"/>
    <w:rsid w:val="00B3718B"/>
    <w:rsid w:val="00B4632A"/>
    <w:rsid w:val="00B530F1"/>
    <w:rsid w:val="00B62DA9"/>
    <w:rsid w:val="00BA261A"/>
    <w:rsid w:val="00BA276C"/>
    <w:rsid w:val="00BB1B4F"/>
    <w:rsid w:val="00BB306F"/>
    <w:rsid w:val="00BD4B89"/>
    <w:rsid w:val="00BF02CB"/>
    <w:rsid w:val="00BF6FD8"/>
    <w:rsid w:val="00C01D29"/>
    <w:rsid w:val="00C03680"/>
    <w:rsid w:val="00C054DF"/>
    <w:rsid w:val="00C15AC2"/>
    <w:rsid w:val="00C21762"/>
    <w:rsid w:val="00C24543"/>
    <w:rsid w:val="00C256A2"/>
    <w:rsid w:val="00C36924"/>
    <w:rsid w:val="00C51515"/>
    <w:rsid w:val="00C5660B"/>
    <w:rsid w:val="00C66B72"/>
    <w:rsid w:val="00C67497"/>
    <w:rsid w:val="00C92401"/>
    <w:rsid w:val="00C9567A"/>
    <w:rsid w:val="00CB212D"/>
    <w:rsid w:val="00CB2660"/>
    <w:rsid w:val="00CC5E90"/>
    <w:rsid w:val="00CD046C"/>
    <w:rsid w:val="00CE076C"/>
    <w:rsid w:val="00CE5199"/>
    <w:rsid w:val="00CE66D5"/>
    <w:rsid w:val="00CF637A"/>
    <w:rsid w:val="00D04A69"/>
    <w:rsid w:val="00D04A76"/>
    <w:rsid w:val="00D059DE"/>
    <w:rsid w:val="00D13FCE"/>
    <w:rsid w:val="00D306D1"/>
    <w:rsid w:val="00D34786"/>
    <w:rsid w:val="00D37BFC"/>
    <w:rsid w:val="00D47A8E"/>
    <w:rsid w:val="00D5032E"/>
    <w:rsid w:val="00D528AE"/>
    <w:rsid w:val="00D52D14"/>
    <w:rsid w:val="00D712D3"/>
    <w:rsid w:val="00D71422"/>
    <w:rsid w:val="00D72DC6"/>
    <w:rsid w:val="00D7558D"/>
    <w:rsid w:val="00D755C5"/>
    <w:rsid w:val="00D81D92"/>
    <w:rsid w:val="00DA70DD"/>
    <w:rsid w:val="00DA7B5F"/>
    <w:rsid w:val="00DC11E7"/>
    <w:rsid w:val="00DC7023"/>
    <w:rsid w:val="00DC769A"/>
    <w:rsid w:val="00DD3D86"/>
    <w:rsid w:val="00DF1EC4"/>
    <w:rsid w:val="00DF33A7"/>
    <w:rsid w:val="00E0340B"/>
    <w:rsid w:val="00E03F57"/>
    <w:rsid w:val="00E04A90"/>
    <w:rsid w:val="00E219C7"/>
    <w:rsid w:val="00E43157"/>
    <w:rsid w:val="00E461CE"/>
    <w:rsid w:val="00E64137"/>
    <w:rsid w:val="00E720CA"/>
    <w:rsid w:val="00E74F76"/>
    <w:rsid w:val="00E84EB5"/>
    <w:rsid w:val="00E85662"/>
    <w:rsid w:val="00E8789F"/>
    <w:rsid w:val="00E97B71"/>
    <w:rsid w:val="00EA3D34"/>
    <w:rsid w:val="00EB454D"/>
    <w:rsid w:val="00ED0E96"/>
    <w:rsid w:val="00ED76BE"/>
    <w:rsid w:val="00EE496D"/>
    <w:rsid w:val="00EE797D"/>
    <w:rsid w:val="00EF619B"/>
    <w:rsid w:val="00F00B55"/>
    <w:rsid w:val="00F02AD1"/>
    <w:rsid w:val="00F253CC"/>
    <w:rsid w:val="00F37106"/>
    <w:rsid w:val="00F519CF"/>
    <w:rsid w:val="00F56BA5"/>
    <w:rsid w:val="00F60E22"/>
    <w:rsid w:val="00F71D5D"/>
    <w:rsid w:val="00F81395"/>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a vistosa - Énfasis 11"/>
    <w:link w:val="ListParagraphChar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B6A49"/>
    <w:pPr>
      <w:tabs>
        <w:tab w:val="left" w:pos="1080"/>
        <w:tab w:val="right" w:leader="dot" w:pos="9350"/>
      </w:tabs>
      <w:spacing w:after="100"/>
      <w:ind w:left="1440" w:hanging="720"/>
    </w:pPr>
  </w:style>
  <w:style w:type="paragraph" w:styleId="TOC1">
    <w:name w:val="toc 1"/>
    <w:basedOn w:val="Normal"/>
    <w:next w:val="Normal"/>
    <w:autoRedefine/>
    <w:uiPriority w:val="39"/>
    <w:unhideWhenUsed/>
    <w:rsid w:val="00333E3E"/>
    <w:pPr>
      <w:tabs>
        <w:tab w:val="left" w:pos="720"/>
        <w:tab w:val="right" w:leader="dot" w:pos="9350"/>
      </w:tabs>
      <w:spacing w:after="100"/>
      <w:ind w:left="360"/>
    </w:pPr>
    <w:rPr>
      <w:rFonts w:asciiTheme="majorHAnsi" w:hAnsiTheme="majorHAnsi"/>
      <w:b/>
      <w:noProof/>
      <w:sz w:val="20"/>
      <w:szCs w:val="20"/>
      <w:lang w:val="es-ES"/>
    </w:rPr>
  </w:style>
  <w:style w:type="paragraph" w:styleId="TOC3">
    <w:name w:val="toc 3"/>
    <w:basedOn w:val="Normal"/>
    <w:next w:val="Normal"/>
    <w:autoRedefine/>
    <w:uiPriority w:val="39"/>
    <w:unhideWhenUsed/>
    <w:rsid w:val="006B6A49"/>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1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ListParagraph1">
    <w:name w:val="List Paragraph1"/>
    <w:aliases w:val="Párrafo de lista1,Colorful List - Accent 11,List Paragraph11,List Paragraph2"/>
    <w:link w:val="ListParagraphChar"/>
    <w:rsid w:val="00845F1B"/>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ind w:left="720"/>
    </w:pPr>
    <w:rPr>
      <w:rFonts w:ascii="Cambria" w:hAnsi="Cambria"/>
      <w:color w:val="000000"/>
      <w:sz w:val="24"/>
      <w:szCs w:val="24"/>
      <w:u w:color="000000"/>
      <w:bdr w:val="none" w:sz="0" w:space="0" w:color="auto"/>
      <w:lang w:val="es-ES_tradnl" w:eastAsia="es-ES_tradnl"/>
    </w:rPr>
  </w:style>
  <w:style w:type="table" w:customStyle="1" w:styleId="MediumShading1-Accent11">
    <w:name w:val="Medium Shading 1 - Accent 11"/>
    <w:rsid w:val="00845F1B"/>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s-ES_tradnl" w:eastAsia="es-ES_tradn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845F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1"/>
    <w:locked/>
    <w:rsid w:val="00845F1B"/>
    <w:rPr>
      <w:rFonts w:ascii="Cambria" w:hAnsi="Cambria"/>
      <w:color w:val="000000"/>
      <w:sz w:val="24"/>
      <w:szCs w:val="24"/>
      <w:u w:color="000000"/>
      <w:bdr w:val="none" w:sz="0" w:space="0" w:color="auto"/>
      <w:lang w:val="es-ES_tradnl" w:eastAsia="es-ES_tradnl"/>
    </w:rPr>
  </w:style>
  <w:style w:type="paragraph" w:customStyle="1" w:styleId="indent">
    <w:name w:val="indent"/>
    <w:basedOn w:val="Normal"/>
    <w:rsid w:val="00845F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es-ES_tradnl" w:eastAsia="es-ES_tradnl"/>
    </w:rPr>
  </w:style>
  <w:style w:type="character" w:customStyle="1" w:styleId="num">
    <w:name w:val="num"/>
    <w:basedOn w:val="DefaultParagraphFont"/>
    <w:rsid w:val="00845F1B"/>
    <w:rPr>
      <w:rFonts w:cs="Times New Roman"/>
    </w:rPr>
  </w:style>
  <w:style w:type="paragraph" w:styleId="NormalWeb">
    <w:name w:val="Normal (Web)"/>
    <w:basedOn w:val="Normal"/>
    <w:uiPriority w:val="99"/>
    <w:rsid w:val="00845F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es-ES_tradnl" w:eastAsia="es-ES_tradnl"/>
    </w:rPr>
  </w:style>
  <w:style w:type="character" w:customStyle="1" w:styleId="Style1Char">
    <w:name w:val="Style1 Char"/>
    <w:link w:val="Style1"/>
    <w:locked/>
    <w:rsid w:val="00845F1B"/>
    <w:rPr>
      <w:rFonts w:ascii="Cambria" w:hAnsi="Cambria"/>
      <w:b/>
      <w:bdr w:val="none" w:sz="0" w:space="0" w:color="auto" w:frame="1"/>
      <w:lang w:val="es-ES_tradnl" w:eastAsia="es-ES_tradnl"/>
    </w:rPr>
  </w:style>
  <w:style w:type="paragraph" w:customStyle="1" w:styleId="Style1">
    <w:name w:val="Style1"/>
    <w:basedOn w:val="Normal"/>
    <w:link w:val="Style1Char"/>
    <w:qFormat/>
    <w:rsid w:val="00845F1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hAnsi="Cambria"/>
      <w:b/>
      <w:sz w:val="20"/>
      <w:szCs w:val="20"/>
      <w:bdr w:val="none" w:sz="0" w:space="0" w:color="auto" w:frame="1"/>
      <w:lang w:val="es-ES_tradnl" w:eastAsia="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845F1B"/>
    <w:rPr>
      <w:rFonts w:ascii="Calibri" w:hAnsi="Calibri"/>
      <w:color w:val="000000"/>
      <w:u w:color="000000"/>
    </w:rPr>
  </w:style>
  <w:style w:type="paragraph" w:customStyle="1" w:styleId="Footnotes">
    <w:name w:val="Footnotes"/>
    <w:basedOn w:val="FootnoteText"/>
    <w:qFormat/>
    <w:rsid w:val="00845F1B"/>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eastAsia="Arial Unicode MS" w:hAnsi="Cambria" w:cs="Times New Roman"/>
      <w:color w:val="auto"/>
      <w:sz w:val="18"/>
      <w:szCs w:val="18"/>
      <w:bdr w:val="none" w:sz="0" w:space="0" w:color="auto"/>
      <w:lang w:val="es-ES_tradnl" w:eastAsia="es-ES_tradn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845F1B"/>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hAnsi="Calibri"/>
      <w:bdr w:val="none" w:sz="0" w:space="0" w:color="auto"/>
      <w:vertAlign w:val="superscript"/>
      <w:lang w:val="es-ES_tradnl" w:eastAsia="es-ES"/>
    </w:rPr>
  </w:style>
  <w:style w:type="character" w:customStyle="1" w:styleId="apple-converted-space">
    <w:name w:val="apple-converted-space"/>
    <w:rsid w:val="00845F1B"/>
  </w:style>
  <w:style w:type="character" w:customStyle="1" w:styleId="apple-style-span">
    <w:name w:val="apple-style-span"/>
    <w:basedOn w:val="DefaultParagraphFont"/>
    <w:rsid w:val="00845F1B"/>
    <w:rPr>
      <w:rFonts w:cs="Times New Roman"/>
    </w:rPr>
  </w:style>
  <w:style w:type="character" w:customStyle="1" w:styleId="sb8d990e2">
    <w:name w:val="sb8d990e2"/>
    <w:rsid w:val="00845F1B"/>
  </w:style>
  <w:style w:type="character" w:styleId="CommentReference">
    <w:name w:val="annotation reference"/>
    <w:basedOn w:val="DefaultParagraphFont"/>
    <w:uiPriority w:val="99"/>
    <w:semiHidden/>
    <w:rsid w:val="00845F1B"/>
    <w:rPr>
      <w:rFonts w:cs="Times New Roman"/>
      <w:sz w:val="16"/>
      <w:szCs w:val="16"/>
    </w:rPr>
  </w:style>
  <w:style w:type="paragraph" w:styleId="CommentText">
    <w:name w:val="annotation text"/>
    <w:basedOn w:val="Normal"/>
    <w:link w:val="CommentTextChar"/>
    <w:uiPriority w:val="99"/>
    <w:rsid w:val="00845F1B"/>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pPr>
    <w:rPr>
      <w:sz w:val="20"/>
      <w:szCs w:val="20"/>
      <w:bdr w:val="none" w:sz="0" w:space="0" w:color="auto"/>
      <w:lang w:val="es-ES_tradnl" w:eastAsia="es-ES_tradnl"/>
    </w:rPr>
  </w:style>
  <w:style w:type="character" w:customStyle="1" w:styleId="CommentTextChar">
    <w:name w:val="Comment Text Char"/>
    <w:basedOn w:val="DefaultParagraphFont"/>
    <w:link w:val="CommentText"/>
    <w:uiPriority w:val="99"/>
    <w:rsid w:val="00845F1B"/>
    <w:rPr>
      <w:bdr w:val="none" w:sz="0" w:space="0" w:color="auto"/>
      <w:lang w:val="es-ES_tradnl" w:eastAsia="es-ES_tradnl"/>
    </w:rPr>
  </w:style>
  <w:style w:type="paragraph" w:styleId="CommentSubject">
    <w:name w:val="annotation subject"/>
    <w:basedOn w:val="CommentText"/>
    <w:next w:val="CommentText"/>
    <w:link w:val="CommentSubjectChar"/>
    <w:uiPriority w:val="99"/>
    <w:semiHidden/>
    <w:rsid w:val="00845F1B"/>
    <w:rPr>
      <w:b/>
      <w:bCs/>
    </w:rPr>
  </w:style>
  <w:style w:type="character" w:customStyle="1" w:styleId="CommentSubjectChar">
    <w:name w:val="Comment Subject Char"/>
    <w:basedOn w:val="CommentTextChar"/>
    <w:link w:val="CommentSubject"/>
    <w:uiPriority w:val="99"/>
    <w:semiHidden/>
    <w:rsid w:val="00845F1B"/>
    <w:rPr>
      <w:b/>
      <w:bCs/>
      <w:bdr w:val="none" w:sz="0" w:space="0" w:color="auto"/>
      <w:lang w:val="es-ES_tradnl" w:eastAsia="es-ES_tradnl"/>
    </w:rPr>
  </w:style>
  <w:style w:type="paragraph" w:styleId="Revision">
    <w:name w:val="Revision"/>
    <w:hidden/>
    <w:uiPriority w:val="99"/>
    <w:semiHidden/>
    <w:rsid w:val="00845F1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s-ES_tradnl" w:eastAsia="es-ES_tradnl"/>
    </w:rPr>
  </w:style>
  <w:style w:type="character" w:styleId="Strong">
    <w:name w:val="Strong"/>
    <w:basedOn w:val="DefaultParagraphFont"/>
    <w:uiPriority w:val="22"/>
    <w:qFormat/>
    <w:rsid w:val="00845F1B"/>
    <w:rPr>
      <w:rFonts w:cs="Times New Roman"/>
      <w:b/>
      <w:bCs/>
    </w:rPr>
  </w:style>
  <w:style w:type="numbering" w:styleId="111111">
    <w:name w:val="Outline List 2"/>
    <w:basedOn w:val="NoList"/>
    <w:uiPriority w:val="99"/>
    <w:rsid w:val="00845F1B"/>
    <w:pPr>
      <w:numPr>
        <w:numId w:val="56"/>
      </w:numPr>
    </w:pPr>
  </w:style>
  <w:style w:type="paragraph" w:styleId="TOCHeading">
    <w:name w:val="TOC Heading"/>
    <w:basedOn w:val="Heading1"/>
    <w:next w:val="Normal"/>
    <w:uiPriority w:val="39"/>
    <w:unhideWhenUsed/>
    <w:qFormat/>
    <w:rsid w:val="00845F1B"/>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 w:type="table" w:styleId="TableGrid">
    <w:name w:val="Table Grid"/>
    <w:basedOn w:val="TableNormal"/>
    <w:uiPriority w:val="59"/>
    <w:rsid w:val="0070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2483"/>
    <w:rPr>
      <w:color w:val="800080" w:themeColor="followedHyperlink"/>
      <w:u w:val="single"/>
    </w:rPr>
  </w:style>
  <w:style w:type="paragraph" w:customStyle="1" w:styleId="parrafos">
    <w:name w:val="parrafos"/>
    <w:basedOn w:val="Normal"/>
    <w:link w:val="parrafosChar"/>
    <w:qFormat/>
    <w:rsid w:val="0070248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702483"/>
    <w:rPr>
      <w:rFonts w:asciiTheme="majorHAnsi" w:hAnsiTheme="majorHAnsi"/>
      <w:color w:val="000000" w:themeColor="text1"/>
      <w:lang w:val="en-US" w:eastAsia="en-US"/>
    </w:rPr>
  </w:style>
  <w:style w:type="character" w:customStyle="1" w:styleId="jurisdiction">
    <w:name w:val="jurisdiction"/>
    <w:basedOn w:val="DefaultParagraphFont"/>
    <w:rsid w:val="00702483"/>
  </w:style>
  <w:style w:type="character" w:customStyle="1" w:styleId="decide-date">
    <w:name w:val="decide-date"/>
    <w:basedOn w:val="DefaultParagraphFont"/>
    <w:rsid w:val="00702483"/>
  </w:style>
  <w:style w:type="character" w:customStyle="1" w:styleId="citation">
    <w:name w:val="citation"/>
    <w:basedOn w:val="DefaultParagraphFont"/>
    <w:rsid w:val="00702483"/>
  </w:style>
  <w:style w:type="paragraph" w:customStyle="1" w:styleId="paragraph">
    <w:name w:val="paragraph"/>
    <w:basedOn w:val="Normal"/>
    <w:rsid w:val="00702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5">
    <w:name w:val="toc 5"/>
    <w:basedOn w:val="Normal"/>
    <w:next w:val="Normal"/>
    <w:autoRedefine/>
    <w:uiPriority w:val="39"/>
    <w:semiHidden/>
    <w:unhideWhenUsed/>
    <w:rsid w:val="00702483"/>
    <w:pPr>
      <w:pBdr>
        <w:top w:val="none" w:sz="0" w:space="0" w:color="auto"/>
        <w:left w:val="none" w:sz="0" w:space="0" w:color="auto"/>
        <w:bottom w:val="none" w:sz="0" w:space="0" w:color="auto"/>
        <w:right w:val="none" w:sz="0" w:space="0" w:color="auto"/>
        <w:between w:val="none" w:sz="0" w:space="0" w:color="auto"/>
        <w:bar w:val="none" w:sz="0" w:color="auto"/>
      </w:pBdr>
      <w:spacing w:after="100"/>
      <w:ind w:left="960"/>
    </w:pPr>
    <w:rPr>
      <w:rFonts w:asciiTheme="minorHAnsi" w:eastAsiaTheme="minorEastAsia" w:hAnsiTheme="minorHAnsi" w:cstheme="minorBidi"/>
      <w:bdr w:val="none" w:sz="0" w:space="0" w:color="auto"/>
    </w:rPr>
  </w:style>
  <w:style w:type="paragraph" w:styleId="TOC6">
    <w:name w:val="toc 6"/>
    <w:basedOn w:val="Normal"/>
    <w:next w:val="Normal"/>
    <w:autoRedefine/>
    <w:uiPriority w:val="39"/>
    <w:semiHidden/>
    <w:unhideWhenUsed/>
    <w:rsid w:val="00702483"/>
    <w:pPr>
      <w:pBdr>
        <w:top w:val="none" w:sz="0" w:space="0" w:color="auto"/>
        <w:left w:val="none" w:sz="0" w:space="0" w:color="auto"/>
        <w:bottom w:val="none" w:sz="0" w:space="0" w:color="auto"/>
        <w:right w:val="none" w:sz="0" w:space="0" w:color="auto"/>
        <w:between w:val="none" w:sz="0" w:space="0" w:color="auto"/>
        <w:bar w:val="none" w:sz="0" w:color="auto"/>
      </w:pBdr>
      <w:spacing w:after="100"/>
      <w:ind w:left="1200"/>
    </w:pPr>
    <w:rPr>
      <w:rFonts w:asciiTheme="minorHAnsi" w:eastAsiaTheme="minorEastAsia" w:hAnsiTheme="minorHAnsi" w:cstheme="minorBidi"/>
      <w:bdr w:val="none" w:sz="0" w:space="0" w:color="auto"/>
    </w:rPr>
  </w:style>
  <w:style w:type="paragraph" w:styleId="TOC7">
    <w:name w:val="toc 7"/>
    <w:basedOn w:val="Normal"/>
    <w:next w:val="Normal"/>
    <w:autoRedefine/>
    <w:uiPriority w:val="39"/>
    <w:semiHidden/>
    <w:unhideWhenUsed/>
    <w:rsid w:val="00702483"/>
    <w:pPr>
      <w:pBdr>
        <w:top w:val="none" w:sz="0" w:space="0" w:color="auto"/>
        <w:left w:val="none" w:sz="0" w:space="0" w:color="auto"/>
        <w:bottom w:val="none" w:sz="0" w:space="0" w:color="auto"/>
        <w:right w:val="none" w:sz="0" w:space="0" w:color="auto"/>
        <w:between w:val="none" w:sz="0" w:space="0" w:color="auto"/>
        <w:bar w:val="none" w:sz="0" w:color="auto"/>
      </w:pBdr>
      <w:spacing w:after="100"/>
      <w:ind w:left="1440"/>
    </w:pPr>
    <w:rPr>
      <w:rFonts w:asciiTheme="minorHAnsi" w:eastAsiaTheme="minorEastAsia" w:hAnsiTheme="minorHAnsi" w:cstheme="minorBidi"/>
      <w:bdr w:val="none" w:sz="0" w:space="0" w:color="auto"/>
    </w:rPr>
  </w:style>
  <w:style w:type="paragraph" w:styleId="TOC8">
    <w:name w:val="toc 8"/>
    <w:basedOn w:val="Normal"/>
    <w:next w:val="Normal"/>
    <w:autoRedefine/>
    <w:uiPriority w:val="39"/>
    <w:semiHidden/>
    <w:unhideWhenUsed/>
    <w:rsid w:val="00702483"/>
    <w:pPr>
      <w:pBdr>
        <w:top w:val="none" w:sz="0" w:space="0" w:color="auto"/>
        <w:left w:val="none" w:sz="0" w:space="0" w:color="auto"/>
        <w:bottom w:val="none" w:sz="0" w:space="0" w:color="auto"/>
        <w:right w:val="none" w:sz="0" w:space="0" w:color="auto"/>
        <w:between w:val="none" w:sz="0" w:space="0" w:color="auto"/>
        <w:bar w:val="none" w:sz="0" w:color="auto"/>
      </w:pBdr>
      <w:spacing w:after="100"/>
      <w:ind w:left="1680"/>
    </w:pPr>
    <w:rPr>
      <w:rFonts w:asciiTheme="minorHAnsi" w:eastAsiaTheme="minorEastAsia" w:hAnsiTheme="minorHAnsi" w:cstheme="minorBidi"/>
      <w:bdr w:val="none" w:sz="0" w:space="0" w:color="auto"/>
    </w:rPr>
  </w:style>
  <w:style w:type="paragraph" w:styleId="TOC9">
    <w:name w:val="toc 9"/>
    <w:basedOn w:val="Normal"/>
    <w:next w:val="Normal"/>
    <w:autoRedefine/>
    <w:uiPriority w:val="39"/>
    <w:semiHidden/>
    <w:unhideWhenUsed/>
    <w:rsid w:val="00702483"/>
    <w:pPr>
      <w:pBdr>
        <w:top w:val="none" w:sz="0" w:space="0" w:color="auto"/>
        <w:left w:val="none" w:sz="0" w:space="0" w:color="auto"/>
        <w:bottom w:val="none" w:sz="0" w:space="0" w:color="auto"/>
        <w:right w:val="none" w:sz="0" w:space="0" w:color="auto"/>
        <w:between w:val="none" w:sz="0" w:space="0" w:color="auto"/>
        <w:bar w:val="none" w:sz="0" w:color="auto"/>
      </w:pBdr>
      <w:spacing w:after="100"/>
      <w:ind w:left="1920"/>
    </w:pPr>
    <w:rPr>
      <w:rFonts w:asciiTheme="minorHAnsi" w:eastAsiaTheme="minorEastAsia" w:hAnsiTheme="minorHAnsi" w:cstheme="minorBidi"/>
      <w:bdr w:val="none" w:sz="0" w:space="0" w:color="auto"/>
    </w:rPr>
  </w:style>
  <w:style w:type="character" w:customStyle="1" w:styleId="ListParagraphChar1">
    <w:name w:val="List Paragraph Char1"/>
    <w:aliases w:val="Lista vistosa - Énfasis 11 Char1"/>
    <w:link w:val="ListParagraph"/>
    <w:locked/>
    <w:rsid w:val="0031320A"/>
    <w:rPr>
      <w:rFonts w:ascii="Cambria" w:eastAsia="Cambria" w:hAnsi="Cambria" w:cs="Cambria"/>
      <w:color w:val="000000"/>
      <w:sz w:val="24"/>
      <w:szCs w:val="24"/>
      <w:u w:color="000000"/>
      <w:lang w:val="en-US"/>
    </w:rPr>
  </w:style>
  <w:style w:type="paragraph" w:styleId="NoSpacing">
    <w:name w:val="No Spacing"/>
    <w:uiPriority w:val="1"/>
    <w:qFormat/>
    <w:rsid w:val="009B767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cidh.org/demandas/11.535%20Pedro%20Miguel%20Vera%20y%20otros%20Ecuador%2024%20febrero10%20ESP.pdf" TargetMode="External"/><Relationship Id="rId3" Type="http://schemas.openxmlformats.org/officeDocument/2006/relationships/hyperlink" Target="https://www.govinfo.gov/content/pkg/USCOURTS-ca8-08-01749/pdf/USCOURTS-ca8-08-01749-0.pdf" TargetMode="External"/><Relationship Id="rId7" Type="http://schemas.openxmlformats.org/officeDocument/2006/relationships/hyperlink" Target="https://undocs.org/pdf?symbol=es/A/67/279" TargetMode="External"/><Relationship Id="rId2" Type="http://schemas.openxmlformats.org/officeDocument/2006/relationships/hyperlink" Target="https://www.scotusblog.com/case-files/cases/umana-v-united-states/" TargetMode="External"/><Relationship Id="rId1" Type="http://schemas.openxmlformats.org/officeDocument/2006/relationships/hyperlink" Target="https://www.leagle.com/decision/infdco20170127r69" TargetMode="External"/><Relationship Id="rId6" Type="http://schemas.openxmlformats.org/officeDocument/2006/relationships/hyperlink" Target="http://texasdefender.org/wp-%20content/uploads/TDS_Deadly-Speculation.pdf" TargetMode="External"/><Relationship Id="rId5" Type="http://schemas.openxmlformats.org/officeDocument/2006/relationships/hyperlink" Target="https://www.nytimes.com/2002/03/23/us/4-immigrant-killings-linked-to-russian-kidnapping-gang.html" TargetMode="External"/><Relationship Id="rId4" Type="http://schemas.openxmlformats.org/officeDocument/2006/relationships/hyperlink" Target="https://www.supremecourt.gov/search.aspx?filename=/docket/docketfiles/html/public/18-7489.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DF0A-13CC-BA42-9602-301FB797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10001</Words>
  <Characters>57010</Characters>
  <Application>Microsoft Office Word</Application>
  <DocSecurity>0</DocSecurity>
  <Lines>475</Lines>
  <Paragraphs>133</Paragraphs>
  <ScaleCrop>false</ScaleCrop>
  <Company/>
  <LinksUpToDate>false</LinksUpToDate>
  <CharactersWithSpaces>66878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2023-11-14T22:30:00Z</dcterms:created>
  <dcterms:modified xsi:type="dcterms:W3CDTF">2023-11-14T22:30:00Z</dcterms:modified>
</cp:coreProperties>
</file>