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48D3D4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5EBA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89708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66AB">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EF866B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D19CD">
                              <w:rPr>
                                <w:rFonts w:asciiTheme="majorHAnsi" w:hAnsiTheme="majorHAnsi" w:cs="Arial"/>
                                <w:b/>
                                <w:color w:val="0D0D0D" w:themeColor="text1" w:themeTint="F2"/>
                                <w:sz w:val="36"/>
                                <w:szCs w:val="22"/>
                                <w:lang w:val="es-ES_tradnl"/>
                              </w:rPr>
                              <w:t>1344-09</w:t>
                            </w:r>
                          </w:p>
                          <w:p w14:paraId="70CF6833" w14:textId="3B288F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1DC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3EEA5546" w:rsidR="00EB197F" w:rsidRPr="00EB197F" w:rsidRDefault="008D19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RAMÓN LEZCANO</w:t>
                            </w:r>
                            <w:r w:rsidR="00EB197F" w:rsidRPr="00EB197F">
                              <w:rPr>
                                <w:rFonts w:asciiTheme="majorHAnsi" w:hAnsiTheme="majorHAnsi" w:cs="Arial"/>
                                <w:color w:val="0D0D0D" w:themeColor="text1" w:themeTint="F2"/>
                                <w:szCs w:val="22"/>
                                <w:lang w:val="es-ES_tradnl"/>
                              </w:rPr>
                              <w:t xml:space="preserve"> </w:t>
                            </w:r>
                          </w:p>
                          <w:p w14:paraId="575DFD52" w14:textId="5D5760DB" w:rsidR="005B52B0" w:rsidRPr="00EB197F" w:rsidRDefault="008D19CD"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89708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66AB">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EF866B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D19CD">
                        <w:rPr>
                          <w:rFonts w:asciiTheme="majorHAnsi" w:hAnsiTheme="majorHAnsi" w:cs="Arial"/>
                          <w:b/>
                          <w:color w:val="0D0D0D" w:themeColor="text1" w:themeTint="F2"/>
                          <w:sz w:val="36"/>
                          <w:szCs w:val="22"/>
                          <w:lang w:val="es-ES_tradnl"/>
                        </w:rPr>
                        <w:t>1344-09</w:t>
                      </w:r>
                    </w:p>
                    <w:p w14:paraId="70CF6833" w14:textId="3B288F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F1DC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3EEA5546" w:rsidR="00EB197F" w:rsidRPr="00EB197F" w:rsidRDefault="008D19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ALBERTO RAMÓN LEZCANO</w:t>
                      </w:r>
                      <w:r w:rsidR="00EB197F" w:rsidRPr="00EB197F">
                        <w:rPr>
                          <w:rFonts w:asciiTheme="majorHAnsi" w:hAnsiTheme="majorHAnsi" w:cs="Arial"/>
                          <w:color w:val="0D0D0D" w:themeColor="text1" w:themeTint="F2"/>
                          <w:szCs w:val="22"/>
                          <w:lang w:val="es-ES_tradnl"/>
                        </w:rPr>
                        <w:t xml:space="preserve"> </w:t>
                      </w:r>
                    </w:p>
                    <w:p w14:paraId="575DFD52" w14:textId="5D5760DB" w:rsidR="005B52B0" w:rsidRPr="00EB197F" w:rsidRDefault="008D19CD"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8DD3ECE" w:rsidR="00627C9F" w:rsidRPr="003F66AB" w:rsidRDefault="00834D49" w:rsidP="007A5817">
                            <w:pPr>
                              <w:spacing w:line="276" w:lineRule="auto"/>
                              <w:jc w:val="right"/>
                              <w:rPr>
                                <w:rFonts w:asciiTheme="minorHAnsi" w:hAnsiTheme="minorHAnsi"/>
                                <w:color w:val="FFFFFF" w:themeColor="background1"/>
                                <w:sz w:val="22"/>
                                <w:lang w:val="es-ES"/>
                              </w:rPr>
                            </w:pPr>
                            <w:r w:rsidRPr="003F66AB">
                              <w:rPr>
                                <w:rFonts w:asciiTheme="minorHAnsi" w:hAnsiTheme="minorHAnsi"/>
                                <w:color w:val="FFFFFF" w:themeColor="background1"/>
                                <w:sz w:val="22"/>
                                <w:lang w:val="es-ES"/>
                              </w:rPr>
                              <w:t>OEA/Ser.L/V/II</w:t>
                            </w:r>
                          </w:p>
                          <w:p w14:paraId="6A41611B" w14:textId="5C822F73" w:rsidR="00627C9F" w:rsidRPr="003F66AB" w:rsidRDefault="00627C9F" w:rsidP="007A5817">
                            <w:pPr>
                              <w:spacing w:line="276" w:lineRule="auto"/>
                              <w:jc w:val="right"/>
                              <w:rPr>
                                <w:rFonts w:asciiTheme="minorHAnsi" w:hAnsiTheme="minorHAnsi"/>
                                <w:color w:val="FFFFFF" w:themeColor="background1"/>
                                <w:sz w:val="22"/>
                                <w:lang w:val="es-ES"/>
                              </w:rPr>
                            </w:pPr>
                            <w:r w:rsidRPr="003F66AB">
                              <w:rPr>
                                <w:rFonts w:asciiTheme="minorHAnsi" w:hAnsiTheme="minorHAnsi"/>
                                <w:color w:val="FFFFFF" w:themeColor="background1"/>
                                <w:sz w:val="22"/>
                                <w:lang w:val="es-ES"/>
                              </w:rPr>
                              <w:t xml:space="preserve">Doc. </w:t>
                            </w:r>
                            <w:r w:rsidR="00AD2DDF">
                              <w:rPr>
                                <w:rFonts w:asciiTheme="minorHAnsi" w:hAnsiTheme="minorHAnsi"/>
                                <w:color w:val="FFFFFF" w:themeColor="background1"/>
                                <w:sz w:val="22"/>
                                <w:lang w:val="es-ES"/>
                              </w:rPr>
                              <w:t>175</w:t>
                            </w:r>
                          </w:p>
                          <w:p w14:paraId="69373ED2" w14:textId="31AF24BC" w:rsidR="00627C9F" w:rsidRPr="00C25ADB" w:rsidRDefault="00AD2DD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8DD3ECE" w:rsidR="00627C9F" w:rsidRPr="003F66AB" w:rsidRDefault="00834D49" w:rsidP="007A5817">
                      <w:pPr>
                        <w:spacing w:line="276" w:lineRule="auto"/>
                        <w:jc w:val="right"/>
                        <w:rPr>
                          <w:rFonts w:asciiTheme="minorHAnsi" w:hAnsiTheme="minorHAnsi"/>
                          <w:color w:val="FFFFFF" w:themeColor="background1"/>
                          <w:sz w:val="22"/>
                          <w:lang w:val="es-ES"/>
                        </w:rPr>
                      </w:pPr>
                      <w:r w:rsidRPr="003F66AB">
                        <w:rPr>
                          <w:rFonts w:asciiTheme="minorHAnsi" w:hAnsiTheme="minorHAnsi"/>
                          <w:color w:val="FFFFFF" w:themeColor="background1"/>
                          <w:sz w:val="22"/>
                          <w:lang w:val="es-ES"/>
                        </w:rPr>
                        <w:t>OEA/Ser.L/V/II</w:t>
                      </w:r>
                    </w:p>
                    <w:p w14:paraId="6A41611B" w14:textId="5C822F73" w:rsidR="00627C9F" w:rsidRPr="003F66AB" w:rsidRDefault="00627C9F" w:rsidP="007A5817">
                      <w:pPr>
                        <w:spacing w:line="276" w:lineRule="auto"/>
                        <w:jc w:val="right"/>
                        <w:rPr>
                          <w:rFonts w:asciiTheme="minorHAnsi" w:hAnsiTheme="minorHAnsi"/>
                          <w:color w:val="FFFFFF" w:themeColor="background1"/>
                          <w:sz w:val="22"/>
                          <w:lang w:val="es-ES"/>
                        </w:rPr>
                      </w:pPr>
                      <w:r w:rsidRPr="003F66AB">
                        <w:rPr>
                          <w:rFonts w:asciiTheme="minorHAnsi" w:hAnsiTheme="minorHAnsi"/>
                          <w:color w:val="FFFFFF" w:themeColor="background1"/>
                          <w:sz w:val="22"/>
                          <w:lang w:val="es-ES"/>
                        </w:rPr>
                        <w:t xml:space="preserve">Doc. </w:t>
                      </w:r>
                      <w:r w:rsidR="00AD2DDF">
                        <w:rPr>
                          <w:rFonts w:asciiTheme="minorHAnsi" w:hAnsiTheme="minorHAnsi"/>
                          <w:color w:val="FFFFFF" w:themeColor="background1"/>
                          <w:sz w:val="22"/>
                          <w:lang w:val="es-ES"/>
                        </w:rPr>
                        <w:t>175</w:t>
                      </w:r>
                    </w:p>
                    <w:p w14:paraId="69373ED2" w14:textId="31AF24BC" w:rsidR="00627C9F" w:rsidRPr="00C25ADB" w:rsidRDefault="00AD2DD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6C6B1C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D2DD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D2DD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AD2DDF">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6C6B1C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D2DD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D2DDF">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AD2DDF">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B1B64" w14:textId="77777777" w:rsidR="00F84E33" w:rsidRDefault="00113F7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0255E" w:rsidRPr="0020255E">
                              <w:rPr>
                                <w:rFonts w:asciiTheme="majorHAnsi" w:hAnsiTheme="majorHAnsi"/>
                                <w:color w:val="595959" w:themeColor="text1" w:themeTint="A6"/>
                                <w:sz w:val="18"/>
                                <w:szCs w:val="18"/>
                                <w:lang w:val="pt-BR"/>
                              </w:rPr>
                              <w:t>166</w:t>
                            </w:r>
                            <w:r w:rsidR="007B05C4" w:rsidRPr="0020255E">
                              <w:rPr>
                                <w:rFonts w:asciiTheme="majorHAnsi" w:hAnsiTheme="majorHAnsi"/>
                                <w:color w:val="595959" w:themeColor="text1" w:themeTint="A6"/>
                                <w:sz w:val="18"/>
                                <w:szCs w:val="18"/>
                                <w:lang w:val="pt-BR"/>
                              </w:rPr>
                              <w:t>/</w:t>
                            </w:r>
                            <w:r w:rsidR="0020255E" w:rsidRPr="0020255E">
                              <w:rPr>
                                <w:rFonts w:asciiTheme="majorHAnsi" w:hAnsiTheme="majorHAnsi"/>
                                <w:color w:val="595959" w:themeColor="text1" w:themeTint="A6"/>
                                <w:sz w:val="18"/>
                                <w:szCs w:val="18"/>
                                <w:lang w:val="pt-BR"/>
                              </w:rPr>
                              <w:t>24</w:t>
                            </w:r>
                            <w:r w:rsidRPr="0020255E">
                              <w:rPr>
                                <w:rFonts w:asciiTheme="majorHAnsi" w:hAnsiTheme="majorHAnsi"/>
                                <w:color w:val="595959" w:themeColor="text1" w:themeTint="A6"/>
                                <w:sz w:val="18"/>
                                <w:szCs w:val="18"/>
                                <w:lang w:val="pt-BR"/>
                              </w:rPr>
                              <w:t xml:space="preserve">. </w:t>
                            </w:r>
                            <w:r w:rsidR="000433C9" w:rsidRPr="0086089A">
                              <w:rPr>
                                <w:rFonts w:asciiTheme="majorHAnsi" w:hAnsiTheme="majorHAnsi"/>
                                <w:color w:val="595959" w:themeColor="text1" w:themeTint="A6"/>
                                <w:sz w:val="18"/>
                                <w:szCs w:val="18"/>
                                <w:lang w:val="es-PE"/>
                              </w:rPr>
                              <w:t xml:space="preserve">Petición </w:t>
                            </w:r>
                            <w:r w:rsidR="008D19CD" w:rsidRPr="0086089A">
                              <w:rPr>
                                <w:rFonts w:asciiTheme="majorHAnsi" w:hAnsiTheme="majorHAnsi"/>
                                <w:color w:val="595959" w:themeColor="text1" w:themeTint="A6"/>
                                <w:sz w:val="18"/>
                                <w:szCs w:val="18"/>
                                <w:lang w:val="es-PE"/>
                              </w:rPr>
                              <w:t>13</w:t>
                            </w:r>
                            <w:r w:rsidR="00573679">
                              <w:rPr>
                                <w:rFonts w:asciiTheme="majorHAnsi" w:hAnsiTheme="majorHAnsi"/>
                                <w:color w:val="595959" w:themeColor="text1" w:themeTint="A6"/>
                                <w:sz w:val="18"/>
                                <w:szCs w:val="18"/>
                                <w:lang w:val="es-PE"/>
                              </w:rPr>
                              <w:t>4</w:t>
                            </w:r>
                            <w:r w:rsidR="003B1B44" w:rsidRPr="0086089A">
                              <w:rPr>
                                <w:rFonts w:asciiTheme="majorHAnsi" w:hAnsiTheme="majorHAnsi"/>
                                <w:color w:val="595959" w:themeColor="text1" w:themeTint="A6"/>
                                <w:sz w:val="18"/>
                                <w:szCs w:val="18"/>
                                <w:lang w:val="es-PE"/>
                              </w:rPr>
                              <w:t>4</w:t>
                            </w:r>
                            <w:r w:rsidR="00441E0D" w:rsidRPr="0086089A">
                              <w:rPr>
                                <w:rFonts w:asciiTheme="majorHAnsi" w:hAnsiTheme="majorHAnsi"/>
                                <w:color w:val="595959" w:themeColor="text1" w:themeTint="A6"/>
                                <w:sz w:val="18"/>
                                <w:szCs w:val="18"/>
                                <w:lang w:val="es-PE"/>
                              </w:rPr>
                              <w:t>-</w:t>
                            </w:r>
                            <w:r w:rsidR="008D19CD" w:rsidRPr="0086089A">
                              <w:rPr>
                                <w:rFonts w:asciiTheme="majorHAnsi" w:hAnsiTheme="majorHAnsi"/>
                                <w:color w:val="595959" w:themeColor="text1" w:themeTint="A6"/>
                                <w:sz w:val="18"/>
                                <w:szCs w:val="18"/>
                                <w:lang w:val="es-PE"/>
                              </w:rPr>
                              <w:t>09</w:t>
                            </w:r>
                            <w:r w:rsidR="000433C9" w:rsidRPr="0086089A">
                              <w:rPr>
                                <w:rFonts w:asciiTheme="majorHAnsi" w:hAnsiTheme="majorHAnsi"/>
                                <w:color w:val="595959" w:themeColor="text1" w:themeTint="A6"/>
                                <w:sz w:val="18"/>
                                <w:szCs w:val="18"/>
                                <w:lang w:val="es-PE"/>
                              </w:rPr>
                              <w:t xml:space="preserve">. </w:t>
                            </w:r>
                            <w:r w:rsidR="005F1DC2">
                              <w:rPr>
                                <w:rFonts w:asciiTheme="majorHAnsi" w:hAnsiTheme="majorHAnsi"/>
                                <w:color w:val="595959" w:themeColor="text1" w:themeTint="A6"/>
                                <w:sz w:val="18"/>
                                <w:szCs w:val="18"/>
                                <w:lang w:val="es-PE"/>
                              </w:rPr>
                              <w:t>Ina</w:t>
                            </w:r>
                            <w:r w:rsidRPr="0086089A">
                              <w:rPr>
                                <w:rFonts w:asciiTheme="majorHAnsi" w:hAnsiTheme="majorHAnsi"/>
                                <w:color w:val="595959" w:themeColor="text1" w:themeTint="A6"/>
                                <w:sz w:val="18"/>
                                <w:szCs w:val="18"/>
                                <w:lang w:val="es-PE"/>
                              </w:rPr>
                              <w:t xml:space="preserve">dmisibilidad. </w:t>
                            </w:r>
                          </w:p>
                          <w:p w14:paraId="0D1B22CF" w14:textId="2563BB74" w:rsidR="00113F73" w:rsidRPr="007B05C4" w:rsidRDefault="008D19CD" w:rsidP="00113F73">
                            <w:pPr>
                              <w:spacing w:line="276" w:lineRule="auto"/>
                              <w:rPr>
                                <w:rFonts w:asciiTheme="majorHAnsi" w:hAnsiTheme="majorHAnsi"/>
                                <w:color w:val="595959" w:themeColor="text1" w:themeTint="A6"/>
                                <w:sz w:val="18"/>
                                <w:szCs w:val="18"/>
                                <w:lang w:val="es-ES"/>
                              </w:rPr>
                            </w:pPr>
                            <w:r w:rsidRPr="0086089A">
                              <w:rPr>
                                <w:rFonts w:asciiTheme="majorHAnsi" w:hAnsiTheme="majorHAnsi"/>
                                <w:color w:val="595959" w:themeColor="text1" w:themeTint="A6"/>
                                <w:sz w:val="18"/>
                                <w:szCs w:val="18"/>
                                <w:lang w:val="es-PE"/>
                              </w:rPr>
                              <w:t>Alberto Ramón Lezcano</w:t>
                            </w:r>
                            <w:r w:rsidR="00113F73" w:rsidRPr="0086089A">
                              <w:rPr>
                                <w:rFonts w:asciiTheme="majorHAnsi" w:hAnsiTheme="majorHAnsi"/>
                                <w:color w:val="595959" w:themeColor="text1" w:themeTint="A6"/>
                                <w:sz w:val="18"/>
                                <w:szCs w:val="18"/>
                                <w:lang w:val="es-PE"/>
                              </w:rPr>
                              <w:t xml:space="preserve">. </w:t>
                            </w:r>
                            <w:r w:rsidRPr="0086089A">
                              <w:rPr>
                                <w:rFonts w:asciiTheme="majorHAnsi" w:hAnsiTheme="majorHAnsi"/>
                                <w:color w:val="595959" w:themeColor="text1" w:themeTint="A6"/>
                                <w:sz w:val="18"/>
                                <w:szCs w:val="18"/>
                                <w:lang w:val="es-PE"/>
                              </w:rPr>
                              <w:t>Argentina</w:t>
                            </w:r>
                            <w:r w:rsidR="00113F73" w:rsidRPr="0086089A">
                              <w:rPr>
                                <w:rFonts w:asciiTheme="majorHAnsi" w:hAnsiTheme="majorHAnsi"/>
                                <w:color w:val="595959" w:themeColor="text1" w:themeTint="A6"/>
                                <w:sz w:val="18"/>
                                <w:szCs w:val="18"/>
                                <w:lang w:val="es-PE"/>
                              </w:rPr>
                              <w:t xml:space="preserve">. </w:t>
                            </w:r>
                            <w:r w:rsidR="0020255E">
                              <w:rPr>
                                <w:rFonts w:asciiTheme="majorHAnsi" w:hAnsiTheme="majorHAnsi"/>
                                <w:color w:val="595959" w:themeColor="text1" w:themeTint="A6"/>
                                <w:sz w:val="18"/>
                                <w:szCs w:val="18"/>
                                <w:lang w:val="es-PE"/>
                              </w:rPr>
                              <w:t>24 de octubre de 2024</w:t>
                            </w:r>
                            <w:r w:rsidR="00113F73" w:rsidRPr="0086089A">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E1B1B64" w14:textId="77777777" w:rsidR="00F84E33" w:rsidRDefault="00113F73"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0255E" w:rsidRPr="0020255E">
                        <w:rPr>
                          <w:rFonts w:asciiTheme="majorHAnsi" w:hAnsiTheme="majorHAnsi"/>
                          <w:color w:val="595959" w:themeColor="text1" w:themeTint="A6"/>
                          <w:sz w:val="18"/>
                          <w:szCs w:val="18"/>
                          <w:lang w:val="pt-BR"/>
                        </w:rPr>
                        <w:t>166</w:t>
                      </w:r>
                      <w:r w:rsidR="007B05C4" w:rsidRPr="0020255E">
                        <w:rPr>
                          <w:rFonts w:asciiTheme="majorHAnsi" w:hAnsiTheme="majorHAnsi"/>
                          <w:color w:val="595959" w:themeColor="text1" w:themeTint="A6"/>
                          <w:sz w:val="18"/>
                          <w:szCs w:val="18"/>
                          <w:lang w:val="pt-BR"/>
                        </w:rPr>
                        <w:t>/</w:t>
                      </w:r>
                      <w:r w:rsidR="0020255E" w:rsidRPr="0020255E">
                        <w:rPr>
                          <w:rFonts w:asciiTheme="majorHAnsi" w:hAnsiTheme="majorHAnsi"/>
                          <w:color w:val="595959" w:themeColor="text1" w:themeTint="A6"/>
                          <w:sz w:val="18"/>
                          <w:szCs w:val="18"/>
                          <w:lang w:val="pt-BR"/>
                        </w:rPr>
                        <w:t>24</w:t>
                      </w:r>
                      <w:r w:rsidRPr="0020255E">
                        <w:rPr>
                          <w:rFonts w:asciiTheme="majorHAnsi" w:hAnsiTheme="majorHAnsi"/>
                          <w:color w:val="595959" w:themeColor="text1" w:themeTint="A6"/>
                          <w:sz w:val="18"/>
                          <w:szCs w:val="18"/>
                          <w:lang w:val="pt-BR"/>
                        </w:rPr>
                        <w:t xml:space="preserve">. </w:t>
                      </w:r>
                      <w:r w:rsidR="000433C9" w:rsidRPr="0086089A">
                        <w:rPr>
                          <w:rFonts w:asciiTheme="majorHAnsi" w:hAnsiTheme="majorHAnsi"/>
                          <w:color w:val="595959" w:themeColor="text1" w:themeTint="A6"/>
                          <w:sz w:val="18"/>
                          <w:szCs w:val="18"/>
                          <w:lang w:val="es-PE"/>
                        </w:rPr>
                        <w:t xml:space="preserve">Petición </w:t>
                      </w:r>
                      <w:r w:rsidR="008D19CD" w:rsidRPr="0086089A">
                        <w:rPr>
                          <w:rFonts w:asciiTheme="majorHAnsi" w:hAnsiTheme="majorHAnsi"/>
                          <w:color w:val="595959" w:themeColor="text1" w:themeTint="A6"/>
                          <w:sz w:val="18"/>
                          <w:szCs w:val="18"/>
                          <w:lang w:val="es-PE"/>
                        </w:rPr>
                        <w:t>13</w:t>
                      </w:r>
                      <w:r w:rsidR="00573679">
                        <w:rPr>
                          <w:rFonts w:asciiTheme="majorHAnsi" w:hAnsiTheme="majorHAnsi"/>
                          <w:color w:val="595959" w:themeColor="text1" w:themeTint="A6"/>
                          <w:sz w:val="18"/>
                          <w:szCs w:val="18"/>
                          <w:lang w:val="es-PE"/>
                        </w:rPr>
                        <w:t>4</w:t>
                      </w:r>
                      <w:r w:rsidR="003B1B44" w:rsidRPr="0086089A">
                        <w:rPr>
                          <w:rFonts w:asciiTheme="majorHAnsi" w:hAnsiTheme="majorHAnsi"/>
                          <w:color w:val="595959" w:themeColor="text1" w:themeTint="A6"/>
                          <w:sz w:val="18"/>
                          <w:szCs w:val="18"/>
                          <w:lang w:val="es-PE"/>
                        </w:rPr>
                        <w:t>4</w:t>
                      </w:r>
                      <w:r w:rsidR="00441E0D" w:rsidRPr="0086089A">
                        <w:rPr>
                          <w:rFonts w:asciiTheme="majorHAnsi" w:hAnsiTheme="majorHAnsi"/>
                          <w:color w:val="595959" w:themeColor="text1" w:themeTint="A6"/>
                          <w:sz w:val="18"/>
                          <w:szCs w:val="18"/>
                          <w:lang w:val="es-PE"/>
                        </w:rPr>
                        <w:t>-</w:t>
                      </w:r>
                      <w:r w:rsidR="008D19CD" w:rsidRPr="0086089A">
                        <w:rPr>
                          <w:rFonts w:asciiTheme="majorHAnsi" w:hAnsiTheme="majorHAnsi"/>
                          <w:color w:val="595959" w:themeColor="text1" w:themeTint="A6"/>
                          <w:sz w:val="18"/>
                          <w:szCs w:val="18"/>
                          <w:lang w:val="es-PE"/>
                        </w:rPr>
                        <w:t>09</w:t>
                      </w:r>
                      <w:r w:rsidR="000433C9" w:rsidRPr="0086089A">
                        <w:rPr>
                          <w:rFonts w:asciiTheme="majorHAnsi" w:hAnsiTheme="majorHAnsi"/>
                          <w:color w:val="595959" w:themeColor="text1" w:themeTint="A6"/>
                          <w:sz w:val="18"/>
                          <w:szCs w:val="18"/>
                          <w:lang w:val="es-PE"/>
                        </w:rPr>
                        <w:t xml:space="preserve">. </w:t>
                      </w:r>
                      <w:r w:rsidR="005F1DC2">
                        <w:rPr>
                          <w:rFonts w:asciiTheme="majorHAnsi" w:hAnsiTheme="majorHAnsi"/>
                          <w:color w:val="595959" w:themeColor="text1" w:themeTint="A6"/>
                          <w:sz w:val="18"/>
                          <w:szCs w:val="18"/>
                          <w:lang w:val="es-PE"/>
                        </w:rPr>
                        <w:t>Ina</w:t>
                      </w:r>
                      <w:r w:rsidRPr="0086089A">
                        <w:rPr>
                          <w:rFonts w:asciiTheme="majorHAnsi" w:hAnsiTheme="majorHAnsi"/>
                          <w:color w:val="595959" w:themeColor="text1" w:themeTint="A6"/>
                          <w:sz w:val="18"/>
                          <w:szCs w:val="18"/>
                          <w:lang w:val="es-PE"/>
                        </w:rPr>
                        <w:t xml:space="preserve">dmisibilidad. </w:t>
                      </w:r>
                    </w:p>
                    <w:p w14:paraId="0D1B22CF" w14:textId="2563BB74" w:rsidR="00113F73" w:rsidRPr="007B05C4" w:rsidRDefault="008D19CD" w:rsidP="00113F73">
                      <w:pPr>
                        <w:spacing w:line="276" w:lineRule="auto"/>
                        <w:rPr>
                          <w:rFonts w:asciiTheme="majorHAnsi" w:hAnsiTheme="majorHAnsi"/>
                          <w:color w:val="595959" w:themeColor="text1" w:themeTint="A6"/>
                          <w:sz w:val="18"/>
                          <w:szCs w:val="18"/>
                          <w:lang w:val="es-ES"/>
                        </w:rPr>
                      </w:pPr>
                      <w:r w:rsidRPr="0086089A">
                        <w:rPr>
                          <w:rFonts w:asciiTheme="majorHAnsi" w:hAnsiTheme="majorHAnsi"/>
                          <w:color w:val="595959" w:themeColor="text1" w:themeTint="A6"/>
                          <w:sz w:val="18"/>
                          <w:szCs w:val="18"/>
                          <w:lang w:val="es-PE"/>
                        </w:rPr>
                        <w:t>Alberto Ramón Lezcano</w:t>
                      </w:r>
                      <w:r w:rsidR="00113F73" w:rsidRPr="0086089A">
                        <w:rPr>
                          <w:rFonts w:asciiTheme="majorHAnsi" w:hAnsiTheme="majorHAnsi"/>
                          <w:color w:val="595959" w:themeColor="text1" w:themeTint="A6"/>
                          <w:sz w:val="18"/>
                          <w:szCs w:val="18"/>
                          <w:lang w:val="es-PE"/>
                        </w:rPr>
                        <w:t xml:space="preserve">. </w:t>
                      </w:r>
                      <w:r w:rsidRPr="0086089A">
                        <w:rPr>
                          <w:rFonts w:asciiTheme="majorHAnsi" w:hAnsiTheme="majorHAnsi"/>
                          <w:color w:val="595959" w:themeColor="text1" w:themeTint="A6"/>
                          <w:sz w:val="18"/>
                          <w:szCs w:val="18"/>
                          <w:lang w:val="es-PE"/>
                        </w:rPr>
                        <w:t>Argentina</w:t>
                      </w:r>
                      <w:r w:rsidR="00113F73" w:rsidRPr="0086089A">
                        <w:rPr>
                          <w:rFonts w:asciiTheme="majorHAnsi" w:hAnsiTheme="majorHAnsi"/>
                          <w:color w:val="595959" w:themeColor="text1" w:themeTint="A6"/>
                          <w:sz w:val="18"/>
                          <w:szCs w:val="18"/>
                          <w:lang w:val="es-PE"/>
                        </w:rPr>
                        <w:t xml:space="preserve">. </w:t>
                      </w:r>
                      <w:r w:rsidR="0020255E">
                        <w:rPr>
                          <w:rFonts w:asciiTheme="majorHAnsi" w:hAnsiTheme="majorHAnsi"/>
                          <w:color w:val="595959" w:themeColor="text1" w:themeTint="A6"/>
                          <w:sz w:val="18"/>
                          <w:szCs w:val="18"/>
                          <w:lang w:val="es-PE"/>
                        </w:rPr>
                        <w:t>24 de octubre de 2024</w:t>
                      </w:r>
                      <w:r w:rsidR="00113F73" w:rsidRPr="0086089A">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5D7FE4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35FB21A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A42C415" w:rsidR="0070697F" w:rsidRDefault="006B2112"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7AF45635">
                <wp:simplePos x="0" y="0"/>
                <wp:positionH relativeFrom="column">
                  <wp:posOffset>1329397</wp:posOffset>
                </wp:positionH>
                <wp:positionV relativeFrom="paragraph">
                  <wp:posOffset>490806</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E92DAB6" w:rsidR="00D72DC6" w:rsidRPr="00D72DC6" w:rsidRDefault="00EB35D6" w:rsidP="00F02AD1">
                            <w:pPr>
                              <w:rPr>
                                <w:color w:val="FFFFFF" w:themeColor="background1"/>
                                <w14:textFill>
                                  <w14:noFill/>
                                </w14:textFill>
                              </w:rPr>
                            </w:pPr>
                            <w:r>
                              <w:rPr>
                                <w:noProof/>
                                <w:color w:val="FFFFFF" w:themeColor="background1"/>
                              </w:rPr>
                              <w:drawing>
                                <wp:inline distT="0" distB="0" distL="0" distR="0" wp14:anchorId="72DD4896" wp14:editId="2E36A5D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38.65pt;width:322.55pt;height:4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" fillcolor="white [3201]" stroked="f" strokeweight=".5pt">
                <v:textbox>
                  <w:txbxContent>
                    <w:p w14:paraId="2A1ECD3C" w14:textId="4E92DAB6" w:rsidR="00D72DC6" w:rsidRPr="00D72DC6" w:rsidRDefault="00EB35D6" w:rsidP="00F02AD1">
                      <w:pPr>
                        <w:rPr>
                          <w:color w:val="FFFFFF" w:themeColor="background1"/>
                          <w14:textFill>
                            <w14:noFill/>
                          </w14:textFill>
                        </w:rPr>
                      </w:pPr>
                      <w:r>
                        <w:rPr>
                          <w:noProof/>
                          <w:color w:val="FFFFFF" w:themeColor="background1"/>
                        </w:rPr>
                        <w:drawing>
                          <wp:inline distT="0" distB="0" distL="0" distR="0" wp14:anchorId="72DD4896" wp14:editId="2E36A5D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9DA3C61" w:rsidR="003239B8" w:rsidRPr="00D13530" w:rsidRDefault="002B1032" w:rsidP="00D13530">
            <w:pPr>
              <w:jc w:val="both"/>
              <w:rPr>
                <w:rFonts w:ascii="Cambria" w:hAnsi="Cambria"/>
                <w:bCs/>
                <w:sz w:val="20"/>
                <w:szCs w:val="20"/>
                <w:lang w:val="es-PE"/>
              </w:rPr>
            </w:pPr>
            <w:r>
              <w:rPr>
                <w:rFonts w:ascii="Cambria" w:hAnsi="Cambria"/>
                <w:bCs/>
                <w:sz w:val="20"/>
                <w:szCs w:val="20"/>
                <w:lang w:val="es-PE"/>
              </w:rPr>
              <w:t>Cecilia Asunción</w:t>
            </w:r>
          </w:p>
        </w:tc>
      </w:tr>
      <w:tr w:rsidR="003239B8" w:rsidRPr="008D19C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D60D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BC085B6" w:rsidR="003239B8" w:rsidRPr="000D05CB" w:rsidRDefault="002B1032" w:rsidP="008D2290">
            <w:pPr>
              <w:jc w:val="both"/>
              <w:rPr>
                <w:rFonts w:ascii="Cambria" w:hAnsi="Cambria"/>
                <w:bCs/>
                <w:sz w:val="20"/>
                <w:szCs w:val="20"/>
                <w:lang w:val="es-ES"/>
              </w:rPr>
            </w:pPr>
            <w:r>
              <w:rPr>
                <w:rFonts w:ascii="Cambria" w:hAnsi="Cambria"/>
                <w:bCs/>
                <w:sz w:val="20"/>
                <w:szCs w:val="20"/>
                <w:lang w:val="es-ES"/>
              </w:rPr>
              <w:t>Alberto Ramón Lezcano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890502C" w:rsidR="003239B8" w:rsidRPr="000D05CB" w:rsidRDefault="008D19CD" w:rsidP="008D2290">
            <w:pPr>
              <w:jc w:val="both"/>
              <w:rPr>
                <w:rFonts w:ascii="Cambria" w:hAnsi="Cambria"/>
                <w:bCs/>
                <w:sz w:val="20"/>
                <w:szCs w:val="20"/>
              </w:rPr>
            </w:pPr>
            <w:r>
              <w:rPr>
                <w:rFonts w:ascii="Cambria" w:hAnsi="Cambria"/>
                <w:bCs/>
                <w:sz w:val="20"/>
                <w:szCs w:val="20"/>
              </w:rPr>
              <w:t>Argentina</w:t>
            </w:r>
            <w:r w:rsidR="005D53A4" w:rsidRPr="000D05CB">
              <w:rPr>
                <w:rStyle w:val="FootnoteReference"/>
                <w:rFonts w:ascii="Cambria" w:hAnsi="Cambria"/>
                <w:bCs/>
                <w:sz w:val="20"/>
                <w:szCs w:val="20"/>
              </w:rPr>
              <w:footnoteReference w:id="2"/>
            </w:r>
          </w:p>
        </w:tc>
      </w:tr>
      <w:tr w:rsidR="00223A29" w:rsidRPr="003D7C5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74E2A21" w:rsidR="00223A29" w:rsidRPr="00764856" w:rsidRDefault="00A960E0" w:rsidP="008D2290">
            <w:pPr>
              <w:jc w:val="both"/>
              <w:rPr>
                <w:rFonts w:ascii="Cambria" w:hAnsi="Cambria"/>
                <w:bCs/>
                <w:sz w:val="20"/>
                <w:szCs w:val="20"/>
                <w:lang w:val="es-PE"/>
              </w:rPr>
            </w:pPr>
            <w:r>
              <w:rPr>
                <w:rFonts w:ascii="Cambria" w:hAnsi="Cambria"/>
                <w:bCs/>
                <w:sz w:val="20"/>
                <w:szCs w:val="20"/>
                <w:lang w:val="es-MX"/>
              </w:rPr>
              <w:t>Artículos 16 (libertad de asociación)</w:t>
            </w:r>
            <w:r w:rsidR="00D06B6D">
              <w:rPr>
                <w:rFonts w:ascii="Cambria" w:hAnsi="Cambria"/>
                <w:bCs/>
                <w:sz w:val="20"/>
                <w:szCs w:val="20"/>
                <w:lang w:val="es-MX"/>
              </w:rPr>
              <w:t>, 21 (propiedad privada) y 25 (protección judicial)</w:t>
            </w:r>
            <w:r w:rsidR="0068520D">
              <w:rPr>
                <w:rFonts w:ascii="Cambria" w:hAnsi="Cambria"/>
                <w:bCs/>
                <w:sz w:val="20"/>
                <w:szCs w:val="20"/>
                <w:lang w:val="es-MX"/>
              </w:rPr>
              <w:t xml:space="preserve"> </w:t>
            </w:r>
            <w:r w:rsidR="00764856" w:rsidRPr="00946005">
              <w:rPr>
                <w:rFonts w:ascii="Cambria" w:hAnsi="Cambria"/>
                <w:bCs/>
                <w:sz w:val="20"/>
                <w:szCs w:val="20"/>
                <w:lang w:val="es-MX"/>
              </w:rPr>
              <w:t xml:space="preserve">de la </w:t>
            </w:r>
            <w:r w:rsidR="00764856">
              <w:rPr>
                <w:rFonts w:ascii="Cambria" w:hAnsi="Cambria"/>
                <w:bCs/>
                <w:sz w:val="20"/>
                <w:szCs w:val="20"/>
                <w:lang w:val="es-MX"/>
              </w:rPr>
              <w:t>Convención Americana sobre Derechos Humanos</w:t>
            </w:r>
            <w:r w:rsidR="00764856">
              <w:rPr>
                <w:rStyle w:val="FootnoteReference"/>
                <w:rFonts w:ascii="Cambria" w:hAnsi="Cambria"/>
                <w:bCs/>
                <w:sz w:val="20"/>
                <w:szCs w:val="20"/>
                <w:lang w:val="es-MX"/>
              </w:rPr>
              <w:footnoteReference w:id="3"/>
            </w:r>
            <w:r w:rsidR="00D06B6D">
              <w:rPr>
                <w:rFonts w:ascii="Cambria" w:hAnsi="Cambria"/>
                <w:bCs/>
                <w:sz w:val="20"/>
                <w:szCs w:val="20"/>
                <w:lang w:val="es-MX"/>
              </w:rPr>
              <w:t xml:space="preserve">; y artículo </w:t>
            </w:r>
            <w:r w:rsidR="00A81C51" w:rsidRPr="00C54D2E">
              <w:rPr>
                <w:rFonts w:ascii="Cambria" w:hAnsi="Cambria"/>
                <w:sz w:val="20"/>
                <w:szCs w:val="20"/>
                <w:lang w:val="es-ES"/>
              </w:rPr>
              <w:t>8.</w:t>
            </w:r>
            <w:r w:rsidR="00A81C51">
              <w:rPr>
                <w:rFonts w:ascii="Cambria" w:hAnsi="Cambria"/>
                <w:sz w:val="20"/>
                <w:szCs w:val="20"/>
                <w:lang w:val="es-ES"/>
              </w:rPr>
              <w:t>1.</w:t>
            </w:r>
            <w:r w:rsidR="00A81C51" w:rsidRPr="00C54D2E">
              <w:rPr>
                <w:rFonts w:ascii="Cambria" w:hAnsi="Cambria"/>
                <w:sz w:val="20"/>
                <w:szCs w:val="20"/>
                <w:lang w:val="es-ES"/>
              </w:rPr>
              <w:t>a)</w:t>
            </w:r>
            <w:r w:rsidR="00D06B6D" w:rsidRPr="000F544C">
              <w:rPr>
                <w:rFonts w:ascii="Cambria" w:hAnsi="Cambria"/>
                <w:bCs/>
                <w:sz w:val="20"/>
                <w:szCs w:val="20"/>
                <w:lang w:val="es-MX"/>
              </w:rPr>
              <w:t xml:space="preserve"> (derechos sindicales) del Protocolo </w:t>
            </w:r>
            <w:r w:rsidR="000F544C">
              <w:rPr>
                <w:rFonts w:ascii="Cambria" w:hAnsi="Cambria"/>
                <w:bCs/>
                <w:sz w:val="20"/>
                <w:szCs w:val="20"/>
                <w:lang w:val="es-MX"/>
              </w:rPr>
              <w:t>Adicional a la Convención Americana sobre Derechos Humanos en materia de Derechos Económicos, Sociales y Culturales</w:t>
            </w:r>
            <w:r w:rsidR="00855B03">
              <w:rPr>
                <w:rFonts w:ascii="Cambria" w:hAnsi="Cambria"/>
                <w:bCs/>
                <w:sz w:val="20"/>
                <w:szCs w:val="20"/>
                <w:lang w:val="es-MX"/>
              </w:rPr>
              <w:t xml:space="preserve"> (Protocolo de San Salvador)</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06A2B82" w:rsidR="004C2312" w:rsidRPr="003239B8" w:rsidRDefault="001B4781" w:rsidP="002625EA">
            <w:pPr>
              <w:jc w:val="both"/>
              <w:rPr>
                <w:rFonts w:ascii="Cambria" w:hAnsi="Cambria"/>
                <w:bCs/>
                <w:sz w:val="20"/>
                <w:szCs w:val="20"/>
                <w:lang w:val="es-ES"/>
              </w:rPr>
            </w:pPr>
            <w:r>
              <w:rPr>
                <w:rFonts w:ascii="Cambria" w:hAnsi="Cambria"/>
                <w:bCs/>
                <w:sz w:val="20"/>
                <w:szCs w:val="20"/>
                <w:lang w:val="es-ES"/>
              </w:rPr>
              <w:t>29 de octubre de 2009</w:t>
            </w:r>
          </w:p>
        </w:tc>
      </w:tr>
      <w:tr w:rsidR="00131425" w:rsidRPr="008D19C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0A74030" w:rsidR="00131425" w:rsidRPr="003239B8" w:rsidRDefault="001515D8" w:rsidP="002625EA">
            <w:pPr>
              <w:jc w:val="both"/>
              <w:rPr>
                <w:rFonts w:ascii="Cambria" w:hAnsi="Cambria"/>
                <w:bCs/>
                <w:sz w:val="20"/>
                <w:szCs w:val="20"/>
                <w:lang w:val="es-ES"/>
              </w:rPr>
            </w:pPr>
            <w:r>
              <w:rPr>
                <w:rFonts w:ascii="Cambria" w:hAnsi="Cambria"/>
                <w:bCs/>
                <w:sz w:val="20"/>
                <w:szCs w:val="20"/>
                <w:lang w:val="es-ES"/>
              </w:rPr>
              <w:t>24 de junio de 2010</w:t>
            </w:r>
          </w:p>
        </w:tc>
      </w:tr>
      <w:tr w:rsidR="004C2312" w:rsidRPr="008D19C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4CF6876" w:rsidR="004C2312" w:rsidRPr="003239B8" w:rsidRDefault="00EB3B5A" w:rsidP="008D2290">
            <w:pPr>
              <w:jc w:val="both"/>
              <w:rPr>
                <w:rFonts w:ascii="Cambria" w:hAnsi="Cambria"/>
                <w:bCs/>
                <w:sz w:val="20"/>
                <w:szCs w:val="20"/>
                <w:lang w:val="es-ES"/>
              </w:rPr>
            </w:pPr>
            <w:r>
              <w:rPr>
                <w:rFonts w:ascii="Cambria" w:hAnsi="Cambria"/>
                <w:bCs/>
                <w:sz w:val="20"/>
                <w:szCs w:val="20"/>
                <w:lang w:val="es-ES"/>
              </w:rPr>
              <w:t>26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E3B62CE" w:rsidR="004C2312" w:rsidRPr="003239B8" w:rsidRDefault="0068520D" w:rsidP="008D2290">
            <w:pPr>
              <w:jc w:val="both"/>
              <w:rPr>
                <w:rFonts w:ascii="Cambria" w:hAnsi="Cambria"/>
                <w:bCs/>
                <w:sz w:val="20"/>
                <w:szCs w:val="20"/>
                <w:lang w:val="es-ES"/>
              </w:rPr>
            </w:pPr>
            <w:r>
              <w:rPr>
                <w:rFonts w:ascii="Cambria" w:hAnsi="Cambria"/>
                <w:bCs/>
                <w:sz w:val="20"/>
                <w:szCs w:val="20"/>
                <w:lang w:val="es-ES"/>
              </w:rPr>
              <w:t>24 de febrero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A193B4C" w:rsidR="001E49E7" w:rsidRPr="003239B8" w:rsidRDefault="001515D8" w:rsidP="002625EA">
            <w:pPr>
              <w:jc w:val="both"/>
              <w:rPr>
                <w:rFonts w:ascii="Cambria" w:hAnsi="Cambria"/>
                <w:bCs/>
                <w:sz w:val="20"/>
                <w:szCs w:val="20"/>
                <w:lang w:val="es-ES"/>
              </w:rPr>
            </w:pPr>
            <w:r>
              <w:rPr>
                <w:rFonts w:ascii="Cambria" w:hAnsi="Cambria"/>
                <w:bCs/>
                <w:sz w:val="20"/>
                <w:szCs w:val="20"/>
                <w:lang w:val="es-ES"/>
              </w:rPr>
              <w:t xml:space="preserve">14 de </w:t>
            </w:r>
            <w:r w:rsidR="00EB3B5A">
              <w:rPr>
                <w:rFonts w:ascii="Cambria" w:hAnsi="Cambria"/>
                <w:bCs/>
                <w:sz w:val="20"/>
                <w:szCs w:val="20"/>
                <w:lang w:val="es-ES"/>
              </w:rPr>
              <w:t>octubre de 2021</w:t>
            </w:r>
          </w:p>
        </w:tc>
      </w:tr>
      <w:tr w:rsidR="001E49E7" w:rsidRPr="008D19CD"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2BDDE2C6" w:rsidR="001E49E7" w:rsidRPr="003239B8" w:rsidRDefault="0068520D" w:rsidP="002625EA">
            <w:pPr>
              <w:jc w:val="both"/>
              <w:rPr>
                <w:rFonts w:ascii="Cambria" w:hAnsi="Cambria"/>
                <w:bCs/>
                <w:sz w:val="20"/>
                <w:szCs w:val="20"/>
                <w:lang w:val="es-ES"/>
              </w:rPr>
            </w:pPr>
            <w:r>
              <w:rPr>
                <w:rFonts w:ascii="Cambria" w:hAnsi="Cambria"/>
                <w:bCs/>
                <w:sz w:val="20"/>
                <w:szCs w:val="20"/>
                <w:lang w:val="es-ES"/>
              </w:rPr>
              <w:t>12</w:t>
            </w:r>
            <w:r w:rsidR="00EB3B5A">
              <w:rPr>
                <w:rFonts w:ascii="Cambria" w:hAnsi="Cambria"/>
                <w:bCs/>
                <w:sz w:val="20"/>
                <w:szCs w:val="20"/>
                <w:lang w:val="es-ES"/>
              </w:rPr>
              <w:t xml:space="preserve"> de </w:t>
            </w:r>
            <w:r>
              <w:rPr>
                <w:rFonts w:ascii="Cambria" w:hAnsi="Cambria"/>
                <w:bCs/>
                <w:sz w:val="20"/>
                <w:szCs w:val="20"/>
                <w:lang w:val="es-ES"/>
              </w:rPr>
              <w:t>noviembre</w:t>
            </w:r>
            <w:r w:rsidR="00EB3B5A">
              <w:rPr>
                <w:rFonts w:ascii="Cambria" w:hAnsi="Cambria"/>
                <w:bCs/>
                <w:sz w:val="20"/>
                <w:szCs w:val="20"/>
                <w:lang w:val="es-ES"/>
              </w:rPr>
              <w:t xml:space="preserve"> de 202</w:t>
            </w:r>
            <w:r>
              <w:rPr>
                <w:rFonts w:ascii="Cambria" w:hAnsi="Cambria"/>
                <w:bCs/>
                <w:sz w:val="20"/>
                <w:szCs w:val="20"/>
                <w:lang w:val="es-ES"/>
              </w:rPr>
              <w:t>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855B03">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D31D669" w:rsidR="003239B8" w:rsidRPr="00B3745F" w:rsidRDefault="00D50CD8"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55B03">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918BF82" w:rsidR="003239B8" w:rsidRPr="00B3745F" w:rsidRDefault="00D50CD8"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55B03">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10C868B7" w:rsidR="003239B8" w:rsidRPr="00B3745F" w:rsidRDefault="00D50CD8" w:rsidP="008D2290">
            <w:pPr>
              <w:rPr>
                <w:rFonts w:ascii="Cambria" w:hAnsi="Cambria"/>
                <w:bCs/>
                <w:sz w:val="20"/>
                <w:szCs w:val="20"/>
              </w:rPr>
            </w:pPr>
            <w:r>
              <w:rPr>
                <w:rFonts w:ascii="Cambria" w:hAnsi="Cambria"/>
                <w:bCs/>
                <w:sz w:val="20"/>
                <w:szCs w:val="20"/>
              </w:rPr>
              <w:t>Sí</w:t>
            </w:r>
          </w:p>
        </w:tc>
      </w:tr>
      <w:tr w:rsidR="003239B8" w:rsidRPr="003D7C57" w14:paraId="30ABEC3E" w14:textId="77777777" w:rsidTr="00855B03">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89A8395" w:rsidR="003239B8" w:rsidRPr="00B3745F" w:rsidRDefault="004A197A"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r w:rsidR="00A7577F">
              <w:rPr>
                <w:rFonts w:ascii="Cambria" w:hAnsi="Cambria"/>
                <w:bCs/>
                <w:sz w:val="20"/>
                <w:szCs w:val="20"/>
                <w:lang w:val="es-ES"/>
              </w:rPr>
              <w:t>,</w:t>
            </w:r>
            <w:r w:rsidR="00C32E2E">
              <w:rPr>
                <w:rFonts w:ascii="Cambria" w:hAnsi="Cambria"/>
                <w:bCs/>
                <w:sz w:val="20"/>
                <w:szCs w:val="20"/>
                <w:lang w:val="es-ES"/>
              </w:rPr>
              <w:t xml:space="preserve"> y Protocolo</w:t>
            </w:r>
            <w:r w:rsidR="00CA0398">
              <w:rPr>
                <w:rFonts w:ascii="Cambria" w:hAnsi="Cambria"/>
                <w:bCs/>
                <w:sz w:val="20"/>
                <w:szCs w:val="20"/>
                <w:lang w:val="es-ES"/>
              </w:rPr>
              <w:t xml:space="preserve"> de San Salvador (depósito de instrumento de ratificación realizado el </w:t>
            </w:r>
            <w:r w:rsidR="0058547E">
              <w:rPr>
                <w:rFonts w:ascii="Cambria" w:hAnsi="Cambria"/>
                <w:bCs/>
                <w:sz w:val="20"/>
                <w:szCs w:val="20"/>
                <w:lang w:val="es-ES"/>
              </w:rPr>
              <w:t>23 de octubre de 2003)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295A16" w14:paraId="1231C988" w14:textId="77777777" w:rsidTr="00855B03">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577C0012" w:rsidR="00EE00E9" w:rsidRPr="003F1D48" w:rsidRDefault="004D7BF9" w:rsidP="008D2290">
            <w:pPr>
              <w:jc w:val="both"/>
              <w:rPr>
                <w:rFonts w:ascii="Cambria" w:hAnsi="Cambria"/>
                <w:bCs/>
                <w:sz w:val="20"/>
                <w:szCs w:val="20"/>
                <w:lang w:val="es-PE"/>
              </w:rPr>
            </w:pPr>
            <w:r w:rsidRPr="003F1D48">
              <w:rPr>
                <w:rFonts w:ascii="Cambria" w:hAnsi="Cambria"/>
                <w:bCs/>
                <w:sz w:val="20"/>
                <w:szCs w:val="20"/>
                <w:lang w:val="es-PE"/>
              </w:rPr>
              <w:t>No</w:t>
            </w:r>
          </w:p>
        </w:tc>
      </w:tr>
      <w:tr w:rsidR="003239B8" w:rsidRPr="005F1DC2" w14:paraId="15FAA7D1" w14:textId="77777777" w:rsidTr="00855B03">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70CFC5A8" w:rsidR="003239B8" w:rsidRPr="003F1D48" w:rsidRDefault="005F1DC2" w:rsidP="008D2290">
            <w:pPr>
              <w:jc w:val="both"/>
              <w:rPr>
                <w:rFonts w:ascii="Cambria" w:hAnsi="Cambria"/>
                <w:bCs/>
                <w:sz w:val="20"/>
                <w:szCs w:val="20"/>
                <w:lang w:val="es-PE"/>
              </w:rPr>
            </w:pPr>
            <w:r>
              <w:rPr>
                <w:rFonts w:ascii="Cambria" w:hAnsi="Cambria"/>
                <w:bCs/>
                <w:sz w:val="20"/>
                <w:szCs w:val="20"/>
                <w:lang w:val="es-MX"/>
              </w:rPr>
              <w:t>Ninguno</w:t>
            </w:r>
          </w:p>
        </w:tc>
      </w:tr>
      <w:tr w:rsidR="003239B8" w:rsidRPr="00B47027" w14:paraId="4EFD141E" w14:textId="77777777" w:rsidTr="00855B03">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50DCCE25" w:rsidR="003239B8" w:rsidRPr="00DC24E3" w:rsidRDefault="004D7BF9" w:rsidP="008D2290">
            <w:pPr>
              <w:rPr>
                <w:rFonts w:ascii="Cambria" w:hAnsi="Cambria"/>
                <w:bCs/>
                <w:sz w:val="20"/>
                <w:szCs w:val="20"/>
                <w:lang w:val="es-ES"/>
              </w:rPr>
            </w:pPr>
            <w:r>
              <w:rPr>
                <w:rFonts w:ascii="Cambria" w:hAnsi="Cambria"/>
                <w:bCs/>
                <w:sz w:val="20"/>
                <w:szCs w:val="20"/>
                <w:lang w:val="es-ES"/>
              </w:rPr>
              <w:t>Sí</w:t>
            </w:r>
          </w:p>
        </w:tc>
      </w:tr>
      <w:tr w:rsidR="003239B8" w:rsidRPr="00B47027" w14:paraId="52B5BA17" w14:textId="77777777" w:rsidTr="00855B03">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41DD4A0B" w:rsidR="003239B8" w:rsidRPr="004D7BF9" w:rsidRDefault="004D7BF9" w:rsidP="008D2290">
            <w:pPr>
              <w:rPr>
                <w:rFonts w:ascii="Cambria" w:hAnsi="Cambria"/>
                <w:bCs/>
                <w:sz w:val="20"/>
                <w:szCs w:val="20"/>
                <w:lang w:val="es-PE"/>
              </w:rPr>
            </w:pPr>
            <w:r w:rsidRPr="004D7BF9">
              <w:rPr>
                <w:rFonts w:ascii="Cambria" w:hAnsi="Cambria"/>
                <w:bCs/>
                <w:sz w:val="20"/>
                <w:szCs w:val="20"/>
                <w:lang w:val="es-PE"/>
              </w:rPr>
              <w:t>Sí</w:t>
            </w:r>
          </w:p>
        </w:tc>
      </w:tr>
    </w:tbl>
    <w:p w14:paraId="324E906E" w14:textId="77777777" w:rsidR="00265240" w:rsidRDefault="00265240" w:rsidP="003239B8">
      <w:pPr>
        <w:spacing w:before="240" w:after="240"/>
        <w:ind w:firstLine="720"/>
        <w:jc w:val="both"/>
        <w:rPr>
          <w:rFonts w:asciiTheme="majorHAnsi" w:hAnsiTheme="majorHAnsi"/>
          <w:b/>
          <w:sz w:val="20"/>
          <w:szCs w:val="20"/>
          <w:lang w:val="es-UY"/>
        </w:rPr>
      </w:pPr>
    </w:p>
    <w:p w14:paraId="3FA158F2" w14:textId="77777777" w:rsidR="00265240" w:rsidRDefault="00265240" w:rsidP="003239B8">
      <w:pPr>
        <w:spacing w:before="240" w:after="240"/>
        <w:ind w:firstLine="720"/>
        <w:jc w:val="both"/>
        <w:rPr>
          <w:rFonts w:asciiTheme="majorHAnsi" w:hAnsiTheme="majorHAnsi"/>
          <w:b/>
          <w:sz w:val="20"/>
          <w:szCs w:val="20"/>
          <w:lang w:val="es-UY"/>
        </w:rPr>
      </w:pPr>
    </w:p>
    <w:p w14:paraId="02E3F40E" w14:textId="77777777" w:rsidR="00265240" w:rsidRDefault="00265240" w:rsidP="003239B8">
      <w:pPr>
        <w:spacing w:before="240" w:after="240"/>
        <w:ind w:firstLine="720"/>
        <w:jc w:val="both"/>
        <w:rPr>
          <w:rFonts w:asciiTheme="majorHAnsi" w:hAnsiTheme="majorHAnsi"/>
          <w:b/>
          <w:sz w:val="20"/>
          <w:szCs w:val="20"/>
          <w:lang w:val="es-UY"/>
        </w:rPr>
      </w:pPr>
    </w:p>
    <w:p w14:paraId="18E6423B" w14:textId="2BDE1BF9"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88E3AF1" w14:textId="6A5C4614" w:rsidR="00EF2160" w:rsidRPr="00122EEE" w:rsidRDefault="00B47027" w:rsidP="003239B8">
      <w:pPr>
        <w:spacing w:before="240" w:after="240"/>
        <w:ind w:firstLine="720"/>
        <w:jc w:val="both"/>
        <w:rPr>
          <w:rFonts w:asciiTheme="majorHAnsi" w:hAnsiTheme="majorHAnsi"/>
          <w:bCs/>
          <w:i/>
          <w:iCs/>
          <w:sz w:val="20"/>
          <w:szCs w:val="20"/>
          <w:lang w:val="es-UY"/>
        </w:rPr>
      </w:pPr>
      <w:r>
        <w:rPr>
          <w:rFonts w:asciiTheme="majorHAnsi" w:hAnsiTheme="majorHAnsi"/>
          <w:bCs/>
          <w:i/>
          <w:iCs/>
          <w:sz w:val="20"/>
          <w:szCs w:val="20"/>
          <w:lang w:val="es-UY"/>
        </w:rPr>
        <w:t>L</w:t>
      </w:r>
      <w:r w:rsidR="00EF2160" w:rsidRPr="00122EEE">
        <w:rPr>
          <w:rFonts w:asciiTheme="majorHAnsi" w:hAnsiTheme="majorHAnsi"/>
          <w:bCs/>
          <w:i/>
          <w:iCs/>
          <w:sz w:val="20"/>
          <w:szCs w:val="20"/>
          <w:lang w:val="es-UY"/>
        </w:rPr>
        <w:t>a peticionaria</w:t>
      </w:r>
    </w:p>
    <w:p w14:paraId="265F640C" w14:textId="668E0228" w:rsidR="00567349" w:rsidRPr="00567349" w:rsidRDefault="00567349" w:rsidP="005673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UY"/>
        </w:rPr>
        <w:t xml:space="preserve">La </w:t>
      </w:r>
      <w:r w:rsidRPr="00567349">
        <w:rPr>
          <w:rFonts w:ascii="Cambria" w:hAnsi="Cambria"/>
          <w:sz w:val="20"/>
          <w:szCs w:val="20"/>
          <w:lang w:val="es-PE"/>
        </w:rPr>
        <w:t>parte peticionaria denuncia que las autoridades judiciales no repararon debidamente el despido que sufrió la presunta víctima por realizar actividades sindicales en la empresa donde trabajaba.</w:t>
      </w:r>
    </w:p>
    <w:p w14:paraId="12C9CC22" w14:textId="6761437C" w:rsidR="00300CA7" w:rsidRDefault="0056730E" w:rsidP="00300CA7">
      <w:pPr>
        <w:pStyle w:val="ListParagraph"/>
        <w:numPr>
          <w:ilvl w:val="0"/>
          <w:numId w:val="103"/>
        </w:numPr>
        <w:jc w:val="both"/>
        <w:rPr>
          <w:rFonts w:eastAsia="Arial Unicode MS" w:cs="Times New Roman"/>
          <w:color w:val="auto"/>
          <w:sz w:val="20"/>
          <w:szCs w:val="20"/>
          <w:lang w:val="es-AR" w:eastAsia="en-US"/>
        </w:rPr>
      </w:pPr>
      <w:r>
        <w:rPr>
          <w:rFonts w:eastAsia="Arial Unicode MS" w:cs="Times New Roman"/>
          <w:color w:val="auto"/>
          <w:sz w:val="20"/>
          <w:szCs w:val="20"/>
          <w:lang w:val="es-AR" w:eastAsia="en-US"/>
        </w:rPr>
        <w:t xml:space="preserve">La parte peticionaria narra </w:t>
      </w:r>
      <w:r w:rsidR="000D4720" w:rsidRPr="000D4720">
        <w:rPr>
          <w:rFonts w:eastAsia="Arial Unicode MS" w:cs="Times New Roman"/>
          <w:color w:val="auto"/>
          <w:sz w:val="20"/>
          <w:szCs w:val="20"/>
          <w:lang w:val="es-AR" w:eastAsia="en-US"/>
        </w:rPr>
        <w:t xml:space="preserve">que el 14 de febrero de 2002 la presunta víctima comenzó a trabajar como marinero en buques pesqueros para la empresa Pescargen S.A. Detalla que, a pesar de haber sido elegido congresal suplente del Sindicato de Obreros Marítimos y de que el 15 de marzo de 2005 había ejercido su derecho de huelga, el 17 de marzo de 2005 </w:t>
      </w:r>
      <w:r w:rsidR="005F7159">
        <w:rPr>
          <w:rFonts w:eastAsia="Arial Unicode MS" w:cs="Times New Roman"/>
          <w:color w:val="auto"/>
          <w:sz w:val="20"/>
          <w:szCs w:val="20"/>
          <w:lang w:val="es-AR" w:eastAsia="en-US"/>
        </w:rPr>
        <w:t>su</w:t>
      </w:r>
      <w:r w:rsidR="000D4720" w:rsidRPr="000D4720">
        <w:rPr>
          <w:rFonts w:eastAsia="Arial Unicode MS" w:cs="Times New Roman"/>
          <w:color w:val="auto"/>
          <w:sz w:val="20"/>
          <w:szCs w:val="20"/>
          <w:lang w:val="es-AR" w:eastAsia="en-US"/>
        </w:rPr>
        <w:t xml:space="preserve"> empleador lo despidió, argumentando que se había negado a realizar las tareas para las cuales había sido contratado. Frente a esta situación, la presunta víctima mediante un documento escrito rechazó su despido, alegando que este escondía una actitud antisindical por parte de la empresa, ya que su desvinculación en realidad buscaba reprenderlo por haber participado en una huelga</w:t>
      </w:r>
      <w:r w:rsidR="003B04B2">
        <w:rPr>
          <w:rFonts w:eastAsia="Arial Unicode MS" w:cs="Times New Roman"/>
          <w:color w:val="auto"/>
          <w:sz w:val="20"/>
          <w:szCs w:val="20"/>
          <w:lang w:val="es-AR" w:eastAsia="en-US"/>
        </w:rPr>
        <w:t>.</w:t>
      </w:r>
      <w:r w:rsidR="000D4720" w:rsidRPr="000D4720">
        <w:rPr>
          <w:rFonts w:eastAsia="Arial Unicode MS" w:cs="Times New Roman"/>
          <w:color w:val="auto"/>
          <w:sz w:val="20"/>
          <w:szCs w:val="20"/>
          <w:lang w:val="es-AR" w:eastAsia="en-US"/>
        </w:rPr>
        <w:t xml:space="preserve"> No obstante, Pescargen S.A. no respondió y mantuvo su postura.</w:t>
      </w:r>
    </w:p>
    <w:p w14:paraId="032ED493" w14:textId="77777777" w:rsidR="00300CA7" w:rsidRDefault="00300CA7" w:rsidP="00300CA7">
      <w:pPr>
        <w:pStyle w:val="ListParagraph"/>
        <w:jc w:val="both"/>
        <w:rPr>
          <w:rFonts w:eastAsia="Arial Unicode MS" w:cs="Times New Roman"/>
          <w:color w:val="auto"/>
          <w:sz w:val="20"/>
          <w:szCs w:val="20"/>
          <w:lang w:val="es-AR" w:eastAsia="en-US"/>
        </w:rPr>
      </w:pPr>
    </w:p>
    <w:p w14:paraId="1F8FCFBF" w14:textId="17C68F54" w:rsidR="00C26162" w:rsidRPr="00C26162" w:rsidRDefault="000D564C" w:rsidP="00C26162">
      <w:pPr>
        <w:pStyle w:val="ListParagraph"/>
        <w:numPr>
          <w:ilvl w:val="0"/>
          <w:numId w:val="103"/>
        </w:numPr>
        <w:jc w:val="both"/>
        <w:rPr>
          <w:rFonts w:eastAsia="Arial Unicode MS" w:cs="Times New Roman"/>
          <w:color w:val="auto"/>
          <w:sz w:val="20"/>
          <w:szCs w:val="20"/>
          <w:lang w:val="es-AR" w:eastAsia="en-US"/>
        </w:rPr>
      </w:pPr>
      <w:r>
        <w:rPr>
          <w:sz w:val="20"/>
          <w:szCs w:val="20"/>
          <w:lang w:val="es-AR"/>
        </w:rPr>
        <w:t>E</w:t>
      </w:r>
      <w:r w:rsidR="0095761A">
        <w:rPr>
          <w:sz w:val="20"/>
          <w:szCs w:val="20"/>
          <w:lang w:val="es-AR"/>
        </w:rPr>
        <w:t>n consecuencia</w:t>
      </w:r>
      <w:r w:rsidR="00300CA7" w:rsidRPr="00300CA7">
        <w:rPr>
          <w:sz w:val="20"/>
          <w:szCs w:val="20"/>
          <w:lang w:val="es-AR"/>
        </w:rPr>
        <w:t>, de acuerdo con lo previsto en el artículo 52 de la Ley de Asociaciones Sindicales (</w:t>
      </w:r>
      <w:r w:rsidR="00CC5896">
        <w:rPr>
          <w:sz w:val="20"/>
          <w:szCs w:val="20"/>
          <w:lang w:val="es-AR"/>
        </w:rPr>
        <w:t>“</w:t>
      </w:r>
      <w:r w:rsidR="00300CA7" w:rsidRPr="00300CA7">
        <w:rPr>
          <w:sz w:val="20"/>
          <w:szCs w:val="20"/>
          <w:lang w:val="es-AR"/>
        </w:rPr>
        <w:t>LAS</w:t>
      </w:r>
      <w:r w:rsidR="00CC5896">
        <w:rPr>
          <w:sz w:val="20"/>
          <w:szCs w:val="20"/>
          <w:lang w:val="es-AR"/>
        </w:rPr>
        <w:t>”)</w:t>
      </w:r>
      <w:r w:rsidR="00300CA7">
        <w:rPr>
          <w:rStyle w:val="FootnoteReference"/>
          <w:sz w:val="20"/>
          <w:szCs w:val="20"/>
          <w:lang w:val="es-AR"/>
        </w:rPr>
        <w:footnoteReference w:id="5"/>
      </w:r>
      <w:r w:rsidR="00300CA7" w:rsidRPr="00300CA7">
        <w:rPr>
          <w:sz w:val="20"/>
          <w:szCs w:val="20"/>
          <w:lang w:val="es-AR"/>
        </w:rPr>
        <w:t>, el señor Lezcano entendió que había sido despedido indirectamente</w:t>
      </w:r>
      <w:r w:rsidR="00F147AA">
        <w:rPr>
          <w:sz w:val="20"/>
          <w:szCs w:val="20"/>
          <w:lang w:val="es-AR"/>
        </w:rPr>
        <w:t>,</w:t>
      </w:r>
      <w:r w:rsidR="00300CA7" w:rsidRPr="00300CA7">
        <w:rPr>
          <w:sz w:val="20"/>
          <w:szCs w:val="20"/>
          <w:lang w:val="es-AR"/>
        </w:rPr>
        <w:t xml:space="preserve"> y con base en ello solicitó a la empresa el pago de una indemnización. Sin embargo, frente a esta comunicación Pescargen S.A. rompió su silencio y le envió una carta en la que le </w:t>
      </w:r>
      <w:r w:rsidR="00614193">
        <w:rPr>
          <w:sz w:val="20"/>
          <w:szCs w:val="20"/>
          <w:lang w:val="es-AR"/>
        </w:rPr>
        <w:t>indicó</w:t>
      </w:r>
      <w:r w:rsidR="00300CA7" w:rsidRPr="00300CA7">
        <w:rPr>
          <w:sz w:val="20"/>
          <w:szCs w:val="20"/>
          <w:lang w:val="es-AR"/>
        </w:rPr>
        <w:t xml:space="preserve"> que no tenía conocimiento de que había sido designado como representante gremial y que se retractaba del despido. La parte peticionaria explica que, debido a lo deteriorada que estaba la relación laboral, el señor Lezcano rechazó expresamente la citada comunicación y el ofrecimiento de una reinstalación en su puesto de trabajo, reiterando su posición de dar por extinguido el contrato de trabajo y volviendo a exigir el pago de una indemnización. No obstante, la empresa no aceptó tal solicitud.</w:t>
      </w:r>
    </w:p>
    <w:p w14:paraId="0274E5CD" w14:textId="77777777" w:rsidR="00C26162" w:rsidRPr="00C26162" w:rsidRDefault="00C26162" w:rsidP="00C26162">
      <w:pPr>
        <w:pStyle w:val="ListParagraph"/>
        <w:jc w:val="both"/>
        <w:rPr>
          <w:rFonts w:eastAsia="Arial Unicode MS" w:cs="Times New Roman"/>
          <w:color w:val="auto"/>
          <w:sz w:val="20"/>
          <w:szCs w:val="20"/>
          <w:lang w:val="es-AR" w:eastAsia="en-US"/>
        </w:rPr>
      </w:pPr>
    </w:p>
    <w:p w14:paraId="52040B7D" w14:textId="29A4094A" w:rsidR="008D1FFE" w:rsidRDefault="006E4ECF" w:rsidP="008D1FFE">
      <w:pPr>
        <w:pStyle w:val="ListParagraph"/>
        <w:numPr>
          <w:ilvl w:val="0"/>
          <w:numId w:val="103"/>
        </w:numPr>
        <w:jc w:val="both"/>
        <w:rPr>
          <w:sz w:val="20"/>
          <w:szCs w:val="20"/>
          <w:lang w:val="es-PE"/>
        </w:rPr>
      </w:pPr>
      <w:r>
        <w:rPr>
          <w:sz w:val="20"/>
          <w:szCs w:val="20"/>
          <w:lang w:val="es-PE"/>
        </w:rPr>
        <w:t>Frente a esta situación</w:t>
      </w:r>
      <w:r w:rsidR="008765A5">
        <w:rPr>
          <w:sz w:val="20"/>
          <w:szCs w:val="20"/>
          <w:lang w:val="es-PE"/>
        </w:rPr>
        <w:t>,</w:t>
      </w:r>
      <w:r w:rsidR="0095761A">
        <w:rPr>
          <w:sz w:val="20"/>
          <w:szCs w:val="20"/>
          <w:lang w:val="es-PE"/>
        </w:rPr>
        <w:t xml:space="preserve"> </w:t>
      </w:r>
      <w:r w:rsidR="00C26162" w:rsidRPr="00C26162">
        <w:rPr>
          <w:sz w:val="20"/>
          <w:szCs w:val="20"/>
          <w:lang w:val="es-PE"/>
        </w:rPr>
        <w:t>el señor Lezcano interpuso una demanda por despido contra Pescargen S.A., solicitando el pago de las indemnizaciones especiales previstas en el artículo 52 de la LAS. Como resultado, el 20 de julio de 2007 el Juzgado Nacional del Trabajo de Primera Instancia Nº 59 de la Capital Federal declaró fundado el reclamo y concluyó que el demandante había sido despedido injustificadamente por haber hecho uso legítimo de su derecho de huelga como trabajador y representante gremial. Debido a esta determinación, la citada instancia ordenó el pago de las indemnizaciones requeridas, por un monto equivalente a 120,219.18 pesos argentinos (aproximadamente</w:t>
      </w:r>
      <w:r w:rsidR="00B44318">
        <w:rPr>
          <w:sz w:val="20"/>
          <w:szCs w:val="20"/>
          <w:lang w:val="es-PE"/>
        </w:rPr>
        <w:t xml:space="preserve"> USD$.</w:t>
      </w:r>
      <w:r w:rsidR="00C26162" w:rsidRPr="00C26162">
        <w:rPr>
          <w:sz w:val="20"/>
          <w:szCs w:val="20"/>
          <w:lang w:val="es-PE"/>
        </w:rPr>
        <w:t xml:space="preserve"> 39,032</w:t>
      </w:r>
      <w:r w:rsidR="00B44318">
        <w:rPr>
          <w:sz w:val="20"/>
          <w:szCs w:val="20"/>
          <w:lang w:val="es-PE"/>
        </w:rPr>
        <w:t xml:space="preserve"> al momento de los hechos</w:t>
      </w:r>
      <w:r w:rsidR="00372E0E" w:rsidRPr="00C26162">
        <w:rPr>
          <w:sz w:val="20"/>
          <w:szCs w:val="20"/>
          <w:lang w:val="es-PE"/>
        </w:rPr>
        <w:t>).</w:t>
      </w:r>
    </w:p>
    <w:p w14:paraId="3C5528C9" w14:textId="77777777" w:rsidR="008D1FFE" w:rsidRDefault="008D1FFE" w:rsidP="008D1FFE">
      <w:pPr>
        <w:pStyle w:val="ListParagraph"/>
        <w:jc w:val="both"/>
        <w:rPr>
          <w:sz w:val="20"/>
          <w:szCs w:val="20"/>
          <w:lang w:val="es-PE"/>
        </w:rPr>
      </w:pPr>
    </w:p>
    <w:p w14:paraId="3A80AE1D" w14:textId="2274007C" w:rsidR="00AC120D" w:rsidRDefault="008D1FFE" w:rsidP="008D1FFE">
      <w:pPr>
        <w:pStyle w:val="ListParagraph"/>
        <w:numPr>
          <w:ilvl w:val="0"/>
          <w:numId w:val="103"/>
        </w:numPr>
        <w:jc w:val="both"/>
        <w:rPr>
          <w:sz w:val="20"/>
          <w:szCs w:val="20"/>
          <w:lang w:val="es-PE"/>
        </w:rPr>
      </w:pPr>
      <w:r w:rsidRPr="00CF2BFB">
        <w:rPr>
          <w:rFonts w:asciiTheme="majorHAnsi" w:hAnsiTheme="majorHAnsi"/>
          <w:color w:val="auto"/>
          <w:sz w:val="20"/>
          <w:szCs w:val="20"/>
          <w:lang w:val="es-PE"/>
        </w:rPr>
        <w:lastRenderedPageBreak/>
        <w:t xml:space="preserve">Sin </w:t>
      </w:r>
      <w:r w:rsidRPr="008D1FFE">
        <w:rPr>
          <w:rFonts w:asciiTheme="majorHAnsi" w:hAnsiTheme="majorHAnsi"/>
          <w:sz w:val="20"/>
          <w:szCs w:val="20"/>
          <w:lang w:val="es-PE"/>
        </w:rPr>
        <w:t xml:space="preserve">embargo, Pescargen S.A. apeló esta </w:t>
      </w:r>
      <w:r w:rsidR="00555B91">
        <w:rPr>
          <w:rFonts w:asciiTheme="majorHAnsi" w:hAnsiTheme="majorHAnsi"/>
          <w:sz w:val="20"/>
          <w:szCs w:val="20"/>
          <w:lang w:val="es-PE"/>
        </w:rPr>
        <w:t>decisión</w:t>
      </w:r>
      <w:r w:rsidR="001D0793">
        <w:rPr>
          <w:rFonts w:asciiTheme="majorHAnsi" w:hAnsiTheme="majorHAnsi"/>
          <w:sz w:val="20"/>
          <w:szCs w:val="20"/>
          <w:lang w:val="es-PE"/>
        </w:rPr>
        <w:t>;</w:t>
      </w:r>
      <w:r w:rsidRPr="008D1FFE">
        <w:rPr>
          <w:rFonts w:asciiTheme="majorHAnsi" w:hAnsiTheme="majorHAnsi"/>
          <w:sz w:val="20"/>
          <w:szCs w:val="20"/>
          <w:lang w:val="es-PE"/>
        </w:rPr>
        <w:t xml:space="preserve"> y el 26 de marzo de 2008 la Sala VIII de la Cámara Nacional de Apelaciones del Trabajo revocó parcialmente la sentencia recurrida. </w:t>
      </w:r>
      <w:r w:rsidR="00105874">
        <w:rPr>
          <w:rFonts w:asciiTheme="majorHAnsi" w:hAnsiTheme="majorHAnsi"/>
          <w:sz w:val="20"/>
          <w:szCs w:val="20"/>
          <w:lang w:val="es-PE"/>
        </w:rPr>
        <w:t xml:space="preserve">La peticionaria aduce </w:t>
      </w:r>
      <w:r w:rsidR="00230DB0">
        <w:rPr>
          <w:rFonts w:asciiTheme="majorHAnsi" w:hAnsiTheme="majorHAnsi"/>
          <w:sz w:val="20"/>
          <w:szCs w:val="20"/>
          <w:lang w:val="es-PE"/>
        </w:rPr>
        <w:t>que,</w:t>
      </w:r>
      <w:r w:rsidR="00105874">
        <w:rPr>
          <w:rFonts w:asciiTheme="majorHAnsi" w:hAnsiTheme="majorHAnsi"/>
          <w:sz w:val="20"/>
          <w:szCs w:val="20"/>
          <w:lang w:val="es-PE"/>
        </w:rPr>
        <w:t xml:space="preserve"> si bien esta instancia reconoció que </w:t>
      </w:r>
      <w:r w:rsidRPr="008D1FFE">
        <w:rPr>
          <w:rFonts w:asciiTheme="majorHAnsi" w:hAnsiTheme="majorHAnsi"/>
          <w:sz w:val="20"/>
          <w:szCs w:val="20"/>
          <w:lang w:val="es-PE"/>
        </w:rPr>
        <w:t xml:space="preserve">el demandante había sido despedido injustificadamente, solo confirmó el pago de una reparación ordinaria, sin otorgarle la indemnización especial determinada en el artículo 52 de la LAS. Debido a ello, únicamente dispuso el pago de 11,548.35 pesos argentinos (aproximadamente, </w:t>
      </w:r>
      <w:r w:rsidR="00C7747C">
        <w:rPr>
          <w:rFonts w:asciiTheme="majorHAnsi" w:hAnsiTheme="majorHAnsi"/>
          <w:sz w:val="20"/>
          <w:szCs w:val="20"/>
          <w:lang w:val="es-PE"/>
        </w:rPr>
        <w:t xml:space="preserve">USD$. </w:t>
      </w:r>
      <w:r w:rsidRPr="008D1FFE">
        <w:rPr>
          <w:rFonts w:asciiTheme="majorHAnsi" w:hAnsiTheme="majorHAnsi"/>
          <w:sz w:val="20"/>
          <w:szCs w:val="20"/>
          <w:lang w:val="es-PE"/>
        </w:rPr>
        <w:t xml:space="preserve">3,749). </w:t>
      </w:r>
      <w:r w:rsidR="00010A86">
        <w:rPr>
          <w:rFonts w:asciiTheme="majorHAnsi" w:hAnsiTheme="majorHAnsi"/>
          <w:sz w:val="20"/>
          <w:szCs w:val="20"/>
          <w:lang w:val="es-PE"/>
        </w:rPr>
        <w:t>Señala</w:t>
      </w:r>
      <w:r w:rsidRPr="008D1FFE">
        <w:rPr>
          <w:rFonts w:asciiTheme="majorHAnsi" w:hAnsiTheme="majorHAnsi"/>
          <w:sz w:val="20"/>
          <w:szCs w:val="20"/>
          <w:lang w:val="es-PE"/>
        </w:rPr>
        <w:t xml:space="preserve"> que para sustentar esta determinación el referido tribunal consideró que el empleador ofreció al trabajador la reinstalación en su puesto con el pago de salarios caídos</w:t>
      </w:r>
      <w:r w:rsidR="00D0694D">
        <w:rPr>
          <w:rFonts w:asciiTheme="majorHAnsi" w:hAnsiTheme="majorHAnsi"/>
          <w:sz w:val="20"/>
          <w:szCs w:val="20"/>
          <w:lang w:val="es-PE"/>
        </w:rPr>
        <w:t>,</w:t>
      </w:r>
      <w:r w:rsidRPr="008D1FFE">
        <w:rPr>
          <w:rFonts w:asciiTheme="majorHAnsi" w:hAnsiTheme="majorHAnsi"/>
          <w:sz w:val="20"/>
          <w:szCs w:val="20"/>
          <w:lang w:val="es-PE"/>
        </w:rPr>
        <w:t xml:space="preserve"> y que este rehusó tal medida de reparación. A criterio de dicha instancia, esto mostraba que el señor Lezcano intentó ejercer su derecho de forma abusiva.</w:t>
      </w:r>
      <w:r>
        <w:rPr>
          <w:rFonts w:asciiTheme="majorHAnsi" w:hAnsiTheme="majorHAnsi"/>
          <w:sz w:val="20"/>
          <w:szCs w:val="20"/>
          <w:lang w:val="es-PE"/>
        </w:rPr>
        <w:t xml:space="preserve"> </w:t>
      </w:r>
      <w:r w:rsidR="00D543C6" w:rsidRPr="008D1FFE">
        <w:rPr>
          <w:sz w:val="20"/>
          <w:szCs w:val="20"/>
          <w:lang w:val="es-PE"/>
        </w:rPr>
        <w:t>En palabras del tribual:</w:t>
      </w:r>
      <w:r w:rsidR="00043009" w:rsidRPr="008D1FFE">
        <w:rPr>
          <w:sz w:val="20"/>
          <w:szCs w:val="20"/>
          <w:lang w:val="es-PE"/>
        </w:rPr>
        <w:t xml:space="preserve"> </w:t>
      </w:r>
    </w:p>
    <w:p w14:paraId="7A5939B6" w14:textId="77777777" w:rsidR="008D1FFE" w:rsidRPr="008D1FFE" w:rsidRDefault="008D1FFE" w:rsidP="008D1FFE">
      <w:pPr>
        <w:pStyle w:val="ListParagraph"/>
        <w:jc w:val="both"/>
        <w:rPr>
          <w:sz w:val="20"/>
          <w:szCs w:val="20"/>
          <w:lang w:val="es-PE"/>
        </w:rPr>
      </w:pPr>
    </w:p>
    <w:p w14:paraId="3D8DA739" w14:textId="5A145339" w:rsidR="000742B4" w:rsidRPr="000C199A" w:rsidRDefault="00DB4CFB" w:rsidP="008316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PE"/>
        </w:rPr>
      </w:pPr>
      <w:r>
        <w:rPr>
          <w:rFonts w:ascii="Cambria" w:hAnsi="Cambria"/>
          <w:sz w:val="18"/>
          <w:szCs w:val="18"/>
          <w:lang w:val="es-PE"/>
        </w:rPr>
        <w:t xml:space="preserve">Cuando, como en el caso, es patente el conjunto de elementos objetivos y subjetivos, se hace imprescindible juzgar, desde la perspectiva del deber de buena fe, en relación con el </w:t>
      </w:r>
      <w:r w:rsidR="00A92BAB">
        <w:rPr>
          <w:rFonts w:ascii="Cambria" w:hAnsi="Cambria"/>
          <w:sz w:val="18"/>
          <w:szCs w:val="18"/>
          <w:lang w:val="es-PE"/>
        </w:rPr>
        <w:t>sindicato, tanto como con el empleador, la conducta de quien invoca su condición de representante sindical, sin haber ejercido el cargo, y recibe del empleador la oferta de retractar el despido, reinstalarlo y pagarle los salarios perdidos desde la notificación del acto extintivo. Esto es, todos los efectos de una sentencia favorable frente a la acción de nulidad y reinstalación</w:t>
      </w:r>
      <w:r w:rsidR="007E3405">
        <w:rPr>
          <w:rFonts w:ascii="Cambria" w:hAnsi="Cambria"/>
          <w:sz w:val="18"/>
          <w:szCs w:val="18"/>
          <w:lang w:val="es-PE"/>
        </w:rPr>
        <w:t xml:space="preserve">, que hemos denominado como el “remedio propio” de la crisis originada por el despido directo. La respuesta negativa significa, objetivamente, la opción por el </w:t>
      </w:r>
      <w:r w:rsidR="007E3405" w:rsidRPr="00893CAE">
        <w:rPr>
          <w:rFonts w:ascii="Cambria" w:hAnsi="Cambria"/>
          <w:sz w:val="18"/>
          <w:szCs w:val="18"/>
          <w:lang w:val="es-PE"/>
        </w:rPr>
        <w:t>aprovechamiento de las ventajas derivadas de la estabilidad sindical, desdeñando el cumplim</w:t>
      </w:r>
      <w:r w:rsidR="00CD6DE5" w:rsidRPr="00893CAE">
        <w:rPr>
          <w:rFonts w:ascii="Cambria" w:hAnsi="Cambria"/>
          <w:sz w:val="18"/>
          <w:szCs w:val="18"/>
          <w:lang w:val="es-PE"/>
        </w:rPr>
        <w:t xml:space="preserve">iento de las cargas – en el caso, virtualmente inexistentes – anejas a la condición representativa que constituye el presupuesto de la obtención de esas ventajas. </w:t>
      </w:r>
      <w:r w:rsidR="00893CAE">
        <w:rPr>
          <w:rFonts w:ascii="Cambria" w:hAnsi="Cambria"/>
          <w:sz w:val="18"/>
          <w:szCs w:val="18"/>
          <w:lang w:val="es-PE"/>
        </w:rPr>
        <w:t>Si esto es, como se ha visto, un derecho, ha sido ejercido antifuncionalmente</w:t>
      </w:r>
      <w:r w:rsidR="00D543C6">
        <w:rPr>
          <w:rFonts w:ascii="Cambria" w:hAnsi="Cambria"/>
          <w:sz w:val="18"/>
          <w:szCs w:val="18"/>
          <w:lang w:val="es-PE"/>
        </w:rPr>
        <w:t xml:space="preserve">, con la atención puesta, exclusivamente, en el propio provecho, es decir, abusivamente, conducta que la ley no ampara. </w:t>
      </w:r>
      <w:r w:rsidR="007813EE" w:rsidRPr="007813EE">
        <w:rPr>
          <w:rFonts w:ascii="Cambria" w:hAnsi="Cambria"/>
          <w:sz w:val="18"/>
          <w:szCs w:val="18"/>
          <w:lang w:val="es-PE"/>
        </w:rPr>
        <w:t>[…]</w:t>
      </w:r>
      <w:r w:rsidR="007813EE">
        <w:rPr>
          <w:rFonts w:ascii="Cambria" w:hAnsi="Cambria"/>
          <w:sz w:val="18"/>
          <w:szCs w:val="18"/>
          <w:lang w:val="es-PE"/>
        </w:rPr>
        <w:t xml:space="preserve"> </w:t>
      </w:r>
      <w:r w:rsidR="00B735F7" w:rsidRPr="000C199A">
        <w:rPr>
          <w:rFonts w:ascii="Cambria" w:hAnsi="Cambria"/>
          <w:sz w:val="18"/>
          <w:szCs w:val="18"/>
          <w:lang w:val="es-PE"/>
        </w:rPr>
        <w:t>Al haber rehusado aceptar el ofreci</w:t>
      </w:r>
      <w:r w:rsidR="00B83875">
        <w:rPr>
          <w:rFonts w:ascii="Cambria" w:hAnsi="Cambria"/>
          <w:sz w:val="18"/>
          <w:szCs w:val="18"/>
          <w:lang w:val="es-PE"/>
        </w:rPr>
        <w:t xml:space="preserve">miento de perseverar en la observancia de la relación de trabajo que le otorgaba una de las calidades requeridas para ser electo, se colocó, voluntariamente, al margen del sistema, ya que ningún reproche cabe al empleador que, de buena fe, se apresuró a enmendar el error formal que había cometido y ofreció compensar la pérdida de salarios. </w:t>
      </w:r>
    </w:p>
    <w:p w14:paraId="4388B85B" w14:textId="7E761A20" w:rsidR="00A032BA" w:rsidRPr="00A032BA" w:rsidRDefault="0095761A" w:rsidP="00A032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Pr>
          <w:rFonts w:ascii="Cambria" w:hAnsi="Cambria"/>
          <w:sz w:val="20"/>
          <w:szCs w:val="20"/>
          <w:lang w:val="es-PE"/>
        </w:rPr>
        <w:t>Aduce que</w:t>
      </w:r>
      <w:r w:rsidR="006F6AE5">
        <w:rPr>
          <w:rFonts w:ascii="Cambria" w:hAnsi="Cambria"/>
          <w:sz w:val="20"/>
          <w:szCs w:val="20"/>
          <w:lang w:val="es-PE"/>
        </w:rPr>
        <w:t>,</w:t>
      </w:r>
      <w:r w:rsidR="00A032BA" w:rsidRPr="00A032BA">
        <w:rPr>
          <w:rFonts w:ascii="Cambria" w:hAnsi="Cambria"/>
          <w:sz w:val="20"/>
          <w:szCs w:val="20"/>
          <w:lang w:val="es-PE"/>
        </w:rPr>
        <w:t xml:space="preserve"> el 18 de abril de 2008 el señor Lezcano presentó un recurso extraordinario contra esta decisión, pero el 18 de junio de 2008, la Sala VIII de la Cámara Nacional de Apelaciones del Trabajo lo desestimó. </w:t>
      </w:r>
      <w:r w:rsidR="00BD505F">
        <w:rPr>
          <w:rFonts w:ascii="Cambria" w:hAnsi="Cambria"/>
          <w:sz w:val="20"/>
          <w:szCs w:val="20"/>
          <w:lang w:val="es-PE"/>
        </w:rPr>
        <w:t>Además,</w:t>
      </w:r>
      <w:r w:rsidR="00A032BA" w:rsidRPr="00A032BA">
        <w:rPr>
          <w:rFonts w:ascii="Cambria" w:hAnsi="Cambria"/>
          <w:sz w:val="20"/>
          <w:szCs w:val="20"/>
          <w:lang w:val="es-PE"/>
        </w:rPr>
        <w:t xml:space="preserve"> el 9 de junio de 2008 también interpuso un recurso de queja</w:t>
      </w:r>
      <w:r w:rsidR="00247523">
        <w:rPr>
          <w:rFonts w:ascii="Cambria" w:hAnsi="Cambria"/>
          <w:sz w:val="20"/>
          <w:szCs w:val="20"/>
          <w:lang w:val="es-PE"/>
        </w:rPr>
        <w:t>; que</w:t>
      </w:r>
      <w:r w:rsidR="00A032BA" w:rsidRPr="00A032BA">
        <w:rPr>
          <w:rFonts w:ascii="Cambria" w:hAnsi="Cambria"/>
          <w:sz w:val="20"/>
          <w:szCs w:val="20"/>
          <w:lang w:val="es-PE"/>
        </w:rPr>
        <w:t xml:space="preserve"> el 21 de octubre de </w:t>
      </w:r>
      <w:r w:rsidR="00EB36E8">
        <w:rPr>
          <w:rFonts w:ascii="Cambria" w:hAnsi="Cambria"/>
          <w:sz w:val="20"/>
          <w:szCs w:val="20"/>
          <w:lang w:val="es-PE"/>
        </w:rPr>
        <w:t>ese a</w:t>
      </w:r>
      <w:r>
        <w:rPr>
          <w:rFonts w:ascii="Cambria" w:hAnsi="Cambria"/>
          <w:sz w:val="20"/>
          <w:szCs w:val="20"/>
          <w:lang w:val="es-ES"/>
        </w:rPr>
        <w:t xml:space="preserve">ño </w:t>
      </w:r>
      <w:r w:rsidR="00A032BA" w:rsidRPr="00A032BA">
        <w:rPr>
          <w:rFonts w:ascii="Cambria" w:hAnsi="Cambria"/>
          <w:sz w:val="20"/>
          <w:szCs w:val="20"/>
          <w:lang w:val="es-PE"/>
        </w:rPr>
        <w:t>la Corte Suprema de Justicia de la Nación declaró improcedente, indicando que el escrito de presentación había excedido en seis páginas el límite establecido en el artículo 4 de su reglamento. Finalmente, el señor Lezcano recurrió esta decisión mediante un escrito de reposición. Sin embargo, el 5 de mayo de 2009, la Corte Suprema de Justicia de la Nación lo rechazó, indicando que “</w:t>
      </w:r>
      <w:r w:rsidR="00A032BA" w:rsidRPr="00A032BA">
        <w:rPr>
          <w:rFonts w:ascii="Cambria" w:hAnsi="Cambria"/>
          <w:i/>
          <w:iCs/>
          <w:sz w:val="20"/>
          <w:szCs w:val="20"/>
          <w:lang w:val="es-PE"/>
        </w:rPr>
        <w:t>las sentencias definitivas e interlocutorias no son susceptibles de ser modificadas por la vía intentada</w:t>
      </w:r>
      <w:r w:rsidR="00A032BA" w:rsidRPr="00A032BA">
        <w:rPr>
          <w:rFonts w:ascii="Cambria" w:hAnsi="Cambria"/>
          <w:sz w:val="20"/>
          <w:szCs w:val="20"/>
          <w:lang w:val="es-PE"/>
        </w:rPr>
        <w:t xml:space="preserve"> […] </w:t>
      </w:r>
      <w:r w:rsidR="00A032BA" w:rsidRPr="00A032BA">
        <w:rPr>
          <w:rFonts w:ascii="Cambria" w:hAnsi="Cambria"/>
          <w:i/>
          <w:iCs/>
          <w:sz w:val="20"/>
          <w:szCs w:val="20"/>
          <w:lang w:val="es-PE"/>
        </w:rPr>
        <w:t>sin que se den en el caso circunstancias estrictamente que autoricen a apartarse de tal principio</w:t>
      </w:r>
      <w:r w:rsidR="00A032BA" w:rsidRPr="00A032BA">
        <w:rPr>
          <w:rFonts w:ascii="Cambria" w:hAnsi="Cambria"/>
          <w:sz w:val="20"/>
          <w:szCs w:val="20"/>
          <w:lang w:val="es-PE"/>
        </w:rPr>
        <w:t>”. Indica que esta última determinación se notificó el 28 de mayo de 2009.</w:t>
      </w:r>
    </w:p>
    <w:p w14:paraId="245EA94F" w14:textId="260C7212" w:rsidR="00122EEE" w:rsidRPr="00122EEE" w:rsidRDefault="00122EEE" w:rsidP="00122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122EEE">
        <w:rPr>
          <w:rFonts w:ascii="Cambria" w:hAnsi="Cambria"/>
          <w:sz w:val="20"/>
          <w:szCs w:val="20"/>
          <w:lang w:val="es-PE"/>
        </w:rPr>
        <w:t xml:space="preserve">Con base en </w:t>
      </w:r>
      <w:r w:rsidR="0063170D">
        <w:rPr>
          <w:rFonts w:ascii="Cambria" w:hAnsi="Cambria"/>
          <w:sz w:val="20"/>
          <w:szCs w:val="20"/>
          <w:lang w:val="es-PE"/>
        </w:rPr>
        <w:t>estas</w:t>
      </w:r>
      <w:r w:rsidRPr="00122EEE">
        <w:rPr>
          <w:rFonts w:ascii="Cambria" w:hAnsi="Cambria"/>
          <w:sz w:val="20"/>
          <w:szCs w:val="20"/>
          <w:lang w:val="es-PE"/>
        </w:rPr>
        <w:t xml:space="preserve"> consideraciones, la parte peticionaria </w:t>
      </w:r>
      <w:r w:rsidR="00352D49">
        <w:rPr>
          <w:rFonts w:ascii="Cambria" w:hAnsi="Cambria"/>
          <w:sz w:val="20"/>
          <w:szCs w:val="20"/>
          <w:lang w:val="es-PE"/>
        </w:rPr>
        <w:t>reclama</w:t>
      </w:r>
      <w:r w:rsidR="0063170D">
        <w:rPr>
          <w:rFonts w:ascii="Cambria" w:hAnsi="Cambria"/>
          <w:sz w:val="20"/>
          <w:szCs w:val="20"/>
          <w:lang w:val="es-PE"/>
        </w:rPr>
        <w:t xml:space="preserve"> fundamentalmente</w:t>
      </w:r>
      <w:r w:rsidRPr="00122EEE">
        <w:rPr>
          <w:rFonts w:ascii="Cambria" w:hAnsi="Cambria"/>
          <w:sz w:val="20"/>
          <w:szCs w:val="20"/>
          <w:lang w:val="es-PE"/>
        </w:rPr>
        <w:t xml:space="preserve"> que la Cámara Nacional de Apelaciones del Trabajo no le concediera la indemnización que le correspondía por ley, únicamente porque la empresa le ofreció volver a su puesto de trabajo. Resalta que la sentencia de dicho órgano contiene varias falencias argumentativas, pues no hizo ninguna referencia a la vulneración del derecho a la huelga de la presunta víctima</w:t>
      </w:r>
      <w:r w:rsidR="0066532C">
        <w:rPr>
          <w:rFonts w:ascii="Cambria" w:hAnsi="Cambria"/>
          <w:sz w:val="20"/>
          <w:szCs w:val="20"/>
          <w:lang w:val="es-PE"/>
        </w:rPr>
        <w:t>;</w:t>
      </w:r>
      <w:r w:rsidRPr="00122EEE">
        <w:rPr>
          <w:rFonts w:ascii="Cambria" w:hAnsi="Cambria"/>
          <w:sz w:val="20"/>
          <w:szCs w:val="20"/>
          <w:lang w:val="es-PE"/>
        </w:rPr>
        <w:t xml:space="preserve"> y por ende, no valoró que la relación con el empleador ya estaba quebrada. Finalmente, sostiene que las instancias posteriores no corrigieron las deficiencias de esta resolución por meros formalismos.</w:t>
      </w:r>
    </w:p>
    <w:p w14:paraId="4034A0F1" w14:textId="0D35C21C" w:rsidR="00AC120D" w:rsidRPr="00122EEE" w:rsidRDefault="00AC120D" w:rsidP="00AC120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122EEE">
        <w:rPr>
          <w:i/>
          <w:iCs/>
          <w:sz w:val="20"/>
          <w:szCs w:val="20"/>
          <w:lang w:val="es-AR"/>
        </w:rPr>
        <w:t>El Estado argentino</w:t>
      </w:r>
    </w:p>
    <w:p w14:paraId="6A5146F8" w14:textId="3AD6F795" w:rsidR="00152027" w:rsidRDefault="00152027" w:rsidP="00773A3F">
      <w:pPr>
        <w:pStyle w:val="ListParagraph"/>
        <w:numPr>
          <w:ilvl w:val="0"/>
          <w:numId w:val="103"/>
        </w:numPr>
        <w:jc w:val="both"/>
        <w:rPr>
          <w:rFonts w:asciiTheme="majorHAnsi" w:eastAsia="Arial Unicode MS" w:hAnsiTheme="majorHAnsi" w:cs="Times New Roman"/>
          <w:bCs/>
          <w:color w:val="auto"/>
          <w:sz w:val="20"/>
          <w:szCs w:val="20"/>
          <w:lang w:val="es-ES_tradnl" w:eastAsia="en-US"/>
        </w:rPr>
      </w:pPr>
      <w:r w:rsidRPr="00152027">
        <w:rPr>
          <w:rFonts w:asciiTheme="majorHAnsi" w:eastAsia="Arial Unicode MS" w:hAnsiTheme="majorHAnsi" w:cs="Times New Roman"/>
          <w:bCs/>
          <w:color w:val="auto"/>
          <w:sz w:val="20"/>
          <w:szCs w:val="20"/>
          <w:lang w:val="es-ES_tradnl" w:eastAsia="en-US"/>
        </w:rPr>
        <w:t xml:space="preserve">Por su parte, el Estado solicita a la CIDH que declare inadmisible esta petición, ya que la parte peticionaria la </w:t>
      </w:r>
      <w:r w:rsidR="00E50694">
        <w:rPr>
          <w:rFonts w:asciiTheme="majorHAnsi" w:eastAsia="Arial Unicode MS" w:hAnsiTheme="majorHAnsi" w:cs="Times New Roman"/>
          <w:bCs/>
          <w:color w:val="auto"/>
          <w:sz w:val="20"/>
          <w:szCs w:val="20"/>
          <w:lang w:val="es-ES_tradnl" w:eastAsia="en-US"/>
        </w:rPr>
        <w:t>habría presentado</w:t>
      </w:r>
      <w:r w:rsidRPr="00152027">
        <w:rPr>
          <w:rFonts w:asciiTheme="majorHAnsi" w:eastAsia="Arial Unicode MS" w:hAnsiTheme="majorHAnsi" w:cs="Times New Roman"/>
          <w:bCs/>
          <w:color w:val="auto"/>
          <w:sz w:val="20"/>
          <w:szCs w:val="20"/>
          <w:lang w:val="es-ES_tradnl" w:eastAsia="en-US"/>
        </w:rPr>
        <w:t xml:space="preserve"> de forma extemporánea. Precisa que a pesar de que el 29 de octubre de 2008 la Corte Suprema de Justicia de la Nación notificó el rechazo del recurso de queja presentado por el señor Lezcano, su representante recién interpuso </w:t>
      </w:r>
      <w:r w:rsidR="00D36458">
        <w:rPr>
          <w:rFonts w:asciiTheme="majorHAnsi" w:eastAsia="Arial Unicode MS" w:hAnsiTheme="majorHAnsi" w:cs="Times New Roman"/>
          <w:bCs/>
          <w:color w:val="auto"/>
          <w:sz w:val="20"/>
          <w:szCs w:val="20"/>
          <w:lang w:val="es-ES_tradnl" w:eastAsia="en-US"/>
        </w:rPr>
        <w:t>la presente petición</w:t>
      </w:r>
      <w:r w:rsidRPr="00152027">
        <w:rPr>
          <w:rFonts w:asciiTheme="majorHAnsi" w:eastAsia="Arial Unicode MS" w:hAnsiTheme="majorHAnsi" w:cs="Times New Roman"/>
          <w:bCs/>
          <w:color w:val="auto"/>
          <w:sz w:val="20"/>
          <w:szCs w:val="20"/>
          <w:lang w:val="es-ES_tradnl" w:eastAsia="en-US"/>
        </w:rPr>
        <w:t xml:space="preserve"> un año después, el 29 de octubre de 2009. Según Argentina</w:t>
      </w:r>
      <w:r w:rsidR="00AE3CDD">
        <w:rPr>
          <w:rFonts w:asciiTheme="majorHAnsi" w:eastAsia="Arial Unicode MS" w:hAnsiTheme="majorHAnsi" w:cs="Times New Roman"/>
          <w:bCs/>
          <w:color w:val="auto"/>
          <w:sz w:val="20"/>
          <w:szCs w:val="20"/>
          <w:lang w:val="es-ES_tradnl" w:eastAsia="en-US"/>
        </w:rPr>
        <w:t>,</w:t>
      </w:r>
      <w:r w:rsidRPr="00152027">
        <w:rPr>
          <w:rFonts w:asciiTheme="majorHAnsi" w:eastAsia="Arial Unicode MS" w:hAnsiTheme="majorHAnsi" w:cs="Times New Roman"/>
          <w:bCs/>
          <w:color w:val="auto"/>
          <w:sz w:val="20"/>
          <w:szCs w:val="20"/>
          <w:lang w:val="es-ES_tradnl" w:eastAsia="en-US"/>
        </w:rPr>
        <w:t xml:space="preserve"> se debe analizar el plazo de seis meses previsto en el artículo 46.1.b) de la Convención Americana a partir de la notificación de esta decisión y no del recurso de reposición, pues este no configura un supuesto atendible de continuidad procesal a los fines del agotamiento de los recursos internos. </w:t>
      </w:r>
      <w:r w:rsidR="00E25934">
        <w:rPr>
          <w:rFonts w:asciiTheme="majorHAnsi" w:eastAsia="Arial Unicode MS" w:hAnsiTheme="majorHAnsi" w:cs="Times New Roman"/>
          <w:bCs/>
          <w:color w:val="auto"/>
          <w:sz w:val="20"/>
          <w:szCs w:val="20"/>
          <w:lang w:val="es-ES_tradnl" w:eastAsia="en-US"/>
        </w:rPr>
        <w:t>Plantea</w:t>
      </w:r>
      <w:r w:rsidRPr="00152027">
        <w:rPr>
          <w:rFonts w:asciiTheme="majorHAnsi" w:eastAsia="Arial Unicode MS" w:hAnsiTheme="majorHAnsi" w:cs="Times New Roman"/>
          <w:bCs/>
          <w:color w:val="auto"/>
          <w:sz w:val="20"/>
          <w:szCs w:val="20"/>
          <w:lang w:val="es-ES_tradnl" w:eastAsia="en-US"/>
        </w:rPr>
        <w:t xml:space="preserve"> que el uso de un escrito de reposición en un caso como este es improcedente por definición y que su uso luce “irrazonable” y/o temerario.</w:t>
      </w:r>
    </w:p>
    <w:p w14:paraId="1573A376" w14:textId="77777777" w:rsidR="00E62413" w:rsidRPr="00152027" w:rsidRDefault="00E62413" w:rsidP="00E62413">
      <w:pPr>
        <w:pStyle w:val="ListParagraph"/>
        <w:rPr>
          <w:rFonts w:asciiTheme="majorHAnsi" w:eastAsia="Arial Unicode MS" w:hAnsiTheme="majorHAnsi" w:cs="Times New Roman"/>
          <w:bCs/>
          <w:color w:val="auto"/>
          <w:sz w:val="20"/>
          <w:szCs w:val="20"/>
          <w:lang w:val="es-ES_tradnl" w:eastAsia="en-US"/>
        </w:rPr>
      </w:pPr>
    </w:p>
    <w:p w14:paraId="6F0C795E" w14:textId="0BB3299E" w:rsidR="00E62413" w:rsidRDefault="00E62413" w:rsidP="00A4049C">
      <w:pPr>
        <w:pStyle w:val="ListParagraph"/>
        <w:numPr>
          <w:ilvl w:val="0"/>
          <w:numId w:val="103"/>
        </w:numPr>
        <w:jc w:val="both"/>
        <w:rPr>
          <w:rFonts w:asciiTheme="majorHAnsi" w:eastAsia="Arial Unicode MS" w:hAnsiTheme="majorHAnsi" w:cs="Times New Roman"/>
          <w:bCs/>
          <w:color w:val="auto"/>
          <w:sz w:val="20"/>
          <w:szCs w:val="20"/>
          <w:lang w:val="es-ES_tradnl" w:eastAsia="en-US"/>
        </w:rPr>
      </w:pPr>
      <w:r w:rsidRPr="00E62413">
        <w:rPr>
          <w:rFonts w:asciiTheme="majorHAnsi" w:eastAsia="Arial Unicode MS" w:hAnsiTheme="majorHAnsi" w:cs="Times New Roman"/>
          <w:bCs/>
          <w:color w:val="auto"/>
          <w:sz w:val="20"/>
          <w:szCs w:val="20"/>
          <w:lang w:val="es-ES_tradnl" w:eastAsia="en-US"/>
        </w:rPr>
        <w:t xml:space="preserve">Sin perjuicio de lo expuesto, agrega que los hechos narrados en la petición no constituyen, ni siquiera </w:t>
      </w:r>
      <w:r w:rsidRPr="006F1DE2">
        <w:rPr>
          <w:rFonts w:asciiTheme="majorHAnsi" w:eastAsia="Arial Unicode MS" w:hAnsiTheme="majorHAnsi" w:cs="Times New Roman"/>
          <w:bCs/>
          <w:i/>
          <w:iCs/>
          <w:color w:val="auto"/>
          <w:sz w:val="20"/>
          <w:szCs w:val="20"/>
          <w:lang w:val="es-ES_tradnl" w:eastAsia="en-US"/>
        </w:rPr>
        <w:t>prima facie</w:t>
      </w:r>
      <w:r w:rsidRPr="00E62413">
        <w:rPr>
          <w:rFonts w:asciiTheme="majorHAnsi" w:eastAsia="Arial Unicode MS" w:hAnsiTheme="majorHAnsi" w:cs="Times New Roman"/>
          <w:bCs/>
          <w:color w:val="auto"/>
          <w:sz w:val="20"/>
          <w:szCs w:val="20"/>
          <w:lang w:val="es-ES_tradnl" w:eastAsia="en-US"/>
        </w:rPr>
        <w:t>, eventuales violaciones a los derechos contemplados en la Convención Americana u otros tratados interamericanos. Considera que está claramente expuesto que el señor Lezcano pudo regresar a la empresa y continuar con su mandato gremial, pero decidió no hacerlo. Indica que, tal como sostuvo la Cámara</w:t>
      </w:r>
      <w:r w:rsidR="00405BDC">
        <w:rPr>
          <w:rFonts w:asciiTheme="majorHAnsi" w:eastAsia="Arial Unicode MS" w:hAnsiTheme="majorHAnsi" w:cs="Times New Roman"/>
          <w:bCs/>
          <w:color w:val="auto"/>
          <w:sz w:val="20"/>
          <w:szCs w:val="20"/>
          <w:lang w:val="es-ES_tradnl" w:eastAsia="en-US"/>
        </w:rPr>
        <w:t xml:space="preserve"> </w:t>
      </w:r>
      <w:r w:rsidR="00405BDC" w:rsidRPr="00122EEE">
        <w:rPr>
          <w:sz w:val="20"/>
          <w:szCs w:val="20"/>
          <w:lang w:val="es-PE"/>
        </w:rPr>
        <w:t>Nacional de Apelaciones del Trabajo</w:t>
      </w:r>
      <w:r w:rsidRPr="00E62413">
        <w:rPr>
          <w:rFonts w:asciiTheme="majorHAnsi" w:eastAsia="Arial Unicode MS" w:hAnsiTheme="majorHAnsi" w:cs="Times New Roman"/>
          <w:bCs/>
          <w:color w:val="auto"/>
          <w:sz w:val="20"/>
          <w:szCs w:val="20"/>
          <w:lang w:val="es-ES_tradnl" w:eastAsia="en-US"/>
        </w:rPr>
        <w:t>, al negarse a volver a la compañía la presunta víctima no alegó ni demostró que hubo un deterioro de la relación de trabajo o una ostensible resistencia del empleador a reinstalarlo.</w:t>
      </w:r>
    </w:p>
    <w:p w14:paraId="1663B326" w14:textId="77777777" w:rsidR="00092946" w:rsidRPr="00E62413" w:rsidRDefault="00092946" w:rsidP="00092946">
      <w:pPr>
        <w:pStyle w:val="ListParagraph"/>
        <w:jc w:val="both"/>
        <w:rPr>
          <w:rFonts w:asciiTheme="majorHAnsi" w:eastAsia="Arial Unicode MS" w:hAnsiTheme="majorHAnsi" w:cs="Times New Roman"/>
          <w:bCs/>
          <w:color w:val="auto"/>
          <w:sz w:val="20"/>
          <w:szCs w:val="20"/>
          <w:lang w:val="es-ES_tradnl" w:eastAsia="en-US"/>
        </w:rPr>
      </w:pPr>
    </w:p>
    <w:p w14:paraId="4E12BA3D" w14:textId="4CAFA7D9" w:rsidR="00E62413" w:rsidRDefault="00E62413" w:rsidP="00E62413">
      <w:pPr>
        <w:pStyle w:val="ListParagraph"/>
        <w:numPr>
          <w:ilvl w:val="0"/>
          <w:numId w:val="103"/>
        </w:numPr>
        <w:jc w:val="both"/>
        <w:rPr>
          <w:rFonts w:asciiTheme="majorHAnsi" w:eastAsia="Arial Unicode MS" w:hAnsiTheme="majorHAnsi" w:cs="Times New Roman"/>
          <w:bCs/>
          <w:color w:val="auto"/>
          <w:sz w:val="20"/>
          <w:szCs w:val="20"/>
          <w:lang w:val="es-ES_tradnl" w:eastAsia="en-US"/>
        </w:rPr>
      </w:pPr>
      <w:r w:rsidRPr="00E62413">
        <w:rPr>
          <w:rFonts w:asciiTheme="majorHAnsi" w:eastAsia="Arial Unicode MS" w:hAnsiTheme="majorHAnsi" w:cs="Times New Roman"/>
          <w:bCs/>
          <w:color w:val="auto"/>
          <w:sz w:val="20"/>
          <w:szCs w:val="20"/>
          <w:lang w:val="es-ES_tradnl" w:eastAsia="en-US"/>
        </w:rPr>
        <w:t>Agrega que los tribunales del trabajo protegieron el derecho del señor Lezcano a emprender una huelga y responsabilizaron a la empresa demandada por el despido motivado por las acciones emprendidas por el sindicato. En tal sentido, el Estado destaca que el relato de la petición no evidencia una vulneración del derecho a la huelga, pues los tribunales internos resolvieron correctamente la presente situación.</w:t>
      </w:r>
    </w:p>
    <w:p w14:paraId="610112CF" w14:textId="77777777" w:rsidR="00773A3F" w:rsidRPr="00E62413" w:rsidRDefault="00773A3F" w:rsidP="00773A3F">
      <w:pPr>
        <w:pStyle w:val="ListParagraph"/>
        <w:jc w:val="both"/>
        <w:rPr>
          <w:rFonts w:asciiTheme="majorHAnsi" w:eastAsia="Arial Unicode MS" w:hAnsiTheme="majorHAnsi" w:cs="Times New Roman"/>
          <w:bCs/>
          <w:color w:val="auto"/>
          <w:sz w:val="20"/>
          <w:szCs w:val="20"/>
          <w:lang w:val="es-ES_tradnl" w:eastAsia="en-US"/>
        </w:rPr>
      </w:pPr>
    </w:p>
    <w:p w14:paraId="763C4CF6" w14:textId="6887214F" w:rsidR="00773A3F" w:rsidRDefault="00773A3F" w:rsidP="00773A3F">
      <w:pPr>
        <w:pStyle w:val="ListParagraph"/>
        <w:numPr>
          <w:ilvl w:val="0"/>
          <w:numId w:val="103"/>
        </w:numPr>
        <w:jc w:val="both"/>
        <w:rPr>
          <w:rFonts w:asciiTheme="majorHAnsi" w:eastAsia="Arial Unicode MS" w:hAnsiTheme="majorHAnsi" w:cs="Times New Roman"/>
          <w:bCs/>
          <w:color w:val="auto"/>
          <w:sz w:val="20"/>
          <w:szCs w:val="20"/>
          <w:lang w:val="es-ES_tradnl" w:eastAsia="en-US"/>
        </w:rPr>
      </w:pPr>
      <w:r w:rsidRPr="00773A3F">
        <w:rPr>
          <w:rFonts w:asciiTheme="majorHAnsi" w:eastAsia="Arial Unicode MS" w:hAnsiTheme="majorHAnsi" w:cs="Times New Roman"/>
          <w:bCs/>
          <w:color w:val="auto"/>
          <w:sz w:val="20"/>
          <w:szCs w:val="20"/>
          <w:lang w:val="es-ES_tradnl" w:eastAsia="en-US"/>
        </w:rPr>
        <w:t>Por otra parte, sostiene que los tribunales internos fundamentaron correctamente sus sentencias</w:t>
      </w:r>
      <w:r w:rsidR="00D7254B">
        <w:rPr>
          <w:rFonts w:asciiTheme="majorHAnsi" w:eastAsia="Arial Unicode MS" w:hAnsiTheme="majorHAnsi" w:cs="Times New Roman"/>
          <w:bCs/>
          <w:color w:val="auto"/>
          <w:sz w:val="20"/>
          <w:szCs w:val="20"/>
          <w:lang w:val="es-ES_tradnl" w:eastAsia="en-US"/>
        </w:rPr>
        <w:t>,</w:t>
      </w:r>
      <w:r w:rsidRPr="00773A3F">
        <w:rPr>
          <w:rFonts w:asciiTheme="majorHAnsi" w:eastAsia="Arial Unicode MS" w:hAnsiTheme="majorHAnsi" w:cs="Times New Roman"/>
          <w:bCs/>
          <w:color w:val="auto"/>
          <w:sz w:val="20"/>
          <w:szCs w:val="20"/>
          <w:lang w:val="es-ES_tradnl" w:eastAsia="en-US"/>
        </w:rPr>
        <w:t xml:space="preserve"> y que en consecuencia los reclamos de la parte peticionaria solo muestran su inconformidad con las decisiones adoptadas. Destaca que en particular </w:t>
      </w:r>
      <w:r w:rsidR="00A736EC" w:rsidRPr="00E62413">
        <w:rPr>
          <w:rFonts w:asciiTheme="majorHAnsi" w:eastAsia="Arial Unicode MS" w:hAnsiTheme="majorHAnsi" w:cs="Times New Roman"/>
          <w:bCs/>
          <w:color w:val="auto"/>
          <w:sz w:val="20"/>
          <w:szCs w:val="20"/>
          <w:lang w:val="es-ES_tradnl" w:eastAsia="en-US"/>
        </w:rPr>
        <w:t>la Cámara</w:t>
      </w:r>
      <w:r w:rsidR="00A736EC">
        <w:rPr>
          <w:rFonts w:asciiTheme="majorHAnsi" w:eastAsia="Arial Unicode MS" w:hAnsiTheme="majorHAnsi" w:cs="Times New Roman"/>
          <w:bCs/>
          <w:color w:val="auto"/>
          <w:sz w:val="20"/>
          <w:szCs w:val="20"/>
          <w:lang w:val="es-ES_tradnl" w:eastAsia="en-US"/>
        </w:rPr>
        <w:t xml:space="preserve"> </w:t>
      </w:r>
      <w:r w:rsidR="00A736EC" w:rsidRPr="00122EEE">
        <w:rPr>
          <w:sz w:val="20"/>
          <w:szCs w:val="20"/>
          <w:lang w:val="es-PE"/>
        </w:rPr>
        <w:t>Nacional de Apelaciones del Trabajo</w:t>
      </w:r>
      <w:r w:rsidRPr="00773A3F">
        <w:rPr>
          <w:rFonts w:asciiTheme="majorHAnsi" w:eastAsia="Arial Unicode MS" w:hAnsiTheme="majorHAnsi" w:cs="Times New Roman"/>
          <w:bCs/>
          <w:color w:val="auto"/>
          <w:sz w:val="20"/>
          <w:szCs w:val="20"/>
          <w:lang w:val="es-ES_tradnl" w:eastAsia="en-US"/>
        </w:rPr>
        <w:t xml:space="preserve"> explicó en su resolución que el objetivo de la LAS es la protección de la actividad gremial</w:t>
      </w:r>
      <w:r w:rsidR="00CE2C0B">
        <w:rPr>
          <w:rFonts w:asciiTheme="majorHAnsi" w:eastAsia="Arial Unicode MS" w:hAnsiTheme="majorHAnsi" w:cs="Times New Roman"/>
          <w:bCs/>
          <w:color w:val="auto"/>
          <w:sz w:val="20"/>
          <w:szCs w:val="20"/>
          <w:lang w:val="es-ES_tradnl" w:eastAsia="en-US"/>
        </w:rPr>
        <w:t>,</w:t>
      </w:r>
      <w:r w:rsidRPr="00773A3F">
        <w:rPr>
          <w:rFonts w:asciiTheme="majorHAnsi" w:eastAsia="Arial Unicode MS" w:hAnsiTheme="majorHAnsi" w:cs="Times New Roman"/>
          <w:bCs/>
          <w:color w:val="auto"/>
          <w:sz w:val="20"/>
          <w:szCs w:val="20"/>
          <w:lang w:val="es-ES_tradnl" w:eastAsia="en-US"/>
        </w:rPr>
        <w:t xml:space="preserve"> y por ende, solo cabe una indemnización sustitutiva cuando ocurra un </w:t>
      </w:r>
      <w:r w:rsidRPr="008F2504">
        <w:rPr>
          <w:rFonts w:asciiTheme="majorHAnsi" w:eastAsia="Arial Unicode MS" w:hAnsiTheme="majorHAnsi" w:cs="Times New Roman"/>
          <w:bCs/>
          <w:i/>
          <w:iCs/>
          <w:color w:val="auto"/>
          <w:sz w:val="20"/>
          <w:szCs w:val="20"/>
          <w:lang w:val="es-ES_tradnl" w:eastAsia="en-US"/>
        </w:rPr>
        <w:t xml:space="preserve">“deterioro de la relación de trabajo” </w:t>
      </w:r>
      <w:r w:rsidRPr="00B2488A">
        <w:rPr>
          <w:rFonts w:asciiTheme="majorHAnsi" w:eastAsia="Arial Unicode MS" w:hAnsiTheme="majorHAnsi" w:cs="Times New Roman"/>
          <w:bCs/>
          <w:color w:val="auto"/>
          <w:sz w:val="20"/>
          <w:szCs w:val="20"/>
          <w:lang w:val="es-ES_tradnl" w:eastAsia="en-US"/>
        </w:rPr>
        <w:t>y/o una</w:t>
      </w:r>
      <w:r w:rsidRPr="008F2504">
        <w:rPr>
          <w:rFonts w:asciiTheme="majorHAnsi" w:eastAsia="Arial Unicode MS" w:hAnsiTheme="majorHAnsi" w:cs="Times New Roman"/>
          <w:bCs/>
          <w:i/>
          <w:iCs/>
          <w:color w:val="auto"/>
          <w:sz w:val="20"/>
          <w:szCs w:val="20"/>
          <w:lang w:val="es-ES_tradnl" w:eastAsia="en-US"/>
        </w:rPr>
        <w:t xml:space="preserve"> “ostensible resistencia del empleador</w:t>
      </w:r>
      <w:r w:rsidRPr="00773A3F">
        <w:rPr>
          <w:rFonts w:asciiTheme="majorHAnsi" w:eastAsia="Arial Unicode MS" w:hAnsiTheme="majorHAnsi" w:cs="Times New Roman"/>
          <w:bCs/>
          <w:color w:val="auto"/>
          <w:sz w:val="20"/>
          <w:szCs w:val="20"/>
          <w:lang w:val="es-ES_tradnl" w:eastAsia="en-US"/>
        </w:rPr>
        <w:t>” a reinstalar al trabajador. En el caso de la presunta víctima, dicha instancia consideró que los citados supuestos no se cumplieron</w:t>
      </w:r>
      <w:r w:rsidR="00B2488A">
        <w:rPr>
          <w:rFonts w:asciiTheme="majorHAnsi" w:eastAsia="Arial Unicode MS" w:hAnsiTheme="majorHAnsi" w:cs="Times New Roman"/>
          <w:bCs/>
          <w:color w:val="auto"/>
          <w:sz w:val="20"/>
          <w:szCs w:val="20"/>
          <w:lang w:val="es-ES_tradnl" w:eastAsia="en-US"/>
        </w:rPr>
        <w:t>,</w:t>
      </w:r>
      <w:r w:rsidRPr="00773A3F">
        <w:rPr>
          <w:rFonts w:asciiTheme="majorHAnsi" w:eastAsia="Arial Unicode MS" w:hAnsiTheme="majorHAnsi" w:cs="Times New Roman"/>
          <w:bCs/>
          <w:color w:val="auto"/>
          <w:sz w:val="20"/>
          <w:szCs w:val="20"/>
          <w:lang w:val="es-ES_tradnl" w:eastAsia="en-US"/>
        </w:rPr>
        <w:t xml:space="preserve"> y que por el contrario, a pesar de que al señor Lezcano se le ofreció la posibilidad de continuar en la empresa ejerciendo su mandato sindical, este la rechazó, anteponiendo su propio interés frente a su rol como representante gremial, al intentar obtener un beneficio desproporcionado, contrariando el objetivo de garantizar la libertad sindical dispuesto en la LAS y excediendo los límites impuestos por la buena fe. Por lo expuesto, Argentina considera que la petición no contempla ningún acontecimiento que pueda implicar una afectación de derechos en perjuicio de la presunta víctima.</w:t>
      </w:r>
    </w:p>
    <w:p w14:paraId="6D262E60" w14:textId="77777777" w:rsidR="00773A3F" w:rsidRDefault="00773A3F" w:rsidP="00773A3F">
      <w:pPr>
        <w:pStyle w:val="ListParagraph"/>
        <w:jc w:val="both"/>
        <w:rPr>
          <w:rFonts w:asciiTheme="majorHAnsi" w:eastAsia="Arial Unicode MS" w:hAnsiTheme="majorHAnsi" w:cs="Times New Roman"/>
          <w:bCs/>
          <w:color w:val="auto"/>
          <w:sz w:val="20"/>
          <w:szCs w:val="20"/>
          <w:lang w:val="es-ES_tradnl" w:eastAsia="en-US"/>
        </w:rPr>
      </w:pPr>
    </w:p>
    <w:p w14:paraId="0FF0D222" w14:textId="30CAFC42" w:rsidR="00773A3F" w:rsidRPr="00773A3F" w:rsidRDefault="00773A3F" w:rsidP="4F8AEAA1">
      <w:pPr>
        <w:pStyle w:val="ListParagraph"/>
        <w:numPr>
          <w:ilvl w:val="0"/>
          <w:numId w:val="103"/>
        </w:numPr>
        <w:jc w:val="both"/>
        <w:rPr>
          <w:rFonts w:asciiTheme="majorHAnsi" w:eastAsia="Arial Unicode MS" w:hAnsiTheme="majorHAnsi" w:cs="Times New Roman"/>
          <w:color w:val="auto"/>
          <w:sz w:val="20"/>
          <w:szCs w:val="20"/>
          <w:lang w:val="es-ES" w:eastAsia="en-US"/>
        </w:rPr>
      </w:pPr>
      <w:r w:rsidRPr="4F8AEAA1">
        <w:rPr>
          <w:rFonts w:asciiTheme="majorHAnsi" w:hAnsiTheme="majorHAnsi"/>
          <w:sz w:val="20"/>
          <w:szCs w:val="20"/>
          <w:lang w:val="es-ES"/>
        </w:rPr>
        <w:t>Finalmente, el Estado plantea lo que denomina “</w:t>
      </w:r>
      <w:r w:rsidRPr="4F8AEAA1">
        <w:rPr>
          <w:rFonts w:asciiTheme="majorHAnsi" w:hAnsiTheme="majorHAnsi"/>
          <w:i/>
          <w:iCs/>
          <w:sz w:val="20"/>
          <w:szCs w:val="20"/>
          <w:lang w:val="es-ES"/>
        </w:rPr>
        <w:t>el traslado extemporáneo de la petición</w:t>
      </w:r>
      <w:r w:rsidRPr="4F8AEAA1">
        <w:rPr>
          <w:rFonts w:asciiTheme="majorHAnsi" w:hAnsiTheme="majorHAnsi"/>
          <w:sz w:val="20"/>
          <w:szCs w:val="20"/>
          <w:lang w:val="es-ES"/>
        </w:rPr>
        <w:t>”. Afirma que, a pesar de que el 29 de octubre de 2009 la Secretaría Ejecutiva de la CIDH recibió la petición, recién se realizó el traslado de tal documento el 26 de abril de 2022. A juicio del Estado, la demora en tramitar la petición genera una grave problemática que afecta el adecuado ejercicio de su derecho a la defensa.</w:t>
      </w:r>
    </w:p>
    <w:p w14:paraId="6F4D4171" w14:textId="61F41104" w:rsidR="003239B8" w:rsidRPr="008A6620"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 xml:space="preserve">AGOTAMIENTO DE </w:t>
      </w:r>
      <w:r w:rsidR="00C21FEF" w:rsidRPr="008A6620">
        <w:rPr>
          <w:rFonts w:asciiTheme="majorHAnsi" w:hAnsiTheme="majorHAnsi"/>
          <w:b/>
          <w:sz w:val="20"/>
          <w:szCs w:val="20"/>
          <w:lang w:val="es-ES"/>
        </w:rPr>
        <w:t>LOS RECURSOS INTERNOS Y PLAZO DE PRESENTACIÓN</w:t>
      </w:r>
      <w:r w:rsidR="00C21FEF" w:rsidRPr="008A6620">
        <w:rPr>
          <w:rFonts w:asciiTheme="majorHAnsi" w:eastAsia="Cambria" w:hAnsiTheme="majorHAnsi" w:cs="Cambria"/>
          <w:b/>
          <w:bCs/>
          <w:color w:val="000000"/>
          <w:sz w:val="20"/>
          <w:szCs w:val="20"/>
          <w:u w:color="000000"/>
          <w:lang w:val="es-ES" w:eastAsia="es-ES"/>
        </w:rPr>
        <w:t xml:space="preserve"> </w:t>
      </w:r>
    </w:p>
    <w:p w14:paraId="4D27B7C0" w14:textId="45BBE009" w:rsidR="00647BD7" w:rsidRPr="000D6D0C" w:rsidRDefault="00F4372D" w:rsidP="000D6D0C">
      <w:pPr>
        <w:pStyle w:val="ListParagraph"/>
        <w:numPr>
          <w:ilvl w:val="0"/>
          <w:numId w:val="103"/>
        </w:numPr>
        <w:jc w:val="both"/>
        <w:rPr>
          <w:rFonts w:eastAsia="Arial Unicode MS" w:cs="Times New Roman"/>
          <w:color w:val="auto"/>
          <w:sz w:val="20"/>
          <w:szCs w:val="20"/>
          <w:lang w:val="es-ES" w:eastAsia="en-US"/>
        </w:rPr>
      </w:pPr>
      <w:r w:rsidRPr="000D6D0C">
        <w:rPr>
          <w:rFonts w:eastAsia="Arial Unicode MS" w:cs="Times New Roman"/>
          <w:color w:val="auto"/>
          <w:sz w:val="20"/>
          <w:szCs w:val="20"/>
          <w:lang w:val="es-ES" w:eastAsia="en-US"/>
        </w:rPr>
        <w:t xml:space="preserve">La Comisión observa que </w:t>
      </w:r>
      <w:r w:rsidR="00F47EB0" w:rsidRPr="000D6D0C">
        <w:rPr>
          <w:rFonts w:eastAsia="Arial Unicode MS" w:cs="Times New Roman"/>
          <w:color w:val="auto"/>
          <w:sz w:val="20"/>
          <w:szCs w:val="20"/>
          <w:lang w:val="es-ES" w:eastAsia="en-US"/>
        </w:rPr>
        <w:t>la parte peticionaria cuestiona, esencialmente, que los órganos internos no analizaron adecuadamente el despido antisindical que sufrió la presunta víctima y le negaron la obtención de una reparación adecuada.</w:t>
      </w:r>
      <w:r w:rsidRPr="000D6D0C">
        <w:rPr>
          <w:rFonts w:eastAsia="Arial Unicode MS" w:cs="Times New Roman"/>
          <w:color w:val="auto"/>
          <w:sz w:val="20"/>
          <w:szCs w:val="20"/>
          <w:lang w:val="es-ES" w:eastAsia="en-US"/>
        </w:rPr>
        <w:t xml:space="preserve"> </w:t>
      </w:r>
      <w:r w:rsidR="00647BD7" w:rsidRPr="000D6D0C">
        <w:rPr>
          <w:rFonts w:asciiTheme="majorHAnsi" w:hAnsiTheme="majorHAnsi"/>
          <w:sz w:val="20"/>
          <w:szCs w:val="20"/>
          <w:lang w:val="es-PE"/>
        </w:rPr>
        <w:t>En este escenario, el Estado no cuestiona que la presunta víctima haya agotado la jurisdicción interna y únicamente plantea que la petición es extemporánea. A su criterio, el plazo de seis meses previsto en el artículo 46.1.b) de la Convención debe contarse a partir de la resolución del recurso de queja, dado que la vía de reposición era improcedente por definición y, por ende, no configuraba un supuesto atendible de continuidad procesal.</w:t>
      </w:r>
    </w:p>
    <w:p w14:paraId="2DFE5705" w14:textId="77777777" w:rsidR="00F4372D" w:rsidRPr="00647BD7" w:rsidRDefault="00F4372D" w:rsidP="00647BD7">
      <w:pPr>
        <w:jc w:val="both"/>
        <w:rPr>
          <w:sz w:val="20"/>
          <w:szCs w:val="20"/>
          <w:lang w:val="es-ES"/>
        </w:rPr>
      </w:pPr>
    </w:p>
    <w:p w14:paraId="5498A88B" w14:textId="60001E72" w:rsidR="00FA4353" w:rsidRDefault="00647BD7" w:rsidP="00FA4353">
      <w:pPr>
        <w:pStyle w:val="ListParagraph"/>
        <w:numPr>
          <w:ilvl w:val="0"/>
          <w:numId w:val="103"/>
        </w:numPr>
        <w:jc w:val="both"/>
        <w:rPr>
          <w:rFonts w:eastAsia="Arial Unicode MS" w:cs="Times New Roman"/>
          <w:color w:val="auto"/>
          <w:sz w:val="20"/>
          <w:szCs w:val="20"/>
          <w:lang w:val="es-PE" w:eastAsia="en-US"/>
        </w:rPr>
      </w:pPr>
      <w:r w:rsidRPr="00647BD7">
        <w:rPr>
          <w:rFonts w:eastAsia="Arial Unicode MS" w:cs="Times New Roman"/>
          <w:color w:val="auto"/>
          <w:sz w:val="20"/>
          <w:szCs w:val="20"/>
          <w:lang w:val="es-PE" w:eastAsia="en-US"/>
        </w:rPr>
        <w:t>A pesar de lo expuesto por Argentina, la Comisión advierte que el Estado no aporta información o argumentos más exhaustivos que permitan corroborar que, efectivamente, el uso de la vía de reposición en un caso como el presente resultaba claramente improcedente</w:t>
      </w:r>
      <w:r w:rsidR="004051E8">
        <w:rPr>
          <w:rFonts w:eastAsia="Arial Unicode MS" w:cs="Times New Roman"/>
          <w:color w:val="auto"/>
          <w:sz w:val="20"/>
          <w:szCs w:val="20"/>
          <w:lang w:val="es-PE" w:eastAsia="en-US"/>
        </w:rPr>
        <w:t>,</w:t>
      </w:r>
      <w:r w:rsidRPr="00647BD7">
        <w:rPr>
          <w:rFonts w:eastAsia="Arial Unicode MS" w:cs="Times New Roman"/>
          <w:color w:val="auto"/>
          <w:sz w:val="20"/>
          <w:szCs w:val="20"/>
          <w:lang w:val="es-PE" w:eastAsia="en-US"/>
        </w:rPr>
        <w:t xml:space="preserve"> y en tal sentido, no ha cumplido su carga de probar que el señor Lezcano haya hecho uso indebido de dicho mecanismo. Por el contrario, con base en sus precedentes, la Comisión considera que la interposición de un recurso de reposición para cuestionar la desestimación del recurso de queja, por meras cuestiones formales relativas al número de páginas del escrito, representó el último intento razonable de acceder a la justicia y obtener un pronunciamiento definitivo que analice la sentencia de la Sala VIII de la Cámara Nacional de Apelaciones del Trabajo</w:t>
      </w:r>
      <w:r w:rsidR="00481919">
        <w:rPr>
          <w:rStyle w:val="FootnoteReference"/>
          <w:rFonts w:eastAsia="Arial Unicode MS" w:cs="Times New Roman"/>
          <w:color w:val="auto"/>
          <w:sz w:val="20"/>
          <w:szCs w:val="20"/>
          <w:lang w:val="es-PE" w:eastAsia="en-US"/>
        </w:rPr>
        <w:footnoteReference w:id="6"/>
      </w:r>
      <w:r w:rsidRPr="00647BD7">
        <w:rPr>
          <w:rFonts w:eastAsia="Arial Unicode MS" w:cs="Times New Roman"/>
          <w:color w:val="auto"/>
          <w:sz w:val="20"/>
          <w:szCs w:val="20"/>
          <w:lang w:val="es-PE" w:eastAsia="en-US"/>
        </w:rPr>
        <w:t>.</w:t>
      </w:r>
      <w:r w:rsidR="009F788B">
        <w:rPr>
          <w:rFonts w:eastAsia="Arial Unicode MS" w:cs="Times New Roman"/>
          <w:color w:val="auto"/>
          <w:sz w:val="20"/>
          <w:szCs w:val="20"/>
          <w:lang w:val="es-PE" w:eastAsia="en-US"/>
        </w:rPr>
        <w:t xml:space="preserve"> En este sentido, se observa que se mantiene una continuidad procesal lógica, </w:t>
      </w:r>
      <w:r w:rsidR="00B20CC7">
        <w:rPr>
          <w:rFonts w:eastAsia="Arial Unicode MS" w:cs="Times New Roman"/>
          <w:color w:val="auto"/>
          <w:sz w:val="20"/>
          <w:szCs w:val="20"/>
          <w:lang w:val="es-PE" w:eastAsia="en-US"/>
        </w:rPr>
        <w:t xml:space="preserve">y </w:t>
      </w:r>
      <w:r w:rsidR="009F788B">
        <w:rPr>
          <w:rFonts w:eastAsia="Arial Unicode MS" w:cs="Times New Roman"/>
          <w:color w:val="auto"/>
          <w:sz w:val="20"/>
          <w:szCs w:val="20"/>
          <w:lang w:val="es-PE" w:eastAsia="en-US"/>
        </w:rPr>
        <w:t xml:space="preserve">de buena fe del peticionario. </w:t>
      </w:r>
    </w:p>
    <w:p w14:paraId="71C2683C" w14:textId="77777777" w:rsidR="00FA4353" w:rsidRDefault="00FA4353" w:rsidP="00FA4353">
      <w:pPr>
        <w:pStyle w:val="ListParagraph"/>
        <w:jc w:val="both"/>
        <w:rPr>
          <w:rFonts w:eastAsia="Arial Unicode MS" w:cs="Times New Roman"/>
          <w:color w:val="auto"/>
          <w:sz w:val="20"/>
          <w:szCs w:val="20"/>
          <w:lang w:val="es-PE" w:eastAsia="en-US"/>
        </w:rPr>
      </w:pPr>
    </w:p>
    <w:p w14:paraId="2102ECD2" w14:textId="7F9CEFA0" w:rsidR="00092946" w:rsidRPr="00092946" w:rsidRDefault="00FA4353" w:rsidP="00092946">
      <w:pPr>
        <w:pStyle w:val="ListParagraph"/>
        <w:numPr>
          <w:ilvl w:val="0"/>
          <w:numId w:val="103"/>
        </w:numPr>
        <w:jc w:val="both"/>
        <w:rPr>
          <w:rFonts w:eastAsia="Arial Unicode MS" w:cs="Times New Roman"/>
          <w:color w:val="auto"/>
          <w:sz w:val="20"/>
          <w:szCs w:val="20"/>
          <w:lang w:val="es-PE" w:eastAsia="en-US"/>
        </w:rPr>
      </w:pPr>
      <w:r w:rsidRPr="00FA4353">
        <w:rPr>
          <w:sz w:val="20"/>
          <w:szCs w:val="20"/>
          <w:lang w:val="es-PE"/>
        </w:rPr>
        <w:lastRenderedPageBreak/>
        <w:t>Por las razones expuestas, y tomando en consideración que las autoridades notificaron el rechazo del recurso de reposición el 28 de mayo de 2009</w:t>
      </w:r>
      <w:r w:rsidR="00B20CC7">
        <w:rPr>
          <w:sz w:val="20"/>
          <w:szCs w:val="20"/>
          <w:lang w:val="es-PE"/>
        </w:rPr>
        <w:t>,</w:t>
      </w:r>
      <w:r w:rsidRPr="00FA4353">
        <w:rPr>
          <w:sz w:val="20"/>
          <w:szCs w:val="20"/>
          <w:lang w:val="es-PE"/>
        </w:rPr>
        <w:t xml:space="preserve"> y que la parte peticionaria inició este reclamo internacional el 29 de octubre de 2009, la Comisión concluye que el presente asunto cumple con los requisitos previstos en los artículos 46.1.a) y b) de la Convención Americana</w:t>
      </w:r>
      <w:r w:rsidR="00092946">
        <w:rPr>
          <w:sz w:val="20"/>
          <w:szCs w:val="20"/>
          <w:lang w:val="es-PE"/>
        </w:rPr>
        <w:t>.</w:t>
      </w:r>
    </w:p>
    <w:p w14:paraId="34C52656" w14:textId="77777777" w:rsidR="00092946" w:rsidRPr="00092946" w:rsidRDefault="00092946" w:rsidP="00092946">
      <w:pPr>
        <w:pStyle w:val="ListParagraph"/>
        <w:jc w:val="both"/>
        <w:rPr>
          <w:rFonts w:eastAsia="Arial Unicode MS" w:cs="Times New Roman"/>
          <w:color w:val="auto"/>
          <w:sz w:val="20"/>
          <w:szCs w:val="20"/>
          <w:lang w:val="es-PE" w:eastAsia="en-US"/>
        </w:rPr>
      </w:pPr>
    </w:p>
    <w:p w14:paraId="10BCE4A3" w14:textId="77777777" w:rsidR="00092946" w:rsidRPr="00092946" w:rsidRDefault="00EE4DAC" w:rsidP="00092946">
      <w:pPr>
        <w:pStyle w:val="ListParagraph"/>
        <w:numPr>
          <w:ilvl w:val="0"/>
          <w:numId w:val="103"/>
        </w:numPr>
        <w:jc w:val="both"/>
        <w:rPr>
          <w:rFonts w:eastAsia="Arial Unicode MS" w:cs="Times New Roman"/>
          <w:color w:val="auto"/>
          <w:sz w:val="20"/>
          <w:szCs w:val="20"/>
          <w:lang w:val="es-PE" w:eastAsia="en-US"/>
        </w:rPr>
      </w:pPr>
      <w:r w:rsidRPr="00092946">
        <w:rPr>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11B3B">
        <w:rPr>
          <w:vertAlign w:val="superscript"/>
        </w:rPr>
        <w:footnoteReference w:id="7"/>
      </w:r>
      <w:r w:rsidRPr="00092946">
        <w:rPr>
          <w:sz w:val="20"/>
          <w:szCs w:val="20"/>
          <w:lang w:val="es-ES_tradnl"/>
        </w:rPr>
        <w:t>. Asimismo, la CIDH en su Informe de Admisibilidad No. 79/08</w:t>
      </w:r>
      <w:r w:rsidRPr="00A11B3B">
        <w:rPr>
          <w:rStyle w:val="FootnoteReference"/>
          <w:sz w:val="20"/>
          <w:szCs w:val="20"/>
          <w:lang w:val="es-ES_tradnl"/>
        </w:rPr>
        <w:footnoteReference w:id="8"/>
      </w:r>
      <w:r w:rsidRPr="00092946">
        <w:rPr>
          <w:sz w:val="20"/>
          <w:szCs w:val="20"/>
          <w:lang w:val="es-ES_tradnl"/>
        </w:rPr>
        <w:t>, aclaró que:</w:t>
      </w:r>
    </w:p>
    <w:p w14:paraId="309969DE" w14:textId="77777777" w:rsidR="00092946" w:rsidRDefault="00092946" w:rsidP="00092946">
      <w:pPr>
        <w:jc w:val="both"/>
        <w:rPr>
          <w:sz w:val="20"/>
          <w:szCs w:val="20"/>
          <w:lang w:val="es-PE"/>
        </w:rPr>
      </w:pPr>
    </w:p>
    <w:p w14:paraId="12EBAB71" w14:textId="5D2AF409" w:rsidR="00092946" w:rsidRPr="00092946" w:rsidRDefault="00092946" w:rsidP="00B20CC7">
      <w:pPr>
        <w:ind w:left="720" w:right="720"/>
        <w:jc w:val="both"/>
        <w:rPr>
          <w:sz w:val="18"/>
          <w:szCs w:val="18"/>
          <w:lang w:val="es-PE"/>
        </w:rPr>
      </w:pPr>
      <w:r w:rsidRPr="00092946">
        <w:rPr>
          <w:rFonts w:ascii="Cambria" w:hAnsi="Cambria"/>
          <w:sz w:val="18"/>
          <w:szCs w:val="18"/>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092946">
        <w:rPr>
          <w:rFonts w:ascii="Cambria" w:hAnsi="Cambria"/>
          <w:i/>
          <w:iCs/>
          <w:sz w:val="18"/>
          <w:szCs w:val="18"/>
          <w:lang w:val="es-ES_tradnl"/>
        </w:rPr>
        <w:t>en la tramitación de casos individuales ante la Comisión, no existe el concepto de caducidad de instancia como una medida ipso jure, por el mero transcurso del tiempo</w:t>
      </w:r>
      <w:r w:rsidRPr="00092946">
        <w:rPr>
          <w:rFonts w:ascii="Cambria" w:hAnsi="Cambria"/>
          <w:sz w:val="18"/>
          <w:szCs w:val="18"/>
          <w:lang w:val="es-ES_tradnl"/>
        </w:rPr>
        <w:t xml:space="preserve">” </w:t>
      </w:r>
    </w:p>
    <w:p w14:paraId="470E372A" w14:textId="77777777" w:rsidR="00092946" w:rsidRPr="00092946" w:rsidRDefault="00092946" w:rsidP="00092946">
      <w:pPr>
        <w:jc w:val="both"/>
        <w:rPr>
          <w:sz w:val="20"/>
          <w:szCs w:val="20"/>
          <w:lang w:val="es-PE"/>
        </w:rPr>
      </w:pPr>
    </w:p>
    <w:p w14:paraId="4C0A7328" w14:textId="78D7FAC9" w:rsidR="00EE4DAC" w:rsidRPr="00092946" w:rsidRDefault="00EE4DAC" w:rsidP="00092946">
      <w:pPr>
        <w:pStyle w:val="ListParagraph"/>
        <w:numPr>
          <w:ilvl w:val="0"/>
          <w:numId w:val="103"/>
        </w:numPr>
        <w:jc w:val="both"/>
        <w:rPr>
          <w:rFonts w:eastAsia="Arial Unicode MS" w:cs="Times New Roman"/>
          <w:color w:val="auto"/>
          <w:sz w:val="20"/>
          <w:szCs w:val="20"/>
          <w:lang w:val="es-PE" w:eastAsia="en-US"/>
        </w:rPr>
      </w:pPr>
      <w:r w:rsidRPr="00092946">
        <w:rPr>
          <w:sz w:val="20"/>
          <w:szCs w:val="20"/>
          <w:lang w:val="es-US"/>
        </w:rPr>
        <w:t>Asimismo, en refuerzo de lo anterior, la Corte Interamericana de Derechos Humanos ha establecido precisamente respecto a este punto que:</w:t>
      </w:r>
    </w:p>
    <w:p w14:paraId="47F0A6B7" w14:textId="77777777" w:rsidR="00EE4DAC" w:rsidRPr="00092946" w:rsidRDefault="00EE4DAC" w:rsidP="00EE4DAC">
      <w:pPr>
        <w:suppressAutoHyphens/>
        <w:spacing w:before="240" w:after="240"/>
        <w:ind w:left="720" w:right="720"/>
        <w:jc w:val="both"/>
        <w:rPr>
          <w:rFonts w:ascii="Cambria" w:hAnsi="Cambria"/>
          <w:sz w:val="18"/>
          <w:szCs w:val="18"/>
          <w:lang w:val="es-US"/>
        </w:rPr>
      </w:pPr>
      <w:r w:rsidRPr="00092946">
        <w:rPr>
          <w:rFonts w:ascii="Cambria" w:hAnsi="Cambria"/>
          <w:sz w:val="18"/>
          <w:szCs w:val="18"/>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Pr="00092946">
        <w:rPr>
          <w:rStyle w:val="FootnoteReference"/>
          <w:rFonts w:ascii="Cambria" w:hAnsi="Cambria"/>
          <w:sz w:val="18"/>
          <w:szCs w:val="18"/>
          <w:lang w:val="es-US"/>
        </w:rPr>
        <w:footnoteReference w:id="9"/>
      </w:r>
      <w:r w:rsidRPr="00092946">
        <w:rPr>
          <w:rFonts w:ascii="Cambria" w:hAnsi="Cambria"/>
          <w:sz w:val="18"/>
          <w:szCs w:val="18"/>
          <w:lang w:val="es-US"/>
        </w:rPr>
        <w:t>.</w:t>
      </w:r>
    </w:p>
    <w:p w14:paraId="247D4716" w14:textId="76388482" w:rsidR="00EE4DAC" w:rsidRPr="00FA4353" w:rsidRDefault="00EE4DAC" w:rsidP="00EE4DAC">
      <w:pPr>
        <w:pStyle w:val="ListParagraph"/>
        <w:numPr>
          <w:ilvl w:val="0"/>
          <w:numId w:val="103"/>
        </w:numPr>
        <w:jc w:val="both"/>
        <w:rPr>
          <w:rFonts w:eastAsia="Arial Unicode MS" w:cs="Times New Roman"/>
          <w:color w:val="auto"/>
          <w:sz w:val="20"/>
          <w:szCs w:val="20"/>
          <w:lang w:val="es-PE" w:eastAsia="en-US"/>
        </w:rPr>
      </w:pPr>
      <w:r w:rsidRPr="00A11B3B">
        <w:rPr>
          <w:sz w:val="20"/>
          <w:szCs w:val="20"/>
          <w:lang w:val="es-US"/>
        </w:rPr>
        <w:t>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54FC8DDA" w14:textId="69591CF1" w:rsidR="000D6D0C" w:rsidRPr="005F1DC2" w:rsidRDefault="000D6D0C" w:rsidP="000D6D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A35CA">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6A35CA">
        <w:rPr>
          <w:i/>
          <w:iCs/>
          <w:sz w:val="20"/>
          <w:szCs w:val="20"/>
          <w:lang w:val="es-ES"/>
        </w:rPr>
        <w:t>prima facie</w:t>
      </w:r>
      <w:r w:rsidRPr="006A35CA">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0E1E9701" w14:textId="4391B284" w:rsidR="006F003D" w:rsidRPr="003D7C57" w:rsidRDefault="006F003D" w:rsidP="4F8AEAA1">
      <w:pPr>
        <w:pStyle w:val="ListParagraph"/>
        <w:numPr>
          <w:ilvl w:val="0"/>
          <w:numId w:val="103"/>
        </w:numPr>
        <w:suppressAutoHyphens/>
        <w:spacing w:before="240" w:after="240"/>
        <w:jc w:val="both"/>
        <w:rPr>
          <w:color w:val="auto"/>
          <w:sz w:val="20"/>
          <w:szCs w:val="20"/>
          <w:lang w:val="es-AR"/>
        </w:rPr>
      </w:pPr>
      <w:r w:rsidRPr="003D7C57">
        <w:rPr>
          <w:color w:val="auto"/>
          <w:sz w:val="20"/>
          <w:szCs w:val="20"/>
          <w:lang w:val="es-AR"/>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4F8AEAA1">
        <w:rPr>
          <w:rStyle w:val="FootnoteReference"/>
          <w:color w:val="auto"/>
          <w:sz w:val="20"/>
          <w:szCs w:val="20"/>
        </w:rPr>
        <w:footnoteReference w:id="10"/>
      </w:r>
      <w:r w:rsidRPr="003D7C57">
        <w:rPr>
          <w:color w:val="auto"/>
          <w:sz w:val="20"/>
          <w:szCs w:val="20"/>
          <w:lang w:val="es-AR"/>
        </w:rPr>
        <w:t xml:space="preserve">. En ese sentido, la función de la Comisión consiste en garantizar la observancia de las obligaciones asumidas por los Estados parte de la Convención Americana, pero no puede hacer las veces de un tribunal de </w:t>
      </w:r>
      <w:r w:rsidRPr="003D7C57">
        <w:rPr>
          <w:color w:val="auto"/>
          <w:sz w:val="20"/>
          <w:szCs w:val="20"/>
          <w:lang w:val="es-AR"/>
        </w:rPr>
        <w:lastRenderedPageBreak/>
        <w:t>alzada para examinar supuestos errores de derecho o de hecho que puedan haber cometido los tribunales nacionales que hayan actuado dentro de los límites de su competencia</w:t>
      </w:r>
      <w:r w:rsidRPr="4F8AEAA1">
        <w:rPr>
          <w:rStyle w:val="FootnoteReference"/>
          <w:color w:val="auto"/>
          <w:sz w:val="20"/>
          <w:szCs w:val="20"/>
        </w:rPr>
        <w:footnoteReference w:id="11"/>
      </w:r>
      <w:r w:rsidRPr="003D7C57">
        <w:rPr>
          <w:color w:val="auto"/>
          <w:sz w:val="20"/>
          <w:szCs w:val="20"/>
          <w:lang w:val="es-AR"/>
        </w:rPr>
        <w:t xml:space="preserve">.  </w:t>
      </w:r>
    </w:p>
    <w:p w14:paraId="36C0BEB1" w14:textId="0B5B9D3C" w:rsidR="006F003D" w:rsidRPr="00020E3E" w:rsidRDefault="006F003D" w:rsidP="006F003D">
      <w:pPr>
        <w:pStyle w:val="ListParagraph"/>
        <w:numPr>
          <w:ilvl w:val="0"/>
          <w:numId w:val="103"/>
        </w:numPr>
        <w:suppressAutoHyphens/>
        <w:spacing w:before="240" w:after="240"/>
        <w:jc w:val="both"/>
        <w:rPr>
          <w:b/>
          <w:bCs/>
          <w:color w:val="auto"/>
          <w:sz w:val="20"/>
          <w:szCs w:val="20"/>
          <w:lang w:val="es-ES"/>
        </w:rPr>
      </w:pPr>
      <w:r w:rsidRPr="00020E3E">
        <w:rPr>
          <w:color w:val="auto"/>
          <w:sz w:val="20"/>
          <w:szCs w:val="20"/>
          <w:lang w:val="es-ES"/>
        </w:rPr>
        <w:t xml:space="preserve">En el presente asunto, la Comisión considera que la parte peticionaria obtuvo una reparación en razón al despido que habría sufrido. Si bien esta se encuentra disconforme con el monto de dinero que le fue asignado en aplicación de la normativa interna, no presenta argumentos que, </w:t>
      </w:r>
      <w:r w:rsidRPr="00020E3E">
        <w:rPr>
          <w:i/>
          <w:iCs/>
          <w:color w:val="auto"/>
          <w:sz w:val="20"/>
          <w:szCs w:val="20"/>
          <w:lang w:val="es-ES"/>
        </w:rPr>
        <w:t>prima facie</w:t>
      </w:r>
      <w:r w:rsidRPr="00020E3E">
        <w:rPr>
          <w:color w:val="auto"/>
          <w:sz w:val="20"/>
          <w:szCs w:val="20"/>
          <w:lang w:val="es-ES"/>
        </w:rPr>
        <w:t xml:space="preserve">, demuestren que el criterio jurídico utilizado por los órganos internos contravenga algunos de los derechos contemplados en la Convención. </w:t>
      </w:r>
    </w:p>
    <w:p w14:paraId="7A301F6F" w14:textId="4C7764F5" w:rsidR="006F003D" w:rsidRPr="00020E3E" w:rsidRDefault="006F003D" w:rsidP="006F00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20E3E">
        <w:rPr>
          <w:rFonts w:asciiTheme="majorHAnsi" w:hAnsiTheme="majorHAnsi"/>
          <w:bCs/>
          <w:sz w:val="20"/>
          <w:szCs w:val="20"/>
          <w:lang w:val="es-UY"/>
        </w:rPr>
        <w:t xml:space="preserve">Por las citadas razones, la Comisión considera que los hechos expuestos por la parte peticionaria no muestran, </w:t>
      </w:r>
      <w:r w:rsidRPr="00020E3E">
        <w:rPr>
          <w:rFonts w:asciiTheme="majorHAnsi" w:hAnsiTheme="majorHAnsi"/>
          <w:bCs/>
          <w:i/>
          <w:iCs/>
          <w:sz w:val="20"/>
          <w:szCs w:val="20"/>
          <w:lang w:val="es-UY"/>
        </w:rPr>
        <w:t>prima facie</w:t>
      </w:r>
      <w:r w:rsidRPr="00020E3E">
        <w:rPr>
          <w:rFonts w:asciiTheme="majorHAnsi" w:hAnsiTheme="majorHAnsi"/>
          <w:bCs/>
          <w:sz w:val="20"/>
          <w:szCs w:val="20"/>
          <w:lang w:val="es-UY"/>
        </w:rPr>
        <w:t xml:space="preserve">, una posible vulneración de derechos y, en consecuencia, con base en </w:t>
      </w:r>
      <w:r w:rsidRPr="00020E3E">
        <w:rPr>
          <w:rFonts w:asciiTheme="majorHAnsi" w:hAnsiTheme="majorHAnsi"/>
          <w:sz w:val="20"/>
          <w:szCs w:val="20"/>
          <w:lang w:val="es-ES"/>
        </w:rPr>
        <w:t xml:space="preserve">el artículo 47.b) de la Convención, corresponde declarar la inadmisibilidad de este asunto. </w:t>
      </w:r>
    </w:p>
    <w:p w14:paraId="29BB41F5" w14:textId="77777777" w:rsidR="003239B8" w:rsidRPr="00265240" w:rsidRDefault="003239B8" w:rsidP="003239B8">
      <w:pPr>
        <w:pStyle w:val="ListParagraph"/>
        <w:spacing w:before="240" w:after="240"/>
        <w:jc w:val="both"/>
        <w:rPr>
          <w:rFonts w:asciiTheme="majorHAnsi" w:hAnsiTheme="majorHAnsi"/>
          <w:b/>
          <w:bCs/>
          <w:color w:val="auto"/>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w:t>
      </w:r>
      <w:r w:rsidRPr="00265240">
        <w:rPr>
          <w:rFonts w:asciiTheme="majorHAnsi" w:hAnsiTheme="majorHAnsi"/>
          <w:b/>
          <w:bCs/>
          <w:color w:val="auto"/>
          <w:sz w:val="20"/>
          <w:szCs w:val="20"/>
          <w:lang w:val="es-ES"/>
        </w:rPr>
        <w:t>N</w:t>
      </w:r>
    </w:p>
    <w:p w14:paraId="570DA61C" w14:textId="1AB8456A" w:rsidR="000419AD" w:rsidRPr="00265240" w:rsidRDefault="000419AD" w:rsidP="000419AD">
      <w:pPr>
        <w:pStyle w:val="ListParagraph"/>
        <w:numPr>
          <w:ilvl w:val="0"/>
          <w:numId w:val="109"/>
        </w:numPr>
        <w:rPr>
          <w:rFonts w:eastAsia="Arial Unicode MS" w:cs="Times New Roman"/>
          <w:color w:val="auto"/>
          <w:sz w:val="20"/>
          <w:szCs w:val="20"/>
          <w:lang w:val="es-ES" w:eastAsia="en-US"/>
        </w:rPr>
      </w:pPr>
      <w:r w:rsidRPr="00265240">
        <w:rPr>
          <w:rFonts w:eastAsia="Arial Unicode MS" w:cs="Times New Roman"/>
          <w:color w:val="auto"/>
          <w:sz w:val="20"/>
          <w:szCs w:val="20"/>
          <w:lang w:val="es-ES" w:eastAsia="en-US"/>
        </w:rPr>
        <w:t>Declarar inadmisible la presente petición</w:t>
      </w:r>
      <w:r w:rsidR="00A758AA" w:rsidRPr="00265240">
        <w:rPr>
          <w:rFonts w:eastAsia="Arial Unicode MS" w:cs="Times New Roman"/>
          <w:color w:val="auto"/>
          <w:sz w:val="20"/>
          <w:szCs w:val="20"/>
          <w:lang w:val="es-ES" w:eastAsia="en-US"/>
        </w:rPr>
        <w:t>;</w:t>
      </w:r>
      <w:r w:rsidR="004A6A54" w:rsidRPr="00265240">
        <w:rPr>
          <w:rFonts w:eastAsia="Arial Unicode MS" w:cs="Times New Roman"/>
          <w:color w:val="auto"/>
          <w:sz w:val="20"/>
          <w:szCs w:val="20"/>
          <w:lang w:val="es-ES" w:eastAsia="en-US"/>
        </w:rPr>
        <w:t xml:space="preserve"> y</w:t>
      </w:r>
    </w:p>
    <w:p w14:paraId="41AA5BF6" w14:textId="77777777" w:rsidR="000419AD" w:rsidRPr="00265240" w:rsidRDefault="000419AD" w:rsidP="000419AD">
      <w:pPr>
        <w:pStyle w:val="ListParagraph"/>
        <w:rPr>
          <w:rFonts w:eastAsia="Arial Unicode MS" w:cs="Times New Roman"/>
          <w:color w:val="auto"/>
          <w:sz w:val="20"/>
          <w:szCs w:val="20"/>
          <w:lang w:val="es-ES" w:eastAsia="en-US"/>
        </w:rPr>
      </w:pPr>
    </w:p>
    <w:p w14:paraId="12A7002C" w14:textId="32776D0C"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65240">
        <w:rPr>
          <w:rFonts w:asciiTheme="majorHAnsi" w:hAnsiTheme="majorHAnsi"/>
          <w:sz w:val="20"/>
          <w:szCs w:val="20"/>
          <w:lang w:val="es-ES"/>
        </w:rPr>
        <w:t>Notificar a las partes la presen</w:t>
      </w:r>
      <w:r w:rsidRPr="009B7794">
        <w:rPr>
          <w:rFonts w:asciiTheme="majorHAnsi" w:hAnsiTheme="majorHAnsi"/>
          <w:sz w:val="20"/>
          <w:szCs w:val="20"/>
          <w:lang w:val="es-ES"/>
        </w:rPr>
        <w:t>te decisión; y publicar esta decisión e incluirla en su Informe Anual a la Asamblea General de la Organización de los Estados Americanos.</w:t>
      </w:r>
    </w:p>
    <w:p w14:paraId="7CD4DFBD" w14:textId="25503E12" w:rsidR="003239B8" w:rsidRPr="003D7C57" w:rsidRDefault="005E235C" w:rsidP="003D7C5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26E74">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626E74">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Edgar Stuardo Ralón Orellana, Arif Bulkan</w:t>
      </w:r>
      <w:r w:rsidR="00F40E6F">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Andrea Pochak y Gloria Monique de Mees, </w:t>
      </w:r>
      <w:r w:rsidR="003D7C5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003D7C57">
        <w:rPr>
          <w:rStyle w:val="normaltextrun"/>
          <w:rFonts w:ascii="Cambria" w:hAnsi="Cambria" w:cs="Segoe UI"/>
          <w:sz w:val="20"/>
          <w:szCs w:val="20"/>
          <w:lang w:val="es-CL"/>
        </w:rPr>
        <w:t>.</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437A" w14:textId="77777777" w:rsidR="00394C2F" w:rsidRDefault="00394C2F">
      <w:r>
        <w:separator/>
      </w:r>
    </w:p>
  </w:endnote>
  <w:endnote w:type="continuationSeparator" w:id="0">
    <w:p w14:paraId="27A75C74" w14:textId="77777777" w:rsidR="00394C2F" w:rsidRDefault="00394C2F">
      <w:r>
        <w:continuationSeparator/>
      </w:r>
    </w:p>
  </w:endnote>
  <w:endnote w:type="continuationNotice" w:id="1">
    <w:p w14:paraId="44ED34C1" w14:textId="77777777" w:rsidR="00394C2F" w:rsidRDefault="0039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4C42" w14:textId="77777777" w:rsidR="00394C2F" w:rsidRPr="000F35ED" w:rsidRDefault="00394C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DAE47A" w14:textId="77777777" w:rsidR="00394C2F" w:rsidRPr="000F35ED" w:rsidRDefault="00394C2F" w:rsidP="000F35ED">
      <w:pPr>
        <w:rPr>
          <w:rFonts w:asciiTheme="majorHAnsi" w:hAnsiTheme="majorHAnsi"/>
          <w:sz w:val="16"/>
          <w:szCs w:val="16"/>
        </w:rPr>
      </w:pPr>
      <w:r w:rsidRPr="000F35ED">
        <w:rPr>
          <w:rFonts w:asciiTheme="majorHAnsi" w:hAnsiTheme="majorHAnsi"/>
          <w:sz w:val="16"/>
          <w:szCs w:val="16"/>
        </w:rPr>
        <w:separator/>
      </w:r>
    </w:p>
    <w:p w14:paraId="697C10FB" w14:textId="77777777" w:rsidR="00394C2F" w:rsidRPr="000F35ED" w:rsidRDefault="00394C2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F70CCB" w14:textId="77777777" w:rsidR="00394C2F" w:rsidRPr="000F35ED" w:rsidRDefault="00394C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60886C" w14:textId="14A73290" w:rsidR="005D53A4" w:rsidRPr="00CF02F2" w:rsidRDefault="005D53A4" w:rsidP="005D53A4">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sidRPr="009D4060">
        <w:rPr>
          <w:rFonts w:asciiTheme="majorHAnsi" w:hAnsiTheme="majorHAnsi"/>
          <w:sz w:val="16"/>
          <w:szCs w:val="16"/>
          <w:lang w:val="es-ES"/>
        </w:rPr>
        <w:t>l</w:t>
      </w:r>
      <w:r w:rsidR="00B72D8D">
        <w:rPr>
          <w:rFonts w:asciiTheme="majorHAnsi" w:hAnsiTheme="majorHAnsi"/>
          <w:sz w:val="16"/>
          <w:szCs w:val="16"/>
          <w:lang w:val="es-ES"/>
        </w:rPr>
        <w:t>a</w:t>
      </w:r>
      <w:r w:rsidRPr="009D4060">
        <w:rPr>
          <w:rFonts w:asciiTheme="majorHAnsi" w:hAnsiTheme="majorHAnsi"/>
          <w:sz w:val="16"/>
          <w:szCs w:val="16"/>
          <w:lang w:val="es-ES"/>
        </w:rPr>
        <w:t xml:space="preserve"> Comisionad</w:t>
      </w:r>
      <w:r w:rsidR="00B72D8D">
        <w:rPr>
          <w:rFonts w:asciiTheme="majorHAnsi" w:hAnsiTheme="majorHAnsi"/>
          <w:sz w:val="16"/>
          <w:szCs w:val="16"/>
          <w:lang w:val="es-ES"/>
        </w:rPr>
        <w:t>a</w:t>
      </w:r>
      <w:r w:rsidRPr="009D4060">
        <w:rPr>
          <w:rFonts w:asciiTheme="majorHAnsi" w:hAnsiTheme="majorHAnsi"/>
          <w:sz w:val="16"/>
          <w:szCs w:val="16"/>
          <w:lang w:val="es-ES"/>
        </w:rPr>
        <w:t xml:space="preserve"> </w:t>
      </w:r>
      <w:r w:rsidR="00FE1ED8">
        <w:rPr>
          <w:rFonts w:asciiTheme="majorHAnsi" w:hAnsiTheme="majorHAnsi"/>
          <w:sz w:val="16"/>
          <w:szCs w:val="16"/>
          <w:lang w:val="es-ES"/>
        </w:rPr>
        <w:t>Andrea Pochak</w:t>
      </w:r>
      <w:r w:rsidRPr="009D4060">
        <w:rPr>
          <w:rFonts w:asciiTheme="majorHAnsi" w:hAnsiTheme="majorHAnsi"/>
          <w:sz w:val="16"/>
          <w:szCs w:val="16"/>
          <w:lang w:val="es-ES"/>
        </w:rPr>
        <w:t xml:space="preserve">, de nacionalidad </w:t>
      </w:r>
      <w:r w:rsidR="00FE1ED8">
        <w:rPr>
          <w:rFonts w:asciiTheme="majorHAnsi" w:hAnsiTheme="majorHAnsi"/>
          <w:sz w:val="16"/>
          <w:szCs w:val="16"/>
          <w:lang w:val="es-ES"/>
        </w:rPr>
        <w:t>argentina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029F10D7" w14:textId="77777777" w:rsidR="00764856" w:rsidRPr="0006276C" w:rsidRDefault="00764856" w:rsidP="00764856">
      <w:pPr>
        <w:pStyle w:val="FootnoteText"/>
        <w:ind w:firstLine="720"/>
        <w:jc w:val="both"/>
        <w:rPr>
          <w:rFonts w:asciiTheme="majorHAnsi" w:hAnsiTheme="majorHAnsi"/>
          <w:sz w:val="16"/>
          <w:szCs w:val="16"/>
          <w:lang w:val="es-MX"/>
        </w:rPr>
      </w:pPr>
      <w:r w:rsidRPr="0006276C">
        <w:rPr>
          <w:rStyle w:val="FootnoteReference"/>
          <w:rFonts w:asciiTheme="majorHAnsi" w:hAnsiTheme="majorHAnsi"/>
          <w:sz w:val="16"/>
          <w:szCs w:val="16"/>
        </w:rPr>
        <w:footnoteRef/>
      </w:r>
      <w:r w:rsidRPr="0006276C">
        <w:rPr>
          <w:rStyle w:val="FootnoteReference"/>
          <w:rFonts w:asciiTheme="majorHAnsi" w:hAnsiTheme="majorHAnsi"/>
          <w:sz w:val="16"/>
          <w:szCs w:val="16"/>
          <w:lang w:val="es-US"/>
        </w:rPr>
        <w:t xml:space="preserve"> </w:t>
      </w:r>
      <w:r w:rsidRPr="0006276C">
        <w:rPr>
          <w:rFonts w:asciiTheme="majorHAnsi" w:hAnsiTheme="majorHAnsi"/>
          <w:sz w:val="16"/>
          <w:szCs w:val="16"/>
          <w:lang w:val="es-ES"/>
        </w:rPr>
        <w:t xml:space="preserve">En adelante, “la Convención Americana” o “la Convención”. </w:t>
      </w:r>
      <w:r w:rsidRPr="0006276C">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0B9B8577" w14:textId="77777777" w:rsidR="00300CA7" w:rsidRPr="00DC7164" w:rsidRDefault="00300CA7" w:rsidP="00300CA7">
      <w:pPr>
        <w:pStyle w:val="FootnoteText"/>
        <w:ind w:firstLine="720"/>
        <w:jc w:val="both"/>
        <w:rPr>
          <w:rFonts w:asciiTheme="majorHAnsi" w:hAnsiTheme="majorHAnsi"/>
          <w:sz w:val="16"/>
          <w:szCs w:val="16"/>
          <w:lang w:val="es-PE"/>
        </w:rPr>
      </w:pPr>
      <w:r w:rsidRPr="001D01CD">
        <w:rPr>
          <w:rStyle w:val="FootnoteReference"/>
          <w:rFonts w:asciiTheme="majorHAnsi" w:hAnsiTheme="majorHAnsi"/>
          <w:sz w:val="16"/>
          <w:szCs w:val="16"/>
        </w:rPr>
        <w:footnoteRef/>
      </w:r>
      <w:r w:rsidRPr="00DC7164">
        <w:rPr>
          <w:rFonts w:asciiTheme="majorHAnsi" w:hAnsiTheme="majorHAnsi"/>
          <w:sz w:val="16"/>
          <w:szCs w:val="16"/>
          <w:lang w:val="es-PE"/>
        </w:rPr>
        <w:t xml:space="preserve"> Artículo 52. — Los trabajadores amparados por las garantías previstas en los artículos 40, 48 y 50 de la presente ley, no podrán ser suspendidos, despedidos ni con relación a ellos podrán modificarse las condiciones de trabajo, si no mediare resolución judicial previa que los excluya de la garantía, conforme al procedimiento establecido en el artículo 47. El juez o tribunal interviniente, a pedido el empleador, dentro del plazo de cinco (5) días podrá disponer la suspensión de la prestación laboral con el carácter de medida cautelar, cuando la permanencia del cuestionado en su puesto o en mantenimiento de las condiciones de trabajo pudiere ocasionar peligro para la seguridad de las personas o bienes de la empresa.</w:t>
      </w:r>
    </w:p>
    <w:p w14:paraId="685BE146" w14:textId="77777777" w:rsidR="00300CA7" w:rsidRPr="00DC7164" w:rsidRDefault="00300CA7" w:rsidP="00300CA7">
      <w:pPr>
        <w:pStyle w:val="FootnoteText"/>
        <w:ind w:firstLine="720"/>
        <w:jc w:val="both"/>
        <w:rPr>
          <w:rFonts w:asciiTheme="majorHAnsi" w:hAnsiTheme="majorHAnsi"/>
          <w:sz w:val="16"/>
          <w:szCs w:val="16"/>
          <w:lang w:val="es-PE"/>
        </w:rPr>
      </w:pPr>
    </w:p>
    <w:p w14:paraId="27DE195E" w14:textId="77777777" w:rsidR="00300CA7" w:rsidRPr="00DC7164" w:rsidRDefault="00300CA7" w:rsidP="00300CA7">
      <w:pPr>
        <w:pStyle w:val="FootnoteText"/>
        <w:ind w:firstLine="720"/>
        <w:jc w:val="both"/>
        <w:rPr>
          <w:rFonts w:asciiTheme="majorHAnsi" w:hAnsiTheme="majorHAnsi"/>
          <w:sz w:val="16"/>
          <w:szCs w:val="16"/>
          <w:lang w:val="es-PE"/>
        </w:rPr>
      </w:pPr>
      <w:r w:rsidRPr="00DC7164">
        <w:rPr>
          <w:rFonts w:asciiTheme="majorHAnsi" w:hAnsiTheme="majorHAnsi"/>
          <w:sz w:val="16"/>
          <w:szCs w:val="16"/>
          <w:lang w:val="es-PE"/>
        </w:rPr>
        <w:t>La violación por parte del empleador de las garantías establecidas en los artículos citados en el párrafo anterior, dará derecho al afectado a demandar judicialmente, por vía sumarísima, la reinstalación de su puesto, con más los salarios caídos durante la tramitación judicial, o el restablecimiento de las condiciones de trabajo.</w:t>
      </w:r>
    </w:p>
    <w:p w14:paraId="0E7FE3F3" w14:textId="77777777" w:rsidR="00300CA7" w:rsidRPr="00DC7164" w:rsidRDefault="00300CA7" w:rsidP="00300CA7">
      <w:pPr>
        <w:pStyle w:val="FootnoteText"/>
        <w:ind w:firstLine="720"/>
        <w:jc w:val="both"/>
        <w:rPr>
          <w:rFonts w:asciiTheme="majorHAnsi" w:hAnsiTheme="majorHAnsi"/>
          <w:sz w:val="16"/>
          <w:szCs w:val="16"/>
          <w:lang w:val="es-PE"/>
        </w:rPr>
      </w:pPr>
    </w:p>
    <w:p w14:paraId="5B58889D" w14:textId="77777777" w:rsidR="00300CA7" w:rsidRPr="00DC7164" w:rsidRDefault="00300CA7" w:rsidP="00300CA7">
      <w:pPr>
        <w:pStyle w:val="FootnoteText"/>
        <w:ind w:firstLine="720"/>
        <w:jc w:val="both"/>
        <w:rPr>
          <w:rFonts w:asciiTheme="majorHAnsi" w:hAnsiTheme="majorHAnsi"/>
          <w:sz w:val="16"/>
          <w:szCs w:val="16"/>
          <w:lang w:val="es-PE"/>
        </w:rPr>
      </w:pPr>
      <w:r w:rsidRPr="00DC7164">
        <w:rPr>
          <w:rFonts w:asciiTheme="majorHAnsi" w:hAnsiTheme="majorHAnsi"/>
          <w:sz w:val="16"/>
          <w:szCs w:val="16"/>
          <w:lang w:val="es-PE"/>
        </w:rPr>
        <w:t>Si se decidiere la reinstalación, el juez podrá aplicar al empleador que no cumpliere con la decisión firme, las disposiciones del artículo 666 bis del Código Civil, durante el período de vigencia de su estabilidad.</w:t>
      </w:r>
    </w:p>
    <w:p w14:paraId="6E7DD6BC" w14:textId="77777777" w:rsidR="00300CA7" w:rsidRPr="00DC7164" w:rsidRDefault="00300CA7" w:rsidP="00300CA7">
      <w:pPr>
        <w:pStyle w:val="FootnoteText"/>
        <w:ind w:firstLine="720"/>
        <w:jc w:val="both"/>
        <w:rPr>
          <w:rFonts w:asciiTheme="majorHAnsi" w:hAnsiTheme="majorHAnsi"/>
          <w:sz w:val="16"/>
          <w:szCs w:val="16"/>
          <w:lang w:val="es-PE"/>
        </w:rPr>
      </w:pPr>
    </w:p>
    <w:p w14:paraId="6CA3D31F" w14:textId="77777777" w:rsidR="00300CA7" w:rsidRPr="00DC7164" w:rsidRDefault="00300CA7" w:rsidP="00300CA7">
      <w:pPr>
        <w:pStyle w:val="FootnoteText"/>
        <w:ind w:firstLine="720"/>
        <w:jc w:val="both"/>
        <w:rPr>
          <w:rFonts w:asciiTheme="majorHAnsi" w:hAnsiTheme="majorHAnsi"/>
          <w:sz w:val="16"/>
          <w:szCs w:val="16"/>
          <w:lang w:val="es-PE"/>
        </w:rPr>
      </w:pPr>
      <w:r w:rsidRPr="00DC7164">
        <w:rPr>
          <w:rFonts w:asciiTheme="majorHAnsi" w:hAnsiTheme="majorHAnsi"/>
          <w:sz w:val="16"/>
          <w:szCs w:val="16"/>
          <w:lang w:val="es-PE"/>
        </w:rPr>
        <w:t>El trabajador, salvo que se trate de un candidato no electo, podrá optar por considerar extinguido el vínculo laboral en virtud de la decisión del empleador, colocándose en situación de despido indirecto, en cuyo caso tendrá derecho a percibir, además de indemnizaciones por despido, una suma equivalente al importe de las remuneraciones que le hubieren correspondido durante el tiempo faltante del mandato y el año de estabilidad posterior. Si el trabajador fuese un candidato no electo tendrá derecho a percibir, además de las indemnizaciones y de las remuneraciones imputables al período de estabilidad aún no agotado, el importe de un año más de remuneraciones.</w:t>
      </w:r>
    </w:p>
    <w:p w14:paraId="63E72A98" w14:textId="77777777" w:rsidR="00300CA7" w:rsidRPr="00DC7164" w:rsidRDefault="00300CA7" w:rsidP="00300CA7">
      <w:pPr>
        <w:pStyle w:val="FootnoteText"/>
        <w:ind w:firstLine="720"/>
        <w:jc w:val="both"/>
        <w:rPr>
          <w:rFonts w:asciiTheme="majorHAnsi" w:hAnsiTheme="majorHAnsi"/>
          <w:sz w:val="16"/>
          <w:szCs w:val="16"/>
          <w:lang w:val="es-PE"/>
        </w:rPr>
      </w:pPr>
    </w:p>
    <w:p w14:paraId="3659FD6F" w14:textId="77777777" w:rsidR="00300CA7" w:rsidRPr="00DC7164" w:rsidRDefault="00300CA7" w:rsidP="00300CA7">
      <w:pPr>
        <w:pStyle w:val="FootnoteText"/>
        <w:ind w:firstLine="720"/>
        <w:jc w:val="both"/>
        <w:rPr>
          <w:rFonts w:asciiTheme="majorHAnsi" w:hAnsiTheme="majorHAnsi"/>
          <w:sz w:val="16"/>
          <w:szCs w:val="16"/>
          <w:lang w:val="es-PE"/>
        </w:rPr>
      </w:pPr>
      <w:r w:rsidRPr="00DC7164">
        <w:rPr>
          <w:rFonts w:asciiTheme="majorHAnsi" w:hAnsiTheme="majorHAnsi"/>
          <w:sz w:val="16"/>
          <w:szCs w:val="16"/>
          <w:lang w:val="es-PE"/>
        </w:rPr>
        <w:t>La promoción de las acciones por reinstalación o por restablecimiento de las condiciones de trabajo a las que refieren los párrafos anteriores interrumpe la prescripción de las acciones por cobro de indemnización y salarios caídos allí previstas. El curso de la prescripción comenzará una vez que recayere pronunciamiento firme en cualquiera de los supuestos.</w:t>
      </w:r>
    </w:p>
  </w:footnote>
  <w:footnote w:id="6">
    <w:p w14:paraId="756584D4" w14:textId="2347B8D8" w:rsidR="00481919" w:rsidRPr="00B47027" w:rsidRDefault="00481919" w:rsidP="00C409AB">
      <w:pPr>
        <w:pStyle w:val="FootnoteText"/>
        <w:ind w:firstLine="720"/>
        <w:jc w:val="both"/>
        <w:rPr>
          <w:rFonts w:asciiTheme="majorHAnsi" w:hAnsiTheme="majorHAnsi"/>
          <w:sz w:val="16"/>
          <w:szCs w:val="16"/>
          <w:lang w:val="es-ES"/>
        </w:rPr>
      </w:pPr>
      <w:r w:rsidRPr="00C409AB">
        <w:rPr>
          <w:rStyle w:val="FootnoteReference"/>
          <w:rFonts w:asciiTheme="majorHAnsi" w:hAnsiTheme="majorHAnsi"/>
          <w:sz w:val="16"/>
          <w:szCs w:val="16"/>
        </w:rPr>
        <w:footnoteRef/>
      </w:r>
      <w:r w:rsidRPr="00C409AB">
        <w:rPr>
          <w:rFonts w:asciiTheme="majorHAnsi" w:hAnsiTheme="majorHAnsi"/>
          <w:sz w:val="16"/>
          <w:szCs w:val="16"/>
          <w:lang w:val="es-PE"/>
        </w:rPr>
        <w:t xml:space="preserve"> CIDH, Informe No. 245/23. Petición P-1359-11. Admisibilidad. Nelida Manopella y Guillermo Puy. </w:t>
      </w:r>
      <w:r w:rsidRPr="00B47027">
        <w:rPr>
          <w:rFonts w:asciiTheme="majorHAnsi" w:hAnsiTheme="majorHAnsi"/>
          <w:sz w:val="16"/>
          <w:szCs w:val="16"/>
          <w:lang w:val="es-ES"/>
        </w:rPr>
        <w:t>Argentina. 7 de octubre de 2023.</w:t>
      </w:r>
    </w:p>
  </w:footnote>
  <w:footnote w:id="7">
    <w:p w14:paraId="71405ABF" w14:textId="77777777" w:rsidR="00EE4DAC" w:rsidRPr="00A11B3B" w:rsidRDefault="00EE4DAC" w:rsidP="00EE4DAC">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Véase por ejemplo CIDH, Informe No. 56/16. </w:t>
      </w:r>
      <w:r w:rsidRPr="00A11B3B">
        <w:rPr>
          <w:rFonts w:ascii="Cambria" w:hAnsi="Cambria"/>
          <w:color w:val="auto"/>
          <w:sz w:val="16"/>
          <w:szCs w:val="16"/>
          <w:lang w:val="es-ES_tradnl"/>
        </w:rPr>
        <w:t xml:space="preserve">Petición 666-03. Admisibilidad. Luis Alberto Leiva. Argentina. </w:t>
      </w:r>
      <w:r w:rsidRPr="00A11B3B">
        <w:rPr>
          <w:rFonts w:ascii="Cambria" w:hAnsi="Cambria"/>
          <w:color w:val="auto"/>
          <w:sz w:val="16"/>
          <w:szCs w:val="16"/>
          <w:lang w:val="es-ES"/>
        </w:rPr>
        <w:t xml:space="preserve">6 de diciembre de 2016, párr. 25. </w:t>
      </w:r>
      <w:bookmarkStart w:id="2" w:name="_Hlk113360759"/>
    </w:p>
    <w:bookmarkEnd w:id="2"/>
  </w:footnote>
  <w:footnote w:id="8">
    <w:p w14:paraId="4CE64467" w14:textId="77777777" w:rsidR="00EE4DAC" w:rsidRPr="00A11B3B" w:rsidRDefault="00EE4DAC" w:rsidP="00EE4DAC">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No. 79/08, Petición 95-01. Admisibilidad. Marcos Alejandro Martin. Argentina. 17 de octubre de 2008, párr. 27.</w:t>
      </w:r>
    </w:p>
  </w:footnote>
  <w:footnote w:id="9">
    <w:p w14:paraId="38DAF65D" w14:textId="77777777" w:rsidR="00EE4DAC" w:rsidRPr="00A11B3B" w:rsidRDefault="00EE4DAC" w:rsidP="008C087E">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3D7C57">
        <w:rPr>
          <w:rFonts w:ascii="Cambria" w:hAnsi="Cambria"/>
          <w:sz w:val="16"/>
          <w:szCs w:val="16"/>
          <w:lang w:val="pt-BR"/>
        </w:rPr>
        <w:t xml:space="preserve"> </w:t>
      </w:r>
      <w:r w:rsidRPr="003D7C57">
        <w:rPr>
          <w:rFonts w:ascii="Cambria" w:hAnsi="Cambria"/>
          <w:color w:val="auto"/>
          <w:sz w:val="16"/>
          <w:szCs w:val="16"/>
          <w:lang w:val="pt-BR"/>
        </w:rPr>
        <w:t xml:space="preserve">Corte IDH, </w:t>
      </w:r>
      <w:r w:rsidRPr="003D7C57">
        <w:rPr>
          <w:rFonts w:ascii="Cambria" w:hAnsi="Cambria"/>
          <w:i/>
          <w:color w:val="auto"/>
          <w:sz w:val="16"/>
          <w:szCs w:val="16"/>
          <w:lang w:val="pt-BR"/>
        </w:rPr>
        <w:t xml:space="preserve">Caso Mémoli vs. Argentina. </w:t>
      </w:r>
      <w:r w:rsidRPr="00A11B3B">
        <w:rPr>
          <w:rFonts w:ascii="Cambria" w:hAnsi="Cambria"/>
          <w:color w:val="auto"/>
          <w:sz w:val="16"/>
          <w:szCs w:val="16"/>
          <w:lang w:val="es-ES"/>
        </w:rPr>
        <w:t xml:space="preserve">Excepciones Preliminares, </w:t>
      </w:r>
      <w:r w:rsidRPr="00A11B3B">
        <w:rPr>
          <w:rFonts w:ascii="Cambria" w:hAnsi="Cambria"/>
          <w:color w:val="auto"/>
          <w:sz w:val="16"/>
          <w:szCs w:val="16"/>
          <w:lang w:val="es-CO"/>
        </w:rPr>
        <w:t xml:space="preserve">Fondo, Reparaciones y Costas. Sentencia de 22 de agosto de 2013. Serie C No. 295, </w:t>
      </w:r>
      <w:r w:rsidRPr="00A11B3B">
        <w:rPr>
          <w:rFonts w:ascii="Cambria" w:hAnsi="Cambria"/>
          <w:color w:val="auto"/>
          <w:sz w:val="16"/>
          <w:szCs w:val="16"/>
          <w:lang w:val="es-AR"/>
        </w:rPr>
        <w:t>p</w:t>
      </w:r>
      <w:r w:rsidRPr="00A11B3B">
        <w:rPr>
          <w:rFonts w:ascii="Cambria" w:hAnsi="Cambria"/>
          <w:color w:val="auto"/>
          <w:sz w:val="16"/>
          <w:szCs w:val="16"/>
          <w:lang w:val="es-ES_tradnl"/>
        </w:rPr>
        <w:t>árr. 32.</w:t>
      </w:r>
    </w:p>
  </w:footnote>
  <w:footnote w:id="10">
    <w:p w14:paraId="29D88170" w14:textId="77777777" w:rsidR="006F003D" w:rsidRPr="00A11B3B" w:rsidRDefault="006F003D" w:rsidP="006F003D">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11">
    <w:p w14:paraId="71EA654D" w14:textId="77777777" w:rsidR="006F003D" w:rsidRPr="00A11B3B" w:rsidRDefault="006F003D" w:rsidP="006F003D">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D60D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F6891BA"/>
    <w:lvl w:ilvl="0" w:tplc="1B66670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F37"/>
    <w:rsid w:val="00006E1F"/>
    <w:rsid w:val="000070D7"/>
    <w:rsid w:val="00007B9E"/>
    <w:rsid w:val="00010A86"/>
    <w:rsid w:val="0001788C"/>
    <w:rsid w:val="00020150"/>
    <w:rsid w:val="00020E3E"/>
    <w:rsid w:val="000337EF"/>
    <w:rsid w:val="00040C3A"/>
    <w:rsid w:val="000419AD"/>
    <w:rsid w:val="00043009"/>
    <w:rsid w:val="000433C9"/>
    <w:rsid w:val="0006276C"/>
    <w:rsid w:val="000716C5"/>
    <w:rsid w:val="000742B4"/>
    <w:rsid w:val="00075E23"/>
    <w:rsid w:val="00092946"/>
    <w:rsid w:val="0009344A"/>
    <w:rsid w:val="000A392E"/>
    <w:rsid w:val="000A575F"/>
    <w:rsid w:val="000B062C"/>
    <w:rsid w:val="000C199A"/>
    <w:rsid w:val="000D05CB"/>
    <w:rsid w:val="000D10DB"/>
    <w:rsid w:val="000D3B8C"/>
    <w:rsid w:val="000D4720"/>
    <w:rsid w:val="000D564C"/>
    <w:rsid w:val="000D6D0C"/>
    <w:rsid w:val="000E5EB5"/>
    <w:rsid w:val="000F35ED"/>
    <w:rsid w:val="000F448F"/>
    <w:rsid w:val="000F544C"/>
    <w:rsid w:val="000F7DAB"/>
    <w:rsid w:val="00102F6F"/>
    <w:rsid w:val="00105874"/>
    <w:rsid w:val="00107131"/>
    <w:rsid w:val="0010736F"/>
    <w:rsid w:val="00110A12"/>
    <w:rsid w:val="00113F73"/>
    <w:rsid w:val="00121CC2"/>
    <w:rsid w:val="00122EEE"/>
    <w:rsid w:val="00124C6C"/>
    <w:rsid w:val="00131425"/>
    <w:rsid w:val="00133EE5"/>
    <w:rsid w:val="001515D8"/>
    <w:rsid w:val="00152027"/>
    <w:rsid w:val="001639AD"/>
    <w:rsid w:val="00167A34"/>
    <w:rsid w:val="00174A14"/>
    <w:rsid w:val="001765FA"/>
    <w:rsid w:val="0019566B"/>
    <w:rsid w:val="001A5D25"/>
    <w:rsid w:val="001A7870"/>
    <w:rsid w:val="001B0A83"/>
    <w:rsid w:val="001B1127"/>
    <w:rsid w:val="001B3A00"/>
    <w:rsid w:val="001B4781"/>
    <w:rsid w:val="001C1B41"/>
    <w:rsid w:val="001D01CD"/>
    <w:rsid w:val="001D0793"/>
    <w:rsid w:val="001D60D4"/>
    <w:rsid w:val="001D65EF"/>
    <w:rsid w:val="001D7945"/>
    <w:rsid w:val="001E49E7"/>
    <w:rsid w:val="001E755B"/>
    <w:rsid w:val="001F0D72"/>
    <w:rsid w:val="001F7201"/>
    <w:rsid w:val="0020255E"/>
    <w:rsid w:val="00222DE7"/>
    <w:rsid w:val="00223A29"/>
    <w:rsid w:val="002250A3"/>
    <w:rsid w:val="00230DB0"/>
    <w:rsid w:val="00235217"/>
    <w:rsid w:val="002469D2"/>
    <w:rsid w:val="00246D1F"/>
    <w:rsid w:val="00247403"/>
    <w:rsid w:val="00247523"/>
    <w:rsid w:val="00247542"/>
    <w:rsid w:val="00260108"/>
    <w:rsid w:val="0026020D"/>
    <w:rsid w:val="00265240"/>
    <w:rsid w:val="00266B61"/>
    <w:rsid w:val="0026712A"/>
    <w:rsid w:val="002704DB"/>
    <w:rsid w:val="002737DE"/>
    <w:rsid w:val="00295A16"/>
    <w:rsid w:val="002A0AAE"/>
    <w:rsid w:val="002A5820"/>
    <w:rsid w:val="002A6169"/>
    <w:rsid w:val="002B1032"/>
    <w:rsid w:val="002B50A4"/>
    <w:rsid w:val="002D2B26"/>
    <w:rsid w:val="002D7EA2"/>
    <w:rsid w:val="002E187C"/>
    <w:rsid w:val="002F51BC"/>
    <w:rsid w:val="00300CA7"/>
    <w:rsid w:val="00302733"/>
    <w:rsid w:val="003054F0"/>
    <w:rsid w:val="00311C02"/>
    <w:rsid w:val="00314078"/>
    <w:rsid w:val="0031535D"/>
    <w:rsid w:val="003239B8"/>
    <w:rsid w:val="0033169F"/>
    <w:rsid w:val="00344977"/>
    <w:rsid w:val="003461CA"/>
    <w:rsid w:val="00346C95"/>
    <w:rsid w:val="00352D49"/>
    <w:rsid w:val="00356185"/>
    <w:rsid w:val="00360380"/>
    <w:rsid w:val="00362581"/>
    <w:rsid w:val="00366A0E"/>
    <w:rsid w:val="00372E0E"/>
    <w:rsid w:val="0037440C"/>
    <w:rsid w:val="0037519E"/>
    <w:rsid w:val="00384090"/>
    <w:rsid w:val="00386CF0"/>
    <w:rsid w:val="00394049"/>
    <w:rsid w:val="00394C2F"/>
    <w:rsid w:val="003A7CD3"/>
    <w:rsid w:val="003B04B2"/>
    <w:rsid w:val="003B1B44"/>
    <w:rsid w:val="003B70FB"/>
    <w:rsid w:val="003C2239"/>
    <w:rsid w:val="003C676B"/>
    <w:rsid w:val="003D3BC2"/>
    <w:rsid w:val="003D64DD"/>
    <w:rsid w:val="003D7C57"/>
    <w:rsid w:val="003E6CA1"/>
    <w:rsid w:val="003E7238"/>
    <w:rsid w:val="003F1D48"/>
    <w:rsid w:val="003F66AB"/>
    <w:rsid w:val="00401A91"/>
    <w:rsid w:val="004051E8"/>
    <w:rsid w:val="00405BDC"/>
    <w:rsid w:val="00405F9C"/>
    <w:rsid w:val="004065A8"/>
    <w:rsid w:val="004165C2"/>
    <w:rsid w:val="00430294"/>
    <w:rsid w:val="00436B39"/>
    <w:rsid w:val="00437179"/>
    <w:rsid w:val="004373A7"/>
    <w:rsid w:val="00441524"/>
    <w:rsid w:val="00441E0D"/>
    <w:rsid w:val="00441ECB"/>
    <w:rsid w:val="004422BE"/>
    <w:rsid w:val="00445193"/>
    <w:rsid w:val="00462C1B"/>
    <w:rsid w:val="00467B7E"/>
    <w:rsid w:val="00467CFE"/>
    <w:rsid w:val="00473BB4"/>
    <w:rsid w:val="00477592"/>
    <w:rsid w:val="00481919"/>
    <w:rsid w:val="004838EC"/>
    <w:rsid w:val="00486F1C"/>
    <w:rsid w:val="0049419D"/>
    <w:rsid w:val="004A197A"/>
    <w:rsid w:val="004A480F"/>
    <w:rsid w:val="004A4872"/>
    <w:rsid w:val="004A57BC"/>
    <w:rsid w:val="004A6A54"/>
    <w:rsid w:val="004C20D2"/>
    <w:rsid w:val="004C2312"/>
    <w:rsid w:val="004C4B62"/>
    <w:rsid w:val="004C54C9"/>
    <w:rsid w:val="004D4ABA"/>
    <w:rsid w:val="004D6025"/>
    <w:rsid w:val="004D7BF9"/>
    <w:rsid w:val="004E2649"/>
    <w:rsid w:val="004E64F2"/>
    <w:rsid w:val="004F626F"/>
    <w:rsid w:val="004F6751"/>
    <w:rsid w:val="00501399"/>
    <w:rsid w:val="00501E22"/>
    <w:rsid w:val="0050633D"/>
    <w:rsid w:val="00507BC4"/>
    <w:rsid w:val="005128E4"/>
    <w:rsid w:val="005133DB"/>
    <w:rsid w:val="00514504"/>
    <w:rsid w:val="0052092C"/>
    <w:rsid w:val="005210B0"/>
    <w:rsid w:val="00525560"/>
    <w:rsid w:val="00527F4A"/>
    <w:rsid w:val="00544C49"/>
    <w:rsid w:val="005516A1"/>
    <w:rsid w:val="0055268A"/>
    <w:rsid w:val="005559EF"/>
    <w:rsid w:val="00555B91"/>
    <w:rsid w:val="005564B7"/>
    <w:rsid w:val="00563557"/>
    <w:rsid w:val="00563E68"/>
    <w:rsid w:val="0056730E"/>
    <w:rsid w:val="00567349"/>
    <w:rsid w:val="00573679"/>
    <w:rsid w:val="0057402A"/>
    <w:rsid w:val="005771D0"/>
    <w:rsid w:val="0058547E"/>
    <w:rsid w:val="0059191A"/>
    <w:rsid w:val="005921FF"/>
    <w:rsid w:val="00597A63"/>
    <w:rsid w:val="005A17E7"/>
    <w:rsid w:val="005A24ED"/>
    <w:rsid w:val="005A254F"/>
    <w:rsid w:val="005A6D0E"/>
    <w:rsid w:val="005B52B0"/>
    <w:rsid w:val="005B6806"/>
    <w:rsid w:val="005C2432"/>
    <w:rsid w:val="005C4225"/>
    <w:rsid w:val="005D38F9"/>
    <w:rsid w:val="005D53A4"/>
    <w:rsid w:val="005E235C"/>
    <w:rsid w:val="005F0DAD"/>
    <w:rsid w:val="005F0F33"/>
    <w:rsid w:val="005F1DC2"/>
    <w:rsid w:val="005F7159"/>
    <w:rsid w:val="00600DEB"/>
    <w:rsid w:val="00614193"/>
    <w:rsid w:val="00626E74"/>
    <w:rsid w:val="00627C9F"/>
    <w:rsid w:val="00630805"/>
    <w:rsid w:val="006311E9"/>
    <w:rsid w:val="0063170D"/>
    <w:rsid w:val="00632354"/>
    <w:rsid w:val="00635421"/>
    <w:rsid w:val="00642810"/>
    <w:rsid w:val="00647BD7"/>
    <w:rsid w:val="00652333"/>
    <w:rsid w:val="00653FD2"/>
    <w:rsid w:val="006607EC"/>
    <w:rsid w:val="0066532C"/>
    <w:rsid w:val="0068009E"/>
    <w:rsid w:val="0068520D"/>
    <w:rsid w:val="00692219"/>
    <w:rsid w:val="006A05B8"/>
    <w:rsid w:val="006A17D2"/>
    <w:rsid w:val="006A6E84"/>
    <w:rsid w:val="006A73E6"/>
    <w:rsid w:val="006B2112"/>
    <w:rsid w:val="006B2D5C"/>
    <w:rsid w:val="006B3AF2"/>
    <w:rsid w:val="006C0778"/>
    <w:rsid w:val="006C4EB1"/>
    <w:rsid w:val="006D5B19"/>
    <w:rsid w:val="006E0166"/>
    <w:rsid w:val="006E2FFB"/>
    <w:rsid w:val="006E494C"/>
    <w:rsid w:val="006E4ECF"/>
    <w:rsid w:val="006E7B34"/>
    <w:rsid w:val="006F003D"/>
    <w:rsid w:val="006F1DE2"/>
    <w:rsid w:val="006F304F"/>
    <w:rsid w:val="006F6AE5"/>
    <w:rsid w:val="006F7B55"/>
    <w:rsid w:val="00700D50"/>
    <w:rsid w:val="00705BFB"/>
    <w:rsid w:val="0070697F"/>
    <w:rsid w:val="00706BC3"/>
    <w:rsid w:val="0070720B"/>
    <w:rsid w:val="0072199C"/>
    <w:rsid w:val="00722C9F"/>
    <w:rsid w:val="007253B8"/>
    <w:rsid w:val="0073741F"/>
    <w:rsid w:val="007610CC"/>
    <w:rsid w:val="00764856"/>
    <w:rsid w:val="0076643F"/>
    <w:rsid w:val="00772E36"/>
    <w:rsid w:val="00773A3F"/>
    <w:rsid w:val="00777F63"/>
    <w:rsid w:val="007813EE"/>
    <w:rsid w:val="00782C82"/>
    <w:rsid w:val="007A5817"/>
    <w:rsid w:val="007B05C4"/>
    <w:rsid w:val="007B60E9"/>
    <w:rsid w:val="007B643F"/>
    <w:rsid w:val="007B6CC3"/>
    <w:rsid w:val="007B6E92"/>
    <w:rsid w:val="007B76D3"/>
    <w:rsid w:val="007B770D"/>
    <w:rsid w:val="007C3334"/>
    <w:rsid w:val="007D2B98"/>
    <w:rsid w:val="007E21BC"/>
    <w:rsid w:val="007E3405"/>
    <w:rsid w:val="007E7C82"/>
    <w:rsid w:val="007F2AA1"/>
    <w:rsid w:val="007F588D"/>
    <w:rsid w:val="00803F1C"/>
    <w:rsid w:val="008057B8"/>
    <w:rsid w:val="0080600E"/>
    <w:rsid w:val="00806454"/>
    <w:rsid w:val="008073CE"/>
    <w:rsid w:val="00813062"/>
    <w:rsid w:val="00814688"/>
    <w:rsid w:val="00817612"/>
    <w:rsid w:val="008316DF"/>
    <w:rsid w:val="008338A4"/>
    <w:rsid w:val="00834D49"/>
    <w:rsid w:val="00837C45"/>
    <w:rsid w:val="00844730"/>
    <w:rsid w:val="008457C2"/>
    <w:rsid w:val="00855B03"/>
    <w:rsid w:val="00857A82"/>
    <w:rsid w:val="0086089A"/>
    <w:rsid w:val="00867314"/>
    <w:rsid w:val="00873836"/>
    <w:rsid w:val="008765A5"/>
    <w:rsid w:val="00885737"/>
    <w:rsid w:val="00890650"/>
    <w:rsid w:val="00893CAE"/>
    <w:rsid w:val="008977C9"/>
    <w:rsid w:val="00897E12"/>
    <w:rsid w:val="008A2D04"/>
    <w:rsid w:val="008A45DD"/>
    <w:rsid w:val="008A6620"/>
    <w:rsid w:val="008A7E0F"/>
    <w:rsid w:val="008B12F5"/>
    <w:rsid w:val="008B59C5"/>
    <w:rsid w:val="008C087E"/>
    <w:rsid w:val="008C33CD"/>
    <w:rsid w:val="008C5E2D"/>
    <w:rsid w:val="008D0624"/>
    <w:rsid w:val="008D19CD"/>
    <w:rsid w:val="008D1FFE"/>
    <w:rsid w:val="008D6133"/>
    <w:rsid w:val="008D768D"/>
    <w:rsid w:val="008E2358"/>
    <w:rsid w:val="008E3759"/>
    <w:rsid w:val="008E3BFE"/>
    <w:rsid w:val="008F1912"/>
    <w:rsid w:val="008F2504"/>
    <w:rsid w:val="0090270B"/>
    <w:rsid w:val="009041DC"/>
    <w:rsid w:val="0091602E"/>
    <w:rsid w:val="00917B5A"/>
    <w:rsid w:val="00920A58"/>
    <w:rsid w:val="00920A8C"/>
    <w:rsid w:val="00934A2C"/>
    <w:rsid w:val="00935A9A"/>
    <w:rsid w:val="00937141"/>
    <w:rsid w:val="0094531A"/>
    <w:rsid w:val="0095761A"/>
    <w:rsid w:val="0096706E"/>
    <w:rsid w:val="00970341"/>
    <w:rsid w:val="00974491"/>
    <w:rsid w:val="00974A69"/>
    <w:rsid w:val="00975C4E"/>
    <w:rsid w:val="00981FBA"/>
    <w:rsid w:val="009855DE"/>
    <w:rsid w:val="00996E50"/>
    <w:rsid w:val="00997BC5"/>
    <w:rsid w:val="009A04B7"/>
    <w:rsid w:val="009A4F41"/>
    <w:rsid w:val="009A7411"/>
    <w:rsid w:val="009B381B"/>
    <w:rsid w:val="009C5418"/>
    <w:rsid w:val="009D1753"/>
    <w:rsid w:val="009D7611"/>
    <w:rsid w:val="009E0B61"/>
    <w:rsid w:val="009E53DE"/>
    <w:rsid w:val="009F788B"/>
    <w:rsid w:val="00A032BA"/>
    <w:rsid w:val="00A11212"/>
    <w:rsid w:val="00A11E44"/>
    <w:rsid w:val="00A12449"/>
    <w:rsid w:val="00A12962"/>
    <w:rsid w:val="00A23907"/>
    <w:rsid w:val="00A30100"/>
    <w:rsid w:val="00A328B3"/>
    <w:rsid w:val="00A334AE"/>
    <w:rsid w:val="00A37C7F"/>
    <w:rsid w:val="00A4049C"/>
    <w:rsid w:val="00A50FCF"/>
    <w:rsid w:val="00A528D1"/>
    <w:rsid w:val="00A610CD"/>
    <w:rsid w:val="00A70CE7"/>
    <w:rsid w:val="00A736EC"/>
    <w:rsid w:val="00A7577F"/>
    <w:rsid w:val="00A758AA"/>
    <w:rsid w:val="00A76F7A"/>
    <w:rsid w:val="00A81C51"/>
    <w:rsid w:val="00A92BAB"/>
    <w:rsid w:val="00A960E0"/>
    <w:rsid w:val="00AA09A2"/>
    <w:rsid w:val="00AA459F"/>
    <w:rsid w:val="00AA52AC"/>
    <w:rsid w:val="00AA688C"/>
    <w:rsid w:val="00AA7996"/>
    <w:rsid w:val="00AB38F9"/>
    <w:rsid w:val="00AC120D"/>
    <w:rsid w:val="00AC19CB"/>
    <w:rsid w:val="00AD2DDF"/>
    <w:rsid w:val="00AE3442"/>
    <w:rsid w:val="00AE3CDD"/>
    <w:rsid w:val="00AE5488"/>
    <w:rsid w:val="00AE6F91"/>
    <w:rsid w:val="00AF2FB7"/>
    <w:rsid w:val="00AF5571"/>
    <w:rsid w:val="00AF71E2"/>
    <w:rsid w:val="00AF76FA"/>
    <w:rsid w:val="00B07341"/>
    <w:rsid w:val="00B1205C"/>
    <w:rsid w:val="00B14B84"/>
    <w:rsid w:val="00B20CC7"/>
    <w:rsid w:val="00B2488A"/>
    <w:rsid w:val="00B2516B"/>
    <w:rsid w:val="00B30539"/>
    <w:rsid w:val="00B314DB"/>
    <w:rsid w:val="00B361F2"/>
    <w:rsid w:val="00B3718B"/>
    <w:rsid w:val="00B3745F"/>
    <w:rsid w:val="00B44318"/>
    <w:rsid w:val="00B4632A"/>
    <w:rsid w:val="00B47027"/>
    <w:rsid w:val="00B52787"/>
    <w:rsid w:val="00B530F1"/>
    <w:rsid w:val="00B55807"/>
    <w:rsid w:val="00B71C50"/>
    <w:rsid w:val="00B72D8D"/>
    <w:rsid w:val="00B735F7"/>
    <w:rsid w:val="00B83875"/>
    <w:rsid w:val="00B949ED"/>
    <w:rsid w:val="00BA276C"/>
    <w:rsid w:val="00BA3BE6"/>
    <w:rsid w:val="00BB306F"/>
    <w:rsid w:val="00BB510D"/>
    <w:rsid w:val="00BC3A76"/>
    <w:rsid w:val="00BD4B89"/>
    <w:rsid w:val="00BD505F"/>
    <w:rsid w:val="00BD5922"/>
    <w:rsid w:val="00BF02CB"/>
    <w:rsid w:val="00BF26A6"/>
    <w:rsid w:val="00BF6FD8"/>
    <w:rsid w:val="00C03680"/>
    <w:rsid w:val="00C054DF"/>
    <w:rsid w:val="00C12AAF"/>
    <w:rsid w:val="00C21762"/>
    <w:rsid w:val="00C21FEF"/>
    <w:rsid w:val="00C23BA4"/>
    <w:rsid w:val="00C24543"/>
    <w:rsid w:val="00C256A2"/>
    <w:rsid w:val="00C25ADB"/>
    <w:rsid w:val="00C26162"/>
    <w:rsid w:val="00C32E2E"/>
    <w:rsid w:val="00C337CD"/>
    <w:rsid w:val="00C344CE"/>
    <w:rsid w:val="00C3501C"/>
    <w:rsid w:val="00C409AB"/>
    <w:rsid w:val="00C44DD6"/>
    <w:rsid w:val="00C51515"/>
    <w:rsid w:val="00C54D2E"/>
    <w:rsid w:val="00C5660B"/>
    <w:rsid w:val="00C66B72"/>
    <w:rsid w:val="00C70F40"/>
    <w:rsid w:val="00C741C1"/>
    <w:rsid w:val="00C7747C"/>
    <w:rsid w:val="00C77EDF"/>
    <w:rsid w:val="00C84678"/>
    <w:rsid w:val="00C85E3C"/>
    <w:rsid w:val="00C87AC4"/>
    <w:rsid w:val="00C9128A"/>
    <w:rsid w:val="00C94E3C"/>
    <w:rsid w:val="00C9567A"/>
    <w:rsid w:val="00CA0398"/>
    <w:rsid w:val="00CB212D"/>
    <w:rsid w:val="00CB2660"/>
    <w:rsid w:val="00CC5896"/>
    <w:rsid w:val="00CC5E90"/>
    <w:rsid w:val="00CD046C"/>
    <w:rsid w:val="00CD4B1E"/>
    <w:rsid w:val="00CD6DE5"/>
    <w:rsid w:val="00CE076C"/>
    <w:rsid w:val="00CE13B3"/>
    <w:rsid w:val="00CE2C0B"/>
    <w:rsid w:val="00CE5199"/>
    <w:rsid w:val="00CE66D5"/>
    <w:rsid w:val="00CF2BFB"/>
    <w:rsid w:val="00CF4969"/>
    <w:rsid w:val="00CF637A"/>
    <w:rsid w:val="00D059DE"/>
    <w:rsid w:val="00D05ABD"/>
    <w:rsid w:val="00D0694D"/>
    <w:rsid w:val="00D06B6D"/>
    <w:rsid w:val="00D11365"/>
    <w:rsid w:val="00D13530"/>
    <w:rsid w:val="00D13FCE"/>
    <w:rsid w:val="00D306D1"/>
    <w:rsid w:val="00D30800"/>
    <w:rsid w:val="00D34786"/>
    <w:rsid w:val="00D36458"/>
    <w:rsid w:val="00D37BFC"/>
    <w:rsid w:val="00D47A8E"/>
    <w:rsid w:val="00D50CD8"/>
    <w:rsid w:val="00D52D14"/>
    <w:rsid w:val="00D543C6"/>
    <w:rsid w:val="00D61ED4"/>
    <w:rsid w:val="00D712D3"/>
    <w:rsid w:val="00D71422"/>
    <w:rsid w:val="00D7254B"/>
    <w:rsid w:val="00D72DC6"/>
    <w:rsid w:val="00D7558D"/>
    <w:rsid w:val="00D8037D"/>
    <w:rsid w:val="00D81D92"/>
    <w:rsid w:val="00D876F9"/>
    <w:rsid w:val="00DA15CF"/>
    <w:rsid w:val="00DA7B5F"/>
    <w:rsid w:val="00DB1331"/>
    <w:rsid w:val="00DB4CFB"/>
    <w:rsid w:val="00DC11E7"/>
    <w:rsid w:val="00DC24E3"/>
    <w:rsid w:val="00DC3193"/>
    <w:rsid w:val="00DC7023"/>
    <w:rsid w:val="00DC7164"/>
    <w:rsid w:val="00DC769A"/>
    <w:rsid w:val="00DD3D86"/>
    <w:rsid w:val="00DD4AD2"/>
    <w:rsid w:val="00DD50EC"/>
    <w:rsid w:val="00DF0694"/>
    <w:rsid w:val="00DF1EC4"/>
    <w:rsid w:val="00E0340B"/>
    <w:rsid w:val="00E04A90"/>
    <w:rsid w:val="00E0551F"/>
    <w:rsid w:val="00E219C7"/>
    <w:rsid w:val="00E23259"/>
    <w:rsid w:val="00E25934"/>
    <w:rsid w:val="00E4118C"/>
    <w:rsid w:val="00E43157"/>
    <w:rsid w:val="00E461CE"/>
    <w:rsid w:val="00E50694"/>
    <w:rsid w:val="00E54D28"/>
    <w:rsid w:val="00E573E4"/>
    <w:rsid w:val="00E62413"/>
    <w:rsid w:val="00E64C3D"/>
    <w:rsid w:val="00E671B8"/>
    <w:rsid w:val="00E720CA"/>
    <w:rsid w:val="00E73D07"/>
    <w:rsid w:val="00E82DDC"/>
    <w:rsid w:val="00E84EB5"/>
    <w:rsid w:val="00E850E9"/>
    <w:rsid w:val="00E85662"/>
    <w:rsid w:val="00E8789F"/>
    <w:rsid w:val="00E97B71"/>
    <w:rsid w:val="00EA3D34"/>
    <w:rsid w:val="00EB0291"/>
    <w:rsid w:val="00EB197F"/>
    <w:rsid w:val="00EB35D6"/>
    <w:rsid w:val="00EB36E8"/>
    <w:rsid w:val="00EB3B5A"/>
    <w:rsid w:val="00EB454D"/>
    <w:rsid w:val="00EB5A36"/>
    <w:rsid w:val="00ED549D"/>
    <w:rsid w:val="00ED76BE"/>
    <w:rsid w:val="00EE00E9"/>
    <w:rsid w:val="00EE4DAC"/>
    <w:rsid w:val="00EE6290"/>
    <w:rsid w:val="00EF1AAA"/>
    <w:rsid w:val="00EF2160"/>
    <w:rsid w:val="00EF619B"/>
    <w:rsid w:val="00F00B55"/>
    <w:rsid w:val="00F02AD1"/>
    <w:rsid w:val="00F147AA"/>
    <w:rsid w:val="00F2467C"/>
    <w:rsid w:val="00F253CC"/>
    <w:rsid w:val="00F3568A"/>
    <w:rsid w:val="00F37106"/>
    <w:rsid w:val="00F40E6F"/>
    <w:rsid w:val="00F415D4"/>
    <w:rsid w:val="00F422A9"/>
    <w:rsid w:val="00F4372D"/>
    <w:rsid w:val="00F44E25"/>
    <w:rsid w:val="00F479F3"/>
    <w:rsid w:val="00F47EB0"/>
    <w:rsid w:val="00F519CF"/>
    <w:rsid w:val="00F56BA5"/>
    <w:rsid w:val="00F60E22"/>
    <w:rsid w:val="00F66B81"/>
    <w:rsid w:val="00F71CAA"/>
    <w:rsid w:val="00F81395"/>
    <w:rsid w:val="00F81BB8"/>
    <w:rsid w:val="00F84E33"/>
    <w:rsid w:val="00F90C64"/>
    <w:rsid w:val="00F917D1"/>
    <w:rsid w:val="00F9653B"/>
    <w:rsid w:val="00FA4353"/>
    <w:rsid w:val="00FB4BD2"/>
    <w:rsid w:val="00FB62CF"/>
    <w:rsid w:val="00FC58DC"/>
    <w:rsid w:val="00FD3C3B"/>
    <w:rsid w:val="00FD7576"/>
    <w:rsid w:val="00FE07DD"/>
    <w:rsid w:val="00FE1825"/>
    <w:rsid w:val="00FE1ED8"/>
    <w:rsid w:val="00FE6B45"/>
    <w:rsid w:val="00FF20C7"/>
    <w:rsid w:val="00FF55F3"/>
    <w:rsid w:val="00FF5851"/>
    <w:rsid w:val="00FF7B15"/>
    <w:rsid w:val="00FF7B79"/>
    <w:rsid w:val="4F8AEAA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D53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FA43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styleId="CommentText">
    <w:name w:val="annotation text"/>
    <w:basedOn w:val="Normal"/>
    <w:link w:val="CommentTextChar"/>
    <w:uiPriority w:val="99"/>
    <w:unhideWhenUsed/>
    <w:rsid w:val="00EE4DAC"/>
    <w:rPr>
      <w:sz w:val="20"/>
      <w:szCs w:val="20"/>
    </w:rPr>
  </w:style>
  <w:style w:type="character" w:customStyle="1" w:styleId="CommentTextChar">
    <w:name w:val="Comment Text Char"/>
    <w:basedOn w:val="DefaultParagraphFont"/>
    <w:link w:val="CommentText"/>
    <w:uiPriority w:val="99"/>
    <w:rsid w:val="00EE4DAC"/>
    <w:rPr>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E4DA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styleId="CommentReference">
    <w:name w:val="annotation reference"/>
    <w:basedOn w:val="DefaultParagraphFont"/>
    <w:uiPriority w:val="99"/>
    <w:semiHidden/>
    <w:unhideWhenUsed/>
    <w:rsid w:val="00DD50EC"/>
    <w:rPr>
      <w:sz w:val="16"/>
      <w:szCs w:val="16"/>
    </w:rPr>
  </w:style>
  <w:style w:type="paragraph" w:styleId="CommentSubject">
    <w:name w:val="annotation subject"/>
    <w:basedOn w:val="CommentText"/>
    <w:next w:val="CommentText"/>
    <w:link w:val="CommentSubjectChar"/>
    <w:uiPriority w:val="99"/>
    <w:semiHidden/>
    <w:unhideWhenUsed/>
    <w:rsid w:val="00DD50EC"/>
    <w:rPr>
      <w:b/>
      <w:bCs/>
    </w:rPr>
  </w:style>
  <w:style w:type="character" w:customStyle="1" w:styleId="CommentSubjectChar">
    <w:name w:val="Comment Subject Char"/>
    <w:basedOn w:val="CommentTextChar"/>
    <w:link w:val="CommentSubject"/>
    <w:uiPriority w:val="99"/>
    <w:semiHidden/>
    <w:rsid w:val="00DD50EC"/>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0D6D0C"/>
    <w:rPr>
      <w:rFonts w:ascii="Cambria" w:eastAsia="Cambria" w:hAnsi="Cambria" w:cs="Cambria"/>
      <w:color w:val="000000"/>
      <w:sz w:val="24"/>
      <w:szCs w:val="24"/>
      <w:u w:color="000000"/>
      <w:lang w:val="en-US"/>
    </w:rPr>
  </w:style>
  <w:style w:type="paragraph" w:customStyle="1" w:styleId="paragraph">
    <w:name w:val="paragraph"/>
    <w:basedOn w:val="Normal"/>
    <w:rsid w:val="005E23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E235C"/>
  </w:style>
  <w:style w:type="character" w:customStyle="1" w:styleId="eop">
    <w:name w:val="eop"/>
    <w:basedOn w:val="DefaultParagraphFont"/>
    <w:rsid w:val="005E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532">
      <w:bodyDiv w:val="1"/>
      <w:marLeft w:val="0"/>
      <w:marRight w:val="0"/>
      <w:marTop w:val="0"/>
      <w:marBottom w:val="0"/>
      <w:divBdr>
        <w:top w:val="none" w:sz="0" w:space="0" w:color="auto"/>
        <w:left w:val="none" w:sz="0" w:space="0" w:color="auto"/>
        <w:bottom w:val="none" w:sz="0" w:space="0" w:color="auto"/>
        <w:right w:val="none" w:sz="0" w:space="0" w:color="auto"/>
      </w:divBdr>
      <w:divsChild>
        <w:div w:id="2076318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59233">
      <w:bodyDiv w:val="1"/>
      <w:marLeft w:val="0"/>
      <w:marRight w:val="0"/>
      <w:marTop w:val="0"/>
      <w:marBottom w:val="0"/>
      <w:divBdr>
        <w:top w:val="none" w:sz="0" w:space="0" w:color="auto"/>
        <w:left w:val="none" w:sz="0" w:space="0" w:color="auto"/>
        <w:bottom w:val="none" w:sz="0" w:space="0" w:color="auto"/>
        <w:right w:val="none" w:sz="0" w:space="0" w:color="auto"/>
      </w:divBdr>
      <w:divsChild>
        <w:div w:id="203484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655769">
      <w:bodyDiv w:val="1"/>
      <w:marLeft w:val="0"/>
      <w:marRight w:val="0"/>
      <w:marTop w:val="0"/>
      <w:marBottom w:val="0"/>
      <w:divBdr>
        <w:top w:val="none" w:sz="0" w:space="0" w:color="auto"/>
        <w:left w:val="none" w:sz="0" w:space="0" w:color="auto"/>
        <w:bottom w:val="none" w:sz="0" w:space="0" w:color="auto"/>
        <w:right w:val="none" w:sz="0" w:space="0" w:color="auto"/>
      </w:divBdr>
      <w:divsChild>
        <w:div w:id="32960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736020">
      <w:bodyDiv w:val="1"/>
      <w:marLeft w:val="0"/>
      <w:marRight w:val="0"/>
      <w:marTop w:val="0"/>
      <w:marBottom w:val="0"/>
      <w:divBdr>
        <w:top w:val="none" w:sz="0" w:space="0" w:color="auto"/>
        <w:left w:val="none" w:sz="0" w:space="0" w:color="auto"/>
        <w:bottom w:val="none" w:sz="0" w:space="0" w:color="auto"/>
        <w:right w:val="none" w:sz="0" w:space="0" w:color="auto"/>
      </w:divBdr>
      <w:divsChild>
        <w:div w:id="90368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83629">
      <w:bodyDiv w:val="1"/>
      <w:marLeft w:val="0"/>
      <w:marRight w:val="0"/>
      <w:marTop w:val="0"/>
      <w:marBottom w:val="0"/>
      <w:divBdr>
        <w:top w:val="none" w:sz="0" w:space="0" w:color="auto"/>
        <w:left w:val="none" w:sz="0" w:space="0" w:color="auto"/>
        <w:bottom w:val="none" w:sz="0" w:space="0" w:color="auto"/>
        <w:right w:val="none" w:sz="0" w:space="0" w:color="auto"/>
      </w:divBdr>
      <w:divsChild>
        <w:div w:id="387998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934672">
      <w:bodyDiv w:val="1"/>
      <w:marLeft w:val="0"/>
      <w:marRight w:val="0"/>
      <w:marTop w:val="0"/>
      <w:marBottom w:val="0"/>
      <w:divBdr>
        <w:top w:val="none" w:sz="0" w:space="0" w:color="auto"/>
        <w:left w:val="none" w:sz="0" w:space="0" w:color="auto"/>
        <w:bottom w:val="none" w:sz="0" w:space="0" w:color="auto"/>
        <w:right w:val="none" w:sz="0" w:space="0" w:color="auto"/>
      </w:divBdr>
      <w:divsChild>
        <w:div w:id="461462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5736">
      <w:bodyDiv w:val="1"/>
      <w:marLeft w:val="0"/>
      <w:marRight w:val="0"/>
      <w:marTop w:val="0"/>
      <w:marBottom w:val="0"/>
      <w:divBdr>
        <w:top w:val="none" w:sz="0" w:space="0" w:color="auto"/>
        <w:left w:val="none" w:sz="0" w:space="0" w:color="auto"/>
        <w:bottom w:val="none" w:sz="0" w:space="0" w:color="auto"/>
        <w:right w:val="none" w:sz="0" w:space="0" w:color="auto"/>
      </w:divBdr>
      <w:divsChild>
        <w:div w:id="108233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61527">
      <w:bodyDiv w:val="1"/>
      <w:marLeft w:val="0"/>
      <w:marRight w:val="0"/>
      <w:marTop w:val="0"/>
      <w:marBottom w:val="0"/>
      <w:divBdr>
        <w:top w:val="none" w:sz="0" w:space="0" w:color="auto"/>
        <w:left w:val="none" w:sz="0" w:space="0" w:color="auto"/>
        <w:bottom w:val="none" w:sz="0" w:space="0" w:color="auto"/>
        <w:right w:val="none" w:sz="0" w:space="0" w:color="auto"/>
      </w:divBdr>
      <w:divsChild>
        <w:div w:id="1941600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366849">
      <w:bodyDiv w:val="1"/>
      <w:marLeft w:val="0"/>
      <w:marRight w:val="0"/>
      <w:marTop w:val="0"/>
      <w:marBottom w:val="0"/>
      <w:divBdr>
        <w:top w:val="none" w:sz="0" w:space="0" w:color="auto"/>
        <w:left w:val="none" w:sz="0" w:space="0" w:color="auto"/>
        <w:bottom w:val="none" w:sz="0" w:space="0" w:color="auto"/>
        <w:right w:val="none" w:sz="0" w:space="0" w:color="auto"/>
      </w:divBdr>
      <w:divsChild>
        <w:div w:id="109570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459084">
      <w:bodyDiv w:val="1"/>
      <w:marLeft w:val="0"/>
      <w:marRight w:val="0"/>
      <w:marTop w:val="0"/>
      <w:marBottom w:val="0"/>
      <w:divBdr>
        <w:top w:val="none" w:sz="0" w:space="0" w:color="auto"/>
        <w:left w:val="none" w:sz="0" w:space="0" w:color="auto"/>
        <w:bottom w:val="none" w:sz="0" w:space="0" w:color="auto"/>
        <w:right w:val="none" w:sz="0" w:space="0" w:color="auto"/>
      </w:divBdr>
      <w:divsChild>
        <w:div w:id="176129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318475">
      <w:bodyDiv w:val="1"/>
      <w:marLeft w:val="0"/>
      <w:marRight w:val="0"/>
      <w:marTop w:val="0"/>
      <w:marBottom w:val="0"/>
      <w:divBdr>
        <w:top w:val="none" w:sz="0" w:space="0" w:color="auto"/>
        <w:left w:val="none" w:sz="0" w:space="0" w:color="auto"/>
        <w:bottom w:val="none" w:sz="0" w:space="0" w:color="auto"/>
        <w:right w:val="none" w:sz="0" w:space="0" w:color="auto"/>
      </w:divBdr>
      <w:divsChild>
        <w:div w:id="21011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5318650">
      <w:bodyDiv w:val="1"/>
      <w:marLeft w:val="0"/>
      <w:marRight w:val="0"/>
      <w:marTop w:val="0"/>
      <w:marBottom w:val="0"/>
      <w:divBdr>
        <w:top w:val="none" w:sz="0" w:space="0" w:color="auto"/>
        <w:left w:val="none" w:sz="0" w:space="0" w:color="auto"/>
        <w:bottom w:val="none" w:sz="0" w:space="0" w:color="auto"/>
        <w:right w:val="none" w:sz="0" w:space="0" w:color="auto"/>
      </w:divBdr>
      <w:divsChild>
        <w:div w:id="85519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81255">
      <w:bodyDiv w:val="1"/>
      <w:marLeft w:val="0"/>
      <w:marRight w:val="0"/>
      <w:marTop w:val="0"/>
      <w:marBottom w:val="0"/>
      <w:divBdr>
        <w:top w:val="none" w:sz="0" w:space="0" w:color="auto"/>
        <w:left w:val="none" w:sz="0" w:space="0" w:color="auto"/>
        <w:bottom w:val="none" w:sz="0" w:space="0" w:color="auto"/>
        <w:right w:val="none" w:sz="0" w:space="0" w:color="auto"/>
      </w:divBdr>
    </w:div>
    <w:div w:id="1683586368">
      <w:bodyDiv w:val="1"/>
      <w:marLeft w:val="0"/>
      <w:marRight w:val="0"/>
      <w:marTop w:val="0"/>
      <w:marBottom w:val="0"/>
      <w:divBdr>
        <w:top w:val="none" w:sz="0" w:space="0" w:color="auto"/>
        <w:left w:val="none" w:sz="0" w:space="0" w:color="auto"/>
        <w:bottom w:val="none" w:sz="0" w:space="0" w:color="auto"/>
        <w:right w:val="none" w:sz="0" w:space="0" w:color="auto"/>
      </w:divBdr>
      <w:divsChild>
        <w:div w:id="54633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443397">
      <w:bodyDiv w:val="1"/>
      <w:marLeft w:val="0"/>
      <w:marRight w:val="0"/>
      <w:marTop w:val="0"/>
      <w:marBottom w:val="0"/>
      <w:divBdr>
        <w:top w:val="none" w:sz="0" w:space="0" w:color="auto"/>
        <w:left w:val="none" w:sz="0" w:space="0" w:color="auto"/>
        <w:bottom w:val="none" w:sz="0" w:space="0" w:color="auto"/>
        <w:right w:val="none" w:sz="0" w:space="0" w:color="auto"/>
      </w:divBdr>
      <w:divsChild>
        <w:div w:id="74641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992989">
      <w:bodyDiv w:val="1"/>
      <w:marLeft w:val="0"/>
      <w:marRight w:val="0"/>
      <w:marTop w:val="0"/>
      <w:marBottom w:val="0"/>
      <w:divBdr>
        <w:top w:val="none" w:sz="0" w:space="0" w:color="auto"/>
        <w:left w:val="none" w:sz="0" w:space="0" w:color="auto"/>
        <w:bottom w:val="none" w:sz="0" w:space="0" w:color="auto"/>
        <w:right w:val="none" w:sz="0" w:space="0" w:color="auto"/>
      </w:divBdr>
      <w:divsChild>
        <w:div w:id="112423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723343">
      <w:bodyDiv w:val="1"/>
      <w:marLeft w:val="0"/>
      <w:marRight w:val="0"/>
      <w:marTop w:val="0"/>
      <w:marBottom w:val="0"/>
      <w:divBdr>
        <w:top w:val="none" w:sz="0" w:space="0" w:color="auto"/>
        <w:left w:val="none" w:sz="0" w:space="0" w:color="auto"/>
        <w:bottom w:val="none" w:sz="0" w:space="0" w:color="auto"/>
        <w:right w:val="none" w:sz="0" w:space="0" w:color="auto"/>
      </w:divBdr>
      <w:divsChild>
        <w:div w:id="140633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752B"/>
    <w:rsid w:val="00023139"/>
    <w:rsid w:val="001B68CE"/>
    <w:rsid w:val="001C4A5D"/>
    <w:rsid w:val="00200821"/>
    <w:rsid w:val="00201CE6"/>
    <w:rsid w:val="002053A9"/>
    <w:rsid w:val="0025245B"/>
    <w:rsid w:val="002A3923"/>
    <w:rsid w:val="00394049"/>
    <w:rsid w:val="004B5BBB"/>
    <w:rsid w:val="004D1B14"/>
    <w:rsid w:val="004F2DF8"/>
    <w:rsid w:val="00582EB3"/>
    <w:rsid w:val="005D64E6"/>
    <w:rsid w:val="006F24A1"/>
    <w:rsid w:val="007B1A03"/>
    <w:rsid w:val="008A56D7"/>
    <w:rsid w:val="009A261B"/>
    <w:rsid w:val="009C3CB6"/>
    <w:rsid w:val="00A4418E"/>
    <w:rsid w:val="00AA2E17"/>
    <w:rsid w:val="00AC15A4"/>
    <w:rsid w:val="00B0336C"/>
    <w:rsid w:val="00B30277"/>
    <w:rsid w:val="00D241E9"/>
    <w:rsid w:val="00D7750D"/>
    <w:rsid w:val="00D8037D"/>
    <w:rsid w:val="00F00D2F"/>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2842</Words>
  <Characters>16203</Characters>
  <Application>Microsoft Office Word</Application>
  <DocSecurity>0</DocSecurity>
  <Lines>135</Lines>
  <Paragraphs>38</Paragraphs>
  <ScaleCrop>false</ScaleCrop>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2025-01-28T15:11:00Z</dcterms:created>
  <dcterms:modified xsi:type="dcterms:W3CDTF">2025-01-28T15:11:00Z</dcterms:modified>
</cp:coreProperties>
</file>