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BA9D3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60A9EC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A43B0">
                              <w:rPr>
                                <w:rFonts w:asciiTheme="majorHAnsi" w:hAnsiTheme="majorHAnsi" w:cs="Arial"/>
                                <w:b/>
                                <w:bCs/>
                                <w:color w:val="0D0D0D" w:themeColor="text1" w:themeTint="F2"/>
                                <w:sz w:val="36"/>
                                <w:szCs w:val="22"/>
                                <w:lang w:val="es-ES_tradnl"/>
                              </w:rPr>
                              <w:t>69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FB441B">
                              <w:rPr>
                                <w:rFonts w:asciiTheme="majorHAnsi" w:hAnsiTheme="majorHAnsi" w:cs="Arial"/>
                                <w:b/>
                                <w:bCs/>
                                <w:color w:val="0D0D0D" w:themeColor="text1" w:themeTint="F2"/>
                                <w:sz w:val="36"/>
                                <w:szCs w:val="22"/>
                                <w:lang w:val="es-ES_tradnl"/>
                              </w:rPr>
                              <w:t>4</w:t>
                            </w:r>
                          </w:p>
                          <w:p w14:paraId="45F30ECA" w14:textId="746C4D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71F9F">
                              <w:rPr>
                                <w:rFonts w:asciiTheme="majorHAnsi" w:hAnsiTheme="majorHAnsi" w:cs="Arial"/>
                                <w:b/>
                                <w:color w:val="0D0D0D" w:themeColor="text1" w:themeTint="F2"/>
                                <w:sz w:val="36"/>
                                <w:szCs w:val="22"/>
                                <w:lang w:val="es-ES_tradnl"/>
                              </w:rPr>
                              <w:t>19</w:t>
                            </w:r>
                            <w:r w:rsidR="001A526E">
                              <w:rPr>
                                <w:rFonts w:asciiTheme="majorHAnsi" w:hAnsiTheme="majorHAnsi" w:cs="Arial"/>
                                <w:b/>
                                <w:color w:val="0D0D0D" w:themeColor="text1" w:themeTint="F2"/>
                                <w:sz w:val="36"/>
                                <w:szCs w:val="22"/>
                                <w:lang w:val="es-ES_tradnl"/>
                              </w:rPr>
                              <w:t>64</w:t>
                            </w:r>
                            <w:r w:rsidR="005F3F88">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B285A31" w:rsidR="005B52B0" w:rsidRPr="0010736F" w:rsidRDefault="001A526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CÉSAR ALFONSO FRAGA NARVÁEZ</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60A9EC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A43B0">
                        <w:rPr>
                          <w:rFonts w:asciiTheme="majorHAnsi" w:hAnsiTheme="majorHAnsi" w:cs="Arial"/>
                          <w:b/>
                          <w:bCs/>
                          <w:color w:val="0D0D0D" w:themeColor="text1" w:themeTint="F2"/>
                          <w:sz w:val="36"/>
                          <w:szCs w:val="22"/>
                          <w:lang w:val="es-ES_tradnl"/>
                        </w:rPr>
                        <w:t>69</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FB441B">
                        <w:rPr>
                          <w:rFonts w:asciiTheme="majorHAnsi" w:hAnsiTheme="majorHAnsi" w:cs="Arial"/>
                          <w:b/>
                          <w:bCs/>
                          <w:color w:val="0D0D0D" w:themeColor="text1" w:themeTint="F2"/>
                          <w:sz w:val="36"/>
                          <w:szCs w:val="22"/>
                          <w:lang w:val="es-ES_tradnl"/>
                        </w:rPr>
                        <w:t>4</w:t>
                      </w:r>
                    </w:p>
                    <w:p w14:paraId="45F30ECA" w14:textId="746C4D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71F9F">
                        <w:rPr>
                          <w:rFonts w:asciiTheme="majorHAnsi" w:hAnsiTheme="majorHAnsi" w:cs="Arial"/>
                          <w:b/>
                          <w:color w:val="0D0D0D" w:themeColor="text1" w:themeTint="F2"/>
                          <w:sz w:val="36"/>
                          <w:szCs w:val="22"/>
                          <w:lang w:val="es-ES_tradnl"/>
                        </w:rPr>
                        <w:t>19</w:t>
                      </w:r>
                      <w:r w:rsidR="001A526E">
                        <w:rPr>
                          <w:rFonts w:asciiTheme="majorHAnsi" w:hAnsiTheme="majorHAnsi" w:cs="Arial"/>
                          <w:b/>
                          <w:color w:val="0D0D0D" w:themeColor="text1" w:themeTint="F2"/>
                          <w:sz w:val="36"/>
                          <w:szCs w:val="22"/>
                          <w:lang w:val="es-ES_tradnl"/>
                        </w:rPr>
                        <w:t>64</w:t>
                      </w:r>
                      <w:r w:rsidR="005F3F88">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B285A31" w:rsidR="005B52B0" w:rsidRPr="0010736F" w:rsidRDefault="001A526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CÉSAR ALFONSO FRAGA NARVÁEZ</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E9C31DD" w:rsidR="00627C9F" w:rsidRPr="00996280" w:rsidRDefault="00834D49" w:rsidP="007A5817">
                            <w:pPr>
                              <w:spacing w:line="276" w:lineRule="auto"/>
                              <w:jc w:val="right"/>
                              <w:rPr>
                                <w:rFonts w:asciiTheme="minorHAnsi" w:hAnsiTheme="minorHAnsi"/>
                                <w:color w:val="FFFFFF" w:themeColor="background1"/>
                                <w:sz w:val="22"/>
                                <w:lang w:val="es-AR"/>
                              </w:rPr>
                            </w:pPr>
                            <w:r w:rsidRPr="00996280">
                              <w:rPr>
                                <w:rFonts w:asciiTheme="minorHAnsi" w:hAnsiTheme="minorHAnsi"/>
                                <w:color w:val="FFFFFF" w:themeColor="background1"/>
                                <w:sz w:val="22"/>
                                <w:lang w:val="es-AR"/>
                              </w:rPr>
                              <w:t>OEA/Ser.L/V/II</w:t>
                            </w:r>
                          </w:p>
                          <w:p w14:paraId="71D2D5D2" w14:textId="3647398D" w:rsidR="00627C9F" w:rsidRPr="00996280" w:rsidRDefault="00627C9F" w:rsidP="007A5817">
                            <w:pPr>
                              <w:spacing w:line="276" w:lineRule="auto"/>
                              <w:jc w:val="right"/>
                              <w:rPr>
                                <w:rFonts w:asciiTheme="minorHAnsi" w:hAnsiTheme="minorHAnsi"/>
                                <w:color w:val="FFFFFF" w:themeColor="background1"/>
                                <w:sz w:val="22"/>
                                <w:lang w:val="es-AR"/>
                              </w:rPr>
                            </w:pPr>
                            <w:r w:rsidRPr="00996280">
                              <w:rPr>
                                <w:rFonts w:asciiTheme="minorHAnsi" w:hAnsiTheme="minorHAnsi"/>
                                <w:color w:val="FFFFFF" w:themeColor="background1"/>
                                <w:sz w:val="22"/>
                                <w:lang w:val="es-AR"/>
                              </w:rPr>
                              <w:t>Doc.</w:t>
                            </w:r>
                            <w:r w:rsidR="007D5457" w:rsidRPr="00996280">
                              <w:rPr>
                                <w:rFonts w:asciiTheme="minorHAnsi" w:hAnsiTheme="minorHAnsi"/>
                                <w:color w:val="FFFFFF" w:themeColor="background1"/>
                                <w:sz w:val="22"/>
                                <w:lang w:val="es-AR"/>
                              </w:rPr>
                              <w:t xml:space="preserve"> 72</w:t>
                            </w:r>
                            <w:r w:rsidRPr="00996280">
                              <w:rPr>
                                <w:rFonts w:asciiTheme="minorHAnsi" w:hAnsiTheme="minorHAnsi"/>
                                <w:color w:val="FFFFFF" w:themeColor="background1"/>
                                <w:sz w:val="22"/>
                                <w:lang w:val="es-AR"/>
                              </w:rPr>
                              <w:t xml:space="preserve"> </w:t>
                            </w:r>
                          </w:p>
                          <w:p w14:paraId="4061DBBD" w14:textId="3C779114" w:rsidR="00627C9F" w:rsidRPr="00C25ADB" w:rsidRDefault="007D545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FB441B">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E9C31DD" w:rsidR="00627C9F" w:rsidRPr="00996280" w:rsidRDefault="00834D49" w:rsidP="007A5817">
                      <w:pPr>
                        <w:spacing w:line="276" w:lineRule="auto"/>
                        <w:jc w:val="right"/>
                        <w:rPr>
                          <w:rFonts w:asciiTheme="minorHAnsi" w:hAnsiTheme="minorHAnsi"/>
                          <w:color w:val="FFFFFF" w:themeColor="background1"/>
                          <w:sz w:val="22"/>
                          <w:lang w:val="es-AR"/>
                        </w:rPr>
                      </w:pPr>
                      <w:r w:rsidRPr="00996280">
                        <w:rPr>
                          <w:rFonts w:asciiTheme="minorHAnsi" w:hAnsiTheme="minorHAnsi"/>
                          <w:color w:val="FFFFFF" w:themeColor="background1"/>
                          <w:sz w:val="22"/>
                          <w:lang w:val="es-AR"/>
                        </w:rPr>
                        <w:t>OEA/Ser.L/V/II</w:t>
                      </w:r>
                    </w:p>
                    <w:p w14:paraId="71D2D5D2" w14:textId="3647398D" w:rsidR="00627C9F" w:rsidRPr="00996280" w:rsidRDefault="00627C9F" w:rsidP="007A5817">
                      <w:pPr>
                        <w:spacing w:line="276" w:lineRule="auto"/>
                        <w:jc w:val="right"/>
                        <w:rPr>
                          <w:rFonts w:asciiTheme="minorHAnsi" w:hAnsiTheme="minorHAnsi"/>
                          <w:color w:val="FFFFFF" w:themeColor="background1"/>
                          <w:sz w:val="22"/>
                          <w:lang w:val="es-AR"/>
                        </w:rPr>
                      </w:pPr>
                      <w:r w:rsidRPr="00996280">
                        <w:rPr>
                          <w:rFonts w:asciiTheme="minorHAnsi" w:hAnsiTheme="minorHAnsi"/>
                          <w:color w:val="FFFFFF" w:themeColor="background1"/>
                          <w:sz w:val="22"/>
                          <w:lang w:val="es-AR"/>
                        </w:rPr>
                        <w:t>Doc.</w:t>
                      </w:r>
                      <w:r w:rsidR="007D5457" w:rsidRPr="00996280">
                        <w:rPr>
                          <w:rFonts w:asciiTheme="minorHAnsi" w:hAnsiTheme="minorHAnsi"/>
                          <w:color w:val="FFFFFF" w:themeColor="background1"/>
                          <w:sz w:val="22"/>
                          <w:lang w:val="es-AR"/>
                        </w:rPr>
                        <w:t xml:space="preserve"> 72</w:t>
                      </w:r>
                      <w:r w:rsidRPr="00996280">
                        <w:rPr>
                          <w:rFonts w:asciiTheme="minorHAnsi" w:hAnsiTheme="minorHAnsi"/>
                          <w:color w:val="FFFFFF" w:themeColor="background1"/>
                          <w:sz w:val="22"/>
                          <w:lang w:val="es-AR"/>
                        </w:rPr>
                        <w:t xml:space="preserve"> </w:t>
                      </w:r>
                    </w:p>
                    <w:p w14:paraId="4061DBBD" w14:textId="3C779114" w:rsidR="00627C9F" w:rsidRPr="00C25ADB" w:rsidRDefault="007D545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FB441B">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1CBC17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D5457">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7D5457">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D5457">
                              <w:rPr>
                                <w:rFonts w:asciiTheme="majorHAnsi" w:hAnsiTheme="majorHAnsi"/>
                                <w:color w:val="0D0D0D" w:themeColor="text1" w:themeTint="F2"/>
                                <w:sz w:val="18"/>
                                <w:szCs w:val="22"/>
                                <w:lang w:val="es-ES"/>
                              </w:rPr>
                              <w:t>4</w:t>
                            </w:r>
                            <w:r w:rsidR="0093517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1CBC17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D5457">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7D5457">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D5457">
                        <w:rPr>
                          <w:rFonts w:asciiTheme="majorHAnsi" w:hAnsiTheme="majorHAnsi"/>
                          <w:color w:val="0D0D0D" w:themeColor="text1" w:themeTint="F2"/>
                          <w:sz w:val="18"/>
                          <w:szCs w:val="22"/>
                          <w:lang w:val="es-ES"/>
                        </w:rPr>
                        <w:t>4</w:t>
                      </w:r>
                      <w:r w:rsidR="0093517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F480C" w14:textId="77777777" w:rsidR="00AE22E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E22E2" w:rsidRPr="00AE22E2">
                              <w:rPr>
                                <w:rFonts w:asciiTheme="majorHAnsi" w:hAnsiTheme="majorHAnsi"/>
                                <w:color w:val="595959" w:themeColor="text1" w:themeTint="A6"/>
                                <w:sz w:val="18"/>
                                <w:szCs w:val="18"/>
                                <w:lang w:val="pt-BR"/>
                              </w:rPr>
                              <w:t>69</w:t>
                            </w:r>
                            <w:r w:rsidR="007B05C4" w:rsidRPr="00AE22E2">
                              <w:rPr>
                                <w:rFonts w:asciiTheme="majorHAnsi" w:hAnsiTheme="majorHAnsi"/>
                                <w:color w:val="595959" w:themeColor="text1" w:themeTint="A6"/>
                                <w:sz w:val="18"/>
                                <w:szCs w:val="18"/>
                                <w:lang w:val="pt-BR"/>
                              </w:rPr>
                              <w:t>/</w:t>
                            </w:r>
                            <w:r w:rsidR="00AE22E2" w:rsidRPr="00AE22E2">
                              <w:rPr>
                                <w:rFonts w:asciiTheme="majorHAnsi" w:hAnsiTheme="majorHAnsi"/>
                                <w:color w:val="595959" w:themeColor="text1" w:themeTint="A6"/>
                                <w:sz w:val="18"/>
                                <w:szCs w:val="18"/>
                                <w:lang w:val="pt-BR"/>
                              </w:rPr>
                              <w:t>24</w:t>
                            </w:r>
                            <w:r w:rsidRPr="00AE22E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71F9F">
                              <w:rPr>
                                <w:rFonts w:asciiTheme="majorHAnsi" w:hAnsiTheme="majorHAnsi"/>
                                <w:color w:val="595959" w:themeColor="text1" w:themeTint="A6"/>
                                <w:sz w:val="18"/>
                                <w:szCs w:val="18"/>
                                <w:lang w:val="es-ES"/>
                              </w:rPr>
                              <w:t>19</w:t>
                            </w:r>
                            <w:r w:rsidR="001A526E">
                              <w:rPr>
                                <w:rFonts w:asciiTheme="majorHAnsi" w:hAnsiTheme="majorHAnsi"/>
                                <w:color w:val="595959" w:themeColor="text1" w:themeTint="A6"/>
                                <w:sz w:val="18"/>
                                <w:szCs w:val="18"/>
                                <w:lang w:val="es-ES"/>
                              </w:rPr>
                              <w:t>64</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3600E01" w:rsidR="00113F73" w:rsidRPr="007B05C4" w:rsidRDefault="001A526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César Alfonso Fraga Narváez</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7D5457">
                              <w:rPr>
                                <w:rFonts w:asciiTheme="majorHAnsi" w:hAnsiTheme="majorHAnsi"/>
                                <w:color w:val="595959" w:themeColor="text1" w:themeTint="A6"/>
                                <w:sz w:val="18"/>
                                <w:szCs w:val="18"/>
                                <w:lang w:val="es-ES"/>
                              </w:rPr>
                              <w:t>21 de mayo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F0F480C" w14:textId="77777777" w:rsidR="00AE22E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E22E2" w:rsidRPr="00AE22E2">
                        <w:rPr>
                          <w:rFonts w:asciiTheme="majorHAnsi" w:hAnsiTheme="majorHAnsi"/>
                          <w:color w:val="595959" w:themeColor="text1" w:themeTint="A6"/>
                          <w:sz w:val="18"/>
                          <w:szCs w:val="18"/>
                          <w:lang w:val="pt-BR"/>
                        </w:rPr>
                        <w:t>69</w:t>
                      </w:r>
                      <w:r w:rsidR="007B05C4" w:rsidRPr="00AE22E2">
                        <w:rPr>
                          <w:rFonts w:asciiTheme="majorHAnsi" w:hAnsiTheme="majorHAnsi"/>
                          <w:color w:val="595959" w:themeColor="text1" w:themeTint="A6"/>
                          <w:sz w:val="18"/>
                          <w:szCs w:val="18"/>
                          <w:lang w:val="pt-BR"/>
                        </w:rPr>
                        <w:t>/</w:t>
                      </w:r>
                      <w:r w:rsidR="00AE22E2" w:rsidRPr="00AE22E2">
                        <w:rPr>
                          <w:rFonts w:asciiTheme="majorHAnsi" w:hAnsiTheme="majorHAnsi"/>
                          <w:color w:val="595959" w:themeColor="text1" w:themeTint="A6"/>
                          <w:sz w:val="18"/>
                          <w:szCs w:val="18"/>
                          <w:lang w:val="pt-BR"/>
                        </w:rPr>
                        <w:t>24</w:t>
                      </w:r>
                      <w:r w:rsidRPr="00AE22E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71F9F">
                        <w:rPr>
                          <w:rFonts w:asciiTheme="majorHAnsi" w:hAnsiTheme="majorHAnsi"/>
                          <w:color w:val="595959" w:themeColor="text1" w:themeTint="A6"/>
                          <w:sz w:val="18"/>
                          <w:szCs w:val="18"/>
                          <w:lang w:val="es-ES"/>
                        </w:rPr>
                        <w:t>19</w:t>
                      </w:r>
                      <w:r w:rsidR="001A526E">
                        <w:rPr>
                          <w:rFonts w:asciiTheme="majorHAnsi" w:hAnsiTheme="majorHAnsi"/>
                          <w:color w:val="595959" w:themeColor="text1" w:themeTint="A6"/>
                          <w:sz w:val="18"/>
                          <w:szCs w:val="18"/>
                          <w:lang w:val="es-ES"/>
                        </w:rPr>
                        <w:t>64</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3600E01" w:rsidR="00113F73" w:rsidRPr="007B05C4" w:rsidRDefault="001A526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César Alfonso Fraga Narváez</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7D5457">
                        <w:rPr>
                          <w:rFonts w:asciiTheme="majorHAnsi" w:hAnsiTheme="majorHAnsi"/>
                          <w:color w:val="595959" w:themeColor="text1" w:themeTint="A6"/>
                          <w:sz w:val="18"/>
                          <w:szCs w:val="18"/>
                          <w:lang w:val="es-ES"/>
                        </w:rPr>
                        <w:t>21 de mayo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1192D78" w:rsidR="00D72DC6" w:rsidRPr="00D72DC6" w:rsidRDefault="0093517F" w:rsidP="00F02AD1">
                            <w:pPr>
                              <w:rPr>
                                <w:color w:val="FFFFFF" w:themeColor="background1"/>
                                <w14:textFill>
                                  <w14:noFill/>
                                </w14:textFill>
                              </w:rPr>
                            </w:pPr>
                            <w:r>
                              <w:rPr>
                                <w:noProof/>
                                <w:color w:val="FFFFFF" w:themeColor="background1"/>
                              </w:rPr>
                              <w:drawing>
                                <wp:inline distT="0" distB="0" distL="0" distR="0" wp14:anchorId="3DF1FB8F" wp14:editId="074C61D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01192D78" w:rsidR="00D72DC6" w:rsidRPr="00D72DC6" w:rsidRDefault="0093517F" w:rsidP="00F02AD1">
                      <w:pPr>
                        <w:rPr>
                          <w:color w:val="FFFFFF" w:themeColor="background1"/>
                          <w14:textFill>
                            <w14:noFill/>
                          </w14:textFill>
                        </w:rPr>
                      </w:pPr>
                      <w:r>
                        <w:rPr>
                          <w:noProof/>
                          <w:color w:val="FFFFFF" w:themeColor="background1"/>
                        </w:rPr>
                        <w:drawing>
                          <wp:inline distT="0" distB="0" distL="0" distR="0" wp14:anchorId="3DF1FB8F" wp14:editId="074C61D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E96F43">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B35F9F">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1398B44E" w:rsidR="003239B8" w:rsidRPr="005403A2" w:rsidRDefault="001A526E" w:rsidP="00B35F9F">
            <w:pPr>
              <w:jc w:val="both"/>
              <w:rPr>
                <w:rFonts w:ascii="Cambria" w:hAnsi="Cambria"/>
                <w:bCs/>
                <w:sz w:val="20"/>
                <w:szCs w:val="20"/>
                <w:lang w:val="es-419"/>
              </w:rPr>
            </w:pPr>
            <w:r w:rsidRPr="001A526E">
              <w:rPr>
                <w:rFonts w:ascii="Cambria" w:hAnsi="Cambria"/>
                <w:bCs/>
                <w:sz w:val="20"/>
                <w:szCs w:val="20"/>
                <w:lang w:val="es-419"/>
              </w:rPr>
              <w:t xml:space="preserve">Juan </w:t>
            </w:r>
            <w:r w:rsidR="00FB441B" w:rsidRPr="001A526E">
              <w:rPr>
                <w:rFonts w:ascii="Cambria" w:hAnsi="Cambria"/>
                <w:bCs/>
                <w:sz w:val="20"/>
                <w:szCs w:val="20"/>
                <w:lang w:val="es-419"/>
              </w:rPr>
              <w:t>Agustín</w:t>
            </w:r>
            <w:r w:rsidRPr="001A526E">
              <w:rPr>
                <w:rFonts w:ascii="Cambria" w:hAnsi="Cambria"/>
                <w:bCs/>
                <w:sz w:val="20"/>
                <w:szCs w:val="20"/>
                <w:lang w:val="es-419"/>
              </w:rPr>
              <w:t xml:space="preserve"> </w:t>
            </w:r>
            <w:r w:rsidR="00FB441B" w:rsidRPr="001A526E">
              <w:rPr>
                <w:rFonts w:ascii="Cambria" w:hAnsi="Cambria"/>
                <w:bCs/>
                <w:sz w:val="20"/>
                <w:szCs w:val="20"/>
                <w:lang w:val="es-419"/>
              </w:rPr>
              <w:t>Garzón</w:t>
            </w:r>
            <w:r w:rsidRPr="001A526E">
              <w:rPr>
                <w:rFonts w:ascii="Cambria" w:hAnsi="Cambria"/>
                <w:bCs/>
                <w:sz w:val="20"/>
                <w:szCs w:val="20"/>
                <w:lang w:val="es-419"/>
              </w:rPr>
              <w:t xml:space="preserve"> Coral</w:t>
            </w:r>
          </w:p>
        </w:tc>
      </w:tr>
      <w:tr w:rsidR="003239B8" w:rsidRPr="001A526E"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09012F" w:rsidP="00B35F9F">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00F98956" w:rsidR="001D21C7" w:rsidRPr="0011075B" w:rsidRDefault="001A526E" w:rsidP="00FC6219">
            <w:pPr>
              <w:jc w:val="both"/>
              <w:rPr>
                <w:rFonts w:ascii="Cambria" w:hAnsi="Cambria"/>
                <w:bCs/>
                <w:sz w:val="20"/>
                <w:szCs w:val="20"/>
                <w:lang w:val="es-419"/>
              </w:rPr>
            </w:pPr>
            <w:r w:rsidRPr="001A526E">
              <w:rPr>
                <w:rFonts w:ascii="Cambria" w:hAnsi="Cambria"/>
                <w:bCs/>
                <w:sz w:val="20"/>
                <w:szCs w:val="20"/>
                <w:lang w:val="es-ES_tradnl" w:bidi="es-ES"/>
              </w:rPr>
              <w:t>César Alfonso Fraga Narváez</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B35F9F">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B35F9F">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2"/>
            </w:r>
          </w:p>
        </w:tc>
      </w:tr>
      <w:tr w:rsidR="00223A29" w:rsidRPr="00996280"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0B689F96" w:rsidR="005F3F88" w:rsidRPr="000A78E8" w:rsidRDefault="00A34797" w:rsidP="001A526E">
            <w:pPr>
              <w:jc w:val="both"/>
              <w:rPr>
                <w:rFonts w:ascii="Cambria" w:hAnsi="Cambria"/>
                <w:bCs/>
                <w:sz w:val="20"/>
                <w:szCs w:val="20"/>
                <w:lang w:val="es-419"/>
              </w:rPr>
            </w:pPr>
            <w:r w:rsidRPr="000A78E8">
              <w:rPr>
                <w:rFonts w:ascii="Cambria" w:hAnsi="Cambria"/>
                <w:bCs/>
                <w:sz w:val="20"/>
                <w:szCs w:val="20"/>
                <w:lang w:val="es-419" w:bidi="es-ES"/>
              </w:rPr>
              <w:t xml:space="preserve">Artículos </w:t>
            </w:r>
            <w:r w:rsidR="001A526E" w:rsidRPr="000A78E8">
              <w:rPr>
                <w:rFonts w:ascii="Cambria" w:hAnsi="Cambria"/>
                <w:bCs/>
                <w:sz w:val="20"/>
                <w:szCs w:val="20"/>
                <w:lang w:val="es-419" w:bidi="es-ES"/>
              </w:rPr>
              <w:t>5 (integridad personal)</w:t>
            </w:r>
            <w:r w:rsidR="001A526E">
              <w:rPr>
                <w:rFonts w:ascii="Cambria" w:hAnsi="Cambria"/>
                <w:bCs/>
                <w:sz w:val="20"/>
                <w:szCs w:val="20"/>
                <w:lang w:val="es-419" w:bidi="es-ES"/>
              </w:rPr>
              <w:t>, 2</w:t>
            </w:r>
            <w:r w:rsidRPr="000A78E8">
              <w:rPr>
                <w:rFonts w:ascii="Cambria" w:hAnsi="Cambria"/>
                <w:bCs/>
                <w:sz w:val="20"/>
                <w:szCs w:val="20"/>
                <w:lang w:val="es-419" w:bidi="es-ES"/>
              </w:rPr>
              <w:t xml:space="preserve">4 </w:t>
            </w:r>
            <w:r w:rsidR="001A526E">
              <w:rPr>
                <w:rFonts w:ascii="Cambria" w:hAnsi="Cambria"/>
                <w:bCs/>
                <w:sz w:val="20"/>
                <w:szCs w:val="20"/>
                <w:lang w:val="es-419" w:bidi="es-ES"/>
              </w:rPr>
              <w:t>(igualdad ante la ley) y 25 (protección judicial)</w:t>
            </w:r>
            <w:r w:rsidRPr="000A78E8">
              <w:rPr>
                <w:rFonts w:ascii="Cambria" w:hAnsi="Cambria"/>
                <w:bCs/>
                <w:sz w:val="20"/>
                <w:szCs w:val="20"/>
                <w:lang w:val="es-419" w:bidi="es-ES"/>
              </w:rPr>
              <w:t xml:space="preserve"> de la Convención Americana sobre Derechos Humanos</w:t>
            </w:r>
            <w:r w:rsidR="00785B6C" w:rsidRPr="000A78E8">
              <w:rPr>
                <w:rFonts w:ascii="Cambria" w:hAnsi="Cambria"/>
                <w:bCs/>
                <w:sz w:val="20"/>
                <w:szCs w:val="20"/>
                <w:vertAlign w:val="superscript"/>
                <w:lang w:val="es-419" w:bidi="es-ES"/>
              </w:rPr>
              <w:footnoteReference w:id="3"/>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A526E"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1A526E" w:rsidRPr="0011075B" w:rsidRDefault="001A526E" w:rsidP="001A526E">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5A66A29E" w:rsidR="001A526E" w:rsidRPr="0011075B" w:rsidRDefault="00893F0C" w:rsidP="001A526E">
            <w:pPr>
              <w:jc w:val="both"/>
              <w:rPr>
                <w:rFonts w:ascii="Cambria" w:hAnsi="Cambria"/>
                <w:bCs/>
                <w:sz w:val="20"/>
                <w:szCs w:val="20"/>
                <w:lang w:val="es-419"/>
              </w:rPr>
            </w:pPr>
            <w:r>
              <w:rPr>
                <w:rFonts w:ascii="Cambria" w:hAnsi="Cambria"/>
                <w:bCs/>
                <w:sz w:val="20"/>
                <w:szCs w:val="20"/>
                <w:lang w:val="es-419"/>
              </w:rPr>
              <w:t>28 de noviembre de 2013</w:t>
            </w:r>
          </w:p>
        </w:tc>
      </w:tr>
      <w:tr w:rsidR="001A526E" w:rsidRPr="00064179"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A526E" w:rsidRPr="0011075B" w:rsidRDefault="001A526E" w:rsidP="001A526E">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484474DF" w:rsidR="001A526E" w:rsidRPr="0011075B" w:rsidRDefault="005A07F0" w:rsidP="001A526E">
            <w:pPr>
              <w:jc w:val="both"/>
              <w:rPr>
                <w:rFonts w:ascii="Cambria" w:hAnsi="Cambria"/>
                <w:bCs/>
                <w:sz w:val="20"/>
                <w:szCs w:val="20"/>
                <w:lang w:val="es-419"/>
              </w:rPr>
            </w:pPr>
            <w:r>
              <w:rPr>
                <w:rFonts w:ascii="Cambria" w:hAnsi="Cambria"/>
                <w:bCs/>
                <w:sz w:val="20"/>
                <w:szCs w:val="20"/>
                <w:lang w:val="es-419"/>
              </w:rPr>
              <w:t>19 de mayo de 2016</w:t>
            </w:r>
          </w:p>
        </w:tc>
      </w:tr>
      <w:tr w:rsidR="001A526E"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A526E" w:rsidRPr="0011075B" w:rsidRDefault="001A526E" w:rsidP="001A526E">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B47064C" w14:textId="199CADBB" w:rsidR="001A526E" w:rsidRPr="0011075B" w:rsidRDefault="005A07F0" w:rsidP="001A526E">
            <w:pPr>
              <w:jc w:val="both"/>
              <w:rPr>
                <w:rFonts w:ascii="Cambria" w:hAnsi="Cambria"/>
                <w:bCs/>
                <w:sz w:val="20"/>
                <w:szCs w:val="20"/>
                <w:lang w:val="es-419"/>
              </w:rPr>
            </w:pPr>
            <w:r>
              <w:rPr>
                <w:rFonts w:ascii="Cambria" w:hAnsi="Cambria"/>
                <w:bCs/>
                <w:sz w:val="20"/>
                <w:szCs w:val="20"/>
                <w:lang w:val="es-419"/>
              </w:rPr>
              <w:t>9 de abril de 2018</w:t>
            </w:r>
          </w:p>
        </w:tc>
      </w:tr>
      <w:tr w:rsidR="001A526E" w:rsidRPr="005A07F0" w14:paraId="7F6669C4" w14:textId="77777777" w:rsidTr="004A6A54">
        <w:tc>
          <w:tcPr>
            <w:tcW w:w="3600" w:type="dxa"/>
            <w:tcBorders>
              <w:top w:val="single" w:sz="6" w:space="0" w:color="auto"/>
              <w:bottom w:val="single" w:sz="6" w:space="0" w:color="auto"/>
            </w:tcBorders>
            <w:shd w:val="clear" w:color="auto" w:fill="386294"/>
            <w:vAlign w:val="center"/>
          </w:tcPr>
          <w:p w14:paraId="54726039" w14:textId="6F8D3C71" w:rsidR="001A526E" w:rsidRPr="0011075B" w:rsidRDefault="001A526E" w:rsidP="001A526E">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 la parte peticionaria:</w:t>
            </w:r>
          </w:p>
        </w:tc>
        <w:tc>
          <w:tcPr>
            <w:tcW w:w="5760" w:type="dxa"/>
            <w:vAlign w:val="center"/>
          </w:tcPr>
          <w:p w14:paraId="42E251BC" w14:textId="4E17A221" w:rsidR="001A526E" w:rsidRDefault="005A07F0" w:rsidP="001A526E">
            <w:pPr>
              <w:jc w:val="both"/>
              <w:rPr>
                <w:rFonts w:ascii="Cambria" w:hAnsi="Cambria"/>
                <w:bCs/>
                <w:sz w:val="20"/>
                <w:szCs w:val="20"/>
                <w:lang w:val="es-419"/>
              </w:rPr>
            </w:pPr>
            <w:r>
              <w:rPr>
                <w:rFonts w:ascii="Cambria" w:hAnsi="Cambria"/>
                <w:bCs/>
                <w:sz w:val="20"/>
                <w:szCs w:val="20"/>
                <w:lang w:val="es-419"/>
              </w:rPr>
              <w:t>22 de septiembre de 2018</w:t>
            </w:r>
          </w:p>
        </w:tc>
      </w:tr>
      <w:tr w:rsidR="009C111C" w:rsidRPr="003728C2" w14:paraId="182907C6" w14:textId="77777777" w:rsidTr="004A6A54">
        <w:tc>
          <w:tcPr>
            <w:tcW w:w="3600" w:type="dxa"/>
            <w:tcBorders>
              <w:top w:val="single" w:sz="6" w:space="0" w:color="auto"/>
              <w:bottom w:val="single" w:sz="6" w:space="0" w:color="auto"/>
            </w:tcBorders>
            <w:shd w:val="clear" w:color="auto" w:fill="386294"/>
            <w:vAlign w:val="center"/>
          </w:tcPr>
          <w:p w14:paraId="43DD251B" w14:textId="4F026288" w:rsidR="009C111C" w:rsidRDefault="009C111C" w:rsidP="001A526E">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del Estado:</w:t>
            </w:r>
          </w:p>
        </w:tc>
        <w:tc>
          <w:tcPr>
            <w:tcW w:w="5760" w:type="dxa"/>
            <w:vAlign w:val="center"/>
          </w:tcPr>
          <w:p w14:paraId="15E548DD" w14:textId="7F6462CB" w:rsidR="009C111C" w:rsidRDefault="005A07F0" w:rsidP="001A526E">
            <w:pPr>
              <w:jc w:val="both"/>
              <w:rPr>
                <w:rFonts w:ascii="Cambria" w:hAnsi="Cambria"/>
                <w:bCs/>
                <w:sz w:val="20"/>
                <w:szCs w:val="20"/>
                <w:lang w:val="es-419"/>
              </w:rPr>
            </w:pPr>
            <w:r>
              <w:rPr>
                <w:rFonts w:ascii="Cambria" w:hAnsi="Cambria"/>
                <w:bCs/>
                <w:sz w:val="20"/>
                <w:szCs w:val="20"/>
                <w:lang w:val="es-419"/>
              </w:rPr>
              <w:t>30 de abril de 2020</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B35F9F">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B35F9F">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B35F9F">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B35F9F">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B35F9F">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B35F9F">
            <w:pPr>
              <w:rPr>
                <w:rFonts w:ascii="Cambria" w:hAnsi="Cambria"/>
                <w:bCs/>
                <w:sz w:val="20"/>
                <w:szCs w:val="20"/>
                <w:lang w:val="es-419"/>
              </w:rPr>
            </w:pPr>
            <w:r w:rsidRPr="0011075B">
              <w:rPr>
                <w:rFonts w:ascii="Cambria" w:hAnsi="Cambria"/>
                <w:bCs/>
                <w:sz w:val="20"/>
                <w:szCs w:val="20"/>
                <w:lang w:val="es-419"/>
              </w:rPr>
              <w:t>Sí</w:t>
            </w:r>
          </w:p>
        </w:tc>
      </w:tr>
      <w:tr w:rsidR="003239B8" w:rsidRPr="00996280"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B35F9F">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2AC13AD0" w:rsidR="003239B8" w:rsidRPr="00A3329B" w:rsidRDefault="00A004BB" w:rsidP="00B35F9F">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r w:rsidR="00A3329B">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B35F9F">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B35F9F">
            <w:pPr>
              <w:jc w:val="both"/>
              <w:rPr>
                <w:rFonts w:ascii="Cambria" w:hAnsi="Cambria"/>
                <w:bCs/>
                <w:sz w:val="20"/>
                <w:szCs w:val="20"/>
                <w:lang w:val="es-419"/>
              </w:rPr>
            </w:pPr>
            <w:r w:rsidRPr="0011075B">
              <w:rPr>
                <w:rFonts w:ascii="Cambria" w:hAnsi="Cambria"/>
                <w:bCs/>
                <w:sz w:val="20"/>
                <w:szCs w:val="20"/>
                <w:lang w:val="es-419"/>
              </w:rPr>
              <w:t>No</w:t>
            </w:r>
          </w:p>
        </w:tc>
      </w:tr>
      <w:tr w:rsidR="003239B8" w:rsidRPr="00996280"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B35F9F">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55784DC4" w:rsidR="0026174C" w:rsidRPr="00AE1EE6" w:rsidRDefault="009457A6" w:rsidP="00B35F9F">
            <w:pPr>
              <w:jc w:val="both"/>
              <w:rPr>
                <w:rFonts w:ascii="Cambria" w:hAnsi="Cambria"/>
                <w:bCs/>
                <w:sz w:val="20"/>
                <w:szCs w:val="20"/>
                <w:lang w:val="es-ES"/>
              </w:rPr>
            </w:pPr>
            <w:r w:rsidRPr="00AE1EE6">
              <w:rPr>
                <w:rFonts w:ascii="Cambria" w:hAnsi="Cambria"/>
                <w:bCs/>
                <w:sz w:val="20"/>
                <w:szCs w:val="20"/>
                <w:lang w:val="es-ES" w:bidi="es-ES"/>
              </w:rPr>
              <w:t>Artículos</w:t>
            </w:r>
            <w:r w:rsidR="007F2A55" w:rsidRPr="00AE1EE6">
              <w:rPr>
                <w:rFonts w:ascii="Cambria" w:hAnsi="Cambria"/>
                <w:bCs/>
                <w:sz w:val="20"/>
                <w:szCs w:val="20"/>
                <w:lang w:val="es-ES" w:bidi="es-ES"/>
              </w:rPr>
              <w:t xml:space="preserve"> </w:t>
            </w:r>
            <w:r w:rsidRPr="00AE1EE6">
              <w:rPr>
                <w:rFonts w:ascii="Cambria" w:hAnsi="Cambria"/>
                <w:bCs/>
                <w:sz w:val="20"/>
                <w:szCs w:val="20"/>
                <w:lang w:val="es-ES" w:bidi="es-ES"/>
              </w:rPr>
              <w:t xml:space="preserve">5 (integridad personal), </w:t>
            </w:r>
            <w:r w:rsidR="00F26F8C" w:rsidRPr="00AE1EE6">
              <w:rPr>
                <w:rFonts w:ascii="Cambria" w:hAnsi="Cambria"/>
                <w:bCs/>
                <w:sz w:val="20"/>
                <w:szCs w:val="20"/>
                <w:lang w:val="es-ES" w:bidi="es-ES"/>
              </w:rPr>
              <w:t>8 (garantías judiciales)</w:t>
            </w:r>
            <w:r w:rsidR="005C5B02">
              <w:rPr>
                <w:rFonts w:ascii="Cambria" w:hAnsi="Cambria"/>
                <w:bCs/>
                <w:sz w:val="20"/>
                <w:szCs w:val="20"/>
                <w:lang w:val="es-ES" w:bidi="es-ES"/>
              </w:rPr>
              <w:t>, 24 (igualdad ante la ley)</w:t>
            </w:r>
            <w:r w:rsidR="00A6023F">
              <w:rPr>
                <w:rFonts w:ascii="Cambria" w:hAnsi="Cambria"/>
                <w:bCs/>
                <w:sz w:val="20"/>
                <w:szCs w:val="20"/>
                <w:lang w:val="es-ES" w:bidi="es-ES"/>
              </w:rPr>
              <w:t>,</w:t>
            </w:r>
            <w:r w:rsidRPr="00AE1EE6">
              <w:rPr>
                <w:rFonts w:ascii="Cambria" w:hAnsi="Cambria"/>
                <w:bCs/>
                <w:sz w:val="20"/>
                <w:szCs w:val="20"/>
                <w:lang w:val="es-ES" w:bidi="es-ES"/>
              </w:rPr>
              <w:t xml:space="preserve"> 25 (protección judicial)</w:t>
            </w:r>
            <w:r w:rsidR="00A6023F">
              <w:rPr>
                <w:rFonts w:ascii="Cambria" w:hAnsi="Cambria"/>
                <w:bCs/>
                <w:sz w:val="20"/>
                <w:szCs w:val="20"/>
                <w:lang w:val="es-ES" w:bidi="es-ES"/>
              </w:rPr>
              <w:t>, y 26 (derechos económicos, sociales y culturales)</w:t>
            </w:r>
            <w:r w:rsidRPr="00AE1EE6">
              <w:rPr>
                <w:rFonts w:ascii="Cambria" w:hAnsi="Cambria"/>
                <w:bCs/>
                <w:sz w:val="20"/>
                <w:szCs w:val="20"/>
                <w:lang w:val="es-ES" w:bidi="es-ES"/>
              </w:rPr>
              <w:t xml:space="preserve"> de la Convención Americana, en relación con su artículo 1.1 (obligación de respetar los derechos)</w:t>
            </w:r>
          </w:p>
        </w:tc>
      </w:tr>
      <w:tr w:rsidR="003239B8" w:rsidRPr="00996280"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B35F9F">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6BBBE93F" w:rsidR="003239B8" w:rsidRPr="00AE1EE6" w:rsidRDefault="009457A6" w:rsidP="00E038D4">
            <w:pPr>
              <w:jc w:val="both"/>
              <w:rPr>
                <w:rFonts w:ascii="Cambria" w:hAnsi="Cambria"/>
                <w:bCs/>
                <w:sz w:val="20"/>
                <w:szCs w:val="20"/>
                <w:lang w:val="es-ES"/>
              </w:rPr>
            </w:pPr>
            <w:r w:rsidRPr="00AE1EE6">
              <w:rPr>
                <w:rFonts w:ascii="Cambria" w:hAnsi="Cambria"/>
                <w:bCs/>
                <w:sz w:val="20"/>
                <w:szCs w:val="20"/>
                <w:lang w:val="es-ES" w:bidi="es-ES"/>
              </w:rPr>
              <w:t>Sí, en los términos de la Sección VI</w:t>
            </w:r>
          </w:p>
        </w:tc>
      </w:tr>
      <w:tr w:rsidR="003239B8" w:rsidRPr="00996280"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B35F9F">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13269F45" w:rsidR="003239B8" w:rsidRPr="00AE1EE6" w:rsidRDefault="009457A6" w:rsidP="00B35F9F">
            <w:pPr>
              <w:rPr>
                <w:rFonts w:ascii="Cambria" w:hAnsi="Cambria"/>
                <w:bCs/>
                <w:sz w:val="20"/>
                <w:szCs w:val="20"/>
                <w:lang w:val="es-419"/>
              </w:rPr>
            </w:pPr>
            <w:r w:rsidRPr="00AE1EE6">
              <w:rPr>
                <w:rFonts w:ascii="Cambria" w:hAnsi="Cambria"/>
                <w:bCs/>
                <w:sz w:val="20"/>
                <w:szCs w:val="20"/>
                <w:lang w:val="es-ES" w:bidi="es-ES"/>
              </w:rPr>
              <w:t xml:space="preserve">Sí, </w:t>
            </w:r>
            <w:r w:rsidR="00094203" w:rsidRPr="00AE1EE6">
              <w:rPr>
                <w:rFonts w:ascii="Cambria" w:hAnsi="Cambria"/>
                <w:bCs/>
                <w:sz w:val="20"/>
                <w:szCs w:val="20"/>
                <w:lang w:val="es-419" w:bidi="es-ES"/>
              </w:rPr>
              <w:t>en los términos de la Sección VI</w:t>
            </w:r>
          </w:p>
        </w:tc>
      </w:tr>
    </w:tbl>
    <w:p w14:paraId="56FD5D57" w14:textId="16254ABC" w:rsidR="003239B8" w:rsidRPr="00BF5A36" w:rsidRDefault="00223A29" w:rsidP="00BF5A36">
      <w:pPr>
        <w:spacing w:before="240" w:after="240"/>
        <w:ind w:firstLine="720"/>
        <w:jc w:val="both"/>
        <w:rPr>
          <w:rFonts w:asciiTheme="majorHAnsi" w:hAnsiTheme="majorHAnsi"/>
          <w:b/>
          <w:sz w:val="20"/>
          <w:szCs w:val="20"/>
          <w:lang w:val="es-ES_tradnl"/>
        </w:rPr>
      </w:pPr>
      <w:r w:rsidRPr="0011075B">
        <w:rPr>
          <w:rFonts w:asciiTheme="majorHAnsi" w:hAnsiTheme="majorHAnsi"/>
          <w:b/>
          <w:sz w:val="20"/>
          <w:szCs w:val="20"/>
          <w:lang w:val="es-419"/>
        </w:rPr>
        <w:t xml:space="preserve">V. </w:t>
      </w:r>
      <w:r w:rsidRPr="0011075B">
        <w:rPr>
          <w:rFonts w:asciiTheme="majorHAnsi" w:hAnsiTheme="majorHAnsi"/>
          <w:b/>
          <w:sz w:val="20"/>
          <w:szCs w:val="20"/>
          <w:lang w:val="es-419"/>
        </w:rPr>
        <w:tab/>
      </w:r>
      <w:r w:rsidR="004241A0" w:rsidRPr="00BF5A36">
        <w:rPr>
          <w:rFonts w:asciiTheme="majorHAnsi" w:hAnsiTheme="majorHAnsi"/>
          <w:b/>
          <w:sz w:val="20"/>
          <w:szCs w:val="20"/>
          <w:lang w:val="es-ES_tradnl"/>
        </w:rPr>
        <w:t>POSICIÓN DE LAS PARTES</w:t>
      </w:r>
      <w:r w:rsidR="003239B8" w:rsidRPr="00BF5A36">
        <w:rPr>
          <w:rFonts w:asciiTheme="majorHAnsi" w:hAnsiTheme="majorHAnsi"/>
          <w:b/>
          <w:sz w:val="20"/>
          <w:szCs w:val="20"/>
          <w:lang w:val="es-ES_tradnl"/>
        </w:rPr>
        <w:t xml:space="preserve"> </w:t>
      </w:r>
    </w:p>
    <w:p w14:paraId="4EA306E2" w14:textId="482E0137" w:rsidR="00785B6C" w:rsidRPr="00BF5A36" w:rsidRDefault="00785B6C" w:rsidP="00BF5A3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sidRPr="00BF5A36">
        <w:rPr>
          <w:rFonts w:asciiTheme="majorHAnsi" w:hAnsiTheme="majorHAnsi"/>
          <w:i/>
          <w:iCs/>
          <w:sz w:val="20"/>
          <w:szCs w:val="20"/>
          <w:lang w:val="es-ES_tradnl"/>
        </w:rPr>
        <w:t xml:space="preserve">Posición </w:t>
      </w:r>
      <w:r w:rsidR="00F26F8C" w:rsidRPr="00BF5A36">
        <w:rPr>
          <w:rFonts w:asciiTheme="majorHAnsi" w:hAnsiTheme="majorHAnsi"/>
          <w:i/>
          <w:iCs/>
          <w:sz w:val="20"/>
          <w:szCs w:val="20"/>
          <w:lang w:val="es-ES_tradnl"/>
        </w:rPr>
        <w:t>del peticionario</w:t>
      </w:r>
    </w:p>
    <w:p w14:paraId="2BFE17B3" w14:textId="2CA74C2C" w:rsidR="00606B5E" w:rsidRPr="00BF5A36" w:rsidRDefault="00AE1078"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lang w:val="es-ES_tradnl"/>
        </w:rPr>
      </w:pPr>
      <w:r w:rsidRPr="00BF5A36">
        <w:rPr>
          <w:rFonts w:asciiTheme="majorHAnsi" w:hAnsiTheme="majorHAnsi"/>
          <w:sz w:val="20"/>
          <w:szCs w:val="20"/>
          <w:lang w:val="es-ES_tradnl"/>
        </w:rPr>
        <w:t xml:space="preserve">El peticionario denuncia la falta de indemnización al señor César Alfonso Fraga Narváez por las lesiones que sufrió mientras trabajaba como obrero en la construcción de una </w:t>
      </w:r>
      <w:r w:rsidR="00812CB0" w:rsidRPr="00BF5A36">
        <w:rPr>
          <w:rFonts w:asciiTheme="majorHAnsi" w:hAnsiTheme="majorHAnsi"/>
          <w:sz w:val="20"/>
          <w:szCs w:val="20"/>
          <w:lang w:val="es-ES_tradnl"/>
        </w:rPr>
        <w:t>estación de policía</w:t>
      </w:r>
      <w:r w:rsidRPr="00BF5A36">
        <w:rPr>
          <w:rFonts w:asciiTheme="majorHAnsi" w:hAnsiTheme="majorHAnsi"/>
          <w:sz w:val="20"/>
          <w:szCs w:val="20"/>
          <w:lang w:val="es-ES_tradnl"/>
        </w:rPr>
        <w:t xml:space="preserve">. El daño se debió a la activación accidental de un artefacto explosivo que se encontraba ubicado en el sitio de la </w:t>
      </w:r>
      <w:r w:rsidRPr="00BF5A36">
        <w:rPr>
          <w:rFonts w:asciiTheme="majorHAnsi" w:hAnsiTheme="majorHAnsi"/>
          <w:sz w:val="20"/>
          <w:szCs w:val="20"/>
          <w:lang w:val="es-ES_tradnl"/>
        </w:rPr>
        <w:lastRenderedPageBreak/>
        <w:t>construcción, y provocó discapacidad en la presunta víctima.</w:t>
      </w:r>
    </w:p>
    <w:p w14:paraId="09ED9E52" w14:textId="55E4206C" w:rsidR="00AE1078" w:rsidRPr="00BF5A36" w:rsidRDefault="001A526E"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BF5A36">
        <w:rPr>
          <w:rFonts w:asciiTheme="majorHAnsi" w:hAnsiTheme="majorHAnsi"/>
          <w:color w:val="auto"/>
          <w:sz w:val="20"/>
          <w:szCs w:val="20"/>
          <w:lang w:val="es-ES_tradnl"/>
        </w:rPr>
        <w:t>Según el peticionario,</w:t>
      </w:r>
      <w:r w:rsidR="00FC5851" w:rsidRPr="00BF5A36">
        <w:rPr>
          <w:rFonts w:asciiTheme="majorHAnsi" w:hAnsiTheme="majorHAnsi"/>
          <w:color w:val="auto"/>
          <w:sz w:val="20"/>
          <w:szCs w:val="20"/>
          <w:lang w:val="es-ES_tradnl"/>
        </w:rPr>
        <w:t xml:space="preserve"> el 22 de septiembre de 2005</w:t>
      </w:r>
      <w:r w:rsidRPr="00BF5A36">
        <w:rPr>
          <w:rFonts w:asciiTheme="majorHAnsi" w:hAnsiTheme="majorHAnsi"/>
          <w:color w:val="auto"/>
          <w:sz w:val="20"/>
          <w:szCs w:val="20"/>
          <w:lang w:val="es-ES_tradnl"/>
        </w:rPr>
        <w:t xml:space="preserve"> e</w:t>
      </w:r>
      <w:r w:rsidRPr="00BF5A36">
        <w:rPr>
          <w:rFonts w:asciiTheme="majorHAnsi" w:hAnsiTheme="majorHAnsi"/>
          <w:sz w:val="20"/>
          <w:szCs w:val="20"/>
          <w:lang w:val="es-ES_tradnl"/>
        </w:rPr>
        <w:t xml:space="preserve">l Sr. César Alfonso Fraga Narváez, en calidad de obrero en la construcción de la Estación de Policía del Corregimiento de Chiles del Municipio de Cumbal sufrió graves lesiones, al explotar un artefacto en el momento en que manipulaba una pala sobre un montón de arena en </w:t>
      </w:r>
      <w:r w:rsidR="000E5317" w:rsidRPr="00BF5A36">
        <w:rPr>
          <w:rFonts w:asciiTheme="majorHAnsi" w:hAnsiTheme="majorHAnsi"/>
          <w:sz w:val="20"/>
          <w:szCs w:val="20"/>
          <w:lang w:val="es-ES_tradnl"/>
        </w:rPr>
        <w:t>un patio interno de la citada</w:t>
      </w:r>
      <w:r w:rsidRPr="00BF5A36">
        <w:rPr>
          <w:rFonts w:asciiTheme="majorHAnsi" w:hAnsiTheme="majorHAnsi"/>
          <w:sz w:val="20"/>
          <w:szCs w:val="20"/>
          <w:lang w:val="es-ES_tradnl"/>
        </w:rPr>
        <w:t xml:space="preserve"> estación de policía. La explosión </w:t>
      </w:r>
      <w:r w:rsidR="00AE1078" w:rsidRPr="00BF5A36">
        <w:rPr>
          <w:rFonts w:asciiTheme="majorHAnsi" w:hAnsiTheme="majorHAnsi"/>
          <w:sz w:val="20"/>
          <w:szCs w:val="20"/>
          <w:lang w:val="es-ES_tradnl"/>
        </w:rPr>
        <w:t>le extirpó de tajo</w:t>
      </w:r>
      <w:r w:rsidR="0087197A" w:rsidRPr="00BF5A36">
        <w:rPr>
          <w:rFonts w:asciiTheme="majorHAnsi" w:hAnsiTheme="majorHAnsi"/>
          <w:sz w:val="20"/>
          <w:szCs w:val="20"/>
          <w:lang w:val="es-ES_tradnl"/>
        </w:rPr>
        <w:t xml:space="preserve"> un ojo</w:t>
      </w:r>
      <w:r w:rsidR="00AE1078" w:rsidRPr="00BF5A36">
        <w:rPr>
          <w:rFonts w:asciiTheme="majorHAnsi" w:hAnsiTheme="majorHAnsi"/>
          <w:sz w:val="20"/>
          <w:szCs w:val="20"/>
          <w:lang w:val="es-ES_tradnl"/>
        </w:rPr>
        <w:t>, quedando desmayado en el acto; y le generó, a largo plazo, una pérdida parcial de su capacidad laboral.</w:t>
      </w:r>
    </w:p>
    <w:p w14:paraId="3AB57269" w14:textId="17525F28" w:rsidR="00D41CBD" w:rsidRPr="00BF5A36" w:rsidRDefault="00910CE7"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BF5A36">
        <w:rPr>
          <w:rFonts w:asciiTheme="majorHAnsi" w:hAnsiTheme="majorHAnsi"/>
          <w:color w:val="auto"/>
          <w:sz w:val="20"/>
          <w:szCs w:val="20"/>
          <w:lang w:val="es-ES_tradnl"/>
        </w:rPr>
        <w:t xml:space="preserve">El Sr. Fraga Narváez y su grupo familiar presentaron </w:t>
      </w:r>
      <w:r w:rsidR="0087197A" w:rsidRPr="00BF5A36">
        <w:rPr>
          <w:rFonts w:asciiTheme="majorHAnsi" w:hAnsiTheme="majorHAnsi"/>
          <w:color w:val="auto"/>
          <w:sz w:val="20"/>
          <w:szCs w:val="20"/>
          <w:lang w:val="es-ES_tradnl"/>
        </w:rPr>
        <w:t xml:space="preserve">una </w:t>
      </w:r>
      <w:r w:rsidRPr="00BF5A36">
        <w:rPr>
          <w:rFonts w:asciiTheme="majorHAnsi" w:hAnsiTheme="majorHAnsi"/>
          <w:color w:val="auto"/>
          <w:sz w:val="20"/>
          <w:szCs w:val="20"/>
          <w:lang w:val="es-ES_tradnl"/>
        </w:rPr>
        <w:t>demanda contra la Nación – Ministerio de Defensa – Policía Nacional</w:t>
      </w:r>
      <w:r w:rsidR="0087197A" w:rsidRPr="00BF5A36">
        <w:rPr>
          <w:rFonts w:asciiTheme="majorHAnsi" w:hAnsiTheme="majorHAnsi"/>
          <w:color w:val="auto"/>
          <w:sz w:val="20"/>
          <w:szCs w:val="20"/>
          <w:lang w:val="es-ES_tradnl"/>
        </w:rPr>
        <w:t>,</w:t>
      </w:r>
      <w:r w:rsidR="00C25514" w:rsidRPr="00BF5A36">
        <w:rPr>
          <w:rFonts w:asciiTheme="majorHAnsi" w:hAnsiTheme="majorHAnsi"/>
          <w:color w:val="auto"/>
          <w:sz w:val="20"/>
          <w:szCs w:val="20"/>
          <w:lang w:val="es-ES_tradnl"/>
        </w:rPr>
        <w:t xml:space="preserve"> </w:t>
      </w:r>
      <w:r w:rsidRPr="00BF5A36">
        <w:rPr>
          <w:rFonts w:asciiTheme="majorHAnsi" w:hAnsiTheme="majorHAnsi"/>
          <w:color w:val="auto"/>
          <w:sz w:val="20"/>
          <w:szCs w:val="20"/>
          <w:lang w:val="es-ES_tradnl"/>
        </w:rPr>
        <w:t xml:space="preserve">solicitando </w:t>
      </w:r>
      <w:r w:rsidR="001A526E" w:rsidRPr="00BF5A36">
        <w:rPr>
          <w:rFonts w:asciiTheme="majorHAnsi" w:hAnsiTheme="majorHAnsi"/>
          <w:sz w:val="20"/>
          <w:szCs w:val="20"/>
          <w:lang w:val="es-ES_tradnl"/>
        </w:rPr>
        <w:t>la indemnización de perjuicios correspondientes al</w:t>
      </w:r>
      <w:r w:rsidRPr="00BF5A36">
        <w:rPr>
          <w:rFonts w:asciiTheme="majorHAnsi" w:hAnsiTheme="majorHAnsi"/>
          <w:sz w:val="20"/>
          <w:szCs w:val="20"/>
          <w:lang w:val="es-ES_tradnl"/>
        </w:rPr>
        <w:t xml:space="preserve"> daño emergente, lucro cesante, perjuicios morales y daño a la vida. La responsabilidad del Estado se deriva, según la demanda, de que el aparato explosivo era</w:t>
      </w:r>
      <w:r w:rsidR="005C30B0" w:rsidRPr="00BF5A36">
        <w:rPr>
          <w:rFonts w:asciiTheme="majorHAnsi" w:hAnsiTheme="majorHAnsi"/>
          <w:sz w:val="20"/>
          <w:szCs w:val="20"/>
          <w:lang w:val="es-ES_tradnl"/>
        </w:rPr>
        <w:t xml:space="preserve"> presumiblemente </w:t>
      </w:r>
      <w:r w:rsidRPr="00BF5A36">
        <w:rPr>
          <w:rFonts w:asciiTheme="majorHAnsi" w:hAnsiTheme="majorHAnsi"/>
          <w:sz w:val="20"/>
          <w:szCs w:val="20"/>
          <w:lang w:val="es-ES_tradnl"/>
        </w:rPr>
        <w:t>de propiedad de la Policía Nacional al encontrarse ubicado dentro de sus instalaciones.</w:t>
      </w:r>
      <w:r w:rsidR="00C25514" w:rsidRPr="00BF5A36">
        <w:rPr>
          <w:rFonts w:asciiTheme="majorHAnsi" w:hAnsiTheme="majorHAnsi"/>
          <w:sz w:val="20"/>
          <w:szCs w:val="20"/>
          <w:lang w:val="es-ES_tradnl"/>
        </w:rPr>
        <w:t xml:space="preserve"> </w:t>
      </w:r>
      <w:r w:rsidR="005C30B0" w:rsidRPr="00BF5A36">
        <w:rPr>
          <w:rFonts w:asciiTheme="majorHAnsi" w:hAnsiTheme="majorHAnsi"/>
          <w:sz w:val="20"/>
          <w:szCs w:val="20"/>
          <w:lang w:val="es-ES_tradnl"/>
        </w:rPr>
        <w:t>Según el peticionario, en el expediente de la demanda se recaudó prueba documental y testimonial que demostraba fehacientemente que el artefacto explotó en el momento en que el Sr. Fraga Narváez manipulaba una pala sobre un montón de arena ubicado en las instalaciones de la Estación de Policía.</w:t>
      </w:r>
    </w:p>
    <w:p w14:paraId="47F8003F" w14:textId="516251A9" w:rsidR="00C25514" w:rsidRPr="00BF5A36" w:rsidRDefault="00D41CBD"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A</w:t>
      </w:r>
      <w:r w:rsidR="001A526E" w:rsidRPr="00BF5A36">
        <w:rPr>
          <w:rFonts w:asciiTheme="majorHAnsi" w:hAnsiTheme="majorHAnsi"/>
          <w:sz w:val="20"/>
          <w:szCs w:val="20"/>
          <w:lang w:val="es-ES_tradnl"/>
        </w:rPr>
        <w:t xml:space="preserve">l contestar la demanda, </w:t>
      </w:r>
      <w:r w:rsidRPr="00BF5A36">
        <w:rPr>
          <w:rFonts w:asciiTheme="majorHAnsi" w:hAnsiTheme="majorHAnsi"/>
          <w:color w:val="auto"/>
          <w:sz w:val="20"/>
          <w:szCs w:val="20"/>
          <w:lang w:val="es-ES_tradnl"/>
        </w:rPr>
        <w:t xml:space="preserve">la Nación – Ministerio de Defensa – Policía Nacional </w:t>
      </w:r>
      <w:r w:rsidR="005C30B0" w:rsidRPr="00BF5A36">
        <w:rPr>
          <w:rFonts w:asciiTheme="majorHAnsi" w:hAnsiTheme="majorHAnsi"/>
          <w:sz w:val="20"/>
          <w:szCs w:val="20"/>
          <w:lang w:val="es-ES_tradnl"/>
        </w:rPr>
        <w:t>argumentó</w:t>
      </w:r>
      <w:r w:rsidR="001A526E" w:rsidRPr="00BF5A36">
        <w:rPr>
          <w:rFonts w:asciiTheme="majorHAnsi" w:hAnsiTheme="majorHAnsi"/>
          <w:sz w:val="20"/>
          <w:szCs w:val="20"/>
          <w:lang w:val="es-ES_tradnl"/>
        </w:rPr>
        <w:t xml:space="preserve"> que la</w:t>
      </w:r>
      <w:r w:rsidR="00C25514" w:rsidRPr="00BF5A36">
        <w:rPr>
          <w:rFonts w:asciiTheme="majorHAnsi" w:hAnsiTheme="majorHAnsi"/>
          <w:sz w:val="20"/>
          <w:szCs w:val="20"/>
          <w:lang w:val="es-ES_tradnl"/>
        </w:rPr>
        <w:t xml:space="preserve"> </w:t>
      </w:r>
      <w:r w:rsidR="001A526E" w:rsidRPr="00BF5A36">
        <w:rPr>
          <w:rFonts w:asciiTheme="majorHAnsi" w:hAnsiTheme="majorHAnsi"/>
          <w:sz w:val="20"/>
          <w:szCs w:val="20"/>
          <w:lang w:val="es-ES_tradnl"/>
        </w:rPr>
        <w:t xml:space="preserve">presencia del aparato explosivo que </w:t>
      </w:r>
      <w:r w:rsidR="005C5ABC" w:rsidRPr="00BF5A36">
        <w:rPr>
          <w:rFonts w:asciiTheme="majorHAnsi" w:hAnsiTheme="majorHAnsi"/>
          <w:sz w:val="20"/>
          <w:szCs w:val="20"/>
          <w:lang w:val="es-ES_tradnl"/>
        </w:rPr>
        <w:t>detonó</w:t>
      </w:r>
      <w:r w:rsidR="001A526E" w:rsidRPr="00BF5A36">
        <w:rPr>
          <w:rFonts w:asciiTheme="majorHAnsi" w:hAnsiTheme="majorHAnsi"/>
          <w:sz w:val="20"/>
          <w:szCs w:val="20"/>
          <w:lang w:val="es-ES_tradnl"/>
        </w:rPr>
        <w:t xml:space="preserve"> dentro de sus instalaciones obedeció a</w:t>
      </w:r>
      <w:r w:rsidR="00284868" w:rsidRPr="00BF5A36">
        <w:rPr>
          <w:rFonts w:asciiTheme="majorHAnsi" w:hAnsiTheme="majorHAnsi"/>
          <w:sz w:val="20"/>
          <w:szCs w:val="20"/>
          <w:lang w:val="es-ES_tradnl"/>
        </w:rPr>
        <w:t xml:space="preserve"> un</w:t>
      </w:r>
      <w:r w:rsidR="001A526E" w:rsidRPr="00BF5A36">
        <w:rPr>
          <w:rFonts w:asciiTheme="majorHAnsi" w:hAnsiTheme="majorHAnsi"/>
          <w:sz w:val="20"/>
          <w:szCs w:val="20"/>
          <w:lang w:val="es-ES_tradnl"/>
        </w:rPr>
        <w:t xml:space="preserve"> enfrentamiento armado que sostuvo la policía con un grupo</w:t>
      </w:r>
      <w:r w:rsidR="00C25514" w:rsidRPr="00BF5A36">
        <w:rPr>
          <w:rFonts w:asciiTheme="majorHAnsi" w:hAnsiTheme="majorHAnsi"/>
          <w:sz w:val="20"/>
          <w:szCs w:val="20"/>
          <w:lang w:val="es-ES_tradnl"/>
        </w:rPr>
        <w:t xml:space="preserve"> </w:t>
      </w:r>
      <w:r w:rsidR="001A526E" w:rsidRPr="00BF5A36">
        <w:rPr>
          <w:rFonts w:asciiTheme="majorHAnsi" w:hAnsiTheme="majorHAnsi"/>
          <w:sz w:val="20"/>
          <w:szCs w:val="20"/>
          <w:lang w:val="es-ES_tradnl"/>
        </w:rPr>
        <w:t>guerrillero</w:t>
      </w:r>
      <w:r w:rsidRPr="00BF5A36">
        <w:rPr>
          <w:rFonts w:asciiTheme="majorHAnsi" w:hAnsiTheme="majorHAnsi"/>
          <w:sz w:val="20"/>
          <w:szCs w:val="20"/>
          <w:lang w:val="es-ES_tradnl"/>
        </w:rPr>
        <w:t xml:space="preserve"> </w:t>
      </w:r>
      <w:r w:rsidR="001A526E" w:rsidRPr="00BF5A36">
        <w:rPr>
          <w:rFonts w:asciiTheme="majorHAnsi" w:hAnsiTheme="majorHAnsi"/>
          <w:sz w:val="20"/>
          <w:szCs w:val="20"/>
          <w:lang w:val="es-ES_tradnl"/>
        </w:rPr>
        <w:t xml:space="preserve">el </w:t>
      </w:r>
      <w:r w:rsidR="00DD4C26" w:rsidRPr="00BF5A36">
        <w:rPr>
          <w:rFonts w:asciiTheme="majorHAnsi" w:hAnsiTheme="majorHAnsi"/>
          <w:sz w:val="20"/>
          <w:szCs w:val="20"/>
          <w:lang w:val="es-ES_tradnl"/>
        </w:rPr>
        <w:t>día anterior</w:t>
      </w:r>
      <w:r w:rsidRPr="00BF5A36">
        <w:rPr>
          <w:rFonts w:asciiTheme="majorHAnsi" w:hAnsiTheme="majorHAnsi"/>
          <w:sz w:val="20"/>
          <w:szCs w:val="20"/>
          <w:lang w:val="es-ES_tradnl"/>
        </w:rPr>
        <w:t xml:space="preserve"> y por lo tanto el Estado no es responsable frente a los daños sufridos por la presunta víctima.</w:t>
      </w:r>
    </w:p>
    <w:p w14:paraId="34B1C7F8" w14:textId="61285F85" w:rsidR="00F84DAF" w:rsidRPr="00BF5A36" w:rsidRDefault="001A526E"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El</w:t>
      </w:r>
      <w:r w:rsidR="00FC5851" w:rsidRPr="00BF5A36">
        <w:rPr>
          <w:rFonts w:asciiTheme="majorHAnsi" w:hAnsiTheme="majorHAnsi"/>
          <w:sz w:val="20"/>
          <w:szCs w:val="20"/>
          <w:lang w:val="es-ES_tradnl"/>
        </w:rPr>
        <w:t xml:space="preserve"> 23 de agosto de 2010</w:t>
      </w:r>
      <w:r w:rsidRPr="00BF5A36">
        <w:rPr>
          <w:rFonts w:asciiTheme="majorHAnsi" w:hAnsiTheme="majorHAnsi"/>
          <w:sz w:val="20"/>
          <w:szCs w:val="20"/>
          <w:lang w:val="es-ES_tradnl"/>
        </w:rPr>
        <w:t xml:space="preserve"> </w:t>
      </w:r>
      <w:r w:rsidR="00FC5851" w:rsidRPr="00BF5A36">
        <w:rPr>
          <w:rFonts w:asciiTheme="majorHAnsi" w:hAnsiTheme="majorHAnsi"/>
          <w:sz w:val="20"/>
          <w:szCs w:val="20"/>
          <w:lang w:val="es-ES_tradnl"/>
        </w:rPr>
        <w:t xml:space="preserve">el </w:t>
      </w:r>
      <w:r w:rsidRPr="00BF5A36">
        <w:rPr>
          <w:rFonts w:asciiTheme="majorHAnsi" w:hAnsiTheme="majorHAnsi"/>
          <w:sz w:val="20"/>
          <w:szCs w:val="20"/>
          <w:lang w:val="es-ES_tradnl"/>
        </w:rPr>
        <w:t xml:space="preserve">Juzgado Quinto Administrativo de Pasto </w:t>
      </w:r>
      <w:r w:rsidR="00FC5851" w:rsidRPr="00BF5A36">
        <w:rPr>
          <w:rFonts w:asciiTheme="majorHAnsi" w:hAnsiTheme="majorHAnsi"/>
          <w:sz w:val="20"/>
          <w:szCs w:val="20"/>
          <w:lang w:val="es-ES_tradnl"/>
        </w:rPr>
        <w:t xml:space="preserve">declaró la responsabilidad administrativa y extracontractual de la Policía Nacional por los daños reclamados por la presunta víctima. </w:t>
      </w:r>
      <w:r w:rsidR="00D47C29" w:rsidRPr="00BF5A36">
        <w:rPr>
          <w:rFonts w:asciiTheme="majorHAnsi" w:hAnsiTheme="majorHAnsi"/>
          <w:sz w:val="20"/>
          <w:szCs w:val="20"/>
          <w:lang w:val="es-ES_tradnl"/>
        </w:rPr>
        <w:t>S</w:t>
      </w:r>
      <w:r w:rsidRPr="00BF5A36">
        <w:rPr>
          <w:rFonts w:asciiTheme="majorHAnsi" w:hAnsiTheme="majorHAnsi"/>
          <w:sz w:val="20"/>
          <w:szCs w:val="20"/>
          <w:lang w:val="es-ES_tradnl"/>
        </w:rPr>
        <w:t>in embargo</w:t>
      </w:r>
      <w:r w:rsidR="00D47C29" w:rsidRPr="00BF5A36">
        <w:rPr>
          <w:rFonts w:asciiTheme="majorHAnsi" w:hAnsiTheme="majorHAnsi"/>
          <w:sz w:val="20"/>
          <w:szCs w:val="20"/>
          <w:lang w:val="es-ES_tradnl"/>
        </w:rPr>
        <w:t>,</w:t>
      </w:r>
      <w:r w:rsidRPr="00BF5A36">
        <w:rPr>
          <w:rFonts w:asciiTheme="majorHAnsi" w:hAnsiTheme="majorHAnsi"/>
          <w:sz w:val="20"/>
          <w:szCs w:val="20"/>
          <w:lang w:val="es-ES_tradnl"/>
        </w:rPr>
        <w:t xml:space="preserve"> </w:t>
      </w:r>
      <w:r w:rsidR="00B70C57" w:rsidRPr="00BF5A36">
        <w:rPr>
          <w:rFonts w:asciiTheme="majorHAnsi" w:hAnsiTheme="majorHAnsi"/>
          <w:sz w:val="20"/>
          <w:szCs w:val="20"/>
          <w:lang w:val="es-ES_tradnl"/>
        </w:rPr>
        <w:t xml:space="preserve">el 26 de octubre de 2012 </w:t>
      </w:r>
      <w:r w:rsidRPr="00BF5A36">
        <w:rPr>
          <w:rFonts w:asciiTheme="majorHAnsi" w:hAnsiTheme="majorHAnsi"/>
          <w:sz w:val="20"/>
          <w:szCs w:val="20"/>
          <w:lang w:val="es-ES_tradnl"/>
        </w:rPr>
        <w:t>el Tribunal Administrativo de Nariño revocó la sentencia al considerar que no se probó la propiedad del</w:t>
      </w:r>
      <w:r w:rsidR="005C30B0" w:rsidRPr="00BF5A36">
        <w:rPr>
          <w:rFonts w:asciiTheme="majorHAnsi" w:hAnsiTheme="majorHAnsi"/>
          <w:sz w:val="20"/>
          <w:szCs w:val="20"/>
          <w:lang w:val="es-ES_tradnl"/>
        </w:rPr>
        <w:t xml:space="preserve"> </w:t>
      </w:r>
      <w:r w:rsidRPr="00BF5A36">
        <w:rPr>
          <w:rFonts w:asciiTheme="majorHAnsi" w:hAnsiTheme="majorHAnsi"/>
          <w:sz w:val="20"/>
          <w:szCs w:val="20"/>
          <w:lang w:val="es-ES_tradnl"/>
        </w:rPr>
        <w:t>artefacto explosivo en cabeza de la Policía Nacional, razón por la cual no era posible predicar la existencia de falla en la prestación del servicio</w:t>
      </w:r>
      <w:r w:rsidR="005C30B0" w:rsidRPr="00BF5A36">
        <w:rPr>
          <w:rFonts w:asciiTheme="majorHAnsi" w:hAnsiTheme="majorHAnsi"/>
          <w:sz w:val="20"/>
          <w:szCs w:val="20"/>
          <w:lang w:val="es-ES_tradnl"/>
        </w:rPr>
        <w:t xml:space="preserve">. </w:t>
      </w:r>
      <w:r w:rsidR="00F84DAF" w:rsidRPr="00BF5A36">
        <w:rPr>
          <w:rFonts w:asciiTheme="majorHAnsi" w:hAnsiTheme="majorHAnsi"/>
          <w:sz w:val="20"/>
          <w:szCs w:val="20"/>
          <w:lang w:val="es-ES_tradnl"/>
        </w:rPr>
        <w:t xml:space="preserve">El Tribunal también consideró no aplicable la teoría del daño especial. </w:t>
      </w:r>
      <w:r w:rsidR="006F3F6D">
        <w:rPr>
          <w:rFonts w:asciiTheme="majorHAnsi" w:hAnsiTheme="majorHAnsi"/>
          <w:sz w:val="20"/>
          <w:szCs w:val="20"/>
          <w:lang w:val="es-ES_tradnl"/>
        </w:rPr>
        <w:t>E</w:t>
      </w:r>
      <w:r w:rsidR="00F84DAF" w:rsidRPr="00BF5A36">
        <w:rPr>
          <w:rFonts w:asciiTheme="majorHAnsi" w:hAnsiTheme="majorHAnsi"/>
          <w:sz w:val="20"/>
          <w:szCs w:val="20"/>
          <w:lang w:val="es-ES_tradnl"/>
        </w:rPr>
        <w:t xml:space="preserve">n el contexto de los escritos del peticionario, el "daño especial" </w:t>
      </w:r>
      <w:r w:rsidR="001F1735" w:rsidRPr="00BF5A36">
        <w:rPr>
          <w:rFonts w:asciiTheme="majorHAnsi" w:hAnsiTheme="majorHAnsi"/>
          <w:sz w:val="20"/>
          <w:szCs w:val="20"/>
          <w:lang w:val="es-ES_tradnl"/>
        </w:rPr>
        <w:t>se habría producido porque</w:t>
      </w:r>
      <w:r w:rsidR="00F84DAF" w:rsidRPr="00BF5A36">
        <w:rPr>
          <w:rFonts w:asciiTheme="majorHAnsi" w:hAnsiTheme="majorHAnsi"/>
          <w:sz w:val="20"/>
          <w:szCs w:val="20"/>
          <w:lang w:val="es-ES_tradnl"/>
        </w:rPr>
        <w:t xml:space="preserve"> el incidente ocurrió en las instalaciones de una estación de policía y está relacionado con actividades de grupos armados ilegales</w:t>
      </w:r>
      <w:r w:rsidR="002E6C98" w:rsidRPr="00BF5A36">
        <w:rPr>
          <w:rFonts w:asciiTheme="majorHAnsi" w:hAnsiTheme="majorHAnsi"/>
          <w:sz w:val="20"/>
          <w:szCs w:val="20"/>
          <w:lang w:val="es-ES_tradnl"/>
        </w:rPr>
        <w:t>.</w:t>
      </w:r>
      <w:r w:rsidR="00F84DAF" w:rsidRPr="00BF5A36">
        <w:rPr>
          <w:rFonts w:asciiTheme="majorHAnsi" w:hAnsiTheme="majorHAnsi"/>
          <w:sz w:val="20"/>
          <w:szCs w:val="20"/>
          <w:lang w:val="es-ES_tradnl"/>
        </w:rPr>
        <w:t xml:space="preserve"> </w:t>
      </w:r>
      <w:r w:rsidR="002E6C98" w:rsidRPr="00BF5A36">
        <w:rPr>
          <w:rFonts w:asciiTheme="majorHAnsi" w:hAnsiTheme="majorHAnsi"/>
          <w:sz w:val="20"/>
          <w:szCs w:val="20"/>
          <w:lang w:val="es-ES_tradnl"/>
        </w:rPr>
        <w:t xml:space="preserve">Así, </w:t>
      </w:r>
      <w:r w:rsidR="00F84DAF" w:rsidRPr="00BF5A36">
        <w:rPr>
          <w:rFonts w:asciiTheme="majorHAnsi" w:hAnsiTheme="majorHAnsi"/>
          <w:sz w:val="20"/>
          <w:szCs w:val="20"/>
          <w:lang w:val="es-ES_tradnl"/>
        </w:rPr>
        <w:t xml:space="preserve">el daño sufrido por el Sr. Fraga Narváez no </w:t>
      </w:r>
      <w:r w:rsidR="002E6C98" w:rsidRPr="00BF5A36">
        <w:rPr>
          <w:rFonts w:asciiTheme="majorHAnsi" w:hAnsiTheme="majorHAnsi"/>
          <w:sz w:val="20"/>
          <w:szCs w:val="20"/>
          <w:lang w:val="es-ES_tradnl"/>
        </w:rPr>
        <w:t>sería</w:t>
      </w:r>
      <w:r w:rsidR="00F84DAF" w:rsidRPr="00BF5A36">
        <w:rPr>
          <w:rFonts w:asciiTheme="majorHAnsi" w:hAnsiTheme="majorHAnsi"/>
          <w:sz w:val="20"/>
          <w:szCs w:val="20"/>
          <w:lang w:val="es-ES_tradnl"/>
        </w:rPr>
        <w:t xml:space="preserve"> una carga normal que los ciudadanos deberían esperar soportar en su vida diaria</w:t>
      </w:r>
      <w:r w:rsidR="006F3F6D">
        <w:rPr>
          <w:rFonts w:asciiTheme="majorHAnsi" w:hAnsiTheme="majorHAnsi"/>
          <w:sz w:val="20"/>
          <w:szCs w:val="20"/>
          <w:lang w:val="es-ES_tradnl"/>
        </w:rPr>
        <w:t xml:space="preserve"> y,</w:t>
      </w:r>
      <w:r w:rsidR="00F84DAF" w:rsidRPr="00BF5A36">
        <w:rPr>
          <w:rFonts w:asciiTheme="majorHAnsi" w:hAnsiTheme="majorHAnsi"/>
          <w:sz w:val="20"/>
          <w:szCs w:val="20"/>
          <w:lang w:val="es-ES_tradnl"/>
        </w:rPr>
        <w:t xml:space="preserve"> </w:t>
      </w:r>
      <w:r w:rsidR="006F3F6D">
        <w:rPr>
          <w:rFonts w:asciiTheme="majorHAnsi" w:hAnsiTheme="majorHAnsi"/>
          <w:sz w:val="20"/>
          <w:szCs w:val="20"/>
          <w:lang w:val="es-ES_tradnl"/>
        </w:rPr>
        <w:t>p</w:t>
      </w:r>
      <w:r w:rsidR="00F84DAF" w:rsidRPr="00BF5A36">
        <w:rPr>
          <w:rFonts w:asciiTheme="majorHAnsi" w:hAnsiTheme="majorHAnsi"/>
          <w:sz w:val="20"/>
          <w:szCs w:val="20"/>
          <w:lang w:val="es-ES_tradnl"/>
        </w:rPr>
        <w:t>or lo tanto, el Estado debería ser responsable de indemnizar a la víctima, incluso sin la necesidad de demostrar la propiedad del artefacto explosivo por parte del Estado</w:t>
      </w:r>
      <w:r w:rsidR="00697145" w:rsidRPr="00BF5A36">
        <w:rPr>
          <w:rFonts w:asciiTheme="majorHAnsi" w:hAnsiTheme="majorHAnsi"/>
          <w:sz w:val="20"/>
          <w:szCs w:val="20"/>
          <w:lang w:val="es-ES_tradnl"/>
        </w:rPr>
        <w:t>.</w:t>
      </w:r>
    </w:p>
    <w:p w14:paraId="67C8D132" w14:textId="02E05CE6" w:rsidR="00EC7D85" w:rsidRPr="00BF5A36" w:rsidRDefault="001A526E"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 xml:space="preserve">Notificada la sentencia de segunda instancia proferida por el Tribunal Administrativo de Nariño, </w:t>
      </w:r>
      <w:r w:rsidR="005C30B0" w:rsidRPr="00BF5A36">
        <w:rPr>
          <w:rFonts w:asciiTheme="majorHAnsi" w:hAnsiTheme="majorHAnsi"/>
          <w:sz w:val="20"/>
          <w:szCs w:val="20"/>
          <w:lang w:val="es-ES_tradnl"/>
        </w:rPr>
        <w:t>la presunta víctima interpuso</w:t>
      </w:r>
      <w:r w:rsidR="00F71CEE" w:rsidRPr="00BF5A36">
        <w:rPr>
          <w:rFonts w:asciiTheme="majorHAnsi" w:hAnsiTheme="majorHAnsi"/>
          <w:sz w:val="20"/>
          <w:szCs w:val="20"/>
          <w:lang w:val="es-ES_tradnl"/>
        </w:rPr>
        <w:t xml:space="preserve"> una</w:t>
      </w:r>
      <w:r w:rsidR="005C30B0" w:rsidRPr="00BF5A36">
        <w:rPr>
          <w:rFonts w:asciiTheme="majorHAnsi" w:hAnsiTheme="majorHAnsi"/>
          <w:sz w:val="20"/>
          <w:szCs w:val="20"/>
          <w:lang w:val="es-ES_tradnl"/>
        </w:rPr>
        <w:t xml:space="preserve"> acción de tutela </w:t>
      </w:r>
      <w:r w:rsidRPr="00BF5A36">
        <w:rPr>
          <w:rFonts w:asciiTheme="majorHAnsi" w:hAnsiTheme="majorHAnsi"/>
          <w:sz w:val="20"/>
          <w:szCs w:val="20"/>
          <w:lang w:val="es-ES_tradnl"/>
        </w:rPr>
        <w:t>ante el Consejo de Estado</w:t>
      </w:r>
      <w:r w:rsidR="005C30B0" w:rsidRPr="00BF5A36">
        <w:rPr>
          <w:rFonts w:asciiTheme="majorHAnsi" w:hAnsiTheme="majorHAnsi"/>
          <w:sz w:val="20"/>
          <w:szCs w:val="20"/>
          <w:lang w:val="es-ES_tradnl"/>
        </w:rPr>
        <w:t xml:space="preserve"> argumentando que el Tribunal Administrativo de Nariño violó los derecho a la igualdad y acceso a la justicia al no </w:t>
      </w:r>
      <w:r w:rsidR="00EC7D85" w:rsidRPr="00BF5A36">
        <w:rPr>
          <w:rFonts w:asciiTheme="majorHAnsi" w:hAnsiTheme="majorHAnsi"/>
          <w:sz w:val="20"/>
          <w:szCs w:val="20"/>
          <w:lang w:val="es-ES_tradnl"/>
        </w:rPr>
        <w:t xml:space="preserve">observar la jurisprudencia de casos similares. En este sentido, </w:t>
      </w:r>
      <w:r w:rsidR="00EC7D85" w:rsidRPr="00BF5A36">
        <w:rPr>
          <w:rFonts w:asciiTheme="majorHAnsi" w:hAnsiTheme="majorHAnsi"/>
          <w:color w:val="auto"/>
          <w:sz w:val="20"/>
          <w:szCs w:val="20"/>
          <w:lang w:val="es-ES_tradnl"/>
        </w:rPr>
        <w:t xml:space="preserve">menciona </w:t>
      </w:r>
      <w:r w:rsidR="005C30B0" w:rsidRPr="00BF5A36">
        <w:rPr>
          <w:rFonts w:asciiTheme="majorHAnsi" w:hAnsiTheme="majorHAnsi"/>
          <w:color w:val="auto"/>
          <w:sz w:val="20"/>
          <w:szCs w:val="20"/>
          <w:lang w:val="es-ES_tradnl"/>
        </w:rPr>
        <w:t xml:space="preserve">casos donde </w:t>
      </w:r>
      <w:r w:rsidR="00EC7D85" w:rsidRPr="00BF5A36">
        <w:rPr>
          <w:rFonts w:asciiTheme="majorHAnsi" w:hAnsiTheme="majorHAnsi"/>
          <w:color w:val="auto"/>
          <w:sz w:val="20"/>
          <w:szCs w:val="20"/>
          <w:lang w:val="es-ES_tradnl"/>
        </w:rPr>
        <w:t>el Estado fue declarado responsable</w:t>
      </w:r>
      <w:r w:rsidR="005C30B0" w:rsidRPr="00BF5A36">
        <w:rPr>
          <w:rFonts w:asciiTheme="majorHAnsi" w:hAnsiTheme="majorHAnsi"/>
          <w:color w:val="auto"/>
          <w:sz w:val="20"/>
          <w:szCs w:val="20"/>
          <w:lang w:val="es-ES_tradnl"/>
        </w:rPr>
        <w:t xml:space="preserve"> por perjuicios causados en ataques </w:t>
      </w:r>
      <w:r w:rsidR="00EC7D85" w:rsidRPr="00BF5A36">
        <w:rPr>
          <w:rFonts w:asciiTheme="majorHAnsi" w:hAnsiTheme="majorHAnsi"/>
          <w:color w:val="auto"/>
          <w:sz w:val="20"/>
          <w:szCs w:val="20"/>
          <w:lang w:val="es-ES_tradnl"/>
        </w:rPr>
        <w:t xml:space="preserve">cometidos por grupos </w:t>
      </w:r>
      <w:r w:rsidR="005C30B0" w:rsidRPr="00BF5A36">
        <w:rPr>
          <w:rFonts w:asciiTheme="majorHAnsi" w:hAnsiTheme="majorHAnsi"/>
          <w:color w:val="auto"/>
          <w:sz w:val="20"/>
          <w:szCs w:val="20"/>
          <w:lang w:val="es-ES_tradnl"/>
        </w:rPr>
        <w:t>armados</w:t>
      </w:r>
      <w:r w:rsidR="00EC7D85" w:rsidRPr="00BF5A36">
        <w:rPr>
          <w:rFonts w:asciiTheme="majorHAnsi" w:hAnsiTheme="majorHAnsi"/>
          <w:color w:val="auto"/>
          <w:sz w:val="20"/>
          <w:szCs w:val="20"/>
          <w:lang w:val="es-ES_tradnl"/>
        </w:rPr>
        <w:t xml:space="preserve"> ilegales</w:t>
      </w:r>
      <w:r w:rsidR="005C30B0" w:rsidRPr="00BF5A36">
        <w:rPr>
          <w:rFonts w:asciiTheme="majorHAnsi" w:hAnsiTheme="majorHAnsi"/>
          <w:color w:val="auto"/>
          <w:sz w:val="20"/>
          <w:szCs w:val="20"/>
          <w:lang w:val="es-ES_tradnl"/>
        </w:rPr>
        <w:t xml:space="preserve"> </w:t>
      </w:r>
      <w:r w:rsidR="00EC7D85" w:rsidRPr="00BF5A36">
        <w:rPr>
          <w:rFonts w:asciiTheme="majorHAnsi" w:hAnsiTheme="majorHAnsi"/>
          <w:color w:val="auto"/>
          <w:sz w:val="20"/>
          <w:szCs w:val="20"/>
          <w:lang w:val="es-ES_tradnl"/>
        </w:rPr>
        <w:t>y</w:t>
      </w:r>
      <w:r w:rsidR="005C30B0" w:rsidRPr="00BF5A36">
        <w:rPr>
          <w:rFonts w:asciiTheme="majorHAnsi" w:hAnsiTheme="majorHAnsi"/>
          <w:color w:val="auto"/>
          <w:sz w:val="20"/>
          <w:szCs w:val="20"/>
          <w:lang w:val="es-ES_tradnl"/>
        </w:rPr>
        <w:t xml:space="preserve"> atentados terroristas</w:t>
      </w:r>
      <w:r w:rsidR="00EC7D85" w:rsidRPr="00BF5A36">
        <w:rPr>
          <w:rFonts w:asciiTheme="majorHAnsi" w:hAnsiTheme="majorHAnsi"/>
          <w:color w:val="auto"/>
          <w:sz w:val="20"/>
          <w:szCs w:val="20"/>
          <w:lang w:val="es-ES_tradnl"/>
        </w:rPr>
        <w:t>,</w:t>
      </w:r>
      <w:r w:rsidR="005C30B0" w:rsidRPr="00BF5A36">
        <w:rPr>
          <w:rFonts w:asciiTheme="majorHAnsi" w:hAnsiTheme="majorHAnsi"/>
          <w:color w:val="auto"/>
          <w:sz w:val="20"/>
          <w:szCs w:val="20"/>
          <w:lang w:val="es-ES_tradnl"/>
        </w:rPr>
        <w:t xml:space="preserve"> </w:t>
      </w:r>
      <w:r w:rsidR="00EC7D85" w:rsidRPr="00BF5A36">
        <w:rPr>
          <w:rFonts w:asciiTheme="majorHAnsi" w:hAnsiTheme="majorHAnsi"/>
          <w:color w:val="auto"/>
          <w:sz w:val="20"/>
          <w:szCs w:val="20"/>
          <w:lang w:val="es-ES_tradnl"/>
        </w:rPr>
        <w:t xml:space="preserve">así como casos sobre accidentes de tránsito, actividades peligrosas y fallas de servicio donde la autoridad judicial, basándose en el principio </w:t>
      </w:r>
      <w:r w:rsidR="00EC7D85" w:rsidRPr="00BF5A36">
        <w:rPr>
          <w:rFonts w:asciiTheme="majorHAnsi" w:hAnsiTheme="majorHAnsi"/>
          <w:i/>
          <w:iCs/>
          <w:color w:val="auto"/>
          <w:sz w:val="20"/>
          <w:szCs w:val="20"/>
          <w:lang w:val="es-ES_tradnl"/>
        </w:rPr>
        <w:t>iura novit curia</w:t>
      </w:r>
      <w:r w:rsidR="00EC7D85" w:rsidRPr="00BF5A36">
        <w:rPr>
          <w:rFonts w:asciiTheme="majorHAnsi" w:hAnsiTheme="majorHAnsi"/>
          <w:color w:val="auto"/>
          <w:sz w:val="20"/>
          <w:szCs w:val="20"/>
          <w:lang w:val="es-ES_tradnl"/>
        </w:rPr>
        <w:t>, determinó el régimen de responsabilidad del Estado a la luz de los hechos probados, independientemente de la teoría de responsabilidad patrimonial del Estado presentada por la demanda.</w:t>
      </w:r>
    </w:p>
    <w:p w14:paraId="54180BE1" w14:textId="78D490E0" w:rsidR="000E5317" w:rsidRDefault="000E5317"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BF5A36">
        <w:rPr>
          <w:rFonts w:asciiTheme="majorHAnsi" w:hAnsiTheme="majorHAnsi"/>
          <w:color w:val="auto"/>
          <w:sz w:val="20"/>
          <w:szCs w:val="20"/>
          <w:lang w:val="es-ES_tradnl"/>
        </w:rPr>
        <w:t xml:space="preserve">Según el peticionario, </w:t>
      </w:r>
      <w:r w:rsidRPr="00BF5A36">
        <w:rPr>
          <w:rFonts w:asciiTheme="majorHAnsi" w:hAnsiTheme="majorHAnsi"/>
          <w:sz w:val="20"/>
          <w:szCs w:val="20"/>
          <w:lang w:val="es-ES_tradnl"/>
        </w:rPr>
        <w:t xml:space="preserve">al exigir prueba de la propiedad del artefacto explosivo, </w:t>
      </w:r>
      <w:r w:rsidR="00660480" w:rsidRPr="00BF5A36">
        <w:rPr>
          <w:rFonts w:asciiTheme="majorHAnsi" w:hAnsiTheme="majorHAnsi"/>
          <w:sz w:val="20"/>
          <w:szCs w:val="20"/>
          <w:lang w:val="es-ES_tradnl"/>
        </w:rPr>
        <w:t xml:space="preserve">se </w:t>
      </w:r>
      <w:r w:rsidRPr="00BF5A36">
        <w:rPr>
          <w:rFonts w:asciiTheme="majorHAnsi" w:hAnsiTheme="majorHAnsi"/>
          <w:sz w:val="20"/>
          <w:szCs w:val="20"/>
          <w:lang w:val="es-ES_tradnl"/>
        </w:rPr>
        <w:t xml:space="preserve">desconoce la jurisprudencia interna que ha reconocido la responsabilidad del Estado por este tipo de daños que como consecuencia del conflicto armado, sufre la población civil, cuando el daño sucede dentro de una institución representativa del Estado por causa de un artefacto explosivo de propiedad del Estado, o en una proximidad evidente que permite inferir que el artefacto explosivo perteneciente a un tercero, se dirigía contra agentes de dicha institución. En los dos casos la responsabilidad es objetiva y se deriva o bien de una actividad peligrosa desplegada por el Estado, o bien de la ruptura del equilibrio en las cargas públicas que deben asumir los administrados. </w:t>
      </w:r>
    </w:p>
    <w:p w14:paraId="70A83BFF" w14:textId="77777777" w:rsidR="00C9316B" w:rsidRPr="00BF5A36" w:rsidRDefault="00C9316B" w:rsidP="00C9316B">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sz w:val="20"/>
          <w:szCs w:val="20"/>
          <w:lang w:val="es-ES_tradnl"/>
        </w:rPr>
      </w:pPr>
    </w:p>
    <w:p w14:paraId="315F07E3" w14:textId="25BE7DA1" w:rsidR="000E5317" w:rsidRPr="00BF5A36" w:rsidRDefault="000E5317"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i/>
          <w:iCs/>
          <w:sz w:val="20"/>
          <w:szCs w:val="20"/>
          <w:lang w:val="es-ES_tradnl"/>
        </w:rPr>
      </w:pPr>
      <w:r w:rsidRPr="00BF5A36">
        <w:rPr>
          <w:rFonts w:asciiTheme="majorHAnsi" w:hAnsiTheme="majorHAnsi"/>
          <w:sz w:val="20"/>
          <w:szCs w:val="20"/>
          <w:lang w:val="es-ES_tradnl"/>
        </w:rPr>
        <w:lastRenderedPageBreak/>
        <w:t>El peticionario argumenta que hechos similares a los que vic</w:t>
      </w:r>
      <w:r w:rsidR="005C5B02" w:rsidRPr="00BF5A36">
        <w:rPr>
          <w:rFonts w:asciiTheme="majorHAnsi" w:hAnsiTheme="majorHAnsi"/>
          <w:sz w:val="20"/>
          <w:szCs w:val="20"/>
          <w:lang w:val="es-ES_tradnl"/>
        </w:rPr>
        <w:t>ti</w:t>
      </w:r>
      <w:r w:rsidRPr="00BF5A36">
        <w:rPr>
          <w:rFonts w:asciiTheme="majorHAnsi" w:hAnsiTheme="majorHAnsi"/>
          <w:sz w:val="20"/>
          <w:szCs w:val="20"/>
          <w:lang w:val="es-ES_tradnl"/>
        </w:rPr>
        <w:t xml:space="preserve">maron el Sr. César Alfonso Fraga Narváez han generado responsabilidad del Estado Colombiano, y de ello da cuenta la jurisprudencia. En este sentido, menciona, </w:t>
      </w:r>
      <w:r w:rsidRPr="00BF5A36">
        <w:rPr>
          <w:rFonts w:asciiTheme="majorHAnsi" w:hAnsiTheme="majorHAnsi"/>
          <w:i/>
          <w:iCs/>
          <w:sz w:val="20"/>
          <w:szCs w:val="20"/>
          <w:lang w:val="es-ES_tradnl"/>
        </w:rPr>
        <w:t>v.g.</w:t>
      </w:r>
      <w:r w:rsidRPr="00BF5A36">
        <w:rPr>
          <w:rFonts w:asciiTheme="majorHAnsi" w:hAnsiTheme="majorHAnsi"/>
          <w:sz w:val="20"/>
          <w:szCs w:val="20"/>
          <w:lang w:val="es-ES_tradnl"/>
        </w:rPr>
        <w:t>, el precedente Consejo de Estado, Sección Tercera, sentencia del 19 de agosto de 2011, rad. 54001-23-31-000-1994- 08507-01(20028), C.P. Jaime Orlando Santofimio Gamboa. En este precedente, el Consejo de Estado conden</w:t>
      </w:r>
      <w:r w:rsidR="00167A4A" w:rsidRPr="00BF5A36">
        <w:rPr>
          <w:rFonts w:asciiTheme="majorHAnsi" w:hAnsiTheme="majorHAnsi"/>
          <w:sz w:val="20"/>
          <w:szCs w:val="20"/>
          <w:lang w:val="es-ES_tradnl"/>
        </w:rPr>
        <w:t>ó</w:t>
      </w:r>
      <w:r w:rsidRPr="00BF5A36">
        <w:rPr>
          <w:rFonts w:asciiTheme="majorHAnsi" w:hAnsiTheme="majorHAnsi"/>
          <w:sz w:val="20"/>
          <w:szCs w:val="20"/>
          <w:lang w:val="es-ES_tradnl"/>
        </w:rPr>
        <w:t xml:space="preserve"> al Estado por los daños causados a un albañil que realizaba trabajos para el ejército por la explosión de un artefacto, por haber permitido el ingreso de civiles sin la adopción de las más elementales medidas de seguridad</w:t>
      </w:r>
      <w:r w:rsidR="005C5B02" w:rsidRPr="00BF5A36">
        <w:rPr>
          <w:rFonts w:asciiTheme="majorHAnsi" w:hAnsiTheme="majorHAnsi"/>
          <w:sz w:val="20"/>
          <w:szCs w:val="20"/>
          <w:lang w:val="es-ES_tradnl"/>
        </w:rPr>
        <w:t xml:space="preserve">, incumpliendo </w:t>
      </w:r>
      <w:r w:rsidRPr="00BF5A36">
        <w:rPr>
          <w:rFonts w:asciiTheme="majorHAnsi" w:hAnsiTheme="majorHAnsi"/>
          <w:sz w:val="20"/>
          <w:szCs w:val="20"/>
          <w:lang w:val="es-ES_tradnl"/>
        </w:rPr>
        <w:t>con la diligencia debida que se esperaba para evitar un accidente como el que se produjo</w:t>
      </w:r>
      <w:r w:rsidR="005C5B02" w:rsidRPr="00BF5A36">
        <w:rPr>
          <w:rFonts w:asciiTheme="majorHAnsi" w:hAnsiTheme="majorHAnsi"/>
          <w:sz w:val="20"/>
          <w:szCs w:val="20"/>
          <w:lang w:val="es-ES_tradnl"/>
        </w:rPr>
        <w:t>. El peticionario argumenta que en el caso mencionado el Estado fue condenado bajo el régimen de falla del servicio reprochando la falta de las más elementales medidas de seguridad; sin embargo, el propio Consejo de Estado manifestó que, aunque se puede condenar bajo el régimen de responsabilidad objetiva, lo hizo bajo el régimen subjetivo con el fin de reprochar conductas a la administración que deben ser objeto de corrección.</w:t>
      </w:r>
    </w:p>
    <w:p w14:paraId="3BE9906E" w14:textId="4649376D" w:rsidR="00FC5851" w:rsidRPr="00BF5A36" w:rsidRDefault="004C082B"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El 28 de febrero de 2013 l</w:t>
      </w:r>
      <w:r w:rsidR="001A526E" w:rsidRPr="00BF5A36">
        <w:rPr>
          <w:rFonts w:asciiTheme="majorHAnsi" w:hAnsiTheme="majorHAnsi"/>
          <w:sz w:val="20"/>
          <w:szCs w:val="20"/>
          <w:lang w:val="es-ES_tradnl"/>
        </w:rPr>
        <w:t>a Sección Cuarta del Consejo de Estado declaró improcedente la</w:t>
      </w:r>
      <w:r w:rsidR="005C30B0" w:rsidRPr="00BF5A36">
        <w:rPr>
          <w:rFonts w:asciiTheme="majorHAnsi" w:hAnsiTheme="majorHAnsi"/>
          <w:sz w:val="20"/>
          <w:szCs w:val="20"/>
          <w:lang w:val="es-ES_tradnl"/>
        </w:rPr>
        <w:t xml:space="preserve"> </w:t>
      </w:r>
      <w:r w:rsidRPr="00BF5A36">
        <w:rPr>
          <w:rFonts w:asciiTheme="majorHAnsi" w:hAnsiTheme="majorHAnsi"/>
          <w:sz w:val="20"/>
          <w:szCs w:val="20"/>
          <w:lang w:val="es-ES_tradnl"/>
        </w:rPr>
        <w:t>a</w:t>
      </w:r>
      <w:r w:rsidR="005C30B0" w:rsidRPr="00BF5A36">
        <w:rPr>
          <w:rFonts w:asciiTheme="majorHAnsi" w:hAnsiTheme="majorHAnsi"/>
          <w:sz w:val="20"/>
          <w:szCs w:val="20"/>
          <w:lang w:val="es-ES_tradnl"/>
        </w:rPr>
        <w:t xml:space="preserve">cción de </w:t>
      </w:r>
      <w:r w:rsidRPr="00BF5A36">
        <w:rPr>
          <w:rFonts w:asciiTheme="majorHAnsi" w:hAnsiTheme="majorHAnsi"/>
          <w:sz w:val="20"/>
          <w:szCs w:val="20"/>
          <w:lang w:val="es-ES_tradnl"/>
        </w:rPr>
        <w:t>t</w:t>
      </w:r>
      <w:r w:rsidR="005C30B0" w:rsidRPr="00BF5A36">
        <w:rPr>
          <w:rFonts w:asciiTheme="majorHAnsi" w:hAnsiTheme="majorHAnsi"/>
          <w:sz w:val="20"/>
          <w:szCs w:val="20"/>
          <w:lang w:val="es-ES_tradnl"/>
        </w:rPr>
        <w:t>utela</w:t>
      </w:r>
      <w:r w:rsidRPr="00BF5A36">
        <w:rPr>
          <w:rFonts w:asciiTheme="majorHAnsi" w:hAnsiTheme="majorHAnsi"/>
          <w:sz w:val="20"/>
          <w:szCs w:val="20"/>
          <w:lang w:val="es-ES_tradnl"/>
        </w:rPr>
        <w:t xml:space="preserve"> argumentando que el Tribunal Administrativo de Nariño </w:t>
      </w:r>
      <w:r w:rsidR="007B2335" w:rsidRPr="00BF5A36">
        <w:rPr>
          <w:rFonts w:asciiTheme="majorHAnsi" w:hAnsiTheme="majorHAnsi"/>
          <w:sz w:val="20"/>
          <w:szCs w:val="20"/>
          <w:lang w:val="es-ES_tradnl"/>
        </w:rPr>
        <w:t>tomó</w:t>
      </w:r>
      <w:r w:rsidR="00EC7D85" w:rsidRPr="00BF5A36">
        <w:rPr>
          <w:rFonts w:asciiTheme="majorHAnsi" w:hAnsiTheme="majorHAnsi"/>
          <w:sz w:val="20"/>
          <w:szCs w:val="20"/>
          <w:lang w:val="es-ES_tradnl"/>
        </w:rPr>
        <w:t xml:space="preserve"> en cuenta la jurisprudencia </w:t>
      </w:r>
      <w:r w:rsidR="00BA31EE" w:rsidRPr="00BF5A36">
        <w:rPr>
          <w:rFonts w:asciiTheme="majorHAnsi" w:hAnsiTheme="majorHAnsi"/>
          <w:sz w:val="20"/>
          <w:szCs w:val="20"/>
          <w:lang w:val="es-ES_tradnl"/>
        </w:rPr>
        <w:t xml:space="preserve">adecuada al caso. </w:t>
      </w:r>
      <w:r w:rsidR="00FC5851" w:rsidRPr="00BF5A36">
        <w:rPr>
          <w:rFonts w:asciiTheme="majorHAnsi" w:hAnsiTheme="majorHAnsi"/>
          <w:sz w:val="20"/>
          <w:szCs w:val="20"/>
          <w:lang w:val="es-ES_tradnl"/>
        </w:rPr>
        <w:t>Debido al anterior, la presunta víctima impugnó la decisión</w:t>
      </w:r>
      <w:r w:rsidR="00DD4C26" w:rsidRPr="00BF5A36">
        <w:rPr>
          <w:rFonts w:asciiTheme="majorHAnsi" w:hAnsiTheme="majorHAnsi"/>
          <w:sz w:val="20"/>
          <w:szCs w:val="20"/>
          <w:lang w:val="es-ES_tradnl"/>
        </w:rPr>
        <w:t xml:space="preserve"> a través de recurso de apelación</w:t>
      </w:r>
      <w:r w:rsidR="00FC5851" w:rsidRPr="00BF5A36">
        <w:rPr>
          <w:rFonts w:asciiTheme="majorHAnsi" w:hAnsiTheme="majorHAnsi"/>
          <w:sz w:val="20"/>
          <w:szCs w:val="20"/>
          <w:lang w:val="es-ES_tradnl"/>
        </w:rPr>
        <w:t>. El 5 de septiembre de 2013, la</w:t>
      </w:r>
      <w:r w:rsidR="001A526E" w:rsidRPr="00BF5A36">
        <w:rPr>
          <w:rFonts w:asciiTheme="majorHAnsi" w:hAnsiTheme="majorHAnsi"/>
          <w:sz w:val="20"/>
          <w:szCs w:val="20"/>
          <w:lang w:val="es-ES_tradnl"/>
        </w:rPr>
        <w:t xml:space="preserve"> sentencia fue </w:t>
      </w:r>
      <w:r w:rsidRPr="00BF5A36">
        <w:rPr>
          <w:rFonts w:asciiTheme="majorHAnsi" w:hAnsiTheme="majorHAnsi"/>
          <w:sz w:val="20"/>
          <w:szCs w:val="20"/>
          <w:lang w:val="es-ES_tradnl"/>
        </w:rPr>
        <w:t>confirmada</w:t>
      </w:r>
      <w:r w:rsidR="001A526E" w:rsidRPr="00BF5A36">
        <w:rPr>
          <w:rFonts w:asciiTheme="majorHAnsi" w:hAnsiTheme="majorHAnsi"/>
          <w:sz w:val="20"/>
          <w:szCs w:val="20"/>
          <w:lang w:val="es-ES_tradnl"/>
        </w:rPr>
        <w:t xml:space="preserve"> por la Sección Quinta del Consejo de Estado</w:t>
      </w:r>
      <w:r w:rsidR="00BA31EE" w:rsidRPr="00BF5A36">
        <w:rPr>
          <w:rFonts w:asciiTheme="majorHAnsi" w:hAnsiTheme="majorHAnsi"/>
          <w:sz w:val="20"/>
          <w:szCs w:val="20"/>
          <w:lang w:val="es-ES_tradnl"/>
        </w:rPr>
        <w:t>. Esta decisión, notificada a la presunta víctima y sus familiares el</w:t>
      </w:r>
      <w:r w:rsidR="00FC5851" w:rsidRPr="00BF5A36">
        <w:rPr>
          <w:rFonts w:asciiTheme="majorHAnsi" w:hAnsiTheme="majorHAnsi"/>
          <w:sz w:val="20"/>
          <w:szCs w:val="20"/>
          <w:lang w:val="es-ES_tradnl"/>
        </w:rPr>
        <w:t xml:space="preserve"> 19 de noviembre de 2013</w:t>
      </w:r>
      <w:r w:rsidR="00BA31EE" w:rsidRPr="00BF5A36">
        <w:rPr>
          <w:rFonts w:asciiTheme="majorHAnsi" w:hAnsiTheme="majorHAnsi"/>
          <w:sz w:val="20"/>
          <w:szCs w:val="20"/>
          <w:lang w:val="es-ES_tradnl"/>
        </w:rPr>
        <w:t xml:space="preserve">, consideró esencialmente que </w:t>
      </w:r>
      <w:r w:rsidR="00BA31EE" w:rsidRPr="00BF5A36">
        <w:rPr>
          <w:rFonts w:asciiTheme="majorHAnsi" w:hAnsiTheme="majorHAnsi"/>
          <w:color w:val="auto"/>
          <w:sz w:val="20"/>
          <w:szCs w:val="20"/>
          <w:lang w:val="es-ES_tradnl"/>
        </w:rPr>
        <w:t>los argumentos de la acción de tutela reflejan una inconformidad o simple descontento con la sentencia impugnada; y que el Tribunal Administrativo de Nariño actuó bajo el amparo de las providencias de 25 de marzo de 2001 y 31 de agosto de 2006, de la Sección Tercera de Consejo de Estado, según las cuales para imputarle al Estado un daño antijurídico causado con armas, municiones de guerra, explosivos u otros elementos, debe encontrarse probado que ellos son de dotación oficial.</w:t>
      </w:r>
    </w:p>
    <w:p w14:paraId="53AFFE14" w14:textId="77777777" w:rsidR="00893F0C" w:rsidRPr="00BF5A36" w:rsidRDefault="00FC5851"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Con respecto a esta decisión, el peticionario alega que,</w:t>
      </w:r>
      <w:r w:rsidR="00E10858" w:rsidRPr="00BF5A36">
        <w:rPr>
          <w:rFonts w:asciiTheme="majorHAnsi" w:hAnsiTheme="majorHAnsi"/>
          <w:sz w:val="20"/>
          <w:szCs w:val="20"/>
          <w:lang w:val="es-ES_tradnl"/>
        </w:rPr>
        <w:t xml:space="preserve"> </w:t>
      </w:r>
      <w:r w:rsidRPr="00BF5A36">
        <w:rPr>
          <w:rFonts w:asciiTheme="majorHAnsi" w:hAnsiTheme="majorHAnsi"/>
          <w:i/>
          <w:iCs/>
          <w:sz w:val="20"/>
          <w:szCs w:val="20"/>
          <w:lang w:val="es-ES_tradnl"/>
        </w:rPr>
        <w:t>ipso facto</w:t>
      </w:r>
      <w:r w:rsidRPr="00BF5A36">
        <w:rPr>
          <w:rFonts w:asciiTheme="majorHAnsi" w:hAnsiTheme="majorHAnsi"/>
          <w:sz w:val="20"/>
          <w:szCs w:val="20"/>
          <w:lang w:val="es-ES_tradnl"/>
        </w:rPr>
        <w:t xml:space="preserve">, se acepta que el artefacto explosivo es de propiedad de un grupo al margen de la ley; sin embargo, </w:t>
      </w:r>
      <w:r w:rsidR="00E10858" w:rsidRPr="00BF5A36">
        <w:rPr>
          <w:rFonts w:asciiTheme="majorHAnsi" w:hAnsiTheme="majorHAnsi"/>
          <w:sz w:val="20"/>
          <w:szCs w:val="20"/>
          <w:lang w:val="es-ES_tradnl"/>
        </w:rPr>
        <w:t>el Consejo de Estado no debería exigirse prueba sobre la propiedad del artefacto explosivo para aplicar el criterio de daño especial</w:t>
      </w:r>
      <w:r w:rsidRPr="00BF5A36">
        <w:rPr>
          <w:rFonts w:asciiTheme="majorHAnsi" w:hAnsiTheme="majorHAnsi"/>
          <w:sz w:val="20"/>
          <w:szCs w:val="20"/>
          <w:lang w:val="es-ES_tradnl"/>
        </w:rPr>
        <w:t>. Asimismo, sostiene que el Consejo despreció o no valoró a las pruebas que afirmaban que el artefacto explosivo explotó al ser impactado accidentalmente por la presunta víctima mientras manipulaba una pala sobre un montón de arena en las instalaciones de una estación de policía, además de la propia afirmación de la víctima que igualmente tiene valor probatorio.</w:t>
      </w:r>
      <w:r w:rsidR="00893F0C" w:rsidRPr="00BF5A36">
        <w:rPr>
          <w:rFonts w:asciiTheme="majorHAnsi" w:hAnsiTheme="majorHAnsi"/>
          <w:sz w:val="20"/>
          <w:szCs w:val="20"/>
          <w:lang w:val="es-ES_tradnl"/>
        </w:rPr>
        <w:t xml:space="preserve"> </w:t>
      </w:r>
    </w:p>
    <w:p w14:paraId="1D5CE652" w14:textId="70FC04DC" w:rsidR="00667CB4" w:rsidRPr="00BF5A36" w:rsidRDefault="00893F0C"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El peticionario también alega que el Estado no rindió informes ni recogió elementos materiales de prueba, ni evidencia física para iniciar investigaciones a fin de establecer la propiedad del aparato explosivo y las posibles responsabilidades individuales o autorías del daño a la integridad física de César Alfonso Fraga Narváez</w:t>
      </w:r>
      <w:r w:rsidR="00A31DE9" w:rsidRPr="00BF5A36">
        <w:rPr>
          <w:rFonts w:asciiTheme="majorHAnsi" w:hAnsiTheme="majorHAnsi"/>
          <w:sz w:val="20"/>
          <w:szCs w:val="20"/>
          <w:lang w:val="es-ES_tradnl"/>
        </w:rPr>
        <w:t>;</w:t>
      </w:r>
      <w:r w:rsidRPr="00BF5A36">
        <w:rPr>
          <w:rFonts w:asciiTheme="majorHAnsi" w:hAnsiTheme="majorHAnsi"/>
          <w:sz w:val="20"/>
          <w:szCs w:val="20"/>
          <w:lang w:val="es-ES_tradnl"/>
        </w:rPr>
        <w:t xml:space="preserve"> y considera paradójico que las autoridades judiciales impongan dicha carga probatoria a la presunta víctima. Para el peticionario, al negar una indemnización a la presunta víctima y su familia en circunstancia semejantes a otras en la que se ha indemnizado el daño antijurídico padecido por el Sr. Fraga Narváez, el Estado violó sus derechos a la igualdad y a una garantía judicial efectiva. </w:t>
      </w:r>
    </w:p>
    <w:p w14:paraId="6B2BEB2F" w14:textId="0D166BE6" w:rsidR="00667CB4" w:rsidRPr="00BF5A36" w:rsidRDefault="00667CB4" w:rsidP="00BF5A36">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ind w:left="758"/>
        <w:jc w:val="both"/>
        <w:rPr>
          <w:rFonts w:asciiTheme="majorHAnsi" w:hAnsiTheme="majorHAnsi"/>
          <w:i/>
          <w:iCs/>
          <w:sz w:val="20"/>
          <w:szCs w:val="20"/>
          <w:lang w:val="es-ES_tradnl"/>
        </w:rPr>
      </w:pPr>
      <w:r w:rsidRPr="00BF5A36">
        <w:rPr>
          <w:rFonts w:asciiTheme="majorHAnsi" w:hAnsiTheme="majorHAnsi"/>
          <w:i/>
          <w:iCs/>
          <w:sz w:val="20"/>
          <w:szCs w:val="20"/>
          <w:lang w:val="es-ES_tradnl"/>
        </w:rPr>
        <w:t>Posición del Estado colombiano</w:t>
      </w:r>
    </w:p>
    <w:p w14:paraId="6FCD9A12" w14:textId="4992C180" w:rsidR="00667CB4" w:rsidRPr="00BF5A36" w:rsidRDefault="00CF7022"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 xml:space="preserve">Según el Estado, la petición es inadmisible porque </w:t>
      </w:r>
      <w:r w:rsidR="0005497B" w:rsidRPr="00BF5A36">
        <w:rPr>
          <w:rFonts w:asciiTheme="majorHAnsi" w:hAnsiTheme="majorHAnsi"/>
          <w:sz w:val="20"/>
          <w:szCs w:val="20"/>
          <w:lang w:val="es-ES_tradnl"/>
        </w:rPr>
        <w:t>a su juicio se configuraría</w:t>
      </w:r>
      <w:r w:rsidRPr="00BF5A36">
        <w:rPr>
          <w:rFonts w:asciiTheme="majorHAnsi" w:hAnsiTheme="majorHAnsi"/>
          <w:sz w:val="20"/>
          <w:szCs w:val="20"/>
          <w:lang w:val="es-ES_tradnl"/>
        </w:rPr>
        <w:t xml:space="preserve"> la fórmula de la cuarta instancia</w:t>
      </w:r>
      <w:r w:rsidR="0005497B" w:rsidRPr="00BF5A36">
        <w:rPr>
          <w:rFonts w:asciiTheme="majorHAnsi" w:hAnsiTheme="majorHAnsi"/>
          <w:sz w:val="20"/>
          <w:szCs w:val="20"/>
          <w:lang w:val="es-ES_tradnl"/>
        </w:rPr>
        <w:t xml:space="preserve">, </w:t>
      </w:r>
      <w:r w:rsidRPr="00BF5A36">
        <w:rPr>
          <w:rFonts w:asciiTheme="majorHAnsi" w:hAnsiTheme="majorHAnsi"/>
          <w:sz w:val="20"/>
          <w:szCs w:val="20"/>
          <w:lang w:val="es-ES_tradnl"/>
        </w:rPr>
        <w:t>debido a que presenta hechos que ya fueron conocidos por las instancias judiciales a nivel interno, mediante procedimientos en los cuales se estudiaron las pretensiones del peticionario, sin vulneración alguna del de</w:t>
      </w:r>
      <w:r w:rsidR="009C111C" w:rsidRPr="00BF5A36">
        <w:rPr>
          <w:rFonts w:asciiTheme="majorHAnsi" w:hAnsiTheme="majorHAnsi"/>
          <w:sz w:val="20"/>
          <w:szCs w:val="20"/>
          <w:lang w:val="es-ES_tradnl"/>
        </w:rPr>
        <w:t>bido proceso o las demás garantías convencionales.</w:t>
      </w:r>
    </w:p>
    <w:p w14:paraId="0E0CC000" w14:textId="77777777" w:rsidR="00667CB4" w:rsidRPr="00BF5A36" w:rsidRDefault="009C111C"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 xml:space="preserve">El Estado alega que la sentencia del Tribunal Administrativo de Nariño no desconoció los precedentes en la materia, pues encontró que la jurisprudencia sobre los títulos de imputación referentes al daño especial y al riesgo excepcional no eran aplicables al caso concreto por no encontrar evidencia suficiente que le permitiera concluir que el explosivo era de uso oficial. Así, el título de imputación debía ser el de falla en el servicio. Sin embargo, en el caso concreto el Tribunal consideró que las lesiones sufridas por la presunta víctima no se generaron por la construcción o por un hecho de descuido, sino que fue producto de la explosión de una granada </w:t>
      </w:r>
      <w:r w:rsidR="00DD4C26" w:rsidRPr="00BF5A36">
        <w:rPr>
          <w:rFonts w:asciiTheme="majorHAnsi" w:hAnsiTheme="majorHAnsi"/>
          <w:sz w:val="20"/>
          <w:szCs w:val="20"/>
          <w:lang w:val="es-ES_tradnl"/>
        </w:rPr>
        <w:t xml:space="preserve">cuyo origen no ha sido probado para ser atribuido al Estado. El Tribunal tomó en cuenta las pruebas del ataque sufrido por la estación de policía el día anterior a los hechos que lesionaron el Sr. Fraga </w:t>
      </w:r>
      <w:r w:rsidR="00DD4C26" w:rsidRPr="00BF5A36">
        <w:rPr>
          <w:rFonts w:asciiTheme="majorHAnsi" w:hAnsiTheme="majorHAnsi"/>
          <w:sz w:val="20"/>
          <w:szCs w:val="20"/>
          <w:lang w:val="es-ES_tradnl"/>
        </w:rPr>
        <w:lastRenderedPageBreak/>
        <w:t xml:space="preserve">Narváez; sin embargo, no encontró prueba de que el explosivo perteneciera a la Policía Nacional, y menos que hubiese sido abandonado por agentes del Estado. </w:t>
      </w:r>
    </w:p>
    <w:p w14:paraId="615E3D65" w14:textId="0CBE6B04" w:rsidR="00667CB4" w:rsidRPr="00BF5A36" w:rsidRDefault="00DD4C26"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El Estado informa que contra la sentencia del Tribunal Administrativo de Nariño, la presunta víctima y su familia presentaron una acción de tutela por la presunta vulneración de sus derechos a la igualdad y al acceso a la administración de justicia, poniendo de presente las mismas circunstancias ahora discutidas ante la CIDH. La acción de tutela fue evaluada por la Sección Cuarta del Consejo de Estado que consideró que no se había desconocido la jurisprudencia aplicable en la materia</w:t>
      </w:r>
      <w:r w:rsidR="00F3059A" w:rsidRPr="00BF5A36">
        <w:rPr>
          <w:rFonts w:asciiTheme="majorHAnsi" w:hAnsiTheme="majorHAnsi"/>
          <w:sz w:val="20"/>
          <w:szCs w:val="20"/>
          <w:lang w:val="es-ES_tradnl"/>
        </w:rPr>
        <w:t>;</w:t>
      </w:r>
      <w:r w:rsidRPr="00BF5A36">
        <w:rPr>
          <w:rFonts w:asciiTheme="majorHAnsi" w:hAnsiTheme="majorHAnsi"/>
          <w:sz w:val="20"/>
          <w:szCs w:val="20"/>
          <w:lang w:val="es-ES_tradnl"/>
        </w:rPr>
        <w:t xml:space="preserve"> y que el Tribunal Administrativo de Nariño </w:t>
      </w:r>
      <w:r w:rsidR="00F3059A" w:rsidRPr="00BF5A36">
        <w:rPr>
          <w:rFonts w:asciiTheme="majorHAnsi" w:hAnsiTheme="majorHAnsi"/>
          <w:sz w:val="20"/>
          <w:szCs w:val="20"/>
          <w:lang w:val="es-ES_tradnl"/>
        </w:rPr>
        <w:t>se refirió</w:t>
      </w:r>
      <w:r w:rsidRPr="00BF5A36">
        <w:rPr>
          <w:rFonts w:asciiTheme="majorHAnsi" w:hAnsiTheme="majorHAnsi"/>
          <w:sz w:val="20"/>
          <w:szCs w:val="20"/>
          <w:lang w:val="es-ES_tradnl"/>
        </w:rPr>
        <w:t xml:space="preserve"> al precedente judicial unificado del Consejo de Estado en relación con el título de imputación de falla del servicio, además de estudiar si se configuraba un daño especial. Por lo anterior, concluyó que el Tribunal actuó correctamente, de manera fundamentada, por lo que negó el amparo solicitado.</w:t>
      </w:r>
      <w:r w:rsidR="004802D3" w:rsidRPr="00BF5A36">
        <w:rPr>
          <w:rFonts w:asciiTheme="majorHAnsi" w:hAnsiTheme="majorHAnsi"/>
          <w:sz w:val="20"/>
          <w:szCs w:val="20"/>
          <w:lang w:val="es-ES_tradnl"/>
        </w:rPr>
        <w:t xml:space="preserve"> </w:t>
      </w:r>
      <w:r w:rsidRPr="00BF5A36">
        <w:rPr>
          <w:rFonts w:asciiTheme="majorHAnsi" w:hAnsiTheme="majorHAnsi"/>
          <w:sz w:val="20"/>
          <w:szCs w:val="20"/>
          <w:lang w:val="es-ES_tradnl"/>
        </w:rPr>
        <w:t>Contra la decisión, los demandantes interpusieron recurso de apelación, el cual fue conocido por la Sección Quinta del Consejo de Estado.</w:t>
      </w:r>
      <w:r w:rsidR="00B90889" w:rsidRPr="00BF5A36">
        <w:rPr>
          <w:rFonts w:asciiTheme="majorHAnsi" w:hAnsiTheme="majorHAnsi"/>
          <w:sz w:val="20"/>
          <w:szCs w:val="20"/>
          <w:lang w:val="es-ES_tradnl"/>
        </w:rPr>
        <w:t xml:space="preserve"> Al respecto, la Sección consideró que los argumentos de los demandantes solo reflejan su inconformidad o simple descontento con la decisión impugnada, desfavorable a sus intereses</w:t>
      </w:r>
      <w:r w:rsidR="004802D3" w:rsidRPr="00BF5A36">
        <w:rPr>
          <w:rFonts w:asciiTheme="majorHAnsi" w:hAnsiTheme="majorHAnsi"/>
          <w:sz w:val="20"/>
          <w:szCs w:val="20"/>
          <w:lang w:val="es-ES_tradnl"/>
        </w:rPr>
        <w:t>.</w:t>
      </w:r>
    </w:p>
    <w:p w14:paraId="5335E883" w14:textId="03D040CA" w:rsidR="00667CB4" w:rsidRPr="00BF5A36" w:rsidRDefault="004802D3"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 xml:space="preserve">El Estado considera que las pretensiones de la presunta víctima fueron negadas internamente por los jueces competentes mediante decisiones imparciales y motivadas en las pruebas y la jurisprudencia vigente. Asimismo, señala que la presunta víctima tuvo la oportunidad de presentar sus argumentos y de interponer sus recursos. Por </w:t>
      </w:r>
      <w:r w:rsidR="00ED6F85" w:rsidRPr="00BF5A36">
        <w:rPr>
          <w:rFonts w:asciiTheme="majorHAnsi" w:hAnsiTheme="majorHAnsi"/>
          <w:sz w:val="20"/>
          <w:szCs w:val="20"/>
          <w:lang w:val="es-ES_tradnl"/>
        </w:rPr>
        <w:t>esto considera que</w:t>
      </w:r>
      <w:r w:rsidRPr="00BF5A36">
        <w:rPr>
          <w:rFonts w:asciiTheme="majorHAnsi" w:hAnsiTheme="majorHAnsi"/>
          <w:sz w:val="20"/>
          <w:szCs w:val="20"/>
          <w:lang w:val="es-ES_tradnl"/>
        </w:rPr>
        <w:t xml:space="preserve"> la decisión del Tribunal Administrativo de Nariño goza de presunción de legalidad y convencionalidad.</w:t>
      </w:r>
    </w:p>
    <w:p w14:paraId="4581AC73" w14:textId="77777777" w:rsidR="0059237D" w:rsidRPr="00BF5A36" w:rsidRDefault="004802D3"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 xml:space="preserve">Además, </w:t>
      </w:r>
      <w:r w:rsidR="0059237D" w:rsidRPr="00BF5A36">
        <w:rPr>
          <w:rFonts w:asciiTheme="majorHAnsi" w:hAnsiTheme="majorHAnsi"/>
          <w:sz w:val="20"/>
          <w:szCs w:val="20"/>
          <w:lang w:val="es-ES_tradnl"/>
        </w:rPr>
        <w:t>aduce</w:t>
      </w:r>
      <w:r w:rsidRPr="00BF5A36">
        <w:rPr>
          <w:rFonts w:asciiTheme="majorHAnsi" w:hAnsiTheme="majorHAnsi"/>
          <w:sz w:val="20"/>
          <w:szCs w:val="20"/>
          <w:lang w:val="es-ES_tradnl"/>
        </w:rPr>
        <w:t xml:space="preserve"> que los procesos internos respetaron las garantías de la presunta víctima y su familia de presentar sus pruebas y argumentos, y que los jueces internos, tras no encontrar sustento probatorio para concluir que el artefacto explosivo pertenecía a la Policía Nacional, concluyeron que hubo una ruptura en el nexo causal entre la causa del daño y la conducta de la administración. De esta forma, es claro, según el Estado, que la pretensión del peticionario está dirigida a que los órganos del Sistema Interamericano realicen una nueva valoración de las pruebas y de las normas que gobernaban el caso concreto, sin que se evidencie que las decisiones judiciales desatendieron los estándares interamericanos.</w:t>
      </w:r>
    </w:p>
    <w:p w14:paraId="0DC2DA2C" w14:textId="3E6B8684" w:rsidR="0059237D" w:rsidRPr="00BF5A36" w:rsidRDefault="0059237D" w:rsidP="00BF5A36">
      <w:pPr>
        <w:pStyle w:val="ListParagraph"/>
        <w:spacing w:before="240" w:after="240"/>
        <w:ind w:left="758"/>
        <w:jc w:val="both"/>
        <w:rPr>
          <w:rFonts w:asciiTheme="majorHAnsi" w:hAnsiTheme="majorHAnsi"/>
          <w:sz w:val="20"/>
          <w:szCs w:val="20"/>
          <w:lang w:val="es-ES_tradnl"/>
        </w:rPr>
      </w:pPr>
      <w:r w:rsidRPr="00BF5A36">
        <w:rPr>
          <w:rFonts w:asciiTheme="majorHAnsi" w:hAnsiTheme="majorHAnsi"/>
          <w:b/>
          <w:sz w:val="20"/>
          <w:szCs w:val="20"/>
          <w:lang w:val="es-ES_tradnl"/>
        </w:rPr>
        <w:t xml:space="preserve">VI. </w:t>
      </w:r>
      <w:r w:rsidRPr="00BF5A36">
        <w:rPr>
          <w:rFonts w:asciiTheme="majorHAnsi" w:hAnsiTheme="majorHAnsi"/>
          <w:b/>
          <w:sz w:val="20"/>
          <w:szCs w:val="20"/>
          <w:lang w:val="es-ES_tradnl"/>
        </w:rPr>
        <w:tab/>
      </w:r>
      <w:r w:rsidRPr="00BF5A36">
        <w:rPr>
          <w:rFonts w:asciiTheme="majorHAnsi" w:hAnsiTheme="majorHAnsi"/>
          <w:b/>
          <w:bCs/>
          <w:sz w:val="20"/>
          <w:szCs w:val="20"/>
          <w:lang w:val="es-ES_tradnl"/>
        </w:rPr>
        <w:t xml:space="preserve">ANÁLISIS DE </w:t>
      </w:r>
      <w:r w:rsidRPr="00BF5A36">
        <w:rPr>
          <w:rFonts w:asciiTheme="majorHAnsi" w:hAnsiTheme="majorHAnsi"/>
          <w:b/>
          <w:sz w:val="20"/>
          <w:szCs w:val="20"/>
          <w:lang w:val="es-ES_tradnl"/>
        </w:rPr>
        <w:t>AGOTAMIENTO DE LOS RECURSOS INTERNOS Y PLAZO DE PRESENTACIÓN</w:t>
      </w:r>
      <w:r w:rsidRPr="00BF5A36">
        <w:rPr>
          <w:rFonts w:asciiTheme="majorHAnsi" w:hAnsiTheme="majorHAnsi"/>
          <w:b/>
          <w:bCs/>
          <w:sz w:val="20"/>
          <w:szCs w:val="20"/>
          <w:lang w:val="es-ES_tradnl"/>
        </w:rPr>
        <w:t xml:space="preserve"> </w:t>
      </w:r>
    </w:p>
    <w:p w14:paraId="3A5093F8" w14:textId="77777777" w:rsidR="002C5B18" w:rsidRPr="00BF5A36" w:rsidRDefault="00812CB0"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 xml:space="preserve">La Comisión Interamericana observa que, si bien el peticionario menciona que no existió ninguna investigación penal por parte del Estado sobre la posible autoría del daño causado a la integridad física del señor Fraga Narváez, el objeto principal de la petición se refiere a la falta de compensación por parte del Estado de los daños sufridos por la presunta víctima luego del </w:t>
      </w:r>
      <w:r w:rsidR="000720F3" w:rsidRPr="00BF5A36">
        <w:rPr>
          <w:rFonts w:asciiTheme="majorHAnsi" w:hAnsiTheme="majorHAnsi"/>
          <w:sz w:val="20"/>
          <w:szCs w:val="20"/>
          <w:lang w:val="es-ES_tradnl"/>
        </w:rPr>
        <w:t>estallido fortuito</w:t>
      </w:r>
      <w:r w:rsidRPr="00BF5A36">
        <w:rPr>
          <w:rFonts w:asciiTheme="majorHAnsi" w:hAnsiTheme="majorHAnsi"/>
          <w:sz w:val="20"/>
          <w:szCs w:val="20"/>
          <w:lang w:val="es-ES_tradnl"/>
        </w:rPr>
        <w:t xml:space="preserve"> de una granada mientras se desempeñaba como obrero de la construcción en una estación de policía. Las violaciones a la integridad personal, a la protección judicial y a la igualdad ante la ley alegadas por el peticionario se conectan con </w:t>
      </w:r>
      <w:r w:rsidR="000720F3" w:rsidRPr="00BF5A36">
        <w:rPr>
          <w:rFonts w:asciiTheme="majorHAnsi" w:hAnsiTheme="majorHAnsi"/>
          <w:sz w:val="20"/>
          <w:szCs w:val="20"/>
          <w:lang w:val="es-ES_tradnl"/>
        </w:rPr>
        <w:t>este</w:t>
      </w:r>
      <w:r w:rsidRPr="00BF5A36">
        <w:rPr>
          <w:rFonts w:asciiTheme="majorHAnsi" w:hAnsiTheme="majorHAnsi"/>
          <w:sz w:val="20"/>
          <w:szCs w:val="20"/>
          <w:lang w:val="es-ES_tradnl"/>
        </w:rPr>
        <w:t xml:space="preserve"> reclamo de que el Estado sea </w:t>
      </w:r>
      <w:r w:rsidR="005C5B02" w:rsidRPr="00BF5A36">
        <w:rPr>
          <w:rFonts w:asciiTheme="majorHAnsi" w:hAnsiTheme="majorHAnsi"/>
          <w:sz w:val="20"/>
          <w:szCs w:val="20"/>
          <w:lang w:val="es-ES_tradnl"/>
        </w:rPr>
        <w:t xml:space="preserve">declarado </w:t>
      </w:r>
      <w:r w:rsidRPr="00BF5A36">
        <w:rPr>
          <w:rFonts w:asciiTheme="majorHAnsi" w:hAnsiTheme="majorHAnsi"/>
          <w:sz w:val="20"/>
          <w:szCs w:val="20"/>
          <w:lang w:val="es-ES_tradnl"/>
        </w:rPr>
        <w:t>responsable por los daños a su integridad y cumpla con su deber de compensar.</w:t>
      </w:r>
    </w:p>
    <w:p w14:paraId="4E5E32F3" w14:textId="77777777" w:rsidR="00BF3770" w:rsidRDefault="00812CB0"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De acuerdo con las informaciones brindadas por las partes,</w:t>
      </w:r>
      <w:r w:rsidR="00A50B7A" w:rsidRPr="00BF5A36">
        <w:rPr>
          <w:rFonts w:asciiTheme="majorHAnsi" w:hAnsiTheme="majorHAnsi"/>
          <w:sz w:val="20"/>
          <w:szCs w:val="20"/>
          <w:lang w:val="es-ES_tradnl"/>
        </w:rPr>
        <w:t xml:space="preserve"> en resumen</w:t>
      </w:r>
      <w:r w:rsidR="002C5B18" w:rsidRPr="00BF5A36">
        <w:rPr>
          <w:rFonts w:asciiTheme="majorHAnsi" w:hAnsiTheme="majorHAnsi"/>
          <w:sz w:val="20"/>
          <w:szCs w:val="20"/>
          <w:lang w:val="es-ES_tradnl"/>
        </w:rPr>
        <w:t>:</w:t>
      </w:r>
      <w:r w:rsidRPr="00BF5A36">
        <w:rPr>
          <w:rFonts w:asciiTheme="majorHAnsi" w:hAnsiTheme="majorHAnsi"/>
          <w:sz w:val="20"/>
          <w:szCs w:val="20"/>
          <w:lang w:val="es-ES_tradnl"/>
        </w:rPr>
        <w:t xml:space="preserve"> i) el 21 de septiembre de 2005</w:t>
      </w:r>
      <w:r w:rsidR="00A50B7A" w:rsidRPr="00BF5A36">
        <w:rPr>
          <w:rFonts w:asciiTheme="majorHAnsi" w:hAnsiTheme="majorHAnsi"/>
          <w:sz w:val="20"/>
          <w:szCs w:val="20"/>
          <w:lang w:val="es-ES_tradnl"/>
        </w:rPr>
        <w:t xml:space="preserve"> agentes de la policía confrontaron miembros de un grupo armado ilegal en el mismo sitio donde trabajaba el Sr. Fraga Narváez; ii) el 22 de septiembre de 2005, mientras se desempeñaba como obrero en la estación de policía, el Sr. Fraga Narváez fue victimado por la explosión de una granada; iii) la presunta víctima y su familia presentaron una demanda por indemnización contra la Nación – Ministerio de Defensa – Policía Nacional, decidida el 23 de agosto de 2010 en primera instancia; el Juzgado Quinto Administrativo de Pasto declaró la responsabilidad administrativa y extracontractual de la Policía Nacional por los daños reclamados; iv) el </w:t>
      </w:r>
      <w:r w:rsidR="005C5B02" w:rsidRPr="00BF5A36">
        <w:rPr>
          <w:rFonts w:asciiTheme="majorHAnsi" w:hAnsiTheme="majorHAnsi"/>
          <w:sz w:val="20"/>
          <w:szCs w:val="20"/>
          <w:lang w:val="es-ES_tradnl"/>
        </w:rPr>
        <w:t>26 de octubre de 2012</w:t>
      </w:r>
      <w:r w:rsidR="00A50B7A" w:rsidRPr="00BF5A36">
        <w:rPr>
          <w:rFonts w:asciiTheme="majorHAnsi" w:hAnsiTheme="majorHAnsi"/>
          <w:sz w:val="20"/>
          <w:szCs w:val="20"/>
          <w:lang w:val="es-ES_tradnl"/>
        </w:rPr>
        <w:t>, el Tribunal Administrativo de Nariño revocó la sentencia al considerar que no se probó la propiedad del artefacto explosivo en cabeza de la Policía Nacional; v) la presunta víctima impugnó la decisión a través de una acción de tutela juzgada improcedente, el  28 de febrero de 2013, por la Sección Cuarta del Consejo de Estado; vi) la presunta víctima interpuso recurso de apelación en contra de la decisión; sin embargo, la Sección Quinta del Consejo de Estado juzgó improcedente el recurso y confirmó la sentencia apelada el 5 de septiembre de 2013. Esta decisión fue notificada el 19 de noviembre de 2013.</w:t>
      </w:r>
    </w:p>
    <w:p w14:paraId="0AEB8EBB" w14:textId="77777777" w:rsidR="00673351" w:rsidRPr="00BF5A36" w:rsidRDefault="00673351" w:rsidP="00673351">
      <w:pPr>
        <w:pStyle w:val="ListParagraph"/>
        <w:widowControl w:val="0"/>
        <w:spacing w:before="240" w:after="240"/>
        <w:jc w:val="both"/>
        <w:rPr>
          <w:rFonts w:asciiTheme="majorHAnsi" w:hAnsiTheme="majorHAnsi"/>
          <w:sz w:val="20"/>
          <w:szCs w:val="20"/>
          <w:lang w:val="es-ES_tradnl"/>
        </w:rPr>
      </w:pPr>
    </w:p>
    <w:p w14:paraId="3158DFB2" w14:textId="77777777" w:rsidR="00423849" w:rsidRPr="00BF5A36" w:rsidRDefault="00A50B7A"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lastRenderedPageBreak/>
        <w:t>Considerando que el objeto de la petición pudo ser conocido internamente durante los procesos internos antes mencionados, y teniendo en cuenta los marcos procesales antes expuestos, la Comisión Interamericana concluye que los recursos internos fueron debidamente agotados por el peticionario, razón por la cual su petición ante la CIDH cumple con el requisito del artículo 46.1.a</w:t>
      </w:r>
      <w:r w:rsidR="00423849" w:rsidRPr="00BF5A36">
        <w:rPr>
          <w:rFonts w:asciiTheme="majorHAnsi" w:hAnsiTheme="majorHAnsi"/>
          <w:sz w:val="20"/>
          <w:szCs w:val="20"/>
          <w:lang w:val="es-ES_tradnl"/>
        </w:rPr>
        <w:t>)</w:t>
      </w:r>
      <w:r w:rsidRPr="00BF5A36">
        <w:rPr>
          <w:rFonts w:asciiTheme="majorHAnsi" w:hAnsiTheme="majorHAnsi"/>
          <w:sz w:val="20"/>
          <w:szCs w:val="20"/>
          <w:lang w:val="es-ES_tradnl"/>
        </w:rPr>
        <w:t xml:space="preserve"> de la Convención Americana. Dado que la decisión final fue notificada el 19 de noviembre de 2013</w:t>
      </w:r>
      <w:r w:rsidR="00423849" w:rsidRPr="00BF5A36">
        <w:rPr>
          <w:rFonts w:asciiTheme="majorHAnsi" w:hAnsiTheme="majorHAnsi"/>
          <w:sz w:val="20"/>
          <w:szCs w:val="20"/>
          <w:lang w:val="es-ES_tradnl"/>
        </w:rPr>
        <w:t>,</w:t>
      </w:r>
      <w:r w:rsidRPr="00BF5A36">
        <w:rPr>
          <w:rFonts w:asciiTheme="majorHAnsi" w:hAnsiTheme="majorHAnsi"/>
          <w:sz w:val="20"/>
          <w:szCs w:val="20"/>
          <w:lang w:val="es-ES_tradnl"/>
        </w:rPr>
        <w:t xml:space="preserve"> y la petición fue presentada ante la CIDH el 28 de noviembre de 2013, la petición también cumple con la regla del plazo de presentación establecida en el artículo 46.1.b</w:t>
      </w:r>
      <w:r w:rsidR="00423849" w:rsidRPr="00BF5A36">
        <w:rPr>
          <w:rFonts w:asciiTheme="majorHAnsi" w:hAnsiTheme="majorHAnsi"/>
          <w:sz w:val="20"/>
          <w:szCs w:val="20"/>
          <w:lang w:val="es-ES_tradnl"/>
        </w:rPr>
        <w:t>)</w:t>
      </w:r>
      <w:r w:rsidRPr="00BF5A36">
        <w:rPr>
          <w:rFonts w:asciiTheme="majorHAnsi" w:hAnsiTheme="majorHAnsi"/>
          <w:sz w:val="20"/>
          <w:szCs w:val="20"/>
          <w:lang w:val="es-ES_tradnl"/>
        </w:rPr>
        <w:t xml:space="preserve"> de la Convención.</w:t>
      </w:r>
    </w:p>
    <w:p w14:paraId="11937981" w14:textId="4455E7BB" w:rsidR="00423849" w:rsidRPr="00BF5A36" w:rsidRDefault="00423849" w:rsidP="00BF5A36">
      <w:pPr>
        <w:pStyle w:val="ListParagraph"/>
        <w:spacing w:before="240" w:after="240"/>
        <w:ind w:left="758"/>
        <w:jc w:val="both"/>
        <w:rPr>
          <w:rFonts w:asciiTheme="majorHAnsi" w:hAnsiTheme="majorHAnsi"/>
          <w:b/>
          <w:color w:val="auto"/>
          <w:sz w:val="20"/>
          <w:szCs w:val="20"/>
          <w:lang w:val="es-ES_tradnl"/>
        </w:rPr>
      </w:pPr>
      <w:r w:rsidRPr="00BF5A36">
        <w:rPr>
          <w:rFonts w:asciiTheme="majorHAnsi" w:hAnsiTheme="majorHAnsi"/>
          <w:b/>
          <w:color w:val="auto"/>
          <w:sz w:val="20"/>
          <w:szCs w:val="20"/>
          <w:lang w:val="es-ES_tradnl"/>
        </w:rPr>
        <w:t xml:space="preserve">VII. </w:t>
      </w:r>
      <w:r w:rsidRPr="00BF5A36">
        <w:rPr>
          <w:rFonts w:asciiTheme="majorHAnsi" w:hAnsiTheme="majorHAnsi"/>
          <w:b/>
          <w:color w:val="auto"/>
          <w:sz w:val="20"/>
          <w:szCs w:val="20"/>
          <w:lang w:val="es-ES_tradnl"/>
        </w:rPr>
        <w:tab/>
      </w:r>
      <w:r w:rsidRPr="00BF5A36">
        <w:rPr>
          <w:rFonts w:asciiTheme="majorHAnsi" w:hAnsiTheme="majorHAnsi"/>
          <w:b/>
          <w:bCs/>
          <w:color w:val="auto"/>
          <w:sz w:val="20"/>
          <w:szCs w:val="20"/>
          <w:lang w:val="es-ES_tradnl"/>
        </w:rPr>
        <w:t>ANÁLISIS DE CARACTERIZACIÓN DE LOS HECHOS ALEGADOS</w:t>
      </w:r>
    </w:p>
    <w:p w14:paraId="3F8F1134" w14:textId="77777777" w:rsidR="001C76A2" w:rsidRPr="00BF5A36" w:rsidRDefault="00A654BB"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color w:val="auto"/>
          <w:sz w:val="20"/>
          <w:szCs w:val="20"/>
          <w:lang w:val="es-ES_tradnl"/>
        </w:rPr>
        <w:t xml:space="preserve">El Estado </w:t>
      </w:r>
      <w:r w:rsidR="00BB27F4" w:rsidRPr="00BF5A36">
        <w:rPr>
          <w:rFonts w:asciiTheme="majorHAnsi" w:hAnsiTheme="majorHAnsi"/>
          <w:color w:val="auto"/>
          <w:sz w:val="20"/>
          <w:szCs w:val="20"/>
          <w:lang w:val="es-ES_tradnl"/>
        </w:rPr>
        <w:t xml:space="preserve">afirma </w:t>
      </w:r>
      <w:r w:rsidRPr="00BF5A36">
        <w:rPr>
          <w:rFonts w:asciiTheme="majorHAnsi" w:hAnsiTheme="majorHAnsi"/>
          <w:color w:val="auto"/>
          <w:sz w:val="20"/>
          <w:szCs w:val="20"/>
          <w:lang w:val="es-ES_tradnl"/>
        </w:rPr>
        <w:t xml:space="preserve">que la petición es </w:t>
      </w:r>
      <w:r w:rsidR="001A02AD" w:rsidRPr="00BF5A36">
        <w:rPr>
          <w:rFonts w:asciiTheme="majorHAnsi" w:hAnsiTheme="majorHAnsi"/>
          <w:color w:val="auto"/>
          <w:sz w:val="20"/>
          <w:szCs w:val="20"/>
          <w:lang w:val="es-ES_tradnl"/>
        </w:rPr>
        <w:t>inadmisible por cuanto se configura la fórmula de la cuarta instancia internacional</w:t>
      </w:r>
      <w:r w:rsidR="000A447C" w:rsidRPr="00BF5A36">
        <w:rPr>
          <w:rFonts w:asciiTheme="majorHAnsi" w:hAnsiTheme="majorHAnsi"/>
          <w:sz w:val="20"/>
          <w:szCs w:val="20"/>
          <w:lang w:val="es-ES_tradnl"/>
        </w:rPr>
        <w:t>, ya que los hechos presentados fueron debidamente considerados por las instancias judiciales internas sin vulnerar el debido proceso o garantías convencionales. Sostiene que el Tribunal Administrativo de Nariño actuó conforme a la jurisprudencia existente, descartando la imputación al Estado por falta de pruebas de que el explosivo fuera de uso oficial. Afirma, además, que la acción de tutela interpuesta por la presunta víctima fue desestimada por el Consejo de Estado, reflejando solo el descontento con la decisión impugnada. Insiste en que los procesos internos respetaron todas las garantías y que las decisiones judiciales no contravinieron los estándares interamericanos, concluyendo que la pretensión del peticionario busca una revaluación de pruebas y normas ya examinadas adecuadamente a nivel interno.</w:t>
      </w:r>
    </w:p>
    <w:p w14:paraId="1A672811" w14:textId="77777777" w:rsidR="001C76A2" w:rsidRPr="00BF5A36" w:rsidRDefault="00AE3244"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la Comisión debe realizar una evaluación </w:t>
      </w:r>
      <w:r w:rsidRPr="00BF5A36">
        <w:rPr>
          <w:rFonts w:asciiTheme="majorHAnsi" w:hAnsiTheme="majorHAnsi"/>
          <w:i/>
          <w:iCs/>
          <w:sz w:val="20"/>
          <w:szCs w:val="20"/>
          <w:lang w:val="es-ES_tradnl"/>
        </w:rPr>
        <w:t xml:space="preserve">prima facie </w:t>
      </w:r>
      <w:r w:rsidRPr="00BF5A36">
        <w:rPr>
          <w:rFonts w:asciiTheme="majorHAnsi" w:hAnsiTheme="majorHAnsi"/>
          <w:sz w:val="20"/>
          <w:szCs w:val="20"/>
          <w:lang w:val="es-ES_tradnl"/>
        </w:rPr>
        <w:t>para determinar si la petición establece el fundamento de la violación, posible o potencial, de un derecho garantizado por la Convención, pero no para establecer la existencia de una violación de derechos. Esta determinación constituye un análisis primario, que no implica prejuzgar sobre el fondo del asunto.</w:t>
      </w:r>
    </w:p>
    <w:p w14:paraId="28CDF21D" w14:textId="77777777" w:rsidR="00400217" w:rsidRPr="00BF5A36" w:rsidRDefault="00EB0BBE"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 xml:space="preserve">En el presente asunto, la Comisión observa que </w:t>
      </w:r>
      <w:r w:rsidR="002640A8" w:rsidRPr="00BF5A36">
        <w:rPr>
          <w:rFonts w:asciiTheme="majorHAnsi" w:hAnsiTheme="majorHAnsi"/>
          <w:sz w:val="20"/>
          <w:szCs w:val="20"/>
          <w:lang w:val="es-ES_tradnl"/>
        </w:rPr>
        <w:t xml:space="preserve">la petición se refiere fundamentalmente a la falta de reparación de los daños sufridos por César Alfonso Fraga Narváez, victimado por la explosión de una granada mientras se desempeñaba como obrero de la construcción en una estación de policía. El peticionario denuncia que la decisión que desestimó la demanda por reparación civil ignoró precedentes internos sobre casos similares. </w:t>
      </w:r>
    </w:p>
    <w:p w14:paraId="22F84FB6" w14:textId="0EA3CDBB" w:rsidR="00E44954" w:rsidRPr="00996280" w:rsidRDefault="002640A8" w:rsidP="00E44954">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 xml:space="preserve">La Comisión aclara que una violación de los derechos humanos protegidos por la Convención puede comprometer la responsabilidad internacional de un Estado parte si el acto ilícito ha contado con la participación, el apoyo o la </w:t>
      </w:r>
      <w:r w:rsidR="00C34A5B" w:rsidRPr="00C34A5B">
        <w:rPr>
          <w:rFonts w:asciiTheme="majorHAnsi" w:hAnsiTheme="majorHAnsi"/>
          <w:sz w:val="20"/>
          <w:szCs w:val="20"/>
          <w:lang w:val="es-ES_tradnl"/>
        </w:rPr>
        <w:t>aquiescencia</w:t>
      </w:r>
      <w:r w:rsidRPr="00BF5A36">
        <w:rPr>
          <w:rFonts w:asciiTheme="majorHAnsi" w:hAnsiTheme="majorHAnsi"/>
          <w:sz w:val="20"/>
          <w:szCs w:val="20"/>
          <w:lang w:val="es-ES_tradnl"/>
        </w:rPr>
        <w:t xml:space="preserve"> de agentes estatales o ha resultado del incumplimiento, por parte del Estado, de su obligación de prevenir razonablemente las violaciones de los derechos humanos y reparar adecuadamente a la víctima o sus familiares por los perjuicios causados</w:t>
      </w:r>
      <w:r w:rsidRPr="00BF5A36">
        <w:rPr>
          <w:bCs/>
          <w:color w:val="000000" w:themeColor="text1"/>
          <w:sz w:val="20"/>
          <w:szCs w:val="20"/>
          <w:vertAlign w:val="superscript"/>
          <w:lang w:val="es-ES_tradnl"/>
        </w:rPr>
        <w:footnoteReference w:id="5"/>
      </w:r>
      <w:r w:rsidRPr="00BF5A36">
        <w:rPr>
          <w:rFonts w:asciiTheme="majorHAnsi" w:hAnsiTheme="majorHAnsi"/>
          <w:sz w:val="20"/>
          <w:szCs w:val="20"/>
          <w:lang w:val="es-ES_tradnl"/>
        </w:rPr>
        <w:t>.</w:t>
      </w:r>
      <w:r w:rsidR="00BD1316" w:rsidRPr="00BF5A36">
        <w:rPr>
          <w:rFonts w:asciiTheme="majorHAnsi" w:hAnsiTheme="majorHAnsi"/>
          <w:sz w:val="20"/>
          <w:szCs w:val="20"/>
          <w:lang w:val="es-ES_tradnl"/>
        </w:rPr>
        <w:t xml:space="preserve"> Esta obligación </w:t>
      </w:r>
      <w:r w:rsidR="00706556" w:rsidRPr="00BF5A36">
        <w:rPr>
          <w:rFonts w:asciiTheme="majorHAnsi" w:hAnsiTheme="majorHAnsi"/>
          <w:sz w:val="20"/>
          <w:szCs w:val="20"/>
          <w:lang w:val="es-ES_tradnl"/>
        </w:rPr>
        <w:t xml:space="preserve">es </w:t>
      </w:r>
      <w:r w:rsidR="00BD1316" w:rsidRPr="00BF5A36">
        <w:rPr>
          <w:rFonts w:asciiTheme="majorHAnsi" w:hAnsiTheme="majorHAnsi"/>
          <w:sz w:val="20"/>
          <w:szCs w:val="20"/>
          <w:lang w:val="es-ES_tradnl"/>
        </w:rPr>
        <w:t>necesaria a la implementación de los derechos a la vida e integridad personal</w:t>
      </w:r>
      <w:r w:rsidR="00706556" w:rsidRPr="00BF5A36">
        <w:rPr>
          <w:rFonts w:asciiTheme="majorHAnsi" w:hAnsiTheme="majorHAnsi"/>
          <w:sz w:val="20"/>
          <w:szCs w:val="20"/>
          <w:lang w:val="es-ES_tradnl"/>
        </w:rPr>
        <w:t xml:space="preserve"> e incluye adoptar medidas para identificar y retirar o descartar materiales explosivos</w:t>
      </w:r>
      <w:r w:rsidR="00706556" w:rsidRPr="00BF5A36">
        <w:rPr>
          <w:bCs/>
          <w:color w:val="000000" w:themeColor="text1"/>
          <w:sz w:val="20"/>
          <w:szCs w:val="20"/>
          <w:vertAlign w:val="superscript"/>
          <w:lang w:val="es-ES_tradnl"/>
        </w:rPr>
        <w:footnoteReference w:id="6"/>
      </w:r>
      <w:r w:rsidR="00706556" w:rsidRPr="00BF5A36">
        <w:rPr>
          <w:rFonts w:asciiTheme="majorHAnsi" w:hAnsiTheme="majorHAnsi"/>
          <w:sz w:val="20"/>
          <w:szCs w:val="20"/>
          <w:lang w:val="es-ES_tradnl"/>
        </w:rPr>
        <w:t>. Si bien no está obligado a realizar conductas que sean imposibles de prevenir todos y cada uno de los riesgos a la integridad personal y la vida en el territorio bajo su jurisdicción, el Estado está obligado,</w:t>
      </w:r>
      <w:r w:rsidR="0087004B" w:rsidRPr="00BF5A36">
        <w:rPr>
          <w:rFonts w:asciiTheme="majorHAnsi" w:hAnsiTheme="majorHAnsi"/>
          <w:sz w:val="20"/>
          <w:szCs w:val="20"/>
          <w:lang w:val="es-ES_tradnl"/>
        </w:rPr>
        <w:t xml:space="preserve"> en un caso como el presente </w:t>
      </w:r>
      <w:r w:rsidR="00E146F0" w:rsidRPr="00BF5A36">
        <w:rPr>
          <w:rFonts w:asciiTheme="majorHAnsi" w:hAnsiTheme="majorHAnsi"/>
          <w:i/>
          <w:iCs/>
          <w:sz w:val="20"/>
          <w:szCs w:val="20"/>
          <w:lang w:val="es-ES_tradnl"/>
        </w:rPr>
        <w:t>prima facie</w:t>
      </w:r>
      <w:r w:rsidR="00E146F0" w:rsidRPr="00BF5A36">
        <w:rPr>
          <w:rFonts w:asciiTheme="majorHAnsi" w:hAnsiTheme="majorHAnsi"/>
          <w:sz w:val="20"/>
          <w:szCs w:val="20"/>
          <w:lang w:val="es-ES_tradnl"/>
        </w:rPr>
        <w:t>, el Estado debía cumplir con su deber de prevención</w:t>
      </w:r>
      <w:r w:rsidR="00546E88" w:rsidRPr="00BF5A36">
        <w:rPr>
          <w:rFonts w:asciiTheme="majorHAnsi" w:hAnsiTheme="majorHAnsi"/>
          <w:sz w:val="20"/>
          <w:szCs w:val="20"/>
          <w:lang w:val="es-ES_tradnl"/>
        </w:rPr>
        <w:t xml:space="preserve">, tomando en cuenta que la granada se encontraba en una estación de policía. Por lo tanto, el examen y análisis </w:t>
      </w:r>
      <w:r w:rsidR="002122DC" w:rsidRPr="00BF5A36">
        <w:rPr>
          <w:rFonts w:asciiTheme="majorHAnsi" w:hAnsiTheme="majorHAnsi"/>
          <w:sz w:val="20"/>
          <w:szCs w:val="20"/>
          <w:lang w:val="es-ES_tradnl"/>
        </w:rPr>
        <w:t>del daño a la integridad personas sufridos por la presunta víctima ameritan de un examen de fondo por parte de la CIDH.</w:t>
      </w:r>
    </w:p>
    <w:p w14:paraId="2DDAC202" w14:textId="77777777" w:rsidR="00966A1A" w:rsidRPr="00BF5A36" w:rsidRDefault="00B70C57"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 xml:space="preserve">Además, la Comisión Interamericana toma nota de los precedentes internos mencionados por el peticionario en los que se estableció responsabilidad del Estado, especialmente el precedente sobre el albañil que realizaba trabajos para el ejército por la explosión de un artefacto, decidido internamente en el sentido de </w:t>
      </w:r>
      <w:r w:rsidRPr="00BF5A36">
        <w:rPr>
          <w:rFonts w:asciiTheme="majorHAnsi" w:hAnsiTheme="majorHAnsi"/>
          <w:sz w:val="20"/>
          <w:szCs w:val="20"/>
          <w:lang w:val="es-ES_tradnl"/>
        </w:rPr>
        <w:lastRenderedPageBreak/>
        <w:t>condenar el Estado por haber permitido el ingreso de civiles sin la adopción de las más elementales medidas de seguridad. Dada la similitud de estas circunstancias con las alegadas por el peticionario, sin aparentemente el mismo trato por parte de los tribunales internos, la Comisión considera que le corresponde ejercer su competencia complementaria en este asunto y analizar en la etapa de fondo si el sistema interno ofreció al Sr. Fraga Narváez las vías adecuadas para buscar una debida reparación y garantizar el derecho a la tutela judicial efectiva; y si hay una violación del derecho a la igualdad y no discriminación frente a los casos similares decididos contrariamente a lo que se decidió sobre la demanda de la presunta víctima</w:t>
      </w:r>
      <w:r w:rsidR="005D6869" w:rsidRPr="00BF5A36">
        <w:rPr>
          <w:bCs/>
          <w:color w:val="000000" w:themeColor="text1"/>
          <w:sz w:val="20"/>
          <w:szCs w:val="20"/>
          <w:vertAlign w:val="superscript"/>
          <w:lang w:val="es-ES_tradnl"/>
        </w:rPr>
        <w:footnoteReference w:id="7"/>
      </w:r>
      <w:r w:rsidR="005D6869" w:rsidRPr="00BF5A36">
        <w:rPr>
          <w:rFonts w:asciiTheme="majorHAnsi" w:hAnsiTheme="majorHAnsi"/>
          <w:sz w:val="20"/>
          <w:szCs w:val="20"/>
          <w:lang w:val="es-ES_tradnl"/>
        </w:rPr>
        <w:t>.</w:t>
      </w:r>
    </w:p>
    <w:p w14:paraId="5FED1CF7" w14:textId="77777777" w:rsidR="00BF5A36" w:rsidRPr="00BF5A36" w:rsidRDefault="00FF4C1E"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w:t>
      </w:r>
      <w:r w:rsidR="00F26F8C" w:rsidRPr="00BF5A36">
        <w:rPr>
          <w:rFonts w:asciiTheme="majorHAnsi" w:hAnsiTheme="majorHAnsi"/>
          <w:sz w:val="20"/>
          <w:szCs w:val="20"/>
          <w:lang w:val="es-ES_tradnl"/>
        </w:rPr>
        <w:t>del peticionario</w:t>
      </w:r>
      <w:r w:rsidRPr="00BF5A36">
        <w:rPr>
          <w:rFonts w:asciiTheme="majorHAnsi" w:hAnsiTheme="majorHAnsi"/>
          <w:sz w:val="20"/>
          <w:szCs w:val="20"/>
          <w:lang w:val="es-ES_tradnl"/>
        </w:rPr>
        <w:t xml:space="preserve"> no resultan manifiestamente infundadas y requieren un estudio de fondo</w:t>
      </w:r>
      <w:r w:rsidR="00973F6A" w:rsidRPr="00BF5A36">
        <w:rPr>
          <w:rFonts w:asciiTheme="majorHAnsi" w:hAnsiTheme="majorHAnsi"/>
          <w:sz w:val="20"/>
          <w:szCs w:val="20"/>
          <w:lang w:val="es-ES_tradnl"/>
        </w:rPr>
        <w:t>,</w:t>
      </w:r>
      <w:r w:rsidRPr="00BF5A36">
        <w:rPr>
          <w:rFonts w:asciiTheme="majorHAnsi" w:hAnsiTheme="majorHAnsi"/>
          <w:sz w:val="20"/>
          <w:szCs w:val="20"/>
          <w:lang w:val="es-ES_tradnl"/>
        </w:rPr>
        <w:t xml:space="preserve"> pues los hechos alegados, de corroborarse como ciertos podrían caracterizar violaciones </w:t>
      </w:r>
      <w:r w:rsidR="00973F6A" w:rsidRPr="00BF5A36">
        <w:rPr>
          <w:rFonts w:asciiTheme="majorHAnsi" w:hAnsiTheme="majorHAnsi"/>
          <w:sz w:val="20"/>
          <w:szCs w:val="20"/>
          <w:lang w:val="es-ES_tradnl"/>
        </w:rPr>
        <w:t xml:space="preserve">fundamentalmente </w:t>
      </w:r>
      <w:r w:rsidRPr="00BF5A36">
        <w:rPr>
          <w:rFonts w:asciiTheme="majorHAnsi" w:hAnsiTheme="majorHAnsi"/>
          <w:sz w:val="20"/>
          <w:szCs w:val="20"/>
          <w:lang w:val="es-ES_tradnl"/>
        </w:rPr>
        <w:t>a los artículos</w:t>
      </w:r>
      <w:r w:rsidR="009457A6" w:rsidRPr="00BF5A36">
        <w:rPr>
          <w:rFonts w:asciiTheme="majorHAnsi" w:hAnsiTheme="majorHAnsi"/>
          <w:sz w:val="20"/>
          <w:szCs w:val="20"/>
          <w:lang w:val="es-ES_tradnl"/>
        </w:rPr>
        <w:t xml:space="preserve"> </w:t>
      </w:r>
      <w:r w:rsidRPr="00BF5A36">
        <w:rPr>
          <w:rFonts w:asciiTheme="majorHAnsi" w:hAnsiTheme="majorHAnsi"/>
          <w:sz w:val="20"/>
          <w:szCs w:val="20"/>
          <w:lang w:val="es-ES_tradnl"/>
        </w:rPr>
        <w:t>5 (integridad personal),</w:t>
      </w:r>
      <w:r w:rsidR="00F26F8C" w:rsidRPr="00BF5A36">
        <w:rPr>
          <w:rFonts w:asciiTheme="majorHAnsi" w:hAnsiTheme="majorHAnsi"/>
          <w:sz w:val="20"/>
          <w:szCs w:val="20"/>
          <w:lang w:val="es-ES_tradnl"/>
        </w:rPr>
        <w:t xml:space="preserve"> </w:t>
      </w:r>
      <w:r w:rsidRPr="00BF5A36">
        <w:rPr>
          <w:rFonts w:asciiTheme="majorHAnsi" w:hAnsiTheme="majorHAnsi"/>
          <w:sz w:val="20"/>
          <w:szCs w:val="20"/>
          <w:lang w:val="es-ES_tradnl"/>
        </w:rPr>
        <w:t>8 (garantías judiciales)</w:t>
      </w:r>
      <w:r w:rsidR="00A6023F" w:rsidRPr="00BF5A36">
        <w:rPr>
          <w:rFonts w:asciiTheme="majorHAnsi" w:hAnsiTheme="majorHAnsi"/>
          <w:sz w:val="20"/>
          <w:szCs w:val="20"/>
          <w:lang w:val="es-ES_tradnl"/>
        </w:rPr>
        <w:t>, 24 (igualdad ante la ley)</w:t>
      </w:r>
      <w:r w:rsidR="00B70C57" w:rsidRPr="00BF5A36">
        <w:rPr>
          <w:rFonts w:asciiTheme="majorHAnsi" w:hAnsiTheme="majorHAnsi"/>
          <w:sz w:val="20"/>
          <w:szCs w:val="20"/>
          <w:lang w:val="es-ES_tradnl"/>
        </w:rPr>
        <w:t>,</w:t>
      </w:r>
      <w:r w:rsidRPr="00BF5A36">
        <w:rPr>
          <w:rFonts w:asciiTheme="majorHAnsi" w:hAnsiTheme="majorHAnsi"/>
          <w:sz w:val="20"/>
          <w:szCs w:val="20"/>
          <w:lang w:val="es-ES_tradnl"/>
        </w:rPr>
        <w:t xml:space="preserve"> 25 (protección judicial)</w:t>
      </w:r>
      <w:r w:rsidR="00B70C57" w:rsidRPr="00BF5A36">
        <w:rPr>
          <w:rFonts w:asciiTheme="majorHAnsi" w:hAnsiTheme="majorHAnsi"/>
          <w:sz w:val="20"/>
          <w:szCs w:val="20"/>
          <w:lang w:val="es-ES_tradnl"/>
        </w:rPr>
        <w:t xml:space="preserve"> y 26 (derechos económicos, sociales y culturales)</w:t>
      </w:r>
      <w:r w:rsidRPr="00BF5A36">
        <w:rPr>
          <w:rFonts w:asciiTheme="majorHAnsi" w:hAnsiTheme="majorHAnsi"/>
          <w:sz w:val="20"/>
          <w:szCs w:val="20"/>
          <w:lang w:val="es-ES_tradnl"/>
        </w:rPr>
        <w:t xml:space="preserve"> de la Convención Americana</w:t>
      </w:r>
      <w:r w:rsidR="0055521B" w:rsidRPr="00BF5A36">
        <w:rPr>
          <w:rFonts w:asciiTheme="majorHAnsi" w:hAnsiTheme="majorHAnsi"/>
          <w:sz w:val="20"/>
          <w:szCs w:val="20"/>
          <w:lang w:val="es-ES_tradnl"/>
        </w:rPr>
        <w:t>,</w:t>
      </w:r>
      <w:r w:rsidR="00CE4A5B" w:rsidRPr="00BF5A36">
        <w:rPr>
          <w:rFonts w:asciiTheme="majorHAnsi" w:hAnsiTheme="majorHAnsi"/>
          <w:sz w:val="20"/>
          <w:szCs w:val="20"/>
          <w:lang w:val="es-ES_tradnl"/>
        </w:rPr>
        <w:t xml:space="preserve"> en relación con su artículo 1.1</w:t>
      </w:r>
      <w:r w:rsidR="00A123CB" w:rsidRPr="00BF5A36">
        <w:rPr>
          <w:rFonts w:asciiTheme="majorHAnsi" w:hAnsiTheme="majorHAnsi"/>
          <w:sz w:val="20"/>
          <w:szCs w:val="20"/>
          <w:lang w:val="es-ES_tradnl"/>
        </w:rPr>
        <w:t xml:space="preserve">, </w:t>
      </w:r>
      <w:r w:rsidR="0055521B" w:rsidRPr="00BF5A36">
        <w:rPr>
          <w:rFonts w:asciiTheme="majorHAnsi" w:hAnsiTheme="majorHAnsi"/>
          <w:sz w:val="20"/>
          <w:szCs w:val="20"/>
          <w:lang w:val="es-ES_tradnl"/>
        </w:rPr>
        <w:t xml:space="preserve">en perjuicio de </w:t>
      </w:r>
      <w:r w:rsidR="00A6023F" w:rsidRPr="00BF5A36">
        <w:rPr>
          <w:rFonts w:asciiTheme="majorHAnsi" w:hAnsiTheme="majorHAnsi"/>
          <w:sz w:val="20"/>
          <w:szCs w:val="20"/>
          <w:lang w:val="es-ES_tradnl"/>
        </w:rPr>
        <w:t>César Alfonso Fraga Narváez</w:t>
      </w:r>
      <w:r w:rsidR="0055521B" w:rsidRPr="00BF5A36">
        <w:rPr>
          <w:rFonts w:asciiTheme="majorHAnsi" w:hAnsiTheme="majorHAnsi"/>
          <w:sz w:val="20"/>
          <w:szCs w:val="20"/>
          <w:lang w:val="es-ES_tradnl"/>
        </w:rPr>
        <w:t xml:space="preserve"> y sus familiares, en los términos del presente informe.</w:t>
      </w:r>
    </w:p>
    <w:p w14:paraId="4B87BA7C" w14:textId="77777777" w:rsidR="00BF5A36" w:rsidRPr="00BF5A36" w:rsidRDefault="00DF6877" w:rsidP="00BF5A36">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F5A36">
        <w:rPr>
          <w:rFonts w:asciiTheme="majorHAnsi" w:hAnsiTheme="majorHAnsi"/>
          <w:sz w:val="20"/>
          <w:szCs w:val="20"/>
          <w:lang w:val="es-ES_tradnl"/>
        </w:rPr>
        <w:t>Finalmente, con respecto al argumento de la “fórmula de la cuarta instancia”, la Comisión subraya el carácter complementario del sistema interamericano y resalta que, según lo ha indicado la Corte Interamericana,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 […]”</w:t>
      </w:r>
      <w:r w:rsidRPr="00BF5A36">
        <w:rPr>
          <w:rStyle w:val="FootnoteReference"/>
          <w:sz w:val="20"/>
          <w:szCs w:val="20"/>
          <w:lang w:val="es-ES_tradnl"/>
        </w:rPr>
        <w:footnoteReference w:id="8"/>
      </w:r>
      <w:r w:rsidRPr="00BF5A36">
        <w:rPr>
          <w:rFonts w:asciiTheme="majorHAnsi" w:hAnsiTheme="majorHAnsi"/>
          <w:sz w:val="20"/>
          <w:szCs w:val="20"/>
          <w:lang w:val="es-ES_tradnl"/>
        </w:rPr>
        <w:t>. En el presente caso, la Comisión considera que, tal como lo ha indicado la Corte Interamericana, “[le]compete verificar si en los pasos efectivamente dados a nivel interno se violaron o no obligaciones internacionales del Estado derivadas de los instrumentos interamericanos que le otorgan competencia”</w:t>
      </w:r>
      <w:r w:rsidRPr="00BF5A36">
        <w:rPr>
          <w:sz w:val="20"/>
          <w:szCs w:val="20"/>
          <w:vertAlign w:val="superscript"/>
          <w:lang w:val="es-ES_tradnl"/>
        </w:rPr>
        <w:t xml:space="preserve"> </w:t>
      </w:r>
      <w:r w:rsidRPr="00BF5A36">
        <w:rPr>
          <w:sz w:val="20"/>
          <w:szCs w:val="20"/>
          <w:vertAlign w:val="superscript"/>
          <w:lang w:val="es-ES_tradnl"/>
        </w:rPr>
        <w:footnoteReference w:id="9"/>
      </w:r>
      <w:r w:rsidRPr="00BF5A36">
        <w:rPr>
          <w:rFonts w:asciiTheme="majorHAnsi" w:hAnsiTheme="majorHAnsi"/>
          <w:sz w:val="20"/>
          <w:szCs w:val="20"/>
          <w:lang w:val="es-ES_tradnl"/>
        </w:rPr>
        <w:t>.  Asimismo, le corresponde examinar “si las actuaciones de órganos judiciales constituyen o no una violación de las obligaciones internacionales del Estado, [lo cual]puede conducir a que […] deba ocuparse de examinar los respectivos procesos internos para establecer su compatibilidad con la Convención Americana”</w:t>
      </w:r>
      <w:r w:rsidRPr="00BF5A36">
        <w:rPr>
          <w:sz w:val="20"/>
          <w:szCs w:val="20"/>
          <w:vertAlign w:val="superscript"/>
          <w:lang w:val="es-ES_tradnl"/>
        </w:rPr>
        <w:t xml:space="preserve"> </w:t>
      </w:r>
      <w:r w:rsidRPr="00BF5A36">
        <w:rPr>
          <w:sz w:val="20"/>
          <w:szCs w:val="20"/>
          <w:vertAlign w:val="superscript"/>
          <w:lang w:val="es-ES_tradnl"/>
        </w:rPr>
        <w:footnoteReference w:id="10"/>
      </w:r>
      <w:r w:rsidRPr="00BF5A36">
        <w:rPr>
          <w:rFonts w:asciiTheme="majorHAnsi" w:hAnsiTheme="majorHAnsi"/>
          <w:sz w:val="20"/>
          <w:szCs w:val="20"/>
          <w:lang w:val="es-ES_tradnl"/>
        </w:rPr>
        <w:t xml:space="preserve">. El análisis sobre si el Estado incurrió en violaciones a la Convención Americana es una cuestión que corresponde ser decidida en el fondo del presente asunto. </w:t>
      </w:r>
    </w:p>
    <w:p w14:paraId="40DABB4D" w14:textId="7F69AE0C" w:rsidR="006E3BAD" w:rsidRPr="00BF5A36" w:rsidRDefault="006E3BAD" w:rsidP="00BF5A36">
      <w:pPr>
        <w:pStyle w:val="ListParagraph"/>
        <w:spacing w:before="240" w:after="240"/>
        <w:ind w:left="0" w:firstLine="709"/>
        <w:jc w:val="both"/>
        <w:rPr>
          <w:rFonts w:asciiTheme="majorHAnsi" w:hAnsiTheme="majorHAnsi"/>
          <w:b/>
          <w:color w:val="auto"/>
          <w:sz w:val="20"/>
          <w:szCs w:val="20"/>
          <w:lang w:val="es-ES_tradnl"/>
        </w:rPr>
      </w:pPr>
      <w:r w:rsidRPr="00BF5A36">
        <w:rPr>
          <w:rFonts w:asciiTheme="majorHAnsi" w:hAnsiTheme="majorHAnsi"/>
          <w:b/>
          <w:color w:val="auto"/>
          <w:sz w:val="20"/>
          <w:szCs w:val="20"/>
          <w:lang w:val="es-ES_tradnl"/>
        </w:rPr>
        <w:t xml:space="preserve">VIII. </w:t>
      </w:r>
      <w:r w:rsidRPr="00BF5A36">
        <w:rPr>
          <w:rFonts w:asciiTheme="majorHAnsi" w:hAnsiTheme="majorHAnsi"/>
          <w:b/>
          <w:color w:val="auto"/>
          <w:sz w:val="20"/>
          <w:szCs w:val="20"/>
          <w:lang w:val="es-ES_tradnl"/>
        </w:rPr>
        <w:tab/>
      </w:r>
      <w:r w:rsidRPr="00BF5A36">
        <w:rPr>
          <w:rFonts w:asciiTheme="majorHAnsi" w:hAnsiTheme="majorHAnsi"/>
          <w:b/>
          <w:bCs/>
          <w:color w:val="auto"/>
          <w:sz w:val="20"/>
          <w:szCs w:val="20"/>
          <w:lang w:val="es-ES_tradnl"/>
        </w:rPr>
        <w:t>DECISIÓN</w:t>
      </w:r>
    </w:p>
    <w:p w14:paraId="15C58DEE" w14:textId="39EE276E" w:rsidR="00E9667E" w:rsidRPr="00BF5A36" w:rsidRDefault="00E9667E" w:rsidP="00BF5A36">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BF5A36">
        <w:rPr>
          <w:rFonts w:asciiTheme="majorHAnsi" w:hAnsiTheme="majorHAnsi"/>
          <w:sz w:val="20"/>
          <w:szCs w:val="20"/>
          <w:lang w:val="es-ES_tradnl"/>
        </w:rPr>
        <w:t>Declarar admisible la presente petición en relación con los artículos 5,</w:t>
      </w:r>
      <w:r w:rsidR="00F26F8C" w:rsidRPr="00BF5A36">
        <w:rPr>
          <w:rFonts w:asciiTheme="majorHAnsi" w:hAnsiTheme="majorHAnsi"/>
          <w:sz w:val="20"/>
          <w:szCs w:val="20"/>
          <w:lang w:val="es-ES_tradnl"/>
        </w:rPr>
        <w:t xml:space="preserve"> </w:t>
      </w:r>
      <w:r w:rsidRPr="00BF5A36">
        <w:rPr>
          <w:rFonts w:asciiTheme="majorHAnsi" w:hAnsiTheme="majorHAnsi"/>
          <w:sz w:val="20"/>
          <w:szCs w:val="20"/>
          <w:lang w:val="es-ES_tradnl"/>
        </w:rPr>
        <w:t>8</w:t>
      </w:r>
      <w:r w:rsidR="005C5B02" w:rsidRPr="00BF5A36">
        <w:rPr>
          <w:rFonts w:asciiTheme="majorHAnsi" w:hAnsiTheme="majorHAnsi"/>
          <w:sz w:val="20"/>
          <w:szCs w:val="20"/>
          <w:lang w:val="es-ES_tradnl"/>
        </w:rPr>
        <w:t>, 24</w:t>
      </w:r>
      <w:r w:rsidR="00A6023F" w:rsidRPr="00BF5A36">
        <w:rPr>
          <w:rFonts w:asciiTheme="majorHAnsi" w:hAnsiTheme="majorHAnsi"/>
          <w:sz w:val="20"/>
          <w:szCs w:val="20"/>
          <w:lang w:val="es-ES_tradnl"/>
        </w:rPr>
        <w:t>,</w:t>
      </w:r>
      <w:r w:rsidRPr="00BF5A36">
        <w:rPr>
          <w:rFonts w:asciiTheme="majorHAnsi" w:hAnsiTheme="majorHAnsi"/>
          <w:sz w:val="20"/>
          <w:szCs w:val="20"/>
          <w:lang w:val="es-ES_tradnl"/>
        </w:rPr>
        <w:t xml:space="preserve"> 25</w:t>
      </w:r>
      <w:r w:rsidR="00A6023F" w:rsidRPr="00BF5A36">
        <w:rPr>
          <w:rFonts w:asciiTheme="majorHAnsi" w:hAnsiTheme="majorHAnsi"/>
          <w:sz w:val="20"/>
          <w:szCs w:val="20"/>
          <w:lang w:val="es-ES_tradnl"/>
        </w:rPr>
        <w:t xml:space="preserve"> y 26</w:t>
      </w:r>
      <w:r w:rsidRPr="00BF5A36">
        <w:rPr>
          <w:rFonts w:asciiTheme="majorHAnsi" w:hAnsiTheme="majorHAnsi"/>
          <w:sz w:val="20"/>
          <w:szCs w:val="20"/>
          <w:lang w:val="es-ES_tradnl"/>
        </w:rPr>
        <w:t xml:space="preserve"> de la Convención Americana en conexión con su artículo 1.1;</w:t>
      </w:r>
      <w:r w:rsidR="00A123CB" w:rsidRPr="00BF5A36">
        <w:rPr>
          <w:rFonts w:asciiTheme="majorHAnsi" w:hAnsiTheme="majorHAnsi"/>
          <w:sz w:val="20"/>
          <w:szCs w:val="20"/>
          <w:lang w:val="es-ES_tradnl"/>
        </w:rPr>
        <w:t xml:space="preserve"> </w:t>
      </w:r>
      <w:r w:rsidR="008273F0">
        <w:rPr>
          <w:rFonts w:asciiTheme="majorHAnsi" w:hAnsiTheme="majorHAnsi"/>
          <w:sz w:val="20"/>
          <w:szCs w:val="20"/>
          <w:lang w:val="es-ES_tradnl"/>
        </w:rPr>
        <w:t>y</w:t>
      </w:r>
    </w:p>
    <w:p w14:paraId="2368EC8B" w14:textId="4AC1AE37" w:rsidR="00E44954" w:rsidRPr="00996280" w:rsidRDefault="00E9667E" w:rsidP="00996280">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BF5A36">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58CBD6A" w14:textId="15669917" w:rsidR="008273F0" w:rsidRPr="00996280" w:rsidRDefault="008273F0" w:rsidP="00996280">
      <w:pPr>
        <w:pStyle w:val="paragraph"/>
        <w:spacing w:before="0" w:beforeAutospacing="0" w:after="0" w:afterAutospacing="0"/>
        <w:ind w:firstLine="720"/>
        <w:jc w:val="both"/>
        <w:textAlignment w:val="baseline"/>
        <w:rPr>
          <w:rFonts w:ascii="Cambria" w:hAnsi="Cambria" w:cs="Segoe UI"/>
          <w:sz w:val="20"/>
          <w:szCs w:val="20"/>
          <w:lang w:val="es-ES"/>
        </w:rPr>
      </w:pPr>
      <w:r w:rsidRPr="00784E79">
        <w:rPr>
          <w:rStyle w:val="normaltextrun"/>
          <w:rFonts w:ascii="Cambria" w:hAnsi="Cambria" w:cs="Segoe UI"/>
          <w:sz w:val="20"/>
          <w:szCs w:val="20"/>
          <w:lang w:val="es-CL"/>
        </w:rPr>
        <w:t xml:space="preserve">Aprobado por la Comisión Interamericana de Derechos Humanos a los </w:t>
      </w:r>
      <w:r w:rsidR="00C9316B">
        <w:rPr>
          <w:rStyle w:val="normaltextrun"/>
          <w:rFonts w:ascii="Cambria" w:hAnsi="Cambria" w:cs="Segoe UI"/>
          <w:sz w:val="20"/>
          <w:szCs w:val="20"/>
          <w:lang w:val="es-CL"/>
        </w:rPr>
        <w:t>2</w:t>
      </w:r>
      <w:r w:rsidRPr="00784E79">
        <w:rPr>
          <w:rStyle w:val="normaltextrun"/>
          <w:rFonts w:ascii="Cambria" w:hAnsi="Cambria" w:cs="Segoe UI"/>
          <w:sz w:val="20"/>
          <w:szCs w:val="20"/>
          <w:lang w:val="es-CL"/>
        </w:rPr>
        <w:t xml:space="preserve">1 días del mes de mayo de 2024.  (Firmado): Roberta Clarke, Presidenta; José Luis Caballero Ochoa, Segundo Vicepresidente; Arif Bulkan y Gloria Monique de Mees, </w:t>
      </w:r>
      <w:r w:rsidR="00996280">
        <w:rPr>
          <w:rStyle w:val="normaltextrun"/>
          <w:rFonts w:ascii="Cambria" w:hAnsi="Cambria" w:cs="Segoe UI"/>
          <w:sz w:val="20"/>
          <w:szCs w:val="20"/>
          <w:lang w:val="es-CL"/>
        </w:rPr>
        <w:t>m</w:t>
      </w:r>
      <w:r w:rsidRPr="00784E79">
        <w:rPr>
          <w:rStyle w:val="normaltextrun"/>
          <w:rFonts w:ascii="Cambria" w:hAnsi="Cambria" w:cs="Segoe UI"/>
          <w:sz w:val="20"/>
          <w:szCs w:val="20"/>
          <w:lang w:val="es-CL"/>
        </w:rPr>
        <w:t>iembros de la Comisión.</w:t>
      </w:r>
    </w:p>
    <w:sectPr w:rsidR="008273F0" w:rsidRPr="00996280" w:rsidSect="00E96F4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934E" w14:textId="77777777" w:rsidR="00743803" w:rsidRDefault="00743803">
      <w:r>
        <w:separator/>
      </w:r>
    </w:p>
  </w:endnote>
  <w:endnote w:type="continuationSeparator" w:id="0">
    <w:p w14:paraId="36F21F10" w14:textId="77777777" w:rsidR="00743803" w:rsidRDefault="0074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D484" w14:textId="77777777" w:rsidR="00743803" w:rsidRPr="000F35ED" w:rsidRDefault="0074380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95F96F8" w14:textId="77777777" w:rsidR="00743803" w:rsidRPr="000F35ED" w:rsidRDefault="00743803" w:rsidP="000F35ED">
      <w:pPr>
        <w:rPr>
          <w:rFonts w:asciiTheme="majorHAnsi" w:hAnsiTheme="majorHAnsi"/>
          <w:sz w:val="16"/>
          <w:szCs w:val="16"/>
        </w:rPr>
      </w:pPr>
      <w:r w:rsidRPr="000F35ED">
        <w:rPr>
          <w:rFonts w:asciiTheme="majorHAnsi" w:hAnsiTheme="majorHAnsi"/>
          <w:sz w:val="16"/>
          <w:szCs w:val="16"/>
        </w:rPr>
        <w:separator/>
      </w:r>
    </w:p>
    <w:p w14:paraId="732F8B99" w14:textId="77777777" w:rsidR="00743803" w:rsidRPr="000F35ED" w:rsidRDefault="0074380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6DB6080" w14:textId="77777777" w:rsidR="00743803" w:rsidRPr="000F35ED" w:rsidRDefault="0074380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3">
    <w:p w14:paraId="606B6CC7" w14:textId="77777777" w:rsidR="00785B6C" w:rsidRPr="00343CD2" w:rsidRDefault="00785B6C" w:rsidP="00785B6C">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4">
    <w:p w14:paraId="1AFEF3B0" w14:textId="7CADBBB3" w:rsidR="008E3BFE" w:rsidRPr="00FE6060"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r w:rsidR="007A0A93">
        <w:rPr>
          <w:rFonts w:asciiTheme="majorHAnsi" w:hAnsiTheme="majorHAnsi"/>
          <w:sz w:val="16"/>
          <w:szCs w:val="16"/>
          <w:lang w:val="es-ES"/>
        </w:rPr>
        <w:t xml:space="preserve"> </w:t>
      </w:r>
      <w:r w:rsidR="005A07F0">
        <w:rPr>
          <w:rFonts w:asciiTheme="majorHAnsi" w:hAnsiTheme="majorHAnsi"/>
          <w:sz w:val="16"/>
          <w:szCs w:val="16"/>
          <w:lang w:val="es-ES"/>
        </w:rPr>
        <w:t>El 12 de noviembre de 2021 l</w:t>
      </w:r>
      <w:r w:rsidR="00FE6060" w:rsidRPr="00FE6060">
        <w:rPr>
          <w:rFonts w:asciiTheme="majorHAnsi" w:hAnsiTheme="majorHAnsi"/>
          <w:sz w:val="16"/>
          <w:szCs w:val="16"/>
          <w:lang w:val="es-ES"/>
        </w:rPr>
        <w:t>a parte peticionaria manifestó su interés en la continuidad de la demanda ante la CIDH</w:t>
      </w:r>
      <w:r w:rsidR="005A07F0">
        <w:rPr>
          <w:rFonts w:asciiTheme="majorHAnsi" w:hAnsiTheme="majorHAnsi"/>
          <w:sz w:val="16"/>
          <w:szCs w:val="16"/>
          <w:lang w:val="es-ES"/>
        </w:rPr>
        <w:t>.</w:t>
      </w:r>
    </w:p>
  </w:footnote>
  <w:footnote w:id="5">
    <w:p w14:paraId="68CC7405" w14:textId="2D522EFF" w:rsidR="002640A8" w:rsidRPr="00EC69B9" w:rsidRDefault="002640A8" w:rsidP="002640A8">
      <w:pPr>
        <w:tabs>
          <w:tab w:val="left" w:pos="0"/>
        </w:tabs>
        <w:ind w:firstLine="709"/>
        <w:jc w:val="both"/>
        <w:rPr>
          <w:rFonts w:asciiTheme="majorHAnsi" w:hAnsiTheme="majorHAnsi"/>
          <w:sz w:val="16"/>
          <w:szCs w:val="16"/>
          <w:lang w:val="es-ES"/>
        </w:rPr>
      </w:pPr>
      <w:r w:rsidRPr="00EC69B9">
        <w:rPr>
          <w:rStyle w:val="FootnoteReference"/>
          <w:rFonts w:asciiTheme="majorHAnsi" w:hAnsiTheme="majorHAnsi"/>
          <w:sz w:val="16"/>
          <w:szCs w:val="16"/>
          <w:lang w:val="pt-BR"/>
        </w:rPr>
        <w:footnoteRef/>
      </w:r>
      <w:r w:rsidRPr="00FB441B">
        <w:rPr>
          <w:rFonts w:asciiTheme="majorHAnsi" w:hAnsiTheme="majorHAnsi"/>
          <w:sz w:val="16"/>
          <w:szCs w:val="16"/>
          <w:lang w:val="pt-BR"/>
        </w:rPr>
        <w:t xml:space="preserve"> </w:t>
      </w:r>
      <w:r w:rsidR="00706556" w:rsidRPr="00FB441B">
        <w:rPr>
          <w:rFonts w:asciiTheme="majorHAnsi" w:hAnsiTheme="majorHAnsi"/>
          <w:sz w:val="16"/>
          <w:szCs w:val="16"/>
          <w:lang w:val="pt-BR"/>
        </w:rPr>
        <w:t xml:space="preserve">Véase, </w:t>
      </w:r>
      <w:r w:rsidR="00706556" w:rsidRPr="00FB441B">
        <w:rPr>
          <w:rFonts w:asciiTheme="majorHAnsi" w:hAnsiTheme="majorHAnsi"/>
          <w:i/>
          <w:iCs/>
          <w:sz w:val="16"/>
          <w:szCs w:val="16"/>
          <w:lang w:val="pt-BR"/>
        </w:rPr>
        <w:t>e.g.</w:t>
      </w:r>
      <w:r w:rsidR="00706556" w:rsidRPr="00FB441B">
        <w:rPr>
          <w:rFonts w:asciiTheme="majorHAnsi" w:hAnsiTheme="majorHAnsi"/>
          <w:sz w:val="16"/>
          <w:szCs w:val="16"/>
          <w:lang w:val="pt-BR"/>
        </w:rPr>
        <w:t xml:space="preserve">, </w:t>
      </w:r>
      <w:r w:rsidRPr="00FB441B">
        <w:rPr>
          <w:rFonts w:asciiTheme="majorHAnsi" w:hAnsiTheme="majorHAnsi"/>
          <w:sz w:val="16"/>
          <w:szCs w:val="16"/>
          <w:lang w:val="pt-BR"/>
        </w:rPr>
        <w:t xml:space="preserve">CIDH. Informe No. 25/18, Caso 12.428. </w:t>
      </w:r>
      <w:r w:rsidRPr="00EC69B9">
        <w:rPr>
          <w:rFonts w:asciiTheme="majorHAnsi" w:hAnsiTheme="majorHAnsi"/>
          <w:sz w:val="16"/>
          <w:szCs w:val="16"/>
          <w:lang w:val="es-ES"/>
        </w:rPr>
        <w:t>Admisibilidad y Fondo. Empleados de la Fábrica de Fuegos de Santo Antônio de Jesus y sus familiares. 2 de marzo de 2018, párr. 95.</w:t>
      </w:r>
    </w:p>
  </w:footnote>
  <w:footnote w:id="6">
    <w:p w14:paraId="0E4C4588" w14:textId="2E60BE90" w:rsidR="00706556" w:rsidRPr="00FB441B" w:rsidRDefault="00706556" w:rsidP="00706556">
      <w:pPr>
        <w:tabs>
          <w:tab w:val="left" w:pos="0"/>
        </w:tabs>
        <w:ind w:firstLine="709"/>
        <w:jc w:val="both"/>
        <w:rPr>
          <w:rFonts w:asciiTheme="majorHAnsi" w:hAnsiTheme="majorHAnsi"/>
          <w:sz w:val="16"/>
          <w:szCs w:val="16"/>
          <w:lang w:val="es-ES"/>
        </w:rPr>
      </w:pPr>
      <w:r w:rsidRPr="00EC69B9">
        <w:rPr>
          <w:rStyle w:val="FootnoteReference"/>
          <w:rFonts w:asciiTheme="majorHAnsi" w:hAnsiTheme="majorHAnsi"/>
          <w:sz w:val="16"/>
          <w:szCs w:val="16"/>
          <w:lang w:val="pt-BR"/>
        </w:rPr>
        <w:footnoteRef/>
      </w:r>
      <w:r w:rsidRPr="00996280">
        <w:rPr>
          <w:rFonts w:asciiTheme="majorHAnsi" w:hAnsiTheme="majorHAnsi"/>
          <w:sz w:val="16"/>
          <w:szCs w:val="16"/>
          <w:lang w:val="pt-BR"/>
        </w:rPr>
        <w:t xml:space="preserve"> Véase, </w:t>
      </w:r>
      <w:r w:rsidRPr="00996280">
        <w:rPr>
          <w:rFonts w:asciiTheme="majorHAnsi" w:hAnsiTheme="majorHAnsi"/>
          <w:i/>
          <w:iCs/>
          <w:sz w:val="16"/>
          <w:szCs w:val="16"/>
          <w:lang w:val="pt-BR"/>
        </w:rPr>
        <w:t>e.g.</w:t>
      </w:r>
      <w:r w:rsidRPr="00996280">
        <w:rPr>
          <w:rFonts w:asciiTheme="majorHAnsi" w:hAnsiTheme="majorHAnsi"/>
          <w:sz w:val="16"/>
          <w:szCs w:val="16"/>
          <w:lang w:val="pt-BR"/>
        </w:rPr>
        <w:t xml:space="preserve">, CIDH. Medida Cautelar No. 395-18. </w:t>
      </w:r>
      <w:r w:rsidRPr="00706556">
        <w:rPr>
          <w:rFonts w:asciiTheme="majorHAnsi" w:hAnsiTheme="majorHAnsi"/>
          <w:sz w:val="16"/>
          <w:szCs w:val="16"/>
          <w:lang w:val="es-ES"/>
        </w:rPr>
        <w:t xml:space="preserve">Autoridades y miembros de los Resguardos Gonzaya (Buenavista) y Po Piyuya (Santa Cruz de Piñuña Blanco) del Pueblo Indígena Siona (ZioBain) respecto de Colombia. </w:t>
      </w:r>
      <w:r w:rsidRPr="00FB441B">
        <w:rPr>
          <w:rFonts w:asciiTheme="majorHAnsi" w:hAnsiTheme="majorHAnsi"/>
          <w:sz w:val="16"/>
          <w:szCs w:val="16"/>
          <w:lang w:val="es-ES"/>
        </w:rPr>
        <w:t>14 de julio de 2018.</w:t>
      </w:r>
    </w:p>
  </w:footnote>
  <w:footnote w:id="7">
    <w:p w14:paraId="47ED5719" w14:textId="4B70BC15" w:rsidR="005D6869" w:rsidRPr="00B70C57" w:rsidRDefault="005D6869" w:rsidP="005D6869">
      <w:pPr>
        <w:tabs>
          <w:tab w:val="left" w:pos="0"/>
        </w:tabs>
        <w:ind w:firstLine="709"/>
        <w:jc w:val="both"/>
        <w:rPr>
          <w:rFonts w:asciiTheme="majorHAnsi" w:hAnsiTheme="majorHAnsi"/>
          <w:sz w:val="16"/>
          <w:szCs w:val="16"/>
          <w:lang w:val="es-ES"/>
        </w:rPr>
      </w:pPr>
      <w:r w:rsidRPr="00EC69B9">
        <w:rPr>
          <w:rStyle w:val="FootnoteReference"/>
          <w:rFonts w:asciiTheme="majorHAnsi" w:hAnsiTheme="majorHAnsi"/>
          <w:sz w:val="16"/>
          <w:szCs w:val="16"/>
          <w:lang w:val="pt-BR"/>
        </w:rPr>
        <w:footnoteRef/>
      </w:r>
      <w:r w:rsidRPr="00FB441B">
        <w:rPr>
          <w:rFonts w:asciiTheme="majorHAnsi" w:hAnsiTheme="majorHAnsi"/>
          <w:sz w:val="16"/>
          <w:szCs w:val="16"/>
          <w:lang w:val="es-ES"/>
        </w:rPr>
        <w:t xml:space="preserve"> Similarmente: </w:t>
      </w:r>
      <w:r w:rsidR="00B70C57" w:rsidRPr="00FB441B">
        <w:rPr>
          <w:rFonts w:asciiTheme="majorHAnsi" w:hAnsiTheme="majorHAnsi"/>
          <w:sz w:val="16"/>
          <w:szCs w:val="16"/>
          <w:lang w:val="es-ES"/>
        </w:rPr>
        <w:t xml:space="preserve">CIDH, Informe No. 24/22. </w:t>
      </w:r>
      <w:r w:rsidR="00B70C57" w:rsidRPr="00B70C57">
        <w:rPr>
          <w:rFonts w:asciiTheme="majorHAnsi" w:hAnsiTheme="majorHAnsi"/>
          <w:sz w:val="16"/>
          <w:szCs w:val="16"/>
          <w:lang w:val="es-ES"/>
        </w:rPr>
        <w:t>Petición P-1457-12. Admisibilidad. Mirta Araceli Teresita Pravisani. Argentina. 9 de marzo de 2022</w:t>
      </w:r>
      <w:r>
        <w:rPr>
          <w:rFonts w:asciiTheme="majorHAnsi" w:hAnsiTheme="majorHAnsi"/>
          <w:sz w:val="16"/>
          <w:szCs w:val="16"/>
          <w:lang w:val="es-ES"/>
        </w:rPr>
        <w:t xml:space="preserve">párrafo </w:t>
      </w:r>
      <w:r w:rsidR="00B70C57">
        <w:rPr>
          <w:rFonts w:asciiTheme="majorHAnsi" w:hAnsiTheme="majorHAnsi"/>
          <w:sz w:val="16"/>
          <w:szCs w:val="16"/>
          <w:lang w:val="es-ES"/>
        </w:rPr>
        <w:t>13.</w:t>
      </w:r>
    </w:p>
  </w:footnote>
  <w:footnote w:id="8">
    <w:p w14:paraId="51380BCE" w14:textId="77777777" w:rsidR="00DF6877" w:rsidRPr="00A11B3B" w:rsidRDefault="00DF6877" w:rsidP="00DF6877">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FB441B">
        <w:rPr>
          <w:rFonts w:ascii="Cambria" w:hAnsi="Cambria"/>
          <w:sz w:val="16"/>
          <w:szCs w:val="16"/>
          <w:lang w:val="es-ES"/>
        </w:rPr>
        <w:t xml:space="preserve"> Corte IDH. </w:t>
      </w:r>
      <w:r w:rsidRPr="00A11B3B">
        <w:rPr>
          <w:rFonts w:ascii="Cambria" w:hAnsi="Cambria"/>
          <w:sz w:val="16"/>
          <w:szCs w:val="16"/>
          <w:lang w:val="es-ES_tradnl"/>
        </w:rPr>
        <w:t>Caso Cabrera García y Montiel Flores Vs. México. Excepción Preliminar, Fondo, Reparaciones y Costas. Sentencia de 26 de noviembre de 2010. Serie C No. 220, párr. 18.</w:t>
      </w:r>
    </w:p>
  </w:footnote>
  <w:footnote w:id="9">
    <w:p w14:paraId="21BEA805" w14:textId="77777777" w:rsidR="00DF6877" w:rsidRPr="00A11B3B" w:rsidRDefault="00DF6877" w:rsidP="00DF6877">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19.</w:t>
      </w:r>
    </w:p>
  </w:footnote>
  <w:footnote w:id="10">
    <w:p w14:paraId="47805474" w14:textId="77777777" w:rsidR="00DF6877" w:rsidRPr="00A11B3B" w:rsidRDefault="00DF6877" w:rsidP="00DF6877">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Palma Mendoza y otros Vs. Ecuador. Excepción Preliminar y Fondo. Sentencia de 3 de septiembre de 2012. </w:t>
      </w:r>
      <w:r w:rsidRPr="00996280">
        <w:rPr>
          <w:rFonts w:ascii="Cambria" w:hAnsi="Cambria"/>
          <w:sz w:val="16"/>
          <w:szCs w:val="16"/>
          <w:lang w:val="pt-BR"/>
        </w:rPr>
        <w:t xml:space="preserve">Serie C No. 247, párr. 18; Corte IDH. Caso Rosadio Villavicencio Vs. </w:t>
      </w:r>
      <w:r w:rsidRPr="00A11B3B">
        <w:rPr>
          <w:rFonts w:ascii="Cambria" w:hAnsi="Cambria"/>
          <w:sz w:val="16"/>
          <w:szCs w:val="16"/>
          <w:lang w:val="es-ES_tradnl"/>
        </w:rPr>
        <w:t xml:space="preserve">Perú. Excepciones Preliminares, Fondo, Reparaciones y Costas. </w:t>
      </w:r>
      <w:r w:rsidRPr="00A11B3B">
        <w:rPr>
          <w:rFonts w:ascii="Cambria" w:hAnsi="Cambria"/>
          <w:sz w:val="16"/>
          <w:szCs w:val="16"/>
          <w:lang w:val="es-US"/>
        </w:rPr>
        <w:t xml:space="preserve">Sentencia de 14 de octubre de 2019. Serie C No. 388., párr. 24; </w:t>
      </w:r>
      <w:r w:rsidRPr="00A11B3B">
        <w:rPr>
          <w:rFonts w:ascii="Cambria" w:hAnsi="Cambria"/>
          <w:sz w:val="16"/>
          <w:szCs w:val="16"/>
          <w:lang w:val="es-ES_tradnl"/>
        </w:rPr>
        <w:t xml:space="preserve">Corte IDH. Caso Cabrera García y Montiel Flores Vs. México. Excepción Preliminar, Fondo, Reparaciones y Costas. </w:t>
      </w:r>
      <w:r w:rsidRPr="00A11B3B">
        <w:rPr>
          <w:rFonts w:ascii="Cambria" w:hAnsi="Cambria"/>
          <w:sz w:val="16"/>
          <w:szCs w:val="16"/>
          <w:lang w:val="es-US"/>
        </w:rPr>
        <w:t>Sentencia de 26 de noviembre de 2010.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35F9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09012F"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742506"/>
    <w:multiLevelType w:val="hybridMultilevel"/>
    <w:tmpl w:val="154C4FD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2377E0"/>
    <w:multiLevelType w:val="multilevel"/>
    <w:tmpl w:val="4756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306921"/>
    <w:multiLevelType w:val="multilevel"/>
    <w:tmpl w:val="AED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5ED6BA1E"/>
    <w:lvl w:ilvl="0" w:tplc="C7967E3C">
      <w:start w:val="1"/>
      <w:numFmt w:val="decimal"/>
      <w:lvlText w:val="%1."/>
      <w:lvlJc w:val="left"/>
      <w:pPr>
        <w:ind w:left="758" w:hanging="720"/>
      </w:pPr>
      <w:rPr>
        <w:rFonts w:ascii="Cambria" w:eastAsia="Cambria" w:hAnsi="Cambria" w:cs="Cambria" w:hint="default"/>
        <w:i w:val="0"/>
        <w:iCs w:val="0"/>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60"/>
  </w:num>
  <w:num w:numId="4" w16cid:durableId="82342866">
    <w:abstractNumId w:val="23"/>
  </w:num>
  <w:num w:numId="5" w16cid:durableId="1599026591">
    <w:abstractNumId w:val="53"/>
  </w:num>
  <w:num w:numId="6" w16cid:durableId="1795514418">
    <w:abstractNumId w:val="31"/>
  </w:num>
  <w:num w:numId="7" w16cid:durableId="396254">
    <w:abstractNumId w:val="7"/>
  </w:num>
  <w:num w:numId="8" w16cid:durableId="1302268258">
    <w:abstractNumId w:val="18"/>
  </w:num>
  <w:num w:numId="9" w16cid:durableId="669480169">
    <w:abstractNumId w:val="47"/>
  </w:num>
  <w:num w:numId="10" w16cid:durableId="275260533">
    <w:abstractNumId w:val="0"/>
  </w:num>
  <w:num w:numId="11" w16cid:durableId="866258526">
    <w:abstractNumId w:val="42"/>
  </w:num>
  <w:num w:numId="12" w16cid:durableId="171335598">
    <w:abstractNumId w:val="43"/>
  </w:num>
  <w:num w:numId="13" w16cid:durableId="752550714">
    <w:abstractNumId w:val="50"/>
  </w:num>
  <w:num w:numId="14" w16cid:durableId="728965123">
    <w:abstractNumId w:val="1"/>
  </w:num>
  <w:num w:numId="15" w16cid:durableId="1621453753">
    <w:abstractNumId w:val="2"/>
  </w:num>
  <w:num w:numId="16" w16cid:durableId="83038602">
    <w:abstractNumId w:val="8"/>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20"/>
  </w:num>
  <w:num w:numId="26" w16cid:durableId="660161155">
    <w:abstractNumId w:val="21"/>
  </w:num>
  <w:num w:numId="27" w16cid:durableId="2016032229">
    <w:abstractNumId w:val="25"/>
  </w:num>
  <w:num w:numId="28" w16cid:durableId="1169757202">
    <w:abstractNumId w:val="26"/>
  </w:num>
  <w:num w:numId="29" w16cid:durableId="1713113596">
    <w:abstractNumId w:val="27"/>
  </w:num>
  <w:num w:numId="30" w16cid:durableId="217321478">
    <w:abstractNumId w:val="29"/>
  </w:num>
  <w:num w:numId="31" w16cid:durableId="2001157105">
    <w:abstractNumId w:val="32"/>
  </w:num>
  <w:num w:numId="32" w16cid:durableId="1680884154">
    <w:abstractNumId w:val="33"/>
  </w:num>
  <w:num w:numId="33" w16cid:durableId="1152284582">
    <w:abstractNumId w:val="34"/>
  </w:num>
  <w:num w:numId="34" w16cid:durableId="676424681">
    <w:abstractNumId w:val="35"/>
  </w:num>
  <w:num w:numId="35" w16cid:durableId="894270057">
    <w:abstractNumId w:val="36"/>
  </w:num>
  <w:num w:numId="36" w16cid:durableId="988172318">
    <w:abstractNumId w:val="38"/>
  </w:num>
  <w:num w:numId="37" w16cid:durableId="550464103">
    <w:abstractNumId w:val="39"/>
  </w:num>
  <w:num w:numId="38" w16cid:durableId="923027620">
    <w:abstractNumId w:val="40"/>
  </w:num>
  <w:num w:numId="39" w16cid:durableId="257376164">
    <w:abstractNumId w:val="44"/>
  </w:num>
  <w:num w:numId="40" w16cid:durableId="1595551088">
    <w:abstractNumId w:val="45"/>
  </w:num>
  <w:num w:numId="41" w16cid:durableId="1901792458">
    <w:abstractNumId w:val="52"/>
  </w:num>
  <w:num w:numId="42" w16cid:durableId="2066679574">
    <w:abstractNumId w:val="54"/>
  </w:num>
  <w:num w:numId="43" w16cid:durableId="1855076713">
    <w:abstractNumId w:val="56"/>
  </w:num>
  <w:num w:numId="44" w16cid:durableId="101000019">
    <w:abstractNumId w:val="58"/>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2"/>
  </w:num>
  <w:num w:numId="52" w16cid:durableId="1310091464">
    <w:abstractNumId w:val="46"/>
  </w:num>
  <w:num w:numId="53" w16cid:durableId="88084230">
    <w:abstractNumId w:val="57"/>
  </w:num>
  <w:num w:numId="54" w16cid:durableId="1659263601">
    <w:abstractNumId w:val="51"/>
  </w:num>
  <w:num w:numId="55" w16cid:durableId="1823621252">
    <w:abstractNumId w:val="48"/>
  </w:num>
  <w:num w:numId="56" w16cid:durableId="1618171722">
    <w:abstractNumId w:val="30"/>
  </w:num>
  <w:num w:numId="57" w16cid:durableId="979261358">
    <w:abstractNumId w:val="28"/>
  </w:num>
  <w:num w:numId="58" w16cid:durableId="55784951">
    <w:abstractNumId w:val="41"/>
  </w:num>
  <w:num w:numId="59" w16cid:durableId="665792024">
    <w:abstractNumId w:val="64"/>
  </w:num>
  <w:num w:numId="60" w16cid:durableId="712732366">
    <w:abstractNumId w:val="37"/>
  </w:num>
  <w:num w:numId="61" w16cid:durableId="1097671741">
    <w:abstractNumId w:val="49"/>
  </w:num>
  <w:num w:numId="62" w16cid:durableId="1840730130">
    <w:abstractNumId w:val="55"/>
  </w:num>
  <w:num w:numId="63" w16cid:durableId="369187513">
    <w:abstractNumId w:val="3"/>
  </w:num>
  <w:num w:numId="64" w16cid:durableId="46417963">
    <w:abstractNumId w:val="4"/>
  </w:num>
  <w:num w:numId="65" w16cid:durableId="32190905">
    <w:abstractNumId w:val="19"/>
  </w:num>
  <w:num w:numId="66" w16cid:durableId="1375812556">
    <w:abstractNumId w:val="24"/>
  </w:num>
  <w:num w:numId="67" w16cid:durableId="574319376">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788C"/>
    <w:rsid w:val="00017979"/>
    <w:rsid w:val="00025725"/>
    <w:rsid w:val="00030ED7"/>
    <w:rsid w:val="00032246"/>
    <w:rsid w:val="000336E7"/>
    <w:rsid w:val="000337EF"/>
    <w:rsid w:val="0004086F"/>
    <w:rsid w:val="00040C3A"/>
    <w:rsid w:val="000419AD"/>
    <w:rsid w:val="000433C9"/>
    <w:rsid w:val="000444E7"/>
    <w:rsid w:val="0004514E"/>
    <w:rsid w:val="000472C6"/>
    <w:rsid w:val="0005497B"/>
    <w:rsid w:val="00054D01"/>
    <w:rsid w:val="00057379"/>
    <w:rsid w:val="00062E15"/>
    <w:rsid w:val="000630CE"/>
    <w:rsid w:val="00064179"/>
    <w:rsid w:val="00065AB4"/>
    <w:rsid w:val="00066C33"/>
    <w:rsid w:val="00071174"/>
    <w:rsid w:val="000716C0"/>
    <w:rsid w:val="000716C5"/>
    <w:rsid w:val="000720F3"/>
    <w:rsid w:val="00075E23"/>
    <w:rsid w:val="000769B9"/>
    <w:rsid w:val="00081F88"/>
    <w:rsid w:val="00085912"/>
    <w:rsid w:val="0009012F"/>
    <w:rsid w:val="00091A11"/>
    <w:rsid w:val="00092479"/>
    <w:rsid w:val="0009344A"/>
    <w:rsid w:val="00094203"/>
    <w:rsid w:val="000970F4"/>
    <w:rsid w:val="000A14D8"/>
    <w:rsid w:val="000A16D0"/>
    <w:rsid w:val="000A392E"/>
    <w:rsid w:val="000A40A0"/>
    <w:rsid w:val="000A447C"/>
    <w:rsid w:val="000A575F"/>
    <w:rsid w:val="000A78E8"/>
    <w:rsid w:val="000B66F4"/>
    <w:rsid w:val="000B7730"/>
    <w:rsid w:val="000D05CB"/>
    <w:rsid w:val="000D10DB"/>
    <w:rsid w:val="000D2618"/>
    <w:rsid w:val="000D5CBC"/>
    <w:rsid w:val="000E361A"/>
    <w:rsid w:val="000E5317"/>
    <w:rsid w:val="000E5EB5"/>
    <w:rsid w:val="000E73F0"/>
    <w:rsid w:val="000F35ED"/>
    <w:rsid w:val="00100CDB"/>
    <w:rsid w:val="001038B6"/>
    <w:rsid w:val="0010550C"/>
    <w:rsid w:val="001063FE"/>
    <w:rsid w:val="00107131"/>
    <w:rsid w:val="0010736F"/>
    <w:rsid w:val="0011075B"/>
    <w:rsid w:val="0011085F"/>
    <w:rsid w:val="001112E6"/>
    <w:rsid w:val="00113F73"/>
    <w:rsid w:val="0011794D"/>
    <w:rsid w:val="00121583"/>
    <w:rsid w:val="00121CC2"/>
    <w:rsid w:val="00131425"/>
    <w:rsid w:val="001334BA"/>
    <w:rsid w:val="00133EE5"/>
    <w:rsid w:val="00136D09"/>
    <w:rsid w:val="001443F7"/>
    <w:rsid w:val="00147696"/>
    <w:rsid w:val="00150855"/>
    <w:rsid w:val="001631C5"/>
    <w:rsid w:val="00164460"/>
    <w:rsid w:val="00165562"/>
    <w:rsid w:val="001655A6"/>
    <w:rsid w:val="00165CC7"/>
    <w:rsid w:val="00167A34"/>
    <w:rsid w:val="00167A4A"/>
    <w:rsid w:val="00172C07"/>
    <w:rsid w:val="001741BE"/>
    <w:rsid w:val="001757FF"/>
    <w:rsid w:val="00177297"/>
    <w:rsid w:val="0017734D"/>
    <w:rsid w:val="001912DA"/>
    <w:rsid w:val="00192BE2"/>
    <w:rsid w:val="00197AE7"/>
    <w:rsid w:val="001A02AD"/>
    <w:rsid w:val="001A1420"/>
    <w:rsid w:val="001A1BF2"/>
    <w:rsid w:val="001A493B"/>
    <w:rsid w:val="001A520D"/>
    <w:rsid w:val="001A526E"/>
    <w:rsid w:val="001A5FEE"/>
    <w:rsid w:val="001A71D6"/>
    <w:rsid w:val="001A7870"/>
    <w:rsid w:val="001A7CC7"/>
    <w:rsid w:val="001A7D7B"/>
    <w:rsid w:val="001B3A00"/>
    <w:rsid w:val="001B3E22"/>
    <w:rsid w:val="001C1B41"/>
    <w:rsid w:val="001C205F"/>
    <w:rsid w:val="001C76A2"/>
    <w:rsid w:val="001D02A6"/>
    <w:rsid w:val="001D21C7"/>
    <w:rsid w:val="001D2F0F"/>
    <w:rsid w:val="001D65EF"/>
    <w:rsid w:val="001D79A1"/>
    <w:rsid w:val="001E15E7"/>
    <w:rsid w:val="001E49E7"/>
    <w:rsid w:val="001E6F56"/>
    <w:rsid w:val="001E7268"/>
    <w:rsid w:val="001F1735"/>
    <w:rsid w:val="001F44BF"/>
    <w:rsid w:val="001F7201"/>
    <w:rsid w:val="00203028"/>
    <w:rsid w:val="00203769"/>
    <w:rsid w:val="00206C91"/>
    <w:rsid w:val="00210E6D"/>
    <w:rsid w:val="002122DC"/>
    <w:rsid w:val="00221AD9"/>
    <w:rsid w:val="00223A29"/>
    <w:rsid w:val="002249E7"/>
    <w:rsid w:val="002250A3"/>
    <w:rsid w:val="0022545A"/>
    <w:rsid w:val="002261E0"/>
    <w:rsid w:val="002264B8"/>
    <w:rsid w:val="00231A9A"/>
    <w:rsid w:val="00234F71"/>
    <w:rsid w:val="00235217"/>
    <w:rsid w:val="00237C68"/>
    <w:rsid w:val="002410E9"/>
    <w:rsid w:val="00241B96"/>
    <w:rsid w:val="00246D1F"/>
    <w:rsid w:val="002470A6"/>
    <w:rsid w:val="00247403"/>
    <w:rsid w:val="00247542"/>
    <w:rsid w:val="00253993"/>
    <w:rsid w:val="00253A4F"/>
    <w:rsid w:val="00261578"/>
    <w:rsid w:val="0026174C"/>
    <w:rsid w:val="002640A8"/>
    <w:rsid w:val="00266B61"/>
    <w:rsid w:val="0026712A"/>
    <w:rsid w:val="002678E1"/>
    <w:rsid w:val="002704DB"/>
    <w:rsid w:val="002738A4"/>
    <w:rsid w:val="00274B08"/>
    <w:rsid w:val="002805FB"/>
    <w:rsid w:val="00280B37"/>
    <w:rsid w:val="00284868"/>
    <w:rsid w:val="00284E46"/>
    <w:rsid w:val="002878D8"/>
    <w:rsid w:val="00291449"/>
    <w:rsid w:val="00291B41"/>
    <w:rsid w:val="00292B66"/>
    <w:rsid w:val="002A0AAE"/>
    <w:rsid w:val="002A43B0"/>
    <w:rsid w:val="002A5820"/>
    <w:rsid w:val="002A6870"/>
    <w:rsid w:val="002B1533"/>
    <w:rsid w:val="002B15B4"/>
    <w:rsid w:val="002C533A"/>
    <w:rsid w:val="002C5B18"/>
    <w:rsid w:val="002D2B26"/>
    <w:rsid w:val="002D7EA2"/>
    <w:rsid w:val="002E187C"/>
    <w:rsid w:val="002E39F7"/>
    <w:rsid w:val="002E5103"/>
    <w:rsid w:val="002E516C"/>
    <w:rsid w:val="002E6C98"/>
    <w:rsid w:val="002E733F"/>
    <w:rsid w:val="002F3F8C"/>
    <w:rsid w:val="002F5D52"/>
    <w:rsid w:val="00302733"/>
    <w:rsid w:val="003040AB"/>
    <w:rsid w:val="00304171"/>
    <w:rsid w:val="0030516A"/>
    <w:rsid w:val="00305835"/>
    <w:rsid w:val="00306F33"/>
    <w:rsid w:val="00314078"/>
    <w:rsid w:val="0031535D"/>
    <w:rsid w:val="003239B8"/>
    <w:rsid w:val="003248A6"/>
    <w:rsid w:val="00325B3D"/>
    <w:rsid w:val="00327072"/>
    <w:rsid w:val="0033169F"/>
    <w:rsid w:val="00332232"/>
    <w:rsid w:val="00334BF5"/>
    <w:rsid w:val="00337472"/>
    <w:rsid w:val="00344977"/>
    <w:rsid w:val="003459D0"/>
    <w:rsid w:val="00346C95"/>
    <w:rsid w:val="003523F5"/>
    <w:rsid w:val="00356185"/>
    <w:rsid w:val="003568AD"/>
    <w:rsid w:val="00357269"/>
    <w:rsid w:val="00360380"/>
    <w:rsid w:val="00363074"/>
    <w:rsid w:val="003728C2"/>
    <w:rsid w:val="003744E8"/>
    <w:rsid w:val="0037519E"/>
    <w:rsid w:val="0037725C"/>
    <w:rsid w:val="00380295"/>
    <w:rsid w:val="00381661"/>
    <w:rsid w:val="003856A9"/>
    <w:rsid w:val="00386CF0"/>
    <w:rsid w:val="0039052A"/>
    <w:rsid w:val="003A4D4D"/>
    <w:rsid w:val="003B15CE"/>
    <w:rsid w:val="003B70FB"/>
    <w:rsid w:val="003B7105"/>
    <w:rsid w:val="003C0D9B"/>
    <w:rsid w:val="003C676B"/>
    <w:rsid w:val="003D31E7"/>
    <w:rsid w:val="003D337C"/>
    <w:rsid w:val="003D3BC2"/>
    <w:rsid w:val="003D67A9"/>
    <w:rsid w:val="003E51E9"/>
    <w:rsid w:val="003E6CA1"/>
    <w:rsid w:val="003F333E"/>
    <w:rsid w:val="003F48E9"/>
    <w:rsid w:val="003F5154"/>
    <w:rsid w:val="00400217"/>
    <w:rsid w:val="00405F9C"/>
    <w:rsid w:val="004065A8"/>
    <w:rsid w:val="00410B10"/>
    <w:rsid w:val="00412879"/>
    <w:rsid w:val="004156D7"/>
    <w:rsid w:val="004165C2"/>
    <w:rsid w:val="00416A6D"/>
    <w:rsid w:val="004205D0"/>
    <w:rsid w:val="0042101C"/>
    <w:rsid w:val="00423849"/>
    <w:rsid w:val="004241A0"/>
    <w:rsid w:val="00427B38"/>
    <w:rsid w:val="004342A2"/>
    <w:rsid w:val="00441827"/>
    <w:rsid w:val="00441ECB"/>
    <w:rsid w:val="00445193"/>
    <w:rsid w:val="0044643F"/>
    <w:rsid w:val="0045796E"/>
    <w:rsid w:val="00461C5E"/>
    <w:rsid w:val="00462C1B"/>
    <w:rsid w:val="004666EB"/>
    <w:rsid w:val="00467B7E"/>
    <w:rsid w:val="00473BB4"/>
    <w:rsid w:val="00477592"/>
    <w:rsid w:val="004802D3"/>
    <w:rsid w:val="004803DE"/>
    <w:rsid w:val="00480BD1"/>
    <w:rsid w:val="00486F1C"/>
    <w:rsid w:val="0049419D"/>
    <w:rsid w:val="00494F22"/>
    <w:rsid w:val="004A057B"/>
    <w:rsid w:val="004A1A74"/>
    <w:rsid w:val="004A6A54"/>
    <w:rsid w:val="004A754F"/>
    <w:rsid w:val="004B2C41"/>
    <w:rsid w:val="004B421C"/>
    <w:rsid w:val="004B5553"/>
    <w:rsid w:val="004C082B"/>
    <w:rsid w:val="004C20D2"/>
    <w:rsid w:val="004C2312"/>
    <w:rsid w:val="004C4B62"/>
    <w:rsid w:val="004C54C9"/>
    <w:rsid w:val="004D4ABA"/>
    <w:rsid w:val="004D6025"/>
    <w:rsid w:val="004E013A"/>
    <w:rsid w:val="004E1AB4"/>
    <w:rsid w:val="004E2649"/>
    <w:rsid w:val="004E5C96"/>
    <w:rsid w:val="004F1840"/>
    <w:rsid w:val="004F1B17"/>
    <w:rsid w:val="004F626F"/>
    <w:rsid w:val="004F7A30"/>
    <w:rsid w:val="00501399"/>
    <w:rsid w:val="005040B1"/>
    <w:rsid w:val="005047ED"/>
    <w:rsid w:val="0050633D"/>
    <w:rsid w:val="00507BC4"/>
    <w:rsid w:val="005128E4"/>
    <w:rsid w:val="005133DB"/>
    <w:rsid w:val="00514504"/>
    <w:rsid w:val="00516EF3"/>
    <w:rsid w:val="00521E1F"/>
    <w:rsid w:val="0052519C"/>
    <w:rsid w:val="00525560"/>
    <w:rsid w:val="005330EE"/>
    <w:rsid w:val="00535856"/>
    <w:rsid w:val="00535BE0"/>
    <w:rsid w:val="005403A2"/>
    <w:rsid w:val="005408A2"/>
    <w:rsid w:val="00544C49"/>
    <w:rsid w:val="005458E4"/>
    <w:rsid w:val="00546E88"/>
    <w:rsid w:val="005511FD"/>
    <w:rsid w:val="005516A1"/>
    <w:rsid w:val="005517F8"/>
    <w:rsid w:val="0055373E"/>
    <w:rsid w:val="0055521B"/>
    <w:rsid w:val="005559EF"/>
    <w:rsid w:val="005621AD"/>
    <w:rsid w:val="005627DD"/>
    <w:rsid w:val="00563557"/>
    <w:rsid w:val="00564015"/>
    <w:rsid w:val="0057402A"/>
    <w:rsid w:val="005771D0"/>
    <w:rsid w:val="00585D5C"/>
    <w:rsid w:val="0059191A"/>
    <w:rsid w:val="005921FF"/>
    <w:rsid w:val="0059237D"/>
    <w:rsid w:val="005A07F0"/>
    <w:rsid w:val="005A24ED"/>
    <w:rsid w:val="005A6D0E"/>
    <w:rsid w:val="005B039F"/>
    <w:rsid w:val="005B2E0D"/>
    <w:rsid w:val="005B52B0"/>
    <w:rsid w:val="005B6806"/>
    <w:rsid w:val="005C30B0"/>
    <w:rsid w:val="005C31B9"/>
    <w:rsid w:val="005C4225"/>
    <w:rsid w:val="005C5ABC"/>
    <w:rsid w:val="005C5B02"/>
    <w:rsid w:val="005D46EA"/>
    <w:rsid w:val="005D6869"/>
    <w:rsid w:val="005D70AA"/>
    <w:rsid w:val="005F0DAD"/>
    <w:rsid w:val="005F0F33"/>
    <w:rsid w:val="005F3595"/>
    <w:rsid w:val="005F3F88"/>
    <w:rsid w:val="005F6245"/>
    <w:rsid w:val="00600DEB"/>
    <w:rsid w:val="00603BA0"/>
    <w:rsid w:val="006051A0"/>
    <w:rsid w:val="00606B5E"/>
    <w:rsid w:val="006101A2"/>
    <w:rsid w:val="006114A0"/>
    <w:rsid w:val="0061461E"/>
    <w:rsid w:val="00620C38"/>
    <w:rsid w:val="00627562"/>
    <w:rsid w:val="00627C9F"/>
    <w:rsid w:val="006311E9"/>
    <w:rsid w:val="00632354"/>
    <w:rsid w:val="00635421"/>
    <w:rsid w:val="00635B94"/>
    <w:rsid w:val="00637038"/>
    <w:rsid w:val="00637275"/>
    <w:rsid w:val="006404C3"/>
    <w:rsid w:val="00642810"/>
    <w:rsid w:val="0064403C"/>
    <w:rsid w:val="00652333"/>
    <w:rsid w:val="00652938"/>
    <w:rsid w:val="00660480"/>
    <w:rsid w:val="00660E83"/>
    <w:rsid w:val="00664052"/>
    <w:rsid w:val="00667CB4"/>
    <w:rsid w:val="00673351"/>
    <w:rsid w:val="00673C7E"/>
    <w:rsid w:val="006760CA"/>
    <w:rsid w:val="00676794"/>
    <w:rsid w:val="00676B28"/>
    <w:rsid w:val="0068009E"/>
    <w:rsid w:val="00682474"/>
    <w:rsid w:val="00685450"/>
    <w:rsid w:val="00686178"/>
    <w:rsid w:val="00692219"/>
    <w:rsid w:val="00693EB9"/>
    <w:rsid w:val="00697145"/>
    <w:rsid w:val="006A17D2"/>
    <w:rsid w:val="006A2CE3"/>
    <w:rsid w:val="006A73E6"/>
    <w:rsid w:val="006B2D5C"/>
    <w:rsid w:val="006C0ECF"/>
    <w:rsid w:val="006C1C8C"/>
    <w:rsid w:val="006C4EB1"/>
    <w:rsid w:val="006D72EB"/>
    <w:rsid w:val="006E0166"/>
    <w:rsid w:val="006E2FFB"/>
    <w:rsid w:val="006E3BAD"/>
    <w:rsid w:val="006E7B34"/>
    <w:rsid w:val="006F3F6D"/>
    <w:rsid w:val="00705CFF"/>
    <w:rsid w:val="00706556"/>
    <w:rsid w:val="00706596"/>
    <w:rsid w:val="0070697F"/>
    <w:rsid w:val="007103C4"/>
    <w:rsid w:val="00712D48"/>
    <w:rsid w:val="00715C19"/>
    <w:rsid w:val="0072199C"/>
    <w:rsid w:val="0072288A"/>
    <w:rsid w:val="00722C9F"/>
    <w:rsid w:val="00723817"/>
    <w:rsid w:val="007253B8"/>
    <w:rsid w:val="0073487D"/>
    <w:rsid w:val="00737314"/>
    <w:rsid w:val="0073741F"/>
    <w:rsid w:val="00737ED2"/>
    <w:rsid w:val="00743803"/>
    <w:rsid w:val="00747819"/>
    <w:rsid w:val="00750BAB"/>
    <w:rsid w:val="0075283E"/>
    <w:rsid w:val="0075590E"/>
    <w:rsid w:val="0076643F"/>
    <w:rsid w:val="00766BBA"/>
    <w:rsid w:val="007720FF"/>
    <w:rsid w:val="00777F63"/>
    <w:rsid w:val="00783EC3"/>
    <w:rsid w:val="00785B6C"/>
    <w:rsid w:val="00791DD3"/>
    <w:rsid w:val="00793F1C"/>
    <w:rsid w:val="007A0612"/>
    <w:rsid w:val="007A0A93"/>
    <w:rsid w:val="007A2194"/>
    <w:rsid w:val="007A5817"/>
    <w:rsid w:val="007B05C4"/>
    <w:rsid w:val="007B2335"/>
    <w:rsid w:val="007B44CC"/>
    <w:rsid w:val="007B53DD"/>
    <w:rsid w:val="007B60E9"/>
    <w:rsid w:val="007B6595"/>
    <w:rsid w:val="007B6CC3"/>
    <w:rsid w:val="007B76D3"/>
    <w:rsid w:val="007B79D5"/>
    <w:rsid w:val="007C105C"/>
    <w:rsid w:val="007C3334"/>
    <w:rsid w:val="007C55DF"/>
    <w:rsid w:val="007C6179"/>
    <w:rsid w:val="007C6835"/>
    <w:rsid w:val="007D1789"/>
    <w:rsid w:val="007D2B98"/>
    <w:rsid w:val="007D5457"/>
    <w:rsid w:val="007E16F7"/>
    <w:rsid w:val="007E21BC"/>
    <w:rsid w:val="007E31E8"/>
    <w:rsid w:val="007E64CF"/>
    <w:rsid w:val="007E6888"/>
    <w:rsid w:val="007E7592"/>
    <w:rsid w:val="007E778E"/>
    <w:rsid w:val="007E7C82"/>
    <w:rsid w:val="007F01D7"/>
    <w:rsid w:val="007F2A55"/>
    <w:rsid w:val="007F2AA1"/>
    <w:rsid w:val="007F40EF"/>
    <w:rsid w:val="007F588D"/>
    <w:rsid w:val="007F7DBA"/>
    <w:rsid w:val="00803F1C"/>
    <w:rsid w:val="0080600E"/>
    <w:rsid w:val="00812CB0"/>
    <w:rsid w:val="00814688"/>
    <w:rsid w:val="00817612"/>
    <w:rsid w:val="00817A45"/>
    <w:rsid w:val="008273F0"/>
    <w:rsid w:val="008314CE"/>
    <w:rsid w:val="008338A4"/>
    <w:rsid w:val="00834D49"/>
    <w:rsid w:val="00834FB4"/>
    <w:rsid w:val="00837C45"/>
    <w:rsid w:val="00841CD0"/>
    <w:rsid w:val="0084236E"/>
    <w:rsid w:val="008431BA"/>
    <w:rsid w:val="0084454F"/>
    <w:rsid w:val="00844730"/>
    <w:rsid w:val="008457C2"/>
    <w:rsid w:val="00847767"/>
    <w:rsid w:val="00857919"/>
    <w:rsid w:val="00857A82"/>
    <w:rsid w:val="00861490"/>
    <w:rsid w:val="00861563"/>
    <w:rsid w:val="0087004B"/>
    <w:rsid w:val="008710B7"/>
    <w:rsid w:val="0087197A"/>
    <w:rsid w:val="00872CBE"/>
    <w:rsid w:val="00873836"/>
    <w:rsid w:val="008778B7"/>
    <w:rsid w:val="00882A97"/>
    <w:rsid w:val="00885737"/>
    <w:rsid w:val="00890650"/>
    <w:rsid w:val="00891115"/>
    <w:rsid w:val="00893F0C"/>
    <w:rsid w:val="008944DC"/>
    <w:rsid w:val="00895758"/>
    <w:rsid w:val="00895F48"/>
    <w:rsid w:val="00897E12"/>
    <w:rsid w:val="008A1721"/>
    <w:rsid w:val="008A5C6E"/>
    <w:rsid w:val="008A7E0F"/>
    <w:rsid w:val="008B089E"/>
    <w:rsid w:val="008B12F5"/>
    <w:rsid w:val="008B35F2"/>
    <w:rsid w:val="008C5E2D"/>
    <w:rsid w:val="008D11C5"/>
    <w:rsid w:val="008D768D"/>
    <w:rsid w:val="008E2546"/>
    <w:rsid w:val="008E3759"/>
    <w:rsid w:val="008E3BFE"/>
    <w:rsid w:val="008E66C5"/>
    <w:rsid w:val="008F1912"/>
    <w:rsid w:val="0090270B"/>
    <w:rsid w:val="009041DC"/>
    <w:rsid w:val="00906AA1"/>
    <w:rsid w:val="00910CE7"/>
    <w:rsid w:val="00913A84"/>
    <w:rsid w:val="00917B5A"/>
    <w:rsid w:val="00920A58"/>
    <w:rsid w:val="00920A8C"/>
    <w:rsid w:val="00934A2C"/>
    <w:rsid w:val="0093517F"/>
    <w:rsid w:val="00941FC4"/>
    <w:rsid w:val="009457A6"/>
    <w:rsid w:val="00953A17"/>
    <w:rsid w:val="0095540A"/>
    <w:rsid w:val="00955D72"/>
    <w:rsid w:val="00957C0E"/>
    <w:rsid w:val="00966A1A"/>
    <w:rsid w:val="0096706E"/>
    <w:rsid w:val="009674E4"/>
    <w:rsid w:val="00971F9F"/>
    <w:rsid w:val="00973A6E"/>
    <w:rsid w:val="00973F6A"/>
    <w:rsid w:val="00974312"/>
    <w:rsid w:val="00974491"/>
    <w:rsid w:val="00974931"/>
    <w:rsid w:val="009752A7"/>
    <w:rsid w:val="00975C4E"/>
    <w:rsid w:val="009773CC"/>
    <w:rsid w:val="009777F6"/>
    <w:rsid w:val="00981FBA"/>
    <w:rsid w:val="00982364"/>
    <w:rsid w:val="00983760"/>
    <w:rsid w:val="009840C7"/>
    <w:rsid w:val="00996280"/>
    <w:rsid w:val="00997BC5"/>
    <w:rsid w:val="009A4F41"/>
    <w:rsid w:val="009B0226"/>
    <w:rsid w:val="009B1141"/>
    <w:rsid w:val="009B381B"/>
    <w:rsid w:val="009B7B09"/>
    <w:rsid w:val="009C009E"/>
    <w:rsid w:val="009C111C"/>
    <w:rsid w:val="009C3275"/>
    <w:rsid w:val="009D1753"/>
    <w:rsid w:val="009D2D7C"/>
    <w:rsid w:val="009D30CA"/>
    <w:rsid w:val="009D7611"/>
    <w:rsid w:val="009E0B61"/>
    <w:rsid w:val="009E53DE"/>
    <w:rsid w:val="009E7F46"/>
    <w:rsid w:val="009F74EF"/>
    <w:rsid w:val="00A004BB"/>
    <w:rsid w:val="00A04DF9"/>
    <w:rsid w:val="00A11212"/>
    <w:rsid w:val="00A1150A"/>
    <w:rsid w:val="00A11E44"/>
    <w:rsid w:val="00A123CB"/>
    <w:rsid w:val="00A1740A"/>
    <w:rsid w:val="00A21438"/>
    <w:rsid w:val="00A2366E"/>
    <w:rsid w:val="00A2403D"/>
    <w:rsid w:val="00A2648A"/>
    <w:rsid w:val="00A30100"/>
    <w:rsid w:val="00A31DE9"/>
    <w:rsid w:val="00A328B3"/>
    <w:rsid w:val="00A3329B"/>
    <w:rsid w:val="00A34797"/>
    <w:rsid w:val="00A42CE5"/>
    <w:rsid w:val="00A46FD5"/>
    <w:rsid w:val="00A50B7A"/>
    <w:rsid w:val="00A50FCF"/>
    <w:rsid w:val="00A528D1"/>
    <w:rsid w:val="00A53688"/>
    <w:rsid w:val="00A54CEE"/>
    <w:rsid w:val="00A6023F"/>
    <w:rsid w:val="00A610CD"/>
    <w:rsid w:val="00A63DCF"/>
    <w:rsid w:val="00A64D2B"/>
    <w:rsid w:val="00A654BB"/>
    <w:rsid w:val="00A734DC"/>
    <w:rsid w:val="00A758AA"/>
    <w:rsid w:val="00A84CD7"/>
    <w:rsid w:val="00A9343F"/>
    <w:rsid w:val="00A955F6"/>
    <w:rsid w:val="00A95FC1"/>
    <w:rsid w:val="00A96DAD"/>
    <w:rsid w:val="00AA09A2"/>
    <w:rsid w:val="00AA7996"/>
    <w:rsid w:val="00AA7EAD"/>
    <w:rsid w:val="00AB3141"/>
    <w:rsid w:val="00AB3F6B"/>
    <w:rsid w:val="00AB4C17"/>
    <w:rsid w:val="00AC01A2"/>
    <w:rsid w:val="00AC19CB"/>
    <w:rsid w:val="00AC5AE7"/>
    <w:rsid w:val="00AE1078"/>
    <w:rsid w:val="00AE1EE6"/>
    <w:rsid w:val="00AE22E2"/>
    <w:rsid w:val="00AE27F4"/>
    <w:rsid w:val="00AE3067"/>
    <w:rsid w:val="00AE3244"/>
    <w:rsid w:val="00AE5488"/>
    <w:rsid w:val="00AE62FC"/>
    <w:rsid w:val="00AE6F91"/>
    <w:rsid w:val="00AF1AF9"/>
    <w:rsid w:val="00AF5571"/>
    <w:rsid w:val="00AF7199"/>
    <w:rsid w:val="00B0247A"/>
    <w:rsid w:val="00B050D2"/>
    <w:rsid w:val="00B06FF5"/>
    <w:rsid w:val="00B07341"/>
    <w:rsid w:val="00B10793"/>
    <w:rsid w:val="00B12D92"/>
    <w:rsid w:val="00B30539"/>
    <w:rsid w:val="00B314DB"/>
    <w:rsid w:val="00B35F9F"/>
    <w:rsid w:val="00B361F2"/>
    <w:rsid w:val="00B3625E"/>
    <w:rsid w:val="00B3718B"/>
    <w:rsid w:val="00B3745F"/>
    <w:rsid w:val="00B42C02"/>
    <w:rsid w:val="00B4632A"/>
    <w:rsid w:val="00B530F1"/>
    <w:rsid w:val="00B63DD8"/>
    <w:rsid w:val="00B65E41"/>
    <w:rsid w:val="00B70C57"/>
    <w:rsid w:val="00B83158"/>
    <w:rsid w:val="00B8367C"/>
    <w:rsid w:val="00B8394D"/>
    <w:rsid w:val="00B862F9"/>
    <w:rsid w:val="00B87101"/>
    <w:rsid w:val="00B90889"/>
    <w:rsid w:val="00B909C7"/>
    <w:rsid w:val="00B93D7F"/>
    <w:rsid w:val="00B9716F"/>
    <w:rsid w:val="00BA2401"/>
    <w:rsid w:val="00BA276C"/>
    <w:rsid w:val="00BA27E4"/>
    <w:rsid w:val="00BA31EE"/>
    <w:rsid w:val="00BA383F"/>
    <w:rsid w:val="00BB019D"/>
    <w:rsid w:val="00BB27F4"/>
    <w:rsid w:val="00BB306F"/>
    <w:rsid w:val="00BB562C"/>
    <w:rsid w:val="00BB66C8"/>
    <w:rsid w:val="00BB6B26"/>
    <w:rsid w:val="00BB7130"/>
    <w:rsid w:val="00BC31F2"/>
    <w:rsid w:val="00BC3F49"/>
    <w:rsid w:val="00BC4CEA"/>
    <w:rsid w:val="00BD0FF5"/>
    <w:rsid w:val="00BD1316"/>
    <w:rsid w:val="00BD4655"/>
    <w:rsid w:val="00BD4B89"/>
    <w:rsid w:val="00BD5922"/>
    <w:rsid w:val="00BE2FF6"/>
    <w:rsid w:val="00BF02CB"/>
    <w:rsid w:val="00BF264E"/>
    <w:rsid w:val="00BF3770"/>
    <w:rsid w:val="00BF5A36"/>
    <w:rsid w:val="00BF6FD8"/>
    <w:rsid w:val="00C03680"/>
    <w:rsid w:val="00C054DF"/>
    <w:rsid w:val="00C10E34"/>
    <w:rsid w:val="00C21762"/>
    <w:rsid w:val="00C21FEF"/>
    <w:rsid w:val="00C23BA4"/>
    <w:rsid w:val="00C24543"/>
    <w:rsid w:val="00C25514"/>
    <w:rsid w:val="00C256A2"/>
    <w:rsid w:val="00C25ADB"/>
    <w:rsid w:val="00C318F3"/>
    <w:rsid w:val="00C3243D"/>
    <w:rsid w:val="00C338EC"/>
    <w:rsid w:val="00C34A5B"/>
    <w:rsid w:val="00C51515"/>
    <w:rsid w:val="00C51BE0"/>
    <w:rsid w:val="00C5660B"/>
    <w:rsid w:val="00C56831"/>
    <w:rsid w:val="00C64F8D"/>
    <w:rsid w:val="00C66B72"/>
    <w:rsid w:val="00C70619"/>
    <w:rsid w:val="00C720E8"/>
    <w:rsid w:val="00C721DB"/>
    <w:rsid w:val="00C7466C"/>
    <w:rsid w:val="00C76CAA"/>
    <w:rsid w:val="00C81094"/>
    <w:rsid w:val="00C813A3"/>
    <w:rsid w:val="00C8359E"/>
    <w:rsid w:val="00C85765"/>
    <w:rsid w:val="00C866C7"/>
    <w:rsid w:val="00C87AC4"/>
    <w:rsid w:val="00C9124E"/>
    <w:rsid w:val="00C91C88"/>
    <w:rsid w:val="00C92925"/>
    <w:rsid w:val="00C9316B"/>
    <w:rsid w:val="00C9567A"/>
    <w:rsid w:val="00CA6E9E"/>
    <w:rsid w:val="00CB16C7"/>
    <w:rsid w:val="00CB1A41"/>
    <w:rsid w:val="00CB212D"/>
    <w:rsid w:val="00CB22B8"/>
    <w:rsid w:val="00CB2660"/>
    <w:rsid w:val="00CB31A7"/>
    <w:rsid w:val="00CB3F74"/>
    <w:rsid w:val="00CB7424"/>
    <w:rsid w:val="00CC5E90"/>
    <w:rsid w:val="00CD046C"/>
    <w:rsid w:val="00CD443B"/>
    <w:rsid w:val="00CE076C"/>
    <w:rsid w:val="00CE0C66"/>
    <w:rsid w:val="00CE0F8B"/>
    <w:rsid w:val="00CE4A5B"/>
    <w:rsid w:val="00CE5199"/>
    <w:rsid w:val="00CE66D5"/>
    <w:rsid w:val="00CF637A"/>
    <w:rsid w:val="00CF7022"/>
    <w:rsid w:val="00CF7F7A"/>
    <w:rsid w:val="00D02C81"/>
    <w:rsid w:val="00D04EC2"/>
    <w:rsid w:val="00D059DE"/>
    <w:rsid w:val="00D05ABD"/>
    <w:rsid w:val="00D13321"/>
    <w:rsid w:val="00D13873"/>
    <w:rsid w:val="00D13FCE"/>
    <w:rsid w:val="00D27519"/>
    <w:rsid w:val="00D306D1"/>
    <w:rsid w:val="00D30800"/>
    <w:rsid w:val="00D34786"/>
    <w:rsid w:val="00D34D00"/>
    <w:rsid w:val="00D37BFC"/>
    <w:rsid w:val="00D41CBD"/>
    <w:rsid w:val="00D471A2"/>
    <w:rsid w:val="00D47A8E"/>
    <w:rsid w:val="00D47C29"/>
    <w:rsid w:val="00D507D0"/>
    <w:rsid w:val="00D52D14"/>
    <w:rsid w:val="00D53EC6"/>
    <w:rsid w:val="00D57C4B"/>
    <w:rsid w:val="00D6739A"/>
    <w:rsid w:val="00D712D3"/>
    <w:rsid w:val="00D71422"/>
    <w:rsid w:val="00D72DC6"/>
    <w:rsid w:val="00D7558D"/>
    <w:rsid w:val="00D77CAD"/>
    <w:rsid w:val="00D81D92"/>
    <w:rsid w:val="00D844B4"/>
    <w:rsid w:val="00D8769D"/>
    <w:rsid w:val="00D876F9"/>
    <w:rsid w:val="00D87AC2"/>
    <w:rsid w:val="00D90C3E"/>
    <w:rsid w:val="00D92F63"/>
    <w:rsid w:val="00D9403D"/>
    <w:rsid w:val="00D958A8"/>
    <w:rsid w:val="00DA647E"/>
    <w:rsid w:val="00DA7B5F"/>
    <w:rsid w:val="00DB2530"/>
    <w:rsid w:val="00DB27E3"/>
    <w:rsid w:val="00DC11E7"/>
    <w:rsid w:val="00DC24E3"/>
    <w:rsid w:val="00DC466A"/>
    <w:rsid w:val="00DC7023"/>
    <w:rsid w:val="00DC769A"/>
    <w:rsid w:val="00DC7950"/>
    <w:rsid w:val="00DD227E"/>
    <w:rsid w:val="00DD3D86"/>
    <w:rsid w:val="00DD4AD2"/>
    <w:rsid w:val="00DD4C26"/>
    <w:rsid w:val="00DE0A58"/>
    <w:rsid w:val="00DE10D7"/>
    <w:rsid w:val="00DE1C05"/>
    <w:rsid w:val="00DE2862"/>
    <w:rsid w:val="00DE2B30"/>
    <w:rsid w:val="00DF1EC4"/>
    <w:rsid w:val="00DF2FFA"/>
    <w:rsid w:val="00DF4D42"/>
    <w:rsid w:val="00DF6877"/>
    <w:rsid w:val="00E017C5"/>
    <w:rsid w:val="00E01C97"/>
    <w:rsid w:val="00E0340B"/>
    <w:rsid w:val="00E0371E"/>
    <w:rsid w:val="00E038D4"/>
    <w:rsid w:val="00E04A29"/>
    <w:rsid w:val="00E04A90"/>
    <w:rsid w:val="00E0551F"/>
    <w:rsid w:val="00E10858"/>
    <w:rsid w:val="00E146F0"/>
    <w:rsid w:val="00E15774"/>
    <w:rsid w:val="00E161B2"/>
    <w:rsid w:val="00E219C7"/>
    <w:rsid w:val="00E21ED9"/>
    <w:rsid w:val="00E2321A"/>
    <w:rsid w:val="00E247AD"/>
    <w:rsid w:val="00E265E3"/>
    <w:rsid w:val="00E27DF3"/>
    <w:rsid w:val="00E300D7"/>
    <w:rsid w:val="00E313D1"/>
    <w:rsid w:val="00E31E56"/>
    <w:rsid w:val="00E375DF"/>
    <w:rsid w:val="00E40CE4"/>
    <w:rsid w:val="00E40E47"/>
    <w:rsid w:val="00E4118C"/>
    <w:rsid w:val="00E43157"/>
    <w:rsid w:val="00E44954"/>
    <w:rsid w:val="00E461CE"/>
    <w:rsid w:val="00E47F04"/>
    <w:rsid w:val="00E54FF5"/>
    <w:rsid w:val="00E56336"/>
    <w:rsid w:val="00E573E4"/>
    <w:rsid w:val="00E64C3D"/>
    <w:rsid w:val="00E64E86"/>
    <w:rsid w:val="00E720CA"/>
    <w:rsid w:val="00E811FD"/>
    <w:rsid w:val="00E84EB5"/>
    <w:rsid w:val="00E85662"/>
    <w:rsid w:val="00E8789F"/>
    <w:rsid w:val="00E91BCA"/>
    <w:rsid w:val="00E959BA"/>
    <w:rsid w:val="00E9667E"/>
    <w:rsid w:val="00E96F43"/>
    <w:rsid w:val="00E97B71"/>
    <w:rsid w:val="00EA26F0"/>
    <w:rsid w:val="00EA3D34"/>
    <w:rsid w:val="00EA5E51"/>
    <w:rsid w:val="00EA641E"/>
    <w:rsid w:val="00EB0BBE"/>
    <w:rsid w:val="00EB0D15"/>
    <w:rsid w:val="00EB454D"/>
    <w:rsid w:val="00EB77C7"/>
    <w:rsid w:val="00EC3C33"/>
    <w:rsid w:val="00EC7D85"/>
    <w:rsid w:val="00ED0D11"/>
    <w:rsid w:val="00ED549D"/>
    <w:rsid w:val="00ED5E10"/>
    <w:rsid w:val="00ED6F85"/>
    <w:rsid w:val="00ED76BE"/>
    <w:rsid w:val="00EE00E9"/>
    <w:rsid w:val="00EE36C0"/>
    <w:rsid w:val="00EE4586"/>
    <w:rsid w:val="00EF0606"/>
    <w:rsid w:val="00EF1AAA"/>
    <w:rsid w:val="00EF4ED0"/>
    <w:rsid w:val="00EF619B"/>
    <w:rsid w:val="00EF7EB3"/>
    <w:rsid w:val="00F00B55"/>
    <w:rsid w:val="00F00BC5"/>
    <w:rsid w:val="00F02AD1"/>
    <w:rsid w:val="00F046D0"/>
    <w:rsid w:val="00F06B84"/>
    <w:rsid w:val="00F17870"/>
    <w:rsid w:val="00F253CC"/>
    <w:rsid w:val="00F26F8C"/>
    <w:rsid w:val="00F3059A"/>
    <w:rsid w:val="00F3182C"/>
    <w:rsid w:val="00F33C9E"/>
    <w:rsid w:val="00F37106"/>
    <w:rsid w:val="00F40CA7"/>
    <w:rsid w:val="00F44E25"/>
    <w:rsid w:val="00F45B1C"/>
    <w:rsid w:val="00F465C4"/>
    <w:rsid w:val="00F519CF"/>
    <w:rsid w:val="00F51B08"/>
    <w:rsid w:val="00F54C18"/>
    <w:rsid w:val="00F56BA5"/>
    <w:rsid w:val="00F60C89"/>
    <w:rsid w:val="00F60E22"/>
    <w:rsid w:val="00F65504"/>
    <w:rsid w:val="00F711C3"/>
    <w:rsid w:val="00F71A7B"/>
    <w:rsid w:val="00F71CEE"/>
    <w:rsid w:val="00F80D59"/>
    <w:rsid w:val="00F81395"/>
    <w:rsid w:val="00F81BB8"/>
    <w:rsid w:val="00F8227D"/>
    <w:rsid w:val="00F84DAF"/>
    <w:rsid w:val="00F90926"/>
    <w:rsid w:val="00F90C64"/>
    <w:rsid w:val="00F917D1"/>
    <w:rsid w:val="00F94136"/>
    <w:rsid w:val="00F95C17"/>
    <w:rsid w:val="00F9653B"/>
    <w:rsid w:val="00FA6AEF"/>
    <w:rsid w:val="00FB441B"/>
    <w:rsid w:val="00FB507A"/>
    <w:rsid w:val="00FB50BC"/>
    <w:rsid w:val="00FB62CF"/>
    <w:rsid w:val="00FC2060"/>
    <w:rsid w:val="00FC5851"/>
    <w:rsid w:val="00FC6136"/>
    <w:rsid w:val="00FC6219"/>
    <w:rsid w:val="00FC66E2"/>
    <w:rsid w:val="00FD0F47"/>
    <w:rsid w:val="00FD3C3B"/>
    <w:rsid w:val="00FD4A99"/>
    <w:rsid w:val="00FD6EC9"/>
    <w:rsid w:val="00FE07DD"/>
    <w:rsid w:val="00FE0AF1"/>
    <w:rsid w:val="00FE6060"/>
    <w:rsid w:val="00FE6B45"/>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13873"/>
  </w:style>
  <w:style w:type="paragraph" w:styleId="Revision">
    <w:name w:val="Revision"/>
    <w:hidden/>
    <w:uiPriority w:val="99"/>
    <w:semiHidden/>
    <w:rsid w:val="00606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1">
    <w:name w:val="1"/>
    <w:basedOn w:val="Normal"/>
    <w:rsid w:val="00264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8273F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273F0"/>
  </w:style>
  <w:style w:type="character" w:customStyle="1" w:styleId="eop">
    <w:name w:val="eop"/>
    <w:basedOn w:val="DefaultParagraphFont"/>
    <w:rsid w:val="0082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17658017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316687188">
      <w:bodyDiv w:val="1"/>
      <w:marLeft w:val="0"/>
      <w:marRight w:val="0"/>
      <w:marTop w:val="0"/>
      <w:marBottom w:val="0"/>
      <w:divBdr>
        <w:top w:val="none" w:sz="0" w:space="0" w:color="auto"/>
        <w:left w:val="none" w:sz="0" w:space="0" w:color="auto"/>
        <w:bottom w:val="none" w:sz="0" w:space="0" w:color="auto"/>
        <w:right w:val="none" w:sz="0" w:space="0" w:color="auto"/>
      </w:divBdr>
    </w:div>
    <w:div w:id="336811393">
      <w:bodyDiv w:val="1"/>
      <w:marLeft w:val="0"/>
      <w:marRight w:val="0"/>
      <w:marTop w:val="0"/>
      <w:marBottom w:val="0"/>
      <w:divBdr>
        <w:top w:val="none" w:sz="0" w:space="0" w:color="auto"/>
        <w:left w:val="none" w:sz="0" w:space="0" w:color="auto"/>
        <w:bottom w:val="none" w:sz="0" w:space="0" w:color="auto"/>
        <w:right w:val="none" w:sz="0" w:space="0" w:color="auto"/>
      </w:divBdr>
    </w:div>
    <w:div w:id="378478270">
      <w:bodyDiv w:val="1"/>
      <w:marLeft w:val="0"/>
      <w:marRight w:val="0"/>
      <w:marTop w:val="0"/>
      <w:marBottom w:val="0"/>
      <w:divBdr>
        <w:top w:val="none" w:sz="0" w:space="0" w:color="auto"/>
        <w:left w:val="none" w:sz="0" w:space="0" w:color="auto"/>
        <w:bottom w:val="none" w:sz="0" w:space="0" w:color="auto"/>
        <w:right w:val="none" w:sz="0" w:space="0" w:color="auto"/>
      </w:divBdr>
    </w:div>
    <w:div w:id="442306409">
      <w:bodyDiv w:val="1"/>
      <w:marLeft w:val="0"/>
      <w:marRight w:val="0"/>
      <w:marTop w:val="0"/>
      <w:marBottom w:val="0"/>
      <w:divBdr>
        <w:top w:val="none" w:sz="0" w:space="0" w:color="auto"/>
        <w:left w:val="none" w:sz="0" w:space="0" w:color="auto"/>
        <w:bottom w:val="none" w:sz="0" w:space="0" w:color="auto"/>
        <w:right w:val="none" w:sz="0" w:space="0" w:color="auto"/>
      </w:divBdr>
    </w:div>
    <w:div w:id="513110012">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87032680">
      <w:bodyDiv w:val="1"/>
      <w:marLeft w:val="0"/>
      <w:marRight w:val="0"/>
      <w:marTop w:val="0"/>
      <w:marBottom w:val="0"/>
      <w:divBdr>
        <w:top w:val="none" w:sz="0" w:space="0" w:color="auto"/>
        <w:left w:val="none" w:sz="0" w:space="0" w:color="auto"/>
        <w:bottom w:val="none" w:sz="0" w:space="0" w:color="auto"/>
        <w:right w:val="none" w:sz="0" w:space="0" w:color="auto"/>
      </w:divBdr>
    </w:div>
    <w:div w:id="947782144">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30779849">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3084472">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4699032">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65879939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24958977">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200821"/>
    <w:rsid w:val="002119C6"/>
    <w:rsid w:val="0025245B"/>
    <w:rsid w:val="00267B52"/>
    <w:rsid w:val="002A3923"/>
    <w:rsid w:val="00394049"/>
    <w:rsid w:val="003B0C71"/>
    <w:rsid w:val="003E4777"/>
    <w:rsid w:val="0044619E"/>
    <w:rsid w:val="004B5BBB"/>
    <w:rsid w:val="004F2DF8"/>
    <w:rsid w:val="00517E2A"/>
    <w:rsid w:val="005940CC"/>
    <w:rsid w:val="0068596D"/>
    <w:rsid w:val="006D12AA"/>
    <w:rsid w:val="006F24A1"/>
    <w:rsid w:val="00775C63"/>
    <w:rsid w:val="00834FB4"/>
    <w:rsid w:val="00863B9A"/>
    <w:rsid w:val="00875B8A"/>
    <w:rsid w:val="00886D65"/>
    <w:rsid w:val="008B35F2"/>
    <w:rsid w:val="008C0CE0"/>
    <w:rsid w:val="0093734E"/>
    <w:rsid w:val="009A261B"/>
    <w:rsid w:val="00A30204"/>
    <w:rsid w:val="00A313FB"/>
    <w:rsid w:val="00A46FD5"/>
    <w:rsid w:val="00A62A32"/>
    <w:rsid w:val="00AA2E17"/>
    <w:rsid w:val="00AC15A4"/>
    <w:rsid w:val="00B0336C"/>
    <w:rsid w:val="00B15CB6"/>
    <w:rsid w:val="00BD73DB"/>
    <w:rsid w:val="00C12607"/>
    <w:rsid w:val="00C2121D"/>
    <w:rsid w:val="00CE6EC1"/>
    <w:rsid w:val="00D241E9"/>
    <w:rsid w:val="00D6237B"/>
    <w:rsid w:val="00D7750D"/>
    <w:rsid w:val="00DD52F0"/>
    <w:rsid w:val="00E2770B"/>
    <w:rsid w:val="00E50D65"/>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3547</Words>
  <Characters>20222</Characters>
  <Application>Microsoft Office Word</Application>
  <DocSecurity>0</DocSecurity>
  <Lines>168</Lines>
  <Paragraphs>47</Paragraphs>
  <ScaleCrop>false</ScaleCrop>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2024-07-15T13:21:00Z</dcterms:created>
  <dcterms:modified xsi:type="dcterms:W3CDTF">2024-07-15T13:21:00Z</dcterms:modified>
</cp:coreProperties>
</file>