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70CF5236">
                <wp:simplePos x="0" y="0"/>
                <wp:positionH relativeFrom="column">
                  <wp:posOffset>1348966</wp:posOffset>
                </wp:positionH>
                <wp:positionV relativeFrom="paragraph">
                  <wp:posOffset>107051</wp:posOffset>
                </wp:positionV>
                <wp:extent cx="4843604"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843604"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3FE808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04DAF">
                              <w:rPr>
                                <w:rFonts w:asciiTheme="majorHAnsi" w:hAnsiTheme="majorHAnsi" w:cs="Arial"/>
                                <w:b/>
                                <w:bCs/>
                                <w:color w:val="0D0D0D" w:themeColor="text1" w:themeTint="F2"/>
                                <w:sz w:val="36"/>
                                <w:szCs w:val="22"/>
                                <w:lang w:val="es-ES_tradnl"/>
                              </w:rPr>
                              <w:t>15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612C3">
                              <w:rPr>
                                <w:rFonts w:asciiTheme="majorHAnsi" w:hAnsiTheme="majorHAnsi" w:cs="Arial"/>
                                <w:b/>
                                <w:bCs/>
                                <w:color w:val="0D0D0D" w:themeColor="text1" w:themeTint="F2"/>
                                <w:sz w:val="36"/>
                                <w:szCs w:val="22"/>
                                <w:lang w:val="es-ES_tradnl"/>
                              </w:rPr>
                              <w:t>4</w:t>
                            </w:r>
                          </w:p>
                          <w:p w14:paraId="09C54AB3" w14:textId="2611C93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61AC8">
                              <w:rPr>
                                <w:rFonts w:asciiTheme="majorHAnsi" w:hAnsiTheme="majorHAnsi" w:cs="Arial"/>
                                <w:b/>
                                <w:color w:val="0D0D0D" w:themeColor="text1" w:themeTint="F2"/>
                                <w:sz w:val="36"/>
                                <w:szCs w:val="22"/>
                                <w:lang w:val="es-ES_tradnl"/>
                              </w:rPr>
                              <w:t>5</w:t>
                            </w:r>
                            <w:r w:rsidR="009612C3">
                              <w:rPr>
                                <w:rFonts w:asciiTheme="majorHAnsi" w:hAnsiTheme="majorHAnsi" w:cs="Arial"/>
                                <w:b/>
                                <w:color w:val="0D0D0D" w:themeColor="text1" w:themeTint="F2"/>
                                <w:sz w:val="36"/>
                                <w:szCs w:val="22"/>
                                <w:lang w:val="es-ES_tradnl"/>
                              </w:rPr>
                              <w:t>19</w:t>
                            </w:r>
                            <w:r w:rsidR="00246D1F" w:rsidRPr="004E2649">
                              <w:rPr>
                                <w:rFonts w:asciiTheme="majorHAnsi" w:hAnsiTheme="majorHAnsi" w:cs="Arial"/>
                                <w:b/>
                                <w:color w:val="0D0D0D" w:themeColor="text1" w:themeTint="F2"/>
                                <w:sz w:val="36"/>
                                <w:szCs w:val="22"/>
                                <w:lang w:val="es-ES_tradnl"/>
                              </w:rPr>
                              <w:t>-</w:t>
                            </w:r>
                            <w:r w:rsidR="0016296E">
                              <w:rPr>
                                <w:rFonts w:asciiTheme="majorHAnsi" w:hAnsiTheme="majorHAnsi" w:cs="Arial"/>
                                <w:b/>
                                <w:color w:val="0D0D0D" w:themeColor="text1" w:themeTint="F2"/>
                                <w:sz w:val="36"/>
                                <w:szCs w:val="22"/>
                                <w:lang w:val="es-ES_tradnl"/>
                              </w:rPr>
                              <w:t>1</w:t>
                            </w:r>
                            <w:r w:rsidR="009612C3">
                              <w:rPr>
                                <w:rFonts w:asciiTheme="majorHAnsi" w:hAnsiTheme="majorHAnsi" w:cs="Arial"/>
                                <w:b/>
                                <w:color w:val="0D0D0D" w:themeColor="text1" w:themeTint="F2"/>
                                <w:sz w:val="36"/>
                                <w:szCs w:val="22"/>
                                <w:lang w:val="es-ES_tradnl"/>
                              </w:rPr>
                              <w:t>0</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5806288" w14:textId="576B376E" w:rsidR="009612C3" w:rsidRDefault="009612C3"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BELISARIO</w:t>
                            </w:r>
                            <w:r w:rsidRPr="009612C3">
                              <w:rPr>
                                <w:rFonts w:asciiTheme="majorHAnsi" w:hAnsiTheme="majorHAnsi" w:cs="Arial"/>
                                <w:color w:val="0D0D0D" w:themeColor="text1" w:themeTint="F2"/>
                                <w:szCs w:val="22"/>
                                <w:lang w:val="es-US"/>
                              </w:rPr>
                              <w:t xml:space="preserve"> </w:t>
                            </w:r>
                            <w:r>
                              <w:rPr>
                                <w:rFonts w:asciiTheme="majorHAnsi" w:hAnsiTheme="majorHAnsi" w:cs="Arial"/>
                                <w:color w:val="0D0D0D" w:themeColor="text1" w:themeTint="F2"/>
                                <w:szCs w:val="22"/>
                                <w:lang w:val="es-US"/>
                              </w:rPr>
                              <w:t>PÉREZ</w:t>
                            </w:r>
                            <w:r w:rsidRPr="009612C3">
                              <w:rPr>
                                <w:rFonts w:asciiTheme="majorHAnsi" w:hAnsiTheme="majorHAnsi" w:cs="Arial"/>
                                <w:color w:val="0D0D0D" w:themeColor="text1" w:themeTint="F2"/>
                                <w:szCs w:val="22"/>
                                <w:lang w:val="es-US"/>
                              </w:rPr>
                              <w:t xml:space="preserve"> </w:t>
                            </w:r>
                            <w:r>
                              <w:rPr>
                                <w:rFonts w:asciiTheme="majorHAnsi" w:hAnsiTheme="majorHAnsi" w:cs="Arial"/>
                                <w:color w:val="0D0D0D" w:themeColor="text1" w:themeTint="F2"/>
                                <w:szCs w:val="22"/>
                                <w:lang w:val="es-US"/>
                              </w:rPr>
                              <w:t>JIMÉNEZ Y DIDIER ALEXANDER GARCÍA ÁLVAREZ</w:t>
                            </w:r>
                          </w:p>
                          <w:p w14:paraId="35068D0D" w14:textId="164F9128" w:rsidR="005B52B0" w:rsidRPr="00C61AC8" w:rsidRDefault="00441E0D" w:rsidP="00997BC5">
                            <w:pPr>
                              <w:spacing w:line="276" w:lineRule="auto"/>
                              <w:rPr>
                                <w:rFonts w:asciiTheme="majorHAnsi" w:hAnsiTheme="majorHAnsi" w:cs="Arial"/>
                                <w:color w:val="0D0D0D" w:themeColor="text1" w:themeTint="F2"/>
                                <w:szCs w:val="22"/>
                                <w:lang w:val="es-US"/>
                              </w:rPr>
                            </w:pPr>
                            <w:r w:rsidRPr="00C61AC8">
                              <w:rPr>
                                <w:rFonts w:asciiTheme="majorHAnsi" w:hAnsiTheme="majorHAnsi" w:cs="Arial"/>
                                <w:color w:val="0D0D0D" w:themeColor="text1" w:themeTint="F2"/>
                                <w:szCs w:val="22"/>
                                <w:lang w:val="es-US"/>
                              </w:rPr>
                              <w:t>COSTA RICA</w:t>
                            </w:r>
                          </w:p>
                          <w:p w14:paraId="575DFD52" w14:textId="77777777" w:rsidR="005B52B0" w:rsidRPr="00C61AC8" w:rsidRDefault="005B52B0" w:rsidP="007A5817">
                            <w:pPr>
                              <w:rPr>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2pt;margin-top:8.45pt;width:381.4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" filled="f" stroked="f" strokeweight=".5pt">
                <v:textbox>
                  <w:txbxContent>
                    <w:p w14:paraId="4D9FE29C" w14:textId="73FE808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04DAF">
                        <w:rPr>
                          <w:rFonts w:asciiTheme="majorHAnsi" w:hAnsiTheme="majorHAnsi" w:cs="Arial"/>
                          <w:b/>
                          <w:bCs/>
                          <w:color w:val="0D0D0D" w:themeColor="text1" w:themeTint="F2"/>
                          <w:sz w:val="36"/>
                          <w:szCs w:val="22"/>
                          <w:lang w:val="es-ES_tradnl"/>
                        </w:rPr>
                        <w:t>15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612C3">
                        <w:rPr>
                          <w:rFonts w:asciiTheme="majorHAnsi" w:hAnsiTheme="majorHAnsi" w:cs="Arial"/>
                          <w:b/>
                          <w:bCs/>
                          <w:color w:val="0D0D0D" w:themeColor="text1" w:themeTint="F2"/>
                          <w:sz w:val="36"/>
                          <w:szCs w:val="22"/>
                          <w:lang w:val="es-ES_tradnl"/>
                        </w:rPr>
                        <w:t>4</w:t>
                      </w:r>
                    </w:p>
                    <w:p w14:paraId="09C54AB3" w14:textId="2611C93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61AC8">
                        <w:rPr>
                          <w:rFonts w:asciiTheme="majorHAnsi" w:hAnsiTheme="majorHAnsi" w:cs="Arial"/>
                          <w:b/>
                          <w:color w:val="0D0D0D" w:themeColor="text1" w:themeTint="F2"/>
                          <w:sz w:val="36"/>
                          <w:szCs w:val="22"/>
                          <w:lang w:val="es-ES_tradnl"/>
                        </w:rPr>
                        <w:t>5</w:t>
                      </w:r>
                      <w:r w:rsidR="009612C3">
                        <w:rPr>
                          <w:rFonts w:asciiTheme="majorHAnsi" w:hAnsiTheme="majorHAnsi" w:cs="Arial"/>
                          <w:b/>
                          <w:color w:val="0D0D0D" w:themeColor="text1" w:themeTint="F2"/>
                          <w:sz w:val="36"/>
                          <w:szCs w:val="22"/>
                          <w:lang w:val="es-ES_tradnl"/>
                        </w:rPr>
                        <w:t>19</w:t>
                      </w:r>
                      <w:r w:rsidR="00246D1F" w:rsidRPr="004E2649">
                        <w:rPr>
                          <w:rFonts w:asciiTheme="majorHAnsi" w:hAnsiTheme="majorHAnsi" w:cs="Arial"/>
                          <w:b/>
                          <w:color w:val="0D0D0D" w:themeColor="text1" w:themeTint="F2"/>
                          <w:sz w:val="36"/>
                          <w:szCs w:val="22"/>
                          <w:lang w:val="es-ES_tradnl"/>
                        </w:rPr>
                        <w:t>-</w:t>
                      </w:r>
                      <w:r w:rsidR="0016296E">
                        <w:rPr>
                          <w:rFonts w:asciiTheme="majorHAnsi" w:hAnsiTheme="majorHAnsi" w:cs="Arial"/>
                          <w:b/>
                          <w:color w:val="0D0D0D" w:themeColor="text1" w:themeTint="F2"/>
                          <w:sz w:val="36"/>
                          <w:szCs w:val="22"/>
                          <w:lang w:val="es-ES_tradnl"/>
                        </w:rPr>
                        <w:t>1</w:t>
                      </w:r>
                      <w:r w:rsidR="009612C3">
                        <w:rPr>
                          <w:rFonts w:asciiTheme="majorHAnsi" w:hAnsiTheme="majorHAnsi" w:cs="Arial"/>
                          <w:b/>
                          <w:color w:val="0D0D0D" w:themeColor="text1" w:themeTint="F2"/>
                          <w:sz w:val="36"/>
                          <w:szCs w:val="22"/>
                          <w:lang w:val="es-ES_tradnl"/>
                        </w:rPr>
                        <w:t>0</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5806288" w14:textId="576B376E" w:rsidR="009612C3" w:rsidRDefault="009612C3"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BELISARIO</w:t>
                      </w:r>
                      <w:r w:rsidRPr="009612C3">
                        <w:rPr>
                          <w:rFonts w:asciiTheme="majorHAnsi" w:hAnsiTheme="majorHAnsi" w:cs="Arial"/>
                          <w:color w:val="0D0D0D" w:themeColor="text1" w:themeTint="F2"/>
                          <w:szCs w:val="22"/>
                          <w:lang w:val="es-US"/>
                        </w:rPr>
                        <w:t xml:space="preserve"> </w:t>
                      </w:r>
                      <w:r>
                        <w:rPr>
                          <w:rFonts w:asciiTheme="majorHAnsi" w:hAnsiTheme="majorHAnsi" w:cs="Arial"/>
                          <w:color w:val="0D0D0D" w:themeColor="text1" w:themeTint="F2"/>
                          <w:szCs w:val="22"/>
                          <w:lang w:val="es-US"/>
                        </w:rPr>
                        <w:t>PÉREZ</w:t>
                      </w:r>
                      <w:r w:rsidRPr="009612C3">
                        <w:rPr>
                          <w:rFonts w:asciiTheme="majorHAnsi" w:hAnsiTheme="majorHAnsi" w:cs="Arial"/>
                          <w:color w:val="0D0D0D" w:themeColor="text1" w:themeTint="F2"/>
                          <w:szCs w:val="22"/>
                          <w:lang w:val="es-US"/>
                        </w:rPr>
                        <w:t xml:space="preserve"> </w:t>
                      </w:r>
                      <w:r>
                        <w:rPr>
                          <w:rFonts w:asciiTheme="majorHAnsi" w:hAnsiTheme="majorHAnsi" w:cs="Arial"/>
                          <w:color w:val="0D0D0D" w:themeColor="text1" w:themeTint="F2"/>
                          <w:szCs w:val="22"/>
                          <w:lang w:val="es-US"/>
                        </w:rPr>
                        <w:t>JIMÉNEZ Y DIDIER ALEXANDER GARCÍA ÁLVAREZ</w:t>
                      </w:r>
                    </w:p>
                    <w:p w14:paraId="35068D0D" w14:textId="164F9128" w:rsidR="005B52B0" w:rsidRPr="00C61AC8" w:rsidRDefault="00441E0D" w:rsidP="00997BC5">
                      <w:pPr>
                        <w:spacing w:line="276" w:lineRule="auto"/>
                        <w:rPr>
                          <w:rFonts w:asciiTheme="majorHAnsi" w:hAnsiTheme="majorHAnsi" w:cs="Arial"/>
                          <w:color w:val="0D0D0D" w:themeColor="text1" w:themeTint="F2"/>
                          <w:szCs w:val="22"/>
                          <w:lang w:val="es-US"/>
                        </w:rPr>
                      </w:pPr>
                      <w:r w:rsidRPr="00C61AC8">
                        <w:rPr>
                          <w:rFonts w:asciiTheme="majorHAnsi" w:hAnsiTheme="majorHAnsi" w:cs="Arial"/>
                          <w:color w:val="0D0D0D" w:themeColor="text1" w:themeTint="F2"/>
                          <w:szCs w:val="22"/>
                          <w:lang w:val="es-US"/>
                        </w:rPr>
                        <w:t>COSTA RICA</w:t>
                      </w:r>
                    </w:p>
                    <w:p w14:paraId="575DFD52" w14:textId="77777777" w:rsidR="005B52B0" w:rsidRPr="00C61AC8" w:rsidRDefault="005B52B0" w:rsidP="007A5817">
                      <w:pPr>
                        <w:rPr>
                          <w:color w:val="0D0D0D" w:themeColor="text1" w:themeTint="F2"/>
                          <w:lang w:val="es-US"/>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89F9B46" w:rsidR="00627C9F" w:rsidRPr="000E7366" w:rsidRDefault="00834D49" w:rsidP="007A5817">
                            <w:pPr>
                              <w:spacing w:line="276" w:lineRule="auto"/>
                              <w:jc w:val="right"/>
                              <w:rPr>
                                <w:rFonts w:asciiTheme="minorHAnsi" w:hAnsiTheme="minorHAnsi"/>
                                <w:color w:val="FFFFFF" w:themeColor="background1"/>
                                <w:sz w:val="22"/>
                                <w:lang w:val="es-ES"/>
                              </w:rPr>
                            </w:pPr>
                            <w:r w:rsidRPr="000E7366">
                              <w:rPr>
                                <w:rFonts w:asciiTheme="minorHAnsi" w:hAnsiTheme="minorHAnsi"/>
                                <w:color w:val="FFFFFF" w:themeColor="background1"/>
                                <w:sz w:val="22"/>
                                <w:lang w:val="es-ES"/>
                              </w:rPr>
                              <w:t>OEA/Ser.L/V/II</w:t>
                            </w:r>
                          </w:p>
                          <w:p w14:paraId="6A41611B" w14:textId="385221C5" w:rsidR="00627C9F" w:rsidRPr="000E7366" w:rsidRDefault="00627C9F" w:rsidP="007A5817">
                            <w:pPr>
                              <w:spacing w:line="276" w:lineRule="auto"/>
                              <w:jc w:val="right"/>
                              <w:rPr>
                                <w:rFonts w:asciiTheme="minorHAnsi" w:hAnsiTheme="minorHAnsi"/>
                                <w:color w:val="FFFFFF" w:themeColor="background1"/>
                                <w:sz w:val="22"/>
                                <w:lang w:val="es-ES"/>
                              </w:rPr>
                            </w:pPr>
                            <w:r w:rsidRPr="000E7366">
                              <w:rPr>
                                <w:rFonts w:asciiTheme="minorHAnsi" w:hAnsiTheme="minorHAnsi"/>
                                <w:color w:val="FFFFFF" w:themeColor="background1"/>
                                <w:sz w:val="22"/>
                                <w:lang w:val="es-ES"/>
                              </w:rPr>
                              <w:t xml:space="preserve">Doc. </w:t>
                            </w:r>
                            <w:r w:rsidR="00404DAF" w:rsidRPr="000E7366">
                              <w:rPr>
                                <w:rFonts w:asciiTheme="minorHAnsi" w:hAnsiTheme="minorHAnsi"/>
                                <w:color w:val="FFFFFF" w:themeColor="background1"/>
                                <w:sz w:val="22"/>
                                <w:lang w:val="es-ES"/>
                              </w:rPr>
                              <w:t>17</w:t>
                            </w:r>
                          </w:p>
                          <w:p w14:paraId="69373ED2" w14:textId="2511E242" w:rsidR="00627C9F" w:rsidRPr="00C25ADB" w:rsidRDefault="00AB57D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3903AB">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89F9B46" w:rsidR="00627C9F" w:rsidRPr="000E7366" w:rsidRDefault="00834D49" w:rsidP="007A5817">
                      <w:pPr>
                        <w:spacing w:line="276" w:lineRule="auto"/>
                        <w:jc w:val="right"/>
                        <w:rPr>
                          <w:rFonts w:asciiTheme="minorHAnsi" w:hAnsiTheme="minorHAnsi"/>
                          <w:color w:val="FFFFFF" w:themeColor="background1"/>
                          <w:sz w:val="22"/>
                          <w:lang w:val="es-ES"/>
                        </w:rPr>
                      </w:pPr>
                      <w:r w:rsidRPr="000E7366">
                        <w:rPr>
                          <w:rFonts w:asciiTheme="minorHAnsi" w:hAnsiTheme="minorHAnsi"/>
                          <w:color w:val="FFFFFF" w:themeColor="background1"/>
                          <w:sz w:val="22"/>
                          <w:lang w:val="es-ES"/>
                        </w:rPr>
                        <w:t>OEA/Ser.L/V/II</w:t>
                      </w:r>
                    </w:p>
                    <w:p w14:paraId="6A41611B" w14:textId="385221C5" w:rsidR="00627C9F" w:rsidRPr="000E7366" w:rsidRDefault="00627C9F" w:rsidP="007A5817">
                      <w:pPr>
                        <w:spacing w:line="276" w:lineRule="auto"/>
                        <w:jc w:val="right"/>
                        <w:rPr>
                          <w:rFonts w:asciiTheme="minorHAnsi" w:hAnsiTheme="minorHAnsi"/>
                          <w:color w:val="FFFFFF" w:themeColor="background1"/>
                          <w:sz w:val="22"/>
                          <w:lang w:val="es-ES"/>
                        </w:rPr>
                      </w:pPr>
                      <w:r w:rsidRPr="000E7366">
                        <w:rPr>
                          <w:rFonts w:asciiTheme="minorHAnsi" w:hAnsiTheme="minorHAnsi"/>
                          <w:color w:val="FFFFFF" w:themeColor="background1"/>
                          <w:sz w:val="22"/>
                          <w:lang w:val="es-ES"/>
                        </w:rPr>
                        <w:t xml:space="preserve">Doc. </w:t>
                      </w:r>
                      <w:r w:rsidR="00404DAF" w:rsidRPr="000E7366">
                        <w:rPr>
                          <w:rFonts w:asciiTheme="minorHAnsi" w:hAnsiTheme="minorHAnsi"/>
                          <w:color w:val="FFFFFF" w:themeColor="background1"/>
                          <w:sz w:val="22"/>
                          <w:lang w:val="es-ES"/>
                        </w:rPr>
                        <w:t>17</w:t>
                      </w:r>
                    </w:p>
                    <w:p w14:paraId="69373ED2" w14:textId="2511E242" w:rsidR="00627C9F" w:rsidRPr="00C25ADB" w:rsidRDefault="00AB57D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3903AB">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F337A8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B57D4">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AB57D4">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903AB">
                              <w:rPr>
                                <w:rFonts w:asciiTheme="majorHAnsi" w:hAnsiTheme="majorHAnsi"/>
                                <w:color w:val="0D0D0D" w:themeColor="text1" w:themeTint="F2"/>
                                <w:sz w:val="18"/>
                                <w:szCs w:val="22"/>
                                <w:lang w:val="es-ES"/>
                              </w:rPr>
                              <w:t>4</w:t>
                            </w:r>
                            <w:r w:rsidR="00AB57D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F337A8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B57D4">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AB57D4">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903AB">
                        <w:rPr>
                          <w:rFonts w:asciiTheme="majorHAnsi" w:hAnsiTheme="majorHAnsi"/>
                          <w:color w:val="0D0D0D" w:themeColor="text1" w:themeTint="F2"/>
                          <w:sz w:val="18"/>
                          <w:szCs w:val="22"/>
                          <w:lang w:val="es-ES"/>
                        </w:rPr>
                        <w:t>4</w:t>
                      </w:r>
                      <w:r w:rsidR="00AB57D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4A4BE" w14:textId="77777777" w:rsidR="00034E76" w:rsidRDefault="00113F73" w:rsidP="00113F73">
                            <w:pPr>
                              <w:spacing w:line="276" w:lineRule="auto"/>
                              <w:rPr>
                                <w:rFonts w:asciiTheme="majorHAnsi" w:hAnsiTheme="majorHAnsi"/>
                                <w:color w:val="595959" w:themeColor="text1" w:themeTint="A6"/>
                                <w:sz w:val="18"/>
                                <w:szCs w:val="18"/>
                                <w:lang w:val="es-PE"/>
                              </w:rPr>
                            </w:pPr>
                            <w:r w:rsidRPr="00AD2778">
                              <w:rPr>
                                <w:rFonts w:asciiTheme="majorHAnsi" w:hAnsiTheme="majorHAnsi"/>
                                <w:b/>
                                <w:color w:val="595959" w:themeColor="text1" w:themeTint="A6"/>
                                <w:sz w:val="18"/>
                                <w:szCs w:val="18"/>
                                <w:lang w:val="pt-BR"/>
                              </w:rPr>
                              <w:t>Citar como:</w:t>
                            </w:r>
                            <w:r w:rsidRPr="00AD2778">
                              <w:rPr>
                                <w:rFonts w:asciiTheme="majorHAnsi" w:hAnsiTheme="majorHAnsi"/>
                                <w:color w:val="595959" w:themeColor="text1" w:themeTint="A6"/>
                                <w:sz w:val="18"/>
                                <w:szCs w:val="18"/>
                                <w:lang w:val="pt-BR"/>
                              </w:rPr>
                              <w:t xml:space="preserve"> CIDH, Informe No. </w:t>
                            </w:r>
                            <w:r w:rsidR="00034E76" w:rsidRPr="00034E76">
                              <w:rPr>
                                <w:rFonts w:asciiTheme="majorHAnsi" w:hAnsiTheme="majorHAnsi"/>
                                <w:color w:val="595959" w:themeColor="text1" w:themeTint="A6"/>
                                <w:sz w:val="18"/>
                                <w:szCs w:val="18"/>
                                <w:lang w:val="pt-BR"/>
                              </w:rPr>
                              <w:t>15</w:t>
                            </w:r>
                            <w:r w:rsidR="007B05C4" w:rsidRPr="00034E76">
                              <w:rPr>
                                <w:rFonts w:asciiTheme="majorHAnsi" w:hAnsiTheme="majorHAnsi"/>
                                <w:color w:val="595959" w:themeColor="text1" w:themeTint="A6"/>
                                <w:sz w:val="18"/>
                                <w:szCs w:val="18"/>
                                <w:lang w:val="pt-BR"/>
                              </w:rPr>
                              <w:t>/</w:t>
                            </w:r>
                            <w:r w:rsidR="00034E76" w:rsidRPr="00034E76">
                              <w:rPr>
                                <w:rFonts w:asciiTheme="majorHAnsi" w:hAnsiTheme="majorHAnsi"/>
                                <w:color w:val="595959" w:themeColor="text1" w:themeTint="A6"/>
                                <w:sz w:val="18"/>
                                <w:szCs w:val="18"/>
                                <w:lang w:val="pt-BR"/>
                              </w:rPr>
                              <w:t>24</w:t>
                            </w:r>
                            <w:r w:rsidRPr="00034E76">
                              <w:rPr>
                                <w:rFonts w:asciiTheme="majorHAnsi" w:hAnsiTheme="majorHAnsi"/>
                                <w:color w:val="595959" w:themeColor="text1" w:themeTint="A6"/>
                                <w:sz w:val="18"/>
                                <w:szCs w:val="18"/>
                                <w:lang w:val="pt-BR"/>
                              </w:rPr>
                              <w:t xml:space="preserve">. </w:t>
                            </w:r>
                            <w:r w:rsidR="000433C9" w:rsidRPr="003E64D9">
                              <w:rPr>
                                <w:rFonts w:asciiTheme="majorHAnsi" w:hAnsiTheme="majorHAnsi"/>
                                <w:color w:val="595959" w:themeColor="text1" w:themeTint="A6"/>
                                <w:sz w:val="18"/>
                                <w:szCs w:val="18"/>
                                <w:lang w:val="es-PE"/>
                              </w:rPr>
                              <w:t xml:space="preserve">Petición </w:t>
                            </w:r>
                            <w:r w:rsidR="00C61AC8">
                              <w:rPr>
                                <w:rFonts w:asciiTheme="majorHAnsi" w:hAnsiTheme="majorHAnsi"/>
                                <w:color w:val="595959" w:themeColor="text1" w:themeTint="A6"/>
                                <w:sz w:val="18"/>
                                <w:szCs w:val="18"/>
                                <w:lang w:val="es-PE"/>
                              </w:rPr>
                              <w:t>5</w:t>
                            </w:r>
                            <w:r w:rsidR="003276BA">
                              <w:rPr>
                                <w:rFonts w:asciiTheme="majorHAnsi" w:hAnsiTheme="majorHAnsi"/>
                                <w:color w:val="595959" w:themeColor="text1" w:themeTint="A6"/>
                                <w:sz w:val="18"/>
                                <w:szCs w:val="18"/>
                                <w:lang w:val="es-PE"/>
                              </w:rPr>
                              <w:t>19</w:t>
                            </w:r>
                            <w:r w:rsidR="00C61AC8">
                              <w:rPr>
                                <w:rFonts w:asciiTheme="majorHAnsi" w:hAnsiTheme="majorHAnsi"/>
                                <w:color w:val="595959" w:themeColor="text1" w:themeTint="A6"/>
                                <w:sz w:val="18"/>
                                <w:szCs w:val="18"/>
                                <w:lang w:val="es-PE"/>
                              </w:rPr>
                              <w:t>-1</w:t>
                            </w:r>
                            <w:r w:rsidR="003276BA">
                              <w:rPr>
                                <w:rFonts w:asciiTheme="majorHAnsi" w:hAnsiTheme="majorHAnsi"/>
                                <w:color w:val="595959" w:themeColor="text1" w:themeTint="A6"/>
                                <w:sz w:val="18"/>
                                <w:szCs w:val="18"/>
                                <w:lang w:val="es-PE"/>
                              </w:rPr>
                              <w:t>0</w:t>
                            </w:r>
                            <w:r w:rsidR="000433C9" w:rsidRPr="003E64D9">
                              <w:rPr>
                                <w:rFonts w:asciiTheme="majorHAnsi" w:hAnsiTheme="majorHAnsi"/>
                                <w:color w:val="595959" w:themeColor="text1" w:themeTint="A6"/>
                                <w:sz w:val="18"/>
                                <w:szCs w:val="18"/>
                                <w:lang w:val="es-PE"/>
                              </w:rPr>
                              <w:t xml:space="preserve">. </w:t>
                            </w:r>
                            <w:r w:rsidRPr="003E64D9">
                              <w:rPr>
                                <w:rFonts w:asciiTheme="majorHAnsi" w:hAnsiTheme="majorHAnsi"/>
                                <w:color w:val="595959" w:themeColor="text1" w:themeTint="A6"/>
                                <w:sz w:val="18"/>
                                <w:szCs w:val="18"/>
                                <w:lang w:val="es-PE"/>
                              </w:rPr>
                              <w:t xml:space="preserve">Inadmisibilidad. </w:t>
                            </w:r>
                          </w:p>
                          <w:p w14:paraId="0D1B22CF" w14:textId="4DE99D38" w:rsidR="00113F73" w:rsidRPr="003E64D9" w:rsidRDefault="00030B8A" w:rsidP="00113F73">
                            <w:pPr>
                              <w:spacing w:line="276" w:lineRule="auto"/>
                              <w:rPr>
                                <w:rFonts w:asciiTheme="majorHAnsi" w:hAnsiTheme="majorHAnsi"/>
                                <w:color w:val="595959" w:themeColor="text1" w:themeTint="A6"/>
                                <w:sz w:val="18"/>
                                <w:szCs w:val="18"/>
                                <w:lang w:val="es-PE"/>
                              </w:rPr>
                            </w:pPr>
                            <w:r>
                              <w:rPr>
                                <w:rFonts w:asciiTheme="majorHAnsi" w:hAnsiTheme="majorHAnsi"/>
                                <w:color w:val="595959" w:themeColor="text1" w:themeTint="A6"/>
                                <w:sz w:val="18"/>
                                <w:szCs w:val="18"/>
                                <w:lang w:val="es-PE"/>
                              </w:rPr>
                              <w:t>Belisario Pérez Jiménez y Didier Alexander García Álvarez</w:t>
                            </w:r>
                            <w:r w:rsidR="00113F73" w:rsidRPr="003E64D9">
                              <w:rPr>
                                <w:rFonts w:asciiTheme="majorHAnsi" w:hAnsiTheme="majorHAnsi"/>
                                <w:color w:val="595959" w:themeColor="text1" w:themeTint="A6"/>
                                <w:sz w:val="18"/>
                                <w:szCs w:val="18"/>
                                <w:lang w:val="es-PE"/>
                              </w:rPr>
                              <w:t xml:space="preserve">. </w:t>
                            </w:r>
                            <w:r w:rsidR="00441E0D" w:rsidRPr="003E64D9">
                              <w:rPr>
                                <w:rFonts w:asciiTheme="majorHAnsi" w:hAnsiTheme="majorHAnsi"/>
                                <w:color w:val="595959" w:themeColor="text1" w:themeTint="A6"/>
                                <w:sz w:val="18"/>
                                <w:szCs w:val="18"/>
                                <w:lang w:val="es-PE"/>
                              </w:rPr>
                              <w:t>Costa Rica</w:t>
                            </w:r>
                            <w:r w:rsidR="00113F73" w:rsidRPr="003E64D9">
                              <w:rPr>
                                <w:rFonts w:asciiTheme="majorHAnsi" w:hAnsiTheme="majorHAnsi"/>
                                <w:color w:val="595959" w:themeColor="text1" w:themeTint="A6"/>
                                <w:sz w:val="18"/>
                                <w:szCs w:val="18"/>
                                <w:lang w:val="es-PE"/>
                              </w:rPr>
                              <w:t xml:space="preserve">. </w:t>
                            </w:r>
                            <w:r w:rsidR="00781BC8">
                              <w:rPr>
                                <w:rFonts w:asciiTheme="majorHAnsi" w:hAnsiTheme="majorHAnsi"/>
                                <w:color w:val="595959" w:themeColor="text1" w:themeTint="A6"/>
                                <w:sz w:val="18"/>
                                <w:szCs w:val="18"/>
                                <w:lang w:val="es-PE"/>
                              </w:rPr>
                              <w:t>3 de mayo de 2024</w:t>
                            </w:r>
                            <w:r w:rsidR="00113F73" w:rsidRPr="003E64D9">
                              <w:rPr>
                                <w:rFonts w:asciiTheme="majorHAnsi" w:hAnsiTheme="majorHAnsi"/>
                                <w:color w:val="595959" w:themeColor="text1" w:themeTint="A6"/>
                                <w:sz w:val="18"/>
                                <w:szCs w:val="18"/>
                                <w:lang w:val="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CC4A4BE" w14:textId="77777777" w:rsidR="00034E76" w:rsidRDefault="00113F73" w:rsidP="00113F73">
                      <w:pPr>
                        <w:spacing w:line="276" w:lineRule="auto"/>
                        <w:rPr>
                          <w:rFonts w:asciiTheme="majorHAnsi" w:hAnsiTheme="majorHAnsi"/>
                          <w:color w:val="595959" w:themeColor="text1" w:themeTint="A6"/>
                          <w:sz w:val="18"/>
                          <w:szCs w:val="18"/>
                          <w:lang w:val="es-PE"/>
                        </w:rPr>
                      </w:pPr>
                      <w:r w:rsidRPr="00AD2778">
                        <w:rPr>
                          <w:rFonts w:asciiTheme="majorHAnsi" w:hAnsiTheme="majorHAnsi"/>
                          <w:b/>
                          <w:color w:val="595959" w:themeColor="text1" w:themeTint="A6"/>
                          <w:sz w:val="18"/>
                          <w:szCs w:val="18"/>
                          <w:lang w:val="pt-BR"/>
                        </w:rPr>
                        <w:t>Citar como:</w:t>
                      </w:r>
                      <w:r w:rsidRPr="00AD2778">
                        <w:rPr>
                          <w:rFonts w:asciiTheme="majorHAnsi" w:hAnsiTheme="majorHAnsi"/>
                          <w:color w:val="595959" w:themeColor="text1" w:themeTint="A6"/>
                          <w:sz w:val="18"/>
                          <w:szCs w:val="18"/>
                          <w:lang w:val="pt-BR"/>
                        </w:rPr>
                        <w:t xml:space="preserve"> CIDH, Informe No. </w:t>
                      </w:r>
                      <w:r w:rsidR="00034E76" w:rsidRPr="00034E76">
                        <w:rPr>
                          <w:rFonts w:asciiTheme="majorHAnsi" w:hAnsiTheme="majorHAnsi"/>
                          <w:color w:val="595959" w:themeColor="text1" w:themeTint="A6"/>
                          <w:sz w:val="18"/>
                          <w:szCs w:val="18"/>
                          <w:lang w:val="pt-BR"/>
                        </w:rPr>
                        <w:t>15</w:t>
                      </w:r>
                      <w:r w:rsidR="007B05C4" w:rsidRPr="00034E76">
                        <w:rPr>
                          <w:rFonts w:asciiTheme="majorHAnsi" w:hAnsiTheme="majorHAnsi"/>
                          <w:color w:val="595959" w:themeColor="text1" w:themeTint="A6"/>
                          <w:sz w:val="18"/>
                          <w:szCs w:val="18"/>
                          <w:lang w:val="pt-BR"/>
                        </w:rPr>
                        <w:t>/</w:t>
                      </w:r>
                      <w:r w:rsidR="00034E76" w:rsidRPr="00034E76">
                        <w:rPr>
                          <w:rFonts w:asciiTheme="majorHAnsi" w:hAnsiTheme="majorHAnsi"/>
                          <w:color w:val="595959" w:themeColor="text1" w:themeTint="A6"/>
                          <w:sz w:val="18"/>
                          <w:szCs w:val="18"/>
                          <w:lang w:val="pt-BR"/>
                        </w:rPr>
                        <w:t>24</w:t>
                      </w:r>
                      <w:r w:rsidRPr="00034E76">
                        <w:rPr>
                          <w:rFonts w:asciiTheme="majorHAnsi" w:hAnsiTheme="majorHAnsi"/>
                          <w:color w:val="595959" w:themeColor="text1" w:themeTint="A6"/>
                          <w:sz w:val="18"/>
                          <w:szCs w:val="18"/>
                          <w:lang w:val="pt-BR"/>
                        </w:rPr>
                        <w:t xml:space="preserve">. </w:t>
                      </w:r>
                      <w:r w:rsidR="000433C9" w:rsidRPr="003E64D9">
                        <w:rPr>
                          <w:rFonts w:asciiTheme="majorHAnsi" w:hAnsiTheme="majorHAnsi"/>
                          <w:color w:val="595959" w:themeColor="text1" w:themeTint="A6"/>
                          <w:sz w:val="18"/>
                          <w:szCs w:val="18"/>
                          <w:lang w:val="es-PE"/>
                        </w:rPr>
                        <w:t xml:space="preserve">Petición </w:t>
                      </w:r>
                      <w:r w:rsidR="00C61AC8">
                        <w:rPr>
                          <w:rFonts w:asciiTheme="majorHAnsi" w:hAnsiTheme="majorHAnsi"/>
                          <w:color w:val="595959" w:themeColor="text1" w:themeTint="A6"/>
                          <w:sz w:val="18"/>
                          <w:szCs w:val="18"/>
                          <w:lang w:val="es-PE"/>
                        </w:rPr>
                        <w:t>5</w:t>
                      </w:r>
                      <w:r w:rsidR="003276BA">
                        <w:rPr>
                          <w:rFonts w:asciiTheme="majorHAnsi" w:hAnsiTheme="majorHAnsi"/>
                          <w:color w:val="595959" w:themeColor="text1" w:themeTint="A6"/>
                          <w:sz w:val="18"/>
                          <w:szCs w:val="18"/>
                          <w:lang w:val="es-PE"/>
                        </w:rPr>
                        <w:t>19</w:t>
                      </w:r>
                      <w:r w:rsidR="00C61AC8">
                        <w:rPr>
                          <w:rFonts w:asciiTheme="majorHAnsi" w:hAnsiTheme="majorHAnsi"/>
                          <w:color w:val="595959" w:themeColor="text1" w:themeTint="A6"/>
                          <w:sz w:val="18"/>
                          <w:szCs w:val="18"/>
                          <w:lang w:val="es-PE"/>
                        </w:rPr>
                        <w:t>-1</w:t>
                      </w:r>
                      <w:r w:rsidR="003276BA">
                        <w:rPr>
                          <w:rFonts w:asciiTheme="majorHAnsi" w:hAnsiTheme="majorHAnsi"/>
                          <w:color w:val="595959" w:themeColor="text1" w:themeTint="A6"/>
                          <w:sz w:val="18"/>
                          <w:szCs w:val="18"/>
                          <w:lang w:val="es-PE"/>
                        </w:rPr>
                        <w:t>0</w:t>
                      </w:r>
                      <w:r w:rsidR="000433C9" w:rsidRPr="003E64D9">
                        <w:rPr>
                          <w:rFonts w:asciiTheme="majorHAnsi" w:hAnsiTheme="majorHAnsi"/>
                          <w:color w:val="595959" w:themeColor="text1" w:themeTint="A6"/>
                          <w:sz w:val="18"/>
                          <w:szCs w:val="18"/>
                          <w:lang w:val="es-PE"/>
                        </w:rPr>
                        <w:t xml:space="preserve">. </w:t>
                      </w:r>
                      <w:r w:rsidRPr="003E64D9">
                        <w:rPr>
                          <w:rFonts w:asciiTheme="majorHAnsi" w:hAnsiTheme="majorHAnsi"/>
                          <w:color w:val="595959" w:themeColor="text1" w:themeTint="A6"/>
                          <w:sz w:val="18"/>
                          <w:szCs w:val="18"/>
                          <w:lang w:val="es-PE"/>
                        </w:rPr>
                        <w:t xml:space="preserve">Inadmisibilidad. </w:t>
                      </w:r>
                    </w:p>
                    <w:p w14:paraId="0D1B22CF" w14:textId="4DE99D38" w:rsidR="00113F73" w:rsidRPr="003E64D9" w:rsidRDefault="00030B8A" w:rsidP="00113F73">
                      <w:pPr>
                        <w:spacing w:line="276" w:lineRule="auto"/>
                        <w:rPr>
                          <w:rFonts w:asciiTheme="majorHAnsi" w:hAnsiTheme="majorHAnsi"/>
                          <w:color w:val="595959" w:themeColor="text1" w:themeTint="A6"/>
                          <w:sz w:val="18"/>
                          <w:szCs w:val="18"/>
                          <w:lang w:val="es-PE"/>
                        </w:rPr>
                      </w:pPr>
                      <w:r>
                        <w:rPr>
                          <w:rFonts w:asciiTheme="majorHAnsi" w:hAnsiTheme="majorHAnsi"/>
                          <w:color w:val="595959" w:themeColor="text1" w:themeTint="A6"/>
                          <w:sz w:val="18"/>
                          <w:szCs w:val="18"/>
                          <w:lang w:val="es-PE"/>
                        </w:rPr>
                        <w:t>Belisario Pérez Jiménez y Didier Alexander García Álvarez</w:t>
                      </w:r>
                      <w:r w:rsidR="00113F73" w:rsidRPr="003E64D9">
                        <w:rPr>
                          <w:rFonts w:asciiTheme="majorHAnsi" w:hAnsiTheme="majorHAnsi"/>
                          <w:color w:val="595959" w:themeColor="text1" w:themeTint="A6"/>
                          <w:sz w:val="18"/>
                          <w:szCs w:val="18"/>
                          <w:lang w:val="es-PE"/>
                        </w:rPr>
                        <w:t xml:space="preserve">. </w:t>
                      </w:r>
                      <w:r w:rsidR="00441E0D" w:rsidRPr="003E64D9">
                        <w:rPr>
                          <w:rFonts w:asciiTheme="majorHAnsi" w:hAnsiTheme="majorHAnsi"/>
                          <w:color w:val="595959" w:themeColor="text1" w:themeTint="A6"/>
                          <w:sz w:val="18"/>
                          <w:szCs w:val="18"/>
                          <w:lang w:val="es-PE"/>
                        </w:rPr>
                        <w:t>Costa Rica</w:t>
                      </w:r>
                      <w:r w:rsidR="00113F73" w:rsidRPr="003E64D9">
                        <w:rPr>
                          <w:rFonts w:asciiTheme="majorHAnsi" w:hAnsiTheme="majorHAnsi"/>
                          <w:color w:val="595959" w:themeColor="text1" w:themeTint="A6"/>
                          <w:sz w:val="18"/>
                          <w:szCs w:val="18"/>
                          <w:lang w:val="es-PE"/>
                        </w:rPr>
                        <w:t xml:space="preserve">. </w:t>
                      </w:r>
                      <w:r w:rsidR="00781BC8">
                        <w:rPr>
                          <w:rFonts w:asciiTheme="majorHAnsi" w:hAnsiTheme="majorHAnsi"/>
                          <w:color w:val="595959" w:themeColor="text1" w:themeTint="A6"/>
                          <w:sz w:val="18"/>
                          <w:szCs w:val="18"/>
                          <w:lang w:val="es-PE"/>
                        </w:rPr>
                        <w:t>3 de mayo de 2024</w:t>
                      </w:r>
                      <w:r w:rsidR="00113F73" w:rsidRPr="003E64D9">
                        <w:rPr>
                          <w:rFonts w:asciiTheme="majorHAnsi" w:hAnsiTheme="majorHAnsi"/>
                          <w:color w:val="595959" w:themeColor="text1" w:themeTint="A6"/>
                          <w:sz w:val="18"/>
                          <w:szCs w:val="18"/>
                          <w:lang w:val="es-PE"/>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23D02C7" w:rsidR="00D72DC6" w:rsidRPr="00D72DC6" w:rsidRDefault="000253ED" w:rsidP="00F02AD1">
                            <w:pPr>
                              <w:rPr>
                                <w:color w:val="FFFFFF" w:themeColor="background1"/>
                                <w14:textFill>
                                  <w14:noFill/>
                                </w14:textFill>
                              </w:rPr>
                            </w:pPr>
                            <w:r>
                              <w:rPr>
                                <w:noProof/>
                                <w:color w:val="FFFFFF" w:themeColor="background1"/>
                              </w:rPr>
                              <w:drawing>
                                <wp:inline distT="0" distB="0" distL="0" distR="0" wp14:anchorId="39A05A8E" wp14:editId="57BEDC0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423D02C7" w:rsidR="00D72DC6" w:rsidRPr="00D72DC6" w:rsidRDefault="000253ED" w:rsidP="00F02AD1">
                      <w:pPr>
                        <w:rPr>
                          <w:color w:val="FFFFFF" w:themeColor="background1"/>
                          <w14:textFill>
                            <w14:noFill/>
                          </w14:textFill>
                        </w:rPr>
                      </w:pPr>
                      <w:r>
                        <w:rPr>
                          <w:noProof/>
                          <w:color w:val="FFFFFF" w:themeColor="background1"/>
                        </w:rPr>
                        <w:drawing>
                          <wp:inline distT="0" distB="0" distL="0" distR="0" wp14:anchorId="39A05A8E" wp14:editId="57BEDC0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3280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57379A2B" w:rsidR="003239B8" w:rsidRPr="005A254F" w:rsidRDefault="009612C3" w:rsidP="008D2290">
            <w:pPr>
              <w:jc w:val="both"/>
              <w:rPr>
                <w:rFonts w:ascii="Cambria" w:hAnsi="Cambria"/>
                <w:bCs/>
                <w:sz w:val="20"/>
                <w:szCs w:val="20"/>
                <w:lang w:val="es-PE"/>
              </w:rPr>
            </w:pPr>
            <w:r w:rsidRPr="009612C3">
              <w:rPr>
                <w:rFonts w:ascii="Cambria" w:hAnsi="Cambria"/>
                <w:bCs/>
                <w:sz w:val="20"/>
                <w:szCs w:val="20"/>
                <w:lang w:val="es-PE"/>
              </w:rPr>
              <w:t>Belisario Pérez Jiménez</w:t>
            </w:r>
            <w:r>
              <w:rPr>
                <w:rFonts w:ascii="Cambria" w:hAnsi="Cambria"/>
                <w:bCs/>
                <w:sz w:val="20"/>
                <w:szCs w:val="20"/>
                <w:lang w:val="es-PE"/>
              </w:rPr>
              <w:t xml:space="preserve"> y</w:t>
            </w:r>
            <w:r w:rsidRPr="009612C3">
              <w:rPr>
                <w:rFonts w:ascii="Cambria" w:hAnsi="Cambria"/>
                <w:bCs/>
                <w:sz w:val="20"/>
                <w:szCs w:val="20"/>
                <w:lang w:val="es-PE"/>
              </w:rPr>
              <w:t xml:space="preserve"> Didier Alexander García Álvarez</w:t>
            </w:r>
          </w:p>
        </w:tc>
      </w:tr>
      <w:tr w:rsidR="009612C3" w:rsidRPr="0013280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9612C3" w:rsidRPr="000D05CB" w:rsidRDefault="00C81839" w:rsidP="009612C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752F12B1BE0C40C18900F8BDD26CD2CF"/>
                </w:placeholder>
                <w:dropDownList>
                  <w:listItem w:value="Choose an item."/>
                  <w:listItem w:displayText="Presunta víctima" w:value="Presunta víctima"/>
                  <w:listItem w:displayText="Presuntas víctimas" w:value="Presuntas víctimas"/>
                </w:dropDownList>
              </w:sdtPr>
              <w:sdtEndPr/>
              <w:sdtContent>
                <w:r w:rsidR="009612C3" w:rsidRPr="000D05CB">
                  <w:rPr>
                    <w:rFonts w:ascii="Cambria" w:hAnsi="Cambria"/>
                    <w:b/>
                    <w:bCs/>
                    <w:color w:val="FFFFFF" w:themeColor="background1"/>
                    <w:sz w:val="20"/>
                    <w:szCs w:val="20"/>
                  </w:rPr>
                  <w:t>Presunta víctima</w:t>
                </w:r>
              </w:sdtContent>
            </w:sdt>
            <w:r w:rsidR="009612C3" w:rsidRPr="000D05CB">
              <w:rPr>
                <w:rFonts w:ascii="Cambria" w:hAnsi="Cambria"/>
                <w:b/>
                <w:bCs/>
                <w:color w:val="FFFFFF" w:themeColor="background1"/>
                <w:sz w:val="20"/>
                <w:szCs w:val="20"/>
              </w:rPr>
              <w:t>:</w:t>
            </w:r>
          </w:p>
        </w:tc>
        <w:tc>
          <w:tcPr>
            <w:tcW w:w="5760" w:type="dxa"/>
            <w:vAlign w:val="center"/>
          </w:tcPr>
          <w:p w14:paraId="4AEBF59E" w14:textId="1749E8AF" w:rsidR="009612C3" w:rsidRPr="000D05CB" w:rsidRDefault="009612C3" w:rsidP="009612C3">
            <w:pPr>
              <w:jc w:val="both"/>
              <w:rPr>
                <w:rFonts w:ascii="Cambria" w:hAnsi="Cambria"/>
                <w:bCs/>
                <w:sz w:val="20"/>
                <w:szCs w:val="20"/>
                <w:lang w:val="es-ES"/>
              </w:rPr>
            </w:pPr>
            <w:r w:rsidRPr="009612C3">
              <w:rPr>
                <w:rFonts w:ascii="Cambria" w:hAnsi="Cambria"/>
                <w:bCs/>
                <w:sz w:val="20"/>
                <w:szCs w:val="20"/>
                <w:lang w:val="es-PE"/>
              </w:rPr>
              <w:t>Belisario Pérez Jiménez</w:t>
            </w:r>
            <w:r>
              <w:rPr>
                <w:rFonts w:ascii="Cambria" w:hAnsi="Cambria"/>
                <w:bCs/>
                <w:sz w:val="20"/>
                <w:szCs w:val="20"/>
                <w:lang w:val="es-PE"/>
              </w:rPr>
              <w:t xml:space="preserve"> y</w:t>
            </w:r>
            <w:r w:rsidRPr="009612C3">
              <w:rPr>
                <w:rFonts w:ascii="Cambria" w:hAnsi="Cambria"/>
                <w:bCs/>
                <w:sz w:val="20"/>
                <w:szCs w:val="20"/>
                <w:lang w:val="es-PE"/>
              </w:rPr>
              <w:t xml:space="preserve"> Didier Alexander García Álvarez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13280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6B750901" w:rsidR="00223A29" w:rsidRPr="0061609D" w:rsidRDefault="0061609D" w:rsidP="008D2290">
            <w:pPr>
              <w:jc w:val="both"/>
              <w:rPr>
                <w:rFonts w:ascii="Cambria" w:hAnsi="Cambria"/>
                <w:bCs/>
                <w:sz w:val="20"/>
                <w:szCs w:val="20"/>
                <w:lang w:val="es-US"/>
              </w:rPr>
            </w:pPr>
            <w:r w:rsidRPr="001E2981">
              <w:rPr>
                <w:rFonts w:ascii="Cambria" w:hAnsi="Cambria"/>
                <w:bCs/>
                <w:sz w:val="20"/>
                <w:szCs w:val="20"/>
                <w:lang w:val="es-PE"/>
              </w:rPr>
              <w:t>Artículos</w:t>
            </w:r>
            <w:r w:rsidR="005159EE">
              <w:rPr>
                <w:rFonts w:ascii="Cambria" w:hAnsi="Cambria"/>
                <w:bCs/>
                <w:sz w:val="20"/>
                <w:szCs w:val="20"/>
                <w:lang w:val="es-PE"/>
              </w:rPr>
              <w:t xml:space="preserve"> </w:t>
            </w:r>
            <w:r>
              <w:rPr>
                <w:rFonts w:ascii="Cambria" w:hAnsi="Cambria"/>
                <w:bCs/>
                <w:sz w:val="20"/>
                <w:szCs w:val="20"/>
                <w:lang w:val="es-ES"/>
              </w:rPr>
              <w:t>8 (garantías judiciales)</w:t>
            </w:r>
            <w:r w:rsidR="005159EE">
              <w:rPr>
                <w:rFonts w:ascii="Cambria" w:hAnsi="Cambria"/>
                <w:bCs/>
                <w:sz w:val="20"/>
                <w:szCs w:val="20"/>
                <w:lang w:val="es-ES"/>
              </w:rPr>
              <w:t>,</w:t>
            </w:r>
            <w:r w:rsidR="00960598">
              <w:rPr>
                <w:rFonts w:ascii="Cambria" w:hAnsi="Cambria"/>
                <w:bCs/>
                <w:sz w:val="20"/>
                <w:szCs w:val="20"/>
                <w:lang w:val="es-ES"/>
              </w:rPr>
              <w:t xml:space="preserve"> 24 (igualdad ante la ley) y</w:t>
            </w:r>
            <w:r w:rsidR="005159EE">
              <w:rPr>
                <w:rFonts w:ascii="Cambria" w:hAnsi="Cambria"/>
                <w:bCs/>
                <w:sz w:val="20"/>
                <w:szCs w:val="20"/>
                <w:lang w:val="es-ES"/>
              </w:rPr>
              <w:t xml:space="preserve"> </w:t>
            </w:r>
            <w:r>
              <w:rPr>
                <w:rFonts w:ascii="Cambria" w:hAnsi="Cambria"/>
                <w:bCs/>
                <w:sz w:val="20"/>
                <w:szCs w:val="20"/>
                <w:lang w:val="es-ES"/>
              </w:rPr>
              <w:t>25 (protección judicial)</w:t>
            </w:r>
            <w:r w:rsidR="005159EE">
              <w:rPr>
                <w:rFonts w:ascii="Cambria" w:hAnsi="Cambria"/>
                <w:bCs/>
                <w:sz w:val="20"/>
                <w:szCs w:val="20"/>
                <w:lang w:val="es-ES"/>
              </w:rPr>
              <w:t xml:space="preserve"> </w:t>
            </w:r>
            <w:r>
              <w:rPr>
                <w:rFonts w:ascii="Cambria" w:hAnsi="Cambria"/>
                <w:bCs/>
                <w:sz w:val="20"/>
                <w:szCs w:val="20"/>
                <w:lang w:val="es-ES"/>
              </w:rPr>
              <w:t>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B7F79DD" w:rsidR="004C2312" w:rsidRPr="003239B8" w:rsidRDefault="00DB1A0F" w:rsidP="002625EA">
            <w:pPr>
              <w:jc w:val="both"/>
              <w:rPr>
                <w:rFonts w:ascii="Cambria" w:hAnsi="Cambria"/>
                <w:bCs/>
                <w:sz w:val="20"/>
                <w:szCs w:val="20"/>
                <w:lang w:val="es-ES"/>
              </w:rPr>
            </w:pPr>
            <w:r>
              <w:rPr>
                <w:rFonts w:ascii="Cambria" w:hAnsi="Cambria"/>
                <w:bCs/>
                <w:sz w:val="20"/>
                <w:szCs w:val="20"/>
                <w:lang w:val="es-ES"/>
              </w:rPr>
              <w:t>12 de abril de 2010</w:t>
            </w:r>
          </w:p>
        </w:tc>
      </w:tr>
      <w:tr w:rsidR="00131425" w:rsidRPr="00132805"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21BA54E7" w:rsidR="00131425" w:rsidRPr="00805E57" w:rsidRDefault="001140CA" w:rsidP="002625EA">
            <w:pPr>
              <w:jc w:val="both"/>
              <w:rPr>
                <w:rFonts w:ascii="Cambria" w:hAnsi="Cambria"/>
                <w:bCs/>
                <w:sz w:val="20"/>
                <w:szCs w:val="20"/>
                <w:lang w:val="es-US"/>
              </w:rPr>
            </w:pPr>
            <w:r>
              <w:rPr>
                <w:rFonts w:ascii="Cambria" w:hAnsi="Cambria"/>
                <w:bCs/>
                <w:sz w:val="20"/>
                <w:szCs w:val="20"/>
                <w:lang w:val="es-US"/>
              </w:rPr>
              <w:t xml:space="preserve">28 de abril de 2010, 29 de abril de 2010, 29 de mayo de 2010, </w:t>
            </w:r>
            <w:r w:rsidR="00A64D2E">
              <w:rPr>
                <w:rFonts w:ascii="Cambria" w:hAnsi="Cambria"/>
                <w:bCs/>
                <w:sz w:val="20"/>
                <w:szCs w:val="20"/>
                <w:lang w:val="es-US"/>
              </w:rPr>
              <w:t xml:space="preserve">5 de mayo de 2010, 6 de mayo de 2010, </w:t>
            </w:r>
            <w:r w:rsidR="00144295">
              <w:rPr>
                <w:rFonts w:ascii="Cambria" w:hAnsi="Cambria"/>
                <w:bCs/>
                <w:sz w:val="20"/>
                <w:szCs w:val="20"/>
                <w:lang w:val="es-US"/>
              </w:rPr>
              <w:t xml:space="preserve">14 de junio de 2010, </w:t>
            </w:r>
            <w:r w:rsidR="00EE5108">
              <w:rPr>
                <w:rFonts w:ascii="Cambria" w:hAnsi="Cambria"/>
                <w:bCs/>
                <w:sz w:val="20"/>
                <w:szCs w:val="20"/>
                <w:lang w:val="es-US"/>
              </w:rPr>
              <w:t xml:space="preserve">6 de noviembre de 2010, 8 de diciembre de 2010, 11 de marzo de 2011, </w:t>
            </w:r>
            <w:r w:rsidR="00041BBC">
              <w:rPr>
                <w:rFonts w:ascii="Cambria" w:hAnsi="Cambria"/>
                <w:bCs/>
                <w:sz w:val="20"/>
                <w:szCs w:val="20"/>
                <w:lang w:val="es-US"/>
              </w:rPr>
              <w:t xml:space="preserve">23 de octubre de 2011, 8 de enero de 2012, </w:t>
            </w:r>
            <w:r w:rsidR="008C0396">
              <w:rPr>
                <w:rFonts w:ascii="Cambria" w:hAnsi="Cambria"/>
                <w:bCs/>
                <w:sz w:val="20"/>
                <w:szCs w:val="20"/>
                <w:lang w:val="es-US"/>
              </w:rPr>
              <w:t xml:space="preserve">13 de marzo de 2012, 25 de abril de 2012, </w:t>
            </w:r>
            <w:r w:rsidR="00777FFE">
              <w:rPr>
                <w:rFonts w:ascii="Cambria" w:hAnsi="Cambria"/>
                <w:bCs/>
                <w:sz w:val="20"/>
                <w:szCs w:val="20"/>
                <w:lang w:val="es-US"/>
              </w:rPr>
              <w:t xml:space="preserve">6 de mayo de 2012, 5 de junio de 2012, </w:t>
            </w:r>
            <w:r w:rsidR="00CA31C6">
              <w:rPr>
                <w:rFonts w:ascii="Cambria" w:hAnsi="Cambria"/>
                <w:bCs/>
                <w:sz w:val="20"/>
                <w:szCs w:val="20"/>
                <w:lang w:val="es-US"/>
              </w:rPr>
              <w:t xml:space="preserve">11 de septiembre de 2012, </w:t>
            </w:r>
            <w:r w:rsidR="00824D87">
              <w:rPr>
                <w:rFonts w:ascii="Cambria" w:hAnsi="Cambria"/>
                <w:bCs/>
                <w:sz w:val="20"/>
                <w:szCs w:val="20"/>
                <w:lang w:val="es-US"/>
              </w:rPr>
              <w:t xml:space="preserve">6 de abril de 2013, 14 de junio de 2013, 1 de septiembre de 2014, </w:t>
            </w:r>
            <w:r w:rsidR="00225159">
              <w:rPr>
                <w:rFonts w:ascii="Cambria" w:hAnsi="Cambria"/>
                <w:bCs/>
                <w:sz w:val="20"/>
                <w:szCs w:val="20"/>
                <w:lang w:val="es-US"/>
              </w:rPr>
              <w:t>26 de junio de 2015</w:t>
            </w:r>
            <w:r w:rsidR="00582F87">
              <w:rPr>
                <w:rFonts w:ascii="Cambria" w:hAnsi="Cambria"/>
                <w:bCs/>
                <w:sz w:val="20"/>
                <w:szCs w:val="20"/>
                <w:lang w:val="es-US"/>
              </w:rPr>
              <w:t xml:space="preserve"> y</w:t>
            </w:r>
            <w:r w:rsidR="00225159">
              <w:rPr>
                <w:rFonts w:ascii="Cambria" w:hAnsi="Cambria"/>
                <w:bCs/>
                <w:sz w:val="20"/>
                <w:szCs w:val="20"/>
                <w:lang w:val="es-US"/>
              </w:rPr>
              <w:t xml:space="preserve"> 5 de noviembre de 2015</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7094E4E6" w:rsidR="004C2312" w:rsidRPr="0048719B" w:rsidRDefault="00225159" w:rsidP="008D2290">
            <w:pPr>
              <w:jc w:val="both"/>
              <w:rPr>
                <w:rFonts w:ascii="Cambria" w:hAnsi="Cambria"/>
                <w:bCs/>
                <w:sz w:val="20"/>
                <w:szCs w:val="20"/>
                <w:lang w:val="es-PE"/>
              </w:rPr>
            </w:pPr>
            <w:r>
              <w:rPr>
                <w:rFonts w:ascii="Cambria" w:hAnsi="Cambria"/>
                <w:bCs/>
                <w:sz w:val="20"/>
                <w:szCs w:val="20"/>
                <w:lang w:val="es-PE"/>
              </w:rPr>
              <w:t>8 de noviembre de 2016</w:t>
            </w:r>
          </w:p>
        </w:tc>
      </w:tr>
      <w:tr w:rsidR="004C2312" w:rsidRPr="0016296E"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6C1A9025" w:rsidR="004C2312" w:rsidRPr="0048719B" w:rsidRDefault="0011028F" w:rsidP="008D2290">
            <w:pPr>
              <w:jc w:val="both"/>
              <w:rPr>
                <w:rFonts w:ascii="Cambria" w:hAnsi="Cambria"/>
                <w:bCs/>
                <w:sz w:val="20"/>
                <w:szCs w:val="20"/>
                <w:lang w:val="es-PE"/>
              </w:rPr>
            </w:pPr>
            <w:r>
              <w:rPr>
                <w:rFonts w:ascii="Cambria" w:hAnsi="Cambria"/>
                <w:bCs/>
                <w:sz w:val="20"/>
                <w:szCs w:val="20"/>
                <w:lang w:val="es-PE"/>
              </w:rPr>
              <w:t>8 de marzo de 2017</w:t>
            </w:r>
          </w:p>
        </w:tc>
      </w:tr>
      <w:tr w:rsidR="00791760" w:rsidRPr="00132805" w14:paraId="196F8C00" w14:textId="77777777" w:rsidTr="004A6A54">
        <w:tc>
          <w:tcPr>
            <w:tcW w:w="3600" w:type="dxa"/>
            <w:tcBorders>
              <w:top w:val="single" w:sz="6" w:space="0" w:color="auto"/>
              <w:bottom w:val="single" w:sz="6" w:space="0" w:color="auto"/>
            </w:tcBorders>
            <w:shd w:val="clear" w:color="auto" w:fill="386294"/>
            <w:vAlign w:val="center"/>
          </w:tcPr>
          <w:p w14:paraId="08A5BE10" w14:textId="63418C36" w:rsidR="00791760" w:rsidRPr="0048719B" w:rsidRDefault="00AF620C" w:rsidP="004A6A54">
            <w:pPr>
              <w:jc w:val="center"/>
              <w:rPr>
                <w:rFonts w:ascii="Cambria" w:hAnsi="Cambria"/>
                <w:b/>
                <w:color w:val="FFFFFF" w:themeColor="background1"/>
                <w:sz w:val="20"/>
                <w:szCs w:val="20"/>
                <w:lang w:val="es-PE"/>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9793192" w14:textId="371A09D4" w:rsidR="00791760" w:rsidRPr="00C079F3" w:rsidRDefault="00DB6532" w:rsidP="008D2290">
            <w:pPr>
              <w:jc w:val="both"/>
              <w:rPr>
                <w:rFonts w:ascii="Cambria" w:hAnsi="Cambria"/>
                <w:bCs/>
                <w:sz w:val="20"/>
                <w:szCs w:val="20"/>
                <w:lang w:val="es-US"/>
              </w:rPr>
            </w:pPr>
            <w:r>
              <w:rPr>
                <w:rFonts w:ascii="Cambria" w:hAnsi="Cambria"/>
                <w:bCs/>
                <w:sz w:val="20"/>
                <w:szCs w:val="20"/>
                <w:lang w:val="es-PE"/>
              </w:rPr>
              <w:t>18 de abril de 2017</w:t>
            </w:r>
            <w:r>
              <w:rPr>
                <w:rFonts w:ascii="Cambria" w:hAnsi="Cambria"/>
                <w:bCs/>
                <w:sz w:val="20"/>
                <w:szCs w:val="20"/>
                <w:lang w:val="es-US"/>
              </w:rPr>
              <w:t xml:space="preserve">, </w:t>
            </w:r>
            <w:r w:rsidR="007F692C">
              <w:rPr>
                <w:rFonts w:ascii="Cambria" w:hAnsi="Cambria"/>
                <w:bCs/>
                <w:sz w:val="20"/>
                <w:szCs w:val="20"/>
                <w:lang w:val="es-US"/>
              </w:rPr>
              <w:t xml:space="preserve">21 de junio </w:t>
            </w:r>
            <w:r w:rsidR="00315368">
              <w:rPr>
                <w:rFonts w:ascii="Cambria" w:hAnsi="Cambria"/>
                <w:bCs/>
                <w:sz w:val="20"/>
                <w:szCs w:val="20"/>
                <w:lang w:val="es-US"/>
              </w:rPr>
              <w:t>de 2018</w:t>
            </w:r>
            <w:r w:rsidR="007C3F25">
              <w:rPr>
                <w:rFonts w:ascii="Cambria" w:hAnsi="Cambria"/>
                <w:bCs/>
                <w:sz w:val="20"/>
                <w:szCs w:val="20"/>
                <w:lang w:val="es-US"/>
              </w:rPr>
              <w:t>, 2 de noviembre de 2018</w:t>
            </w:r>
            <w:r w:rsidR="00922B47">
              <w:rPr>
                <w:rFonts w:ascii="Cambria" w:hAnsi="Cambria"/>
                <w:bCs/>
                <w:sz w:val="20"/>
                <w:szCs w:val="20"/>
                <w:lang w:val="es-US"/>
              </w:rPr>
              <w:t xml:space="preserve"> 26 de abril de 2019</w:t>
            </w:r>
            <w:r w:rsidR="003474E1">
              <w:rPr>
                <w:rFonts w:ascii="Cambria" w:hAnsi="Cambria"/>
                <w:bCs/>
                <w:sz w:val="20"/>
                <w:szCs w:val="20"/>
                <w:lang w:val="es-US"/>
              </w:rPr>
              <w:t xml:space="preserve">, 2 de junio de 2020, </w:t>
            </w:r>
            <w:r w:rsidR="002A2765">
              <w:rPr>
                <w:rFonts w:ascii="Cambria" w:hAnsi="Cambria"/>
                <w:bCs/>
                <w:sz w:val="20"/>
                <w:szCs w:val="20"/>
                <w:lang w:val="es-US"/>
              </w:rPr>
              <w:t>8 de octubre de 2020</w:t>
            </w:r>
            <w:r w:rsidR="00D863CC">
              <w:rPr>
                <w:rFonts w:ascii="Cambria" w:hAnsi="Cambria"/>
                <w:bCs/>
                <w:sz w:val="20"/>
                <w:szCs w:val="20"/>
                <w:lang w:val="es-US"/>
              </w:rPr>
              <w:t>, 20 de septiembre de 2021</w:t>
            </w:r>
            <w:r w:rsidR="00DB24F7">
              <w:rPr>
                <w:rFonts w:ascii="Cambria" w:hAnsi="Cambria"/>
                <w:bCs/>
                <w:sz w:val="20"/>
                <w:szCs w:val="20"/>
                <w:lang w:val="es-US"/>
              </w:rPr>
              <w:t>, 7 de abril de 2022</w:t>
            </w:r>
            <w:r w:rsidR="007B5B9E">
              <w:rPr>
                <w:rFonts w:ascii="Cambria" w:hAnsi="Cambria"/>
                <w:bCs/>
                <w:sz w:val="20"/>
                <w:szCs w:val="20"/>
                <w:lang w:val="es-US"/>
              </w:rPr>
              <w:t xml:space="preserve"> y 15 de diciembre de 2023</w:t>
            </w:r>
          </w:p>
        </w:tc>
      </w:tr>
      <w:tr w:rsidR="00303948" w:rsidRPr="00132805" w14:paraId="275AD04F" w14:textId="77777777" w:rsidTr="004A6A54">
        <w:tc>
          <w:tcPr>
            <w:tcW w:w="3600" w:type="dxa"/>
            <w:tcBorders>
              <w:top w:val="single" w:sz="6" w:space="0" w:color="auto"/>
              <w:bottom w:val="single" w:sz="6" w:space="0" w:color="auto"/>
            </w:tcBorders>
            <w:shd w:val="clear" w:color="auto" w:fill="386294"/>
            <w:vAlign w:val="center"/>
          </w:tcPr>
          <w:p w14:paraId="6AAD5C12" w14:textId="1FDF6153" w:rsidR="00303948" w:rsidRPr="0048719B" w:rsidRDefault="0046105F" w:rsidP="0046105F">
            <w:pPr>
              <w:jc w:val="center"/>
              <w:rPr>
                <w:rFonts w:ascii="Cambria" w:hAnsi="Cambria"/>
                <w:b/>
                <w:color w:val="FFFFFF" w:themeColor="background1"/>
                <w:sz w:val="20"/>
                <w:szCs w:val="20"/>
                <w:lang w:val="es-PE"/>
              </w:rPr>
            </w:pPr>
            <w:r w:rsidRPr="0048719B">
              <w:rPr>
                <w:rFonts w:ascii="Cambria" w:hAnsi="Cambria"/>
                <w:b/>
                <w:bCs/>
                <w:color w:val="FFFFFF" w:themeColor="background1"/>
                <w:sz w:val="20"/>
                <w:szCs w:val="20"/>
                <w:lang w:val="es-PE"/>
              </w:rPr>
              <w:t>Observaciones adicionales del Estado</w:t>
            </w:r>
            <w:r>
              <w:rPr>
                <w:rFonts w:ascii="Cambria" w:hAnsi="Cambria"/>
                <w:b/>
                <w:bCs/>
                <w:color w:val="FFFFFF" w:themeColor="background1"/>
                <w:sz w:val="20"/>
                <w:szCs w:val="20"/>
                <w:lang w:val="es-PE"/>
              </w:rPr>
              <w:t>:</w:t>
            </w:r>
          </w:p>
        </w:tc>
        <w:tc>
          <w:tcPr>
            <w:tcW w:w="5760" w:type="dxa"/>
            <w:vAlign w:val="center"/>
          </w:tcPr>
          <w:p w14:paraId="17B21EF8" w14:textId="71E06839" w:rsidR="00303948" w:rsidRPr="0048719B" w:rsidRDefault="00EA6070" w:rsidP="008D2290">
            <w:pPr>
              <w:jc w:val="both"/>
              <w:rPr>
                <w:rFonts w:ascii="Cambria" w:hAnsi="Cambria"/>
                <w:bCs/>
                <w:sz w:val="20"/>
                <w:szCs w:val="20"/>
                <w:lang w:val="es-PE"/>
              </w:rPr>
            </w:pPr>
            <w:r>
              <w:rPr>
                <w:rFonts w:ascii="Cambria" w:hAnsi="Cambria"/>
                <w:bCs/>
                <w:sz w:val="20"/>
                <w:szCs w:val="20"/>
                <w:lang w:val="es-PE"/>
              </w:rPr>
              <w:t>13 de octubre de 2017</w:t>
            </w:r>
            <w:r w:rsidR="005D6B4A">
              <w:rPr>
                <w:rFonts w:ascii="Cambria" w:hAnsi="Cambria"/>
                <w:bCs/>
                <w:sz w:val="20"/>
                <w:szCs w:val="20"/>
                <w:lang w:val="es-PE"/>
              </w:rPr>
              <w:t xml:space="preserve">, </w:t>
            </w:r>
            <w:r w:rsidR="004B4768">
              <w:rPr>
                <w:rFonts w:ascii="Cambria" w:hAnsi="Cambria"/>
                <w:bCs/>
                <w:sz w:val="20"/>
                <w:szCs w:val="20"/>
                <w:lang w:val="es-PE"/>
              </w:rPr>
              <w:t>14 de noviembre de 2018</w:t>
            </w:r>
            <w:r w:rsidR="00273E0E">
              <w:rPr>
                <w:rFonts w:ascii="Cambria" w:hAnsi="Cambria"/>
                <w:bCs/>
                <w:sz w:val="20"/>
                <w:szCs w:val="20"/>
                <w:lang w:val="es-PE"/>
              </w:rPr>
              <w:t>, 8 de noviembre de 2019</w:t>
            </w:r>
            <w:r w:rsidR="00582F87">
              <w:rPr>
                <w:rFonts w:ascii="Cambria" w:hAnsi="Cambria"/>
                <w:bCs/>
                <w:sz w:val="20"/>
                <w:szCs w:val="20"/>
                <w:lang w:val="es-PE"/>
              </w:rPr>
              <w:t xml:space="preserve"> y</w:t>
            </w:r>
            <w:r w:rsidR="00FF1DB0">
              <w:rPr>
                <w:rFonts w:ascii="Cambria" w:hAnsi="Cambria"/>
                <w:bCs/>
                <w:sz w:val="20"/>
                <w:szCs w:val="20"/>
                <w:lang w:val="es-PE"/>
              </w:rPr>
              <w:t xml:space="preserve"> 6 de agosto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721974">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74293C" w:rsidRDefault="003239B8" w:rsidP="008D2290">
            <w:pPr>
              <w:jc w:val="center"/>
              <w:rPr>
                <w:rFonts w:ascii="Cambria" w:hAnsi="Cambria"/>
                <w:b/>
                <w:bCs/>
                <w:i/>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personae:</w:t>
            </w:r>
          </w:p>
        </w:tc>
        <w:tc>
          <w:tcPr>
            <w:tcW w:w="5776" w:type="dxa"/>
            <w:vAlign w:val="center"/>
          </w:tcPr>
          <w:p w14:paraId="7707F3E9" w14:textId="58FDBB2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B8802DA" w14:textId="77777777" w:rsidTr="00721974">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loci</w:t>
            </w:r>
            <w:r w:rsidRPr="0074293C">
              <w:rPr>
                <w:rFonts w:ascii="Cambria" w:hAnsi="Cambria"/>
                <w:b/>
                <w:bCs/>
                <w:color w:val="FFFFFF" w:themeColor="background1"/>
                <w:sz w:val="20"/>
                <w:szCs w:val="20"/>
                <w:lang w:val="es-PE"/>
              </w:rPr>
              <w:t>:</w:t>
            </w:r>
          </w:p>
        </w:tc>
        <w:tc>
          <w:tcPr>
            <w:tcW w:w="5776" w:type="dxa"/>
            <w:vAlign w:val="center"/>
          </w:tcPr>
          <w:p w14:paraId="12C931CB" w14:textId="7EDE1F5B"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362FDF3" w14:textId="77777777" w:rsidTr="00721974">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temporis</w:t>
            </w:r>
            <w:r w:rsidRPr="0074293C">
              <w:rPr>
                <w:rFonts w:ascii="Cambria" w:hAnsi="Cambria"/>
                <w:b/>
                <w:bCs/>
                <w:color w:val="FFFFFF" w:themeColor="background1"/>
                <w:sz w:val="20"/>
                <w:szCs w:val="20"/>
                <w:lang w:val="es-PE"/>
              </w:rPr>
              <w:t>:</w:t>
            </w:r>
          </w:p>
        </w:tc>
        <w:tc>
          <w:tcPr>
            <w:tcW w:w="5776" w:type="dxa"/>
            <w:vAlign w:val="center"/>
          </w:tcPr>
          <w:p w14:paraId="6F8B059B" w14:textId="2114778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132805" w14:paraId="30ABEC3E" w14:textId="77777777" w:rsidTr="00721974">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materia</w:t>
            </w:r>
            <w:r w:rsidR="00EE00E9" w:rsidRPr="0074293C">
              <w:rPr>
                <w:rFonts w:ascii="Cambria" w:hAnsi="Cambria"/>
                <w:b/>
                <w:bCs/>
                <w:i/>
                <w:color w:val="FFFFFF" w:themeColor="background1"/>
                <w:sz w:val="20"/>
                <w:szCs w:val="20"/>
                <w:lang w:val="es-PE"/>
              </w:rPr>
              <w:t>e</w:t>
            </w:r>
            <w:r w:rsidRPr="0074293C">
              <w:rPr>
                <w:rFonts w:ascii="Cambria" w:hAnsi="Cambria"/>
                <w:b/>
                <w:bCs/>
                <w:color w:val="FFFFFF" w:themeColor="background1"/>
                <w:sz w:val="20"/>
                <w:szCs w:val="20"/>
                <w:lang w:val="es-PE"/>
              </w:rPr>
              <w:t>:</w:t>
            </w:r>
          </w:p>
        </w:tc>
        <w:tc>
          <w:tcPr>
            <w:tcW w:w="5776" w:type="dxa"/>
            <w:vAlign w:val="center"/>
          </w:tcPr>
          <w:p w14:paraId="0C122F44" w14:textId="410C8E10" w:rsidR="003239B8" w:rsidRPr="0074293C" w:rsidRDefault="00B472EC" w:rsidP="008D2290">
            <w:pPr>
              <w:jc w:val="both"/>
              <w:rPr>
                <w:rFonts w:ascii="Cambria" w:hAnsi="Cambria"/>
                <w:bCs/>
                <w:sz w:val="20"/>
                <w:szCs w:val="20"/>
                <w:lang w:val="es-PE"/>
              </w:rPr>
            </w:pPr>
            <w:r w:rsidRPr="0074293C">
              <w:rPr>
                <w:rFonts w:ascii="Cambria" w:hAnsi="Cambria"/>
                <w:bCs/>
                <w:sz w:val="20"/>
                <w:szCs w:val="20"/>
                <w:lang w:val="es-PE"/>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6D1946" w14:paraId="1231C988" w14:textId="77777777" w:rsidTr="00721974">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721974">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132805" w14:paraId="4EFD141E" w14:textId="77777777" w:rsidTr="00721974">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45B8E8FC" w:rsidR="003239B8" w:rsidRPr="00DC24E3" w:rsidRDefault="007F6F80" w:rsidP="008D2290">
            <w:pPr>
              <w:rPr>
                <w:rFonts w:ascii="Cambria" w:hAnsi="Cambria"/>
                <w:bCs/>
                <w:sz w:val="20"/>
                <w:szCs w:val="20"/>
                <w:lang w:val="es-ES"/>
              </w:rPr>
            </w:pPr>
            <w:r>
              <w:rPr>
                <w:rFonts w:ascii="Cambria" w:hAnsi="Cambria"/>
                <w:bCs/>
                <w:sz w:val="20"/>
                <w:szCs w:val="20"/>
                <w:lang w:val="es-ES"/>
              </w:rPr>
              <w:t>Sí</w:t>
            </w:r>
            <w:r w:rsidR="005F327D">
              <w:rPr>
                <w:rFonts w:ascii="Cambria" w:hAnsi="Cambria"/>
                <w:bCs/>
                <w:sz w:val="20"/>
                <w:szCs w:val="20"/>
                <w:lang w:val="es-ES"/>
              </w:rPr>
              <w:t>, en los términos de la sección VII</w:t>
            </w:r>
          </w:p>
        </w:tc>
      </w:tr>
      <w:tr w:rsidR="003239B8" w:rsidRPr="00132805" w14:paraId="52B5BA17" w14:textId="77777777" w:rsidTr="00721974">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7B37E46E" w:rsidR="003239B8" w:rsidRPr="005F327D" w:rsidRDefault="007F6F80" w:rsidP="008D2290">
            <w:pPr>
              <w:rPr>
                <w:rFonts w:ascii="Cambria" w:hAnsi="Cambria"/>
                <w:bCs/>
                <w:sz w:val="20"/>
                <w:szCs w:val="20"/>
                <w:lang w:val="es-US"/>
              </w:rPr>
            </w:pPr>
            <w:r>
              <w:rPr>
                <w:rFonts w:ascii="Cambria" w:hAnsi="Cambria"/>
                <w:bCs/>
                <w:sz w:val="20"/>
                <w:szCs w:val="20"/>
                <w:lang w:val="es-ES"/>
              </w:rPr>
              <w:t>Sí</w:t>
            </w:r>
            <w:r w:rsidR="005F327D">
              <w:rPr>
                <w:rFonts w:ascii="Cambria" w:hAnsi="Cambria"/>
                <w:bCs/>
                <w:sz w:val="20"/>
                <w:szCs w:val="20"/>
                <w:lang w:val="es-ES"/>
              </w:rPr>
              <w:t>, en los términos de la sección VII</w:t>
            </w:r>
          </w:p>
        </w:tc>
      </w:tr>
    </w:tbl>
    <w:p w14:paraId="25EDBE6C" w14:textId="77777777" w:rsidR="00721974" w:rsidRDefault="00721974" w:rsidP="003239B8">
      <w:pPr>
        <w:spacing w:before="240" w:after="240"/>
        <w:ind w:firstLine="720"/>
        <w:jc w:val="both"/>
        <w:rPr>
          <w:rFonts w:asciiTheme="majorHAnsi" w:hAnsiTheme="majorHAnsi"/>
          <w:b/>
          <w:sz w:val="20"/>
          <w:szCs w:val="20"/>
          <w:lang w:val="es-UY"/>
        </w:rPr>
      </w:pPr>
    </w:p>
    <w:p w14:paraId="18E6423B" w14:textId="2F74910F" w:rsidR="003239B8" w:rsidRPr="00D24FED"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D24FED">
        <w:rPr>
          <w:rFonts w:asciiTheme="majorHAnsi" w:hAnsiTheme="majorHAnsi"/>
          <w:b/>
          <w:sz w:val="20"/>
          <w:szCs w:val="20"/>
          <w:lang w:val="es-UY"/>
        </w:rPr>
        <w:t>POSICIÓN DE LAS PARTES</w:t>
      </w:r>
    </w:p>
    <w:p w14:paraId="6CB72300" w14:textId="41137ED5" w:rsidR="00BA237E" w:rsidRPr="00D24FED" w:rsidRDefault="008E3587" w:rsidP="003239B8">
      <w:pPr>
        <w:spacing w:before="240" w:after="240"/>
        <w:ind w:firstLine="720"/>
        <w:jc w:val="both"/>
        <w:rPr>
          <w:rFonts w:asciiTheme="majorHAnsi" w:hAnsiTheme="majorHAnsi"/>
          <w:bCs/>
          <w:i/>
          <w:iCs/>
          <w:sz w:val="20"/>
          <w:szCs w:val="20"/>
          <w:lang w:val="es-UY"/>
        </w:rPr>
      </w:pPr>
      <w:r w:rsidRPr="00D24FED">
        <w:rPr>
          <w:rFonts w:asciiTheme="majorHAnsi" w:hAnsiTheme="majorHAnsi"/>
          <w:bCs/>
          <w:i/>
          <w:iCs/>
          <w:sz w:val="20"/>
          <w:szCs w:val="20"/>
          <w:lang w:val="es-UY"/>
        </w:rPr>
        <w:t>Alegatos de la parte peticionaria</w:t>
      </w:r>
    </w:p>
    <w:p w14:paraId="23B95E86" w14:textId="0ED38B35" w:rsidR="00030B8A" w:rsidRPr="00D24FED" w:rsidRDefault="00030B8A" w:rsidP="00030B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D24FED">
        <w:rPr>
          <w:rFonts w:asciiTheme="majorHAnsi" w:hAnsiTheme="majorHAnsi"/>
          <w:sz w:val="20"/>
          <w:szCs w:val="20"/>
          <w:lang w:val="es-ES_tradnl"/>
        </w:rPr>
        <w:t>Los señores Pérez Jiménez y García Álvarez</w:t>
      </w:r>
      <w:r w:rsidR="000D41EF" w:rsidRPr="00D24FED">
        <w:rPr>
          <w:rFonts w:asciiTheme="majorHAnsi" w:hAnsiTheme="majorHAnsi"/>
          <w:sz w:val="20"/>
          <w:szCs w:val="20"/>
          <w:lang w:val="es-ES_tradnl"/>
        </w:rPr>
        <w:t>, en su condición de presunta</w:t>
      </w:r>
      <w:r w:rsidRPr="00D24FED">
        <w:rPr>
          <w:rFonts w:asciiTheme="majorHAnsi" w:hAnsiTheme="majorHAnsi"/>
          <w:sz w:val="20"/>
          <w:szCs w:val="20"/>
          <w:lang w:val="es-ES_tradnl"/>
        </w:rPr>
        <w:t>s</w:t>
      </w:r>
      <w:r w:rsidR="000D41EF" w:rsidRPr="00D24FED">
        <w:rPr>
          <w:rFonts w:asciiTheme="majorHAnsi" w:hAnsiTheme="majorHAnsi"/>
          <w:sz w:val="20"/>
          <w:szCs w:val="20"/>
          <w:lang w:val="es-ES_tradnl"/>
        </w:rPr>
        <w:t xml:space="preserve"> víctima</w:t>
      </w:r>
      <w:r w:rsidRPr="00D24FED">
        <w:rPr>
          <w:rFonts w:asciiTheme="majorHAnsi" w:hAnsiTheme="majorHAnsi"/>
          <w:sz w:val="20"/>
          <w:szCs w:val="20"/>
          <w:lang w:val="es-ES_tradnl"/>
        </w:rPr>
        <w:t>s</w:t>
      </w:r>
      <w:r w:rsidR="000D41EF" w:rsidRPr="00D24FED">
        <w:rPr>
          <w:rFonts w:asciiTheme="majorHAnsi" w:hAnsiTheme="majorHAnsi"/>
          <w:sz w:val="20"/>
          <w:szCs w:val="20"/>
          <w:lang w:val="es-ES_tradnl"/>
        </w:rPr>
        <w:t xml:space="preserve"> y peticionario</w:t>
      </w:r>
      <w:r w:rsidRPr="00D24FED">
        <w:rPr>
          <w:rFonts w:asciiTheme="majorHAnsi" w:hAnsiTheme="majorHAnsi"/>
          <w:sz w:val="20"/>
          <w:szCs w:val="20"/>
          <w:lang w:val="es-ES_tradnl"/>
        </w:rPr>
        <w:t>s</w:t>
      </w:r>
      <w:r w:rsidR="000D41EF" w:rsidRPr="00D24FED">
        <w:rPr>
          <w:rFonts w:asciiTheme="majorHAnsi" w:hAnsiTheme="majorHAnsi"/>
          <w:sz w:val="20"/>
          <w:szCs w:val="20"/>
          <w:lang w:val="es-ES_tradnl"/>
        </w:rPr>
        <w:t>, denuncia</w:t>
      </w:r>
      <w:r w:rsidR="00882D9B" w:rsidRPr="00D24FED">
        <w:rPr>
          <w:rFonts w:asciiTheme="majorHAnsi" w:hAnsiTheme="majorHAnsi"/>
          <w:sz w:val="20"/>
          <w:szCs w:val="20"/>
          <w:lang w:val="es-ES_tradnl"/>
        </w:rPr>
        <w:t>n</w:t>
      </w:r>
      <w:r w:rsidR="000D41EF" w:rsidRPr="00D24FED">
        <w:rPr>
          <w:rFonts w:asciiTheme="majorHAnsi" w:hAnsiTheme="majorHAnsi"/>
          <w:sz w:val="20"/>
          <w:szCs w:val="20"/>
          <w:lang w:val="es-ES_tradnl"/>
        </w:rPr>
        <w:t xml:space="preserve"> que</w:t>
      </w:r>
      <w:r w:rsidR="00D42FEF" w:rsidRPr="00D24FED">
        <w:rPr>
          <w:rFonts w:asciiTheme="majorHAnsi" w:hAnsiTheme="majorHAnsi"/>
          <w:sz w:val="20"/>
          <w:szCs w:val="20"/>
          <w:lang w:val="es-ES_tradnl"/>
        </w:rPr>
        <w:t xml:space="preserve"> no tuvieron acceso a un recurso que permita la revisión de</w:t>
      </w:r>
      <w:r w:rsidR="00720C38" w:rsidRPr="00D24FED">
        <w:rPr>
          <w:rFonts w:asciiTheme="majorHAnsi" w:hAnsiTheme="majorHAnsi"/>
          <w:sz w:val="20"/>
          <w:szCs w:val="20"/>
          <w:lang w:val="es-ES_tradnl"/>
        </w:rPr>
        <w:t xml:space="preserve"> su</w:t>
      </w:r>
      <w:r w:rsidR="00F67488" w:rsidRPr="00D24FED">
        <w:rPr>
          <w:rFonts w:asciiTheme="majorHAnsi" w:hAnsiTheme="majorHAnsi"/>
          <w:sz w:val="20"/>
          <w:szCs w:val="20"/>
          <w:lang w:val="es-ES_tradnl"/>
        </w:rPr>
        <w:t>s</w:t>
      </w:r>
      <w:r w:rsidR="00D42FEF" w:rsidRPr="00D24FED">
        <w:rPr>
          <w:rFonts w:asciiTheme="majorHAnsi" w:hAnsiTheme="majorHAnsi"/>
          <w:sz w:val="20"/>
          <w:szCs w:val="20"/>
          <w:lang w:val="es-ES_tradnl"/>
        </w:rPr>
        <w:t xml:space="preserve"> </w:t>
      </w:r>
      <w:r w:rsidR="00F67488" w:rsidRPr="00D24FED">
        <w:rPr>
          <w:rFonts w:asciiTheme="majorHAnsi" w:hAnsiTheme="majorHAnsi"/>
          <w:sz w:val="20"/>
          <w:szCs w:val="20"/>
          <w:lang w:val="es-ES_tradnl"/>
        </w:rPr>
        <w:t>condenas</w:t>
      </w:r>
      <w:r w:rsidR="00D42FEF" w:rsidRPr="00D24FED">
        <w:rPr>
          <w:rFonts w:asciiTheme="majorHAnsi" w:hAnsiTheme="majorHAnsi"/>
          <w:sz w:val="20"/>
          <w:szCs w:val="20"/>
          <w:lang w:val="es-ES_tradnl"/>
        </w:rPr>
        <w:t xml:space="preserve">. </w:t>
      </w:r>
    </w:p>
    <w:p w14:paraId="67113318" w14:textId="0F2A83E3" w:rsidR="00042864" w:rsidRPr="00D24FED" w:rsidRDefault="00242544" w:rsidP="000428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D24FED">
        <w:rPr>
          <w:rFonts w:asciiTheme="majorHAnsi" w:hAnsiTheme="majorHAnsi"/>
          <w:sz w:val="20"/>
          <w:szCs w:val="20"/>
          <w:lang w:val="es-AR"/>
        </w:rPr>
        <w:t>E</w:t>
      </w:r>
      <w:r w:rsidR="0004179A" w:rsidRPr="00D24FED">
        <w:rPr>
          <w:rFonts w:asciiTheme="majorHAnsi" w:hAnsiTheme="majorHAnsi"/>
          <w:sz w:val="20"/>
          <w:szCs w:val="20"/>
          <w:lang w:val="es-AR"/>
        </w:rPr>
        <w:t>l 14 de noviembre de 2006 el Tribunal del Segundo Circuito Judicial de la Zona Atlántica</w:t>
      </w:r>
      <w:r w:rsidR="00795199" w:rsidRPr="00D24FED">
        <w:rPr>
          <w:rFonts w:asciiTheme="majorHAnsi" w:hAnsiTheme="majorHAnsi"/>
          <w:sz w:val="20"/>
          <w:szCs w:val="20"/>
          <w:lang w:val="es-AR"/>
        </w:rPr>
        <w:t xml:space="preserve">, mediante la resolución </w:t>
      </w:r>
      <w:r w:rsidR="00EA469C" w:rsidRPr="00D24FED">
        <w:rPr>
          <w:rFonts w:asciiTheme="majorHAnsi" w:hAnsiTheme="majorHAnsi"/>
          <w:sz w:val="20"/>
          <w:szCs w:val="20"/>
          <w:lang w:val="es-AR"/>
        </w:rPr>
        <w:t xml:space="preserve">N.º 430-06, </w:t>
      </w:r>
      <w:r w:rsidR="00D91045" w:rsidRPr="00D24FED">
        <w:rPr>
          <w:rFonts w:asciiTheme="majorHAnsi" w:hAnsiTheme="majorHAnsi"/>
          <w:sz w:val="20"/>
          <w:szCs w:val="20"/>
          <w:lang w:val="es-AR"/>
        </w:rPr>
        <w:t xml:space="preserve">declaró </w:t>
      </w:r>
      <w:r w:rsidRPr="00D24FED">
        <w:rPr>
          <w:rFonts w:asciiTheme="majorHAnsi" w:hAnsiTheme="majorHAnsi"/>
          <w:sz w:val="20"/>
          <w:szCs w:val="20"/>
          <w:lang w:val="es-AR"/>
        </w:rPr>
        <w:t xml:space="preserve">al señor Pérez Jiménez responsable de dos delitos de falsedad ideológica y dos delitos de uso de documento falso; y al señor García Álvarez responsable de dos delitos de falsificación de documento. </w:t>
      </w:r>
      <w:r w:rsidR="00390050" w:rsidRPr="00D24FED">
        <w:rPr>
          <w:rFonts w:asciiTheme="majorHAnsi" w:hAnsiTheme="majorHAnsi"/>
          <w:sz w:val="20"/>
          <w:szCs w:val="20"/>
          <w:lang w:val="es-AR"/>
        </w:rPr>
        <w:t xml:space="preserve">Ante ello, </w:t>
      </w:r>
      <w:r w:rsidR="00521F5B" w:rsidRPr="00D24FED">
        <w:rPr>
          <w:rFonts w:asciiTheme="majorHAnsi" w:hAnsiTheme="majorHAnsi"/>
          <w:sz w:val="20"/>
          <w:szCs w:val="20"/>
          <w:lang w:val="es-AR"/>
        </w:rPr>
        <w:t>las abogadas particulares de las presuntas víctimas</w:t>
      </w:r>
      <w:r w:rsidR="00390050" w:rsidRPr="00D24FED">
        <w:rPr>
          <w:rFonts w:asciiTheme="majorHAnsi" w:hAnsiTheme="majorHAnsi"/>
          <w:sz w:val="20"/>
          <w:szCs w:val="20"/>
          <w:lang w:val="es-AR"/>
        </w:rPr>
        <w:t xml:space="preserve"> present</w:t>
      </w:r>
      <w:r w:rsidR="00521F5B" w:rsidRPr="00D24FED">
        <w:rPr>
          <w:rFonts w:asciiTheme="majorHAnsi" w:hAnsiTheme="majorHAnsi"/>
          <w:sz w:val="20"/>
          <w:szCs w:val="20"/>
          <w:lang w:val="es-AR"/>
        </w:rPr>
        <w:t>aron</w:t>
      </w:r>
      <w:r w:rsidR="00390050" w:rsidRPr="00D24FED">
        <w:rPr>
          <w:rFonts w:asciiTheme="majorHAnsi" w:hAnsiTheme="majorHAnsi"/>
          <w:sz w:val="20"/>
          <w:szCs w:val="20"/>
          <w:lang w:val="es-AR"/>
        </w:rPr>
        <w:t xml:space="preserve"> </w:t>
      </w:r>
      <w:r w:rsidR="00521F5B" w:rsidRPr="00D24FED">
        <w:rPr>
          <w:rFonts w:asciiTheme="majorHAnsi" w:hAnsiTheme="majorHAnsi"/>
          <w:sz w:val="20"/>
          <w:szCs w:val="20"/>
          <w:lang w:val="es-AR"/>
        </w:rPr>
        <w:t>recursos</w:t>
      </w:r>
      <w:r w:rsidR="00390050" w:rsidRPr="00D24FED">
        <w:rPr>
          <w:rFonts w:asciiTheme="majorHAnsi" w:hAnsiTheme="majorHAnsi"/>
          <w:sz w:val="20"/>
          <w:szCs w:val="20"/>
          <w:lang w:val="es-AR"/>
        </w:rPr>
        <w:t xml:space="preserve"> de casación, arguyendo</w:t>
      </w:r>
      <w:r w:rsidR="004F4D2E" w:rsidRPr="00D24FED">
        <w:rPr>
          <w:rFonts w:asciiTheme="majorHAnsi" w:hAnsiTheme="majorHAnsi"/>
          <w:sz w:val="20"/>
          <w:szCs w:val="20"/>
          <w:lang w:val="es-AR"/>
        </w:rPr>
        <w:t>, entre otros cuestionamientos,</w:t>
      </w:r>
      <w:r w:rsidR="00390050" w:rsidRPr="00D24FED">
        <w:rPr>
          <w:rFonts w:asciiTheme="majorHAnsi" w:hAnsiTheme="majorHAnsi"/>
          <w:sz w:val="20"/>
          <w:szCs w:val="20"/>
          <w:lang w:val="es-AR"/>
        </w:rPr>
        <w:t xml:space="preserve"> que </w:t>
      </w:r>
      <w:r w:rsidR="00614AFC" w:rsidRPr="00D24FED">
        <w:rPr>
          <w:rFonts w:asciiTheme="majorHAnsi" w:hAnsiTheme="majorHAnsi"/>
          <w:sz w:val="20"/>
          <w:szCs w:val="20"/>
          <w:lang w:val="es-AR"/>
        </w:rPr>
        <w:t>i)</w:t>
      </w:r>
      <w:r w:rsidR="00F00317" w:rsidRPr="00D24FED">
        <w:rPr>
          <w:rFonts w:asciiTheme="majorHAnsi" w:hAnsiTheme="majorHAnsi"/>
          <w:sz w:val="20"/>
          <w:szCs w:val="20"/>
          <w:lang w:val="es-AR"/>
        </w:rPr>
        <w:t xml:space="preserve"> sus representados</w:t>
      </w:r>
      <w:r w:rsidR="00614AFC" w:rsidRPr="00D24FED">
        <w:rPr>
          <w:rFonts w:asciiTheme="majorHAnsi" w:hAnsiTheme="majorHAnsi"/>
          <w:sz w:val="20"/>
          <w:szCs w:val="20"/>
          <w:lang w:val="es-AR"/>
        </w:rPr>
        <w:t xml:space="preserve"> rindieron su primera declaración sin presencia de un representante de la Fiscalía </w:t>
      </w:r>
      <w:r w:rsidR="00B74927" w:rsidRPr="00D24FED">
        <w:rPr>
          <w:rFonts w:asciiTheme="majorHAnsi" w:hAnsiTheme="majorHAnsi"/>
          <w:sz w:val="20"/>
          <w:szCs w:val="20"/>
          <w:lang w:val="es-AR"/>
        </w:rPr>
        <w:t>ni de su abogado</w:t>
      </w:r>
      <w:r w:rsidR="00EF4270" w:rsidRPr="00D24FED">
        <w:rPr>
          <w:rFonts w:asciiTheme="majorHAnsi" w:hAnsiTheme="majorHAnsi"/>
          <w:sz w:val="20"/>
          <w:szCs w:val="20"/>
          <w:lang w:val="es-AR"/>
        </w:rPr>
        <w:t xml:space="preserve"> y</w:t>
      </w:r>
      <w:r w:rsidR="00920582" w:rsidRPr="00D24FED">
        <w:rPr>
          <w:rFonts w:asciiTheme="majorHAnsi" w:hAnsiTheme="majorHAnsi"/>
          <w:sz w:val="20"/>
          <w:szCs w:val="20"/>
          <w:lang w:val="es-AR"/>
        </w:rPr>
        <w:t xml:space="preserve">, a pesar de ello, esta se tuvo como </w:t>
      </w:r>
      <w:r w:rsidR="007A5740" w:rsidRPr="00D24FED">
        <w:rPr>
          <w:rFonts w:asciiTheme="majorHAnsi" w:hAnsiTheme="majorHAnsi"/>
          <w:sz w:val="20"/>
          <w:szCs w:val="20"/>
          <w:lang w:val="es-AR"/>
        </w:rPr>
        <w:t>primera imputación formal; ii</w:t>
      </w:r>
      <w:r w:rsidR="006E0722" w:rsidRPr="00D24FED">
        <w:rPr>
          <w:rFonts w:asciiTheme="majorHAnsi" w:hAnsiTheme="majorHAnsi"/>
          <w:sz w:val="20"/>
          <w:szCs w:val="20"/>
          <w:lang w:val="es-AR"/>
        </w:rPr>
        <w:t xml:space="preserve">) </w:t>
      </w:r>
      <w:r w:rsidR="00B03C1F" w:rsidRPr="00D24FED">
        <w:rPr>
          <w:rFonts w:asciiTheme="majorHAnsi" w:hAnsiTheme="majorHAnsi"/>
          <w:sz w:val="20"/>
          <w:szCs w:val="20"/>
          <w:lang w:val="es-AR"/>
        </w:rPr>
        <w:t xml:space="preserve">la </w:t>
      </w:r>
      <w:r w:rsidR="006E0722" w:rsidRPr="00D24FED">
        <w:rPr>
          <w:rFonts w:asciiTheme="majorHAnsi" w:hAnsiTheme="majorHAnsi"/>
          <w:sz w:val="20"/>
          <w:szCs w:val="20"/>
          <w:lang w:val="es-AR"/>
        </w:rPr>
        <w:t xml:space="preserve">afectación al principio </w:t>
      </w:r>
      <w:r w:rsidR="006E0722" w:rsidRPr="00D24FED">
        <w:rPr>
          <w:rFonts w:asciiTheme="majorHAnsi" w:hAnsiTheme="majorHAnsi"/>
          <w:i/>
          <w:iCs/>
          <w:sz w:val="20"/>
          <w:szCs w:val="20"/>
          <w:lang w:val="es-AR"/>
        </w:rPr>
        <w:t>non bis in idem;</w:t>
      </w:r>
      <w:r w:rsidR="004F4D2E" w:rsidRPr="00D24FED">
        <w:rPr>
          <w:rFonts w:asciiTheme="majorHAnsi" w:hAnsiTheme="majorHAnsi"/>
          <w:i/>
          <w:iCs/>
          <w:sz w:val="20"/>
          <w:szCs w:val="20"/>
          <w:lang w:val="es-AR"/>
        </w:rPr>
        <w:t xml:space="preserve"> </w:t>
      </w:r>
      <w:r w:rsidR="004F4D2E" w:rsidRPr="00D24FED">
        <w:rPr>
          <w:rFonts w:asciiTheme="majorHAnsi" w:hAnsiTheme="majorHAnsi"/>
          <w:sz w:val="20"/>
          <w:szCs w:val="20"/>
          <w:lang w:val="es-AR"/>
        </w:rPr>
        <w:t>y</w:t>
      </w:r>
      <w:r w:rsidR="006E0722" w:rsidRPr="00D24FED">
        <w:rPr>
          <w:rFonts w:asciiTheme="majorHAnsi" w:hAnsiTheme="majorHAnsi"/>
          <w:i/>
          <w:iCs/>
          <w:sz w:val="20"/>
          <w:szCs w:val="20"/>
          <w:lang w:val="es-AR"/>
        </w:rPr>
        <w:t xml:space="preserve"> </w:t>
      </w:r>
      <w:r w:rsidR="006E0722" w:rsidRPr="00D24FED">
        <w:rPr>
          <w:rFonts w:asciiTheme="majorHAnsi" w:hAnsiTheme="majorHAnsi"/>
          <w:sz w:val="20"/>
          <w:szCs w:val="20"/>
          <w:lang w:val="es-AR"/>
        </w:rPr>
        <w:t xml:space="preserve">iii) </w:t>
      </w:r>
      <w:r w:rsidR="003306C6" w:rsidRPr="00D24FED">
        <w:rPr>
          <w:rFonts w:asciiTheme="majorHAnsi" w:hAnsiTheme="majorHAnsi"/>
          <w:sz w:val="20"/>
          <w:szCs w:val="20"/>
          <w:lang w:val="es-AR"/>
        </w:rPr>
        <w:t xml:space="preserve">que </w:t>
      </w:r>
      <w:r w:rsidR="00B03C1F" w:rsidRPr="00D24FED">
        <w:rPr>
          <w:rFonts w:asciiTheme="majorHAnsi" w:hAnsiTheme="majorHAnsi"/>
          <w:sz w:val="20"/>
          <w:szCs w:val="20"/>
          <w:lang w:val="es-AR"/>
        </w:rPr>
        <w:t>existió una inadecuada fundamentación del fallo debido a la incorrecta valoración de la prueba</w:t>
      </w:r>
      <w:r w:rsidR="00614AFC" w:rsidRPr="00D24FED">
        <w:rPr>
          <w:rFonts w:asciiTheme="majorHAnsi" w:hAnsiTheme="majorHAnsi"/>
          <w:sz w:val="20"/>
          <w:szCs w:val="20"/>
          <w:lang w:val="es-AR"/>
        </w:rPr>
        <w:t>.</w:t>
      </w:r>
      <w:r w:rsidR="00390050" w:rsidRPr="00D24FED">
        <w:rPr>
          <w:rFonts w:asciiTheme="majorHAnsi" w:hAnsiTheme="majorHAnsi"/>
          <w:sz w:val="20"/>
          <w:szCs w:val="20"/>
          <w:lang w:val="es-AR"/>
        </w:rPr>
        <w:t xml:space="preserve"> Sin embargo, el 16 de octubre de 2009 la Sala Tercera de la Corte Suprema de Justicia, mediante la resolución N.º 2009-01434, desestimó </w:t>
      </w:r>
      <w:r w:rsidR="009704DD" w:rsidRPr="00D24FED">
        <w:rPr>
          <w:rFonts w:asciiTheme="majorHAnsi" w:hAnsiTheme="majorHAnsi"/>
          <w:sz w:val="20"/>
          <w:szCs w:val="20"/>
          <w:lang w:val="es-AR"/>
        </w:rPr>
        <w:t>los</w:t>
      </w:r>
      <w:r w:rsidR="00390050" w:rsidRPr="00D24FED">
        <w:rPr>
          <w:rFonts w:asciiTheme="majorHAnsi" w:hAnsiTheme="majorHAnsi"/>
          <w:sz w:val="20"/>
          <w:szCs w:val="20"/>
          <w:lang w:val="es-AR"/>
        </w:rPr>
        <w:t xml:space="preserve"> citado</w:t>
      </w:r>
      <w:r w:rsidR="009704DD" w:rsidRPr="00D24FED">
        <w:rPr>
          <w:rFonts w:asciiTheme="majorHAnsi" w:hAnsiTheme="majorHAnsi"/>
          <w:sz w:val="20"/>
          <w:szCs w:val="20"/>
          <w:lang w:val="es-AR"/>
        </w:rPr>
        <w:t>s</w:t>
      </w:r>
      <w:r w:rsidR="00390050" w:rsidRPr="00D24FED">
        <w:rPr>
          <w:rFonts w:asciiTheme="majorHAnsi" w:hAnsiTheme="majorHAnsi"/>
          <w:sz w:val="20"/>
          <w:szCs w:val="20"/>
          <w:lang w:val="es-AR"/>
        </w:rPr>
        <w:t xml:space="preserve"> recurso</w:t>
      </w:r>
      <w:r w:rsidR="009704DD" w:rsidRPr="00D24FED">
        <w:rPr>
          <w:rFonts w:asciiTheme="majorHAnsi" w:hAnsiTheme="majorHAnsi"/>
          <w:sz w:val="20"/>
          <w:szCs w:val="20"/>
          <w:lang w:val="es-AR"/>
        </w:rPr>
        <w:t>s</w:t>
      </w:r>
      <w:r w:rsidR="00390050" w:rsidRPr="00D24FED">
        <w:rPr>
          <w:rFonts w:asciiTheme="majorHAnsi" w:hAnsiTheme="majorHAnsi"/>
          <w:sz w:val="20"/>
          <w:szCs w:val="20"/>
          <w:lang w:val="es-AR"/>
        </w:rPr>
        <w:t xml:space="preserve">, al considerar que el fallo de primera instancia estaba debidamente fundamentado. </w:t>
      </w:r>
    </w:p>
    <w:p w14:paraId="49567EAB" w14:textId="3BD03BAA" w:rsidR="007C6BAB" w:rsidRPr="00D24FED" w:rsidRDefault="007C6BAB" w:rsidP="000428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D24FED">
        <w:rPr>
          <w:rFonts w:asciiTheme="majorHAnsi" w:hAnsiTheme="majorHAnsi"/>
          <w:sz w:val="20"/>
          <w:szCs w:val="20"/>
          <w:lang w:val="es-AR"/>
        </w:rPr>
        <w:t xml:space="preserve">Frente a esta situación, el señor Pérez Jiménez presentó un recurso ordinario de revisión, </w:t>
      </w:r>
      <w:r w:rsidR="008852F8" w:rsidRPr="00D24FED">
        <w:rPr>
          <w:rFonts w:asciiTheme="majorHAnsi" w:hAnsiTheme="majorHAnsi"/>
          <w:sz w:val="20"/>
          <w:szCs w:val="20"/>
          <w:lang w:val="es-AR"/>
        </w:rPr>
        <w:t xml:space="preserve">reiterando los </w:t>
      </w:r>
      <w:r w:rsidR="00D24FED" w:rsidRPr="00D24FED">
        <w:rPr>
          <w:rFonts w:asciiTheme="majorHAnsi" w:hAnsiTheme="majorHAnsi"/>
          <w:sz w:val="20"/>
          <w:szCs w:val="20"/>
          <w:lang w:val="es-AR"/>
        </w:rPr>
        <w:t>reclamos</w:t>
      </w:r>
      <w:r w:rsidR="008852F8" w:rsidRPr="00D24FED">
        <w:rPr>
          <w:rFonts w:asciiTheme="majorHAnsi" w:hAnsiTheme="majorHAnsi"/>
          <w:sz w:val="20"/>
          <w:szCs w:val="20"/>
          <w:lang w:val="es-AR"/>
        </w:rPr>
        <w:t xml:space="preserve"> hacia su fallo condenatorio</w:t>
      </w:r>
      <w:r w:rsidRPr="00D24FED">
        <w:rPr>
          <w:rFonts w:asciiTheme="majorHAnsi" w:hAnsiTheme="majorHAnsi"/>
          <w:sz w:val="20"/>
          <w:szCs w:val="20"/>
          <w:lang w:val="es-AR"/>
        </w:rPr>
        <w:t xml:space="preserve">. Sin embargo, el </w:t>
      </w:r>
      <w:r w:rsidR="00B1611A" w:rsidRPr="00D24FED">
        <w:rPr>
          <w:rFonts w:asciiTheme="majorHAnsi" w:hAnsiTheme="majorHAnsi"/>
          <w:sz w:val="20"/>
          <w:szCs w:val="20"/>
          <w:lang w:val="es-AR"/>
        </w:rPr>
        <w:t xml:space="preserve">10 de agosto de 2012 la Sala Tercera de la Corte Suprema de Justicia declaró inadmisible dicha acción, al considerar que la parte demandante planteó </w:t>
      </w:r>
      <w:r w:rsidR="009F79CC" w:rsidRPr="00D24FED">
        <w:rPr>
          <w:rFonts w:asciiTheme="majorHAnsi" w:hAnsiTheme="majorHAnsi"/>
          <w:sz w:val="20"/>
          <w:szCs w:val="20"/>
          <w:lang w:val="es-AR"/>
        </w:rPr>
        <w:t xml:space="preserve">asuntos </w:t>
      </w:r>
      <w:r w:rsidR="00B1611A" w:rsidRPr="00D24FED">
        <w:rPr>
          <w:rFonts w:asciiTheme="majorHAnsi" w:hAnsiTheme="majorHAnsi"/>
          <w:sz w:val="20"/>
          <w:szCs w:val="20"/>
          <w:lang w:val="es-AR"/>
        </w:rPr>
        <w:t>que ya habían sido previamente resuelt</w:t>
      </w:r>
      <w:r w:rsidR="009F79CC" w:rsidRPr="00D24FED">
        <w:rPr>
          <w:rFonts w:asciiTheme="majorHAnsi" w:hAnsiTheme="majorHAnsi"/>
          <w:sz w:val="20"/>
          <w:szCs w:val="20"/>
          <w:lang w:val="es-AR"/>
        </w:rPr>
        <w:t>o</w:t>
      </w:r>
      <w:r w:rsidR="00B1611A" w:rsidRPr="00D24FED">
        <w:rPr>
          <w:rFonts w:asciiTheme="majorHAnsi" w:hAnsiTheme="majorHAnsi"/>
          <w:sz w:val="20"/>
          <w:szCs w:val="20"/>
          <w:lang w:val="es-AR"/>
        </w:rPr>
        <w:t xml:space="preserve">s en etapa de casación. </w:t>
      </w:r>
    </w:p>
    <w:p w14:paraId="2372BAED" w14:textId="44CBC6C0" w:rsidR="00960598" w:rsidRPr="00D24FED" w:rsidRDefault="007C6BAB" w:rsidP="00882D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D24FED">
        <w:rPr>
          <w:rFonts w:asciiTheme="majorHAnsi" w:hAnsiTheme="majorHAnsi"/>
          <w:sz w:val="20"/>
          <w:szCs w:val="20"/>
          <w:lang w:val="es-US"/>
        </w:rPr>
        <w:t xml:space="preserve">Con base en las citadas </w:t>
      </w:r>
      <w:r w:rsidR="00E641B8" w:rsidRPr="00D24FED">
        <w:rPr>
          <w:rFonts w:asciiTheme="majorHAnsi" w:hAnsiTheme="majorHAnsi"/>
          <w:sz w:val="20"/>
          <w:szCs w:val="20"/>
          <w:lang w:val="es-US"/>
        </w:rPr>
        <w:t>fundamentaciones</w:t>
      </w:r>
      <w:r w:rsidRPr="00D24FED">
        <w:rPr>
          <w:rFonts w:asciiTheme="majorHAnsi" w:hAnsiTheme="majorHAnsi"/>
          <w:sz w:val="20"/>
          <w:szCs w:val="20"/>
          <w:lang w:val="es-US"/>
        </w:rPr>
        <w:t xml:space="preserve">, los peticionarios </w:t>
      </w:r>
      <w:r w:rsidR="00882D9B" w:rsidRPr="00D24FED">
        <w:rPr>
          <w:rFonts w:asciiTheme="majorHAnsi" w:hAnsiTheme="majorHAnsi"/>
          <w:sz w:val="20"/>
          <w:szCs w:val="20"/>
          <w:lang w:val="es-US"/>
        </w:rPr>
        <w:t xml:space="preserve">arguyen </w:t>
      </w:r>
      <w:r w:rsidRPr="00D24FED">
        <w:rPr>
          <w:rFonts w:asciiTheme="majorHAnsi" w:hAnsiTheme="majorHAnsi"/>
          <w:sz w:val="20"/>
          <w:szCs w:val="20"/>
          <w:lang w:val="es-US"/>
        </w:rPr>
        <w:t xml:space="preserve">que </w:t>
      </w:r>
      <w:r w:rsidRPr="00D24FED">
        <w:rPr>
          <w:rFonts w:asciiTheme="majorHAnsi" w:hAnsiTheme="majorHAnsi"/>
          <w:sz w:val="20"/>
          <w:szCs w:val="20"/>
          <w:lang w:val="es-ES_tradnl"/>
        </w:rPr>
        <w:t xml:space="preserve">el Estado vulneró </w:t>
      </w:r>
      <w:r w:rsidR="00EF4270" w:rsidRPr="00D24FED">
        <w:rPr>
          <w:rFonts w:asciiTheme="majorHAnsi" w:hAnsiTheme="majorHAnsi"/>
          <w:sz w:val="20"/>
          <w:szCs w:val="20"/>
          <w:lang w:val="es-ES_tradnl"/>
        </w:rPr>
        <w:t>su</w:t>
      </w:r>
      <w:r w:rsidRPr="00D24FED">
        <w:rPr>
          <w:rFonts w:asciiTheme="majorHAnsi" w:hAnsiTheme="majorHAnsi"/>
          <w:sz w:val="20"/>
          <w:szCs w:val="20"/>
          <w:lang w:val="es-ES_tradnl"/>
        </w:rPr>
        <w:t xml:space="preserve"> derecho a recurrir el fallo, debido a que no cont</w:t>
      </w:r>
      <w:r w:rsidR="00EF4270" w:rsidRPr="00D24FED">
        <w:rPr>
          <w:rFonts w:asciiTheme="majorHAnsi" w:hAnsiTheme="majorHAnsi"/>
          <w:sz w:val="20"/>
          <w:szCs w:val="20"/>
          <w:lang w:val="es-ES_tradnl"/>
        </w:rPr>
        <w:t>aron</w:t>
      </w:r>
      <w:r w:rsidRPr="00D24FED">
        <w:rPr>
          <w:rFonts w:asciiTheme="majorHAnsi" w:hAnsiTheme="majorHAnsi"/>
          <w:sz w:val="20"/>
          <w:szCs w:val="20"/>
          <w:lang w:val="es-ES_tradnl"/>
        </w:rPr>
        <w:t xml:space="preserve"> con un recurso que permita la revisión integral de su</w:t>
      </w:r>
      <w:r w:rsidR="00EF4270" w:rsidRPr="00D24FED">
        <w:rPr>
          <w:rFonts w:asciiTheme="majorHAnsi" w:hAnsiTheme="majorHAnsi"/>
          <w:sz w:val="20"/>
          <w:szCs w:val="20"/>
          <w:lang w:val="es-ES_tradnl"/>
        </w:rPr>
        <w:t>s</w:t>
      </w:r>
      <w:r w:rsidRPr="00D24FED">
        <w:rPr>
          <w:rFonts w:asciiTheme="majorHAnsi" w:hAnsiTheme="majorHAnsi"/>
          <w:sz w:val="20"/>
          <w:szCs w:val="20"/>
          <w:lang w:val="es-ES_tradnl"/>
        </w:rPr>
        <w:t xml:space="preserve"> condena</w:t>
      </w:r>
      <w:r w:rsidR="00EF4270" w:rsidRPr="00D24FED">
        <w:rPr>
          <w:rFonts w:asciiTheme="majorHAnsi" w:hAnsiTheme="majorHAnsi"/>
          <w:sz w:val="20"/>
          <w:szCs w:val="20"/>
          <w:lang w:val="es-ES_tradnl"/>
        </w:rPr>
        <w:t>s</w:t>
      </w:r>
      <w:r w:rsidRPr="00D24FED">
        <w:rPr>
          <w:rFonts w:asciiTheme="majorHAnsi" w:hAnsiTheme="majorHAnsi"/>
          <w:sz w:val="20"/>
          <w:szCs w:val="20"/>
          <w:lang w:val="es-ES_tradnl"/>
        </w:rPr>
        <w:t xml:space="preserve"> de primera instancia.</w:t>
      </w:r>
      <w:r w:rsidR="00882D9B" w:rsidRPr="00D24FED">
        <w:rPr>
          <w:rFonts w:asciiTheme="majorHAnsi" w:hAnsiTheme="majorHAnsi"/>
          <w:sz w:val="20"/>
          <w:szCs w:val="20"/>
          <w:lang w:val="es-ES_tradnl"/>
        </w:rPr>
        <w:t xml:space="preserve"> Asimismo, </w:t>
      </w:r>
      <w:r w:rsidR="00882D9B" w:rsidRPr="00D24FED">
        <w:rPr>
          <w:rFonts w:asciiTheme="majorHAnsi" w:hAnsiTheme="majorHAnsi"/>
          <w:sz w:val="20"/>
          <w:szCs w:val="20"/>
          <w:lang w:val="es-AR"/>
        </w:rPr>
        <w:t>alegan que se vulneraron otras garantías judiciales, pues</w:t>
      </w:r>
      <w:r w:rsidR="00960598" w:rsidRPr="00D24FED">
        <w:rPr>
          <w:rFonts w:asciiTheme="majorHAnsi" w:hAnsiTheme="majorHAnsi"/>
          <w:sz w:val="20"/>
          <w:szCs w:val="20"/>
          <w:lang w:val="es-AR"/>
        </w:rPr>
        <w:t xml:space="preserve"> no hubo ningún fiscal presente </w:t>
      </w:r>
      <w:r w:rsidR="00882D9B" w:rsidRPr="00D24FED">
        <w:rPr>
          <w:rFonts w:asciiTheme="majorHAnsi" w:hAnsiTheme="majorHAnsi"/>
          <w:sz w:val="20"/>
          <w:szCs w:val="20"/>
          <w:lang w:val="es-AR"/>
        </w:rPr>
        <w:t>cuando rindieron</w:t>
      </w:r>
      <w:r w:rsidR="00960598" w:rsidRPr="00D24FED">
        <w:rPr>
          <w:rFonts w:asciiTheme="majorHAnsi" w:hAnsiTheme="majorHAnsi"/>
          <w:sz w:val="20"/>
          <w:szCs w:val="20"/>
          <w:lang w:val="es-AR"/>
        </w:rPr>
        <w:t xml:space="preserve"> sus declaraciones ante </w:t>
      </w:r>
      <w:r w:rsidR="00882D9B" w:rsidRPr="00D24FED">
        <w:rPr>
          <w:rFonts w:asciiTheme="majorHAnsi" w:hAnsiTheme="majorHAnsi"/>
          <w:sz w:val="20"/>
          <w:szCs w:val="20"/>
          <w:lang w:val="es-AR"/>
        </w:rPr>
        <w:t>el Ministerio Público</w:t>
      </w:r>
      <w:r w:rsidR="00960598" w:rsidRPr="00D24FED">
        <w:rPr>
          <w:rFonts w:asciiTheme="majorHAnsi" w:hAnsiTheme="majorHAnsi"/>
          <w:sz w:val="20"/>
          <w:szCs w:val="20"/>
          <w:lang w:val="es-AR"/>
        </w:rPr>
        <w:t xml:space="preserve">, colocándolos en un estado indefensión. </w:t>
      </w:r>
      <w:r w:rsidR="008E67B7" w:rsidRPr="00D24FED">
        <w:rPr>
          <w:rFonts w:asciiTheme="majorHAnsi" w:hAnsiTheme="majorHAnsi"/>
          <w:sz w:val="20"/>
          <w:szCs w:val="20"/>
          <w:lang w:val="es-AR"/>
        </w:rPr>
        <w:t>Finalmente</w:t>
      </w:r>
      <w:r w:rsidR="00960598" w:rsidRPr="00D24FED">
        <w:rPr>
          <w:rFonts w:asciiTheme="majorHAnsi" w:hAnsiTheme="majorHAnsi"/>
          <w:sz w:val="20"/>
          <w:szCs w:val="20"/>
          <w:lang w:val="es-AR"/>
        </w:rPr>
        <w:t>, refiere</w:t>
      </w:r>
      <w:r w:rsidR="00882D9B" w:rsidRPr="00D24FED">
        <w:rPr>
          <w:rFonts w:asciiTheme="majorHAnsi" w:hAnsiTheme="majorHAnsi"/>
          <w:sz w:val="20"/>
          <w:szCs w:val="20"/>
          <w:lang w:val="es-AR"/>
        </w:rPr>
        <w:t>n</w:t>
      </w:r>
      <w:r w:rsidR="00960598" w:rsidRPr="00D24FED">
        <w:rPr>
          <w:rFonts w:asciiTheme="majorHAnsi" w:hAnsiTheme="majorHAnsi"/>
          <w:sz w:val="20"/>
          <w:szCs w:val="20"/>
          <w:lang w:val="es-AR"/>
        </w:rPr>
        <w:t xml:space="preserve"> que varios jueces participaron en distintas instancias del proceso penal, y que estos </w:t>
      </w:r>
      <w:r w:rsidR="00B8657E" w:rsidRPr="00D24FED">
        <w:rPr>
          <w:rFonts w:asciiTheme="majorHAnsi" w:hAnsiTheme="majorHAnsi"/>
          <w:sz w:val="20"/>
          <w:szCs w:val="20"/>
          <w:lang w:val="es-AR"/>
        </w:rPr>
        <w:t>incurrieron en</w:t>
      </w:r>
      <w:r w:rsidR="00960598" w:rsidRPr="00D24FED">
        <w:rPr>
          <w:rFonts w:asciiTheme="majorHAnsi" w:hAnsiTheme="majorHAnsi"/>
          <w:sz w:val="20"/>
          <w:szCs w:val="20"/>
          <w:lang w:val="es-AR"/>
        </w:rPr>
        <w:t xml:space="preserve"> errores materiales en el expediente para tener por admitida toda la pieza acusatoria, cuando en el procedimiento intermedio solo se había admitido uno de los hechos. </w:t>
      </w:r>
    </w:p>
    <w:p w14:paraId="4D689013" w14:textId="3471559F" w:rsidR="00522C3B" w:rsidRPr="00D24FED" w:rsidRDefault="00522C3B" w:rsidP="00062D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AR"/>
        </w:rPr>
      </w:pPr>
      <w:r w:rsidRPr="00D24FED">
        <w:rPr>
          <w:rFonts w:asciiTheme="majorHAnsi" w:hAnsiTheme="majorHAnsi"/>
          <w:i/>
          <w:iCs/>
          <w:sz w:val="20"/>
          <w:szCs w:val="20"/>
          <w:lang w:val="es-AR"/>
        </w:rPr>
        <w:t>Alegatos del Estado</w:t>
      </w:r>
    </w:p>
    <w:p w14:paraId="1DF3F0F5" w14:textId="7A6D8619" w:rsidR="00030B8A" w:rsidRPr="00D24FED" w:rsidRDefault="00A86EBC" w:rsidP="00030B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US"/>
        </w:rPr>
      </w:pPr>
      <w:r w:rsidRPr="00D24FED">
        <w:rPr>
          <w:rFonts w:asciiTheme="majorHAnsi" w:hAnsiTheme="majorHAnsi"/>
          <w:sz w:val="20"/>
          <w:szCs w:val="20"/>
          <w:lang w:val="es-AR"/>
        </w:rPr>
        <w:t>Por su parte, el Estado</w:t>
      </w:r>
      <w:r w:rsidR="00DD561D" w:rsidRPr="00D24FED">
        <w:rPr>
          <w:rFonts w:asciiTheme="majorHAnsi" w:hAnsiTheme="majorHAnsi"/>
          <w:sz w:val="20"/>
          <w:szCs w:val="20"/>
          <w:lang w:val="es-AR"/>
        </w:rPr>
        <w:t xml:space="preserve"> destaca que si bien el 17 de mayo de 2010 el señor García Álvarez presentó una petición y solicitó que esta se tramitara junto con la planteada por el señor Pérez Jiménez</w:t>
      </w:r>
      <w:r w:rsidR="008E67B7" w:rsidRPr="00D24FED">
        <w:rPr>
          <w:rFonts w:asciiTheme="majorHAnsi" w:hAnsiTheme="majorHAnsi"/>
          <w:sz w:val="20"/>
          <w:szCs w:val="20"/>
          <w:lang w:val="es-AR"/>
        </w:rPr>
        <w:t>,</w:t>
      </w:r>
      <w:r w:rsidR="00DD561D" w:rsidRPr="00D24FED">
        <w:rPr>
          <w:rFonts w:asciiTheme="majorHAnsi" w:hAnsiTheme="majorHAnsi"/>
          <w:sz w:val="20"/>
          <w:szCs w:val="20"/>
          <w:lang w:val="es-AR"/>
        </w:rPr>
        <w:t xml:space="preserve"> en tanto existían similitudes en la base fáctica, </w:t>
      </w:r>
      <w:r w:rsidR="000A22E9" w:rsidRPr="00D24FED">
        <w:rPr>
          <w:rFonts w:asciiTheme="majorHAnsi" w:hAnsiTheme="majorHAnsi"/>
          <w:sz w:val="20"/>
          <w:szCs w:val="20"/>
          <w:lang w:val="es-AR"/>
        </w:rPr>
        <w:t>el desarrollo posterior de ambos reclamos muestra</w:t>
      </w:r>
      <w:r w:rsidR="00F461DB" w:rsidRPr="00D24FED">
        <w:rPr>
          <w:rFonts w:asciiTheme="majorHAnsi" w:hAnsiTheme="majorHAnsi"/>
          <w:sz w:val="20"/>
          <w:szCs w:val="20"/>
          <w:lang w:val="es-AR"/>
        </w:rPr>
        <w:t xml:space="preserve"> que ambas resultan bastante disímiles en varios aspectos. Así, </w:t>
      </w:r>
      <w:r w:rsidR="000A22E9" w:rsidRPr="00D24FED">
        <w:rPr>
          <w:rFonts w:asciiTheme="majorHAnsi" w:hAnsiTheme="majorHAnsi"/>
          <w:sz w:val="20"/>
          <w:szCs w:val="20"/>
          <w:lang w:val="es-AR"/>
        </w:rPr>
        <w:t xml:space="preserve">resalta que </w:t>
      </w:r>
      <w:r w:rsidR="00301DE8" w:rsidRPr="00D24FED">
        <w:rPr>
          <w:rFonts w:asciiTheme="majorHAnsi" w:hAnsiTheme="majorHAnsi"/>
          <w:sz w:val="20"/>
          <w:szCs w:val="20"/>
          <w:lang w:val="es-AR"/>
        </w:rPr>
        <w:t>solo el señor Pérez Jiménez presentó documentación y alegatos tras la presentación de su petición, y todos estos los redact</w:t>
      </w:r>
      <w:r w:rsidR="00DD2C3C" w:rsidRPr="00D24FED">
        <w:rPr>
          <w:rFonts w:asciiTheme="majorHAnsi" w:hAnsiTheme="majorHAnsi"/>
          <w:sz w:val="20"/>
          <w:szCs w:val="20"/>
          <w:lang w:val="es-AR"/>
        </w:rPr>
        <w:t>ó</w:t>
      </w:r>
      <w:r w:rsidR="00301DE8" w:rsidRPr="00D24FED">
        <w:rPr>
          <w:rFonts w:asciiTheme="majorHAnsi" w:hAnsiTheme="majorHAnsi"/>
          <w:sz w:val="20"/>
          <w:szCs w:val="20"/>
          <w:lang w:val="es-AR"/>
        </w:rPr>
        <w:t xml:space="preserve"> en primera persona. Además, </w:t>
      </w:r>
      <w:r w:rsidR="0004179A" w:rsidRPr="00D24FED">
        <w:rPr>
          <w:rFonts w:asciiTheme="majorHAnsi" w:hAnsiTheme="majorHAnsi"/>
          <w:sz w:val="20"/>
          <w:szCs w:val="20"/>
          <w:lang w:val="es-AR"/>
        </w:rPr>
        <w:t xml:space="preserve">señala que mientras el señor Pérez Jiménez </w:t>
      </w:r>
      <w:r w:rsidR="00F67488" w:rsidRPr="00D24FED">
        <w:rPr>
          <w:rFonts w:asciiTheme="majorHAnsi" w:hAnsiTheme="majorHAnsi"/>
          <w:sz w:val="20"/>
          <w:szCs w:val="20"/>
          <w:lang w:val="es-AR"/>
        </w:rPr>
        <w:t>inicio</w:t>
      </w:r>
      <w:r w:rsidR="0004179A" w:rsidRPr="00D24FED">
        <w:rPr>
          <w:rFonts w:asciiTheme="majorHAnsi" w:hAnsiTheme="majorHAnsi"/>
          <w:sz w:val="20"/>
          <w:szCs w:val="20"/>
          <w:lang w:val="es-AR"/>
        </w:rPr>
        <w:t xml:space="preserve"> en sede nacional un procedimiento de revisión en el 2011, el señor García Álvarez no </w:t>
      </w:r>
      <w:r w:rsidR="00F67488" w:rsidRPr="00D24FED">
        <w:rPr>
          <w:rFonts w:asciiTheme="majorHAnsi" w:hAnsiTheme="majorHAnsi"/>
          <w:sz w:val="20"/>
          <w:szCs w:val="20"/>
          <w:lang w:val="es-AR"/>
        </w:rPr>
        <w:t xml:space="preserve">interpuso </w:t>
      </w:r>
      <w:r w:rsidR="0004179A" w:rsidRPr="00D24FED">
        <w:rPr>
          <w:rFonts w:asciiTheme="majorHAnsi" w:hAnsiTheme="majorHAnsi"/>
          <w:sz w:val="20"/>
          <w:szCs w:val="20"/>
          <w:lang w:val="es-AR"/>
        </w:rPr>
        <w:t>tal recurso.</w:t>
      </w:r>
      <w:r w:rsidR="00DD561D" w:rsidRPr="00D24FED">
        <w:rPr>
          <w:rFonts w:asciiTheme="majorHAnsi" w:hAnsiTheme="majorHAnsi"/>
          <w:sz w:val="20"/>
          <w:szCs w:val="20"/>
          <w:lang w:val="es-ES_tradnl"/>
        </w:rPr>
        <w:t xml:space="preserve"> </w:t>
      </w:r>
      <w:r w:rsidRPr="00D24FED">
        <w:rPr>
          <w:rFonts w:asciiTheme="majorHAnsi" w:hAnsiTheme="majorHAnsi"/>
          <w:sz w:val="20"/>
          <w:szCs w:val="20"/>
          <w:lang w:val="es-ES_tradnl"/>
        </w:rPr>
        <w:t xml:space="preserve"> </w:t>
      </w:r>
      <w:r w:rsidR="00DD561D" w:rsidRPr="00D24FED">
        <w:rPr>
          <w:rFonts w:asciiTheme="majorHAnsi" w:hAnsiTheme="majorHAnsi"/>
          <w:sz w:val="20"/>
          <w:szCs w:val="20"/>
          <w:lang w:val="es-US"/>
        </w:rPr>
        <w:t xml:space="preserve">A criterio de Costa Rica, la situación descrita evidencia una verdadera asimetría en el accionar de los peticionarios, tanto procesal como materialmente. </w:t>
      </w:r>
    </w:p>
    <w:p w14:paraId="621E23B9" w14:textId="33B41E86" w:rsidR="0083531A" w:rsidRPr="00D24FED" w:rsidRDefault="0083531A" w:rsidP="00030B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US"/>
        </w:rPr>
      </w:pPr>
      <w:r w:rsidRPr="00D24FED">
        <w:rPr>
          <w:rFonts w:asciiTheme="majorHAnsi" w:hAnsiTheme="majorHAnsi"/>
          <w:sz w:val="20"/>
          <w:szCs w:val="20"/>
          <w:lang w:val="es-US"/>
        </w:rPr>
        <w:t xml:space="preserve">Bajo tal premisa, replica que la petición es inadmisible por falta de agotamiento de la jurisdicción interna. Refiere que </w:t>
      </w:r>
      <w:r w:rsidR="00D84F62" w:rsidRPr="00D24FED">
        <w:rPr>
          <w:rFonts w:asciiTheme="majorHAnsi" w:hAnsiTheme="majorHAnsi"/>
          <w:sz w:val="20"/>
          <w:szCs w:val="20"/>
          <w:lang w:val="es-US"/>
        </w:rPr>
        <w:t xml:space="preserve">sólo </w:t>
      </w:r>
      <w:r w:rsidRPr="00D24FED">
        <w:rPr>
          <w:rFonts w:asciiTheme="majorHAnsi" w:hAnsiTheme="majorHAnsi"/>
          <w:sz w:val="20"/>
          <w:szCs w:val="20"/>
          <w:lang w:val="es-US"/>
        </w:rPr>
        <w:t>el peticionario Pérez Jiménez presentó un procedimiento de revisión contra su sentencia condenatoria</w:t>
      </w:r>
      <w:r w:rsidR="00CE0FB7" w:rsidRPr="00D24FED">
        <w:rPr>
          <w:rFonts w:asciiTheme="majorHAnsi" w:hAnsiTheme="majorHAnsi"/>
          <w:sz w:val="20"/>
          <w:szCs w:val="20"/>
          <w:lang w:val="es-US"/>
        </w:rPr>
        <w:t>, y que tal acción recién</w:t>
      </w:r>
      <w:r w:rsidR="00C40E51" w:rsidRPr="00D24FED">
        <w:rPr>
          <w:rFonts w:asciiTheme="majorHAnsi" w:hAnsiTheme="majorHAnsi"/>
          <w:sz w:val="20"/>
          <w:szCs w:val="20"/>
          <w:lang w:val="es-US"/>
        </w:rPr>
        <w:t xml:space="preserve"> fue resuelta el 10 de agosto de 2012. En tal sentido, arguye que existe un margen de diferencia de casi </w:t>
      </w:r>
      <w:r w:rsidR="00910C4F" w:rsidRPr="00D24FED">
        <w:rPr>
          <w:rFonts w:asciiTheme="majorHAnsi" w:hAnsiTheme="majorHAnsi"/>
          <w:sz w:val="20"/>
          <w:szCs w:val="20"/>
          <w:lang w:val="es-US"/>
        </w:rPr>
        <w:t xml:space="preserve">28 </w:t>
      </w:r>
      <w:r w:rsidR="00C40E51" w:rsidRPr="00D24FED">
        <w:rPr>
          <w:rFonts w:asciiTheme="majorHAnsi" w:hAnsiTheme="majorHAnsi"/>
          <w:sz w:val="20"/>
          <w:szCs w:val="20"/>
          <w:lang w:val="es-US"/>
        </w:rPr>
        <w:t xml:space="preserve">meses entre la fecha en que el peticionario formuló esta petición y el momento en el que agotó la vía interna. </w:t>
      </w:r>
      <w:r w:rsidR="006C3107" w:rsidRPr="00D24FED">
        <w:rPr>
          <w:rFonts w:asciiTheme="majorHAnsi" w:hAnsiTheme="majorHAnsi"/>
          <w:sz w:val="20"/>
          <w:szCs w:val="20"/>
          <w:lang w:val="es-US"/>
        </w:rPr>
        <w:t xml:space="preserve">Asimismo, destaca que el señor García Álvarez no utilizó tal vía, a pesar de que era un procedimiento válido, adecuado y efectivo para atender sus reclamos. </w:t>
      </w:r>
    </w:p>
    <w:p w14:paraId="637FFD76" w14:textId="4A3F8F0E" w:rsidR="00E71CBC" w:rsidRPr="00D24FED" w:rsidRDefault="00E71CBC" w:rsidP="00E71CB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D24FED">
        <w:rPr>
          <w:rFonts w:asciiTheme="majorHAnsi" w:hAnsiTheme="majorHAnsi"/>
          <w:sz w:val="20"/>
          <w:szCs w:val="20"/>
          <w:lang w:val="es-ES_tradnl"/>
        </w:rPr>
        <w:t>A</w:t>
      </w:r>
      <w:r w:rsidR="008172E5" w:rsidRPr="00D24FED">
        <w:rPr>
          <w:rFonts w:asciiTheme="majorHAnsi" w:hAnsiTheme="majorHAnsi"/>
          <w:sz w:val="20"/>
          <w:szCs w:val="20"/>
          <w:lang w:val="es-ES_tradnl"/>
        </w:rPr>
        <w:t>demás</w:t>
      </w:r>
      <w:r w:rsidRPr="00D24FED">
        <w:rPr>
          <w:rFonts w:asciiTheme="majorHAnsi" w:hAnsiTheme="majorHAnsi"/>
          <w:sz w:val="20"/>
          <w:szCs w:val="20"/>
          <w:lang w:val="es-ES_tradnl"/>
        </w:rPr>
        <w:t>, sostiene que</w:t>
      </w:r>
      <w:r w:rsidRPr="00D24FED">
        <w:rPr>
          <w:rFonts w:asciiTheme="majorHAnsi" w:hAnsiTheme="majorHAnsi"/>
          <w:sz w:val="20"/>
          <w:szCs w:val="20"/>
          <w:lang w:val="es-AR"/>
        </w:rPr>
        <w:t xml:space="preserve"> los peticionarios no utilizaron </w:t>
      </w:r>
      <w:r w:rsidR="00BB395B" w:rsidRPr="00D24FED">
        <w:rPr>
          <w:rFonts w:asciiTheme="majorHAnsi" w:hAnsiTheme="majorHAnsi"/>
          <w:sz w:val="20"/>
          <w:szCs w:val="20"/>
          <w:lang w:val="es-AR"/>
        </w:rPr>
        <w:t xml:space="preserve">en el momento correspondiente </w:t>
      </w:r>
      <w:r w:rsidRPr="00D24FED">
        <w:rPr>
          <w:rFonts w:asciiTheme="majorHAnsi" w:hAnsiTheme="majorHAnsi"/>
          <w:sz w:val="20"/>
          <w:szCs w:val="20"/>
          <w:lang w:val="es-AR"/>
        </w:rPr>
        <w:t xml:space="preserve">los mecanismos especiales de revisión, a pesar de que están ideados precisamente para personas con sentencias condenatorias en firme y que consideran vulnerado su derecho a recurrir su fallo condenatorio, de conformidad con el artículo 8.2.h) de la Convención. En esa línea, el Estado manifiesta que, antes de presentar este reclamo, los peticionarios tuvieron la oportunidad de interponer el procedimiento especial de revisión establecido en el </w:t>
      </w:r>
      <w:r w:rsidRPr="00D24FED">
        <w:rPr>
          <w:rFonts w:asciiTheme="majorHAnsi" w:hAnsiTheme="majorHAnsi"/>
          <w:sz w:val="20"/>
          <w:szCs w:val="20"/>
          <w:lang w:val="es-AR"/>
        </w:rPr>
        <w:lastRenderedPageBreak/>
        <w:t>Transitorio I de la Ley N.º 8503</w:t>
      </w:r>
      <w:r w:rsidRPr="00D24FED">
        <w:rPr>
          <w:rStyle w:val="FootnoteReference"/>
          <w:rFonts w:asciiTheme="majorHAnsi" w:hAnsiTheme="majorHAnsi"/>
          <w:sz w:val="20"/>
          <w:szCs w:val="20"/>
          <w:lang w:val="es-AR"/>
        </w:rPr>
        <w:footnoteReference w:id="4"/>
      </w:r>
      <w:r w:rsidRPr="00D24FED">
        <w:rPr>
          <w:rFonts w:asciiTheme="majorHAnsi" w:hAnsiTheme="majorHAnsi"/>
          <w:sz w:val="20"/>
          <w:szCs w:val="20"/>
          <w:lang w:val="es-AR"/>
        </w:rPr>
        <w:t>, y, en su defecto, también podían utilizar el mecanismo especial de revisión previsto en el Transitorio III de la Ley N.º 8837</w:t>
      </w:r>
      <w:r w:rsidRPr="00D24FED">
        <w:rPr>
          <w:rStyle w:val="FootnoteReference"/>
          <w:rFonts w:asciiTheme="majorHAnsi" w:hAnsiTheme="majorHAnsi"/>
          <w:sz w:val="20"/>
          <w:szCs w:val="20"/>
          <w:lang w:val="es-AR"/>
        </w:rPr>
        <w:footnoteReference w:id="5"/>
      </w:r>
      <w:r w:rsidRPr="00D24FED">
        <w:rPr>
          <w:rFonts w:asciiTheme="majorHAnsi" w:hAnsiTheme="majorHAnsi"/>
          <w:sz w:val="20"/>
          <w:szCs w:val="20"/>
          <w:lang w:val="es-AR"/>
        </w:rPr>
        <w:t>. Por ende, arguye que el ordenamiento interno disponía opciones adicionales para que los peticionarios puedan utilizarlas en el momento procesal oportuno, y a pesar de ello no usaron estas vías.</w:t>
      </w:r>
    </w:p>
    <w:p w14:paraId="4C4C10BA" w14:textId="7F735D93" w:rsidR="009670D4" w:rsidRPr="00D24FED" w:rsidRDefault="009670D4" w:rsidP="00967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D24FED">
        <w:rPr>
          <w:rFonts w:asciiTheme="majorHAnsi" w:hAnsiTheme="majorHAnsi"/>
          <w:bCs/>
          <w:sz w:val="20"/>
          <w:szCs w:val="20"/>
          <w:lang w:val="es-ES_tradnl"/>
        </w:rPr>
        <w:t xml:space="preserve">Por último, Costa Rica plantea que los hechos alegados no caracterizan una violación de derechos humanos que le sea atribuible. Por el contrario, arguye que los peticionarios pretenden que la Comisión actúe como una cuarta instancia judicial y revise las valoraciones de hecho y de derecho efectuadas por los tribunales internos que actuaron en la esfera de su competencia. </w:t>
      </w:r>
    </w:p>
    <w:p w14:paraId="446AA096" w14:textId="035FDCB6" w:rsidR="00E71CBC" w:rsidRPr="00D24FED" w:rsidRDefault="009670D4" w:rsidP="00967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D24FED">
        <w:rPr>
          <w:rFonts w:asciiTheme="majorHAnsi" w:hAnsiTheme="majorHAnsi"/>
          <w:sz w:val="20"/>
          <w:szCs w:val="20"/>
          <w:lang w:val="es-ES_tradnl"/>
        </w:rPr>
        <w:t>Destaca que dentro del ordenamiento costarricense se han previsto una diversidad de recursos, principalmente judiciales, con el fin de ofrecer a las personas medios para determinar derechos de distinta índole. En esa línea, espec</w:t>
      </w:r>
      <w:r w:rsidR="00BB177B" w:rsidRPr="00D24FED">
        <w:rPr>
          <w:rFonts w:asciiTheme="majorHAnsi" w:hAnsiTheme="majorHAnsi"/>
          <w:sz w:val="20"/>
          <w:szCs w:val="20"/>
          <w:lang w:val="es-ES_tradnl"/>
        </w:rPr>
        <w:t>i</w:t>
      </w:r>
      <w:r w:rsidRPr="00D24FED">
        <w:rPr>
          <w:rFonts w:asciiTheme="majorHAnsi" w:hAnsiTheme="majorHAnsi"/>
          <w:sz w:val="20"/>
          <w:szCs w:val="20"/>
          <w:lang w:val="es-ES_tradnl"/>
        </w:rPr>
        <w:t>fica que tales me</w:t>
      </w:r>
      <w:r w:rsidR="008172E5" w:rsidRPr="00D24FED">
        <w:rPr>
          <w:rFonts w:asciiTheme="majorHAnsi" w:hAnsiTheme="majorHAnsi"/>
          <w:sz w:val="20"/>
          <w:szCs w:val="20"/>
          <w:lang w:val="es-ES_tradnl"/>
        </w:rPr>
        <w:t>canismos</w:t>
      </w:r>
      <w:r w:rsidRPr="00D24FED">
        <w:rPr>
          <w:rFonts w:asciiTheme="majorHAnsi" w:hAnsiTheme="majorHAnsi"/>
          <w:sz w:val="20"/>
          <w:szCs w:val="20"/>
          <w:lang w:val="es-ES_tradnl"/>
        </w:rPr>
        <w:t xml:space="preserve"> cumplen con las reglas del debido proceso y garantizan un acceso justo y una discusión equilibrada en los procesos, por lo que estos respetan las normas de la Convención Americana. </w:t>
      </w:r>
    </w:p>
    <w:p w14:paraId="1B1808A1" w14:textId="05DD4459" w:rsidR="00051D6D" w:rsidRPr="00D24FED" w:rsidRDefault="003C154F" w:rsidP="003C15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D24FED">
        <w:rPr>
          <w:rFonts w:asciiTheme="majorHAnsi" w:hAnsiTheme="majorHAnsi"/>
          <w:sz w:val="20"/>
          <w:szCs w:val="20"/>
          <w:lang w:val="es-AR"/>
        </w:rPr>
        <w:t xml:space="preserve">En esa línea, afirma que los peticionarios contaron con una normativa procesal ajustada a los parámetros interamericanos en cuanto al derecho a la revisión integral del fallo, toda vez que la Sala Tercera de la Corte Suprema de Justicia conoció y resolvió </w:t>
      </w:r>
      <w:r w:rsidR="008172E5" w:rsidRPr="00D24FED">
        <w:rPr>
          <w:rFonts w:asciiTheme="majorHAnsi" w:hAnsiTheme="majorHAnsi"/>
          <w:sz w:val="20"/>
          <w:szCs w:val="20"/>
          <w:lang w:val="es-AR"/>
        </w:rPr>
        <w:t xml:space="preserve">los </w:t>
      </w:r>
      <w:r w:rsidRPr="00D24FED">
        <w:rPr>
          <w:rFonts w:asciiTheme="majorHAnsi" w:hAnsiTheme="majorHAnsi"/>
          <w:sz w:val="20"/>
          <w:szCs w:val="20"/>
          <w:lang w:val="es-AR"/>
        </w:rPr>
        <w:t>recurso</w:t>
      </w:r>
      <w:r w:rsidR="008172E5" w:rsidRPr="00D24FED">
        <w:rPr>
          <w:rFonts w:asciiTheme="majorHAnsi" w:hAnsiTheme="majorHAnsi"/>
          <w:sz w:val="20"/>
          <w:szCs w:val="20"/>
          <w:lang w:val="es-AR"/>
        </w:rPr>
        <w:t>s</w:t>
      </w:r>
      <w:r w:rsidRPr="00D24FED">
        <w:rPr>
          <w:rFonts w:asciiTheme="majorHAnsi" w:hAnsiTheme="majorHAnsi"/>
          <w:sz w:val="20"/>
          <w:szCs w:val="20"/>
          <w:lang w:val="es-AR"/>
        </w:rPr>
        <w:t xml:space="preserve"> de casación</w:t>
      </w:r>
      <w:r w:rsidR="001559F0" w:rsidRPr="00D24FED">
        <w:rPr>
          <w:rFonts w:asciiTheme="majorHAnsi" w:hAnsiTheme="majorHAnsi"/>
          <w:sz w:val="20"/>
          <w:szCs w:val="20"/>
          <w:lang w:val="es-AR"/>
        </w:rPr>
        <w:t xml:space="preserve"> de</w:t>
      </w:r>
      <w:r w:rsidR="008172E5" w:rsidRPr="00D24FED">
        <w:rPr>
          <w:rFonts w:asciiTheme="majorHAnsi" w:hAnsiTheme="majorHAnsi"/>
          <w:sz w:val="20"/>
          <w:szCs w:val="20"/>
          <w:lang w:val="es-AR"/>
        </w:rPr>
        <w:t xml:space="preserve"> las presuntas víctimas</w:t>
      </w:r>
      <w:r w:rsidRPr="00D24FED">
        <w:rPr>
          <w:rFonts w:asciiTheme="majorHAnsi" w:hAnsiTheme="majorHAnsi"/>
          <w:sz w:val="20"/>
          <w:szCs w:val="20"/>
          <w:lang w:val="es-AR"/>
        </w:rPr>
        <w:t xml:space="preserve"> con posterioridad a la promulgación de la Ley N.º 8503 de Apertura de Casación Penal. Resalta que dicha norma incorporó a la normativa procesal penal un mecanismo adecuado y eficaz que permite </w:t>
      </w:r>
      <w:r w:rsidR="00D24FED" w:rsidRPr="00D24FED">
        <w:rPr>
          <w:rFonts w:asciiTheme="majorHAnsi" w:hAnsiTheme="majorHAnsi"/>
          <w:sz w:val="20"/>
          <w:szCs w:val="20"/>
          <w:lang w:val="es-AR"/>
        </w:rPr>
        <w:t>impugnar</w:t>
      </w:r>
      <w:r w:rsidRPr="00D24FED">
        <w:rPr>
          <w:rFonts w:asciiTheme="majorHAnsi" w:hAnsiTheme="majorHAnsi"/>
          <w:sz w:val="20"/>
          <w:szCs w:val="20"/>
          <w:lang w:val="es-AR"/>
        </w:rPr>
        <w:t xml:space="preserve"> tanto errores de hecho como de derecho que pudieran encontrarse en una sentencia condenatoria de primera instancia, y por tanto garantiza a las personas la protección de su derecho a la revisión integral del fallo, contemplado en el artículo 8.2.h) de la Convención Americana. </w:t>
      </w:r>
    </w:p>
    <w:p w14:paraId="3CDBB522" w14:textId="1F2307EE" w:rsidR="007705D7" w:rsidRPr="00D24FED" w:rsidRDefault="007705D7" w:rsidP="00030B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D24FED">
        <w:rPr>
          <w:rFonts w:asciiTheme="majorHAnsi" w:hAnsiTheme="majorHAnsi"/>
          <w:b/>
          <w:bCs/>
          <w:sz w:val="20"/>
          <w:szCs w:val="20"/>
          <w:lang w:val="es-ES"/>
        </w:rPr>
        <w:t>VI.</w:t>
      </w:r>
      <w:r w:rsidRPr="00D24FED">
        <w:rPr>
          <w:rFonts w:asciiTheme="majorHAnsi" w:hAnsiTheme="majorHAnsi"/>
          <w:b/>
          <w:bCs/>
          <w:sz w:val="20"/>
          <w:szCs w:val="20"/>
          <w:lang w:val="es-ES"/>
        </w:rPr>
        <w:tab/>
      </w:r>
      <w:r w:rsidRPr="00D24FED">
        <w:rPr>
          <w:rFonts w:asciiTheme="majorHAnsi" w:hAnsiTheme="majorHAnsi"/>
          <w:b/>
          <w:bCs/>
          <w:sz w:val="20"/>
          <w:szCs w:val="20"/>
          <w:lang w:val="es-ES_tradnl"/>
        </w:rPr>
        <w:t>CONSIDERACIONES PREVIAS</w:t>
      </w:r>
    </w:p>
    <w:p w14:paraId="77C28293" w14:textId="79DE2C67" w:rsidR="00B80608" w:rsidRPr="00D24FED" w:rsidRDefault="00B80608" w:rsidP="00B806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D24FED">
        <w:rPr>
          <w:rFonts w:asciiTheme="majorHAnsi" w:hAnsiTheme="majorHAnsi"/>
          <w:bCs/>
          <w:sz w:val="20"/>
          <w:szCs w:val="20"/>
          <w:lang w:val="es-ES"/>
        </w:rPr>
        <w:t xml:space="preserve">La Comisión observa que el objeto principal de la presente petición se centra en </w:t>
      </w:r>
      <w:r w:rsidR="007B2D29" w:rsidRPr="00D24FED">
        <w:rPr>
          <w:rFonts w:asciiTheme="majorHAnsi" w:hAnsiTheme="majorHAnsi"/>
          <w:bCs/>
          <w:sz w:val="20"/>
          <w:szCs w:val="20"/>
          <w:lang w:val="es-ES"/>
        </w:rPr>
        <w:t>denunciar</w:t>
      </w:r>
      <w:r w:rsidR="009F79CC" w:rsidRPr="00D24FED">
        <w:rPr>
          <w:rFonts w:asciiTheme="majorHAnsi" w:hAnsiTheme="majorHAnsi"/>
          <w:bCs/>
          <w:sz w:val="20"/>
          <w:szCs w:val="20"/>
          <w:lang w:val="es-ES"/>
        </w:rPr>
        <w:t xml:space="preserve"> </w:t>
      </w:r>
      <w:r w:rsidRPr="00D24FED">
        <w:rPr>
          <w:rFonts w:asciiTheme="majorHAnsi" w:hAnsiTheme="majorHAnsi"/>
          <w:bCs/>
          <w:sz w:val="20"/>
          <w:szCs w:val="20"/>
          <w:lang w:val="es-ES"/>
        </w:rPr>
        <w:t xml:space="preserve">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este reclamo.  </w:t>
      </w:r>
    </w:p>
    <w:p w14:paraId="7C182DAC" w14:textId="77777777" w:rsidR="00B80608" w:rsidRPr="00D24FED" w:rsidRDefault="00B80608" w:rsidP="00B806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24FED">
        <w:rPr>
          <w:rFonts w:asciiTheme="majorHAnsi" w:hAnsiTheme="majorHAnsi"/>
          <w:bCs/>
          <w:sz w:val="20"/>
          <w:szCs w:val="20"/>
          <w:lang w:val="es-ES"/>
        </w:rPr>
        <w:t xml:space="preserve">Así, la CIDH recuerda que en la sentencia del caso </w:t>
      </w:r>
      <w:r w:rsidRPr="00D24FED">
        <w:rPr>
          <w:rFonts w:asciiTheme="majorHAnsi" w:hAnsiTheme="majorHAnsi"/>
          <w:bCs/>
          <w:i/>
          <w:iCs/>
          <w:sz w:val="20"/>
          <w:szCs w:val="20"/>
          <w:lang w:val="es-ES"/>
        </w:rPr>
        <w:t xml:space="preserve">Herrera Ulloa vs. Costa Rica </w:t>
      </w:r>
      <w:r w:rsidRPr="00D24FED">
        <w:rPr>
          <w:rFonts w:asciiTheme="majorHAnsi" w:hAnsiTheme="majorHAnsi"/>
          <w:bCs/>
          <w:sz w:val="20"/>
          <w:szCs w:val="20"/>
          <w:lang w:val="es-ES"/>
        </w:rPr>
        <w:t>del 2 de julio de 2004, la Corte Interamericana de Derechos Humanos</w:t>
      </w:r>
      <w:r w:rsidRPr="00D24FED">
        <w:rPr>
          <w:rStyle w:val="FootnoteReference"/>
          <w:rFonts w:asciiTheme="majorHAnsi" w:hAnsiTheme="majorHAnsi"/>
          <w:bCs/>
          <w:sz w:val="20"/>
          <w:szCs w:val="20"/>
          <w:lang w:val="es-ES"/>
        </w:rPr>
        <w:footnoteReference w:id="6"/>
      </w:r>
      <w:r w:rsidRPr="00D24FED">
        <w:rPr>
          <w:rFonts w:asciiTheme="majorHAnsi" w:hAnsiTheme="majorHAnsi"/>
          <w:bCs/>
          <w:sz w:val="20"/>
          <w:szCs w:val="20"/>
          <w:lang w:val="es-ES"/>
        </w:rPr>
        <w:t xml:space="preserve"> examinó la regulación establecida en el Código Procesal Penal vigente desde 1998; y concluyó que no contaba con “</w:t>
      </w:r>
      <w:r w:rsidRPr="00D24FED">
        <w:rPr>
          <w:rFonts w:asciiTheme="majorHAnsi" w:hAnsiTheme="majorHAnsi"/>
          <w:bCs/>
          <w:i/>
          <w:iCs/>
          <w:sz w:val="20"/>
          <w:szCs w:val="20"/>
          <w:lang w:val="es-ES"/>
        </w:rPr>
        <w:t xml:space="preserve">un recurso que </w:t>
      </w:r>
      <w:r w:rsidRPr="00D24FED">
        <w:rPr>
          <w:rFonts w:asciiTheme="majorHAnsi" w:hAnsiTheme="majorHAnsi"/>
          <w:i/>
          <w:iCs/>
          <w:sz w:val="20"/>
          <w:szCs w:val="20"/>
          <w:lang w:val="es-ES"/>
        </w:rPr>
        <w:t>permitiera que el tribunal superior realizara un análisis o examen comprensivo e integral de todas las cuestiones debatidas y analizadas por el tribunal inferior</w:t>
      </w:r>
      <w:r w:rsidRPr="00D24FED">
        <w:rPr>
          <w:rFonts w:asciiTheme="majorHAnsi" w:hAnsiTheme="majorHAnsi"/>
          <w:sz w:val="20"/>
          <w:szCs w:val="20"/>
          <w:lang w:val="es-ES"/>
        </w:rPr>
        <w:t>”, dada las limitaciones que tenía la regulación del recurso de casación en el ámbito penal</w:t>
      </w:r>
      <w:r w:rsidRPr="00D24FED">
        <w:rPr>
          <w:rStyle w:val="FootnoteReference"/>
          <w:rFonts w:asciiTheme="majorHAnsi" w:hAnsiTheme="majorHAnsi"/>
          <w:sz w:val="20"/>
          <w:szCs w:val="20"/>
          <w:lang w:val="es-ES"/>
        </w:rPr>
        <w:footnoteReference w:id="7"/>
      </w:r>
      <w:r w:rsidRPr="00D24FED">
        <w:rPr>
          <w:rFonts w:asciiTheme="majorHAnsi" w:hAnsiTheme="majorHAnsi"/>
          <w:sz w:val="20"/>
          <w:szCs w:val="20"/>
          <w:lang w:val="es-ES"/>
        </w:rPr>
        <w:t xml:space="preserve">. En consecuencia, la Corte IDH declaró que el Estado costarricense violó el artículo 8.2.h) de la Convención en relación con sus artículos 1.1 y 2 en perjuicio del señor Mauricio Herrera Ulloa, al no haber garantizado su </w:t>
      </w:r>
      <w:r w:rsidRPr="00D24FED">
        <w:rPr>
          <w:rFonts w:asciiTheme="majorHAnsi" w:hAnsiTheme="majorHAnsi"/>
          <w:sz w:val="20"/>
          <w:szCs w:val="20"/>
          <w:lang w:val="es-ES"/>
        </w:rPr>
        <w:lastRenderedPageBreak/>
        <w:t>derecho a recurrir el fallo; y ordenó a Costa Rica “</w:t>
      </w:r>
      <w:r w:rsidRPr="00D24FED">
        <w:rPr>
          <w:rFonts w:asciiTheme="majorHAnsi" w:hAnsiTheme="majorHAnsi"/>
          <w:i/>
          <w:iCs/>
          <w:sz w:val="20"/>
          <w:szCs w:val="20"/>
          <w:lang w:val="es-ES"/>
        </w:rPr>
        <w:t>adecuar su ordenamiento jurídico interno a lo establecido en el artículo 8.2.h de la Convención Americana, en relación con el artículo 2 de la misma</w:t>
      </w:r>
      <w:r w:rsidRPr="00D24FED">
        <w:rPr>
          <w:rFonts w:asciiTheme="majorHAnsi" w:hAnsiTheme="majorHAnsi"/>
          <w:sz w:val="20"/>
          <w:szCs w:val="20"/>
          <w:lang w:val="es-ES"/>
        </w:rPr>
        <w:t>”</w:t>
      </w:r>
      <w:r w:rsidRPr="00D24FED">
        <w:rPr>
          <w:rStyle w:val="FootnoteReference"/>
          <w:rFonts w:asciiTheme="majorHAnsi" w:hAnsiTheme="majorHAnsi"/>
          <w:sz w:val="20"/>
          <w:szCs w:val="20"/>
          <w:lang w:val="es-ES"/>
        </w:rPr>
        <w:footnoteReference w:id="8"/>
      </w:r>
      <w:r w:rsidRPr="00D24FED">
        <w:rPr>
          <w:rFonts w:asciiTheme="majorHAnsi" w:hAnsiTheme="majorHAnsi"/>
          <w:sz w:val="20"/>
          <w:szCs w:val="20"/>
          <w:lang w:val="es-ES"/>
        </w:rPr>
        <w:t>.</w:t>
      </w:r>
    </w:p>
    <w:p w14:paraId="469D0B75" w14:textId="77777777" w:rsidR="00B80608" w:rsidRPr="00D24FED" w:rsidRDefault="00B80608" w:rsidP="00B806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24FED">
        <w:rPr>
          <w:rFonts w:asciiTheme="majorHAnsi" w:hAnsiTheme="majorHAnsi"/>
          <w:bCs/>
          <w:sz w:val="20"/>
          <w:szCs w:val="20"/>
          <w:lang w:val="es-ES"/>
        </w:rPr>
        <w:t>Como consecuencia de esta sentencia, Costa Rica reformó la regulación de su sistema procesal penal a efectos de contar con una regulación acorde con las obligaciones contempladas en el artículo 8.2.h) de la Convención Americana. Así, el 6 de</w:t>
      </w:r>
      <w:r w:rsidRPr="00D24FED">
        <w:rPr>
          <w:rFonts w:asciiTheme="majorHAnsi" w:hAnsiTheme="majorHAnsi"/>
          <w:sz w:val="20"/>
          <w:szCs w:val="20"/>
          <w:lang w:val="es-ES"/>
        </w:rPr>
        <w:t xml:space="preserve"> junio de 2006 entró en vigor la Ley </w:t>
      </w:r>
      <w:r w:rsidRPr="00D24FED">
        <w:rPr>
          <w:rFonts w:asciiTheme="majorHAnsi" w:hAnsiTheme="majorHAnsi"/>
          <w:sz w:val="20"/>
          <w:szCs w:val="20"/>
          <w:lang w:val="es-ES_tradnl"/>
        </w:rPr>
        <w:t>Nº</w:t>
      </w:r>
      <w:r w:rsidRPr="00D24FED">
        <w:rPr>
          <w:rFonts w:asciiTheme="majorHAnsi" w:hAnsiTheme="majorHAnsi"/>
          <w:sz w:val="20"/>
          <w:szCs w:val="20"/>
          <w:lang w:val="es-ES"/>
        </w:rPr>
        <w:t xml:space="preserve"> 8503, denominada “Ley de Apertura de la Casación Penal”, la cual modificó y adicionó distintos artículos del Código Procesal Penal relacionados con los recursos de casación y revisión. Asimismo, tal legislación estableció en su Transitorio I, un procedimiento de revisión especial para “</w:t>
      </w:r>
      <w:r w:rsidRPr="00D24FED">
        <w:rPr>
          <w:rFonts w:asciiTheme="majorHAnsi" w:hAnsiTheme="majorHAnsi"/>
          <w:i/>
          <w:iCs/>
          <w:sz w:val="20"/>
          <w:szCs w:val="20"/>
          <w:lang w:val="es-ES"/>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00D24FED">
        <w:rPr>
          <w:rFonts w:asciiTheme="majorHAnsi" w:hAnsiTheme="majorHAnsi"/>
          <w:sz w:val="20"/>
          <w:szCs w:val="20"/>
          <w:lang w:val="es-ES"/>
        </w:rPr>
        <w:t>”. En virtud de ello, la Corte Interamericana consideró que “</w:t>
      </w:r>
      <w:r w:rsidRPr="00D24FED">
        <w:rPr>
          <w:rFonts w:asciiTheme="majorHAnsi" w:hAnsiTheme="majorHAnsi"/>
          <w:i/>
          <w:iCs/>
          <w:sz w:val="20"/>
          <w:szCs w:val="20"/>
          <w:lang w:val="es-ES"/>
        </w:rPr>
        <w:t>a través de la causal de revisión creada por el Transitorio I, una persona condenada penalmente podría, en principio, obtener una revisión integral de su sentencia que incluya tanto cuestiones de hecho como de derecho</w:t>
      </w:r>
      <w:r w:rsidRPr="00D24FED">
        <w:rPr>
          <w:rFonts w:asciiTheme="majorHAnsi" w:hAnsiTheme="majorHAnsi"/>
          <w:sz w:val="20"/>
          <w:szCs w:val="20"/>
          <w:lang w:val="es-ES"/>
        </w:rPr>
        <w:t>”</w:t>
      </w:r>
      <w:r w:rsidRPr="00D24FED">
        <w:rPr>
          <w:rStyle w:val="FootnoteReference"/>
          <w:rFonts w:asciiTheme="majorHAnsi" w:hAnsiTheme="majorHAnsi"/>
          <w:sz w:val="20"/>
          <w:szCs w:val="20"/>
          <w:lang w:val="es-ES"/>
        </w:rPr>
        <w:footnoteReference w:id="9"/>
      </w:r>
      <w:r w:rsidRPr="00D24FED">
        <w:rPr>
          <w:rFonts w:asciiTheme="majorHAnsi" w:hAnsiTheme="majorHAnsi"/>
          <w:sz w:val="20"/>
          <w:szCs w:val="20"/>
          <w:lang w:val="es-ES"/>
        </w:rPr>
        <w:t>.</w:t>
      </w:r>
    </w:p>
    <w:p w14:paraId="11CD579B" w14:textId="77777777" w:rsidR="00B80608" w:rsidRPr="00D24FED" w:rsidRDefault="00B80608" w:rsidP="00B806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24FED">
        <w:rPr>
          <w:rFonts w:asciiTheme="majorHAnsi" w:hAnsiTheme="majorHAnsi"/>
          <w:sz w:val="20"/>
          <w:szCs w:val="20"/>
          <w:lang w:val="es-ES"/>
        </w:rPr>
        <w:t xml:space="preserve">Además, y en lo relevante para el presente caso, la citada ley incorporó diversas modificaciones al régimen legal del recurso de casación contenido en el Código Procesal Penal. En primer término, se adicionó a la nómina de vicios de la sentencia que justifican la casación del art. 396 una nueva causal consistente en que “la sentencia no haya sido dictada mediante el debido proceso o con oportunidad de defensa”. En segundo lugar, y con respecto a la amplitud del examen del tribunal de casación, la Ley </w:t>
      </w:r>
      <w:r w:rsidRPr="00D24FED">
        <w:rPr>
          <w:rFonts w:asciiTheme="majorHAnsi" w:hAnsiTheme="majorHAnsi"/>
          <w:sz w:val="20"/>
          <w:szCs w:val="20"/>
          <w:lang w:val="es-ES_tradnl"/>
        </w:rPr>
        <w:t>Nº</w:t>
      </w:r>
      <w:r w:rsidRPr="00D24FED">
        <w:rPr>
          <w:rFonts w:asciiTheme="majorHAnsi" w:hAnsiTheme="majorHAnsi"/>
          <w:sz w:val="20"/>
          <w:szCs w:val="20"/>
          <w:lang w:val="es-ES"/>
        </w:rPr>
        <w:t xml:space="preserve"> 8503 incorporó el artículo 449 bis al Código Procesal Penal, el cual reza: </w:t>
      </w:r>
    </w:p>
    <w:p w14:paraId="0DA68F75" w14:textId="77777777" w:rsidR="00B80608" w:rsidRPr="00D24FED" w:rsidRDefault="00B80608" w:rsidP="00B80608">
      <w:pPr>
        <w:pStyle w:val="NormalWeb"/>
        <w:spacing w:before="0" w:beforeAutospacing="0" w:after="0" w:afterAutospacing="0"/>
        <w:ind w:left="709" w:right="798"/>
        <w:jc w:val="both"/>
        <w:rPr>
          <w:rFonts w:asciiTheme="majorHAnsi" w:hAnsiTheme="majorHAnsi" w:cs="Calibri"/>
          <w:sz w:val="18"/>
          <w:szCs w:val="18"/>
          <w:lang w:val="es-ES"/>
        </w:rPr>
      </w:pPr>
      <w:r w:rsidRPr="00D24FED">
        <w:rPr>
          <w:rFonts w:asciiTheme="majorHAnsi" w:hAnsiTheme="majorHAnsi" w:cs="Calibri"/>
          <w:sz w:val="18"/>
          <w:szCs w:val="18"/>
          <w:lang w:val="es-ES"/>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49DA2D2E" w14:textId="77777777" w:rsidR="00B80608" w:rsidRPr="00D24FED" w:rsidRDefault="00B80608" w:rsidP="00B80608">
      <w:pPr>
        <w:pStyle w:val="NormalWeb"/>
        <w:spacing w:before="0" w:beforeAutospacing="0" w:after="0" w:afterAutospacing="0"/>
        <w:ind w:left="709" w:right="798"/>
        <w:jc w:val="both"/>
        <w:rPr>
          <w:rFonts w:asciiTheme="majorHAnsi" w:hAnsiTheme="majorHAnsi"/>
          <w:sz w:val="18"/>
          <w:szCs w:val="18"/>
          <w:lang w:val="es-ES"/>
        </w:rPr>
      </w:pPr>
    </w:p>
    <w:p w14:paraId="520427F5" w14:textId="77777777" w:rsidR="00B80608" w:rsidRPr="00D24FED" w:rsidRDefault="00B80608" w:rsidP="00B80608">
      <w:pPr>
        <w:pStyle w:val="NormalWeb"/>
        <w:spacing w:before="0" w:beforeAutospacing="0" w:after="0" w:afterAutospacing="0"/>
        <w:ind w:left="709" w:right="798"/>
        <w:jc w:val="both"/>
        <w:rPr>
          <w:rFonts w:asciiTheme="majorHAnsi" w:hAnsiTheme="majorHAnsi" w:cs="Calibri"/>
          <w:sz w:val="18"/>
          <w:szCs w:val="18"/>
          <w:lang w:val="es-ES"/>
        </w:rPr>
      </w:pPr>
      <w:r w:rsidRPr="00D24FED">
        <w:rPr>
          <w:rFonts w:asciiTheme="majorHAnsi" w:hAnsiTheme="majorHAnsi" w:cs="Calibri"/>
          <w:sz w:val="18"/>
          <w:szCs w:val="18"/>
          <w:lang w:val="es-ES"/>
        </w:rPr>
        <w:t>De igual manera, podrá valorar en forma directa la prueba que se haya introducido por escrito al juicio.</w:t>
      </w:r>
    </w:p>
    <w:p w14:paraId="047DD193" w14:textId="77777777" w:rsidR="00B80608" w:rsidRPr="00D24FED" w:rsidRDefault="00B80608" w:rsidP="00B806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24FED">
        <w:rPr>
          <w:rFonts w:asciiTheme="majorHAnsi" w:hAnsiTheme="majorHAnsi"/>
          <w:bCs/>
          <w:sz w:val="20"/>
          <w:szCs w:val="20"/>
          <w:lang w:val="es-ES"/>
        </w:rPr>
        <w:t>Adicionalmente, tanto la Comisión como la Corte IDH también constataron que e</w:t>
      </w:r>
      <w:r w:rsidRPr="00D24FED">
        <w:rPr>
          <w:rFonts w:asciiTheme="majorHAnsi" w:hAnsiTheme="majorHAnsi"/>
          <w:sz w:val="20"/>
          <w:szCs w:val="20"/>
          <w:lang w:val="es-ES"/>
        </w:rPr>
        <w:t xml:space="preserve">l 9 de junio de 2010 se publicó la Ley </w:t>
      </w:r>
      <w:r w:rsidRPr="00D24FED">
        <w:rPr>
          <w:rFonts w:asciiTheme="majorHAnsi" w:hAnsiTheme="majorHAnsi"/>
          <w:sz w:val="20"/>
          <w:szCs w:val="20"/>
          <w:lang w:val="es-ES_tradnl"/>
        </w:rPr>
        <w:t>Nº</w:t>
      </w:r>
      <w:r w:rsidRPr="00D24FED">
        <w:rPr>
          <w:rFonts w:asciiTheme="majorHAnsi" w:hAnsiTheme="majorHAnsi"/>
          <w:sz w:val="20"/>
          <w:szCs w:val="20"/>
          <w:lang w:val="es-ES"/>
        </w:rPr>
        <w:t xml:space="preserve">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69DDB9A2" w14:textId="77777777" w:rsidR="00B80608" w:rsidRPr="00D24FED" w:rsidRDefault="00B80608" w:rsidP="00B806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24FED">
        <w:rPr>
          <w:rFonts w:asciiTheme="majorHAnsi" w:hAnsiTheme="majorHAnsi"/>
          <w:sz w:val="20"/>
          <w:szCs w:val="20"/>
          <w:lang w:val="es-ES"/>
        </w:rPr>
        <w:t xml:space="preserve">Como resultado de las citadas modificaciones, en la sentencia del caso </w:t>
      </w:r>
      <w:r w:rsidRPr="00D24FED">
        <w:rPr>
          <w:rFonts w:asciiTheme="majorHAnsi" w:hAnsiTheme="majorHAnsi"/>
          <w:i/>
          <w:iCs/>
          <w:sz w:val="20"/>
          <w:szCs w:val="20"/>
          <w:lang w:val="es-ES"/>
        </w:rPr>
        <w:t>Amrhein y otros vs. Costa Rica</w:t>
      </w:r>
      <w:r w:rsidRPr="00D24FED">
        <w:rPr>
          <w:rFonts w:asciiTheme="majorHAnsi" w:hAnsiTheme="majorHAnsi"/>
          <w:sz w:val="20"/>
          <w:szCs w:val="20"/>
          <w:lang w:val="es-ES"/>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7A2775C2" w14:textId="32773D8B" w:rsidR="00B80608" w:rsidRPr="00D24FED" w:rsidRDefault="00B80608" w:rsidP="00B806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24FED">
        <w:rPr>
          <w:rFonts w:asciiTheme="majorHAnsi" w:hAnsiTheme="majorHAnsi"/>
          <w:sz w:val="20"/>
          <w:szCs w:val="20"/>
          <w:lang w:val="es-ES"/>
        </w:rPr>
        <w:t xml:space="preserve">En relación con el primer punto, la Comisión destaca que, en el citado caso, la Corte IDH concluyó que las presuntas víctimas debieron haber interpuesto el recurso de revisión especial con base en el Transitorio I de la Ley </w:t>
      </w:r>
      <w:r w:rsidRPr="00D24FED">
        <w:rPr>
          <w:rFonts w:asciiTheme="majorHAnsi" w:hAnsiTheme="majorHAnsi"/>
          <w:sz w:val="20"/>
          <w:szCs w:val="20"/>
          <w:lang w:val="es-ES_tradnl"/>
        </w:rPr>
        <w:t>Nº</w:t>
      </w:r>
      <w:r w:rsidRPr="00D24FED">
        <w:rPr>
          <w:rFonts w:asciiTheme="majorHAnsi" w:hAnsiTheme="majorHAnsi"/>
          <w:sz w:val="20"/>
          <w:szCs w:val="20"/>
          <w:lang w:val="es-ES"/>
        </w:rPr>
        <w:t xml:space="preserve"> 8503 de 2006 durante el trámite de admisibilidad de la petición, pues estaba destinado específicamente a personas con condenas ya en firme; y por ello, “</w:t>
      </w:r>
      <w:r w:rsidRPr="00D24FED">
        <w:rPr>
          <w:rFonts w:asciiTheme="majorHAnsi" w:hAnsiTheme="majorHAnsi"/>
          <w:i/>
          <w:iCs/>
          <w:sz w:val="20"/>
          <w:szCs w:val="20"/>
          <w:lang w:val="es-ES"/>
        </w:rPr>
        <w:t xml:space="preserve">el hecho de que se trataría de un </w:t>
      </w:r>
      <w:r w:rsidRPr="00D24FED">
        <w:rPr>
          <w:rFonts w:asciiTheme="majorHAnsi" w:hAnsiTheme="majorHAnsi"/>
          <w:i/>
          <w:iCs/>
          <w:sz w:val="20"/>
          <w:szCs w:val="20"/>
          <w:lang w:val="es-ES"/>
        </w:rPr>
        <w:lastRenderedPageBreak/>
        <w:t>recurso extraordinario no puede ser determinante, per se, para concluir su inefectividad”</w:t>
      </w:r>
      <w:r w:rsidRPr="00D24FED">
        <w:rPr>
          <w:rStyle w:val="FootnoteReference"/>
          <w:rFonts w:asciiTheme="majorHAnsi" w:hAnsiTheme="majorHAnsi"/>
          <w:i/>
          <w:iCs/>
          <w:sz w:val="20"/>
          <w:szCs w:val="20"/>
          <w:lang w:val="es-ES"/>
        </w:rPr>
        <w:footnoteReference w:id="10"/>
      </w:r>
      <w:r w:rsidRPr="00D24FED">
        <w:rPr>
          <w:rFonts w:asciiTheme="majorHAnsi" w:hAnsiTheme="majorHAnsi"/>
          <w:i/>
          <w:iCs/>
          <w:sz w:val="20"/>
          <w:szCs w:val="20"/>
          <w:lang w:val="es-ES"/>
        </w:rPr>
        <w:t xml:space="preserve">. </w:t>
      </w:r>
      <w:r w:rsidRPr="00D24FED">
        <w:rPr>
          <w:rFonts w:asciiTheme="majorHAnsi" w:hAnsiTheme="majorHAnsi"/>
          <w:sz w:val="20"/>
          <w:szCs w:val="20"/>
          <w:lang w:val="es-ES"/>
        </w:rPr>
        <w:t>En consecuencia, siguiendo la citada jurisprudencia, la Comisión considera que</w:t>
      </w:r>
      <w:r w:rsidR="00061D3C" w:rsidRPr="00D24FED">
        <w:rPr>
          <w:rFonts w:asciiTheme="majorHAnsi" w:hAnsiTheme="majorHAnsi"/>
          <w:sz w:val="20"/>
          <w:szCs w:val="20"/>
          <w:lang w:val="es-ES"/>
        </w:rPr>
        <w:t>,</w:t>
      </w:r>
      <w:r w:rsidRPr="00D24FED">
        <w:rPr>
          <w:rFonts w:asciiTheme="majorHAnsi" w:hAnsiTheme="majorHAnsi"/>
          <w:sz w:val="20"/>
          <w:szCs w:val="20"/>
          <w:lang w:val="es-ES"/>
        </w:rPr>
        <w:t xml:space="preserve"> a efectos de determinar la admisibilidad de un asunto sobre esta temática</w:t>
      </w:r>
      <w:r w:rsidR="00061D3C" w:rsidRPr="00D24FED">
        <w:rPr>
          <w:rFonts w:asciiTheme="majorHAnsi" w:hAnsiTheme="majorHAnsi"/>
          <w:sz w:val="20"/>
          <w:szCs w:val="20"/>
          <w:lang w:val="es-ES"/>
        </w:rPr>
        <w:t>,</w:t>
      </w:r>
      <w:r w:rsidRPr="00D24FED">
        <w:rPr>
          <w:rFonts w:asciiTheme="majorHAnsi" w:hAnsiTheme="majorHAnsi"/>
          <w:sz w:val="20"/>
          <w:szCs w:val="20"/>
          <w:lang w:val="es-ES"/>
        </w:rPr>
        <w:t xml:space="preserve"> debe determinar si la citada vía recursiva estuvo a disposición de las presuntas víctimas tras la emisión de su condena, y de ser este el supuesto, verificar si agotaron o no tal recurso. </w:t>
      </w:r>
    </w:p>
    <w:p w14:paraId="56DD819F" w14:textId="77777777" w:rsidR="00B80608" w:rsidRPr="00D24FED" w:rsidRDefault="00B80608" w:rsidP="00B806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24FED">
        <w:rPr>
          <w:rFonts w:asciiTheme="majorHAnsi" w:hAnsiTheme="majorHAnsi"/>
          <w:sz w:val="20"/>
          <w:szCs w:val="20"/>
          <w:lang w:val="es-ES"/>
        </w:rPr>
        <w:t>Finalmente, respecto al análisis de caracterización de las peticiones, la Comisión nota que la Corte Interamericana argumentó en la citada sentencia que no correspondía “</w:t>
      </w:r>
      <w:r w:rsidRPr="00D24FED">
        <w:rPr>
          <w:rFonts w:asciiTheme="majorHAnsi" w:hAnsiTheme="majorHAnsi"/>
          <w:i/>
          <w:iCs/>
          <w:sz w:val="20"/>
          <w:szCs w:val="20"/>
          <w:lang w:val="es-ES"/>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D24FED">
        <w:rPr>
          <w:rFonts w:asciiTheme="majorHAnsi" w:hAnsiTheme="majorHAnsi"/>
          <w:sz w:val="20"/>
          <w:szCs w:val="20"/>
          <w:lang w:val="es-ES"/>
        </w:rPr>
        <w:t xml:space="preserve"> […]”</w:t>
      </w:r>
      <w:r w:rsidRPr="00D24FED">
        <w:rPr>
          <w:rStyle w:val="FootnoteReference"/>
          <w:rFonts w:asciiTheme="majorHAnsi" w:hAnsiTheme="majorHAnsi"/>
          <w:sz w:val="20"/>
          <w:szCs w:val="20"/>
          <w:lang w:val="es-ES"/>
        </w:rPr>
        <w:footnoteReference w:id="11"/>
      </w:r>
      <w:r w:rsidRPr="00D24FED">
        <w:rPr>
          <w:rFonts w:asciiTheme="majorHAnsi" w:hAnsiTheme="majorHAnsi"/>
          <w:sz w:val="20"/>
          <w:szCs w:val="20"/>
          <w:lang w:val="es-ES"/>
        </w:rPr>
        <w:t xml:space="preserve">. Asimismo, recuerda que en la resolución de supervisión de cumplimiento del 22 de noviembre de 2010 del caso </w:t>
      </w:r>
      <w:r w:rsidRPr="00D24FED">
        <w:rPr>
          <w:rFonts w:asciiTheme="majorHAnsi" w:hAnsiTheme="majorHAnsi"/>
          <w:i/>
          <w:iCs/>
          <w:sz w:val="20"/>
          <w:szCs w:val="20"/>
          <w:lang w:val="es-ES"/>
        </w:rPr>
        <w:t xml:space="preserve">Herrera Ulloa vs. Costa Rica, </w:t>
      </w:r>
      <w:r w:rsidRPr="00D24FED">
        <w:rPr>
          <w:rFonts w:asciiTheme="majorHAnsi" w:hAnsiTheme="majorHAnsi"/>
          <w:sz w:val="20"/>
          <w:szCs w:val="20"/>
          <w:lang w:val="es-ES"/>
        </w:rPr>
        <w:t>el Tribunal valoró positivamente las reformas introducidas en la legislación procesal penal; y en virtud de tales modificaciones concluyó que “</w:t>
      </w:r>
      <w:r w:rsidRPr="00D24FED">
        <w:rPr>
          <w:rFonts w:asciiTheme="majorHAnsi" w:hAnsiTheme="majorHAnsi"/>
          <w:i/>
          <w:iCs/>
          <w:sz w:val="20"/>
          <w:szCs w:val="20"/>
          <w:lang w:val="es-ES"/>
        </w:rPr>
        <w:t>al garantizar la posibilidad de un amplio control de la sentencia emitida por un tribunal de juicio en materia penal a nivel interno</w:t>
      </w:r>
      <w:r w:rsidRPr="00D24FED">
        <w:rPr>
          <w:rFonts w:asciiTheme="majorHAnsi" w:hAnsiTheme="majorHAnsi"/>
          <w:sz w:val="20"/>
          <w:szCs w:val="20"/>
          <w:lang w:val="es-ES"/>
        </w:rPr>
        <w:t>”</w:t>
      </w:r>
      <w:r w:rsidRPr="00D24FED">
        <w:rPr>
          <w:rStyle w:val="FootnoteReference"/>
          <w:rFonts w:asciiTheme="majorHAnsi" w:hAnsiTheme="majorHAnsi"/>
          <w:sz w:val="20"/>
          <w:szCs w:val="20"/>
          <w:lang w:val="es-ES"/>
        </w:rPr>
        <w:footnoteReference w:id="12"/>
      </w:r>
      <w:r w:rsidRPr="00D24FED">
        <w:rPr>
          <w:rFonts w:asciiTheme="majorHAnsi" w:hAnsiTheme="majorHAnsi"/>
          <w:sz w:val="20"/>
          <w:szCs w:val="20"/>
          <w:lang w:val="es-ES"/>
        </w:rPr>
        <w:t xml:space="preserve">, Costa Rica había cumplido con adecuar su legislación interna. </w:t>
      </w:r>
    </w:p>
    <w:p w14:paraId="0AC28B34" w14:textId="5B5A584A" w:rsidR="00B80608" w:rsidRPr="00D24FED" w:rsidRDefault="00B80608" w:rsidP="00B806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24FED">
        <w:rPr>
          <w:rFonts w:asciiTheme="majorHAnsi" w:hAnsiTheme="majorHAnsi"/>
          <w:sz w:val="20"/>
          <w:szCs w:val="20"/>
          <w:lang w:val="es-ES"/>
        </w:rPr>
        <w:t>Sin perjuicio de ello, la Comisión destaca que las citadas normas</w:t>
      </w:r>
      <w:r w:rsidRPr="00D24FED">
        <w:rPr>
          <w:rFonts w:asciiTheme="majorHAnsi" w:hAnsiTheme="majorHAnsi" w:cs="Calibri"/>
          <w:sz w:val="20"/>
          <w:szCs w:val="20"/>
          <w:lang w:val="es-ES"/>
        </w:rPr>
        <w:t xml:space="preserve"> reconocieron a aquellas personas cuyas sentencias condenatorias ya habían adquirido calidad de cosa juzgada la posibilidad de interponer un procedimiento de revisión, aunque supeditado al cumplimiento de ciertos requisitos. En el caso de la Ley</w:t>
      </w:r>
      <w:r w:rsidRPr="00D24FED">
        <w:rPr>
          <w:rFonts w:asciiTheme="majorHAnsi" w:hAnsiTheme="majorHAnsi"/>
          <w:sz w:val="20"/>
          <w:szCs w:val="20"/>
          <w:lang w:val="es-ES_tradnl"/>
        </w:rPr>
        <w:t xml:space="preserve"> Nº</w:t>
      </w:r>
      <w:r w:rsidRPr="00D24FED">
        <w:rPr>
          <w:rFonts w:asciiTheme="majorHAnsi" w:hAnsiTheme="majorHAnsi" w:cs="Calibri"/>
          <w:sz w:val="20"/>
          <w:szCs w:val="20"/>
          <w:lang w:val="es-ES"/>
        </w:rPr>
        <w:t xml:space="preserve"> 8503, la Comisión </w:t>
      </w:r>
      <w:r w:rsidR="006853BA" w:rsidRPr="00D24FED">
        <w:rPr>
          <w:rFonts w:asciiTheme="majorHAnsi" w:hAnsiTheme="majorHAnsi" w:cs="Calibri"/>
          <w:sz w:val="20"/>
          <w:szCs w:val="20"/>
          <w:lang w:val="es-ES"/>
        </w:rPr>
        <w:t>observa</w:t>
      </w:r>
      <w:r w:rsidR="00BF16D8" w:rsidRPr="00D24FED">
        <w:rPr>
          <w:rFonts w:asciiTheme="majorHAnsi" w:hAnsiTheme="majorHAnsi" w:cs="Calibri"/>
          <w:sz w:val="20"/>
          <w:szCs w:val="20"/>
          <w:lang w:val="es-ES"/>
        </w:rPr>
        <w:t xml:space="preserve"> </w:t>
      </w:r>
      <w:r w:rsidRPr="00D24FED">
        <w:rPr>
          <w:rFonts w:asciiTheme="majorHAnsi" w:hAnsiTheme="majorHAnsi" w:cs="Calibri"/>
          <w:sz w:val="20"/>
          <w:szCs w:val="20"/>
          <w:lang w:val="es-ES"/>
        </w:rPr>
        <w:t>que se exigía que el recurrente invoque en su presentación “</w:t>
      </w:r>
      <w:r w:rsidRPr="00D24FED">
        <w:rPr>
          <w:rFonts w:asciiTheme="majorHAnsi" w:hAnsiTheme="majorHAnsi" w:cs="Calibri"/>
          <w:i/>
          <w:iCs/>
          <w:sz w:val="20"/>
          <w:szCs w:val="20"/>
          <w:lang w:val="es-ES"/>
        </w:rPr>
        <w:t>el agravio y los aspectos de hecho y derecho que no fueron posibles de conocer en casación</w:t>
      </w:r>
      <w:r w:rsidRPr="00D24FED">
        <w:rPr>
          <w:rFonts w:asciiTheme="majorHAnsi" w:hAnsiTheme="majorHAnsi" w:cs="Calibri"/>
          <w:sz w:val="20"/>
          <w:szCs w:val="20"/>
          <w:lang w:val="es-ES"/>
        </w:rPr>
        <w:t xml:space="preserve">”. Por su parte, el Transitorio III de la Ley </w:t>
      </w:r>
      <w:r w:rsidRPr="00D24FED">
        <w:rPr>
          <w:rFonts w:asciiTheme="majorHAnsi" w:hAnsiTheme="majorHAnsi"/>
          <w:sz w:val="20"/>
          <w:szCs w:val="20"/>
          <w:lang w:val="es-ES_tradnl"/>
        </w:rPr>
        <w:t>Nº</w:t>
      </w:r>
      <w:r w:rsidRPr="00D24FED">
        <w:rPr>
          <w:rFonts w:asciiTheme="majorHAnsi" w:hAnsiTheme="majorHAnsi" w:cs="Calibri"/>
          <w:sz w:val="20"/>
          <w:szCs w:val="20"/>
          <w:lang w:val="es-ES"/>
        </w:rPr>
        <w:t xml:space="preserve"> 8837 demandaba para la procedencia del procedimiento de revisión que el condenado “</w:t>
      </w:r>
      <w:r w:rsidRPr="00D24FED">
        <w:rPr>
          <w:rFonts w:asciiTheme="majorHAnsi" w:hAnsiTheme="majorHAnsi" w:cs="Calibri"/>
          <w:i/>
          <w:iCs/>
          <w:sz w:val="20"/>
          <w:szCs w:val="20"/>
          <w:lang w:val="es-ES"/>
        </w:rPr>
        <w:t>haya alegado con anterioridad la vulneración del artículo 8.2.h de la Convención</w:t>
      </w:r>
      <w:r w:rsidRPr="00D24FED">
        <w:rPr>
          <w:rFonts w:asciiTheme="majorHAnsi" w:hAnsiTheme="majorHAnsi" w:cs="Calibri"/>
          <w:sz w:val="20"/>
          <w:szCs w:val="20"/>
          <w:lang w:val="es-ES"/>
        </w:rPr>
        <w:t xml:space="preserve">”.   </w:t>
      </w:r>
    </w:p>
    <w:p w14:paraId="64630695" w14:textId="3837EE02" w:rsidR="00B80608" w:rsidRPr="00D24FED" w:rsidRDefault="00B80608" w:rsidP="00B8060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D24FED">
        <w:rPr>
          <w:rFonts w:asciiTheme="majorHAnsi" w:hAnsiTheme="majorHAnsi" w:cs="Calibri"/>
          <w:sz w:val="20"/>
          <w:szCs w:val="20"/>
          <w:lang w:val="es-ES"/>
        </w:rPr>
        <w:t xml:space="preserve">En tal sentido, la Comisión reafirma que la manera en que se encontraba regulado el procedimiento de revisión establecido por el Transitorio I de la Ley </w:t>
      </w:r>
      <w:r w:rsidRPr="00D24FED">
        <w:rPr>
          <w:rFonts w:asciiTheme="majorHAnsi" w:hAnsiTheme="majorHAnsi"/>
          <w:sz w:val="20"/>
          <w:szCs w:val="20"/>
          <w:lang w:val="es-ES_tradnl"/>
        </w:rPr>
        <w:t>Nº</w:t>
      </w:r>
      <w:r w:rsidRPr="00D24FED">
        <w:rPr>
          <w:rFonts w:asciiTheme="majorHAnsi" w:hAnsiTheme="majorHAnsi" w:cs="Calibri"/>
          <w:sz w:val="20"/>
          <w:szCs w:val="20"/>
          <w:lang w:val="es-ES"/>
        </w:rPr>
        <w:t xml:space="preserve"> 8503 podía generar limitaciones en términos de la accesibilidad del recurso, y, en consecuencia, no garantiza</w:t>
      </w:r>
      <w:r w:rsidR="006853BA" w:rsidRPr="00D24FED">
        <w:rPr>
          <w:rFonts w:asciiTheme="majorHAnsi" w:hAnsiTheme="majorHAnsi" w:cs="Calibri"/>
          <w:sz w:val="20"/>
          <w:szCs w:val="20"/>
          <w:lang w:val="es-ES"/>
        </w:rPr>
        <w:t>ba</w:t>
      </w:r>
      <w:r w:rsidRPr="00D24FED">
        <w:rPr>
          <w:rFonts w:asciiTheme="majorHAnsi" w:hAnsiTheme="majorHAnsi" w:cs="Calibri"/>
          <w:sz w:val="20"/>
          <w:szCs w:val="20"/>
          <w:lang w:val="es-ES"/>
        </w:rPr>
        <w:t xml:space="preserve"> en sí mismo el derecho a la revisión integral del fallo condenatorio a todos aquellos que fueron condenados durante la vigencia del texto originario del Código Procesal Penal</w:t>
      </w:r>
      <w:r w:rsidRPr="00D24FED">
        <w:rPr>
          <w:rStyle w:val="FootnoteReference"/>
          <w:rFonts w:asciiTheme="majorHAnsi" w:hAnsiTheme="majorHAnsi" w:cs="Calibri"/>
          <w:sz w:val="20"/>
          <w:szCs w:val="20"/>
          <w:lang w:val="es-ES"/>
        </w:rPr>
        <w:footnoteReference w:id="13"/>
      </w:r>
      <w:r w:rsidRPr="00D24FED">
        <w:rPr>
          <w:rFonts w:asciiTheme="majorHAnsi" w:hAnsiTheme="majorHAnsi" w:cs="Calibri"/>
          <w:sz w:val="20"/>
          <w:szCs w:val="20"/>
          <w:lang w:val="es-ES"/>
        </w:rPr>
        <w:t xml:space="preserve">. Idéntica conclusión cabe realizar respecto del recurso de revisión consagrado en el Transitorio III de la Ley </w:t>
      </w:r>
      <w:r w:rsidRPr="00D24FED">
        <w:rPr>
          <w:rFonts w:asciiTheme="majorHAnsi" w:hAnsiTheme="majorHAnsi"/>
          <w:sz w:val="20"/>
          <w:szCs w:val="20"/>
          <w:lang w:val="es-ES_tradnl"/>
        </w:rPr>
        <w:t>Nº</w:t>
      </w:r>
      <w:r w:rsidRPr="00D24FED">
        <w:rPr>
          <w:rFonts w:asciiTheme="majorHAnsi" w:hAnsiTheme="majorHAnsi" w:cs="Calibri"/>
          <w:sz w:val="20"/>
          <w:szCs w:val="20"/>
          <w:lang w:val="es-ES"/>
        </w:rPr>
        <w:t xml:space="preserve"> 8837, toda vez que la norma incluía la exigencia de haber alegado previamente la vulneración del derecho al recurso como un requisito de procedibilidad del recurso de revisión. </w:t>
      </w:r>
    </w:p>
    <w:p w14:paraId="460060EA" w14:textId="77777777" w:rsidR="00B80608" w:rsidRPr="00D24FED" w:rsidRDefault="00B80608" w:rsidP="00B8060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1792C23C" w14:textId="77777777" w:rsidR="00B80608" w:rsidRPr="00D24FED" w:rsidRDefault="00B80608" w:rsidP="00B8060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D24FED">
        <w:rPr>
          <w:rFonts w:asciiTheme="majorHAnsi" w:hAnsiTheme="majorHAnsi"/>
          <w:sz w:val="20"/>
          <w:szCs w:val="20"/>
          <w:lang w:val="es-ES"/>
        </w:rPr>
        <w:t>No obstante, la Comisión reconoce, en primer término, que la Sala Constitucional de la Corte Suprema de Justicia de Costa Rica se refirió en reiterados pronunciamientos a la necesidad de “</w:t>
      </w:r>
      <w:r w:rsidRPr="00D24FED">
        <w:rPr>
          <w:rFonts w:asciiTheme="majorHAnsi" w:hAnsiTheme="majorHAnsi"/>
          <w:i/>
          <w:iCs/>
          <w:sz w:val="20"/>
          <w:szCs w:val="20"/>
          <w:lang w:val="es-ES"/>
        </w:rPr>
        <w:t>asegurar el derecho al recurso, excluyendo formalismos que impidieran la revisión de las sentencias de condena, a fin de satisfacer lo dispuesto por el artículo 8.2.h de la Convención</w:t>
      </w:r>
      <w:r w:rsidRPr="00D24FED">
        <w:rPr>
          <w:rFonts w:asciiTheme="majorHAnsi" w:hAnsiTheme="majorHAnsi"/>
          <w:sz w:val="20"/>
          <w:szCs w:val="20"/>
          <w:lang w:val="es-ES"/>
        </w:rPr>
        <w:t>”</w:t>
      </w:r>
      <w:r w:rsidRPr="00D24FED">
        <w:rPr>
          <w:rStyle w:val="FootnoteReference"/>
          <w:rFonts w:asciiTheme="majorHAnsi" w:hAnsiTheme="majorHAnsi"/>
          <w:sz w:val="20"/>
          <w:szCs w:val="20"/>
          <w:lang w:val="es-ES"/>
        </w:rPr>
        <w:footnoteReference w:id="14"/>
      </w:r>
      <w:r w:rsidRPr="00D24FED">
        <w:rPr>
          <w:rFonts w:asciiTheme="majorHAnsi" w:hAnsiTheme="majorHAnsi"/>
          <w:sz w:val="20"/>
          <w:szCs w:val="20"/>
          <w:lang w:val="es-ES"/>
        </w:rPr>
        <w:t>.</w:t>
      </w:r>
    </w:p>
    <w:p w14:paraId="74322760" w14:textId="77777777" w:rsidR="00B80608" w:rsidRPr="00D24FED" w:rsidRDefault="00B80608" w:rsidP="00B8060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431D74D4" w14:textId="77777777" w:rsidR="00B80608" w:rsidRDefault="00B80608" w:rsidP="00B8060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D24FED">
        <w:rPr>
          <w:rFonts w:asciiTheme="majorHAnsi" w:hAnsiTheme="majorHAnsi"/>
          <w:sz w:val="20"/>
          <w:szCs w:val="20"/>
          <w:lang w:val="es-ES"/>
        </w:rPr>
        <w:t xml:space="preserve">Asimismo, la CIDH considera que, a pesar de los obstáculos a la procedencia del recurso incorporados en la redacción del Transitorio I de la Ley </w:t>
      </w:r>
      <w:r w:rsidRPr="00D24FED">
        <w:rPr>
          <w:rFonts w:asciiTheme="majorHAnsi" w:hAnsiTheme="majorHAnsi"/>
          <w:sz w:val="20"/>
          <w:szCs w:val="20"/>
          <w:lang w:val="es-ES_tradnl"/>
        </w:rPr>
        <w:t>Nº</w:t>
      </w:r>
      <w:r w:rsidRPr="00D24FED">
        <w:rPr>
          <w:rFonts w:asciiTheme="majorHAnsi" w:hAnsiTheme="majorHAnsi"/>
          <w:sz w:val="20"/>
          <w:szCs w:val="20"/>
          <w:lang w:val="es-ES"/>
        </w:rPr>
        <w:t xml:space="preserve">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D24FED">
        <w:rPr>
          <w:rFonts w:asciiTheme="majorHAnsi" w:hAnsiTheme="majorHAnsi"/>
          <w:i/>
          <w:iCs/>
          <w:sz w:val="20"/>
          <w:szCs w:val="20"/>
          <w:lang w:val="es-ES"/>
        </w:rPr>
        <w:t>Herrera Ulloa</w:t>
      </w:r>
      <w:r w:rsidRPr="00D24FED">
        <w:rPr>
          <w:rFonts w:asciiTheme="majorHAnsi" w:hAnsiTheme="majorHAnsi"/>
          <w:sz w:val="20"/>
          <w:szCs w:val="20"/>
          <w:lang w:val="es-ES"/>
        </w:rPr>
        <w:t xml:space="preserve">. </w:t>
      </w:r>
    </w:p>
    <w:p w14:paraId="000F9503" w14:textId="77777777" w:rsidR="000E7366" w:rsidRPr="000E7366" w:rsidRDefault="000E7366" w:rsidP="000E7366">
      <w:pPr>
        <w:pStyle w:val="ListParagraph"/>
        <w:rPr>
          <w:rFonts w:asciiTheme="majorHAnsi" w:hAnsiTheme="majorHAnsi"/>
          <w:sz w:val="20"/>
          <w:szCs w:val="20"/>
          <w:lang w:val="es-ES"/>
        </w:rPr>
      </w:pPr>
    </w:p>
    <w:p w14:paraId="478979B9" w14:textId="77777777" w:rsidR="000E7366" w:rsidRPr="00D24FED" w:rsidRDefault="000E7366" w:rsidP="000E736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5C17B2AB" w14:textId="77777777" w:rsidR="00B80608" w:rsidRPr="00D24FED" w:rsidRDefault="00B80608" w:rsidP="00B8060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142E392B" w14:textId="77777777" w:rsidR="00B80608" w:rsidRPr="00D24FED" w:rsidRDefault="00B80608" w:rsidP="00B8060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D24FED">
        <w:rPr>
          <w:rFonts w:asciiTheme="majorHAnsi" w:hAnsiTheme="majorHAnsi"/>
          <w:sz w:val="20"/>
          <w:szCs w:val="20"/>
          <w:lang w:val="es-ES"/>
        </w:rPr>
        <w:lastRenderedPageBreak/>
        <w:t>En particular, y en línea con lo decidido por la Corte, la Comisión observa que, teniendo en cuenta que tales modificaciones legislativas al sistema recursivo costarricense fueron adoptadas como consecuencia de los pronunciamientos de los órganos del Sistema Interamericano de derechos humanos, es razonable aceptar como causal de admisibilidad del recurso que los interesados deban invocar los posibles errores que hubiera podido cometer el juez o tribunal de la instancia inferior.</w:t>
      </w:r>
    </w:p>
    <w:p w14:paraId="4C53E170" w14:textId="77777777" w:rsidR="00B80608" w:rsidRPr="00D24FED" w:rsidRDefault="00B80608" w:rsidP="00B8060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48FC7614" w14:textId="14F497CC" w:rsidR="00B80608" w:rsidRPr="00D24FED" w:rsidRDefault="00B80608" w:rsidP="00B806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24FED">
        <w:rPr>
          <w:rFonts w:asciiTheme="majorHAnsi" w:hAnsiTheme="majorHAnsi"/>
          <w:sz w:val="20"/>
          <w:szCs w:val="20"/>
          <w:lang w:val="es-ES"/>
        </w:rPr>
        <w:t xml:space="preserve">Por ende, teniendo en cuenta las especificidades existentes respecto de este tema en el sistema costarricense, como resultado de las decisiones dictadas por el Sistema Interamericano, y concretamente con lo señalado por la Corte IDH en el caso </w:t>
      </w:r>
      <w:r w:rsidRPr="00D24FED">
        <w:rPr>
          <w:rFonts w:asciiTheme="majorHAnsi" w:hAnsiTheme="majorHAnsi"/>
          <w:i/>
          <w:iCs/>
          <w:sz w:val="20"/>
          <w:szCs w:val="20"/>
          <w:lang w:val="es-ES"/>
        </w:rPr>
        <w:t>Amrhein</w:t>
      </w:r>
      <w:r w:rsidRPr="00D24FED">
        <w:rPr>
          <w:rFonts w:asciiTheme="majorHAnsi" w:hAnsiTheme="majorHAnsi"/>
          <w:sz w:val="20"/>
          <w:szCs w:val="20"/>
          <w:lang w:val="es-ES"/>
        </w:rPr>
        <w:t>, la Comisión considera que no es apropiado realizar una evaluación en abstracto de cada uno de los recursos disponibles en la legislación procesal penal, sino que se debe efectuar “</w:t>
      </w:r>
      <w:r w:rsidRPr="00D24FED">
        <w:rPr>
          <w:rFonts w:asciiTheme="majorHAnsi" w:hAnsiTheme="majorHAnsi"/>
          <w:i/>
          <w:iCs/>
          <w:sz w:val="20"/>
          <w:szCs w:val="20"/>
          <w:lang w:val="es-ES"/>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D24FED">
        <w:rPr>
          <w:rFonts w:asciiTheme="majorHAnsi" w:hAnsiTheme="majorHAnsi"/>
          <w:sz w:val="20"/>
          <w:szCs w:val="20"/>
          <w:lang w:val="es-ES"/>
        </w:rPr>
        <w:t>”</w:t>
      </w:r>
      <w:r w:rsidRPr="00D24FED">
        <w:rPr>
          <w:rStyle w:val="FootnoteReference"/>
          <w:rFonts w:asciiTheme="majorHAnsi" w:hAnsiTheme="majorHAnsi"/>
          <w:sz w:val="20"/>
          <w:szCs w:val="20"/>
          <w:lang w:val="es-ES"/>
        </w:rPr>
        <w:footnoteReference w:id="15"/>
      </w:r>
      <w:r w:rsidRPr="00D24FED">
        <w:rPr>
          <w:rFonts w:asciiTheme="majorHAnsi" w:hAnsiTheme="majorHAnsi"/>
          <w:sz w:val="20"/>
          <w:szCs w:val="20"/>
          <w:lang w:val="es-ES"/>
        </w:rPr>
        <w:t xml:space="preserve">. Lo que en principio requiere de un análisis de fondo por parte de la CIDH, salvo que de la información de las partes se observe que los hechos planteados por el peticionario no caractericen </w:t>
      </w:r>
      <w:r w:rsidRPr="00D24FED">
        <w:rPr>
          <w:rFonts w:asciiTheme="majorHAnsi" w:hAnsiTheme="majorHAnsi"/>
          <w:i/>
          <w:iCs/>
          <w:sz w:val="20"/>
          <w:szCs w:val="20"/>
          <w:lang w:val="es-ES"/>
        </w:rPr>
        <w:t>prima facie</w:t>
      </w:r>
      <w:r w:rsidRPr="00D24FED">
        <w:rPr>
          <w:rFonts w:asciiTheme="majorHAnsi" w:hAnsiTheme="majorHAnsi"/>
          <w:sz w:val="20"/>
          <w:szCs w:val="20"/>
          <w:lang w:val="es-ES"/>
        </w:rPr>
        <w:t xml:space="preserve"> violaciones a la Convención Americana, en los términos de su artículo 47.</w:t>
      </w:r>
    </w:p>
    <w:p w14:paraId="6F4D4171" w14:textId="0D2EBA06" w:rsidR="003239B8" w:rsidRPr="00D24FED" w:rsidRDefault="00D96818" w:rsidP="003239B8">
      <w:pPr>
        <w:spacing w:before="240" w:after="240"/>
        <w:ind w:firstLine="720"/>
        <w:jc w:val="both"/>
        <w:rPr>
          <w:rFonts w:asciiTheme="majorHAnsi" w:hAnsiTheme="majorHAnsi"/>
          <w:sz w:val="20"/>
          <w:szCs w:val="20"/>
          <w:lang w:val="es-UY"/>
        </w:rPr>
      </w:pPr>
      <w:r w:rsidRPr="00D24FED">
        <w:rPr>
          <w:rFonts w:asciiTheme="majorHAnsi" w:eastAsia="Cambria" w:hAnsiTheme="majorHAnsi" w:cs="Cambria"/>
          <w:b/>
          <w:bCs/>
          <w:color w:val="000000"/>
          <w:sz w:val="20"/>
          <w:szCs w:val="20"/>
          <w:u w:color="000000"/>
          <w:lang w:val="es-ES" w:eastAsia="es-ES"/>
        </w:rPr>
        <w:t>V</w:t>
      </w:r>
      <w:r w:rsidR="00445CE8" w:rsidRPr="00D24FED">
        <w:rPr>
          <w:rFonts w:asciiTheme="majorHAnsi" w:eastAsia="Cambria" w:hAnsiTheme="majorHAnsi" w:cs="Cambria"/>
          <w:b/>
          <w:bCs/>
          <w:color w:val="000000"/>
          <w:sz w:val="20"/>
          <w:szCs w:val="20"/>
          <w:u w:color="000000"/>
          <w:lang w:val="es-ES" w:eastAsia="es-ES"/>
        </w:rPr>
        <w:t>I</w:t>
      </w:r>
      <w:r w:rsidRPr="00D24FED">
        <w:rPr>
          <w:rFonts w:asciiTheme="majorHAnsi" w:eastAsia="Cambria" w:hAnsiTheme="majorHAnsi" w:cs="Cambria"/>
          <w:b/>
          <w:bCs/>
          <w:color w:val="000000"/>
          <w:sz w:val="20"/>
          <w:szCs w:val="20"/>
          <w:u w:color="000000"/>
          <w:lang w:val="es-ES" w:eastAsia="es-ES"/>
        </w:rPr>
        <w:t xml:space="preserve">I. </w:t>
      </w:r>
      <w:r w:rsidR="00E6378C" w:rsidRPr="00D24FED">
        <w:rPr>
          <w:rFonts w:asciiTheme="majorHAnsi" w:eastAsia="Cambria" w:hAnsiTheme="majorHAnsi" w:cs="Cambria"/>
          <w:b/>
          <w:bCs/>
          <w:color w:val="000000"/>
          <w:sz w:val="20"/>
          <w:szCs w:val="20"/>
          <w:u w:color="000000"/>
          <w:lang w:val="es-ES" w:eastAsia="es-ES"/>
        </w:rPr>
        <w:tab/>
      </w:r>
      <w:r w:rsidR="004A6A54" w:rsidRPr="00D24FED">
        <w:rPr>
          <w:rFonts w:asciiTheme="majorHAnsi" w:hAnsiTheme="majorHAnsi"/>
          <w:b/>
          <w:bCs/>
          <w:sz w:val="20"/>
          <w:szCs w:val="20"/>
          <w:lang w:val="es-ES_tradnl"/>
        </w:rPr>
        <w:t xml:space="preserve">ANÁLISIS DE </w:t>
      </w:r>
      <w:r w:rsidR="00C21FEF" w:rsidRPr="00D24FED">
        <w:rPr>
          <w:rFonts w:asciiTheme="majorHAnsi" w:hAnsiTheme="majorHAnsi"/>
          <w:b/>
          <w:sz w:val="20"/>
          <w:szCs w:val="20"/>
          <w:lang w:val="es-ES"/>
        </w:rPr>
        <w:t>AGOTAMIENTO DE LOS RECURSOS INTERNOS Y PLAZO DE PRESENTACIÓN</w:t>
      </w:r>
      <w:r w:rsidR="00C21FEF" w:rsidRPr="00D24FED">
        <w:rPr>
          <w:rFonts w:asciiTheme="majorHAnsi" w:eastAsia="Cambria" w:hAnsiTheme="majorHAnsi" w:cs="Cambria"/>
          <w:b/>
          <w:bCs/>
          <w:color w:val="000000"/>
          <w:sz w:val="20"/>
          <w:szCs w:val="20"/>
          <w:u w:color="000000"/>
          <w:lang w:val="es-ES" w:eastAsia="es-ES"/>
        </w:rPr>
        <w:t xml:space="preserve"> </w:t>
      </w:r>
    </w:p>
    <w:p w14:paraId="397EDC50" w14:textId="77777777" w:rsidR="0097277D" w:rsidRPr="00D24FED" w:rsidRDefault="0097277D" w:rsidP="009727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D24FED">
        <w:rPr>
          <w:rFonts w:asciiTheme="majorHAnsi" w:hAnsiTheme="majorHAnsi"/>
          <w:sz w:val="20"/>
          <w:szCs w:val="20"/>
          <w:lang w:val="es-ES"/>
        </w:rPr>
        <w:t>Respecto al cuestionamiento del Estado sobre el hecho de que el agotamiento de la jurisdicción doméstica se produjo con posterioridad a la presentación de la petición,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Pr="00D24FED">
        <w:rPr>
          <w:rStyle w:val="FootnoteReference"/>
          <w:rFonts w:asciiTheme="majorHAnsi" w:hAnsiTheme="majorHAnsi"/>
          <w:sz w:val="20"/>
          <w:szCs w:val="20"/>
          <w:lang w:val="es-ES"/>
        </w:rPr>
        <w:footnoteReference w:id="16"/>
      </w:r>
      <w:r w:rsidRPr="00D24FED">
        <w:rPr>
          <w:rFonts w:asciiTheme="majorHAnsi" w:hAnsiTheme="majorHAnsi"/>
          <w:sz w:val="20"/>
          <w:szCs w:val="20"/>
          <w:lang w:val="es-ES"/>
        </w:rPr>
        <w:t>.</w:t>
      </w:r>
    </w:p>
    <w:p w14:paraId="61DFE019" w14:textId="0063B825" w:rsidR="009704DD" w:rsidRPr="00D24FED" w:rsidRDefault="009704DD" w:rsidP="00970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D24FED">
        <w:rPr>
          <w:rFonts w:asciiTheme="majorHAnsi" w:hAnsiTheme="majorHAnsi"/>
          <w:sz w:val="20"/>
          <w:szCs w:val="20"/>
          <w:lang w:val="es-ES_tradnl"/>
        </w:rPr>
        <w:t xml:space="preserve">Con base en las consideraciones previamente expuestas, la Comisión observa que, en el presente caso, </w:t>
      </w:r>
      <w:r w:rsidRPr="00D24FED">
        <w:rPr>
          <w:rFonts w:asciiTheme="majorHAnsi" w:hAnsiTheme="majorHAnsi"/>
          <w:sz w:val="20"/>
          <w:szCs w:val="20"/>
          <w:lang w:val="es-US"/>
        </w:rPr>
        <w:t xml:space="preserve">el </w:t>
      </w:r>
      <w:r w:rsidRPr="00D24FED">
        <w:rPr>
          <w:rFonts w:asciiTheme="majorHAnsi" w:hAnsiTheme="majorHAnsi"/>
          <w:sz w:val="20"/>
          <w:szCs w:val="20"/>
          <w:lang w:val="es-AR"/>
        </w:rPr>
        <w:t>16 de octubre de 2009</w:t>
      </w:r>
      <w:r w:rsidRPr="00D24FED">
        <w:rPr>
          <w:rFonts w:asciiTheme="majorHAnsi" w:hAnsiTheme="majorHAnsi"/>
          <w:sz w:val="20"/>
          <w:szCs w:val="20"/>
          <w:lang w:val="es-US"/>
        </w:rPr>
        <w:t xml:space="preserve"> la Sala Tercera de la Corte Suprema de Justicia</w:t>
      </w:r>
      <w:r w:rsidRPr="00D24FED">
        <w:rPr>
          <w:rFonts w:asciiTheme="majorHAnsi" w:hAnsiTheme="majorHAnsi"/>
          <w:sz w:val="20"/>
          <w:szCs w:val="20"/>
          <w:lang w:val="es-AR"/>
        </w:rPr>
        <w:t xml:space="preserve"> desestimó los recursos de casación presentados por las presuntas víctimas contra su</w:t>
      </w:r>
      <w:r w:rsidR="000E3665" w:rsidRPr="00D24FED">
        <w:rPr>
          <w:rFonts w:asciiTheme="majorHAnsi" w:hAnsiTheme="majorHAnsi"/>
          <w:sz w:val="20"/>
          <w:szCs w:val="20"/>
          <w:lang w:val="es-AR"/>
        </w:rPr>
        <w:t>s</w:t>
      </w:r>
      <w:r w:rsidRPr="00D24FED">
        <w:rPr>
          <w:rFonts w:asciiTheme="majorHAnsi" w:hAnsiTheme="majorHAnsi"/>
          <w:sz w:val="20"/>
          <w:szCs w:val="20"/>
          <w:lang w:val="es-AR"/>
        </w:rPr>
        <w:t xml:space="preserve"> </w:t>
      </w:r>
      <w:r w:rsidR="000E3665" w:rsidRPr="00D24FED">
        <w:rPr>
          <w:rFonts w:asciiTheme="majorHAnsi" w:hAnsiTheme="majorHAnsi"/>
          <w:sz w:val="20"/>
          <w:szCs w:val="20"/>
          <w:lang w:val="es-AR"/>
        </w:rPr>
        <w:t>condenas</w:t>
      </w:r>
      <w:r w:rsidRPr="00D24FED">
        <w:rPr>
          <w:rFonts w:asciiTheme="majorHAnsi" w:hAnsiTheme="majorHAnsi"/>
          <w:sz w:val="20"/>
          <w:szCs w:val="20"/>
          <w:lang w:val="es-AR"/>
        </w:rPr>
        <w:t xml:space="preserve"> de primera instancia. Posteriormente, el 10 de agosto de 2012 la Sala Tercera de la Corte Suprema de Justicia también desestimó el procedimiento ordinario de revisión interpuesto por el señor Pérez Jiménez. </w:t>
      </w:r>
    </w:p>
    <w:p w14:paraId="64A50D26" w14:textId="5B43089B" w:rsidR="009704DD" w:rsidRPr="00D24FED" w:rsidRDefault="009704DD" w:rsidP="00970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D24FED">
        <w:rPr>
          <w:rFonts w:asciiTheme="majorHAnsi" w:hAnsiTheme="majorHAnsi"/>
          <w:sz w:val="20"/>
          <w:szCs w:val="20"/>
          <w:lang w:val="es-AR"/>
        </w:rPr>
        <w:t xml:space="preserve">Al respecto, si bien el Estado plantea que las presuntas víctimas podían utilizar el procedimiento especial de revisión contemplado en el Transitorio I </w:t>
      </w:r>
      <w:r w:rsidRPr="00D24FED">
        <w:rPr>
          <w:rFonts w:asciiTheme="majorHAnsi" w:hAnsiTheme="majorHAnsi"/>
          <w:sz w:val="20"/>
          <w:szCs w:val="20"/>
          <w:lang w:val="es-ES_tradnl"/>
        </w:rPr>
        <w:t>de la Ley N.º 8503, la Comisión nota que, conforme al texto de la citada disposición, esta vía solo podía ser utilizada por personas condenadas con anterioridad al 6 de junio de 2006, fecha de promulgación de la referida ley. En tal sentido, a juicio de la Comisión, el referido mecanismo no estaba a disposición de la</w:t>
      </w:r>
      <w:r w:rsidR="0071046A" w:rsidRPr="00D24FED">
        <w:rPr>
          <w:rFonts w:asciiTheme="majorHAnsi" w:hAnsiTheme="majorHAnsi"/>
          <w:sz w:val="20"/>
          <w:szCs w:val="20"/>
          <w:lang w:val="es-ES_tradnl"/>
        </w:rPr>
        <w:t>s</w:t>
      </w:r>
      <w:r w:rsidRPr="00D24FED">
        <w:rPr>
          <w:rFonts w:asciiTheme="majorHAnsi" w:hAnsiTheme="majorHAnsi"/>
          <w:sz w:val="20"/>
          <w:szCs w:val="20"/>
          <w:lang w:val="es-ES_tradnl"/>
        </w:rPr>
        <w:t xml:space="preserve"> presunta</w:t>
      </w:r>
      <w:r w:rsidR="0071046A" w:rsidRPr="00D24FED">
        <w:rPr>
          <w:rFonts w:asciiTheme="majorHAnsi" w:hAnsiTheme="majorHAnsi"/>
          <w:sz w:val="20"/>
          <w:szCs w:val="20"/>
          <w:lang w:val="es-ES_tradnl"/>
        </w:rPr>
        <w:t>s</w:t>
      </w:r>
      <w:r w:rsidRPr="00D24FED">
        <w:rPr>
          <w:rFonts w:asciiTheme="majorHAnsi" w:hAnsiTheme="majorHAnsi"/>
          <w:sz w:val="20"/>
          <w:szCs w:val="20"/>
          <w:lang w:val="es-ES_tradnl"/>
        </w:rPr>
        <w:t xml:space="preserve"> víctima</w:t>
      </w:r>
      <w:r w:rsidR="0071046A" w:rsidRPr="00D24FED">
        <w:rPr>
          <w:rFonts w:asciiTheme="majorHAnsi" w:hAnsiTheme="majorHAnsi"/>
          <w:sz w:val="20"/>
          <w:szCs w:val="20"/>
          <w:lang w:val="es-ES_tradnl"/>
        </w:rPr>
        <w:t>s</w:t>
      </w:r>
      <w:r w:rsidRPr="00D24FED">
        <w:rPr>
          <w:rFonts w:asciiTheme="majorHAnsi" w:hAnsiTheme="majorHAnsi"/>
          <w:sz w:val="20"/>
          <w:szCs w:val="20"/>
          <w:lang w:val="es-ES_tradnl"/>
        </w:rPr>
        <w:t>, dada la fecha en que se emiti</w:t>
      </w:r>
      <w:r w:rsidR="000E3665" w:rsidRPr="00D24FED">
        <w:rPr>
          <w:rFonts w:asciiTheme="majorHAnsi" w:hAnsiTheme="majorHAnsi"/>
          <w:sz w:val="20"/>
          <w:szCs w:val="20"/>
          <w:lang w:val="es-ES_tradnl"/>
        </w:rPr>
        <w:t>eron</w:t>
      </w:r>
      <w:r w:rsidRPr="00D24FED">
        <w:rPr>
          <w:rFonts w:asciiTheme="majorHAnsi" w:hAnsiTheme="majorHAnsi"/>
          <w:sz w:val="20"/>
          <w:szCs w:val="20"/>
          <w:lang w:val="es-ES_tradnl"/>
        </w:rPr>
        <w:t xml:space="preserve"> su</w:t>
      </w:r>
      <w:r w:rsidR="000E3665" w:rsidRPr="00D24FED">
        <w:rPr>
          <w:rFonts w:asciiTheme="majorHAnsi" w:hAnsiTheme="majorHAnsi"/>
          <w:sz w:val="20"/>
          <w:szCs w:val="20"/>
          <w:lang w:val="es-ES_tradnl"/>
        </w:rPr>
        <w:t>s</w:t>
      </w:r>
      <w:r w:rsidRPr="00D24FED">
        <w:rPr>
          <w:rFonts w:asciiTheme="majorHAnsi" w:hAnsiTheme="majorHAnsi"/>
          <w:sz w:val="20"/>
          <w:szCs w:val="20"/>
          <w:lang w:val="es-ES_tradnl"/>
        </w:rPr>
        <w:t xml:space="preserve"> condena</w:t>
      </w:r>
      <w:r w:rsidR="000E3665" w:rsidRPr="00D24FED">
        <w:rPr>
          <w:rFonts w:asciiTheme="majorHAnsi" w:hAnsiTheme="majorHAnsi"/>
          <w:sz w:val="20"/>
          <w:szCs w:val="20"/>
          <w:lang w:val="es-ES_tradnl"/>
        </w:rPr>
        <w:t>s</w:t>
      </w:r>
      <w:r w:rsidRPr="00D24FED">
        <w:rPr>
          <w:rFonts w:asciiTheme="majorHAnsi" w:hAnsiTheme="majorHAnsi"/>
          <w:sz w:val="20"/>
          <w:szCs w:val="20"/>
          <w:lang w:val="es-ES_tradnl"/>
        </w:rPr>
        <w:t xml:space="preserve">, y por ende no resulta exigible su agotamiento a efectos de cumplir con el requisito previsto en el artículo 46.1.a) de la Convención Americana. </w:t>
      </w:r>
    </w:p>
    <w:p w14:paraId="2AF6647D" w14:textId="5CE0919A" w:rsidR="009704DD" w:rsidRPr="00D24FED" w:rsidRDefault="009704DD" w:rsidP="00970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24FED">
        <w:rPr>
          <w:rFonts w:asciiTheme="majorHAnsi" w:hAnsiTheme="majorHAnsi"/>
          <w:sz w:val="20"/>
          <w:szCs w:val="20"/>
          <w:lang w:val="es-ES_tradnl"/>
        </w:rPr>
        <w:t>Sin perjuicio de ello, el Estado plantea que la</w:t>
      </w:r>
      <w:r w:rsidR="0071046A" w:rsidRPr="00D24FED">
        <w:rPr>
          <w:rFonts w:asciiTheme="majorHAnsi" w:hAnsiTheme="majorHAnsi"/>
          <w:sz w:val="20"/>
          <w:szCs w:val="20"/>
          <w:lang w:val="es-ES_tradnl"/>
        </w:rPr>
        <w:t>s</w:t>
      </w:r>
      <w:r w:rsidRPr="00D24FED">
        <w:rPr>
          <w:rFonts w:asciiTheme="majorHAnsi" w:hAnsiTheme="majorHAnsi"/>
          <w:sz w:val="20"/>
          <w:szCs w:val="20"/>
          <w:lang w:val="es-ES_tradnl"/>
        </w:rPr>
        <w:t xml:space="preserve"> presunta</w:t>
      </w:r>
      <w:r w:rsidR="0071046A" w:rsidRPr="00D24FED">
        <w:rPr>
          <w:rFonts w:asciiTheme="majorHAnsi" w:hAnsiTheme="majorHAnsi"/>
          <w:sz w:val="20"/>
          <w:szCs w:val="20"/>
          <w:lang w:val="es-ES_tradnl"/>
        </w:rPr>
        <w:t>s</w:t>
      </w:r>
      <w:r w:rsidRPr="00D24FED">
        <w:rPr>
          <w:rFonts w:asciiTheme="majorHAnsi" w:hAnsiTheme="majorHAnsi"/>
          <w:sz w:val="20"/>
          <w:szCs w:val="20"/>
          <w:lang w:val="es-ES_tradnl"/>
        </w:rPr>
        <w:t xml:space="preserve"> víctima</w:t>
      </w:r>
      <w:r w:rsidR="0071046A" w:rsidRPr="00D24FED">
        <w:rPr>
          <w:rFonts w:asciiTheme="majorHAnsi" w:hAnsiTheme="majorHAnsi"/>
          <w:sz w:val="20"/>
          <w:szCs w:val="20"/>
          <w:lang w:val="es-ES_tradnl"/>
        </w:rPr>
        <w:t>s</w:t>
      </w:r>
      <w:r w:rsidRPr="00D24FED">
        <w:rPr>
          <w:rFonts w:asciiTheme="majorHAnsi" w:hAnsiTheme="majorHAnsi"/>
          <w:sz w:val="20"/>
          <w:szCs w:val="20"/>
          <w:lang w:val="es-ES_tradnl"/>
        </w:rPr>
        <w:t xml:space="preserve"> también podía</w:t>
      </w:r>
      <w:r w:rsidR="0071046A" w:rsidRPr="00D24FED">
        <w:rPr>
          <w:rFonts w:asciiTheme="majorHAnsi" w:hAnsiTheme="majorHAnsi"/>
          <w:sz w:val="20"/>
          <w:szCs w:val="20"/>
          <w:lang w:val="es-ES_tradnl"/>
        </w:rPr>
        <w:t>n</w:t>
      </w:r>
      <w:r w:rsidRPr="00D24FED">
        <w:rPr>
          <w:rFonts w:asciiTheme="majorHAnsi" w:hAnsiTheme="majorHAnsi"/>
          <w:sz w:val="20"/>
          <w:szCs w:val="20"/>
          <w:lang w:val="es-ES_tradnl"/>
        </w:rPr>
        <w:t xml:space="preserve"> presentar el procedimiento especial de revisión contemplado en el Transitorio IIII de la Ley N.º 8837, dado que este entró en vigor el 9 de diciembre de 2011. Sin embargo, la Comisión recuerda que</w:t>
      </w:r>
      <w:r w:rsidRPr="00D24FED">
        <w:rPr>
          <w:rFonts w:asciiTheme="majorHAnsi" w:hAnsiTheme="majorHAnsi"/>
          <w:sz w:val="20"/>
          <w:szCs w:val="20"/>
          <w:lang w:val="es-ES"/>
        </w:rPr>
        <w:t>, como regla general, la parte peticionaria solo tiene en principio la obligación de agotar las vías ordinarias a nivel interno</w:t>
      </w:r>
      <w:r w:rsidRPr="00D24FED">
        <w:rPr>
          <w:rStyle w:val="FootnoteReference"/>
          <w:rFonts w:asciiTheme="majorHAnsi" w:hAnsiTheme="majorHAnsi"/>
          <w:sz w:val="20"/>
          <w:szCs w:val="20"/>
        </w:rPr>
        <w:footnoteReference w:id="17"/>
      </w:r>
      <w:r w:rsidRPr="00D24FED">
        <w:rPr>
          <w:rFonts w:asciiTheme="majorHAnsi" w:hAnsiTheme="majorHAnsi"/>
          <w:sz w:val="20"/>
          <w:szCs w:val="20"/>
          <w:lang w:val="es-ES"/>
        </w:rPr>
        <w:t xml:space="preserve">. En tal sentido, </w:t>
      </w:r>
      <w:r w:rsidRPr="00D24FED">
        <w:rPr>
          <w:rFonts w:asciiTheme="majorHAnsi" w:hAnsiTheme="majorHAnsi"/>
          <w:sz w:val="20"/>
          <w:szCs w:val="20"/>
          <w:lang w:val="es-US"/>
        </w:rPr>
        <w:t>si la</w:t>
      </w:r>
      <w:r w:rsidR="00295C3B" w:rsidRPr="00D24FED">
        <w:rPr>
          <w:rFonts w:asciiTheme="majorHAnsi" w:hAnsiTheme="majorHAnsi"/>
          <w:sz w:val="20"/>
          <w:szCs w:val="20"/>
          <w:lang w:val="es-US"/>
        </w:rPr>
        <w:t>s</w:t>
      </w:r>
      <w:r w:rsidRPr="00D24FED">
        <w:rPr>
          <w:rFonts w:asciiTheme="majorHAnsi" w:hAnsiTheme="majorHAnsi"/>
          <w:sz w:val="20"/>
          <w:szCs w:val="20"/>
          <w:lang w:val="es-US"/>
        </w:rPr>
        <w:t xml:space="preserve"> presunta</w:t>
      </w:r>
      <w:r w:rsidR="00295C3B" w:rsidRPr="00D24FED">
        <w:rPr>
          <w:rFonts w:asciiTheme="majorHAnsi" w:hAnsiTheme="majorHAnsi"/>
          <w:sz w:val="20"/>
          <w:szCs w:val="20"/>
          <w:lang w:val="es-US"/>
        </w:rPr>
        <w:t>s</w:t>
      </w:r>
      <w:r w:rsidRPr="00D24FED">
        <w:rPr>
          <w:rFonts w:asciiTheme="majorHAnsi" w:hAnsiTheme="majorHAnsi"/>
          <w:sz w:val="20"/>
          <w:szCs w:val="20"/>
          <w:lang w:val="es-US"/>
        </w:rPr>
        <w:t xml:space="preserve"> víctima</w:t>
      </w:r>
      <w:r w:rsidR="00295C3B" w:rsidRPr="00D24FED">
        <w:rPr>
          <w:rFonts w:asciiTheme="majorHAnsi" w:hAnsiTheme="majorHAnsi"/>
          <w:sz w:val="20"/>
          <w:szCs w:val="20"/>
          <w:lang w:val="es-US"/>
        </w:rPr>
        <w:t>s</w:t>
      </w:r>
      <w:r w:rsidRPr="00D24FED">
        <w:rPr>
          <w:rFonts w:asciiTheme="majorHAnsi" w:hAnsiTheme="majorHAnsi"/>
          <w:sz w:val="20"/>
          <w:szCs w:val="20"/>
          <w:lang w:val="es-US"/>
        </w:rPr>
        <w:t xml:space="preserve"> plante</w:t>
      </w:r>
      <w:r w:rsidR="00295C3B" w:rsidRPr="00D24FED">
        <w:rPr>
          <w:rFonts w:asciiTheme="majorHAnsi" w:hAnsiTheme="majorHAnsi"/>
          <w:sz w:val="20"/>
          <w:szCs w:val="20"/>
          <w:lang w:val="es-US"/>
        </w:rPr>
        <w:t>aron</w:t>
      </w:r>
      <w:r w:rsidRPr="00D24FED">
        <w:rPr>
          <w:rFonts w:asciiTheme="majorHAnsi" w:hAnsiTheme="majorHAnsi"/>
          <w:sz w:val="20"/>
          <w:szCs w:val="20"/>
          <w:lang w:val="es-US"/>
        </w:rPr>
        <w:t xml:space="preserve"> la cuestión por alguna de las alternativas válidas y adecuadas según el </w:t>
      </w:r>
      <w:r w:rsidRPr="00D24FED">
        <w:rPr>
          <w:rFonts w:asciiTheme="majorHAnsi" w:hAnsiTheme="majorHAnsi"/>
          <w:sz w:val="20"/>
          <w:szCs w:val="20"/>
          <w:lang w:val="es-US"/>
        </w:rPr>
        <w:lastRenderedPageBreak/>
        <w:t>ordenamiento jurídico interno y el Estado tuvo la oportunidad de remediar la cuestión en su jurisdicción, la finalidad de la norma internacional está cumplida</w:t>
      </w:r>
      <w:r w:rsidRPr="00D24FED">
        <w:rPr>
          <w:rStyle w:val="FootnoteReference"/>
          <w:rFonts w:asciiTheme="majorHAnsi" w:hAnsiTheme="majorHAnsi"/>
          <w:sz w:val="20"/>
          <w:szCs w:val="20"/>
          <w:lang w:val="es-US"/>
        </w:rPr>
        <w:footnoteReference w:id="18"/>
      </w:r>
      <w:r w:rsidRPr="00D24FED">
        <w:rPr>
          <w:rFonts w:asciiTheme="majorHAnsi" w:hAnsiTheme="majorHAnsi"/>
          <w:sz w:val="20"/>
          <w:szCs w:val="20"/>
          <w:lang w:val="es-US"/>
        </w:rPr>
        <w:t>.</w:t>
      </w:r>
    </w:p>
    <w:p w14:paraId="4979E8A6" w14:textId="1DD65F4D" w:rsidR="009704DD" w:rsidRPr="00D24FED" w:rsidRDefault="009704DD" w:rsidP="009704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24FED">
        <w:rPr>
          <w:rFonts w:asciiTheme="majorHAnsi" w:hAnsiTheme="majorHAnsi"/>
          <w:sz w:val="20"/>
          <w:szCs w:val="20"/>
          <w:lang w:val="es-ES"/>
        </w:rPr>
        <w:t xml:space="preserve">En el presente asunto, la Comisión considera que, por la forma cómo se encuentra regulado y por su posición dentro del procedimiento penal costarricense, </w:t>
      </w:r>
      <w:r w:rsidRPr="00D24FED">
        <w:rPr>
          <w:rFonts w:asciiTheme="majorHAnsi" w:hAnsiTheme="majorHAnsi"/>
          <w:sz w:val="20"/>
          <w:szCs w:val="20"/>
          <w:lang w:val="es-ES_tradnl"/>
        </w:rPr>
        <w:t xml:space="preserve">el procedimiento especial de revisión contemplado en el Transitorio IIII de la Ley N.º 8837 </w:t>
      </w:r>
      <w:r w:rsidRPr="00D24FED">
        <w:rPr>
          <w:rFonts w:asciiTheme="majorHAnsi" w:hAnsiTheme="majorHAnsi"/>
          <w:sz w:val="20"/>
          <w:szCs w:val="20"/>
          <w:lang w:val="es-ES"/>
        </w:rPr>
        <w:t>es extraordinario y, en consecuencia, su agotamiento no resultaba obligatorio para la</w:t>
      </w:r>
      <w:r w:rsidR="00295C3B" w:rsidRPr="00D24FED">
        <w:rPr>
          <w:rFonts w:asciiTheme="majorHAnsi" w:hAnsiTheme="majorHAnsi"/>
          <w:sz w:val="20"/>
          <w:szCs w:val="20"/>
          <w:lang w:val="es-ES"/>
        </w:rPr>
        <w:t>s</w:t>
      </w:r>
      <w:r w:rsidRPr="00D24FED">
        <w:rPr>
          <w:rFonts w:asciiTheme="majorHAnsi" w:hAnsiTheme="majorHAnsi"/>
          <w:sz w:val="20"/>
          <w:szCs w:val="20"/>
          <w:lang w:val="es-ES"/>
        </w:rPr>
        <w:t xml:space="preserve"> presunta</w:t>
      </w:r>
      <w:r w:rsidR="00295C3B" w:rsidRPr="00D24FED">
        <w:rPr>
          <w:rFonts w:asciiTheme="majorHAnsi" w:hAnsiTheme="majorHAnsi"/>
          <w:sz w:val="20"/>
          <w:szCs w:val="20"/>
          <w:lang w:val="es-ES"/>
        </w:rPr>
        <w:t>s</w:t>
      </w:r>
      <w:r w:rsidRPr="00D24FED">
        <w:rPr>
          <w:rFonts w:asciiTheme="majorHAnsi" w:hAnsiTheme="majorHAnsi"/>
          <w:sz w:val="20"/>
          <w:szCs w:val="20"/>
          <w:lang w:val="es-ES"/>
        </w:rPr>
        <w:t xml:space="preserve"> víctima</w:t>
      </w:r>
      <w:r w:rsidR="00295C3B" w:rsidRPr="00D24FED">
        <w:rPr>
          <w:rFonts w:asciiTheme="majorHAnsi" w:hAnsiTheme="majorHAnsi"/>
          <w:sz w:val="20"/>
          <w:szCs w:val="20"/>
          <w:lang w:val="es-ES"/>
        </w:rPr>
        <w:t>s</w:t>
      </w:r>
      <w:r w:rsidRPr="00D24FED">
        <w:rPr>
          <w:rFonts w:asciiTheme="majorHAnsi" w:hAnsiTheme="majorHAnsi"/>
          <w:sz w:val="20"/>
          <w:szCs w:val="20"/>
          <w:lang w:val="es-ES"/>
        </w:rPr>
        <w:t>, en tanto esta</w:t>
      </w:r>
      <w:r w:rsidR="00295C3B" w:rsidRPr="00D24FED">
        <w:rPr>
          <w:rFonts w:asciiTheme="majorHAnsi" w:hAnsiTheme="majorHAnsi"/>
          <w:sz w:val="20"/>
          <w:szCs w:val="20"/>
          <w:lang w:val="es-ES"/>
        </w:rPr>
        <w:t>s</w:t>
      </w:r>
      <w:r w:rsidRPr="00D24FED">
        <w:rPr>
          <w:rFonts w:asciiTheme="majorHAnsi" w:hAnsiTheme="majorHAnsi"/>
          <w:sz w:val="20"/>
          <w:szCs w:val="20"/>
          <w:lang w:val="es-ES"/>
        </w:rPr>
        <w:t xml:space="preserve"> cumpli</w:t>
      </w:r>
      <w:r w:rsidR="00295C3B" w:rsidRPr="00D24FED">
        <w:rPr>
          <w:rFonts w:asciiTheme="majorHAnsi" w:hAnsiTheme="majorHAnsi"/>
          <w:sz w:val="20"/>
          <w:szCs w:val="20"/>
          <w:lang w:val="es-ES"/>
        </w:rPr>
        <w:t>eron</w:t>
      </w:r>
      <w:r w:rsidRPr="00D24FED">
        <w:rPr>
          <w:rFonts w:asciiTheme="majorHAnsi" w:hAnsiTheme="majorHAnsi"/>
          <w:sz w:val="20"/>
          <w:szCs w:val="20"/>
          <w:lang w:val="es-ES"/>
        </w:rPr>
        <w:t xml:space="preserve"> con utilizar previamente un recurso </w:t>
      </w:r>
      <w:r w:rsidR="000E3665" w:rsidRPr="00D24FED">
        <w:rPr>
          <w:rFonts w:asciiTheme="majorHAnsi" w:hAnsiTheme="majorHAnsi"/>
          <w:sz w:val="20"/>
          <w:szCs w:val="20"/>
          <w:lang w:val="es-ES"/>
        </w:rPr>
        <w:t xml:space="preserve">que, </w:t>
      </w:r>
      <w:r w:rsidRPr="00D24FED">
        <w:rPr>
          <w:rFonts w:asciiTheme="majorHAnsi" w:hAnsiTheme="majorHAnsi"/>
          <w:sz w:val="20"/>
          <w:szCs w:val="20"/>
          <w:lang w:val="es-ES"/>
        </w:rPr>
        <w:t>en principio</w:t>
      </w:r>
      <w:r w:rsidR="000E3665" w:rsidRPr="00D24FED">
        <w:rPr>
          <w:rFonts w:asciiTheme="majorHAnsi" w:hAnsiTheme="majorHAnsi"/>
          <w:sz w:val="20"/>
          <w:szCs w:val="20"/>
          <w:lang w:val="es-ES"/>
        </w:rPr>
        <w:t>, era</w:t>
      </w:r>
      <w:r w:rsidRPr="00D24FED">
        <w:rPr>
          <w:rFonts w:asciiTheme="majorHAnsi" w:hAnsiTheme="majorHAnsi"/>
          <w:sz w:val="20"/>
          <w:szCs w:val="20"/>
          <w:lang w:val="es-ES"/>
        </w:rPr>
        <w:t xml:space="preserve"> adecuado para remediar su situación. Sin perjuicio de ello, la Comisión destaca que no resulta claro si, para la situación de la</w:t>
      </w:r>
      <w:r w:rsidR="00295C3B" w:rsidRPr="00D24FED">
        <w:rPr>
          <w:rFonts w:asciiTheme="majorHAnsi" w:hAnsiTheme="majorHAnsi"/>
          <w:sz w:val="20"/>
          <w:szCs w:val="20"/>
          <w:lang w:val="es-ES"/>
        </w:rPr>
        <w:t>s</w:t>
      </w:r>
      <w:r w:rsidRPr="00D24FED">
        <w:rPr>
          <w:rFonts w:asciiTheme="majorHAnsi" w:hAnsiTheme="majorHAnsi"/>
          <w:sz w:val="20"/>
          <w:szCs w:val="20"/>
          <w:lang w:val="es-ES"/>
        </w:rPr>
        <w:t xml:space="preserve"> presunta</w:t>
      </w:r>
      <w:r w:rsidR="00295C3B" w:rsidRPr="00D24FED">
        <w:rPr>
          <w:rFonts w:asciiTheme="majorHAnsi" w:hAnsiTheme="majorHAnsi"/>
          <w:sz w:val="20"/>
          <w:szCs w:val="20"/>
          <w:lang w:val="es-ES"/>
        </w:rPr>
        <w:t>s</w:t>
      </w:r>
      <w:r w:rsidRPr="00D24FED">
        <w:rPr>
          <w:rFonts w:asciiTheme="majorHAnsi" w:hAnsiTheme="majorHAnsi"/>
          <w:sz w:val="20"/>
          <w:szCs w:val="20"/>
          <w:lang w:val="es-ES"/>
        </w:rPr>
        <w:t xml:space="preserve"> víctima</w:t>
      </w:r>
      <w:r w:rsidR="00295C3B" w:rsidRPr="00D24FED">
        <w:rPr>
          <w:rFonts w:asciiTheme="majorHAnsi" w:hAnsiTheme="majorHAnsi"/>
          <w:sz w:val="20"/>
          <w:szCs w:val="20"/>
          <w:lang w:val="es-ES"/>
        </w:rPr>
        <w:t>s</w:t>
      </w:r>
      <w:r w:rsidRPr="00D24FED">
        <w:rPr>
          <w:rFonts w:asciiTheme="majorHAnsi" w:hAnsiTheme="majorHAnsi"/>
          <w:sz w:val="20"/>
          <w:szCs w:val="20"/>
          <w:lang w:val="es-ES"/>
        </w:rPr>
        <w:t xml:space="preserve">, el citado procedimiento de revisión era idóneo para remediar la afectación alegada, toda vez que exige que previamente se haya alegado en otra vía la afectación del derecho contemplado en el artículo 8.2.h) de la Convención. </w:t>
      </w:r>
    </w:p>
    <w:p w14:paraId="232440A2" w14:textId="21FC4EBF" w:rsidR="00FC747D" w:rsidRPr="00D24FED" w:rsidRDefault="002662FC" w:rsidP="00FC74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24FED">
        <w:rPr>
          <w:rFonts w:asciiTheme="majorHAnsi" w:hAnsiTheme="majorHAnsi"/>
          <w:sz w:val="20"/>
          <w:szCs w:val="20"/>
          <w:lang w:val="es-ES"/>
        </w:rPr>
        <w:t>Por último</w:t>
      </w:r>
      <w:r w:rsidR="00295C3B" w:rsidRPr="00D24FED">
        <w:rPr>
          <w:rFonts w:asciiTheme="majorHAnsi" w:hAnsiTheme="majorHAnsi"/>
          <w:sz w:val="20"/>
          <w:szCs w:val="20"/>
          <w:lang w:val="es-ES"/>
        </w:rPr>
        <w:t xml:space="preserve">, el Estado </w:t>
      </w:r>
      <w:r w:rsidR="00FC747D" w:rsidRPr="00D24FED">
        <w:rPr>
          <w:rFonts w:asciiTheme="majorHAnsi" w:hAnsiTheme="majorHAnsi"/>
          <w:sz w:val="20"/>
          <w:szCs w:val="20"/>
          <w:lang w:val="es-ES"/>
        </w:rPr>
        <w:t xml:space="preserve">también </w:t>
      </w:r>
      <w:r w:rsidR="00A526C2" w:rsidRPr="00D24FED">
        <w:rPr>
          <w:rFonts w:asciiTheme="majorHAnsi" w:hAnsiTheme="majorHAnsi"/>
          <w:sz w:val="20"/>
          <w:szCs w:val="20"/>
          <w:lang w:val="es-ES"/>
        </w:rPr>
        <w:t xml:space="preserve">sostiene </w:t>
      </w:r>
      <w:r w:rsidR="00295C3B" w:rsidRPr="00D24FED">
        <w:rPr>
          <w:rFonts w:asciiTheme="majorHAnsi" w:hAnsiTheme="majorHAnsi"/>
          <w:sz w:val="20"/>
          <w:szCs w:val="20"/>
          <w:lang w:val="es-ES"/>
        </w:rPr>
        <w:t>que</w:t>
      </w:r>
      <w:r w:rsidR="00FC747D" w:rsidRPr="00D24FED">
        <w:rPr>
          <w:rFonts w:asciiTheme="majorHAnsi" w:hAnsiTheme="majorHAnsi"/>
          <w:sz w:val="20"/>
          <w:szCs w:val="20"/>
          <w:lang w:val="es-ES"/>
        </w:rPr>
        <w:t>, a diferencia del señor Pérez Jiménez,</w:t>
      </w:r>
      <w:r w:rsidR="00295C3B" w:rsidRPr="00D24FED">
        <w:rPr>
          <w:rFonts w:asciiTheme="majorHAnsi" w:hAnsiTheme="majorHAnsi"/>
          <w:sz w:val="20"/>
          <w:szCs w:val="20"/>
          <w:lang w:val="es-ES"/>
        </w:rPr>
        <w:t xml:space="preserve"> el señor García Álvarez </w:t>
      </w:r>
      <w:r w:rsidR="00FC747D" w:rsidRPr="00D24FED">
        <w:rPr>
          <w:rFonts w:asciiTheme="majorHAnsi" w:hAnsiTheme="majorHAnsi"/>
          <w:sz w:val="20"/>
          <w:szCs w:val="20"/>
          <w:lang w:val="es-ES"/>
        </w:rPr>
        <w:t>no</w:t>
      </w:r>
      <w:r w:rsidR="00295C3B" w:rsidRPr="00D24FED">
        <w:rPr>
          <w:rFonts w:asciiTheme="majorHAnsi" w:hAnsiTheme="majorHAnsi"/>
          <w:sz w:val="20"/>
          <w:szCs w:val="20"/>
          <w:lang w:val="es-ES"/>
        </w:rPr>
        <w:t xml:space="preserve"> </w:t>
      </w:r>
      <w:r w:rsidR="00D24FED" w:rsidRPr="00D24FED">
        <w:rPr>
          <w:rFonts w:asciiTheme="majorHAnsi" w:hAnsiTheme="majorHAnsi"/>
          <w:sz w:val="20"/>
          <w:szCs w:val="20"/>
          <w:lang w:val="es-ES"/>
        </w:rPr>
        <w:t>inició</w:t>
      </w:r>
      <w:r w:rsidR="00295C3B" w:rsidRPr="00D24FED">
        <w:rPr>
          <w:rFonts w:asciiTheme="majorHAnsi" w:hAnsiTheme="majorHAnsi"/>
          <w:sz w:val="20"/>
          <w:szCs w:val="20"/>
          <w:lang w:val="es-ES"/>
        </w:rPr>
        <w:t xml:space="preserve"> un procedimiento ordinario de revisión</w:t>
      </w:r>
      <w:r w:rsidR="00FC747D" w:rsidRPr="00D24FED">
        <w:rPr>
          <w:rFonts w:asciiTheme="majorHAnsi" w:hAnsiTheme="majorHAnsi"/>
          <w:sz w:val="20"/>
          <w:szCs w:val="20"/>
          <w:lang w:val="es-ES"/>
        </w:rPr>
        <w:t>. Sin embargo, con base en las consideraciones previamente expuestas</w:t>
      </w:r>
      <w:r w:rsidR="00780814" w:rsidRPr="00D24FED">
        <w:rPr>
          <w:rFonts w:asciiTheme="majorHAnsi" w:hAnsiTheme="majorHAnsi"/>
          <w:sz w:val="20"/>
          <w:szCs w:val="20"/>
          <w:lang w:val="es-ES"/>
        </w:rPr>
        <w:t>,</w:t>
      </w:r>
      <w:r w:rsidR="00FC747D" w:rsidRPr="00D24FED">
        <w:rPr>
          <w:rFonts w:asciiTheme="majorHAnsi" w:hAnsiTheme="majorHAnsi"/>
          <w:sz w:val="20"/>
          <w:szCs w:val="20"/>
          <w:lang w:val="es-ES"/>
        </w:rPr>
        <w:t xml:space="preserve"> y </w:t>
      </w:r>
      <w:r w:rsidR="00FC747D" w:rsidRPr="00D24FED">
        <w:rPr>
          <w:rFonts w:asciiTheme="majorHAnsi" w:hAnsiTheme="majorHAnsi"/>
          <w:sz w:val="20"/>
          <w:szCs w:val="20"/>
          <w:lang w:val="es-ES_tradnl"/>
        </w:rPr>
        <w:t xml:space="preserve">dadas las características del presente caso, la Comisión </w:t>
      </w:r>
      <w:r w:rsidR="008112C6" w:rsidRPr="00D24FED">
        <w:rPr>
          <w:rFonts w:asciiTheme="majorHAnsi" w:hAnsiTheme="majorHAnsi"/>
          <w:sz w:val="20"/>
          <w:szCs w:val="20"/>
          <w:lang w:val="es-ES_tradnl"/>
        </w:rPr>
        <w:t xml:space="preserve">entiende </w:t>
      </w:r>
      <w:r w:rsidR="00FC747D" w:rsidRPr="00D24FED">
        <w:rPr>
          <w:rFonts w:asciiTheme="majorHAnsi" w:hAnsiTheme="majorHAnsi"/>
          <w:sz w:val="20"/>
          <w:szCs w:val="20"/>
          <w:lang w:val="es-ES_tradnl"/>
        </w:rPr>
        <w:t xml:space="preserve">que el procedimiento de revisión ordinario tampoco resultaba una vía obligatoria a efectos de cumplir con el requisito previsto en el artículo 46.1.a) de la Convención Americana, toda vez que, al momento de los hechos, el recurso de casación </w:t>
      </w:r>
      <w:r w:rsidR="000E3665" w:rsidRPr="00D24FED">
        <w:rPr>
          <w:rFonts w:asciiTheme="majorHAnsi" w:hAnsiTheme="majorHAnsi"/>
          <w:sz w:val="20"/>
          <w:szCs w:val="20"/>
          <w:lang w:val="es-ES_tradnl"/>
        </w:rPr>
        <w:t xml:space="preserve">era </w:t>
      </w:r>
      <w:r w:rsidR="00FC747D" w:rsidRPr="00D24FED">
        <w:rPr>
          <w:rFonts w:asciiTheme="majorHAnsi" w:hAnsiTheme="majorHAnsi"/>
          <w:sz w:val="20"/>
          <w:szCs w:val="20"/>
          <w:lang w:val="es-ES_tradnl"/>
        </w:rPr>
        <w:t xml:space="preserve">el mecanismo ordinario para que </w:t>
      </w:r>
      <w:r w:rsidR="00372865" w:rsidRPr="00D24FED">
        <w:rPr>
          <w:rFonts w:asciiTheme="majorHAnsi" w:hAnsiTheme="majorHAnsi"/>
          <w:sz w:val="20"/>
          <w:szCs w:val="20"/>
          <w:lang w:val="es-ES_tradnl"/>
        </w:rPr>
        <w:t>las presuntas víctimas</w:t>
      </w:r>
      <w:r w:rsidR="00FC747D" w:rsidRPr="00D24FED">
        <w:rPr>
          <w:rFonts w:asciiTheme="majorHAnsi" w:hAnsiTheme="majorHAnsi"/>
          <w:sz w:val="20"/>
          <w:szCs w:val="20"/>
          <w:lang w:val="es-ES_tradnl"/>
        </w:rPr>
        <w:t xml:space="preserve"> canalice</w:t>
      </w:r>
      <w:r w:rsidR="00372865" w:rsidRPr="00D24FED">
        <w:rPr>
          <w:rFonts w:asciiTheme="majorHAnsi" w:hAnsiTheme="majorHAnsi"/>
          <w:sz w:val="20"/>
          <w:szCs w:val="20"/>
          <w:lang w:val="es-ES_tradnl"/>
        </w:rPr>
        <w:t>n</w:t>
      </w:r>
      <w:r w:rsidR="00FC747D" w:rsidRPr="00D24FED">
        <w:rPr>
          <w:rFonts w:asciiTheme="majorHAnsi" w:hAnsiTheme="majorHAnsi"/>
          <w:sz w:val="20"/>
          <w:szCs w:val="20"/>
          <w:lang w:val="es-ES_tradnl"/>
        </w:rPr>
        <w:t xml:space="preserve"> sus cuestionamientos contra su</w:t>
      </w:r>
      <w:r w:rsidR="000E3665" w:rsidRPr="00D24FED">
        <w:rPr>
          <w:rFonts w:asciiTheme="majorHAnsi" w:hAnsiTheme="majorHAnsi"/>
          <w:sz w:val="20"/>
          <w:szCs w:val="20"/>
          <w:lang w:val="es-ES_tradnl"/>
        </w:rPr>
        <w:t>s</w:t>
      </w:r>
      <w:r w:rsidR="00FC747D" w:rsidRPr="00D24FED">
        <w:rPr>
          <w:rFonts w:asciiTheme="majorHAnsi" w:hAnsiTheme="majorHAnsi"/>
          <w:sz w:val="20"/>
          <w:szCs w:val="20"/>
          <w:lang w:val="es-ES_tradnl"/>
        </w:rPr>
        <w:t xml:space="preserve"> </w:t>
      </w:r>
      <w:r w:rsidR="000E3665" w:rsidRPr="00D24FED">
        <w:rPr>
          <w:rFonts w:asciiTheme="majorHAnsi" w:hAnsiTheme="majorHAnsi"/>
          <w:sz w:val="20"/>
          <w:szCs w:val="20"/>
          <w:lang w:val="es-ES_tradnl"/>
        </w:rPr>
        <w:t>condenas</w:t>
      </w:r>
      <w:r w:rsidR="00FC747D" w:rsidRPr="00D24FED">
        <w:rPr>
          <w:rFonts w:asciiTheme="majorHAnsi" w:hAnsiTheme="majorHAnsi"/>
          <w:sz w:val="20"/>
          <w:szCs w:val="20"/>
          <w:lang w:val="es-ES_tradnl"/>
        </w:rPr>
        <w:t xml:space="preserve"> de primera instancia. </w:t>
      </w:r>
    </w:p>
    <w:p w14:paraId="0D57BEDA" w14:textId="61E67490" w:rsidR="00BC5B16" w:rsidRPr="00D24FED" w:rsidRDefault="009704DD" w:rsidP="001F51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24FED">
        <w:rPr>
          <w:rFonts w:asciiTheme="majorHAnsi" w:hAnsiTheme="majorHAnsi"/>
          <w:sz w:val="20"/>
          <w:szCs w:val="20"/>
          <w:lang w:val="es-ES_tradnl"/>
        </w:rPr>
        <w:t>En consecuencia, toda vez que en el presente caso la</w:t>
      </w:r>
      <w:r w:rsidR="00372865" w:rsidRPr="00D24FED">
        <w:rPr>
          <w:rFonts w:asciiTheme="majorHAnsi" w:hAnsiTheme="majorHAnsi"/>
          <w:sz w:val="20"/>
          <w:szCs w:val="20"/>
          <w:lang w:val="es-ES_tradnl"/>
        </w:rPr>
        <w:t>s</w:t>
      </w:r>
      <w:r w:rsidRPr="00D24FED">
        <w:rPr>
          <w:rFonts w:asciiTheme="majorHAnsi" w:hAnsiTheme="majorHAnsi"/>
          <w:sz w:val="20"/>
          <w:szCs w:val="20"/>
          <w:lang w:val="es-ES_tradnl"/>
        </w:rPr>
        <w:t xml:space="preserve"> presunta</w:t>
      </w:r>
      <w:r w:rsidR="00372865" w:rsidRPr="00D24FED">
        <w:rPr>
          <w:rFonts w:asciiTheme="majorHAnsi" w:hAnsiTheme="majorHAnsi"/>
          <w:sz w:val="20"/>
          <w:szCs w:val="20"/>
          <w:lang w:val="es-ES_tradnl"/>
        </w:rPr>
        <w:t>s</w:t>
      </w:r>
      <w:r w:rsidRPr="00D24FED">
        <w:rPr>
          <w:rFonts w:asciiTheme="majorHAnsi" w:hAnsiTheme="majorHAnsi"/>
          <w:sz w:val="20"/>
          <w:szCs w:val="20"/>
          <w:lang w:val="es-ES_tradnl"/>
        </w:rPr>
        <w:t xml:space="preserve"> víctima</w:t>
      </w:r>
      <w:r w:rsidR="00372865" w:rsidRPr="00D24FED">
        <w:rPr>
          <w:rFonts w:asciiTheme="majorHAnsi" w:hAnsiTheme="majorHAnsi"/>
          <w:sz w:val="20"/>
          <w:szCs w:val="20"/>
          <w:lang w:val="es-ES_tradnl"/>
        </w:rPr>
        <w:t>s</w:t>
      </w:r>
      <w:r w:rsidRPr="00D24FED">
        <w:rPr>
          <w:rFonts w:asciiTheme="majorHAnsi" w:hAnsiTheme="majorHAnsi"/>
          <w:sz w:val="20"/>
          <w:szCs w:val="20"/>
          <w:lang w:val="es-ES_tradnl"/>
        </w:rPr>
        <w:t xml:space="preserve"> utiliz</w:t>
      </w:r>
      <w:r w:rsidR="00372865" w:rsidRPr="00D24FED">
        <w:rPr>
          <w:rFonts w:asciiTheme="majorHAnsi" w:hAnsiTheme="majorHAnsi"/>
          <w:sz w:val="20"/>
          <w:szCs w:val="20"/>
          <w:lang w:val="es-ES_tradnl"/>
        </w:rPr>
        <w:t>aron</w:t>
      </w:r>
      <w:r w:rsidRPr="00D24FED">
        <w:rPr>
          <w:rFonts w:asciiTheme="majorHAnsi" w:hAnsiTheme="majorHAnsi"/>
          <w:sz w:val="20"/>
          <w:szCs w:val="20"/>
          <w:lang w:val="es-ES_tradnl"/>
        </w:rPr>
        <w:t xml:space="preserve"> la citada vía de casación, la Comisión </w:t>
      </w:r>
      <w:r w:rsidR="00D24FED" w:rsidRPr="00D24FED">
        <w:rPr>
          <w:rFonts w:asciiTheme="majorHAnsi" w:hAnsiTheme="majorHAnsi"/>
          <w:sz w:val="20"/>
          <w:szCs w:val="20"/>
          <w:lang w:val="es-ES_tradnl"/>
        </w:rPr>
        <w:t>estima</w:t>
      </w:r>
      <w:r w:rsidRPr="00D24FED">
        <w:rPr>
          <w:rFonts w:asciiTheme="majorHAnsi" w:hAnsiTheme="majorHAnsi"/>
          <w:sz w:val="20"/>
          <w:szCs w:val="20"/>
          <w:lang w:val="es-ES_tradnl"/>
        </w:rPr>
        <w:t xml:space="preserve"> que el Estado tuvo la oportunidad de solventar la situación denunciada y, por ende, se cumple el requisito previsto en el artículo 46.1.a) de la Convención Americana. Asimismo, dado que </w:t>
      </w:r>
      <w:r w:rsidR="001F51D9" w:rsidRPr="00D24FED">
        <w:rPr>
          <w:rFonts w:asciiTheme="majorHAnsi" w:hAnsiTheme="majorHAnsi"/>
          <w:sz w:val="20"/>
          <w:szCs w:val="20"/>
          <w:lang w:val="es-US"/>
        </w:rPr>
        <w:t xml:space="preserve">el </w:t>
      </w:r>
      <w:r w:rsidR="001F51D9" w:rsidRPr="00D24FED">
        <w:rPr>
          <w:rFonts w:asciiTheme="majorHAnsi" w:hAnsiTheme="majorHAnsi"/>
          <w:sz w:val="20"/>
          <w:szCs w:val="20"/>
          <w:lang w:val="es-AR"/>
        </w:rPr>
        <w:t>16 de octubre de 2009</w:t>
      </w:r>
      <w:r w:rsidR="001F51D9" w:rsidRPr="00D24FED">
        <w:rPr>
          <w:rFonts w:asciiTheme="majorHAnsi" w:hAnsiTheme="majorHAnsi"/>
          <w:sz w:val="20"/>
          <w:szCs w:val="20"/>
          <w:lang w:val="es-US"/>
        </w:rPr>
        <w:t xml:space="preserve"> la Sala Tercera de la Corte Suprema de Justicia resolvió los recursos de casación de las presuntas víctimas, y estos enviaron la presente petición el 12 de abril de 2010, la Comisión concluye</w:t>
      </w:r>
      <w:r w:rsidR="006560C1" w:rsidRPr="00D24FED">
        <w:rPr>
          <w:rFonts w:asciiTheme="majorHAnsi" w:hAnsiTheme="majorHAnsi"/>
          <w:sz w:val="20"/>
          <w:szCs w:val="20"/>
          <w:lang w:val="es-US"/>
        </w:rPr>
        <w:t xml:space="preserve"> que</w:t>
      </w:r>
      <w:r w:rsidRPr="00D24FED">
        <w:rPr>
          <w:rFonts w:asciiTheme="majorHAnsi" w:hAnsiTheme="majorHAnsi"/>
          <w:sz w:val="20"/>
          <w:szCs w:val="20"/>
          <w:lang w:val="es-ES_tradnl"/>
        </w:rPr>
        <w:t xml:space="preserve"> también se cumple el requisito de plazo previsto en el artículo 46.1.b) de la Convención.</w:t>
      </w:r>
    </w:p>
    <w:p w14:paraId="10A5D213" w14:textId="34260409" w:rsidR="007F6F80" w:rsidRPr="00D24FED" w:rsidRDefault="00B80608" w:rsidP="007F6F8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D24FED">
        <w:rPr>
          <w:rFonts w:asciiTheme="majorHAnsi" w:hAnsiTheme="majorHAnsi"/>
          <w:b/>
          <w:bCs/>
          <w:sz w:val="20"/>
          <w:szCs w:val="20"/>
          <w:lang w:val="es-ES_tradnl"/>
        </w:rPr>
        <w:t>V</w:t>
      </w:r>
      <w:r w:rsidR="007F6F80" w:rsidRPr="00D24FED">
        <w:rPr>
          <w:rFonts w:asciiTheme="majorHAnsi" w:hAnsiTheme="majorHAnsi"/>
          <w:b/>
          <w:bCs/>
          <w:sz w:val="20"/>
          <w:szCs w:val="20"/>
          <w:lang w:val="es-ES_tradnl"/>
        </w:rPr>
        <w:t>III.</w:t>
      </w:r>
      <w:r w:rsidR="007F6F80" w:rsidRPr="00D24FED">
        <w:rPr>
          <w:rFonts w:asciiTheme="majorHAnsi" w:hAnsiTheme="majorHAnsi"/>
          <w:b/>
          <w:bCs/>
          <w:sz w:val="20"/>
          <w:szCs w:val="20"/>
          <w:lang w:val="es-ES_tradnl"/>
        </w:rPr>
        <w:tab/>
        <w:t>ANÁLISIS DE CARACTERIZACIÓN</w:t>
      </w:r>
    </w:p>
    <w:p w14:paraId="2A511A5E" w14:textId="77777777" w:rsidR="000E3665" w:rsidRDefault="000E3665" w:rsidP="000E3665">
      <w:pPr>
        <w:pStyle w:val="ListParagraph"/>
        <w:numPr>
          <w:ilvl w:val="0"/>
          <w:numId w:val="103"/>
        </w:numPr>
        <w:jc w:val="both"/>
        <w:rPr>
          <w:rFonts w:asciiTheme="majorHAnsi" w:hAnsiTheme="majorHAnsi"/>
          <w:sz w:val="20"/>
          <w:szCs w:val="20"/>
          <w:lang w:val="es-ES"/>
        </w:rPr>
      </w:pPr>
      <w:r w:rsidRPr="00D24FED">
        <w:rPr>
          <w:rFonts w:asciiTheme="majorHAnsi" w:hAnsiTheme="majorHAnsi"/>
          <w:sz w:val="20"/>
          <w:szCs w:val="20"/>
          <w:lang w:val="es-ES"/>
        </w:rPr>
        <w:t>La Comisión recuerda que el derecho a recurrir el fallo ante un juez o tribunal distinto y de superior jerarquía es una de las garantías mínimas que tiene toda persona sometida a una investigación y proceso penal. Su finalidad es asegurar la revisión de una sentencia adversa de manera tal de que se tenga la posibilidad de corregir decisiones judiciales contrarias a derecho y evitar que una decisión injusta adquiera calidad de cosa juzgada</w:t>
      </w:r>
      <w:r w:rsidRPr="00D24FED">
        <w:rPr>
          <w:rFonts w:asciiTheme="majorHAnsi" w:hAnsiTheme="majorHAnsi"/>
          <w:sz w:val="20"/>
          <w:szCs w:val="20"/>
          <w:vertAlign w:val="superscript"/>
          <w:lang w:val="es-ES"/>
        </w:rPr>
        <w:footnoteReference w:id="19"/>
      </w:r>
      <w:r w:rsidRPr="00D24FED">
        <w:rPr>
          <w:rFonts w:asciiTheme="majorHAnsi" w:hAnsiTheme="majorHAnsi"/>
          <w:sz w:val="20"/>
          <w:szCs w:val="20"/>
          <w:lang w:val="es-ES"/>
        </w:rPr>
        <w:t>. En esa línea, la Comisión reitera que resulta irrelevante para el derecho internacional de los derechos humanos la denominación o el nombre con el que se designe el recurso disponible</w:t>
      </w:r>
      <w:r w:rsidRPr="00D24FED">
        <w:rPr>
          <w:rFonts w:asciiTheme="majorHAnsi" w:hAnsiTheme="majorHAnsi"/>
          <w:sz w:val="20"/>
          <w:szCs w:val="20"/>
          <w:vertAlign w:val="superscript"/>
          <w:lang w:val="es-ES"/>
        </w:rPr>
        <w:footnoteReference w:id="20"/>
      </w:r>
      <w:r w:rsidRPr="00D24FED">
        <w:rPr>
          <w:rFonts w:asciiTheme="majorHAnsi" w:hAnsiTheme="majorHAnsi"/>
          <w:sz w:val="20"/>
          <w:szCs w:val="20"/>
          <w:lang w:val="es-ES"/>
        </w:rPr>
        <w:t>. Lo importante es que el recurso contemplado en la normativa interna satisfaga una serie de estándares y, en tal sentido, cumpla con ser oportuno</w:t>
      </w:r>
      <w:r w:rsidRPr="00D24FED">
        <w:rPr>
          <w:rStyle w:val="FootnoteReference"/>
          <w:rFonts w:asciiTheme="majorHAnsi" w:hAnsiTheme="majorHAnsi"/>
          <w:sz w:val="20"/>
          <w:szCs w:val="20"/>
          <w:lang w:val="es-ES"/>
        </w:rPr>
        <w:footnoteReference w:id="21"/>
      </w:r>
      <w:r w:rsidRPr="00D24FED">
        <w:rPr>
          <w:rFonts w:asciiTheme="majorHAnsi" w:hAnsiTheme="majorHAnsi"/>
          <w:sz w:val="20"/>
          <w:szCs w:val="20"/>
          <w:lang w:val="es-ES"/>
        </w:rPr>
        <w:t>, accesible</w:t>
      </w:r>
      <w:r w:rsidRPr="00D24FED">
        <w:rPr>
          <w:rStyle w:val="FootnoteReference"/>
          <w:rFonts w:asciiTheme="majorHAnsi" w:hAnsiTheme="majorHAnsi"/>
          <w:sz w:val="20"/>
          <w:szCs w:val="20"/>
          <w:lang w:val="es-ES"/>
        </w:rPr>
        <w:footnoteReference w:id="22"/>
      </w:r>
      <w:r w:rsidRPr="00D24FED">
        <w:rPr>
          <w:rFonts w:asciiTheme="majorHAnsi" w:hAnsiTheme="majorHAnsi"/>
          <w:sz w:val="20"/>
          <w:szCs w:val="20"/>
          <w:lang w:val="es-ES"/>
        </w:rPr>
        <w:t>, eficaz</w:t>
      </w:r>
      <w:r w:rsidRPr="00D24FED">
        <w:rPr>
          <w:rStyle w:val="FootnoteReference"/>
          <w:rFonts w:asciiTheme="majorHAnsi" w:hAnsiTheme="majorHAnsi"/>
          <w:sz w:val="20"/>
          <w:szCs w:val="20"/>
          <w:lang w:val="es-ES"/>
        </w:rPr>
        <w:footnoteReference w:id="23"/>
      </w:r>
      <w:r w:rsidRPr="00D24FED">
        <w:rPr>
          <w:rFonts w:asciiTheme="majorHAnsi" w:hAnsiTheme="majorHAnsi"/>
          <w:sz w:val="20"/>
          <w:szCs w:val="20"/>
          <w:lang w:val="es-ES"/>
        </w:rPr>
        <w:t xml:space="preserve"> y, en particular, que permita la revisión integral de la condena</w:t>
      </w:r>
      <w:r w:rsidRPr="00D24FED">
        <w:rPr>
          <w:rStyle w:val="FootnoteReference"/>
          <w:rFonts w:asciiTheme="majorHAnsi" w:hAnsiTheme="majorHAnsi"/>
          <w:sz w:val="20"/>
          <w:szCs w:val="20"/>
          <w:lang w:val="es-ES"/>
        </w:rPr>
        <w:footnoteReference w:id="24"/>
      </w:r>
      <w:r w:rsidRPr="00D24FED">
        <w:rPr>
          <w:rFonts w:asciiTheme="majorHAnsi" w:hAnsiTheme="majorHAnsi"/>
          <w:sz w:val="20"/>
          <w:szCs w:val="20"/>
          <w:lang w:val="es-ES"/>
        </w:rPr>
        <w:t>.</w:t>
      </w:r>
    </w:p>
    <w:p w14:paraId="530CD5C8" w14:textId="77777777" w:rsidR="000E7366" w:rsidRPr="00D24FED" w:rsidRDefault="000E7366" w:rsidP="000E7366">
      <w:pPr>
        <w:pStyle w:val="ListParagraph"/>
        <w:jc w:val="both"/>
        <w:rPr>
          <w:rFonts w:asciiTheme="majorHAnsi" w:hAnsiTheme="majorHAnsi"/>
          <w:sz w:val="20"/>
          <w:szCs w:val="20"/>
          <w:lang w:val="es-ES"/>
        </w:rPr>
      </w:pPr>
    </w:p>
    <w:p w14:paraId="046D4359" w14:textId="77777777" w:rsidR="000E3665" w:rsidRPr="00D24FED" w:rsidRDefault="000E3665" w:rsidP="000E3665">
      <w:pPr>
        <w:pStyle w:val="ListParagraph"/>
        <w:jc w:val="both"/>
        <w:rPr>
          <w:rFonts w:asciiTheme="majorHAnsi" w:hAnsiTheme="majorHAnsi"/>
          <w:sz w:val="20"/>
          <w:szCs w:val="20"/>
          <w:lang w:val="es-ES"/>
        </w:rPr>
      </w:pPr>
    </w:p>
    <w:p w14:paraId="0F56A79F" w14:textId="77777777" w:rsidR="004D1AEC" w:rsidRDefault="004D1AEC" w:rsidP="004D1AEC">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720"/>
        <w:contextualSpacing/>
        <w:jc w:val="both"/>
        <w:rPr>
          <w:rFonts w:asciiTheme="majorHAnsi" w:eastAsia="Cambria" w:hAnsiTheme="majorHAnsi" w:cs="Cambria"/>
          <w:color w:val="000000"/>
          <w:sz w:val="20"/>
          <w:szCs w:val="20"/>
          <w:u w:color="000000"/>
          <w:lang w:val="es-ES" w:eastAsia="es-ES"/>
        </w:rPr>
      </w:pPr>
    </w:p>
    <w:p w14:paraId="020F3072" w14:textId="77777777" w:rsidR="004D1AEC" w:rsidRDefault="004D1AEC" w:rsidP="004D1AEC">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720"/>
        <w:contextualSpacing/>
        <w:jc w:val="both"/>
        <w:rPr>
          <w:rFonts w:asciiTheme="majorHAnsi" w:eastAsia="Cambria" w:hAnsiTheme="majorHAnsi" w:cs="Cambria"/>
          <w:color w:val="000000"/>
          <w:sz w:val="20"/>
          <w:szCs w:val="20"/>
          <w:u w:color="000000"/>
          <w:lang w:val="es-ES" w:eastAsia="es-ES"/>
        </w:rPr>
      </w:pPr>
    </w:p>
    <w:p w14:paraId="6EBD4D79" w14:textId="0A693B28" w:rsidR="000E3665" w:rsidRPr="00D24FED" w:rsidRDefault="000E3665" w:rsidP="000E3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eastAsia="Cambria" w:hAnsiTheme="majorHAnsi" w:cs="Cambria"/>
          <w:color w:val="000000"/>
          <w:sz w:val="20"/>
          <w:szCs w:val="20"/>
          <w:u w:color="000000"/>
          <w:lang w:val="es-ES" w:eastAsia="es-ES"/>
        </w:rPr>
      </w:pPr>
      <w:r w:rsidRPr="00D24FED">
        <w:rPr>
          <w:rFonts w:asciiTheme="majorHAnsi" w:eastAsia="Cambria" w:hAnsiTheme="majorHAnsi" w:cs="Cambria"/>
          <w:color w:val="000000"/>
          <w:sz w:val="20"/>
          <w:szCs w:val="20"/>
          <w:u w:color="000000"/>
          <w:lang w:val="es-ES" w:eastAsia="es-ES"/>
        </w:rPr>
        <w:t xml:space="preserve">En torno a este último punto, la Comisión Interamericana indicó en el </w:t>
      </w:r>
      <w:r w:rsidRPr="00D24FED">
        <w:rPr>
          <w:rFonts w:asciiTheme="majorHAnsi" w:eastAsia="Cambria" w:hAnsiTheme="majorHAnsi" w:cs="Cambria"/>
          <w:i/>
          <w:iCs/>
          <w:color w:val="000000"/>
          <w:sz w:val="20"/>
          <w:szCs w:val="20"/>
          <w:u w:color="000000"/>
          <w:lang w:val="es-ES" w:eastAsia="es-ES"/>
        </w:rPr>
        <w:t>caso Abella</w:t>
      </w:r>
      <w:r w:rsidRPr="00D24FED">
        <w:rPr>
          <w:rFonts w:asciiTheme="majorHAnsi" w:eastAsia="Cambria" w:hAnsiTheme="majorHAnsi" w:cs="Cambria"/>
          <w:color w:val="000000"/>
          <w:sz w:val="20"/>
          <w:szCs w:val="20"/>
          <w:u w:color="000000"/>
          <w:lang w:val="es-ES" w:eastAsia="es-ES"/>
        </w:rPr>
        <w:t xml:space="preserve"> respecto de Argentina: </w:t>
      </w:r>
    </w:p>
    <w:p w14:paraId="6F52183C" w14:textId="77777777" w:rsidR="000E3665" w:rsidRPr="00D24FED" w:rsidRDefault="000E3665" w:rsidP="000E3665">
      <w:pPr>
        <w:tabs>
          <w:tab w:val="left" w:pos="567"/>
        </w:tabs>
        <w:ind w:left="720"/>
        <w:jc w:val="both"/>
        <w:rPr>
          <w:rFonts w:asciiTheme="majorHAnsi" w:eastAsia="Cambria" w:hAnsiTheme="majorHAnsi" w:cs="Cambria"/>
          <w:color w:val="000000"/>
          <w:sz w:val="20"/>
          <w:szCs w:val="20"/>
          <w:u w:color="000000"/>
          <w:lang w:val="es-ES" w:eastAsia="es-ES"/>
        </w:rPr>
      </w:pPr>
    </w:p>
    <w:p w14:paraId="3B78AA9C" w14:textId="77777777" w:rsidR="000E3665" w:rsidRPr="00D24FED" w:rsidRDefault="000E3665" w:rsidP="000E3665">
      <w:pPr>
        <w:tabs>
          <w:tab w:val="left" w:pos="567"/>
        </w:tabs>
        <w:ind w:left="709" w:right="798"/>
        <w:jc w:val="both"/>
        <w:rPr>
          <w:rFonts w:asciiTheme="majorHAnsi" w:hAnsiTheme="majorHAnsi"/>
          <w:sz w:val="18"/>
          <w:szCs w:val="18"/>
          <w:lang w:val="es-ES"/>
        </w:rPr>
      </w:pPr>
      <w:r w:rsidRPr="00D24FED">
        <w:rPr>
          <w:rFonts w:asciiTheme="majorHAnsi" w:hAnsiTheme="majorHAnsi"/>
          <w:sz w:val="18"/>
          <w:szCs w:val="18"/>
          <w:lang w:val="es-ES"/>
        </w:rPr>
        <w:t>[E]l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Derecho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D24FED">
        <w:rPr>
          <w:rFonts w:asciiTheme="majorHAnsi" w:hAnsiTheme="majorHAnsi"/>
          <w:sz w:val="18"/>
          <w:szCs w:val="18"/>
          <w:vertAlign w:val="superscript"/>
          <w:lang w:val="es-ES"/>
        </w:rPr>
        <w:footnoteReference w:id="25"/>
      </w:r>
      <w:r w:rsidRPr="00D24FED">
        <w:rPr>
          <w:rFonts w:asciiTheme="majorHAnsi" w:hAnsiTheme="majorHAnsi"/>
          <w:sz w:val="18"/>
          <w:szCs w:val="18"/>
          <w:lang w:val="es-ES"/>
        </w:rPr>
        <w:t xml:space="preserve">. </w:t>
      </w:r>
    </w:p>
    <w:p w14:paraId="1F360368" w14:textId="77777777" w:rsidR="000E3665" w:rsidRPr="00D24FED" w:rsidRDefault="000E3665" w:rsidP="000E3665">
      <w:pPr>
        <w:tabs>
          <w:tab w:val="left" w:pos="567"/>
        </w:tabs>
        <w:ind w:right="798"/>
        <w:jc w:val="both"/>
        <w:rPr>
          <w:rFonts w:asciiTheme="majorHAnsi" w:hAnsiTheme="majorHAnsi"/>
          <w:sz w:val="20"/>
          <w:szCs w:val="20"/>
          <w:lang w:val="es-ES"/>
        </w:rPr>
      </w:pPr>
    </w:p>
    <w:p w14:paraId="762D735C" w14:textId="5A6574F1" w:rsidR="000E3665" w:rsidRPr="00D24FED" w:rsidRDefault="000E3665" w:rsidP="000E3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Theme="majorHAnsi" w:eastAsia="Cambria" w:hAnsiTheme="majorHAnsi" w:cs="Cambria"/>
          <w:color w:val="000000"/>
          <w:sz w:val="20"/>
          <w:szCs w:val="20"/>
          <w:u w:color="000000"/>
          <w:lang w:val="es-ES" w:eastAsia="es-ES"/>
        </w:rPr>
      </w:pPr>
      <w:r w:rsidRPr="00D24FED">
        <w:rPr>
          <w:rFonts w:asciiTheme="majorHAnsi" w:eastAsia="Cambria" w:hAnsiTheme="majorHAnsi" w:cs="Cambria"/>
          <w:color w:val="000000"/>
          <w:sz w:val="20"/>
          <w:szCs w:val="20"/>
          <w:u w:color="000000"/>
          <w:lang w:val="es-ES" w:eastAsia="es-ES"/>
        </w:rPr>
        <w:t xml:space="preserve">En esa línea, la CIDH ha destacado que, si bien el derecho a recurrir no implica necesariamente un nuevo juicio o una nueva audiencia, siempre que el tribunal que realiza la revisión no esté impedido de estudiar los hechos de la causa, resulta necesario a la luz del artículo 8.2.h de la Convención que exista la posibilidad de señalar y obtener respuesta sobre errores que hubiera podido cometer el juez o tribunal de la instancia inferior. Ello significa que no es </w:t>
      </w:r>
      <w:r w:rsidR="00FB6C85" w:rsidRPr="00D24FED">
        <w:rPr>
          <w:rFonts w:asciiTheme="majorHAnsi" w:eastAsia="Cambria" w:hAnsiTheme="majorHAnsi" w:cs="Cambria"/>
          <w:color w:val="000000"/>
          <w:sz w:val="20"/>
          <w:szCs w:val="20"/>
          <w:u w:color="000000"/>
          <w:lang w:val="es-ES" w:eastAsia="es-ES"/>
        </w:rPr>
        <w:t xml:space="preserve">admisible </w:t>
      </w:r>
      <w:r w:rsidRPr="00D24FED">
        <w:rPr>
          <w:rFonts w:asciiTheme="majorHAnsi" w:eastAsia="Cambria" w:hAnsiTheme="majorHAnsi" w:cs="Cambria"/>
          <w:color w:val="000000"/>
          <w:sz w:val="20"/>
          <w:szCs w:val="20"/>
          <w:u w:color="000000"/>
          <w:lang w:val="es-ES" w:eastAsia="es-ES"/>
        </w:rPr>
        <w:t xml:space="preserve">excluir del ámbito del recurso ciertas categorías como las de índole fácticas, la manera en que se incorporaron las pruebas al proceso y la valoración que los magistrados </w:t>
      </w:r>
      <w:r w:rsidR="00FB6C85" w:rsidRPr="00D24FED">
        <w:rPr>
          <w:rFonts w:asciiTheme="majorHAnsi" w:eastAsia="Cambria" w:hAnsiTheme="majorHAnsi" w:cs="Cambria"/>
          <w:color w:val="000000"/>
          <w:sz w:val="20"/>
          <w:szCs w:val="20"/>
          <w:u w:color="000000"/>
          <w:lang w:val="es-ES" w:eastAsia="es-ES"/>
        </w:rPr>
        <w:t xml:space="preserve">y magistradas </w:t>
      </w:r>
      <w:r w:rsidRPr="00D24FED">
        <w:rPr>
          <w:rFonts w:asciiTheme="majorHAnsi" w:eastAsia="Cambria" w:hAnsiTheme="majorHAnsi" w:cs="Cambria"/>
          <w:color w:val="000000"/>
          <w:sz w:val="20"/>
          <w:szCs w:val="20"/>
          <w:u w:color="000000"/>
          <w:lang w:val="es-ES" w:eastAsia="es-ES"/>
        </w:rPr>
        <w:t>de la instancia inferior hicieron de ellas. La forma y los medios a través de los cuales se realice la revisión dependerán de la naturaleza de las cuestiones en debate, así como de las particularidades del sistema procesal penal de los respectivos Estados</w:t>
      </w:r>
      <w:r w:rsidRPr="00D24FED">
        <w:rPr>
          <w:rFonts w:asciiTheme="majorHAnsi" w:eastAsia="Cambria" w:hAnsiTheme="majorHAnsi" w:cs="Cambria"/>
          <w:color w:val="000000"/>
          <w:sz w:val="20"/>
          <w:szCs w:val="20"/>
          <w:u w:color="000000"/>
          <w:vertAlign w:val="superscript"/>
          <w:lang w:val="es-ES" w:eastAsia="es-ES"/>
        </w:rPr>
        <w:footnoteReference w:id="26"/>
      </w:r>
      <w:r w:rsidRPr="00D24FED">
        <w:rPr>
          <w:rFonts w:asciiTheme="majorHAnsi" w:eastAsia="Cambria" w:hAnsiTheme="majorHAnsi" w:cs="Cambria"/>
          <w:color w:val="000000"/>
          <w:sz w:val="20"/>
          <w:szCs w:val="20"/>
          <w:u w:color="000000"/>
          <w:lang w:val="es-ES" w:eastAsia="es-ES"/>
        </w:rPr>
        <w:t xml:space="preserve">. </w:t>
      </w:r>
    </w:p>
    <w:p w14:paraId="3C2B76FB" w14:textId="77777777" w:rsidR="000E3665" w:rsidRPr="00D24FED" w:rsidRDefault="000E3665" w:rsidP="000E366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720"/>
        <w:contextualSpacing/>
        <w:jc w:val="both"/>
        <w:rPr>
          <w:rFonts w:asciiTheme="majorHAnsi" w:eastAsia="Cambria" w:hAnsiTheme="majorHAnsi" w:cs="Cambria"/>
          <w:color w:val="000000"/>
          <w:sz w:val="20"/>
          <w:szCs w:val="20"/>
          <w:u w:color="000000"/>
          <w:lang w:val="es-ES" w:eastAsia="es-ES"/>
        </w:rPr>
      </w:pPr>
    </w:p>
    <w:p w14:paraId="647A3965" w14:textId="77588421" w:rsidR="00FE5DF9" w:rsidRPr="00D24FED" w:rsidRDefault="00FE5DF9" w:rsidP="008B39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D24FED">
        <w:rPr>
          <w:rFonts w:asciiTheme="majorHAnsi" w:hAnsiTheme="majorHAnsi"/>
          <w:sz w:val="20"/>
          <w:szCs w:val="20"/>
          <w:lang w:val="es-AR"/>
        </w:rPr>
        <w:t xml:space="preserve">Con base en las citadas consideraciones, en el presente asunto la Comisión observa que </w:t>
      </w:r>
      <w:r w:rsidRPr="00D24FED">
        <w:rPr>
          <w:rFonts w:asciiTheme="majorHAnsi" w:hAnsiTheme="majorHAnsi"/>
          <w:sz w:val="20"/>
          <w:szCs w:val="20"/>
          <w:lang w:val="es-ES_tradnl"/>
        </w:rPr>
        <w:t xml:space="preserve">el </w:t>
      </w:r>
      <w:r w:rsidR="000E3665" w:rsidRPr="00D24FED">
        <w:rPr>
          <w:rFonts w:asciiTheme="majorHAnsi" w:hAnsiTheme="majorHAnsi"/>
          <w:sz w:val="20"/>
          <w:szCs w:val="20"/>
          <w:lang w:val="es-AR"/>
        </w:rPr>
        <w:t>14 de noviembre de 2006 el Tribunal del Segundo Circuito Judicial de la Zona Atlántica</w:t>
      </w:r>
      <w:r w:rsidRPr="00D24FED">
        <w:rPr>
          <w:rFonts w:asciiTheme="majorHAnsi" w:hAnsiTheme="majorHAnsi"/>
          <w:sz w:val="20"/>
          <w:szCs w:val="20"/>
          <w:lang w:val="es-ES_tradnl"/>
        </w:rPr>
        <w:t xml:space="preserve"> condenó a</w:t>
      </w:r>
      <w:r w:rsidR="0036392E" w:rsidRPr="00D24FED">
        <w:rPr>
          <w:rFonts w:asciiTheme="majorHAnsi" w:hAnsiTheme="majorHAnsi"/>
          <w:sz w:val="20"/>
          <w:szCs w:val="20"/>
          <w:lang w:val="es-ES_tradnl"/>
        </w:rPr>
        <w:t xml:space="preserve"> </w:t>
      </w:r>
      <w:r w:rsidRPr="00D24FED">
        <w:rPr>
          <w:rFonts w:asciiTheme="majorHAnsi" w:hAnsiTheme="majorHAnsi"/>
          <w:sz w:val="20"/>
          <w:szCs w:val="20"/>
          <w:lang w:val="es-ES_tradnl"/>
        </w:rPr>
        <w:t>l</w:t>
      </w:r>
      <w:r w:rsidR="0036392E" w:rsidRPr="00D24FED">
        <w:rPr>
          <w:rFonts w:asciiTheme="majorHAnsi" w:hAnsiTheme="majorHAnsi"/>
          <w:sz w:val="20"/>
          <w:szCs w:val="20"/>
          <w:lang w:val="es-ES_tradnl"/>
        </w:rPr>
        <w:t xml:space="preserve">as presuntas víctimas </w:t>
      </w:r>
      <w:r w:rsidR="008B3905" w:rsidRPr="00D24FED">
        <w:rPr>
          <w:rFonts w:asciiTheme="majorHAnsi" w:hAnsiTheme="majorHAnsi"/>
          <w:sz w:val="20"/>
          <w:szCs w:val="20"/>
          <w:lang w:val="es-ES_tradnl"/>
        </w:rPr>
        <w:t xml:space="preserve">por los delitos </w:t>
      </w:r>
      <w:r w:rsidR="008B3905" w:rsidRPr="00D24FED">
        <w:rPr>
          <w:rFonts w:asciiTheme="majorHAnsi" w:hAnsiTheme="majorHAnsi"/>
          <w:sz w:val="20"/>
          <w:szCs w:val="20"/>
          <w:lang w:val="es-AR"/>
        </w:rPr>
        <w:t xml:space="preserve">de falsedad ideológica, uso de documento falso y falsificación de documento. </w:t>
      </w:r>
      <w:r w:rsidRPr="00D24FED">
        <w:rPr>
          <w:rFonts w:asciiTheme="majorHAnsi" w:hAnsiTheme="majorHAnsi"/>
          <w:sz w:val="20"/>
          <w:szCs w:val="20"/>
          <w:lang w:val="es-AR"/>
        </w:rPr>
        <w:t xml:space="preserve">Frente a ello, </w:t>
      </w:r>
      <w:r w:rsidR="000E3665" w:rsidRPr="00D24FED">
        <w:rPr>
          <w:rFonts w:asciiTheme="majorHAnsi" w:hAnsiTheme="majorHAnsi"/>
          <w:sz w:val="20"/>
          <w:szCs w:val="20"/>
          <w:lang w:val="es-AR"/>
        </w:rPr>
        <w:t>estas</w:t>
      </w:r>
      <w:r w:rsidRPr="00D24FED">
        <w:rPr>
          <w:rFonts w:asciiTheme="majorHAnsi" w:hAnsiTheme="majorHAnsi"/>
          <w:sz w:val="20"/>
          <w:szCs w:val="20"/>
          <w:lang w:val="es-AR"/>
        </w:rPr>
        <w:t xml:space="preserve"> interpus</w:t>
      </w:r>
      <w:r w:rsidR="008B3905" w:rsidRPr="00D24FED">
        <w:rPr>
          <w:rFonts w:asciiTheme="majorHAnsi" w:hAnsiTheme="majorHAnsi"/>
          <w:sz w:val="20"/>
          <w:szCs w:val="20"/>
          <w:lang w:val="es-AR"/>
        </w:rPr>
        <w:t>ieron</w:t>
      </w:r>
      <w:r w:rsidRPr="00D24FED">
        <w:rPr>
          <w:rFonts w:asciiTheme="majorHAnsi" w:hAnsiTheme="majorHAnsi"/>
          <w:sz w:val="20"/>
          <w:szCs w:val="20"/>
          <w:lang w:val="es-AR"/>
        </w:rPr>
        <w:t xml:space="preserve"> recurso</w:t>
      </w:r>
      <w:r w:rsidR="008B3905" w:rsidRPr="00D24FED">
        <w:rPr>
          <w:rFonts w:asciiTheme="majorHAnsi" w:hAnsiTheme="majorHAnsi"/>
          <w:sz w:val="20"/>
          <w:szCs w:val="20"/>
          <w:lang w:val="es-AR"/>
        </w:rPr>
        <w:t>s</w:t>
      </w:r>
      <w:r w:rsidRPr="00D24FED">
        <w:rPr>
          <w:rFonts w:asciiTheme="majorHAnsi" w:hAnsiTheme="majorHAnsi"/>
          <w:sz w:val="20"/>
          <w:szCs w:val="20"/>
          <w:lang w:val="es-AR"/>
        </w:rPr>
        <w:t xml:space="preserve"> de casación, cuestionando tanto aspectos fácticos como jurídicos de la decisión de primera instancia. </w:t>
      </w:r>
      <w:r w:rsidR="000E3665" w:rsidRPr="00D24FED">
        <w:rPr>
          <w:rFonts w:asciiTheme="majorHAnsi" w:hAnsiTheme="majorHAnsi"/>
          <w:sz w:val="20"/>
          <w:szCs w:val="20"/>
          <w:lang w:val="es-AR"/>
        </w:rPr>
        <w:t>Sin embargo</w:t>
      </w:r>
      <w:r w:rsidRPr="00D24FED">
        <w:rPr>
          <w:rFonts w:asciiTheme="majorHAnsi" w:hAnsiTheme="majorHAnsi"/>
          <w:sz w:val="20"/>
          <w:szCs w:val="20"/>
          <w:lang w:val="es-AR"/>
        </w:rPr>
        <w:t xml:space="preserve">, </w:t>
      </w:r>
      <w:r w:rsidRPr="00D24FED">
        <w:rPr>
          <w:rFonts w:asciiTheme="majorHAnsi" w:hAnsiTheme="majorHAnsi"/>
          <w:sz w:val="20"/>
          <w:szCs w:val="20"/>
          <w:lang w:val="es-US"/>
        </w:rPr>
        <w:t xml:space="preserve">el </w:t>
      </w:r>
      <w:r w:rsidR="008E5C93" w:rsidRPr="00D24FED">
        <w:rPr>
          <w:rFonts w:asciiTheme="majorHAnsi" w:hAnsiTheme="majorHAnsi"/>
          <w:sz w:val="20"/>
          <w:szCs w:val="20"/>
          <w:lang w:val="es-AR"/>
        </w:rPr>
        <w:t>16 de octubre de 2009 la Sala Tercera de la Corte Suprema de Justicia</w:t>
      </w:r>
      <w:r w:rsidRPr="00D24FED">
        <w:rPr>
          <w:rFonts w:asciiTheme="majorHAnsi" w:hAnsiTheme="majorHAnsi"/>
          <w:sz w:val="20"/>
          <w:szCs w:val="20"/>
          <w:lang w:val="es-AR"/>
        </w:rPr>
        <w:t xml:space="preserve"> desestimó la citada acción.</w:t>
      </w:r>
    </w:p>
    <w:p w14:paraId="6352BBF5" w14:textId="2F12B84C" w:rsidR="008E5C93" w:rsidRPr="00D24FED" w:rsidRDefault="00FE5DF9" w:rsidP="000E3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D24FED">
        <w:rPr>
          <w:rFonts w:asciiTheme="majorHAnsi" w:hAnsiTheme="majorHAnsi"/>
          <w:sz w:val="20"/>
          <w:szCs w:val="20"/>
          <w:lang w:val="es-AR"/>
        </w:rPr>
        <w:t xml:space="preserve">Al respecto, a </w:t>
      </w:r>
      <w:r w:rsidRPr="00D24FED">
        <w:rPr>
          <w:rFonts w:asciiTheme="majorHAnsi" w:hAnsiTheme="majorHAnsi"/>
          <w:sz w:val="20"/>
          <w:szCs w:val="20"/>
          <w:lang w:val="es-ES"/>
        </w:rPr>
        <w:t xml:space="preserve">partir de la lectura del texto de esta última resolución, la Comisión </w:t>
      </w:r>
      <w:r w:rsidR="00D24FED" w:rsidRPr="00D24FED">
        <w:rPr>
          <w:rFonts w:asciiTheme="majorHAnsi" w:hAnsiTheme="majorHAnsi"/>
          <w:sz w:val="20"/>
          <w:szCs w:val="20"/>
          <w:lang w:val="es-ES"/>
        </w:rPr>
        <w:t>estima</w:t>
      </w:r>
      <w:r w:rsidRPr="00D24FED">
        <w:rPr>
          <w:rFonts w:asciiTheme="majorHAnsi" w:hAnsiTheme="majorHAnsi"/>
          <w:sz w:val="20"/>
          <w:szCs w:val="20"/>
          <w:lang w:val="es-ES"/>
        </w:rPr>
        <w:t xml:space="preserve"> que la Sala Tercera de la Corte Suprema de Justicia realizó un reexamen de la manera en que el tribunal de primera instancia valoró el plexo probatorio existente en la causa y, en respuesta a los agravios planteados por la defensa de</w:t>
      </w:r>
      <w:r w:rsidR="008E5C93" w:rsidRPr="00D24FED">
        <w:rPr>
          <w:rFonts w:asciiTheme="majorHAnsi" w:hAnsiTheme="majorHAnsi"/>
          <w:sz w:val="20"/>
          <w:szCs w:val="20"/>
          <w:lang w:val="es-ES"/>
        </w:rPr>
        <w:t xml:space="preserve"> las presuntas víctimas</w:t>
      </w:r>
      <w:r w:rsidRPr="00D24FED">
        <w:rPr>
          <w:rFonts w:asciiTheme="majorHAnsi" w:hAnsiTheme="majorHAnsi"/>
          <w:sz w:val="20"/>
          <w:szCs w:val="20"/>
          <w:lang w:val="es-ES"/>
        </w:rPr>
        <w:t xml:space="preserve">, analizó cada uno de estos y los desestimó. </w:t>
      </w:r>
      <w:r w:rsidR="008E5C93" w:rsidRPr="00D24FED">
        <w:rPr>
          <w:rFonts w:asciiTheme="majorHAnsi" w:hAnsiTheme="majorHAnsi"/>
          <w:sz w:val="20"/>
          <w:szCs w:val="20"/>
          <w:lang w:val="es-ES"/>
        </w:rPr>
        <w:t xml:space="preserve">En particular, </w:t>
      </w:r>
      <w:r w:rsidR="000E3665" w:rsidRPr="00D24FED">
        <w:rPr>
          <w:rFonts w:asciiTheme="majorHAnsi" w:hAnsiTheme="majorHAnsi"/>
          <w:sz w:val="20"/>
          <w:szCs w:val="20"/>
          <w:lang w:val="es-ES"/>
        </w:rPr>
        <w:t xml:space="preserve">la Sala Tercera verificó que era falso que se tomó como primera imputación formal la declaración que </w:t>
      </w:r>
      <w:r w:rsidR="00E31B79" w:rsidRPr="00D24FED">
        <w:rPr>
          <w:rFonts w:asciiTheme="majorHAnsi" w:hAnsiTheme="majorHAnsi"/>
          <w:sz w:val="20"/>
          <w:szCs w:val="20"/>
          <w:lang w:val="es-ES"/>
        </w:rPr>
        <w:t xml:space="preserve">efectuaron </w:t>
      </w:r>
      <w:r w:rsidR="000E3665" w:rsidRPr="00D24FED">
        <w:rPr>
          <w:rFonts w:asciiTheme="majorHAnsi" w:hAnsiTheme="majorHAnsi"/>
          <w:sz w:val="20"/>
          <w:szCs w:val="20"/>
          <w:lang w:val="es-ES"/>
        </w:rPr>
        <w:t>las presuntas víctimas sin su abogado</w:t>
      </w:r>
      <w:r w:rsidR="008E5C93" w:rsidRPr="00D24FED">
        <w:rPr>
          <w:rFonts w:asciiTheme="majorHAnsi" w:hAnsiTheme="majorHAnsi"/>
          <w:sz w:val="20"/>
          <w:szCs w:val="20"/>
          <w:lang w:val="es-ES"/>
        </w:rPr>
        <w:t xml:space="preserve"> y que</w:t>
      </w:r>
      <w:r w:rsidR="000E3665" w:rsidRPr="00D24FED">
        <w:rPr>
          <w:rFonts w:asciiTheme="majorHAnsi" w:hAnsiTheme="majorHAnsi"/>
          <w:sz w:val="20"/>
          <w:szCs w:val="20"/>
          <w:lang w:val="es-ES"/>
        </w:rPr>
        <w:t>, por el contrario,</w:t>
      </w:r>
      <w:r w:rsidR="008E5C93" w:rsidRPr="00D24FED">
        <w:rPr>
          <w:rFonts w:asciiTheme="majorHAnsi" w:hAnsiTheme="majorHAnsi"/>
          <w:sz w:val="20"/>
          <w:szCs w:val="20"/>
          <w:lang w:val="es-ES"/>
        </w:rPr>
        <w:t xml:space="preserve"> dicha diligencia se </w:t>
      </w:r>
      <w:r w:rsidR="00EF0FEC" w:rsidRPr="00D24FED">
        <w:rPr>
          <w:rFonts w:asciiTheme="majorHAnsi" w:hAnsiTheme="majorHAnsi"/>
          <w:sz w:val="20"/>
          <w:szCs w:val="20"/>
          <w:lang w:val="es-ES"/>
        </w:rPr>
        <w:t xml:space="preserve">llevó a cabo </w:t>
      </w:r>
      <w:r w:rsidR="008E5C93" w:rsidRPr="00D24FED">
        <w:rPr>
          <w:rFonts w:asciiTheme="majorHAnsi" w:hAnsiTheme="majorHAnsi"/>
          <w:sz w:val="20"/>
          <w:szCs w:val="20"/>
          <w:lang w:val="es-ES"/>
        </w:rPr>
        <w:t xml:space="preserve">cumpliendo con los requisitos establecidos en la legislación interna. </w:t>
      </w:r>
    </w:p>
    <w:p w14:paraId="04F464C6" w14:textId="09355397" w:rsidR="007F6F80" w:rsidRPr="00EC4E54" w:rsidRDefault="008E5C93" w:rsidP="00FE5D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D24FED">
        <w:rPr>
          <w:rFonts w:asciiTheme="majorHAnsi" w:hAnsiTheme="majorHAnsi"/>
          <w:sz w:val="20"/>
          <w:szCs w:val="20"/>
          <w:lang w:val="es-ES"/>
        </w:rPr>
        <w:t>Asimismo</w:t>
      </w:r>
      <w:r w:rsidR="00FE5DF9" w:rsidRPr="00D24FED">
        <w:rPr>
          <w:rFonts w:asciiTheme="majorHAnsi" w:hAnsiTheme="majorHAnsi"/>
          <w:sz w:val="20"/>
          <w:szCs w:val="20"/>
          <w:lang w:val="es-ES"/>
        </w:rPr>
        <w:t xml:space="preserve">, la Comisión aprecia que el tribunal ingresó en el análisis de </w:t>
      </w:r>
      <w:r w:rsidR="00A416E1" w:rsidRPr="00D24FED">
        <w:rPr>
          <w:rFonts w:asciiTheme="majorHAnsi" w:hAnsiTheme="majorHAnsi"/>
          <w:sz w:val="20"/>
          <w:szCs w:val="20"/>
          <w:lang w:val="es-ES"/>
        </w:rPr>
        <w:t xml:space="preserve">aspectos </w:t>
      </w:r>
      <w:r w:rsidR="00FE5DF9" w:rsidRPr="00D24FED">
        <w:rPr>
          <w:rFonts w:asciiTheme="majorHAnsi" w:hAnsiTheme="majorHAnsi"/>
          <w:sz w:val="20"/>
          <w:szCs w:val="20"/>
          <w:lang w:val="es-ES"/>
        </w:rPr>
        <w:t xml:space="preserve">relacionadas con la aplicación de la ley penal sustantiva, en lo </w:t>
      </w:r>
      <w:r w:rsidR="00F85BB5" w:rsidRPr="00D24FED">
        <w:rPr>
          <w:rFonts w:asciiTheme="majorHAnsi" w:hAnsiTheme="majorHAnsi"/>
          <w:sz w:val="20"/>
          <w:szCs w:val="20"/>
          <w:lang w:val="es-ES"/>
        </w:rPr>
        <w:t>atinente</w:t>
      </w:r>
      <w:r w:rsidR="00A072C2" w:rsidRPr="00D24FED">
        <w:rPr>
          <w:rFonts w:asciiTheme="majorHAnsi" w:hAnsiTheme="majorHAnsi"/>
          <w:sz w:val="20"/>
          <w:szCs w:val="20"/>
          <w:lang w:val="es-ES"/>
        </w:rPr>
        <w:t xml:space="preserve"> </w:t>
      </w:r>
      <w:r w:rsidR="00FE5DF9" w:rsidRPr="00D24FED">
        <w:rPr>
          <w:rFonts w:asciiTheme="majorHAnsi" w:hAnsiTheme="majorHAnsi"/>
          <w:sz w:val="20"/>
          <w:szCs w:val="20"/>
          <w:lang w:val="es-ES"/>
        </w:rPr>
        <w:t>a la subsunción de la conducta de</w:t>
      </w:r>
      <w:r w:rsidR="00150BC0" w:rsidRPr="00D24FED">
        <w:rPr>
          <w:rFonts w:asciiTheme="majorHAnsi" w:hAnsiTheme="majorHAnsi"/>
          <w:sz w:val="20"/>
          <w:szCs w:val="20"/>
          <w:lang w:val="es-ES"/>
        </w:rPr>
        <w:t xml:space="preserve"> </w:t>
      </w:r>
      <w:r w:rsidR="00FE5DF9" w:rsidRPr="00D24FED">
        <w:rPr>
          <w:rFonts w:asciiTheme="majorHAnsi" w:hAnsiTheme="majorHAnsi"/>
          <w:sz w:val="20"/>
          <w:szCs w:val="20"/>
          <w:lang w:val="es-ES"/>
        </w:rPr>
        <w:t>l</w:t>
      </w:r>
      <w:r w:rsidR="00150BC0" w:rsidRPr="00D24FED">
        <w:rPr>
          <w:rFonts w:asciiTheme="majorHAnsi" w:hAnsiTheme="majorHAnsi"/>
          <w:sz w:val="20"/>
          <w:szCs w:val="20"/>
          <w:lang w:val="es-ES"/>
        </w:rPr>
        <w:t>as</w:t>
      </w:r>
      <w:r w:rsidR="00FE5DF9" w:rsidRPr="00D24FED">
        <w:rPr>
          <w:rFonts w:asciiTheme="majorHAnsi" w:hAnsiTheme="majorHAnsi"/>
          <w:sz w:val="20"/>
          <w:szCs w:val="20"/>
          <w:lang w:val="es-ES"/>
        </w:rPr>
        <w:t xml:space="preserve"> </w:t>
      </w:r>
      <w:r w:rsidR="00150BC0" w:rsidRPr="00D24FED">
        <w:rPr>
          <w:rFonts w:asciiTheme="majorHAnsi" w:hAnsiTheme="majorHAnsi"/>
          <w:sz w:val="20"/>
          <w:szCs w:val="20"/>
          <w:lang w:val="es-ES"/>
        </w:rPr>
        <w:t>presuntas víctimas</w:t>
      </w:r>
      <w:r w:rsidR="00FE5DF9" w:rsidRPr="00D24FED">
        <w:rPr>
          <w:rFonts w:asciiTheme="majorHAnsi" w:hAnsiTheme="majorHAnsi"/>
          <w:sz w:val="20"/>
          <w:szCs w:val="20"/>
          <w:lang w:val="es-ES"/>
        </w:rPr>
        <w:t xml:space="preserve"> al tipo penal atribuido. Por ende, la Comisión considera que, </w:t>
      </w:r>
      <w:r w:rsidR="00FE5DF9" w:rsidRPr="00D24FED">
        <w:rPr>
          <w:rFonts w:asciiTheme="majorHAnsi" w:hAnsiTheme="majorHAnsi"/>
          <w:i/>
          <w:iCs/>
          <w:sz w:val="20"/>
          <w:szCs w:val="20"/>
          <w:lang w:val="es-ES"/>
        </w:rPr>
        <w:t xml:space="preserve">prima facie, </w:t>
      </w:r>
      <w:r w:rsidR="00FE5DF9" w:rsidRPr="00D24FED">
        <w:rPr>
          <w:rFonts w:asciiTheme="majorHAnsi" w:hAnsiTheme="majorHAnsi"/>
          <w:sz w:val="20"/>
          <w:szCs w:val="20"/>
          <w:lang w:val="es-ES"/>
        </w:rPr>
        <w:t xml:space="preserve">no se han presentado argumentos o pruebas que permitan identificar alguna restricción o limitación que haya evitado un análisis integral de los </w:t>
      </w:r>
      <w:r w:rsidR="00D24FED" w:rsidRPr="00D24FED">
        <w:rPr>
          <w:rFonts w:asciiTheme="majorHAnsi" w:hAnsiTheme="majorHAnsi"/>
          <w:sz w:val="20"/>
          <w:szCs w:val="20"/>
          <w:lang w:val="es-ES"/>
        </w:rPr>
        <w:t>reclamos</w:t>
      </w:r>
      <w:r w:rsidR="00FE5DF9" w:rsidRPr="00D24FED">
        <w:rPr>
          <w:rFonts w:asciiTheme="majorHAnsi" w:hAnsiTheme="majorHAnsi"/>
          <w:sz w:val="20"/>
          <w:szCs w:val="20"/>
          <w:lang w:val="es-ES"/>
        </w:rPr>
        <w:t xml:space="preserve"> planteados por </w:t>
      </w:r>
      <w:r w:rsidR="00FE30DD" w:rsidRPr="00D24FED">
        <w:rPr>
          <w:rFonts w:asciiTheme="majorHAnsi" w:hAnsiTheme="majorHAnsi"/>
          <w:sz w:val="20"/>
          <w:szCs w:val="20"/>
          <w:lang w:val="es-ES"/>
        </w:rPr>
        <w:t xml:space="preserve">las presuntas víctimas </w:t>
      </w:r>
      <w:r w:rsidR="00FE5DF9" w:rsidRPr="00D24FED">
        <w:rPr>
          <w:rFonts w:asciiTheme="majorHAnsi" w:hAnsiTheme="majorHAnsi"/>
          <w:sz w:val="20"/>
          <w:szCs w:val="20"/>
          <w:lang w:val="es-ES"/>
        </w:rPr>
        <w:t>contra su</w:t>
      </w:r>
      <w:r w:rsidR="00150BC0" w:rsidRPr="00D24FED">
        <w:rPr>
          <w:rFonts w:asciiTheme="majorHAnsi" w:hAnsiTheme="majorHAnsi"/>
          <w:sz w:val="20"/>
          <w:szCs w:val="20"/>
          <w:lang w:val="es-ES"/>
        </w:rPr>
        <w:t xml:space="preserve">s condenas </w:t>
      </w:r>
      <w:r w:rsidR="00FE5DF9" w:rsidRPr="00D24FED">
        <w:rPr>
          <w:rFonts w:asciiTheme="majorHAnsi" w:hAnsiTheme="majorHAnsi"/>
          <w:sz w:val="20"/>
          <w:szCs w:val="20"/>
          <w:lang w:val="es-ES"/>
        </w:rPr>
        <w:t xml:space="preserve">de primera instancia. </w:t>
      </w:r>
      <w:r w:rsidR="00FE5DF9" w:rsidRPr="00D24FED">
        <w:rPr>
          <w:rFonts w:asciiTheme="majorHAnsi" w:hAnsiTheme="majorHAnsi"/>
          <w:sz w:val="20"/>
          <w:szCs w:val="20"/>
          <w:lang w:val="es-AR"/>
        </w:rPr>
        <w:t xml:space="preserve">Por consiguiente, </w:t>
      </w:r>
      <w:r w:rsidR="00FE5DF9" w:rsidRPr="00D24FED">
        <w:rPr>
          <w:rFonts w:asciiTheme="majorHAnsi" w:hAnsiTheme="majorHAnsi"/>
          <w:sz w:val="20"/>
          <w:szCs w:val="20"/>
          <w:lang w:val="es-ES"/>
        </w:rPr>
        <w:t xml:space="preserve">la CIDH concluye que, </w:t>
      </w:r>
      <w:r w:rsidR="00FE5DF9" w:rsidRPr="00D24FED">
        <w:rPr>
          <w:rFonts w:asciiTheme="majorHAnsi" w:hAnsiTheme="majorHAnsi"/>
          <w:i/>
          <w:iCs/>
          <w:sz w:val="20"/>
          <w:szCs w:val="20"/>
          <w:lang w:val="es-ES"/>
        </w:rPr>
        <w:t xml:space="preserve">prima facie, </w:t>
      </w:r>
      <w:r w:rsidR="00FE5DF9" w:rsidRPr="00D24FED">
        <w:rPr>
          <w:rFonts w:asciiTheme="majorHAnsi" w:hAnsiTheme="majorHAnsi"/>
          <w:sz w:val="20"/>
          <w:szCs w:val="20"/>
          <w:lang w:val="es-ES"/>
        </w:rPr>
        <w:t>no se han aportado elementos que permitan identificar una posible vulneración al derecho contemplado en el artículo 8.2.h) de la Convención.</w:t>
      </w:r>
    </w:p>
    <w:p w14:paraId="4F87DFB9" w14:textId="77777777" w:rsidR="00EC4E54" w:rsidRDefault="00EC4E54" w:rsidP="00EC4E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247B732B" w14:textId="77777777" w:rsidR="00EC4E54" w:rsidRPr="00D24FED" w:rsidRDefault="00EC4E54" w:rsidP="00EC4E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p>
    <w:p w14:paraId="378F2698" w14:textId="5CA95D38" w:rsidR="00C27964" w:rsidRPr="00D24FED" w:rsidRDefault="00975524" w:rsidP="009755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D24FED">
        <w:rPr>
          <w:rFonts w:asciiTheme="majorHAnsi" w:hAnsiTheme="majorHAnsi"/>
          <w:b/>
          <w:bCs/>
          <w:sz w:val="20"/>
          <w:szCs w:val="20"/>
          <w:lang w:val="es-ES"/>
        </w:rPr>
        <w:lastRenderedPageBreak/>
        <w:t>IX</w:t>
      </w:r>
      <w:r w:rsidR="003239B8" w:rsidRPr="00D24FED">
        <w:rPr>
          <w:rFonts w:asciiTheme="majorHAnsi" w:hAnsiTheme="majorHAnsi"/>
          <w:b/>
          <w:bCs/>
          <w:sz w:val="20"/>
          <w:szCs w:val="20"/>
          <w:lang w:val="es-ES"/>
        </w:rPr>
        <w:t xml:space="preserve">. </w:t>
      </w:r>
      <w:r w:rsidR="003239B8" w:rsidRPr="00D24FED">
        <w:rPr>
          <w:rFonts w:asciiTheme="majorHAnsi" w:hAnsiTheme="majorHAnsi"/>
          <w:b/>
          <w:bCs/>
          <w:sz w:val="20"/>
          <w:szCs w:val="20"/>
          <w:lang w:val="es-ES"/>
        </w:rPr>
        <w:tab/>
        <w:t>DECISIÓN</w:t>
      </w:r>
    </w:p>
    <w:p w14:paraId="570DA61C" w14:textId="6A55D282" w:rsidR="000419AD" w:rsidRPr="00D24FED" w:rsidRDefault="000419AD" w:rsidP="000419AD">
      <w:pPr>
        <w:pStyle w:val="ListParagraph"/>
        <w:numPr>
          <w:ilvl w:val="0"/>
          <w:numId w:val="109"/>
        </w:numPr>
        <w:rPr>
          <w:rFonts w:asciiTheme="majorHAnsi" w:eastAsia="Arial Unicode MS" w:hAnsiTheme="majorHAnsi" w:cs="Times New Roman"/>
          <w:color w:val="auto"/>
          <w:sz w:val="20"/>
          <w:szCs w:val="20"/>
          <w:lang w:val="es-ES" w:eastAsia="en-US"/>
        </w:rPr>
      </w:pPr>
      <w:r w:rsidRPr="00D24FED">
        <w:rPr>
          <w:rFonts w:asciiTheme="majorHAnsi" w:eastAsia="Arial Unicode MS" w:hAnsiTheme="majorHAnsi" w:cs="Times New Roman"/>
          <w:color w:val="auto"/>
          <w:sz w:val="20"/>
          <w:szCs w:val="20"/>
          <w:lang w:val="es-ES" w:eastAsia="en-US"/>
        </w:rPr>
        <w:t>Declarar inadmisible la presente petición</w:t>
      </w:r>
      <w:r w:rsidR="00A758AA" w:rsidRPr="00D24FED">
        <w:rPr>
          <w:rFonts w:asciiTheme="majorHAnsi" w:eastAsia="Arial Unicode MS" w:hAnsiTheme="majorHAnsi" w:cs="Times New Roman"/>
          <w:color w:val="auto"/>
          <w:sz w:val="20"/>
          <w:szCs w:val="20"/>
          <w:lang w:val="es-ES" w:eastAsia="en-US"/>
        </w:rPr>
        <w:t>;</w:t>
      </w:r>
      <w:r w:rsidR="004A6A54" w:rsidRPr="00D24FED">
        <w:rPr>
          <w:rFonts w:asciiTheme="majorHAnsi" w:eastAsia="Arial Unicode MS" w:hAnsiTheme="majorHAnsi" w:cs="Times New Roman"/>
          <w:color w:val="auto"/>
          <w:sz w:val="20"/>
          <w:szCs w:val="20"/>
          <w:lang w:val="es-ES" w:eastAsia="en-US"/>
        </w:rPr>
        <w:t xml:space="preserve"> y</w:t>
      </w:r>
    </w:p>
    <w:p w14:paraId="41AA5BF6" w14:textId="77777777" w:rsidR="000419AD" w:rsidRPr="00D24FED" w:rsidRDefault="000419AD" w:rsidP="000419AD">
      <w:pPr>
        <w:pStyle w:val="ListParagraph"/>
        <w:rPr>
          <w:rFonts w:asciiTheme="majorHAnsi" w:eastAsia="Arial Unicode MS" w:hAnsiTheme="majorHAnsi" w:cs="Times New Roman"/>
          <w:color w:val="auto"/>
          <w:sz w:val="20"/>
          <w:szCs w:val="20"/>
          <w:lang w:val="es-ES" w:eastAsia="en-US"/>
        </w:rPr>
      </w:pPr>
    </w:p>
    <w:p w14:paraId="6AC80CA6" w14:textId="46B1EE5A"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24FED">
        <w:rPr>
          <w:rFonts w:asciiTheme="majorHAnsi" w:hAnsiTheme="majorHAnsi"/>
          <w:sz w:val="20"/>
          <w:szCs w:val="20"/>
          <w:lang w:val="es-ES"/>
        </w:rPr>
        <w:t>Notificar a las partes la presente decisión; y publicar esta decisión e incluirla en su Informe Anual a la Asamblea General de la Organiza</w:t>
      </w:r>
      <w:r w:rsidRPr="009B7794">
        <w:rPr>
          <w:rFonts w:asciiTheme="majorHAnsi" w:hAnsiTheme="majorHAnsi"/>
          <w:sz w:val="20"/>
          <w:szCs w:val="20"/>
          <w:lang w:val="es-ES"/>
        </w:rPr>
        <w:t>ción de los Estados Americanos.</w:t>
      </w:r>
    </w:p>
    <w:p w14:paraId="6276FAAF" w14:textId="382B40E7" w:rsidR="00781BC8" w:rsidRPr="00132805" w:rsidRDefault="00AE6BF9" w:rsidP="0013280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D770A9">
        <w:rPr>
          <w:rStyle w:val="normaltextrun"/>
          <w:rFonts w:ascii="Cambria" w:hAnsi="Cambria" w:cs="Segoe UI"/>
          <w:sz w:val="20"/>
          <w:szCs w:val="20"/>
          <w:lang w:val="es-CL"/>
        </w:rPr>
        <w:t>3</w:t>
      </w:r>
      <w:r>
        <w:rPr>
          <w:rStyle w:val="normaltextrun"/>
          <w:rFonts w:ascii="Cambria" w:hAnsi="Cambria" w:cs="Segoe UI"/>
          <w:sz w:val="20"/>
          <w:szCs w:val="20"/>
          <w:lang w:val="es-CL"/>
        </w:rPr>
        <w:t xml:space="preserve"> días del mes de </w:t>
      </w:r>
      <w:r w:rsidR="00D770A9">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 y Andrea Pochak, </w:t>
      </w:r>
      <w:r w:rsidR="0013280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781BC8" w:rsidRPr="0013280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1B46" w14:textId="77777777" w:rsidR="009D379B" w:rsidRDefault="009D379B">
      <w:r>
        <w:separator/>
      </w:r>
    </w:p>
  </w:endnote>
  <w:endnote w:type="continuationSeparator" w:id="0">
    <w:p w14:paraId="52ABEA36" w14:textId="77777777" w:rsidR="009D379B" w:rsidRDefault="009D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B879" w14:textId="77777777" w:rsidR="009D379B" w:rsidRPr="000F35ED" w:rsidRDefault="009D379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14EFC4" w14:textId="77777777" w:rsidR="009D379B" w:rsidRPr="000F35ED" w:rsidRDefault="009D379B" w:rsidP="000F35ED">
      <w:pPr>
        <w:rPr>
          <w:rFonts w:asciiTheme="majorHAnsi" w:hAnsiTheme="majorHAnsi"/>
          <w:sz w:val="16"/>
          <w:szCs w:val="16"/>
        </w:rPr>
      </w:pPr>
      <w:r w:rsidRPr="000F35ED">
        <w:rPr>
          <w:rFonts w:asciiTheme="majorHAnsi" w:hAnsiTheme="majorHAnsi"/>
          <w:sz w:val="16"/>
          <w:szCs w:val="16"/>
        </w:rPr>
        <w:separator/>
      </w:r>
    </w:p>
    <w:p w14:paraId="113F2752" w14:textId="77777777" w:rsidR="009D379B" w:rsidRPr="000F35ED" w:rsidRDefault="009D379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B8F9095" w14:textId="77777777" w:rsidR="009D379B" w:rsidRPr="000F35ED" w:rsidRDefault="009D379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6D5A993E" w:rsidR="0061609D" w:rsidRPr="003869C2" w:rsidRDefault="0061609D" w:rsidP="00930F4A">
      <w:pPr>
        <w:pStyle w:val="FootnoteText"/>
        <w:ind w:firstLine="720"/>
        <w:jc w:val="both"/>
        <w:rPr>
          <w:rFonts w:asciiTheme="majorHAnsi" w:hAnsiTheme="majorHAnsi"/>
          <w:sz w:val="16"/>
          <w:szCs w:val="16"/>
          <w:lang w:val="es-US"/>
        </w:rPr>
      </w:pPr>
      <w:r w:rsidRPr="003869C2">
        <w:rPr>
          <w:rStyle w:val="FootnoteReference"/>
          <w:rFonts w:asciiTheme="majorHAnsi" w:hAnsiTheme="majorHAnsi"/>
          <w:sz w:val="16"/>
          <w:szCs w:val="16"/>
        </w:rPr>
        <w:footnoteRef/>
      </w:r>
      <w:r w:rsidRPr="003869C2">
        <w:rPr>
          <w:rFonts w:asciiTheme="majorHAnsi" w:hAnsiTheme="majorHAnsi"/>
          <w:sz w:val="16"/>
          <w:szCs w:val="16"/>
          <w:lang w:val="es-US"/>
        </w:rPr>
        <w:t xml:space="preserve"> En adelante, “la Convención Americana” o “la Convención”</w:t>
      </w:r>
      <w:r w:rsidR="00353CF5">
        <w:rPr>
          <w:rFonts w:asciiTheme="majorHAnsi" w:hAnsiTheme="majorHAnsi"/>
          <w:sz w:val="16"/>
          <w:szCs w:val="16"/>
          <w:lang w:val="es-US"/>
        </w:rPr>
        <w:t>.</w:t>
      </w:r>
    </w:p>
  </w:footnote>
  <w:footnote w:id="3">
    <w:p w14:paraId="79F07139" w14:textId="77777777" w:rsidR="008E3BFE" w:rsidRPr="003869C2" w:rsidRDefault="008E3BFE" w:rsidP="00930F4A">
      <w:pPr>
        <w:pStyle w:val="FootnoteText"/>
        <w:spacing w:after="120"/>
        <w:ind w:firstLine="720"/>
        <w:jc w:val="both"/>
        <w:rPr>
          <w:rFonts w:asciiTheme="majorHAnsi" w:hAnsiTheme="majorHAnsi"/>
          <w:sz w:val="16"/>
          <w:szCs w:val="16"/>
          <w:lang w:val="es-ES"/>
        </w:rPr>
      </w:pPr>
      <w:r w:rsidRPr="003869C2">
        <w:rPr>
          <w:rStyle w:val="FootnoteReference"/>
          <w:rFonts w:asciiTheme="majorHAnsi" w:hAnsiTheme="majorHAnsi"/>
          <w:sz w:val="16"/>
          <w:szCs w:val="16"/>
        </w:rPr>
        <w:footnoteRef/>
      </w:r>
      <w:r w:rsidRPr="003869C2">
        <w:rPr>
          <w:rFonts w:asciiTheme="majorHAnsi" w:hAnsiTheme="majorHAnsi"/>
          <w:sz w:val="16"/>
          <w:szCs w:val="16"/>
          <w:lang w:val="es-ES"/>
        </w:rPr>
        <w:t xml:space="preserve"> Las observaciones de cada parte fueron debidamente trasladadas a la parte contraria.</w:t>
      </w:r>
    </w:p>
  </w:footnote>
  <w:footnote w:id="4">
    <w:p w14:paraId="62C3843A" w14:textId="77777777" w:rsidR="00E71CBC" w:rsidRPr="003869C2" w:rsidRDefault="00E71CBC" w:rsidP="00930F4A">
      <w:pPr>
        <w:pStyle w:val="FootnoteText"/>
        <w:ind w:firstLine="720"/>
        <w:jc w:val="both"/>
        <w:rPr>
          <w:rFonts w:asciiTheme="majorHAnsi" w:hAnsiTheme="majorHAnsi"/>
          <w:sz w:val="16"/>
          <w:szCs w:val="16"/>
          <w:lang w:val="es-PE"/>
        </w:rPr>
      </w:pPr>
      <w:r w:rsidRPr="003869C2">
        <w:rPr>
          <w:rStyle w:val="FootnoteReference"/>
          <w:rFonts w:asciiTheme="majorHAnsi" w:hAnsiTheme="majorHAnsi"/>
          <w:sz w:val="16"/>
          <w:szCs w:val="16"/>
          <w:lang w:val="es-PE"/>
        </w:rPr>
        <w:footnoteRef/>
      </w:r>
      <w:r w:rsidRPr="003869C2">
        <w:rPr>
          <w:rFonts w:asciiTheme="majorHAnsi" w:hAnsiTheme="majorHAnsi"/>
          <w:sz w:val="16"/>
          <w:szCs w:val="16"/>
          <w:lang w:val="es-PE"/>
        </w:rPr>
        <w:t xml:space="preserve"> Ley N. º 8503.- Transitorio 1.- Las personas condenadas por un hecho delictivo con fecha anterior a esta Ley, a quienes se les haya obstaculizado formular recurso de casación contra la sentencia, en razón de las reglas que regulaban su admisibilidad en aquella fecha, podrán plantear la revisión de la sentencia ante el tribunal competente, invocando en cada caso, el agravio y los aspectos de hecho y de derecho que no fueron posibles de conocer en casación. </w:t>
      </w:r>
    </w:p>
  </w:footnote>
  <w:footnote w:id="5">
    <w:p w14:paraId="01B497CA" w14:textId="77777777" w:rsidR="00E71CBC" w:rsidRPr="003869C2" w:rsidRDefault="00E71CBC" w:rsidP="00930F4A">
      <w:pPr>
        <w:ind w:firstLine="720"/>
        <w:jc w:val="both"/>
        <w:rPr>
          <w:rFonts w:asciiTheme="majorHAnsi" w:eastAsia="Calibri" w:hAnsiTheme="majorHAnsi" w:cs="Calibri"/>
          <w:color w:val="000000"/>
          <w:sz w:val="16"/>
          <w:szCs w:val="16"/>
          <w:u w:color="000000"/>
          <w:lang w:val="es-US" w:eastAsia="es-ES"/>
        </w:rPr>
      </w:pPr>
      <w:r w:rsidRPr="003869C2">
        <w:rPr>
          <w:rStyle w:val="FootnoteReference"/>
          <w:rFonts w:asciiTheme="majorHAnsi" w:hAnsiTheme="majorHAnsi"/>
          <w:sz w:val="16"/>
          <w:szCs w:val="16"/>
        </w:rPr>
        <w:footnoteRef/>
      </w:r>
      <w:r w:rsidRPr="003869C2">
        <w:rPr>
          <w:rFonts w:asciiTheme="majorHAnsi" w:hAnsiTheme="majorHAnsi"/>
          <w:sz w:val="16"/>
          <w:szCs w:val="16"/>
          <w:lang w:val="es-US"/>
        </w:rPr>
        <w:t xml:space="preserve"> Ley N.º 8837.- Transitorio III.-</w:t>
      </w:r>
      <w:r w:rsidRPr="003869C2">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8.2.h)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p>
  </w:footnote>
  <w:footnote w:id="6">
    <w:p w14:paraId="184AC8CA" w14:textId="77777777" w:rsidR="00B80608" w:rsidRPr="00EA3787" w:rsidRDefault="00B80608" w:rsidP="00B80608">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7">
    <w:p w14:paraId="0805B9F7" w14:textId="2A3AC5D5" w:rsidR="00B80608" w:rsidRPr="004D0E62" w:rsidRDefault="00B80608" w:rsidP="00B80608">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w:t>
      </w:r>
      <w:r w:rsidR="006362A7">
        <w:rPr>
          <w:rFonts w:asciiTheme="majorHAnsi" w:hAnsiTheme="majorHAnsi"/>
          <w:sz w:val="16"/>
          <w:szCs w:val="16"/>
          <w:lang w:val="pt-BR"/>
        </w:rPr>
        <w:t>,</w:t>
      </w:r>
      <w:r w:rsidRPr="00EA3787">
        <w:rPr>
          <w:rFonts w:asciiTheme="majorHAnsi" w:hAnsiTheme="majorHAnsi"/>
          <w:sz w:val="16"/>
          <w:szCs w:val="16"/>
          <w:lang w:val="pt-BR"/>
        </w:rPr>
        <w:t xml:space="preserve"> Caso Herrera Ulloa Vs. </w:t>
      </w:r>
      <w:r w:rsidRPr="00EA3787">
        <w:rPr>
          <w:rFonts w:asciiTheme="majorHAnsi" w:hAnsiTheme="majorHAnsi"/>
          <w:sz w:val="16"/>
          <w:szCs w:val="16"/>
          <w:lang w:val="es-US"/>
        </w:rPr>
        <w:t>Costa Rica</w:t>
      </w:r>
      <w:r w:rsidR="006362A7">
        <w:rPr>
          <w:rFonts w:asciiTheme="majorHAnsi" w:hAnsiTheme="majorHAnsi"/>
          <w:sz w:val="16"/>
          <w:szCs w:val="16"/>
          <w:lang w:val="es-US"/>
        </w:rPr>
        <w:t>,</w:t>
      </w:r>
      <w:r w:rsidRPr="00EA3787">
        <w:rPr>
          <w:rFonts w:asciiTheme="majorHAnsi" w:hAnsiTheme="majorHAnsi"/>
          <w:sz w:val="16"/>
          <w:szCs w:val="16"/>
          <w:lang w:val="es-US"/>
        </w:rPr>
        <w:t xml:space="preserve"> Excepciones Preliminares, Fondo, Reparaciones y Costas</w:t>
      </w:r>
      <w:r w:rsidR="006362A7">
        <w:rPr>
          <w:rFonts w:asciiTheme="majorHAnsi" w:hAnsiTheme="majorHAnsi"/>
          <w:sz w:val="16"/>
          <w:szCs w:val="16"/>
          <w:lang w:val="es-US"/>
        </w:rPr>
        <w:t>,</w:t>
      </w:r>
      <w:r w:rsidRPr="00EA3787">
        <w:rPr>
          <w:rFonts w:asciiTheme="majorHAnsi" w:hAnsiTheme="majorHAnsi"/>
          <w:sz w:val="16"/>
          <w:szCs w:val="16"/>
          <w:lang w:val="es-US"/>
        </w:rPr>
        <w:t xml:space="preserve"> </w:t>
      </w:r>
      <w:r w:rsidRPr="004D0E62">
        <w:rPr>
          <w:rFonts w:asciiTheme="majorHAnsi" w:hAnsiTheme="majorHAnsi"/>
          <w:sz w:val="16"/>
          <w:szCs w:val="16"/>
          <w:lang w:val="es-US"/>
        </w:rPr>
        <w:t>Sentencia de</w:t>
      </w:r>
      <w:r w:rsidR="006362A7">
        <w:rPr>
          <w:rFonts w:asciiTheme="majorHAnsi" w:hAnsiTheme="majorHAnsi"/>
          <w:sz w:val="16"/>
          <w:szCs w:val="16"/>
          <w:lang w:val="es-US"/>
        </w:rPr>
        <w:t>l</w:t>
      </w:r>
      <w:r w:rsidRPr="004D0E62">
        <w:rPr>
          <w:rFonts w:asciiTheme="majorHAnsi" w:hAnsiTheme="majorHAnsi"/>
          <w:sz w:val="16"/>
          <w:szCs w:val="16"/>
          <w:lang w:val="es-US"/>
        </w:rPr>
        <w:t xml:space="preserve"> 2 de julio de 2004</w:t>
      </w:r>
      <w:r w:rsidR="006362A7">
        <w:rPr>
          <w:rFonts w:asciiTheme="majorHAnsi" w:hAnsiTheme="majorHAnsi"/>
          <w:sz w:val="16"/>
          <w:szCs w:val="16"/>
          <w:lang w:val="es-US"/>
        </w:rPr>
        <w:t>,</w:t>
      </w:r>
      <w:r w:rsidRPr="004D0E62">
        <w:rPr>
          <w:rFonts w:asciiTheme="majorHAnsi" w:hAnsiTheme="majorHAnsi"/>
          <w:sz w:val="16"/>
          <w:szCs w:val="16"/>
          <w:lang w:val="es-US"/>
        </w:rPr>
        <w:t xml:space="preserve"> Serie C No. 107, párr. 167. </w:t>
      </w:r>
    </w:p>
  </w:footnote>
  <w:footnote w:id="8">
    <w:p w14:paraId="5EBBDE45" w14:textId="44470578" w:rsidR="00B80608" w:rsidRPr="008A508D" w:rsidRDefault="00B80608" w:rsidP="00B80608">
      <w:pPr>
        <w:pStyle w:val="FootnoteText"/>
        <w:ind w:firstLine="720"/>
        <w:jc w:val="both"/>
        <w:rPr>
          <w:lang w:val="es-US"/>
        </w:rPr>
      </w:pPr>
      <w:r w:rsidRPr="004D0E62">
        <w:rPr>
          <w:rStyle w:val="FootnoteReference"/>
          <w:rFonts w:asciiTheme="majorHAnsi" w:hAnsiTheme="majorHAnsi"/>
          <w:sz w:val="16"/>
          <w:szCs w:val="16"/>
        </w:rPr>
        <w:footnoteRef/>
      </w:r>
      <w:r w:rsidRPr="00B80608">
        <w:rPr>
          <w:rFonts w:asciiTheme="majorHAnsi" w:hAnsiTheme="majorHAnsi"/>
          <w:sz w:val="16"/>
          <w:szCs w:val="16"/>
          <w:lang w:val="es-PE"/>
        </w:rPr>
        <w:t xml:space="preserve"> Corte IDH</w:t>
      </w:r>
      <w:r w:rsidR="006362A7">
        <w:rPr>
          <w:rFonts w:asciiTheme="majorHAnsi" w:hAnsiTheme="majorHAnsi"/>
          <w:sz w:val="16"/>
          <w:szCs w:val="16"/>
          <w:lang w:val="es-PE"/>
        </w:rPr>
        <w:t>,</w:t>
      </w:r>
      <w:r w:rsidRPr="00B80608">
        <w:rPr>
          <w:rFonts w:asciiTheme="majorHAnsi" w:hAnsiTheme="majorHAnsi"/>
          <w:sz w:val="16"/>
          <w:szCs w:val="16"/>
          <w:lang w:val="es-PE"/>
        </w:rPr>
        <w:t xml:space="preserve"> Caso Herrera Ulloa Vs. </w:t>
      </w:r>
      <w:r w:rsidRPr="004D0E62">
        <w:rPr>
          <w:rFonts w:asciiTheme="majorHAnsi" w:hAnsiTheme="majorHAnsi"/>
          <w:sz w:val="16"/>
          <w:szCs w:val="16"/>
          <w:lang w:val="es-US"/>
        </w:rPr>
        <w:t>Costa Rica</w:t>
      </w:r>
      <w:r w:rsidR="006362A7">
        <w:rPr>
          <w:rFonts w:asciiTheme="majorHAnsi" w:hAnsiTheme="majorHAnsi"/>
          <w:sz w:val="16"/>
          <w:szCs w:val="16"/>
          <w:lang w:val="es-US"/>
        </w:rPr>
        <w:t>,</w:t>
      </w:r>
      <w:r w:rsidRPr="004D0E62">
        <w:rPr>
          <w:rFonts w:asciiTheme="majorHAnsi" w:hAnsiTheme="majorHAnsi"/>
          <w:sz w:val="16"/>
          <w:szCs w:val="16"/>
          <w:lang w:val="es-US"/>
        </w:rPr>
        <w:t xml:space="preserve"> Excepciones Preliminares, Fondo, Reparaciones y Costas.</w:t>
      </w:r>
      <w:r w:rsidR="006362A7">
        <w:rPr>
          <w:rFonts w:asciiTheme="majorHAnsi" w:hAnsiTheme="majorHAnsi"/>
          <w:sz w:val="16"/>
          <w:szCs w:val="16"/>
          <w:lang w:val="es-US"/>
        </w:rPr>
        <w:t>,</w:t>
      </w:r>
      <w:r w:rsidRPr="004D0E62">
        <w:rPr>
          <w:rFonts w:asciiTheme="majorHAnsi" w:hAnsiTheme="majorHAnsi"/>
          <w:sz w:val="16"/>
          <w:szCs w:val="16"/>
          <w:lang w:val="es-US"/>
        </w:rPr>
        <w:t xml:space="preserve"> </w:t>
      </w:r>
      <w:r w:rsidRPr="003869D1">
        <w:rPr>
          <w:rFonts w:asciiTheme="majorHAnsi" w:hAnsiTheme="majorHAnsi"/>
          <w:sz w:val="16"/>
          <w:szCs w:val="16"/>
          <w:lang w:val="es-ES"/>
        </w:rPr>
        <w:t>Sentencia de</w:t>
      </w:r>
      <w:r w:rsidR="006362A7">
        <w:rPr>
          <w:rFonts w:asciiTheme="majorHAnsi" w:hAnsiTheme="majorHAnsi"/>
          <w:sz w:val="16"/>
          <w:szCs w:val="16"/>
          <w:lang w:val="es-ES"/>
        </w:rPr>
        <w:t>l</w:t>
      </w:r>
      <w:r w:rsidRPr="003869D1">
        <w:rPr>
          <w:rFonts w:asciiTheme="majorHAnsi" w:hAnsiTheme="majorHAnsi"/>
          <w:sz w:val="16"/>
          <w:szCs w:val="16"/>
          <w:lang w:val="es-ES"/>
        </w:rPr>
        <w:t xml:space="preserve"> 2 de julio de 2004</w:t>
      </w:r>
      <w:r w:rsidR="006362A7">
        <w:rPr>
          <w:rFonts w:asciiTheme="majorHAnsi" w:hAnsiTheme="majorHAnsi"/>
          <w:sz w:val="16"/>
          <w:szCs w:val="16"/>
          <w:lang w:val="es-ES"/>
        </w:rPr>
        <w:t>,</w:t>
      </w:r>
      <w:r w:rsidRPr="003869D1">
        <w:rPr>
          <w:rFonts w:asciiTheme="majorHAnsi" w:hAnsiTheme="majorHAnsi"/>
          <w:sz w:val="16"/>
          <w:szCs w:val="16"/>
          <w:lang w:val="es-ES"/>
        </w:rPr>
        <w:t xml:space="preserve"> Serie C No. 107, párr. 198.</w:t>
      </w:r>
    </w:p>
  </w:footnote>
  <w:footnote w:id="9">
    <w:p w14:paraId="684AD6FA" w14:textId="52FD7FF8" w:rsidR="00B80608" w:rsidRPr="00565232" w:rsidRDefault="00B80608" w:rsidP="00B80608">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w:t>
      </w:r>
      <w:r w:rsidR="006362A7">
        <w:rPr>
          <w:rFonts w:asciiTheme="majorHAnsi" w:hAnsiTheme="majorHAnsi"/>
          <w:sz w:val="16"/>
          <w:szCs w:val="16"/>
          <w:lang w:val="es-US"/>
        </w:rPr>
        <w:t>,</w:t>
      </w:r>
      <w:r w:rsidRPr="006A7DCD">
        <w:rPr>
          <w:rFonts w:asciiTheme="majorHAnsi" w:hAnsiTheme="majorHAnsi"/>
          <w:sz w:val="16"/>
          <w:szCs w:val="16"/>
          <w:lang w:val="es-US"/>
        </w:rPr>
        <w:t xml:space="preserve"> Caso Amrhein y otros Vs. Costa Rica</w:t>
      </w:r>
      <w:r w:rsidR="006362A7">
        <w:rPr>
          <w:rFonts w:asciiTheme="majorHAnsi" w:hAnsiTheme="majorHAnsi"/>
          <w:sz w:val="16"/>
          <w:szCs w:val="16"/>
          <w:lang w:val="es-US"/>
        </w:rPr>
        <w:t>,</w:t>
      </w:r>
      <w:r w:rsidRPr="006A7DCD">
        <w:rPr>
          <w:rFonts w:asciiTheme="majorHAnsi" w:hAnsiTheme="majorHAnsi"/>
          <w:sz w:val="16"/>
          <w:szCs w:val="16"/>
          <w:lang w:val="es-US"/>
        </w:rPr>
        <w:t xml:space="preserve"> Excepciones Preliminares, Fondo, Reparaciones y Costas</w:t>
      </w:r>
      <w:r w:rsidR="006362A7">
        <w:rPr>
          <w:rFonts w:asciiTheme="majorHAnsi" w:hAnsiTheme="majorHAnsi"/>
          <w:sz w:val="16"/>
          <w:szCs w:val="16"/>
          <w:lang w:val="es-US"/>
        </w:rPr>
        <w:t>,</w:t>
      </w:r>
      <w:r w:rsidRPr="006A7DCD">
        <w:rPr>
          <w:rFonts w:asciiTheme="majorHAnsi" w:hAnsiTheme="majorHAnsi"/>
          <w:sz w:val="16"/>
          <w:szCs w:val="16"/>
          <w:lang w:val="es-US"/>
        </w:rPr>
        <w:t xml:space="preserve"> Sentencia de</w:t>
      </w:r>
      <w:r w:rsidR="006362A7">
        <w:rPr>
          <w:rFonts w:asciiTheme="majorHAnsi" w:hAnsiTheme="majorHAnsi"/>
          <w:sz w:val="16"/>
          <w:szCs w:val="16"/>
          <w:lang w:val="es-US"/>
        </w:rPr>
        <w:t>l</w:t>
      </w:r>
      <w:r w:rsidRPr="006A7DCD">
        <w:rPr>
          <w:rFonts w:asciiTheme="majorHAnsi" w:hAnsiTheme="majorHAnsi"/>
          <w:sz w:val="16"/>
          <w:szCs w:val="16"/>
          <w:lang w:val="es-US"/>
        </w:rPr>
        <w:t xml:space="preserve"> 25 de abril de 2018</w:t>
      </w:r>
      <w:r w:rsidR="006362A7">
        <w:rPr>
          <w:rFonts w:asciiTheme="majorHAnsi" w:hAnsiTheme="majorHAnsi"/>
          <w:sz w:val="16"/>
          <w:szCs w:val="16"/>
          <w:lang w:val="es-US"/>
        </w:rPr>
        <w:t>,</w:t>
      </w:r>
      <w:r w:rsidRPr="006A7DCD">
        <w:rPr>
          <w:rFonts w:asciiTheme="majorHAnsi" w:hAnsiTheme="majorHAnsi"/>
          <w:sz w:val="16"/>
          <w:szCs w:val="16"/>
          <w:lang w:val="es-US"/>
        </w:rPr>
        <w:t xml:space="preserve"> Serie C No. 354, párr. 262.</w:t>
      </w:r>
    </w:p>
  </w:footnote>
  <w:footnote w:id="10">
    <w:p w14:paraId="1A2633D4" w14:textId="1B1056D3" w:rsidR="00B80608" w:rsidRPr="004D0E62" w:rsidRDefault="00B80608" w:rsidP="00B80608">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w:t>
      </w:r>
      <w:r w:rsidR="006362A7">
        <w:rPr>
          <w:rFonts w:asciiTheme="majorHAnsi" w:hAnsiTheme="majorHAnsi"/>
          <w:sz w:val="16"/>
          <w:szCs w:val="16"/>
          <w:lang w:val="es-US"/>
        </w:rPr>
        <w:t>,</w:t>
      </w:r>
      <w:r w:rsidRPr="004D0E62">
        <w:rPr>
          <w:rFonts w:asciiTheme="majorHAnsi" w:hAnsiTheme="majorHAnsi"/>
          <w:sz w:val="16"/>
          <w:szCs w:val="16"/>
          <w:lang w:val="es-US"/>
        </w:rPr>
        <w:t xml:space="preserve"> Caso Amrhein y otros Vs. Costa Rica</w:t>
      </w:r>
      <w:r w:rsidR="006362A7">
        <w:rPr>
          <w:rFonts w:asciiTheme="majorHAnsi" w:hAnsiTheme="majorHAnsi"/>
          <w:sz w:val="16"/>
          <w:szCs w:val="16"/>
          <w:lang w:val="es-US"/>
        </w:rPr>
        <w:t>,</w:t>
      </w:r>
      <w:r w:rsidRPr="004D0E62">
        <w:rPr>
          <w:rFonts w:asciiTheme="majorHAnsi" w:hAnsiTheme="majorHAnsi"/>
          <w:sz w:val="16"/>
          <w:szCs w:val="16"/>
          <w:lang w:val="es-US"/>
        </w:rPr>
        <w:t xml:space="preserve"> Excepciones Preliminares, Fondo, Reparaciones y Costas</w:t>
      </w:r>
      <w:r w:rsidR="00513EC4">
        <w:rPr>
          <w:rFonts w:asciiTheme="majorHAnsi" w:hAnsiTheme="majorHAnsi"/>
          <w:sz w:val="16"/>
          <w:szCs w:val="16"/>
          <w:lang w:val="es-US"/>
        </w:rPr>
        <w:t>,</w:t>
      </w:r>
      <w:r w:rsidRPr="004D0E62">
        <w:rPr>
          <w:rFonts w:asciiTheme="majorHAnsi" w:hAnsiTheme="majorHAnsi"/>
          <w:sz w:val="16"/>
          <w:szCs w:val="16"/>
          <w:lang w:val="es-US"/>
        </w:rPr>
        <w:t xml:space="preserve"> Sentencia de</w:t>
      </w:r>
      <w:r w:rsidR="00513EC4">
        <w:rPr>
          <w:rFonts w:asciiTheme="majorHAnsi" w:hAnsiTheme="majorHAnsi"/>
          <w:sz w:val="16"/>
          <w:szCs w:val="16"/>
          <w:lang w:val="es-US"/>
        </w:rPr>
        <w:t>l</w:t>
      </w:r>
      <w:r w:rsidRPr="004D0E62">
        <w:rPr>
          <w:rFonts w:asciiTheme="majorHAnsi" w:hAnsiTheme="majorHAnsi"/>
          <w:sz w:val="16"/>
          <w:szCs w:val="16"/>
          <w:lang w:val="es-US"/>
        </w:rPr>
        <w:t xml:space="preserve"> 25 de abril de 2018</w:t>
      </w:r>
      <w:r w:rsidR="005F1DB0">
        <w:rPr>
          <w:rFonts w:asciiTheme="majorHAnsi" w:hAnsiTheme="majorHAnsi"/>
          <w:sz w:val="16"/>
          <w:szCs w:val="16"/>
          <w:lang w:val="es-US"/>
        </w:rPr>
        <w:t>,</w:t>
      </w:r>
      <w:r w:rsidRPr="004D0E62">
        <w:rPr>
          <w:rFonts w:asciiTheme="majorHAnsi" w:hAnsiTheme="majorHAnsi"/>
          <w:sz w:val="16"/>
          <w:szCs w:val="16"/>
          <w:lang w:val="es-US"/>
        </w:rPr>
        <w:t xml:space="preserve"> Serie C No. 354, párr. 48. </w:t>
      </w:r>
    </w:p>
  </w:footnote>
  <w:footnote w:id="11">
    <w:p w14:paraId="469EFAEC" w14:textId="426FC4ED" w:rsidR="00B80608" w:rsidRPr="008A508D" w:rsidRDefault="00B80608" w:rsidP="00B80608">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w:t>
      </w:r>
      <w:r w:rsidR="006362A7">
        <w:rPr>
          <w:rFonts w:asciiTheme="majorHAnsi" w:hAnsiTheme="majorHAnsi"/>
          <w:sz w:val="16"/>
          <w:szCs w:val="16"/>
          <w:lang w:val="es-US"/>
        </w:rPr>
        <w:t>,</w:t>
      </w:r>
      <w:r w:rsidRPr="004D0E62">
        <w:rPr>
          <w:rFonts w:asciiTheme="majorHAnsi" w:hAnsiTheme="majorHAnsi"/>
          <w:sz w:val="16"/>
          <w:szCs w:val="16"/>
          <w:lang w:val="es-US"/>
        </w:rPr>
        <w:t xml:space="preserve"> Caso Amrhein y otros Vs. Costa Rica</w:t>
      </w:r>
      <w:r w:rsidR="006362A7">
        <w:rPr>
          <w:rFonts w:asciiTheme="majorHAnsi" w:hAnsiTheme="majorHAnsi"/>
          <w:sz w:val="16"/>
          <w:szCs w:val="16"/>
          <w:lang w:val="es-US"/>
        </w:rPr>
        <w:t>,</w:t>
      </w:r>
      <w:r w:rsidRPr="004D0E62">
        <w:rPr>
          <w:rFonts w:asciiTheme="majorHAnsi" w:hAnsiTheme="majorHAnsi"/>
          <w:sz w:val="16"/>
          <w:szCs w:val="16"/>
          <w:lang w:val="es-US"/>
        </w:rPr>
        <w:t xml:space="preserve"> Excepciones Preliminares, Fondo, Reparaciones y Costas</w:t>
      </w:r>
      <w:r w:rsidR="00513EC4">
        <w:rPr>
          <w:rFonts w:asciiTheme="majorHAnsi" w:hAnsiTheme="majorHAnsi"/>
          <w:sz w:val="16"/>
          <w:szCs w:val="16"/>
          <w:lang w:val="es-US"/>
        </w:rPr>
        <w:t>,</w:t>
      </w:r>
      <w:r w:rsidRPr="004D0E62">
        <w:rPr>
          <w:rFonts w:asciiTheme="majorHAnsi" w:hAnsiTheme="majorHAnsi"/>
          <w:sz w:val="16"/>
          <w:szCs w:val="16"/>
          <w:lang w:val="es-US"/>
        </w:rPr>
        <w:t xml:space="preserve"> Sentencia de</w:t>
      </w:r>
      <w:r w:rsidR="00513EC4">
        <w:rPr>
          <w:rFonts w:asciiTheme="majorHAnsi" w:hAnsiTheme="majorHAnsi"/>
          <w:sz w:val="16"/>
          <w:szCs w:val="16"/>
          <w:lang w:val="es-US"/>
        </w:rPr>
        <w:t>l</w:t>
      </w:r>
      <w:r w:rsidRPr="004D0E62">
        <w:rPr>
          <w:rFonts w:asciiTheme="majorHAnsi" w:hAnsiTheme="majorHAnsi"/>
          <w:sz w:val="16"/>
          <w:szCs w:val="16"/>
          <w:lang w:val="es-US"/>
        </w:rPr>
        <w:t xml:space="preserve"> 25 de abril de 2018</w:t>
      </w:r>
      <w:r w:rsidR="005F1DB0">
        <w:rPr>
          <w:rFonts w:asciiTheme="majorHAnsi" w:hAnsiTheme="majorHAnsi"/>
          <w:sz w:val="16"/>
          <w:szCs w:val="16"/>
          <w:lang w:val="es-US"/>
        </w:rPr>
        <w:t>,</w:t>
      </w:r>
      <w:r w:rsidRPr="004D0E62">
        <w:rPr>
          <w:rFonts w:asciiTheme="majorHAnsi" w:hAnsiTheme="majorHAnsi"/>
          <w:sz w:val="16"/>
          <w:szCs w:val="16"/>
          <w:lang w:val="es-US"/>
        </w:rPr>
        <w:t xml:space="preserve"> Serie C No. 354</w:t>
      </w:r>
      <w:r>
        <w:rPr>
          <w:rFonts w:asciiTheme="majorHAnsi" w:hAnsiTheme="majorHAnsi"/>
          <w:sz w:val="16"/>
          <w:szCs w:val="16"/>
          <w:lang w:val="es-US"/>
        </w:rPr>
        <w:t xml:space="preserve">, párr. 265. </w:t>
      </w:r>
    </w:p>
  </w:footnote>
  <w:footnote w:id="12">
    <w:p w14:paraId="5C0CFE55" w14:textId="57C9A995" w:rsidR="00B80608" w:rsidRPr="00EE7817" w:rsidRDefault="00B80608" w:rsidP="00B80608">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B80608">
        <w:rPr>
          <w:rFonts w:asciiTheme="majorHAnsi" w:hAnsiTheme="majorHAnsi"/>
          <w:sz w:val="16"/>
          <w:szCs w:val="16"/>
          <w:lang w:val="es-US"/>
        </w:rPr>
        <w:t xml:space="preserve"> Corte IDH</w:t>
      </w:r>
      <w:r w:rsidR="006362A7">
        <w:rPr>
          <w:rFonts w:asciiTheme="majorHAnsi" w:hAnsiTheme="majorHAnsi"/>
          <w:sz w:val="16"/>
          <w:szCs w:val="16"/>
          <w:lang w:val="es-US"/>
        </w:rPr>
        <w:t>,</w:t>
      </w:r>
      <w:r w:rsidRPr="00B80608">
        <w:rPr>
          <w:rFonts w:asciiTheme="majorHAnsi" w:hAnsiTheme="majorHAnsi"/>
          <w:sz w:val="16"/>
          <w:szCs w:val="16"/>
          <w:lang w:val="es-US"/>
        </w:rPr>
        <w:t xml:space="preserve"> Caso Herrera Ulloa Vs. </w:t>
      </w:r>
      <w:r w:rsidRPr="00EE7817">
        <w:rPr>
          <w:rFonts w:asciiTheme="majorHAnsi" w:hAnsiTheme="majorHAnsi"/>
          <w:sz w:val="16"/>
          <w:szCs w:val="16"/>
          <w:lang w:val="es-US"/>
        </w:rPr>
        <w:t>Costa Rica</w:t>
      </w:r>
      <w:r w:rsidR="006362A7">
        <w:rPr>
          <w:rFonts w:asciiTheme="majorHAnsi" w:hAnsiTheme="majorHAnsi"/>
          <w:sz w:val="16"/>
          <w:szCs w:val="16"/>
          <w:lang w:val="es-US"/>
        </w:rPr>
        <w:t>,</w:t>
      </w:r>
      <w:r w:rsidRPr="00EE7817">
        <w:rPr>
          <w:rFonts w:asciiTheme="majorHAnsi" w:hAnsiTheme="majorHAnsi"/>
          <w:sz w:val="16"/>
          <w:szCs w:val="16"/>
          <w:lang w:val="es-US"/>
        </w:rPr>
        <w:t xml:space="preserve"> Supervisión de Cumplimiento de Sentencia</w:t>
      </w:r>
      <w:r w:rsidR="00513EC4">
        <w:rPr>
          <w:rFonts w:asciiTheme="majorHAnsi" w:hAnsiTheme="majorHAnsi"/>
          <w:sz w:val="16"/>
          <w:szCs w:val="16"/>
          <w:lang w:val="es-US"/>
        </w:rPr>
        <w:t>,</w:t>
      </w:r>
      <w:r w:rsidRPr="00EE7817">
        <w:rPr>
          <w:rFonts w:asciiTheme="majorHAnsi" w:hAnsiTheme="majorHAnsi"/>
          <w:sz w:val="16"/>
          <w:szCs w:val="16"/>
          <w:lang w:val="es-US"/>
        </w:rPr>
        <w:t xml:space="preserve"> Resolución de</w:t>
      </w:r>
      <w:r w:rsidR="00513EC4">
        <w:rPr>
          <w:rFonts w:asciiTheme="majorHAnsi" w:hAnsiTheme="majorHAnsi"/>
          <w:sz w:val="16"/>
          <w:szCs w:val="16"/>
          <w:lang w:val="es-US"/>
        </w:rPr>
        <w:t>l</w:t>
      </w:r>
      <w:r w:rsidRPr="00EE7817">
        <w:rPr>
          <w:rFonts w:asciiTheme="majorHAnsi" w:hAnsiTheme="majorHAnsi"/>
          <w:sz w:val="16"/>
          <w:szCs w:val="16"/>
          <w:lang w:val="es-US"/>
        </w:rPr>
        <w:t xml:space="preserve"> 22 de noviembre de 2010</w:t>
      </w:r>
      <w:r>
        <w:rPr>
          <w:rFonts w:asciiTheme="majorHAnsi" w:hAnsiTheme="majorHAnsi"/>
          <w:sz w:val="16"/>
          <w:szCs w:val="16"/>
          <w:lang w:val="es-US"/>
        </w:rPr>
        <w:t xml:space="preserve">, párr. 16. </w:t>
      </w:r>
    </w:p>
  </w:footnote>
  <w:footnote w:id="13">
    <w:p w14:paraId="7985F178" w14:textId="22D72F46" w:rsidR="00B80608" w:rsidRPr="00735708" w:rsidRDefault="00B80608" w:rsidP="00B80608">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CIDH</w:t>
      </w:r>
      <w:r w:rsidR="00513EC4">
        <w:rPr>
          <w:rFonts w:ascii="Cambria" w:hAnsi="Cambria"/>
          <w:sz w:val="16"/>
          <w:szCs w:val="16"/>
          <w:lang w:val="es-ES"/>
        </w:rPr>
        <w:t>,</w:t>
      </w:r>
      <w:r w:rsidRPr="00FA73F6">
        <w:rPr>
          <w:rFonts w:ascii="Cambria" w:hAnsi="Cambria"/>
          <w:sz w:val="16"/>
          <w:szCs w:val="16"/>
          <w:lang w:val="es-ES"/>
        </w:rPr>
        <w:t xml:space="preserve"> Informe No. 33/14</w:t>
      </w:r>
      <w:r w:rsidR="006362A7">
        <w:rPr>
          <w:rFonts w:ascii="Cambria" w:hAnsi="Cambria"/>
          <w:sz w:val="16"/>
          <w:szCs w:val="16"/>
          <w:lang w:val="es-ES"/>
        </w:rPr>
        <w:t>,</w:t>
      </w:r>
      <w:r w:rsidRPr="00FA73F6">
        <w:rPr>
          <w:rFonts w:ascii="Cambria" w:hAnsi="Cambria"/>
          <w:sz w:val="16"/>
          <w:szCs w:val="16"/>
          <w:lang w:val="es-ES"/>
        </w:rPr>
        <w:t xml:space="preserve"> Caso 12.820</w:t>
      </w:r>
      <w:r w:rsidR="006362A7">
        <w:rPr>
          <w:rFonts w:ascii="Cambria" w:hAnsi="Cambria"/>
          <w:sz w:val="16"/>
          <w:szCs w:val="16"/>
          <w:lang w:val="es-ES"/>
        </w:rPr>
        <w:t>,</w:t>
      </w:r>
      <w:r w:rsidRPr="00FA73F6">
        <w:rPr>
          <w:rFonts w:ascii="Cambria" w:hAnsi="Cambria"/>
          <w:sz w:val="16"/>
          <w:szCs w:val="16"/>
          <w:lang w:val="es-ES"/>
        </w:rPr>
        <w:t xml:space="preserve"> Fondo. Manfred Amrhein y otros. Costa Rica. 4 de abril de 2014</w:t>
      </w:r>
      <w:r w:rsidR="00A77C52">
        <w:rPr>
          <w:rFonts w:ascii="Cambria" w:hAnsi="Cambria"/>
          <w:sz w:val="16"/>
          <w:szCs w:val="16"/>
          <w:lang w:val="es-ES"/>
        </w:rPr>
        <w:t>, p</w:t>
      </w:r>
      <w:r w:rsidRPr="00FA73F6">
        <w:rPr>
          <w:rFonts w:ascii="Cambria" w:hAnsi="Cambria"/>
          <w:sz w:val="16"/>
          <w:szCs w:val="16"/>
          <w:lang w:val="es-ES"/>
        </w:rPr>
        <w:t>árr</w:t>
      </w:r>
      <w:r w:rsidR="00A77C52">
        <w:rPr>
          <w:rFonts w:ascii="Cambria" w:hAnsi="Cambria"/>
          <w:sz w:val="16"/>
          <w:szCs w:val="16"/>
          <w:lang w:val="es-ES"/>
        </w:rPr>
        <w:t>s</w:t>
      </w:r>
      <w:r w:rsidRPr="00FA73F6">
        <w:rPr>
          <w:rFonts w:ascii="Cambria" w:hAnsi="Cambria"/>
          <w:sz w:val="16"/>
          <w:szCs w:val="16"/>
          <w:lang w:val="es-ES"/>
        </w:rPr>
        <w:t xml:space="preserve">. 217 a 220. </w:t>
      </w:r>
    </w:p>
  </w:footnote>
  <w:footnote w:id="14">
    <w:p w14:paraId="228D8CB2" w14:textId="29E24DAE" w:rsidR="00B80608" w:rsidRPr="00CE3C79" w:rsidRDefault="00B80608" w:rsidP="00B80608">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Corte IDH</w:t>
      </w:r>
      <w:r w:rsidR="006362A7">
        <w:rPr>
          <w:rFonts w:ascii="Cambria" w:hAnsi="Cambria"/>
          <w:bCs/>
          <w:sz w:val="16"/>
          <w:szCs w:val="16"/>
          <w:shd w:val="clear" w:color="auto" w:fill="FFFFFF"/>
          <w:lang w:val="es-ES"/>
        </w:rPr>
        <w:t>,</w:t>
      </w:r>
      <w:r w:rsidRPr="00FA73F6">
        <w:rPr>
          <w:rFonts w:ascii="Cambria" w:hAnsi="Cambria"/>
          <w:bCs/>
          <w:sz w:val="16"/>
          <w:szCs w:val="16"/>
          <w:shd w:val="clear" w:color="auto" w:fill="FFFFFF"/>
          <w:lang w:val="es-ES"/>
        </w:rPr>
        <w:t xml:space="preserve"> </w:t>
      </w:r>
      <w:r w:rsidRPr="00CD4161">
        <w:rPr>
          <w:rFonts w:ascii="Cambria" w:hAnsi="Cambria"/>
          <w:bCs/>
          <w:iCs/>
          <w:sz w:val="16"/>
          <w:szCs w:val="16"/>
          <w:shd w:val="clear" w:color="auto" w:fill="FFFFFF"/>
          <w:lang w:val="es-ES"/>
        </w:rPr>
        <w:t>Caso Amrhein y otros Vs. Costa Rica</w:t>
      </w:r>
      <w:r w:rsidR="005F1DB0">
        <w:rPr>
          <w:rFonts w:ascii="Cambria" w:hAnsi="Cambria"/>
          <w:bCs/>
          <w:sz w:val="16"/>
          <w:szCs w:val="16"/>
          <w:shd w:val="clear" w:color="auto" w:fill="FFFFFF"/>
          <w:lang w:val="es-ES"/>
        </w:rPr>
        <w:t>,</w:t>
      </w:r>
      <w:r w:rsidRPr="00FA73F6">
        <w:rPr>
          <w:rFonts w:ascii="Cambria" w:hAnsi="Cambria"/>
          <w:bCs/>
          <w:sz w:val="16"/>
          <w:szCs w:val="16"/>
          <w:shd w:val="clear" w:color="auto" w:fill="FFFFFF"/>
          <w:lang w:val="es-ES"/>
        </w:rPr>
        <w:t xml:space="preserve"> Excepciones Preliminares, Fondo, Reparaciones y Costas</w:t>
      </w:r>
      <w:r w:rsidR="005F1DB0">
        <w:rPr>
          <w:rFonts w:ascii="Cambria" w:hAnsi="Cambria"/>
          <w:bCs/>
          <w:sz w:val="16"/>
          <w:szCs w:val="16"/>
          <w:shd w:val="clear" w:color="auto" w:fill="FFFFFF"/>
          <w:lang w:val="es-ES"/>
        </w:rPr>
        <w:t>,</w:t>
      </w:r>
      <w:r w:rsidRPr="00FA73F6">
        <w:rPr>
          <w:rFonts w:ascii="Cambria" w:hAnsi="Cambria"/>
          <w:bCs/>
          <w:sz w:val="16"/>
          <w:szCs w:val="16"/>
          <w:shd w:val="clear" w:color="auto" w:fill="FFFFFF"/>
          <w:lang w:val="es-ES"/>
        </w:rPr>
        <w:t xml:space="preserve"> </w:t>
      </w:r>
      <w:r w:rsidRPr="00CE3C79">
        <w:rPr>
          <w:rFonts w:ascii="Cambria" w:hAnsi="Cambria"/>
          <w:bCs/>
          <w:sz w:val="16"/>
          <w:szCs w:val="16"/>
          <w:shd w:val="clear" w:color="auto" w:fill="FFFFFF"/>
          <w:lang w:val="es-US"/>
        </w:rPr>
        <w:t>Sentencia de</w:t>
      </w:r>
      <w:r w:rsidR="005F1DB0">
        <w:rPr>
          <w:rFonts w:ascii="Cambria" w:hAnsi="Cambria"/>
          <w:bCs/>
          <w:sz w:val="16"/>
          <w:szCs w:val="16"/>
          <w:shd w:val="clear" w:color="auto" w:fill="FFFFFF"/>
          <w:lang w:val="es-US"/>
        </w:rPr>
        <w:t>l</w:t>
      </w:r>
      <w:r w:rsidRPr="00CE3C79">
        <w:rPr>
          <w:rFonts w:ascii="Cambria" w:hAnsi="Cambria"/>
          <w:bCs/>
          <w:sz w:val="16"/>
          <w:szCs w:val="16"/>
          <w:shd w:val="clear" w:color="auto" w:fill="FFFFFF"/>
          <w:lang w:val="es-US"/>
        </w:rPr>
        <w:t xml:space="preserve"> 25 de abril de 2018</w:t>
      </w:r>
      <w:r w:rsidR="005F1DB0">
        <w:rPr>
          <w:rFonts w:ascii="Cambria" w:hAnsi="Cambria"/>
          <w:bCs/>
          <w:sz w:val="16"/>
          <w:szCs w:val="16"/>
          <w:shd w:val="clear" w:color="auto" w:fill="FFFFFF"/>
          <w:lang w:val="es-US"/>
        </w:rPr>
        <w:t>,</w:t>
      </w:r>
      <w:r w:rsidRPr="00CE3C79">
        <w:rPr>
          <w:rFonts w:ascii="Cambria" w:hAnsi="Cambria"/>
          <w:bCs/>
          <w:sz w:val="16"/>
          <w:szCs w:val="16"/>
          <w:shd w:val="clear" w:color="auto" w:fill="FFFFFF"/>
          <w:lang w:val="es-US"/>
        </w:rPr>
        <w:t xml:space="preserve"> Serie C No. 354</w:t>
      </w:r>
      <w:r w:rsidR="004D6F88">
        <w:rPr>
          <w:rFonts w:ascii="Cambria" w:hAnsi="Cambria"/>
          <w:bCs/>
          <w:sz w:val="16"/>
          <w:szCs w:val="16"/>
          <w:shd w:val="clear" w:color="auto" w:fill="FFFFFF"/>
          <w:lang w:val="es-US"/>
        </w:rPr>
        <w:t>, p</w:t>
      </w:r>
      <w:r w:rsidRPr="00CE3C79">
        <w:rPr>
          <w:rFonts w:ascii="Cambria" w:hAnsi="Cambria"/>
          <w:bCs/>
          <w:sz w:val="16"/>
          <w:szCs w:val="16"/>
          <w:shd w:val="clear" w:color="auto" w:fill="FFFFFF"/>
          <w:lang w:val="es-US"/>
        </w:rPr>
        <w:t>árr. 260.</w:t>
      </w:r>
    </w:p>
  </w:footnote>
  <w:footnote w:id="15">
    <w:p w14:paraId="2B5B4522" w14:textId="0A407912" w:rsidR="00B80608" w:rsidRPr="00CD4161" w:rsidRDefault="00B80608" w:rsidP="00B80608">
      <w:pPr>
        <w:pStyle w:val="FootnoteText"/>
        <w:ind w:firstLine="720"/>
        <w:jc w:val="both"/>
        <w:rPr>
          <w:rFonts w:asciiTheme="majorHAnsi" w:hAnsiTheme="majorHAnsi"/>
          <w:color w:val="auto"/>
          <w:sz w:val="16"/>
          <w:szCs w:val="16"/>
          <w:lang w:val="es-US"/>
        </w:rPr>
      </w:pPr>
      <w:r w:rsidRPr="00CD4161">
        <w:rPr>
          <w:rStyle w:val="FootnoteReference"/>
          <w:rFonts w:asciiTheme="majorHAnsi" w:hAnsiTheme="majorHAnsi"/>
          <w:sz w:val="16"/>
          <w:szCs w:val="16"/>
          <w:lang w:val="es-ES"/>
        </w:rPr>
        <w:footnoteRef/>
      </w:r>
      <w:r w:rsidRPr="00CD4161">
        <w:rPr>
          <w:rFonts w:asciiTheme="majorHAnsi" w:hAnsiTheme="majorHAnsi"/>
          <w:sz w:val="16"/>
          <w:szCs w:val="16"/>
          <w:lang w:val="es-ES"/>
        </w:rPr>
        <w:t xml:space="preserve"> </w:t>
      </w:r>
      <w:r w:rsidRPr="00CD4161">
        <w:rPr>
          <w:rFonts w:asciiTheme="majorHAnsi" w:hAnsiTheme="majorHAnsi"/>
          <w:bCs/>
          <w:sz w:val="16"/>
          <w:szCs w:val="16"/>
          <w:shd w:val="clear" w:color="auto" w:fill="FFFFFF"/>
          <w:lang w:val="es-ES"/>
        </w:rPr>
        <w:t>Corte IDH</w:t>
      </w:r>
      <w:r w:rsidR="005F1DB0">
        <w:rPr>
          <w:rFonts w:asciiTheme="majorHAnsi" w:hAnsiTheme="majorHAnsi"/>
          <w:bCs/>
          <w:sz w:val="16"/>
          <w:szCs w:val="16"/>
          <w:shd w:val="clear" w:color="auto" w:fill="FFFFFF"/>
          <w:lang w:val="es-ES"/>
        </w:rPr>
        <w:t>,</w:t>
      </w:r>
      <w:r w:rsidRPr="00CD4161">
        <w:rPr>
          <w:rFonts w:asciiTheme="majorHAnsi" w:hAnsiTheme="majorHAnsi"/>
          <w:bCs/>
          <w:sz w:val="16"/>
          <w:szCs w:val="16"/>
          <w:shd w:val="clear" w:color="auto" w:fill="FFFFFF"/>
          <w:lang w:val="es-ES"/>
        </w:rPr>
        <w:t xml:space="preserve"> </w:t>
      </w:r>
      <w:r w:rsidRPr="00CD4161">
        <w:rPr>
          <w:rFonts w:asciiTheme="majorHAnsi" w:hAnsiTheme="majorHAnsi"/>
          <w:bCs/>
          <w:iCs/>
          <w:sz w:val="16"/>
          <w:szCs w:val="16"/>
          <w:shd w:val="clear" w:color="auto" w:fill="FFFFFF"/>
          <w:lang w:val="es-ES"/>
        </w:rPr>
        <w:t>Caso Amrhein y otros Vs. Costa Rica</w:t>
      </w:r>
      <w:r w:rsidR="00D81A21">
        <w:rPr>
          <w:rFonts w:asciiTheme="majorHAnsi" w:hAnsiTheme="majorHAnsi"/>
          <w:bCs/>
          <w:sz w:val="16"/>
          <w:szCs w:val="16"/>
          <w:shd w:val="clear" w:color="auto" w:fill="FFFFFF"/>
          <w:lang w:val="es-ES"/>
        </w:rPr>
        <w:t>,</w:t>
      </w:r>
      <w:r w:rsidRPr="00CD4161">
        <w:rPr>
          <w:rFonts w:asciiTheme="majorHAnsi" w:hAnsiTheme="majorHAnsi"/>
          <w:bCs/>
          <w:sz w:val="16"/>
          <w:szCs w:val="16"/>
          <w:shd w:val="clear" w:color="auto" w:fill="FFFFFF"/>
          <w:lang w:val="es-ES"/>
        </w:rPr>
        <w:t xml:space="preserve"> Excepciones Preliminares, Fondo, Reparaciones y Costas</w:t>
      </w:r>
      <w:r w:rsidR="00D81A21">
        <w:rPr>
          <w:rFonts w:asciiTheme="majorHAnsi" w:hAnsiTheme="majorHAnsi"/>
          <w:bCs/>
          <w:sz w:val="16"/>
          <w:szCs w:val="16"/>
          <w:shd w:val="clear" w:color="auto" w:fill="FFFFFF"/>
          <w:lang w:val="es-ES"/>
        </w:rPr>
        <w:t>,</w:t>
      </w:r>
      <w:r w:rsidRPr="00CD4161">
        <w:rPr>
          <w:rFonts w:asciiTheme="majorHAnsi" w:hAnsiTheme="majorHAnsi"/>
          <w:bCs/>
          <w:sz w:val="16"/>
          <w:szCs w:val="16"/>
          <w:shd w:val="clear" w:color="auto" w:fill="FFFFFF"/>
          <w:lang w:val="es-ES"/>
        </w:rPr>
        <w:t xml:space="preserve"> Sentencia de</w:t>
      </w:r>
      <w:r w:rsidR="00D81A21">
        <w:rPr>
          <w:rFonts w:asciiTheme="majorHAnsi" w:hAnsiTheme="majorHAnsi"/>
          <w:bCs/>
          <w:sz w:val="16"/>
          <w:szCs w:val="16"/>
          <w:shd w:val="clear" w:color="auto" w:fill="FFFFFF"/>
          <w:lang w:val="es-ES"/>
        </w:rPr>
        <w:t>l</w:t>
      </w:r>
      <w:r w:rsidRPr="00CD4161">
        <w:rPr>
          <w:rFonts w:asciiTheme="majorHAnsi" w:hAnsiTheme="majorHAnsi"/>
          <w:bCs/>
          <w:sz w:val="16"/>
          <w:szCs w:val="16"/>
          <w:shd w:val="clear" w:color="auto" w:fill="FFFFFF"/>
          <w:lang w:val="es-ES"/>
        </w:rPr>
        <w:t xml:space="preserve"> 25 de abril de 2018</w:t>
      </w:r>
      <w:r w:rsidR="005F1DB0">
        <w:rPr>
          <w:rFonts w:asciiTheme="majorHAnsi" w:hAnsiTheme="majorHAnsi"/>
          <w:bCs/>
          <w:sz w:val="16"/>
          <w:szCs w:val="16"/>
          <w:shd w:val="clear" w:color="auto" w:fill="FFFFFF"/>
          <w:lang w:val="es-ES"/>
        </w:rPr>
        <w:t>,</w:t>
      </w:r>
      <w:r w:rsidRPr="00CD4161">
        <w:rPr>
          <w:rFonts w:asciiTheme="majorHAnsi" w:hAnsiTheme="majorHAnsi"/>
          <w:bCs/>
          <w:sz w:val="16"/>
          <w:szCs w:val="16"/>
          <w:shd w:val="clear" w:color="auto" w:fill="FFFFFF"/>
          <w:lang w:val="es-ES"/>
        </w:rPr>
        <w:t xml:space="preserve"> Serie C No. 354</w:t>
      </w:r>
      <w:r w:rsidR="00A2036A">
        <w:rPr>
          <w:rFonts w:asciiTheme="majorHAnsi" w:hAnsiTheme="majorHAnsi"/>
          <w:bCs/>
          <w:sz w:val="16"/>
          <w:szCs w:val="16"/>
          <w:shd w:val="clear" w:color="auto" w:fill="FFFFFF"/>
          <w:lang w:val="es-ES"/>
        </w:rPr>
        <w:t>, p</w:t>
      </w:r>
      <w:r w:rsidRPr="00CD4161">
        <w:rPr>
          <w:rFonts w:asciiTheme="majorHAnsi" w:hAnsiTheme="majorHAnsi"/>
          <w:bCs/>
          <w:sz w:val="16"/>
          <w:szCs w:val="16"/>
          <w:shd w:val="clear" w:color="auto" w:fill="FFFFFF"/>
          <w:lang w:val="es-ES"/>
        </w:rPr>
        <w:t xml:space="preserve">árr. </w:t>
      </w:r>
      <w:r w:rsidRPr="00CD4161">
        <w:rPr>
          <w:rFonts w:asciiTheme="majorHAnsi" w:hAnsiTheme="majorHAnsi"/>
          <w:bCs/>
          <w:color w:val="auto"/>
          <w:sz w:val="16"/>
          <w:szCs w:val="16"/>
          <w:shd w:val="clear" w:color="auto" w:fill="FFFFFF"/>
          <w:lang w:val="es-ES"/>
        </w:rPr>
        <w:t xml:space="preserve">266. </w:t>
      </w:r>
    </w:p>
  </w:footnote>
  <w:footnote w:id="16">
    <w:p w14:paraId="52D6C6F2" w14:textId="55C6EC96" w:rsidR="0097277D" w:rsidRPr="00C70A03" w:rsidRDefault="0097277D" w:rsidP="00930F4A">
      <w:pPr>
        <w:pStyle w:val="FootnoteText"/>
        <w:ind w:firstLine="720"/>
        <w:jc w:val="both"/>
        <w:rPr>
          <w:color w:val="auto"/>
          <w:lang w:val="es-U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w:t>
      </w:r>
      <w:r w:rsidR="00D81A21">
        <w:rPr>
          <w:rFonts w:asciiTheme="majorHAnsi" w:hAnsiTheme="majorHAnsi"/>
          <w:color w:val="auto"/>
          <w:sz w:val="16"/>
          <w:szCs w:val="16"/>
          <w:lang w:val="es-US"/>
        </w:rPr>
        <w:t>,</w:t>
      </w:r>
      <w:r w:rsidRPr="00C70A03">
        <w:rPr>
          <w:rFonts w:asciiTheme="majorHAnsi" w:hAnsiTheme="majorHAnsi"/>
          <w:color w:val="auto"/>
          <w:sz w:val="16"/>
          <w:szCs w:val="16"/>
          <w:lang w:val="es-US"/>
        </w:rPr>
        <w:t xml:space="preserve"> Admisibilidad. Carlos Manuel Veraza Ustusuástegui</w:t>
      </w:r>
      <w:r w:rsidR="00D81A21">
        <w:rPr>
          <w:rFonts w:asciiTheme="majorHAnsi" w:hAnsiTheme="majorHAnsi"/>
          <w:color w:val="auto"/>
          <w:sz w:val="16"/>
          <w:szCs w:val="16"/>
          <w:lang w:val="es-US"/>
        </w:rPr>
        <w:t>,</w:t>
      </w:r>
      <w:r w:rsidRPr="00C70A03">
        <w:rPr>
          <w:rFonts w:asciiTheme="majorHAnsi" w:hAnsiTheme="majorHAnsi"/>
          <w:color w:val="auto"/>
          <w:sz w:val="16"/>
          <w:szCs w:val="16"/>
          <w:lang w:val="es-US"/>
        </w:rPr>
        <w:t xml:space="preserve"> México</w:t>
      </w:r>
      <w:r w:rsidR="00D81A21">
        <w:rPr>
          <w:rFonts w:asciiTheme="majorHAnsi" w:hAnsiTheme="majorHAnsi"/>
          <w:color w:val="auto"/>
          <w:sz w:val="16"/>
          <w:szCs w:val="16"/>
          <w:lang w:val="es-US"/>
        </w:rPr>
        <w:t>,</w:t>
      </w:r>
      <w:r w:rsidRPr="00C70A03">
        <w:rPr>
          <w:rFonts w:asciiTheme="majorHAnsi" w:hAnsiTheme="majorHAnsi"/>
          <w:color w:val="auto"/>
          <w:sz w:val="16"/>
          <w:szCs w:val="16"/>
          <w:lang w:val="es-US"/>
        </w:rPr>
        <w:t xml:space="preserve"> 29 de julio de 2016, párr. 33.</w:t>
      </w:r>
    </w:p>
  </w:footnote>
  <w:footnote w:id="17">
    <w:p w14:paraId="5C4DA0FF" w14:textId="7E87A1E9" w:rsidR="009704DD" w:rsidRPr="00515E64" w:rsidRDefault="009704DD" w:rsidP="00930F4A">
      <w:pPr>
        <w:pStyle w:val="FootnoteText"/>
        <w:ind w:firstLine="720"/>
        <w:jc w:val="both"/>
        <w:rPr>
          <w:rFonts w:asciiTheme="majorHAnsi" w:hAnsiTheme="majorHAnsi"/>
          <w:sz w:val="16"/>
          <w:szCs w:val="16"/>
          <w:lang w:val="es-US"/>
        </w:rPr>
      </w:pPr>
      <w:r w:rsidRPr="004A71F9">
        <w:rPr>
          <w:rStyle w:val="FootnoteReference"/>
          <w:rFonts w:asciiTheme="majorHAnsi" w:hAnsiTheme="majorHAnsi"/>
          <w:sz w:val="16"/>
          <w:szCs w:val="16"/>
        </w:rPr>
        <w:footnoteRef/>
      </w:r>
      <w:r w:rsidRPr="004A71F9">
        <w:rPr>
          <w:rFonts w:asciiTheme="majorHAnsi" w:hAnsiTheme="majorHAnsi"/>
          <w:sz w:val="16"/>
          <w:szCs w:val="16"/>
          <w:lang w:val="es-US"/>
        </w:rPr>
        <w:t xml:space="preserve"> CIDH, Informe No. 161/17, Petición 29-07. Admisibilidad. </w:t>
      </w:r>
      <w:r w:rsidRPr="00721974">
        <w:rPr>
          <w:rFonts w:asciiTheme="majorHAnsi" w:hAnsiTheme="majorHAnsi"/>
          <w:sz w:val="16"/>
          <w:szCs w:val="16"/>
          <w:lang w:val="es-ES"/>
        </w:rPr>
        <w:t>Andy Williams Garcés Suárez y familia</w:t>
      </w:r>
      <w:r w:rsidR="00D81A21">
        <w:rPr>
          <w:rFonts w:asciiTheme="majorHAnsi" w:hAnsiTheme="majorHAnsi"/>
          <w:sz w:val="16"/>
          <w:szCs w:val="16"/>
          <w:lang w:val="es-ES"/>
        </w:rPr>
        <w:t>,</w:t>
      </w:r>
      <w:r w:rsidRPr="00721974">
        <w:rPr>
          <w:rFonts w:asciiTheme="majorHAnsi" w:hAnsiTheme="majorHAnsi"/>
          <w:sz w:val="16"/>
          <w:szCs w:val="16"/>
          <w:lang w:val="es-ES"/>
        </w:rPr>
        <w:t xml:space="preserve"> </w:t>
      </w:r>
      <w:r w:rsidRPr="00515E64">
        <w:rPr>
          <w:rFonts w:asciiTheme="majorHAnsi" w:hAnsiTheme="majorHAnsi"/>
          <w:sz w:val="16"/>
          <w:szCs w:val="16"/>
          <w:lang w:val="es-US"/>
        </w:rPr>
        <w:t>Perú</w:t>
      </w:r>
      <w:r w:rsidR="00D81A21">
        <w:rPr>
          <w:rFonts w:asciiTheme="majorHAnsi" w:hAnsiTheme="majorHAnsi"/>
          <w:sz w:val="16"/>
          <w:szCs w:val="16"/>
          <w:lang w:val="es-US"/>
        </w:rPr>
        <w:t>,</w:t>
      </w:r>
      <w:r w:rsidRPr="00515E64">
        <w:rPr>
          <w:rFonts w:asciiTheme="majorHAnsi" w:hAnsiTheme="majorHAnsi"/>
          <w:sz w:val="16"/>
          <w:szCs w:val="16"/>
          <w:lang w:val="es-US"/>
        </w:rPr>
        <w:t xml:space="preserve"> 30 de noviembre de 2017, párr. 12.</w:t>
      </w:r>
    </w:p>
  </w:footnote>
  <w:footnote w:id="18">
    <w:p w14:paraId="2926483B" w14:textId="77777777" w:rsidR="009704DD" w:rsidRPr="00515E64" w:rsidRDefault="009704DD" w:rsidP="00930F4A">
      <w:pPr>
        <w:pStyle w:val="FootnoteText"/>
        <w:ind w:firstLine="720"/>
        <w:jc w:val="both"/>
        <w:rPr>
          <w:rFonts w:asciiTheme="majorHAnsi" w:hAnsiTheme="majorHAnsi"/>
          <w:sz w:val="16"/>
          <w:szCs w:val="16"/>
          <w:lang w:val="es-US"/>
        </w:rPr>
      </w:pPr>
      <w:r w:rsidRPr="00515E64">
        <w:rPr>
          <w:rStyle w:val="FootnoteReference"/>
          <w:rFonts w:asciiTheme="majorHAnsi" w:hAnsiTheme="majorHAnsi"/>
          <w:sz w:val="16"/>
          <w:szCs w:val="16"/>
        </w:rPr>
        <w:footnoteRef/>
      </w:r>
      <w:r w:rsidRPr="00515E64">
        <w:rPr>
          <w:rFonts w:asciiTheme="majorHAnsi" w:hAnsiTheme="majorHAnsi"/>
          <w:sz w:val="16"/>
          <w:szCs w:val="16"/>
          <w:lang w:val="es-US"/>
        </w:rPr>
        <w:t xml:space="preserve"> CIDH, Informe No. 70/04, Petición 667/01, Admisibilidad, Jesús Manuel Naranjo Cárdenas y otros, Jubilados de la empresa</w:t>
      </w:r>
      <w:r>
        <w:rPr>
          <w:rFonts w:asciiTheme="majorHAnsi" w:hAnsiTheme="majorHAnsi"/>
          <w:sz w:val="16"/>
          <w:szCs w:val="16"/>
          <w:lang w:val="es-US"/>
        </w:rPr>
        <w:t xml:space="preserve"> </w:t>
      </w:r>
      <w:r w:rsidRPr="00515E64">
        <w:rPr>
          <w:rFonts w:asciiTheme="majorHAnsi" w:hAnsiTheme="majorHAnsi"/>
          <w:sz w:val="16"/>
          <w:szCs w:val="16"/>
          <w:lang w:val="es-US"/>
        </w:rPr>
        <w:t>venezolana de aviación VIASA. Venezuela, 15 de octubre de 2004, párr. 52.</w:t>
      </w:r>
    </w:p>
  </w:footnote>
  <w:footnote w:id="19">
    <w:p w14:paraId="48AF94AC" w14:textId="77777777" w:rsidR="000E3665" w:rsidRPr="001272CB" w:rsidRDefault="000E3665" w:rsidP="000E3665">
      <w:pPr>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D24FED">
        <w:rPr>
          <w:rFonts w:asciiTheme="majorHAnsi" w:hAnsiTheme="majorHAnsi"/>
          <w:sz w:val="16"/>
          <w:szCs w:val="16"/>
          <w:lang w:val="es-ES"/>
        </w:rPr>
        <w:t xml:space="preserve"> </w:t>
      </w:r>
      <w:r w:rsidRPr="00D24FED">
        <w:rPr>
          <w:rFonts w:asciiTheme="majorHAnsi" w:hAnsiTheme="majorHAnsi"/>
          <w:bCs/>
          <w:sz w:val="16"/>
          <w:szCs w:val="16"/>
          <w:shd w:val="clear" w:color="auto" w:fill="FFFFFF"/>
          <w:lang w:val="es-ES"/>
        </w:rPr>
        <w:t xml:space="preserve">Corte IDH, Caso Herrera Ulloa Vs. </w:t>
      </w:r>
      <w:r w:rsidRPr="001272CB">
        <w:rPr>
          <w:rFonts w:asciiTheme="majorHAnsi" w:hAnsiTheme="majorHAnsi"/>
          <w:bCs/>
          <w:sz w:val="16"/>
          <w:szCs w:val="16"/>
          <w:shd w:val="clear" w:color="auto" w:fill="FFFFFF"/>
          <w:lang w:val="es-PE"/>
        </w:rPr>
        <w:t>Costa Rica</w:t>
      </w:r>
      <w:r>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Excepciones Preliminares, Fondo, Reparaciones y Costas</w:t>
      </w:r>
      <w:r>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Sentencia de</w:t>
      </w:r>
      <w:r>
        <w:rPr>
          <w:rFonts w:asciiTheme="majorHAnsi" w:hAnsiTheme="majorHAnsi"/>
          <w:bCs/>
          <w:sz w:val="16"/>
          <w:szCs w:val="16"/>
          <w:shd w:val="clear" w:color="auto" w:fill="FFFFFF"/>
          <w:lang w:val="es-PE"/>
        </w:rPr>
        <w:t>l</w:t>
      </w:r>
      <w:r w:rsidRPr="001272CB">
        <w:rPr>
          <w:rFonts w:asciiTheme="majorHAnsi" w:hAnsiTheme="majorHAnsi"/>
          <w:bCs/>
          <w:sz w:val="16"/>
          <w:szCs w:val="16"/>
          <w:shd w:val="clear" w:color="auto" w:fill="FFFFFF"/>
          <w:lang w:val="es-PE"/>
        </w:rPr>
        <w:t xml:space="preserve"> 2 de julio de 2004</w:t>
      </w:r>
      <w:r>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Serie C No. 107</w:t>
      </w:r>
      <w:r>
        <w:rPr>
          <w:rFonts w:asciiTheme="majorHAnsi" w:hAnsiTheme="majorHAnsi"/>
          <w:bCs/>
          <w:sz w:val="16"/>
          <w:szCs w:val="16"/>
          <w:shd w:val="clear" w:color="auto" w:fill="FFFFFF"/>
          <w:lang w:val="es-PE"/>
        </w:rPr>
        <w:t>, p</w:t>
      </w:r>
      <w:r w:rsidRPr="001272CB">
        <w:rPr>
          <w:rFonts w:asciiTheme="majorHAnsi" w:hAnsiTheme="majorHAnsi"/>
          <w:bCs/>
          <w:sz w:val="16"/>
          <w:szCs w:val="16"/>
          <w:shd w:val="clear" w:color="auto" w:fill="FFFFFF"/>
          <w:lang w:val="es-PE"/>
        </w:rPr>
        <w:t>árr</w:t>
      </w:r>
      <w:r>
        <w:rPr>
          <w:rFonts w:asciiTheme="majorHAnsi" w:hAnsiTheme="majorHAnsi"/>
          <w:bCs/>
          <w:sz w:val="16"/>
          <w:szCs w:val="16"/>
          <w:shd w:val="clear" w:color="auto" w:fill="FFFFFF"/>
          <w:lang w:val="es-PE"/>
        </w:rPr>
        <w:t>s</w:t>
      </w:r>
      <w:r w:rsidRPr="001272CB">
        <w:rPr>
          <w:rFonts w:asciiTheme="majorHAnsi" w:hAnsiTheme="majorHAnsi"/>
          <w:bCs/>
          <w:sz w:val="16"/>
          <w:szCs w:val="16"/>
          <w:shd w:val="clear" w:color="auto" w:fill="FFFFFF"/>
          <w:lang w:val="es-PE"/>
        </w:rPr>
        <w:t>. 158 a 161; Corte IDH</w:t>
      </w:r>
      <w:r>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Caso Mendoza y otros Vs. Argentina</w:t>
      </w:r>
      <w:r>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Excepciones Preliminares, Fondo y Reparaciones</w:t>
      </w:r>
      <w:r>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Sentencia de</w:t>
      </w:r>
      <w:r>
        <w:rPr>
          <w:rFonts w:asciiTheme="majorHAnsi" w:hAnsiTheme="majorHAnsi"/>
          <w:bCs/>
          <w:sz w:val="16"/>
          <w:szCs w:val="16"/>
          <w:shd w:val="clear" w:color="auto" w:fill="FFFFFF"/>
          <w:lang w:val="es-PE"/>
        </w:rPr>
        <w:t>l</w:t>
      </w:r>
      <w:r w:rsidRPr="001272CB">
        <w:rPr>
          <w:rFonts w:asciiTheme="majorHAnsi" w:hAnsiTheme="majorHAnsi"/>
          <w:bCs/>
          <w:sz w:val="16"/>
          <w:szCs w:val="16"/>
          <w:shd w:val="clear" w:color="auto" w:fill="FFFFFF"/>
          <w:lang w:val="es-PE"/>
        </w:rPr>
        <w:t xml:space="preserve"> 14 de mayo de 2013</w:t>
      </w:r>
      <w:r>
        <w:rPr>
          <w:rFonts w:asciiTheme="majorHAnsi" w:hAnsiTheme="majorHAnsi"/>
          <w:bCs/>
          <w:sz w:val="16"/>
          <w:szCs w:val="16"/>
          <w:shd w:val="clear" w:color="auto" w:fill="FFFFFF"/>
          <w:lang w:val="es-PE"/>
        </w:rPr>
        <w:t>,</w:t>
      </w:r>
      <w:r w:rsidRPr="001272CB">
        <w:rPr>
          <w:rFonts w:asciiTheme="majorHAnsi" w:hAnsiTheme="majorHAnsi"/>
          <w:bCs/>
          <w:sz w:val="16"/>
          <w:szCs w:val="16"/>
          <w:shd w:val="clear" w:color="auto" w:fill="FFFFFF"/>
          <w:lang w:val="es-PE"/>
        </w:rPr>
        <w:t xml:space="preserve"> Serie C No. 260</w:t>
      </w:r>
      <w:r>
        <w:rPr>
          <w:rFonts w:asciiTheme="majorHAnsi" w:hAnsiTheme="majorHAnsi"/>
          <w:bCs/>
          <w:sz w:val="16"/>
          <w:szCs w:val="16"/>
          <w:shd w:val="clear" w:color="auto" w:fill="FFFFFF"/>
          <w:lang w:val="es-PE"/>
        </w:rPr>
        <w:t>, p</w:t>
      </w:r>
      <w:r w:rsidRPr="001272CB">
        <w:rPr>
          <w:rFonts w:asciiTheme="majorHAnsi" w:hAnsiTheme="majorHAnsi"/>
          <w:bCs/>
          <w:sz w:val="16"/>
          <w:szCs w:val="16"/>
          <w:shd w:val="clear" w:color="auto" w:fill="FFFFFF"/>
          <w:lang w:val="es-PE"/>
        </w:rPr>
        <w:t xml:space="preserve">árr. 242. </w:t>
      </w:r>
      <w:r w:rsidRPr="001272CB">
        <w:rPr>
          <w:rFonts w:asciiTheme="majorHAnsi" w:hAnsiTheme="majorHAnsi"/>
          <w:sz w:val="16"/>
          <w:szCs w:val="16"/>
          <w:lang w:val="es-PE"/>
        </w:rPr>
        <w:t xml:space="preserve"> </w:t>
      </w:r>
    </w:p>
  </w:footnote>
  <w:footnote w:id="20">
    <w:p w14:paraId="12E754E4" w14:textId="77777777" w:rsidR="000E3665" w:rsidRPr="001272CB" w:rsidRDefault="000E3665" w:rsidP="000E3665">
      <w:pPr>
        <w:pStyle w:val="NormalWeb"/>
        <w:spacing w:before="0" w:beforeAutospacing="0" w:after="0" w:afterAutospacing="0"/>
        <w:ind w:firstLine="720"/>
        <w:jc w:val="both"/>
        <w:rPr>
          <w:rFonts w:asciiTheme="majorHAnsi" w:hAnsiTheme="majorHAnsi"/>
          <w:sz w:val="16"/>
          <w:szCs w:val="16"/>
          <w:lang w:val="es-PE"/>
        </w:rPr>
      </w:pPr>
      <w:r w:rsidRPr="001272CB">
        <w:rPr>
          <w:rStyle w:val="FootnoteReference"/>
          <w:rFonts w:asciiTheme="majorHAnsi" w:eastAsia="Trebuchet MS" w:hAnsiTheme="majorHAnsi"/>
          <w:sz w:val="16"/>
          <w:szCs w:val="16"/>
          <w:lang w:val="es-PE"/>
        </w:rPr>
        <w:footnoteRef/>
      </w:r>
      <w:r w:rsidRPr="000E3665">
        <w:rPr>
          <w:rFonts w:asciiTheme="majorHAnsi" w:hAnsiTheme="majorHAnsi"/>
          <w:sz w:val="16"/>
          <w:szCs w:val="16"/>
          <w:lang w:val="es-PE"/>
        </w:rPr>
        <w:t xml:space="preserve"> </w:t>
      </w:r>
      <w:r w:rsidRPr="000E3665">
        <w:rPr>
          <w:rFonts w:asciiTheme="majorHAnsi" w:hAnsiTheme="majorHAnsi" w:cs="Calibri"/>
          <w:sz w:val="16"/>
          <w:szCs w:val="16"/>
          <w:lang w:val="es-PE"/>
        </w:rPr>
        <w:t xml:space="preserve">Corte IDH, </w:t>
      </w:r>
      <w:r w:rsidRPr="000E3665">
        <w:rPr>
          <w:rFonts w:asciiTheme="majorHAnsi" w:hAnsiTheme="majorHAnsi" w:cs="Calibri"/>
          <w:iCs/>
          <w:sz w:val="16"/>
          <w:szCs w:val="16"/>
          <w:lang w:val="es-PE"/>
        </w:rPr>
        <w:t xml:space="preserve">Caso Herrera Ulloa Vs. </w:t>
      </w:r>
      <w:r w:rsidRPr="001272CB">
        <w:rPr>
          <w:rFonts w:asciiTheme="majorHAnsi" w:hAnsiTheme="majorHAnsi" w:cs="Calibri"/>
          <w:iCs/>
          <w:sz w:val="16"/>
          <w:szCs w:val="16"/>
          <w:lang w:val="es-PE"/>
        </w:rPr>
        <w:t>Costa Rica</w:t>
      </w:r>
      <w:r>
        <w:rPr>
          <w:rFonts w:asciiTheme="majorHAnsi" w:hAnsiTheme="majorHAnsi" w:cs="Calibri"/>
          <w:sz w:val="16"/>
          <w:szCs w:val="16"/>
          <w:lang w:val="es-PE"/>
        </w:rPr>
        <w:t>,</w:t>
      </w:r>
      <w:r w:rsidRPr="001272CB">
        <w:rPr>
          <w:rFonts w:asciiTheme="majorHAnsi" w:hAnsiTheme="majorHAnsi" w:cs="Calibri"/>
          <w:sz w:val="16"/>
          <w:szCs w:val="16"/>
          <w:lang w:val="es-PE"/>
        </w:rPr>
        <w:t xml:space="preserve"> Sentencia de Excepciones Preliminares, Fondo, Reparaciones y Costas</w:t>
      </w:r>
      <w:r>
        <w:rPr>
          <w:rFonts w:asciiTheme="majorHAnsi" w:hAnsiTheme="majorHAnsi" w:cs="Calibri"/>
          <w:sz w:val="16"/>
          <w:szCs w:val="16"/>
          <w:lang w:val="es-PE"/>
        </w:rPr>
        <w:t>,</w:t>
      </w:r>
      <w:r w:rsidRPr="001272CB">
        <w:rPr>
          <w:rFonts w:asciiTheme="majorHAnsi" w:hAnsiTheme="majorHAnsi" w:cs="Calibri"/>
          <w:sz w:val="16"/>
          <w:szCs w:val="16"/>
          <w:lang w:val="es-PE"/>
        </w:rPr>
        <w:t xml:space="preserve"> 2 de julio de 2004</w:t>
      </w:r>
      <w:r>
        <w:rPr>
          <w:rFonts w:asciiTheme="majorHAnsi" w:hAnsiTheme="majorHAnsi" w:cs="Calibri"/>
          <w:sz w:val="16"/>
          <w:szCs w:val="16"/>
          <w:lang w:val="es-PE"/>
        </w:rPr>
        <w:t>,</w:t>
      </w:r>
      <w:r w:rsidRPr="001272CB">
        <w:rPr>
          <w:rFonts w:asciiTheme="majorHAnsi" w:hAnsiTheme="majorHAnsi" w:cs="Calibri"/>
          <w:sz w:val="16"/>
          <w:szCs w:val="16"/>
          <w:lang w:val="es-PE"/>
        </w:rPr>
        <w:t xml:space="preserve"> Serie C No. 107, párr. 165; ONU, Comité́ de Derechos Humanos. </w:t>
      </w:r>
      <w:r w:rsidRPr="001272CB">
        <w:rPr>
          <w:rFonts w:asciiTheme="majorHAnsi" w:hAnsiTheme="majorHAnsi" w:cs="Calibri"/>
          <w:iCs/>
          <w:sz w:val="16"/>
          <w:szCs w:val="16"/>
          <w:lang w:val="es-PE"/>
        </w:rPr>
        <w:t>Gómez Vázquez v. España</w:t>
      </w:r>
      <w:r>
        <w:rPr>
          <w:rFonts w:asciiTheme="majorHAnsi" w:hAnsiTheme="majorHAnsi" w:cs="Calibri"/>
          <w:sz w:val="16"/>
          <w:szCs w:val="16"/>
          <w:lang w:val="es-PE"/>
        </w:rPr>
        <w:t>,</w:t>
      </w:r>
      <w:r w:rsidRPr="001272CB">
        <w:rPr>
          <w:rFonts w:asciiTheme="majorHAnsi" w:hAnsiTheme="majorHAnsi" w:cs="Calibri"/>
          <w:sz w:val="16"/>
          <w:szCs w:val="16"/>
          <w:lang w:val="es-PE"/>
        </w:rPr>
        <w:t xml:space="preserve"> Comunicación No. 701/1996</w:t>
      </w:r>
      <w:r>
        <w:rPr>
          <w:rFonts w:asciiTheme="majorHAnsi" w:hAnsiTheme="majorHAnsi" w:cs="Calibri"/>
          <w:sz w:val="16"/>
          <w:szCs w:val="16"/>
          <w:lang w:val="es-PE"/>
        </w:rPr>
        <w:t>,</w:t>
      </w:r>
      <w:r w:rsidRPr="001272CB">
        <w:rPr>
          <w:rFonts w:asciiTheme="majorHAnsi" w:hAnsiTheme="majorHAnsi" w:cs="Calibri"/>
          <w:sz w:val="16"/>
          <w:szCs w:val="16"/>
          <w:lang w:val="es-PE"/>
        </w:rPr>
        <w:t xml:space="preserve"> Decisión de</w:t>
      </w:r>
      <w:r>
        <w:rPr>
          <w:rFonts w:asciiTheme="majorHAnsi" w:hAnsiTheme="majorHAnsi" w:cs="Calibri"/>
          <w:sz w:val="16"/>
          <w:szCs w:val="16"/>
          <w:lang w:val="es-PE"/>
        </w:rPr>
        <w:t>l</w:t>
      </w:r>
      <w:r w:rsidRPr="001272CB">
        <w:rPr>
          <w:rFonts w:asciiTheme="majorHAnsi" w:hAnsiTheme="majorHAnsi" w:cs="Calibri"/>
          <w:sz w:val="16"/>
          <w:szCs w:val="16"/>
          <w:lang w:val="es-PE"/>
        </w:rPr>
        <w:t xml:space="preserve"> 11 de agosto de 2000, párr. 11.1. </w:t>
      </w:r>
    </w:p>
  </w:footnote>
  <w:footnote w:id="21">
    <w:p w14:paraId="4FB07077" w14:textId="77777777" w:rsidR="000E3665" w:rsidRPr="001272CB" w:rsidRDefault="000E3665" w:rsidP="000E3665">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0E3665">
        <w:rPr>
          <w:rFonts w:asciiTheme="majorHAnsi" w:hAnsiTheme="majorHAnsi"/>
          <w:sz w:val="16"/>
          <w:szCs w:val="16"/>
          <w:lang w:val="es-PE"/>
        </w:rPr>
        <w:t xml:space="preserve"> Corte IDH, </w:t>
      </w:r>
      <w:r w:rsidRPr="000E3665">
        <w:rPr>
          <w:rFonts w:asciiTheme="majorHAnsi" w:hAnsiTheme="majorHAnsi"/>
          <w:iCs/>
          <w:sz w:val="16"/>
          <w:szCs w:val="16"/>
          <w:lang w:val="es-PE"/>
        </w:rPr>
        <w:t xml:space="preserve">Caso Herrera Ulloa Vs. </w:t>
      </w:r>
      <w:r w:rsidRPr="001272CB">
        <w:rPr>
          <w:rFonts w:asciiTheme="majorHAnsi" w:hAnsiTheme="majorHAnsi"/>
          <w:iCs/>
          <w:sz w:val="16"/>
          <w:szCs w:val="16"/>
          <w:lang w:val="es-PE"/>
        </w:rPr>
        <w:t>Costa Rica</w:t>
      </w:r>
      <w:r>
        <w:rPr>
          <w:rFonts w:asciiTheme="majorHAnsi" w:hAnsiTheme="majorHAnsi"/>
          <w:sz w:val="16"/>
          <w:szCs w:val="16"/>
          <w:lang w:val="es-PE"/>
        </w:rPr>
        <w:t>,</w:t>
      </w:r>
      <w:r w:rsidRPr="001272CB">
        <w:rPr>
          <w:rFonts w:asciiTheme="majorHAnsi" w:hAnsiTheme="majorHAnsi"/>
          <w:sz w:val="16"/>
          <w:szCs w:val="16"/>
          <w:lang w:val="es-PE"/>
        </w:rPr>
        <w:t xml:space="preserve"> Sentencia de Excepciones Preliminares, Fondo, Reparaciones y Costas</w:t>
      </w:r>
      <w:r>
        <w:rPr>
          <w:rFonts w:asciiTheme="majorHAnsi" w:hAnsiTheme="majorHAnsi"/>
          <w:sz w:val="16"/>
          <w:szCs w:val="16"/>
          <w:lang w:val="es-PE"/>
        </w:rPr>
        <w:t>,</w:t>
      </w:r>
      <w:r w:rsidRPr="001272CB">
        <w:rPr>
          <w:rFonts w:asciiTheme="majorHAnsi" w:hAnsiTheme="majorHAnsi"/>
          <w:sz w:val="16"/>
          <w:szCs w:val="16"/>
          <w:lang w:val="es-PE"/>
        </w:rPr>
        <w:t xml:space="preserve"> 2 de julio de 2004</w:t>
      </w:r>
      <w:r>
        <w:rPr>
          <w:rFonts w:asciiTheme="majorHAnsi" w:hAnsiTheme="majorHAnsi"/>
          <w:sz w:val="16"/>
          <w:szCs w:val="16"/>
          <w:lang w:val="es-PE"/>
        </w:rPr>
        <w:t>,</w:t>
      </w:r>
      <w:r w:rsidRPr="001272CB">
        <w:rPr>
          <w:rFonts w:asciiTheme="majorHAnsi" w:hAnsiTheme="majorHAnsi"/>
          <w:sz w:val="16"/>
          <w:szCs w:val="16"/>
          <w:lang w:val="es-PE"/>
        </w:rPr>
        <w:t xml:space="preserve"> Serie C No. 107, párr. 158</w:t>
      </w:r>
      <w:r>
        <w:rPr>
          <w:rFonts w:asciiTheme="majorHAnsi" w:hAnsiTheme="majorHAnsi"/>
          <w:sz w:val="16"/>
          <w:szCs w:val="16"/>
          <w:lang w:val="es-PE"/>
        </w:rPr>
        <w:t>.</w:t>
      </w:r>
    </w:p>
  </w:footnote>
  <w:footnote w:id="22">
    <w:p w14:paraId="3ED76391" w14:textId="77777777" w:rsidR="000E3665" w:rsidRPr="001272CB" w:rsidRDefault="000E3665" w:rsidP="000E3665">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0E3665">
        <w:rPr>
          <w:rFonts w:asciiTheme="majorHAnsi" w:hAnsiTheme="majorHAnsi"/>
          <w:sz w:val="16"/>
          <w:szCs w:val="16"/>
          <w:lang w:val="es-PE"/>
        </w:rPr>
        <w:t xml:space="preserve"> Corte IDH, </w:t>
      </w:r>
      <w:r w:rsidRPr="000E3665">
        <w:rPr>
          <w:rFonts w:asciiTheme="majorHAnsi" w:hAnsiTheme="majorHAnsi"/>
          <w:iCs/>
          <w:sz w:val="16"/>
          <w:szCs w:val="16"/>
          <w:lang w:val="es-PE"/>
        </w:rPr>
        <w:t xml:space="preserve">Caso Barreto Leiva Vs. </w:t>
      </w:r>
      <w:r w:rsidRPr="001272CB">
        <w:rPr>
          <w:rFonts w:asciiTheme="majorHAnsi" w:hAnsiTheme="majorHAnsi"/>
          <w:iCs/>
          <w:sz w:val="16"/>
          <w:szCs w:val="16"/>
          <w:lang w:val="es-PE"/>
        </w:rPr>
        <w:t>Venezuela</w:t>
      </w:r>
      <w:r>
        <w:rPr>
          <w:rFonts w:asciiTheme="majorHAnsi" w:hAnsiTheme="majorHAnsi"/>
          <w:iCs/>
          <w:sz w:val="16"/>
          <w:szCs w:val="16"/>
          <w:lang w:val="es-PE"/>
        </w:rPr>
        <w:t>,</w:t>
      </w:r>
      <w:r w:rsidRPr="001272CB">
        <w:rPr>
          <w:rFonts w:asciiTheme="majorHAnsi" w:hAnsiTheme="majorHAnsi"/>
          <w:iCs/>
          <w:sz w:val="16"/>
          <w:szCs w:val="16"/>
          <w:lang w:val="es-PE"/>
        </w:rPr>
        <w:t xml:space="preserve"> </w:t>
      </w:r>
      <w:r w:rsidRPr="001272CB">
        <w:rPr>
          <w:rFonts w:asciiTheme="majorHAnsi" w:hAnsiTheme="majorHAnsi"/>
          <w:sz w:val="16"/>
          <w:szCs w:val="16"/>
          <w:lang w:val="es-PE"/>
        </w:rPr>
        <w:t>Sentencia de Fondo, Reparaciones y Costas</w:t>
      </w:r>
      <w:r>
        <w:rPr>
          <w:rFonts w:asciiTheme="majorHAnsi" w:hAnsiTheme="majorHAnsi"/>
          <w:sz w:val="16"/>
          <w:szCs w:val="16"/>
          <w:lang w:val="es-PE"/>
        </w:rPr>
        <w:t>,</w:t>
      </w:r>
      <w:r w:rsidRPr="001272CB">
        <w:rPr>
          <w:rFonts w:asciiTheme="majorHAnsi" w:hAnsiTheme="majorHAnsi"/>
          <w:sz w:val="16"/>
          <w:szCs w:val="16"/>
          <w:lang w:val="es-PE"/>
        </w:rPr>
        <w:t xml:space="preserve"> 17 de noviembre de 2009</w:t>
      </w:r>
      <w:r>
        <w:rPr>
          <w:rFonts w:asciiTheme="majorHAnsi" w:hAnsiTheme="majorHAnsi"/>
          <w:sz w:val="16"/>
          <w:szCs w:val="16"/>
          <w:lang w:val="es-PE"/>
        </w:rPr>
        <w:t>,</w:t>
      </w:r>
      <w:r w:rsidRPr="001272CB">
        <w:rPr>
          <w:rFonts w:asciiTheme="majorHAnsi" w:hAnsiTheme="majorHAnsi"/>
          <w:sz w:val="16"/>
          <w:szCs w:val="16"/>
          <w:lang w:val="es-PE"/>
        </w:rPr>
        <w:t xml:space="preserve"> Serie C No. 206</w:t>
      </w:r>
      <w:r w:rsidRPr="001272CB">
        <w:rPr>
          <w:rFonts w:asciiTheme="majorHAnsi" w:hAnsiTheme="majorHAnsi"/>
          <w:iCs/>
          <w:sz w:val="16"/>
          <w:szCs w:val="16"/>
          <w:lang w:val="es-PE"/>
        </w:rPr>
        <w:t xml:space="preserve">, </w:t>
      </w:r>
      <w:r w:rsidRPr="001272CB">
        <w:rPr>
          <w:rFonts w:asciiTheme="majorHAnsi" w:hAnsiTheme="majorHAnsi"/>
          <w:sz w:val="16"/>
          <w:szCs w:val="16"/>
          <w:lang w:val="es-PE"/>
        </w:rPr>
        <w:t>párr. 90.</w:t>
      </w:r>
    </w:p>
  </w:footnote>
  <w:footnote w:id="23">
    <w:p w14:paraId="68137F73" w14:textId="77777777" w:rsidR="000E3665" w:rsidRPr="001272CB" w:rsidRDefault="000E3665" w:rsidP="000E3665">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1272CB">
        <w:rPr>
          <w:rFonts w:asciiTheme="majorHAnsi" w:hAnsiTheme="majorHAnsi"/>
          <w:sz w:val="16"/>
          <w:szCs w:val="16"/>
          <w:lang w:val="es-PE"/>
        </w:rPr>
        <w:t xml:space="preserve"> </w:t>
      </w:r>
      <w:r w:rsidRPr="002433B3">
        <w:rPr>
          <w:rStyle w:val="Strong"/>
          <w:rFonts w:asciiTheme="majorHAnsi" w:eastAsia="Cambria" w:hAnsiTheme="majorHAnsi"/>
          <w:b w:val="0"/>
          <w:bCs w:val="0"/>
          <w:sz w:val="16"/>
          <w:szCs w:val="16"/>
          <w:shd w:val="clear" w:color="auto" w:fill="FFFFFF"/>
          <w:lang w:val="es-PE"/>
        </w:rPr>
        <w:t>Corte IDH</w:t>
      </w:r>
      <w:r>
        <w:rPr>
          <w:rStyle w:val="Strong"/>
          <w:rFonts w:asciiTheme="majorHAnsi" w:eastAsia="Cambria" w:hAnsiTheme="majorHAnsi"/>
          <w:b w:val="0"/>
          <w:bCs w:val="0"/>
          <w:sz w:val="16"/>
          <w:szCs w:val="16"/>
          <w:shd w:val="clear" w:color="auto" w:fill="FFFFFF"/>
          <w:lang w:val="es-PE"/>
        </w:rPr>
        <w:t>,</w:t>
      </w:r>
      <w:r w:rsidRPr="001272CB">
        <w:rPr>
          <w:rStyle w:val="Strong"/>
          <w:rFonts w:asciiTheme="majorHAnsi" w:eastAsia="Cambria" w:hAnsiTheme="majorHAnsi"/>
          <w:sz w:val="16"/>
          <w:szCs w:val="16"/>
          <w:shd w:val="clear" w:color="auto" w:fill="FFFFFF"/>
          <w:lang w:val="es-PE"/>
        </w:rPr>
        <w:t xml:space="preserve"> </w:t>
      </w:r>
      <w:r w:rsidRPr="001272CB">
        <w:rPr>
          <w:rFonts w:asciiTheme="majorHAnsi" w:hAnsiTheme="majorHAnsi"/>
          <w:sz w:val="16"/>
          <w:szCs w:val="16"/>
          <w:shd w:val="clear" w:color="auto" w:fill="FFFFFF"/>
          <w:lang w:val="es-PE"/>
        </w:rPr>
        <w:t>Caso Amrhein y otros Vs. Costa Rica</w:t>
      </w:r>
      <w:r>
        <w:rPr>
          <w:rFonts w:asciiTheme="majorHAnsi" w:hAnsiTheme="majorHAnsi"/>
          <w:sz w:val="16"/>
          <w:szCs w:val="16"/>
          <w:shd w:val="clear" w:color="auto" w:fill="FFFFFF"/>
          <w:lang w:val="es-PE"/>
        </w:rPr>
        <w:t>,</w:t>
      </w:r>
      <w:r w:rsidRPr="001272CB">
        <w:rPr>
          <w:rFonts w:asciiTheme="majorHAnsi" w:hAnsiTheme="majorHAnsi"/>
          <w:sz w:val="16"/>
          <w:szCs w:val="16"/>
          <w:shd w:val="clear" w:color="auto" w:fill="FFFFFF"/>
          <w:lang w:val="es-PE"/>
        </w:rPr>
        <w:t xml:space="preserve"> Excepciones Preliminares, Fondo, Reparaciones y Costas</w:t>
      </w:r>
      <w:r>
        <w:rPr>
          <w:rFonts w:asciiTheme="majorHAnsi" w:hAnsiTheme="majorHAnsi"/>
          <w:sz w:val="16"/>
          <w:szCs w:val="16"/>
          <w:shd w:val="clear" w:color="auto" w:fill="FFFFFF"/>
          <w:lang w:val="es-PE"/>
        </w:rPr>
        <w:t>,</w:t>
      </w:r>
      <w:r w:rsidRPr="001272CB">
        <w:rPr>
          <w:rFonts w:asciiTheme="majorHAnsi" w:hAnsiTheme="majorHAnsi"/>
          <w:sz w:val="16"/>
          <w:szCs w:val="16"/>
          <w:shd w:val="clear" w:color="auto" w:fill="FFFFFF"/>
          <w:lang w:val="es-PE"/>
        </w:rPr>
        <w:t xml:space="preserve"> Sentencia de</w:t>
      </w:r>
      <w:r>
        <w:rPr>
          <w:rFonts w:asciiTheme="majorHAnsi" w:hAnsiTheme="majorHAnsi"/>
          <w:sz w:val="16"/>
          <w:szCs w:val="16"/>
          <w:shd w:val="clear" w:color="auto" w:fill="FFFFFF"/>
          <w:lang w:val="es-PE"/>
        </w:rPr>
        <w:t>l</w:t>
      </w:r>
      <w:r w:rsidRPr="001272CB">
        <w:rPr>
          <w:rFonts w:asciiTheme="majorHAnsi" w:hAnsiTheme="majorHAnsi"/>
          <w:sz w:val="16"/>
          <w:szCs w:val="16"/>
          <w:shd w:val="clear" w:color="auto" w:fill="FFFFFF"/>
          <w:lang w:val="es-PE"/>
        </w:rPr>
        <w:t xml:space="preserve"> 25 de abril de 2018</w:t>
      </w:r>
      <w:r>
        <w:rPr>
          <w:rFonts w:asciiTheme="majorHAnsi" w:hAnsiTheme="majorHAnsi"/>
          <w:sz w:val="16"/>
          <w:szCs w:val="16"/>
          <w:shd w:val="clear" w:color="auto" w:fill="FFFFFF"/>
          <w:lang w:val="es-PE"/>
        </w:rPr>
        <w:t>,</w:t>
      </w:r>
      <w:r w:rsidRPr="001272CB">
        <w:rPr>
          <w:rFonts w:asciiTheme="majorHAnsi" w:hAnsiTheme="majorHAnsi"/>
          <w:sz w:val="16"/>
          <w:szCs w:val="16"/>
          <w:shd w:val="clear" w:color="auto" w:fill="FFFFFF"/>
          <w:lang w:val="es-PE"/>
        </w:rPr>
        <w:t xml:space="preserve"> Serie C No. 354</w:t>
      </w:r>
      <w:r>
        <w:rPr>
          <w:rFonts w:asciiTheme="majorHAnsi" w:hAnsiTheme="majorHAnsi"/>
          <w:sz w:val="16"/>
          <w:szCs w:val="16"/>
          <w:shd w:val="clear" w:color="auto" w:fill="FFFFFF"/>
          <w:lang w:val="es-PE"/>
        </w:rPr>
        <w:t>, p</w:t>
      </w:r>
      <w:r w:rsidRPr="001272CB">
        <w:rPr>
          <w:rFonts w:asciiTheme="majorHAnsi" w:hAnsiTheme="majorHAnsi"/>
          <w:sz w:val="16"/>
          <w:szCs w:val="16"/>
          <w:shd w:val="clear" w:color="auto" w:fill="FFFFFF"/>
          <w:lang w:val="es-PE"/>
        </w:rPr>
        <w:t>árr</w:t>
      </w:r>
      <w:r>
        <w:rPr>
          <w:rFonts w:asciiTheme="majorHAnsi" w:hAnsiTheme="majorHAnsi"/>
          <w:sz w:val="16"/>
          <w:szCs w:val="16"/>
          <w:shd w:val="clear" w:color="auto" w:fill="FFFFFF"/>
          <w:lang w:val="es-PE"/>
        </w:rPr>
        <w:t>s</w:t>
      </w:r>
      <w:r w:rsidRPr="001272CB">
        <w:rPr>
          <w:rFonts w:asciiTheme="majorHAnsi" w:hAnsiTheme="majorHAnsi"/>
          <w:sz w:val="16"/>
          <w:szCs w:val="16"/>
          <w:shd w:val="clear" w:color="auto" w:fill="FFFFFF"/>
          <w:lang w:val="es-PE"/>
        </w:rPr>
        <w:t>. 272 a 274.</w:t>
      </w:r>
    </w:p>
  </w:footnote>
  <w:footnote w:id="24">
    <w:p w14:paraId="4F0D4D72" w14:textId="77777777" w:rsidR="000E3665" w:rsidRPr="002433B3" w:rsidRDefault="000E3665" w:rsidP="000E3665">
      <w:pPr>
        <w:pStyle w:val="FootnoteText"/>
        <w:ind w:firstLine="720"/>
        <w:jc w:val="both"/>
        <w:rPr>
          <w:b/>
          <w:bCs/>
          <w:sz w:val="16"/>
          <w:szCs w:val="16"/>
          <w:lang w:val="es-US"/>
        </w:rPr>
      </w:pPr>
      <w:r w:rsidRPr="002433B3">
        <w:rPr>
          <w:rStyle w:val="FootnoteReference"/>
          <w:rFonts w:asciiTheme="majorHAnsi" w:hAnsiTheme="majorHAnsi"/>
          <w:b/>
          <w:bCs/>
          <w:sz w:val="16"/>
          <w:szCs w:val="16"/>
          <w:lang w:val="es-PE"/>
        </w:rPr>
        <w:footnoteRef/>
      </w:r>
      <w:r w:rsidRPr="002433B3">
        <w:rPr>
          <w:rFonts w:asciiTheme="majorHAnsi" w:hAnsiTheme="majorHAnsi"/>
          <w:b/>
          <w:bCs/>
          <w:sz w:val="16"/>
          <w:szCs w:val="16"/>
          <w:lang w:val="es-PE"/>
        </w:rPr>
        <w:t xml:space="preserve"> </w:t>
      </w:r>
      <w:r w:rsidRPr="002433B3">
        <w:rPr>
          <w:rStyle w:val="Strong"/>
          <w:rFonts w:asciiTheme="majorHAnsi" w:eastAsia="Cambria" w:hAnsiTheme="majorHAnsi"/>
          <w:b w:val="0"/>
          <w:bCs w:val="0"/>
          <w:sz w:val="16"/>
          <w:szCs w:val="16"/>
          <w:shd w:val="clear" w:color="auto" w:fill="FFFFFF"/>
          <w:lang w:val="es-PE"/>
        </w:rPr>
        <w:t>Corte IDH</w:t>
      </w:r>
      <w:r>
        <w:rPr>
          <w:rStyle w:val="Strong"/>
          <w:rFonts w:asciiTheme="majorHAnsi" w:eastAsia="Cambria" w:hAnsiTheme="majorHAnsi"/>
          <w:b w:val="0"/>
          <w:bCs w:val="0"/>
          <w:sz w:val="16"/>
          <w:szCs w:val="16"/>
          <w:shd w:val="clear" w:color="auto" w:fill="FFFFFF"/>
          <w:lang w:val="es-PE"/>
        </w:rPr>
        <w:t>,</w:t>
      </w:r>
      <w:r w:rsidRPr="002433B3">
        <w:rPr>
          <w:rStyle w:val="Strong"/>
          <w:rFonts w:asciiTheme="majorHAnsi" w:eastAsia="Cambria" w:hAnsiTheme="majorHAnsi"/>
          <w:b w:val="0"/>
          <w:bCs w:val="0"/>
          <w:sz w:val="16"/>
          <w:szCs w:val="16"/>
          <w:shd w:val="clear" w:color="auto" w:fill="FFFFFF"/>
          <w:lang w:val="es-PE"/>
        </w:rPr>
        <w:t xml:space="preserve"> Caso Norín Catrimán y otros (Dirigentes, Miembros y Activista del Pueblo Indígena Mapuche) Vs. Chile</w:t>
      </w:r>
      <w:r>
        <w:rPr>
          <w:rStyle w:val="Strong"/>
          <w:rFonts w:asciiTheme="majorHAnsi" w:eastAsia="Cambria" w:hAnsiTheme="majorHAnsi"/>
          <w:b w:val="0"/>
          <w:bCs w:val="0"/>
          <w:sz w:val="16"/>
          <w:szCs w:val="16"/>
          <w:shd w:val="clear" w:color="auto" w:fill="FFFFFF"/>
          <w:lang w:val="es-PE"/>
        </w:rPr>
        <w:t>,</w:t>
      </w:r>
      <w:r w:rsidRPr="002433B3">
        <w:rPr>
          <w:rStyle w:val="Strong"/>
          <w:rFonts w:asciiTheme="majorHAnsi" w:eastAsia="Cambria" w:hAnsiTheme="majorHAnsi"/>
          <w:b w:val="0"/>
          <w:bCs w:val="0"/>
          <w:sz w:val="16"/>
          <w:szCs w:val="16"/>
          <w:shd w:val="clear" w:color="auto" w:fill="FFFFFF"/>
          <w:lang w:val="es-PE"/>
        </w:rPr>
        <w:t xml:space="preserve"> Fondo, Reparaciones y Costas</w:t>
      </w:r>
      <w:r>
        <w:rPr>
          <w:rStyle w:val="Strong"/>
          <w:rFonts w:asciiTheme="majorHAnsi" w:eastAsia="Cambria" w:hAnsiTheme="majorHAnsi"/>
          <w:b w:val="0"/>
          <w:bCs w:val="0"/>
          <w:sz w:val="16"/>
          <w:szCs w:val="16"/>
          <w:shd w:val="clear" w:color="auto" w:fill="FFFFFF"/>
          <w:lang w:val="es-PE"/>
        </w:rPr>
        <w:t>,</w:t>
      </w:r>
      <w:r w:rsidRPr="002433B3">
        <w:rPr>
          <w:rStyle w:val="Strong"/>
          <w:rFonts w:asciiTheme="majorHAnsi" w:eastAsia="Cambria" w:hAnsiTheme="majorHAnsi"/>
          <w:b w:val="0"/>
          <w:bCs w:val="0"/>
          <w:sz w:val="16"/>
          <w:szCs w:val="16"/>
          <w:shd w:val="clear" w:color="auto" w:fill="FFFFFF"/>
          <w:lang w:val="es-PE"/>
        </w:rPr>
        <w:t xml:space="preserve"> Sentencia de</w:t>
      </w:r>
      <w:r>
        <w:rPr>
          <w:rStyle w:val="Strong"/>
          <w:rFonts w:asciiTheme="majorHAnsi" w:eastAsia="Cambria" w:hAnsiTheme="majorHAnsi"/>
          <w:b w:val="0"/>
          <w:bCs w:val="0"/>
          <w:sz w:val="16"/>
          <w:szCs w:val="16"/>
          <w:shd w:val="clear" w:color="auto" w:fill="FFFFFF"/>
          <w:lang w:val="es-PE"/>
        </w:rPr>
        <w:t>l</w:t>
      </w:r>
      <w:r w:rsidRPr="002433B3">
        <w:rPr>
          <w:rStyle w:val="Strong"/>
          <w:rFonts w:asciiTheme="majorHAnsi" w:eastAsia="Cambria" w:hAnsiTheme="majorHAnsi"/>
          <w:b w:val="0"/>
          <w:bCs w:val="0"/>
          <w:sz w:val="16"/>
          <w:szCs w:val="16"/>
          <w:shd w:val="clear" w:color="auto" w:fill="FFFFFF"/>
          <w:lang w:val="es-PE"/>
        </w:rPr>
        <w:t xml:space="preserve"> 29 de mayo de 2014</w:t>
      </w:r>
      <w:r>
        <w:rPr>
          <w:rStyle w:val="Strong"/>
          <w:rFonts w:asciiTheme="majorHAnsi" w:eastAsia="Cambria" w:hAnsiTheme="majorHAnsi"/>
          <w:b w:val="0"/>
          <w:bCs w:val="0"/>
          <w:sz w:val="16"/>
          <w:szCs w:val="16"/>
          <w:shd w:val="clear" w:color="auto" w:fill="FFFFFF"/>
          <w:lang w:val="es-PE"/>
        </w:rPr>
        <w:t>,</w:t>
      </w:r>
      <w:r w:rsidRPr="002433B3">
        <w:rPr>
          <w:rStyle w:val="Strong"/>
          <w:rFonts w:asciiTheme="majorHAnsi" w:eastAsia="Cambria" w:hAnsiTheme="majorHAnsi"/>
          <w:b w:val="0"/>
          <w:bCs w:val="0"/>
          <w:sz w:val="16"/>
          <w:szCs w:val="16"/>
          <w:shd w:val="clear" w:color="auto" w:fill="FFFFFF"/>
          <w:lang w:val="es-PE"/>
        </w:rPr>
        <w:t xml:space="preserve"> Serie C No. 279</w:t>
      </w:r>
      <w:r>
        <w:rPr>
          <w:rStyle w:val="Strong"/>
          <w:rFonts w:asciiTheme="majorHAnsi" w:eastAsia="Cambria" w:hAnsiTheme="majorHAnsi"/>
          <w:b w:val="0"/>
          <w:bCs w:val="0"/>
          <w:sz w:val="16"/>
          <w:szCs w:val="16"/>
          <w:shd w:val="clear" w:color="auto" w:fill="FFFFFF"/>
          <w:lang w:val="es-PE"/>
        </w:rPr>
        <w:t>,</w:t>
      </w:r>
      <w:r w:rsidRPr="002433B3">
        <w:rPr>
          <w:rStyle w:val="Strong"/>
          <w:rFonts w:asciiTheme="majorHAnsi" w:eastAsia="Cambria" w:hAnsiTheme="majorHAnsi"/>
          <w:b w:val="0"/>
          <w:bCs w:val="0"/>
          <w:sz w:val="16"/>
          <w:szCs w:val="16"/>
          <w:shd w:val="clear" w:color="auto" w:fill="FFFFFF"/>
          <w:lang w:val="es-PE"/>
        </w:rPr>
        <w:t xml:space="preserve"> </w:t>
      </w:r>
      <w:r>
        <w:rPr>
          <w:rStyle w:val="Strong"/>
          <w:rFonts w:asciiTheme="majorHAnsi" w:eastAsia="Cambria" w:hAnsiTheme="majorHAnsi"/>
          <w:b w:val="0"/>
          <w:bCs w:val="0"/>
          <w:sz w:val="16"/>
          <w:szCs w:val="16"/>
          <w:shd w:val="clear" w:color="auto" w:fill="FFFFFF"/>
          <w:lang w:val="es-PE"/>
        </w:rPr>
        <w:t>p</w:t>
      </w:r>
      <w:r w:rsidRPr="002433B3">
        <w:rPr>
          <w:rStyle w:val="Strong"/>
          <w:rFonts w:asciiTheme="majorHAnsi" w:eastAsia="Cambria" w:hAnsiTheme="majorHAnsi"/>
          <w:b w:val="0"/>
          <w:bCs w:val="0"/>
          <w:sz w:val="16"/>
          <w:szCs w:val="16"/>
          <w:shd w:val="clear" w:color="auto" w:fill="FFFFFF"/>
          <w:lang w:val="es-PE"/>
        </w:rPr>
        <w:t xml:space="preserve">árr. 270. </w:t>
      </w:r>
      <w:r w:rsidRPr="002433B3">
        <w:rPr>
          <w:rFonts w:asciiTheme="majorHAnsi" w:hAnsiTheme="majorHAnsi"/>
          <w:b/>
          <w:bCs/>
          <w:sz w:val="16"/>
          <w:szCs w:val="16"/>
          <w:lang w:val="es-PE"/>
        </w:rPr>
        <w:t xml:space="preserve">  </w:t>
      </w:r>
    </w:p>
  </w:footnote>
  <w:footnote w:id="25">
    <w:p w14:paraId="4C60F31E" w14:textId="77777777" w:rsidR="000E3665" w:rsidRPr="001272CB" w:rsidRDefault="000E3665" w:rsidP="000E3665">
      <w:pPr>
        <w:pStyle w:val="FootnoteText"/>
        <w:ind w:firstLine="720"/>
        <w:jc w:val="both"/>
        <w:rPr>
          <w:rFonts w:ascii="Cambria" w:hAnsi="Cambria"/>
          <w:sz w:val="16"/>
          <w:szCs w:val="16"/>
          <w:lang w:val="es-AR"/>
        </w:rPr>
      </w:pPr>
      <w:r w:rsidRPr="001272CB">
        <w:rPr>
          <w:rStyle w:val="FootnoteReference"/>
          <w:rFonts w:ascii="Cambria" w:hAnsi="Cambria"/>
          <w:sz w:val="16"/>
          <w:szCs w:val="16"/>
        </w:rPr>
        <w:footnoteRef/>
      </w:r>
      <w:r w:rsidRPr="001272CB">
        <w:rPr>
          <w:rFonts w:ascii="Cambria" w:hAnsi="Cambria"/>
          <w:sz w:val="16"/>
          <w:szCs w:val="16"/>
          <w:lang w:val="es-AR"/>
        </w:rPr>
        <w:t xml:space="preserve"> CIDH</w:t>
      </w:r>
      <w:r>
        <w:rPr>
          <w:rFonts w:ascii="Cambria" w:hAnsi="Cambria"/>
          <w:sz w:val="16"/>
          <w:szCs w:val="16"/>
          <w:lang w:val="es-AR"/>
        </w:rPr>
        <w:t>,</w:t>
      </w:r>
      <w:r w:rsidRPr="001272CB">
        <w:rPr>
          <w:rFonts w:ascii="Cambria" w:hAnsi="Cambria"/>
          <w:sz w:val="16"/>
          <w:szCs w:val="16"/>
          <w:lang w:val="es-AR"/>
        </w:rPr>
        <w:t xml:space="preserve"> Informe No. 55/97</w:t>
      </w:r>
      <w:r>
        <w:rPr>
          <w:rFonts w:ascii="Cambria" w:hAnsi="Cambria"/>
          <w:sz w:val="16"/>
          <w:szCs w:val="16"/>
          <w:lang w:val="es-AR"/>
        </w:rPr>
        <w:t>,</w:t>
      </w:r>
      <w:r w:rsidRPr="001272CB">
        <w:rPr>
          <w:rFonts w:ascii="Cambria" w:hAnsi="Cambria"/>
          <w:sz w:val="16"/>
          <w:szCs w:val="16"/>
          <w:lang w:val="es-AR"/>
        </w:rPr>
        <w:t xml:space="preserve"> Caso 11.137</w:t>
      </w:r>
      <w:r>
        <w:rPr>
          <w:rFonts w:ascii="Cambria" w:hAnsi="Cambria"/>
          <w:sz w:val="16"/>
          <w:szCs w:val="16"/>
          <w:lang w:val="es-AR"/>
        </w:rPr>
        <w:t>,</w:t>
      </w:r>
      <w:r w:rsidRPr="001272CB">
        <w:rPr>
          <w:rFonts w:ascii="Cambria" w:hAnsi="Cambria"/>
          <w:sz w:val="16"/>
          <w:szCs w:val="16"/>
          <w:lang w:val="es-AR"/>
        </w:rPr>
        <w:t xml:space="preserve"> Fondo</w:t>
      </w:r>
      <w:r>
        <w:rPr>
          <w:rFonts w:ascii="Cambria" w:hAnsi="Cambria"/>
          <w:sz w:val="16"/>
          <w:szCs w:val="16"/>
          <w:lang w:val="es-AR"/>
        </w:rPr>
        <w:t>,</w:t>
      </w:r>
      <w:r w:rsidRPr="001272CB">
        <w:rPr>
          <w:rFonts w:ascii="Cambria" w:hAnsi="Cambria"/>
          <w:sz w:val="16"/>
          <w:szCs w:val="16"/>
          <w:lang w:val="es-AR"/>
        </w:rPr>
        <w:t xml:space="preserve"> Juan Carlos Abella</w:t>
      </w:r>
      <w:r>
        <w:rPr>
          <w:rFonts w:ascii="Cambria" w:hAnsi="Cambria"/>
          <w:sz w:val="16"/>
          <w:szCs w:val="16"/>
          <w:lang w:val="es-AR"/>
        </w:rPr>
        <w:t xml:space="preserve"> (</w:t>
      </w:r>
      <w:r w:rsidRPr="001272CB">
        <w:rPr>
          <w:rFonts w:ascii="Cambria" w:hAnsi="Cambria"/>
          <w:sz w:val="16"/>
          <w:szCs w:val="16"/>
          <w:lang w:val="es-AR"/>
        </w:rPr>
        <w:t>Argentina</w:t>
      </w:r>
      <w:r>
        <w:rPr>
          <w:rFonts w:ascii="Cambria" w:hAnsi="Cambria"/>
          <w:sz w:val="16"/>
          <w:szCs w:val="16"/>
          <w:lang w:val="es-AR"/>
        </w:rPr>
        <w:t xml:space="preserve">), </w:t>
      </w:r>
      <w:r w:rsidRPr="001272CB">
        <w:rPr>
          <w:rFonts w:ascii="Cambria" w:hAnsi="Cambria"/>
          <w:sz w:val="16"/>
          <w:szCs w:val="16"/>
          <w:lang w:val="es-AR"/>
        </w:rPr>
        <w:t>18 de noviembre de 1997</w:t>
      </w:r>
      <w:r>
        <w:rPr>
          <w:rFonts w:ascii="Cambria" w:hAnsi="Cambria"/>
          <w:sz w:val="16"/>
          <w:szCs w:val="16"/>
          <w:lang w:val="es-AR"/>
        </w:rPr>
        <w:t>, p</w:t>
      </w:r>
      <w:r w:rsidRPr="001272CB">
        <w:rPr>
          <w:rFonts w:ascii="Cambria" w:hAnsi="Cambria"/>
          <w:sz w:val="16"/>
          <w:szCs w:val="16"/>
          <w:lang w:val="es-AR"/>
        </w:rPr>
        <w:t xml:space="preserve">árr. 261. </w:t>
      </w:r>
    </w:p>
  </w:footnote>
  <w:footnote w:id="26">
    <w:p w14:paraId="3E5BA489" w14:textId="17933074" w:rsidR="000E3665" w:rsidRPr="008B0B56" w:rsidRDefault="000E3665" w:rsidP="000E3665">
      <w:pPr>
        <w:pStyle w:val="NormalWeb"/>
        <w:spacing w:before="0" w:beforeAutospacing="0" w:after="0" w:afterAutospacing="0"/>
        <w:ind w:firstLine="720"/>
        <w:jc w:val="both"/>
        <w:rPr>
          <w:rFonts w:ascii="Cambria" w:hAnsi="Cambria"/>
          <w:sz w:val="16"/>
          <w:szCs w:val="16"/>
          <w:lang w:val="es-ES"/>
        </w:rPr>
      </w:pPr>
      <w:r w:rsidRPr="001272CB">
        <w:rPr>
          <w:rStyle w:val="FootnoteReference"/>
          <w:rFonts w:ascii="Cambria" w:eastAsia="Trebuchet MS" w:hAnsi="Cambria"/>
          <w:sz w:val="16"/>
          <w:szCs w:val="16"/>
          <w:lang w:val="es-ES"/>
        </w:rPr>
        <w:footnoteRef/>
      </w:r>
      <w:r w:rsidR="00150BC0">
        <w:rPr>
          <w:rFonts w:ascii="Cambria" w:hAnsi="Cambria"/>
          <w:sz w:val="16"/>
          <w:szCs w:val="16"/>
          <w:lang w:val="es-ES"/>
        </w:rPr>
        <w:t xml:space="preserve"> </w:t>
      </w:r>
      <w:r w:rsidRPr="001272CB">
        <w:rPr>
          <w:rFonts w:ascii="Cambria" w:hAnsi="Cambria" w:cs="Calibri"/>
          <w:sz w:val="16"/>
          <w:szCs w:val="16"/>
          <w:lang w:val="es-ES"/>
        </w:rPr>
        <w:t xml:space="preserve">CIDH, Informe No. 172/10, Caso 12.561, Fondo, César Alberto Mendoza y otros (Prisión y reclusión perpetuas de adolescentes), Argentina, 2 de noviembre de 2010, párr. 189.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81839"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3340BC6"/>
    <w:lvl w:ilvl="0" w:tplc="F9DE747E">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330"/>
    <w:rsid w:val="00005412"/>
    <w:rsid w:val="00006C6F"/>
    <w:rsid w:val="00006E1F"/>
    <w:rsid w:val="000070D7"/>
    <w:rsid w:val="0001449C"/>
    <w:rsid w:val="0001788C"/>
    <w:rsid w:val="000253ED"/>
    <w:rsid w:val="0002557B"/>
    <w:rsid w:val="00030B8A"/>
    <w:rsid w:val="00033260"/>
    <w:rsid w:val="000337EF"/>
    <w:rsid w:val="00033A10"/>
    <w:rsid w:val="00034E76"/>
    <w:rsid w:val="00040C3A"/>
    <w:rsid w:val="0004179A"/>
    <w:rsid w:val="000419AD"/>
    <w:rsid w:val="00041BBC"/>
    <w:rsid w:val="00042864"/>
    <w:rsid w:val="000433C9"/>
    <w:rsid w:val="00051D6D"/>
    <w:rsid w:val="000560E8"/>
    <w:rsid w:val="00056616"/>
    <w:rsid w:val="00056686"/>
    <w:rsid w:val="00061D3C"/>
    <w:rsid w:val="00062DAC"/>
    <w:rsid w:val="00067EFC"/>
    <w:rsid w:val="000716C5"/>
    <w:rsid w:val="000737A7"/>
    <w:rsid w:val="00075E23"/>
    <w:rsid w:val="00083768"/>
    <w:rsid w:val="000859F0"/>
    <w:rsid w:val="00087200"/>
    <w:rsid w:val="0009344A"/>
    <w:rsid w:val="000934F3"/>
    <w:rsid w:val="000A22E9"/>
    <w:rsid w:val="000A34E1"/>
    <w:rsid w:val="000A392E"/>
    <w:rsid w:val="000A5548"/>
    <w:rsid w:val="000A575F"/>
    <w:rsid w:val="000B062C"/>
    <w:rsid w:val="000B3B23"/>
    <w:rsid w:val="000B795A"/>
    <w:rsid w:val="000B7BDE"/>
    <w:rsid w:val="000C28A8"/>
    <w:rsid w:val="000C6B62"/>
    <w:rsid w:val="000D05CB"/>
    <w:rsid w:val="000D10DB"/>
    <w:rsid w:val="000D41EF"/>
    <w:rsid w:val="000E09B4"/>
    <w:rsid w:val="000E3665"/>
    <w:rsid w:val="000E4267"/>
    <w:rsid w:val="000E5835"/>
    <w:rsid w:val="000E5EB5"/>
    <w:rsid w:val="000E7366"/>
    <w:rsid w:val="000F06B5"/>
    <w:rsid w:val="000F0D45"/>
    <w:rsid w:val="000F21CE"/>
    <w:rsid w:val="000F35ED"/>
    <w:rsid w:val="000F553A"/>
    <w:rsid w:val="001006EF"/>
    <w:rsid w:val="00103549"/>
    <w:rsid w:val="001056E4"/>
    <w:rsid w:val="00106DC8"/>
    <w:rsid w:val="00107131"/>
    <w:rsid w:val="0010736F"/>
    <w:rsid w:val="0011028F"/>
    <w:rsid w:val="00111357"/>
    <w:rsid w:val="00113F73"/>
    <w:rsid w:val="001140CA"/>
    <w:rsid w:val="00114301"/>
    <w:rsid w:val="00116EA5"/>
    <w:rsid w:val="00121CC2"/>
    <w:rsid w:val="001304BB"/>
    <w:rsid w:val="00131210"/>
    <w:rsid w:val="00131425"/>
    <w:rsid w:val="00132805"/>
    <w:rsid w:val="00133EE5"/>
    <w:rsid w:val="00143B88"/>
    <w:rsid w:val="00144295"/>
    <w:rsid w:val="00144C32"/>
    <w:rsid w:val="00146B41"/>
    <w:rsid w:val="00147573"/>
    <w:rsid w:val="00150BC0"/>
    <w:rsid w:val="001523A7"/>
    <w:rsid w:val="001559F0"/>
    <w:rsid w:val="00156355"/>
    <w:rsid w:val="0016296E"/>
    <w:rsid w:val="00162EB3"/>
    <w:rsid w:val="00167A34"/>
    <w:rsid w:val="0017094D"/>
    <w:rsid w:val="00187645"/>
    <w:rsid w:val="00192308"/>
    <w:rsid w:val="00194275"/>
    <w:rsid w:val="0019703D"/>
    <w:rsid w:val="001A3700"/>
    <w:rsid w:val="001A7870"/>
    <w:rsid w:val="001B3A00"/>
    <w:rsid w:val="001B5FB1"/>
    <w:rsid w:val="001C1B41"/>
    <w:rsid w:val="001C2C15"/>
    <w:rsid w:val="001C2C54"/>
    <w:rsid w:val="001D65EF"/>
    <w:rsid w:val="001D68F0"/>
    <w:rsid w:val="001D7945"/>
    <w:rsid w:val="001E3788"/>
    <w:rsid w:val="001E3A47"/>
    <w:rsid w:val="001E49E7"/>
    <w:rsid w:val="001F51D9"/>
    <w:rsid w:val="001F5511"/>
    <w:rsid w:val="001F659C"/>
    <w:rsid w:val="001F7201"/>
    <w:rsid w:val="00201930"/>
    <w:rsid w:val="0020204D"/>
    <w:rsid w:val="002059C6"/>
    <w:rsid w:val="00212090"/>
    <w:rsid w:val="00217FDB"/>
    <w:rsid w:val="00223A29"/>
    <w:rsid w:val="00223FA3"/>
    <w:rsid w:val="002246FF"/>
    <w:rsid w:val="002250A3"/>
    <w:rsid w:val="00225159"/>
    <w:rsid w:val="002274BB"/>
    <w:rsid w:val="00235217"/>
    <w:rsid w:val="00242544"/>
    <w:rsid w:val="002434D9"/>
    <w:rsid w:val="002469D2"/>
    <w:rsid w:val="00246D1F"/>
    <w:rsid w:val="00247403"/>
    <w:rsid w:val="00247542"/>
    <w:rsid w:val="00247FAA"/>
    <w:rsid w:val="002534DA"/>
    <w:rsid w:val="00255EFA"/>
    <w:rsid w:val="0026020D"/>
    <w:rsid w:val="00265738"/>
    <w:rsid w:val="002662FC"/>
    <w:rsid w:val="00266B3E"/>
    <w:rsid w:val="00266B61"/>
    <w:rsid w:val="0026712A"/>
    <w:rsid w:val="00267436"/>
    <w:rsid w:val="002704DB"/>
    <w:rsid w:val="00273E0E"/>
    <w:rsid w:val="00275DFF"/>
    <w:rsid w:val="00283F92"/>
    <w:rsid w:val="0028473E"/>
    <w:rsid w:val="002866C1"/>
    <w:rsid w:val="00291293"/>
    <w:rsid w:val="002956AC"/>
    <w:rsid w:val="00295C3B"/>
    <w:rsid w:val="002978D2"/>
    <w:rsid w:val="002A0AAE"/>
    <w:rsid w:val="002A2765"/>
    <w:rsid w:val="002A3183"/>
    <w:rsid w:val="002A5820"/>
    <w:rsid w:val="002B19E0"/>
    <w:rsid w:val="002B2AB9"/>
    <w:rsid w:val="002B4563"/>
    <w:rsid w:val="002D2B26"/>
    <w:rsid w:val="002D7EA2"/>
    <w:rsid w:val="002E187C"/>
    <w:rsid w:val="002E2EBB"/>
    <w:rsid w:val="002E3D1B"/>
    <w:rsid w:val="002E5381"/>
    <w:rsid w:val="002E58F8"/>
    <w:rsid w:val="002F080D"/>
    <w:rsid w:val="002F1096"/>
    <w:rsid w:val="002F1716"/>
    <w:rsid w:val="002F1880"/>
    <w:rsid w:val="002F414A"/>
    <w:rsid w:val="00301DE8"/>
    <w:rsid w:val="00302733"/>
    <w:rsid w:val="00303948"/>
    <w:rsid w:val="003075BE"/>
    <w:rsid w:val="00310356"/>
    <w:rsid w:val="00314078"/>
    <w:rsid w:val="0031535D"/>
    <w:rsid w:val="00315368"/>
    <w:rsid w:val="0032061E"/>
    <w:rsid w:val="00320642"/>
    <w:rsid w:val="00320F9A"/>
    <w:rsid w:val="003239B8"/>
    <w:rsid w:val="003276BA"/>
    <w:rsid w:val="003306C6"/>
    <w:rsid w:val="00331632"/>
    <w:rsid w:val="0033169F"/>
    <w:rsid w:val="003430DE"/>
    <w:rsid w:val="00343758"/>
    <w:rsid w:val="00344977"/>
    <w:rsid w:val="00344F2D"/>
    <w:rsid w:val="00346C95"/>
    <w:rsid w:val="003474E1"/>
    <w:rsid w:val="00353CF5"/>
    <w:rsid w:val="00356185"/>
    <w:rsid w:val="00360380"/>
    <w:rsid w:val="0036161A"/>
    <w:rsid w:val="0036392E"/>
    <w:rsid w:val="00365349"/>
    <w:rsid w:val="00371F31"/>
    <w:rsid w:val="00372865"/>
    <w:rsid w:val="00374D5E"/>
    <w:rsid w:val="0037519E"/>
    <w:rsid w:val="003770EE"/>
    <w:rsid w:val="00377313"/>
    <w:rsid w:val="00381891"/>
    <w:rsid w:val="00383466"/>
    <w:rsid w:val="003855D2"/>
    <w:rsid w:val="003869C2"/>
    <w:rsid w:val="00386CF0"/>
    <w:rsid w:val="00390050"/>
    <w:rsid w:val="003903AB"/>
    <w:rsid w:val="00391C93"/>
    <w:rsid w:val="00392B93"/>
    <w:rsid w:val="003A2069"/>
    <w:rsid w:val="003A2583"/>
    <w:rsid w:val="003B0026"/>
    <w:rsid w:val="003B1A05"/>
    <w:rsid w:val="003B3458"/>
    <w:rsid w:val="003B70FB"/>
    <w:rsid w:val="003C0AE7"/>
    <w:rsid w:val="003C10AC"/>
    <w:rsid w:val="003C154F"/>
    <w:rsid w:val="003C3827"/>
    <w:rsid w:val="003C676B"/>
    <w:rsid w:val="003D1CFE"/>
    <w:rsid w:val="003D3BC2"/>
    <w:rsid w:val="003E64D9"/>
    <w:rsid w:val="003E6CA1"/>
    <w:rsid w:val="003E74F8"/>
    <w:rsid w:val="003F63AD"/>
    <w:rsid w:val="00404DAF"/>
    <w:rsid w:val="00405F9C"/>
    <w:rsid w:val="00406199"/>
    <w:rsid w:val="004065A8"/>
    <w:rsid w:val="00406AF7"/>
    <w:rsid w:val="00414014"/>
    <w:rsid w:val="004165C2"/>
    <w:rsid w:val="00421785"/>
    <w:rsid w:val="00423B72"/>
    <w:rsid w:val="00441524"/>
    <w:rsid w:val="00441E0D"/>
    <w:rsid w:val="00441ECB"/>
    <w:rsid w:val="00443C74"/>
    <w:rsid w:val="004445EF"/>
    <w:rsid w:val="00445193"/>
    <w:rsid w:val="00445CE8"/>
    <w:rsid w:val="0045662F"/>
    <w:rsid w:val="0046105F"/>
    <w:rsid w:val="00462C1B"/>
    <w:rsid w:val="00465CCE"/>
    <w:rsid w:val="00467B7E"/>
    <w:rsid w:val="00472E35"/>
    <w:rsid w:val="00473BB4"/>
    <w:rsid w:val="00477592"/>
    <w:rsid w:val="00481037"/>
    <w:rsid w:val="00481982"/>
    <w:rsid w:val="00486F1C"/>
    <w:rsid w:val="0048719B"/>
    <w:rsid w:val="0049419D"/>
    <w:rsid w:val="004A0CC6"/>
    <w:rsid w:val="004A5246"/>
    <w:rsid w:val="004A6A54"/>
    <w:rsid w:val="004B2FF6"/>
    <w:rsid w:val="004B4768"/>
    <w:rsid w:val="004B5430"/>
    <w:rsid w:val="004B6C88"/>
    <w:rsid w:val="004C01DA"/>
    <w:rsid w:val="004C20D2"/>
    <w:rsid w:val="004C2312"/>
    <w:rsid w:val="004C26CF"/>
    <w:rsid w:val="004C2E3B"/>
    <w:rsid w:val="004C2FD9"/>
    <w:rsid w:val="004C4B62"/>
    <w:rsid w:val="004C54C9"/>
    <w:rsid w:val="004D1AEC"/>
    <w:rsid w:val="004D4ABA"/>
    <w:rsid w:val="004D51FD"/>
    <w:rsid w:val="004D6025"/>
    <w:rsid w:val="004D6F88"/>
    <w:rsid w:val="004E1769"/>
    <w:rsid w:val="004E2649"/>
    <w:rsid w:val="004E767B"/>
    <w:rsid w:val="004F23B8"/>
    <w:rsid w:val="004F43FC"/>
    <w:rsid w:val="004F4D2E"/>
    <w:rsid w:val="004F626F"/>
    <w:rsid w:val="004F7C52"/>
    <w:rsid w:val="00501399"/>
    <w:rsid w:val="0050496D"/>
    <w:rsid w:val="0050633D"/>
    <w:rsid w:val="00507BC4"/>
    <w:rsid w:val="005124A7"/>
    <w:rsid w:val="005128E4"/>
    <w:rsid w:val="005133DB"/>
    <w:rsid w:val="00513EC4"/>
    <w:rsid w:val="00514504"/>
    <w:rsid w:val="005159EE"/>
    <w:rsid w:val="00521F5B"/>
    <w:rsid w:val="00522C3B"/>
    <w:rsid w:val="00525560"/>
    <w:rsid w:val="00525677"/>
    <w:rsid w:val="00541F92"/>
    <w:rsid w:val="00544C49"/>
    <w:rsid w:val="00546BED"/>
    <w:rsid w:val="0055061C"/>
    <w:rsid w:val="005516A1"/>
    <w:rsid w:val="00552E25"/>
    <w:rsid w:val="00553647"/>
    <w:rsid w:val="00554C78"/>
    <w:rsid w:val="005559EF"/>
    <w:rsid w:val="005564B7"/>
    <w:rsid w:val="00562F35"/>
    <w:rsid w:val="00563557"/>
    <w:rsid w:val="0057039A"/>
    <w:rsid w:val="005719E7"/>
    <w:rsid w:val="005724FD"/>
    <w:rsid w:val="0057402A"/>
    <w:rsid w:val="005771D0"/>
    <w:rsid w:val="00582F87"/>
    <w:rsid w:val="00585F24"/>
    <w:rsid w:val="0059191A"/>
    <w:rsid w:val="005921FF"/>
    <w:rsid w:val="00593029"/>
    <w:rsid w:val="00596F59"/>
    <w:rsid w:val="005A24ED"/>
    <w:rsid w:val="005A254F"/>
    <w:rsid w:val="005A6BAC"/>
    <w:rsid w:val="005A6D0E"/>
    <w:rsid w:val="005B52B0"/>
    <w:rsid w:val="005B6806"/>
    <w:rsid w:val="005C4225"/>
    <w:rsid w:val="005D38F9"/>
    <w:rsid w:val="005D6B4A"/>
    <w:rsid w:val="005F0D75"/>
    <w:rsid w:val="005F0DAD"/>
    <w:rsid w:val="005F0F33"/>
    <w:rsid w:val="005F1B57"/>
    <w:rsid w:val="005F1DB0"/>
    <w:rsid w:val="005F2C93"/>
    <w:rsid w:val="005F327D"/>
    <w:rsid w:val="005F44F5"/>
    <w:rsid w:val="005F6BF4"/>
    <w:rsid w:val="006004C1"/>
    <w:rsid w:val="00600DEB"/>
    <w:rsid w:val="00601964"/>
    <w:rsid w:val="00614AFC"/>
    <w:rsid w:val="0061609D"/>
    <w:rsid w:val="0062626E"/>
    <w:rsid w:val="00626444"/>
    <w:rsid w:val="00627C9F"/>
    <w:rsid w:val="006311E9"/>
    <w:rsid w:val="00631DA5"/>
    <w:rsid w:val="00632354"/>
    <w:rsid w:val="00635421"/>
    <w:rsid w:val="006362A7"/>
    <w:rsid w:val="00637AAC"/>
    <w:rsid w:val="006416A3"/>
    <w:rsid w:val="00642810"/>
    <w:rsid w:val="00642B62"/>
    <w:rsid w:val="00643481"/>
    <w:rsid w:val="00645D22"/>
    <w:rsid w:val="00652333"/>
    <w:rsid w:val="00654504"/>
    <w:rsid w:val="006560C1"/>
    <w:rsid w:val="00666686"/>
    <w:rsid w:val="00666CC8"/>
    <w:rsid w:val="006671FF"/>
    <w:rsid w:val="00672AA1"/>
    <w:rsid w:val="00674A49"/>
    <w:rsid w:val="00676AEE"/>
    <w:rsid w:val="0068009E"/>
    <w:rsid w:val="006853BA"/>
    <w:rsid w:val="00692219"/>
    <w:rsid w:val="006A17D2"/>
    <w:rsid w:val="006A6369"/>
    <w:rsid w:val="006A73E6"/>
    <w:rsid w:val="006B0AE2"/>
    <w:rsid w:val="006B1B78"/>
    <w:rsid w:val="006B2D5C"/>
    <w:rsid w:val="006B4084"/>
    <w:rsid w:val="006C0D4C"/>
    <w:rsid w:val="006C3107"/>
    <w:rsid w:val="006C3484"/>
    <w:rsid w:val="006C4877"/>
    <w:rsid w:val="006C4EB1"/>
    <w:rsid w:val="006C7384"/>
    <w:rsid w:val="006C7BD9"/>
    <w:rsid w:val="006D1946"/>
    <w:rsid w:val="006D5B19"/>
    <w:rsid w:val="006E0166"/>
    <w:rsid w:val="006E0722"/>
    <w:rsid w:val="006E2FFB"/>
    <w:rsid w:val="006E7B34"/>
    <w:rsid w:val="006F2C73"/>
    <w:rsid w:val="006F2E47"/>
    <w:rsid w:val="006F3857"/>
    <w:rsid w:val="00700998"/>
    <w:rsid w:val="007022DE"/>
    <w:rsid w:val="007067B6"/>
    <w:rsid w:val="007068EB"/>
    <w:rsid w:val="0070697F"/>
    <w:rsid w:val="0071046A"/>
    <w:rsid w:val="007118FB"/>
    <w:rsid w:val="00712E19"/>
    <w:rsid w:val="00720C38"/>
    <w:rsid w:val="00720E5E"/>
    <w:rsid w:val="00721974"/>
    <w:rsid w:val="0072199C"/>
    <w:rsid w:val="007219D6"/>
    <w:rsid w:val="00722173"/>
    <w:rsid w:val="00722C9F"/>
    <w:rsid w:val="0072480A"/>
    <w:rsid w:val="007253B8"/>
    <w:rsid w:val="00730BAF"/>
    <w:rsid w:val="00735C12"/>
    <w:rsid w:val="0073741F"/>
    <w:rsid w:val="007410F1"/>
    <w:rsid w:val="0074293C"/>
    <w:rsid w:val="007449B3"/>
    <w:rsid w:val="007513A7"/>
    <w:rsid w:val="007572A8"/>
    <w:rsid w:val="00761282"/>
    <w:rsid w:val="0076643F"/>
    <w:rsid w:val="00766E19"/>
    <w:rsid w:val="007705D7"/>
    <w:rsid w:val="007714AC"/>
    <w:rsid w:val="007775C5"/>
    <w:rsid w:val="00777F63"/>
    <w:rsid w:val="00777FFE"/>
    <w:rsid w:val="00780814"/>
    <w:rsid w:val="00781BC8"/>
    <w:rsid w:val="00787715"/>
    <w:rsid w:val="00790210"/>
    <w:rsid w:val="00791760"/>
    <w:rsid w:val="00791949"/>
    <w:rsid w:val="007950F0"/>
    <w:rsid w:val="00795199"/>
    <w:rsid w:val="00797718"/>
    <w:rsid w:val="007A0129"/>
    <w:rsid w:val="007A1C02"/>
    <w:rsid w:val="007A217F"/>
    <w:rsid w:val="007A3237"/>
    <w:rsid w:val="007A5740"/>
    <w:rsid w:val="007A5817"/>
    <w:rsid w:val="007B05C4"/>
    <w:rsid w:val="007B1DBC"/>
    <w:rsid w:val="007B2D29"/>
    <w:rsid w:val="007B2DBC"/>
    <w:rsid w:val="007B2EF6"/>
    <w:rsid w:val="007B5B9E"/>
    <w:rsid w:val="007B60E9"/>
    <w:rsid w:val="007B6CC3"/>
    <w:rsid w:val="007B76D3"/>
    <w:rsid w:val="007C1952"/>
    <w:rsid w:val="007C3334"/>
    <w:rsid w:val="007C3F25"/>
    <w:rsid w:val="007C6BAB"/>
    <w:rsid w:val="007D2B98"/>
    <w:rsid w:val="007D6A9B"/>
    <w:rsid w:val="007E21BC"/>
    <w:rsid w:val="007E3F0D"/>
    <w:rsid w:val="007E7C82"/>
    <w:rsid w:val="007F1B9F"/>
    <w:rsid w:val="007F2AA1"/>
    <w:rsid w:val="007F588D"/>
    <w:rsid w:val="007F692C"/>
    <w:rsid w:val="007F6F80"/>
    <w:rsid w:val="007F7F8B"/>
    <w:rsid w:val="008025D9"/>
    <w:rsid w:val="00803F1C"/>
    <w:rsid w:val="00805E57"/>
    <w:rsid w:val="0080600E"/>
    <w:rsid w:val="00806934"/>
    <w:rsid w:val="008112C6"/>
    <w:rsid w:val="00811958"/>
    <w:rsid w:val="00814688"/>
    <w:rsid w:val="008172E5"/>
    <w:rsid w:val="00817612"/>
    <w:rsid w:val="00817C5C"/>
    <w:rsid w:val="00817D5C"/>
    <w:rsid w:val="00821C9E"/>
    <w:rsid w:val="008220E8"/>
    <w:rsid w:val="00824D87"/>
    <w:rsid w:val="00826661"/>
    <w:rsid w:val="008338A4"/>
    <w:rsid w:val="008346DD"/>
    <w:rsid w:val="00834D49"/>
    <w:rsid w:val="0083531A"/>
    <w:rsid w:val="008359DB"/>
    <w:rsid w:val="00836F55"/>
    <w:rsid w:val="00837C45"/>
    <w:rsid w:val="00840D88"/>
    <w:rsid w:val="00841F38"/>
    <w:rsid w:val="008439E2"/>
    <w:rsid w:val="00844730"/>
    <w:rsid w:val="008457C2"/>
    <w:rsid w:val="008462EE"/>
    <w:rsid w:val="00854698"/>
    <w:rsid w:val="0085622B"/>
    <w:rsid w:val="00857A82"/>
    <w:rsid w:val="00860474"/>
    <w:rsid w:val="00860F4A"/>
    <w:rsid w:val="0086188B"/>
    <w:rsid w:val="00862395"/>
    <w:rsid w:val="00864BE6"/>
    <w:rsid w:val="00867314"/>
    <w:rsid w:val="00873836"/>
    <w:rsid w:val="0087414F"/>
    <w:rsid w:val="00875668"/>
    <w:rsid w:val="00882D9B"/>
    <w:rsid w:val="00884F29"/>
    <w:rsid w:val="008852F8"/>
    <w:rsid w:val="00885737"/>
    <w:rsid w:val="00890650"/>
    <w:rsid w:val="00894966"/>
    <w:rsid w:val="00897E12"/>
    <w:rsid w:val="008A1119"/>
    <w:rsid w:val="008A5CB8"/>
    <w:rsid w:val="008A7E0F"/>
    <w:rsid w:val="008B0911"/>
    <w:rsid w:val="008B12F5"/>
    <w:rsid w:val="008B1438"/>
    <w:rsid w:val="008B3905"/>
    <w:rsid w:val="008B3BA2"/>
    <w:rsid w:val="008C0396"/>
    <w:rsid w:val="008C0D8B"/>
    <w:rsid w:val="008C52CC"/>
    <w:rsid w:val="008C5E2D"/>
    <w:rsid w:val="008C666A"/>
    <w:rsid w:val="008C7DE1"/>
    <w:rsid w:val="008D03E9"/>
    <w:rsid w:val="008D55F5"/>
    <w:rsid w:val="008D581E"/>
    <w:rsid w:val="008D768D"/>
    <w:rsid w:val="008E3587"/>
    <w:rsid w:val="008E3759"/>
    <w:rsid w:val="008E3BFE"/>
    <w:rsid w:val="008E5C93"/>
    <w:rsid w:val="008E67B7"/>
    <w:rsid w:val="008F1912"/>
    <w:rsid w:val="008F37F2"/>
    <w:rsid w:val="008F6691"/>
    <w:rsid w:val="00902526"/>
    <w:rsid w:val="0090270B"/>
    <w:rsid w:val="00903FDD"/>
    <w:rsid w:val="009041DC"/>
    <w:rsid w:val="00910C4F"/>
    <w:rsid w:val="00917B5A"/>
    <w:rsid w:val="00920582"/>
    <w:rsid w:val="00920A58"/>
    <w:rsid w:val="00920A8C"/>
    <w:rsid w:val="00922B47"/>
    <w:rsid w:val="00930F4A"/>
    <w:rsid w:val="009312CD"/>
    <w:rsid w:val="00934A2C"/>
    <w:rsid w:val="00934A8B"/>
    <w:rsid w:val="00935053"/>
    <w:rsid w:val="0093685C"/>
    <w:rsid w:val="00945FC7"/>
    <w:rsid w:val="009542C9"/>
    <w:rsid w:val="0095542E"/>
    <w:rsid w:val="00960011"/>
    <w:rsid w:val="00960598"/>
    <w:rsid w:val="009612C3"/>
    <w:rsid w:val="00961C78"/>
    <w:rsid w:val="00962247"/>
    <w:rsid w:val="0096317E"/>
    <w:rsid w:val="0096351A"/>
    <w:rsid w:val="00963875"/>
    <w:rsid w:val="0096706E"/>
    <w:rsid w:val="009670D4"/>
    <w:rsid w:val="009704DD"/>
    <w:rsid w:val="0097277D"/>
    <w:rsid w:val="00974491"/>
    <w:rsid w:val="00974946"/>
    <w:rsid w:val="00975524"/>
    <w:rsid w:val="00975C4E"/>
    <w:rsid w:val="009812D1"/>
    <w:rsid w:val="00981FBA"/>
    <w:rsid w:val="00985B21"/>
    <w:rsid w:val="009925AE"/>
    <w:rsid w:val="009941CA"/>
    <w:rsid w:val="009973D7"/>
    <w:rsid w:val="00997BC5"/>
    <w:rsid w:val="009A0667"/>
    <w:rsid w:val="009A12E3"/>
    <w:rsid w:val="009A4F41"/>
    <w:rsid w:val="009A7AAA"/>
    <w:rsid w:val="009A7EE9"/>
    <w:rsid w:val="009B19A2"/>
    <w:rsid w:val="009B381B"/>
    <w:rsid w:val="009C30CA"/>
    <w:rsid w:val="009D1753"/>
    <w:rsid w:val="009D2678"/>
    <w:rsid w:val="009D379B"/>
    <w:rsid w:val="009D6E86"/>
    <w:rsid w:val="009D7611"/>
    <w:rsid w:val="009D769D"/>
    <w:rsid w:val="009E0B61"/>
    <w:rsid w:val="009E22C5"/>
    <w:rsid w:val="009E2847"/>
    <w:rsid w:val="009E53DE"/>
    <w:rsid w:val="009F5F8F"/>
    <w:rsid w:val="009F79CC"/>
    <w:rsid w:val="00A00331"/>
    <w:rsid w:val="00A072C2"/>
    <w:rsid w:val="00A10DAF"/>
    <w:rsid w:val="00A11212"/>
    <w:rsid w:val="00A11E44"/>
    <w:rsid w:val="00A1795B"/>
    <w:rsid w:val="00A2036A"/>
    <w:rsid w:val="00A23907"/>
    <w:rsid w:val="00A24B3A"/>
    <w:rsid w:val="00A27FDD"/>
    <w:rsid w:val="00A30100"/>
    <w:rsid w:val="00A328B3"/>
    <w:rsid w:val="00A416E1"/>
    <w:rsid w:val="00A457DB"/>
    <w:rsid w:val="00A46404"/>
    <w:rsid w:val="00A47ED2"/>
    <w:rsid w:val="00A50FCF"/>
    <w:rsid w:val="00A526C2"/>
    <w:rsid w:val="00A528D1"/>
    <w:rsid w:val="00A534E3"/>
    <w:rsid w:val="00A57BB3"/>
    <w:rsid w:val="00A610CD"/>
    <w:rsid w:val="00A627CC"/>
    <w:rsid w:val="00A64D2E"/>
    <w:rsid w:val="00A67AD7"/>
    <w:rsid w:val="00A703D4"/>
    <w:rsid w:val="00A758AA"/>
    <w:rsid w:val="00A77BF5"/>
    <w:rsid w:val="00A77C52"/>
    <w:rsid w:val="00A85490"/>
    <w:rsid w:val="00A86EBC"/>
    <w:rsid w:val="00AA09A2"/>
    <w:rsid w:val="00AA412C"/>
    <w:rsid w:val="00AA7996"/>
    <w:rsid w:val="00AB231A"/>
    <w:rsid w:val="00AB2F4F"/>
    <w:rsid w:val="00AB57D4"/>
    <w:rsid w:val="00AC0EF1"/>
    <w:rsid w:val="00AC19CB"/>
    <w:rsid w:val="00AC1C04"/>
    <w:rsid w:val="00AD2778"/>
    <w:rsid w:val="00AD2910"/>
    <w:rsid w:val="00AD7898"/>
    <w:rsid w:val="00AE255F"/>
    <w:rsid w:val="00AE5488"/>
    <w:rsid w:val="00AE6BF9"/>
    <w:rsid w:val="00AE6F91"/>
    <w:rsid w:val="00AF1D78"/>
    <w:rsid w:val="00AF51D8"/>
    <w:rsid w:val="00AF5571"/>
    <w:rsid w:val="00AF578C"/>
    <w:rsid w:val="00AF620C"/>
    <w:rsid w:val="00AF792A"/>
    <w:rsid w:val="00B03C1F"/>
    <w:rsid w:val="00B07341"/>
    <w:rsid w:val="00B10979"/>
    <w:rsid w:val="00B1611A"/>
    <w:rsid w:val="00B21C69"/>
    <w:rsid w:val="00B22B71"/>
    <w:rsid w:val="00B23D63"/>
    <w:rsid w:val="00B2483A"/>
    <w:rsid w:val="00B2549A"/>
    <w:rsid w:val="00B278F0"/>
    <w:rsid w:val="00B30539"/>
    <w:rsid w:val="00B314DB"/>
    <w:rsid w:val="00B34026"/>
    <w:rsid w:val="00B343AD"/>
    <w:rsid w:val="00B361F2"/>
    <w:rsid w:val="00B3718B"/>
    <w:rsid w:val="00B3745F"/>
    <w:rsid w:val="00B37C49"/>
    <w:rsid w:val="00B44A7D"/>
    <w:rsid w:val="00B4632A"/>
    <w:rsid w:val="00B472EC"/>
    <w:rsid w:val="00B47838"/>
    <w:rsid w:val="00B47DD7"/>
    <w:rsid w:val="00B50FAE"/>
    <w:rsid w:val="00B530F1"/>
    <w:rsid w:val="00B5490A"/>
    <w:rsid w:val="00B660DE"/>
    <w:rsid w:val="00B67DB0"/>
    <w:rsid w:val="00B74927"/>
    <w:rsid w:val="00B765BB"/>
    <w:rsid w:val="00B80608"/>
    <w:rsid w:val="00B8657E"/>
    <w:rsid w:val="00B925CA"/>
    <w:rsid w:val="00B93518"/>
    <w:rsid w:val="00BA0C51"/>
    <w:rsid w:val="00BA237E"/>
    <w:rsid w:val="00BA276C"/>
    <w:rsid w:val="00BA64FA"/>
    <w:rsid w:val="00BB177B"/>
    <w:rsid w:val="00BB306F"/>
    <w:rsid w:val="00BB395B"/>
    <w:rsid w:val="00BB45A7"/>
    <w:rsid w:val="00BB527E"/>
    <w:rsid w:val="00BC563B"/>
    <w:rsid w:val="00BC58B0"/>
    <w:rsid w:val="00BC5B16"/>
    <w:rsid w:val="00BC5E49"/>
    <w:rsid w:val="00BD1F39"/>
    <w:rsid w:val="00BD2868"/>
    <w:rsid w:val="00BD46CB"/>
    <w:rsid w:val="00BD4B89"/>
    <w:rsid w:val="00BD5922"/>
    <w:rsid w:val="00BE1758"/>
    <w:rsid w:val="00BE2440"/>
    <w:rsid w:val="00BF02CB"/>
    <w:rsid w:val="00BF0C2A"/>
    <w:rsid w:val="00BF16D8"/>
    <w:rsid w:val="00BF6FD8"/>
    <w:rsid w:val="00C0025F"/>
    <w:rsid w:val="00C00B77"/>
    <w:rsid w:val="00C0339F"/>
    <w:rsid w:val="00C03680"/>
    <w:rsid w:val="00C054DF"/>
    <w:rsid w:val="00C079F3"/>
    <w:rsid w:val="00C133B9"/>
    <w:rsid w:val="00C13AB2"/>
    <w:rsid w:val="00C13D42"/>
    <w:rsid w:val="00C168E2"/>
    <w:rsid w:val="00C178C0"/>
    <w:rsid w:val="00C20591"/>
    <w:rsid w:val="00C20721"/>
    <w:rsid w:val="00C21762"/>
    <w:rsid w:val="00C21FEF"/>
    <w:rsid w:val="00C23BA4"/>
    <w:rsid w:val="00C24543"/>
    <w:rsid w:val="00C256A2"/>
    <w:rsid w:val="00C25ADB"/>
    <w:rsid w:val="00C272C9"/>
    <w:rsid w:val="00C27964"/>
    <w:rsid w:val="00C33643"/>
    <w:rsid w:val="00C40E51"/>
    <w:rsid w:val="00C4761A"/>
    <w:rsid w:val="00C51515"/>
    <w:rsid w:val="00C522C9"/>
    <w:rsid w:val="00C5660B"/>
    <w:rsid w:val="00C56B94"/>
    <w:rsid w:val="00C56E24"/>
    <w:rsid w:val="00C6033E"/>
    <w:rsid w:val="00C61AC8"/>
    <w:rsid w:val="00C66B72"/>
    <w:rsid w:val="00C71E2C"/>
    <w:rsid w:val="00C741C1"/>
    <w:rsid w:val="00C74333"/>
    <w:rsid w:val="00C81839"/>
    <w:rsid w:val="00C8322A"/>
    <w:rsid w:val="00C87AC4"/>
    <w:rsid w:val="00C9230A"/>
    <w:rsid w:val="00C92E25"/>
    <w:rsid w:val="00C93E9A"/>
    <w:rsid w:val="00C95242"/>
    <w:rsid w:val="00C9567A"/>
    <w:rsid w:val="00C95E53"/>
    <w:rsid w:val="00C96DAA"/>
    <w:rsid w:val="00C97985"/>
    <w:rsid w:val="00CA31C6"/>
    <w:rsid w:val="00CB212D"/>
    <w:rsid w:val="00CB2660"/>
    <w:rsid w:val="00CC09B1"/>
    <w:rsid w:val="00CC576F"/>
    <w:rsid w:val="00CC5E90"/>
    <w:rsid w:val="00CC6AE7"/>
    <w:rsid w:val="00CD046C"/>
    <w:rsid w:val="00CD17F6"/>
    <w:rsid w:val="00CD4133"/>
    <w:rsid w:val="00CD4E1F"/>
    <w:rsid w:val="00CD659C"/>
    <w:rsid w:val="00CE076C"/>
    <w:rsid w:val="00CE0FB7"/>
    <w:rsid w:val="00CE13B3"/>
    <w:rsid w:val="00CE13E5"/>
    <w:rsid w:val="00CE4AAC"/>
    <w:rsid w:val="00CE5199"/>
    <w:rsid w:val="00CE55BB"/>
    <w:rsid w:val="00CE66D5"/>
    <w:rsid w:val="00CF192A"/>
    <w:rsid w:val="00CF570E"/>
    <w:rsid w:val="00CF637A"/>
    <w:rsid w:val="00CF6971"/>
    <w:rsid w:val="00CF7AA7"/>
    <w:rsid w:val="00D00DB2"/>
    <w:rsid w:val="00D059DE"/>
    <w:rsid w:val="00D05ABD"/>
    <w:rsid w:val="00D11B63"/>
    <w:rsid w:val="00D13487"/>
    <w:rsid w:val="00D13FCE"/>
    <w:rsid w:val="00D154D8"/>
    <w:rsid w:val="00D16080"/>
    <w:rsid w:val="00D203BC"/>
    <w:rsid w:val="00D24FED"/>
    <w:rsid w:val="00D2705D"/>
    <w:rsid w:val="00D306D1"/>
    <w:rsid w:val="00D30800"/>
    <w:rsid w:val="00D34786"/>
    <w:rsid w:val="00D37340"/>
    <w:rsid w:val="00D37BFC"/>
    <w:rsid w:val="00D42FEF"/>
    <w:rsid w:val="00D47A8E"/>
    <w:rsid w:val="00D50E37"/>
    <w:rsid w:val="00D52D14"/>
    <w:rsid w:val="00D55E0D"/>
    <w:rsid w:val="00D600AA"/>
    <w:rsid w:val="00D63F73"/>
    <w:rsid w:val="00D658F9"/>
    <w:rsid w:val="00D712D3"/>
    <w:rsid w:val="00D71422"/>
    <w:rsid w:val="00D72DC6"/>
    <w:rsid w:val="00D7558D"/>
    <w:rsid w:val="00D770A9"/>
    <w:rsid w:val="00D81A21"/>
    <w:rsid w:val="00D81D92"/>
    <w:rsid w:val="00D84F62"/>
    <w:rsid w:val="00D850DE"/>
    <w:rsid w:val="00D863CC"/>
    <w:rsid w:val="00D876F9"/>
    <w:rsid w:val="00D904E2"/>
    <w:rsid w:val="00D90A07"/>
    <w:rsid w:val="00D91045"/>
    <w:rsid w:val="00D96818"/>
    <w:rsid w:val="00DA7B5F"/>
    <w:rsid w:val="00DB0C88"/>
    <w:rsid w:val="00DB15B6"/>
    <w:rsid w:val="00DB1A0F"/>
    <w:rsid w:val="00DB24F7"/>
    <w:rsid w:val="00DB6532"/>
    <w:rsid w:val="00DB6B4C"/>
    <w:rsid w:val="00DC11E7"/>
    <w:rsid w:val="00DC1B8A"/>
    <w:rsid w:val="00DC24E3"/>
    <w:rsid w:val="00DC64EA"/>
    <w:rsid w:val="00DC7023"/>
    <w:rsid w:val="00DC769A"/>
    <w:rsid w:val="00DD0D97"/>
    <w:rsid w:val="00DD2BB6"/>
    <w:rsid w:val="00DD2C3C"/>
    <w:rsid w:val="00DD3D86"/>
    <w:rsid w:val="00DD4AD2"/>
    <w:rsid w:val="00DD561D"/>
    <w:rsid w:val="00DE1D0A"/>
    <w:rsid w:val="00DF142E"/>
    <w:rsid w:val="00DF1EC4"/>
    <w:rsid w:val="00E0052A"/>
    <w:rsid w:val="00E00EA2"/>
    <w:rsid w:val="00E0340B"/>
    <w:rsid w:val="00E04659"/>
    <w:rsid w:val="00E04A90"/>
    <w:rsid w:val="00E0551F"/>
    <w:rsid w:val="00E14045"/>
    <w:rsid w:val="00E155D2"/>
    <w:rsid w:val="00E15B69"/>
    <w:rsid w:val="00E17338"/>
    <w:rsid w:val="00E219C7"/>
    <w:rsid w:val="00E22E9B"/>
    <w:rsid w:val="00E2339E"/>
    <w:rsid w:val="00E23914"/>
    <w:rsid w:val="00E30BBD"/>
    <w:rsid w:val="00E31B79"/>
    <w:rsid w:val="00E4118C"/>
    <w:rsid w:val="00E418B5"/>
    <w:rsid w:val="00E427C8"/>
    <w:rsid w:val="00E43157"/>
    <w:rsid w:val="00E44BB5"/>
    <w:rsid w:val="00E461CE"/>
    <w:rsid w:val="00E542DE"/>
    <w:rsid w:val="00E573E4"/>
    <w:rsid w:val="00E60DAA"/>
    <w:rsid w:val="00E6378C"/>
    <w:rsid w:val="00E641B8"/>
    <w:rsid w:val="00E64C3D"/>
    <w:rsid w:val="00E7136C"/>
    <w:rsid w:val="00E71AA9"/>
    <w:rsid w:val="00E71CBC"/>
    <w:rsid w:val="00E720CA"/>
    <w:rsid w:val="00E727AD"/>
    <w:rsid w:val="00E82DDC"/>
    <w:rsid w:val="00E84EB5"/>
    <w:rsid w:val="00E85662"/>
    <w:rsid w:val="00E85774"/>
    <w:rsid w:val="00E86F87"/>
    <w:rsid w:val="00E8789F"/>
    <w:rsid w:val="00E913F2"/>
    <w:rsid w:val="00E97B71"/>
    <w:rsid w:val="00EA1759"/>
    <w:rsid w:val="00EA3D34"/>
    <w:rsid w:val="00EA469C"/>
    <w:rsid w:val="00EA6070"/>
    <w:rsid w:val="00EB454D"/>
    <w:rsid w:val="00EC4E54"/>
    <w:rsid w:val="00ED2E67"/>
    <w:rsid w:val="00ED36EA"/>
    <w:rsid w:val="00ED5097"/>
    <w:rsid w:val="00ED549D"/>
    <w:rsid w:val="00ED7651"/>
    <w:rsid w:val="00ED76BE"/>
    <w:rsid w:val="00EE00E9"/>
    <w:rsid w:val="00EE1154"/>
    <w:rsid w:val="00EE18F1"/>
    <w:rsid w:val="00EE4A80"/>
    <w:rsid w:val="00EE5108"/>
    <w:rsid w:val="00EE750D"/>
    <w:rsid w:val="00EF0FEC"/>
    <w:rsid w:val="00EF1AAA"/>
    <w:rsid w:val="00EF4270"/>
    <w:rsid w:val="00EF619B"/>
    <w:rsid w:val="00EF7575"/>
    <w:rsid w:val="00F00317"/>
    <w:rsid w:val="00F00B55"/>
    <w:rsid w:val="00F02AD1"/>
    <w:rsid w:val="00F076B9"/>
    <w:rsid w:val="00F23605"/>
    <w:rsid w:val="00F24B14"/>
    <w:rsid w:val="00F253CC"/>
    <w:rsid w:val="00F278C3"/>
    <w:rsid w:val="00F347FB"/>
    <w:rsid w:val="00F348FD"/>
    <w:rsid w:val="00F36AC3"/>
    <w:rsid w:val="00F37106"/>
    <w:rsid w:val="00F430CB"/>
    <w:rsid w:val="00F44E25"/>
    <w:rsid w:val="00F461DB"/>
    <w:rsid w:val="00F50D49"/>
    <w:rsid w:val="00F519CF"/>
    <w:rsid w:val="00F56BA5"/>
    <w:rsid w:val="00F57F5D"/>
    <w:rsid w:val="00F60E22"/>
    <w:rsid w:val="00F64B3C"/>
    <w:rsid w:val="00F67488"/>
    <w:rsid w:val="00F72277"/>
    <w:rsid w:val="00F724F7"/>
    <w:rsid w:val="00F737E8"/>
    <w:rsid w:val="00F77B68"/>
    <w:rsid w:val="00F81395"/>
    <w:rsid w:val="00F81BB8"/>
    <w:rsid w:val="00F82419"/>
    <w:rsid w:val="00F8343E"/>
    <w:rsid w:val="00F84C22"/>
    <w:rsid w:val="00F85BB5"/>
    <w:rsid w:val="00F86D58"/>
    <w:rsid w:val="00F86F28"/>
    <w:rsid w:val="00F90C64"/>
    <w:rsid w:val="00F917D1"/>
    <w:rsid w:val="00F94115"/>
    <w:rsid w:val="00F9653B"/>
    <w:rsid w:val="00FB0F20"/>
    <w:rsid w:val="00FB363E"/>
    <w:rsid w:val="00FB58F8"/>
    <w:rsid w:val="00FB5A13"/>
    <w:rsid w:val="00FB62CF"/>
    <w:rsid w:val="00FB69B3"/>
    <w:rsid w:val="00FB6C85"/>
    <w:rsid w:val="00FC1A8D"/>
    <w:rsid w:val="00FC45AD"/>
    <w:rsid w:val="00FC747D"/>
    <w:rsid w:val="00FD2E8A"/>
    <w:rsid w:val="00FD3C3B"/>
    <w:rsid w:val="00FE07DD"/>
    <w:rsid w:val="00FE30DD"/>
    <w:rsid w:val="00FE48E7"/>
    <w:rsid w:val="00FE5DF9"/>
    <w:rsid w:val="00FE6B45"/>
    <w:rsid w:val="00FE6CB4"/>
    <w:rsid w:val="00FE74CB"/>
    <w:rsid w:val="00FF07FD"/>
    <w:rsid w:val="00FF1DB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D24F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AE6B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E6BF9"/>
  </w:style>
  <w:style w:type="character" w:customStyle="1" w:styleId="eop">
    <w:name w:val="eop"/>
    <w:basedOn w:val="DefaultParagraphFont"/>
    <w:rsid w:val="00AE6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22434">
      <w:bodyDiv w:val="1"/>
      <w:marLeft w:val="0"/>
      <w:marRight w:val="0"/>
      <w:marTop w:val="0"/>
      <w:marBottom w:val="0"/>
      <w:divBdr>
        <w:top w:val="none" w:sz="0" w:space="0" w:color="auto"/>
        <w:left w:val="none" w:sz="0" w:space="0" w:color="auto"/>
        <w:bottom w:val="none" w:sz="0" w:space="0" w:color="auto"/>
        <w:right w:val="none" w:sz="0" w:space="0" w:color="auto"/>
      </w:divBdr>
      <w:divsChild>
        <w:div w:id="1580870651">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2F12B1BE0C40C18900F8BDD26CD2CF"/>
        <w:category>
          <w:name w:val="General"/>
          <w:gallery w:val="placeholder"/>
        </w:category>
        <w:types>
          <w:type w:val="bbPlcHdr"/>
        </w:types>
        <w:behaviors>
          <w:behavior w:val="content"/>
        </w:behaviors>
        <w:guid w:val="{BD7947D7-C25B-4022-8B5D-EA7A11288287}"/>
      </w:docPartPr>
      <w:docPartBody>
        <w:p w:rsidR="00DC08A6" w:rsidRDefault="00213386" w:rsidP="00213386">
          <w:pPr>
            <w:pStyle w:val="752F12B1BE0C40C18900F8BDD26CD2C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40F45"/>
    <w:rsid w:val="00145D3B"/>
    <w:rsid w:val="001C4BC0"/>
    <w:rsid w:val="00200821"/>
    <w:rsid w:val="00201CE6"/>
    <w:rsid w:val="00213386"/>
    <w:rsid w:val="0025245B"/>
    <w:rsid w:val="002958DC"/>
    <w:rsid w:val="002A3923"/>
    <w:rsid w:val="00394049"/>
    <w:rsid w:val="003A494F"/>
    <w:rsid w:val="004B5BBB"/>
    <w:rsid w:val="004F2DF8"/>
    <w:rsid w:val="005119B3"/>
    <w:rsid w:val="006971F7"/>
    <w:rsid w:val="006D27A2"/>
    <w:rsid w:val="006F24A1"/>
    <w:rsid w:val="007079C8"/>
    <w:rsid w:val="00752782"/>
    <w:rsid w:val="009A261B"/>
    <w:rsid w:val="00A015FC"/>
    <w:rsid w:val="00A4418E"/>
    <w:rsid w:val="00A57B69"/>
    <w:rsid w:val="00AA2E17"/>
    <w:rsid w:val="00AC15A4"/>
    <w:rsid w:val="00B0336C"/>
    <w:rsid w:val="00B06FCE"/>
    <w:rsid w:val="00B30277"/>
    <w:rsid w:val="00B76348"/>
    <w:rsid w:val="00C24F2E"/>
    <w:rsid w:val="00CB6E18"/>
    <w:rsid w:val="00CC5CFA"/>
    <w:rsid w:val="00D241E9"/>
    <w:rsid w:val="00D7750D"/>
    <w:rsid w:val="00DB15B6"/>
    <w:rsid w:val="00DC08A6"/>
    <w:rsid w:val="00DF7F10"/>
    <w:rsid w:val="00F00D2F"/>
    <w:rsid w:val="00F128DF"/>
    <w:rsid w:val="00FE48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386"/>
    <w:rPr>
      <w:color w:val="808080"/>
    </w:rPr>
  </w:style>
  <w:style w:type="paragraph" w:customStyle="1" w:styleId="752F12B1BE0C40C18900F8BDD26CD2CF">
    <w:name w:val="752F12B1BE0C40C18900F8BDD26CD2CF"/>
    <w:rsid w:val="002133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4475</Words>
  <Characters>25514</Characters>
  <Application>Microsoft Office Word</Application>
  <DocSecurity>0</DocSecurity>
  <Lines>212</Lines>
  <Paragraphs>59</Paragraphs>
  <ScaleCrop>false</ScaleCrop>
  <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2024-06-26T13:30:00Z</dcterms:created>
  <dcterms:modified xsi:type="dcterms:W3CDTF">2024-06-26T13:30:00Z</dcterms:modified>
</cp:coreProperties>
</file>