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2943FCF">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082DE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6A3F0D4" w:rsidR="005B52B0" w:rsidRPr="007D37DC"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A6DF0">
                              <w:rPr>
                                <w:rFonts w:asciiTheme="majorHAnsi" w:hAnsiTheme="majorHAnsi" w:cs="Arial"/>
                                <w:b/>
                                <w:bCs/>
                                <w:color w:val="0D0D0D" w:themeColor="text1" w:themeTint="F2"/>
                                <w:sz w:val="36"/>
                                <w:szCs w:val="22"/>
                                <w:lang w:val="es-ES_tradnl"/>
                              </w:rPr>
                              <w:t>130</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w:t>
                            </w:r>
                            <w:r w:rsidR="00B11747" w:rsidRPr="007D37DC">
                              <w:rPr>
                                <w:rFonts w:asciiTheme="majorHAnsi" w:hAnsiTheme="majorHAnsi" w:cs="Arial"/>
                                <w:b/>
                                <w:bCs/>
                                <w:color w:val="0D0D0D" w:themeColor="text1" w:themeTint="F2"/>
                                <w:sz w:val="36"/>
                                <w:szCs w:val="22"/>
                                <w:lang w:val="es-ES_tradnl"/>
                              </w:rPr>
                              <w:t>5</w:t>
                            </w:r>
                          </w:p>
                          <w:p w14:paraId="09C54AB3" w14:textId="0BA7852D" w:rsidR="007B05C4" w:rsidRDefault="005B52B0" w:rsidP="00997BC5">
                            <w:pPr>
                              <w:spacing w:line="276" w:lineRule="auto"/>
                              <w:rPr>
                                <w:rFonts w:asciiTheme="majorHAnsi" w:hAnsiTheme="majorHAnsi" w:cs="Arial"/>
                                <w:b/>
                                <w:color w:val="0D0D0D" w:themeColor="text1" w:themeTint="F2"/>
                                <w:sz w:val="36"/>
                                <w:szCs w:val="22"/>
                                <w:lang w:val="es-ES_tradnl"/>
                              </w:rPr>
                            </w:pPr>
                            <w:r w:rsidRPr="007D37DC">
                              <w:rPr>
                                <w:rFonts w:asciiTheme="majorHAnsi" w:hAnsiTheme="majorHAnsi" w:cs="Arial"/>
                                <w:b/>
                                <w:color w:val="0D0D0D" w:themeColor="text1" w:themeTint="F2"/>
                                <w:sz w:val="36"/>
                                <w:szCs w:val="22"/>
                                <w:lang w:val="es-ES_tradnl"/>
                              </w:rPr>
                              <w:t xml:space="preserve">PETICIÓN </w:t>
                            </w:r>
                            <w:r w:rsidR="007D37DC" w:rsidRPr="007D37DC">
                              <w:rPr>
                                <w:rFonts w:asciiTheme="majorHAnsi" w:hAnsiTheme="majorHAnsi" w:cs="Arial"/>
                                <w:b/>
                                <w:color w:val="0D0D0D" w:themeColor="text1" w:themeTint="F2"/>
                                <w:sz w:val="36"/>
                                <w:szCs w:val="22"/>
                                <w:lang w:val="es-ES_tradnl"/>
                              </w:rPr>
                              <w:t>1110</w:t>
                            </w:r>
                            <w:r w:rsidR="00B11747" w:rsidRPr="007D37DC">
                              <w:rPr>
                                <w:rFonts w:asciiTheme="majorHAnsi" w:hAnsiTheme="majorHAnsi" w:cs="Arial"/>
                                <w:b/>
                                <w:color w:val="0D0D0D" w:themeColor="text1" w:themeTint="F2"/>
                                <w:sz w:val="36"/>
                                <w:szCs w:val="22"/>
                                <w:lang w:val="es-ES_tradnl"/>
                              </w:rPr>
                              <w:t>-</w:t>
                            </w:r>
                            <w:r w:rsidR="007D37DC" w:rsidRPr="007D37DC">
                              <w:rPr>
                                <w:rFonts w:asciiTheme="majorHAnsi" w:hAnsiTheme="majorHAnsi" w:cs="Arial"/>
                                <w:b/>
                                <w:color w:val="0D0D0D" w:themeColor="text1" w:themeTint="F2"/>
                                <w:sz w:val="36"/>
                                <w:szCs w:val="22"/>
                                <w:lang w:val="es-ES_tradnl"/>
                              </w:rPr>
                              <w:t>19</w:t>
                            </w:r>
                          </w:p>
                          <w:p w14:paraId="70CF6833" w14:textId="170C9CB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3488D995" w:rsidR="00EB197F" w:rsidRPr="007D37DC" w:rsidRDefault="007D37DC" w:rsidP="00997BC5">
                            <w:pPr>
                              <w:spacing w:line="276" w:lineRule="auto"/>
                              <w:rPr>
                                <w:rFonts w:asciiTheme="majorHAnsi" w:hAnsiTheme="majorHAnsi" w:cs="Arial"/>
                                <w:color w:val="0D0D0D" w:themeColor="text1" w:themeTint="F2"/>
                                <w:szCs w:val="22"/>
                                <w:lang w:val="es-ES_tradnl"/>
                              </w:rPr>
                            </w:pPr>
                            <w:r w:rsidRPr="007D37DC">
                              <w:rPr>
                                <w:rFonts w:asciiTheme="majorHAnsi" w:hAnsiTheme="majorHAnsi" w:cs="Arial"/>
                                <w:color w:val="0D0D0D" w:themeColor="text1" w:themeTint="F2"/>
                                <w:szCs w:val="22"/>
                                <w:lang w:val="es-ES_tradnl"/>
                              </w:rPr>
                              <w:t xml:space="preserve">PEDRO FLORES MEDINA </w:t>
                            </w:r>
                          </w:p>
                          <w:p w14:paraId="575DFD52" w14:textId="7AB24A65" w:rsidR="005B52B0" w:rsidRPr="00EB197F" w:rsidRDefault="007D37DC" w:rsidP="007A5817">
                            <w:pPr>
                              <w:rPr>
                                <w:color w:val="0D0D0D" w:themeColor="text1" w:themeTint="F2"/>
                                <w:lang w:val="es-PE"/>
                              </w:rPr>
                            </w:pPr>
                            <w:r>
                              <w:rPr>
                                <w:rFonts w:asciiTheme="majorHAnsi" w:hAnsiTheme="majorHAnsi" w:cs="Arial"/>
                                <w:color w:val="0D0D0D" w:themeColor="text1" w:themeTint="F2"/>
                                <w:szCs w:val="22"/>
                                <w:lang w:val="es-PE"/>
                              </w:rPr>
                              <w:t>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76A3F0D4" w:rsidR="005B52B0" w:rsidRPr="007D37DC"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A6DF0">
                        <w:rPr>
                          <w:rFonts w:asciiTheme="majorHAnsi" w:hAnsiTheme="majorHAnsi" w:cs="Arial"/>
                          <w:b/>
                          <w:bCs/>
                          <w:color w:val="0D0D0D" w:themeColor="text1" w:themeTint="F2"/>
                          <w:sz w:val="36"/>
                          <w:szCs w:val="22"/>
                          <w:lang w:val="es-ES_tradnl"/>
                        </w:rPr>
                        <w:t>130</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w:t>
                      </w:r>
                      <w:r w:rsidR="00B11747" w:rsidRPr="007D37DC">
                        <w:rPr>
                          <w:rFonts w:asciiTheme="majorHAnsi" w:hAnsiTheme="majorHAnsi" w:cs="Arial"/>
                          <w:b/>
                          <w:bCs/>
                          <w:color w:val="0D0D0D" w:themeColor="text1" w:themeTint="F2"/>
                          <w:sz w:val="36"/>
                          <w:szCs w:val="22"/>
                          <w:lang w:val="es-ES_tradnl"/>
                        </w:rPr>
                        <w:t>5</w:t>
                      </w:r>
                    </w:p>
                    <w:p w14:paraId="09C54AB3" w14:textId="0BA7852D" w:rsidR="007B05C4" w:rsidRDefault="005B52B0" w:rsidP="00997BC5">
                      <w:pPr>
                        <w:spacing w:line="276" w:lineRule="auto"/>
                        <w:rPr>
                          <w:rFonts w:asciiTheme="majorHAnsi" w:hAnsiTheme="majorHAnsi" w:cs="Arial"/>
                          <w:b/>
                          <w:color w:val="0D0D0D" w:themeColor="text1" w:themeTint="F2"/>
                          <w:sz w:val="36"/>
                          <w:szCs w:val="22"/>
                          <w:lang w:val="es-ES_tradnl"/>
                        </w:rPr>
                      </w:pPr>
                      <w:r w:rsidRPr="007D37DC">
                        <w:rPr>
                          <w:rFonts w:asciiTheme="majorHAnsi" w:hAnsiTheme="majorHAnsi" w:cs="Arial"/>
                          <w:b/>
                          <w:color w:val="0D0D0D" w:themeColor="text1" w:themeTint="F2"/>
                          <w:sz w:val="36"/>
                          <w:szCs w:val="22"/>
                          <w:lang w:val="es-ES_tradnl"/>
                        </w:rPr>
                        <w:t xml:space="preserve">PETICIÓN </w:t>
                      </w:r>
                      <w:r w:rsidR="007D37DC" w:rsidRPr="007D37DC">
                        <w:rPr>
                          <w:rFonts w:asciiTheme="majorHAnsi" w:hAnsiTheme="majorHAnsi" w:cs="Arial"/>
                          <w:b/>
                          <w:color w:val="0D0D0D" w:themeColor="text1" w:themeTint="F2"/>
                          <w:sz w:val="36"/>
                          <w:szCs w:val="22"/>
                          <w:lang w:val="es-ES_tradnl"/>
                        </w:rPr>
                        <w:t>1110</w:t>
                      </w:r>
                      <w:r w:rsidR="00B11747" w:rsidRPr="007D37DC">
                        <w:rPr>
                          <w:rFonts w:asciiTheme="majorHAnsi" w:hAnsiTheme="majorHAnsi" w:cs="Arial"/>
                          <w:b/>
                          <w:color w:val="0D0D0D" w:themeColor="text1" w:themeTint="F2"/>
                          <w:sz w:val="36"/>
                          <w:szCs w:val="22"/>
                          <w:lang w:val="es-ES_tradnl"/>
                        </w:rPr>
                        <w:t>-</w:t>
                      </w:r>
                      <w:r w:rsidR="007D37DC" w:rsidRPr="007D37DC">
                        <w:rPr>
                          <w:rFonts w:asciiTheme="majorHAnsi" w:hAnsiTheme="majorHAnsi" w:cs="Arial"/>
                          <w:b/>
                          <w:color w:val="0D0D0D" w:themeColor="text1" w:themeTint="F2"/>
                          <w:sz w:val="36"/>
                          <w:szCs w:val="22"/>
                          <w:lang w:val="es-ES_tradnl"/>
                        </w:rPr>
                        <w:t>19</w:t>
                      </w:r>
                    </w:p>
                    <w:p w14:paraId="70CF6833" w14:textId="170C9CB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3488D995" w:rsidR="00EB197F" w:rsidRPr="007D37DC" w:rsidRDefault="007D37DC" w:rsidP="00997BC5">
                      <w:pPr>
                        <w:spacing w:line="276" w:lineRule="auto"/>
                        <w:rPr>
                          <w:rFonts w:asciiTheme="majorHAnsi" w:hAnsiTheme="majorHAnsi" w:cs="Arial"/>
                          <w:color w:val="0D0D0D" w:themeColor="text1" w:themeTint="F2"/>
                          <w:szCs w:val="22"/>
                          <w:lang w:val="es-ES_tradnl"/>
                        </w:rPr>
                      </w:pPr>
                      <w:r w:rsidRPr="007D37DC">
                        <w:rPr>
                          <w:rFonts w:asciiTheme="majorHAnsi" w:hAnsiTheme="majorHAnsi" w:cs="Arial"/>
                          <w:color w:val="0D0D0D" w:themeColor="text1" w:themeTint="F2"/>
                          <w:szCs w:val="22"/>
                          <w:lang w:val="es-ES_tradnl"/>
                        </w:rPr>
                        <w:t xml:space="preserve">PEDRO FLORES MEDINA </w:t>
                      </w:r>
                    </w:p>
                    <w:p w14:paraId="575DFD52" w14:textId="7AB24A65" w:rsidR="005B52B0" w:rsidRPr="00EB197F" w:rsidRDefault="007D37DC" w:rsidP="007A5817">
                      <w:pPr>
                        <w:rPr>
                          <w:color w:val="0D0D0D" w:themeColor="text1" w:themeTint="F2"/>
                          <w:lang w:val="es-PE"/>
                        </w:rPr>
                      </w:pPr>
                      <w:r>
                        <w:rPr>
                          <w:rFonts w:asciiTheme="majorHAnsi" w:hAnsiTheme="majorHAnsi" w:cs="Arial"/>
                          <w:color w:val="0D0D0D" w:themeColor="text1" w:themeTint="F2"/>
                          <w:szCs w:val="22"/>
                          <w:lang w:val="es-PE"/>
                        </w:rPr>
                        <w:t>BOLIVIA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E720FC2" w:rsidR="00627C9F" w:rsidRPr="00A56058" w:rsidRDefault="00834D49" w:rsidP="007A5817">
                            <w:pPr>
                              <w:spacing w:line="276" w:lineRule="auto"/>
                              <w:jc w:val="right"/>
                              <w:rPr>
                                <w:rFonts w:asciiTheme="minorHAnsi" w:hAnsiTheme="minorHAnsi"/>
                                <w:color w:val="FFFFFF" w:themeColor="background1"/>
                                <w:sz w:val="22"/>
                                <w:lang w:val="es-ES"/>
                              </w:rPr>
                            </w:pPr>
                            <w:r w:rsidRPr="00A56058">
                              <w:rPr>
                                <w:rFonts w:asciiTheme="minorHAnsi" w:hAnsiTheme="minorHAnsi"/>
                                <w:color w:val="FFFFFF" w:themeColor="background1"/>
                                <w:sz w:val="22"/>
                                <w:lang w:val="es-ES"/>
                              </w:rPr>
                              <w:t>OEA/Ser.L/V/II</w:t>
                            </w:r>
                          </w:p>
                          <w:p w14:paraId="6A41611B" w14:textId="5C311908" w:rsidR="00627C9F" w:rsidRPr="00A56058" w:rsidRDefault="00627C9F" w:rsidP="007A5817">
                            <w:pPr>
                              <w:spacing w:line="276" w:lineRule="auto"/>
                              <w:jc w:val="right"/>
                              <w:rPr>
                                <w:rFonts w:asciiTheme="minorHAnsi" w:hAnsiTheme="minorHAnsi"/>
                                <w:color w:val="FFFFFF" w:themeColor="background1"/>
                                <w:sz w:val="22"/>
                                <w:lang w:val="es-ES"/>
                              </w:rPr>
                            </w:pPr>
                            <w:r w:rsidRPr="00A56058">
                              <w:rPr>
                                <w:rFonts w:asciiTheme="minorHAnsi" w:hAnsiTheme="minorHAnsi"/>
                                <w:color w:val="FFFFFF" w:themeColor="background1"/>
                                <w:sz w:val="22"/>
                                <w:lang w:val="es-ES"/>
                              </w:rPr>
                              <w:t xml:space="preserve">Doc. </w:t>
                            </w:r>
                            <w:r w:rsidR="00FF5350" w:rsidRPr="00A56058">
                              <w:rPr>
                                <w:rFonts w:asciiTheme="minorHAnsi" w:hAnsiTheme="minorHAnsi"/>
                                <w:color w:val="FFFFFF" w:themeColor="background1"/>
                                <w:sz w:val="22"/>
                                <w:lang w:val="es-ES"/>
                              </w:rPr>
                              <w:t>136</w:t>
                            </w:r>
                          </w:p>
                          <w:p w14:paraId="69373ED2" w14:textId="3399A0D2" w:rsidR="00627C9F" w:rsidRPr="00C25ADB" w:rsidRDefault="00FF535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5E720FC2" w:rsidR="00627C9F" w:rsidRPr="00A56058" w:rsidRDefault="00834D49" w:rsidP="007A5817">
                      <w:pPr>
                        <w:spacing w:line="276" w:lineRule="auto"/>
                        <w:jc w:val="right"/>
                        <w:rPr>
                          <w:rFonts w:asciiTheme="minorHAnsi" w:hAnsiTheme="minorHAnsi"/>
                          <w:color w:val="FFFFFF" w:themeColor="background1"/>
                          <w:sz w:val="22"/>
                          <w:lang w:val="es-ES"/>
                        </w:rPr>
                      </w:pPr>
                      <w:r w:rsidRPr="00A56058">
                        <w:rPr>
                          <w:rFonts w:asciiTheme="minorHAnsi" w:hAnsiTheme="minorHAnsi"/>
                          <w:color w:val="FFFFFF" w:themeColor="background1"/>
                          <w:sz w:val="22"/>
                          <w:lang w:val="es-ES"/>
                        </w:rPr>
                        <w:t>OEA/Ser.L/V/II</w:t>
                      </w:r>
                    </w:p>
                    <w:p w14:paraId="6A41611B" w14:textId="5C311908" w:rsidR="00627C9F" w:rsidRPr="00A56058" w:rsidRDefault="00627C9F" w:rsidP="007A5817">
                      <w:pPr>
                        <w:spacing w:line="276" w:lineRule="auto"/>
                        <w:jc w:val="right"/>
                        <w:rPr>
                          <w:rFonts w:asciiTheme="minorHAnsi" w:hAnsiTheme="minorHAnsi"/>
                          <w:color w:val="FFFFFF" w:themeColor="background1"/>
                          <w:sz w:val="22"/>
                          <w:lang w:val="es-ES"/>
                        </w:rPr>
                      </w:pPr>
                      <w:r w:rsidRPr="00A56058">
                        <w:rPr>
                          <w:rFonts w:asciiTheme="minorHAnsi" w:hAnsiTheme="minorHAnsi"/>
                          <w:color w:val="FFFFFF" w:themeColor="background1"/>
                          <w:sz w:val="22"/>
                          <w:lang w:val="es-ES"/>
                        </w:rPr>
                        <w:t xml:space="preserve">Doc. </w:t>
                      </w:r>
                      <w:r w:rsidR="00FF5350" w:rsidRPr="00A56058">
                        <w:rPr>
                          <w:rFonts w:asciiTheme="minorHAnsi" w:hAnsiTheme="minorHAnsi"/>
                          <w:color w:val="FFFFFF" w:themeColor="background1"/>
                          <w:sz w:val="22"/>
                          <w:lang w:val="es-ES"/>
                        </w:rPr>
                        <w:t>136</w:t>
                      </w:r>
                    </w:p>
                    <w:p w14:paraId="69373ED2" w14:textId="3399A0D2" w:rsidR="00627C9F" w:rsidRPr="00C25ADB" w:rsidRDefault="00FF535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7029D516"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F5350">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FF5350">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FF5350">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7029D516"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F5350">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FF5350">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FF5350">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8CA08B" w14:textId="77777777" w:rsidR="0089389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B7A66" w:rsidRPr="004B7A66">
                              <w:rPr>
                                <w:rFonts w:asciiTheme="majorHAnsi" w:hAnsiTheme="majorHAnsi"/>
                                <w:color w:val="595959" w:themeColor="text1" w:themeTint="A6"/>
                                <w:sz w:val="18"/>
                                <w:szCs w:val="18"/>
                                <w:lang w:val="pt-BR"/>
                              </w:rPr>
                              <w:t>130</w:t>
                            </w:r>
                            <w:r w:rsidR="007B05C4" w:rsidRPr="004B7A66">
                              <w:rPr>
                                <w:rFonts w:asciiTheme="majorHAnsi" w:hAnsiTheme="majorHAnsi"/>
                                <w:color w:val="595959" w:themeColor="text1" w:themeTint="A6"/>
                                <w:sz w:val="18"/>
                                <w:szCs w:val="18"/>
                                <w:lang w:val="pt-BR"/>
                              </w:rPr>
                              <w:t>/</w:t>
                            </w:r>
                            <w:r w:rsidR="004B7A66" w:rsidRPr="004B7A66">
                              <w:rPr>
                                <w:rFonts w:asciiTheme="majorHAnsi" w:hAnsiTheme="majorHAnsi"/>
                                <w:color w:val="595959" w:themeColor="text1" w:themeTint="A6"/>
                                <w:sz w:val="18"/>
                                <w:szCs w:val="18"/>
                                <w:lang w:val="pt-BR"/>
                              </w:rPr>
                              <w:t>25</w:t>
                            </w:r>
                            <w:r w:rsidRPr="004B7A6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2366A">
                              <w:rPr>
                                <w:rFonts w:asciiTheme="majorHAnsi" w:hAnsiTheme="majorHAnsi"/>
                                <w:color w:val="595959" w:themeColor="text1" w:themeTint="A6"/>
                                <w:sz w:val="18"/>
                                <w:szCs w:val="18"/>
                                <w:lang w:val="es-ES"/>
                              </w:rPr>
                              <w:t>1110-19</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
                          <w:p w14:paraId="0D1B22CF" w14:textId="0399BA4C" w:rsidR="00113F73" w:rsidRPr="007B05C4" w:rsidRDefault="00A2366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Pedro Flores Medina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00113F73" w:rsidRPr="00890650">
                              <w:rPr>
                                <w:rFonts w:asciiTheme="majorHAnsi" w:hAnsiTheme="majorHAnsi"/>
                                <w:color w:val="595959" w:themeColor="text1" w:themeTint="A6"/>
                                <w:sz w:val="18"/>
                                <w:szCs w:val="18"/>
                                <w:lang w:val="es-ES_tradnl"/>
                              </w:rPr>
                              <w:t xml:space="preserve">. </w:t>
                            </w:r>
                            <w:r w:rsidR="00F16C0F">
                              <w:rPr>
                                <w:rFonts w:asciiTheme="majorHAnsi" w:hAnsiTheme="majorHAnsi"/>
                                <w:color w:val="595959" w:themeColor="text1" w:themeTint="A6"/>
                                <w:sz w:val="18"/>
                                <w:szCs w:val="18"/>
                                <w:lang w:val="es-ES"/>
                              </w:rPr>
                              <w:t>14 de julio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B8CA08B" w14:textId="77777777" w:rsidR="0089389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B7A66" w:rsidRPr="004B7A66">
                        <w:rPr>
                          <w:rFonts w:asciiTheme="majorHAnsi" w:hAnsiTheme="majorHAnsi"/>
                          <w:color w:val="595959" w:themeColor="text1" w:themeTint="A6"/>
                          <w:sz w:val="18"/>
                          <w:szCs w:val="18"/>
                          <w:lang w:val="pt-BR"/>
                        </w:rPr>
                        <w:t>130</w:t>
                      </w:r>
                      <w:r w:rsidR="007B05C4" w:rsidRPr="004B7A66">
                        <w:rPr>
                          <w:rFonts w:asciiTheme="majorHAnsi" w:hAnsiTheme="majorHAnsi"/>
                          <w:color w:val="595959" w:themeColor="text1" w:themeTint="A6"/>
                          <w:sz w:val="18"/>
                          <w:szCs w:val="18"/>
                          <w:lang w:val="pt-BR"/>
                        </w:rPr>
                        <w:t>/</w:t>
                      </w:r>
                      <w:r w:rsidR="004B7A66" w:rsidRPr="004B7A66">
                        <w:rPr>
                          <w:rFonts w:asciiTheme="majorHAnsi" w:hAnsiTheme="majorHAnsi"/>
                          <w:color w:val="595959" w:themeColor="text1" w:themeTint="A6"/>
                          <w:sz w:val="18"/>
                          <w:szCs w:val="18"/>
                          <w:lang w:val="pt-BR"/>
                        </w:rPr>
                        <w:t>25</w:t>
                      </w:r>
                      <w:r w:rsidRPr="004B7A6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2366A">
                        <w:rPr>
                          <w:rFonts w:asciiTheme="majorHAnsi" w:hAnsiTheme="majorHAnsi"/>
                          <w:color w:val="595959" w:themeColor="text1" w:themeTint="A6"/>
                          <w:sz w:val="18"/>
                          <w:szCs w:val="18"/>
                          <w:lang w:val="es-ES"/>
                        </w:rPr>
                        <w:t>1110-19</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
                    <w:p w14:paraId="0D1B22CF" w14:textId="0399BA4C" w:rsidR="00113F73" w:rsidRPr="007B05C4" w:rsidRDefault="00A2366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Pedro Flores Medina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00113F73" w:rsidRPr="00890650">
                        <w:rPr>
                          <w:rFonts w:asciiTheme="majorHAnsi" w:hAnsiTheme="majorHAnsi"/>
                          <w:color w:val="595959" w:themeColor="text1" w:themeTint="A6"/>
                          <w:sz w:val="18"/>
                          <w:szCs w:val="18"/>
                          <w:lang w:val="es-ES_tradnl"/>
                        </w:rPr>
                        <w:t xml:space="preserve">. </w:t>
                      </w:r>
                      <w:r w:rsidR="00F16C0F">
                        <w:rPr>
                          <w:rFonts w:asciiTheme="majorHAnsi" w:hAnsiTheme="majorHAnsi"/>
                          <w:color w:val="595959" w:themeColor="text1" w:themeTint="A6"/>
                          <w:sz w:val="18"/>
                          <w:szCs w:val="18"/>
                          <w:lang w:val="es-ES"/>
                        </w:rPr>
                        <w:t>14 de julio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0EF3884" w:rsidR="00D72DC6" w:rsidRPr="00D72DC6" w:rsidRDefault="0089389A" w:rsidP="00F02AD1">
                            <w:pPr>
                              <w:rPr>
                                <w:color w:val="FFFFFF" w:themeColor="background1"/>
                                <w14:textFill>
                                  <w14:noFill/>
                                </w14:textFill>
                              </w:rPr>
                            </w:pPr>
                            <w:r>
                              <w:rPr>
                                <w:noProof/>
                                <w:color w:val="FFFFFF" w:themeColor="background1"/>
                              </w:rPr>
                              <w:drawing>
                                <wp:inline distT="0" distB="0" distL="0" distR="0" wp14:anchorId="1457ED35" wp14:editId="0C33C82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20EF3884" w:rsidR="00D72DC6" w:rsidRPr="00D72DC6" w:rsidRDefault="0089389A" w:rsidP="00F02AD1">
                      <w:pPr>
                        <w:rPr>
                          <w:color w:val="FFFFFF" w:themeColor="background1"/>
                          <w14:textFill>
                            <w14:noFill/>
                          </w14:textFill>
                        </w:rPr>
                      </w:pPr>
                      <w:r>
                        <w:rPr>
                          <w:noProof/>
                          <w:color w:val="FFFFFF" w:themeColor="background1"/>
                        </w:rPr>
                        <w:drawing>
                          <wp:inline distT="0" distB="0" distL="0" distR="0" wp14:anchorId="1457ED35" wp14:editId="0C33C82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34967496" w:rsidR="003239B8" w:rsidRPr="00D13530" w:rsidRDefault="00A5545E" w:rsidP="00D13530">
            <w:pPr>
              <w:jc w:val="both"/>
              <w:rPr>
                <w:rFonts w:ascii="Cambria" w:hAnsi="Cambria"/>
                <w:bCs/>
                <w:sz w:val="20"/>
                <w:szCs w:val="20"/>
                <w:lang w:val="es-PE"/>
              </w:rPr>
            </w:pPr>
            <w:r w:rsidRPr="00A5545E">
              <w:rPr>
                <w:rFonts w:ascii="Cambria" w:hAnsi="Cambria"/>
                <w:bCs/>
                <w:sz w:val="20"/>
                <w:szCs w:val="20"/>
                <w:lang w:val="es-PE"/>
              </w:rPr>
              <w:t>Arturo Yáñez Cortés</w:t>
            </w:r>
          </w:p>
        </w:tc>
      </w:tr>
      <w:tr w:rsidR="003239B8" w:rsidRPr="007C7E8C"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7A2222"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66D17104" w:rsidR="003239B8" w:rsidRPr="000D05CB" w:rsidRDefault="00A2366A" w:rsidP="008D2290">
            <w:pPr>
              <w:jc w:val="both"/>
              <w:rPr>
                <w:rFonts w:ascii="Cambria" w:hAnsi="Cambria"/>
                <w:bCs/>
                <w:sz w:val="20"/>
                <w:szCs w:val="20"/>
                <w:lang w:val="es-ES"/>
              </w:rPr>
            </w:pPr>
            <w:r>
              <w:rPr>
                <w:rFonts w:ascii="Cambria" w:hAnsi="Cambria"/>
                <w:bCs/>
                <w:sz w:val="20"/>
                <w:szCs w:val="20"/>
                <w:lang w:val="es-ES"/>
              </w:rPr>
              <w:t>Pedro Flores Medina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4CAA944A" w:rsidR="003239B8" w:rsidRPr="000D05CB" w:rsidRDefault="00A2366A" w:rsidP="008D2290">
            <w:pPr>
              <w:jc w:val="both"/>
              <w:rPr>
                <w:rFonts w:ascii="Cambria" w:hAnsi="Cambria"/>
                <w:bCs/>
                <w:sz w:val="20"/>
                <w:szCs w:val="20"/>
              </w:rPr>
            </w:pPr>
            <w:r>
              <w:rPr>
                <w:rFonts w:ascii="Cambria" w:hAnsi="Cambria"/>
                <w:bCs/>
                <w:sz w:val="20"/>
                <w:szCs w:val="20"/>
              </w:rPr>
              <w:t>Bolivia</w:t>
            </w:r>
          </w:p>
        </w:tc>
      </w:tr>
      <w:tr w:rsidR="00223A29" w:rsidRPr="00A56058"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28759005" w:rsidR="00223A29" w:rsidRPr="001B5369" w:rsidRDefault="001B5369" w:rsidP="008D2290">
            <w:pPr>
              <w:jc w:val="both"/>
              <w:rPr>
                <w:rFonts w:ascii="Cambria" w:hAnsi="Cambria"/>
                <w:bCs/>
                <w:sz w:val="20"/>
                <w:szCs w:val="20"/>
                <w:lang w:val="es-PE"/>
              </w:rPr>
            </w:pPr>
            <w:r>
              <w:rPr>
                <w:rFonts w:ascii="Cambria" w:hAnsi="Cambria"/>
                <w:bCs/>
                <w:sz w:val="20"/>
                <w:szCs w:val="20"/>
                <w:lang w:val="es-ES"/>
              </w:rPr>
              <w:t xml:space="preserve">Artículos </w:t>
            </w:r>
            <w:r w:rsidR="00B96BEB">
              <w:rPr>
                <w:rFonts w:ascii="Cambria" w:hAnsi="Cambria"/>
                <w:bCs/>
                <w:sz w:val="20"/>
                <w:szCs w:val="20"/>
                <w:lang w:val="es-ES"/>
              </w:rPr>
              <w:t>3 (</w:t>
            </w:r>
            <w:r w:rsidR="00661BEB">
              <w:rPr>
                <w:rFonts w:ascii="Cambria" w:hAnsi="Cambria"/>
                <w:bCs/>
                <w:sz w:val="20"/>
                <w:szCs w:val="20"/>
                <w:lang w:val="es-ES"/>
              </w:rPr>
              <w:t>reconocimiento de la personalidad jurídica), 8 (garantías judiciales)</w:t>
            </w:r>
            <w:r w:rsidR="00C161BC">
              <w:rPr>
                <w:rFonts w:ascii="Cambria" w:hAnsi="Cambria"/>
                <w:bCs/>
                <w:sz w:val="20"/>
                <w:szCs w:val="20"/>
                <w:lang w:val="es-ES"/>
              </w:rPr>
              <w:t>, 23 (derechos políticos) y 25 (protección judicial)</w:t>
            </w:r>
            <w:r>
              <w:rPr>
                <w:rFonts w:ascii="Cambria" w:hAnsi="Cambria"/>
                <w:bCs/>
                <w:sz w:val="20"/>
                <w:szCs w:val="20"/>
                <w:lang w:val="es-ES"/>
              </w:rPr>
              <w:t xml:space="preserve"> de la Convención Americana sobre Derechos Humanos</w:t>
            </w:r>
            <w:r>
              <w:rPr>
                <w:rStyle w:val="FootnoteReference"/>
                <w:rFonts w:ascii="Cambria" w:hAnsi="Cambria"/>
                <w:bCs/>
                <w:sz w:val="20"/>
                <w:szCs w:val="20"/>
                <w:lang w:val="es-ES"/>
              </w:rPr>
              <w:footnoteReference w:id="2"/>
            </w:r>
            <w:r w:rsidR="00D443D2">
              <w:rPr>
                <w:rFonts w:ascii="Cambria" w:hAnsi="Cambria"/>
                <w:bCs/>
                <w:sz w:val="20"/>
                <w:szCs w:val="20"/>
                <w:lang w:val="es-ES"/>
              </w:rPr>
              <w:t>; 3, 6 y 7 del Protocolo Adicional a la Convención Americana en materia de Derechos Económicos, Sociales y Culturales</w:t>
            </w:r>
            <w:r w:rsidR="0091377C">
              <w:rPr>
                <w:rStyle w:val="FootnoteReference"/>
                <w:rFonts w:ascii="Cambria" w:hAnsi="Cambria"/>
                <w:bCs/>
                <w:sz w:val="20"/>
                <w:szCs w:val="20"/>
                <w:lang w:val="es-ES"/>
              </w:rPr>
              <w:footnoteReference w:id="3"/>
            </w:r>
            <w:r w:rsidR="00D443D2">
              <w:rPr>
                <w:rFonts w:ascii="Cambria" w:hAnsi="Cambria"/>
                <w:bCs/>
                <w:sz w:val="20"/>
                <w:szCs w:val="20"/>
                <w:lang w:val="es-ES"/>
              </w:rPr>
              <w:t xml:space="preserve">; </w:t>
            </w:r>
            <w:r w:rsidR="005427E4">
              <w:rPr>
                <w:rFonts w:ascii="Cambria" w:hAnsi="Cambria"/>
                <w:bCs/>
                <w:sz w:val="20"/>
                <w:szCs w:val="20"/>
                <w:lang w:val="es-ES"/>
              </w:rPr>
              <w:t>II de la Declaración Americana de los Derechos y Deberes del Hombre</w:t>
            </w:r>
            <w:r w:rsidR="0091377C">
              <w:rPr>
                <w:rStyle w:val="FootnoteReference"/>
                <w:rFonts w:ascii="Cambria" w:hAnsi="Cambria"/>
                <w:bCs/>
                <w:sz w:val="20"/>
                <w:szCs w:val="20"/>
                <w:lang w:val="es-ES"/>
              </w:rPr>
              <w:footnoteReference w:id="4"/>
            </w:r>
            <w:r w:rsidR="005427E4">
              <w:rPr>
                <w:rFonts w:ascii="Cambria" w:hAnsi="Cambria"/>
                <w:bCs/>
                <w:sz w:val="20"/>
                <w:szCs w:val="20"/>
                <w:lang w:val="es-ES"/>
              </w:rPr>
              <w:t>,</w:t>
            </w:r>
            <w:r w:rsidR="00F72A4A">
              <w:rPr>
                <w:rFonts w:ascii="Cambria" w:hAnsi="Cambria"/>
                <w:bCs/>
                <w:sz w:val="20"/>
                <w:szCs w:val="20"/>
                <w:lang w:val="es-ES"/>
              </w:rPr>
              <w:t xml:space="preserve"> y 2, </w:t>
            </w:r>
            <w:r w:rsidR="0091377C">
              <w:rPr>
                <w:rFonts w:ascii="Cambria" w:hAnsi="Cambria"/>
                <w:bCs/>
                <w:sz w:val="20"/>
                <w:szCs w:val="20"/>
                <w:lang w:val="es-ES"/>
              </w:rPr>
              <w:t>4,</w:t>
            </w:r>
            <w:r w:rsidR="00F72A4A">
              <w:rPr>
                <w:rFonts w:ascii="Cambria" w:hAnsi="Cambria"/>
                <w:bCs/>
                <w:sz w:val="20"/>
                <w:szCs w:val="20"/>
                <w:lang w:val="es-ES"/>
              </w:rPr>
              <w:t xml:space="preserve"> </w:t>
            </w:r>
            <w:r w:rsidR="005701B3">
              <w:rPr>
                <w:rFonts w:ascii="Cambria" w:hAnsi="Cambria"/>
                <w:bCs/>
                <w:sz w:val="20"/>
                <w:szCs w:val="20"/>
                <w:lang w:val="es-ES"/>
              </w:rPr>
              <w:t>9 y 18 de la Convención Interamericana sobre la Protección de los Derechos Humanos de las Personas Mayores</w:t>
            </w:r>
            <w:r w:rsidR="005427E4">
              <w:rPr>
                <w:rFonts w:ascii="Cambria" w:hAnsi="Cambria"/>
                <w:bCs/>
                <w:sz w:val="20"/>
                <w:szCs w:val="20"/>
                <w:lang w:val="es-ES"/>
              </w:rPr>
              <w:t xml:space="preserve"> </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72D1657C" w:rsidR="004C2312" w:rsidRPr="003239B8" w:rsidRDefault="003A2777" w:rsidP="002625EA">
            <w:pPr>
              <w:jc w:val="both"/>
              <w:rPr>
                <w:rFonts w:ascii="Cambria" w:hAnsi="Cambria"/>
                <w:bCs/>
                <w:sz w:val="20"/>
                <w:szCs w:val="20"/>
                <w:lang w:val="es-ES"/>
              </w:rPr>
            </w:pPr>
            <w:r>
              <w:rPr>
                <w:rFonts w:ascii="Cambria" w:hAnsi="Cambria"/>
                <w:bCs/>
                <w:sz w:val="20"/>
                <w:szCs w:val="20"/>
                <w:lang w:val="es-ES"/>
              </w:rPr>
              <w:t>3 de mayo de 2019</w:t>
            </w:r>
          </w:p>
        </w:tc>
      </w:tr>
      <w:tr w:rsidR="00131425" w:rsidRPr="00A56058"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679CDACC" w:rsidR="00131425" w:rsidRPr="003239B8" w:rsidRDefault="00CE0A34" w:rsidP="002625EA">
            <w:pPr>
              <w:jc w:val="both"/>
              <w:rPr>
                <w:rFonts w:ascii="Cambria" w:hAnsi="Cambria"/>
                <w:bCs/>
                <w:sz w:val="20"/>
                <w:szCs w:val="20"/>
                <w:lang w:val="es-ES"/>
              </w:rPr>
            </w:pPr>
            <w:r>
              <w:rPr>
                <w:rFonts w:ascii="Cambria" w:hAnsi="Cambria"/>
                <w:bCs/>
                <w:sz w:val="20"/>
                <w:szCs w:val="20"/>
                <w:lang w:val="es-ES"/>
              </w:rPr>
              <w:t>7 de mayo de 2019, 10 de mayo de 2019, 17 de mayo de 2019, 21 de mayo de 2019, 11 de junio de 2019, 27 de junio de 2019, 11 de noviembre de 2021, 2 de febrero de 2022, 14 de febrero de 2022, 24 de marzo de 2022</w:t>
            </w:r>
            <w:r w:rsidR="004A1283">
              <w:rPr>
                <w:rFonts w:ascii="Cambria" w:hAnsi="Cambria"/>
                <w:bCs/>
                <w:sz w:val="20"/>
                <w:szCs w:val="20"/>
                <w:lang w:val="es-ES"/>
              </w:rPr>
              <w:t xml:space="preserve">, 29 de marzo de 2022, 29 de abril de 2022, 27 de mayo de 022, 13 de julio de 2022, 15 de agosto de 2022, 8 de septiembre de 2022, 11 de octubre de 2022, </w:t>
            </w:r>
            <w:r w:rsidR="005C1053">
              <w:rPr>
                <w:rFonts w:ascii="Cambria" w:hAnsi="Cambria"/>
                <w:bCs/>
                <w:sz w:val="20"/>
                <w:szCs w:val="20"/>
                <w:lang w:val="es-ES"/>
              </w:rPr>
              <w:t>20 de diciembre de 2022, 9 de enero de 2023, 10 de febrero de 2023, 13 de febrero de 2023, 15 de febrero de 2023,</w:t>
            </w:r>
            <w:r w:rsidR="00321879">
              <w:rPr>
                <w:rFonts w:ascii="Cambria" w:hAnsi="Cambria"/>
                <w:bCs/>
                <w:sz w:val="20"/>
                <w:szCs w:val="20"/>
                <w:lang w:val="es-ES"/>
              </w:rPr>
              <w:t xml:space="preserve"> 11 de mayo de 2023, 27 de julio de 2023, 28 de julio de 203, 18 de julio de 2023</w:t>
            </w:r>
            <w:r w:rsidR="007E5423">
              <w:rPr>
                <w:rFonts w:ascii="Cambria" w:hAnsi="Cambria"/>
                <w:bCs/>
                <w:sz w:val="20"/>
                <w:szCs w:val="20"/>
                <w:lang w:val="es-ES"/>
              </w:rPr>
              <w:t xml:space="preserve"> y</w:t>
            </w:r>
            <w:r w:rsidR="00321879">
              <w:rPr>
                <w:rFonts w:ascii="Cambria" w:hAnsi="Cambria"/>
                <w:bCs/>
                <w:sz w:val="20"/>
                <w:szCs w:val="20"/>
                <w:lang w:val="es-ES"/>
              </w:rPr>
              <w:t xml:space="preserve"> </w:t>
            </w:r>
            <w:r w:rsidR="007E5423">
              <w:rPr>
                <w:rFonts w:ascii="Cambria" w:hAnsi="Cambria"/>
                <w:bCs/>
                <w:sz w:val="20"/>
                <w:szCs w:val="20"/>
                <w:lang w:val="es-ES"/>
              </w:rPr>
              <w:t>5 de septiembre de 2023</w:t>
            </w:r>
            <w:r w:rsidR="005C1053">
              <w:rPr>
                <w:rFonts w:ascii="Cambria" w:hAnsi="Cambria"/>
                <w:bCs/>
                <w:sz w:val="20"/>
                <w:szCs w:val="20"/>
                <w:lang w:val="es-ES"/>
              </w:rPr>
              <w:t xml:space="preserve"> </w:t>
            </w:r>
          </w:p>
        </w:tc>
      </w:tr>
      <w:tr w:rsidR="004C2312" w:rsidRPr="009D0BFA"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38686D4F" w:rsidR="004C2312" w:rsidRPr="003239B8" w:rsidRDefault="0089171F" w:rsidP="008D2290">
            <w:pPr>
              <w:jc w:val="both"/>
              <w:rPr>
                <w:rFonts w:ascii="Cambria" w:hAnsi="Cambria"/>
                <w:bCs/>
                <w:sz w:val="20"/>
                <w:szCs w:val="20"/>
                <w:lang w:val="es-ES"/>
              </w:rPr>
            </w:pPr>
            <w:r>
              <w:rPr>
                <w:rFonts w:ascii="Cambria" w:hAnsi="Cambria"/>
                <w:bCs/>
                <w:sz w:val="20"/>
                <w:szCs w:val="20"/>
                <w:lang w:val="es-ES"/>
              </w:rPr>
              <w:t>22 de febrero de 2024</w:t>
            </w:r>
          </w:p>
        </w:tc>
      </w:tr>
      <w:tr w:rsidR="004C2312" w:rsidRPr="00A56058"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7BCE3998" w:rsidR="004C2312" w:rsidRPr="003239B8" w:rsidRDefault="0089171F" w:rsidP="008D2290">
            <w:pPr>
              <w:jc w:val="both"/>
              <w:rPr>
                <w:rFonts w:ascii="Cambria" w:hAnsi="Cambria"/>
                <w:bCs/>
                <w:sz w:val="20"/>
                <w:szCs w:val="20"/>
                <w:lang w:val="es-ES"/>
              </w:rPr>
            </w:pPr>
            <w:r>
              <w:rPr>
                <w:rFonts w:ascii="Cambria" w:hAnsi="Cambria"/>
                <w:bCs/>
                <w:sz w:val="20"/>
                <w:szCs w:val="20"/>
                <w:lang w:val="es-ES"/>
              </w:rPr>
              <w:t>20 de junio de 2024</w:t>
            </w:r>
            <w:r w:rsidR="00641FEC">
              <w:rPr>
                <w:rFonts w:ascii="Cambria" w:hAnsi="Cambria"/>
                <w:bCs/>
                <w:sz w:val="20"/>
                <w:szCs w:val="20"/>
                <w:lang w:val="es-ES"/>
              </w:rPr>
              <w:t xml:space="preserve"> </w:t>
            </w:r>
            <w:r w:rsidR="00201569">
              <w:rPr>
                <w:rFonts w:ascii="Cambria" w:hAnsi="Cambria"/>
                <w:bCs/>
                <w:sz w:val="20"/>
                <w:szCs w:val="20"/>
                <w:lang w:val="es-ES"/>
              </w:rPr>
              <w:t>y 6 de enero de 2025</w:t>
            </w:r>
          </w:p>
        </w:tc>
      </w:tr>
      <w:tr w:rsidR="004C2312" w:rsidRPr="009D0BFA"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6ED98FE6" w:rsidR="004C2312" w:rsidRPr="003239B8" w:rsidRDefault="00CB48C7" w:rsidP="008D2290">
            <w:pPr>
              <w:jc w:val="both"/>
              <w:rPr>
                <w:rFonts w:ascii="Cambria" w:hAnsi="Cambria"/>
                <w:bCs/>
                <w:sz w:val="20"/>
                <w:szCs w:val="20"/>
                <w:lang w:val="es-ES"/>
              </w:rPr>
            </w:pPr>
            <w:r>
              <w:rPr>
                <w:rFonts w:ascii="Cambria" w:hAnsi="Cambria"/>
                <w:bCs/>
                <w:sz w:val="20"/>
                <w:szCs w:val="20"/>
                <w:lang w:val="es-ES"/>
              </w:rPr>
              <w:t>28 de agosto de 2024</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788CEBFC" w:rsidR="003239B8" w:rsidRPr="00B3745F" w:rsidRDefault="001B5369"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0A6AF49B" w:rsidR="003239B8" w:rsidRPr="00B3745F" w:rsidRDefault="001B5369"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7B10CE5F" w:rsidR="003239B8" w:rsidRPr="00B3745F" w:rsidRDefault="001B5369" w:rsidP="008D2290">
            <w:pPr>
              <w:rPr>
                <w:rFonts w:ascii="Cambria" w:hAnsi="Cambria"/>
                <w:bCs/>
                <w:sz w:val="20"/>
                <w:szCs w:val="20"/>
              </w:rPr>
            </w:pPr>
            <w:r>
              <w:rPr>
                <w:rFonts w:ascii="Cambria" w:hAnsi="Cambria"/>
                <w:bCs/>
                <w:sz w:val="20"/>
                <w:szCs w:val="20"/>
              </w:rPr>
              <w:t>Sí</w:t>
            </w:r>
          </w:p>
        </w:tc>
      </w:tr>
      <w:tr w:rsidR="003239B8" w:rsidRPr="00A56058"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79149145" w:rsidR="003239B8" w:rsidRPr="00B3745F" w:rsidRDefault="00A06BBE" w:rsidP="008D2290">
            <w:pPr>
              <w:jc w:val="both"/>
              <w:rPr>
                <w:rFonts w:ascii="Cambria" w:hAnsi="Cambria"/>
                <w:bCs/>
                <w:sz w:val="20"/>
                <w:szCs w:val="20"/>
                <w:lang w:val="es-ES"/>
              </w:rPr>
            </w:pPr>
            <w:r w:rsidRPr="00212944">
              <w:rPr>
                <w:rFonts w:ascii="Cambria" w:hAnsi="Cambria"/>
                <w:bCs/>
                <w:sz w:val="20"/>
                <w:szCs w:val="20"/>
                <w:lang w:val="es-ES"/>
              </w:rPr>
              <w:t>Sí, Convención Americana (depósito del instrumento de ratificación realizado el 19 de julio de 1979)</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DE3A01" w14:paraId="1231C988" w14:textId="77777777" w:rsidTr="00242AE1">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676" w:type="dxa"/>
            <w:vAlign w:val="center"/>
          </w:tcPr>
          <w:p w14:paraId="240941E6" w14:textId="65709022" w:rsidR="00EE00E9" w:rsidRPr="00DC24E3" w:rsidRDefault="00982A1B" w:rsidP="008D2290">
            <w:pPr>
              <w:jc w:val="both"/>
              <w:rPr>
                <w:rFonts w:ascii="Cambria" w:hAnsi="Cambria"/>
                <w:bCs/>
                <w:sz w:val="20"/>
                <w:szCs w:val="20"/>
                <w:lang w:val="es-ES"/>
              </w:rPr>
            </w:pPr>
            <w:r>
              <w:rPr>
                <w:rFonts w:ascii="Cambria" w:hAnsi="Cambria"/>
                <w:bCs/>
                <w:sz w:val="20"/>
                <w:szCs w:val="20"/>
                <w:lang w:val="es-ES"/>
              </w:rPr>
              <w:t>No</w:t>
            </w:r>
          </w:p>
        </w:tc>
      </w:tr>
      <w:tr w:rsidR="00242AE1" w:rsidRPr="00A56058" w14:paraId="15FAA7D1" w14:textId="77777777" w:rsidTr="00242AE1">
        <w:trPr>
          <w:cantSplit/>
        </w:trPr>
        <w:tc>
          <w:tcPr>
            <w:tcW w:w="3566" w:type="dxa"/>
            <w:tcBorders>
              <w:top w:val="single" w:sz="4" w:space="0" w:color="auto"/>
              <w:bottom w:val="single" w:sz="6" w:space="0" w:color="auto"/>
            </w:tcBorders>
            <w:shd w:val="clear" w:color="auto" w:fill="386294"/>
            <w:vAlign w:val="center"/>
          </w:tcPr>
          <w:p w14:paraId="1B0D29FF" w14:textId="77777777" w:rsidR="00242AE1" w:rsidRPr="00DC24E3" w:rsidRDefault="00242AE1" w:rsidP="00242AE1">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676" w:type="dxa"/>
            <w:vAlign w:val="center"/>
          </w:tcPr>
          <w:p w14:paraId="6310C8F7" w14:textId="3FBC6918" w:rsidR="00242AE1" w:rsidRPr="00242AE1" w:rsidRDefault="00242AE1" w:rsidP="00242AE1">
            <w:pPr>
              <w:jc w:val="both"/>
              <w:rPr>
                <w:rFonts w:ascii="Cambria" w:hAnsi="Cambria"/>
                <w:bCs/>
                <w:sz w:val="20"/>
                <w:szCs w:val="20"/>
                <w:lang w:val="es-PE"/>
              </w:rPr>
            </w:pPr>
            <w:r>
              <w:rPr>
                <w:rFonts w:asciiTheme="majorHAnsi" w:hAnsiTheme="majorHAnsi" w:cs="Cambria"/>
                <w:color w:val="000000"/>
                <w:sz w:val="20"/>
                <w:szCs w:val="20"/>
                <w:lang w:val="es-PE" w:eastAsia="es-ES"/>
              </w:rPr>
              <w:t>A</w:t>
            </w:r>
            <w:r w:rsidRPr="00AE3590">
              <w:rPr>
                <w:rFonts w:asciiTheme="majorHAnsi" w:hAnsiTheme="majorHAnsi" w:cs="Cambria"/>
                <w:color w:val="000000"/>
                <w:sz w:val="20"/>
                <w:szCs w:val="20"/>
                <w:lang w:val="es-PE" w:eastAsia="es-ES"/>
              </w:rPr>
              <w:t xml:space="preserve">rtículos 8 (garantías judiciales), 23 (derechos políticos), 24 (igualdad ante la ley), 25 (protección judicial) y </w:t>
            </w:r>
            <w:r w:rsidRPr="00AE3590">
              <w:rPr>
                <w:rFonts w:asciiTheme="majorHAnsi" w:hAnsiTheme="majorHAnsi"/>
                <w:sz w:val="20"/>
                <w:szCs w:val="20"/>
                <w:lang w:val="es-PE"/>
              </w:rPr>
              <w:t>26 (</w:t>
            </w:r>
            <w:r>
              <w:rPr>
                <w:rFonts w:asciiTheme="majorHAnsi" w:hAnsiTheme="majorHAnsi"/>
                <w:sz w:val="20"/>
                <w:szCs w:val="20"/>
                <w:lang w:val="es-PE"/>
              </w:rPr>
              <w:t>derechos económicos, sociales y culturales</w:t>
            </w:r>
            <w:r w:rsidRPr="00AE3590">
              <w:rPr>
                <w:rFonts w:asciiTheme="majorHAnsi" w:hAnsiTheme="majorHAnsi"/>
                <w:sz w:val="20"/>
                <w:szCs w:val="20"/>
                <w:lang w:val="es-PE"/>
              </w:rPr>
              <w:t>)</w:t>
            </w:r>
            <w:r>
              <w:rPr>
                <w:rFonts w:asciiTheme="majorHAnsi" w:hAnsiTheme="majorHAnsi"/>
                <w:sz w:val="20"/>
                <w:szCs w:val="20"/>
                <w:lang w:val="es-PE"/>
              </w:rPr>
              <w:t xml:space="preserve"> de la</w:t>
            </w:r>
            <w:r w:rsidRPr="00BD2AE6">
              <w:rPr>
                <w:rFonts w:ascii="Cambria" w:hAnsi="Cambria"/>
                <w:bCs/>
                <w:sz w:val="20"/>
                <w:szCs w:val="20"/>
                <w:lang w:val="es-PE"/>
              </w:rPr>
              <w:t xml:space="preserve"> Convención Americana</w:t>
            </w:r>
          </w:p>
        </w:tc>
      </w:tr>
      <w:tr w:rsidR="00242AE1" w:rsidRPr="00A56058" w14:paraId="4EFD141E" w14:textId="77777777" w:rsidTr="00242AE1">
        <w:trPr>
          <w:cantSplit/>
        </w:trPr>
        <w:tc>
          <w:tcPr>
            <w:tcW w:w="3566" w:type="dxa"/>
            <w:tcBorders>
              <w:top w:val="single" w:sz="6" w:space="0" w:color="auto"/>
              <w:bottom w:val="single" w:sz="6" w:space="0" w:color="auto"/>
            </w:tcBorders>
            <w:shd w:val="clear" w:color="auto" w:fill="386294"/>
            <w:vAlign w:val="center"/>
          </w:tcPr>
          <w:p w14:paraId="4C04A89C" w14:textId="77777777" w:rsidR="00242AE1" w:rsidRPr="00DC24E3" w:rsidRDefault="00242AE1" w:rsidP="00242AE1">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lastRenderedPageBreak/>
              <w:t>Agotamiento de recursos internos o procedencia de una excepción:</w:t>
            </w:r>
          </w:p>
        </w:tc>
        <w:tc>
          <w:tcPr>
            <w:tcW w:w="5676" w:type="dxa"/>
            <w:vAlign w:val="center"/>
          </w:tcPr>
          <w:p w14:paraId="69C53E8A" w14:textId="0AE553C8" w:rsidR="00242AE1" w:rsidRPr="00DC24E3" w:rsidRDefault="00242AE1" w:rsidP="00242AE1">
            <w:pPr>
              <w:rPr>
                <w:rFonts w:ascii="Cambria" w:hAnsi="Cambria"/>
                <w:bCs/>
                <w:sz w:val="20"/>
                <w:szCs w:val="20"/>
                <w:lang w:val="es-ES"/>
              </w:rPr>
            </w:pPr>
            <w:r>
              <w:rPr>
                <w:rFonts w:ascii="Cambria" w:hAnsi="Cambria"/>
                <w:bCs/>
                <w:sz w:val="20"/>
                <w:szCs w:val="20"/>
                <w:lang w:val="es-ES"/>
              </w:rPr>
              <w:t>Sí, en los términos de la sección VI</w:t>
            </w:r>
          </w:p>
        </w:tc>
      </w:tr>
      <w:tr w:rsidR="00242AE1" w:rsidRPr="00A56058" w14:paraId="52B5BA17" w14:textId="77777777" w:rsidTr="00242AE1">
        <w:trPr>
          <w:cantSplit/>
        </w:trPr>
        <w:tc>
          <w:tcPr>
            <w:tcW w:w="3566" w:type="dxa"/>
            <w:tcBorders>
              <w:top w:val="single" w:sz="6" w:space="0" w:color="auto"/>
              <w:bottom w:val="single" w:sz="6" w:space="0" w:color="auto"/>
            </w:tcBorders>
            <w:shd w:val="clear" w:color="auto" w:fill="386294"/>
            <w:vAlign w:val="center"/>
          </w:tcPr>
          <w:p w14:paraId="5DF99086" w14:textId="77777777" w:rsidR="00242AE1" w:rsidRPr="00DC24E3" w:rsidRDefault="00242AE1" w:rsidP="00242AE1">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676" w:type="dxa"/>
            <w:vAlign w:val="center"/>
          </w:tcPr>
          <w:p w14:paraId="4A2A4569" w14:textId="1305A739" w:rsidR="00242AE1" w:rsidRPr="00982A1B" w:rsidRDefault="00242AE1" w:rsidP="00242AE1">
            <w:pPr>
              <w:rPr>
                <w:rFonts w:ascii="Cambria" w:hAnsi="Cambria"/>
                <w:bCs/>
                <w:sz w:val="20"/>
                <w:szCs w:val="20"/>
                <w:lang w:val="es-PE"/>
              </w:rPr>
            </w:pPr>
            <w:r w:rsidRPr="00982A1B">
              <w:rPr>
                <w:rFonts w:ascii="Cambria" w:hAnsi="Cambria"/>
                <w:bCs/>
                <w:sz w:val="20"/>
                <w:szCs w:val="20"/>
                <w:lang w:val="es-PE"/>
              </w:rPr>
              <w:t>Sí, en los términos d</w:t>
            </w:r>
            <w:r>
              <w:rPr>
                <w:rFonts w:ascii="Cambria" w:hAnsi="Cambria"/>
                <w:bCs/>
                <w:sz w:val="20"/>
                <w:szCs w:val="20"/>
                <w:lang w:val="es-PE"/>
              </w:rPr>
              <w:t>e la sección VI</w:t>
            </w:r>
          </w:p>
        </w:tc>
      </w:tr>
    </w:tbl>
    <w:p w14:paraId="18E6423B" w14:textId="0107F3A7" w:rsidR="003239B8" w:rsidRPr="0012344B" w:rsidRDefault="00223A29" w:rsidP="0012344B">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12344B">
        <w:rPr>
          <w:rFonts w:asciiTheme="majorHAnsi" w:hAnsiTheme="majorHAnsi"/>
          <w:b/>
          <w:sz w:val="20"/>
          <w:szCs w:val="20"/>
          <w:lang w:val="es-ES_tradnl"/>
        </w:rPr>
        <w:t>POSICIÓN DE LAS PARTES</w:t>
      </w:r>
    </w:p>
    <w:p w14:paraId="16FB6418" w14:textId="6FBA6039" w:rsidR="0083100C" w:rsidRPr="0012344B" w:rsidRDefault="002127E2" w:rsidP="0012344B">
      <w:pPr>
        <w:spacing w:before="240" w:after="240"/>
        <w:ind w:firstLine="720"/>
        <w:jc w:val="both"/>
        <w:rPr>
          <w:rFonts w:asciiTheme="majorHAnsi" w:hAnsiTheme="majorHAnsi"/>
          <w:b/>
          <w:sz w:val="20"/>
          <w:szCs w:val="20"/>
          <w:lang w:val="es-ES_tradnl"/>
        </w:rPr>
      </w:pPr>
      <w:r w:rsidRPr="0012344B">
        <w:rPr>
          <w:rFonts w:asciiTheme="majorHAnsi" w:hAnsiTheme="majorHAnsi"/>
          <w:b/>
          <w:sz w:val="20"/>
          <w:szCs w:val="20"/>
          <w:lang w:val="es-ES_tradnl"/>
        </w:rPr>
        <w:t>L</w:t>
      </w:r>
      <w:r w:rsidR="0083100C" w:rsidRPr="0012344B">
        <w:rPr>
          <w:rFonts w:asciiTheme="majorHAnsi" w:hAnsiTheme="majorHAnsi"/>
          <w:b/>
          <w:sz w:val="20"/>
          <w:szCs w:val="20"/>
          <w:lang w:val="es-ES_tradnl"/>
        </w:rPr>
        <w:t>a parte peticionaria</w:t>
      </w:r>
    </w:p>
    <w:p w14:paraId="70A8DEED" w14:textId="3DB4FB12" w:rsidR="00737AFB" w:rsidRPr="0012344B" w:rsidRDefault="00737AFB" w:rsidP="001234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2344B">
        <w:rPr>
          <w:rFonts w:asciiTheme="majorHAnsi" w:hAnsiTheme="majorHAnsi"/>
          <w:sz w:val="20"/>
          <w:szCs w:val="20"/>
          <w:lang w:val="es-ES_tradnl"/>
        </w:rPr>
        <w:t xml:space="preserve">La parte peticionaria alega que el Estado boliviano incurrió en la violación de múltiples derechos humanos </w:t>
      </w:r>
      <w:r w:rsidR="00FE3927" w:rsidRPr="0012344B">
        <w:rPr>
          <w:rFonts w:asciiTheme="majorHAnsi" w:hAnsiTheme="majorHAnsi"/>
          <w:sz w:val="20"/>
          <w:szCs w:val="20"/>
          <w:lang w:val="es-ES_tradnl"/>
        </w:rPr>
        <w:t xml:space="preserve">en perjuicio del señor </w:t>
      </w:r>
      <w:r w:rsidR="00D61967" w:rsidRPr="0012344B">
        <w:rPr>
          <w:rFonts w:asciiTheme="majorHAnsi" w:hAnsiTheme="majorHAnsi"/>
          <w:sz w:val="20"/>
          <w:szCs w:val="20"/>
          <w:lang w:val="es-ES_tradnl"/>
        </w:rPr>
        <w:t xml:space="preserve">Pedro </w:t>
      </w:r>
      <w:r w:rsidR="00FE3927" w:rsidRPr="0012344B">
        <w:rPr>
          <w:rFonts w:asciiTheme="majorHAnsi" w:hAnsiTheme="majorHAnsi"/>
          <w:sz w:val="20"/>
          <w:szCs w:val="20"/>
          <w:lang w:val="es-ES_tradnl"/>
        </w:rPr>
        <w:t>Flores Medina</w:t>
      </w:r>
      <w:r w:rsidR="00D61967" w:rsidRPr="0012344B">
        <w:rPr>
          <w:rFonts w:asciiTheme="majorHAnsi" w:hAnsiTheme="majorHAnsi"/>
          <w:sz w:val="20"/>
          <w:szCs w:val="20"/>
          <w:lang w:val="es-ES_tradnl"/>
        </w:rPr>
        <w:t xml:space="preserve"> (en adelante también “la presunta víctima” o “el Sr. Flores”)</w:t>
      </w:r>
      <w:r w:rsidR="00A60819" w:rsidRPr="0012344B">
        <w:rPr>
          <w:rFonts w:asciiTheme="majorHAnsi" w:hAnsiTheme="majorHAnsi"/>
          <w:sz w:val="20"/>
          <w:szCs w:val="20"/>
          <w:lang w:val="es-ES_tradnl"/>
        </w:rPr>
        <w:t xml:space="preserve">, </w:t>
      </w:r>
      <w:r w:rsidRPr="0012344B">
        <w:rPr>
          <w:rFonts w:asciiTheme="majorHAnsi" w:hAnsiTheme="majorHAnsi"/>
          <w:sz w:val="20"/>
          <w:szCs w:val="20"/>
          <w:lang w:val="es-ES_tradnl"/>
        </w:rPr>
        <w:t>como consecuencia de su remoción arbitraria del cargo judicial que ejercía desde el 2004, sin debido proceso, ni fundamento legal, bajo una interpretación extensiva e injustificada del carácter transitorio de su nombramiento.</w:t>
      </w:r>
    </w:p>
    <w:p w14:paraId="2953F2FE" w14:textId="3E45A217" w:rsidR="00A60819" w:rsidRPr="0012344B" w:rsidRDefault="00A60819" w:rsidP="001234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lang w:val="es-ES_tradnl"/>
        </w:rPr>
      </w:pPr>
      <w:r w:rsidRPr="0012344B">
        <w:rPr>
          <w:rFonts w:asciiTheme="majorHAnsi" w:hAnsiTheme="majorHAnsi"/>
          <w:i/>
          <w:iCs/>
          <w:sz w:val="20"/>
          <w:szCs w:val="20"/>
          <w:lang w:val="es-ES_tradnl"/>
        </w:rPr>
        <w:t>Ingreso a la carrera judicial</w:t>
      </w:r>
    </w:p>
    <w:p w14:paraId="72BE12DA" w14:textId="6EA572E0" w:rsidR="00737AFB" w:rsidRPr="0012344B" w:rsidRDefault="002A1D75" w:rsidP="2FF62D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2FF62D29">
        <w:rPr>
          <w:rFonts w:asciiTheme="majorHAnsi" w:hAnsiTheme="majorHAnsi"/>
          <w:sz w:val="20"/>
          <w:szCs w:val="20"/>
          <w:lang w:val="es-ES"/>
        </w:rPr>
        <w:t>El peticionario narra que el Sr. Flores</w:t>
      </w:r>
      <w:r w:rsidR="00DE3A01" w:rsidRPr="2FF62D29">
        <w:rPr>
          <w:rFonts w:asciiTheme="majorHAnsi" w:hAnsiTheme="majorHAnsi"/>
          <w:sz w:val="20"/>
          <w:szCs w:val="20"/>
          <w:lang w:val="es-ES"/>
        </w:rPr>
        <w:t xml:space="preserve"> </w:t>
      </w:r>
      <w:r w:rsidR="00737AFB" w:rsidRPr="2FF62D29">
        <w:rPr>
          <w:rFonts w:asciiTheme="majorHAnsi" w:hAnsiTheme="majorHAnsi"/>
          <w:sz w:val="20"/>
          <w:szCs w:val="20"/>
          <w:lang w:val="es-ES"/>
        </w:rPr>
        <w:t>ingresó a la carrera judicial el 1 de octubre de 2004 a través de un concurso público convocado por el Consejo de la Judicatura</w:t>
      </w:r>
      <w:r w:rsidR="008F2CD1" w:rsidRPr="2FF62D29">
        <w:rPr>
          <w:rFonts w:asciiTheme="majorHAnsi" w:hAnsiTheme="majorHAnsi"/>
          <w:sz w:val="20"/>
          <w:szCs w:val="20"/>
          <w:lang w:val="es-ES"/>
        </w:rPr>
        <w:t>,</w:t>
      </w:r>
      <w:r w:rsidR="00737AFB" w:rsidRPr="2FF62D29">
        <w:rPr>
          <w:rFonts w:asciiTheme="majorHAnsi" w:hAnsiTheme="majorHAnsi"/>
          <w:sz w:val="20"/>
          <w:szCs w:val="20"/>
          <w:lang w:val="es-ES"/>
        </w:rPr>
        <w:t xml:space="preserve"> conforme a la legislación vigente en ese momento. Inicialmente fue designado </w:t>
      </w:r>
      <w:r w:rsidR="004C5EAE" w:rsidRPr="2FF62D29">
        <w:rPr>
          <w:rFonts w:asciiTheme="majorHAnsi" w:hAnsiTheme="majorHAnsi"/>
          <w:sz w:val="20"/>
          <w:szCs w:val="20"/>
          <w:lang w:val="es-ES"/>
        </w:rPr>
        <w:t>J</w:t>
      </w:r>
      <w:r w:rsidR="00737AFB" w:rsidRPr="2FF62D29">
        <w:rPr>
          <w:rFonts w:asciiTheme="majorHAnsi" w:hAnsiTheme="majorHAnsi"/>
          <w:sz w:val="20"/>
          <w:szCs w:val="20"/>
          <w:lang w:val="es-ES"/>
        </w:rPr>
        <w:t xml:space="preserve">uez de Partido de Muyupampa y posteriormente ejerció como Juez Público en lo Civil y Comercial 1º de Sucre, del Tribunal Departamental de Justicia de Chuquisaca. Señala que su nombramiento fue legal y </w:t>
      </w:r>
      <w:r w:rsidR="008F2CD1" w:rsidRPr="2FF62D29">
        <w:rPr>
          <w:rFonts w:asciiTheme="majorHAnsi" w:hAnsiTheme="majorHAnsi"/>
          <w:sz w:val="20"/>
          <w:szCs w:val="20"/>
          <w:lang w:val="es-ES"/>
        </w:rPr>
        <w:t xml:space="preserve">adecuado </w:t>
      </w:r>
      <w:r w:rsidR="00737AFB" w:rsidRPr="2FF62D29">
        <w:rPr>
          <w:rFonts w:asciiTheme="majorHAnsi" w:hAnsiTheme="majorHAnsi"/>
          <w:sz w:val="20"/>
          <w:szCs w:val="20"/>
          <w:lang w:val="es-ES"/>
        </w:rPr>
        <w:t>a las disposiciones de la Ley del Consejo de la Judicatura, y que su condición de juez de carrera se mantuvo inalterada hasta su destitución.</w:t>
      </w:r>
    </w:p>
    <w:p w14:paraId="03524316" w14:textId="36A5D621" w:rsidR="00A60819" w:rsidRPr="0012344B" w:rsidRDefault="00A60819" w:rsidP="001234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ES_tradnl"/>
        </w:rPr>
      </w:pPr>
      <w:r w:rsidRPr="0012344B">
        <w:rPr>
          <w:rFonts w:asciiTheme="majorHAnsi" w:hAnsiTheme="majorHAnsi"/>
          <w:i/>
          <w:iCs/>
          <w:sz w:val="20"/>
          <w:szCs w:val="20"/>
          <w:lang w:val="es-ES_tradnl"/>
        </w:rPr>
        <w:t>Marco normativo y destitución</w:t>
      </w:r>
    </w:p>
    <w:p w14:paraId="1B72F22E" w14:textId="3636F394" w:rsidR="00737AFB" w:rsidRPr="0012344B" w:rsidRDefault="00737AFB" w:rsidP="001234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2344B">
        <w:rPr>
          <w:rFonts w:asciiTheme="majorHAnsi" w:hAnsiTheme="majorHAnsi"/>
          <w:sz w:val="20"/>
          <w:szCs w:val="20"/>
          <w:lang w:val="es-ES_tradnl"/>
        </w:rPr>
        <w:t>Aduce que a pesar de la entrada en vigor de la nueva Constitución Política en 2009 y de la Ley del Órgano Judicial (Ley N.º 025 de 2010), que establecieron un proceso de transición institucional y revisión del escalafón judicial, dicho proceso debía concluir como máximo el 3 de enero de 2012, cuando se posesionaron las nuevas autoridades del Órgano Judicial. Sin embargo, cinco años después, mediante Acuerdo de Sala Plena N.º 073/2017 del Consejo de la Magistratura de</w:t>
      </w:r>
      <w:r w:rsidR="00C03EF2" w:rsidRPr="0012344B">
        <w:rPr>
          <w:rFonts w:asciiTheme="majorHAnsi" w:hAnsiTheme="majorHAnsi"/>
          <w:sz w:val="20"/>
          <w:szCs w:val="20"/>
          <w:lang w:val="es-ES_tradnl"/>
        </w:rPr>
        <w:t>l</w:t>
      </w:r>
      <w:r w:rsidRPr="0012344B">
        <w:rPr>
          <w:rFonts w:asciiTheme="majorHAnsi" w:hAnsiTheme="majorHAnsi"/>
          <w:sz w:val="20"/>
          <w:szCs w:val="20"/>
          <w:lang w:val="es-ES_tradnl"/>
        </w:rPr>
        <w:t xml:space="preserve"> 5 de mayo de 2017, </w:t>
      </w:r>
      <w:r w:rsidR="00D244AB" w:rsidRPr="0012344B">
        <w:rPr>
          <w:rFonts w:asciiTheme="majorHAnsi" w:hAnsiTheme="majorHAnsi"/>
          <w:sz w:val="20"/>
          <w:szCs w:val="20"/>
          <w:lang w:val="es-ES_tradnl"/>
        </w:rPr>
        <w:t xml:space="preserve">la presunta víctima </w:t>
      </w:r>
      <w:r w:rsidRPr="0012344B">
        <w:rPr>
          <w:rFonts w:asciiTheme="majorHAnsi" w:hAnsiTheme="majorHAnsi"/>
          <w:sz w:val="20"/>
          <w:szCs w:val="20"/>
          <w:lang w:val="es-ES_tradnl"/>
        </w:rPr>
        <w:t>fue cesad</w:t>
      </w:r>
      <w:r w:rsidR="00D244AB" w:rsidRPr="0012344B">
        <w:rPr>
          <w:rFonts w:asciiTheme="majorHAnsi" w:hAnsiTheme="majorHAnsi"/>
          <w:sz w:val="20"/>
          <w:szCs w:val="20"/>
          <w:lang w:val="es-ES_tradnl"/>
        </w:rPr>
        <w:t>a</w:t>
      </w:r>
      <w:r w:rsidRPr="0012344B">
        <w:rPr>
          <w:rFonts w:asciiTheme="majorHAnsi" w:hAnsiTheme="majorHAnsi"/>
          <w:sz w:val="20"/>
          <w:szCs w:val="20"/>
          <w:lang w:val="es-ES_tradnl"/>
        </w:rPr>
        <w:t xml:space="preserve"> en sus funciones bajo la figura de “agradecimiento de servicios”, por supuestamente no formar parte de la carrera judicial y estar sujeto a un régimen transitorio. Esta decisión fue formalizada mediante </w:t>
      </w:r>
      <w:r w:rsidRPr="00E11EEF">
        <w:rPr>
          <w:rFonts w:asciiTheme="majorHAnsi" w:hAnsiTheme="majorHAnsi"/>
          <w:i/>
          <w:iCs/>
          <w:sz w:val="20"/>
          <w:szCs w:val="20"/>
          <w:lang w:val="es-ES_tradnl"/>
        </w:rPr>
        <w:t>memorándum</w:t>
      </w:r>
      <w:r w:rsidRPr="0012344B">
        <w:rPr>
          <w:rFonts w:asciiTheme="majorHAnsi" w:hAnsiTheme="majorHAnsi"/>
          <w:sz w:val="20"/>
          <w:szCs w:val="20"/>
          <w:lang w:val="es-ES_tradnl"/>
        </w:rPr>
        <w:t xml:space="preserve"> de despido emitido el 9 de mayo de 2017.</w:t>
      </w:r>
    </w:p>
    <w:p w14:paraId="535E5515" w14:textId="6ED8320A" w:rsidR="00737AFB" w:rsidRPr="0012344B" w:rsidRDefault="00737AFB" w:rsidP="001234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2344B">
        <w:rPr>
          <w:rFonts w:asciiTheme="majorHAnsi" w:hAnsiTheme="majorHAnsi"/>
          <w:sz w:val="20"/>
          <w:szCs w:val="20"/>
          <w:lang w:val="es-ES_tradnl"/>
        </w:rPr>
        <w:t xml:space="preserve">El peticionario afirma </w:t>
      </w:r>
      <w:r w:rsidR="00D244AB" w:rsidRPr="0012344B">
        <w:rPr>
          <w:rFonts w:asciiTheme="majorHAnsi" w:hAnsiTheme="majorHAnsi"/>
          <w:sz w:val="20"/>
          <w:szCs w:val="20"/>
          <w:lang w:val="es-ES_tradnl"/>
        </w:rPr>
        <w:t xml:space="preserve">que al señor Flores </w:t>
      </w:r>
      <w:r w:rsidRPr="0012344B">
        <w:rPr>
          <w:rFonts w:asciiTheme="majorHAnsi" w:hAnsiTheme="majorHAnsi"/>
          <w:sz w:val="20"/>
          <w:szCs w:val="20"/>
          <w:lang w:val="es-ES_tradnl"/>
        </w:rPr>
        <w:t xml:space="preserve">que no se le notificó previamente </w:t>
      </w:r>
      <w:r w:rsidR="002A1F18" w:rsidRPr="0012344B">
        <w:rPr>
          <w:rFonts w:asciiTheme="majorHAnsi" w:hAnsiTheme="majorHAnsi"/>
          <w:sz w:val="20"/>
          <w:szCs w:val="20"/>
          <w:lang w:val="es-ES_tradnl"/>
        </w:rPr>
        <w:t>de</w:t>
      </w:r>
      <w:r w:rsidRPr="0012344B">
        <w:rPr>
          <w:rFonts w:asciiTheme="majorHAnsi" w:hAnsiTheme="majorHAnsi"/>
          <w:sz w:val="20"/>
          <w:szCs w:val="20"/>
          <w:lang w:val="es-ES_tradnl"/>
        </w:rPr>
        <w:t xml:space="preserve"> ninguna causa legal de remoción, ni se le inició procedimiento disciplinario o administrativo alguno. Indica que el Consejo de la Magistratura sostuvo que por su condición de juez transitorio no tenía derecho a las garantías de estabilidad, debido proceso ni defensa</w:t>
      </w:r>
      <w:r w:rsidR="009F5A17">
        <w:rPr>
          <w:rFonts w:asciiTheme="majorHAnsi" w:hAnsiTheme="majorHAnsi"/>
          <w:sz w:val="20"/>
          <w:szCs w:val="20"/>
          <w:lang w:val="es-ES_tradnl"/>
        </w:rPr>
        <w:t>;</w:t>
      </w:r>
      <w:r w:rsidRPr="0012344B">
        <w:rPr>
          <w:rFonts w:asciiTheme="majorHAnsi" w:hAnsiTheme="majorHAnsi"/>
          <w:sz w:val="20"/>
          <w:szCs w:val="20"/>
          <w:lang w:val="es-ES_tradnl"/>
        </w:rPr>
        <w:t xml:space="preserve"> argumento que</w:t>
      </w:r>
      <w:r w:rsidR="009F5A17">
        <w:rPr>
          <w:rFonts w:asciiTheme="majorHAnsi" w:hAnsiTheme="majorHAnsi"/>
          <w:sz w:val="20"/>
          <w:szCs w:val="20"/>
          <w:lang w:val="es-ES_tradnl"/>
        </w:rPr>
        <w:t>,</w:t>
      </w:r>
      <w:r w:rsidRPr="0012344B">
        <w:rPr>
          <w:rFonts w:asciiTheme="majorHAnsi" w:hAnsiTheme="majorHAnsi"/>
          <w:sz w:val="20"/>
          <w:szCs w:val="20"/>
          <w:lang w:val="es-ES_tradnl"/>
        </w:rPr>
        <w:t xml:space="preserve"> a su juicio</w:t>
      </w:r>
      <w:r w:rsidR="009F5A17">
        <w:rPr>
          <w:rFonts w:asciiTheme="majorHAnsi" w:hAnsiTheme="majorHAnsi"/>
          <w:sz w:val="20"/>
          <w:szCs w:val="20"/>
          <w:lang w:val="es-ES_tradnl"/>
        </w:rPr>
        <w:t>,</w:t>
      </w:r>
      <w:r w:rsidRPr="0012344B">
        <w:rPr>
          <w:rFonts w:asciiTheme="majorHAnsi" w:hAnsiTheme="majorHAnsi"/>
          <w:sz w:val="20"/>
          <w:szCs w:val="20"/>
          <w:lang w:val="es-ES_tradnl"/>
        </w:rPr>
        <w:t xml:space="preserve"> constituye una forma de discriminación institucional entre jueces “de carrera” y jueces “transitorios”.</w:t>
      </w:r>
    </w:p>
    <w:p w14:paraId="0356D3A3" w14:textId="4FBF4D1E" w:rsidR="00670E3A" w:rsidRPr="0012344B" w:rsidRDefault="00F90C31" w:rsidP="001234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ES_tradnl"/>
        </w:rPr>
      </w:pPr>
      <w:r w:rsidRPr="0012344B">
        <w:rPr>
          <w:rFonts w:asciiTheme="majorHAnsi" w:hAnsiTheme="majorHAnsi"/>
          <w:i/>
          <w:iCs/>
          <w:sz w:val="20"/>
          <w:szCs w:val="20"/>
          <w:lang w:val="es-ES_tradnl"/>
        </w:rPr>
        <w:t>Recursos interpuestos</w:t>
      </w:r>
    </w:p>
    <w:p w14:paraId="55761355" w14:textId="7750454D" w:rsidR="00737AFB" w:rsidRPr="0012344B" w:rsidRDefault="002B5A39" w:rsidP="001234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2344B">
        <w:rPr>
          <w:rFonts w:asciiTheme="majorHAnsi" w:hAnsiTheme="majorHAnsi"/>
          <w:sz w:val="20"/>
          <w:szCs w:val="20"/>
          <w:lang w:val="es-ES_tradnl"/>
        </w:rPr>
        <w:t>L</w:t>
      </w:r>
      <w:r w:rsidR="00136F0B" w:rsidRPr="0012344B">
        <w:rPr>
          <w:rFonts w:asciiTheme="majorHAnsi" w:hAnsiTheme="majorHAnsi"/>
          <w:sz w:val="20"/>
          <w:szCs w:val="20"/>
          <w:lang w:val="es-ES_tradnl"/>
        </w:rPr>
        <w:t>a presunta víctima</w:t>
      </w:r>
      <w:r w:rsidR="00737AFB" w:rsidRPr="0012344B">
        <w:rPr>
          <w:rFonts w:asciiTheme="majorHAnsi" w:hAnsiTheme="majorHAnsi"/>
          <w:sz w:val="20"/>
          <w:szCs w:val="20"/>
          <w:lang w:val="es-ES_tradnl"/>
        </w:rPr>
        <w:t xml:space="preserve"> interpuso </w:t>
      </w:r>
      <w:r w:rsidR="00136F0B" w:rsidRPr="0012344B">
        <w:rPr>
          <w:rFonts w:asciiTheme="majorHAnsi" w:hAnsiTheme="majorHAnsi"/>
          <w:sz w:val="20"/>
          <w:szCs w:val="20"/>
          <w:lang w:val="es-ES_tradnl"/>
        </w:rPr>
        <w:t xml:space="preserve">un </w:t>
      </w:r>
      <w:r w:rsidR="00737AFB" w:rsidRPr="0012344B">
        <w:rPr>
          <w:rFonts w:asciiTheme="majorHAnsi" w:hAnsiTheme="majorHAnsi"/>
          <w:sz w:val="20"/>
          <w:szCs w:val="20"/>
          <w:lang w:val="es-ES_tradnl"/>
        </w:rPr>
        <w:t>recurso de revocatoria, el cual fue rechazado por el propio Consejo de la Magistratura mediante Resolución RR/SP N.º 065/2017, reiterando que no era necesaria la existencia de un proceso previo ni una causa legal para su desvinculación. Posteriormente,</w:t>
      </w:r>
      <w:r w:rsidR="00D602B3" w:rsidRPr="0012344B">
        <w:rPr>
          <w:rFonts w:asciiTheme="majorHAnsi" w:hAnsiTheme="majorHAnsi"/>
          <w:sz w:val="20"/>
          <w:szCs w:val="20"/>
          <w:lang w:val="es-ES_tradnl"/>
        </w:rPr>
        <w:t xml:space="preserve"> el 27 de noviembre de 2017</w:t>
      </w:r>
      <w:r w:rsidR="00737AFB" w:rsidRPr="0012344B">
        <w:rPr>
          <w:rFonts w:asciiTheme="majorHAnsi" w:hAnsiTheme="majorHAnsi"/>
          <w:sz w:val="20"/>
          <w:szCs w:val="20"/>
          <w:lang w:val="es-ES_tradnl"/>
        </w:rPr>
        <w:t xml:space="preserve"> promovió </w:t>
      </w:r>
      <w:r w:rsidR="00C92E17" w:rsidRPr="0012344B">
        <w:rPr>
          <w:rFonts w:asciiTheme="majorHAnsi" w:hAnsiTheme="majorHAnsi"/>
          <w:sz w:val="20"/>
          <w:szCs w:val="20"/>
          <w:lang w:val="es-ES_tradnl"/>
        </w:rPr>
        <w:t xml:space="preserve">una </w:t>
      </w:r>
      <w:r w:rsidR="00737AFB" w:rsidRPr="0012344B">
        <w:rPr>
          <w:rFonts w:asciiTheme="majorHAnsi" w:hAnsiTheme="majorHAnsi"/>
          <w:sz w:val="20"/>
          <w:szCs w:val="20"/>
          <w:lang w:val="es-ES_tradnl"/>
        </w:rPr>
        <w:t xml:space="preserve">acción de amparo constitucional denunciando violaciones a su derecho al debido proceso, al trabajo, a la igualdad y a las garantías propias del cargo judicial, así como la inobservancia de estándares interamericanos sobre independencia judicial. </w:t>
      </w:r>
      <w:r w:rsidR="00D602B3" w:rsidRPr="0012344B">
        <w:rPr>
          <w:rFonts w:asciiTheme="majorHAnsi" w:hAnsiTheme="majorHAnsi"/>
          <w:sz w:val="20"/>
          <w:szCs w:val="20"/>
          <w:lang w:val="es-ES_tradnl"/>
        </w:rPr>
        <w:t xml:space="preserve">Sin embargo, el 22 de mayo de 2018 </w:t>
      </w:r>
      <w:r w:rsidR="00C92E17" w:rsidRPr="0012344B">
        <w:rPr>
          <w:rFonts w:asciiTheme="majorHAnsi" w:hAnsiTheme="majorHAnsi"/>
          <w:sz w:val="20"/>
          <w:szCs w:val="20"/>
          <w:lang w:val="es-ES_tradnl"/>
        </w:rPr>
        <w:t>el</w:t>
      </w:r>
      <w:r w:rsidR="00737AFB" w:rsidRPr="0012344B">
        <w:rPr>
          <w:rFonts w:asciiTheme="majorHAnsi" w:hAnsiTheme="majorHAnsi"/>
          <w:sz w:val="20"/>
          <w:szCs w:val="20"/>
          <w:lang w:val="es-ES_tradnl"/>
        </w:rPr>
        <w:t xml:space="preserve"> Juzgado Público Civil y Comercial 5º de Sucre</w:t>
      </w:r>
      <w:r w:rsidR="00C92E17" w:rsidRPr="0012344B">
        <w:rPr>
          <w:rFonts w:asciiTheme="majorHAnsi" w:hAnsiTheme="majorHAnsi"/>
          <w:sz w:val="20"/>
          <w:szCs w:val="20"/>
          <w:lang w:val="es-ES_tradnl"/>
        </w:rPr>
        <w:t xml:space="preserve"> la rechazó,</w:t>
      </w:r>
      <w:r w:rsidR="00737AFB" w:rsidRPr="0012344B">
        <w:rPr>
          <w:rFonts w:asciiTheme="majorHAnsi" w:hAnsiTheme="majorHAnsi"/>
          <w:sz w:val="20"/>
          <w:szCs w:val="20"/>
          <w:lang w:val="es-ES_tradnl"/>
        </w:rPr>
        <w:t xml:space="preserve"> bajo el argumento de que, al ser juez transitorio, no tenía derecho al debido proceso ni a inamovilidad.</w:t>
      </w:r>
    </w:p>
    <w:p w14:paraId="121AE888" w14:textId="49D4647F" w:rsidR="00A02524" w:rsidRPr="0012344B" w:rsidRDefault="0066683E" w:rsidP="2FF62D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2FF62D29">
        <w:rPr>
          <w:rFonts w:asciiTheme="majorHAnsi" w:hAnsiTheme="majorHAnsi"/>
          <w:sz w:val="20"/>
          <w:szCs w:val="20"/>
          <w:lang w:val="es-ES"/>
        </w:rPr>
        <w:t>Esta</w:t>
      </w:r>
      <w:r w:rsidR="00737AFB" w:rsidRPr="2FF62D29">
        <w:rPr>
          <w:rFonts w:asciiTheme="majorHAnsi" w:hAnsiTheme="majorHAnsi"/>
          <w:sz w:val="20"/>
          <w:szCs w:val="20"/>
          <w:lang w:val="es-ES"/>
        </w:rPr>
        <w:t xml:space="preserve"> decisión fue apelada</w:t>
      </w:r>
      <w:r w:rsidR="00AB425B" w:rsidRPr="2FF62D29">
        <w:rPr>
          <w:rFonts w:asciiTheme="majorHAnsi" w:hAnsiTheme="majorHAnsi"/>
          <w:sz w:val="20"/>
          <w:szCs w:val="20"/>
          <w:lang w:val="es-ES"/>
        </w:rPr>
        <w:t>;</w:t>
      </w:r>
      <w:r w:rsidR="00737AFB" w:rsidRPr="2FF62D29">
        <w:rPr>
          <w:rFonts w:asciiTheme="majorHAnsi" w:hAnsiTheme="majorHAnsi"/>
          <w:sz w:val="20"/>
          <w:szCs w:val="20"/>
          <w:lang w:val="es-ES"/>
        </w:rPr>
        <w:t xml:space="preserve"> y el</w:t>
      </w:r>
      <w:r w:rsidR="00C92E17" w:rsidRPr="2FF62D29">
        <w:rPr>
          <w:rFonts w:asciiTheme="majorHAnsi" w:hAnsiTheme="majorHAnsi"/>
          <w:sz w:val="20"/>
          <w:szCs w:val="20"/>
          <w:lang w:val="es-ES"/>
        </w:rPr>
        <w:t xml:space="preserve"> 29 de junio de 2018</w:t>
      </w:r>
      <w:r w:rsidR="00AB425B" w:rsidRPr="2FF62D29">
        <w:rPr>
          <w:rFonts w:asciiTheme="majorHAnsi" w:hAnsiTheme="majorHAnsi"/>
          <w:sz w:val="20"/>
          <w:szCs w:val="20"/>
          <w:lang w:val="es-ES"/>
        </w:rPr>
        <w:t>,</w:t>
      </w:r>
      <w:r w:rsidR="00C92E17" w:rsidRPr="2FF62D29">
        <w:rPr>
          <w:rFonts w:asciiTheme="majorHAnsi" w:hAnsiTheme="majorHAnsi"/>
          <w:sz w:val="20"/>
          <w:szCs w:val="20"/>
          <w:lang w:val="es-ES"/>
        </w:rPr>
        <w:t xml:space="preserve"> el</w:t>
      </w:r>
      <w:r w:rsidR="00737AFB" w:rsidRPr="2FF62D29">
        <w:rPr>
          <w:rFonts w:asciiTheme="majorHAnsi" w:hAnsiTheme="majorHAnsi"/>
          <w:sz w:val="20"/>
          <w:szCs w:val="20"/>
          <w:lang w:val="es-ES"/>
        </w:rPr>
        <w:t xml:space="preserve"> Tribunal Constitucional Plurinacional emitió la Sentencia Constitucional Plurinacional Nº 0284/2018-S3, mediante la cual confirmó la denegatoria del amparo, ratificando que el cese del </w:t>
      </w:r>
      <w:r w:rsidR="00C92E17" w:rsidRPr="2FF62D29">
        <w:rPr>
          <w:rFonts w:asciiTheme="majorHAnsi" w:hAnsiTheme="majorHAnsi"/>
          <w:sz w:val="20"/>
          <w:szCs w:val="20"/>
          <w:lang w:val="es-ES"/>
        </w:rPr>
        <w:t>señor</w:t>
      </w:r>
      <w:r w:rsidR="00737AFB" w:rsidRPr="2FF62D29">
        <w:rPr>
          <w:rFonts w:asciiTheme="majorHAnsi" w:hAnsiTheme="majorHAnsi"/>
          <w:sz w:val="20"/>
          <w:szCs w:val="20"/>
          <w:lang w:val="es-ES"/>
        </w:rPr>
        <w:t xml:space="preserve"> Flores Medina fue legal conforme a la normativa transitoria </w:t>
      </w:r>
      <w:r w:rsidR="00737AFB" w:rsidRPr="2FF62D29">
        <w:rPr>
          <w:rFonts w:asciiTheme="majorHAnsi" w:hAnsiTheme="majorHAnsi"/>
          <w:sz w:val="20"/>
          <w:szCs w:val="20"/>
          <w:lang w:val="es-ES"/>
        </w:rPr>
        <w:lastRenderedPageBreak/>
        <w:t>vigente, y que la diferencia de trato entre jueces de carrera y jueces transitorios no implicaba una violación al principio de igualdad ni a la prohibición de discriminación. Asimismo, el tribunal señaló que no le correspondía ingresar a una revisión de fondo sobre la legalidad o razonabilidad del despido.</w:t>
      </w:r>
      <w:r w:rsidR="00A02524" w:rsidRPr="2FF62D29">
        <w:rPr>
          <w:rFonts w:asciiTheme="majorHAnsi" w:hAnsiTheme="majorHAnsi"/>
          <w:sz w:val="20"/>
          <w:szCs w:val="20"/>
          <w:lang w:val="es-ES"/>
        </w:rPr>
        <w:t xml:space="preserve"> Esta resolución se notificó el 14 de noviembre de 2018.</w:t>
      </w:r>
    </w:p>
    <w:p w14:paraId="4EB81B29" w14:textId="52001339" w:rsidR="00F90C31" w:rsidRPr="0012344B" w:rsidRDefault="00F90C31" w:rsidP="001234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ES_tradnl"/>
        </w:rPr>
      </w:pPr>
      <w:r w:rsidRPr="0012344B">
        <w:rPr>
          <w:rFonts w:asciiTheme="majorHAnsi" w:hAnsiTheme="majorHAnsi"/>
          <w:i/>
          <w:iCs/>
          <w:sz w:val="20"/>
          <w:szCs w:val="20"/>
          <w:lang w:val="es-ES_tradnl"/>
        </w:rPr>
        <w:t>Alegatos finales</w:t>
      </w:r>
    </w:p>
    <w:p w14:paraId="57DC76C1" w14:textId="000CF753" w:rsidR="00737AFB" w:rsidRPr="0012344B" w:rsidRDefault="00FD4CE6" w:rsidP="2FF62D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2FF62D29">
        <w:rPr>
          <w:rFonts w:asciiTheme="majorHAnsi" w:hAnsiTheme="majorHAnsi"/>
          <w:sz w:val="20"/>
          <w:szCs w:val="20"/>
          <w:lang w:val="es-ES"/>
        </w:rPr>
        <w:t>Con base en las consideraciones de hecho previamente expuestas, e</w:t>
      </w:r>
      <w:r w:rsidR="00737AFB" w:rsidRPr="2FF62D29">
        <w:rPr>
          <w:rFonts w:asciiTheme="majorHAnsi" w:hAnsiTheme="majorHAnsi"/>
          <w:sz w:val="20"/>
          <w:szCs w:val="20"/>
          <w:lang w:val="es-ES"/>
        </w:rPr>
        <w:t>l peticionario sostiene que</w:t>
      </w:r>
      <w:r w:rsidRPr="2FF62D29">
        <w:rPr>
          <w:rFonts w:asciiTheme="majorHAnsi" w:hAnsiTheme="majorHAnsi"/>
          <w:sz w:val="20"/>
          <w:szCs w:val="20"/>
          <w:lang w:val="es-ES"/>
        </w:rPr>
        <w:t xml:space="preserve"> </w:t>
      </w:r>
      <w:r w:rsidR="005261A8" w:rsidRPr="2FF62D29">
        <w:rPr>
          <w:rFonts w:asciiTheme="majorHAnsi" w:hAnsiTheme="majorHAnsi"/>
          <w:sz w:val="20"/>
          <w:szCs w:val="20"/>
          <w:lang w:val="es-ES"/>
        </w:rPr>
        <w:t>la remoción del señor Flores Medina</w:t>
      </w:r>
      <w:r w:rsidR="00737AFB" w:rsidRPr="2FF62D29">
        <w:rPr>
          <w:rFonts w:asciiTheme="majorHAnsi" w:hAnsiTheme="majorHAnsi"/>
          <w:sz w:val="20"/>
          <w:szCs w:val="20"/>
          <w:lang w:val="es-ES"/>
        </w:rPr>
        <w:t xml:space="preserve"> desconoce la </w:t>
      </w:r>
      <w:r w:rsidR="005261A8" w:rsidRPr="2FF62D29">
        <w:rPr>
          <w:rFonts w:asciiTheme="majorHAnsi" w:hAnsiTheme="majorHAnsi"/>
          <w:sz w:val="20"/>
          <w:szCs w:val="20"/>
          <w:lang w:val="es-ES"/>
        </w:rPr>
        <w:t>jurisprudencia</w:t>
      </w:r>
      <w:r w:rsidR="00737AFB" w:rsidRPr="2FF62D29">
        <w:rPr>
          <w:rFonts w:asciiTheme="majorHAnsi" w:hAnsiTheme="majorHAnsi"/>
          <w:sz w:val="20"/>
          <w:szCs w:val="20"/>
          <w:lang w:val="es-ES"/>
        </w:rPr>
        <w:t xml:space="preserve"> del sistema interamericano, particularmente la</w:t>
      </w:r>
      <w:r w:rsidR="005261A8" w:rsidRPr="2FF62D29">
        <w:rPr>
          <w:rFonts w:asciiTheme="majorHAnsi" w:hAnsiTheme="majorHAnsi"/>
          <w:sz w:val="20"/>
          <w:szCs w:val="20"/>
          <w:lang w:val="es-ES"/>
        </w:rPr>
        <w:t>s</w:t>
      </w:r>
      <w:r w:rsidR="00737AFB" w:rsidRPr="2FF62D29">
        <w:rPr>
          <w:rFonts w:asciiTheme="majorHAnsi" w:hAnsiTheme="majorHAnsi"/>
          <w:sz w:val="20"/>
          <w:szCs w:val="20"/>
          <w:lang w:val="es-ES"/>
        </w:rPr>
        <w:t xml:space="preserve"> </w:t>
      </w:r>
      <w:r w:rsidR="005261A8" w:rsidRPr="2FF62D29">
        <w:rPr>
          <w:rFonts w:asciiTheme="majorHAnsi" w:hAnsiTheme="majorHAnsi"/>
          <w:sz w:val="20"/>
          <w:szCs w:val="20"/>
          <w:lang w:val="es-ES"/>
        </w:rPr>
        <w:t>sentencias</w:t>
      </w:r>
      <w:r w:rsidR="00737AFB" w:rsidRPr="2FF62D29">
        <w:rPr>
          <w:rFonts w:asciiTheme="majorHAnsi" w:hAnsiTheme="majorHAnsi"/>
          <w:sz w:val="20"/>
          <w:szCs w:val="20"/>
          <w:lang w:val="es-ES"/>
        </w:rPr>
        <w:t xml:space="preserve"> de la Corte IDH en los casos </w:t>
      </w:r>
      <w:r w:rsidR="00737AFB" w:rsidRPr="2FF62D29">
        <w:rPr>
          <w:rFonts w:asciiTheme="majorHAnsi" w:hAnsiTheme="majorHAnsi"/>
          <w:i/>
          <w:iCs/>
          <w:sz w:val="20"/>
          <w:szCs w:val="20"/>
          <w:lang w:val="es-ES"/>
        </w:rPr>
        <w:t>Chocrón Chocrón, Apitz Barrera, Reverón Trujillo y Camba Campos</w:t>
      </w:r>
      <w:r w:rsidR="00737AFB" w:rsidRPr="2FF62D29">
        <w:rPr>
          <w:rFonts w:asciiTheme="majorHAnsi" w:hAnsiTheme="majorHAnsi"/>
          <w:sz w:val="20"/>
          <w:szCs w:val="20"/>
          <w:lang w:val="es-ES"/>
        </w:rPr>
        <w:t>, donde se ha establecido que la transitoriedad del cargo judicial no suprime las garantías mínimas de estabilidad, debido proceso e igualdad ante la ley</w:t>
      </w:r>
      <w:r w:rsidR="005A2D1D" w:rsidRPr="2FF62D29">
        <w:rPr>
          <w:rFonts w:asciiTheme="majorHAnsi" w:hAnsiTheme="majorHAnsi"/>
          <w:sz w:val="20"/>
          <w:szCs w:val="20"/>
          <w:lang w:val="es-ES"/>
        </w:rPr>
        <w:t>;</w:t>
      </w:r>
      <w:r w:rsidR="00737AFB" w:rsidRPr="2FF62D29">
        <w:rPr>
          <w:rFonts w:asciiTheme="majorHAnsi" w:hAnsiTheme="majorHAnsi"/>
          <w:sz w:val="20"/>
          <w:szCs w:val="20"/>
          <w:lang w:val="es-ES"/>
        </w:rPr>
        <w:t xml:space="preserve"> y que los jueces, incluso provisorios, gozan de protección frente a remociones arbitrarias o discriminatorias. Aduce que su despido vulneró el artículo 8.1 de la Convención Americana, al haber sido removido sin intervención de un juez competente ni proceso previo; el artículo 23.1.c</w:t>
      </w:r>
      <w:r w:rsidR="00285F7C" w:rsidRPr="2FF62D29">
        <w:rPr>
          <w:rFonts w:asciiTheme="majorHAnsi" w:hAnsiTheme="majorHAnsi"/>
          <w:sz w:val="20"/>
          <w:szCs w:val="20"/>
          <w:lang w:val="es-ES"/>
        </w:rPr>
        <w:t>)</w:t>
      </w:r>
      <w:r w:rsidR="005A3DED" w:rsidRPr="2FF62D29">
        <w:rPr>
          <w:rFonts w:asciiTheme="majorHAnsi" w:hAnsiTheme="majorHAnsi"/>
          <w:sz w:val="20"/>
          <w:szCs w:val="20"/>
          <w:lang w:val="es-ES"/>
        </w:rPr>
        <w:t>,</w:t>
      </w:r>
      <w:r w:rsidR="00737AFB" w:rsidRPr="2FF62D29">
        <w:rPr>
          <w:rFonts w:asciiTheme="majorHAnsi" w:hAnsiTheme="majorHAnsi"/>
          <w:sz w:val="20"/>
          <w:szCs w:val="20"/>
          <w:lang w:val="es-ES"/>
        </w:rPr>
        <w:t xml:space="preserve"> al impedirle continuar en funciones públicas en condiciones de igualdad; y los artículos 24 y 1.1 al haber sido objeto de trato desigual basado en una condición funcional (juez transitorio). Además, denuncia que el Estado no adoptó medidas legislativas para garantizar estas garantías en su ordenamiento, en violación del artículo 2</w:t>
      </w:r>
      <w:r w:rsidR="00F24525" w:rsidRPr="2FF62D29">
        <w:rPr>
          <w:rFonts w:asciiTheme="majorHAnsi" w:hAnsiTheme="majorHAnsi"/>
          <w:sz w:val="20"/>
          <w:szCs w:val="20"/>
          <w:lang w:val="es-ES"/>
        </w:rPr>
        <w:t xml:space="preserve"> del referido tratado</w:t>
      </w:r>
      <w:r w:rsidR="00737AFB" w:rsidRPr="2FF62D29">
        <w:rPr>
          <w:rFonts w:asciiTheme="majorHAnsi" w:hAnsiTheme="majorHAnsi"/>
          <w:sz w:val="20"/>
          <w:szCs w:val="20"/>
          <w:lang w:val="es-ES"/>
        </w:rPr>
        <w:t>.</w:t>
      </w:r>
    </w:p>
    <w:p w14:paraId="768167A5" w14:textId="4191E468" w:rsidR="0083100C" w:rsidRPr="0012344B" w:rsidRDefault="00737AFB" w:rsidP="2FF62D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2FF62D29">
        <w:rPr>
          <w:rFonts w:asciiTheme="majorHAnsi" w:hAnsiTheme="majorHAnsi"/>
          <w:sz w:val="20"/>
          <w:szCs w:val="20"/>
          <w:lang w:val="es-ES"/>
        </w:rPr>
        <w:t xml:space="preserve">Sostiene además que se violaron sus derechos laborales en los términos de los artículos </w:t>
      </w:r>
      <w:r w:rsidR="0043354B" w:rsidRPr="2FF62D29">
        <w:rPr>
          <w:rFonts w:asciiTheme="majorHAnsi" w:hAnsiTheme="majorHAnsi"/>
          <w:sz w:val="20"/>
          <w:szCs w:val="20"/>
          <w:lang w:val="es-ES"/>
        </w:rPr>
        <w:t xml:space="preserve">3, </w:t>
      </w:r>
      <w:r w:rsidRPr="2FF62D29">
        <w:rPr>
          <w:rFonts w:asciiTheme="majorHAnsi" w:hAnsiTheme="majorHAnsi"/>
          <w:sz w:val="20"/>
          <w:szCs w:val="20"/>
          <w:lang w:val="es-ES"/>
        </w:rPr>
        <w:t xml:space="preserve">6 y 7 del Protocolo de San Salvador, y que en tanto </w:t>
      </w:r>
      <w:r w:rsidR="00B0528F" w:rsidRPr="2FF62D29">
        <w:rPr>
          <w:rFonts w:asciiTheme="majorHAnsi" w:hAnsiTheme="majorHAnsi"/>
          <w:sz w:val="20"/>
          <w:szCs w:val="20"/>
          <w:lang w:val="es-ES"/>
        </w:rPr>
        <w:t xml:space="preserve">la presunta víctima es una </w:t>
      </w:r>
      <w:r w:rsidRPr="2FF62D29">
        <w:rPr>
          <w:rFonts w:asciiTheme="majorHAnsi" w:hAnsiTheme="majorHAnsi"/>
          <w:sz w:val="20"/>
          <w:szCs w:val="20"/>
          <w:lang w:val="es-ES"/>
        </w:rPr>
        <w:t>persona mayor de 60 años, también se afectaron sus derechos bajo la Convención Interamericana sobre la Protección de los Derechos Humanos de las Personas Mayores, debido al impacto económico y psicológico que le ocasionó su exclusión arbitraria del servicio judicial.</w:t>
      </w:r>
      <w:r w:rsidR="00DF4625" w:rsidRPr="2FF62D29">
        <w:rPr>
          <w:rFonts w:asciiTheme="majorHAnsi" w:hAnsiTheme="majorHAnsi"/>
          <w:sz w:val="20"/>
          <w:szCs w:val="20"/>
          <w:lang w:val="es-ES"/>
        </w:rPr>
        <w:t xml:space="preserve"> </w:t>
      </w:r>
      <w:r w:rsidRPr="2FF62D29">
        <w:rPr>
          <w:rFonts w:asciiTheme="majorHAnsi" w:hAnsiTheme="majorHAnsi"/>
          <w:sz w:val="20"/>
          <w:szCs w:val="20"/>
          <w:lang w:val="es-ES"/>
        </w:rPr>
        <w:t>Por todo lo anterior, solicita que la Comisión Interamericana declare la responsabilidad internacional del Estado boliviano por la violación de sus derechos, y que disponga las medidas de reparación correspondientes.</w:t>
      </w:r>
    </w:p>
    <w:p w14:paraId="129AF6A6" w14:textId="406EE6DE" w:rsidR="00EF76F5" w:rsidRPr="0012344B" w:rsidRDefault="002127E2" w:rsidP="001234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_tradnl"/>
        </w:rPr>
      </w:pPr>
      <w:r w:rsidRPr="0012344B">
        <w:rPr>
          <w:rFonts w:asciiTheme="majorHAnsi" w:hAnsiTheme="majorHAnsi"/>
          <w:b/>
          <w:bCs/>
          <w:sz w:val="20"/>
          <w:szCs w:val="20"/>
          <w:lang w:val="es-ES_tradnl"/>
        </w:rPr>
        <w:t>E</w:t>
      </w:r>
      <w:r w:rsidR="00EF76F5" w:rsidRPr="0012344B">
        <w:rPr>
          <w:rFonts w:asciiTheme="majorHAnsi" w:hAnsiTheme="majorHAnsi"/>
          <w:b/>
          <w:bCs/>
          <w:sz w:val="20"/>
          <w:szCs w:val="20"/>
          <w:lang w:val="es-ES_tradnl"/>
        </w:rPr>
        <w:t>l Estado</w:t>
      </w:r>
      <w:r w:rsidRPr="0012344B">
        <w:rPr>
          <w:rFonts w:asciiTheme="majorHAnsi" w:hAnsiTheme="majorHAnsi"/>
          <w:b/>
          <w:bCs/>
          <w:sz w:val="20"/>
          <w:szCs w:val="20"/>
          <w:lang w:val="es-ES_tradnl"/>
        </w:rPr>
        <w:t xml:space="preserve"> </w:t>
      </w:r>
      <w:r w:rsidR="00B0528F" w:rsidRPr="0012344B">
        <w:rPr>
          <w:rFonts w:asciiTheme="majorHAnsi" w:hAnsiTheme="majorHAnsi"/>
          <w:b/>
          <w:bCs/>
          <w:sz w:val="20"/>
          <w:szCs w:val="20"/>
          <w:lang w:val="es-ES_tradnl"/>
        </w:rPr>
        <w:t>boliviano</w:t>
      </w:r>
    </w:p>
    <w:p w14:paraId="152E6FC6" w14:textId="2BADD164" w:rsidR="008A544F" w:rsidRPr="0012344B" w:rsidRDefault="008A544F" w:rsidP="001234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2344B">
        <w:rPr>
          <w:rFonts w:asciiTheme="majorHAnsi" w:hAnsiTheme="majorHAnsi"/>
          <w:sz w:val="20"/>
          <w:szCs w:val="20"/>
          <w:lang w:val="es-ES_tradnl"/>
        </w:rPr>
        <w:t xml:space="preserve">Por su parte, el Estado </w:t>
      </w:r>
      <w:r w:rsidR="00D211E0" w:rsidRPr="0012344B">
        <w:rPr>
          <w:rFonts w:asciiTheme="majorHAnsi" w:hAnsiTheme="majorHAnsi"/>
          <w:sz w:val="20"/>
          <w:szCs w:val="20"/>
          <w:lang w:val="es-ES_tradnl"/>
        </w:rPr>
        <w:t xml:space="preserve">replica que la Comisión carece de competencia material </w:t>
      </w:r>
      <w:r w:rsidRPr="0012344B">
        <w:rPr>
          <w:rFonts w:asciiTheme="majorHAnsi" w:hAnsiTheme="majorHAnsi"/>
          <w:sz w:val="20"/>
          <w:szCs w:val="20"/>
          <w:lang w:val="es-ES_tradnl"/>
        </w:rPr>
        <w:t>en relación con ciertos instrumentos internacionales invocados por la parte peticionaria. Señala que la CIDH no es competente para conocer supuestas violaciones a los artículos 3, 6 y 7 del Protocolo de San Salvador, dado que el artículo 19.6 de ese instrumento limita la competencia del sistema interamericano a los derechos a la educación y libertad sindical, los cuales no han sido invocados en el caso. En esa línea, también solicita que se declare la falta de competencia respecto de la Declaración Americana de los Derechos y Deberes del Hombre, en tanto Bolivia es Estado Parte de la Convención Americana desde 1979 y ha reconocido la competencia contenciosa del sistema desde 1993. Adicionalmente, argumenta que la Comisión carece de competencia para evaluar los Principios Básicos de la ONU sobre la Independencia de la Judicatura, por no tratarse de una fuente obligatoria dentro del marco del sistema interamericano.</w:t>
      </w:r>
    </w:p>
    <w:p w14:paraId="7D4B19BA" w14:textId="6A02EC35" w:rsidR="008A544F" w:rsidRPr="0012344B" w:rsidRDefault="0043605E" w:rsidP="2FF62D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2FF62D29">
        <w:rPr>
          <w:rFonts w:asciiTheme="majorHAnsi" w:hAnsiTheme="majorHAnsi"/>
          <w:sz w:val="20"/>
          <w:szCs w:val="20"/>
          <w:lang w:val="es-ES"/>
        </w:rPr>
        <w:t>Asimismo</w:t>
      </w:r>
      <w:r w:rsidR="008A544F" w:rsidRPr="2FF62D29">
        <w:rPr>
          <w:rFonts w:asciiTheme="majorHAnsi" w:hAnsiTheme="majorHAnsi"/>
          <w:sz w:val="20"/>
          <w:szCs w:val="20"/>
          <w:lang w:val="es-ES"/>
        </w:rPr>
        <w:t>, el Estado plantea</w:t>
      </w:r>
      <w:r w:rsidRPr="2FF62D29">
        <w:rPr>
          <w:rFonts w:asciiTheme="majorHAnsi" w:hAnsiTheme="majorHAnsi"/>
          <w:sz w:val="20"/>
          <w:szCs w:val="20"/>
          <w:lang w:val="es-ES"/>
        </w:rPr>
        <w:t xml:space="preserve"> que la petición es inadmisible por</w:t>
      </w:r>
      <w:r w:rsidR="008A544F" w:rsidRPr="2FF62D29">
        <w:rPr>
          <w:rFonts w:asciiTheme="majorHAnsi" w:hAnsiTheme="majorHAnsi"/>
          <w:sz w:val="20"/>
          <w:szCs w:val="20"/>
          <w:lang w:val="es-ES"/>
        </w:rPr>
        <w:t xml:space="preserve"> falta de agotamiento de recursos internos</w:t>
      </w:r>
      <w:r w:rsidR="00467E5D" w:rsidRPr="2FF62D29">
        <w:rPr>
          <w:rFonts w:asciiTheme="majorHAnsi" w:hAnsiTheme="majorHAnsi"/>
          <w:sz w:val="20"/>
          <w:szCs w:val="20"/>
          <w:lang w:val="es-ES"/>
        </w:rPr>
        <w:t>.</w:t>
      </w:r>
      <w:r w:rsidR="008A544F" w:rsidRPr="2FF62D29">
        <w:rPr>
          <w:rFonts w:asciiTheme="majorHAnsi" w:hAnsiTheme="majorHAnsi"/>
          <w:sz w:val="20"/>
          <w:szCs w:val="20"/>
          <w:lang w:val="es-ES"/>
        </w:rPr>
        <w:t xml:space="preserve"> </w:t>
      </w:r>
      <w:r w:rsidR="00467E5D" w:rsidRPr="2FF62D29">
        <w:rPr>
          <w:rFonts w:asciiTheme="majorHAnsi" w:hAnsiTheme="majorHAnsi"/>
          <w:sz w:val="20"/>
          <w:szCs w:val="20"/>
          <w:lang w:val="es-ES"/>
        </w:rPr>
        <w:t>Señala que el señor</w:t>
      </w:r>
      <w:r w:rsidR="008A544F" w:rsidRPr="2FF62D29">
        <w:rPr>
          <w:rFonts w:asciiTheme="majorHAnsi" w:hAnsiTheme="majorHAnsi"/>
          <w:sz w:val="20"/>
          <w:szCs w:val="20"/>
          <w:lang w:val="es-ES"/>
        </w:rPr>
        <w:t xml:space="preserve"> Flores Medina no activó las vías penales, disciplinarias ni constitucionales específicamente previstas por el ordenamiento boliviano para reclamar </w:t>
      </w:r>
      <w:r w:rsidR="00CB7BB3" w:rsidRPr="2FF62D29">
        <w:rPr>
          <w:rFonts w:asciiTheme="majorHAnsi" w:hAnsiTheme="majorHAnsi"/>
          <w:sz w:val="20"/>
          <w:szCs w:val="20"/>
          <w:lang w:val="es-ES"/>
        </w:rPr>
        <w:t xml:space="preserve">los </w:t>
      </w:r>
      <w:r w:rsidR="008A544F" w:rsidRPr="2FF62D29">
        <w:rPr>
          <w:rFonts w:asciiTheme="majorHAnsi" w:hAnsiTheme="majorHAnsi"/>
          <w:sz w:val="20"/>
          <w:szCs w:val="20"/>
          <w:lang w:val="es-ES"/>
        </w:rPr>
        <w:t>supuestos actos de discriminación o violación de derechos en el contexto de su desvinculación como juez transitorio. Refiere que la Ley Nº 045 contra el Racismo y toda forma de Discriminación ofrece mecanismos específicos, así como recursos administrativos y constitucionales a través de la acción de amparo y acción de cumplimiento. Indica que</w:t>
      </w:r>
      <w:r w:rsidR="00CB7BB3" w:rsidRPr="2FF62D29">
        <w:rPr>
          <w:rFonts w:asciiTheme="majorHAnsi" w:hAnsiTheme="majorHAnsi"/>
          <w:sz w:val="20"/>
          <w:szCs w:val="20"/>
          <w:lang w:val="es-ES"/>
        </w:rPr>
        <w:t>,</w:t>
      </w:r>
      <w:r w:rsidR="008A544F" w:rsidRPr="2FF62D29">
        <w:rPr>
          <w:rFonts w:asciiTheme="majorHAnsi" w:hAnsiTheme="majorHAnsi"/>
          <w:sz w:val="20"/>
          <w:szCs w:val="20"/>
          <w:lang w:val="es-ES"/>
        </w:rPr>
        <w:t xml:space="preserve"> si bien el peticionario promovió algunas acciones, como una acción de revocatoria y una acción de amparo, omitió activar otras vías idóneas disponibles, por lo que no se habría satisfecho lo dispuesto por el artículo 46.1.a de la Convención. </w:t>
      </w:r>
    </w:p>
    <w:p w14:paraId="01BFEABC" w14:textId="34E8EF1E" w:rsidR="008A544F" w:rsidRPr="0012344B" w:rsidRDefault="00834FD0" w:rsidP="001234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2344B">
        <w:rPr>
          <w:rFonts w:asciiTheme="majorHAnsi" w:hAnsiTheme="majorHAnsi"/>
          <w:sz w:val="20"/>
          <w:szCs w:val="20"/>
          <w:lang w:val="es-ES_tradnl"/>
        </w:rPr>
        <w:t>Con</w:t>
      </w:r>
      <w:r w:rsidR="008A544F" w:rsidRPr="0012344B">
        <w:rPr>
          <w:rFonts w:asciiTheme="majorHAnsi" w:hAnsiTheme="majorHAnsi"/>
          <w:sz w:val="20"/>
          <w:szCs w:val="20"/>
          <w:lang w:val="es-ES_tradnl"/>
        </w:rPr>
        <w:t xml:space="preserve"> </w:t>
      </w:r>
      <w:r w:rsidRPr="0012344B">
        <w:rPr>
          <w:rFonts w:asciiTheme="majorHAnsi" w:hAnsiTheme="majorHAnsi"/>
          <w:sz w:val="20"/>
          <w:szCs w:val="20"/>
          <w:lang w:val="es-ES_tradnl"/>
        </w:rPr>
        <w:t xml:space="preserve">respecto al </w:t>
      </w:r>
      <w:r w:rsidR="008A544F" w:rsidRPr="0012344B">
        <w:rPr>
          <w:rFonts w:asciiTheme="majorHAnsi" w:hAnsiTheme="majorHAnsi"/>
          <w:sz w:val="20"/>
          <w:szCs w:val="20"/>
          <w:lang w:val="es-ES_tradnl"/>
        </w:rPr>
        <w:t xml:space="preserve">derecho a la igualdad y no discriminación, el Estado rechaza que haya existido trato discriminatorio hacia el señor Flores por su condición de juez transitorio. Aduce que la diferencia entre jueces de carrera y jueces transitorios se fundó en criterios legales objetivos, en particular en las disposiciones transitorias de la Ley del Órgano Judicial, que establecieron que todos los funcionarios judiciales continuarían en sus cargos “hasta la designación de las nuevas autoridades judiciales”. Argumenta que la condición de </w:t>
      </w:r>
      <w:r w:rsidR="008A544F" w:rsidRPr="0012344B">
        <w:rPr>
          <w:rFonts w:asciiTheme="majorHAnsi" w:hAnsiTheme="majorHAnsi"/>
          <w:sz w:val="20"/>
          <w:szCs w:val="20"/>
          <w:lang w:val="es-ES_tradnl"/>
        </w:rPr>
        <w:lastRenderedPageBreak/>
        <w:t>transitoriedad fue legítima, razonable y conforme a un proceso de transición institucional derivado de la nueva Constitución de 2009, y que no se trató de una medida dirigida a vulnerar derechos, sino de una política de reforma estructural orientada a institucionalizar el nuevo órgano judicial mediante concursos públicos.</w:t>
      </w:r>
    </w:p>
    <w:p w14:paraId="2DC52F2B" w14:textId="02865B88" w:rsidR="008A544F" w:rsidRPr="0012344B" w:rsidRDefault="008A544F" w:rsidP="2FF62D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2FF62D29">
        <w:rPr>
          <w:rFonts w:asciiTheme="majorHAnsi" w:hAnsiTheme="majorHAnsi"/>
          <w:sz w:val="20"/>
          <w:szCs w:val="20"/>
          <w:lang w:val="es-ES"/>
        </w:rPr>
        <w:t>Sobre los alegatos de falta de debido proceso y ausencia de garantías judiciales, el Estado sostiene que el cese del cargo no requería causal específica ni procedimiento disciplinario, ya que se trataba de un nombramiento transitorio sujeto a finalización una vez concluidos los procesos de institucionalización. Precisa que el memorando de cese fue emitido en aplicación del Acuerdo Nº 73/2017 del Consejo de la Magistratura, y que el propio peticionario tuvo acceso a recursos administrativos (revocatoria) y acciones constitucionales (amparo y cumplimiento), las cuales fueron tramitadas y resueltas conforme al ordenamiento jurídico boliviano, respetando las garantías del debido proceso. En particular, menciona que la Sentencia Constitucional Plurinacional Nº 0284/2018-S3 confirmó la legalidad del acto, y que la CIDH no puede constituirse en una instancia revisora de tales decisiones judiciales internas, invocando así el principio de cuarta instancia.</w:t>
      </w:r>
    </w:p>
    <w:p w14:paraId="60DEFC86" w14:textId="457532A2" w:rsidR="008A544F" w:rsidRPr="0012344B" w:rsidRDefault="008A544F" w:rsidP="001234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2344B">
        <w:rPr>
          <w:rFonts w:asciiTheme="majorHAnsi" w:hAnsiTheme="majorHAnsi"/>
          <w:sz w:val="20"/>
          <w:szCs w:val="20"/>
          <w:lang w:val="es-ES_tradnl"/>
        </w:rPr>
        <w:t>En cuanto al derecho al reconocimiento de la personalidad jurídica, el Estado observa que la parte peticionaria no presentó argumentos ni hechos concretos que permitan identificar una vulneración específica, y que este derecho fue plenamente respetado.</w:t>
      </w:r>
    </w:p>
    <w:p w14:paraId="0DFB0CE7" w14:textId="04B464E4" w:rsidR="008A544F" w:rsidRPr="0012344B" w:rsidRDefault="008A544F" w:rsidP="001234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2344B">
        <w:rPr>
          <w:rFonts w:asciiTheme="majorHAnsi" w:hAnsiTheme="majorHAnsi"/>
          <w:sz w:val="20"/>
          <w:szCs w:val="20"/>
          <w:lang w:val="es-ES_tradnl"/>
        </w:rPr>
        <w:t xml:space="preserve">Por último, el Estado </w:t>
      </w:r>
      <w:r w:rsidR="003D1C2C" w:rsidRPr="0012344B">
        <w:rPr>
          <w:rFonts w:asciiTheme="majorHAnsi" w:hAnsiTheme="majorHAnsi"/>
          <w:sz w:val="20"/>
          <w:szCs w:val="20"/>
          <w:lang w:val="es-ES_tradnl"/>
        </w:rPr>
        <w:t>se refiere</w:t>
      </w:r>
      <w:r w:rsidRPr="0012344B">
        <w:rPr>
          <w:rFonts w:asciiTheme="majorHAnsi" w:hAnsiTheme="majorHAnsi"/>
          <w:sz w:val="20"/>
          <w:szCs w:val="20"/>
          <w:lang w:val="es-ES_tradnl"/>
        </w:rPr>
        <w:t xml:space="preserve"> a las medidas adoptadas para la protección de los derechos de las personas mayores, en el marco del principio de progresividad de los derechos económicos, sociales y culturales consagrado en el artículo 26 de la Convención Americana. Recalca que la supuesta afectación alegada por el peticionario en función de su edad carece de desarrollo argumentativo y fáctico suficiente, por lo que no se configura una violación atribuible al Estado.</w:t>
      </w:r>
    </w:p>
    <w:p w14:paraId="6F4D4171" w14:textId="61F41104" w:rsidR="003239B8" w:rsidRPr="0012344B" w:rsidRDefault="003239B8" w:rsidP="0012344B">
      <w:pPr>
        <w:spacing w:before="240" w:after="240"/>
        <w:ind w:firstLine="720"/>
        <w:jc w:val="both"/>
        <w:rPr>
          <w:rFonts w:asciiTheme="majorHAnsi" w:hAnsiTheme="majorHAnsi"/>
          <w:sz w:val="20"/>
          <w:szCs w:val="20"/>
          <w:lang w:val="es-ES_tradnl"/>
        </w:rPr>
      </w:pPr>
      <w:r w:rsidRPr="0012344B">
        <w:rPr>
          <w:rFonts w:asciiTheme="majorHAnsi" w:eastAsia="Cambria" w:hAnsiTheme="majorHAnsi" w:cs="Cambria"/>
          <w:b/>
          <w:bCs/>
          <w:color w:val="000000"/>
          <w:sz w:val="20"/>
          <w:szCs w:val="20"/>
          <w:u w:color="000000"/>
          <w:lang w:val="es-ES_tradnl" w:eastAsia="es-ES"/>
        </w:rPr>
        <w:t>VI.</w:t>
      </w:r>
      <w:r w:rsidRPr="0012344B">
        <w:rPr>
          <w:rFonts w:asciiTheme="majorHAnsi" w:eastAsia="Cambria" w:hAnsiTheme="majorHAnsi" w:cs="Cambria"/>
          <w:b/>
          <w:bCs/>
          <w:color w:val="000000"/>
          <w:sz w:val="20"/>
          <w:szCs w:val="20"/>
          <w:u w:color="000000"/>
          <w:lang w:val="es-ES_tradnl" w:eastAsia="es-ES"/>
        </w:rPr>
        <w:tab/>
      </w:r>
      <w:r w:rsidR="004A6A54" w:rsidRPr="0012344B">
        <w:rPr>
          <w:rFonts w:asciiTheme="majorHAnsi" w:hAnsiTheme="majorHAnsi"/>
          <w:b/>
          <w:bCs/>
          <w:sz w:val="20"/>
          <w:szCs w:val="20"/>
          <w:lang w:val="es-ES_tradnl"/>
        </w:rPr>
        <w:t xml:space="preserve">ANÁLISIS DE </w:t>
      </w:r>
      <w:r w:rsidR="00C21FEF" w:rsidRPr="0012344B">
        <w:rPr>
          <w:rFonts w:asciiTheme="majorHAnsi" w:hAnsiTheme="majorHAnsi"/>
          <w:b/>
          <w:sz w:val="20"/>
          <w:szCs w:val="20"/>
          <w:lang w:val="es-ES_tradnl"/>
        </w:rPr>
        <w:t>AGOTAMIENTO DE LOS RECURSOS INTERNOS Y PLAZO DE PRESENTACIÓN</w:t>
      </w:r>
      <w:r w:rsidR="00C21FEF" w:rsidRPr="0012344B">
        <w:rPr>
          <w:rFonts w:asciiTheme="majorHAnsi" w:eastAsia="Cambria" w:hAnsiTheme="majorHAnsi" w:cs="Cambria"/>
          <w:b/>
          <w:bCs/>
          <w:color w:val="000000"/>
          <w:sz w:val="20"/>
          <w:szCs w:val="20"/>
          <w:u w:color="000000"/>
          <w:lang w:val="es-ES_tradnl" w:eastAsia="es-ES"/>
        </w:rPr>
        <w:t xml:space="preserve"> </w:t>
      </w:r>
    </w:p>
    <w:p w14:paraId="05C39049" w14:textId="482E3383" w:rsidR="008A5B00" w:rsidRPr="0012344B" w:rsidRDefault="007D604F" w:rsidP="2FF62D2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jc w:val="both"/>
        <w:rPr>
          <w:rFonts w:asciiTheme="majorHAnsi" w:hAnsiTheme="majorHAnsi"/>
          <w:b/>
          <w:bCs/>
          <w:sz w:val="20"/>
          <w:szCs w:val="20"/>
          <w:lang w:val="es-ES"/>
        </w:rPr>
      </w:pPr>
      <w:r w:rsidRPr="2FF62D29">
        <w:rPr>
          <w:rFonts w:asciiTheme="majorHAnsi" w:hAnsiTheme="majorHAnsi"/>
          <w:sz w:val="20"/>
          <w:szCs w:val="20"/>
          <w:lang w:val="es-ES"/>
        </w:rPr>
        <w:t>La Comisión nota que el objeto principal de esta petición es cuestionar la desvinculación laboral del señor Flores con base solamente en el carácter transitorio de su cargo. A efectos de agotar la jurisdicción interna, la presunta víctima utilizó la vía de amparo, obteniendo una resolución definitiva por parte del Tribunal Constitucional Plurinacional, notificada el 14 de noviembre de 2018.</w:t>
      </w:r>
    </w:p>
    <w:p w14:paraId="2B53F4B8" w14:textId="5694A6F7" w:rsidR="00206C7B" w:rsidRPr="0012344B" w:rsidRDefault="007D604F" w:rsidP="001234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2344B">
        <w:rPr>
          <w:rFonts w:asciiTheme="majorHAnsi" w:hAnsiTheme="majorHAnsi"/>
          <w:sz w:val="20"/>
          <w:szCs w:val="20"/>
          <w:lang w:val="es-ES_tradnl"/>
        </w:rPr>
        <w:t xml:space="preserve"> </w:t>
      </w:r>
      <w:r w:rsidR="008A5B00" w:rsidRPr="0012344B">
        <w:rPr>
          <w:rFonts w:asciiTheme="majorHAnsi" w:hAnsiTheme="majorHAnsi"/>
          <w:sz w:val="20"/>
          <w:szCs w:val="20"/>
          <w:lang w:val="es-ES_tradnl"/>
        </w:rPr>
        <w:t>Sin embargo, el Estado boliviano cuestiona que</w:t>
      </w:r>
      <w:r w:rsidR="003815EE" w:rsidRPr="0012344B">
        <w:rPr>
          <w:rFonts w:asciiTheme="majorHAnsi" w:hAnsiTheme="majorHAnsi"/>
          <w:sz w:val="20"/>
          <w:szCs w:val="20"/>
          <w:lang w:val="es-ES_tradnl"/>
        </w:rPr>
        <w:t xml:space="preserve"> </w:t>
      </w:r>
      <w:r w:rsidR="00686F43" w:rsidRPr="0012344B">
        <w:rPr>
          <w:rFonts w:asciiTheme="majorHAnsi" w:hAnsiTheme="majorHAnsi"/>
          <w:sz w:val="20"/>
          <w:szCs w:val="20"/>
          <w:lang w:val="es-ES_tradnl"/>
        </w:rPr>
        <w:t>aquel</w:t>
      </w:r>
      <w:r w:rsidR="003815EE" w:rsidRPr="0012344B">
        <w:rPr>
          <w:rFonts w:asciiTheme="majorHAnsi" w:hAnsiTheme="majorHAnsi"/>
          <w:sz w:val="20"/>
          <w:szCs w:val="20"/>
          <w:lang w:val="es-ES_tradnl"/>
        </w:rPr>
        <w:t xml:space="preserve"> no activó las vías penales</w:t>
      </w:r>
      <w:r w:rsidR="00686F43" w:rsidRPr="0012344B">
        <w:rPr>
          <w:rFonts w:asciiTheme="majorHAnsi" w:hAnsiTheme="majorHAnsi"/>
          <w:sz w:val="20"/>
          <w:szCs w:val="20"/>
          <w:lang w:val="es-ES_tradnl"/>
        </w:rPr>
        <w:t>,</w:t>
      </w:r>
      <w:r w:rsidR="003815EE" w:rsidRPr="0012344B">
        <w:rPr>
          <w:rFonts w:asciiTheme="majorHAnsi" w:hAnsiTheme="majorHAnsi"/>
          <w:sz w:val="20"/>
          <w:szCs w:val="20"/>
          <w:lang w:val="es-ES_tradnl"/>
        </w:rPr>
        <w:t xml:space="preserve"> disciplinarias ni constitucionales específicamente previstas por el ordenamiento boliviano para reclamar los supuestos actos de discriminación o violación de derechos en el contexto de su desvinculación como juez transitorio. Asimismo, indica que tampoco activó otras vías idóneas disponibles, por lo que no se habría satisfecho lo dispuesto por el artículo 46.1.a</w:t>
      </w:r>
      <w:r w:rsidR="003C2468" w:rsidRPr="0012344B">
        <w:rPr>
          <w:rFonts w:asciiTheme="majorHAnsi" w:hAnsiTheme="majorHAnsi"/>
          <w:sz w:val="20"/>
          <w:szCs w:val="20"/>
          <w:lang w:val="es-ES_tradnl"/>
        </w:rPr>
        <w:t>)</w:t>
      </w:r>
      <w:r w:rsidR="003815EE" w:rsidRPr="0012344B">
        <w:rPr>
          <w:rFonts w:asciiTheme="majorHAnsi" w:hAnsiTheme="majorHAnsi"/>
          <w:sz w:val="20"/>
          <w:szCs w:val="20"/>
          <w:lang w:val="es-ES_tradnl"/>
        </w:rPr>
        <w:t xml:space="preserve"> de la Convención. </w:t>
      </w:r>
    </w:p>
    <w:p w14:paraId="2396A5D6" w14:textId="1FD62A5F" w:rsidR="004F594A" w:rsidRPr="0012344B" w:rsidRDefault="00E85141" w:rsidP="2FF62D2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cs="Times New Roman"/>
          <w:sz w:val="20"/>
          <w:szCs w:val="20"/>
          <w:lang w:val="es-ES"/>
        </w:rPr>
      </w:pPr>
      <w:r w:rsidRPr="2FF62D29">
        <w:rPr>
          <w:rFonts w:asciiTheme="majorHAnsi" w:hAnsiTheme="majorHAnsi"/>
          <w:sz w:val="20"/>
          <w:szCs w:val="20"/>
          <w:lang w:val="es-ES"/>
        </w:rPr>
        <w:t>Al respecto</w:t>
      </w:r>
      <w:r w:rsidR="00060F6E" w:rsidRPr="2FF62D29">
        <w:rPr>
          <w:rFonts w:asciiTheme="majorHAnsi" w:hAnsiTheme="majorHAnsi"/>
          <w:sz w:val="20"/>
          <w:szCs w:val="20"/>
          <w:lang w:val="es-ES"/>
        </w:rPr>
        <w:t xml:space="preserve">, la Comisión </w:t>
      </w:r>
      <w:r w:rsidR="00206C7B" w:rsidRPr="2FF62D29">
        <w:rPr>
          <w:rFonts w:asciiTheme="majorHAnsi" w:hAnsiTheme="majorHAnsi" w:cs="Baskerville Old Face"/>
          <w:sz w:val="20"/>
          <w:szCs w:val="20"/>
          <w:lang w:val="es-ES"/>
        </w:rPr>
        <w:t xml:space="preserve">reitera que el requisito de agotamiento de los recursos internos no implica que las presuntas víctimas tengan la obligación de agotar todos los recursos posibles a su disposición, pues si esta </w:t>
      </w:r>
      <w:r w:rsidR="00206C7B" w:rsidRPr="2FF62D29">
        <w:rPr>
          <w:rFonts w:asciiTheme="majorHAnsi" w:hAnsiTheme="majorHAnsi" w:cs="Baskerville Old Face"/>
          <w:i/>
          <w:iCs/>
          <w:sz w:val="20"/>
          <w:szCs w:val="20"/>
          <w:lang w:val="es-ES"/>
        </w:rPr>
        <w:t>“planteó la cuestión por alguna de las alternativas válidas y adecuadas según el ordenamiento jurídico interno y el Estado tuvo la oportunidad de remediar la cuestión en su jurisdicción, la finalidad de la norma internacional está cumplida</w:t>
      </w:r>
      <w:r w:rsidR="00206C7B" w:rsidRPr="2FF62D29">
        <w:rPr>
          <w:rFonts w:asciiTheme="majorHAnsi" w:hAnsiTheme="majorHAnsi" w:cs="Baskerville Old Face"/>
          <w:sz w:val="20"/>
          <w:szCs w:val="20"/>
          <w:lang w:val="es-ES"/>
        </w:rPr>
        <w:t>”</w:t>
      </w:r>
      <w:r w:rsidR="00206C7B" w:rsidRPr="2FF62D29">
        <w:rPr>
          <w:rStyle w:val="FootnoteReference"/>
          <w:rFonts w:asciiTheme="majorHAnsi" w:hAnsiTheme="majorHAnsi" w:cs="Baskerville Old Face"/>
          <w:sz w:val="20"/>
          <w:szCs w:val="20"/>
          <w:lang w:val="es-ES"/>
        </w:rPr>
        <w:footnoteReference w:id="6"/>
      </w:r>
      <w:r w:rsidR="00206C7B" w:rsidRPr="2FF62D29">
        <w:rPr>
          <w:rFonts w:asciiTheme="majorHAnsi" w:hAnsiTheme="majorHAnsi" w:cs="Baskerville Old Face"/>
          <w:sz w:val="20"/>
          <w:szCs w:val="20"/>
          <w:lang w:val="es-ES"/>
        </w:rPr>
        <w:t>. Con base en ello, la Comisión advierte que en este asunto la presunta víctima optó por una vía idónea para cuestionar directamente su destitución, sin que haya ningún indicio que tal mecanismo haya sido utilizado sin cumplir algún requerimiento exigido por las normas internas.</w:t>
      </w:r>
      <w:r w:rsidR="004F594A" w:rsidRPr="2FF62D29">
        <w:rPr>
          <w:rFonts w:asciiTheme="majorHAnsi" w:hAnsiTheme="majorHAnsi" w:cs="Baskerville Old Face"/>
          <w:sz w:val="20"/>
          <w:szCs w:val="20"/>
          <w:lang w:val="es-ES"/>
        </w:rPr>
        <w:t xml:space="preserve"> Por el contrario, </w:t>
      </w:r>
      <w:r w:rsidR="004F594A" w:rsidRPr="2FF62D29">
        <w:rPr>
          <w:rFonts w:asciiTheme="majorHAnsi" w:hAnsiTheme="majorHAnsi"/>
          <w:sz w:val="20"/>
          <w:szCs w:val="20"/>
          <w:lang w:val="es-ES"/>
        </w:rPr>
        <w:t xml:space="preserve">la Comisión aprecia que con este accionar el señor Flores le brindó la oportunidad al Estado de resolver esta situación mediante sus mecanismos internos. </w:t>
      </w:r>
    </w:p>
    <w:p w14:paraId="697A839B" w14:textId="38D1181C" w:rsidR="007D604F" w:rsidRPr="0012344B" w:rsidRDefault="00382601" w:rsidP="0012344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cs="Times New Roman"/>
          <w:sz w:val="20"/>
          <w:szCs w:val="20"/>
          <w:lang w:val="es-ES_tradnl"/>
        </w:rPr>
      </w:pPr>
      <w:r w:rsidRPr="0012344B">
        <w:rPr>
          <w:rFonts w:asciiTheme="majorHAnsi" w:hAnsiTheme="majorHAnsi"/>
          <w:sz w:val="20"/>
          <w:szCs w:val="20"/>
          <w:lang w:val="es-ES_tradnl"/>
        </w:rPr>
        <w:t>Por las razones expuestas, la Comisión entiende que e</w:t>
      </w:r>
      <w:r w:rsidR="004F594A" w:rsidRPr="0012344B">
        <w:rPr>
          <w:rFonts w:asciiTheme="majorHAnsi" w:hAnsiTheme="majorHAnsi"/>
          <w:sz w:val="20"/>
          <w:szCs w:val="20"/>
          <w:lang w:val="es-ES_tradnl"/>
        </w:rPr>
        <w:t xml:space="preserve">n el presente asunto se cumple el requisito del previo agotamiento de la jurisdicción interna, dispuesto en el artículo 46.1.a) de la Convención. </w:t>
      </w:r>
      <w:r w:rsidR="004F594A" w:rsidRPr="0012344B">
        <w:rPr>
          <w:rFonts w:asciiTheme="majorHAnsi" w:hAnsiTheme="majorHAnsi"/>
          <w:sz w:val="20"/>
          <w:szCs w:val="20"/>
          <w:lang w:val="es-ES_tradnl"/>
        </w:rPr>
        <w:lastRenderedPageBreak/>
        <w:t xml:space="preserve">Asimismo, toda vez que la petición se presentó el </w:t>
      </w:r>
      <w:r w:rsidR="004F594A" w:rsidRPr="0012344B">
        <w:rPr>
          <w:rFonts w:asciiTheme="majorHAnsi" w:hAnsiTheme="majorHAnsi"/>
          <w:bCs/>
          <w:sz w:val="20"/>
          <w:szCs w:val="20"/>
          <w:lang w:val="es-ES_tradnl"/>
        </w:rPr>
        <w:t>3 de mayo de 2019</w:t>
      </w:r>
      <w:r w:rsidR="005245D0" w:rsidRPr="0012344B">
        <w:rPr>
          <w:rFonts w:asciiTheme="majorHAnsi" w:hAnsiTheme="majorHAnsi"/>
          <w:bCs/>
          <w:sz w:val="20"/>
          <w:szCs w:val="20"/>
          <w:lang w:val="es-ES_tradnl"/>
        </w:rPr>
        <w:t>, también se cumple el plazo previsto en la disposición 46.1.b) de dicho tratado.</w:t>
      </w:r>
    </w:p>
    <w:p w14:paraId="4FFBE378" w14:textId="06B50481" w:rsidR="003239B8" w:rsidRPr="0012344B" w:rsidRDefault="003239B8" w:rsidP="0012344B">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ind w:left="0" w:firstLine="720"/>
        <w:jc w:val="both"/>
        <w:rPr>
          <w:rFonts w:asciiTheme="majorHAnsi" w:hAnsiTheme="majorHAnsi"/>
          <w:b/>
          <w:sz w:val="20"/>
          <w:szCs w:val="20"/>
          <w:lang w:val="es-ES_tradnl"/>
        </w:rPr>
      </w:pPr>
      <w:r w:rsidRPr="0012344B">
        <w:rPr>
          <w:rFonts w:asciiTheme="majorHAnsi" w:hAnsiTheme="majorHAnsi"/>
          <w:b/>
          <w:bCs/>
          <w:sz w:val="20"/>
          <w:szCs w:val="20"/>
          <w:lang w:val="es-ES_tradnl"/>
        </w:rPr>
        <w:t>VII.</w:t>
      </w:r>
      <w:r w:rsidRPr="0012344B">
        <w:rPr>
          <w:rFonts w:asciiTheme="majorHAnsi" w:hAnsiTheme="majorHAnsi"/>
          <w:b/>
          <w:bCs/>
          <w:sz w:val="20"/>
          <w:szCs w:val="20"/>
          <w:lang w:val="es-ES_tradnl"/>
        </w:rPr>
        <w:tab/>
      </w:r>
      <w:r w:rsidR="004A6A54" w:rsidRPr="0012344B">
        <w:rPr>
          <w:rFonts w:asciiTheme="majorHAnsi" w:hAnsiTheme="majorHAnsi"/>
          <w:b/>
          <w:bCs/>
          <w:sz w:val="20"/>
          <w:szCs w:val="20"/>
          <w:lang w:val="es-ES_tradnl"/>
        </w:rPr>
        <w:t xml:space="preserve">ANÁLISIS DE </w:t>
      </w:r>
      <w:r w:rsidR="00C21FEF" w:rsidRPr="0012344B">
        <w:rPr>
          <w:rFonts w:asciiTheme="majorHAnsi" w:hAnsiTheme="majorHAnsi"/>
          <w:b/>
          <w:bCs/>
          <w:sz w:val="20"/>
          <w:szCs w:val="20"/>
          <w:lang w:val="es-ES_tradnl"/>
        </w:rPr>
        <w:t>CARACTERIZACIÓN DE LOS HECHOS ALEGADOS</w:t>
      </w:r>
    </w:p>
    <w:p w14:paraId="14B7EA7D" w14:textId="77777777" w:rsidR="00697177" w:rsidRPr="0012344B" w:rsidRDefault="009E7A74" w:rsidP="0012344B">
      <w:pPr>
        <w:pStyle w:val="ListParagraph"/>
        <w:numPr>
          <w:ilvl w:val="0"/>
          <w:numId w:val="103"/>
        </w:numPr>
        <w:suppressAutoHyphens/>
        <w:spacing w:before="240" w:after="240"/>
        <w:jc w:val="both"/>
        <w:rPr>
          <w:rFonts w:asciiTheme="majorHAnsi" w:hAnsiTheme="majorHAnsi"/>
          <w:sz w:val="20"/>
          <w:szCs w:val="20"/>
          <w:lang w:val="es-ES_tradnl"/>
        </w:rPr>
      </w:pPr>
      <w:r w:rsidRPr="0012344B">
        <w:rPr>
          <w:rFonts w:asciiTheme="majorHAnsi" w:hAnsiTheme="majorHAnsi"/>
          <w:sz w:val="20"/>
          <w:szCs w:val="20"/>
          <w:lang w:val="es-ES_tradnl"/>
        </w:rPr>
        <w:t xml:space="preserve">Al respecto, la Comisión reitera que el criterio de evaluación de la fase de admisibilidad difiere del que se utiliza para pronunciarse sobre el fondo de una petición; la CIDH debe realizar en esta etapa una evaluación </w:t>
      </w:r>
      <w:r w:rsidRPr="0012344B">
        <w:rPr>
          <w:rFonts w:asciiTheme="majorHAnsi" w:hAnsiTheme="majorHAnsi"/>
          <w:i/>
          <w:iCs/>
          <w:sz w:val="20"/>
          <w:szCs w:val="20"/>
          <w:lang w:val="es-ES_tradnl"/>
        </w:rPr>
        <w:t>prima facie</w:t>
      </w:r>
      <w:r w:rsidRPr="0012344B">
        <w:rPr>
          <w:rFonts w:asciiTheme="majorHAnsi" w:hAnsiTheme="majorHAnsi"/>
          <w:sz w:val="20"/>
          <w:szCs w:val="20"/>
          <w:lang w:val="es-ES_tradnl"/>
        </w:rPr>
        <w:t xml:space="preserve"> para definir si la petición identifica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1A622B1A" w14:textId="777210D9" w:rsidR="00697177" w:rsidRPr="0012344B" w:rsidRDefault="00F4252B" w:rsidP="0012344B">
      <w:pPr>
        <w:pStyle w:val="ListParagraph"/>
        <w:numPr>
          <w:ilvl w:val="0"/>
          <w:numId w:val="103"/>
        </w:numPr>
        <w:suppressAutoHyphens/>
        <w:spacing w:before="240" w:after="240"/>
        <w:jc w:val="both"/>
        <w:rPr>
          <w:rFonts w:asciiTheme="majorHAnsi" w:hAnsiTheme="majorHAnsi"/>
          <w:sz w:val="20"/>
          <w:szCs w:val="20"/>
          <w:lang w:val="es-ES_tradnl"/>
        </w:rPr>
      </w:pPr>
      <w:r w:rsidRPr="0012344B">
        <w:rPr>
          <w:rFonts w:asciiTheme="majorHAnsi" w:hAnsiTheme="majorHAnsi"/>
          <w:sz w:val="20"/>
          <w:szCs w:val="20"/>
          <w:lang w:val="es-ES_tradnl"/>
        </w:rPr>
        <w:t xml:space="preserve">En el presente asunto, la Comisión recuerda que en su informe de admisibilidad </w:t>
      </w:r>
      <w:r w:rsidR="003C7610" w:rsidRPr="0012344B">
        <w:rPr>
          <w:rFonts w:asciiTheme="majorHAnsi" w:hAnsiTheme="majorHAnsi"/>
          <w:sz w:val="20"/>
          <w:szCs w:val="20"/>
          <w:lang w:val="es-ES_tradnl"/>
        </w:rPr>
        <w:t>135/24</w:t>
      </w:r>
      <w:r w:rsidR="007D604F" w:rsidRPr="0012344B">
        <w:rPr>
          <w:rStyle w:val="FootnoteReference"/>
          <w:rFonts w:asciiTheme="majorHAnsi" w:hAnsiTheme="majorHAnsi"/>
          <w:sz w:val="20"/>
          <w:szCs w:val="20"/>
          <w:lang w:val="es-ES_tradnl"/>
        </w:rPr>
        <w:footnoteReference w:id="7"/>
      </w:r>
      <w:r w:rsidR="003C7610" w:rsidRPr="0012344B">
        <w:rPr>
          <w:rFonts w:asciiTheme="majorHAnsi" w:hAnsiTheme="majorHAnsi"/>
          <w:sz w:val="20"/>
          <w:szCs w:val="20"/>
          <w:lang w:val="es-ES_tradnl"/>
        </w:rPr>
        <w:t xml:space="preserve"> ya analizó situaciones sustancialmente similares a la de la presunta víctima. </w:t>
      </w:r>
      <w:r w:rsidR="008A59C2" w:rsidRPr="0012344B">
        <w:rPr>
          <w:rFonts w:asciiTheme="majorHAnsi" w:hAnsiTheme="majorHAnsi"/>
          <w:sz w:val="20"/>
          <w:szCs w:val="20"/>
          <w:lang w:val="es-ES_tradnl"/>
        </w:rPr>
        <w:t xml:space="preserve">Con base en ello, considera oportuno recordar que </w:t>
      </w:r>
      <w:r w:rsidR="00697177" w:rsidRPr="0012344B">
        <w:rPr>
          <w:rFonts w:asciiTheme="majorHAnsi" w:hAnsiTheme="majorHAnsi"/>
          <w:sz w:val="20"/>
          <w:szCs w:val="20"/>
          <w:lang w:val="es-ES_tradnl"/>
        </w:rPr>
        <w:t>los Estados deben garantizar una actuación independiente de las y los operadores de justicia; por ello, deben otorgarles estabilidad y permanencia en el cargo. Aunque por circunstancias excepcionales puede ser necesario nombrar personas operadoras de justicia con un carácter temporal, como cuando se trata de períodos de transición durante la reestructuración del aparato de justicia, incluso en esos casos dichos operadores</w:t>
      </w:r>
      <w:r w:rsidR="007F5804" w:rsidRPr="0012344B">
        <w:rPr>
          <w:rFonts w:asciiTheme="majorHAnsi" w:hAnsiTheme="majorHAnsi"/>
          <w:sz w:val="20"/>
          <w:szCs w:val="20"/>
          <w:lang w:val="es-ES_tradnl"/>
        </w:rPr>
        <w:t xml:space="preserve"> </w:t>
      </w:r>
      <w:r w:rsidR="00B47944">
        <w:rPr>
          <w:rFonts w:asciiTheme="majorHAnsi" w:hAnsiTheme="majorHAnsi"/>
          <w:sz w:val="20"/>
          <w:szCs w:val="20"/>
          <w:lang w:val="es-ES_tradnl"/>
        </w:rPr>
        <w:t xml:space="preserve">y operadoras </w:t>
      </w:r>
      <w:r w:rsidR="00697177" w:rsidRPr="0012344B">
        <w:rPr>
          <w:rFonts w:asciiTheme="majorHAnsi" w:hAnsiTheme="majorHAnsi"/>
          <w:sz w:val="20"/>
          <w:szCs w:val="20"/>
          <w:lang w:val="es-ES_tradnl"/>
        </w:rPr>
        <w:t>de justicia deben ser nombrados mediante un procedimiento adecuado, por un tiempo o condición preestablecidas y deben tener garantías de estabilidad en sus cargos</w:t>
      </w:r>
      <w:r w:rsidR="00697177" w:rsidRPr="0012344B">
        <w:rPr>
          <w:rStyle w:val="FootnoteReference"/>
          <w:rFonts w:asciiTheme="majorHAnsi" w:hAnsiTheme="majorHAnsi"/>
          <w:sz w:val="20"/>
          <w:szCs w:val="20"/>
          <w:lang w:val="es-ES_tradnl"/>
        </w:rPr>
        <w:footnoteReference w:id="8"/>
      </w:r>
      <w:r w:rsidR="00697177" w:rsidRPr="0012344B">
        <w:rPr>
          <w:rFonts w:asciiTheme="majorHAnsi" w:hAnsiTheme="majorHAnsi"/>
          <w:sz w:val="20"/>
          <w:szCs w:val="20"/>
          <w:lang w:val="es-ES_tradnl"/>
        </w:rPr>
        <w:t>.</w:t>
      </w:r>
    </w:p>
    <w:p w14:paraId="75EA616A" w14:textId="77777777" w:rsidR="006C57C0" w:rsidRPr="0012344B" w:rsidRDefault="00697177" w:rsidP="2FF62D29">
      <w:pPr>
        <w:pStyle w:val="ListParagraph"/>
        <w:numPr>
          <w:ilvl w:val="0"/>
          <w:numId w:val="103"/>
        </w:numPr>
        <w:suppressAutoHyphens/>
        <w:spacing w:before="240" w:after="240"/>
        <w:jc w:val="both"/>
        <w:rPr>
          <w:rFonts w:asciiTheme="majorHAnsi" w:hAnsiTheme="majorHAnsi"/>
          <w:sz w:val="20"/>
          <w:szCs w:val="20"/>
          <w:lang w:val="es-ES"/>
        </w:rPr>
      </w:pPr>
      <w:r w:rsidRPr="2FF62D29">
        <w:rPr>
          <w:rFonts w:asciiTheme="majorHAnsi" w:hAnsiTheme="majorHAnsi"/>
          <w:sz w:val="20"/>
          <w:szCs w:val="20"/>
          <w:lang w:val="es-ES"/>
        </w:rPr>
        <w:t xml:space="preserve">En esa línea, en los casos </w:t>
      </w:r>
      <w:r w:rsidRPr="2FF62D29">
        <w:rPr>
          <w:rFonts w:asciiTheme="majorHAnsi" w:hAnsiTheme="majorHAnsi"/>
          <w:i/>
          <w:iCs/>
          <w:sz w:val="20"/>
          <w:szCs w:val="20"/>
          <w:lang w:val="es-ES"/>
        </w:rPr>
        <w:t xml:space="preserve">Martínez Esquivia vs. Colombia </w:t>
      </w:r>
      <w:r w:rsidRPr="2FF62D29">
        <w:rPr>
          <w:rFonts w:asciiTheme="majorHAnsi" w:hAnsiTheme="majorHAnsi"/>
          <w:sz w:val="20"/>
          <w:szCs w:val="20"/>
          <w:lang w:val="es-ES"/>
        </w:rPr>
        <w:t xml:space="preserve">y </w:t>
      </w:r>
      <w:r w:rsidRPr="2FF62D29">
        <w:rPr>
          <w:rFonts w:asciiTheme="majorHAnsi" w:hAnsiTheme="majorHAnsi"/>
          <w:i/>
          <w:iCs/>
          <w:sz w:val="20"/>
          <w:szCs w:val="20"/>
          <w:lang w:val="es-ES"/>
        </w:rPr>
        <w:t>Casa Nina vs. Perú</w:t>
      </w:r>
      <w:r w:rsidRPr="2FF62D29">
        <w:rPr>
          <w:rFonts w:asciiTheme="majorHAnsi" w:hAnsiTheme="majorHAnsi"/>
          <w:sz w:val="20"/>
          <w:szCs w:val="20"/>
          <w:lang w:val="es-ES"/>
        </w:rPr>
        <w:t>, la Corte IDH ha sostenido que los Estados “</w:t>
      </w:r>
      <w:r w:rsidRPr="2FF62D29">
        <w:rPr>
          <w:rFonts w:asciiTheme="majorHAnsi" w:hAnsiTheme="majorHAnsi"/>
          <w:i/>
          <w:iCs/>
          <w:sz w:val="20"/>
          <w:szCs w:val="20"/>
          <w:lang w:val="es-ES"/>
        </w:rPr>
        <w:t>están obligados a asegurar que las y los fiscales provisionales sean independientes y objetivos, por ello, deben otorgarles cierto tipo de estabilidad y permanencia en el cargo, en</w:t>
      </w:r>
      <w:r w:rsidRPr="2FF62D29">
        <w:rPr>
          <w:rFonts w:asciiTheme="majorHAnsi" w:hAnsiTheme="majorHAnsi" w:cs="Baskerville Old Face"/>
          <w:i/>
          <w:iCs/>
          <w:sz w:val="20"/>
          <w:szCs w:val="20"/>
          <w:lang w:val="es-ES"/>
        </w:rPr>
        <w:t xml:space="preserve"> tanto la provisionalidad no equivale a la arbitraria o libre remoción”</w:t>
      </w:r>
      <w:r w:rsidRPr="2FF62D29">
        <w:rPr>
          <w:rStyle w:val="FootnoteReference"/>
          <w:rFonts w:asciiTheme="majorHAnsi" w:hAnsiTheme="majorHAnsi" w:cs="Baskerville Old Face"/>
          <w:sz w:val="20"/>
          <w:szCs w:val="20"/>
          <w:lang w:val="es-ES"/>
        </w:rPr>
        <w:footnoteReference w:id="9"/>
      </w:r>
      <w:r w:rsidRPr="2FF62D29">
        <w:rPr>
          <w:rFonts w:asciiTheme="majorHAnsi" w:hAnsiTheme="majorHAnsi" w:cs="Baskerville Old Face"/>
          <w:sz w:val="20"/>
          <w:szCs w:val="20"/>
          <w:lang w:val="es-ES"/>
        </w:rPr>
        <w:t xml:space="preserve">. En consecuencia, </w:t>
      </w:r>
      <w:r w:rsidRPr="2FF62D29">
        <w:rPr>
          <w:rFonts w:asciiTheme="majorHAnsi" w:hAnsiTheme="majorHAnsi" w:cs="Baskerville Old Face"/>
          <w:i/>
          <w:iCs/>
          <w:sz w:val="20"/>
          <w:szCs w:val="20"/>
          <w:lang w:val="es-ES"/>
        </w:rPr>
        <w:t>“la decisión que dispone la finalización del nombramiento de las y los fiscales provisionales debe estar debidamente motivada, para garantizar los derechos al debido proceso y a la protección judicial”</w:t>
      </w:r>
      <w:r w:rsidRPr="2FF62D29">
        <w:rPr>
          <w:rStyle w:val="FootnoteReference"/>
          <w:rFonts w:asciiTheme="majorHAnsi" w:hAnsiTheme="majorHAnsi" w:cs="Baskerville Old Face"/>
          <w:i/>
          <w:iCs/>
          <w:sz w:val="20"/>
          <w:szCs w:val="20"/>
          <w:lang w:val="es-ES"/>
        </w:rPr>
        <w:footnoteReference w:id="10"/>
      </w:r>
      <w:r w:rsidRPr="2FF62D29">
        <w:rPr>
          <w:rFonts w:asciiTheme="majorHAnsi" w:hAnsiTheme="majorHAnsi" w:cs="Baskerville Old Face"/>
          <w:sz w:val="20"/>
          <w:szCs w:val="20"/>
          <w:lang w:val="es-ES"/>
        </w:rPr>
        <w:t xml:space="preserve">. </w:t>
      </w:r>
      <w:r w:rsidRPr="2FF62D29">
        <w:rPr>
          <w:rFonts w:asciiTheme="majorHAnsi" w:hAnsiTheme="majorHAnsi"/>
          <w:sz w:val="20"/>
          <w:szCs w:val="20"/>
          <w:lang w:val="es-ES"/>
        </w:rPr>
        <w:t xml:space="preserve">Por su parte, respecto a la situación de provisionalidad, en las sentencias de los casos </w:t>
      </w:r>
      <w:r w:rsidRPr="2FF62D29">
        <w:rPr>
          <w:rFonts w:asciiTheme="majorHAnsi" w:hAnsiTheme="majorHAnsi"/>
          <w:i/>
          <w:iCs/>
          <w:sz w:val="20"/>
          <w:szCs w:val="20"/>
          <w:lang w:val="es-ES"/>
        </w:rPr>
        <w:t>Apitz Barbera y otros vs. Venezuela</w:t>
      </w:r>
      <w:r w:rsidRPr="2FF62D29">
        <w:rPr>
          <w:rFonts w:asciiTheme="majorHAnsi" w:hAnsiTheme="majorHAnsi"/>
          <w:sz w:val="20"/>
          <w:szCs w:val="20"/>
          <w:lang w:val="es-ES"/>
        </w:rPr>
        <w:t>; y</w:t>
      </w:r>
      <w:r w:rsidRPr="2FF62D29">
        <w:rPr>
          <w:rFonts w:asciiTheme="majorHAnsi" w:hAnsiTheme="majorHAnsi"/>
          <w:i/>
          <w:iCs/>
          <w:sz w:val="20"/>
          <w:szCs w:val="20"/>
          <w:lang w:val="es-ES"/>
        </w:rPr>
        <w:t xml:space="preserve"> Chocrón Chocrón vs. Venezuela</w:t>
      </w:r>
      <w:r w:rsidRPr="2FF62D29">
        <w:rPr>
          <w:rFonts w:asciiTheme="majorHAnsi" w:hAnsiTheme="majorHAnsi"/>
          <w:sz w:val="20"/>
          <w:szCs w:val="20"/>
          <w:lang w:val="es-ES"/>
        </w:rPr>
        <w:t xml:space="preserve">, la Corte IDH estableció que </w:t>
      </w:r>
      <w:r w:rsidRPr="2FF62D29">
        <w:rPr>
          <w:rFonts w:asciiTheme="majorHAnsi" w:hAnsiTheme="majorHAnsi"/>
          <w:i/>
          <w:iCs/>
          <w:sz w:val="20"/>
          <w:szCs w:val="20"/>
          <w:lang w:val="es-ES"/>
        </w:rPr>
        <w:t>“los nombramientos provisionales deben constituir una situación de excepción y no la regla. De esta manera, la extensión en el tiempo de la provisionalidad de los jueces o el hecho de que la mayoría de los jueces se encuentren en dicha situación, generan importantes obstáculos para la independencia judicial”</w:t>
      </w:r>
      <w:r w:rsidRPr="2FF62D29">
        <w:rPr>
          <w:rStyle w:val="FootnoteReference"/>
          <w:rFonts w:asciiTheme="majorHAnsi" w:hAnsiTheme="majorHAnsi"/>
          <w:i/>
          <w:iCs/>
          <w:sz w:val="20"/>
          <w:szCs w:val="20"/>
          <w:lang w:val="es-ES"/>
        </w:rPr>
        <w:footnoteReference w:id="11"/>
      </w:r>
      <w:r w:rsidRPr="2FF62D29">
        <w:rPr>
          <w:rFonts w:asciiTheme="majorHAnsi" w:hAnsiTheme="majorHAnsi"/>
          <w:i/>
          <w:iCs/>
          <w:sz w:val="20"/>
          <w:szCs w:val="20"/>
          <w:lang w:val="es-ES"/>
        </w:rPr>
        <w:t>.</w:t>
      </w:r>
    </w:p>
    <w:p w14:paraId="0ACDEB8E" w14:textId="28B19A2C" w:rsidR="006C57C0" w:rsidRPr="00E11EEF" w:rsidRDefault="00E61F1C" w:rsidP="0012344B">
      <w:pPr>
        <w:pStyle w:val="ListParagraph"/>
        <w:numPr>
          <w:ilvl w:val="0"/>
          <w:numId w:val="103"/>
        </w:numPr>
        <w:suppressAutoHyphens/>
        <w:spacing w:before="240" w:after="240"/>
        <w:jc w:val="both"/>
        <w:rPr>
          <w:rFonts w:asciiTheme="majorHAnsi" w:hAnsiTheme="majorHAnsi"/>
          <w:sz w:val="20"/>
          <w:szCs w:val="20"/>
          <w:lang w:val="es-ES_tradnl"/>
        </w:rPr>
      </w:pPr>
      <w:r w:rsidRPr="0012344B">
        <w:rPr>
          <w:rFonts w:asciiTheme="majorHAnsi" w:hAnsiTheme="majorHAnsi"/>
          <w:sz w:val="20"/>
          <w:szCs w:val="20"/>
          <w:lang w:val="es-ES_tradnl"/>
        </w:rPr>
        <w:t>Teniendo presente lo anterior, la CIDH nota que</w:t>
      </w:r>
      <w:r w:rsidR="003A651E" w:rsidRPr="0012344B">
        <w:rPr>
          <w:rFonts w:asciiTheme="majorHAnsi" w:hAnsiTheme="majorHAnsi"/>
          <w:sz w:val="20"/>
          <w:szCs w:val="20"/>
          <w:lang w:val="es-ES_tradnl"/>
        </w:rPr>
        <w:t>,</w:t>
      </w:r>
      <w:r w:rsidRPr="0012344B">
        <w:rPr>
          <w:rFonts w:asciiTheme="majorHAnsi" w:hAnsiTheme="majorHAnsi"/>
          <w:sz w:val="20"/>
          <w:szCs w:val="20"/>
          <w:lang w:val="es-ES_tradnl"/>
        </w:rPr>
        <w:t xml:space="preserve"> de acuerdo con lo alegado por la parte peticionaria, la presunta víctima fue destituida principalmente bajo el argumento de la transitoriedad de su cargo. Así, dicha decisi</w:t>
      </w:r>
      <w:r w:rsidR="00482169" w:rsidRPr="0012344B">
        <w:rPr>
          <w:rFonts w:asciiTheme="majorHAnsi" w:hAnsiTheme="majorHAnsi"/>
          <w:sz w:val="20"/>
          <w:szCs w:val="20"/>
          <w:lang w:val="es-ES_tradnl"/>
        </w:rPr>
        <w:t>ón</w:t>
      </w:r>
      <w:r w:rsidRPr="0012344B">
        <w:rPr>
          <w:rFonts w:asciiTheme="majorHAnsi" w:hAnsiTheme="majorHAnsi"/>
          <w:sz w:val="20"/>
          <w:szCs w:val="20"/>
          <w:lang w:val="es-ES_tradnl"/>
        </w:rPr>
        <w:t xml:space="preserve"> </w:t>
      </w:r>
      <w:r w:rsidRPr="00E11EEF">
        <w:rPr>
          <w:rFonts w:asciiTheme="majorHAnsi" w:hAnsiTheme="majorHAnsi"/>
          <w:sz w:val="20"/>
          <w:szCs w:val="20"/>
          <w:lang w:val="es-ES_tradnl"/>
        </w:rPr>
        <w:t>no habría estado justificada en la existencia de procesos disciplinarios en su contra, por lo cual, si la presunta víctima enfrentaba algún proceso de este tipo, tal aspecto no formó parte de la evaluación</w:t>
      </w:r>
      <w:r w:rsidR="006E143D" w:rsidRPr="00E11EEF">
        <w:rPr>
          <w:rFonts w:asciiTheme="majorHAnsi" w:hAnsiTheme="majorHAnsi"/>
          <w:sz w:val="20"/>
          <w:szCs w:val="20"/>
          <w:lang w:val="es-ES_tradnl"/>
        </w:rPr>
        <w:t xml:space="preserve"> de su destitución</w:t>
      </w:r>
      <w:r w:rsidRPr="00E11EEF">
        <w:rPr>
          <w:rFonts w:asciiTheme="majorHAnsi" w:hAnsiTheme="majorHAnsi"/>
          <w:sz w:val="20"/>
          <w:szCs w:val="20"/>
          <w:lang w:val="es-ES_tradnl"/>
        </w:rPr>
        <w:t xml:space="preserve">. Por ende, la Comisión </w:t>
      </w:r>
      <w:r w:rsidR="00BD75BB" w:rsidRPr="00E11EEF">
        <w:rPr>
          <w:rFonts w:asciiTheme="majorHAnsi" w:hAnsiTheme="majorHAnsi"/>
          <w:sz w:val="20"/>
          <w:szCs w:val="20"/>
          <w:lang w:val="es-ES_tradnl"/>
        </w:rPr>
        <w:t xml:space="preserve">advierte </w:t>
      </w:r>
      <w:r w:rsidRPr="00E11EEF">
        <w:rPr>
          <w:rFonts w:asciiTheme="majorHAnsi" w:hAnsiTheme="majorHAnsi"/>
          <w:sz w:val="20"/>
          <w:szCs w:val="20"/>
          <w:lang w:val="es-ES_tradnl"/>
        </w:rPr>
        <w:t xml:space="preserve">importante examinar en etapa de fondo si su </w:t>
      </w:r>
      <w:r w:rsidR="003C3456" w:rsidRPr="00E11EEF">
        <w:rPr>
          <w:rFonts w:asciiTheme="majorHAnsi" w:hAnsiTheme="majorHAnsi"/>
          <w:sz w:val="20"/>
          <w:szCs w:val="20"/>
          <w:lang w:val="es-ES_tradnl"/>
        </w:rPr>
        <w:t>remoción</w:t>
      </w:r>
      <w:r w:rsidRPr="00E11EEF">
        <w:rPr>
          <w:rFonts w:asciiTheme="majorHAnsi" w:hAnsiTheme="majorHAnsi"/>
          <w:sz w:val="20"/>
          <w:szCs w:val="20"/>
          <w:lang w:val="es-ES_tradnl"/>
        </w:rPr>
        <w:t xml:space="preserve"> fue respetuosa de los derechos contemplados en la Convención Americana. </w:t>
      </w:r>
    </w:p>
    <w:p w14:paraId="6ED4E1F3" w14:textId="2DC2EFF0" w:rsidR="006C57C0" w:rsidRPr="0012344B" w:rsidRDefault="004368CD" w:rsidP="0012344B">
      <w:pPr>
        <w:pStyle w:val="ListParagraph"/>
        <w:numPr>
          <w:ilvl w:val="0"/>
          <w:numId w:val="103"/>
        </w:numPr>
        <w:suppressAutoHyphens/>
        <w:spacing w:before="240" w:after="240"/>
        <w:jc w:val="both"/>
        <w:rPr>
          <w:rFonts w:asciiTheme="majorHAnsi" w:hAnsiTheme="majorHAnsi"/>
          <w:sz w:val="20"/>
          <w:szCs w:val="20"/>
          <w:lang w:val="es-ES_tradnl"/>
        </w:rPr>
      </w:pPr>
      <w:r w:rsidRPr="00E11EEF">
        <w:rPr>
          <w:rFonts w:asciiTheme="majorHAnsi" w:hAnsiTheme="majorHAnsi"/>
          <w:sz w:val="20"/>
          <w:szCs w:val="20"/>
          <w:lang w:val="es-ES_tradnl"/>
        </w:rPr>
        <w:lastRenderedPageBreak/>
        <w:t>Con base a estas consideraciones, la Comisión estima que los alegatos de la parte peticionaria no resultan manifiestamente infundados y requieren un estudio de fondo, toda vez que, de corroborarse como ciertos, podrían constituir violaciones de los derechos protegidos en los artículos 8 (garantías judiciales), 23 (derechos políticos), 24 (igualdad ante la ley) y 25</w:t>
      </w:r>
      <w:r w:rsidRPr="0012344B">
        <w:rPr>
          <w:rFonts w:asciiTheme="majorHAnsi" w:hAnsiTheme="majorHAnsi"/>
          <w:sz w:val="20"/>
          <w:szCs w:val="20"/>
          <w:lang w:val="es-ES_tradnl"/>
        </w:rPr>
        <w:t xml:space="preserve"> (protección judicial) de la Convención Americana, en relación con su artículo 1.1 (obligación de respetar los derechos) y </w:t>
      </w:r>
      <w:r w:rsidRPr="0012344B">
        <w:rPr>
          <w:rFonts w:asciiTheme="majorHAnsi" w:hAnsiTheme="majorHAnsi" w:cs="Calibri"/>
          <w:sz w:val="20"/>
          <w:szCs w:val="20"/>
          <w:lang w:val="es-ES_tradnl"/>
        </w:rPr>
        <w:t>2 (deber de adoptar disposiciones de derecho interno)</w:t>
      </w:r>
      <w:r w:rsidRPr="0012344B">
        <w:rPr>
          <w:rFonts w:asciiTheme="majorHAnsi" w:hAnsiTheme="majorHAnsi"/>
          <w:sz w:val="20"/>
          <w:szCs w:val="20"/>
          <w:lang w:val="es-ES_tradnl"/>
        </w:rPr>
        <w:t xml:space="preserve">, en perjuicio de del señor </w:t>
      </w:r>
      <w:r w:rsidR="00C8180B" w:rsidRPr="0012344B">
        <w:rPr>
          <w:rFonts w:asciiTheme="majorHAnsi" w:hAnsiTheme="majorHAnsi"/>
          <w:sz w:val="20"/>
          <w:szCs w:val="20"/>
          <w:lang w:val="es-ES_tradnl"/>
        </w:rPr>
        <w:t xml:space="preserve">Pedro </w:t>
      </w:r>
      <w:r w:rsidRPr="0012344B">
        <w:rPr>
          <w:rFonts w:asciiTheme="majorHAnsi" w:hAnsiTheme="majorHAnsi"/>
          <w:sz w:val="20"/>
          <w:szCs w:val="20"/>
          <w:lang w:val="es-ES_tradnl"/>
        </w:rPr>
        <w:t>Flores Medina. Además, la Comisión también evaluará la posible vulneración al artículo 26 de la Convención (derechos económicos, sociales y culturales), por las posibles afectaciones a la salud que sufri</w:t>
      </w:r>
      <w:r w:rsidR="00DA36E5">
        <w:rPr>
          <w:rFonts w:asciiTheme="majorHAnsi" w:hAnsiTheme="majorHAnsi"/>
          <w:sz w:val="20"/>
          <w:szCs w:val="20"/>
          <w:lang w:val="es-ES_tradnl"/>
        </w:rPr>
        <w:t>ó</w:t>
      </w:r>
      <w:r w:rsidRPr="0012344B">
        <w:rPr>
          <w:rFonts w:asciiTheme="majorHAnsi" w:hAnsiTheme="majorHAnsi"/>
          <w:sz w:val="20"/>
          <w:szCs w:val="20"/>
          <w:lang w:val="es-ES_tradnl"/>
        </w:rPr>
        <w:t xml:space="preserve"> la presunta víctima en razón a su destitución. </w:t>
      </w:r>
    </w:p>
    <w:p w14:paraId="0F66E15E" w14:textId="1C053248" w:rsidR="004F3138" w:rsidRPr="0012344B" w:rsidRDefault="00735D9C" w:rsidP="2FF62D2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jc w:val="both"/>
        <w:rPr>
          <w:rFonts w:asciiTheme="majorHAnsi" w:hAnsiTheme="majorHAnsi"/>
          <w:sz w:val="20"/>
          <w:szCs w:val="20"/>
          <w:lang w:val="es-ES"/>
        </w:rPr>
      </w:pPr>
      <w:r w:rsidRPr="2FF62D29">
        <w:rPr>
          <w:rFonts w:asciiTheme="majorHAnsi" w:hAnsiTheme="majorHAnsi"/>
          <w:sz w:val="20"/>
          <w:szCs w:val="20"/>
          <w:lang w:val="es-ES"/>
        </w:rPr>
        <w:t>Respecto al alegado incumplimiento de la Convención Interamericana sobre la Protección de los Derechos Humanos de las Personas Mayores, el Estado es parte de esta desde el 17 de mayo de 2017. En tal sentido, la Comisión carece de competencia temporal para analizar la remoción de la presunta víctima derivadas del Acuerdo de la Sala Plena N° 73/2017 del 5 de mayo de 2017, ya que ocurrieron antes de que aquel depositara el respectivo instrumento de ratificación. Por lo tanto, se declara inadmisible este punto de la petición. No obstante, la Comisión tomará en cuenta la condición de adulto mayor de</w:t>
      </w:r>
      <w:r w:rsidR="0076653A" w:rsidRPr="2FF62D29">
        <w:rPr>
          <w:rFonts w:asciiTheme="majorHAnsi" w:hAnsiTheme="majorHAnsi"/>
          <w:sz w:val="20"/>
          <w:szCs w:val="20"/>
          <w:lang w:val="es-ES"/>
        </w:rPr>
        <w:t xml:space="preserve">l señor Flores Medina </w:t>
      </w:r>
      <w:r w:rsidRPr="2FF62D29">
        <w:rPr>
          <w:rFonts w:asciiTheme="majorHAnsi" w:hAnsiTheme="majorHAnsi"/>
          <w:sz w:val="20"/>
          <w:szCs w:val="20"/>
          <w:lang w:val="es-ES"/>
        </w:rPr>
        <w:t>al momento de analizar las posibles violaciones a derechos contemplados en la Convención Americana.</w:t>
      </w:r>
    </w:p>
    <w:p w14:paraId="77D2D3B3" w14:textId="2A7BA108" w:rsidR="004F594A" w:rsidRPr="0012344B" w:rsidRDefault="004F3138" w:rsidP="2FF62D2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jc w:val="both"/>
        <w:rPr>
          <w:rFonts w:asciiTheme="majorHAnsi" w:hAnsiTheme="majorHAnsi"/>
          <w:sz w:val="20"/>
          <w:szCs w:val="20"/>
          <w:lang w:val="es-ES"/>
        </w:rPr>
      </w:pPr>
      <w:r w:rsidRPr="2FF62D29">
        <w:rPr>
          <w:rFonts w:asciiTheme="majorHAnsi" w:hAnsiTheme="majorHAnsi" w:cs="Baskerville Old Face"/>
          <w:sz w:val="20"/>
          <w:szCs w:val="20"/>
          <w:lang w:val="es-ES"/>
        </w:rPr>
        <w:t xml:space="preserve">Asimismo, </w:t>
      </w:r>
      <w:r w:rsidR="00AB2515" w:rsidRPr="2FF62D29">
        <w:rPr>
          <w:rFonts w:asciiTheme="majorHAnsi" w:hAnsiTheme="majorHAnsi" w:cs="Baskerville Old Face"/>
          <w:sz w:val="20"/>
          <w:szCs w:val="20"/>
          <w:lang w:val="es-ES"/>
        </w:rPr>
        <w:t>en lo ati</w:t>
      </w:r>
      <w:r w:rsidR="00526066" w:rsidRPr="2FF62D29">
        <w:rPr>
          <w:rFonts w:asciiTheme="majorHAnsi" w:hAnsiTheme="majorHAnsi" w:cs="Baskerville Old Face"/>
          <w:sz w:val="20"/>
          <w:szCs w:val="20"/>
          <w:lang w:val="es-ES"/>
        </w:rPr>
        <w:t>nente</w:t>
      </w:r>
      <w:r w:rsidR="00AB2515" w:rsidRPr="2FF62D29">
        <w:rPr>
          <w:rFonts w:asciiTheme="majorHAnsi" w:hAnsiTheme="majorHAnsi" w:cs="Baskerville Old Face"/>
          <w:sz w:val="20"/>
          <w:szCs w:val="20"/>
          <w:lang w:val="es-ES"/>
        </w:rPr>
        <w:t xml:space="preserve"> </w:t>
      </w:r>
      <w:r w:rsidRPr="2FF62D29">
        <w:rPr>
          <w:rFonts w:asciiTheme="majorHAnsi" w:hAnsiTheme="majorHAnsi" w:cs="Baskerville Old Face"/>
          <w:sz w:val="20"/>
          <w:szCs w:val="20"/>
          <w:lang w:val="es-ES"/>
        </w:rPr>
        <w:t xml:space="preserve">a los alegatos sobre violaciones a los artículos 3, 6 y 7 del Protocolo de San Salvador, la CIDH nota que la competencia prevista en los términos del artículo 19.6 de dicho tratado para establecer violaciones en el contexto de un caso individual se limita a los artículos 8 y 13. </w:t>
      </w:r>
      <w:r w:rsidRPr="2FF62D29">
        <w:rPr>
          <w:rFonts w:asciiTheme="majorHAnsi" w:hAnsiTheme="majorHAnsi"/>
          <w:sz w:val="20"/>
          <w:szCs w:val="20"/>
          <w:lang w:val="es-ES"/>
        </w:rPr>
        <w:t>Además, la Comisión también resalta que, una vez que la Convención Americana entra en vigor en relación con un Estado, es ésta y no la Declaración la que pasa a ser la fuente primaria de derecho aplicable por la CIDH, siempre que la petición se refiera a la presunta violación de derechos idénticos en ambos instrumentos y no se trate de una situación de violación continua</w:t>
      </w:r>
      <w:r w:rsidRPr="2FF62D29">
        <w:rPr>
          <w:rStyle w:val="FootnoteReference"/>
          <w:rFonts w:asciiTheme="majorHAnsi" w:hAnsiTheme="majorHAnsi"/>
          <w:sz w:val="20"/>
          <w:szCs w:val="20"/>
          <w:lang w:val="es-ES"/>
        </w:rPr>
        <w:footnoteReference w:id="12"/>
      </w:r>
      <w:r w:rsidRPr="2FF62D29">
        <w:rPr>
          <w:rFonts w:asciiTheme="majorHAnsi" w:hAnsiTheme="majorHAnsi"/>
          <w:sz w:val="20"/>
          <w:szCs w:val="20"/>
          <w:lang w:val="es-ES"/>
        </w:rPr>
        <w:t xml:space="preserve">. En tal sentido, la Comisión únicamente se limitará a determinar si, </w:t>
      </w:r>
      <w:r w:rsidRPr="2FF62D29">
        <w:rPr>
          <w:rFonts w:asciiTheme="majorHAnsi" w:hAnsiTheme="majorHAnsi"/>
          <w:i/>
          <w:iCs/>
          <w:sz w:val="20"/>
          <w:szCs w:val="20"/>
          <w:lang w:val="es-ES"/>
        </w:rPr>
        <w:t>prima facie</w:t>
      </w:r>
      <w:r w:rsidRPr="2FF62D29">
        <w:rPr>
          <w:rFonts w:asciiTheme="majorHAnsi" w:hAnsiTheme="majorHAnsi"/>
          <w:sz w:val="20"/>
          <w:szCs w:val="20"/>
          <w:lang w:val="es-ES"/>
        </w:rPr>
        <w:t xml:space="preserve">, en el presente asunto puede existir una posible afectación a los derechos contemplados en la Convención Americana. </w:t>
      </w:r>
      <w:r w:rsidRPr="2FF62D29">
        <w:rPr>
          <w:rFonts w:asciiTheme="majorHAnsi" w:hAnsiTheme="majorHAnsi" w:cs="Baskerville Old Face"/>
          <w:sz w:val="20"/>
          <w:szCs w:val="20"/>
          <w:lang w:val="es-ES"/>
        </w:rPr>
        <w:t>Sin perjuicio de ello, los instrumentos mencionados podrán ser tomados en cuenta como parte del ejercicio interpretativo de las normas de la Convención Americana en la etapa de fondo del presente caso, en los términos del artículo 29 de la Convención.</w:t>
      </w:r>
    </w:p>
    <w:p w14:paraId="6EC3AA6F" w14:textId="38194D2D" w:rsidR="009E7A74" w:rsidRPr="0012344B" w:rsidRDefault="002C6858" w:rsidP="0012344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jc w:val="both"/>
        <w:rPr>
          <w:rFonts w:asciiTheme="majorHAnsi" w:hAnsiTheme="majorHAnsi"/>
          <w:sz w:val="20"/>
          <w:szCs w:val="20"/>
          <w:lang w:val="es-ES_tradnl"/>
        </w:rPr>
      </w:pPr>
      <w:r w:rsidRPr="0012344B">
        <w:rPr>
          <w:rFonts w:asciiTheme="majorHAnsi" w:hAnsiTheme="majorHAnsi"/>
          <w:sz w:val="20"/>
          <w:szCs w:val="20"/>
          <w:lang w:val="es-ES_tradnl"/>
        </w:rPr>
        <w:t xml:space="preserve">Finalmente, respecto al artículo 3 (derecho al reconocimiento de la personalidad jurídica) de la Convención Americana, la Comisión considera que la parte peticionaria no aporta argumentos o información que permitan, </w:t>
      </w:r>
      <w:r w:rsidRPr="0012344B">
        <w:rPr>
          <w:rFonts w:asciiTheme="majorHAnsi" w:hAnsiTheme="majorHAnsi"/>
          <w:i/>
          <w:iCs/>
          <w:sz w:val="20"/>
          <w:szCs w:val="20"/>
          <w:lang w:val="es-ES_tradnl"/>
        </w:rPr>
        <w:t>prima facie</w:t>
      </w:r>
      <w:r w:rsidRPr="0012344B">
        <w:rPr>
          <w:rFonts w:asciiTheme="majorHAnsi" w:hAnsiTheme="majorHAnsi"/>
          <w:sz w:val="20"/>
          <w:szCs w:val="20"/>
          <w:lang w:val="es-ES_tradnl"/>
        </w:rPr>
        <w:t>, identificar que su posible vulneración le sea internacionalmente atribuible al Estado boliviano.</w:t>
      </w:r>
    </w:p>
    <w:p w14:paraId="29BB41F5" w14:textId="0AF3BF03" w:rsidR="003239B8" w:rsidRPr="0012344B" w:rsidRDefault="003239B8" w:rsidP="0012344B">
      <w:pPr>
        <w:pStyle w:val="ListParagraph"/>
        <w:spacing w:before="240" w:after="240"/>
        <w:ind w:left="0" w:firstLine="720"/>
        <w:jc w:val="both"/>
        <w:rPr>
          <w:rFonts w:asciiTheme="majorHAnsi" w:hAnsiTheme="majorHAnsi"/>
          <w:b/>
          <w:bCs/>
          <w:sz w:val="20"/>
          <w:szCs w:val="20"/>
          <w:lang w:val="es-ES_tradnl"/>
        </w:rPr>
      </w:pPr>
      <w:r w:rsidRPr="0012344B">
        <w:rPr>
          <w:rFonts w:asciiTheme="majorHAnsi" w:hAnsiTheme="majorHAnsi"/>
          <w:b/>
          <w:bCs/>
          <w:sz w:val="20"/>
          <w:szCs w:val="20"/>
          <w:lang w:val="es-ES_tradnl"/>
        </w:rPr>
        <w:t xml:space="preserve">VIII. </w:t>
      </w:r>
      <w:r w:rsidRPr="0012344B">
        <w:rPr>
          <w:rFonts w:asciiTheme="majorHAnsi" w:hAnsiTheme="majorHAnsi"/>
          <w:b/>
          <w:bCs/>
          <w:sz w:val="20"/>
          <w:szCs w:val="20"/>
          <w:lang w:val="es-ES_tradnl"/>
        </w:rPr>
        <w:tab/>
        <w:t>DECISIÓN</w:t>
      </w:r>
    </w:p>
    <w:p w14:paraId="0FDE1D10" w14:textId="12210504" w:rsidR="003239B8" w:rsidRPr="0012344B" w:rsidRDefault="003239B8" w:rsidP="0012344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2344B">
        <w:rPr>
          <w:rFonts w:asciiTheme="majorHAnsi" w:hAnsiTheme="majorHAnsi"/>
          <w:sz w:val="20"/>
          <w:szCs w:val="20"/>
          <w:lang w:val="es-ES_tradnl"/>
        </w:rPr>
        <w:t xml:space="preserve">Declarar admisible la presente petición en relación con </w:t>
      </w:r>
      <w:r w:rsidR="00B26750" w:rsidRPr="0012344B">
        <w:rPr>
          <w:rFonts w:asciiTheme="majorHAnsi" w:hAnsiTheme="majorHAnsi"/>
          <w:sz w:val="20"/>
          <w:szCs w:val="20"/>
          <w:lang w:val="es-ES_tradnl"/>
        </w:rPr>
        <w:t>8, 23, 24, 25 y 26 de la Convención Americana</w:t>
      </w:r>
      <w:r w:rsidR="00A758AA" w:rsidRPr="0012344B">
        <w:rPr>
          <w:rFonts w:asciiTheme="majorHAnsi" w:hAnsiTheme="majorHAnsi"/>
          <w:sz w:val="20"/>
          <w:szCs w:val="20"/>
          <w:lang w:val="es-ES_tradnl"/>
        </w:rPr>
        <w:t>;</w:t>
      </w:r>
      <w:r w:rsidR="007B76D3" w:rsidRPr="0012344B">
        <w:rPr>
          <w:rFonts w:asciiTheme="majorHAnsi" w:hAnsiTheme="majorHAnsi"/>
          <w:sz w:val="20"/>
          <w:szCs w:val="20"/>
          <w:lang w:val="es-ES_tradnl"/>
        </w:rPr>
        <w:t xml:space="preserve"> </w:t>
      </w:r>
    </w:p>
    <w:p w14:paraId="0CA53294" w14:textId="6AC1F388" w:rsidR="00BC6CEC" w:rsidRPr="0012344B" w:rsidRDefault="00F47AE6" w:rsidP="0012344B">
      <w:pPr>
        <w:pStyle w:val="ListParagraph"/>
        <w:numPr>
          <w:ilvl w:val="0"/>
          <w:numId w:val="109"/>
        </w:numPr>
        <w:spacing w:before="240" w:after="240"/>
        <w:jc w:val="both"/>
        <w:rPr>
          <w:rFonts w:asciiTheme="majorHAnsi" w:eastAsia="Arial Unicode MS" w:hAnsiTheme="majorHAnsi" w:cs="Times New Roman"/>
          <w:color w:val="auto"/>
          <w:sz w:val="20"/>
          <w:szCs w:val="20"/>
          <w:lang w:val="es-ES_tradnl" w:eastAsia="en-US"/>
        </w:rPr>
      </w:pPr>
      <w:r w:rsidRPr="0012344B">
        <w:rPr>
          <w:rFonts w:asciiTheme="majorHAnsi" w:eastAsia="Arial Unicode MS" w:hAnsiTheme="majorHAnsi" w:cs="Times New Roman"/>
          <w:color w:val="auto"/>
          <w:sz w:val="20"/>
          <w:szCs w:val="20"/>
          <w:lang w:val="es-ES_tradnl" w:eastAsia="en-US"/>
        </w:rPr>
        <w:t xml:space="preserve">Declarar inadmisible la presente petición en relación con </w:t>
      </w:r>
      <w:r w:rsidRPr="0012344B">
        <w:rPr>
          <w:rFonts w:asciiTheme="majorHAnsi" w:hAnsiTheme="majorHAnsi"/>
          <w:color w:val="auto"/>
          <w:sz w:val="20"/>
          <w:szCs w:val="20"/>
          <w:lang w:val="es-ES_tradnl"/>
        </w:rPr>
        <w:t xml:space="preserve">el artículo 3 </w:t>
      </w:r>
      <w:r w:rsidRPr="0012344B">
        <w:rPr>
          <w:rFonts w:asciiTheme="majorHAnsi" w:hAnsiTheme="majorHAnsi"/>
          <w:sz w:val="20"/>
          <w:szCs w:val="20"/>
          <w:lang w:val="es-ES_tradnl"/>
        </w:rPr>
        <w:t>de la Convención Americana</w:t>
      </w:r>
      <w:r w:rsidR="00F048DA">
        <w:rPr>
          <w:rFonts w:asciiTheme="majorHAnsi" w:eastAsia="Arial Unicode MS" w:hAnsiTheme="majorHAnsi" w:cs="Times New Roman"/>
          <w:color w:val="auto"/>
          <w:sz w:val="20"/>
          <w:szCs w:val="20"/>
          <w:lang w:val="es-ES_tradnl" w:eastAsia="en-US"/>
        </w:rPr>
        <w:t>,</w:t>
      </w:r>
      <w:r w:rsidRPr="0012344B">
        <w:rPr>
          <w:rFonts w:asciiTheme="majorHAnsi" w:eastAsia="Arial Unicode MS" w:hAnsiTheme="majorHAnsi" w:cs="Times New Roman"/>
          <w:color w:val="auto"/>
          <w:sz w:val="20"/>
          <w:szCs w:val="20"/>
          <w:lang w:val="es-ES_tradnl" w:eastAsia="en-US"/>
        </w:rPr>
        <w:t xml:space="preserve"> </w:t>
      </w:r>
      <w:r w:rsidR="00BC6CEC" w:rsidRPr="0012344B">
        <w:rPr>
          <w:rFonts w:asciiTheme="majorHAnsi" w:eastAsia="Arial Unicode MS" w:hAnsiTheme="majorHAnsi" w:cs="Times New Roman"/>
          <w:color w:val="auto"/>
          <w:sz w:val="20"/>
          <w:szCs w:val="20"/>
          <w:lang w:val="es-ES_tradnl" w:eastAsia="en-US"/>
        </w:rPr>
        <w:t>y</w:t>
      </w:r>
      <w:r w:rsidR="00F048DA">
        <w:rPr>
          <w:rFonts w:asciiTheme="majorHAnsi" w:eastAsia="Arial Unicode MS" w:hAnsiTheme="majorHAnsi" w:cs="Times New Roman"/>
          <w:color w:val="auto"/>
          <w:sz w:val="20"/>
          <w:szCs w:val="20"/>
          <w:lang w:val="es-ES_tradnl" w:eastAsia="en-US"/>
        </w:rPr>
        <w:t>;</w:t>
      </w:r>
    </w:p>
    <w:p w14:paraId="4BFF7201" w14:textId="4C91BF7A" w:rsidR="00F048DA" w:rsidRPr="0000407E" w:rsidRDefault="004A6A54" w:rsidP="00F048D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2344B">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2ED86F6F" w14:textId="18B6E6BB" w:rsidR="00F048DA" w:rsidRPr="0000407E" w:rsidRDefault="00851BC5" w:rsidP="0000407E">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w:t>
      </w:r>
      <w:r w:rsidRPr="00A60470">
        <w:rPr>
          <w:rStyle w:val="normaltextrun"/>
          <w:rFonts w:ascii="Cambria" w:hAnsi="Cambria" w:cs="Segoe UI"/>
          <w:sz w:val="20"/>
          <w:szCs w:val="20"/>
          <w:lang w:val="es-CL"/>
        </w:rPr>
        <w:t>s 14 días del mes de julio de 2025.  (Firmado): José Luis Caballero Ochoa, Presidente; Andrea Pochak, Primera Vicepresidenta; Edgar Stuardo Ralón Orellana</w:t>
      </w:r>
      <w:r w:rsidR="00A60470" w:rsidRPr="00A60470">
        <w:rPr>
          <w:rStyle w:val="normaltextrun"/>
          <w:rFonts w:ascii="Cambria" w:hAnsi="Cambria" w:cs="Segoe UI"/>
          <w:sz w:val="20"/>
          <w:szCs w:val="20"/>
          <w:lang w:val="es-CL"/>
        </w:rPr>
        <w:t xml:space="preserve"> y</w:t>
      </w:r>
      <w:r w:rsidRPr="00A60470">
        <w:rPr>
          <w:rStyle w:val="normaltextrun"/>
          <w:rFonts w:ascii="Cambria" w:hAnsi="Cambria" w:cs="Segoe UI"/>
          <w:sz w:val="20"/>
          <w:szCs w:val="20"/>
          <w:lang w:val="es-CL"/>
        </w:rPr>
        <w:t xml:space="preserve"> Carlos Bernal Pulido, </w:t>
      </w:r>
      <w:r w:rsidR="00F17DCB">
        <w:rPr>
          <w:rStyle w:val="normaltextrun"/>
          <w:rFonts w:ascii="Cambria" w:hAnsi="Cambria" w:cs="Segoe UI"/>
          <w:sz w:val="20"/>
          <w:szCs w:val="20"/>
          <w:lang w:val="es-CL"/>
        </w:rPr>
        <w:t>m</w:t>
      </w:r>
      <w:r w:rsidRPr="00A60470">
        <w:rPr>
          <w:rStyle w:val="normaltextrun"/>
          <w:rFonts w:ascii="Cambria" w:hAnsi="Cambria" w:cs="Segoe UI"/>
          <w:sz w:val="20"/>
          <w:szCs w:val="20"/>
          <w:lang w:val="es-CL"/>
        </w:rPr>
        <w:t>iembros de la Comisión.</w:t>
      </w:r>
    </w:p>
    <w:sectPr w:rsidR="00F048DA" w:rsidRPr="0000407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C23D0" w14:textId="77777777" w:rsidR="00B47C65" w:rsidRDefault="00B47C65">
      <w:r>
        <w:separator/>
      </w:r>
    </w:p>
  </w:endnote>
  <w:endnote w:type="continuationSeparator" w:id="0">
    <w:p w14:paraId="4CFBFA23" w14:textId="77777777" w:rsidR="00B47C65" w:rsidRDefault="00B4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254E2" w14:textId="77777777" w:rsidR="00B47C65" w:rsidRPr="000F35ED" w:rsidRDefault="00B47C6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F26404A" w14:textId="77777777" w:rsidR="00B47C65" w:rsidRPr="000F35ED" w:rsidRDefault="00B47C65" w:rsidP="000F35ED">
      <w:pPr>
        <w:rPr>
          <w:rFonts w:asciiTheme="majorHAnsi" w:hAnsiTheme="majorHAnsi"/>
          <w:sz w:val="16"/>
          <w:szCs w:val="16"/>
        </w:rPr>
      </w:pPr>
      <w:r w:rsidRPr="000F35ED">
        <w:rPr>
          <w:rFonts w:asciiTheme="majorHAnsi" w:hAnsiTheme="majorHAnsi"/>
          <w:sz w:val="16"/>
          <w:szCs w:val="16"/>
        </w:rPr>
        <w:separator/>
      </w:r>
    </w:p>
    <w:p w14:paraId="797D6099" w14:textId="77777777" w:rsidR="00B47C65" w:rsidRPr="000F35ED" w:rsidRDefault="00B47C6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EE77314" w14:textId="77777777" w:rsidR="00B47C65" w:rsidRPr="000F35ED" w:rsidRDefault="00B47C6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A4DC692" w14:textId="77777777" w:rsidR="001B5369" w:rsidRPr="0091377C" w:rsidRDefault="001B5369" w:rsidP="001B5369">
      <w:pPr>
        <w:pStyle w:val="FootnoteText"/>
        <w:ind w:firstLine="720"/>
        <w:jc w:val="both"/>
        <w:rPr>
          <w:rFonts w:asciiTheme="majorHAnsi" w:hAnsiTheme="majorHAnsi"/>
          <w:sz w:val="16"/>
          <w:szCs w:val="16"/>
          <w:lang w:val="es-US"/>
        </w:rPr>
      </w:pPr>
      <w:r w:rsidRPr="008B453D">
        <w:rPr>
          <w:rStyle w:val="FootnoteReference"/>
          <w:rFonts w:asciiTheme="majorHAnsi" w:hAnsiTheme="majorHAnsi"/>
          <w:sz w:val="16"/>
          <w:szCs w:val="16"/>
        </w:rPr>
        <w:footnoteRef/>
      </w:r>
      <w:r w:rsidRPr="008B453D">
        <w:rPr>
          <w:rFonts w:asciiTheme="majorHAnsi" w:hAnsiTheme="majorHAnsi"/>
          <w:sz w:val="16"/>
          <w:szCs w:val="16"/>
          <w:lang w:val="es-US"/>
        </w:rPr>
        <w:t xml:space="preserve"> En adelante, “la Convención Americana” o </w:t>
      </w:r>
      <w:r w:rsidRPr="0091377C">
        <w:rPr>
          <w:rFonts w:asciiTheme="majorHAnsi" w:hAnsiTheme="majorHAnsi"/>
          <w:sz w:val="16"/>
          <w:szCs w:val="16"/>
          <w:lang w:val="es-US"/>
        </w:rPr>
        <w:t>“la Convención”.</w:t>
      </w:r>
    </w:p>
  </w:footnote>
  <w:footnote w:id="3">
    <w:p w14:paraId="36AA7F85" w14:textId="77777777" w:rsidR="0091377C" w:rsidRPr="0091377C" w:rsidRDefault="0091377C" w:rsidP="0091377C">
      <w:pPr>
        <w:pStyle w:val="FootnoteText"/>
        <w:ind w:firstLine="720"/>
        <w:rPr>
          <w:lang w:val="es-PE"/>
        </w:rPr>
      </w:pPr>
      <w:r w:rsidRPr="0091377C">
        <w:rPr>
          <w:rStyle w:val="FootnoteReference"/>
          <w:rFonts w:asciiTheme="majorHAnsi" w:hAnsiTheme="majorHAnsi"/>
          <w:sz w:val="16"/>
          <w:szCs w:val="16"/>
        </w:rPr>
        <w:footnoteRef/>
      </w:r>
      <w:r w:rsidRPr="0091377C">
        <w:rPr>
          <w:rFonts w:asciiTheme="majorHAnsi" w:hAnsiTheme="majorHAnsi"/>
          <w:sz w:val="16"/>
          <w:szCs w:val="16"/>
          <w:lang w:val="es-PE"/>
        </w:rPr>
        <w:t xml:space="preserve"> En adelante, “el Protocolo de San Salvador”.</w:t>
      </w:r>
    </w:p>
  </w:footnote>
  <w:footnote w:id="4">
    <w:p w14:paraId="4122C9A9" w14:textId="7B00E7F9" w:rsidR="0091377C" w:rsidRPr="0091377C" w:rsidRDefault="0091377C" w:rsidP="0091377C">
      <w:pPr>
        <w:pStyle w:val="FootnoteText"/>
        <w:ind w:firstLine="720"/>
        <w:rPr>
          <w:lang w:val="es-PE"/>
        </w:rPr>
      </w:pPr>
      <w:r w:rsidRPr="0091377C">
        <w:rPr>
          <w:rStyle w:val="FootnoteReference"/>
          <w:rFonts w:asciiTheme="majorHAnsi" w:hAnsiTheme="majorHAnsi"/>
          <w:sz w:val="16"/>
          <w:szCs w:val="16"/>
        </w:rPr>
        <w:footnoteRef/>
      </w:r>
      <w:r w:rsidRPr="0091377C">
        <w:rPr>
          <w:rFonts w:asciiTheme="majorHAnsi" w:hAnsiTheme="majorHAnsi"/>
          <w:sz w:val="16"/>
          <w:szCs w:val="16"/>
          <w:lang w:val="es-PE"/>
        </w:rPr>
        <w:t xml:space="preserve"> En adelante, “</w:t>
      </w:r>
      <w:r>
        <w:rPr>
          <w:rFonts w:asciiTheme="majorHAnsi" w:hAnsiTheme="majorHAnsi"/>
          <w:sz w:val="16"/>
          <w:szCs w:val="16"/>
          <w:lang w:val="es-PE"/>
        </w:rPr>
        <w:t>la Declaración Americana” o “la Declaración</w:t>
      </w:r>
      <w:r w:rsidRPr="0091377C">
        <w:rPr>
          <w:rFonts w:asciiTheme="majorHAnsi" w:hAnsiTheme="majorHAnsi"/>
          <w:sz w:val="16"/>
          <w:szCs w:val="16"/>
          <w:lang w:val="es-PE"/>
        </w:rPr>
        <w:t>”.</w:t>
      </w:r>
    </w:p>
  </w:footnote>
  <w:footnote w:id="5">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6">
    <w:p w14:paraId="4F006A4D" w14:textId="77777777" w:rsidR="00206C7B" w:rsidRPr="003D7C10" w:rsidRDefault="00206C7B" w:rsidP="00206C7B">
      <w:pPr>
        <w:pStyle w:val="FootnoteText"/>
        <w:ind w:firstLine="720"/>
        <w:jc w:val="both"/>
        <w:rPr>
          <w:rFonts w:asciiTheme="majorHAnsi" w:hAnsiTheme="majorHAnsi" w:cstheme="minorHAnsi"/>
          <w:sz w:val="16"/>
          <w:szCs w:val="16"/>
          <w:lang w:val="es-ES"/>
        </w:rPr>
      </w:pPr>
      <w:r w:rsidRPr="003D7C10">
        <w:rPr>
          <w:rStyle w:val="FootnoteReference"/>
          <w:rFonts w:asciiTheme="majorHAnsi" w:hAnsiTheme="majorHAnsi" w:cstheme="minorHAnsi"/>
          <w:sz w:val="16"/>
          <w:szCs w:val="16"/>
        </w:rPr>
        <w:footnoteRef/>
      </w:r>
      <w:r w:rsidRPr="003D7C10">
        <w:rPr>
          <w:rFonts w:asciiTheme="majorHAnsi" w:hAnsiTheme="majorHAnsi" w:cstheme="minorHAnsi"/>
          <w:sz w:val="16"/>
          <w:szCs w:val="16"/>
          <w:lang w:val="es-PE"/>
        </w:rPr>
        <w:t xml:space="preserve"> CIDH, Informe No. 70/04, Petición 667/01, Admisibilidad, Jesús Manuel Naranjo Cárdenas y otros, Jubilados de la empresa venezolana de aviación VIASA</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Venezuela, 15 de octubre de 2004, párr. 52.  </w:t>
      </w:r>
    </w:p>
  </w:footnote>
  <w:footnote w:id="7">
    <w:p w14:paraId="37C6E065" w14:textId="6A5C18C0" w:rsidR="007D604F" w:rsidRPr="007D604F" w:rsidRDefault="007D604F" w:rsidP="00337EFE">
      <w:pPr>
        <w:pStyle w:val="FootnoteText"/>
        <w:ind w:firstLine="720"/>
        <w:jc w:val="both"/>
        <w:rPr>
          <w:rFonts w:asciiTheme="majorHAnsi" w:hAnsiTheme="majorHAnsi"/>
          <w:sz w:val="16"/>
          <w:szCs w:val="16"/>
          <w:lang w:val="es-PE"/>
        </w:rPr>
      </w:pPr>
      <w:r w:rsidRPr="007D604F">
        <w:rPr>
          <w:rStyle w:val="FootnoteReference"/>
          <w:rFonts w:asciiTheme="majorHAnsi" w:hAnsiTheme="majorHAnsi"/>
          <w:sz w:val="16"/>
          <w:szCs w:val="16"/>
        </w:rPr>
        <w:footnoteRef/>
      </w:r>
      <w:r w:rsidRPr="007D604F">
        <w:rPr>
          <w:rFonts w:asciiTheme="majorHAnsi" w:hAnsiTheme="majorHAnsi"/>
          <w:sz w:val="16"/>
          <w:szCs w:val="16"/>
          <w:lang w:val="es-PE"/>
        </w:rPr>
        <w:t xml:space="preserve"> </w:t>
      </w:r>
      <w:r w:rsidR="00337EFE" w:rsidRPr="00337EFE">
        <w:rPr>
          <w:rFonts w:asciiTheme="majorHAnsi" w:hAnsiTheme="majorHAnsi"/>
          <w:sz w:val="16"/>
          <w:szCs w:val="16"/>
          <w:lang w:val="es-PE"/>
        </w:rPr>
        <w:t>CIDH, Informe No. 135/24</w:t>
      </w:r>
      <w:r w:rsidR="00205A39">
        <w:rPr>
          <w:rFonts w:asciiTheme="majorHAnsi" w:hAnsiTheme="majorHAnsi"/>
          <w:sz w:val="16"/>
          <w:szCs w:val="16"/>
          <w:lang w:val="es-PE"/>
        </w:rPr>
        <w:t>,</w:t>
      </w:r>
      <w:r w:rsidR="00337EFE" w:rsidRPr="00337EFE">
        <w:rPr>
          <w:rFonts w:asciiTheme="majorHAnsi" w:hAnsiTheme="majorHAnsi"/>
          <w:sz w:val="16"/>
          <w:szCs w:val="16"/>
          <w:lang w:val="es-PE"/>
        </w:rPr>
        <w:t xml:space="preserve"> Petici</w:t>
      </w:r>
      <w:r w:rsidR="00205A39">
        <w:rPr>
          <w:rFonts w:asciiTheme="majorHAnsi" w:hAnsiTheme="majorHAnsi"/>
          <w:sz w:val="16"/>
          <w:szCs w:val="16"/>
          <w:lang w:val="es-PE"/>
        </w:rPr>
        <w:t>ones</w:t>
      </w:r>
      <w:r w:rsidR="00337EFE" w:rsidRPr="00337EFE">
        <w:rPr>
          <w:rFonts w:asciiTheme="majorHAnsi" w:hAnsiTheme="majorHAnsi"/>
          <w:sz w:val="16"/>
          <w:szCs w:val="16"/>
          <w:lang w:val="es-PE"/>
        </w:rPr>
        <w:t xml:space="preserve"> 2287-16, 2287-16, 2722-18, 2774-18, 76-19, 1124-19, 1217-19, 1228-19, 1278-19, 1279-19, 1428-19, 1563-19, 1677-19, 1736-19, 2284-19, 2625-19 y 3126-19</w:t>
      </w:r>
      <w:r w:rsidR="00280019">
        <w:rPr>
          <w:rFonts w:asciiTheme="majorHAnsi" w:hAnsiTheme="majorHAnsi"/>
          <w:sz w:val="16"/>
          <w:szCs w:val="16"/>
          <w:lang w:val="es-PE"/>
        </w:rPr>
        <w:t>,</w:t>
      </w:r>
      <w:r w:rsidR="00337EFE" w:rsidRPr="00337EFE">
        <w:rPr>
          <w:rFonts w:asciiTheme="majorHAnsi" w:hAnsiTheme="majorHAnsi"/>
          <w:sz w:val="16"/>
          <w:szCs w:val="16"/>
          <w:lang w:val="es-PE"/>
        </w:rPr>
        <w:t xml:space="preserve"> </w:t>
      </w:r>
      <w:r w:rsidR="00337EFE" w:rsidRPr="00D61967">
        <w:rPr>
          <w:rFonts w:asciiTheme="majorHAnsi" w:hAnsiTheme="majorHAnsi"/>
          <w:sz w:val="16"/>
          <w:szCs w:val="16"/>
          <w:lang w:val="es-ES"/>
        </w:rPr>
        <w:t>Admisibilidad</w:t>
      </w:r>
      <w:r w:rsidR="00205A39">
        <w:rPr>
          <w:rFonts w:asciiTheme="majorHAnsi" w:hAnsiTheme="majorHAnsi"/>
          <w:sz w:val="16"/>
          <w:szCs w:val="16"/>
          <w:lang w:val="es-ES"/>
        </w:rPr>
        <w:t>,</w:t>
      </w:r>
      <w:r w:rsidR="00337EFE" w:rsidRPr="00D61967">
        <w:rPr>
          <w:rFonts w:asciiTheme="majorHAnsi" w:hAnsiTheme="majorHAnsi"/>
          <w:sz w:val="16"/>
          <w:szCs w:val="16"/>
          <w:lang w:val="es-ES"/>
        </w:rPr>
        <w:t xml:space="preserve"> Gonzalo Varnoux y otros</w:t>
      </w:r>
      <w:r w:rsidR="00205A39">
        <w:rPr>
          <w:rFonts w:asciiTheme="majorHAnsi" w:hAnsiTheme="majorHAnsi"/>
          <w:sz w:val="16"/>
          <w:szCs w:val="16"/>
          <w:lang w:val="es-ES"/>
        </w:rPr>
        <w:t>,</w:t>
      </w:r>
      <w:r w:rsidR="00337EFE" w:rsidRPr="00D61967">
        <w:rPr>
          <w:rFonts w:asciiTheme="majorHAnsi" w:hAnsiTheme="majorHAnsi"/>
          <w:sz w:val="16"/>
          <w:szCs w:val="16"/>
          <w:lang w:val="es-ES"/>
        </w:rPr>
        <w:t xml:space="preserve"> Bolivia</w:t>
      </w:r>
      <w:r w:rsidR="00205A39">
        <w:rPr>
          <w:rFonts w:asciiTheme="majorHAnsi" w:hAnsiTheme="majorHAnsi"/>
          <w:sz w:val="16"/>
          <w:szCs w:val="16"/>
          <w:lang w:val="es-ES"/>
        </w:rPr>
        <w:t>,</w:t>
      </w:r>
      <w:r w:rsidR="00337EFE" w:rsidRPr="00D61967">
        <w:rPr>
          <w:rFonts w:asciiTheme="majorHAnsi" w:hAnsiTheme="majorHAnsi"/>
          <w:sz w:val="16"/>
          <w:szCs w:val="16"/>
          <w:lang w:val="es-ES"/>
        </w:rPr>
        <w:t xml:space="preserve"> 3 de septiembre de 2024.</w:t>
      </w:r>
    </w:p>
  </w:footnote>
  <w:footnote w:id="8">
    <w:p w14:paraId="0E407AA9" w14:textId="77777777" w:rsidR="00697177" w:rsidRPr="003D7C10" w:rsidRDefault="00697177" w:rsidP="00697177">
      <w:pPr>
        <w:pStyle w:val="FootnoteText"/>
        <w:ind w:firstLine="720"/>
        <w:jc w:val="both"/>
        <w:rPr>
          <w:rFonts w:asciiTheme="majorHAnsi" w:hAnsiTheme="majorHAnsi" w:cstheme="minorHAnsi"/>
          <w:sz w:val="16"/>
          <w:szCs w:val="16"/>
          <w:lang w:val="es-ES"/>
        </w:rPr>
      </w:pPr>
      <w:r w:rsidRPr="003D7C10">
        <w:rPr>
          <w:rStyle w:val="FootnoteReference"/>
          <w:rFonts w:asciiTheme="majorHAnsi" w:hAnsiTheme="majorHAnsi" w:cstheme="minorHAnsi"/>
          <w:sz w:val="16"/>
          <w:szCs w:val="16"/>
        </w:rPr>
        <w:footnoteRef/>
      </w:r>
      <w:r w:rsidRPr="003D7C10">
        <w:rPr>
          <w:rFonts w:asciiTheme="majorHAnsi" w:hAnsiTheme="majorHAnsi" w:cstheme="minorHAnsi"/>
          <w:sz w:val="16"/>
          <w:szCs w:val="16"/>
          <w:lang w:val="es-PE"/>
        </w:rPr>
        <w:t xml:space="preserve"> CIDH</w:t>
      </w:r>
      <w:r>
        <w:rPr>
          <w:rFonts w:asciiTheme="majorHAnsi" w:hAnsiTheme="majorHAnsi" w:cstheme="minorHAnsi"/>
          <w:sz w:val="16"/>
          <w:szCs w:val="16"/>
          <w:lang w:val="es-PE"/>
        </w:rPr>
        <w:t xml:space="preserve">, </w:t>
      </w:r>
      <w:r w:rsidRPr="0033385B">
        <w:rPr>
          <w:rFonts w:asciiTheme="majorHAnsi" w:hAnsiTheme="majorHAnsi" w:cstheme="minorHAnsi"/>
          <w:i/>
          <w:iCs/>
          <w:sz w:val="16"/>
          <w:szCs w:val="16"/>
          <w:lang w:val="es-PE"/>
        </w:rPr>
        <w:t>Garantías para la Independencia de las y los Operadores de Justicia. Hacia el Fortalecimiento del Acceso a la Justicia y el Estado de Derecho en las Américas</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5 de diciembre de 2013</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w:t>
      </w:r>
      <w:r>
        <w:rPr>
          <w:rFonts w:asciiTheme="majorHAnsi" w:hAnsiTheme="majorHAnsi" w:cstheme="minorHAnsi"/>
          <w:sz w:val="16"/>
          <w:szCs w:val="16"/>
          <w:lang w:val="es-ES"/>
        </w:rPr>
        <w:t>p</w:t>
      </w:r>
      <w:r w:rsidRPr="003D7C10">
        <w:rPr>
          <w:rFonts w:asciiTheme="majorHAnsi" w:hAnsiTheme="majorHAnsi" w:cstheme="minorHAnsi"/>
          <w:sz w:val="16"/>
          <w:szCs w:val="16"/>
          <w:lang w:val="es-ES"/>
        </w:rPr>
        <w:t xml:space="preserve">árr. 93. </w:t>
      </w:r>
    </w:p>
  </w:footnote>
  <w:footnote w:id="9">
    <w:p w14:paraId="5AAE5832" w14:textId="02125A5E" w:rsidR="00697177" w:rsidRPr="003D7C10" w:rsidRDefault="00697177" w:rsidP="00697177">
      <w:pPr>
        <w:pStyle w:val="FootnoteText"/>
        <w:ind w:firstLine="720"/>
        <w:jc w:val="both"/>
        <w:rPr>
          <w:rFonts w:asciiTheme="majorHAnsi" w:hAnsiTheme="majorHAnsi" w:cstheme="minorHAnsi"/>
          <w:sz w:val="16"/>
          <w:szCs w:val="16"/>
          <w:lang w:val="es-ES"/>
        </w:rPr>
      </w:pPr>
      <w:r w:rsidRPr="003D7C10">
        <w:rPr>
          <w:rStyle w:val="FootnoteReference"/>
          <w:rFonts w:asciiTheme="majorHAnsi" w:hAnsiTheme="majorHAnsi" w:cstheme="minorHAnsi"/>
          <w:sz w:val="16"/>
          <w:szCs w:val="16"/>
        </w:rPr>
        <w:footnoteRef/>
      </w:r>
      <w:r w:rsidRPr="00697177">
        <w:rPr>
          <w:rFonts w:asciiTheme="majorHAnsi" w:hAnsiTheme="majorHAnsi" w:cstheme="minorHAnsi"/>
          <w:sz w:val="16"/>
          <w:szCs w:val="16"/>
          <w:lang w:val="es-PE"/>
        </w:rPr>
        <w:t xml:space="preserve"> Corte IDH, </w:t>
      </w:r>
      <w:r w:rsidRPr="00697177">
        <w:rPr>
          <w:rFonts w:asciiTheme="majorHAnsi" w:hAnsiTheme="majorHAnsi" w:cstheme="minorHAnsi"/>
          <w:i/>
          <w:iCs/>
          <w:sz w:val="16"/>
          <w:szCs w:val="16"/>
          <w:lang w:val="es-PE"/>
        </w:rPr>
        <w:t xml:space="preserve">Caso Martínez Esquivia Vs. </w:t>
      </w:r>
      <w:r w:rsidRPr="0033385B">
        <w:rPr>
          <w:rFonts w:asciiTheme="majorHAnsi" w:hAnsiTheme="majorHAnsi" w:cstheme="minorHAnsi"/>
          <w:i/>
          <w:iCs/>
          <w:sz w:val="16"/>
          <w:szCs w:val="16"/>
          <w:lang w:val="es-PE"/>
        </w:rPr>
        <w:t>Colombia</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Excepciones preliminares, Fondo y Reparaciones</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Sentencia de 6 de octubre de 2020</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Serie C No. 412, párr. 97; y </w:t>
      </w:r>
      <w:r w:rsidRPr="003D7C10">
        <w:rPr>
          <w:rFonts w:asciiTheme="majorHAnsi" w:hAnsiTheme="majorHAnsi" w:cstheme="minorHAnsi"/>
          <w:i/>
          <w:iCs/>
          <w:sz w:val="16"/>
          <w:szCs w:val="16"/>
          <w:lang w:val="es-PE"/>
        </w:rPr>
        <w:t>Caso Casa Nina Vs. Perú</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Excepciones Preliminares, Fondo, Reparaciones y Costas</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Sentencia de 24 de noviembre de 2020</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Serie C No. 419, párr. 81</w:t>
      </w:r>
      <w:r w:rsidR="00205A39">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w:t>
      </w:r>
    </w:p>
  </w:footnote>
  <w:footnote w:id="10">
    <w:p w14:paraId="6D7A55D8" w14:textId="77777777" w:rsidR="00697177" w:rsidRPr="003D7C10" w:rsidRDefault="00697177" w:rsidP="00697177">
      <w:pPr>
        <w:pStyle w:val="FootnoteText"/>
        <w:ind w:firstLine="720"/>
        <w:jc w:val="both"/>
        <w:rPr>
          <w:rFonts w:asciiTheme="majorHAnsi" w:hAnsiTheme="majorHAnsi" w:cstheme="minorHAnsi"/>
          <w:sz w:val="16"/>
          <w:szCs w:val="16"/>
          <w:lang w:val="es-ES"/>
        </w:rPr>
      </w:pPr>
      <w:r w:rsidRPr="003D7C10">
        <w:rPr>
          <w:rStyle w:val="FootnoteReference"/>
          <w:rFonts w:asciiTheme="majorHAnsi" w:hAnsiTheme="majorHAnsi" w:cstheme="minorHAnsi"/>
          <w:sz w:val="16"/>
          <w:szCs w:val="16"/>
        </w:rPr>
        <w:footnoteRef/>
      </w:r>
      <w:r w:rsidRPr="00A56058">
        <w:rPr>
          <w:rFonts w:asciiTheme="majorHAnsi" w:hAnsiTheme="majorHAnsi" w:cstheme="minorHAnsi"/>
          <w:sz w:val="16"/>
          <w:szCs w:val="16"/>
          <w:lang w:val="pt-PT"/>
        </w:rPr>
        <w:t xml:space="preserve"> Corte IDH, </w:t>
      </w:r>
      <w:r w:rsidRPr="00A56058">
        <w:rPr>
          <w:rFonts w:asciiTheme="majorHAnsi" w:hAnsiTheme="majorHAnsi" w:cstheme="minorHAnsi"/>
          <w:i/>
          <w:iCs/>
          <w:sz w:val="16"/>
          <w:szCs w:val="16"/>
          <w:lang w:val="pt-PT"/>
        </w:rPr>
        <w:t xml:space="preserve">Caso Casa Nina Vs. </w:t>
      </w:r>
      <w:r w:rsidRPr="003D7C10">
        <w:rPr>
          <w:rFonts w:asciiTheme="majorHAnsi" w:hAnsiTheme="majorHAnsi" w:cstheme="minorHAnsi"/>
          <w:i/>
          <w:iCs/>
          <w:sz w:val="16"/>
          <w:szCs w:val="16"/>
          <w:lang w:val="es-PE"/>
        </w:rPr>
        <w:t>Perú</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Excepciones Preliminares, Fondo, Reparaciones y Costas</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Sentencia de 24 de noviembre de 2020</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Serie C No. 419, párr. 81.  </w:t>
      </w:r>
    </w:p>
  </w:footnote>
  <w:footnote w:id="11">
    <w:p w14:paraId="093C3DF4" w14:textId="77777777" w:rsidR="00697177" w:rsidRPr="003D7C10" w:rsidRDefault="00697177" w:rsidP="00697177">
      <w:pPr>
        <w:pStyle w:val="FootnoteText"/>
        <w:ind w:firstLine="720"/>
        <w:jc w:val="both"/>
        <w:rPr>
          <w:rFonts w:asciiTheme="majorHAnsi" w:hAnsiTheme="majorHAnsi" w:cstheme="minorHAnsi"/>
          <w:sz w:val="16"/>
          <w:szCs w:val="16"/>
          <w:lang w:val="es-ES"/>
        </w:rPr>
      </w:pPr>
      <w:r w:rsidRPr="003D7C10">
        <w:rPr>
          <w:rStyle w:val="FootnoteReference"/>
          <w:rFonts w:asciiTheme="majorHAnsi" w:hAnsiTheme="majorHAnsi" w:cstheme="minorHAnsi"/>
          <w:sz w:val="16"/>
          <w:szCs w:val="16"/>
        </w:rPr>
        <w:footnoteRef/>
      </w:r>
      <w:r w:rsidRPr="003D7C10">
        <w:rPr>
          <w:rFonts w:asciiTheme="majorHAnsi" w:hAnsiTheme="majorHAnsi" w:cstheme="minorHAnsi"/>
          <w:sz w:val="16"/>
          <w:szCs w:val="16"/>
          <w:lang w:val="es-PE"/>
        </w:rPr>
        <w:t xml:space="preserve"> Corte IDH</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w:t>
      </w:r>
      <w:r w:rsidRPr="0033385B">
        <w:rPr>
          <w:rFonts w:asciiTheme="majorHAnsi" w:hAnsiTheme="majorHAnsi" w:cstheme="minorHAnsi"/>
          <w:i/>
          <w:iCs/>
          <w:sz w:val="16"/>
          <w:szCs w:val="16"/>
          <w:lang w:val="es-PE"/>
        </w:rPr>
        <w:t>Caso Apitz Barbera y otros (“Corte Primera de lo Contencioso Administrativo”) Vs. Venezuela</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Excepción Preliminar, Fondo, Reparaciones y Costas</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Sentencia de 5 de agosto de 2008</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Serie C No. 182, párr. 43. En sentido similar</w:t>
      </w:r>
      <w:r>
        <w:rPr>
          <w:rFonts w:asciiTheme="majorHAnsi" w:hAnsiTheme="majorHAnsi" w:cstheme="minorHAnsi"/>
          <w:sz w:val="16"/>
          <w:szCs w:val="16"/>
          <w:lang w:val="es-PE"/>
        </w:rPr>
        <w:t>: Corte IDH,</w:t>
      </w:r>
      <w:r w:rsidRPr="003D7C10">
        <w:rPr>
          <w:rFonts w:asciiTheme="majorHAnsi" w:hAnsiTheme="majorHAnsi" w:cstheme="minorHAnsi"/>
          <w:sz w:val="16"/>
          <w:szCs w:val="16"/>
          <w:lang w:val="es-PE"/>
        </w:rPr>
        <w:t xml:space="preserve"> </w:t>
      </w:r>
      <w:r w:rsidRPr="0033385B">
        <w:rPr>
          <w:rFonts w:asciiTheme="majorHAnsi" w:hAnsiTheme="majorHAnsi" w:cstheme="minorHAnsi"/>
          <w:i/>
          <w:iCs/>
          <w:sz w:val="16"/>
          <w:szCs w:val="16"/>
          <w:lang w:val="es-PE"/>
        </w:rPr>
        <w:t>Caso Chocrón Chocrón Vs. Venezuela</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Excepción Preliminar, Fondo, Reparaciones y Costas</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Sentencia de 1 de julio de 2011</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Serie C No. 227, párr. 107</w:t>
      </w:r>
      <w:r>
        <w:rPr>
          <w:rFonts w:asciiTheme="majorHAnsi" w:hAnsiTheme="majorHAnsi" w:cstheme="minorHAnsi"/>
          <w:sz w:val="16"/>
          <w:szCs w:val="16"/>
          <w:lang w:val="es-PE"/>
        </w:rPr>
        <w:t>.</w:t>
      </w:r>
    </w:p>
  </w:footnote>
  <w:footnote w:id="12">
    <w:p w14:paraId="1AA850C8" w14:textId="77777777" w:rsidR="004F3138" w:rsidRPr="007D21D7" w:rsidRDefault="004F3138" w:rsidP="004F3138">
      <w:pPr>
        <w:pStyle w:val="FootnoteText"/>
        <w:ind w:firstLine="720"/>
        <w:jc w:val="both"/>
        <w:rPr>
          <w:rFonts w:asciiTheme="minorHAnsi" w:hAnsiTheme="minorHAnsi" w:cstheme="minorHAnsi"/>
          <w:sz w:val="16"/>
          <w:szCs w:val="16"/>
          <w:lang w:val="es-ES"/>
        </w:rPr>
      </w:pPr>
      <w:r w:rsidRPr="003D7C10">
        <w:rPr>
          <w:rStyle w:val="FootnoteReference"/>
          <w:rFonts w:asciiTheme="majorHAnsi" w:hAnsiTheme="majorHAnsi" w:cstheme="minorHAnsi"/>
          <w:sz w:val="16"/>
          <w:szCs w:val="16"/>
        </w:rPr>
        <w:footnoteRef/>
      </w:r>
      <w:r w:rsidRPr="003D7C10">
        <w:rPr>
          <w:rFonts w:asciiTheme="majorHAnsi" w:hAnsiTheme="majorHAnsi" w:cstheme="minorHAnsi"/>
          <w:sz w:val="16"/>
          <w:szCs w:val="16"/>
          <w:lang w:val="es-PE"/>
        </w:rPr>
        <w:t xml:space="preserve"> CIDH, Informe No. 180/18</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Petición 1616-07</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Admisibilidad. A.G.A. y familiares</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w:t>
      </w:r>
      <w:r w:rsidRPr="00302D54">
        <w:rPr>
          <w:rFonts w:asciiTheme="majorHAnsi" w:hAnsiTheme="majorHAnsi" w:cstheme="minorHAnsi"/>
          <w:sz w:val="16"/>
          <w:szCs w:val="16"/>
          <w:lang w:val="es-PE"/>
        </w:rPr>
        <w:t>Colombia, 26 de diciembre de 2018, párr.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7A2222"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DF9E4F08"/>
    <w:lvl w:ilvl="0" w:tplc="71DA4D60">
      <w:start w:val="1"/>
      <w:numFmt w:val="decimal"/>
      <w:lvlText w:val="%1."/>
      <w:lvlJc w:val="left"/>
      <w:pPr>
        <w:tabs>
          <w:tab w:val="num" w:pos="720"/>
        </w:tabs>
        <w:ind w:left="0" w:firstLine="720"/>
      </w:pPr>
      <w:rPr>
        <w:rFonts w:hint="default"/>
        <w:b w:val="0"/>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AA11502"/>
    <w:multiLevelType w:val="hybridMultilevel"/>
    <w:tmpl w:val="B538A3C2"/>
    <w:lvl w:ilvl="0" w:tplc="ED50A8BA">
      <w:start w:val="1"/>
      <w:numFmt w:val="decimal"/>
      <w:lvlText w:val="%1."/>
      <w:lvlJc w:val="left"/>
      <w:pPr>
        <w:tabs>
          <w:tab w:val="num" w:pos="720"/>
        </w:tabs>
        <w:ind w:left="0" w:firstLine="720"/>
      </w:pPr>
      <w:rPr>
        <w:rFonts w:hint="default"/>
        <w:i w:val="0"/>
        <w:i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4"/>
  </w:num>
  <w:num w:numId="9" w16cid:durableId="1616525600">
    <w:abstractNumId w:val="52"/>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30"/>
  </w:num>
  <w:num w:numId="12" w16cid:durableId="998582662">
    <w:abstractNumId w:val="59"/>
  </w:num>
  <w:num w:numId="13" w16cid:durableId="117527065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20"/>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2"/>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6"/>
  </w:num>
  <w:num w:numId="53" w16cid:durableId="251017014">
    <w:abstractNumId w:val="0"/>
  </w:num>
  <w:num w:numId="54" w16cid:durableId="2134210098">
    <w:abstractNumId w:val="41"/>
  </w:num>
  <w:num w:numId="55" w16cid:durableId="608663301">
    <w:abstractNumId w:val="42"/>
  </w:num>
  <w:num w:numId="56" w16cid:durableId="255601910">
    <w:abstractNumId w:val="48"/>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1"/>
  </w:num>
  <w:num w:numId="69" w16cid:durableId="48573556">
    <w:abstractNumId w:val="22"/>
  </w:num>
  <w:num w:numId="70" w16cid:durableId="1714845553">
    <w:abstractNumId w:val="25"/>
  </w:num>
  <w:num w:numId="71" w16cid:durableId="43258639">
    <w:abstractNumId w:val="26"/>
  </w:num>
  <w:num w:numId="72" w16cid:durableId="1533766946">
    <w:abstractNumId w:val="27"/>
  </w:num>
  <w:num w:numId="73" w16cid:durableId="1375960398">
    <w:abstractNumId w:val="29"/>
  </w:num>
  <w:num w:numId="74" w16cid:durableId="142351334">
    <w:abstractNumId w:val="31"/>
  </w:num>
  <w:num w:numId="75" w16cid:durableId="179467967">
    <w:abstractNumId w:val="33"/>
  </w:num>
  <w:num w:numId="76" w16cid:durableId="1445685242">
    <w:abstractNumId w:val="34"/>
  </w:num>
  <w:num w:numId="77" w16cid:durableId="2049792361">
    <w:abstractNumId w:val="35"/>
  </w:num>
  <w:num w:numId="78" w16cid:durableId="1766075673">
    <w:abstractNumId w:val="36"/>
  </w:num>
  <w:num w:numId="79" w16cid:durableId="1193613694">
    <w:abstractNumId w:val="37"/>
  </w:num>
  <w:num w:numId="80" w16cid:durableId="1731923604">
    <w:abstractNumId w:val="38"/>
  </w:num>
  <w:num w:numId="81" w16cid:durableId="1266036850">
    <w:abstractNumId w:val="39"/>
  </w:num>
  <w:num w:numId="82" w16cid:durableId="1881671385">
    <w:abstractNumId w:val="43"/>
  </w:num>
  <w:num w:numId="83" w16cid:durableId="1301611395">
    <w:abstractNumId w:val="44"/>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3"/>
  </w:num>
  <w:num w:numId="95" w16cid:durableId="1435326325">
    <w:abstractNumId w:val="45"/>
  </w:num>
  <w:num w:numId="96" w16cid:durableId="935866318">
    <w:abstractNumId w:val="57"/>
  </w:num>
  <w:num w:numId="97" w16cid:durableId="2089502159">
    <w:abstractNumId w:val="54"/>
  </w:num>
  <w:num w:numId="98" w16cid:durableId="749347125">
    <w:abstractNumId w:val="49"/>
  </w:num>
  <w:num w:numId="99" w16cid:durableId="456994649">
    <w:abstractNumId w:val="40"/>
  </w:num>
  <w:num w:numId="100" w16cid:durableId="378870339">
    <w:abstractNumId w:val="3"/>
  </w:num>
  <w:num w:numId="101" w16cid:durableId="1289773468">
    <w:abstractNumId w:val="28"/>
  </w:num>
  <w:num w:numId="102" w16cid:durableId="1186287539">
    <w:abstractNumId w:val="51"/>
  </w:num>
  <w:num w:numId="103" w16cid:durableId="1458334191">
    <w:abstractNumId w:val="6"/>
  </w:num>
  <w:num w:numId="104" w16cid:durableId="913318813">
    <w:abstractNumId w:val="66"/>
  </w:num>
  <w:num w:numId="105" w16cid:durableId="589050340">
    <w:abstractNumId w:val="55"/>
  </w:num>
  <w:num w:numId="106" w16cid:durableId="836576904">
    <w:abstractNumId w:val="4"/>
  </w:num>
  <w:num w:numId="107" w16cid:durableId="1173912010">
    <w:abstractNumId w:val="32"/>
  </w:num>
  <w:num w:numId="108" w16cid:durableId="2116440378">
    <w:abstractNumId w:val="14"/>
  </w:num>
  <w:num w:numId="109" w16cid:durableId="1694842942">
    <w:abstractNumId w:val="47"/>
  </w:num>
  <w:num w:numId="110" w16cid:durableId="721095861">
    <w:abstractNumId w:val="1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07E"/>
    <w:rsid w:val="00006E1F"/>
    <w:rsid w:val="000070D7"/>
    <w:rsid w:val="00016B07"/>
    <w:rsid w:val="0001788C"/>
    <w:rsid w:val="000337EF"/>
    <w:rsid w:val="00040C3A"/>
    <w:rsid w:val="000419AD"/>
    <w:rsid w:val="000433C9"/>
    <w:rsid w:val="00060F6E"/>
    <w:rsid w:val="000716C5"/>
    <w:rsid w:val="00075E23"/>
    <w:rsid w:val="0009344A"/>
    <w:rsid w:val="000A1974"/>
    <w:rsid w:val="000A392E"/>
    <w:rsid w:val="000A575F"/>
    <w:rsid w:val="000B062C"/>
    <w:rsid w:val="000C494B"/>
    <w:rsid w:val="000D05CB"/>
    <w:rsid w:val="000D10DB"/>
    <w:rsid w:val="000E4CCB"/>
    <w:rsid w:val="000E5EB5"/>
    <w:rsid w:val="000F35ED"/>
    <w:rsid w:val="0010038A"/>
    <w:rsid w:val="00107131"/>
    <w:rsid w:val="0010736F"/>
    <w:rsid w:val="00113F73"/>
    <w:rsid w:val="00121CC2"/>
    <w:rsid w:val="0012344B"/>
    <w:rsid w:val="00131425"/>
    <w:rsid w:val="00133EE5"/>
    <w:rsid w:val="00136F0B"/>
    <w:rsid w:val="00167A34"/>
    <w:rsid w:val="00190C55"/>
    <w:rsid w:val="0019566B"/>
    <w:rsid w:val="001A7870"/>
    <w:rsid w:val="001B3A00"/>
    <w:rsid w:val="001B5369"/>
    <w:rsid w:val="001C1B41"/>
    <w:rsid w:val="001C2CB1"/>
    <w:rsid w:val="001D65EF"/>
    <w:rsid w:val="001D7945"/>
    <w:rsid w:val="001E49E7"/>
    <w:rsid w:val="001F7201"/>
    <w:rsid w:val="00201569"/>
    <w:rsid w:val="00205A39"/>
    <w:rsid w:val="00206C7B"/>
    <w:rsid w:val="002127E2"/>
    <w:rsid w:val="00217E98"/>
    <w:rsid w:val="00223A29"/>
    <w:rsid w:val="002250A3"/>
    <w:rsid w:val="00235217"/>
    <w:rsid w:val="0024281F"/>
    <w:rsid w:val="00242AE1"/>
    <w:rsid w:val="002469D2"/>
    <w:rsid w:val="00246D1F"/>
    <w:rsid w:val="00247403"/>
    <w:rsid w:val="00247542"/>
    <w:rsid w:val="0026020D"/>
    <w:rsid w:val="00266B61"/>
    <w:rsid w:val="0026712A"/>
    <w:rsid w:val="002704DB"/>
    <w:rsid w:val="00280019"/>
    <w:rsid w:val="00285F7C"/>
    <w:rsid w:val="002A0AAE"/>
    <w:rsid w:val="002A1D75"/>
    <w:rsid w:val="002A1F18"/>
    <w:rsid w:val="002A5820"/>
    <w:rsid w:val="002B4B34"/>
    <w:rsid w:val="002B5A39"/>
    <w:rsid w:val="002C6858"/>
    <w:rsid w:val="002D2B26"/>
    <w:rsid w:val="002D7EA2"/>
    <w:rsid w:val="002E187C"/>
    <w:rsid w:val="002E50C6"/>
    <w:rsid w:val="00302733"/>
    <w:rsid w:val="00314078"/>
    <w:rsid w:val="0031535D"/>
    <w:rsid w:val="00321879"/>
    <w:rsid w:val="003239B8"/>
    <w:rsid w:val="0033169F"/>
    <w:rsid w:val="003354BF"/>
    <w:rsid w:val="00337EFE"/>
    <w:rsid w:val="00344977"/>
    <w:rsid w:val="00346C95"/>
    <w:rsid w:val="00356185"/>
    <w:rsid w:val="00360380"/>
    <w:rsid w:val="0037519E"/>
    <w:rsid w:val="003815EE"/>
    <w:rsid w:val="00382601"/>
    <w:rsid w:val="00386CF0"/>
    <w:rsid w:val="0039173B"/>
    <w:rsid w:val="00394049"/>
    <w:rsid w:val="003A2777"/>
    <w:rsid w:val="003A651E"/>
    <w:rsid w:val="003B1B44"/>
    <w:rsid w:val="003B70FB"/>
    <w:rsid w:val="003C2239"/>
    <w:rsid w:val="003C2468"/>
    <w:rsid w:val="003C3456"/>
    <w:rsid w:val="003C676B"/>
    <w:rsid w:val="003C7610"/>
    <w:rsid w:val="003D1C2C"/>
    <w:rsid w:val="003D3BC2"/>
    <w:rsid w:val="003E6CA1"/>
    <w:rsid w:val="003F1B30"/>
    <w:rsid w:val="00405F9C"/>
    <w:rsid w:val="004065A8"/>
    <w:rsid w:val="004165C2"/>
    <w:rsid w:val="0043354B"/>
    <w:rsid w:val="0043605E"/>
    <w:rsid w:val="004368CD"/>
    <w:rsid w:val="00436B39"/>
    <w:rsid w:val="00441524"/>
    <w:rsid w:val="00441E0D"/>
    <w:rsid w:val="00441ECB"/>
    <w:rsid w:val="00445193"/>
    <w:rsid w:val="00462C1B"/>
    <w:rsid w:val="00467B7E"/>
    <w:rsid w:val="00467E5D"/>
    <w:rsid w:val="00473BB4"/>
    <w:rsid w:val="00477592"/>
    <w:rsid w:val="00482169"/>
    <w:rsid w:val="00486F1C"/>
    <w:rsid w:val="00493601"/>
    <w:rsid w:val="0049419D"/>
    <w:rsid w:val="004A1283"/>
    <w:rsid w:val="004A6A54"/>
    <w:rsid w:val="004B7A66"/>
    <w:rsid w:val="004C20D2"/>
    <w:rsid w:val="004C2312"/>
    <w:rsid w:val="004C4B62"/>
    <w:rsid w:val="004C54C9"/>
    <w:rsid w:val="004C5EAE"/>
    <w:rsid w:val="004D4ABA"/>
    <w:rsid w:val="004D6025"/>
    <w:rsid w:val="004E06BA"/>
    <w:rsid w:val="004E2649"/>
    <w:rsid w:val="004E3FCC"/>
    <w:rsid w:val="004E5EC8"/>
    <w:rsid w:val="004F3138"/>
    <w:rsid w:val="004F594A"/>
    <w:rsid w:val="004F626F"/>
    <w:rsid w:val="00501399"/>
    <w:rsid w:val="00501484"/>
    <w:rsid w:val="0050633D"/>
    <w:rsid w:val="00507BC4"/>
    <w:rsid w:val="005128E4"/>
    <w:rsid w:val="005133DB"/>
    <w:rsid w:val="00514504"/>
    <w:rsid w:val="005245D0"/>
    <w:rsid w:val="0052527A"/>
    <w:rsid w:val="00525560"/>
    <w:rsid w:val="005259EF"/>
    <w:rsid w:val="00526066"/>
    <w:rsid w:val="005261A8"/>
    <w:rsid w:val="005427E4"/>
    <w:rsid w:val="00544C49"/>
    <w:rsid w:val="005516A1"/>
    <w:rsid w:val="005559EF"/>
    <w:rsid w:val="005564B7"/>
    <w:rsid w:val="00563557"/>
    <w:rsid w:val="005701B3"/>
    <w:rsid w:val="0057402A"/>
    <w:rsid w:val="005771D0"/>
    <w:rsid w:val="0059191A"/>
    <w:rsid w:val="005921FF"/>
    <w:rsid w:val="005A24ED"/>
    <w:rsid w:val="005A254F"/>
    <w:rsid w:val="005A2D1D"/>
    <w:rsid w:val="005A3DED"/>
    <w:rsid w:val="005A6D0E"/>
    <w:rsid w:val="005B52B0"/>
    <w:rsid w:val="005B6806"/>
    <w:rsid w:val="005C1053"/>
    <w:rsid w:val="005C4225"/>
    <w:rsid w:val="005D38F9"/>
    <w:rsid w:val="005E6DED"/>
    <w:rsid w:val="005F0DAD"/>
    <w:rsid w:val="005F0F33"/>
    <w:rsid w:val="00600DEB"/>
    <w:rsid w:val="00627C9F"/>
    <w:rsid w:val="006311E9"/>
    <w:rsid w:val="00632354"/>
    <w:rsid w:val="00635421"/>
    <w:rsid w:val="00641FEC"/>
    <w:rsid w:val="00642810"/>
    <w:rsid w:val="00652333"/>
    <w:rsid w:val="00661BEB"/>
    <w:rsid w:val="0066683E"/>
    <w:rsid w:val="00670E3A"/>
    <w:rsid w:val="0068009E"/>
    <w:rsid w:val="00686F43"/>
    <w:rsid w:val="00690B59"/>
    <w:rsid w:val="00692219"/>
    <w:rsid w:val="00696FA9"/>
    <w:rsid w:val="00697177"/>
    <w:rsid w:val="006A05B8"/>
    <w:rsid w:val="006A17D2"/>
    <w:rsid w:val="006A73E6"/>
    <w:rsid w:val="006B2D5C"/>
    <w:rsid w:val="006C4EB1"/>
    <w:rsid w:val="006C57C0"/>
    <w:rsid w:val="006D5B19"/>
    <w:rsid w:val="006E0166"/>
    <w:rsid w:val="006E143D"/>
    <w:rsid w:val="006E2FFB"/>
    <w:rsid w:val="006E7B34"/>
    <w:rsid w:val="0070697F"/>
    <w:rsid w:val="0072199C"/>
    <w:rsid w:val="00722C9F"/>
    <w:rsid w:val="007253B8"/>
    <w:rsid w:val="00735D9C"/>
    <w:rsid w:val="0073741F"/>
    <w:rsid w:val="00737AFB"/>
    <w:rsid w:val="0076643F"/>
    <w:rsid w:val="0076653A"/>
    <w:rsid w:val="00777F63"/>
    <w:rsid w:val="007A2222"/>
    <w:rsid w:val="007A5817"/>
    <w:rsid w:val="007A6E8B"/>
    <w:rsid w:val="007B05C4"/>
    <w:rsid w:val="007B1671"/>
    <w:rsid w:val="007B60E9"/>
    <w:rsid w:val="007B6CC3"/>
    <w:rsid w:val="007B76D3"/>
    <w:rsid w:val="007C2460"/>
    <w:rsid w:val="007C3334"/>
    <w:rsid w:val="007C7E8C"/>
    <w:rsid w:val="007D2B98"/>
    <w:rsid w:val="007D37DC"/>
    <w:rsid w:val="007D604F"/>
    <w:rsid w:val="007E21BC"/>
    <w:rsid w:val="007E5423"/>
    <w:rsid w:val="007E7C82"/>
    <w:rsid w:val="007F2AA1"/>
    <w:rsid w:val="007F5804"/>
    <w:rsid w:val="007F588D"/>
    <w:rsid w:val="00801B0B"/>
    <w:rsid w:val="00803F1C"/>
    <w:rsid w:val="0080600E"/>
    <w:rsid w:val="00814688"/>
    <w:rsid w:val="00814B93"/>
    <w:rsid w:val="00817612"/>
    <w:rsid w:val="0083100C"/>
    <w:rsid w:val="008338A4"/>
    <w:rsid w:val="00834D49"/>
    <w:rsid w:val="00834FD0"/>
    <w:rsid w:val="00837C45"/>
    <w:rsid w:val="00837E13"/>
    <w:rsid w:val="00844730"/>
    <w:rsid w:val="008457C2"/>
    <w:rsid w:val="00851BC5"/>
    <w:rsid w:val="00857A82"/>
    <w:rsid w:val="00865F3F"/>
    <w:rsid w:val="00867314"/>
    <w:rsid w:val="00873836"/>
    <w:rsid w:val="00885737"/>
    <w:rsid w:val="00890650"/>
    <w:rsid w:val="0089171F"/>
    <w:rsid w:val="0089389A"/>
    <w:rsid w:val="00897E12"/>
    <w:rsid w:val="008A544F"/>
    <w:rsid w:val="008A59C2"/>
    <w:rsid w:val="008A5B00"/>
    <w:rsid w:val="008A7E0F"/>
    <w:rsid w:val="008B12F5"/>
    <w:rsid w:val="008C5E2D"/>
    <w:rsid w:val="008D768D"/>
    <w:rsid w:val="008E3759"/>
    <w:rsid w:val="008E3BFE"/>
    <w:rsid w:val="008F1912"/>
    <w:rsid w:val="008F2CD1"/>
    <w:rsid w:val="0090270B"/>
    <w:rsid w:val="009041DC"/>
    <w:rsid w:val="0091377C"/>
    <w:rsid w:val="00917B5A"/>
    <w:rsid w:val="00920A58"/>
    <w:rsid w:val="00920A8C"/>
    <w:rsid w:val="00934A2C"/>
    <w:rsid w:val="00955CCE"/>
    <w:rsid w:val="009613E9"/>
    <w:rsid w:val="00962BED"/>
    <w:rsid w:val="0096706E"/>
    <w:rsid w:val="00974491"/>
    <w:rsid w:val="00975C4E"/>
    <w:rsid w:val="00981FBA"/>
    <w:rsid w:val="00982A1B"/>
    <w:rsid w:val="00997BC5"/>
    <w:rsid w:val="009A4893"/>
    <w:rsid w:val="009A4F41"/>
    <w:rsid w:val="009B2FAF"/>
    <w:rsid w:val="009B381B"/>
    <w:rsid w:val="009D0BFA"/>
    <w:rsid w:val="009D1753"/>
    <w:rsid w:val="009D7611"/>
    <w:rsid w:val="009E0B61"/>
    <w:rsid w:val="009E53DE"/>
    <w:rsid w:val="009E7A74"/>
    <w:rsid w:val="009F5A17"/>
    <w:rsid w:val="00A02524"/>
    <w:rsid w:val="00A06BBE"/>
    <w:rsid w:val="00A11212"/>
    <w:rsid w:val="00A11E44"/>
    <w:rsid w:val="00A2366A"/>
    <w:rsid w:val="00A23907"/>
    <w:rsid w:val="00A30100"/>
    <w:rsid w:val="00A31D06"/>
    <w:rsid w:val="00A328B3"/>
    <w:rsid w:val="00A4635D"/>
    <w:rsid w:val="00A50FCF"/>
    <w:rsid w:val="00A528D1"/>
    <w:rsid w:val="00A5545E"/>
    <w:rsid w:val="00A56058"/>
    <w:rsid w:val="00A60470"/>
    <w:rsid w:val="00A60819"/>
    <w:rsid w:val="00A610CD"/>
    <w:rsid w:val="00A70398"/>
    <w:rsid w:val="00A758AA"/>
    <w:rsid w:val="00AA09A2"/>
    <w:rsid w:val="00AA0BEB"/>
    <w:rsid w:val="00AA52AC"/>
    <w:rsid w:val="00AA6A03"/>
    <w:rsid w:val="00AA7996"/>
    <w:rsid w:val="00AB2515"/>
    <w:rsid w:val="00AB425B"/>
    <w:rsid w:val="00AC19CB"/>
    <w:rsid w:val="00AE5488"/>
    <w:rsid w:val="00AE6F91"/>
    <w:rsid w:val="00AF5571"/>
    <w:rsid w:val="00B0528F"/>
    <w:rsid w:val="00B07341"/>
    <w:rsid w:val="00B07A26"/>
    <w:rsid w:val="00B11747"/>
    <w:rsid w:val="00B26750"/>
    <w:rsid w:val="00B30539"/>
    <w:rsid w:val="00B314DB"/>
    <w:rsid w:val="00B361F2"/>
    <w:rsid w:val="00B3718B"/>
    <w:rsid w:val="00B3745F"/>
    <w:rsid w:val="00B4632A"/>
    <w:rsid w:val="00B47944"/>
    <w:rsid w:val="00B47C65"/>
    <w:rsid w:val="00B530F1"/>
    <w:rsid w:val="00B6122A"/>
    <w:rsid w:val="00B95335"/>
    <w:rsid w:val="00B96BEB"/>
    <w:rsid w:val="00BA276C"/>
    <w:rsid w:val="00BA4D6D"/>
    <w:rsid w:val="00BB306F"/>
    <w:rsid w:val="00BC6CEC"/>
    <w:rsid w:val="00BD4B89"/>
    <w:rsid w:val="00BD5922"/>
    <w:rsid w:val="00BD75BB"/>
    <w:rsid w:val="00BF02CB"/>
    <w:rsid w:val="00BF26A6"/>
    <w:rsid w:val="00BF6FD8"/>
    <w:rsid w:val="00C03680"/>
    <w:rsid w:val="00C03EF2"/>
    <w:rsid w:val="00C054DF"/>
    <w:rsid w:val="00C161BC"/>
    <w:rsid w:val="00C1654F"/>
    <w:rsid w:val="00C21762"/>
    <w:rsid w:val="00C21FEF"/>
    <w:rsid w:val="00C23BA4"/>
    <w:rsid w:val="00C24543"/>
    <w:rsid w:val="00C256A2"/>
    <w:rsid w:val="00C25ADB"/>
    <w:rsid w:val="00C51515"/>
    <w:rsid w:val="00C5660B"/>
    <w:rsid w:val="00C63011"/>
    <w:rsid w:val="00C66B72"/>
    <w:rsid w:val="00C741C1"/>
    <w:rsid w:val="00C8180B"/>
    <w:rsid w:val="00C87AC4"/>
    <w:rsid w:val="00C92E17"/>
    <w:rsid w:val="00C9567A"/>
    <w:rsid w:val="00CB119E"/>
    <w:rsid w:val="00CB212D"/>
    <w:rsid w:val="00CB2660"/>
    <w:rsid w:val="00CB48C7"/>
    <w:rsid w:val="00CB6234"/>
    <w:rsid w:val="00CB7BB3"/>
    <w:rsid w:val="00CC442D"/>
    <w:rsid w:val="00CC5E90"/>
    <w:rsid w:val="00CD046C"/>
    <w:rsid w:val="00CD5705"/>
    <w:rsid w:val="00CE076C"/>
    <w:rsid w:val="00CE0A34"/>
    <w:rsid w:val="00CE13B3"/>
    <w:rsid w:val="00CE5199"/>
    <w:rsid w:val="00CE66D5"/>
    <w:rsid w:val="00CF637A"/>
    <w:rsid w:val="00D059DE"/>
    <w:rsid w:val="00D05ABD"/>
    <w:rsid w:val="00D13530"/>
    <w:rsid w:val="00D13FCE"/>
    <w:rsid w:val="00D211E0"/>
    <w:rsid w:val="00D244AB"/>
    <w:rsid w:val="00D306D1"/>
    <w:rsid w:val="00D30800"/>
    <w:rsid w:val="00D342E4"/>
    <w:rsid w:val="00D34786"/>
    <w:rsid w:val="00D37BFC"/>
    <w:rsid w:val="00D4051F"/>
    <w:rsid w:val="00D443D2"/>
    <w:rsid w:val="00D47A8E"/>
    <w:rsid w:val="00D52D14"/>
    <w:rsid w:val="00D602B3"/>
    <w:rsid w:val="00D61967"/>
    <w:rsid w:val="00D712D3"/>
    <w:rsid w:val="00D71422"/>
    <w:rsid w:val="00D72DC6"/>
    <w:rsid w:val="00D74B45"/>
    <w:rsid w:val="00D74C0A"/>
    <w:rsid w:val="00D7558D"/>
    <w:rsid w:val="00D81D92"/>
    <w:rsid w:val="00D839AA"/>
    <w:rsid w:val="00D876F9"/>
    <w:rsid w:val="00DA36E5"/>
    <w:rsid w:val="00DA7B5F"/>
    <w:rsid w:val="00DC11E7"/>
    <w:rsid w:val="00DC24E3"/>
    <w:rsid w:val="00DC7023"/>
    <w:rsid w:val="00DC769A"/>
    <w:rsid w:val="00DC7809"/>
    <w:rsid w:val="00DD3D86"/>
    <w:rsid w:val="00DD4AD2"/>
    <w:rsid w:val="00DE3A01"/>
    <w:rsid w:val="00DF1EC4"/>
    <w:rsid w:val="00DF4625"/>
    <w:rsid w:val="00E0340B"/>
    <w:rsid w:val="00E04A90"/>
    <w:rsid w:val="00E0551F"/>
    <w:rsid w:val="00E11EEF"/>
    <w:rsid w:val="00E219C7"/>
    <w:rsid w:val="00E4118C"/>
    <w:rsid w:val="00E43157"/>
    <w:rsid w:val="00E461CE"/>
    <w:rsid w:val="00E54D28"/>
    <w:rsid w:val="00E573E4"/>
    <w:rsid w:val="00E61F1C"/>
    <w:rsid w:val="00E64C3D"/>
    <w:rsid w:val="00E67C67"/>
    <w:rsid w:val="00E720CA"/>
    <w:rsid w:val="00E757E6"/>
    <w:rsid w:val="00E82DDC"/>
    <w:rsid w:val="00E843A8"/>
    <w:rsid w:val="00E84EB5"/>
    <w:rsid w:val="00E85141"/>
    <w:rsid w:val="00E85662"/>
    <w:rsid w:val="00E8789F"/>
    <w:rsid w:val="00E95CDD"/>
    <w:rsid w:val="00E97B71"/>
    <w:rsid w:val="00EA3D34"/>
    <w:rsid w:val="00EA4540"/>
    <w:rsid w:val="00EA6DF0"/>
    <w:rsid w:val="00EB197F"/>
    <w:rsid w:val="00EB454D"/>
    <w:rsid w:val="00ED549D"/>
    <w:rsid w:val="00ED76BE"/>
    <w:rsid w:val="00EE00E9"/>
    <w:rsid w:val="00EF1AAA"/>
    <w:rsid w:val="00EF619B"/>
    <w:rsid w:val="00EF76F5"/>
    <w:rsid w:val="00F00B55"/>
    <w:rsid w:val="00F02AD1"/>
    <w:rsid w:val="00F048DA"/>
    <w:rsid w:val="00F16897"/>
    <w:rsid w:val="00F16C0F"/>
    <w:rsid w:val="00F17DCB"/>
    <w:rsid w:val="00F24525"/>
    <w:rsid w:val="00F253CC"/>
    <w:rsid w:val="00F37106"/>
    <w:rsid w:val="00F41113"/>
    <w:rsid w:val="00F4252B"/>
    <w:rsid w:val="00F445A3"/>
    <w:rsid w:val="00F44E25"/>
    <w:rsid w:val="00F47AE6"/>
    <w:rsid w:val="00F519CF"/>
    <w:rsid w:val="00F56BA5"/>
    <w:rsid w:val="00F60E22"/>
    <w:rsid w:val="00F72A4A"/>
    <w:rsid w:val="00F81395"/>
    <w:rsid w:val="00F81BB8"/>
    <w:rsid w:val="00F90C31"/>
    <w:rsid w:val="00F90C64"/>
    <w:rsid w:val="00F917D1"/>
    <w:rsid w:val="00F9653B"/>
    <w:rsid w:val="00FB62CF"/>
    <w:rsid w:val="00FD3C3B"/>
    <w:rsid w:val="00FD4CE6"/>
    <w:rsid w:val="00FE07DD"/>
    <w:rsid w:val="00FE3927"/>
    <w:rsid w:val="00FE6B45"/>
    <w:rsid w:val="00FF5350"/>
    <w:rsid w:val="00FF55F3"/>
    <w:rsid w:val="00FF5851"/>
    <w:rsid w:val="00FF7B79"/>
    <w:rsid w:val="2FF62D2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1B536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9E7A74"/>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5E6DED"/>
    <w:rPr>
      <w:sz w:val="16"/>
      <w:szCs w:val="16"/>
    </w:rPr>
  </w:style>
  <w:style w:type="paragraph" w:styleId="CommentText">
    <w:name w:val="annotation text"/>
    <w:basedOn w:val="Normal"/>
    <w:link w:val="CommentTextChar"/>
    <w:uiPriority w:val="99"/>
    <w:semiHidden/>
    <w:unhideWhenUsed/>
    <w:rsid w:val="005E6DED"/>
    <w:rPr>
      <w:sz w:val="20"/>
      <w:szCs w:val="20"/>
    </w:rPr>
  </w:style>
  <w:style w:type="character" w:customStyle="1" w:styleId="CommentTextChar">
    <w:name w:val="Comment Text Char"/>
    <w:basedOn w:val="DefaultParagraphFont"/>
    <w:link w:val="CommentText"/>
    <w:uiPriority w:val="99"/>
    <w:semiHidden/>
    <w:rsid w:val="005E6DED"/>
    <w:rPr>
      <w:lang w:val="en-US" w:eastAsia="en-US"/>
    </w:rPr>
  </w:style>
  <w:style w:type="paragraph" w:styleId="CommentSubject">
    <w:name w:val="annotation subject"/>
    <w:basedOn w:val="CommentText"/>
    <w:next w:val="CommentText"/>
    <w:link w:val="CommentSubjectChar"/>
    <w:uiPriority w:val="99"/>
    <w:semiHidden/>
    <w:unhideWhenUsed/>
    <w:rsid w:val="005E6DED"/>
    <w:rPr>
      <w:b/>
      <w:bCs/>
    </w:rPr>
  </w:style>
  <w:style w:type="character" w:customStyle="1" w:styleId="CommentSubjectChar">
    <w:name w:val="Comment Subject Char"/>
    <w:basedOn w:val="CommentTextChar"/>
    <w:link w:val="CommentSubject"/>
    <w:uiPriority w:val="99"/>
    <w:semiHidden/>
    <w:rsid w:val="005E6DED"/>
    <w:rPr>
      <w:b/>
      <w:bCs/>
      <w:lang w:val="en-US" w:eastAsia="en-US"/>
    </w:rPr>
  </w:style>
  <w:style w:type="paragraph" w:styleId="Revision">
    <w:name w:val="Revision"/>
    <w:hidden/>
    <w:uiPriority w:val="99"/>
    <w:semiHidden/>
    <w:rsid w:val="00E11EE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51BC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51BC5"/>
  </w:style>
  <w:style w:type="character" w:customStyle="1" w:styleId="eop">
    <w:name w:val="eop"/>
    <w:basedOn w:val="DefaultParagraphFont"/>
    <w:rsid w:val="00851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46782">
      <w:bodyDiv w:val="1"/>
      <w:marLeft w:val="0"/>
      <w:marRight w:val="0"/>
      <w:marTop w:val="0"/>
      <w:marBottom w:val="0"/>
      <w:divBdr>
        <w:top w:val="none" w:sz="0" w:space="0" w:color="auto"/>
        <w:left w:val="none" w:sz="0" w:space="0" w:color="auto"/>
        <w:bottom w:val="none" w:sz="0" w:space="0" w:color="auto"/>
        <w:right w:val="none" w:sz="0" w:space="0" w:color="auto"/>
      </w:divBdr>
    </w:div>
    <w:div w:id="249855654">
      <w:bodyDiv w:val="1"/>
      <w:marLeft w:val="0"/>
      <w:marRight w:val="0"/>
      <w:marTop w:val="0"/>
      <w:marBottom w:val="0"/>
      <w:divBdr>
        <w:top w:val="none" w:sz="0" w:space="0" w:color="auto"/>
        <w:left w:val="none" w:sz="0" w:space="0" w:color="auto"/>
        <w:bottom w:val="none" w:sz="0" w:space="0" w:color="auto"/>
        <w:right w:val="none" w:sz="0" w:space="0" w:color="auto"/>
      </w:divBdr>
      <w:divsChild>
        <w:div w:id="1345016018">
          <w:marLeft w:val="-225"/>
          <w:marRight w:val="-225"/>
          <w:marTop w:val="0"/>
          <w:marBottom w:val="0"/>
          <w:divBdr>
            <w:top w:val="none" w:sz="0" w:space="0" w:color="auto"/>
            <w:left w:val="none" w:sz="0" w:space="0" w:color="auto"/>
            <w:bottom w:val="single" w:sz="6" w:space="0" w:color="DEE2E6"/>
            <w:right w:val="none" w:sz="0" w:space="0" w:color="auto"/>
          </w:divBdr>
          <w:divsChild>
            <w:div w:id="1623031015">
              <w:marLeft w:val="0"/>
              <w:marRight w:val="0"/>
              <w:marTop w:val="0"/>
              <w:marBottom w:val="0"/>
              <w:divBdr>
                <w:top w:val="none" w:sz="0" w:space="0" w:color="auto"/>
                <w:left w:val="none" w:sz="0" w:space="0" w:color="auto"/>
                <w:bottom w:val="none" w:sz="0" w:space="0" w:color="auto"/>
                <w:right w:val="none" w:sz="0" w:space="0" w:color="auto"/>
              </w:divBdr>
              <w:divsChild>
                <w:div w:id="16209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74251">
      <w:bodyDiv w:val="1"/>
      <w:marLeft w:val="0"/>
      <w:marRight w:val="0"/>
      <w:marTop w:val="0"/>
      <w:marBottom w:val="0"/>
      <w:divBdr>
        <w:top w:val="none" w:sz="0" w:space="0" w:color="auto"/>
        <w:left w:val="none" w:sz="0" w:space="0" w:color="auto"/>
        <w:bottom w:val="none" w:sz="0" w:space="0" w:color="auto"/>
        <w:right w:val="none" w:sz="0" w:space="0" w:color="auto"/>
      </w:divBdr>
    </w:div>
    <w:div w:id="773329454">
      <w:bodyDiv w:val="1"/>
      <w:marLeft w:val="0"/>
      <w:marRight w:val="0"/>
      <w:marTop w:val="0"/>
      <w:marBottom w:val="0"/>
      <w:divBdr>
        <w:top w:val="none" w:sz="0" w:space="0" w:color="auto"/>
        <w:left w:val="none" w:sz="0" w:space="0" w:color="auto"/>
        <w:bottom w:val="none" w:sz="0" w:space="0" w:color="auto"/>
        <w:right w:val="none" w:sz="0" w:space="0" w:color="auto"/>
      </w:divBdr>
      <w:divsChild>
        <w:div w:id="230194380">
          <w:marLeft w:val="-225"/>
          <w:marRight w:val="-225"/>
          <w:marTop w:val="0"/>
          <w:marBottom w:val="0"/>
          <w:divBdr>
            <w:top w:val="none" w:sz="0" w:space="0" w:color="auto"/>
            <w:left w:val="none" w:sz="0" w:space="0" w:color="auto"/>
            <w:bottom w:val="single" w:sz="6" w:space="0" w:color="DEE2E6"/>
            <w:right w:val="none" w:sz="0" w:space="0" w:color="auto"/>
          </w:divBdr>
          <w:divsChild>
            <w:div w:id="1532721781">
              <w:marLeft w:val="0"/>
              <w:marRight w:val="0"/>
              <w:marTop w:val="0"/>
              <w:marBottom w:val="0"/>
              <w:divBdr>
                <w:top w:val="none" w:sz="0" w:space="0" w:color="auto"/>
                <w:left w:val="none" w:sz="0" w:space="0" w:color="auto"/>
                <w:bottom w:val="none" w:sz="0" w:space="0" w:color="auto"/>
                <w:right w:val="none" w:sz="0" w:space="0" w:color="auto"/>
              </w:divBdr>
              <w:divsChild>
                <w:div w:id="192278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0038A"/>
    <w:rsid w:val="00136030"/>
    <w:rsid w:val="00190C55"/>
    <w:rsid w:val="001B68CE"/>
    <w:rsid w:val="00200821"/>
    <w:rsid w:val="00201CE6"/>
    <w:rsid w:val="0025245B"/>
    <w:rsid w:val="002A3923"/>
    <w:rsid w:val="0033192F"/>
    <w:rsid w:val="00394049"/>
    <w:rsid w:val="003E4EFC"/>
    <w:rsid w:val="004B5BBB"/>
    <w:rsid w:val="004F2DF8"/>
    <w:rsid w:val="005144BD"/>
    <w:rsid w:val="005E25AB"/>
    <w:rsid w:val="006F24A1"/>
    <w:rsid w:val="00742D58"/>
    <w:rsid w:val="00787C63"/>
    <w:rsid w:val="00801B0B"/>
    <w:rsid w:val="00962BED"/>
    <w:rsid w:val="009A261B"/>
    <w:rsid w:val="009C3CB6"/>
    <w:rsid w:val="00A10345"/>
    <w:rsid w:val="00A4418E"/>
    <w:rsid w:val="00AA0BEB"/>
    <w:rsid w:val="00AA2E17"/>
    <w:rsid w:val="00AC15A4"/>
    <w:rsid w:val="00B0336C"/>
    <w:rsid w:val="00B30277"/>
    <w:rsid w:val="00BA4D6D"/>
    <w:rsid w:val="00C63011"/>
    <w:rsid w:val="00D241E9"/>
    <w:rsid w:val="00D4051F"/>
    <w:rsid w:val="00D74C0A"/>
    <w:rsid w:val="00D7750D"/>
    <w:rsid w:val="00E843A8"/>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2.xml><?xml version="1.0" encoding="utf-8"?>
<ds:datastoreItem xmlns:ds="http://schemas.openxmlformats.org/officeDocument/2006/customXml" ds:itemID="{6037168D-31A1-410F-80E8-5BD6C262286A}">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A75D7C15-2DEF-41AC-9FC1-AC1930070A9F}">
  <ds:schemaRefs>
    <ds:schemaRef ds:uri="http://schemas.microsoft.com/sharepoint/v3/contenttype/forms"/>
  </ds:schemaRefs>
</ds:datastoreItem>
</file>

<file path=customXml/itemProps4.xml><?xml version="1.0" encoding="utf-8"?>
<ds:datastoreItem xmlns:ds="http://schemas.openxmlformats.org/officeDocument/2006/customXml" ds:itemID="{F604DA7A-2C1B-4E01-BEB6-135DD0CA3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3284</Words>
  <Characters>18725</Characters>
  <Application>Microsoft Office Word</Application>
  <DocSecurity>0</DocSecurity>
  <Lines>156</Lines>
  <Paragraphs>43</Paragraphs>
  <ScaleCrop>false</ScaleCrop>
  <Company/>
  <LinksUpToDate>false</LinksUpToDate>
  <CharactersWithSpaces>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2025-09-25T21:04:00Z</dcterms:created>
  <dcterms:modified xsi:type="dcterms:W3CDTF">2025-09-25T21:04:00Z</dcterms:modified>
</cp:coreProperties>
</file>