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E139E66">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369A84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4D1B54AA"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2C8BE0D1" w:rsidR="00040C3A" w:rsidRPr="0090270B" w:rsidRDefault="009C12AC"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2F105B18">
                <wp:simplePos x="0" y="0"/>
                <wp:positionH relativeFrom="column">
                  <wp:posOffset>1341120</wp:posOffset>
                </wp:positionH>
                <wp:positionV relativeFrom="paragraph">
                  <wp:posOffset>104140</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20AB4D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856B6">
                              <w:rPr>
                                <w:rFonts w:asciiTheme="majorHAnsi" w:hAnsiTheme="majorHAnsi" w:cs="Arial"/>
                                <w:b/>
                                <w:bCs/>
                                <w:color w:val="0D0D0D" w:themeColor="text1" w:themeTint="F2"/>
                                <w:sz w:val="36"/>
                                <w:szCs w:val="22"/>
                                <w:lang w:val="es-ES_tradnl"/>
                              </w:rPr>
                              <w:t>78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640E08">
                              <w:rPr>
                                <w:rFonts w:asciiTheme="majorHAnsi" w:hAnsiTheme="majorHAnsi" w:cs="Arial"/>
                                <w:b/>
                                <w:bCs/>
                                <w:color w:val="0D0D0D" w:themeColor="text1" w:themeTint="F2"/>
                                <w:sz w:val="36"/>
                                <w:szCs w:val="22"/>
                                <w:lang w:val="es-ES_tradnl"/>
                              </w:rPr>
                              <w:t>5</w:t>
                            </w:r>
                          </w:p>
                          <w:p w14:paraId="09C54AB3" w14:textId="5623058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017B5">
                              <w:rPr>
                                <w:rFonts w:asciiTheme="majorHAnsi" w:hAnsiTheme="majorHAnsi" w:cs="Arial"/>
                                <w:b/>
                                <w:color w:val="0D0D0D" w:themeColor="text1" w:themeTint="F2"/>
                                <w:sz w:val="36"/>
                                <w:szCs w:val="22"/>
                                <w:lang w:val="es-ES_tradnl"/>
                              </w:rPr>
                              <w:t>121</w:t>
                            </w:r>
                            <w:r w:rsidR="00D839AA">
                              <w:rPr>
                                <w:rFonts w:asciiTheme="majorHAnsi" w:hAnsiTheme="majorHAnsi" w:cs="Arial"/>
                                <w:b/>
                                <w:color w:val="0D0D0D" w:themeColor="text1" w:themeTint="F2"/>
                                <w:sz w:val="36"/>
                                <w:szCs w:val="22"/>
                                <w:lang w:val="es-ES_tradnl"/>
                              </w:rPr>
                              <w:t>-14</w:t>
                            </w:r>
                          </w:p>
                          <w:p w14:paraId="70CF6833" w14:textId="63C4569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443499B1" w:rsidR="00EB197F" w:rsidRPr="00640E08" w:rsidRDefault="006460B3" w:rsidP="00997BC5">
                            <w:pPr>
                              <w:spacing w:line="276" w:lineRule="auto"/>
                              <w:rPr>
                                <w:rFonts w:asciiTheme="majorHAnsi" w:hAnsiTheme="majorHAnsi" w:cs="Arial"/>
                                <w:color w:val="0D0D0D" w:themeColor="text1" w:themeTint="F2"/>
                                <w:szCs w:val="22"/>
                                <w:lang w:val="es-PE"/>
                              </w:rPr>
                            </w:pPr>
                            <w:r w:rsidRPr="00640E08">
                              <w:rPr>
                                <w:rFonts w:asciiTheme="majorHAnsi" w:hAnsiTheme="majorHAnsi" w:cs="Arial"/>
                                <w:color w:val="0D0D0D" w:themeColor="text1" w:themeTint="F2"/>
                                <w:szCs w:val="22"/>
                                <w:lang w:val="es-PE"/>
                              </w:rPr>
                              <w:t>SILVIA ALICIA CRISTINA AN</w:t>
                            </w:r>
                            <w:r w:rsidR="00640E08" w:rsidRPr="00640E08">
                              <w:rPr>
                                <w:rFonts w:asciiTheme="majorHAnsi" w:hAnsiTheme="majorHAnsi" w:cs="Arial"/>
                                <w:color w:val="0D0D0D" w:themeColor="text1" w:themeTint="F2"/>
                                <w:szCs w:val="22"/>
                                <w:lang w:val="es-PE"/>
                              </w:rPr>
                              <w:t>AYA FERREL BARRERA Y OT</w:t>
                            </w:r>
                            <w:r w:rsidR="00640E08">
                              <w:rPr>
                                <w:rFonts w:asciiTheme="majorHAnsi" w:hAnsiTheme="majorHAnsi" w:cs="Arial"/>
                                <w:color w:val="0D0D0D" w:themeColor="text1" w:themeTint="F2"/>
                                <w:szCs w:val="22"/>
                                <w:lang w:val="es-PE"/>
                              </w:rPr>
                              <w:t>RAS</w:t>
                            </w:r>
                          </w:p>
                          <w:p w14:paraId="575DFD52" w14:textId="2515071B" w:rsidR="005B52B0" w:rsidRPr="00640E08" w:rsidRDefault="006460B3" w:rsidP="007A5817">
                            <w:pPr>
                              <w:rPr>
                                <w:color w:val="0D0D0D" w:themeColor="text1" w:themeTint="F2"/>
                                <w:lang w:val="pt-BR"/>
                              </w:rPr>
                            </w:pPr>
                            <w:r w:rsidRPr="00640E08">
                              <w:rPr>
                                <w:rFonts w:asciiTheme="majorHAnsi" w:hAnsiTheme="majorHAnsi" w:cs="Arial"/>
                                <w:color w:val="0D0D0D" w:themeColor="text1" w:themeTint="F2"/>
                                <w:szCs w:val="22"/>
                                <w:lang w:val="pt-BR"/>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5.6pt;margin-top:8.2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" filled="f" stroked="f" strokeweight=".5pt">
                <v:textbox>
                  <w:txbxContent>
                    <w:p w14:paraId="4D9FE29C" w14:textId="620AB4D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856B6">
                        <w:rPr>
                          <w:rFonts w:asciiTheme="majorHAnsi" w:hAnsiTheme="majorHAnsi" w:cs="Arial"/>
                          <w:b/>
                          <w:bCs/>
                          <w:color w:val="0D0D0D" w:themeColor="text1" w:themeTint="F2"/>
                          <w:sz w:val="36"/>
                          <w:szCs w:val="22"/>
                          <w:lang w:val="es-ES_tradnl"/>
                        </w:rPr>
                        <w:t>78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640E08">
                        <w:rPr>
                          <w:rFonts w:asciiTheme="majorHAnsi" w:hAnsiTheme="majorHAnsi" w:cs="Arial"/>
                          <w:b/>
                          <w:bCs/>
                          <w:color w:val="0D0D0D" w:themeColor="text1" w:themeTint="F2"/>
                          <w:sz w:val="36"/>
                          <w:szCs w:val="22"/>
                          <w:lang w:val="es-ES_tradnl"/>
                        </w:rPr>
                        <w:t>5</w:t>
                      </w:r>
                    </w:p>
                    <w:p w14:paraId="09C54AB3" w14:textId="5623058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017B5">
                        <w:rPr>
                          <w:rFonts w:asciiTheme="majorHAnsi" w:hAnsiTheme="majorHAnsi" w:cs="Arial"/>
                          <w:b/>
                          <w:color w:val="0D0D0D" w:themeColor="text1" w:themeTint="F2"/>
                          <w:sz w:val="36"/>
                          <w:szCs w:val="22"/>
                          <w:lang w:val="es-ES_tradnl"/>
                        </w:rPr>
                        <w:t>121</w:t>
                      </w:r>
                      <w:r w:rsidR="00D839AA">
                        <w:rPr>
                          <w:rFonts w:asciiTheme="majorHAnsi" w:hAnsiTheme="majorHAnsi" w:cs="Arial"/>
                          <w:b/>
                          <w:color w:val="0D0D0D" w:themeColor="text1" w:themeTint="F2"/>
                          <w:sz w:val="36"/>
                          <w:szCs w:val="22"/>
                          <w:lang w:val="es-ES_tradnl"/>
                        </w:rPr>
                        <w:t>-14</w:t>
                      </w:r>
                    </w:p>
                    <w:p w14:paraId="70CF6833" w14:textId="63C4569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443499B1" w:rsidR="00EB197F" w:rsidRPr="00640E08" w:rsidRDefault="006460B3" w:rsidP="00997BC5">
                      <w:pPr>
                        <w:spacing w:line="276" w:lineRule="auto"/>
                        <w:rPr>
                          <w:rFonts w:asciiTheme="majorHAnsi" w:hAnsiTheme="majorHAnsi" w:cs="Arial"/>
                          <w:color w:val="0D0D0D" w:themeColor="text1" w:themeTint="F2"/>
                          <w:szCs w:val="22"/>
                          <w:lang w:val="es-PE"/>
                        </w:rPr>
                      </w:pPr>
                      <w:r w:rsidRPr="00640E08">
                        <w:rPr>
                          <w:rFonts w:asciiTheme="majorHAnsi" w:hAnsiTheme="majorHAnsi" w:cs="Arial"/>
                          <w:color w:val="0D0D0D" w:themeColor="text1" w:themeTint="F2"/>
                          <w:szCs w:val="22"/>
                          <w:lang w:val="es-PE"/>
                        </w:rPr>
                        <w:t>SILVIA ALICIA CRISTINA AN</w:t>
                      </w:r>
                      <w:r w:rsidR="00640E08" w:rsidRPr="00640E08">
                        <w:rPr>
                          <w:rFonts w:asciiTheme="majorHAnsi" w:hAnsiTheme="majorHAnsi" w:cs="Arial"/>
                          <w:color w:val="0D0D0D" w:themeColor="text1" w:themeTint="F2"/>
                          <w:szCs w:val="22"/>
                          <w:lang w:val="es-PE"/>
                        </w:rPr>
                        <w:t>AYA FERREL BARRERA Y OT</w:t>
                      </w:r>
                      <w:r w:rsidR="00640E08">
                        <w:rPr>
                          <w:rFonts w:asciiTheme="majorHAnsi" w:hAnsiTheme="majorHAnsi" w:cs="Arial"/>
                          <w:color w:val="0D0D0D" w:themeColor="text1" w:themeTint="F2"/>
                          <w:szCs w:val="22"/>
                          <w:lang w:val="es-PE"/>
                        </w:rPr>
                        <w:t>RAS</w:t>
                      </w:r>
                    </w:p>
                    <w:p w14:paraId="575DFD52" w14:textId="2515071B" w:rsidR="005B52B0" w:rsidRPr="00640E08" w:rsidRDefault="006460B3" w:rsidP="007A5817">
                      <w:pPr>
                        <w:rPr>
                          <w:color w:val="0D0D0D" w:themeColor="text1" w:themeTint="F2"/>
                          <w:lang w:val="pt-BR"/>
                        </w:rPr>
                      </w:pPr>
                      <w:r w:rsidRPr="00640E08">
                        <w:rPr>
                          <w:rFonts w:asciiTheme="majorHAnsi" w:hAnsiTheme="majorHAnsi" w:cs="Arial"/>
                          <w:color w:val="0D0D0D" w:themeColor="text1" w:themeTint="F2"/>
                          <w:szCs w:val="22"/>
                          <w:lang w:val="pt-BR"/>
                        </w:rPr>
                        <w:t>BOLIVIA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859B2CF" w:rsidR="00627C9F" w:rsidRPr="007B1BBA" w:rsidRDefault="00834D49" w:rsidP="007A5817">
                            <w:pPr>
                              <w:spacing w:line="276" w:lineRule="auto"/>
                              <w:jc w:val="right"/>
                              <w:rPr>
                                <w:rFonts w:asciiTheme="minorHAnsi" w:hAnsiTheme="minorHAnsi"/>
                                <w:color w:val="FFFFFF" w:themeColor="background1"/>
                                <w:sz w:val="22"/>
                                <w:lang w:val="es-ES"/>
                              </w:rPr>
                            </w:pPr>
                            <w:r w:rsidRPr="007B1BBA">
                              <w:rPr>
                                <w:rFonts w:asciiTheme="minorHAnsi" w:hAnsiTheme="minorHAnsi"/>
                                <w:color w:val="FFFFFF" w:themeColor="background1"/>
                                <w:sz w:val="22"/>
                                <w:lang w:val="es-ES"/>
                              </w:rPr>
                              <w:t>OEA/Ser.L/V/II</w:t>
                            </w:r>
                          </w:p>
                          <w:p w14:paraId="6A41611B" w14:textId="3AE4BDA0" w:rsidR="00627C9F" w:rsidRPr="007B1BBA" w:rsidRDefault="00627C9F" w:rsidP="007A5817">
                            <w:pPr>
                              <w:spacing w:line="276" w:lineRule="auto"/>
                              <w:jc w:val="right"/>
                              <w:rPr>
                                <w:rFonts w:asciiTheme="minorHAnsi" w:hAnsiTheme="minorHAnsi"/>
                                <w:color w:val="FFFFFF" w:themeColor="background1"/>
                                <w:sz w:val="22"/>
                                <w:lang w:val="es-ES"/>
                              </w:rPr>
                            </w:pPr>
                            <w:r w:rsidRPr="007B1BBA">
                              <w:rPr>
                                <w:rFonts w:asciiTheme="minorHAnsi" w:hAnsiTheme="minorHAnsi"/>
                                <w:color w:val="FFFFFF" w:themeColor="background1"/>
                                <w:sz w:val="22"/>
                                <w:lang w:val="es-ES"/>
                              </w:rPr>
                              <w:t xml:space="preserve">Doc. </w:t>
                            </w:r>
                            <w:r w:rsidR="00C46073" w:rsidRPr="007B1BBA">
                              <w:rPr>
                                <w:rFonts w:asciiTheme="minorHAnsi" w:hAnsiTheme="minorHAnsi"/>
                                <w:color w:val="FFFFFF" w:themeColor="background1"/>
                                <w:sz w:val="22"/>
                                <w:lang w:val="es-ES"/>
                              </w:rPr>
                              <w:t>81</w:t>
                            </w:r>
                          </w:p>
                          <w:p w14:paraId="69373ED2" w14:textId="1B9501DD" w:rsidR="00627C9F" w:rsidRPr="00C25ADB" w:rsidRDefault="00C4607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640E08">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859B2CF" w:rsidR="00627C9F" w:rsidRPr="007B1BBA" w:rsidRDefault="00834D49" w:rsidP="007A5817">
                      <w:pPr>
                        <w:spacing w:line="276" w:lineRule="auto"/>
                        <w:jc w:val="right"/>
                        <w:rPr>
                          <w:rFonts w:asciiTheme="minorHAnsi" w:hAnsiTheme="minorHAnsi"/>
                          <w:color w:val="FFFFFF" w:themeColor="background1"/>
                          <w:sz w:val="22"/>
                          <w:lang w:val="es-ES"/>
                        </w:rPr>
                      </w:pPr>
                      <w:r w:rsidRPr="007B1BBA">
                        <w:rPr>
                          <w:rFonts w:asciiTheme="minorHAnsi" w:hAnsiTheme="minorHAnsi"/>
                          <w:color w:val="FFFFFF" w:themeColor="background1"/>
                          <w:sz w:val="22"/>
                          <w:lang w:val="es-ES"/>
                        </w:rPr>
                        <w:t>OEA/Ser.L/V/II</w:t>
                      </w:r>
                    </w:p>
                    <w:p w14:paraId="6A41611B" w14:textId="3AE4BDA0" w:rsidR="00627C9F" w:rsidRPr="007B1BBA" w:rsidRDefault="00627C9F" w:rsidP="007A5817">
                      <w:pPr>
                        <w:spacing w:line="276" w:lineRule="auto"/>
                        <w:jc w:val="right"/>
                        <w:rPr>
                          <w:rFonts w:asciiTheme="minorHAnsi" w:hAnsiTheme="minorHAnsi"/>
                          <w:color w:val="FFFFFF" w:themeColor="background1"/>
                          <w:sz w:val="22"/>
                          <w:lang w:val="es-ES"/>
                        </w:rPr>
                      </w:pPr>
                      <w:r w:rsidRPr="007B1BBA">
                        <w:rPr>
                          <w:rFonts w:asciiTheme="minorHAnsi" w:hAnsiTheme="minorHAnsi"/>
                          <w:color w:val="FFFFFF" w:themeColor="background1"/>
                          <w:sz w:val="22"/>
                          <w:lang w:val="es-ES"/>
                        </w:rPr>
                        <w:t xml:space="preserve">Doc. </w:t>
                      </w:r>
                      <w:r w:rsidR="00C46073" w:rsidRPr="007B1BBA">
                        <w:rPr>
                          <w:rFonts w:asciiTheme="minorHAnsi" w:hAnsiTheme="minorHAnsi"/>
                          <w:color w:val="FFFFFF" w:themeColor="background1"/>
                          <w:sz w:val="22"/>
                          <w:lang w:val="es-ES"/>
                        </w:rPr>
                        <w:t>81</w:t>
                      </w:r>
                    </w:p>
                    <w:p w14:paraId="69373ED2" w14:textId="1B9501DD" w:rsidR="00627C9F" w:rsidRPr="00C25ADB" w:rsidRDefault="00C4607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640E08">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6C38185A"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856B6">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A856B6">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85745">
                              <w:rPr>
                                <w:rFonts w:asciiTheme="majorHAnsi" w:hAnsiTheme="majorHAnsi"/>
                                <w:color w:val="0D0D0D" w:themeColor="text1" w:themeTint="F2"/>
                                <w:sz w:val="18"/>
                                <w:szCs w:val="22"/>
                                <w:lang w:val="es-ES"/>
                              </w:rPr>
                              <w:t>5</w:t>
                            </w:r>
                            <w:r w:rsidR="00A856B6">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6C38185A"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856B6">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A856B6">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85745">
                        <w:rPr>
                          <w:rFonts w:asciiTheme="majorHAnsi" w:hAnsiTheme="majorHAnsi"/>
                          <w:color w:val="0D0D0D" w:themeColor="text1" w:themeTint="F2"/>
                          <w:sz w:val="18"/>
                          <w:szCs w:val="22"/>
                          <w:lang w:val="es-ES"/>
                        </w:rPr>
                        <w:t>5</w:t>
                      </w:r>
                      <w:r w:rsidR="00A856B6">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FAC557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856B6">
                              <w:rPr>
                                <w:rFonts w:asciiTheme="majorHAnsi" w:hAnsiTheme="majorHAnsi"/>
                                <w:color w:val="595959" w:themeColor="text1" w:themeTint="A6"/>
                                <w:sz w:val="18"/>
                                <w:szCs w:val="18"/>
                                <w:lang w:val="pt-BR"/>
                              </w:rPr>
                              <w:t>78</w:t>
                            </w:r>
                            <w:r w:rsidR="007B05C4" w:rsidRPr="00A856B6">
                              <w:rPr>
                                <w:rFonts w:asciiTheme="majorHAnsi" w:hAnsiTheme="majorHAnsi"/>
                                <w:color w:val="595959" w:themeColor="text1" w:themeTint="A6"/>
                                <w:sz w:val="18"/>
                                <w:szCs w:val="18"/>
                                <w:lang w:val="pt-BR"/>
                              </w:rPr>
                              <w:t>/</w:t>
                            </w:r>
                            <w:r w:rsidR="00A856B6" w:rsidRPr="00A856B6">
                              <w:rPr>
                                <w:rFonts w:asciiTheme="majorHAnsi" w:hAnsiTheme="majorHAnsi"/>
                                <w:color w:val="595959" w:themeColor="text1" w:themeTint="A6"/>
                                <w:sz w:val="18"/>
                                <w:szCs w:val="18"/>
                                <w:lang w:val="pt-BR"/>
                              </w:rPr>
                              <w:t>25</w:t>
                            </w:r>
                            <w:r w:rsidRPr="00A856B6">
                              <w:rPr>
                                <w:rFonts w:asciiTheme="majorHAnsi" w:hAnsiTheme="majorHAnsi"/>
                                <w:color w:val="595959" w:themeColor="text1" w:themeTint="A6"/>
                                <w:sz w:val="18"/>
                                <w:szCs w:val="18"/>
                                <w:lang w:val="pt-BR"/>
                              </w:rPr>
                              <w:t xml:space="preserve">. </w:t>
                            </w:r>
                            <w:r w:rsidR="000433C9" w:rsidRPr="007E1E29">
                              <w:rPr>
                                <w:rFonts w:asciiTheme="majorHAnsi" w:hAnsiTheme="majorHAnsi"/>
                                <w:color w:val="595959" w:themeColor="text1" w:themeTint="A6"/>
                                <w:sz w:val="18"/>
                                <w:szCs w:val="18"/>
                                <w:lang w:val="es-PE"/>
                              </w:rPr>
                              <w:t xml:space="preserve">Petición </w:t>
                            </w:r>
                            <w:r w:rsidR="002B4B34" w:rsidRPr="007E1E29">
                              <w:rPr>
                                <w:rFonts w:asciiTheme="majorHAnsi" w:hAnsiTheme="majorHAnsi"/>
                                <w:color w:val="595959" w:themeColor="text1" w:themeTint="A6"/>
                                <w:sz w:val="18"/>
                                <w:szCs w:val="18"/>
                                <w:lang w:val="es-PE"/>
                              </w:rPr>
                              <w:t>1</w:t>
                            </w:r>
                            <w:r w:rsidR="0080006D" w:rsidRPr="007E1E29">
                              <w:rPr>
                                <w:rFonts w:asciiTheme="majorHAnsi" w:hAnsiTheme="majorHAnsi"/>
                                <w:color w:val="595959" w:themeColor="text1" w:themeTint="A6"/>
                                <w:sz w:val="18"/>
                                <w:szCs w:val="18"/>
                                <w:lang w:val="es-PE"/>
                              </w:rPr>
                              <w:t>21</w:t>
                            </w:r>
                            <w:r w:rsidR="002B4B34" w:rsidRPr="007E1E29">
                              <w:rPr>
                                <w:rFonts w:asciiTheme="majorHAnsi" w:hAnsiTheme="majorHAnsi"/>
                                <w:color w:val="595959" w:themeColor="text1" w:themeTint="A6"/>
                                <w:sz w:val="18"/>
                                <w:szCs w:val="18"/>
                                <w:lang w:val="es-PE"/>
                              </w:rPr>
                              <w:t>-14</w:t>
                            </w:r>
                            <w:r w:rsidR="000433C9" w:rsidRPr="007E1E29">
                              <w:rPr>
                                <w:rFonts w:asciiTheme="majorHAnsi" w:hAnsiTheme="majorHAnsi"/>
                                <w:color w:val="595959" w:themeColor="text1" w:themeTint="A6"/>
                                <w:sz w:val="18"/>
                                <w:szCs w:val="18"/>
                                <w:lang w:val="es-PE"/>
                              </w:rPr>
                              <w:t xml:space="preserve">. </w:t>
                            </w:r>
                            <w:r w:rsidR="00955CCE" w:rsidRPr="007E1E29">
                              <w:rPr>
                                <w:rFonts w:asciiTheme="majorHAnsi" w:hAnsiTheme="majorHAnsi"/>
                                <w:color w:val="595959" w:themeColor="text1" w:themeTint="A6"/>
                                <w:sz w:val="18"/>
                                <w:szCs w:val="18"/>
                                <w:lang w:val="es-PE"/>
                              </w:rPr>
                              <w:t>Inadmisibilidad</w:t>
                            </w:r>
                            <w:r w:rsidRPr="007E1E29">
                              <w:rPr>
                                <w:rFonts w:asciiTheme="majorHAnsi" w:hAnsiTheme="majorHAnsi"/>
                                <w:color w:val="595959" w:themeColor="text1" w:themeTint="A6"/>
                                <w:sz w:val="18"/>
                                <w:szCs w:val="18"/>
                                <w:lang w:val="es-PE"/>
                              </w:rPr>
                              <w:t xml:space="preserve">. </w:t>
                            </w:r>
                            <w:r w:rsidR="00C017B5" w:rsidRPr="007E1E29">
                              <w:rPr>
                                <w:rFonts w:asciiTheme="majorHAnsi" w:hAnsiTheme="majorHAnsi"/>
                                <w:color w:val="595959" w:themeColor="text1" w:themeTint="A6"/>
                                <w:sz w:val="18"/>
                                <w:szCs w:val="18"/>
                                <w:lang w:val="es-PE"/>
                              </w:rPr>
                              <w:t>Silvia Alicia Cristina Anaya Ferrel Barrera</w:t>
                            </w:r>
                            <w:r w:rsidR="0080006D" w:rsidRPr="007E1E29">
                              <w:rPr>
                                <w:rFonts w:asciiTheme="majorHAnsi" w:hAnsiTheme="majorHAnsi"/>
                                <w:color w:val="595959" w:themeColor="text1" w:themeTint="A6"/>
                                <w:sz w:val="18"/>
                                <w:szCs w:val="18"/>
                                <w:lang w:val="es-PE"/>
                              </w:rPr>
                              <w:t xml:space="preserve"> y otras</w:t>
                            </w:r>
                            <w:r w:rsidRPr="007E1E29">
                              <w:rPr>
                                <w:rFonts w:asciiTheme="majorHAnsi" w:hAnsiTheme="majorHAnsi"/>
                                <w:color w:val="595959" w:themeColor="text1" w:themeTint="A6"/>
                                <w:sz w:val="18"/>
                                <w:szCs w:val="18"/>
                                <w:lang w:val="es-PE"/>
                              </w:rPr>
                              <w:t xml:space="preserve">. </w:t>
                            </w:r>
                            <w:r w:rsidR="00C017B5" w:rsidRPr="007E1E29">
                              <w:rPr>
                                <w:rFonts w:asciiTheme="majorHAnsi" w:hAnsiTheme="majorHAnsi"/>
                                <w:color w:val="595959" w:themeColor="text1" w:themeTint="A6"/>
                                <w:sz w:val="18"/>
                                <w:szCs w:val="18"/>
                                <w:lang w:val="es-PE"/>
                              </w:rPr>
                              <w:t>Bolivia</w:t>
                            </w:r>
                            <w:r w:rsidRPr="007E1E29">
                              <w:rPr>
                                <w:rFonts w:asciiTheme="majorHAnsi" w:hAnsiTheme="majorHAnsi"/>
                                <w:color w:val="595959" w:themeColor="text1" w:themeTint="A6"/>
                                <w:sz w:val="18"/>
                                <w:szCs w:val="18"/>
                                <w:lang w:val="es-PE"/>
                              </w:rPr>
                              <w:t xml:space="preserve">. </w:t>
                            </w:r>
                            <w:r w:rsidR="00626D99">
                              <w:rPr>
                                <w:rFonts w:asciiTheme="majorHAnsi" w:hAnsiTheme="majorHAnsi"/>
                                <w:color w:val="595959" w:themeColor="text1" w:themeTint="A6"/>
                                <w:sz w:val="18"/>
                                <w:szCs w:val="18"/>
                                <w:lang w:val="es-PE"/>
                              </w:rPr>
                              <w:t>16 de mayo de 2025</w:t>
                            </w:r>
                            <w:r w:rsidRPr="007E1E29">
                              <w:rPr>
                                <w:rFonts w:asciiTheme="majorHAnsi" w:hAnsiTheme="majorHAnsi"/>
                                <w:color w:val="595959" w:themeColor="text1" w:themeTint="A6"/>
                                <w:sz w:val="18"/>
                                <w:szCs w:val="18"/>
                                <w:lang w:val="es-P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5FAC557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856B6">
                        <w:rPr>
                          <w:rFonts w:asciiTheme="majorHAnsi" w:hAnsiTheme="majorHAnsi"/>
                          <w:color w:val="595959" w:themeColor="text1" w:themeTint="A6"/>
                          <w:sz w:val="18"/>
                          <w:szCs w:val="18"/>
                          <w:lang w:val="pt-BR"/>
                        </w:rPr>
                        <w:t>78</w:t>
                      </w:r>
                      <w:r w:rsidR="007B05C4" w:rsidRPr="00A856B6">
                        <w:rPr>
                          <w:rFonts w:asciiTheme="majorHAnsi" w:hAnsiTheme="majorHAnsi"/>
                          <w:color w:val="595959" w:themeColor="text1" w:themeTint="A6"/>
                          <w:sz w:val="18"/>
                          <w:szCs w:val="18"/>
                          <w:lang w:val="pt-BR"/>
                        </w:rPr>
                        <w:t>/</w:t>
                      </w:r>
                      <w:r w:rsidR="00A856B6" w:rsidRPr="00A856B6">
                        <w:rPr>
                          <w:rFonts w:asciiTheme="majorHAnsi" w:hAnsiTheme="majorHAnsi"/>
                          <w:color w:val="595959" w:themeColor="text1" w:themeTint="A6"/>
                          <w:sz w:val="18"/>
                          <w:szCs w:val="18"/>
                          <w:lang w:val="pt-BR"/>
                        </w:rPr>
                        <w:t>25</w:t>
                      </w:r>
                      <w:r w:rsidRPr="00A856B6">
                        <w:rPr>
                          <w:rFonts w:asciiTheme="majorHAnsi" w:hAnsiTheme="majorHAnsi"/>
                          <w:color w:val="595959" w:themeColor="text1" w:themeTint="A6"/>
                          <w:sz w:val="18"/>
                          <w:szCs w:val="18"/>
                          <w:lang w:val="pt-BR"/>
                        </w:rPr>
                        <w:t xml:space="preserve">. </w:t>
                      </w:r>
                      <w:r w:rsidR="000433C9" w:rsidRPr="007E1E29">
                        <w:rPr>
                          <w:rFonts w:asciiTheme="majorHAnsi" w:hAnsiTheme="majorHAnsi"/>
                          <w:color w:val="595959" w:themeColor="text1" w:themeTint="A6"/>
                          <w:sz w:val="18"/>
                          <w:szCs w:val="18"/>
                          <w:lang w:val="es-PE"/>
                        </w:rPr>
                        <w:t xml:space="preserve">Petición </w:t>
                      </w:r>
                      <w:r w:rsidR="002B4B34" w:rsidRPr="007E1E29">
                        <w:rPr>
                          <w:rFonts w:asciiTheme="majorHAnsi" w:hAnsiTheme="majorHAnsi"/>
                          <w:color w:val="595959" w:themeColor="text1" w:themeTint="A6"/>
                          <w:sz w:val="18"/>
                          <w:szCs w:val="18"/>
                          <w:lang w:val="es-PE"/>
                        </w:rPr>
                        <w:t>1</w:t>
                      </w:r>
                      <w:r w:rsidR="0080006D" w:rsidRPr="007E1E29">
                        <w:rPr>
                          <w:rFonts w:asciiTheme="majorHAnsi" w:hAnsiTheme="majorHAnsi"/>
                          <w:color w:val="595959" w:themeColor="text1" w:themeTint="A6"/>
                          <w:sz w:val="18"/>
                          <w:szCs w:val="18"/>
                          <w:lang w:val="es-PE"/>
                        </w:rPr>
                        <w:t>21</w:t>
                      </w:r>
                      <w:r w:rsidR="002B4B34" w:rsidRPr="007E1E29">
                        <w:rPr>
                          <w:rFonts w:asciiTheme="majorHAnsi" w:hAnsiTheme="majorHAnsi"/>
                          <w:color w:val="595959" w:themeColor="text1" w:themeTint="A6"/>
                          <w:sz w:val="18"/>
                          <w:szCs w:val="18"/>
                          <w:lang w:val="es-PE"/>
                        </w:rPr>
                        <w:t>-14</w:t>
                      </w:r>
                      <w:r w:rsidR="000433C9" w:rsidRPr="007E1E29">
                        <w:rPr>
                          <w:rFonts w:asciiTheme="majorHAnsi" w:hAnsiTheme="majorHAnsi"/>
                          <w:color w:val="595959" w:themeColor="text1" w:themeTint="A6"/>
                          <w:sz w:val="18"/>
                          <w:szCs w:val="18"/>
                          <w:lang w:val="es-PE"/>
                        </w:rPr>
                        <w:t xml:space="preserve">. </w:t>
                      </w:r>
                      <w:r w:rsidR="00955CCE" w:rsidRPr="007E1E29">
                        <w:rPr>
                          <w:rFonts w:asciiTheme="majorHAnsi" w:hAnsiTheme="majorHAnsi"/>
                          <w:color w:val="595959" w:themeColor="text1" w:themeTint="A6"/>
                          <w:sz w:val="18"/>
                          <w:szCs w:val="18"/>
                          <w:lang w:val="es-PE"/>
                        </w:rPr>
                        <w:t>Inadmisibilidad</w:t>
                      </w:r>
                      <w:r w:rsidRPr="007E1E29">
                        <w:rPr>
                          <w:rFonts w:asciiTheme="majorHAnsi" w:hAnsiTheme="majorHAnsi"/>
                          <w:color w:val="595959" w:themeColor="text1" w:themeTint="A6"/>
                          <w:sz w:val="18"/>
                          <w:szCs w:val="18"/>
                          <w:lang w:val="es-PE"/>
                        </w:rPr>
                        <w:t xml:space="preserve">. </w:t>
                      </w:r>
                      <w:r w:rsidR="00C017B5" w:rsidRPr="007E1E29">
                        <w:rPr>
                          <w:rFonts w:asciiTheme="majorHAnsi" w:hAnsiTheme="majorHAnsi"/>
                          <w:color w:val="595959" w:themeColor="text1" w:themeTint="A6"/>
                          <w:sz w:val="18"/>
                          <w:szCs w:val="18"/>
                          <w:lang w:val="es-PE"/>
                        </w:rPr>
                        <w:t>Silvia Alicia Cristina Anaya Ferrel Barrera</w:t>
                      </w:r>
                      <w:r w:rsidR="0080006D" w:rsidRPr="007E1E29">
                        <w:rPr>
                          <w:rFonts w:asciiTheme="majorHAnsi" w:hAnsiTheme="majorHAnsi"/>
                          <w:color w:val="595959" w:themeColor="text1" w:themeTint="A6"/>
                          <w:sz w:val="18"/>
                          <w:szCs w:val="18"/>
                          <w:lang w:val="es-PE"/>
                        </w:rPr>
                        <w:t xml:space="preserve"> y otras</w:t>
                      </w:r>
                      <w:r w:rsidRPr="007E1E29">
                        <w:rPr>
                          <w:rFonts w:asciiTheme="majorHAnsi" w:hAnsiTheme="majorHAnsi"/>
                          <w:color w:val="595959" w:themeColor="text1" w:themeTint="A6"/>
                          <w:sz w:val="18"/>
                          <w:szCs w:val="18"/>
                          <w:lang w:val="es-PE"/>
                        </w:rPr>
                        <w:t xml:space="preserve">. </w:t>
                      </w:r>
                      <w:r w:rsidR="00C017B5" w:rsidRPr="007E1E29">
                        <w:rPr>
                          <w:rFonts w:asciiTheme="majorHAnsi" w:hAnsiTheme="majorHAnsi"/>
                          <w:color w:val="595959" w:themeColor="text1" w:themeTint="A6"/>
                          <w:sz w:val="18"/>
                          <w:szCs w:val="18"/>
                          <w:lang w:val="es-PE"/>
                        </w:rPr>
                        <w:t>Bolivia</w:t>
                      </w:r>
                      <w:r w:rsidRPr="007E1E29">
                        <w:rPr>
                          <w:rFonts w:asciiTheme="majorHAnsi" w:hAnsiTheme="majorHAnsi"/>
                          <w:color w:val="595959" w:themeColor="text1" w:themeTint="A6"/>
                          <w:sz w:val="18"/>
                          <w:szCs w:val="18"/>
                          <w:lang w:val="es-PE"/>
                        </w:rPr>
                        <w:t xml:space="preserve">. </w:t>
                      </w:r>
                      <w:r w:rsidR="00626D99">
                        <w:rPr>
                          <w:rFonts w:asciiTheme="majorHAnsi" w:hAnsiTheme="majorHAnsi"/>
                          <w:color w:val="595959" w:themeColor="text1" w:themeTint="A6"/>
                          <w:sz w:val="18"/>
                          <w:szCs w:val="18"/>
                          <w:lang w:val="es-PE"/>
                        </w:rPr>
                        <w:t>16 de mayo de 2025</w:t>
                      </w:r>
                      <w:r w:rsidRPr="007E1E29">
                        <w:rPr>
                          <w:rFonts w:asciiTheme="majorHAnsi" w:hAnsiTheme="majorHAnsi"/>
                          <w:color w:val="595959" w:themeColor="text1" w:themeTint="A6"/>
                          <w:sz w:val="18"/>
                          <w:szCs w:val="18"/>
                          <w:lang w:val="es-PE"/>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769DC78" w:rsidR="00D72DC6" w:rsidRPr="00D72DC6" w:rsidRDefault="00BC7F04" w:rsidP="00F02AD1">
                            <w:pPr>
                              <w:rPr>
                                <w:color w:val="FFFFFF" w:themeColor="background1"/>
                                <w14:textFill>
                                  <w14:noFill/>
                                </w14:textFill>
                              </w:rPr>
                            </w:pPr>
                            <w:r>
                              <w:rPr>
                                <w:noProof/>
                                <w:color w:val="FFFFFF" w:themeColor="background1"/>
                              </w:rPr>
                              <w:drawing>
                                <wp:inline distT="0" distB="0" distL="0" distR="0" wp14:anchorId="733BC421" wp14:editId="56E00C57">
                                  <wp:extent cx="1824355" cy="469265"/>
                                  <wp:effectExtent l="0" t="0" r="4445" b="6985"/>
                                  <wp:docPr id="959566510" name="Picture 9595665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3769DC78" w:rsidR="00D72DC6" w:rsidRPr="00D72DC6" w:rsidRDefault="00BC7F04" w:rsidP="00F02AD1">
                      <w:pPr>
                        <w:rPr>
                          <w:color w:val="FFFFFF" w:themeColor="background1"/>
                          <w14:textFill>
                            <w14:noFill/>
                          </w14:textFill>
                        </w:rPr>
                      </w:pPr>
                      <w:r>
                        <w:rPr>
                          <w:noProof/>
                          <w:color w:val="FFFFFF" w:themeColor="background1"/>
                        </w:rPr>
                        <w:drawing>
                          <wp:inline distT="0" distB="0" distL="0" distR="0" wp14:anchorId="733BC421" wp14:editId="56E00C57">
                            <wp:extent cx="1824355" cy="469265"/>
                            <wp:effectExtent l="0" t="0" r="4445" b="6985"/>
                            <wp:docPr id="959566510" name="Picture 9595665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96D6F"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7F922D5C" w:rsidR="003239B8" w:rsidRPr="00D13530" w:rsidRDefault="00B3529D" w:rsidP="00D13530">
            <w:pPr>
              <w:jc w:val="both"/>
              <w:rPr>
                <w:rFonts w:ascii="Cambria" w:hAnsi="Cambria"/>
                <w:bCs/>
                <w:sz w:val="20"/>
                <w:szCs w:val="20"/>
                <w:lang w:val="es-PE"/>
              </w:rPr>
            </w:pPr>
            <w:r w:rsidRPr="007C1433">
              <w:rPr>
                <w:rFonts w:ascii="Cambria" w:hAnsi="Cambria"/>
                <w:bCs/>
                <w:sz w:val="20"/>
                <w:szCs w:val="20"/>
                <w:lang w:val="es-ES"/>
              </w:rPr>
              <w:t>José Antonio Rivera Santivañez y Silvia Alicia Cristina Anaya Ferrel Barrera</w:t>
            </w:r>
          </w:p>
        </w:tc>
      </w:tr>
      <w:tr w:rsidR="003239B8" w:rsidRPr="00D96D6F"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A54F37">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62DD25A1" w:rsidR="003239B8" w:rsidRPr="000D05CB" w:rsidRDefault="00720273">
            <w:pPr>
              <w:jc w:val="both"/>
              <w:rPr>
                <w:rFonts w:ascii="Cambria" w:hAnsi="Cambria"/>
                <w:bCs/>
                <w:sz w:val="20"/>
                <w:szCs w:val="20"/>
                <w:lang w:val="es-ES"/>
              </w:rPr>
            </w:pPr>
            <w:r w:rsidRPr="007C1433">
              <w:rPr>
                <w:rFonts w:ascii="Cambria" w:hAnsi="Cambria"/>
                <w:bCs/>
                <w:sz w:val="20"/>
                <w:szCs w:val="20"/>
                <w:lang w:val="es-ES"/>
              </w:rPr>
              <w:t>Silvia Alicia Cristina Anaya Ferrel Barrera, Claudia Patricia Anaya Ferrel Barrera y Vilma Anaya Ferrel Barrera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4FEB0362" w:rsidR="003239B8" w:rsidRPr="000D05CB" w:rsidRDefault="003E316A">
            <w:pPr>
              <w:jc w:val="both"/>
              <w:rPr>
                <w:rFonts w:ascii="Cambria" w:hAnsi="Cambria"/>
                <w:bCs/>
                <w:sz w:val="20"/>
                <w:szCs w:val="20"/>
              </w:rPr>
            </w:pPr>
            <w:r>
              <w:rPr>
                <w:rFonts w:ascii="Cambria" w:hAnsi="Cambria"/>
                <w:bCs/>
                <w:sz w:val="20"/>
                <w:szCs w:val="20"/>
              </w:rPr>
              <w:t xml:space="preserve">Bolivia </w:t>
            </w:r>
          </w:p>
        </w:tc>
      </w:tr>
      <w:tr w:rsidR="00223A29" w:rsidRPr="007B1BBA"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3C8F628C" w:rsidR="00223A29" w:rsidRPr="00A22E3F" w:rsidRDefault="00AD5D67">
            <w:pPr>
              <w:jc w:val="both"/>
              <w:rPr>
                <w:rFonts w:ascii="Cambria" w:hAnsi="Cambria"/>
                <w:bCs/>
                <w:sz w:val="20"/>
                <w:szCs w:val="20"/>
                <w:lang w:val="es-PE"/>
              </w:rPr>
            </w:pPr>
            <w:r w:rsidRPr="00A22E3F">
              <w:rPr>
                <w:rFonts w:ascii="Cambria" w:hAnsi="Cambria"/>
                <w:bCs/>
                <w:sz w:val="20"/>
                <w:szCs w:val="20"/>
                <w:lang w:val="es-PE"/>
              </w:rPr>
              <w:t>Art</w:t>
            </w:r>
            <w:r w:rsidR="007E1E29" w:rsidRPr="001F0997">
              <w:rPr>
                <w:rFonts w:ascii="Cambria" w:hAnsi="Cambria"/>
                <w:bCs/>
                <w:sz w:val="20"/>
                <w:szCs w:val="20"/>
                <w:lang w:val="es-PE"/>
              </w:rPr>
              <w:t>ículos 8 (garan</w:t>
            </w:r>
            <w:r w:rsidR="007E1E29" w:rsidRPr="00A22E3F">
              <w:rPr>
                <w:rFonts w:ascii="Cambria" w:hAnsi="Cambria"/>
                <w:bCs/>
                <w:sz w:val="20"/>
                <w:szCs w:val="20"/>
                <w:lang w:val="es-PE"/>
              </w:rPr>
              <w:t>tías judiciales) y 25 (protección judicial)</w:t>
            </w:r>
            <w:r w:rsidR="00B42D8E">
              <w:rPr>
                <w:rFonts w:ascii="Cambria" w:hAnsi="Cambria"/>
                <w:bCs/>
                <w:sz w:val="20"/>
                <w:szCs w:val="20"/>
                <w:lang w:val="es-PE"/>
              </w:rPr>
              <w:t xml:space="preserve"> </w:t>
            </w:r>
            <w:r w:rsidR="00CE0CB2" w:rsidRPr="00A22E3F">
              <w:rPr>
                <w:rFonts w:ascii="Cambria" w:hAnsi="Cambria"/>
                <w:bCs/>
                <w:sz w:val="20"/>
                <w:szCs w:val="20"/>
                <w:lang w:val="es-ES"/>
              </w:rPr>
              <w:t>de la Convención Americana sobre Derechos Humanos</w:t>
            </w:r>
            <w:r w:rsidR="00CE0CB2" w:rsidRPr="00A22E3F">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6241053" w:rsidR="004C2312" w:rsidRPr="003239B8" w:rsidRDefault="005665B0">
            <w:pPr>
              <w:jc w:val="both"/>
              <w:rPr>
                <w:rFonts w:ascii="Cambria" w:hAnsi="Cambria"/>
                <w:bCs/>
                <w:sz w:val="20"/>
                <w:szCs w:val="20"/>
                <w:lang w:val="es-ES"/>
              </w:rPr>
            </w:pPr>
            <w:r>
              <w:rPr>
                <w:rFonts w:ascii="Cambria" w:hAnsi="Cambria"/>
                <w:bCs/>
                <w:sz w:val="20"/>
                <w:szCs w:val="20"/>
                <w:lang w:val="es-ES"/>
              </w:rPr>
              <w:t>24 de enero de 2014</w:t>
            </w:r>
          </w:p>
        </w:tc>
      </w:tr>
      <w:tr w:rsidR="00131425" w:rsidRPr="007B1BBA"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3F662E9A" w:rsidR="00131425" w:rsidRPr="003239B8" w:rsidRDefault="00F15934">
            <w:pPr>
              <w:jc w:val="both"/>
              <w:rPr>
                <w:rFonts w:ascii="Cambria" w:hAnsi="Cambria"/>
                <w:bCs/>
                <w:sz w:val="20"/>
                <w:szCs w:val="20"/>
                <w:lang w:val="es-ES"/>
              </w:rPr>
            </w:pPr>
            <w:r>
              <w:rPr>
                <w:rFonts w:ascii="Cambria" w:hAnsi="Cambria"/>
                <w:bCs/>
                <w:sz w:val="20"/>
                <w:szCs w:val="20"/>
                <w:lang w:val="es-ES"/>
              </w:rPr>
              <w:t xml:space="preserve">4 de febrero de 2014, </w:t>
            </w:r>
            <w:r w:rsidR="00562D48">
              <w:rPr>
                <w:rFonts w:ascii="Cambria" w:hAnsi="Cambria"/>
                <w:bCs/>
                <w:sz w:val="20"/>
                <w:szCs w:val="20"/>
                <w:lang w:val="es-ES"/>
              </w:rPr>
              <w:t>28 de marzo de 2016</w:t>
            </w:r>
            <w:r w:rsidR="000332AE">
              <w:rPr>
                <w:rFonts w:ascii="Cambria" w:hAnsi="Cambria"/>
                <w:bCs/>
                <w:sz w:val="20"/>
                <w:szCs w:val="20"/>
                <w:lang w:val="es-ES"/>
              </w:rPr>
              <w:t xml:space="preserve"> y</w:t>
            </w:r>
            <w:r w:rsidR="00562D48">
              <w:rPr>
                <w:rFonts w:ascii="Cambria" w:hAnsi="Cambria"/>
                <w:bCs/>
                <w:sz w:val="20"/>
                <w:szCs w:val="20"/>
                <w:lang w:val="es-ES"/>
              </w:rPr>
              <w:t xml:space="preserve"> 1 de abril de 2016, </w:t>
            </w:r>
          </w:p>
        </w:tc>
      </w:tr>
      <w:tr w:rsidR="004C2312" w:rsidRPr="005665B0"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2F2921C3" w:rsidR="004C2312" w:rsidRPr="003239B8" w:rsidRDefault="00034308">
            <w:pPr>
              <w:jc w:val="both"/>
              <w:rPr>
                <w:rFonts w:ascii="Cambria" w:hAnsi="Cambria"/>
                <w:bCs/>
                <w:sz w:val="20"/>
                <w:szCs w:val="20"/>
                <w:lang w:val="es-ES"/>
              </w:rPr>
            </w:pPr>
            <w:r>
              <w:rPr>
                <w:rFonts w:ascii="Cambria" w:hAnsi="Cambria"/>
                <w:bCs/>
                <w:sz w:val="20"/>
                <w:szCs w:val="20"/>
                <w:lang w:val="es-ES"/>
              </w:rPr>
              <w:t>25 de agosto de 2022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74715A28" w:rsidR="004C2312" w:rsidRPr="003239B8" w:rsidRDefault="006C2A80">
            <w:pPr>
              <w:jc w:val="both"/>
              <w:rPr>
                <w:rFonts w:ascii="Cambria" w:hAnsi="Cambria"/>
                <w:bCs/>
                <w:sz w:val="20"/>
                <w:szCs w:val="20"/>
                <w:lang w:val="es-ES"/>
              </w:rPr>
            </w:pPr>
            <w:r>
              <w:rPr>
                <w:rFonts w:ascii="Cambria" w:hAnsi="Cambria"/>
                <w:bCs/>
                <w:sz w:val="20"/>
                <w:szCs w:val="20"/>
                <w:lang w:val="es-ES"/>
              </w:rPr>
              <w:t>27 de diciembre de 2022</w:t>
            </w:r>
          </w:p>
        </w:tc>
      </w:tr>
      <w:tr w:rsidR="004C2312" w:rsidRPr="005665B0"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0181FEA5" w:rsidR="004C2312" w:rsidRPr="003239B8" w:rsidRDefault="00C60200">
            <w:pPr>
              <w:jc w:val="both"/>
              <w:rPr>
                <w:rFonts w:ascii="Cambria" w:hAnsi="Cambria"/>
                <w:bCs/>
                <w:sz w:val="20"/>
                <w:szCs w:val="20"/>
                <w:lang w:val="es-ES"/>
              </w:rPr>
            </w:pPr>
            <w:r>
              <w:rPr>
                <w:rFonts w:ascii="Cambria" w:hAnsi="Cambria"/>
                <w:bCs/>
                <w:sz w:val="20"/>
                <w:szCs w:val="20"/>
                <w:lang w:val="es-ES"/>
              </w:rPr>
              <w:t>7 de agosto de 2023</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5F28076C" w:rsidR="001E49E7" w:rsidRPr="003239B8" w:rsidRDefault="000332AE">
            <w:pPr>
              <w:jc w:val="both"/>
              <w:rPr>
                <w:rFonts w:ascii="Cambria" w:hAnsi="Cambria"/>
                <w:bCs/>
                <w:sz w:val="20"/>
                <w:szCs w:val="20"/>
                <w:lang w:val="es-ES"/>
              </w:rPr>
            </w:pPr>
            <w:r>
              <w:rPr>
                <w:rFonts w:ascii="Cambria" w:hAnsi="Cambria"/>
                <w:bCs/>
                <w:sz w:val="20"/>
                <w:szCs w:val="20"/>
                <w:lang w:val="es-ES"/>
              </w:rPr>
              <w:t>4 de marzo de 2021</w:t>
            </w:r>
          </w:p>
        </w:tc>
      </w:tr>
      <w:tr w:rsidR="001E49E7" w:rsidRPr="005665B0"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35766B8E" w:rsidR="001E49E7" w:rsidRPr="003239B8" w:rsidRDefault="000332AE">
            <w:pPr>
              <w:jc w:val="both"/>
              <w:rPr>
                <w:rFonts w:ascii="Cambria" w:hAnsi="Cambria"/>
                <w:bCs/>
                <w:sz w:val="20"/>
                <w:szCs w:val="20"/>
                <w:lang w:val="es-ES"/>
              </w:rPr>
            </w:pPr>
            <w:r>
              <w:rPr>
                <w:rFonts w:ascii="Cambria" w:hAnsi="Cambria"/>
                <w:bCs/>
                <w:sz w:val="20"/>
                <w:szCs w:val="20"/>
                <w:lang w:val="es-ES"/>
              </w:rPr>
              <w:t>30 de marzo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9A518E">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6" w:type="dxa"/>
            <w:vAlign w:val="center"/>
          </w:tcPr>
          <w:p w14:paraId="7707F3E9" w14:textId="4FD80BA3" w:rsidR="003239B8" w:rsidRPr="00B3745F" w:rsidRDefault="00337DA1">
            <w:pPr>
              <w:rPr>
                <w:rFonts w:ascii="Cambria" w:hAnsi="Cambria"/>
                <w:bCs/>
                <w:sz w:val="20"/>
                <w:szCs w:val="20"/>
              </w:rPr>
            </w:pPr>
            <w:r>
              <w:rPr>
                <w:rFonts w:ascii="Cambria" w:hAnsi="Cambria"/>
                <w:bCs/>
                <w:sz w:val="20"/>
                <w:szCs w:val="20"/>
              </w:rPr>
              <w:t>Sí</w:t>
            </w:r>
          </w:p>
        </w:tc>
      </w:tr>
      <w:tr w:rsidR="003239B8" w:rsidRPr="00540F17" w14:paraId="4B8802DA" w14:textId="77777777" w:rsidTr="009A518E">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6" w:type="dxa"/>
            <w:vAlign w:val="center"/>
          </w:tcPr>
          <w:p w14:paraId="12C931CB" w14:textId="1EA54F14" w:rsidR="003239B8" w:rsidRPr="00B3745F" w:rsidRDefault="00337DA1">
            <w:pPr>
              <w:rPr>
                <w:rFonts w:ascii="Cambria" w:hAnsi="Cambria"/>
                <w:bCs/>
                <w:sz w:val="20"/>
                <w:szCs w:val="20"/>
              </w:rPr>
            </w:pPr>
            <w:r>
              <w:rPr>
                <w:rFonts w:ascii="Cambria" w:hAnsi="Cambria"/>
                <w:bCs/>
                <w:sz w:val="20"/>
                <w:szCs w:val="20"/>
              </w:rPr>
              <w:t>Sí</w:t>
            </w:r>
          </w:p>
        </w:tc>
      </w:tr>
      <w:tr w:rsidR="003239B8" w:rsidRPr="007B1BBA" w14:paraId="4362FDF3" w14:textId="77777777" w:rsidTr="009A518E">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6" w:type="dxa"/>
            <w:vAlign w:val="center"/>
          </w:tcPr>
          <w:p w14:paraId="6F8B059B" w14:textId="48BE807D" w:rsidR="003239B8" w:rsidRPr="00271C57" w:rsidRDefault="00337DA1">
            <w:pPr>
              <w:rPr>
                <w:rFonts w:ascii="Cambria" w:hAnsi="Cambria"/>
                <w:bCs/>
                <w:sz w:val="20"/>
                <w:szCs w:val="20"/>
                <w:lang w:val="es-PE"/>
              </w:rPr>
            </w:pPr>
            <w:r w:rsidRPr="00271C57">
              <w:rPr>
                <w:rFonts w:ascii="Cambria" w:hAnsi="Cambria"/>
                <w:bCs/>
                <w:sz w:val="20"/>
                <w:szCs w:val="20"/>
                <w:lang w:val="es-PE"/>
              </w:rPr>
              <w:t>Sí</w:t>
            </w:r>
            <w:r w:rsidR="00271C57" w:rsidRPr="00271C57">
              <w:rPr>
                <w:rFonts w:ascii="Cambria" w:hAnsi="Cambria"/>
                <w:bCs/>
                <w:sz w:val="20"/>
                <w:szCs w:val="20"/>
                <w:lang w:val="es-PE"/>
              </w:rPr>
              <w:t>, en los términos d</w:t>
            </w:r>
            <w:r w:rsidR="00271C57">
              <w:rPr>
                <w:rFonts w:ascii="Cambria" w:hAnsi="Cambria"/>
                <w:bCs/>
                <w:sz w:val="20"/>
                <w:szCs w:val="20"/>
                <w:lang w:val="es-PE"/>
              </w:rPr>
              <w:t>e la sección VI</w:t>
            </w:r>
          </w:p>
        </w:tc>
      </w:tr>
      <w:tr w:rsidR="003239B8" w:rsidRPr="007B1BBA" w14:paraId="30ABEC3E" w14:textId="77777777" w:rsidTr="009A518E">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6" w:type="dxa"/>
            <w:vAlign w:val="center"/>
          </w:tcPr>
          <w:p w14:paraId="0C122F44" w14:textId="31F5EE8F" w:rsidR="003239B8" w:rsidRPr="00B3745F" w:rsidRDefault="00337DA1">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w:t>
            </w:r>
            <w:r w:rsidRPr="00ED6590">
              <w:rPr>
                <w:rFonts w:ascii="Cambria" w:hAnsi="Cambria"/>
                <w:bCs/>
                <w:sz w:val="20"/>
                <w:szCs w:val="20"/>
                <w:lang w:val="es-ES"/>
              </w:rPr>
              <w:t>do el 19 de julio de 1979)</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3E316A" w14:paraId="1231C988" w14:textId="77777777" w:rsidTr="009A518E">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3B2B5AA7" w:rsidR="00EE00E9" w:rsidRPr="00DC24E3" w:rsidRDefault="00573E32">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9A518E">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64765CE7" w:rsidR="003239B8" w:rsidRPr="00DC24E3" w:rsidRDefault="00B42D8E">
            <w:pPr>
              <w:jc w:val="both"/>
              <w:rPr>
                <w:rFonts w:ascii="Cambria" w:hAnsi="Cambria"/>
                <w:bCs/>
                <w:sz w:val="20"/>
                <w:szCs w:val="20"/>
              </w:rPr>
            </w:pPr>
            <w:r>
              <w:rPr>
                <w:rFonts w:ascii="Cambria" w:hAnsi="Cambria"/>
                <w:bCs/>
                <w:sz w:val="20"/>
                <w:szCs w:val="20"/>
              </w:rPr>
              <w:t>N</w:t>
            </w:r>
            <w:r w:rsidR="00850A9C">
              <w:rPr>
                <w:rFonts w:ascii="Cambria" w:hAnsi="Cambria"/>
                <w:bCs/>
                <w:sz w:val="20"/>
                <w:szCs w:val="20"/>
              </w:rPr>
              <w:t>inguno</w:t>
            </w:r>
          </w:p>
        </w:tc>
      </w:tr>
      <w:tr w:rsidR="003239B8" w:rsidRPr="007B1BBA" w14:paraId="4EFD141E" w14:textId="77777777" w:rsidTr="009A518E">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78F3CA21" w:rsidR="003239B8" w:rsidRPr="00DC24E3" w:rsidRDefault="00573E32">
            <w:pPr>
              <w:rPr>
                <w:rFonts w:ascii="Cambria" w:hAnsi="Cambria"/>
                <w:bCs/>
                <w:sz w:val="20"/>
                <w:szCs w:val="20"/>
                <w:lang w:val="es-ES"/>
              </w:rPr>
            </w:pPr>
            <w:r>
              <w:rPr>
                <w:rFonts w:ascii="Cambria" w:hAnsi="Cambria"/>
                <w:bCs/>
                <w:sz w:val="20"/>
                <w:szCs w:val="20"/>
                <w:lang w:val="es-ES"/>
              </w:rPr>
              <w:t>Sí, en los términos de la sección V</w:t>
            </w:r>
            <w:r w:rsidR="00271C57">
              <w:rPr>
                <w:rFonts w:ascii="Cambria" w:hAnsi="Cambria"/>
                <w:bCs/>
                <w:sz w:val="20"/>
                <w:szCs w:val="20"/>
                <w:lang w:val="es-ES"/>
              </w:rPr>
              <w:t>II</w:t>
            </w:r>
          </w:p>
        </w:tc>
      </w:tr>
      <w:tr w:rsidR="003239B8" w:rsidRPr="007B1BBA" w14:paraId="52B5BA17" w14:textId="77777777" w:rsidTr="009A518E">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438C737F" w:rsidR="003239B8" w:rsidRPr="00573E32" w:rsidRDefault="00573E32">
            <w:pPr>
              <w:rPr>
                <w:rFonts w:ascii="Cambria" w:hAnsi="Cambria"/>
                <w:bCs/>
                <w:sz w:val="20"/>
                <w:szCs w:val="20"/>
                <w:lang w:val="es-PE"/>
              </w:rPr>
            </w:pPr>
            <w:r w:rsidRPr="00573E32">
              <w:rPr>
                <w:rFonts w:ascii="Cambria" w:hAnsi="Cambria"/>
                <w:bCs/>
                <w:sz w:val="20"/>
                <w:szCs w:val="20"/>
                <w:lang w:val="es-PE"/>
              </w:rPr>
              <w:t>Sí, en los términos d</w:t>
            </w:r>
            <w:r>
              <w:rPr>
                <w:rFonts w:ascii="Cambria" w:hAnsi="Cambria"/>
                <w:bCs/>
                <w:sz w:val="20"/>
                <w:szCs w:val="20"/>
                <w:lang w:val="es-PE"/>
              </w:rPr>
              <w:t>e la sección VI</w:t>
            </w:r>
            <w:r w:rsidR="00271C57">
              <w:rPr>
                <w:rFonts w:ascii="Cambria" w:hAnsi="Cambria"/>
                <w:bCs/>
                <w:sz w:val="20"/>
                <w:szCs w:val="20"/>
                <w:lang w:val="es-PE"/>
              </w:rPr>
              <w:t>I</w:t>
            </w:r>
          </w:p>
        </w:tc>
      </w:tr>
    </w:tbl>
    <w:p w14:paraId="18E6423B" w14:textId="0107F3A7" w:rsidR="003239B8" w:rsidRPr="00605EDB" w:rsidRDefault="00223A29" w:rsidP="000C3963">
      <w:pPr>
        <w:spacing w:before="240" w:after="240"/>
        <w:ind w:firstLine="720"/>
        <w:jc w:val="both"/>
        <w:rPr>
          <w:rFonts w:asciiTheme="majorHAnsi" w:hAnsiTheme="majorHAnsi"/>
          <w:b/>
          <w:sz w:val="20"/>
          <w:szCs w:val="20"/>
          <w:lang w:val="es-UY"/>
        </w:rPr>
      </w:pPr>
      <w:r w:rsidRPr="00605EDB">
        <w:rPr>
          <w:rFonts w:asciiTheme="majorHAnsi" w:hAnsiTheme="majorHAnsi"/>
          <w:b/>
          <w:sz w:val="20"/>
          <w:szCs w:val="20"/>
          <w:lang w:val="es-UY"/>
        </w:rPr>
        <w:t xml:space="preserve">V. </w:t>
      </w:r>
      <w:r w:rsidRPr="00605EDB">
        <w:rPr>
          <w:rFonts w:asciiTheme="majorHAnsi" w:hAnsiTheme="majorHAnsi"/>
          <w:b/>
          <w:sz w:val="20"/>
          <w:szCs w:val="20"/>
          <w:lang w:val="es-UY"/>
        </w:rPr>
        <w:tab/>
      </w:r>
      <w:r w:rsidR="00867314" w:rsidRPr="00605EDB">
        <w:rPr>
          <w:rFonts w:asciiTheme="majorHAnsi" w:hAnsiTheme="majorHAnsi"/>
          <w:b/>
          <w:sz w:val="20"/>
          <w:szCs w:val="20"/>
          <w:lang w:val="es-UY"/>
        </w:rPr>
        <w:t>POSICIÓN DE LAS PARTES</w:t>
      </w:r>
    </w:p>
    <w:p w14:paraId="41B0FC8F" w14:textId="6D7E219A" w:rsidR="003819F3" w:rsidRPr="00605EDB" w:rsidRDefault="005F4F5E" w:rsidP="000C3963">
      <w:pPr>
        <w:spacing w:before="240" w:after="240"/>
        <w:ind w:firstLine="720"/>
        <w:jc w:val="both"/>
        <w:rPr>
          <w:rFonts w:asciiTheme="majorHAnsi" w:hAnsiTheme="majorHAnsi"/>
          <w:b/>
          <w:sz w:val="20"/>
          <w:szCs w:val="20"/>
          <w:lang w:val="es-UY"/>
        </w:rPr>
      </w:pPr>
      <w:r w:rsidRPr="00605EDB">
        <w:rPr>
          <w:rFonts w:asciiTheme="majorHAnsi" w:hAnsiTheme="majorHAnsi"/>
          <w:b/>
          <w:sz w:val="20"/>
          <w:szCs w:val="20"/>
          <w:lang w:val="es-UY"/>
        </w:rPr>
        <w:t>L</w:t>
      </w:r>
      <w:r w:rsidR="0083100C" w:rsidRPr="00605EDB">
        <w:rPr>
          <w:rFonts w:asciiTheme="majorHAnsi" w:hAnsiTheme="majorHAnsi"/>
          <w:b/>
          <w:sz w:val="20"/>
          <w:szCs w:val="20"/>
          <w:lang w:val="es-UY"/>
        </w:rPr>
        <w:t>a parte peticionaria</w:t>
      </w:r>
    </w:p>
    <w:p w14:paraId="54AD898F" w14:textId="51160F25" w:rsidR="00800EB6" w:rsidRPr="00605EDB" w:rsidRDefault="00800EB6" w:rsidP="000325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b/>
          <w:bCs/>
          <w:i/>
          <w:iCs/>
          <w:sz w:val="20"/>
          <w:szCs w:val="20"/>
          <w:lang w:val="es-PE"/>
        </w:rPr>
      </w:pPr>
      <w:r w:rsidRPr="00605EDB">
        <w:rPr>
          <w:rFonts w:asciiTheme="majorHAnsi" w:hAnsiTheme="majorHAnsi"/>
          <w:sz w:val="20"/>
          <w:szCs w:val="20"/>
          <w:lang w:val="es-PE"/>
        </w:rPr>
        <w:t>La parte peticionaria denuncia que debido a los actos ilegales y omisiones del Estado su derecho de propiedad sobre el Fundo “La Tamborada” ha sido vulnerado. En particular, sostiene que la falta de cumplimiento de decisiones judiciales favorables</w:t>
      </w:r>
      <w:r w:rsidR="002759A9" w:rsidRPr="00605EDB">
        <w:rPr>
          <w:rFonts w:asciiTheme="majorHAnsi" w:hAnsiTheme="majorHAnsi"/>
          <w:sz w:val="20"/>
          <w:szCs w:val="20"/>
          <w:lang w:val="es-PE"/>
        </w:rPr>
        <w:t>,</w:t>
      </w:r>
      <w:r w:rsidRPr="00605EDB">
        <w:rPr>
          <w:rFonts w:asciiTheme="majorHAnsi" w:hAnsiTheme="majorHAnsi"/>
          <w:sz w:val="20"/>
          <w:szCs w:val="20"/>
          <w:lang w:val="es-PE"/>
        </w:rPr>
        <w:t xml:space="preserve"> la emisión de resoluciones administrativas arbitrarias</w:t>
      </w:r>
      <w:r w:rsidR="002759A9" w:rsidRPr="00605EDB">
        <w:rPr>
          <w:rFonts w:asciiTheme="majorHAnsi" w:hAnsiTheme="majorHAnsi"/>
          <w:sz w:val="20"/>
          <w:szCs w:val="20"/>
          <w:lang w:val="es-PE"/>
        </w:rPr>
        <w:t>,</w:t>
      </w:r>
      <w:r w:rsidRPr="00605EDB">
        <w:rPr>
          <w:rFonts w:asciiTheme="majorHAnsi" w:hAnsiTheme="majorHAnsi"/>
          <w:sz w:val="20"/>
          <w:szCs w:val="20"/>
          <w:lang w:val="es-PE"/>
        </w:rPr>
        <w:t xml:space="preserve"> </w:t>
      </w:r>
      <w:r w:rsidRPr="00605EDB">
        <w:rPr>
          <w:rFonts w:asciiTheme="majorHAnsi" w:hAnsiTheme="majorHAnsi"/>
          <w:sz w:val="20"/>
          <w:szCs w:val="20"/>
          <w:lang w:val="es-PE"/>
        </w:rPr>
        <w:lastRenderedPageBreak/>
        <w:t>y la omisión estatal en garantizar la expulsión de ocupantes ilegales han derivado en su desposesión forzada y en una violación continua de sus derechos humanos.</w:t>
      </w:r>
    </w:p>
    <w:p w14:paraId="5F91276A" w14:textId="3540F5E0" w:rsidR="00800EB6" w:rsidRPr="00605EDB" w:rsidRDefault="00800EB6" w:rsidP="00BC02C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AR"/>
        </w:rPr>
      </w:pPr>
      <w:r w:rsidRPr="00605EDB">
        <w:rPr>
          <w:rFonts w:asciiTheme="majorHAnsi" w:hAnsiTheme="majorHAnsi"/>
          <w:i/>
          <w:iCs/>
          <w:sz w:val="20"/>
          <w:szCs w:val="20"/>
          <w:lang w:val="es-PE"/>
        </w:rPr>
        <w:t>Antecedentes</w:t>
      </w:r>
    </w:p>
    <w:p w14:paraId="5B2B82B2" w14:textId="335B5100" w:rsidR="00800EB6" w:rsidRPr="00605EDB" w:rsidRDefault="00800EB6" w:rsidP="00BC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La parte peticionaria explica que el conflicto sobre la propiedad del Fundo “La Tamborada” en Cochabamba</w:t>
      </w:r>
      <w:r w:rsidR="00E82AD7" w:rsidRPr="00605EDB">
        <w:rPr>
          <w:rFonts w:asciiTheme="majorHAnsi" w:hAnsiTheme="majorHAnsi"/>
          <w:sz w:val="20"/>
          <w:szCs w:val="20"/>
          <w:lang w:val="es-PE"/>
        </w:rPr>
        <w:t xml:space="preserve"> </w:t>
      </w:r>
      <w:r w:rsidRPr="00605EDB">
        <w:rPr>
          <w:rFonts w:asciiTheme="majorHAnsi" w:hAnsiTheme="majorHAnsi"/>
          <w:sz w:val="20"/>
          <w:szCs w:val="20"/>
          <w:lang w:val="es-PE"/>
        </w:rPr>
        <w:t xml:space="preserve">se originó a fines del siglo XIX, cuando Francisco Anaya Escobar y su esposa Esperanza Ustariz adquirieron el terreno mediante compras realizadas entre 1889 y 1901. A la muerte de Francisco </w:t>
      </w:r>
      <w:r w:rsidR="00E82AD7" w:rsidRPr="00605EDB">
        <w:rPr>
          <w:rFonts w:asciiTheme="majorHAnsi" w:hAnsiTheme="majorHAnsi"/>
          <w:sz w:val="20"/>
          <w:szCs w:val="20"/>
          <w:lang w:val="es-PE"/>
        </w:rPr>
        <w:t xml:space="preserve">Anaya </w:t>
      </w:r>
      <w:r w:rsidRPr="00605EDB">
        <w:rPr>
          <w:rFonts w:asciiTheme="majorHAnsi" w:hAnsiTheme="majorHAnsi"/>
          <w:sz w:val="20"/>
          <w:szCs w:val="20"/>
          <w:lang w:val="es-PE"/>
        </w:rPr>
        <w:t>en 1903 la propiedad quedó a nombre de su esposa, y posteriormente fue heredada por su hijo, Benjamín Anaya Ustariz, quien consolidó la propiedad al adquirir los derechos de sus hermanos en 1921. Durante su posesión, Benjamín Anaya Ustariz desarrolló una industria lechera con ganado y maquinaria especializada.</w:t>
      </w:r>
    </w:p>
    <w:p w14:paraId="281C7100" w14:textId="46903E8E" w:rsidR="00800EB6" w:rsidRPr="00605EDB" w:rsidRDefault="00800EB6" w:rsidP="00BC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 xml:space="preserve">En 1955, como consecuencia de la Ley de Reforma Agraria, campesinos locales ocuparon </w:t>
      </w:r>
      <w:r w:rsidR="006B27FC" w:rsidRPr="00605EDB">
        <w:rPr>
          <w:rFonts w:asciiTheme="majorHAnsi" w:hAnsiTheme="majorHAnsi"/>
          <w:sz w:val="20"/>
          <w:szCs w:val="20"/>
          <w:lang w:val="es-PE"/>
        </w:rPr>
        <w:t xml:space="preserve">de facto </w:t>
      </w:r>
      <w:r w:rsidRPr="00605EDB">
        <w:rPr>
          <w:rFonts w:asciiTheme="majorHAnsi" w:hAnsiTheme="majorHAnsi"/>
          <w:sz w:val="20"/>
          <w:szCs w:val="20"/>
          <w:lang w:val="es-PE"/>
        </w:rPr>
        <w:t xml:space="preserve">parte del fundo, intentando destruir la maquinaria e interfiriendo en la producción. </w:t>
      </w:r>
      <w:r w:rsidR="00075CD6" w:rsidRPr="00605EDB">
        <w:rPr>
          <w:rFonts w:asciiTheme="majorHAnsi" w:hAnsiTheme="majorHAnsi"/>
          <w:sz w:val="20"/>
          <w:szCs w:val="20"/>
          <w:lang w:val="es-PE"/>
        </w:rPr>
        <w:t>Así</w:t>
      </w:r>
      <w:r w:rsidRPr="00605EDB">
        <w:rPr>
          <w:rFonts w:asciiTheme="majorHAnsi" w:hAnsiTheme="majorHAnsi"/>
          <w:sz w:val="20"/>
          <w:szCs w:val="20"/>
          <w:lang w:val="es-PE"/>
        </w:rPr>
        <w:t>, luego de un prolongado proceso agrario iniciado por Benjamín Anaya el 11 de junio de 1958</w:t>
      </w:r>
      <w:r w:rsidR="00075CD6" w:rsidRPr="00605EDB">
        <w:rPr>
          <w:rFonts w:asciiTheme="majorHAnsi" w:hAnsiTheme="majorHAnsi"/>
          <w:sz w:val="20"/>
          <w:szCs w:val="20"/>
          <w:lang w:val="es-PE"/>
        </w:rPr>
        <w:t>,</w:t>
      </w:r>
      <w:r w:rsidRPr="00605EDB">
        <w:rPr>
          <w:rFonts w:asciiTheme="majorHAnsi" w:hAnsiTheme="majorHAnsi"/>
          <w:sz w:val="20"/>
          <w:szCs w:val="20"/>
          <w:lang w:val="es-PE"/>
        </w:rPr>
        <w:t xml:space="preserve"> el entonces presidente de la República, en su calidad de máxima autoridad del Servicio Nacional de Reforma Agraria, declaró mediante la Resolución Suprema N.º 77322 al Fundo “La Tamborada” como una propiedad agraria inafectable y consolidó el derecho propietario sobre 112,45 hectáreas mediante un </w:t>
      </w:r>
      <w:r w:rsidR="00534ACA" w:rsidRPr="00605EDB">
        <w:rPr>
          <w:rFonts w:asciiTheme="majorHAnsi" w:hAnsiTheme="majorHAnsi"/>
          <w:sz w:val="20"/>
          <w:szCs w:val="20"/>
          <w:lang w:val="es-PE"/>
        </w:rPr>
        <w:t>t</w:t>
      </w:r>
      <w:r w:rsidRPr="00605EDB">
        <w:rPr>
          <w:rFonts w:asciiTheme="majorHAnsi" w:hAnsiTheme="majorHAnsi"/>
          <w:sz w:val="20"/>
          <w:szCs w:val="20"/>
          <w:lang w:val="es-PE"/>
        </w:rPr>
        <w:t>ítulo jecutorial.</w:t>
      </w:r>
      <w:r w:rsidR="009E749D" w:rsidRPr="00605EDB">
        <w:rPr>
          <w:rFonts w:asciiTheme="majorHAnsi" w:hAnsiTheme="majorHAnsi"/>
          <w:sz w:val="20"/>
          <w:szCs w:val="20"/>
          <w:lang w:val="es-PE"/>
        </w:rPr>
        <w:t xml:space="preserve"> </w:t>
      </w:r>
      <w:r w:rsidRPr="00605EDB">
        <w:rPr>
          <w:rFonts w:asciiTheme="majorHAnsi" w:hAnsiTheme="majorHAnsi"/>
          <w:sz w:val="20"/>
          <w:szCs w:val="20"/>
          <w:lang w:val="es-PE"/>
        </w:rPr>
        <w:t xml:space="preserve">Sin embargo, el Estado no otorgó protección efectiva, permitiendo que los campesinos continuaran ocupando las tierras por la fuerza. Debido a ello, Benjamín Anaya </w:t>
      </w:r>
      <w:r w:rsidR="00885E60" w:rsidRPr="00605EDB">
        <w:rPr>
          <w:rFonts w:asciiTheme="majorHAnsi" w:hAnsiTheme="majorHAnsi"/>
          <w:sz w:val="20"/>
          <w:szCs w:val="20"/>
          <w:lang w:val="es-PE"/>
        </w:rPr>
        <w:t>ejerció</w:t>
      </w:r>
      <w:r w:rsidRPr="00605EDB">
        <w:rPr>
          <w:rFonts w:asciiTheme="majorHAnsi" w:hAnsiTheme="majorHAnsi"/>
          <w:sz w:val="20"/>
          <w:szCs w:val="20"/>
          <w:lang w:val="es-PE"/>
        </w:rPr>
        <w:t xml:space="preserve"> demandas por daños y perjuicios, abigeato</w:t>
      </w:r>
      <w:r w:rsidR="001A4B0A" w:rsidRPr="00605EDB">
        <w:rPr>
          <w:rFonts w:asciiTheme="majorHAnsi" w:hAnsiTheme="majorHAnsi"/>
          <w:sz w:val="20"/>
          <w:szCs w:val="20"/>
          <w:lang w:val="es-PE"/>
        </w:rPr>
        <w:t>,</w:t>
      </w:r>
      <w:r w:rsidRPr="00605EDB">
        <w:rPr>
          <w:rFonts w:asciiTheme="majorHAnsi" w:hAnsiTheme="majorHAnsi"/>
          <w:sz w:val="20"/>
          <w:szCs w:val="20"/>
          <w:lang w:val="es-PE"/>
        </w:rPr>
        <w:t xml:space="preserve"> y</w:t>
      </w:r>
      <w:r w:rsidR="001A4B0A" w:rsidRPr="00605EDB">
        <w:rPr>
          <w:rFonts w:asciiTheme="majorHAnsi" w:hAnsiTheme="majorHAnsi"/>
          <w:sz w:val="20"/>
          <w:szCs w:val="20"/>
          <w:lang w:val="es-PE"/>
        </w:rPr>
        <w:t xml:space="preserve"> además un</w:t>
      </w:r>
      <w:r w:rsidRPr="00605EDB">
        <w:rPr>
          <w:rFonts w:asciiTheme="majorHAnsi" w:hAnsiTheme="majorHAnsi"/>
          <w:sz w:val="20"/>
          <w:szCs w:val="20"/>
          <w:lang w:val="es-PE"/>
        </w:rPr>
        <w:t xml:space="preserve"> amparo administrativo, obteniendo sentencias favorables que el Estado nunca ejecutó.</w:t>
      </w:r>
    </w:p>
    <w:p w14:paraId="13329F7D" w14:textId="01B09E3C" w:rsidR="00800EB6" w:rsidRPr="00605EDB" w:rsidRDefault="00800EB6" w:rsidP="00BC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 xml:space="preserve">A la muerte de Benjamín Anaya en 1973 sus herederos continuaron con las acciones legales, enfrentándose a ocupaciones violentas y demandas de intervención fraudulentas promovidas por los campesinos, quienes incluso lograron obtener títulos ejecutoriales mediante procesos irregulares. A lo largo de </w:t>
      </w:r>
      <w:r w:rsidR="00890DBE" w:rsidRPr="00605EDB">
        <w:rPr>
          <w:rFonts w:asciiTheme="majorHAnsi" w:hAnsiTheme="majorHAnsi"/>
          <w:sz w:val="20"/>
          <w:szCs w:val="20"/>
          <w:lang w:val="es-PE"/>
        </w:rPr>
        <w:t>las décadas de los</w:t>
      </w:r>
      <w:r w:rsidRPr="00605EDB">
        <w:rPr>
          <w:rFonts w:asciiTheme="majorHAnsi" w:hAnsiTheme="majorHAnsi"/>
          <w:sz w:val="20"/>
          <w:szCs w:val="20"/>
          <w:lang w:val="es-PE"/>
        </w:rPr>
        <w:t xml:space="preserve"> 80</w:t>
      </w:r>
      <w:r w:rsidR="00B81164" w:rsidRPr="00605EDB">
        <w:rPr>
          <w:rFonts w:asciiTheme="majorHAnsi" w:hAnsiTheme="majorHAnsi"/>
          <w:sz w:val="20"/>
          <w:szCs w:val="20"/>
          <w:lang w:val="es-PE"/>
        </w:rPr>
        <w:t>’</w:t>
      </w:r>
      <w:r w:rsidR="00890DBE" w:rsidRPr="00605EDB">
        <w:rPr>
          <w:rFonts w:asciiTheme="majorHAnsi" w:hAnsiTheme="majorHAnsi"/>
          <w:sz w:val="20"/>
          <w:szCs w:val="20"/>
          <w:lang w:val="es-PE"/>
        </w:rPr>
        <w:t>s</w:t>
      </w:r>
      <w:r w:rsidRPr="00605EDB">
        <w:rPr>
          <w:rFonts w:asciiTheme="majorHAnsi" w:hAnsiTheme="majorHAnsi"/>
          <w:sz w:val="20"/>
          <w:szCs w:val="20"/>
          <w:lang w:val="es-PE"/>
        </w:rPr>
        <w:t xml:space="preserve"> y 90</w:t>
      </w:r>
      <w:r w:rsidR="00B81164" w:rsidRPr="00605EDB">
        <w:rPr>
          <w:rFonts w:asciiTheme="majorHAnsi" w:hAnsiTheme="majorHAnsi"/>
          <w:sz w:val="20"/>
          <w:szCs w:val="20"/>
          <w:lang w:val="es-PE"/>
        </w:rPr>
        <w:t>’</w:t>
      </w:r>
      <w:r w:rsidR="00890DBE" w:rsidRPr="00605EDB">
        <w:rPr>
          <w:rFonts w:asciiTheme="majorHAnsi" w:hAnsiTheme="majorHAnsi"/>
          <w:sz w:val="20"/>
          <w:szCs w:val="20"/>
          <w:lang w:val="es-PE"/>
        </w:rPr>
        <w:t>s</w:t>
      </w:r>
      <w:r w:rsidRPr="00605EDB">
        <w:rPr>
          <w:rFonts w:asciiTheme="majorHAnsi" w:hAnsiTheme="majorHAnsi"/>
          <w:sz w:val="20"/>
          <w:szCs w:val="20"/>
          <w:lang w:val="es-PE"/>
        </w:rPr>
        <w:t xml:space="preserve"> el conflicto persistió con nuevas demandas de saneamiento agrario y ocupación ilegal.</w:t>
      </w:r>
    </w:p>
    <w:p w14:paraId="363FFE69" w14:textId="19298348" w:rsidR="00800EB6" w:rsidRPr="00605EDB" w:rsidRDefault="00800EB6" w:rsidP="00BC02C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color w:val="auto"/>
          <w:sz w:val="20"/>
          <w:szCs w:val="20"/>
          <w:lang w:val="es-PE"/>
        </w:rPr>
      </w:pPr>
      <w:r w:rsidRPr="00605EDB">
        <w:rPr>
          <w:rFonts w:asciiTheme="majorHAnsi" w:hAnsiTheme="majorHAnsi"/>
          <w:i/>
          <w:iCs/>
          <w:color w:val="auto"/>
          <w:sz w:val="20"/>
          <w:szCs w:val="20"/>
          <w:lang w:val="es-PE"/>
        </w:rPr>
        <w:t>Proceso de saneamiento agrario</w:t>
      </w:r>
    </w:p>
    <w:p w14:paraId="6B93D478" w14:textId="43E41D56" w:rsidR="00800EB6" w:rsidRPr="00605EDB" w:rsidRDefault="00800EB6" w:rsidP="00BC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 xml:space="preserve">En este contexto, en 2001 el Sindicato Agrario </w:t>
      </w:r>
      <w:r w:rsidR="005344A7" w:rsidRPr="00605EDB">
        <w:rPr>
          <w:rFonts w:asciiTheme="majorHAnsi" w:hAnsiTheme="majorHAnsi"/>
          <w:sz w:val="20"/>
          <w:szCs w:val="20"/>
          <w:lang w:val="es-PE"/>
        </w:rPr>
        <w:t>“</w:t>
      </w:r>
      <w:r w:rsidRPr="00605EDB">
        <w:rPr>
          <w:rFonts w:asciiTheme="majorHAnsi" w:hAnsiTheme="majorHAnsi"/>
          <w:sz w:val="20"/>
          <w:szCs w:val="20"/>
          <w:lang w:val="es-PE"/>
        </w:rPr>
        <w:t>Tamborada A</w:t>
      </w:r>
      <w:r w:rsidR="005344A7" w:rsidRPr="00605EDB">
        <w:rPr>
          <w:rFonts w:asciiTheme="majorHAnsi" w:hAnsiTheme="majorHAnsi"/>
          <w:sz w:val="20"/>
          <w:szCs w:val="20"/>
          <w:lang w:val="es-PE"/>
        </w:rPr>
        <w:t>”</w:t>
      </w:r>
      <w:r w:rsidRPr="00605EDB">
        <w:rPr>
          <w:rFonts w:asciiTheme="majorHAnsi" w:hAnsiTheme="majorHAnsi"/>
          <w:sz w:val="20"/>
          <w:szCs w:val="20"/>
          <w:lang w:val="es-PE"/>
        </w:rPr>
        <w:t xml:space="preserve">, conformado por campesinos, presentó una solicitud ante el Instituto Nacional de Reforma Agraria (en adelante, INRA) para iniciar un proceso de saneamiento agrario. En respuesta, el INRA aceptó el pedido </w:t>
      </w:r>
      <w:r w:rsidR="00390E8E" w:rsidRPr="00605EDB">
        <w:rPr>
          <w:rFonts w:asciiTheme="majorHAnsi" w:hAnsiTheme="majorHAnsi"/>
          <w:sz w:val="20"/>
          <w:szCs w:val="20"/>
          <w:lang w:val="es-PE"/>
        </w:rPr>
        <w:t>e inició</w:t>
      </w:r>
      <w:r w:rsidRPr="00605EDB">
        <w:rPr>
          <w:rFonts w:asciiTheme="majorHAnsi" w:hAnsiTheme="majorHAnsi"/>
          <w:sz w:val="20"/>
          <w:szCs w:val="20"/>
          <w:lang w:val="es-PE"/>
        </w:rPr>
        <w:t xml:space="preserve"> </w:t>
      </w:r>
      <w:r w:rsidR="00534ACA" w:rsidRPr="00605EDB">
        <w:rPr>
          <w:rFonts w:asciiTheme="majorHAnsi" w:hAnsiTheme="majorHAnsi"/>
          <w:sz w:val="20"/>
          <w:szCs w:val="20"/>
          <w:lang w:val="es-PE"/>
        </w:rPr>
        <w:t>e</w:t>
      </w:r>
      <w:r w:rsidRPr="00605EDB">
        <w:rPr>
          <w:rFonts w:asciiTheme="majorHAnsi" w:hAnsiTheme="majorHAnsi"/>
          <w:sz w:val="20"/>
          <w:szCs w:val="20"/>
          <w:lang w:val="es-PE"/>
        </w:rPr>
        <w:t>l procedimiento correspondiente.</w:t>
      </w:r>
    </w:p>
    <w:p w14:paraId="5F164D94" w14:textId="1F3ACDF8" w:rsidR="00800EB6" w:rsidRPr="00605EDB" w:rsidRDefault="00800EB6" w:rsidP="00BC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 xml:space="preserve">Según la parte peticionaria, dicho proceso estuvo viciado por diversas irregularidades que afectaron gravemente su derecho </w:t>
      </w:r>
      <w:r w:rsidR="000649FA" w:rsidRPr="00605EDB">
        <w:rPr>
          <w:rFonts w:asciiTheme="majorHAnsi" w:hAnsiTheme="majorHAnsi"/>
          <w:sz w:val="20"/>
          <w:szCs w:val="20"/>
          <w:lang w:val="es-PE"/>
        </w:rPr>
        <w:t>a la</w:t>
      </w:r>
      <w:r w:rsidRPr="00605EDB">
        <w:rPr>
          <w:rFonts w:asciiTheme="majorHAnsi" w:hAnsiTheme="majorHAnsi"/>
          <w:sz w:val="20"/>
          <w:szCs w:val="20"/>
          <w:lang w:val="es-PE"/>
        </w:rPr>
        <w:t xml:space="preserve"> propiedad y al debido proceso. En primer lugar, el saneamiento se inició sin un informe técnico y jurídico que justificara la necesidad de la intervención, lo que </w:t>
      </w:r>
      <w:r w:rsidR="008802CC" w:rsidRPr="00605EDB">
        <w:rPr>
          <w:rFonts w:asciiTheme="majorHAnsi" w:hAnsiTheme="majorHAnsi"/>
          <w:sz w:val="20"/>
          <w:szCs w:val="20"/>
          <w:lang w:val="es-PE"/>
        </w:rPr>
        <w:t>habría vulnerado</w:t>
      </w:r>
      <w:r w:rsidRPr="00605EDB">
        <w:rPr>
          <w:rFonts w:asciiTheme="majorHAnsi" w:hAnsiTheme="majorHAnsi"/>
          <w:sz w:val="20"/>
          <w:szCs w:val="20"/>
          <w:lang w:val="es-PE"/>
        </w:rPr>
        <w:t xml:space="preserve"> las disposiciones normativas aplicables. Asimismo, </w:t>
      </w:r>
      <w:r w:rsidR="002147F5" w:rsidRPr="00605EDB">
        <w:rPr>
          <w:rFonts w:asciiTheme="majorHAnsi" w:hAnsiTheme="majorHAnsi"/>
          <w:sz w:val="20"/>
          <w:szCs w:val="20"/>
          <w:lang w:val="es-PE"/>
        </w:rPr>
        <w:t>alega</w:t>
      </w:r>
      <w:r w:rsidRPr="00605EDB">
        <w:rPr>
          <w:rFonts w:asciiTheme="majorHAnsi" w:hAnsiTheme="majorHAnsi"/>
          <w:sz w:val="20"/>
          <w:szCs w:val="20"/>
          <w:lang w:val="es-PE"/>
        </w:rPr>
        <w:t xml:space="preserve"> que las autoridades del INRA celebraron un convenio con el Sindicato Agrario </w:t>
      </w:r>
      <w:r w:rsidR="005344A7" w:rsidRPr="00605EDB">
        <w:rPr>
          <w:rFonts w:asciiTheme="majorHAnsi" w:hAnsiTheme="majorHAnsi"/>
          <w:sz w:val="20"/>
          <w:szCs w:val="20"/>
          <w:lang w:val="es-PE"/>
        </w:rPr>
        <w:t>“</w:t>
      </w:r>
      <w:r w:rsidRPr="00605EDB">
        <w:rPr>
          <w:rFonts w:asciiTheme="majorHAnsi" w:hAnsiTheme="majorHAnsi"/>
          <w:sz w:val="20"/>
          <w:szCs w:val="20"/>
          <w:lang w:val="es-PE"/>
        </w:rPr>
        <w:t>Tamborada A</w:t>
      </w:r>
      <w:r w:rsidR="005344A7" w:rsidRPr="00605EDB">
        <w:rPr>
          <w:rFonts w:asciiTheme="majorHAnsi" w:hAnsiTheme="majorHAnsi"/>
          <w:sz w:val="20"/>
          <w:szCs w:val="20"/>
          <w:lang w:val="es-PE"/>
        </w:rPr>
        <w:t>”</w:t>
      </w:r>
      <w:r w:rsidRPr="00605EDB">
        <w:rPr>
          <w:rFonts w:asciiTheme="majorHAnsi" w:hAnsiTheme="majorHAnsi"/>
          <w:sz w:val="20"/>
          <w:szCs w:val="20"/>
          <w:lang w:val="es-PE"/>
        </w:rPr>
        <w:t xml:space="preserve">, en el </w:t>
      </w:r>
      <w:r w:rsidR="00F34E1A" w:rsidRPr="00605EDB">
        <w:rPr>
          <w:rFonts w:asciiTheme="majorHAnsi" w:hAnsiTheme="majorHAnsi"/>
          <w:sz w:val="20"/>
          <w:szCs w:val="20"/>
          <w:lang w:val="es-PE"/>
        </w:rPr>
        <w:t>que</w:t>
      </w:r>
      <w:r w:rsidRPr="00605EDB">
        <w:rPr>
          <w:rFonts w:asciiTheme="majorHAnsi" w:hAnsiTheme="majorHAnsi"/>
          <w:sz w:val="20"/>
          <w:szCs w:val="20"/>
          <w:lang w:val="es-PE"/>
        </w:rPr>
        <w:t xml:space="preserve"> se comprometieron de manera irregular a sanear la tierra a favor de los ocupantes ilegales, lo que evidencia</w:t>
      </w:r>
      <w:r w:rsidR="00F34E1A" w:rsidRPr="00605EDB">
        <w:rPr>
          <w:rFonts w:asciiTheme="majorHAnsi" w:hAnsiTheme="majorHAnsi"/>
          <w:sz w:val="20"/>
          <w:szCs w:val="20"/>
          <w:lang w:val="es-PE"/>
        </w:rPr>
        <w:t>ría</w:t>
      </w:r>
      <w:r w:rsidRPr="00605EDB">
        <w:rPr>
          <w:rFonts w:asciiTheme="majorHAnsi" w:hAnsiTheme="majorHAnsi"/>
          <w:sz w:val="20"/>
          <w:szCs w:val="20"/>
          <w:lang w:val="es-PE"/>
        </w:rPr>
        <w:t xml:space="preserve"> una falta de imparcialidad en el procedimiento.</w:t>
      </w:r>
    </w:p>
    <w:p w14:paraId="552D8551" w14:textId="17D9CE1F" w:rsidR="00F3697F" w:rsidRPr="00605EDB" w:rsidRDefault="00800EB6" w:rsidP="00BC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Además, la parte peticionaria denuncia que durante la fase de evaluación de la tenencia de la tierra los funcionarios del INRA registraron falsamente a los ocupantes ilegales como poseedores legítimos, ignorando la documentación que acreditaba la titularidad de los herederos de Benjamín Anaya. También afirma que el procedimiento de peritaje de campo no se realizó sobre la totalidad del predio y que los técnicos del INRA desestimaron pruebas clave, como registros históricos de la actividad agropecuaria del fundo y sentencias previas favorables a su derecho propietario. Finalmente, sostiene que la Resolución Determinativa de Área de Saneamiento y la Resolución Final del saneamiento fueron emitidas sin tomar en cuenta los principios de legalidad y debido proceso, favoreciendo arbitrariamente a los ocupantes ilegales y permitiendo la posterior anulación de sus títulos ejecutoriales sin justa causa.</w:t>
      </w:r>
    </w:p>
    <w:p w14:paraId="150FA00E" w14:textId="77777777" w:rsidR="00F5196A" w:rsidRPr="00605EDB" w:rsidRDefault="00F5196A" w:rsidP="000C39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851"/>
        <w:jc w:val="both"/>
        <w:rPr>
          <w:rFonts w:asciiTheme="majorHAnsi" w:hAnsiTheme="majorHAnsi"/>
          <w:sz w:val="20"/>
          <w:szCs w:val="20"/>
          <w:lang w:val="es-PE"/>
        </w:rPr>
      </w:pPr>
    </w:p>
    <w:p w14:paraId="13D04641" w14:textId="77777777" w:rsidR="00F5196A" w:rsidRPr="00605EDB" w:rsidRDefault="00F5196A" w:rsidP="000C39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851"/>
        <w:jc w:val="both"/>
        <w:rPr>
          <w:rFonts w:asciiTheme="majorHAnsi" w:hAnsiTheme="majorHAnsi"/>
          <w:sz w:val="20"/>
          <w:szCs w:val="20"/>
          <w:lang w:val="es-PE"/>
        </w:rPr>
      </w:pPr>
    </w:p>
    <w:p w14:paraId="2586A3D5" w14:textId="7FF0D522" w:rsidR="00800EB6" w:rsidRPr="00605EDB" w:rsidRDefault="00800EB6" w:rsidP="000C39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851"/>
        <w:jc w:val="both"/>
        <w:rPr>
          <w:rFonts w:asciiTheme="majorHAnsi" w:hAnsiTheme="majorHAnsi"/>
          <w:i/>
          <w:iCs/>
          <w:sz w:val="20"/>
          <w:szCs w:val="20"/>
          <w:lang w:val="es-PE"/>
        </w:rPr>
      </w:pPr>
      <w:r w:rsidRPr="00605EDB">
        <w:rPr>
          <w:rFonts w:asciiTheme="majorHAnsi" w:hAnsiTheme="majorHAnsi"/>
          <w:i/>
          <w:iCs/>
          <w:sz w:val="20"/>
          <w:szCs w:val="20"/>
          <w:lang w:val="es-PE"/>
        </w:rPr>
        <w:lastRenderedPageBreak/>
        <w:t>Resolución del Instituto Nacional de Reforma Agraria del 2008</w:t>
      </w:r>
    </w:p>
    <w:p w14:paraId="061304CC" w14:textId="45A3046D" w:rsidR="00800EB6" w:rsidRPr="00605EDB" w:rsidRDefault="000C0146" w:rsidP="00BC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C</w:t>
      </w:r>
      <w:r w:rsidR="00800EB6" w:rsidRPr="00605EDB">
        <w:rPr>
          <w:rFonts w:asciiTheme="majorHAnsi" w:hAnsiTheme="majorHAnsi"/>
          <w:sz w:val="20"/>
          <w:szCs w:val="20"/>
          <w:lang w:val="es-PE"/>
        </w:rPr>
        <w:t>omo resultado del citado procedimiento de saneamiento agrario, el 2 de abril de 2008 el INRA emitió la Resolución Suprema N.º 228</w:t>
      </w:r>
      <w:r w:rsidR="00CA269B" w:rsidRPr="00605EDB">
        <w:rPr>
          <w:rFonts w:asciiTheme="majorHAnsi" w:hAnsiTheme="majorHAnsi"/>
          <w:sz w:val="20"/>
          <w:szCs w:val="20"/>
          <w:lang w:val="es-PE"/>
        </w:rPr>
        <w:t>.</w:t>
      </w:r>
      <w:r w:rsidR="00800EB6" w:rsidRPr="00605EDB">
        <w:rPr>
          <w:rFonts w:asciiTheme="majorHAnsi" w:hAnsiTheme="majorHAnsi"/>
          <w:sz w:val="20"/>
          <w:szCs w:val="20"/>
          <w:lang w:val="es-PE"/>
        </w:rPr>
        <w:t xml:space="preserve">641, la cual marcó un punto de inflexión en el conflicto sobre el Fundo </w:t>
      </w:r>
      <w:r w:rsidR="00A479BB" w:rsidRPr="00605EDB">
        <w:rPr>
          <w:rFonts w:asciiTheme="majorHAnsi" w:hAnsiTheme="majorHAnsi"/>
          <w:sz w:val="20"/>
          <w:szCs w:val="20"/>
          <w:lang w:val="es-PE"/>
        </w:rPr>
        <w:t>“</w:t>
      </w:r>
      <w:r w:rsidR="00800EB6" w:rsidRPr="00605EDB">
        <w:rPr>
          <w:rFonts w:asciiTheme="majorHAnsi" w:hAnsiTheme="majorHAnsi"/>
          <w:sz w:val="20"/>
          <w:szCs w:val="20"/>
          <w:lang w:val="es-PE"/>
        </w:rPr>
        <w:t>La Tamborada</w:t>
      </w:r>
      <w:r w:rsidR="00A479BB" w:rsidRPr="00605EDB">
        <w:rPr>
          <w:rFonts w:asciiTheme="majorHAnsi" w:hAnsiTheme="majorHAnsi"/>
          <w:sz w:val="20"/>
          <w:szCs w:val="20"/>
          <w:lang w:val="es-PE"/>
        </w:rPr>
        <w:t>”</w:t>
      </w:r>
      <w:r w:rsidR="00800EB6" w:rsidRPr="00605EDB">
        <w:rPr>
          <w:rFonts w:asciiTheme="majorHAnsi" w:hAnsiTheme="majorHAnsi"/>
          <w:sz w:val="20"/>
          <w:szCs w:val="20"/>
          <w:lang w:val="es-PE"/>
        </w:rPr>
        <w:t xml:space="preserve">. A través de esta decisión el INRA anuló los títulos ejecutoriales previamente otorgados a Benjamín Anaya Ustariz con el argumento de que estos presentaban vicios de nulidad e incumplimiento de la función económica y social. Adicionalmente, la resolución estableció la dotación de parcelas de la propiedad a favor de los campesinos y su sindicato. </w:t>
      </w:r>
      <w:r w:rsidR="00D74414" w:rsidRPr="00605EDB">
        <w:rPr>
          <w:rFonts w:asciiTheme="majorHAnsi" w:hAnsiTheme="majorHAnsi"/>
          <w:sz w:val="20"/>
          <w:szCs w:val="20"/>
          <w:lang w:val="es-PE"/>
        </w:rPr>
        <w:t xml:space="preserve">Y </w:t>
      </w:r>
      <w:r w:rsidR="00800EB6" w:rsidRPr="00605EDB">
        <w:rPr>
          <w:rFonts w:asciiTheme="majorHAnsi" w:hAnsiTheme="majorHAnsi"/>
          <w:sz w:val="20"/>
          <w:szCs w:val="20"/>
          <w:lang w:val="es-PE"/>
        </w:rPr>
        <w:t>dispuso que una vez ejecutoriada la resolución y emitidos los nuevos títulos ejecutoriales se procediera a su inscripción en Derechos Reales y a la cancelación de las partidas de los títulos ejecutoriales anulados.</w:t>
      </w:r>
    </w:p>
    <w:p w14:paraId="1748D472" w14:textId="34ECE0D8" w:rsidR="00CD79B4" w:rsidRPr="00605EDB" w:rsidRDefault="00826DA5" w:rsidP="00BC02C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PE"/>
        </w:rPr>
      </w:pPr>
      <w:r w:rsidRPr="00605EDB">
        <w:rPr>
          <w:rFonts w:asciiTheme="majorHAnsi" w:hAnsiTheme="majorHAnsi"/>
          <w:i/>
          <w:iCs/>
          <w:sz w:val="20"/>
          <w:szCs w:val="20"/>
          <w:lang w:val="es-PE"/>
        </w:rPr>
        <w:t>Demanda contenciosa administrativa y sentencia del Tribunal Agrario Nacional</w:t>
      </w:r>
    </w:p>
    <w:p w14:paraId="247640B6" w14:textId="7ED718A7" w:rsidR="00CD79B4" w:rsidRPr="00605EDB" w:rsidRDefault="00CD79B4" w:rsidP="00BC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Frente a esta decisión las presuntas víctimas, en su calidad de herederas del señor Benjamín Anaya, interpusieron una demanda contenciosa administrativa ante el Tribunal Agrario Nacional con el objetivo de impugnar la Resolución Suprema N.º 228</w:t>
      </w:r>
      <w:r w:rsidR="00CA269B" w:rsidRPr="00605EDB">
        <w:rPr>
          <w:rFonts w:asciiTheme="majorHAnsi" w:hAnsiTheme="majorHAnsi"/>
          <w:sz w:val="20"/>
          <w:szCs w:val="20"/>
          <w:lang w:val="es-PE"/>
        </w:rPr>
        <w:t>.</w:t>
      </w:r>
      <w:r w:rsidRPr="00605EDB">
        <w:rPr>
          <w:rFonts w:asciiTheme="majorHAnsi" w:hAnsiTheme="majorHAnsi"/>
          <w:sz w:val="20"/>
          <w:szCs w:val="20"/>
          <w:lang w:val="es-PE"/>
        </w:rPr>
        <w:t xml:space="preserve">641 y demostrar que el proceso de saneamiento agrario llevado a cabo por el INRA estuvo viciado por múltiples irregularidades. En particular, </w:t>
      </w:r>
      <w:r w:rsidR="00605EDB" w:rsidRPr="00605EDB">
        <w:rPr>
          <w:rFonts w:asciiTheme="majorHAnsi" w:hAnsiTheme="majorHAnsi"/>
          <w:sz w:val="20"/>
          <w:szCs w:val="20"/>
          <w:lang w:val="es-PE"/>
        </w:rPr>
        <w:t>plantearon</w:t>
      </w:r>
      <w:r w:rsidRPr="00605EDB">
        <w:rPr>
          <w:rFonts w:asciiTheme="majorHAnsi" w:hAnsiTheme="majorHAnsi"/>
          <w:sz w:val="20"/>
          <w:szCs w:val="20"/>
          <w:lang w:val="es-PE"/>
        </w:rPr>
        <w:t xml:space="preserve"> que dicho procedimiento ignoró decisiones judiciales previas que les eran favorables y se desarrolló sin garantizar el debido proceso. Además, sostuvieron que la resolución del INRA desconocía el derecho propietario consolidado de la familia Anaya, al basarse en la premisa errónea de que la tierra no cumplía una función económica social, cuando en realidad la interrupción de su uso productivo fue consecuencia directa de la ocupación ilegal y violenta de los campesinos, sumada a la inacción del Estado para hacer cumplir las resoluciones judiciales que ordenaban la restitución de la propiedad.</w:t>
      </w:r>
    </w:p>
    <w:p w14:paraId="18664EFC" w14:textId="731BA5F2" w:rsidR="00CD79B4" w:rsidRPr="00605EDB" w:rsidRDefault="00CD79B4" w:rsidP="00BC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 xml:space="preserve">Sin embargo, </w:t>
      </w:r>
      <w:r w:rsidR="0059103C" w:rsidRPr="00605EDB">
        <w:rPr>
          <w:rFonts w:asciiTheme="majorHAnsi" w:hAnsiTheme="majorHAnsi"/>
          <w:sz w:val="20"/>
          <w:szCs w:val="20"/>
          <w:lang w:val="es-PE"/>
        </w:rPr>
        <w:t>e</w:t>
      </w:r>
      <w:r w:rsidRPr="00605EDB">
        <w:rPr>
          <w:rFonts w:asciiTheme="majorHAnsi" w:hAnsiTheme="majorHAnsi"/>
          <w:sz w:val="20"/>
          <w:szCs w:val="20"/>
          <w:lang w:val="es-PE"/>
        </w:rPr>
        <w:t>l 30 de junio de 2011 el Tribunal Agrario Nacional emitió la Sentencia Agraria Nacional S1ª N.º 025/2011, mediante la cual declaró improbada la demanda contenciosa administrativa y ratificó la Resolución Suprema N.º 228</w:t>
      </w:r>
      <w:r w:rsidR="00304BC7" w:rsidRPr="00605EDB">
        <w:rPr>
          <w:rFonts w:asciiTheme="majorHAnsi" w:hAnsiTheme="majorHAnsi"/>
          <w:sz w:val="20"/>
          <w:szCs w:val="20"/>
          <w:lang w:val="es-PE"/>
        </w:rPr>
        <w:t>.</w:t>
      </w:r>
      <w:r w:rsidRPr="00605EDB">
        <w:rPr>
          <w:rFonts w:asciiTheme="majorHAnsi" w:hAnsiTheme="majorHAnsi"/>
          <w:sz w:val="20"/>
          <w:szCs w:val="20"/>
          <w:lang w:val="es-PE"/>
        </w:rPr>
        <w:t xml:space="preserve">641. A criterio de la parte peticionaria, el </w:t>
      </w:r>
      <w:r w:rsidR="00632B2C" w:rsidRPr="00605EDB">
        <w:rPr>
          <w:rFonts w:asciiTheme="majorHAnsi" w:hAnsiTheme="majorHAnsi"/>
          <w:sz w:val="20"/>
          <w:szCs w:val="20"/>
          <w:lang w:val="es-PE"/>
        </w:rPr>
        <w:t>t</w:t>
      </w:r>
      <w:r w:rsidRPr="00605EDB">
        <w:rPr>
          <w:rFonts w:asciiTheme="majorHAnsi" w:hAnsiTheme="majorHAnsi"/>
          <w:sz w:val="20"/>
          <w:szCs w:val="20"/>
          <w:lang w:val="es-PE"/>
        </w:rPr>
        <w:t xml:space="preserve">ribunal se abstuvo de pronunciarse sobre muchas de las irregularidades denunciadas en el proceso de saneamiento, omitiendo la valoración de pruebas que demostraban la propiedad legítima de los herederos de Benjamín Anaya. Asimismo, </w:t>
      </w:r>
      <w:r w:rsidR="00632B2C" w:rsidRPr="00605EDB">
        <w:rPr>
          <w:rFonts w:asciiTheme="majorHAnsi" w:hAnsiTheme="majorHAnsi"/>
          <w:sz w:val="20"/>
          <w:szCs w:val="20"/>
          <w:lang w:val="es-PE"/>
        </w:rPr>
        <w:t xml:space="preserve">aducen </w:t>
      </w:r>
      <w:r w:rsidRPr="00605EDB">
        <w:rPr>
          <w:rFonts w:asciiTheme="majorHAnsi" w:hAnsiTheme="majorHAnsi"/>
          <w:sz w:val="20"/>
          <w:szCs w:val="20"/>
          <w:lang w:val="es-PE"/>
        </w:rPr>
        <w:t xml:space="preserve">que la sentencia no realizó un control adecuado de legalidad sobre la resolución del INRA y se basó en normas inaplicables al caso concreto. Como consecuencia, el </w:t>
      </w:r>
      <w:r w:rsidR="00A15191" w:rsidRPr="00605EDB">
        <w:rPr>
          <w:rFonts w:asciiTheme="majorHAnsi" w:hAnsiTheme="majorHAnsi"/>
          <w:sz w:val="20"/>
          <w:szCs w:val="20"/>
          <w:lang w:val="es-PE"/>
        </w:rPr>
        <w:t>t</w:t>
      </w:r>
      <w:r w:rsidRPr="00605EDB">
        <w:rPr>
          <w:rFonts w:asciiTheme="majorHAnsi" w:hAnsiTheme="majorHAnsi"/>
          <w:sz w:val="20"/>
          <w:szCs w:val="20"/>
          <w:lang w:val="es-PE"/>
        </w:rPr>
        <w:t xml:space="preserve">ribunal consolidó la transferencia de las tierras a los ocupantes ilegales, sin reparar la vulneración de los derechos de las </w:t>
      </w:r>
      <w:r w:rsidR="0083254B" w:rsidRPr="00605EDB">
        <w:rPr>
          <w:rFonts w:asciiTheme="majorHAnsi" w:hAnsiTheme="majorHAnsi"/>
          <w:sz w:val="20"/>
          <w:szCs w:val="20"/>
          <w:lang w:val="es-PE"/>
        </w:rPr>
        <w:t xml:space="preserve">presuntas </w:t>
      </w:r>
      <w:r w:rsidRPr="00605EDB">
        <w:rPr>
          <w:rFonts w:asciiTheme="majorHAnsi" w:hAnsiTheme="majorHAnsi"/>
          <w:sz w:val="20"/>
          <w:szCs w:val="20"/>
          <w:lang w:val="es-PE"/>
        </w:rPr>
        <w:t>víctimas.</w:t>
      </w:r>
    </w:p>
    <w:p w14:paraId="5DC4FC07" w14:textId="6F12C206" w:rsidR="00CD79B4" w:rsidRPr="00605EDB" w:rsidRDefault="00CD79B4" w:rsidP="00BC02C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PE"/>
        </w:rPr>
      </w:pPr>
      <w:r w:rsidRPr="00605EDB">
        <w:rPr>
          <w:rFonts w:asciiTheme="majorHAnsi" w:hAnsiTheme="majorHAnsi"/>
          <w:i/>
          <w:iCs/>
          <w:sz w:val="20"/>
          <w:szCs w:val="20"/>
          <w:lang w:val="es-PE"/>
        </w:rPr>
        <w:t xml:space="preserve">Acción de </w:t>
      </w:r>
      <w:r w:rsidR="0083254B" w:rsidRPr="00605EDB">
        <w:rPr>
          <w:rFonts w:asciiTheme="majorHAnsi" w:hAnsiTheme="majorHAnsi"/>
          <w:i/>
          <w:iCs/>
          <w:sz w:val="20"/>
          <w:szCs w:val="20"/>
          <w:lang w:val="es-PE"/>
        </w:rPr>
        <w:t>a</w:t>
      </w:r>
      <w:r w:rsidRPr="00605EDB">
        <w:rPr>
          <w:rFonts w:asciiTheme="majorHAnsi" w:hAnsiTheme="majorHAnsi"/>
          <w:i/>
          <w:iCs/>
          <w:sz w:val="20"/>
          <w:szCs w:val="20"/>
          <w:lang w:val="es-PE"/>
        </w:rPr>
        <w:t xml:space="preserve">mparo y </w:t>
      </w:r>
      <w:r w:rsidR="0083254B" w:rsidRPr="00605EDB">
        <w:rPr>
          <w:rFonts w:asciiTheme="majorHAnsi" w:hAnsiTheme="majorHAnsi"/>
          <w:i/>
          <w:iCs/>
          <w:sz w:val="20"/>
          <w:szCs w:val="20"/>
          <w:lang w:val="es-PE"/>
        </w:rPr>
        <w:t>s</w:t>
      </w:r>
      <w:r w:rsidRPr="00605EDB">
        <w:rPr>
          <w:rFonts w:asciiTheme="majorHAnsi" w:hAnsiTheme="majorHAnsi"/>
          <w:i/>
          <w:iCs/>
          <w:sz w:val="20"/>
          <w:szCs w:val="20"/>
          <w:lang w:val="es-PE"/>
        </w:rPr>
        <w:t xml:space="preserve">entencia </w:t>
      </w:r>
      <w:r w:rsidR="0083254B" w:rsidRPr="00605EDB">
        <w:rPr>
          <w:rFonts w:asciiTheme="majorHAnsi" w:hAnsiTheme="majorHAnsi"/>
          <w:i/>
          <w:iCs/>
          <w:sz w:val="20"/>
          <w:szCs w:val="20"/>
          <w:lang w:val="es-PE"/>
        </w:rPr>
        <w:t>c</w:t>
      </w:r>
      <w:r w:rsidRPr="00605EDB">
        <w:rPr>
          <w:rFonts w:asciiTheme="majorHAnsi" w:hAnsiTheme="majorHAnsi"/>
          <w:i/>
          <w:iCs/>
          <w:sz w:val="20"/>
          <w:szCs w:val="20"/>
          <w:lang w:val="es-PE"/>
        </w:rPr>
        <w:t>onstitucional</w:t>
      </w:r>
    </w:p>
    <w:p w14:paraId="14FE5D5E" w14:textId="06BA2649" w:rsidR="00CD79B4" w:rsidRPr="00605EDB" w:rsidRDefault="00904ABF" w:rsidP="00BC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Posteriormente,</w:t>
      </w:r>
      <w:r w:rsidR="00CD79B4" w:rsidRPr="00605EDB">
        <w:rPr>
          <w:rFonts w:asciiTheme="majorHAnsi" w:hAnsiTheme="majorHAnsi"/>
          <w:sz w:val="20"/>
          <w:szCs w:val="20"/>
          <w:lang w:val="es-PE"/>
        </w:rPr>
        <w:t xml:space="preserve"> las presuntas víctimas presentaron una </w:t>
      </w:r>
      <w:r w:rsidRPr="00605EDB">
        <w:rPr>
          <w:rFonts w:asciiTheme="majorHAnsi" w:hAnsiTheme="majorHAnsi"/>
          <w:sz w:val="20"/>
          <w:szCs w:val="20"/>
          <w:lang w:val="es-PE"/>
        </w:rPr>
        <w:t>a</w:t>
      </w:r>
      <w:r w:rsidR="00CD79B4" w:rsidRPr="00605EDB">
        <w:rPr>
          <w:rFonts w:asciiTheme="majorHAnsi" w:hAnsiTheme="majorHAnsi"/>
          <w:sz w:val="20"/>
          <w:szCs w:val="20"/>
          <w:lang w:val="es-PE"/>
        </w:rPr>
        <w:t xml:space="preserve">cción de </w:t>
      </w:r>
      <w:r w:rsidRPr="00605EDB">
        <w:rPr>
          <w:rFonts w:asciiTheme="majorHAnsi" w:hAnsiTheme="majorHAnsi"/>
          <w:sz w:val="20"/>
          <w:szCs w:val="20"/>
          <w:lang w:val="es-PE"/>
        </w:rPr>
        <w:t>a</w:t>
      </w:r>
      <w:r w:rsidR="00CD79B4" w:rsidRPr="00605EDB">
        <w:rPr>
          <w:rFonts w:asciiTheme="majorHAnsi" w:hAnsiTheme="majorHAnsi"/>
          <w:sz w:val="20"/>
          <w:szCs w:val="20"/>
          <w:lang w:val="es-PE"/>
        </w:rPr>
        <w:t xml:space="preserve">mparo </w:t>
      </w:r>
      <w:r w:rsidRPr="00605EDB">
        <w:rPr>
          <w:rFonts w:asciiTheme="majorHAnsi" w:hAnsiTheme="majorHAnsi"/>
          <w:sz w:val="20"/>
          <w:szCs w:val="20"/>
          <w:lang w:val="es-PE"/>
        </w:rPr>
        <w:t>c</w:t>
      </w:r>
      <w:r w:rsidR="00CD79B4" w:rsidRPr="00605EDB">
        <w:rPr>
          <w:rFonts w:asciiTheme="majorHAnsi" w:hAnsiTheme="majorHAnsi"/>
          <w:sz w:val="20"/>
          <w:szCs w:val="20"/>
          <w:lang w:val="es-PE"/>
        </w:rPr>
        <w:t xml:space="preserve">onstitucional, argumentando que la Sentencia Agraria Nacional S1ª N.º 025/2011 vulneraba su derecho de acceso a la justicia, a la igualdad y a la propiedad privada. En respuesta, </w:t>
      </w:r>
      <w:r w:rsidR="004566E0" w:rsidRPr="00605EDB">
        <w:rPr>
          <w:rFonts w:asciiTheme="majorHAnsi" w:hAnsiTheme="majorHAnsi"/>
          <w:sz w:val="20"/>
          <w:szCs w:val="20"/>
          <w:lang w:val="es-PE"/>
        </w:rPr>
        <w:t xml:space="preserve">el 16 de septiembre de 2011 </w:t>
      </w:r>
      <w:r w:rsidR="00CD79B4" w:rsidRPr="00605EDB">
        <w:rPr>
          <w:rFonts w:asciiTheme="majorHAnsi" w:hAnsiTheme="majorHAnsi"/>
          <w:sz w:val="20"/>
          <w:szCs w:val="20"/>
          <w:lang w:val="es-PE"/>
        </w:rPr>
        <w:t xml:space="preserve">la Sala Civil Segunda del Tribunal Departamental de Justicia de Chuquisaca, a través del Auto de Amparo Constitucional N.º SCII 315/2011, declaró fundado el reclamo, pero únicamente en lo relativo a la falta de motivación adecuada de la resolución cuestionada. Como resultado, </w:t>
      </w:r>
      <w:r w:rsidR="009F178A" w:rsidRPr="00605EDB">
        <w:rPr>
          <w:rFonts w:asciiTheme="majorHAnsi" w:hAnsiTheme="majorHAnsi"/>
          <w:sz w:val="20"/>
          <w:szCs w:val="20"/>
          <w:lang w:val="es-PE"/>
        </w:rPr>
        <w:t>este colegiado</w:t>
      </w:r>
      <w:r w:rsidR="00CD79B4" w:rsidRPr="00605EDB">
        <w:rPr>
          <w:rFonts w:asciiTheme="majorHAnsi" w:hAnsiTheme="majorHAnsi"/>
          <w:sz w:val="20"/>
          <w:szCs w:val="20"/>
          <w:lang w:val="es-PE"/>
        </w:rPr>
        <w:t xml:space="preserve"> dispuso que el Tribunal Agrario Nacional emitiera una nueva decisión conforme a las normativas legales, pero se declaró incompetente para examinar y pronunciarse sobre el resto de </w:t>
      </w:r>
      <w:r w:rsidR="00832A83" w:rsidRPr="00605EDB">
        <w:rPr>
          <w:rFonts w:asciiTheme="majorHAnsi" w:hAnsiTheme="majorHAnsi"/>
          <w:sz w:val="20"/>
          <w:szCs w:val="20"/>
          <w:lang w:val="es-PE"/>
        </w:rPr>
        <w:t>las afectaciones</w:t>
      </w:r>
      <w:r w:rsidR="00CD79B4" w:rsidRPr="00605EDB">
        <w:rPr>
          <w:rFonts w:asciiTheme="majorHAnsi" w:hAnsiTheme="majorHAnsi"/>
          <w:sz w:val="20"/>
          <w:szCs w:val="20"/>
          <w:lang w:val="es-PE"/>
        </w:rPr>
        <w:t xml:space="preserve"> </w:t>
      </w:r>
      <w:r w:rsidR="00323841" w:rsidRPr="00605EDB">
        <w:rPr>
          <w:rFonts w:asciiTheme="majorHAnsi" w:hAnsiTheme="majorHAnsi"/>
          <w:sz w:val="20"/>
          <w:szCs w:val="20"/>
          <w:lang w:val="es-PE"/>
        </w:rPr>
        <w:t>denunciadas</w:t>
      </w:r>
      <w:r w:rsidR="00CD79B4" w:rsidRPr="00605EDB">
        <w:rPr>
          <w:rFonts w:asciiTheme="majorHAnsi" w:hAnsiTheme="majorHAnsi"/>
          <w:sz w:val="20"/>
          <w:szCs w:val="20"/>
          <w:lang w:val="es-PE"/>
        </w:rPr>
        <w:t>.</w:t>
      </w:r>
    </w:p>
    <w:p w14:paraId="343FEEF0" w14:textId="6C4D4F21" w:rsidR="00A02332" w:rsidRPr="00605EDB" w:rsidRDefault="00CD79B4" w:rsidP="00BC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 xml:space="preserve">Posteriormente, la Sala Civil Segunda remitió el expediente al Tribunal Constitucional Plurinacional, en virtud de su potestad de revisión. Como resultado, el 10 de junio de 2013 dicho órgano emitió la Sentencia Constitucional Plurinacional 0532/2013, la cual confirmó el Auto de Amparo Constitucional N.º SCII 315/2011. En tal sentido, ordenó garantizar el debido proceso en su componente de motivación y fundamentación de la decisión, pero denegó la tutela respecto del resto de los derechos invocados. A criterio de la parte peticionaria, esta determinación confirmó la denegación de justicia en su perjuicio, ya que no corrigió las omisiones y violaciones legales en las que incurrieron el Tribunal Agrario Nacional y el INRA. </w:t>
      </w:r>
      <w:r w:rsidR="002555EC" w:rsidRPr="00605EDB">
        <w:rPr>
          <w:rFonts w:asciiTheme="majorHAnsi" w:hAnsiTheme="majorHAnsi"/>
          <w:sz w:val="20"/>
          <w:szCs w:val="20"/>
          <w:lang w:val="es-PE"/>
        </w:rPr>
        <w:t>Los peticionarios alegan que</w:t>
      </w:r>
      <w:r w:rsidRPr="00605EDB">
        <w:rPr>
          <w:rFonts w:asciiTheme="majorHAnsi" w:hAnsiTheme="majorHAnsi"/>
          <w:sz w:val="20"/>
          <w:szCs w:val="20"/>
          <w:lang w:val="es-PE"/>
        </w:rPr>
        <w:t xml:space="preserve"> no se realizó un análisis integral sobre todas las irregularidades cometidas en el saneamiento de las tierras ni sobre el proceso contencioso administrativo que culminó en su desposesión.</w:t>
      </w:r>
      <w:r w:rsidR="00C31A87" w:rsidRPr="00605EDB">
        <w:rPr>
          <w:rFonts w:asciiTheme="majorHAnsi" w:hAnsiTheme="majorHAnsi"/>
          <w:sz w:val="20"/>
          <w:szCs w:val="20"/>
          <w:lang w:val="es-PE"/>
        </w:rPr>
        <w:t xml:space="preserve"> Esta sentencia se habría notificado el </w:t>
      </w:r>
      <w:r w:rsidR="004D28B3" w:rsidRPr="00605EDB">
        <w:rPr>
          <w:rFonts w:asciiTheme="majorHAnsi" w:hAnsiTheme="majorHAnsi"/>
          <w:sz w:val="20"/>
          <w:szCs w:val="20"/>
          <w:lang w:val="es-PE"/>
        </w:rPr>
        <w:t>4 de agosto de 2013.</w:t>
      </w:r>
    </w:p>
    <w:p w14:paraId="02CC4AD8" w14:textId="1194EE92" w:rsidR="00A02332" w:rsidRPr="00605EDB" w:rsidRDefault="00A02332" w:rsidP="00BC02C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color w:val="auto"/>
          <w:sz w:val="20"/>
          <w:szCs w:val="20"/>
          <w:lang w:val="es-PE"/>
        </w:rPr>
      </w:pPr>
      <w:r w:rsidRPr="00605EDB">
        <w:rPr>
          <w:rFonts w:asciiTheme="majorHAnsi" w:hAnsiTheme="majorHAnsi"/>
          <w:i/>
          <w:iCs/>
          <w:color w:val="auto"/>
          <w:sz w:val="20"/>
          <w:szCs w:val="20"/>
          <w:lang w:val="es-PE"/>
        </w:rPr>
        <w:lastRenderedPageBreak/>
        <w:t>Alegado incumplimiento del Tribunal Agrario Nacional</w:t>
      </w:r>
    </w:p>
    <w:p w14:paraId="1DD47964" w14:textId="753952FA" w:rsidR="00CD79B4" w:rsidRPr="00605EDB" w:rsidRDefault="00CD79B4" w:rsidP="00BC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La parte peticionaria subraya que</w:t>
      </w:r>
      <w:r w:rsidR="009C36C5" w:rsidRPr="00605EDB">
        <w:rPr>
          <w:rFonts w:asciiTheme="majorHAnsi" w:hAnsiTheme="majorHAnsi"/>
          <w:sz w:val="20"/>
          <w:szCs w:val="20"/>
          <w:lang w:val="es-PE"/>
        </w:rPr>
        <w:t>,</w:t>
      </w:r>
      <w:r w:rsidRPr="00605EDB">
        <w:rPr>
          <w:rFonts w:asciiTheme="majorHAnsi" w:hAnsiTheme="majorHAnsi"/>
          <w:sz w:val="20"/>
          <w:szCs w:val="20"/>
          <w:lang w:val="es-PE"/>
        </w:rPr>
        <w:t xml:space="preserve"> aunque el 2 de diciembre de 2011 el Tribunal Agrario Nacional emitió una nueva sentencia, identificada como S1ª N.º 059/2011, esta resolución reiteró los mismos argumentos de la decisión anterior y volvió a declarar improbada la demanda contenciosa administrativa, sin incorporar el análisis de las irregularidades denunciadas en el proceso de saneamiento. Por ello, sostienen que el </w:t>
      </w:r>
      <w:r w:rsidR="00C00D42" w:rsidRPr="00605EDB">
        <w:rPr>
          <w:rFonts w:asciiTheme="majorHAnsi" w:hAnsiTheme="majorHAnsi"/>
          <w:sz w:val="20"/>
          <w:szCs w:val="20"/>
          <w:lang w:val="es-PE"/>
        </w:rPr>
        <w:t>t</w:t>
      </w:r>
      <w:r w:rsidRPr="00605EDB">
        <w:rPr>
          <w:rFonts w:asciiTheme="majorHAnsi" w:hAnsiTheme="majorHAnsi"/>
          <w:sz w:val="20"/>
          <w:szCs w:val="20"/>
          <w:lang w:val="es-PE"/>
        </w:rPr>
        <w:t>ribunal incumplió lo dispuesto en el Auto de Amparo Constitucional N.º SCII 315/2011, ya que no corrigió las deficiencias identificadas ni realizó un examen adecuado de los vicios procedimentales que habían afectado el derecho de las víctimas.</w:t>
      </w:r>
    </w:p>
    <w:p w14:paraId="2D1E7CCC" w14:textId="2559C0D7" w:rsidR="00A02332" w:rsidRPr="00605EDB" w:rsidRDefault="00CD79B4" w:rsidP="00BC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 xml:space="preserve">Asimismo, indican que el 14 de mayo de 2012 el Tribunal Agrario Nacional dictó un </w:t>
      </w:r>
      <w:r w:rsidR="00FC4F42" w:rsidRPr="00605EDB">
        <w:rPr>
          <w:rFonts w:asciiTheme="majorHAnsi" w:hAnsiTheme="majorHAnsi"/>
          <w:sz w:val="20"/>
          <w:szCs w:val="20"/>
          <w:lang w:val="es-PE"/>
        </w:rPr>
        <w:t>a</w:t>
      </w:r>
      <w:r w:rsidRPr="00605EDB">
        <w:rPr>
          <w:rFonts w:asciiTheme="majorHAnsi" w:hAnsiTheme="majorHAnsi"/>
          <w:sz w:val="20"/>
          <w:szCs w:val="20"/>
          <w:lang w:val="es-PE"/>
        </w:rPr>
        <w:t xml:space="preserve">uto </w:t>
      </w:r>
      <w:r w:rsidR="00FC4F42" w:rsidRPr="00605EDB">
        <w:rPr>
          <w:rFonts w:asciiTheme="majorHAnsi" w:hAnsiTheme="majorHAnsi"/>
          <w:sz w:val="20"/>
          <w:szCs w:val="20"/>
          <w:lang w:val="es-PE"/>
        </w:rPr>
        <w:t>c</w:t>
      </w:r>
      <w:r w:rsidRPr="00605EDB">
        <w:rPr>
          <w:rFonts w:asciiTheme="majorHAnsi" w:hAnsiTheme="majorHAnsi"/>
          <w:sz w:val="20"/>
          <w:szCs w:val="20"/>
          <w:lang w:val="es-PE"/>
        </w:rPr>
        <w:t>omplementario en el que ratificó su decisión y reiteró la validez de la Resolución Suprema N.º 228</w:t>
      </w:r>
      <w:r w:rsidR="00D529DD" w:rsidRPr="00605EDB">
        <w:rPr>
          <w:rFonts w:asciiTheme="majorHAnsi" w:hAnsiTheme="majorHAnsi"/>
          <w:sz w:val="20"/>
          <w:szCs w:val="20"/>
          <w:lang w:val="es-PE"/>
        </w:rPr>
        <w:t>.</w:t>
      </w:r>
      <w:r w:rsidRPr="00605EDB">
        <w:rPr>
          <w:rFonts w:asciiTheme="majorHAnsi" w:hAnsiTheme="majorHAnsi"/>
          <w:sz w:val="20"/>
          <w:szCs w:val="20"/>
          <w:lang w:val="es-PE"/>
        </w:rPr>
        <w:t>641. La parte peticionaria cuestiona que con esta decisió</w:t>
      </w:r>
      <w:r w:rsidR="008D78E7" w:rsidRPr="00605EDB">
        <w:rPr>
          <w:rFonts w:asciiTheme="majorHAnsi" w:hAnsiTheme="majorHAnsi"/>
          <w:sz w:val="20"/>
          <w:szCs w:val="20"/>
          <w:lang w:val="es-PE"/>
        </w:rPr>
        <w:t>n</w:t>
      </w:r>
      <w:r w:rsidRPr="00605EDB">
        <w:rPr>
          <w:rFonts w:asciiTheme="majorHAnsi" w:hAnsiTheme="majorHAnsi"/>
          <w:sz w:val="20"/>
          <w:szCs w:val="20"/>
          <w:lang w:val="es-PE"/>
        </w:rPr>
        <w:t xml:space="preserve"> el </w:t>
      </w:r>
      <w:r w:rsidR="008D78E7" w:rsidRPr="00605EDB">
        <w:rPr>
          <w:rFonts w:asciiTheme="majorHAnsi" w:hAnsiTheme="majorHAnsi"/>
          <w:sz w:val="20"/>
          <w:szCs w:val="20"/>
          <w:lang w:val="es-PE"/>
        </w:rPr>
        <w:t>t</w:t>
      </w:r>
      <w:r w:rsidRPr="00605EDB">
        <w:rPr>
          <w:rFonts w:asciiTheme="majorHAnsi" w:hAnsiTheme="majorHAnsi"/>
          <w:sz w:val="20"/>
          <w:szCs w:val="20"/>
          <w:lang w:val="es-PE"/>
        </w:rPr>
        <w:t xml:space="preserve">ribunal no solo ignoró el mandato del </w:t>
      </w:r>
      <w:r w:rsidR="00E77849" w:rsidRPr="00605EDB">
        <w:rPr>
          <w:rFonts w:asciiTheme="majorHAnsi" w:hAnsiTheme="majorHAnsi"/>
          <w:sz w:val="20"/>
          <w:szCs w:val="20"/>
          <w:lang w:val="es-PE"/>
        </w:rPr>
        <w:t>a</w:t>
      </w:r>
      <w:r w:rsidRPr="00605EDB">
        <w:rPr>
          <w:rFonts w:asciiTheme="majorHAnsi" w:hAnsiTheme="majorHAnsi"/>
          <w:sz w:val="20"/>
          <w:szCs w:val="20"/>
          <w:lang w:val="es-PE"/>
        </w:rPr>
        <w:t xml:space="preserve">mparo </w:t>
      </w:r>
      <w:r w:rsidR="00E77849" w:rsidRPr="00605EDB">
        <w:rPr>
          <w:rFonts w:asciiTheme="majorHAnsi" w:hAnsiTheme="majorHAnsi"/>
          <w:sz w:val="20"/>
          <w:szCs w:val="20"/>
          <w:lang w:val="es-PE"/>
        </w:rPr>
        <w:t>c</w:t>
      </w:r>
      <w:r w:rsidRPr="00605EDB">
        <w:rPr>
          <w:rFonts w:asciiTheme="majorHAnsi" w:hAnsiTheme="majorHAnsi"/>
          <w:sz w:val="20"/>
          <w:szCs w:val="20"/>
          <w:lang w:val="es-PE"/>
        </w:rPr>
        <w:t>onstitucional, sino que además consolidó la</w:t>
      </w:r>
      <w:r w:rsidR="00E77849" w:rsidRPr="00605EDB">
        <w:rPr>
          <w:rFonts w:asciiTheme="majorHAnsi" w:hAnsiTheme="majorHAnsi"/>
          <w:sz w:val="20"/>
          <w:szCs w:val="20"/>
          <w:lang w:val="es-PE"/>
        </w:rPr>
        <w:t xml:space="preserve"> alegada</w:t>
      </w:r>
      <w:r w:rsidRPr="00605EDB">
        <w:rPr>
          <w:rFonts w:asciiTheme="majorHAnsi" w:hAnsiTheme="majorHAnsi"/>
          <w:sz w:val="20"/>
          <w:szCs w:val="20"/>
          <w:lang w:val="es-PE"/>
        </w:rPr>
        <w:t xml:space="preserve"> violación de su derecho de propiedad, validando un proceso de saneamiento plagado de irregularidades y desconociendo los títulos legítimos de la familia Anaya.</w:t>
      </w:r>
    </w:p>
    <w:p w14:paraId="5C494E7C" w14:textId="2E29019B" w:rsidR="00A02332" w:rsidRPr="00605EDB" w:rsidRDefault="00A02332" w:rsidP="00BC02C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color w:val="auto"/>
          <w:sz w:val="20"/>
          <w:szCs w:val="20"/>
          <w:lang w:val="es-PE"/>
        </w:rPr>
      </w:pPr>
      <w:r w:rsidRPr="00605EDB">
        <w:rPr>
          <w:rFonts w:asciiTheme="majorHAnsi" w:hAnsiTheme="majorHAnsi"/>
          <w:i/>
          <w:iCs/>
          <w:color w:val="auto"/>
          <w:sz w:val="20"/>
          <w:szCs w:val="20"/>
          <w:lang w:val="es-PE"/>
        </w:rPr>
        <w:t>Denuncia de incumplimiento</w:t>
      </w:r>
    </w:p>
    <w:p w14:paraId="7B74D849" w14:textId="343D52C5" w:rsidR="00CD79B4" w:rsidRPr="00605EDB" w:rsidRDefault="00CD79B4" w:rsidP="00BC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 w:val="num" w:pos="13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Ante esta situación el 21 de mayo de 2012 las presuntas víctimas presentaron una denuncia de incumplimiento del Auto de Amparo Constitucional N.º SCII 315/2011. Sin embargo, el 11 de junio de 2013, la Sala Civil Primera del Tribunal Departamental de Justicia de Chuquisaca declaró improcedente el recurso, argumentando que el Tribunal Agrario Nacional había cumplido con lo ordenado.</w:t>
      </w:r>
    </w:p>
    <w:p w14:paraId="4C9A4FD8" w14:textId="450854A4" w:rsidR="00CD79B4" w:rsidRPr="00605EDB" w:rsidRDefault="00CD79B4" w:rsidP="00BC02C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PE"/>
        </w:rPr>
      </w:pPr>
      <w:r w:rsidRPr="00605EDB">
        <w:rPr>
          <w:rFonts w:asciiTheme="majorHAnsi" w:hAnsiTheme="majorHAnsi"/>
          <w:i/>
          <w:iCs/>
          <w:sz w:val="20"/>
          <w:szCs w:val="20"/>
          <w:lang w:val="es-PE"/>
        </w:rPr>
        <w:t>Con</w:t>
      </w:r>
      <w:r w:rsidR="005F7FB2" w:rsidRPr="00605EDB">
        <w:rPr>
          <w:rFonts w:asciiTheme="majorHAnsi" w:hAnsiTheme="majorHAnsi"/>
          <w:i/>
          <w:iCs/>
          <w:sz w:val="20"/>
          <w:szCs w:val="20"/>
          <w:lang w:val="es-PE"/>
        </w:rPr>
        <w:t>clusiones</w:t>
      </w:r>
    </w:p>
    <w:p w14:paraId="4709CC8D" w14:textId="6BB88E8B" w:rsidR="00CD79B4" w:rsidRPr="00605EDB" w:rsidRDefault="00CD79B4" w:rsidP="00BC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 xml:space="preserve">Con base en las consideraciones fácticas expuestas, la parte peticionaria sostiene que el Estado nunca brindó una protección efectiva a las presuntas víctimas ni a sus antecesores frente a las constantes invasiones perpetradas por campesinos, lo que les impidió desarrollar adecuadamente su industria lechera y ganadera. A pesar de esta inacción, </w:t>
      </w:r>
      <w:r w:rsidR="00605EDB" w:rsidRPr="00605EDB">
        <w:rPr>
          <w:rFonts w:asciiTheme="majorHAnsi" w:hAnsiTheme="majorHAnsi"/>
          <w:sz w:val="20"/>
          <w:szCs w:val="20"/>
          <w:lang w:val="es-PE"/>
        </w:rPr>
        <w:t>aduce</w:t>
      </w:r>
      <w:r w:rsidRPr="00605EDB">
        <w:rPr>
          <w:rFonts w:asciiTheme="majorHAnsi" w:hAnsiTheme="majorHAnsi"/>
          <w:sz w:val="20"/>
          <w:szCs w:val="20"/>
          <w:lang w:val="es-PE"/>
        </w:rPr>
        <w:t xml:space="preserve"> que las autoridades bolivianas posteriormente los despojaron de sus tierras sin otorgarles indemnización alguna, bajo el argumento de que no cumplían con la función económica y social. En relación con ello, cuestiona que ninguna autoridad reconoció que la supuesta falta de cumplimiento de dicha función fue consecuencia directa de la omisión del propio Estado, al no garantizar la protección de su derecho de propiedad. En este contexto, </w:t>
      </w:r>
      <w:r w:rsidR="005F54D4" w:rsidRPr="00605EDB">
        <w:rPr>
          <w:rFonts w:asciiTheme="majorHAnsi" w:hAnsiTheme="majorHAnsi"/>
          <w:sz w:val="20"/>
          <w:szCs w:val="20"/>
          <w:lang w:val="es-PE"/>
        </w:rPr>
        <w:t xml:space="preserve">destaca </w:t>
      </w:r>
      <w:r w:rsidRPr="00605EDB">
        <w:rPr>
          <w:rFonts w:asciiTheme="majorHAnsi" w:hAnsiTheme="majorHAnsi"/>
          <w:sz w:val="20"/>
          <w:szCs w:val="20"/>
          <w:lang w:val="es-PE"/>
        </w:rPr>
        <w:t>que la expropiación de sus tierras se llevó a cabo mediante procedimientos viciados por graves irregularidades, las cuales no fueron corregidas por las instancias judiciales encargadas de impartir justicia.</w:t>
      </w:r>
    </w:p>
    <w:p w14:paraId="475E6277" w14:textId="3BD895DF" w:rsidR="00381140" w:rsidRPr="00605EDB" w:rsidRDefault="004A1ECE" w:rsidP="00BC02C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AR"/>
        </w:rPr>
      </w:pPr>
      <w:r w:rsidRPr="00605EDB">
        <w:rPr>
          <w:rFonts w:asciiTheme="majorHAnsi" w:hAnsiTheme="majorHAnsi"/>
          <w:b/>
          <w:bCs/>
          <w:sz w:val="20"/>
          <w:szCs w:val="20"/>
          <w:lang w:val="es-AR"/>
        </w:rPr>
        <w:t>E</w:t>
      </w:r>
      <w:r w:rsidR="00381140" w:rsidRPr="00605EDB">
        <w:rPr>
          <w:rFonts w:asciiTheme="majorHAnsi" w:hAnsiTheme="majorHAnsi"/>
          <w:b/>
          <w:bCs/>
          <w:sz w:val="20"/>
          <w:szCs w:val="20"/>
          <w:lang w:val="es-AR"/>
        </w:rPr>
        <w:t>l Estado</w:t>
      </w:r>
      <w:r w:rsidRPr="00605EDB">
        <w:rPr>
          <w:rFonts w:asciiTheme="majorHAnsi" w:hAnsiTheme="majorHAnsi"/>
          <w:b/>
          <w:bCs/>
          <w:sz w:val="20"/>
          <w:szCs w:val="20"/>
          <w:lang w:val="es-AR"/>
        </w:rPr>
        <w:t xml:space="preserve"> </w:t>
      </w:r>
      <w:r w:rsidR="00445851" w:rsidRPr="00605EDB">
        <w:rPr>
          <w:rFonts w:asciiTheme="majorHAnsi" w:hAnsiTheme="majorHAnsi"/>
          <w:b/>
          <w:bCs/>
          <w:sz w:val="20"/>
          <w:szCs w:val="20"/>
          <w:lang w:val="es-AR"/>
        </w:rPr>
        <w:t>boliviano</w:t>
      </w:r>
    </w:p>
    <w:p w14:paraId="008715F0" w14:textId="3C6C5A8A" w:rsidR="00824A79" w:rsidRPr="00605EDB" w:rsidRDefault="00210DA8" w:rsidP="00BC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 xml:space="preserve">Por su parte, el Estado </w:t>
      </w:r>
      <w:r w:rsidR="004A1ECE" w:rsidRPr="00605EDB">
        <w:rPr>
          <w:rFonts w:asciiTheme="majorHAnsi" w:hAnsiTheme="majorHAnsi"/>
          <w:sz w:val="20"/>
          <w:szCs w:val="20"/>
          <w:lang w:val="es-PE"/>
        </w:rPr>
        <w:t xml:space="preserve">replica </w:t>
      </w:r>
      <w:r w:rsidRPr="00605EDB">
        <w:rPr>
          <w:rFonts w:asciiTheme="majorHAnsi" w:hAnsiTheme="majorHAnsi"/>
          <w:sz w:val="20"/>
          <w:szCs w:val="20"/>
          <w:lang w:val="es-PE"/>
        </w:rPr>
        <w:t>que la petición es inadmisible</w:t>
      </w:r>
      <w:r w:rsidR="004A1ECE" w:rsidRPr="00605EDB">
        <w:rPr>
          <w:rFonts w:asciiTheme="majorHAnsi" w:hAnsiTheme="majorHAnsi"/>
          <w:sz w:val="20"/>
          <w:szCs w:val="20"/>
          <w:lang w:val="es-PE"/>
        </w:rPr>
        <w:t xml:space="preserve">. </w:t>
      </w:r>
      <w:r w:rsidRPr="00605EDB">
        <w:rPr>
          <w:rFonts w:asciiTheme="majorHAnsi" w:hAnsiTheme="majorHAnsi"/>
          <w:sz w:val="20"/>
          <w:szCs w:val="20"/>
          <w:lang w:val="es-PE"/>
        </w:rPr>
        <w:t xml:space="preserve">En primer lugar, </w:t>
      </w:r>
      <w:r w:rsidR="00605EDB" w:rsidRPr="00605EDB">
        <w:rPr>
          <w:rFonts w:asciiTheme="majorHAnsi" w:hAnsiTheme="majorHAnsi"/>
          <w:sz w:val="20"/>
          <w:szCs w:val="20"/>
          <w:lang w:val="es-PE"/>
        </w:rPr>
        <w:t>plantea</w:t>
      </w:r>
      <w:r w:rsidRPr="00605EDB">
        <w:rPr>
          <w:rFonts w:asciiTheme="majorHAnsi" w:hAnsiTheme="majorHAnsi"/>
          <w:sz w:val="20"/>
          <w:szCs w:val="20"/>
          <w:lang w:val="es-PE"/>
        </w:rPr>
        <w:t xml:space="preserve"> que la CIDH carece de competencia </w:t>
      </w:r>
      <w:r w:rsidRPr="00605EDB">
        <w:rPr>
          <w:rFonts w:asciiTheme="majorHAnsi" w:hAnsiTheme="majorHAnsi"/>
          <w:i/>
          <w:iCs/>
          <w:sz w:val="20"/>
          <w:szCs w:val="20"/>
          <w:lang w:val="es-PE"/>
        </w:rPr>
        <w:t>ratione temporis</w:t>
      </w:r>
      <w:r w:rsidRPr="00605EDB">
        <w:rPr>
          <w:rFonts w:asciiTheme="majorHAnsi" w:hAnsiTheme="majorHAnsi"/>
          <w:sz w:val="20"/>
          <w:szCs w:val="20"/>
          <w:lang w:val="es-PE"/>
        </w:rPr>
        <w:t xml:space="preserve"> para conocer los hechos denunciados, dado que </w:t>
      </w:r>
      <w:r w:rsidR="00E71487" w:rsidRPr="00605EDB">
        <w:rPr>
          <w:rFonts w:asciiTheme="majorHAnsi" w:hAnsiTheme="majorHAnsi"/>
          <w:sz w:val="20"/>
          <w:szCs w:val="20"/>
          <w:lang w:val="es-PE"/>
        </w:rPr>
        <w:t>esto</w:t>
      </w:r>
      <w:r w:rsidRPr="00605EDB">
        <w:rPr>
          <w:rFonts w:asciiTheme="majorHAnsi" w:hAnsiTheme="majorHAnsi"/>
          <w:sz w:val="20"/>
          <w:szCs w:val="20"/>
          <w:lang w:val="es-PE"/>
        </w:rPr>
        <w:t xml:space="preserve">s ocurrieron antes </w:t>
      </w:r>
      <w:r w:rsidR="00586056" w:rsidRPr="00605EDB">
        <w:rPr>
          <w:rFonts w:asciiTheme="majorHAnsi" w:hAnsiTheme="majorHAnsi"/>
          <w:sz w:val="20"/>
          <w:szCs w:val="20"/>
          <w:lang w:val="es-PE"/>
        </w:rPr>
        <w:t>que ratifique la Convención Americana</w:t>
      </w:r>
      <w:r w:rsidR="00816E62" w:rsidRPr="00605EDB">
        <w:rPr>
          <w:rFonts w:asciiTheme="majorHAnsi" w:hAnsiTheme="majorHAnsi"/>
          <w:sz w:val="20"/>
          <w:szCs w:val="20"/>
          <w:lang w:val="es-PE"/>
        </w:rPr>
        <w:t xml:space="preserve"> </w:t>
      </w:r>
      <w:r w:rsidR="00816E62" w:rsidRPr="00605EDB">
        <w:rPr>
          <w:rFonts w:asciiTheme="majorHAnsi" w:hAnsiTheme="majorHAnsi"/>
          <w:bCs/>
          <w:sz w:val="20"/>
          <w:szCs w:val="20"/>
          <w:lang w:val="es-ES"/>
        </w:rPr>
        <w:t>el 19 de julio de 1979</w:t>
      </w:r>
      <w:r w:rsidR="00586056" w:rsidRPr="00605EDB">
        <w:rPr>
          <w:rFonts w:asciiTheme="majorHAnsi" w:hAnsiTheme="majorHAnsi"/>
          <w:sz w:val="20"/>
          <w:szCs w:val="20"/>
          <w:lang w:val="es-PE"/>
        </w:rPr>
        <w:t xml:space="preserve">. </w:t>
      </w:r>
      <w:r w:rsidRPr="00605EDB">
        <w:rPr>
          <w:rFonts w:asciiTheme="majorHAnsi" w:hAnsiTheme="majorHAnsi"/>
          <w:sz w:val="20"/>
          <w:szCs w:val="20"/>
          <w:lang w:val="es-PE"/>
        </w:rPr>
        <w:t xml:space="preserve">Según el Estado, la disputa se originó con la aplicación de la Ley de Reforma Agraria de 1953, lo que dio lugar a una serie de procesos administrativos y judiciales que justifican la función social y económica de los fundos en el ámbito interno que se remontan a las décadas de 1960 y 1970. </w:t>
      </w:r>
    </w:p>
    <w:p w14:paraId="55D2D827" w14:textId="234711A1" w:rsidR="0029138D" w:rsidRPr="00605EDB" w:rsidRDefault="00210DA8" w:rsidP="00BC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 xml:space="preserve">En segundo lugar, </w:t>
      </w:r>
      <w:r w:rsidR="00824A79" w:rsidRPr="00605EDB">
        <w:rPr>
          <w:rFonts w:asciiTheme="majorHAnsi" w:hAnsiTheme="majorHAnsi"/>
          <w:sz w:val="20"/>
          <w:szCs w:val="20"/>
          <w:lang w:val="es-PE"/>
        </w:rPr>
        <w:t>Bolivia</w:t>
      </w:r>
      <w:r w:rsidRPr="00605EDB">
        <w:rPr>
          <w:rFonts w:asciiTheme="majorHAnsi" w:hAnsiTheme="majorHAnsi"/>
          <w:sz w:val="20"/>
          <w:szCs w:val="20"/>
          <w:lang w:val="es-PE"/>
        </w:rPr>
        <w:t xml:space="preserve"> argumenta que la parte peticionaria no ha agotado los recursos internos en lo que respecta a la </w:t>
      </w:r>
      <w:r w:rsidR="00E85D69" w:rsidRPr="00605EDB">
        <w:rPr>
          <w:rFonts w:asciiTheme="majorHAnsi" w:hAnsiTheme="majorHAnsi"/>
          <w:sz w:val="20"/>
          <w:szCs w:val="20"/>
          <w:lang w:val="es-PE"/>
        </w:rPr>
        <w:t xml:space="preserve">presunta </w:t>
      </w:r>
      <w:r w:rsidRPr="00605EDB">
        <w:rPr>
          <w:rFonts w:asciiTheme="majorHAnsi" w:hAnsiTheme="majorHAnsi"/>
          <w:sz w:val="20"/>
          <w:szCs w:val="20"/>
          <w:lang w:val="es-PE"/>
        </w:rPr>
        <w:t xml:space="preserve">falta de imparcialidad de las autoridades que intervinieron en el proceso administrativo. </w:t>
      </w:r>
      <w:r w:rsidR="005F54D4" w:rsidRPr="00605EDB">
        <w:rPr>
          <w:rFonts w:asciiTheme="majorHAnsi" w:hAnsiTheme="majorHAnsi"/>
          <w:sz w:val="20"/>
          <w:szCs w:val="20"/>
          <w:lang w:val="es-PE"/>
        </w:rPr>
        <w:t xml:space="preserve">Precisa </w:t>
      </w:r>
      <w:r w:rsidRPr="00605EDB">
        <w:rPr>
          <w:rFonts w:asciiTheme="majorHAnsi" w:hAnsiTheme="majorHAnsi"/>
          <w:sz w:val="20"/>
          <w:szCs w:val="20"/>
          <w:lang w:val="es-PE"/>
        </w:rPr>
        <w:t xml:space="preserve">que si los peticionarios consideraban que los funcionarios públicos del INRA actuaron de manera parcializada, debieron interponer los mecanismos de control previstos en el ordenamiento jurídico boliviano. En particular, </w:t>
      </w:r>
      <w:r w:rsidR="00605EDB" w:rsidRPr="00605EDB">
        <w:rPr>
          <w:rFonts w:asciiTheme="majorHAnsi" w:hAnsiTheme="majorHAnsi"/>
          <w:sz w:val="20"/>
          <w:szCs w:val="20"/>
          <w:lang w:val="es-PE"/>
        </w:rPr>
        <w:t>indica</w:t>
      </w:r>
      <w:r w:rsidRPr="00605EDB">
        <w:rPr>
          <w:rFonts w:asciiTheme="majorHAnsi" w:hAnsiTheme="majorHAnsi"/>
          <w:sz w:val="20"/>
          <w:szCs w:val="20"/>
          <w:lang w:val="es-PE"/>
        </w:rPr>
        <w:t xml:space="preserve"> que la Ley </w:t>
      </w:r>
      <w:r w:rsidR="00824A79" w:rsidRPr="00605EDB">
        <w:rPr>
          <w:rFonts w:asciiTheme="majorHAnsi" w:hAnsiTheme="majorHAnsi"/>
          <w:sz w:val="20"/>
          <w:szCs w:val="20"/>
          <w:lang w:val="es-PE"/>
        </w:rPr>
        <w:t>N.º</w:t>
      </w:r>
      <w:r w:rsidRPr="00605EDB">
        <w:rPr>
          <w:rFonts w:asciiTheme="majorHAnsi" w:hAnsiTheme="majorHAnsi"/>
          <w:sz w:val="20"/>
          <w:szCs w:val="20"/>
          <w:lang w:val="es-PE"/>
        </w:rPr>
        <w:t xml:space="preserve"> 1178 de Administración y Control Gubernamentales, así como el Decreto Supremo 23318-A, establecen procedimientos para investigar y sancionar a servidores públicos en caso de conductas indebidas. Sin embargo, alega que los peticionarios no presentaron denuncias en el marco de estos procedimientos, ni tampoco agotaron otras vías disponibles dentro del derecho interno para impugnar la </w:t>
      </w:r>
      <w:r w:rsidR="005F54D4" w:rsidRPr="00605EDB">
        <w:rPr>
          <w:rFonts w:asciiTheme="majorHAnsi" w:hAnsiTheme="majorHAnsi"/>
          <w:sz w:val="20"/>
          <w:szCs w:val="20"/>
          <w:lang w:val="es-PE"/>
        </w:rPr>
        <w:t xml:space="preserve">eventual </w:t>
      </w:r>
      <w:r w:rsidRPr="00605EDB">
        <w:rPr>
          <w:rFonts w:asciiTheme="majorHAnsi" w:hAnsiTheme="majorHAnsi"/>
          <w:sz w:val="20"/>
          <w:szCs w:val="20"/>
          <w:lang w:val="es-PE"/>
        </w:rPr>
        <w:t>parcialidad de las decisiones administrativas.</w:t>
      </w:r>
    </w:p>
    <w:p w14:paraId="1CE31823" w14:textId="35E3AF42" w:rsidR="00210DA8" w:rsidRPr="00605EDB" w:rsidRDefault="00210DA8" w:rsidP="00BC0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lastRenderedPageBreak/>
        <w:t xml:space="preserve">En tercer lugar, Bolivia aduce que la petición </w:t>
      </w:r>
      <w:r w:rsidR="00682F6C" w:rsidRPr="00605EDB">
        <w:rPr>
          <w:rFonts w:asciiTheme="majorHAnsi" w:hAnsiTheme="majorHAnsi"/>
          <w:sz w:val="20"/>
          <w:szCs w:val="20"/>
          <w:lang w:val="es-PE"/>
        </w:rPr>
        <w:t>adolece de</w:t>
      </w:r>
      <w:r w:rsidR="0026591B" w:rsidRPr="00605EDB">
        <w:rPr>
          <w:rFonts w:asciiTheme="majorHAnsi" w:hAnsiTheme="majorHAnsi"/>
          <w:sz w:val="20"/>
          <w:szCs w:val="20"/>
          <w:lang w:val="es-PE"/>
        </w:rPr>
        <w:t xml:space="preserve"> falta de caracterización de los hechos como violaciones de derechos humanos. </w:t>
      </w:r>
      <w:r w:rsidRPr="00605EDB">
        <w:rPr>
          <w:rFonts w:asciiTheme="majorHAnsi" w:hAnsiTheme="majorHAnsi"/>
          <w:sz w:val="20"/>
          <w:szCs w:val="20"/>
          <w:lang w:val="es-PE"/>
        </w:rPr>
        <w:t xml:space="preserve">En cuanto a la </w:t>
      </w:r>
      <w:r w:rsidR="00323841" w:rsidRPr="00605EDB">
        <w:rPr>
          <w:rFonts w:asciiTheme="majorHAnsi" w:hAnsiTheme="majorHAnsi"/>
          <w:sz w:val="20"/>
          <w:szCs w:val="20"/>
          <w:lang w:val="es-PE"/>
        </w:rPr>
        <w:t xml:space="preserve">supuesta </w:t>
      </w:r>
      <w:r w:rsidRPr="00605EDB">
        <w:rPr>
          <w:rFonts w:asciiTheme="majorHAnsi" w:hAnsiTheme="majorHAnsi"/>
          <w:sz w:val="20"/>
          <w:szCs w:val="20"/>
          <w:lang w:val="es-PE"/>
        </w:rPr>
        <w:t xml:space="preserve">vulneración del derecho a la propiedad privada, el Estado sostiene que no se ha demostrado que las acciones adoptadas en el marco del proceso de saneamiento agrario hayan constituido una privación arbitraria de la propiedad. </w:t>
      </w:r>
      <w:r w:rsidR="005F54D4" w:rsidRPr="00605EDB">
        <w:rPr>
          <w:rFonts w:asciiTheme="majorHAnsi" w:hAnsiTheme="majorHAnsi"/>
          <w:sz w:val="20"/>
          <w:szCs w:val="20"/>
          <w:lang w:val="es-PE"/>
        </w:rPr>
        <w:t xml:space="preserve">Resalta </w:t>
      </w:r>
      <w:r w:rsidRPr="00605EDB">
        <w:rPr>
          <w:rFonts w:asciiTheme="majorHAnsi" w:hAnsiTheme="majorHAnsi"/>
          <w:sz w:val="20"/>
          <w:szCs w:val="20"/>
          <w:lang w:val="es-PE"/>
        </w:rPr>
        <w:t xml:space="preserve">que el predio en cuestión fue objeto de un procedimiento de regularización en cumplimiento de la Ley </w:t>
      </w:r>
      <w:r w:rsidR="00824A79" w:rsidRPr="00605EDB">
        <w:rPr>
          <w:rFonts w:asciiTheme="majorHAnsi" w:hAnsiTheme="majorHAnsi"/>
          <w:sz w:val="20"/>
          <w:szCs w:val="20"/>
          <w:lang w:val="es-PE"/>
        </w:rPr>
        <w:t>N.º</w:t>
      </w:r>
      <w:r w:rsidRPr="00605EDB">
        <w:rPr>
          <w:rFonts w:asciiTheme="majorHAnsi" w:hAnsiTheme="majorHAnsi"/>
          <w:sz w:val="20"/>
          <w:szCs w:val="20"/>
          <w:lang w:val="es-PE"/>
        </w:rPr>
        <w:t xml:space="preserve"> 1715, que establece la necesidad de verificar la Función Económica Social como requisito para la conservación de la propiedad agraria. En este sentido, argumenta que la reversión de los títulos de propiedad se realizó con estricto apego a la normativa vigente, en el marco de la política de reforma agraria que rige en Bolivia desde 1996.</w:t>
      </w:r>
    </w:p>
    <w:p w14:paraId="4BE28847" w14:textId="2A39D070" w:rsidR="00CF6F8D" w:rsidRPr="00605EDB" w:rsidRDefault="006A5778" w:rsidP="00390D3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Así,</w:t>
      </w:r>
      <w:r w:rsidR="00210DA8" w:rsidRPr="00605EDB">
        <w:rPr>
          <w:rFonts w:asciiTheme="majorHAnsi" w:hAnsiTheme="majorHAnsi"/>
          <w:sz w:val="20"/>
          <w:szCs w:val="20"/>
          <w:lang w:val="es-PE"/>
        </w:rPr>
        <w:t xml:space="preserve"> enfatiza que la normativa boliviana reconoce la propiedad privada sobre la tierra únicamente cuando se cumplen las disposiciones sobre uso productivo. En consecuencia, señala que los peticionarios no lograron acreditar que </w:t>
      </w:r>
      <w:r w:rsidR="005F54D4" w:rsidRPr="00605EDB">
        <w:rPr>
          <w:rFonts w:asciiTheme="majorHAnsi" w:hAnsiTheme="majorHAnsi"/>
          <w:sz w:val="20"/>
          <w:szCs w:val="20"/>
          <w:lang w:val="es-PE"/>
        </w:rPr>
        <w:t xml:space="preserve">este </w:t>
      </w:r>
      <w:r w:rsidR="00210DA8" w:rsidRPr="00605EDB">
        <w:rPr>
          <w:rFonts w:asciiTheme="majorHAnsi" w:hAnsiTheme="majorHAnsi"/>
          <w:sz w:val="20"/>
          <w:szCs w:val="20"/>
          <w:lang w:val="es-PE"/>
        </w:rPr>
        <w:t xml:space="preserve">predio en </w:t>
      </w:r>
      <w:r w:rsidR="005F54D4" w:rsidRPr="00605EDB">
        <w:rPr>
          <w:rFonts w:asciiTheme="majorHAnsi" w:hAnsiTheme="majorHAnsi"/>
          <w:sz w:val="20"/>
          <w:szCs w:val="20"/>
          <w:lang w:val="es-PE"/>
        </w:rPr>
        <w:t xml:space="preserve">particular </w:t>
      </w:r>
      <w:r w:rsidR="00210DA8" w:rsidRPr="00605EDB">
        <w:rPr>
          <w:rFonts w:asciiTheme="majorHAnsi" w:hAnsiTheme="majorHAnsi"/>
          <w:sz w:val="20"/>
          <w:szCs w:val="20"/>
          <w:lang w:val="es-PE"/>
        </w:rPr>
        <w:t xml:space="preserve">estuviera cumpliendo con la </w:t>
      </w:r>
      <w:r w:rsidR="00CF6F8D" w:rsidRPr="00605EDB">
        <w:rPr>
          <w:rFonts w:asciiTheme="majorHAnsi" w:hAnsiTheme="majorHAnsi"/>
          <w:sz w:val="20"/>
          <w:szCs w:val="20"/>
          <w:lang w:val="es-PE"/>
        </w:rPr>
        <w:t>Función Económica Social</w:t>
      </w:r>
      <w:r w:rsidR="00210DA8" w:rsidRPr="00605EDB">
        <w:rPr>
          <w:rFonts w:asciiTheme="majorHAnsi" w:hAnsiTheme="majorHAnsi"/>
          <w:sz w:val="20"/>
          <w:szCs w:val="20"/>
          <w:lang w:val="es-PE"/>
        </w:rPr>
        <w:t>, lo que justificó la reversión de este en favor del Estado. Además, recalca que esta medida no constituyó una expropiación en los términos del artículo 21 de la C</w:t>
      </w:r>
      <w:r w:rsidR="00E71487" w:rsidRPr="00605EDB">
        <w:rPr>
          <w:rFonts w:asciiTheme="majorHAnsi" w:hAnsiTheme="majorHAnsi"/>
          <w:sz w:val="20"/>
          <w:szCs w:val="20"/>
          <w:lang w:val="es-PE"/>
        </w:rPr>
        <w:t>onvención Americana</w:t>
      </w:r>
      <w:r w:rsidR="00210DA8" w:rsidRPr="00605EDB">
        <w:rPr>
          <w:rFonts w:asciiTheme="majorHAnsi" w:hAnsiTheme="majorHAnsi"/>
          <w:sz w:val="20"/>
          <w:szCs w:val="20"/>
          <w:lang w:val="es-PE"/>
        </w:rPr>
        <w:t>, ya que la reversión de la propiedad no se llevó a cabo por razones de utilidad pública ni dio lugar al pago de una indemnización, sino que se fundamentó en la falta de cumplimiento de las condiciones establecidas para la tenencia de la tierra.</w:t>
      </w:r>
    </w:p>
    <w:p w14:paraId="7B63B812" w14:textId="0B237E15" w:rsidR="006F2664" w:rsidRPr="00605EDB" w:rsidRDefault="006F2664" w:rsidP="00390D3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 xml:space="preserve">En esa línea </w:t>
      </w:r>
      <w:r w:rsidR="00605EDB" w:rsidRPr="00605EDB">
        <w:rPr>
          <w:rFonts w:asciiTheme="majorHAnsi" w:hAnsiTheme="majorHAnsi"/>
          <w:sz w:val="20"/>
          <w:szCs w:val="20"/>
          <w:lang w:val="es-PE"/>
        </w:rPr>
        <w:t>dice</w:t>
      </w:r>
      <w:r w:rsidRPr="00605EDB">
        <w:rPr>
          <w:rFonts w:asciiTheme="majorHAnsi" w:hAnsiTheme="majorHAnsi"/>
          <w:sz w:val="20"/>
          <w:szCs w:val="20"/>
          <w:lang w:val="es-PE"/>
        </w:rPr>
        <w:t xml:space="preserve"> que si los terrenos agrarios no se hallan saneados, no existe una expropiación directa. Al haberse anulado los títulos ejecutoriales que favorecían a las presuntas víctimas</w:t>
      </w:r>
      <w:r w:rsidR="000921B2" w:rsidRPr="00605EDB">
        <w:rPr>
          <w:rFonts w:asciiTheme="majorHAnsi" w:hAnsiTheme="majorHAnsi"/>
          <w:sz w:val="20"/>
          <w:szCs w:val="20"/>
          <w:lang w:val="es-PE"/>
        </w:rPr>
        <w:t>,</w:t>
      </w:r>
      <w:r w:rsidRPr="00605EDB">
        <w:rPr>
          <w:rFonts w:asciiTheme="majorHAnsi" w:hAnsiTheme="majorHAnsi"/>
          <w:sz w:val="20"/>
          <w:szCs w:val="20"/>
          <w:lang w:val="es-PE"/>
        </w:rPr>
        <w:t xml:space="preserve"> el Estado considera que no existió vulneración al derecho </w:t>
      </w:r>
      <w:r w:rsidR="00D570F2" w:rsidRPr="00605EDB">
        <w:rPr>
          <w:rFonts w:asciiTheme="majorHAnsi" w:hAnsiTheme="majorHAnsi"/>
          <w:sz w:val="20"/>
          <w:szCs w:val="20"/>
          <w:lang w:val="es-PE"/>
        </w:rPr>
        <w:t>a la propiedad</w:t>
      </w:r>
      <w:r w:rsidRPr="00605EDB">
        <w:rPr>
          <w:rFonts w:asciiTheme="majorHAnsi" w:hAnsiTheme="majorHAnsi"/>
          <w:sz w:val="20"/>
          <w:szCs w:val="20"/>
          <w:lang w:val="es-PE"/>
        </w:rPr>
        <w:t xml:space="preserve"> ni tampoco aplicaba la figura legal de expropiación y el consecuente pago de una indemnización. </w:t>
      </w:r>
    </w:p>
    <w:p w14:paraId="5DE6394B" w14:textId="5E69F34B" w:rsidR="00210DA8" w:rsidRPr="00605EDB" w:rsidRDefault="00210DA8" w:rsidP="00390D3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 xml:space="preserve">Asimismo, </w:t>
      </w:r>
      <w:r w:rsidR="00D570F2" w:rsidRPr="00605EDB">
        <w:rPr>
          <w:rFonts w:asciiTheme="majorHAnsi" w:hAnsiTheme="majorHAnsi"/>
          <w:sz w:val="20"/>
          <w:szCs w:val="20"/>
          <w:lang w:val="es-PE"/>
        </w:rPr>
        <w:t>plantea</w:t>
      </w:r>
      <w:r w:rsidRPr="00605EDB">
        <w:rPr>
          <w:rFonts w:asciiTheme="majorHAnsi" w:hAnsiTheme="majorHAnsi"/>
          <w:sz w:val="20"/>
          <w:szCs w:val="20"/>
          <w:lang w:val="es-PE"/>
        </w:rPr>
        <w:t xml:space="preserve"> que las presuntas víctimas participaron activamente en todas las etapas del proceso de saneamiento, presentando pruebas y ejerciendo su derecho de defensa. De esta manera, </w:t>
      </w:r>
      <w:r w:rsidR="005F54D4" w:rsidRPr="00605EDB">
        <w:rPr>
          <w:rFonts w:asciiTheme="majorHAnsi" w:hAnsiTheme="majorHAnsi"/>
          <w:sz w:val="20"/>
          <w:szCs w:val="20"/>
          <w:lang w:val="es-PE"/>
        </w:rPr>
        <w:t xml:space="preserve">afirma </w:t>
      </w:r>
      <w:r w:rsidRPr="00605EDB">
        <w:rPr>
          <w:rFonts w:asciiTheme="majorHAnsi" w:hAnsiTheme="majorHAnsi"/>
          <w:sz w:val="20"/>
          <w:szCs w:val="20"/>
          <w:lang w:val="es-PE"/>
        </w:rPr>
        <w:t>que no puede hablarse de una privación arbitraria de la propiedad, ya que las resoluciones emitidas por las autoridades competentes fueron el resultado de un procedimiento legítimo y ajustado a derecho. Destaca que la CIDH no puede actuar como una instancia revisora de decisiones adoptadas en el ámbito interno, en virtud del principio de subsidiariedad, y que el desacuerdo de los peticionarios con los resultados del saneamiento no implica per se una vulneración del derecho a la propiedad privada.</w:t>
      </w:r>
    </w:p>
    <w:p w14:paraId="6E3CC9CC" w14:textId="6E1DFA87" w:rsidR="00115C97" w:rsidRPr="00605EDB" w:rsidRDefault="00244F9A" w:rsidP="00390D3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 xml:space="preserve">Por otro lado, en lo que respecta a las garantías judiciales, </w:t>
      </w:r>
      <w:r w:rsidR="00D568F1" w:rsidRPr="00605EDB">
        <w:rPr>
          <w:rFonts w:asciiTheme="majorHAnsi" w:hAnsiTheme="majorHAnsi"/>
          <w:sz w:val="20"/>
          <w:szCs w:val="20"/>
          <w:lang w:val="es-PE"/>
        </w:rPr>
        <w:t>Bolivia</w:t>
      </w:r>
      <w:r w:rsidRPr="00605EDB">
        <w:rPr>
          <w:rFonts w:asciiTheme="majorHAnsi" w:hAnsiTheme="majorHAnsi"/>
          <w:sz w:val="20"/>
          <w:szCs w:val="20"/>
          <w:lang w:val="es-PE"/>
        </w:rPr>
        <w:t xml:space="preserve"> </w:t>
      </w:r>
      <w:r w:rsidR="005F54D4" w:rsidRPr="00605EDB">
        <w:rPr>
          <w:rFonts w:asciiTheme="majorHAnsi" w:hAnsiTheme="majorHAnsi"/>
          <w:sz w:val="20"/>
          <w:szCs w:val="20"/>
          <w:lang w:val="es-PE"/>
        </w:rPr>
        <w:t xml:space="preserve">aduce </w:t>
      </w:r>
      <w:r w:rsidRPr="00605EDB">
        <w:rPr>
          <w:rFonts w:asciiTheme="majorHAnsi" w:hAnsiTheme="majorHAnsi"/>
          <w:sz w:val="20"/>
          <w:szCs w:val="20"/>
          <w:lang w:val="es-PE"/>
        </w:rPr>
        <w:t xml:space="preserve">que las presuntas víctimas tuvieron acceso a recursos efectivos para cuestionar las decisiones adoptadas en el proceso de saneamiento. </w:t>
      </w:r>
      <w:r w:rsidR="00D568F1" w:rsidRPr="00605EDB">
        <w:rPr>
          <w:rFonts w:asciiTheme="majorHAnsi" w:hAnsiTheme="majorHAnsi"/>
          <w:sz w:val="20"/>
          <w:szCs w:val="20"/>
          <w:lang w:val="es-PE"/>
        </w:rPr>
        <w:t>P</w:t>
      </w:r>
      <w:r w:rsidRPr="00605EDB">
        <w:rPr>
          <w:rFonts w:asciiTheme="majorHAnsi" w:hAnsiTheme="majorHAnsi"/>
          <w:sz w:val="20"/>
          <w:szCs w:val="20"/>
          <w:lang w:val="es-PE"/>
        </w:rPr>
        <w:t>udieron presentar sus alegatos ante la jurisdicción agraria y</w:t>
      </w:r>
      <w:r w:rsidR="00191FBA" w:rsidRPr="00605EDB">
        <w:rPr>
          <w:rFonts w:asciiTheme="majorHAnsi" w:hAnsiTheme="majorHAnsi"/>
          <w:sz w:val="20"/>
          <w:szCs w:val="20"/>
          <w:lang w:val="es-PE"/>
        </w:rPr>
        <w:t xml:space="preserve"> luego en</w:t>
      </w:r>
      <w:r w:rsidRPr="00605EDB">
        <w:rPr>
          <w:rFonts w:asciiTheme="majorHAnsi" w:hAnsiTheme="majorHAnsi"/>
          <w:sz w:val="20"/>
          <w:szCs w:val="20"/>
          <w:lang w:val="es-PE"/>
        </w:rPr>
        <w:t xml:space="preserve"> la vía contencioso-administrativa y constitucional para impugnar los actos que consideraban lesivos. </w:t>
      </w:r>
      <w:r w:rsidR="00605EDB" w:rsidRPr="00605EDB">
        <w:rPr>
          <w:rFonts w:asciiTheme="majorHAnsi" w:hAnsiTheme="majorHAnsi"/>
          <w:sz w:val="20"/>
          <w:szCs w:val="20"/>
          <w:lang w:val="es-PE"/>
        </w:rPr>
        <w:t>Asegura</w:t>
      </w:r>
      <w:r w:rsidRPr="00605EDB">
        <w:rPr>
          <w:rFonts w:asciiTheme="majorHAnsi" w:hAnsiTheme="majorHAnsi"/>
          <w:sz w:val="20"/>
          <w:szCs w:val="20"/>
          <w:lang w:val="es-PE"/>
        </w:rPr>
        <w:t xml:space="preserve"> que los tribunales internos analizaron sus argumentos y emitieron resoluciones debidamente fundamentadas, por lo que no puede afirmarse que existió denegación de justicia.</w:t>
      </w:r>
    </w:p>
    <w:p w14:paraId="356DF595" w14:textId="22461DAA" w:rsidR="00115C97" w:rsidRPr="00605EDB" w:rsidRDefault="00244F9A" w:rsidP="00390D3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 xml:space="preserve">En cuanto a la protección judicial, el Estado enfatiza que la normativa boliviana prevé múltiples recursos administrativos, contencioso-administrativos y constitucionales para la revisión de actos en materia agraria, los cuales fueron efectivamente utilizados por las presuntas víctimas. </w:t>
      </w:r>
      <w:r w:rsidR="005F54D4" w:rsidRPr="00605EDB">
        <w:rPr>
          <w:rFonts w:asciiTheme="majorHAnsi" w:hAnsiTheme="majorHAnsi"/>
          <w:sz w:val="20"/>
          <w:szCs w:val="20"/>
          <w:lang w:val="es-PE"/>
        </w:rPr>
        <w:t xml:space="preserve">Destaca </w:t>
      </w:r>
      <w:r w:rsidRPr="00605EDB">
        <w:rPr>
          <w:rFonts w:asciiTheme="majorHAnsi" w:hAnsiTheme="majorHAnsi"/>
          <w:sz w:val="20"/>
          <w:szCs w:val="20"/>
          <w:lang w:val="es-PE"/>
        </w:rPr>
        <w:t>que el hecho de que sus pretensiones no hayan sido acogidas por los tribunales no implica una violación del derecho a la tutela judicial efectiva, ya que el acceso a la justicia no garantiza un resultado favorable, sino únicamente la posibilidad de presentar y sustentar los reclamos ante las instancias competentes.</w:t>
      </w:r>
    </w:p>
    <w:p w14:paraId="65E729E5" w14:textId="4F413B09" w:rsidR="00115C97" w:rsidRPr="00605EDB" w:rsidRDefault="00115C97" w:rsidP="00390D3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 xml:space="preserve">Por otro lado, rechaza la alegación de vulneración del derecho a la igualdad y no discriminación. Argumenta que la normativa agraria se ha aplicado de manera uniforme a todos los propietarios de tierras en Bolivia, sin establecer distinciones arbitrarias o tratos diferenciados en perjuicio de los peticionarios. </w:t>
      </w:r>
      <w:r w:rsidR="005F54D4" w:rsidRPr="00605EDB">
        <w:rPr>
          <w:rFonts w:asciiTheme="majorHAnsi" w:hAnsiTheme="majorHAnsi"/>
          <w:sz w:val="20"/>
          <w:szCs w:val="20"/>
          <w:lang w:val="es-PE"/>
        </w:rPr>
        <w:t xml:space="preserve">Explica </w:t>
      </w:r>
      <w:r w:rsidRPr="00605EDB">
        <w:rPr>
          <w:rFonts w:asciiTheme="majorHAnsi" w:hAnsiTheme="majorHAnsi"/>
          <w:sz w:val="20"/>
          <w:szCs w:val="20"/>
          <w:lang w:val="es-PE"/>
        </w:rPr>
        <w:t xml:space="preserve">que la reversión del predio se enmarcó en la política de redistribución de tierras establecida en la Constitución y que la evaluación del cumplimiento de la </w:t>
      </w:r>
      <w:r w:rsidR="00E71487" w:rsidRPr="00605EDB">
        <w:rPr>
          <w:rFonts w:asciiTheme="majorHAnsi" w:hAnsiTheme="majorHAnsi"/>
          <w:sz w:val="20"/>
          <w:szCs w:val="20"/>
          <w:lang w:val="es-PE"/>
        </w:rPr>
        <w:t>Función Económica Social</w:t>
      </w:r>
      <w:r w:rsidRPr="00605EDB">
        <w:rPr>
          <w:rFonts w:asciiTheme="majorHAnsi" w:hAnsiTheme="majorHAnsi"/>
          <w:sz w:val="20"/>
          <w:szCs w:val="20"/>
          <w:lang w:val="es-PE"/>
        </w:rPr>
        <w:t xml:space="preserve"> se realizó bajo criterios objetivos aplicados de manera general a todos los sujetos de derecho agrario. En consecuencia, concluye que no existe evidencia que permita sostener que los peticionarios fueron objeto de una afectación diferenciada basada en criterios prohibidos por la Convención Americana</w:t>
      </w:r>
      <w:r w:rsidR="00223480">
        <w:rPr>
          <w:rFonts w:asciiTheme="majorHAnsi" w:hAnsiTheme="majorHAnsi"/>
          <w:sz w:val="20"/>
          <w:szCs w:val="20"/>
          <w:lang w:val="es-PE"/>
        </w:rPr>
        <w:t>.</w:t>
      </w:r>
    </w:p>
    <w:p w14:paraId="0B9A213F" w14:textId="77777777" w:rsidR="00200B12" w:rsidRPr="00605EDB" w:rsidRDefault="00200B12" w:rsidP="000C3963">
      <w:pPr>
        <w:pStyle w:val="ListParagraph"/>
        <w:spacing w:before="240" w:after="240"/>
        <w:ind w:left="851"/>
        <w:jc w:val="both"/>
        <w:rPr>
          <w:rFonts w:asciiTheme="majorHAnsi" w:hAnsiTheme="majorHAnsi"/>
          <w:b/>
          <w:bCs/>
          <w:color w:val="auto"/>
          <w:sz w:val="20"/>
          <w:szCs w:val="20"/>
          <w:lang w:val="es-ES"/>
        </w:rPr>
      </w:pPr>
    </w:p>
    <w:p w14:paraId="28A9333A" w14:textId="18D3E30F" w:rsidR="00F62A42" w:rsidRPr="00605EDB" w:rsidRDefault="00F62A42" w:rsidP="00390D33">
      <w:pPr>
        <w:pStyle w:val="ListParagraph"/>
        <w:spacing w:before="240" w:after="240"/>
        <w:jc w:val="both"/>
        <w:rPr>
          <w:rFonts w:asciiTheme="majorHAnsi" w:hAnsiTheme="majorHAnsi"/>
          <w:b/>
          <w:bCs/>
          <w:color w:val="auto"/>
          <w:sz w:val="20"/>
          <w:szCs w:val="20"/>
          <w:lang w:val="es-ES"/>
        </w:rPr>
      </w:pPr>
      <w:r w:rsidRPr="00605EDB">
        <w:rPr>
          <w:rFonts w:asciiTheme="majorHAnsi" w:hAnsiTheme="majorHAnsi"/>
          <w:b/>
          <w:bCs/>
          <w:color w:val="auto"/>
          <w:sz w:val="20"/>
          <w:szCs w:val="20"/>
          <w:lang w:val="es-ES"/>
        </w:rPr>
        <w:lastRenderedPageBreak/>
        <w:t xml:space="preserve">VI. </w:t>
      </w:r>
      <w:r w:rsidRPr="00605EDB">
        <w:rPr>
          <w:rFonts w:asciiTheme="majorHAnsi" w:hAnsiTheme="majorHAnsi"/>
          <w:b/>
          <w:bCs/>
          <w:color w:val="auto"/>
          <w:sz w:val="20"/>
          <w:szCs w:val="20"/>
          <w:lang w:val="es-ES"/>
        </w:rPr>
        <w:tab/>
      </w:r>
      <w:r w:rsidR="00C55569" w:rsidRPr="00605EDB">
        <w:rPr>
          <w:rFonts w:asciiTheme="majorHAnsi" w:hAnsiTheme="majorHAnsi"/>
          <w:b/>
          <w:bCs/>
          <w:color w:val="auto"/>
          <w:sz w:val="20"/>
          <w:szCs w:val="20"/>
          <w:lang w:val="es-ES"/>
        </w:rPr>
        <w:t>CUESTIÓN PREVIA SOBRE LA</w:t>
      </w:r>
      <w:r w:rsidRPr="00605EDB">
        <w:rPr>
          <w:rFonts w:asciiTheme="majorHAnsi" w:hAnsiTheme="majorHAnsi"/>
          <w:b/>
          <w:bCs/>
          <w:color w:val="auto"/>
          <w:sz w:val="20"/>
          <w:szCs w:val="20"/>
          <w:lang w:val="es-ES"/>
        </w:rPr>
        <w:t xml:space="preserve"> COMPETENCIA </w:t>
      </w:r>
      <w:r w:rsidRPr="00605EDB">
        <w:rPr>
          <w:rFonts w:asciiTheme="majorHAnsi" w:hAnsiTheme="majorHAnsi"/>
          <w:b/>
          <w:bCs/>
          <w:i/>
          <w:iCs/>
          <w:color w:val="auto"/>
          <w:sz w:val="20"/>
          <w:szCs w:val="20"/>
          <w:lang w:val="es-ES"/>
        </w:rPr>
        <w:t>RATIONE TEMPORIS</w:t>
      </w:r>
      <w:r w:rsidR="00C55569" w:rsidRPr="00605EDB">
        <w:rPr>
          <w:rFonts w:asciiTheme="majorHAnsi" w:hAnsiTheme="majorHAnsi"/>
          <w:b/>
          <w:bCs/>
          <w:i/>
          <w:iCs/>
          <w:color w:val="auto"/>
          <w:sz w:val="20"/>
          <w:szCs w:val="20"/>
          <w:lang w:val="es-ES"/>
        </w:rPr>
        <w:t xml:space="preserve"> </w:t>
      </w:r>
      <w:r w:rsidR="00C55569" w:rsidRPr="00605EDB">
        <w:rPr>
          <w:rFonts w:asciiTheme="majorHAnsi" w:hAnsiTheme="majorHAnsi"/>
          <w:b/>
          <w:bCs/>
          <w:color w:val="auto"/>
          <w:sz w:val="20"/>
          <w:szCs w:val="20"/>
          <w:lang w:val="es-ES"/>
        </w:rPr>
        <w:t>DE LA CIDH</w:t>
      </w:r>
      <w:r w:rsidRPr="00605EDB">
        <w:rPr>
          <w:rFonts w:asciiTheme="majorHAnsi" w:hAnsiTheme="majorHAnsi"/>
          <w:b/>
          <w:bCs/>
          <w:color w:val="auto"/>
          <w:sz w:val="20"/>
          <w:szCs w:val="20"/>
          <w:lang w:val="es-ES"/>
        </w:rPr>
        <w:tab/>
      </w:r>
    </w:p>
    <w:p w14:paraId="66EE8911" w14:textId="318D837A" w:rsidR="00A634BB" w:rsidRPr="00605EDB" w:rsidRDefault="00E3009C" w:rsidP="00390D3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 xml:space="preserve">El Estado </w:t>
      </w:r>
      <w:r w:rsidR="005F54D4" w:rsidRPr="00605EDB">
        <w:rPr>
          <w:rFonts w:asciiTheme="majorHAnsi" w:hAnsiTheme="majorHAnsi"/>
          <w:sz w:val="20"/>
          <w:szCs w:val="20"/>
          <w:lang w:val="es-PE"/>
        </w:rPr>
        <w:t xml:space="preserve">plantea </w:t>
      </w:r>
      <w:r w:rsidRPr="00605EDB">
        <w:rPr>
          <w:rFonts w:asciiTheme="majorHAnsi" w:hAnsiTheme="majorHAnsi"/>
          <w:sz w:val="20"/>
          <w:szCs w:val="20"/>
          <w:lang w:val="es-PE"/>
        </w:rPr>
        <w:t xml:space="preserve">que la </w:t>
      </w:r>
      <w:r w:rsidR="00BE5E99" w:rsidRPr="00605EDB">
        <w:rPr>
          <w:rFonts w:asciiTheme="majorHAnsi" w:hAnsiTheme="majorHAnsi"/>
          <w:sz w:val="20"/>
          <w:szCs w:val="20"/>
          <w:lang w:val="es-PE"/>
        </w:rPr>
        <w:t>Comisión</w:t>
      </w:r>
      <w:r w:rsidRPr="00605EDB">
        <w:rPr>
          <w:rFonts w:asciiTheme="majorHAnsi" w:hAnsiTheme="majorHAnsi"/>
          <w:sz w:val="20"/>
          <w:szCs w:val="20"/>
          <w:lang w:val="es-PE"/>
        </w:rPr>
        <w:t xml:space="preserve"> carece de competencia </w:t>
      </w:r>
      <w:r w:rsidRPr="00390D33">
        <w:rPr>
          <w:rFonts w:asciiTheme="majorHAnsi" w:hAnsiTheme="majorHAnsi"/>
          <w:sz w:val="20"/>
          <w:szCs w:val="20"/>
          <w:lang w:val="es-PE"/>
        </w:rPr>
        <w:t xml:space="preserve">ratione temporis, </w:t>
      </w:r>
      <w:r w:rsidRPr="00605EDB">
        <w:rPr>
          <w:rFonts w:asciiTheme="majorHAnsi" w:hAnsiTheme="majorHAnsi"/>
          <w:sz w:val="20"/>
          <w:szCs w:val="20"/>
          <w:lang w:val="es-PE"/>
        </w:rPr>
        <w:t xml:space="preserve">pues la petición versa sobre </w:t>
      </w:r>
      <w:r w:rsidR="00271C57" w:rsidRPr="00605EDB">
        <w:rPr>
          <w:rFonts w:asciiTheme="majorHAnsi" w:hAnsiTheme="majorHAnsi"/>
          <w:sz w:val="20"/>
          <w:szCs w:val="20"/>
          <w:lang w:val="es-PE"/>
        </w:rPr>
        <w:t xml:space="preserve">hechos acontecidos antes del </w:t>
      </w:r>
      <w:r w:rsidR="00271C57" w:rsidRPr="00390D33">
        <w:rPr>
          <w:rFonts w:asciiTheme="majorHAnsi" w:hAnsiTheme="majorHAnsi"/>
          <w:sz w:val="20"/>
          <w:szCs w:val="20"/>
          <w:lang w:val="es-PE"/>
        </w:rPr>
        <w:t xml:space="preserve">19 de julio de 1979, fecha en la que depositó el instrumento de ratificación de la Convención Americana. No obstante, la </w:t>
      </w:r>
      <w:r w:rsidR="00BE5E99" w:rsidRPr="00390D33">
        <w:rPr>
          <w:rFonts w:asciiTheme="majorHAnsi" w:hAnsiTheme="majorHAnsi"/>
          <w:sz w:val="20"/>
          <w:szCs w:val="20"/>
          <w:lang w:val="es-PE"/>
        </w:rPr>
        <w:t>CIDH</w:t>
      </w:r>
      <w:r w:rsidR="00271C57" w:rsidRPr="00390D33">
        <w:rPr>
          <w:rFonts w:asciiTheme="majorHAnsi" w:hAnsiTheme="majorHAnsi"/>
          <w:sz w:val="20"/>
          <w:szCs w:val="20"/>
          <w:lang w:val="es-PE"/>
        </w:rPr>
        <w:t xml:space="preserve"> aprecia </w:t>
      </w:r>
      <w:r w:rsidR="00BE5E99" w:rsidRPr="00390D33">
        <w:rPr>
          <w:rFonts w:asciiTheme="majorHAnsi" w:hAnsiTheme="majorHAnsi"/>
          <w:sz w:val="20"/>
          <w:szCs w:val="20"/>
          <w:lang w:val="es-PE"/>
        </w:rPr>
        <w:t xml:space="preserve">que </w:t>
      </w:r>
      <w:r w:rsidR="00271C57" w:rsidRPr="00390D33">
        <w:rPr>
          <w:rFonts w:asciiTheme="majorHAnsi" w:hAnsiTheme="majorHAnsi"/>
          <w:sz w:val="20"/>
          <w:szCs w:val="20"/>
          <w:lang w:val="es-PE"/>
        </w:rPr>
        <w:t xml:space="preserve">la parte peticionaria solo menciona tales sucesos </w:t>
      </w:r>
      <w:r w:rsidR="004A31FD" w:rsidRPr="00390D33">
        <w:rPr>
          <w:rFonts w:asciiTheme="majorHAnsi" w:hAnsiTheme="majorHAnsi"/>
          <w:sz w:val="20"/>
          <w:szCs w:val="20"/>
          <w:lang w:val="es-PE"/>
        </w:rPr>
        <w:t>a modo de contexto</w:t>
      </w:r>
      <w:r w:rsidR="004259CF" w:rsidRPr="00390D33">
        <w:rPr>
          <w:rFonts w:asciiTheme="majorHAnsi" w:hAnsiTheme="majorHAnsi"/>
          <w:sz w:val="20"/>
          <w:szCs w:val="20"/>
          <w:lang w:val="es-PE"/>
        </w:rPr>
        <w:t>,</w:t>
      </w:r>
      <w:r w:rsidR="004A31FD" w:rsidRPr="00390D33">
        <w:rPr>
          <w:rFonts w:asciiTheme="majorHAnsi" w:hAnsiTheme="majorHAnsi"/>
          <w:sz w:val="20"/>
          <w:szCs w:val="20"/>
          <w:lang w:val="es-PE"/>
        </w:rPr>
        <w:t xml:space="preserve"> </w:t>
      </w:r>
      <w:r w:rsidR="004259CF" w:rsidRPr="00390D33">
        <w:rPr>
          <w:rFonts w:asciiTheme="majorHAnsi" w:hAnsiTheme="majorHAnsi"/>
          <w:sz w:val="20"/>
          <w:szCs w:val="20"/>
          <w:lang w:val="es-PE"/>
        </w:rPr>
        <w:t>siendo realmente</w:t>
      </w:r>
      <w:r w:rsidR="004A31FD" w:rsidRPr="00390D33">
        <w:rPr>
          <w:rFonts w:asciiTheme="majorHAnsi" w:hAnsiTheme="majorHAnsi"/>
          <w:sz w:val="20"/>
          <w:szCs w:val="20"/>
          <w:lang w:val="es-PE"/>
        </w:rPr>
        <w:t xml:space="preserve"> el fundamento </w:t>
      </w:r>
      <w:r w:rsidR="00443D09" w:rsidRPr="00390D33">
        <w:rPr>
          <w:rFonts w:asciiTheme="majorHAnsi" w:hAnsiTheme="majorHAnsi"/>
          <w:sz w:val="20"/>
          <w:szCs w:val="20"/>
          <w:lang w:val="es-PE"/>
        </w:rPr>
        <w:t>central de su petición</w:t>
      </w:r>
      <w:r w:rsidR="004A31FD" w:rsidRPr="00390D33">
        <w:rPr>
          <w:rFonts w:asciiTheme="majorHAnsi" w:hAnsiTheme="majorHAnsi"/>
          <w:sz w:val="20"/>
          <w:szCs w:val="20"/>
          <w:lang w:val="es-PE"/>
        </w:rPr>
        <w:t xml:space="preserve"> lo ocurrido </w:t>
      </w:r>
      <w:r w:rsidR="00443D09" w:rsidRPr="00390D33">
        <w:rPr>
          <w:rFonts w:asciiTheme="majorHAnsi" w:hAnsiTheme="majorHAnsi"/>
          <w:sz w:val="20"/>
          <w:szCs w:val="20"/>
          <w:lang w:val="es-PE"/>
        </w:rPr>
        <w:t xml:space="preserve">a partir del 2001, con el inicio del procedimiento de saneamiento de las tierras en controversia. Bajo este entendimiento, la Comisión posee competencia ratione temporis para analizar </w:t>
      </w:r>
      <w:r w:rsidR="003714AE" w:rsidRPr="00390D33">
        <w:rPr>
          <w:rFonts w:asciiTheme="majorHAnsi" w:hAnsiTheme="majorHAnsi"/>
          <w:sz w:val="20"/>
          <w:szCs w:val="20"/>
          <w:lang w:val="es-PE"/>
        </w:rPr>
        <w:t>los hechos denunciados</w:t>
      </w:r>
      <w:r w:rsidR="00443D09" w:rsidRPr="00390D33">
        <w:rPr>
          <w:rFonts w:asciiTheme="majorHAnsi" w:hAnsiTheme="majorHAnsi"/>
          <w:sz w:val="20"/>
          <w:szCs w:val="20"/>
          <w:lang w:val="es-PE"/>
        </w:rPr>
        <w:t xml:space="preserve">. </w:t>
      </w:r>
    </w:p>
    <w:p w14:paraId="5E03F56E" w14:textId="002BFFC9" w:rsidR="00A634BB" w:rsidRPr="00605EDB" w:rsidRDefault="00A634BB" w:rsidP="00390D33">
      <w:pPr>
        <w:pStyle w:val="ListParagraph"/>
        <w:spacing w:before="240" w:after="240"/>
        <w:jc w:val="both"/>
        <w:rPr>
          <w:rFonts w:asciiTheme="majorHAnsi" w:hAnsiTheme="majorHAnsi"/>
          <w:b/>
          <w:bCs/>
          <w:color w:val="auto"/>
          <w:sz w:val="20"/>
          <w:szCs w:val="20"/>
          <w:lang w:val="es-ES"/>
        </w:rPr>
      </w:pPr>
      <w:r w:rsidRPr="00605EDB">
        <w:rPr>
          <w:rFonts w:asciiTheme="majorHAnsi" w:hAnsiTheme="majorHAnsi"/>
          <w:b/>
          <w:bCs/>
          <w:color w:val="auto"/>
          <w:sz w:val="20"/>
          <w:szCs w:val="20"/>
          <w:lang w:val="es-ES"/>
        </w:rPr>
        <w:t xml:space="preserve">VII. </w:t>
      </w:r>
      <w:r w:rsidRPr="00605EDB">
        <w:rPr>
          <w:rFonts w:asciiTheme="majorHAnsi" w:hAnsiTheme="majorHAnsi"/>
          <w:b/>
          <w:bCs/>
          <w:color w:val="auto"/>
          <w:sz w:val="20"/>
          <w:szCs w:val="20"/>
          <w:lang w:val="es-ES"/>
        </w:rPr>
        <w:tab/>
      </w:r>
      <w:r w:rsidRPr="00605EDB">
        <w:rPr>
          <w:rFonts w:asciiTheme="majorHAnsi" w:hAnsiTheme="majorHAnsi"/>
          <w:b/>
          <w:bCs/>
          <w:color w:val="auto"/>
          <w:sz w:val="20"/>
          <w:szCs w:val="20"/>
          <w:lang w:val="es-ES_tradnl"/>
        </w:rPr>
        <w:t xml:space="preserve">ANÁLISIS DE </w:t>
      </w:r>
      <w:r w:rsidRPr="00605EDB">
        <w:rPr>
          <w:rFonts w:asciiTheme="majorHAnsi" w:hAnsiTheme="majorHAnsi"/>
          <w:b/>
          <w:color w:val="auto"/>
          <w:sz w:val="20"/>
          <w:szCs w:val="20"/>
          <w:lang w:val="es-ES"/>
        </w:rPr>
        <w:t>AGOTAMIENTO DE LOS RECURSOS INTERNOS Y PLAZO DE PRESENTACIÓN</w:t>
      </w:r>
      <w:r w:rsidRPr="00605EDB">
        <w:rPr>
          <w:rFonts w:asciiTheme="majorHAnsi" w:hAnsiTheme="majorHAnsi"/>
          <w:b/>
          <w:bCs/>
          <w:color w:val="auto"/>
          <w:sz w:val="20"/>
          <w:szCs w:val="20"/>
          <w:lang w:val="es-ES"/>
        </w:rPr>
        <w:t xml:space="preserve"> </w:t>
      </w:r>
    </w:p>
    <w:p w14:paraId="2F2DC0AF" w14:textId="416801C0" w:rsidR="00A634BB" w:rsidRPr="009C12AC" w:rsidRDefault="00345720" w:rsidP="0A9360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rPr>
      </w:pPr>
      <w:r w:rsidRPr="0A93603A">
        <w:rPr>
          <w:rFonts w:asciiTheme="majorHAnsi" w:hAnsiTheme="majorHAnsi"/>
          <w:sz w:val="20"/>
          <w:szCs w:val="20"/>
        </w:rPr>
        <w:t>La CIDH recuerda que, conforme a su práctica consolidada y reiterada, para identificar los recursos idóneos que debieron agotarse antes de acudir al Sistema Interamericano, el primer paso metodológico consiste en</w:t>
      </w:r>
      <w:r w:rsidR="00185435" w:rsidRPr="0A93603A">
        <w:rPr>
          <w:rFonts w:asciiTheme="majorHAnsi" w:hAnsiTheme="majorHAnsi"/>
          <w:sz w:val="20"/>
          <w:szCs w:val="20"/>
        </w:rPr>
        <w:t xml:space="preserve"> establecer el objeto específico de la petición</w:t>
      </w:r>
      <w:r w:rsidRPr="0A93603A">
        <w:rPr>
          <w:rFonts w:asciiTheme="majorHAnsi" w:hAnsiTheme="majorHAnsi"/>
          <w:sz w:val="20"/>
          <w:szCs w:val="20"/>
        </w:rPr>
        <w:t xml:space="preserve">. En el presente caso, la parte peticionaria </w:t>
      </w:r>
      <w:r w:rsidR="00605EDB" w:rsidRPr="0A93603A">
        <w:rPr>
          <w:rFonts w:asciiTheme="majorHAnsi" w:hAnsiTheme="majorHAnsi"/>
          <w:sz w:val="20"/>
          <w:szCs w:val="20"/>
        </w:rPr>
        <w:t>reclama</w:t>
      </w:r>
      <w:r w:rsidRPr="0A93603A">
        <w:rPr>
          <w:rFonts w:asciiTheme="majorHAnsi" w:hAnsiTheme="majorHAnsi"/>
          <w:sz w:val="20"/>
          <w:szCs w:val="20"/>
        </w:rPr>
        <w:t xml:space="preserve"> esencialmente </w:t>
      </w:r>
      <w:r w:rsidR="00B42D8E" w:rsidRPr="0A93603A">
        <w:rPr>
          <w:rFonts w:asciiTheme="majorHAnsi" w:hAnsiTheme="majorHAnsi"/>
          <w:sz w:val="20"/>
          <w:szCs w:val="20"/>
        </w:rPr>
        <w:t xml:space="preserve">que a las presuntas víctimas se les despojó indebidamente de su derecho de propiedad sobre el Fundo “La Tamborada”. </w:t>
      </w:r>
    </w:p>
    <w:p w14:paraId="458600B8" w14:textId="0E06760D" w:rsidR="00B42D8E" w:rsidRPr="005E671F" w:rsidRDefault="00921190" w:rsidP="005E67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5E671F">
        <w:rPr>
          <w:rFonts w:asciiTheme="majorHAnsi" w:hAnsiTheme="majorHAnsi"/>
          <w:sz w:val="20"/>
          <w:szCs w:val="20"/>
          <w:lang w:val="es-PE"/>
        </w:rPr>
        <w:t xml:space="preserve">Por su parte, el Estado </w:t>
      </w:r>
      <w:r w:rsidR="00B42D8E" w:rsidRPr="005E671F">
        <w:rPr>
          <w:rFonts w:asciiTheme="majorHAnsi" w:hAnsiTheme="majorHAnsi"/>
          <w:sz w:val="20"/>
          <w:szCs w:val="20"/>
          <w:lang w:val="es-PE"/>
        </w:rPr>
        <w:t xml:space="preserve">replica </w:t>
      </w:r>
      <w:r w:rsidR="005F54D4" w:rsidRPr="005E671F">
        <w:rPr>
          <w:rFonts w:asciiTheme="majorHAnsi" w:hAnsiTheme="majorHAnsi"/>
          <w:sz w:val="20"/>
          <w:szCs w:val="20"/>
          <w:lang w:val="es-PE"/>
        </w:rPr>
        <w:t xml:space="preserve">que </w:t>
      </w:r>
      <w:r w:rsidR="00B42D8E" w:rsidRPr="00605EDB">
        <w:rPr>
          <w:rFonts w:asciiTheme="majorHAnsi" w:hAnsiTheme="majorHAnsi"/>
          <w:sz w:val="20"/>
          <w:szCs w:val="20"/>
          <w:lang w:val="es-PE"/>
        </w:rPr>
        <w:t>la parte peticionaria no ha agotado los recursos internos en lo que respecta a la alegada falta de imparcialidad de las autoridades que intervinieron en el proceso administrativo. Sostiene que, si los peticionarios consideraban que los funcionarios públicos del INRA actuaron de manera parcializada, debieron interponer los mecanismos de control previstos en el ordenamiento jurídico boliviano.</w:t>
      </w:r>
    </w:p>
    <w:p w14:paraId="5D3A937A" w14:textId="62802470" w:rsidR="00DB21CB" w:rsidRPr="005E671F" w:rsidRDefault="00921190" w:rsidP="005E67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5E671F">
        <w:rPr>
          <w:rFonts w:asciiTheme="majorHAnsi" w:hAnsiTheme="majorHAnsi"/>
          <w:sz w:val="20"/>
          <w:szCs w:val="20"/>
          <w:lang w:val="es-PE"/>
        </w:rPr>
        <w:t xml:space="preserve">Al respecto, la Comisión </w:t>
      </w:r>
      <w:r w:rsidRPr="00605EDB">
        <w:rPr>
          <w:rFonts w:asciiTheme="majorHAnsi" w:hAnsiTheme="majorHAnsi"/>
          <w:sz w:val="20"/>
          <w:szCs w:val="20"/>
          <w:lang w:val="es-PE"/>
        </w:rPr>
        <w:t xml:space="preserve">reitera que el requisito de agotamiento de los recursos internos no implica que las presuntas víctimas tengan la obligación de agotar todos los recursos posibles a su disposición. En este sentido, la CIDH ha mantenido que si la presunta víctima planteó </w:t>
      </w:r>
      <w:r w:rsidR="00605EDB" w:rsidRPr="00605EDB">
        <w:rPr>
          <w:rFonts w:asciiTheme="majorHAnsi" w:hAnsiTheme="majorHAnsi"/>
          <w:sz w:val="20"/>
          <w:szCs w:val="20"/>
          <w:lang w:val="es-PE"/>
        </w:rPr>
        <w:t xml:space="preserve">el reclamo </w:t>
      </w:r>
      <w:r w:rsidRPr="00605EDB">
        <w:rPr>
          <w:rFonts w:asciiTheme="majorHAnsi" w:hAnsiTheme="majorHAnsi"/>
          <w:sz w:val="20"/>
          <w:szCs w:val="20"/>
          <w:lang w:val="es-PE"/>
        </w:rPr>
        <w:t xml:space="preserve">por alguna de las alternativas válidas y adecuadas según el ordenamiento jurídico interno y el Estado tuvo la oportunidad de remediar </w:t>
      </w:r>
      <w:r w:rsidR="005F54D4" w:rsidRPr="00605EDB">
        <w:rPr>
          <w:rFonts w:asciiTheme="majorHAnsi" w:hAnsiTheme="majorHAnsi"/>
          <w:sz w:val="20"/>
          <w:szCs w:val="20"/>
          <w:lang w:val="es-PE"/>
        </w:rPr>
        <w:t>el asunto</w:t>
      </w:r>
      <w:r w:rsidRPr="00605EDB">
        <w:rPr>
          <w:rFonts w:asciiTheme="majorHAnsi" w:hAnsiTheme="majorHAnsi"/>
          <w:sz w:val="20"/>
          <w:szCs w:val="20"/>
          <w:lang w:val="es-PE"/>
        </w:rPr>
        <w:t xml:space="preserve"> en su jurisdicción, la finalidad de la norma internacional está cumplida</w:t>
      </w:r>
      <w:r w:rsidRPr="00BA08E4">
        <w:rPr>
          <w:rStyle w:val="FootnoteReference"/>
          <w:rFonts w:asciiTheme="majorHAnsi" w:eastAsia="Cambria" w:hAnsiTheme="majorHAnsi" w:cs="Cambria"/>
          <w:sz w:val="20"/>
          <w:szCs w:val="20"/>
          <w:u w:color="000000"/>
          <w:lang w:val="es-PE" w:eastAsia="es-ES"/>
        </w:rPr>
        <w:footnoteReference w:id="4"/>
      </w:r>
      <w:r w:rsidRPr="00605EDB">
        <w:rPr>
          <w:rFonts w:asciiTheme="majorHAnsi" w:hAnsiTheme="majorHAnsi"/>
          <w:sz w:val="20"/>
          <w:szCs w:val="20"/>
          <w:lang w:val="es-PE"/>
        </w:rPr>
        <w:t>.</w:t>
      </w:r>
    </w:p>
    <w:p w14:paraId="133B9893" w14:textId="094102F9" w:rsidR="00DB21CB" w:rsidRPr="005E671F" w:rsidRDefault="000A2072" w:rsidP="005E67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En el caso</w:t>
      </w:r>
      <w:r w:rsidR="00605EDB" w:rsidRPr="00605EDB">
        <w:rPr>
          <w:rFonts w:asciiTheme="majorHAnsi" w:hAnsiTheme="majorHAnsi"/>
          <w:sz w:val="20"/>
          <w:szCs w:val="20"/>
          <w:lang w:val="es-PE"/>
        </w:rPr>
        <w:t xml:space="preserve"> bajo estudio</w:t>
      </w:r>
      <w:r w:rsidRPr="00605EDB">
        <w:rPr>
          <w:rFonts w:asciiTheme="majorHAnsi" w:hAnsiTheme="majorHAnsi"/>
          <w:sz w:val="20"/>
          <w:szCs w:val="20"/>
          <w:lang w:val="es-PE"/>
        </w:rPr>
        <w:t xml:space="preserve">, las presuntas víctimas </w:t>
      </w:r>
      <w:r w:rsidR="005F54D4" w:rsidRPr="00605EDB">
        <w:rPr>
          <w:rFonts w:asciiTheme="majorHAnsi" w:hAnsiTheme="majorHAnsi"/>
          <w:sz w:val="20"/>
          <w:szCs w:val="20"/>
          <w:lang w:val="es-PE"/>
        </w:rPr>
        <w:t xml:space="preserve">interpusieron </w:t>
      </w:r>
      <w:r w:rsidRPr="00605EDB">
        <w:rPr>
          <w:rFonts w:asciiTheme="majorHAnsi" w:hAnsiTheme="majorHAnsi"/>
          <w:sz w:val="20"/>
          <w:szCs w:val="20"/>
          <w:lang w:val="es-PE"/>
        </w:rPr>
        <w:t>u</w:t>
      </w:r>
      <w:r w:rsidR="008A6E23" w:rsidRPr="00605EDB">
        <w:rPr>
          <w:rFonts w:asciiTheme="majorHAnsi" w:hAnsiTheme="majorHAnsi"/>
          <w:sz w:val="20"/>
          <w:szCs w:val="20"/>
          <w:lang w:val="es-PE"/>
        </w:rPr>
        <w:t xml:space="preserve">na demanda contenciosa administrativa contra la Resolución Suprema N.º 228641 emitida por el INRA, la cual anuló los títulos ejecutoriales otorgados a su antecesor. Luego que el Tribunal Agrario Nacional desestimara este recurso, las presuntas víctimas promovieron una acción de amparo, logrando que </w:t>
      </w:r>
      <w:r w:rsidR="00DB21CB" w:rsidRPr="00605EDB">
        <w:rPr>
          <w:rFonts w:asciiTheme="majorHAnsi" w:hAnsiTheme="majorHAnsi"/>
          <w:sz w:val="20"/>
          <w:szCs w:val="20"/>
          <w:lang w:val="es-PE"/>
        </w:rPr>
        <w:t xml:space="preserve">mediante el Auto de Amparo Constitucional N.º SCII 315/2011 </w:t>
      </w:r>
      <w:r w:rsidR="008A6E23" w:rsidRPr="00605EDB">
        <w:rPr>
          <w:rFonts w:asciiTheme="majorHAnsi" w:hAnsiTheme="majorHAnsi"/>
          <w:sz w:val="20"/>
          <w:szCs w:val="20"/>
          <w:lang w:val="es-PE"/>
        </w:rPr>
        <w:t xml:space="preserve">se ordene </w:t>
      </w:r>
      <w:r w:rsidR="00C01156" w:rsidRPr="00605EDB">
        <w:rPr>
          <w:rFonts w:asciiTheme="majorHAnsi" w:hAnsiTheme="majorHAnsi"/>
          <w:sz w:val="20"/>
          <w:szCs w:val="20"/>
          <w:lang w:val="es-PE"/>
        </w:rPr>
        <w:t xml:space="preserve">a dicha instancia </w:t>
      </w:r>
      <w:r w:rsidR="008A6E23" w:rsidRPr="00605EDB">
        <w:rPr>
          <w:rFonts w:asciiTheme="majorHAnsi" w:hAnsiTheme="majorHAnsi"/>
          <w:sz w:val="20"/>
          <w:szCs w:val="20"/>
          <w:lang w:val="es-PE"/>
        </w:rPr>
        <w:t>la emisión de una nueva sentencia</w:t>
      </w:r>
      <w:r w:rsidR="00C01156" w:rsidRPr="00605EDB">
        <w:rPr>
          <w:rFonts w:asciiTheme="majorHAnsi" w:hAnsiTheme="majorHAnsi"/>
          <w:sz w:val="20"/>
          <w:szCs w:val="20"/>
          <w:lang w:val="es-PE"/>
        </w:rPr>
        <w:t>. Como resultado, el 14 de mayo de 2012 el Tribunal Agrario Nacional dictó un Auto Complementario en el que ratificó su decisión y reiteró la validez de la Resolución Suprema N.º 228641.</w:t>
      </w:r>
      <w:r w:rsidR="00DB21CB" w:rsidRPr="00605EDB">
        <w:rPr>
          <w:rFonts w:asciiTheme="majorHAnsi" w:hAnsiTheme="majorHAnsi"/>
          <w:sz w:val="20"/>
          <w:szCs w:val="20"/>
          <w:lang w:val="es-PE"/>
        </w:rPr>
        <w:t xml:space="preserve"> Posteriormente, el Tribunal Constitucional Plurinacional confirmó el contenido del referido Auto de Amparo Constitucional N.º SCII 315/2011.</w:t>
      </w:r>
    </w:p>
    <w:p w14:paraId="5451A01E" w14:textId="0DF66A96" w:rsidR="00DB21CB" w:rsidRPr="005E671F" w:rsidRDefault="00C31A87" w:rsidP="005E67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5E671F">
        <w:rPr>
          <w:rFonts w:asciiTheme="majorHAnsi" w:hAnsiTheme="majorHAnsi"/>
          <w:sz w:val="20"/>
          <w:szCs w:val="20"/>
          <w:lang w:val="es-PE"/>
        </w:rPr>
        <w:t xml:space="preserve">A criterio de la CIDH, resulta claro que las presuntas víctimas emplearon </w:t>
      </w:r>
      <w:r w:rsidR="00E71487" w:rsidRPr="005E671F">
        <w:rPr>
          <w:rFonts w:asciiTheme="majorHAnsi" w:hAnsiTheme="majorHAnsi"/>
          <w:sz w:val="20"/>
          <w:szCs w:val="20"/>
          <w:lang w:val="es-PE"/>
        </w:rPr>
        <w:t>la</w:t>
      </w:r>
      <w:r w:rsidRPr="005E671F">
        <w:rPr>
          <w:rFonts w:asciiTheme="majorHAnsi" w:hAnsiTheme="majorHAnsi"/>
          <w:sz w:val="20"/>
          <w:szCs w:val="20"/>
          <w:lang w:val="es-PE"/>
        </w:rPr>
        <w:t xml:space="preserve"> vía adecuada para canalizar el objeto de su petición. Dado que el Estado no plantea que hayan podido </w:t>
      </w:r>
      <w:r w:rsidR="00605EDB" w:rsidRPr="005E671F">
        <w:rPr>
          <w:rFonts w:asciiTheme="majorHAnsi" w:hAnsiTheme="majorHAnsi"/>
          <w:sz w:val="20"/>
          <w:szCs w:val="20"/>
          <w:lang w:val="es-PE"/>
        </w:rPr>
        <w:t>agotar</w:t>
      </w:r>
      <w:r w:rsidRPr="005E671F">
        <w:rPr>
          <w:rFonts w:asciiTheme="majorHAnsi" w:hAnsiTheme="majorHAnsi"/>
          <w:sz w:val="20"/>
          <w:szCs w:val="20"/>
          <w:lang w:val="es-PE"/>
        </w:rPr>
        <w:t xml:space="preserve"> alguna vía judicial adicional contra la última decisión proferida, la Comisión concluye que el asunto </w:t>
      </w:r>
      <w:r w:rsidR="005F54D4" w:rsidRPr="005E671F">
        <w:rPr>
          <w:rFonts w:asciiTheme="majorHAnsi" w:hAnsiTheme="majorHAnsi"/>
          <w:sz w:val="20"/>
          <w:szCs w:val="20"/>
          <w:lang w:val="es-PE"/>
        </w:rPr>
        <w:t xml:space="preserve">bajo estudio </w:t>
      </w:r>
      <w:r w:rsidRPr="005E671F">
        <w:rPr>
          <w:rFonts w:asciiTheme="majorHAnsi" w:hAnsiTheme="majorHAnsi"/>
          <w:sz w:val="20"/>
          <w:szCs w:val="20"/>
          <w:lang w:val="es-PE"/>
        </w:rPr>
        <w:t>cumple con el requisito previsto en el artículo 46.1.a) de la Convención</w:t>
      </w:r>
      <w:r w:rsidR="00EB2791" w:rsidRPr="005E671F">
        <w:rPr>
          <w:rFonts w:asciiTheme="majorHAnsi" w:hAnsiTheme="majorHAnsi"/>
          <w:sz w:val="20"/>
          <w:szCs w:val="20"/>
          <w:lang w:val="es-PE"/>
        </w:rPr>
        <w:t xml:space="preserve"> Americana. </w:t>
      </w:r>
    </w:p>
    <w:p w14:paraId="090DB04F" w14:textId="1712727B" w:rsidR="00EB2791" w:rsidRPr="00605EDB" w:rsidRDefault="00C31A87" w:rsidP="005E67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s>
        <w:suppressAutoHyphens/>
        <w:spacing w:before="240" w:after="240"/>
        <w:ind w:firstLine="589"/>
        <w:jc w:val="both"/>
        <w:rPr>
          <w:rFonts w:asciiTheme="majorHAnsi" w:hAnsiTheme="majorHAnsi"/>
          <w:sz w:val="20"/>
          <w:szCs w:val="20"/>
          <w:lang w:val="es-PE"/>
        </w:rPr>
      </w:pPr>
      <w:r w:rsidRPr="00605EDB">
        <w:rPr>
          <w:rFonts w:asciiTheme="majorHAnsi" w:hAnsiTheme="majorHAnsi"/>
          <w:sz w:val="20"/>
          <w:szCs w:val="20"/>
          <w:lang w:val="es-PE"/>
        </w:rPr>
        <w:t xml:space="preserve">En cuanto al plazo de presentación, la parte peticionaria </w:t>
      </w:r>
      <w:r w:rsidR="005F54D4" w:rsidRPr="00605EDB">
        <w:rPr>
          <w:rFonts w:asciiTheme="majorHAnsi" w:hAnsiTheme="majorHAnsi"/>
          <w:sz w:val="20"/>
          <w:szCs w:val="20"/>
          <w:lang w:val="es-PE"/>
        </w:rPr>
        <w:t xml:space="preserve">afirma </w:t>
      </w:r>
      <w:r w:rsidRPr="00605EDB">
        <w:rPr>
          <w:rFonts w:asciiTheme="majorHAnsi" w:hAnsiTheme="majorHAnsi"/>
          <w:sz w:val="20"/>
          <w:szCs w:val="20"/>
          <w:lang w:val="es-PE"/>
        </w:rPr>
        <w:t>que el plazo de seis meses debe contabilizarse a partir d</w:t>
      </w:r>
      <w:r w:rsidR="00B53CD9" w:rsidRPr="00605EDB">
        <w:rPr>
          <w:rFonts w:asciiTheme="majorHAnsi" w:hAnsiTheme="majorHAnsi"/>
          <w:sz w:val="20"/>
          <w:szCs w:val="20"/>
          <w:lang w:val="es-PE"/>
        </w:rPr>
        <w:t xml:space="preserve">el 4 de agosto de 2013, </w:t>
      </w:r>
      <w:r w:rsidR="00DB21CB" w:rsidRPr="00605EDB">
        <w:rPr>
          <w:rFonts w:asciiTheme="majorHAnsi" w:hAnsiTheme="majorHAnsi"/>
          <w:sz w:val="20"/>
          <w:szCs w:val="20"/>
          <w:lang w:val="es-PE"/>
        </w:rPr>
        <w:t xml:space="preserve">fecha en la cual se notificó la Sentencia Constitucional Plurinacional 0532/2013, la cual confirmó el Auto de Amparo Constitucional </w:t>
      </w:r>
      <w:bookmarkStart w:id="2" w:name="_Hlk193805514"/>
      <w:r w:rsidR="00DB21CB" w:rsidRPr="00605EDB">
        <w:rPr>
          <w:rFonts w:asciiTheme="majorHAnsi" w:hAnsiTheme="majorHAnsi"/>
          <w:sz w:val="20"/>
          <w:szCs w:val="20"/>
          <w:lang w:val="es-PE"/>
        </w:rPr>
        <w:t xml:space="preserve">N.º </w:t>
      </w:r>
      <w:bookmarkEnd w:id="2"/>
      <w:r w:rsidR="00DB21CB" w:rsidRPr="00605EDB">
        <w:rPr>
          <w:rFonts w:asciiTheme="majorHAnsi" w:hAnsiTheme="majorHAnsi"/>
          <w:sz w:val="20"/>
          <w:szCs w:val="20"/>
          <w:lang w:val="es-PE"/>
        </w:rPr>
        <w:t xml:space="preserve">SCII 315/2011. Dado que el Estado no cuestiona este </w:t>
      </w:r>
      <w:r w:rsidR="00EB2791" w:rsidRPr="00605EDB">
        <w:rPr>
          <w:rFonts w:asciiTheme="majorHAnsi" w:hAnsiTheme="majorHAnsi"/>
          <w:sz w:val="20"/>
          <w:szCs w:val="20"/>
          <w:lang w:val="es-PE"/>
        </w:rPr>
        <w:t xml:space="preserve">aspecto, y que la petición fue recibida el </w:t>
      </w:r>
      <w:r w:rsidR="00EB2791" w:rsidRPr="005E671F">
        <w:rPr>
          <w:rFonts w:asciiTheme="majorHAnsi" w:hAnsiTheme="majorHAnsi"/>
          <w:sz w:val="20"/>
          <w:szCs w:val="20"/>
          <w:lang w:val="es-PE"/>
        </w:rPr>
        <w:t>24 de enero de 2014, la CIDH concluye que también se cumple el requisito previsto en el artículo 46.1.b) de la Convención.</w:t>
      </w:r>
    </w:p>
    <w:p w14:paraId="71E47A16" w14:textId="77777777" w:rsidR="001B6F20" w:rsidRPr="00605EDB" w:rsidRDefault="001B6F20" w:rsidP="000C396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851"/>
        <w:jc w:val="both"/>
        <w:rPr>
          <w:rFonts w:asciiTheme="majorHAnsi" w:hAnsiTheme="majorHAnsi"/>
          <w:b/>
          <w:bCs/>
          <w:color w:val="auto"/>
          <w:sz w:val="20"/>
          <w:szCs w:val="20"/>
          <w:lang w:val="es-ES"/>
        </w:rPr>
      </w:pPr>
    </w:p>
    <w:p w14:paraId="4BC201C8" w14:textId="6980164D" w:rsidR="00EB2791" w:rsidRPr="00605EDB" w:rsidRDefault="00EB2791" w:rsidP="00D70F2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color w:val="auto"/>
          <w:sz w:val="20"/>
          <w:szCs w:val="20"/>
          <w:lang w:val="es-ES"/>
        </w:rPr>
      </w:pPr>
      <w:r w:rsidRPr="00605EDB">
        <w:rPr>
          <w:rFonts w:asciiTheme="majorHAnsi" w:hAnsiTheme="majorHAnsi"/>
          <w:b/>
          <w:bCs/>
          <w:color w:val="auto"/>
          <w:sz w:val="20"/>
          <w:szCs w:val="20"/>
          <w:lang w:val="es-ES"/>
        </w:rPr>
        <w:lastRenderedPageBreak/>
        <w:t>VIII.</w:t>
      </w:r>
      <w:r w:rsidRPr="00605EDB">
        <w:rPr>
          <w:rFonts w:asciiTheme="majorHAnsi" w:hAnsiTheme="majorHAnsi"/>
          <w:b/>
          <w:bCs/>
          <w:color w:val="auto"/>
          <w:sz w:val="20"/>
          <w:szCs w:val="20"/>
          <w:lang w:val="es-ES"/>
        </w:rPr>
        <w:tab/>
      </w:r>
      <w:r w:rsidRPr="00605EDB">
        <w:rPr>
          <w:rFonts w:asciiTheme="majorHAnsi" w:hAnsiTheme="majorHAnsi"/>
          <w:b/>
          <w:bCs/>
          <w:color w:val="auto"/>
          <w:sz w:val="20"/>
          <w:szCs w:val="20"/>
          <w:lang w:val="es-ES_tradnl"/>
        </w:rPr>
        <w:t xml:space="preserve">ANÁLISIS DE </w:t>
      </w:r>
      <w:r w:rsidRPr="00605EDB">
        <w:rPr>
          <w:rFonts w:asciiTheme="majorHAnsi" w:hAnsiTheme="majorHAnsi"/>
          <w:b/>
          <w:bCs/>
          <w:color w:val="auto"/>
          <w:sz w:val="20"/>
          <w:szCs w:val="20"/>
          <w:lang w:val="es-ES"/>
        </w:rPr>
        <w:t xml:space="preserve">CARACTERIZACIÓN </w:t>
      </w:r>
      <w:r w:rsidRPr="00605EDB">
        <w:rPr>
          <w:rFonts w:asciiTheme="majorHAnsi" w:hAnsiTheme="majorHAnsi"/>
          <w:b/>
          <w:bCs/>
          <w:color w:val="auto"/>
          <w:sz w:val="20"/>
          <w:szCs w:val="20"/>
          <w:lang w:val="es-UY"/>
        </w:rPr>
        <w:t>DE LOS HECHOS ALEGADOS</w:t>
      </w:r>
    </w:p>
    <w:p w14:paraId="1ACAD991" w14:textId="5D983820" w:rsidR="0006030A" w:rsidRPr="00605EDB" w:rsidRDefault="0006030A" w:rsidP="000C396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 w:val="num" w:pos="720"/>
        </w:tabs>
        <w:suppressAutoHyphens/>
        <w:spacing w:before="240" w:after="240"/>
        <w:ind w:left="0"/>
        <w:jc w:val="both"/>
        <w:rPr>
          <w:rFonts w:asciiTheme="majorHAnsi" w:hAnsiTheme="majorHAnsi"/>
          <w:sz w:val="20"/>
          <w:szCs w:val="20"/>
          <w:lang w:val="es-PE"/>
        </w:rPr>
      </w:pPr>
      <w:r w:rsidRPr="00605EDB">
        <w:rPr>
          <w:rFonts w:asciiTheme="majorHAnsi" w:hAnsiTheme="majorHAnsi"/>
          <w:sz w:val="20"/>
          <w:szCs w:val="20"/>
          <w:lang w:val="es-ES_tradnl"/>
        </w:rPr>
        <w:t xml:space="preserve">A los efectos de la admisibilidad, la Comisión debe decidir si los hechos alegados pueden caracterizar una violación de </w:t>
      </w:r>
      <w:r w:rsidRPr="00605EDB">
        <w:rPr>
          <w:rFonts w:asciiTheme="majorHAnsi" w:hAnsiTheme="majorHAnsi"/>
          <w:sz w:val="20"/>
          <w:szCs w:val="20"/>
          <w:lang w:val="es-PE"/>
        </w:rPr>
        <w:t xml:space="preserve">derechos, según lo estipulado en el artículo 47.b) de la Convención Americana o si la petición es “manifiestamente infundada” o es “evidente su total improcedencia”, conforme al 47.c) de la Convención Americana. A este respecto, la Comisión reitera que el criterio de evaluación de la fase de admisibilidad difiere del que se utiliza para pronunciarse sobre el fondo de una petición; la CIDH debe realizar en esta etapa un análisis </w:t>
      </w:r>
      <w:r w:rsidRPr="00605EDB">
        <w:rPr>
          <w:rFonts w:asciiTheme="majorHAnsi" w:hAnsiTheme="majorHAnsi"/>
          <w:i/>
          <w:iCs/>
          <w:sz w:val="20"/>
          <w:szCs w:val="20"/>
          <w:lang w:val="es-PE"/>
        </w:rPr>
        <w:t>prima facie</w:t>
      </w:r>
      <w:r w:rsidRPr="00605EDB">
        <w:rPr>
          <w:rFonts w:asciiTheme="majorHAnsi" w:hAnsiTheme="majorHAnsi"/>
          <w:sz w:val="20"/>
          <w:szCs w:val="20"/>
          <w:lang w:val="es-PE"/>
        </w:rPr>
        <w:t xml:space="preserve"> para determinar si la petición establece el fundamento de la violación, posible o potencial, de un derecho garantizado por la Convención, pero no para </w:t>
      </w:r>
      <w:r w:rsidR="005F54D4" w:rsidRPr="00605EDB">
        <w:rPr>
          <w:rFonts w:asciiTheme="majorHAnsi" w:hAnsiTheme="majorHAnsi"/>
          <w:sz w:val="20"/>
          <w:szCs w:val="20"/>
          <w:lang w:val="es-PE"/>
        </w:rPr>
        <w:t xml:space="preserve">definir </w:t>
      </w:r>
      <w:r w:rsidRPr="00605EDB">
        <w:rPr>
          <w:rFonts w:asciiTheme="majorHAnsi" w:hAnsiTheme="majorHAnsi"/>
          <w:sz w:val="20"/>
          <w:szCs w:val="20"/>
          <w:lang w:val="es-PE"/>
        </w:rPr>
        <w:t xml:space="preserve">la existencia de una vulneración de derechos. </w:t>
      </w:r>
    </w:p>
    <w:p w14:paraId="67E5FC4F" w14:textId="385F87AF" w:rsidR="001F0F7A" w:rsidRPr="00605EDB" w:rsidRDefault="001F0F7A" w:rsidP="000C396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 w:val="num" w:pos="720"/>
        </w:tabs>
        <w:suppressAutoHyphens/>
        <w:spacing w:before="240" w:after="240"/>
        <w:ind w:left="0"/>
        <w:jc w:val="both"/>
        <w:rPr>
          <w:rFonts w:asciiTheme="majorHAnsi" w:hAnsiTheme="majorHAnsi"/>
          <w:color w:val="auto"/>
          <w:sz w:val="20"/>
          <w:szCs w:val="20"/>
          <w:lang w:val="es-PE"/>
        </w:rPr>
      </w:pPr>
      <w:r w:rsidRPr="00605EDB">
        <w:rPr>
          <w:rFonts w:asciiTheme="majorHAnsi" w:hAnsiTheme="majorHAnsi"/>
          <w:bCs/>
          <w:color w:val="auto"/>
          <w:sz w:val="20"/>
          <w:szCs w:val="20"/>
          <w:lang w:val="es-PE"/>
        </w:rPr>
        <w:t xml:space="preserve">Sin perjuicio de ello, la Comisión </w:t>
      </w:r>
      <w:r w:rsidR="005F54D4" w:rsidRPr="00605EDB">
        <w:rPr>
          <w:rFonts w:asciiTheme="majorHAnsi" w:hAnsiTheme="majorHAnsi"/>
          <w:bCs/>
          <w:color w:val="auto"/>
          <w:sz w:val="20"/>
          <w:szCs w:val="20"/>
          <w:lang w:val="es-PE"/>
        </w:rPr>
        <w:t xml:space="preserve">remarca </w:t>
      </w:r>
      <w:r w:rsidRPr="00605EDB">
        <w:rPr>
          <w:rFonts w:asciiTheme="majorHAnsi" w:hAnsiTheme="majorHAnsi"/>
          <w:bCs/>
          <w:color w:val="auto"/>
          <w:sz w:val="20"/>
          <w:szCs w:val="20"/>
          <w:lang w:val="es-PE"/>
        </w:rPr>
        <w:t>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son, entre otros, funciones propias de la jurisdicción interna que no pueden ser reemplazadas por la CIDH. En ese sentido, la función de la Comisión consiste en garantizar la observancia de las obligaciones asumidas por los Estados parte de la Convención Americana, pero no puede actuar como un tribunal de alzada para examinar supuestos errores de derecho o de hecho cometidos por los tribunales nacionales que hayan actuado dentro de los límites de su competencia</w:t>
      </w:r>
      <w:r w:rsidRPr="00605EDB">
        <w:rPr>
          <w:rStyle w:val="FootnoteReference"/>
          <w:rFonts w:asciiTheme="majorHAnsi" w:hAnsiTheme="majorHAnsi"/>
          <w:color w:val="auto"/>
          <w:sz w:val="20"/>
          <w:szCs w:val="20"/>
          <w:lang w:val="es-PE"/>
        </w:rPr>
        <w:footnoteReference w:id="5"/>
      </w:r>
      <w:r w:rsidRPr="00605EDB">
        <w:rPr>
          <w:rFonts w:asciiTheme="majorHAnsi" w:hAnsiTheme="majorHAnsi"/>
          <w:bCs/>
          <w:color w:val="auto"/>
          <w:sz w:val="20"/>
          <w:szCs w:val="20"/>
          <w:lang w:val="es-PE"/>
        </w:rPr>
        <w:t>.</w:t>
      </w:r>
    </w:p>
    <w:p w14:paraId="7D341A29" w14:textId="281D91DF" w:rsidR="006A30F1" w:rsidRPr="00605EDB" w:rsidRDefault="00605EDB" w:rsidP="000C396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 w:val="num" w:pos="720"/>
        </w:tabs>
        <w:suppressAutoHyphens/>
        <w:spacing w:before="240" w:after="240"/>
        <w:ind w:left="0"/>
        <w:jc w:val="both"/>
        <w:rPr>
          <w:rFonts w:asciiTheme="majorHAnsi" w:hAnsiTheme="majorHAnsi"/>
          <w:sz w:val="20"/>
          <w:szCs w:val="20"/>
          <w:lang w:val="es-PE"/>
        </w:rPr>
      </w:pPr>
      <w:r w:rsidRPr="00605EDB">
        <w:rPr>
          <w:rFonts w:asciiTheme="majorHAnsi" w:hAnsiTheme="majorHAnsi"/>
          <w:bCs/>
          <w:color w:val="auto"/>
          <w:sz w:val="20"/>
          <w:szCs w:val="20"/>
          <w:lang w:val="es-PE"/>
        </w:rPr>
        <w:t>L</w:t>
      </w:r>
      <w:r w:rsidR="00832ABB" w:rsidRPr="00605EDB">
        <w:rPr>
          <w:rFonts w:asciiTheme="majorHAnsi" w:hAnsiTheme="majorHAnsi"/>
          <w:bCs/>
          <w:color w:val="auto"/>
          <w:sz w:val="20"/>
          <w:szCs w:val="20"/>
          <w:lang w:val="es-PE"/>
        </w:rPr>
        <w:t>a Comisión</w:t>
      </w:r>
      <w:r w:rsidR="007A0CC7" w:rsidRPr="00605EDB">
        <w:rPr>
          <w:rFonts w:asciiTheme="majorHAnsi" w:hAnsiTheme="majorHAnsi"/>
          <w:bCs/>
          <w:color w:val="auto"/>
          <w:sz w:val="20"/>
          <w:szCs w:val="20"/>
          <w:lang w:val="es-PE"/>
        </w:rPr>
        <w:t xml:space="preserve"> observa</w:t>
      </w:r>
      <w:r w:rsidR="00832ABB" w:rsidRPr="00605EDB">
        <w:rPr>
          <w:rFonts w:asciiTheme="majorHAnsi" w:hAnsiTheme="majorHAnsi"/>
          <w:bCs/>
          <w:color w:val="auto"/>
          <w:sz w:val="20"/>
          <w:szCs w:val="20"/>
          <w:lang w:val="es-PE"/>
        </w:rPr>
        <w:t xml:space="preserve"> </w:t>
      </w:r>
      <w:r w:rsidR="006A30F1" w:rsidRPr="00605EDB">
        <w:rPr>
          <w:rFonts w:asciiTheme="majorHAnsi" w:hAnsiTheme="majorHAnsi"/>
          <w:bCs/>
          <w:color w:val="auto"/>
          <w:sz w:val="20"/>
          <w:szCs w:val="20"/>
          <w:lang w:val="es-PE"/>
        </w:rPr>
        <w:t>que</w:t>
      </w:r>
      <w:r w:rsidR="00832ABB" w:rsidRPr="00605EDB">
        <w:rPr>
          <w:rFonts w:asciiTheme="majorHAnsi" w:hAnsiTheme="majorHAnsi"/>
          <w:bCs/>
          <w:color w:val="auto"/>
          <w:sz w:val="20"/>
          <w:szCs w:val="20"/>
          <w:lang w:val="es-PE"/>
        </w:rPr>
        <w:t xml:space="preserve"> si bien inicialmente el Tribunal</w:t>
      </w:r>
      <w:r w:rsidR="00832ABB" w:rsidRPr="00605EDB">
        <w:rPr>
          <w:rFonts w:asciiTheme="majorHAnsi" w:hAnsiTheme="majorHAnsi"/>
          <w:color w:val="auto"/>
          <w:sz w:val="20"/>
          <w:szCs w:val="20"/>
          <w:lang w:val="es-PE"/>
        </w:rPr>
        <w:t xml:space="preserve"> Agrario Nacional no habría brindado una respuesta debidamente motivada a la demanda </w:t>
      </w:r>
      <w:r w:rsidR="005F54D4" w:rsidRPr="00605EDB">
        <w:rPr>
          <w:rFonts w:asciiTheme="majorHAnsi" w:hAnsiTheme="majorHAnsi"/>
          <w:color w:val="auto"/>
          <w:sz w:val="20"/>
          <w:szCs w:val="20"/>
          <w:lang w:val="es-PE"/>
        </w:rPr>
        <w:t xml:space="preserve">interpuesta </w:t>
      </w:r>
      <w:r w:rsidR="00832ABB" w:rsidRPr="00605EDB">
        <w:rPr>
          <w:rFonts w:asciiTheme="majorHAnsi" w:hAnsiTheme="majorHAnsi"/>
          <w:color w:val="auto"/>
          <w:sz w:val="20"/>
          <w:szCs w:val="20"/>
          <w:lang w:val="es-PE"/>
        </w:rPr>
        <w:t>por las presuntas víctimas</w:t>
      </w:r>
      <w:r w:rsidR="00B521AB" w:rsidRPr="00605EDB">
        <w:rPr>
          <w:rFonts w:asciiTheme="majorHAnsi" w:hAnsiTheme="majorHAnsi"/>
          <w:color w:val="auto"/>
          <w:sz w:val="20"/>
          <w:szCs w:val="20"/>
          <w:lang w:val="es-PE"/>
        </w:rPr>
        <w:t xml:space="preserve">, en virtud de una sentencia </w:t>
      </w:r>
      <w:r w:rsidR="00B521AB" w:rsidRPr="00605EDB">
        <w:rPr>
          <w:rFonts w:asciiTheme="majorHAnsi" w:hAnsiTheme="majorHAnsi"/>
          <w:sz w:val="20"/>
          <w:szCs w:val="20"/>
          <w:lang w:val="es-PE"/>
        </w:rPr>
        <w:t xml:space="preserve">a nivel constitucional tal órgano emitió una nueva decisión. </w:t>
      </w:r>
      <w:r w:rsidR="006A30F1" w:rsidRPr="00605EDB">
        <w:rPr>
          <w:rFonts w:asciiTheme="majorHAnsi" w:hAnsiTheme="majorHAnsi"/>
          <w:sz w:val="20"/>
          <w:szCs w:val="20"/>
          <w:lang w:val="es-PE"/>
        </w:rPr>
        <w:t xml:space="preserve">La Comisión nota que en </w:t>
      </w:r>
      <w:r w:rsidR="009C30CF" w:rsidRPr="00605EDB">
        <w:rPr>
          <w:rFonts w:asciiTheme="majorHAnsi" w:hAnsiTheme="majorHAnsi"/>
          <w:sz w:val="20"/>
          <w:szCs w:val="20"/>
          <w:lang w:val="es-PE"/>
        </w:rPr>
        <w:t>este fallo</w:t>
      </w:r>
      <w:r w:rsidR="006A30F1" w:rsidRPr="00605EDB">
        <w:rPr>
          <w:rFonts w:asciiTheme="majorHAnsi" w:hAnsiTheme="majorHAnsi"/>
          <w:sz w:val="20"/>
          <w:szCs w:val="20"/>
          <w:lang w:val="es-PE"/>
        </w:rPr>
        <w:t xml:space="preserve"> el Tribunal Agrario dio una respuesta fundamentada a todos los reclamos planteados por las presuntas víctimas en su demanda inicial, sin que se aprecie que haya existido el desconocimiento de alguna garantía judicial. Así, la Comisión nota que las partes habría</w:t>
      </w:r>
      <w:r w:rsidR="005F54D4" w:rsidRPr="00605EDB">
        <w:rPr>
          <w:rFonts w:asciiTheme="majorHAnsi" w:hAnsiTheme="majorHAnsi"/>
          <w:sz w:val="20"/>
          <w:szCs w:val="20"/>
          <w:lang w:val="es-PE"/>
        </w:rPr>
        <w:t>n</w:t>
      </w:r>
      <w:r w:rsidR="006A30F1" w:rsidRPr="00605EDB">
        <w:rPr>
          <w:rFonts w:asciiTheme="majorHAnsi" w:hAnsiTheme="majorHAnsi"/>
          <w:sz w:val="20"/>
          <w:szCs w:val="20"/>
          <w:lang w:val="es-PE"/>
        </w:rPr>
        <w:t xml:space="preserve"> tenido la oportunidad de defenderse y contar con el tiempo debido para sustentar sus alegatos. </w:t>
      </w:r>
    </w:p>
    <w:p w14:paraId="4DCE7955" w14:textId="24F2EE99" w:rsidR="00D65080" w:rsidRPr="00605EDB" w:rsidRDefault="006A30F1" w:rsidP="000C396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 w:val="num" w:pos="720"/>
        </w:tabs>
        <w:suppressAutoHyphens/>
        <w:spacing w:before="240" w:after="240"/>
        <w:ind w:left="0"/>
        <w:jc w:val="both"/>
        <w:rPr>
          <w:rFonts w:asciiTheme="majorHAnsi" w:hAnsiTheme="majorHAnsi"/>
          <w:sz w:val="20"/>
          <w:szCs w:val="20"/>
          <w:lang w:val="es-PE"/>
        </w:rPr>
      </w:pPr>
      <w:r w:rsidRPr="00605EDB">
        <w:rPr>
          <w:rFonts w:asciiTheme="majorHAnsi" w:hAnsiTheme="majorHAnsi"/>
          <w:sz w:val="20"/>
          <w:szCs w:val="20"/>
          <w:lang w:val="es-PE"/>
        </w:rPr>
        <w:t xml:space="preserve">Asimismo, aunque la parte peticionaria </w:t>
      </w:r>
      <w:r w:rsidR="00605EDB" w:rsidRPr="00605EDB">
        <w:rPr>
          <w:rFonts w:asciiTheme="majorHAnsi" w:hAnsiTheme="majorHAnsi"/>
          <w:sz w:val="20"/>
          <w:szCs w:val="20"/>
          <w:lang w:val="es-PE"/>
        </w:rPr>
        <w:t>alega</w:t>
      </w:r>
      <w:r w:rsidRPr="00605EDB">
        <w:rPr>
          <w:rFonts w:asciiTheme="majorHAnsi" w:hAnsiTheme="majorHAnsi"/>
          <w:sz w:val="20"/>
          <w:szCs w:val="20"/>
          <w:lang w:val="es-PE"/>
        </w:rPr>
        <w:t xml:space="preserve"> la presencia de invasiones constantes al predio en disputa, la CIDH aprecia que el </w:t>
      </w:r>
      <w:r w:rsidRPr="00605EDB">
        <w:rPr>
          <w:rFonts w:asciiTheme="majorHAnsi" w:hAnsiTheme="majorHAnsi"/>
          <w:bCs/>
          <w:sz w:val="20"/>
          <w:szCs w:val="20"/>
          <w:lang w:val="es-PE"/>
        </w:rPr>
        <w:t>Tribunal</w:t>
      </w:r>
      <w:r w:rsidRPr="00605EDB">
        <w:rPr>
          <w:rFonts w:asciiTheme="majorHAnsi" w:hAnsiTheme="majorHAnsi"/>
          <w:sz w:val="20"/>
          <w:szCs w:val="20"/>
          <w:lang w:val="es-PE"/>
        </w:rPr>
        <w:t xml:space="preserve"> Agrario Nacional desestimó este reclamo, al comprobar que durante el procedimiento previo de saneamiento no </w:t>
      </w:r>
      <w:r w:rsidR="005F54D4" w:rsidRPr="00605EDB">
        <w:rPr>
          <w:rFonts w:asciiTheme="majorHAnsi" w:hAnsiTheme="majorHAnsi"/>
          <w:sz w:val="20"/>
          <w:szCs w:val="20"/>
          <w:lang w:val="es-PE"/>
        </w:rPr>
        <w:t xml:space="preserve">denunció </w:t>
      </w:r>
      <w:r w:rsidRPr="00605EDB">
        <w:rPr>
          <w:rFonts w:asciiTheme="majorHAnsi" w:hAnsiTheme="majorHAnsi"/>
          <w:sz w:val="20"/>
          <w:szCs w:val="20"/>
          <w:lang w:val="es-PE"/>
        </w:rPr>
        <w:t xml:space="preserve">debidamente tal situación y, por ende, a nivel judicial ya no se podía analizar tal aspecto.  El peticionario no ha presentado información suficiente que permita desvirtuar estos fundamentos ni evidenciar </w:t>
      </w:r>
      <w:r w:rsidRPr="00605EDB">
        <w:rPr>
          <w:rFonts w:asciiTheme="majorHAnsi" w:hAnsiTheme="majorHAnsi"/>
          <w:i/>
          <w:iCs/>
          <w:sz w:val="20"/>
          <w:szCs w:val="20"/>
          <w:lang w:val="es-PE"/>
        </w:rPr>
        <w:t>prima facie</w:t>
      </w:r>
      <w:r w:rsidRPr="00605EDB">
        <w:rPr>
          <w:rFonts w:asciiTheme="majorHAnsi" w:hAnsiTheme="majorHAnsi"/>
          <w:sz w:val="20"/>
          <w:szCs w:val="20"/>
          <w:lang w:val="es-PE"/>
        </w:rPr>
        <w:t xml:space="preserve"> una vulneración de derechos en la decisión adoptada. A continuación, se cita tal extracto del fallo. </w:t>
      </w:r>
    </w:p>
    <w:p w14:paraId="06F2538D" w14:textId="0089ECE1" w:rsidR="00F32A4D" w:rsidRPr="00605EDB" w:rsidRDefault="00F32A4D" w:rsidP="000C396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right="720"/>
        <w:jc w:val="both"/>
        <w:rPr>
          <w:rFonts w:asciiTheme="majorHAnsi" w:hAnsiTheme="majorHAnsi"/>
          <w:sz w:val="18"/>
          <w:szCs w:val="18"/>
          <w:lang w:val="es-PE"/>
        </w:rPr>
      </w:pPr>
      <w:r w:rsidRPr="00605EDB">
        <w:rPr>
          <w:rFonts w:asciiTheme="majorHAnsi" w:hAnsiTheme="majorHAnsi"/>
          <w:sz w:val="18"/>
          <w:szCs w:val="18"/>
          <w:lang w:val="es-PE"/>
        </w:rPr>
        <w:t xml:space="preserve">Con relación al derecho a la defensa; durante el desarrollo del proceso entre otras resoluciones se emite Resolución Instructoria </w:t>
      </w:r>
      <w:r w:rsidR="00AA3AC6" w:rsidRPr="00605EDB">
        <w:rPr>
          <w:rFonts w:asciiTheme="majorHAnsi" w:hAnsiTheme="majorHAnsi"/>
          <w:sz w:val="18"/>
          <w:szCs w:val="18"/>
          <w:lang w:val="es-PE"/>
        </w:rPr>
        <w:t>[…] con la finalidad de intimar a propietarios, beneficiarios, poseedores, subadquierentes</w:t>
      </w:r>
      <w:r w:rsidR="006C4090" w:rsidRPr="00605EDB">
        <w:rPr>
          <w:rFonts w:asciiTheme="majorHAnsi" w:hAnsiTheme="majorHAnsi"/>
          <w:sz w:val="18"/>
          <w:szCs w:val="18"/>
          <w:lang w:val="es-PE"/>
        </w:rPr>
        <w:t>, a apersonarse al proceso y acreditar su derecho, dentro de los plazos previstos para el efecto […].</w:t>
      </w:r>
    </w:p>
    <w:p w14:paraId="342625F6" w14:textId="12C5B0AF" w:rsidR="006C4090" w:rsidRPr="00605EDB" w:rsidRDefault="006C4090" w:rsidP="000C396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right="720"/>
        <w:jc w:val="both"/>
        <w:rPr>
          <w:rFonts w:asciiTheme="majorHAnsi" w:hAnsiTheme="majorHAnsi"/>
          <w:sz w:val="18"/>
          <w:szCs w:val="18"/>
          <w:lang w:val="es-PE"/>
        </w:rPr>
      </w:pPr>
      <w:r w:rsidRPr="00605EDB">
        <w:rPr>
          <w:rFonts w:asciiTheme="majorHAnsi" w:hAnsiTheme="majorHAnsi"/>
          <w:sz w:val="18"/>
          <w:szCs w:val="18"/>
          <w:lang w:val="es-PE"/>
        </w:rPr>
        <w:t>Que en el caso de autos, por lo que informan las piezas contenidas en los antecedentes, se tiene demostrado que las referidas actuaciones fueron debidamente cumplidas,</w:t>
      </w:r>
      <w:r w:rsidR="00354B25" w:rsidRPr="00605EDB">
        <w:rPr>
          <w:rFonts w:asciiTheme="majorHAnsi" w:hAnsiTheme="majorHAnsi"/>
          <w:sz w:val="18"/>
          <w:szCs w:val="18"/>
          <w:lang w:val="es-PE"/>
        </w:rPr>
        <w:t xml:space="preserve"> evidenciándose […] la existencia de la Resolución Instructoria N.º 094/02 de 7 de agosto de 2002, aviso público debidamente publicado mediante edicto de 9 de agosto de 2002, conforme consta por la documental de fs. 735 de antecedentes; en virtud a este hecho se apersonan al proceso de saneamiento del predio Sindicato Agrario “Tamborada A” los interesados y las mismas demandantes; por consiguiente</w:t>
      </w:r>
      <w:r w:rsidR="008B1740" w:rsidRPr="00605EDB">
        <w:rPr>
          <w:rFonts w:asciiTheme="majorHAnsi" w:hAnsiTheme="majorHAnsi"/>
          <w:sz w:val="18"/>
          <w:szCs w:val="18"/>
          <w:lang w:val="es-PE"/>
        </w:rPr>
        <w:t xml:space="preserve"> las actuaciones fueron cumplidas [y] se le otorgó al proceso la publicidad requerida</w:t>
      </w:r>
      <w:r w:rsidR="00FA43B8" w:rsidRPr="00605EDB">
        <w:rPr>
          <w:rFonts w:asciiTheme="majorHAnsi" w:hAnsiTheme="majorHAnsi"/>
          <w:sz w:val="18"/>
          <w:szCs w:val="18"/>
          <w:lang w:val="es-PE"/>
        </w:rPr>
        <w:t xml:space="preserve"> […].</w:t>
      </w:r>
      <w:r w:rsidR="00354B25" w:rsidRPr="00605EDB">
        <w:rPr>
          <w:rFonts w:asciiTheme="majorHAnsi" w:hAnsiTheme="majorHAnsi"/>
          <w:sz w:val="18"/>
          <w:szCs w:val="18"/>
          <w:lang w:val="es-PE"/>
        </w:rPr>
        <w:t xml:space="preserve"> </w:t>
      </w:r>
    </w:p>
    <w:p w14:paraId="76CAD3B6" w14:textId="2475E936" w:rsidR="00E708DD" w:rsidRPr="00605EDB" w:rsidRDefault="00E708DD" w:rsidP="000C396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right="720"/>
        <w:jc w:val="both"/>
        <w:rPr>
          <w:rFonts w:asciiTheme="majorHAnsi" w:hAnsiTheme="majorHAnsi"/>
          <w:sz w:val="18"/>
          <w:szCs w:val="18"/>
          <w:lang w:val="es-PE"/>
        </w:rPr>
      </w:pPr>
      <w:r w:rsidRPr="00605EDB">
        <w:rPr>
          <w:rFonts w:asciiTheme="majorHAnsi" w:hAnsiTheme="majorHAnsi"/>
          <w:sz w:val="18"/>
          <w:szCs w:val="18"/>
          <w:lang w:val="es-PE"/>
        </w:rPr>
        <w:t>Las actor</w:t>
      </w:r>
      <w:r w:rsidR="007D6105" w:rsidRPr="00605EDB">
        <w:rPr>
          <w:rFonts w:asciiTheme="majorHAnsi" w:hAnsiTheme="majorHAnsi"/>
          <w:sz w:val="18"/>
          <w:szCs w:val="18"/>
          <w:lang w:val="es-PE"/>
        </w:rPr>
        <w:t>a</w:t>
      </w:r>
      <w:r w:rsidRPr="00605EDB">
        <w:rPr>
          <w:rFonts w:asciiTheme="majorHAnsi" w:hAnsiTheme="majorHAnsi"/>
          <w:sz w:val="18"/>
          <w:szCs w:val="18"/>
          <w:lang w:val="es-PE"/>
        </w:rPr>
        <w:t xml:space="preserve">s indican que el proceso de saneamiento del Sindicato Agrario Tamborada A, estuvo plagado de errores e irregularidades, cometiéndose vulneraciones al ordenamiento jurídico, acusaciones éstas que no afectan la validez del proceso de saneamiento. Por otra parte, las ahora demandantes tuvieron la oportunidad de hacer uso de los recursos administrativos conforme dispone el art. 50 D.S. </w:t>
      </w:r>
      <w:r w:rsidR="00354B25" w:rsidRPr="00605EDB">
        <w:rPr>
          <w:rFonts w:asciiTheme="majorHAnsi" w:hAnsiTheme="majorHAnsi"/>
          <w:sz w:val="18"/>
          <w:szCs w:val="18"/>
          <w:lang w:val="es-PE"/>
        </w:rPr>
        <w:t>N.º</w:t>
      </w:r>
      <w:r w:rsidRPr="00605EDB">
        <w:rPr>
          <w:rFonts w:asciiTheme="majorHAnsi" w:hAnsiTheme="majorHAnsi"/>
          <w:sz w:val="18"/>
          <w:szCs w:val="18"/>
          <w:lang w:val="es-PE"/>
        </w:rPr>
        <w:t xml:space="preserve"> 25763, sin embargo no lo hicieron, siendo que la normativa agraria franquea los mecanismos y recursos a ser utilizados por los afectados con alguna resolución y acto jurídico dentro de un proceso, a fin de que </w:t>
      </w:r>
      <w:r w:rsidRPr="00605EDB">
        <w:rPr>
          <w:rFonts w:asciiTheme="majorHAnsi" w:hAnsiTheme="majorHAnsi"/>
          <w:sz w:val="18"/>
          <w:szCs w:val="18"/>
          <w:lang w:val="es-PE"/>
        </w:rPr>
        <w:lastRenderedPageBreak/>
        <w:t>reclamen oportunamente en esa instancia, ya que conforme al principio de preclusión, el paso de una fase a la siguiente supone la clausura de la anterior, de tal manera que los actos procesales cumplidos quedan firmes</w:t>
      </w:r>
      <w:r w:rsidR="007D6105" w:rsidRPr="00605EDB">
        <w:rPr>
          <w:rFonts w:asciiTheme="majorHAnsi" w:hAnsiTheme="majorHAnsi"/>
          <w:sz w:val="18"/>
          <w:szCs w:val="18"/>
          <w:lang w:val="es-PE"/>
        </w:rPr>
        <w:t xml:space="preserve"> […].</w:t>
      </w:r>
    </w:p>
    <w:p w14:paraId="09BFD41B" w14:textId="0DFDB7D0" w:rsidR="00AA7388" w:rsidRPr="00605EDB" w:rsidRDefault="006A30F1" w:rsidP="000C396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 w:val="num" w:pos="720"/>
        </w:tabs>
        <w:suppressAutoHyphens/>
        <w:spacing w:before="240" w:after="240"/>
        <w:ind w:left="0"/>
        <w:jc w:val="both"/>
        <w:rPr>
          <w:rFonts w:asciiTheme="majorHAnsi" w:hAnsiTheme="majorHAnsi"/>
          <w:sz w:val="20"/>
          <w:szCs w:val="20"/>
          <w:lang w:val="es-PE"/>
        </w:rPr>
      </w:pPr>
      <w:r w:rsidRPr="00605EDB">
        <w:rPr>
          <w:rFonts w:asciiTheme="majorHAnsi" w:hAnsiTheme="majorHAnsi"/>
          <w:sz w:val="20"/>
          <w:szCs w:val="20"/>
          <w:lang w:val="es-PE"/>
        </w:rPr>
        <w:t>En tal sentido, l</w:t>
      </w:r>
      <w:r w:rsidR="00F233AD" w:rsidRPr="00605EDB">
        <w:rPr>
          <w:rFonts w:asciiTheme="majorHAnsi" w:hAnsiTheme="majorHAnsi"/>
          <w:sz w:val="20"/>
          <w:szCs w:val="20"/>
          <w:lang w:val="es-PE"/>
        </w:rPr>
        <w:t xml:space="preserve">a Comisión considera que no cuenta con elementos de prueba suficientes en el expediente que permitan acreditar </w:t>
      </w:r>
      <w:r w:rsidR="00F233AD" w:rsidRPr="00605EDB">
        <w:rPr>
          <w:rFonts w:asciiTheme="majorHAnsi" w:hAnsiTheme="majorHAnsi"/>
          <w:i/>
          <w:iCs/>
          <w:sz w:val="20"/>
          <w:szCs w:val="20"/>
          <w:lang w:val="es-PE"/>
        </w:rPr>
        <w:t>prima facie</w:t>
      </w:r>
      <w:r w:rsidR="00F233AD" w:rsidRPr="00605EDB">
        <w:rPr>
          <w:rFonts w:asciiTheme="majorHAnsi" w:hAnsiTheme="majorHAnsi"/>
          <w:sz w:val="20"/>
          <w:szCs w:val="20"/>
          <w:lang w:val="es-PE"/>
        </w:rPr>
        <w:t xml:space="preserve"> algún aspecto no </w:t>
      </w:r>
      <w:r w:rsidR="00EB0C38" w:rsidRPr="00605EDB">
        <w:rPr>
          <w:rFonts w:asciiTheme="majorHAnsi" w:hAnsiTheme="majorHAnsi"/>
          <w:sz w:val="20"/>
          <w:szCs w:val="20"/>
          <w:lang w:val="es-PE"/>
        </w:rPr>
        <w:t>solventado por la citada sentencia.</w:t>
      </w:r>
    </w:p>
    <w:p w14:paraId="7BAAF200" w14:textId="22849CB8" w:rsidR="001F0F7A" w:rsidRPr="00605EDB" w:rsidRDefault="00832ABB" w:rsidP="000C3963">
      <w:pPr>
        <w:pStyle w:val="ListParagraph"/>
        <w:numPr>
          <w:ilvl w:val="0"/>
          <w:numId w:val="55"/>
        </w:numPr>
        <w:tabs>
          <w:tab w:val="clear" w:pos="851"/>
          <w:tab w:val="num" w:pos="720"/>
        </w:tabs>
        <w:suppressAutoHyphens/>
        <w:spacing w:before="240" w:after="240"/>
        <w:ind w:left="0"/>
        <w:jc w:val="both"/>
        <w:rPr>
          <w:rFonts w:asciiTheme="majorHAnsi" w:hAnsiTheme="majorHAnsi"/>
          <w:sz w:val="20"/>
          <w:szCs w:val="20"/>
          <w:lang w:val="es-PE"/>
        </w:rPr>
      </w:pPr>
      <w:r w:rsidRPr="00605EDB">
        <w:rPr>
          <w:rFonts w:asciiTheme="majorHAnsi" w:hAnsiTheme="majorHAnsi"/>
          <w:sz w:val="20"/>
          <w:szCs w:val="20"/>
          <w:lang w:val="es-PE"/>
        </w:rPr>
        <w:t xml:space="preserve">Por las razones expuestas, la Comisión concluye que los hechos </w:t>
      </w:r>
      <w:r w:rsidR="005F54D4" w:rsidRPr="00605EDB">
        <w:rPr>
          <w:rFonts w:asciiTheme="majorHAnsi" w:hAnsiTheme="majorHAnsi"/>
          <w:sz w:val="20"/>
          <w:szCs w:val="20"/>
          <w:lang w:val="es-PE"/>
        </w:rPr>
        <w:t xml:space="preserve">denunciados </w:t>
      </w:r>
      <w:r w:rsidRPr="00605EDB">
        <w:rPr>
          <w:rFonts w:asciiTheme="majorHAnsi" w:hAnsiTheme="majorHAnsi"/>
          <w:sz w:val="20"/>
          <w:szCs w:val="20"/>
          <w:lang w:val="es-PE"/>
        </w:rPr>
        <w:t xml:space="preserve">por la parte peticionaria no evidencian, </w:t>
      </w:r>
      <w:r w:rsidRPr="00605EDB">
        <w:rPr>
          <w:rFonts w:asciiTheme="majorHAnsi" w:hAnsiTheme="majorHAnsi"/>
          <w:i/>
          <w:iCs/>
          <w:sz w:val="20"/>
          <w:szCs w:val="20"/>
          <w:lang w:val="es-PE"/>
        </w:rPr>
        <w:t>prima facie,</w:t>
      </w:r>
      <w:r w:rsidRPr="00605EDB">
        <w:rPr>
          <w:rFonts w:asciiTheme="majorHAnsi" w:hAnsiTheme="majorHAnsi"/>
          <w:sz w:val="20"/>
          <w:szCs w:val="20"/>
          <w:lang w:val="es-PE"/>
        </w:rPr>
        <w:t xml:space="preserve"> una posible vulneración de derechos. En consecuencia, con base en el artículo 47.b) de la Convención, corresponde declarar la inadmisibilidad </w:t>
      </w:r>
      <w:r w:rsidR="00605EDB" w:rsidRPr="00605EDB">
        <w:rPr>
          <w:rFonts w:asciiTheme="majorHAnsi" w:hAnsiTheme="majorHAnsi"/>
          <w:sz w:val="20"/>
          <w:szCs w:val="20"/>
          <w:lang w:val="es-PE"/>
        </w:rPr>
        <w:t>de esta petición</w:t>
      </w:r>
      <w:r w:rsidRPr="00605EDB">
        <w:rPr>
          <w:rFonts w:asciiTheme="majorHAnsi" w:hAnsiTheme="majorHAnsi"/>
          <w:sz w:val="20"/>
          <w:szCs w:val="20"/>
          <w:lang w:val="es-PE"/>
        </w:rPr>
        <w:t>.</w:t>
      </w:r>
    </w:p>
    <w:p w14:paraId="29BB41F5" w14:textId="3D6AABF2" w:rsidR="003239B8" w:rsidRPr="00DA70CC" w:rsidRDefault="00F62A42" w:rsidP="000C3963">
      <w:pPr>
        <w:pStyle w:val="ListParagraph"/>
        <w:spacing w:before="240" w:after="240"/>
        <w:jc w:val="both"/>
        <w:rPr>
          <w:rFonts w:asciiTheme="majorHAnsi" w:hAnsiTheme="majorHAnsi"/>
          <w:b/>
          <w:bCs/>
          <w:color w:val="auto"/>
          <w:sz w:val="20"/>
          <w:szCs w:val="20"/>
          <w:lang w:val="es-ES"/>
        </w:rPr>
      </w:pPr>
      <w:r w:rsidRPr="00605EDB">
        <w:rPr>
          <w:rFonts w:asciiTheme="majorHAnsi" w:hAnsiTheme="majorHAnsi"/>
          <w:b/>
          <w:bCs/>
          <w:sz w:val="20"/>
          <w:szCs w:val="20"/>
          <w:lang w:val="es-ES"/>
        </w:rPr>
        <w:t>IX</w:t>
      </w:r>
      <w:r w:rsidR="003239B8" w:rsidRPr="00605EDB">
        <w:rPr>
          <w:rFonts w:asciiTheme="majorHAnsi" w:hAnsiTheme="majorHAnsi"/>
          <w:b/>
          <w:bCs/>
          <w:sz w:val="20"/>
          <w:szCs w:val="20"/>
          <w:lang w:val="es-ES"/>
        </w:rPr>
        <w:t xml:space="preserve">. </w:t>
      </w:r>
      <w:r w:rsidR="003239B8" w:rsidRPr="00605EDB">
        <w:rPr>
          <w:rFonts w:asciiTheme="majorHAnsi" w:hAnsiTheme="majorHAnsi"/>
          <w:b/>
          <w:bCs/>
          <w:sz w:val="20"/>
          <w:szCs w:val="20"/>
          <w:lang w:val="es-ES"/>
        </w:rPr>
        <w:tab/>
        <w:t>DEC</w:t>
      </w:r>
      <w:r w:rsidR="003239B8" w:rsidRPr="00DA70CC">
        <w:rPr>
          <w:rFonts w:asciiTheme="majorHAnsi" w:hAnsiTheme="majorHAnsi"/>
          <w:b/>
          <w:bCs/>
          <w:color w:val="auto"/>
          <w:sz w:val="20"/>
          <w:szCs w:val="20"/>
          <w:lang w:val="es-ES"/>
        </w:rPr>
        <w:t>ISIÓN</w:t>
      </w:r>
    </w:p>
    <w:p w14:paraId="41AA5BF6" w14:textId="3C40CC9B" w:rsidR="000419AD" w:rsidRPr="00DA70CC" w:rsidRDefault="000419AD" w:rsidP="00605EDB">
      <w:pPr>
        <w:pStyle w:val="ListParagraph"/>
        <w:numPr>
          <w:ilvl w:val="0"/>
          <w:numId w:val="56"/>
        </w:numPr>
        <w:spacing w:before="240"/>
        <w:rPr>
          <w:rFonts w:asciiTheme="majorHAnsi" w:eastAsia="Arial Unicode MS" w:hAnsiTheme="majorHAnsi" w:cs="Times New Roman"/>
          <w:color w:val="auto"/>
          <w:sz w:val="20"/>
          <w:szCs w:val="20"/>
          <w:lang w:val="es-ES" w:eastAsia="en-US"/>
        </w:rPr>
      </w:pPr>
      <w:r w:rsidRPr="00DA70CC">
        <w:rPr>
          <w:rFonts w:asciiTheme="majorHAnsi" w:eastAsia="Arial Unicode MS" w:hAnsiTheme="majorHAnsi" w:cs="Times New Roman"/>
          <w:color w:val="auto"/>
          <w:sz w:val="20"/>
          <w:szCs w:val="20"/>
          <w:lang w:val="es-ES" w:eastAsia="en-US"/>
        </w:rPr>
        <w:t>Declarar inadmisible la petición</w:t>
      </w:r>
      <w:r w:rsidR="00A758AA" w:rsidRPr="00DA70CC">
        <w:rPr>
          <w:rFonts w:asciiTheme="majorHAnsi" w:eastAsia="Arial Unicode MS" w:hAnsiTheme="majorHAnsi" w:cs="Times New Roman"/>
          <w:color w:val="auto"/>
          <w:sz w:val="20"/>
          <w:szCs w:val="20"/>
          <w:lang w:val="es-ES" w:eastAsia="en-US"/>
        </w:rPr>
        <w:t>;</w:t>
      </w:r>
      <w:r w:rsidR="004A6A54" w:rsidRPr="00DA70CC">
        <w:rPr>
          <w:rFonts w:asciiTheme="majorHAnsi" w:eastAsia="Arial Unicode MS" w:hAnsiTheme="majorHAnsi" w:cs="Times New Roman"/>
          <w:color w:val="auto"/>
          <w:sz w:val="20"/>
          <w:szCs w:val="20"/>
          <w:lang w:val="es-ES" w:eastAsia="en-US"/>
        </w:rPr>
        <w:t xml:space="preserve"> y</w:t>
      </w:r>
    </w:p>
    <w:p w14:paraId="12A7002C" w14:textId="1E02E10D" w:rsidR="004A6A54" w:rsidRDefault="004A6A54" w:rsidP="000C39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A70CC">
        <w:rPr>
          <w:rFonts w:asciiTheme="majorHAnsi" w:hAnsiTheme="majorHAnsi"/>
          <w:sz w:val="20"/>
          <w:szCs w:val="20"/>
          <w:lang w:val="es-ES"/>
        </w:rPr>
        <w:t>Notificar a las partes la presente decisión; y publicar esta decisión e incluirla en su Informe Anual a la Asamblea General de la Organización de los Esta</w:t>
      </w:r>
      <w:r w:rsidRPr="00605EDB">
        <w:rPr>
          <w:rFonts w:asciiTheme="majorHAnsi" w:hAnsiTheme="majorHAnsi"/>
          <w:sz w:val="20"/>
          <w:szCs w:val="20"/>
          <w:lang w:val="es-ES"/>
        </w:rPr>
        <w:t>dos Americanos.</w:t>
      </w:r>
    </w:p>
    <w:p w14:paraId="3C68CF79" w14:textId="228BF7EC" w:rsidR="008240DA" w:rsidRPr="007B1BBA" w:rsidRDefault="008240DA" w:rsidP="007B1BBA">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 la Comisión Intera</w:t>
      </w:r>
      <w:r w:rsidRPr="001D0DEB">
        <w:rPr>
          <w:rStyle w:val="normaltextrun"/>
          <w:rFonts w:ascii="Cambria" w:hAnsi="Cambria" w:cs="Segoe UI"/>
          <w:sz w:val="20"/>
          <w:szCs w:val="20"/>
          <w:lang w:val="es-CL"/>
        </w:rPr>
        <w:t xml:space="preserve">mericana de Derechos Humanos a los </w:t>
      </w:r>
      <w:r w:rsidR="001D0DEB" w:rsidRPr="001D0DEB">
        <w:rPr>
          <w:rStyle w:val="normaltextrun"/>
          <w:rFonts w:ascii="Cambria" w:hAnsi="Cambria" w:cs="Segoe UI"/>
          <w:sz w:val="20"/>
          <w:szCs w:val="20"/>
          <w:lang w:val="es-CL"/>
        </w:rPr>
        <w:t>16</w:t>
      </w:r>
      <w:r w:rsidRPr="001D0DEB">
        <w:rPr>
          <w:rStyle w:val="normaltextrun"/>
          <w:rFonts w:ascii="Cambria" w:hAnsi="Cambria" w:cs="Segoe UI"/>
          <w:sz w:val="20"/>
          <w:szCs w:val="20"/>
          <w:lang w:val="es-CL"/>
        </w:rPr>
        <w:t xml:space="preserve"> días del mes de </w:t>
      </w:r>
      <w:r w:rsidR="001D0DEB" w:rsidRPr="001D0DEB">
        <w:rPr>
          <w:rStyle w:val="normaltextrun"/>
          <w:rFonts w:ascii="Cambria" w:hAnsi="Cambria" w:cs="Segoe UI"/>
          <w:sz w:val="20"/>
          <w:szCs w:val="20"/>
          <w:lang w:val="es-CL"/>
        </w:rPr>
        <w:t>mayo</w:t>
      </w:r>
      <w:r w:rsidRPr="001D0DEB">
        <w:rPr>
          <w:rStyle w:val="normaltextrun"/>
          <w:rFonts w:ascii="Cambria" w:hAnsi="Cambria" w:cs="Segoe UI"/>
          <w:sz w:val="20"/>
          <w:szCs w:val="20"/>
          <w:lang w:val="es-CL"/>
        </w:rPr>
        <w:t xml:space="preserve"> de 20</w:t>
      </w:r>
      <w:r w:rsidR="001D0DEB" w:rsidRPr="001D0DEB">
        <w:rPr>
          <w:rStyle w:val="normaltextrun"/>
          <w:rFonts w:ascii="Cambria" w:hAnsi="Cambria" w:cs="Segoe UI"/>
          <w:sz w:val="20"/>
          <w:szCs w:val="20"/>
          <w:lang w:val="es-CL"/>
        </w:rPr>
        <w:t>25</w:t>
      </w:r>
      <w:r w:rsidRPr="001D0DEB">
        <w:rPr>
          <w:rStyle w:val="normaltextrun"/>
          <w:rFonts w:ascii="Cambria" w:hAnsi="Cambria" w:cs="Segoe UI"/>
          <w:sz w:val="20"/>
          <w:szCs w:val="20"/>
          <w:lang w:val="es-CL"/>
        </w:rPr>
        <w:t>.  (Firmado): José Luis Caballero Ochoa, Presidente; Andrea Pochak, Primera Vicepresidenta; Edgar Stuardo Ralón Orellana</w:t>
      </w:r>
      <w:r w:rsidR="001D0DEB" w:rsidRPr="001D0DEB">
        <w:rPr>
          <w:rStyle w:val="normaltextrun"/>
          <w:rFonts w:ascii="Cambria" w:hAnsi="Cambria" w:cs="Segoe UI"/>
          <w:sz w:val="20"/>
          <w:szCs w:val="20"/>
          <w:lang w:val="es-CL"/>
        </w:rPr>
        <w:t xml:space="preserve"> (en disidencia) y</w:t>
      </w:r>
      <w:r w:rsidRPr="001D0DEB">
        <w:rPr>
          <w:rStyle w:val="normaltextrun"/>
          <w:rFonts w:ascii="Cambria" w:hAnsi="Cambria" w:cs="Segoe UI"/>
          <w:sz w:val="20"/>
          <w:szCs w:val="20"/>
          <w:lang w:val="es-CL"/>
        </w:rPr>
        <w:t xml:space="preserve"> Carlos Bernal Pulido, </w:t>
      </w:r>
      <w:r w:rsidR="00824F8A">
        <w:rPr>
          <w:rStyle w:val="normaltextrun"/>
          <w:rFonts w:ascii="Cambria" w:hAnsi="Cambria" w:cs="Segoe UI"/>
          <w:sz w:val="20"/>
          <w:szCs w:val="20"/>
          <w:lang w:val="es-CL"/>
        </w:rPr>
        <w:t>m</w:t>
      </w:r>
      <w:r w:rsidRPr="001D0DEB">
        <w:rPr>
          <w:rStyle w:val="normaltextrun"/>
          <w:rFonts w:ascii="Cambria" w:hAnsi="Cambria" w:cs="Segoe UI"/>
          <w:sz w:val="20"/>
          <w:szCs w:val="20"/>
          <w:lang w:val="es-CL"/>
        </w:rPr>
        <w:t>iembros de la Comisión.</w:t>
      </w:r>
    </w:p>
    <w:p w14:paraId="2BEDF56E" w14:textId="77777777" w:rsidR="00DA70CC" w:rsidRPr="00605EDB" w:rsidRDefault="00DA70CC" w:rsidP="00DA70C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
        </w:rPr>
      </w:pPr>
    </w:p>
    <w:p w14:paraId="7CD4DFBD" w14:textId="77777777" w:rsidR="003239B8" w:rsidRPr="00605EDB" w:rsidRDefault="003239B8" w:rsidP="000C3963">
      <w:pPr>
        <w:pStyle w:val="ListParagraph"/>
        <w:suppressAutoHyphens/>
        <w:spacing w:before="240" w:after="240"/>
        <w:jc w:val="both"/>
        <w:rPr>
          <w:rFonts w:asciiTheme="majorHAnsi" w:hAnsiTheme="majorHAnsi"/>
          <w:sz w:val="20"/>
          <w:szCs w:val="20"/>
          <w:lang w:val="es-ES"/>
        </w:rPr>
      </w:pPr>
    </w:p>
    <w:p w14:paraId="0D98495A" w14:textId="77777777" w:rsidR="008D768D" w:rsidRPr="00605EDB" w:rsidRDefault="008D768D" w:rsidP="000C3963">
      <w:pPr>
        <w:tabs>
          <w:tab w:val="center" w:pos="5400"/>
        </w:tabs>
        <w:suppressAutoHyphens/>
        <w:spacing w:before="240" w:after="240" w:line="276" w:lineRule="auto"/>
        <w:rPr>
          <w:rFonts w:asciiTheme="majorHAnsi" w:hAnsiTheme="majorHAnsi"/>
          <w:sz w:val="20"/>
          <w:szCs w:val="20"/>
          <w:lang w:val="es-ES"/>
        </w:rPr>
      </w:pPr>
    </w:p>
    <w:p w14:paraId="2642C68E" w14:textId="77777777" w:rsidR="008D768D" w:rsidRPr="00605EDB" w:rsidRDefault="008D768D" w:rsidP="000C3963">
      <w:pPr>
        <w:tabs>
          <w:tab w:val="center" w:pos="5400"/>
        </w:tabs>
        <w:suppressAutoHyphens/>
        <w:spacing w:before="240" w:after="240" w:line="276" w:lineRule="auto"/>
        <w:rPr>
          <w:rFonts w:asciiTheme="majorHAnsi" w:hAnsiTheme="majorHAnsi"/>
          <w:sz w:val="20"/>
          <w:szCs w:val="20"/>
          <w:lang w:val="es-ES_tradnl"/>
        </w:rPr>
      </w:pPr>
    </w:p>
    <w:p w14:paraId="6AC80CA6" w14:textId="77777777" w:rsidR="00722C9F" w:rsidRPr="00605EDB" w:rsidRDefault="00722C9F" w:rsidP="000C3963">
      <w:pPr>
        <w:spacing w:before="240" w:after="240"/>
        <w:rPr>
          <w:rFonts w:asciiTheme="majorHAnsi" w:hAnsiTheme="majorHAnsi" w:cs="Calibri"/>
          <w:sz w:val="20"/>
          <w:szCs w:val="20"/>
          <w:lang w:val="es-ES"/>
        </w:rPr>
      </w:pPr>
    </w:p>
    <w:sectPr w:rsidR="00722C9F" w:rsidRPr="00605ED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11A7D" w14:textId="77777777" w:rsidR="00203017" w:rsidRDefault="00203017">
      <w:r>
        <w:separator/>
      </w:r>
    </w:p>
  </w:endnote>
  <w:endnote w:type="continuationSeparator" w:id="0">
    <w:p w14:paraId="6FBDB09D" w14:textId="77777777" w:rsidR="00203017" w:rsidRDefault="00203017">
      <w:r>
        <w:continuationSeparator/>
      </w:r>
    </w:p>
  </w:endnote>
  <w:endnote w:type="continuationNotice" w:id="1">
    <w:p w14:paraId="7852E75A" w14:textId="77777777" w:rsidR="00203017" w:rsidRDefault="00203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564E4" w14:textId="77777777" w:rsidR="00203017" w:rsidRPr="000F35ED" w:rsidRDefault="0020301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C4EB245" w14:textId="77777777" w:rsidR="00203017" w:rsidRPr="000F35ED" w:rsidRDefault="00203017" w:rsidP="000F35ED">
      <w:pPr>
        <w:rPr>
          <w:rFonts w:asciiTheme="majorHAnsi" w:hAnsiTheme="majorHAnsi"/>
          <w:sz w:val="16"/>
          <w:szCs w:val="16"/>
        </w:rPr>
      </w:pPr>
      <w:r w:rsidRPr="000F35ED">
        <w:rPr>
          <w:rFonts w:asciiTheme="majorHAnsi" w:hAnsiTheme="majorHAnsi"/>
          <w:sz w:val="16"/>
          <w:szCs w:val="16"/>
        </w:rPr>
        <w:separator/>
      </w:r>
    </w:p>
    <w:p w14:paraId="7219F25B" w14:textId="77777777" w:rsidR="00203017" w:rsidRPr="000F35ED" w:rsidRDefault="0020301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1EE2CE2" w14:textId="77777777" w:rsidR="00203017" w:rsidRPr="000F35ED" w:rsidRDefault="0020301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024CA9B" w14:textId="77777777" w:rsidR="00CE0CB2" w:rsidRPr="00B476D7" w:rsidRDefault="00CE0CB2" w:rsidP="00381140">
      <w:pPr>
        <w:pStyle w:val="FootnoteText"/>
        <w:ind w:firstLine="720"/>
        <w:jc w:val="both"/>
        <w:rPr>
          <w:rFonts w:asciiTheme="majorHAnsi" w:hAnsiTheme="majorHAnsi"/>
          <w:sz w:val="16"/>
          <w:szCs w:val="16"/>
          <w:lang w:val="es-US"/>
        </w:rPr>
      </w:pPr>
      <w:r w:rsidRPr="008B453D">
        <w:rPr>
          <w:rStyle w:val="FootnoteReference"/>
          <w:rFonts w:asciiTheme="majorHAnsi" w:hAnsiTheme="majorHAnsi"/>
          <w:sz w:val="16"/>
          <w:szCs w:val="16"/>
        </w:rPr>
        <w:footnoteRef/>
      </w:r>
      <w:r w:rsidRPr="008B453D">
        <w:rPr>
          <w:rFonts w:asciiTheme="majorHAnsi" w:hAnsiTheme="majorHAnsi"/>
          <w:sz w:val="16"/>
          <w:szCs w:val="16"/>
          <w:lang w:val="es-US"/>
        </w:rPr>
        <w:t xml:space="preserve"> En adelante, “la Convención Americana” o “la Convenc</w:t>
      </w:r>
      <w:r w:rsidRPr="00B476D7">
        <w:rPr>
          <w:rFonts w:asciiTheme="majorHAnsi" w:hAnsiTheme="majorHAnsi"/>
          <w:sz w:val="16"/>
          <w:szCs w:val="16"/>
          <w:lang w:val="es-US"/>
        </w:rPr>
        <w:t>ión”.</w:t>
      </w:r>
    </w:p>
  </w:footnote>
  <w:footnote w:id="3">
    <w:p w14:paraId="79F07139" w14:textId="77777777" w:rsidR="008E3BFE" w:rsidRPr="00537490" w:rsidRDefault="008E3BFE" w:rsidP="00381140">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7E6307AD" w14:textId="77777777" w:rsidR="00921190" w:rsidRPr="00C90651" w:rsidRDefault="00921190" w:rsidP="00921190">
      <w:pPr>
        <w:pStyle w:val="FootnoteText"/>
        <w:ind w:firstLine="720"/>
        <w:rPr>
          <w:rFonts w:asciiTheme="majorHAnsi" w:hAnsiTheme="majorHAnsi"/>
          <w:sz w:val="16"/>
          <w:szCs w:val="16"/>
          <w:lang w:val="es-PE"/>
        </w:rPr>
      </w:pPr>
      <w:r w:rsidRPr="00C90651">
        <w:rPr>
          <w:rStyle w:val="FootnoteReference"/>
          <w:rFonts w:asciiTheme="majorHAnsi" w:hAnsiTheme="majorHAnsi"/>
          <w:sz w:val="16"/>
          <w:szCs w:val="16"/>
        </w:rPr>
        <w:footnoteRef/>
      </w:r>
      <w:r w:rsidRPr="00C90651">
        <w:rPr>
          <w:rFonts w:asciiTheme="majorHAnsi" w:hAnsiTheme="majorHAnsi"/>
          <w:sz w:val="16"/>
          <w:szCs w:val="16"/>
          <w:lang w:val="es-PE"/>
        </w:rPr>
        <w:t xml:space="preserve"> CIDH, Informe No. 70/04, Petición 667/01, Admisibilidad, Jesús Manuel Naranjo Cárdenas y otros, Jubilados de la empresa venezolana de aviación VIASA</w:t>
      </w:r>
      <w:r>
        <w:rPr>
          <w:rFonts w:asciiTheme="majorHAnsi" w:hAnsiTheme="majorHAnsi"/>
          <w:sz w:val="16"/>
          <w:szCs w:val="16"/>
          <w:lang w:val="es-PE"/>
        </w:rPr>
        <w:t>,</w:t>
      </w:r>
      <w:r w:rsidRPr="00C90651">
        <w:rPr>
          <w:rFonts w:asciiTheme="majorHAnsi" w:hAnsiTheme="majorHAnsi"/>
          <w:sz w:val="16"/>
          <w:szCs w:val="16"/>
          <w:lang w:val="es-PE"/>
        </w:rPr>
        <w:t xml:space="preserve"> Venezuela, 15 de octubre de 2004, párr. 52.</w:t>
      </w:r>
    </w:p>
  </w:footnote>
  <w:footnote w:id="5">
    <w:p w14:paraId="7D0D557C" w14:textId="77777777" w:rsidR="001F0F7A" w:rsidRPr="00A11B3B" w:rsidRDefault="001F0F7A" w:rsidP="001F0F7A">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N.º 70/08,</w:t>
      </w:r>
      <w:r>
        <w:rPr>
          <w:rFonts w:ascii="Cambria" w:hAnsi="Cambria"/>
          <w:sz w:val="16"/>
          <w:szCs w:val="16"/>
          <w:lang w:val="es-US"/>
        </w:rPr>
        <w:t xml:space="preserve"> </w:t>
      </w:r>
      <w:r w:rsidRPr="00A11B3B">
        <w:rPr>
          <w:rFonts w:ascii="Cambria" w:hAnsi="Cambria"/>
          <w:sz w:val="16"/>
          <w:szCs w:val="16"/>
          <w:lang w:val="es-US"/>
        </w:rPr>
        <w:t>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54F37" w:rsidP="00A50FCF">
    <w:pPr>
      <w:pStyle w:val="Header"/>
      <w:tabs>
        <w:tab w:val="clear" w:pos="4320"/>
        <w:tab w:val="clear" w:pos="8640"/>
      </w:tabs>
      <w:jc w:val="center"/>
      <w:rPr>
        <w:sz w:val="22"/>
        <w:szCs w:val="22"/>
      </w:rPr>
    </w:pPr>
    <w:r>
      <w:rPr>
        <w:noProof/>
        <w:sz w:val="22"/>
        <w:szCs w:val="22"/>
        <w:bdr w:val="nil"/>
      </w:rPr>
      <w:pict w14:anchorId="3D52792E">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3F53"/>
    <w:multiLevelType w:val="hybridMultilevel"/>
    <w:tmpl w:val="2562A9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36D4AEDA"/>
    <w:lvl w:ilvl="0" w:tplc="59D8119A">
      <w:start w:val="1"/>
      <w:numFmt w:val="decimal"/>
      <w:lvlText w:val="%1."/>
      <w:lvlJc w:val="left"/>
      <w:pPr>
        <w:tabs>
          <w:tab w:val="num" w:pos="851"/>
        </w:tabs>
        <w:ind w:left="131" w:firstLine="720"/>
      </w:pPr>
      <w:rPr>
        <w:rFonts w:ascii="Cambria" w:eastAsia="Cambria" w:hAnsi="Cambria" w:cs="Cambria"/>
        <w:b w:val="0"/>
        <w:bCs w:val="0"/>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C26D6F"/>
    <w:multiLevelType w:val="hybridMultilevel"/>
    <w:tmpl w:val="36D4AEDA"/>
    <w:lvl w:ilvl="0" w:tplc="FFFFFFFF">
      <w:start w:val="1"/>
      <w:numFmt w:val="decimal"/>
      <w:lvlText w:val="%1."/>
      <w:lvlJc w:val="left"/>
      <w:pPr>
        <w:tabs>
          <w:tab w:val="num" w:pos="851"/>
        </w:tabs>
        <w:ind w:left="131" w:firstLine="720"/>
      </w:pPr>
      <w:rPr>
        <w:rFonts w:ascii="Cambria" w:eastAsia="Cambria" w:hAnsi="Cambria" w:cs="Cambria"/>
        <w:b w:val="0"/>
        <w:bCs w:val="0"/>
        <w:i w:val="0"/>
        <w:iCs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6387CAF"/>
    <w:multiLevelType w:val="hybridMultilevel"/>
    <w:tmpl w:val="0B66AF94"/>
    <w:lvl w:ilvl="0" w:tplc="FFFFFFFF">
      <w:start w:val="1"/>
      <w:numFmt w:val="decimal"/>
      <w:lvlText w:val="%1."/>
      <w:lvlJc w:val="left"/>
      <w:pPr>
        <w:tabs>
          <w:tab w:val="num" w:pos="851"/>
        </w:tabs>
        <w:ind w:left="131" w:firstLine="720"/>
      </w:pPr>
      <w:rPr>
        <w:rFonts w:ascii="Cambria" w:eastAsia="Cambria" w:hAnsi="Cambria" w:cs="Cambria"/>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CA2B67"/>
    <w:multiLevelType w:val="hybridMultilevel"/>
    <w:tmpl w:val="36D4AEDA"/>
    <w:lvl w:ilvl="0" w:tplc="FFFFFFFF">
      <w:start w:val="1"/>
      <w:numFmt w:val="decimal"/>
      <w:lvlText w:val="%1."/>
      <w:lvlJc w:val="left"/>
      <w:pPr>
        <w:tabs>
          <w:tab w:val="num" w:pos="851"/>
        </w:tabs>
        <w:ind w:left="131" w:firstLine="720"/>
      </w:pPr>
      <w:rPr>
        <w:rFonts w:ascii="Cambria" w:eastAsia="Cambria" w:hAnsi="Cambria" w:cs="Cambria"/>
        <w:b w:val="0"/>
        <w:bCs w:val="0"/>
        <w:i w:val="0"/>
        <w:iCs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99000730">
    <w:abstractNumId w:val="4"/>
  </w:num>
  <w:num w:numId="2" w16cid:durableId="1420520311">
    <w:abstractNumId w:val="7"/>
  </w:num>
  <w:num w:numId="3" w16cid:durableId="1713266273">
    <w:abstractNumId w:val="54"/>
  </w:num>
  <w:num w:numId="4" w16cid:durableId="2068602545">
    <w:abstractNumId w:val="22"/>
  </w:num>
  <w:num w:numId="5" w16cid:durableId="1616525600">
    <w:abstractNumId w:val="48"/>
  </w:num>
  <w:num w:numId="6" w16cid:durableId="1902403871">
    <w:abstractNumId w:val="27"/>
  </w:num>
  <w:num w:numId="7" w16cid:durableId="2142066646">
    <w:abstractNumId w:val="8"/>
  </w:num>
  <w:num w:numId="8" w16cid:durableId="1861747358">
    <w:abstractNumId w:val="18"/>
  </w:num>
  <w:num w:numId="9" w16cid:durableId="1025256902">
    <w:abstractNumId w:val="37"/>
  </w:num>
  <w:num w:numId="10" w16cid:durableId="1866940441">
    <w:abstractNumId w:val="41"/>
  </w:num>
  <w:num w:numId="11" w16cid:durableId="251017014">
    <w:abstractNumId w:val="1"/>
  </w:num>
  <w:num w:numId="12" w16cid:durableId="2134210098">
    <w:abstractNumId w:val="36"/>
  </w:num>
  <w:num w:numId="13" w16cid:durableId="255601910">
    <w:abstractNumId w:val="44"/>
  </w:num>
  <w:num w:numId="14" w16cid:durableId="1761757703">
    <w:abstractNumId w:val="2"/>
  </w:num>
  <w:num w:numId="15" w16cid:durableId="1186796706">
    <w:abstractNumId w:val="3"/>
  </w:num>
  <w:num w:numId="16" w16cid:durableId="1606693034">
    <w:abstractNumId w:val="9"/>
  </w:num>
  <w:num w:numId="17" w16cid:durableId="1738476247">
    <w:abstractNumId w:val="10"/>
  </w:num>
  <w:num w:numId="18" w16cid:durableId="1484001738">
    <w:abstractNumId w:val="11"/>
  </w:num>
  <w:num w:numId="19" w16cid:durableId="866941465">
    <w:abstractNumId w:val="12"/>
  </w:num>
  <w:num w:numId="20" w16cid:durableId="891114917">
    <w:abstractNumId w:val="13"/>
  </w:num>
  <w:num w:numId="21" w16cid:durableId="1852600886">
    <w:abstractNumId w:val="14"/>
  </w:num>
  <w:num w:numId="22" w16cid:durableId="925655403">
    <w:abstractNumId w:val="15"/>
  </w:num>
  <w:num w:numId="23" w16cid:durableId="1122456303">
    <w:abstractNumId w:val="16"/>
  </w:num>
  <w:num w:numId="24" w16cid:durableId="2034264947">
    <w:abstractNumId w:val="17"/>
  </w:num>
  <w:num w:numId="25" w16cid:durableId="943655646">
    <w:abstractNumId w:val="19"/>
  </w:num>
  <w:num w:numId="26" w16cid:durableId="48573556">
    <w:abstractNumId w:val="20"/>
  </w:num>
  <w:num w:numId="27" w16cid:durableId="1714845553">
    <w:abstractNumId w:val="23"/>
  </w:num>
  <w:num w:numId="28" w16cid:durableId="43258639">
    <w:abstractNumId w:val="24"/>
  </w:num>
  <w:num w:numId="29" w16cid:durableId="1533766946">
    <w:abstractNumId w:val="25"/>
  </w:num>
  <w:num w:numId="30" w16cid:durableId="1375960398">
    <w:abstractNumId w:val="26"/>
  </w:num>
  <w:num w:numId="31" w16cid:durableId="142351334">
    <w:abstractNumId w:val="28"/>
  </w:num>
  <w:num w:numId="32" w16cid:durableId="179467967">
    <w:abstractNumId w:val="29"/>
  </w:num>
  <w:num w:numId="33" w16cid:durableId="1445685242">
    <w:abstractNumId w:val="30"/>
  </w:num>
  <w:num w:numId="34" w16cid:durableId="2049792361">
    <w:abstractNumId w:val="31"/>
  </w:num>
  <w:num w:numId="35" w16cid:durableId="1766075673">
    <w:abstractNumId w:val="32"/>
  </w:num>
  <w:num w:numId="36" w16cid:durableId="1193613694">
    <w:abstractNumId w:val="33"/>
  </w:num>
  <w:num w:numId="37" w16cid:durableId="1731923604">
    <w:abstractNumId w:val="34"/>
  </w:num>
  <w:num w:numId="38" w16cid:durableId="1266036850">
    <w:abstractNumId w:val="35"/>
  </w:num>
  <w:num w:numId="39" w16cid:durableId="1881671385">
    <w:abstractNumId w:val="38"/>
  </w:num>
  <w:num w:numId="40" w16cid:durableId="1301611395">
    <w:abstractNumId w:val="39"/>
  </w:num>
  <w:num w:numId="41" w16cid:durableId="1131166778">
    <w:abstractNumId w:val="47"/>
  </w:num>
  <w:num w:numId="42" w16cid:durableId="507405131">
    <w:abstractNumId w:val="49"/>
  </w:num>
  <w:num w:numId="43" w16cid:durableId="147091870">
    <w:abstractNumId w:val="50"/>
  </w:num>
  <w:num w:numId="44" w16cid:durableId="655454458">
    <w:abstractNumId w:val="52"/>
  </w:num>
  <w:num w:numId="45" w16cid:durableId="1812089391">
    <w:abstractNumId w:val="53"/>
  </w:num>
  <w:num w:numId="46" w16cid:durableId="515115365">
    <w:abstractNumId w:val="55"/>
  </w:num>
  <w:num w:numId="47" w16cid:durableId="1221944455">
    <w:abstractNumId w:val="56"/>
  </w:num>
  <w:num w:numId="48" w16cid:durableId="908535618">
    <w:abstractNumId w:val="57"/>
  </w:num>
  <w:num w:numId="49" w16cid:durableId="825898735">
    <w:abstractNumId w:val="58"/>
  </w:num>
  <w:num w:numId="50" w16cid:durableId="49690932">
    <w:abstractNumId w:val="59"/>
  </w:num>
  <w:num w:numId="51" w16cid:durableId="2095399920">
    <w:abstractNumId w:val="21"/>
  </w:num>
  <w:num w:numId="52" w16cid:durableId="1435326325">
    <w:abstractNumId w:val="40"/>
  </w:num>
  <w:num w:numId="53" w16cid:durableId="935866318">
    <w:abstractNumId w:val="51"/>
  </w:num>
  <w:num w:numId="54" w16cid:durableId="749347125">
    <w:abstractNumId w:val="46"/>
  </w:num>
  <w:num w:numId="55" w16cid:durableId="1458334191">
    <w:abstractNumId w:val="5"/>
  </w:num>
  <w:num w:numId="56" w16cid:durableId="1694842942">
    <w:abstractNumId w:val="42"/>
  </w:num>
  <w:num w:numId="57" w16cid:durableId="72288940">
    <w:abstractNumId w:val="0"/>
  </w:num>
  <w:num w:numId="58" w16cid:durableId="296767843">
    <w:abstractNumId w:val="43"/>
  </w:num>
  <w:num w:numId="59" w16cid:durableId="1391417368">
    <w:abstractNumId w:val="45"/>
  </w:num>
  <w:num w:numId="60" w16cid:durableId="430786397">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0070"/>
    <w:rsid w:val="00014872"/>
    <w:rsid w:val="0001788C"/>
    <w:rsid w:val="00030576"/>
    <w:rsid w:val="000311DC"/>
    <w:rsid w:val="0003259D"/>
    <w:rsid w:val="000332AE"/>
    <w:rsid w:val="000337EF"/>
    <w:rsid w:val="00034308"/>
    <w:rsid w:val="00036F47"/>
    <w:rsid w:val="00040C3A"/>
    <w:rsid w:val="000419AD"/>
    <w:rsid w:val="0004256F"/>
    <w:rsid w:val="000433C9"/>
    <w:rsid w:val="000453FB"/>
    <w:rsid w:val="0006030A"/>
    <w:rsid w:val="000623C1"/>
    <w:rsid w:val="00062D9B"/>
    <w:rsid w:val="000649FA"/>
    <w:rsid w:val="00065A51"/>
    <w:rsid w:val="00067CE6"/>
    <w:rsid w:val="000716C5"/>
    <w:rsid w:val="00075CD6"/>
    <w:rsid w:val="00075E23"/>
    <w:rsid w:val="00086640"/>
    <w:rsid w:val="00090F6C"/>
    <w:rsid w:val="00092059"/>
    <w:rsid w:val="000921B2"/>
    <w:rsid w:val="0009344A"/>
    <w:rsid w:val="00097E8C"/>
    <w:rsid w:val="000A0DDC"/>
    <w:rsid w:val="000A2072"/>
    <w:rsid w:val="000A392E"/>
    <w:rsid w:val="000A575F"/>
    <w:rsid w:val="000B062C"/>
    <w:rsid w:val="000C0146"/>
    <w:rsid w:val="000C3963"/>
    <w:rsid w:val="000D05CB"/>
    <w:rsid w:val="000D084A"/>
    <w:rsid w:val="000D10DB"/>
    <w:rsid w:val="000E5761"/>
    <w:rsid w:val="000E5EB5"/>
    <w:rsid w:val="000F3152"/>
    <w:rsid w:val="000F35ED"/>
    <w:rsid w:val="000F372C"/>
    <w:rsid w:val="00100830"/>
    <w:rsid w:val="00101576"/>
    <w:rsid w:val="00102F31"/>
    <w:rsid w:val="00105238"/>
    <w:rsid w:val="00107131"/>
    <w:rsid w:val="0010736F"/>
    <w:rsid w:val="00110D56"/>
    <w:rsid w:val="00113F73"/>
    <w:rsid w:val="00115016"/>
    <w:rsid w:val="00115C97"/>
    <w:rsid w:val="00117788"/>
    <w:rsid w:val="00121CC2"/>
    <w:rsid w:val="00123755"/>
    <w:rsid w:val="00125FA3"/>
    <w:rsid w:val="00131425"/>
    <w:rsid w:val="00131735"/>
    <w:rsid w:val="00132B4E"/>
    <w:rsid w:val="00133EE5"/>
    <w:rsid w:val="00140E4C"/>
    <w:rsid w:val="00153696"/>
    <w:rsid w:val="00167A34"/>
    <w:rsid w:val="00185435"/>
    <w:rsid w:val="00191649"/>
    <w:rsid w:val="00191FBA"/>
    <w:rsid w:val="0019566B"/>
    <w:rsid w:val="001976B0"/>
    <w:rsid w:val="001A0B2F"/>
    <w:rsid w:val="001A4B0A"/>
    <w:rsid w:val="001A5FC8"/>
    <w:rsid w:val="001A7870"/>
    <w:rsid w:val="001B36C9"/>
    <w:rsid w:val="001B3A00"/>
    <w:rsid w:val="001B6F20"/>
    <w:rsid w:val="001C0C17"/>
    <w:rsid w:val="001C0ED8"/>
    <w:rsid w:val="001C12F2"/>
    <w:rsid w:val="001C1B41"/>
    <w:rsid w:val="001C45CC"/>
    <w:rsid w:val="001D0DEB"/>
    <w:rsid w:val="001D65EF"/>
    <w:rsid w:val="001D7945"/>
    <w:rsid w:val="001D7B64"/>
    <w:rsid w:val="001E49E7"/>
    <w:rsid w:val="001F0F7A"/>
    <w:rsid w:val="001F7201"/>
    <w:rsid w:val="00200B12"/>
    <w:rsid w:val="00203017"/>
    <w:rsid w:val="0020695B"/>
    <w:rsid w:val="002076C3"/>
    <w:rsid w:val="00210DA8"/>
    <w:rsid w:val="002147F5"/>
    <w:rsid w:val="00223480"/>
    <w:rsid w:val="00223A29"/>
    <w:rsid w:val="002250A3"/>
    <w:rsid w:val="002314E1"/>
    <w:rsid w:val="00233C90"/>
    <w:rsid w:val="00235217"/>
    <w:rsid w:val="00241CB6"/>
    <w:rsid w:val="0024259E"/>
    <w:rsid w:val="00244F9A"/>
    <w:rsid w:val="002469D2"/>
    <w:rsid w:val="00246D1F"/>
    <w:rsid w:val="00247403"/>
    <w:rsid w:val="00247542"/>
    <w:rsid w:val="002555EC"/>
    <w:rsid w:val="0026020D"/>
    <w:rsid w:val="0026591B"/>
    <w:rsid w:val="00266B61"/>
    <w:rsid w:val="0026712A"/>
    <w:rsid w:val="002704DB"/>
    <w:rsid w:val="00271C57"/>
    <w:rsid w:val="0027499F"/>
    <w:rsid w:val="002756B6"/>
    <w:rsid w:val="002759A9"/>
    <w:rsid w:val="00275CB1"/>
    <w:rsid w:val="0029138D"/>
    <w:rsid w:val="002A0AAE"/>
    <w:rsid w:val="002A5820"/>
    <w:rsid w:val="002A7653"/>
    <w:rsid w:val="002B4B34"/>
    <w:rsid w:val="002C0E40"/>
    <w:rsid w:val="002C5FBE"/>
    <w:rsid w:val="002C7DAC"/>
    <w:rsid w:val="002D01D0"/>
    <w:rsid w:val="002D2B26"/>
    <w:rsid w:val="002D38F1"/>
    <w:rsid w:val="002D7EA2"/>
    <w:rsid w:val="002E187C"/>
    <w:rsid w:val="002F08EB"/>
    <w:rsid w:val="00302733"/>
    <w:rsid w:val="0030323C"/>
    <w:rsid w:val="00303AF0"/>
    <w:rsid w:val="00304BC7"/>
    <w:rsid w:val="00313877"/>
    <w:rsid w:val="00314078"/>
    <w:rsid w:val="0031535D"/>
    <w:rsid w:val="00323841"/>
    <w:rsid w:val="003239B8"/>
    <w:rsid w:val="0033169F"/>
    <w:rsid w:val="00337DA1"/>
    <w:rsid w:val="0034038F"/>
    <w:rsid w:val="00344977"/>
    <w:rsid w:val="00345574"/>
    <w:rsid w:val="00345720"/>
    <w:rsid w:val="00346C95"/>
    <w:rsid w:val="00354B25"/>
    <w:rsid w:val="00356185"/>
    <w:rsid w:val="00360380"/>
    <w:rsid w:val="00362770"/>
    <w:rsid w:val="00366D84"/>
    <w:rsid w:val="003714AE"/>
    <w:rsid w:val="003715B6"/>
    <w:rsid w:val="0037519E"/>
    <w:rsid w:val="00381140"/>
    <w:rsid w:val="003819F3"/>
    <w:rsid w:val="00384909"/>
    <w:rsid w:val="00386CF0"/>
    <w:rsid w:val="00390D33"/>
    <w:rsid w:val="00390E8E"/>
    <w:rsid w:val="00394049"/>
    <w:rsid w:val="003A7731"/>
    <w:rsid w:val="003B1B44"/>
    <w:rsid w:val="003B70FB"/>
    <w:rsid w:val="003C2239"/>
    <w:rsid w:val="003C40B3"/>
    <w:rsid w:val="003C676B"/>
    <w:rsid w:val="003D3BC2"/>
    <w:rsid w:val="003D42B9"/>
    <w:rsid w:val="003D711D"/>
    <w:rsid w:val="003E316A"/>
    <w:rsid w:val="003E6CA1"/>
    <w:rsid w:val="00404E35"/>
    <w:rsid w:val="00405F9C"/>
    <w:rsid w:val="004065A8"/>
    <w:rsid w:val="004165C2"/>
    <w:rsid w:val="004259CF"/>
    <w:rsid w:val="00436B39"/>
    <w:rsid w:val="00441524"/>
    <w:rsid w:val="00441E0D"/>
    <w:rsid w:val="00441ECB"/>
    <w:rsid w:val="00443D09"/>
    <w:rsid w:val="00445193"/>
    <w:rsid w:val="00445851"/>
    <w:rsid w:val="0045002C"/>
    <w:rsid w:val="00450202"/>
    <w:rsid w:val="00452680"/>
    <w:rsid w:val="004566E0"/>
    <w:rsid w:val="004576AC"/>
    <w:rsid w:val="00462C1B"/>
    <w:rsid w:val="00462F11"/>
    <w:rsid w:val="00467B7E"/>
    <w:rsid w:val="00472644"/>
    <w:rsid w:val="00473BB4"/>
    <w:rsid w:val="00477592"/>
    <w:rsid w:val="00486F1C"/>
    <w:rsid w:val="00487964"/>
    <w:rsid w:val="0049419D"/>
    <w:rsid w:val="004A1ECE"/>
    <w:rsid w:val="004A2EAE"/>
    <w:rsid w:val="004A31FD"/>
    <w:rsid w:val="004A6A54"/>
    <w:rsid w:val="004A6E97"/>
    <w:rsid w:val="004B1B5C"/>
    <w:rsid w:val="004C20D2"/>
    <w:rsid w:val="004C2312"/>
    <w:rsid w:val="004C244A"/>
    <w:rsid w:val="004C4B62"/>
    <w:rsid w:val="004C54C9"/>
    <w:rsid w:val="004C6CB2"/>
    <w:rsid w:val="004D23C1"/>
    <w:rsid w:val="004D28B3"/>
    <w:rsid w:val="004D3A56"/>
    <w:rsid w:val="004D4ABA"/>
    <w:rsid w:val="004D6025"/>
    <w:rsid w:val="004D6DC1"/>
    <w:rsid w:val="004E2649"/>
    <w:rsid w:val="004F30A8"/>
    <w:rsid w:val="004F626F"/>
    <w:rsid w:val="005011FC"/>
    <w:rsid w:val="00501399"/>
    <w:rsid w:val="0050633D"/>
    <w:rsid w:val="00507BC4"/>
    <w:rsid w:val="005128E4"/>
    <w:rsid w:val="005133DB"/>
    <w:rsid w:val="00514504"/>
    <w:rsid w:val="005179C2"/>
    <w:rsid w:val="0052493E"/>
    <w:rsid w:val="0052527A"/>
    <w:rsid w:val="00525560"/>
    <w:rsid w:val="0052613C"/>
    <w:rsid w:val="00527E5D"/>
    <w:rsid w:val="00531D2D"/>
    <w:rsid w:val="005344A7"/>
    <w:rsid w:val="00534ACA"/>
    <w:rsid w:val="00536527"/>
    <w:rsid w:val="00544C49"/>
    <w:rsid w:val="005516A1"/>
    <w:rsid w:val="005559EF"/>
    <w:rsid w:val="005564B7"/>
    <w:rsid w:val="00556D44"/>
    <w:rsid w:val="00562D48"/>
    <w:rsid w:val="00563557"/>
    <w:rsid w:val="005665B0"/>
    <w:rsid w:val="00567D2B"/>
    <w:rsid w:val="00567DC4"/>
    <w:rsid w:val="0057207F"/>
    <w:rsid w:val="00573E32"/>
    <w:rsid w:val="0057402A"/>
    <w:rsid w:val="0057408E"/>
    <w:rsid w:val="005771D0"/>
    <w:rsid w:val="005806EB"/>
    <w:rsid w:val="00586056"/>
    <w:rsid w:val="0059103C"/>
    <w:rsid w:val="0059191A"/>
    <w:rsid w:val="00591FD8"/>
    <w:rsid w:val="005921FF"/>
    <w:rsid w:val="005A24ED"/>
    <w:rsid w:val="005A254F"/>
    <w:rsid w:val="005A27C5"/>
    <w:rsid w:val="005A3200"/>
    <w:rsid w:val="005A371A"/>
    <w:rsid w:val="005A567E"/>
    <w:rsid w:val="005A6D0E"/>
    <w:rsid w:val="005B52B0"/>
    <w:rsid w:val="005B54DC"/>
    <w:rsid w:val="005B6806"/>
    <w:rsid w:val="005C25E4"/>
    <w:rsid w:val="005C4225"/>
    <w:rsid w:val="005D02DE"/>
    <w:rsid w:val="005D0CDC"/>
    <w:rsid w:val="005D38F9"/>
    <w:rsid w:val="005D47EC"/>
    <w:rsid w:val="005E1BAC"/>
    <w:rsid w:val="005E466A"/>
    <w:rsid w:val="005E5250"/>
    <w:rsid w:val="005E671F"/>
    <w:rsid w:val="005F0DAD"/>
    <w:rsid w:val="005F0F33"/>
    <w:rsid w:val="005F4F5E"/>
    <w:rsid w:val="005F54D4"/>
    <w:rsid w:val="005F7FB2"/>
    <w:rsid w:val="00600DEB"/>
    <w:rsid w:val="00602DDE"/>
    <w:rsid w:val="00604787"/>
    <w:rsid w:val="00605A5C"/>
    <w:rsid w:val="00605EDB"/>
    <w:rsid w:val="00612C97"/>
    <w:rsid w:val="006148E2"/>
    <w:rsid w:val="006222F1"/>
    <w:rsid w:val="006264D3"/>
    <w:rsid w:val="00626D99"/>
    <w:rsid w:val="00626F3D"/>
    <w:rsid w:val="00627C9F"/>
    <w:rsid w:val="006311E9"/>
    <w:rsid w:val="00632354"/>
    <w:rsid w:val="00632AC7"/>
    <w:rsid w:val="00632B2C"/>
    <w:rsid w:val="00635421"/>
    <w:rsid w:val="00640E08"/>
    <w:rsid w:val="00642810"/>
    <w:rsid w:val="006437D0"/>
    <w:rsid w:val="006460B3"/>
    <w:rsid w:val="00652333"/>
    <w:rsid w:val="00661407"/>
    <w:rsid w:val="00661F97"/>
    <w:rsid w:val="00666729"/>
    <w:rsid w:val="0068009E"/>
    <w:rsid w:val="00680817"/>
    <w:rsid w:val="00682F6C"/>
    <w:rsid w:val="00683374"/>
    <w:rsid w:val="00686D21"/>
    <w:rsid w:val="00692219"/>
    <w:rsid w:val="006A05B8"/>
    <w:rsid w:val="006A17D2"/>
    <w:rsid w:val="006A30F1"/>
    <w:rsid w:val="006A41CC"/>
    <w:rsid w:val="006A41D8"/>
    <w:rsid w:val="006A5778"/>
    <w:rsid w:val="006A73E6"/>
    <w:rsid w:val="006B27FC"/>
    <w:rsid w:val="006B2D5C"/>
    <w:rsid w:val="006B61F5"/>
    <w:rsid w:val="006C023E"/>
    <w:rsid w:val="006C2A80"/>
    <w:rsid w:val="006C4090"/>
    <w:rsid w:val="006C4EB1"/>
    <w:rsid w:val="006C7438"/>
    <w:rsid w:val="006D1CAC"/>
    <w:rsid w:val="006D5B19"/>
    <w:rsid w:val="006E0166"/>
    <w:rsid w:val="006E2FFB"/>
    <w:rsid w:val="006E7827"/>
    <w:rsid w:val="006E7B34"/>
    <w:rsid w:val="006F2664"/>
    <w:rsid w:val="006F52D4"/>
    <w:rsid w:val="00703419"/>
    <w:rsid w:val="0070697F"/>
    <w:rsid w:val="00714416"/>
    <w:rsid w:val="00720273"/>
    <w:rsid w:val="0072199C"/>
    <w:rsid w:val="00722C9F"/>
    <w:rsid w:val="007233A5"/>
    <w:rsid w:val="007253B8"/>
    <w:rsid w:val="007342CD"/>
    <w:rsid w:val="00736897"/>
    <w:rsid w:val="0073741F"/>
    <w:rsid w:val="00740977"/>
    <w:rsid w:val="0076643F"/>
    <w:rsid w:val="00766C99"/>
    <w:rsid w:val="00777F63"/>
    <w:rsid w:val="0079701E"/>
    <w:rsid w:val="007A0651"/>
    <w:rsid w:val="007A0CC7"/>
    <w:rsid w:val="007A5817"/>
    <w:rsid w:val="007B05C4"/>
    <w:rsid w:val="007B133D"/>
    <w:rsid w:val="007B1BBA"/>
    <w:rsid w:val="007B60E9"/>
    <w:rsid w:val="007B6CC3"/>
    <w:rsid w:val="007B76D3"/>
    <w:rsid w:val="007C1433"/>
    <w:rsid w:val="007C248B"/>
    <w:rsid w:val="007C3334"/>
    <w:rsid w:val="007C640E"/>
    <w:rsid w:val="007C7E8C"/>
    <w:rsid w:val="007D2B98"/>
    <w:rsid w:val="007D3C3F"/>
    <w:rsid w:val="007D5E10"/>
    <w:rsid w:val="007D6105"/>
    <w:rsid w:val="007E1E29"/>
    <w:rsid w:val="007E21BC"/>
    <w:rsid w:val="007E6BD1"/>
    <w:rsid w:val="007E7C82"/>
    <w:rsid w:val="007F2AA1"/>
    <w:rsid w:val="007F4A7A"/>
    <w:rsid w:val="007F5848"/>
    <w:rsid w:val="007F588D"/>
    <w:rsid w:val="0080006D"/>
    <w:rsid w:val="00800EB6"/>
    <w:rsid w:val="00803223"/>
    <w:rsid w:val="00803F1C"/>
    <w:rsid w:val="0080600E"/>
    <w:rsid w:val="00814688"/>
    <w:rsid w:val="00816E62"/>
    <w:rsid w:val="00817612"/>
    <w:rsid w:val="008240DA"/>
    <w:rsid w:val="00824A79"/>
    <w:rsid w:val="00824F8A"/>
    <w:rsid w:val="00826DA5"/>
    <w:rsid w:val="008279B0"/>
    <w:rsid w:val="0083100C"/>
    <w:rsid w:val="00832178"/>
    <w:rsid w:val="0083254B"/>
    <w:rsid w:val="00832A83"/>
    <w:rsid w:val="00832ABB"/>
    <w:rsid w:val="008338A4"/>
    <w:rsid w:val="00834D49"/>
    <w:rsid w:val="00837C45"/>
    <w:rsid w:val="00844730"/>
    <w:rsid w:val="008457C2"/>
    <w:rsid w:val="00850A9C"/>
    <w:rsid w:val="00857A82"/>
    <w:rsid w:val="00857C19"/>
    <w:rsid w:val="00867314"/>
    <w:rsid w:val="00873836"/>
    <w:rsid w:val="00874BDC"/>
    <w:rsid w:val="00875200"/>
    <w:rsid w:val="008802CC"/>
    <w:rsid w:val="00885737"/>
    <w:rsid w:val="00885E60"/>
    <w:rsid w:val="00890650"/>
    <w:rsid w:val="00890DBE"/>
    <w:rsid w:val="008953DD"/>
    <w:rsid w:val="00896B10"/>
    <w:rsid w:val="00896B73"/>
    <w:rsid w:val="00897E12"/>
    <w:rsid w:val="008A27E9"/>
    <w:rsid w:val="008A346D"/>
    <w:rsid w:val="008A6E23"/>
    <w:rsid w:val="008A7E0F"/>
    <w:rsid w:val="008B12F5"/>
    <w:rsid w:val="008B1740"/>
    <w:rsid w:val="008B3A00"/>
    <w:rsid w:val="008C3A3A"/>
    <w:rsid w:val="008C48ED"/>
    <w:rsid w:val="008C59F4"/>
    <w:rsid w:val="008C5E2D"/>
    <w:rsid w:val="008D073B"/>
    <w:rsid w:val="008D3953"/>
    <w:rsid w:val="008D768D"/>
    <w:rsid w:val="008D78E7"/>
    <w:rsid w:val="008E3759"/>
    <w:rsid w:val="008E3BFE"/>
    <w:rsid w:val="008E41C2"/>
    <w:rsid w:val="008E5262"/>
    <w:rsid w:val="008F1912"/>
    <w:rsid w:val="008F364E"/>
    <w:rsid w:val="0090270B"/>
    <w:rsid w:val="00903C05"/>
    <w:rsid w:val="009041DC"/>
    <w:rsid w:val="00904ABF"/>
    <w:rsid w:val="00913399"/>
    <w:rsid w:val="00913A08"/>
    <w:rsid w:val="00916007"/>
    <w:rsid w:val="00917B5A"/>
    <w:rsid w:val="00920A58"/>
    <w:rsid w:val="00920A8C"/>
    <w:rsid w:val="00921190"/>
    <w:rsid w:val="009215CB"/>
    <w:rsid w:val="009220F8"/>
    <w:rsid w:val="00933BFD"/>
    <w:rsid w:val="00934A2C"/>
    <w:rsid w:val="00936A68"/>
    <w:rsid w:val="00952A22"/>
    <w:rsid w:val="009546E5"/>
    <w:rsid w:val="00955CCE"/>
    <w:rsid w:val="00960DF2"/>
    <w:rsid w:val="00966D54"/>
    <w:rsid w:val="0096706E"/>
    <w:rsid w:val="00974491"/>
    <w:rsid w:val="00975C4E"/>
    <w:rsid w:val="00976FDC"/>
    <w:rsid w:val="00981FBA"/>
    <w:rsid w:val="00997BC5"/>
    <w:rsid w:val="009A3DA0"/>
    <w:rsid w:val="009A4F41"/>
    <w:rsid w:val="009A518E"/>
    <w:rsid w:val="009A6E1E"/>
    <w:rsid w:val="009B381B"/>
    <w:rsid w:val="009B79B7"/>
    <w:rsid w:val="009C0E4C"/>
    <w:rsid w:val="009C12AC"/>
    <w:rsid w:val="009C2E30"/>
    <w:rsid w:val="009C30CF"/>
    <w:rsid w:val="009C35FA"/>
    <w:rsid w:val="009C36C5"/>
    <w:rsid w:val="009C78CE"/>
    <w:rsid w:val="009D1753"/>
    <w:rsid w:val="009D7611"/>
    <w:rsid w:val="009E0B61"/>
    <w:rsid w:val="009E53DE"/>
    <w:rsid w:val="009E749D"/>
    <w:rsid w:val="009F178A"/>
    <w:rsid w:val="00A02332"/>
    <w:rsid w:val="00A02E9A"/>
    <w:rsid w:val="00A034A9"/>
    <w:rsid w:val="00A078A8"/>
    <w:rsid w:val="00A10EEF"/>
    <w:rsid w:val="00A11212"/>
    <w:rsid w:val="00A11E44"/>
    <w:rsid w:val="00A128CE"/>
    <w:rsid w:val="00A15191"/>
    <w:rsid w:val="00A22E3F"/>
    <w:rsid w:val="00A23907"/>
    <w:rsid w:val="00A3002F"/>
    <w:rsid w:val="00A30100"/>
    <w:rsid w:val="00A328B3"/>
    <w:rsid w:val="00A3562A"/>
    <w:rsid w:val="00A42ED5"/>
    <w:rsid w:val="00A46529"/>
    <w:rsid w:val="00A479BB"/>
    <w:rsid w:val="00A50FCF"/>
    <w:rsid w:val="00A528D1"/>
    <w:rsid w:val="00A54F37"/>
    <w:rsid w:val="00A610CD"/>
    <w:rsid w:val="00A634BB"/>
    <w:rsid w:val="00A70188"/>
    <w:rsid w:val="00A74128"/>
    <w:rsid w:val="00A746E5"/>
    <w:rsid w:val="00A74B1C"/>
    <w:rsid w:val="00A758AA"/>
    <w:rsid w:val="00A83F31"/>
    <w:rsid w:val="00A856B6"/>
    <w:rsid w:val="00A936FB"/>
    <w:rsid w:val="00AA09A2"/>
    <w:rsid w:val="00AA1C64"/>
    <w:rsid w:val="00AA3AC6"/>
    <w:rsid w:val="00AA52AC"/>
    <w:rsid w:val="00AA553E"/>
    <w:rsid w:val="00AA7388"/>
    <w:rsid w:val="00AA7996"/>
    <w:rsid w:val="00AB617D"/>
    <w:rsid w:val="00AC19CB"/>
    <w:rsid w:val="00AD4402"/>
    <w:rsid w:val="00AD5D67"/>
    <w:rsid w:val="00AE5488"/>
    <w:rsid w:val="00AE6F91"/>
    <w:rsid w:val="00AE7D5C"/>
    <w:rsid w:val="00AF5571"/>
    <w:rsid w:val="00B07341"/>
    <w:rsid w:val="00B14C99"/>
    <w:rsid w:val="00B21D61"/>
    <w:rsid w:val="00B23602"/>
    <w:rsid w:val="00B30539"/>
    <w:rsid w:val="00B314DB"/>
    <w:rsid w:val="00B3325E"/>
    <w:rsid w:val="00B3473C"/>
    <w:rsid w:val="00B3529D"/>
    <w:rsid w:val="00B354F1"/>
    <w:rsid w:val="00B361F2"/>
    <w:rsid w:val="00B3718B"/>
    <w:rsid w:val="00B3745F"/>
    <w:rsid w:val="00B42D8E"/>
    <w:rsid w:val="00B45589"/>
    <w:rsid w:val="00B45D8A"/>
    <w:rsid w:val="00B4632A"/>
    <w:rsid w:val="00B521AB"/>
    <w:rsid w:val="00B52BB3"/>
    <w:rsid w:val="00B530F1"/>
    <w:rsid w:val="00B53CD9"/>
    <w:rsid w:val="00B55DAF"/>
    <w:rsid w:val="00B705D2"/>
    <w:rsid w:val="00B74066"/>
    <w:rsid w:val="00B77432"/>
    <w:rsid w:val="00B81164"/>
    <w:rsid w:val="00B95335"/>
    <w:rsid w:val="00BA08E4"/>
    <w:rsid w:val="00BA276C"/>
    <w:rsid w:val="00BA337C"/>
    <w:rsid w:val="00BA5CF4"/>
    <w:rsid w:val="00BB2A0E"/>
    <w:rsid w:val="00BB306F"/>
    <w:rsid w:val="00BC02C1"/>
    <w:rsid w:val="00BC481D"/>
    <w:rsid w:val="00BC7F04"/>
    <w:rsid w:val="00BD03E3"/>
    <w:rsid w:val="00BD0833"/>
    <w:rsid w:val="00BD2066"/>
    <w:rsid w:val="00BD4B89"/>
    <w:rsid w:val="00BD567F"/>
    <w:rsid w:val="00BD5922"/>
    <w:rsid w:val="00BE5E99"/>
    <w:rsid w:val="00BF02CB"/>
    <w:rsid w:val="00BF26A6"/>
    <w:rsid w:val="00BF4200"/>
    <w:rsid w:val="00BF6FD8"/>
    <w:rsid w:val="00C00D42"/>
    <w:rsid w:val="00C01156"/>
    <w:rsid w:val="00C017B5"/>
    <w:rsid w:val="00C03680"/>
    <w:rsid w:val="00C054DF"/>
    <w:rsid w:val="00C10153"/>
    <w:rsid w:val="00C14822"/>
    <w:rsid w:val="00C20980"/>
    <w:rsid w:val="00C21762"/>
    <w:rsid w:val="00C21FEF"/>
    <w:rsid w:val="00C23BA4"/>
    <w:rsid w:val="00C24543"/>
    <w:rsid w:val="00C256A2"/>
    <w:rsid w:val="00C25ADB"/>
    <w:rsid w:val="00C27E34"/>
    <w:rsid w:val="00C31A87"/>
    <w:rsid w:val="00C3264F"/>
    <w:rsid w:val="00C34399"/>
    <w:rsid w:val="00C42031"/>
    <w:rsid w:val="00C46073"/>
    <w:rsid w:val="00C50E45"/>
    <w:rsid w:val="00C51515"/>
    <w:rsid w:val="00C55569"/>
    <w:rsid w:val="00C5660B"/>
    <w:rsid w:val="00C60200"/>
    <w:rsid w:val="00C66B72"/>
    <w:rsid w:val="00C72ECE"/>
    <w:rsid w:val="00C741C1"/>
    <w:rsid w:val="00C87AC4"/>
    <w:rsid w:val="00C93570"/>
    <w:rsid w:val="00C9567A"/>
    <w:rsid w:val="00CA269B"/>
    <w:rsid w:val="00CB212D"/>
    <w:rsid w:val="00CB2660"/>
    <w:rsid w:val="00CB4389"/>
    <w:rsid w:val="00CC1E50"/>
    <w:rsid w:val="00CC1EE3"/>
    <w:rsid w:val="00CC3763"/>
    <w:rsid w:val="00CC5E90"/>
    <w:rsid w:val="00CD046C"/>
    <w:rsid w:val="00CD134A"/>
    <w:rsid w:val="00CD79B4"/>
    <w:rsid w:val="00CE076C"/>
    <w:rsid w:val="00CE0CB2"/>
    <w:rsid w:val="00CE13B3"/>
    <w:rsid w:val="00CE5199"/>
    <w:rsid w:val="00CE5E90"/>
    <w:rsid w:val="00CE66D5"/>
    <w:rsid w:val="00CE7F67"/>
    <w:rsid w:val="00CF637A"/>
    <w:rsid w:val="00CF6F8D"/>
    <w:rsid w:val="00D04817"/>
    <w:rsid w:val="00D04B19"/>
    <w:rsid w:val="00D059DE"/>
    <w:rsid w:val="00D05ABD"/>
    <w:rsid w:val="00D06540"/>
    <w:rsid w:val="00D13530"/>
    <w:rsid w:val="00D13FCE"/>
    <w:rsid w:val="00D306D1"/>
    <w:rsid w:val="00D30800"/>
    <w:rsid w:val="00D3252A"/>
    <w:rsid w:val="00D34786"/>
    <w:rsid w:val="00D37BFC"/>
    <w:rsid w:val="00D42457"/>
    <w:rsid w:val="00D43F36"/>
    <w:rsid w:val="00D47A8E"/>
    <w:rsid w:val="00D529DD"/>
    <w:rsid w:val="00D52D14"/>
    <w:rsid w:val="00D55E19"/>
    <w:rsid w:val="00D568F1"/>
    <w:rsid w:val="00D570F2"/>
    <w:rsid w:val="00D62221"/>
    <w:rsid w:val="00D6331A"/>
    <w:rsid w:val="00D64F0C"/>
    <w:rsid w:val="00D65080"/>
    <w:rsid w:val="00D70F26"/>
    <w:rsid w:val="00D712D3"/>
    <w:rsid w:val="00D71422"/>
    <w:rsid w:val="00D72DC6"/>
    <w:rsid w:val="00D74414"/>
    <w:rsid w:val="00D7558D"/>
    <w:rsid w:val="00D819DB"/>
    <w:rsid w:val="00D81D92"/>
    <w:rsid w:val="00D839AA"/>
    <w:rsid w:val="00D876F9"/>
    <w:rsid w:val="00D96D6F"/>
    <w:rsid w:val="00DA34B4"/>
    <w:rsid w:val="00DA431A"/>
    <w:rsid w:val="00DA70CC"/>
    <w:rsid w:val="00DA7B5F"/>
    <w:rsid w:val="00DB21CB"/>
    <w:rsid w:val="00DC11E7"/>
    <w:rsid w:val="00DC24E3"/>
    <w:rsid w:val="00DC46A7"/>
    <w:rsid w:val="00DC7023"/>
    <w:rsid w:val="00DC769A"/>
    <w:rsid w:val="00DD3D86"/>
    <w:rsid w:val="00DD4AD2"/>
    <w:rsid w:val="00DD7CBB"/>
    <w:rsid w:val="00DE7CA1"/>
    <w:rsid w:val="00DF1EC4"/>
    <w:rsid w:val="00DF76BC"/>
    <w:rsid w:val="00E006AA"/>
    <w:rsid w:val="00E0340B"/>
    <w:rsid w:val="00E04A90"/>
    <w:rsid w:val="00E0551F"/>
    <w:rsid w:val="00E219C7"/>
    <w:rsid w:val="00E3009C"/>
    <w:rsid w:val="00E31B58"/>
    <w:rsid w:val="00E32C9E"/>
    <w:rsid w:val="00E4118C"/>
    <w:rsid w:val="00E43157"/>
    <w:rsid w:val="00E461CE"/>
    <w:rsid w:val="00E54D28"/>
    <w:rsid w:val="00E55226"/>
    <w:rsid w:val="00E573E4"/>
    <w:rsid w:val="00E60809"/>
    <w:rsid w:val="00E64C3D"/>
    <w:rsid w:val="00E64E8D"/>
    <w:rsid w:val="00E67C67"/>
    <w:rsid w:val="00E708DD"/>
    <w:rsid w:val="00E71487"/>
    <w:rsid w:val="00E720CA"/>
    <w:rsid w:val="00E77849"/>
    <w:rsid w:val="00E82AD7"/>
    <w:rsid w:val="00E82DDC"/>
    <w:rsid w:val="00E84EB5"/>
    <w:rsid w:val="00E85662"/>
    <w:rsid w:val="00E85745"/>
    <w:rsid w:val="00E85D69"/>
    <w:rsid w:val="00E8789F"/>
    <w:rsid w:val="00E87EFA"/>
    <w:rsid w:val="00E93448"/>
    <w:rsid w:val="00E94CAF"/>
    <w:rsid w:val="00E95CDD"/>
    <w:rsid w:val="00E97B71"/>
    <w:rsid w:val="00EA3D34"/>
    <w:rsid w:val="00EB0C38"/>
    <w:rsid w:val="00EB197F"/>
    <w:rsid w:val="00EB2791"/>
    <w:rsid w:val="00EB454D"/>
    <w:rsid w:val="00ED549D"/>
    <w:rsid w:val="00ED76BE"/>
    <w:rsid w:val="00EE00E9"/>
    <w:rsid w:val="00EF1AAA"/>
    <w:rsid w:val="00EF218A"/>
    <w:rsid w:val="00EF23E0"/>
    <w:rsid w:val="00EF582F"/>
    <w:rsid w:val="00EF619B"/>
    <w:rsid w:val="00EF76F5"/>
    <w:rsid w:val="00F00B55"/>
    <w:rsid w:val="00F02AD1"/>
    <w:rsid w:val="00F02FB1"/>
    <w:rsid w:val="00F0345B"/>
    <w:rsid w:val="00F109E9"/>
    <w:rsid w:val="00F11CBD"/>
    <w:rsid w:val="00F14F11"/>
    <w:rsid w:val="00F15934"/>
    <w:rsid w:val="00F1742A"/>
    <w:rsid w:val="00F20EE0"/>
    <w:rsid w:val="00F21BE5"/>
    <w:rsid w:val="00F233AD"/>
    <w:rsid w:val="00F253CC"/>
    <w:rsid w:val="00F2568F"/>
    <w:rsid w:val="00F32A4D"/>
    <w:rsid w:val="00F337BD"/>
    <w:rsid w:val="00F34E1A"/>
    <w:rsid w:val="00F3697F"/>
    <w:rsid w:val="00F37106"/>
    <w:rsid w:val="00F44E25"/>
    <w:rsid w:val="00F5196A"/>
    <w:rsid w:val="00F519CF"/>
    <w:rsid w:val="00F53CA6"/>
    <w:rsid w:val="00F56BA5"/>
    <w:rsid w:val="00F60E22"/>
    <w:rsid w:val="00F62A42"/>
    <w:rsid w:val="00F64AC8"/>
    <w:rsid w:val="00F64E16"/>
    <w:rsid w:val="00F650BC"/>
    <w:rsid w:val="00F66A59"/>
    <w:rsid w:val="00F74E0E"/>
    <w:rsid w:val="00F81395"/>
    <w:rsid w:val="00F8161E"/>
    <w:rsid w:val="00F81BB8"/>
    <w:rsid w:val="00F90C64"/>
    <w:rsid w:val="00F917D1"/>
    <w:rsid w:val="00F958C7"/>
    <w:rsid w:val="00F9653B"/>
    <w:rsid w:val="00FA43B8"/>
    <w:rsid w:val="00FA6CC8"/>
    <w:rsid w:val="00FB1B77"/>
    <w:rsid w:val="00FB62CF"/>
    <w:rsid w:val="00FC4F42"/>
    <w:rsid w:val="00FC7266"/>
    <w:rsid w:val="00FD295E"/>
    <w:rsid w:val="00FD3C3B"/>
    <w:rsid w:val="00FE07DD"/>
    <w:rsid w:val="00FE2F0C"/>
    <w:rsid w:val="00FE6B45"/>
    <w:rsid w:val="00FF55F3"/>
    <w:rsid w:val="00FF5851"/>
    <w:rsid w:val="00FF6DE1"/>
    <w:rsid w:val="00FF7B79"/>
    <w:rsid w:val="0A93603A"/>
    <w:rsid w:val="497E36F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CE0CB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7E1E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7E1E29"/>
    <w:rPr>
      <w:sz w:val="16"/>
      <w:szCs w:val="16"/>
    </w:rPr>
  </w:style>
  <w:style w:type="paragraph" w:styleId="CommentText">
    <w:name w:val="annotation text"/>
    <w:basedOn w:val="Normal"/>
    <w:link w:val="CommentTextChar"/>
    <w:uiPriority w:val="99"/>
    <w:unhideWhenUsed/>
    <w:rsid w:val="007E1E29"/>
    <w:rPr>
      <w:sz w:val="20"/>
      <w:szCs w:val="20"/>
    </w:rPr>
  </w:style>
  <w:style w:type="character" w:customStyle="1" w:styleId="CommentTextChar">
    <w:name w:val="Comment Text Char"/>
    <w:basedOn w:val="DefaultParagraphFont"/>
    <w:link w:val="CommentText"/>
    <w:uiPriority w:val="99"/>
    <w:rsid w:val="007E1E29"/>
    <w:rPr>
      <w:lang w:val="en-US" w:eastAsia="en-US"/>
    </w:rPr>
  </w:style>
  <w:style w:type="paragraph" w:styleId="CommentSubject">
    <w:name w:val="annotation subject"/>
    <w:basedOn w:val="CommentText"/>
    <w:next w:val="CommentText"/>
    <w:link w:val="CommentSubjectChar"/>
    <w:uiPriority w:val="99"/>
    <w:semiHidden/>
    <w:unhideWhenUsed/>
    <w:rsid w:val="007E1E29"/>
    <w:rPr>
      <w:b/>
      <w:bCs/>
    </w:rPr>
  </w:style>
  <w:style w:type="character" w:customStyle="1" w:styleId="CommentSubjectChar">
    <w:name w:val="Comment Subject Char"/>
    <w:basedOn w:val="CommentTextChar"/>
    <w:link w:val="CommentSubject"/>
    <w:uiPriority w:val="99"/>
    <w:semiHidden/>
    <w:rsid w:val="007E1E29"/>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
    <w:basedOn w:val="DefaultParagraphFont"/>
    <w:link w:val="ListParagraph"/>
    <w:uiPriority w:val="34"/>
    <w:rsid w:val="0006030A"/>
    <w:rPr>
      <w:rFonts w:ascii="Cambria" w:eastAsia="Cambria" w:hAnsi="Cambria" w:cs="Cambria"/>
      <w:color w:val="000000"/>
      <w:sz w:val="24"/>
      <w:szCs w:val="24"/>
      <w:u w:color="000000"/>
      <w:lang w:val="en-US"/>
    </w:rPr>
  </w:style>
  <w:style w:type="paragraph" w:customStyle="1" w:styleId="paragraph">
    <w:name w:val="paragraph"/>
    <w:basedOn w:val="Normal"/>
    <w:rsid w:val="008240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240DA"/>
  </w:style>
  <w:style w:type="character" w:customStyle="1" w:styleId="eop">
    <w:name w:val="eop"/>
    <w:basedOn w:val="DefaultParagraphFont"/>
    <w:rsid w:val="0082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46884">
      <w:bodyDiv w:val="1"/>
      <w:marLeft w:val="0"/>
      <w:marRight w:val="0"/>
      <w:marTop w:val="0"/>
      <w:marBottom w:val="0"/>
      <w:divBdr>
        <w:top w:val="none" w:sz="0" w:space="0" w:color="auto"/>
        <w:left w:val="none" w:sz="0" w:space="0" w:color="auto"/>
        <w:bottom w:val="none" w:sz="0" w:space="0" w:color="auto"/>
        <w:right w:val="none" w:sz="0" w:space="0" w:color="auto"/>
      </w:divBdr>
    </w:div>
    <w:div w:id="261114938">
      <w:bodyDiv w:val="1"/>
      <w:marLeft w:val="0"/>
      <w:marRight w:val="0"/>
      <w:marTop w:val="0"/>
      <w:marBottom w:val="0"/>
      <w:divBdr>
        <w:top w:val="none" w:sz="0" w:space="0" w:color="auto"/>
        <w:left w:val="none" w:sz="0" w:space="0" w:color="auto"/>
        <w:bottom w:val="none" w:sz="0" w:space="0" w:color="auto"/>
        <w:right w:val="none" w:sz="0" w:space="0" w:color="auto"/>
      </w:divBdr>
    </w:div>
    <w:div w:id="584413264">
      <w:bodyDiv w:val="1"/>
      <w:marLeft w:val="0"/>
      <w:marRight w:val="0"/>
      <w:marTop w:val="0"/>
      <w:marBottom w:val="0"/>
      <w:divBdr>
        <w:top w:val="none" w:sz="0" w:space="0" w:color="auto"/>
        <w:left w:val="none" w:sz="0" w:space="0" w:color="auto"/>
        <w:bottom w:val="none" w:sz="0" w:space="0" w:color="auto"/>
        <w:right w:val="none" w:sz="0" w:space="0" w:color="auto"/>
      </w:divBdr>
    </w:div>
    <w:div w:id="831798556">
      <w:bodyDiv w:val="1"/>
      <w:marLeft w:val="0"/>
      <w:marRight w:val="0"/>
      <w:marTop w:val="0"/>
      <w:marBottom w:val="0"/>
      <w:divBdr>
        <w:top w:val="none" w:sz="0" w:space="0" w:color="auto"/>
        <w:left w:val="none" w:sz="0" w:space="0" w:color="auto"/>
        <w:bottom w:val="none" w:sz="0" w:space="0" w:color="auto"/>
        <w:right w:val="none" w:sz="0" w:space="0" w:color="auto"/>
      </w:divBdr>
    </w:div>
    <w:div w:id="855580330">
      <w:bodyDiv w:val="1"/>
      <w:marLeft w:val="0"/>
      <w:marRight w:val="0"/>
      <w:marTop w:val="0"/>
      <w:marBottom w:val="0"/>
      <w:divBdr>
        <w:top w:val="none" w:sz="0" w:space="0" w:color="auto"/>
        <w:left w:val="none" w:sz="0" w:space="0" w:color="auto"/>
        <w:bottom w:val="none" w:sz="0" w:space="0" w:color="auto"/>
        <w:right w:val="none" w:sz="0" w:space="0" w:color="auto"/>
      </w:divBdr>
    </w:div>
    <w:div w:id="925192742">
      <w:bodyDiv w:val="1"/>
      <w:marLeft w:val="0"/>
      <w:marRight w:val="0"/>
      <w:marTop w:val="0"/>
      <w:marBottom w:val="0"/>
      <w:divBdr>
        <w:top w:val="none" w:sz="0" w:space="0" w:color="auto"/>
        <w:left w:val="none" w:sz="0" w:space="0" w:color="auto"/>
        <w:bottom w:val="none" w:sz="0" w:space="0" w:color="auto"/>
        <w:right w:val="none" w:sz="0" w:space="0" w:color="auto"/>
      </w:divBdr>
    </w:div>
    <w:div w:id="972255485">
      <w:bodyDiv w:val="1"/>
      <w:marLeft w:val="0"/>
      <w:marRight w:val="0"/>
      <w:marTop w:val="0"/>
      <w:marBottom w:val="0"/>
      <w:divBdr>
        <w:top w:val="none" w:sz="0" w:space="0" w:color="auto"/>
        <w:left w:val="none" w:sz="0" w:space="0" w:color="auto"/>
        <w:bottom w:val="none" w:sz="0" w:space="0" w:color="auto"/>
        <w:right w:val="none" w:sz="0" w:space="0" w:color="auto"/>
      </w:divBdr>
    </w:div>
    <w:div w:id="1026057610">
      <w:bodyDiv w:val="1"/>
      <w:marLeft w:val="0"/>
      <w:marRight w:val="0"/>
      <w:marTop w:val="0"/>
      <w:marBottom w:val="0"/>
      <w:divBdr>
        <w:top w:val="none" w:sz="0" w:space="0" w:color="auto"/>
        <w:left w:val="none" w:sz="0" w:space="0" w:color="auto"/>
        <w:bottom w:val="none" w:sz="0" w:space="0" w:color="auto"/>
        <w:right w:val="none" w:sz="0" w:space="0" w:color="auto"/>
      </w:divBdr>
    </w:div>
    <w:div w:id="1064597596">
      <w:bodyDiv w:val="1"/>
      <w:marLeft w:val="0"/>
      <w:marRight w:val="0"/>
      <w:marTop w:val="0"/>
      <w:marBottom w:val="0"/>
      <w:divBdr>
        <w:top w:val="none" w:sz="0" w:space="0" w:color="auto"/>
        <w:left w:val="none" w:sz="0" w:space="0" w:color="auto"/>
        <w:bottom w:val="none" w:sz="0" w:space="0" w:color="auto"/>
        <w:right w:val="none" w:sz="0" w:space="0" w:color="auto"/>
      </w:divBdr>
    </w:div>
    <w:div w:id="113988649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40240390">
      <w:bodyDiv w:val="1"/>
      <w:marLeft w:val="0"/>
      <w:marRight w:val="0"/>
      <w:marTop w:val="0"/>
      <w:marBottom w:val="0"/>
      <w:divBdr>
        <w:top w:val="none" w:sz="0" w:space="0" w:color="auto"/>
        <w:left w:val="none" w:sz="0" w:space="0" w:color="auto"/>
        <w:bottom w:val="none" w:sz="0" w:space="0" w:color="auto"/>
        <w:right w:val="none" w:sz="0" w:space="0" w:color="auto"/>
      </w:divBdr>
    </w:div>
    <w:div w:id="174155961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71034114">
      <w:bodyDiv w:val="1"/>
      <w:marLeft w:val="0"/>
      <w:marRight w:val="0"/>
      <w:marTop w:val="0"/>
      <w:marBottom w:val="0"/>
      <w:divBdr>
        <w:top w:val="none" w:sz="0" w:space="0" w:color="auto"/>
        <w:left w:val="none" w:sz="0" w:space="0" w:color="auto"/>
        <w:bottom w:val="none" w:sz="0" w:space="0" w:color="auto"/>
        <w:right w:val="none" w:sz="0" w:space="0" w:color="auto"/>
      </w:divBdr>
    </w:div>
    <w:div w:id="2084915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C26FB"/>
    <w:rsid w:val="000F3152"/>
    <w:rsid w:val="00115016"/>
    <w:rsid w:val="00117788"/>
    <w:rsid w:val="00136030"/>
    <w:rsid w:val="00154EBC"/>
    <w:rsid w:val="001B36C9"/>
    <w:rsid w:val="001B68CE"/>
    <w:rsid w:val="001C0C17"/>
    <w:rsid w:val="00200821"/>
    <w:rsid w:val="00201CE6"/>
    <w:rsid w:val="002472CB"/>
    <w:rsid w:val="0025245B"/>
    <w:rsid w:val="002A3923"/>
    <w:rsid w:val="002D7D34"/>
    <w:rsid w:val="002E1872"/>
    <w:rsid w:val="00303AF0"/>
    <w:rsid w:val="00394049"/>
    <w:rsid w:val="003B1BB9"/>
    <w:rsid w:val="003E13BA"/>
    <w:rsid w:val="003E4EFC"/>
    <w:rsid w:val="003E6CD9"/>
    <w:rsid w:val="003F0609"/>
    <w:rsid w:val="00432219"/>
    <w:rsid w:val="004B5BBB"/>
    <w:rsid w:val="004D23C1"/>
    <w:rsid w:val="004D3A56"/>
    <w:rsid w:val="004F2DF8"/>
    <w:rsid w:val="00567DC4"/>
    <w:rsid w:val="00593C70"/>
    <w:rsid w:val="006437D0"/>
    <w:rsid w:val="00680817"/>
    <w:rsid w:val="006C3D8C"/>
    <w:rsid w:val="006F24A1"/>
    <w:rsid w:val="0073088B"/>
    <w:rsid w:val="007D5E10"/>
    <w:rsid w:val="00821930"/>
    <w:rsid w:val="00873A89"/>
    <w:rsid w:val="008A346D"/>
    <w:rsid w:val="00913399"/>
    <w:rsid w:val="009A261B"/>
    <w:rsid w:val="009C2E30"/>
    <w:rsid w:val="009C3CB6"/>
    <w:rsid w:val="00A02E9A"/>
    <w:rsid w:val="00A4418E"/>
    <w:rsid w:val="00A46529"/>
    <w:rsid w:val="00AA2E17"/>
    <w:rsid w:val="00AC15A4"/>
    <w:rsid w:val="00AC3D43"/>
    <w:rsid w:val="00B0336C"/>
    <w:rsid w:val="00B30277"/>
    <w:rsid w:val="00BA2B9D"/>
    <w:rsid w:val="00BA71E6"/>
    <w:rsid w:val="00BD567F"/>
    <w:rsid w:val="00C0433E"/>
    <w:rsid w:val="00C709A4"/>
    <w:rsid w:val="00D04817"/>
    <w:rsid w:val="00D241E9"/>
    <w:rsid w:val="00D7750D"/>
    <w:rsid w:val="00DA431A"/>
    <w:rsid w:val="00E87EFA"/>
    <w:rsid w:val="00EF23E0"/>
    <w:rsid w:val="00F00D2F"/>
    <w:rsid w:val="00F051F7"/>
    <w:rsid w:val="00F128DF"/>
    <w:rsid w:val="00F64AC8"/>
    <w:rsid w:val="00FE2F0C"/>
    <w:rsid w:val="00FF69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BEE59057-6436-4835-8A8B-C3C55B07620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1299797C-8BB0-4124-B966-E4ECA66FE403}">
  <ds:schemaRefs>
    <ds:schemaRef ds:uri="http://schemas.microsoft.com/sharepoint/v3/contenttype/forms"/>
  </ds:schemaRefs>
</ds:datastoreItem>
</file>

<file path=customXml/itemProps4.xml><?xml version="1.0" encoding="utf-8"?>
<ds:datastoreItem xmlns:ds="http://schemas.openxmlformats.org/officeDocument/2006/customXml" ds:itemID="{CD36193B-7D5B-493D-B418-3AB071A9B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4315</Words>
  <Characters>24596</Characters>
  <Application>Microsoft Office Word</Application>
  <DocSecurity>0</DocSecurity>
  <Lines>204</Lines>
  <Paragraphs>57</Paragraphs>
  <ScaleCrop>false</ScaleCrop>
  <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2025-07-14T18:22:00Z</dcterms:created>
  <dcterms:modified xsi:type="dcterms:W3CDTF">2025-07-14T18:22:00Z</dcterms:modified>
</cp:coreProperties>
</file>