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17D8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078C2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05D9">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62675E8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4B12F1">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A56C7F">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387DB6">
                              <w:rPr>
                                <w:rFonts w:asciiTheme="majorHAnsi" w:hAnsiTheme="majorHAnsi" w:cs="Arial"/>
                                <w:b/>
                                <w:color w:val="0D0D0D" w:themeColor="text1" w:themeTint="F2"/>
                                <w:sz w:val="36"/>
                                <w:szCs w:val="22"/>
                                <w:lang w:val="es-ES_tradnl"/>
                              </w:rPr>
                              <w:t>1551-15</w:t>
                            </w:r>
                            <w:r w:rsidR="00A56C7F">
                              <w:rPr>
                                <w:rFonts w:asciiTheme="majorHAnsi" w:hAnsiTheme="majorHAnsi" w:cs="Arial"/>
                                <w:b/>
                                <w:color w:val="0D0D0D" w:themeColor="text1" w:themeTint="F2"/>
                                <w:sz w:val="36"/>
                                <w:szCs w:val="22"/>
                                <w:lang w:val="es-ES_tradnl"/>
                              </w:rPr>
                              <w:t xml:space="preserve"> Y 2061-16</w:t>
                            </w:r>
                          </w:p>
                          <w:p w14:paraId="188B4303" w14:textId="0A79EC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11226DD" w14:textId="77777777" w:rsidR="00044779" w:rsidRDefault="00387DB6" w:rsidP="00997BC5">
                            <w:pPr>
                              <w:spacing w:line="276" w:lineRule="auto"/>
                              <w:rPr>
                                <w:rFonts w:asciiTheme="majorHAnsi" w:hAnsiTheme="majorHAnsi" w:cs="Arial"/>
                                <w:color w:val="0D0D0D" w:themeColor="text1" w:themeTint="F2"/>
                                <w:szCs w:val="22"/>
                                <w:lang w:val="es-CO"/>
                              </w:rPr>
                            </w:pPr>
                            <w:r w:rsidRPr="00A56C7F">
                              <w:rPr>
                                <w:rFonts w:asciiTheme="majorHAnsi" w:hAnsiTheme="majorHAnsi" w:cs="Arial"/>
                                <w:color w:val="0D0D0D" w:themeColor="text1" w:themeTint="F2"/>
                                <w:szCs w:val="22"/>
                                <w:lang w:val="es-CO"/>
                              </w:rPr>
                              <w:t>RUBEN DARÍO CARVAJAL HERNÁNDEZ</w:t>
                            </w:r>
                            <w:r w:rsidR="00A56C7F" w:rsidRPr="00A56C7F">
                              <w:rPr>
                                <w:rFonts w:asciiTheme="majorHAnsi" w:hAnsiTheme="majorHAnsi" w:cs="Arial"/>
                                <w:color w:val="0D0D0D" w:themeColor="text1" w:themeTint="F2"/>
                                <w:szCs w:val="22"/>
                                <w:lang w:val="es-CO"/>
                              </w:rPr>
                              <w:t xml:space="preserve"> </w:t>
                            </w:r>
                          </w:p>
                          <w:p w14:paraId="768F8782" w14:textId="522A0517" w:rsidR="005B52B0" w:rsidRPr="00A56C7F" w:rsidRDefault="00A56C7F" w:rsidP="00997BC5">
                            <w:pPr>
                              <w:spacing w:line="276" w:lineRule="auto"/>
                              <w:rPr>
                                <w:rFonts w:asciiTheme="majorHAnsi" w:hAnsiTheme="majorHAnsi" w:cs="Arial"/>
                                <w:color w:val="0D0D0D" w:themeColor="text1" w:themeTint="F2"/>
                                <w:szCs w:val="22"/>
                                <w:lang w:val="es-CO"/>
                              </w:rPr>
                            </w:pPr>
                            <w:r w:rsidRPr="00A56C7F">
                              <w:rPr>
                                <w:rFonts w:asciiTheme="majorHAnsi" w:hAnsiTheme="majorHAnsi" w:cs="Arial"/>
                                <w:color w:val="0D0D0D" w:themeColor="text1" w:themeTint="F2"/>
                                <w:szCs w:val="22"/>
                                <w:lang w:val="es-CO"/>
                              </w:rPr>
                              <w:t>Y</w:t>
                            </w:r>
                            <w:r>
                              <w:rPr>
                                <w:rFonts w:asciiTheme="majorHAnsi" w:hAnsiTheme="majorHAnsi" w:cs="Arial"/>
                                <w:color w:val="0D0D0D" w:themeColor="text1" w:themeTint="F2"/>
                                <w:szCs w:val="22"/>
                                <w:lang w:val="es-CO"/>
                              </w:rPr>
                              <w:t xml:space="preserve"> </w:t>
                            </w:r>
                            <w:r w:rsidR="00555946">
                              <w:rPr>
                                <w:rFonts w:asciiTheme="majorHAnsi" w:hAnsiTheme="majorHAnsi" w:cs="Arial"/>
                                <w:color w:val="0D0D0D" w:themeColor="text1" w:themeTint="F2"/>
                                <w:szCs w:val="22"/>
                                <w:lang w:val="es-CO"/>
                              </w:rPr>
                              <w:t>HOWARD DAVID MÉNDEZ BLANCO</w:t>
                            </w:r>
                          </w:p>
                          <w:bookmarkEnd w:id="0"/>
                          <w:p w14:paraId="0B9F7D22" w14:textId="7C380108" w:rsidR="005B52B0" w:rsidRPr="00F56ECB" w:rsidRDefault="00387DB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4078C25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05D9">
                        <w:rPr>
                          <w:rFonts w:asciiTheme="majorHAnsi" w:hAnsiTheme="majorHAnsi" w:cs="Arial"/>
                          <w:b/>
                          <w:bCs/>
                          <w:color w:val="0D0D0D" w:themeColor="text1" w:themeTint="F2"/>
                          <w:sz w:val="36"/>
                          <w:szCs w:val="22"/>
                          <w:lang w:val="es-ES_tradnl"/>
                        </w:rPr>
                        <w:t>150</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62675E8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4B12F1">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A56C7F">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387DB6">
                        <w:rPr>
                          <w:rFonts w:asciiTheme="majorHAnsi" w:hAnsiTheme="majorHAnsi" w:cs="Arial"/>
                          <w:b/>
                          <w:color w:val="0D0D0D" w:themeColor="text1" w:themeTint="F2"/>
                          <w:sz w:val="36"/>
                          <w:szCs w:val="22"/>
                          <w:lang w:val="es-ES_tradnl"/>
                        </w:rPr>
                        <w:t>1551-15</w:t>
                      </w:r>
                      <w:r w:rsidR="00A56C7F">
                        <w:rPr>
                          <w:rFonts w:asciiTheme="majorHAnsi" w:hAnsiTheme="majorHAnsi" w:cs="Arial"/>
                          <w:b/>
                          <w:color w:val="0D0D0D" w:themeColor="text1" w:themeTint="F2"/>
                          <w:sz w:val="36"/>
                          <w:szCs w:val="22"/>
                          <w:lang w:val="es-ES_tradnl"/>
                        </w:rPr>
                        <w:t xml:space="preserve"> Y 2061-16</w:t>
                      </w:r>
                    </w:p>
                    <w:p w14:paraId="188B4303" w14:textId="0A79EC5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11226DD" w14:textId="77777777" w:rsidR="00044779" w:rsidRDefault="00387DB6" w:rsidP="00997BC5">
                      <w:pPr>
                        <w:spacing w:line="276" w:lineRule="auto"/>
                        <w:rPr>
                          <w:rFonts w:asciiTheme="majorHAnsi" w:hAnsiTheme="majorHAnsi" w:cs="Arial"/>
                          <w:color w:val="0D0D0D" w:themeColor="text1" w:themeTint="F2"/>
                          <w:szCs w:val="22"/>
                          <w:lang w:val="es-CO"/>
                        </w:rPr>
                      </w:pPr>
                      <w:r w:rsidRPr="00A56C7F">
                        <w:rPr>
                          <w:rFonts w:asciiTheme="majorHAnsi" w:hAnsiTheme="majorHAnsi" w:cs="Arial"/>
                          <w:color w:val="0D0D0D" w:themeColor="text1" w:themeTint="F2"/>
                          <w:szCs w:val="22"/>
                          <w:lang w:val="es-CO"/>
                        </w:rPr>
                        <w:t>RUBEN DARÍO CARVAJAL HERNÁNDEZ</w:t>
                      </w:r>
                      <w:r w:rsidR="00A56C7F" w:rsidRPr="00A56C7F">
                        <w:rPr>
                          <w:rFonts w:asciiTheme="majorHAnsi" w:hAnsiTheme="majorHAnsi" w:cs="Arial"/>
                          <w:color w:val="0D0D0D" w:themeColor="text1" w:themeTint="F2"/>
                          <w:szCs w:val="22"/>
                          <w:lang w:val="es-CO"/>
                        </w:rPr>
                        <w:t xml:space="preserve"> </w:t>
                      </w:r>
                    </w:p>
                    <w:p w14:paraId="768F8782" w14:textId="522A0517" w:rsidR="005B52B0" w:rsidRPr="00A56C7F" w:rsidRDefault="00A56C7F" w:rsidP="00997BC5">
                      <w:pPr>
                        <w:spacing w:line="276" w:lineRule="auto"/>
                        <w:rPr>
                          <w:rFonts w:asciiTheme="majorHAnsi" w:hAnsiTheme="majorHAnsi" w:cs="Arial"/>
                          <w:color w:val="0D0D0D" w:themeColor="text1" w:themeTint="F2"/>
                          <w:szCs w:val="22"/>
                          <w:lang w:val="es-CO"/>
                        </w:rPr>
                      </w:pPr>
                      <w:r w:rsidRPr="00A56C7F">
                        <w:rPr>
                          <w:rFonts w:asciiTheme="majorHAnsi" w:hAnsiTheme="majorHAnsi" w:cs="Arial"/>
                          <w:color w:val="0D0D0D" w:themeColor="text1" w:themeTint="F2"/>
                          <w:szCs w:val="22"/>
                          <w:lang w:val="es-CO"/>
                        </w:rPr>
                        <w:t>Y</w:t>
                      </w:r>
                      <w:r>
                        <w:rPr>
                          <w:rFonts w:asciiTheme="majorHAnsi" w:hAnsiTheme="majorHAnsi" w:cs="Arial"/>
                          <w:color w:val="0D0D0D" w:themeColor="text1" w:themeTint="F2"/>
                          <w:szCs w:val="22"/>
                          <w:lang w:val="es-CO"/>
                        </w:rPr>
                        <w:t xml:space="preserve"> </w:t>
                      </w:r>
                      <w:r w:rsidR="00555946">
                        <w:rPr>
                          <w:rFonts w:asciiTheme="majorHAnsi" w:hAnsiTheme="majorHAnsi" w:cs="Arial"/>
                          <w:color w:val="0D0D0D" w:themeColor="text1" w:themeTint="F2"/>
                          <w:szCs w:val="22"/>
                          <w:lang w:val="es-CO"/>
                        </w:rPr>
                        <w:t>HOWARD DAVID MÉNDEZ BLANCO</w:t>
                      </w:r>
                    </w:p>
                    <w:bookmarkEnd w:id="1"/>
                    <w:p w14:paraId="0B9F7D22" w14:textId="7C380108" w:rsidR="005B52B0" w:rsidRPr="00F56ECB" w:rsidRDefault="00387DB6"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C3C6C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C3EEAF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905D9">
                              <w:rPr>
                                <w:rFonts w:asciiTheme="minorHAnsi" w:hAnsiTheme="minorHAnsi"/>
                                <w:color w:val="FFFFFF" w:themeColor="background1"/>
                                <w:sz w:val="22"/>
                                <w:lang w:val="pt-BR"/>
                              </w:rPr>
                              <w:t>161</w:t>
                            </w:r>
                          </w:p>
                          <w:p w14:paraId="4061DBBD" w14:textId="4FAE622D" w:rsidR="00627C9F" w:rsidRPr="00C72DD2" w:rsidRDefault="006905D9" w:rsidP="007A5817">
                            <w:pPr>
                              <w:spacing w:line="276" w:lineRule="auto"/>
                              <w:jc w:val="right"/>
                              <w:rPr>
                                <w:rFonts w:asciiTheme="minorHAnsi" w:hAnsiTheme="minorHAnsi"/>
                                <w:color w:val="FFFFFF" w:themeColor="background1"/>
                                <w:sz w:val="22"/>
                                <w:lang w:val="pt-BR"/>
                              </w:rPr>
                            </w:pPr>
                            <w:r w:rsidRPr="00C72DD2">
                              <w:rPr>
                                <w:rFonts w:asciiTheme="minorHAnsi" w:hAnsiTheme="minorHAnsi"/>
                                <w:color w:val="FFFFFF" w:themeColor="background1"/>
                                <w:sz w:val="22"/>
                                <w:lang w:val="pt-BR"/>
                              </w:rPr>
                              <w:t>17 agosto</w:t>
                            </w:r>
                            <w:r w:rsidR="00627C9F" w:rsidRPr="00C72DD2">
                              <w:rPr>
                                <w:rFonts w:asciiTheme="minorHAnsi" w:hAnsiTheme="minorHAnsi"/>
                                <w:color w:val="FFFFFF" w:themeColor="background1"/>
                                <w:sz w:val="22"/>
                                <w:lang w:val="pt-BR"/>
                              </w:rPr>
                              <w:t xml:space="preserve"> 20</w:t>
                            </w:r>
                            <w:r w:rsidR="00C23BA4" w:rsidRPr="00C72DD2">
                              <w:rPr>
                                <w:rFonts w:asciiTheme="minorHAnsi" w:hAnsiTheme="minorHAnsi"/>
                                <w:color w:val="FFFFFF" w:themeColor="background1"/>
                                <w:sz w:val="22"/>
                                <w:lang w:val="pt-BR"/>
                              </w:rPr>
                              <w:t>2</w:t>
                            </w:r>
                            <w:r w:rsidR="00477887" w:rsidRPr="00C72DD2">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3C3C6C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C3EEAF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905D9">
                        <w:rPr>
                          <w:rFonts w:asciiTheme="minorHAnsi" w:hAnsiTheme="minorHAnsi"/>
                          <w:color w:val="FFFFFF" w:themeColor="background1"/>
                          <w:sz w:val="22"/>
                          <w:lang w:val="pt-BR"/>
                        </w:rPr>
                        <w:t>161</w:t>
                      </w:r>
                    </w:p>
                    <w:p w14:paraId="4061DBBD" w14:textId="4FAE622D" w:rsidR="00627C9F" w:rsidRPr="00C72DD2" w:rsidRDefault="006905D9" w:rsidP="007A5817">
                      <w:pPr>
                        <w:spacing w:line="276" w:lineRule="auto"/>
                        <w:jc w:val="right"/>
                        <w:rPr>
                          <w:rFonts w:asciiTheme="minorHAnsi" w:hAnsiTheme="minorHAnsi"/>
                          <w:color w:val="FFFFFF" w:themeColor="background1"/>
                          <w:sz w:val="22"/>
                          <w:lang w:val="pt-BR"/>
                        </w:rPr>
                      </w:pPr>
                      <w:r w:rsidRPr="00C72DD2">
                        <w:rPr>
                          <w:rFonts w:asciiTheme="minorHAnsi" w:hAnsiTheme="minorHAnsi"/>
                          <w:color w:val="FFFFFF" w:themeColor="background1"/>
                          <w:sz w:val="22"/>
                          <w:lang w:val="pt-BR"/>
                        </w:rPr>
                        <w:t>17 agosto</w:t>
                      </w:r>
                      <w:r w:rsidR="00627C9F" w:rsidRPr="00C72DD2">
                        <w:rPr>
                          <w:rFonts w:asciiTheme="minorHAnsi" w:hAnsiTheme="minorHAnsi"/>
                          <w:color w:val="FFFFFF" w:themeColor="background1"/>
                          <w:sz w:val="22"/>
                          <w:lang w:val="pt-BR"/>
                        </w:rPr>
                        <w:t xml:space="preserve"> 20</w:t>
                      </w:r>
                      <w:r w:rsidR="00C23BA4" w:rsidRPr="00C72DD2">
                        <w:rPr>
                          <w:rFonts w:asciiTheme="minorHAnsi" w:hAnsiTheme="minorHAnsi"/>
                          <w:color w:val="FFFFFF" w:themeColor="background1"/>
                          <w:sz w:val="22"/>
                          <w:lang w:val="pt-BR"/>
                        </w:rPr>
                        <w:t>2</w:t>
                      </w:r>
                      <w:r w:rsidR="00477887" w:rsidRPr="00C72DD2">
                        <w:rPr>
                          <w:rFonts w:asciiTheme="minorHAnsi" w:hAnsiTheme="minorHAnsi"/>
                          <w:color w:val="FFFFFF" w:themeColor="background1"/>
                          <w:sz w:val="22"/>
                          <w:lang w:val="pt-BR"/>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8F8D6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441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7441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2744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8F8D6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74415">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74415">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27441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AF5C7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415" w:rsidRPr="00274415">
                              <w:rPr>
                                <w:rFonts w:asciiTheme="majorHAnsi" w:hAnsiTheme="majorHAnsi"/>
                                <w:color w:val="595959" w:themeColor="text1" w:themeTint="A6"/>
                                <w:sz w:val="18"/>
                                <w:szCs w:val="18"/>
                                <w:lang w:val="pt-BR"/>
                              </w:rPr>
                              <w:t>150</w:t>
                            </w:r>
                            <w:r w:rsidR="007B05C4" w:rsidRPr="00274415">
                              <w:rPr>
                                <w:rFonts w:asciiTheme="majorHAnsi" w:hAnsiTheme="majorHAnsi"/>
                                <w:color w:val="595959" w:themeColor="text1" w:themeTint="A6"/>
                                <w:sz w:val="18"/>
                                <w:szCs w:val="18"/>
                                <w:lang w:val="pt-BR"/>
                              </w:rPr>
                              <w:t>/</w:t>
                            </w:r>
                            <w:r w:rsidR="00274415" w:rsidRPr="00274415">
                              <w:rPr>
                                <w:rFonts w:asciiTheme="majorHAnsi" w:hAnsiTheme="majorHAnsi"/>
                                <w:color w:val="595959" w:themeColor="text1" w:themeTint="A6"/>
                                <w:sz w:val="18"/>
                                <w:szCs w:val="18"/>
                                <w:lang w:val="pt-BR"/>
                              </w:rPr>
                              <w:t>25</w:t>
                            </w:r>
                            <w:r w:rsidRPr="0027441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74415">
                              <w:rPr>
                                <w:rFonts w:asciiTheme="majorHAnsi" w:hAnsiTheme="majorHAnsi"/>
                                <w:color w:val="595959" w:themeColor="text1" w:themeTint="A6"/>
                                <w:sz w:val="18"/>
                                <w:szCs w:val="18"/>
                                <w:lang w:val="es-ES"/>
                              </w:rPr>
                              <w:t>1551</w:t>
                            </w:r>
                            <w:r w:rsidR="000433C9">
                              <w:rPr>
                                <w:rFonts w:asciiTheme="majorHAnsi" w:hAnsiTheme="majorHAnsi"/>
                                <w:color w:val="595959" w:themeColor="text1" w:themeTint="A6"/>
                                <w:sz w:val="18"/>
                                <w:szCs w:val="18"/>
                                <w:lang w:val="es-ES"/>
                              </w:rPr>
                              <w:t>-</w:t>
                            </w:r>
                            <w:r w:rsidR="00274415">
                              <w:rPr>
                                <w:rFonts w:asciiTheme="majorHAnsi" w:hAnsiTheme="majorHAnsi"/>
                                <w:color w:val="595959" w:themeColor="text1" w:themeTint="A6"/>
                                <w:sz w:val="18"/>
                                <w:szCs w:val="18"/>
                                <w:lang w:val="es-ES"/>
                              </w:rPr>
                              <w:t>15 y 2061</w:t>
                            </w:r>
                            <w:r w:rsidR="00102888">
                              <w:rPr>
                                <w:rFonts w:asciiTheme="majorHAnsi" w:hAnsiTheme="majorHAnsi"/>
                                <w:color w:val="595959" w:themeColor="text1" w:themeTint="A6"/>
                                <w:sz w:val="18"/>
                                <w:szCs w:val="18"/>
                                <w:lang w:val="es-ES"/>
                              </w:rPr>
                              <w:t xml:space="preserve">-16, </w:t>
                            </w:r>
                            <w:r w:rsidRPr="00890650">
                              <w:rPr>
                                <w:rFonts w:asciiTheme="majorHAnsi" w:hAnsiTheme="majorHAnsi"/>
                                <w:color w:val="595959" w:themeColor="text1" w:themeTint="A6"/>
                                <w:sz w:val="18"/>
                                <w:szCs w:val="18"/>
                                <w:lang w:val="es-ES_tradnl"/>
                              </w:rPr>
                              <w:t xml:space="preserve">Admisibilidad. </w:t>
                            </w:r>
                            <w:r w:rsidR="00102888">
                              <w:rPr>
                                <w:rFonts w:asciiTheme="majorHAnsi" w:hAnsiTheme="majorHAnsi"/>
                                <w:color w:val="595959" w:themeColor="text1" w:themeTint="A6"/>
                                <w:sz w:val="18"/>
                                <w:szCs w:val="18"/>
                                <w:lang w:val="es-ES_tradnl"/>
                              </w:rPr>
                              <w:t>Ruben Dar</w:t>
                            </w:r>
                            <w:r w:rsidR="00102888" w:rsidRPr="007B014D">
                              <w:rPr>
                                <w:rFonts w:asciiTheme="majorHAnsi" w:hAnsiTheme="majorHAnsi"/>
                                <w:color w:val="595959" w:themeColor="text1" w:themeTint="A6"/>
                                <w:sz w:val="18"/>
                                <w:szCs w:val="18"/>
                                <w:lang w:val="es-ES"/>
                              </w:rPr>
                              <w:t>ío</w:t>
                            </w:r>
                            <w:r w:rsidR="007B014D" w:rsidRPr="007B014D">
                              <w:rPr>
                                <w:rFonts w:asciiTheme="majorHAnsi" w:hAnsiTheme="majorHAnsi"/>
                                <w:color w:val="595959" w:themeColor="text1" w:themeTint="A6"/>
                                <w:sz w:val="18"/>
                                <w:szCs w:val="18"/>
                                <w:lang w:val="es-ES"/>
                              </w:rPr>
                              <w:t xml:space="preserve"> Carvajal Hernández y Howard David Méndez Blanco</w:t>
                            </w:r>
                            <w:r w:rsidRPr="00890650">
                              <w:rPr>
                                <w:rFonts w:asciiTheme="majorHAnsi" w:hAnsiTheme="majorHAnsi"/>
                                <w:color w:val="595959" w:themeColor="text1" w:themeTint="A6"/>
                                <w:sz w:val="18"/>
                                <w:szCs w:val="18"/>
                                <w:lang w:val="es-ES_tradnl"/>
                              </w:rPr>
                              <w:t xml:space="preserve">. </w:t>
                            </w:r>
                            <w:r w:rsidR="007B014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B014D">
                              <w:rPr>
                                <w:rFonts w:asciiTheme="majorHAnsi" w:hAnsiTheme="majorHAnsi"/>
                                <w:color w:val="595959" w:themeColor="text1" w:themeTint="A6"/>
                                <w:sz w:val="18"/>
                                <w:szCs w:val="18"/>
                                <w:lang w:val="es-ES"/>
                              </w:rPr>
                              <w:t>17 de agosto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AF5C7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415" w:rsidRPr="00274415">
                        <w:rPr>
                          <w:rFonts w:asciiTheme="majorHAnsi" w:hAnsiTheme="majorHAnsi"/>
                          <w:color w:val="595959" w:themeColor="text1" w:themeTint="A6"/>
                          <w:sz w:val="18"/>
                          <w:szCs w:val="18"/>
                          <w:lang w:val="pt-BR"/>
                        </w:rPr>
                        <w:t>150</w:t>
                      </w:r>
                      <w:r w:rsidR="007B05C4" w:rsidRPr="00274415">
                        <w:rPr>
                          <w:rFonts w:asciiTheme="majorHAnsi" w:hAnsiTheme="majorHAnsi"/>
                          <w:color w:val="595959" w:themeColor="text1" w:themeTint="A6"/>
                          <w:sz w:val="18"/>
                          <w:szCs w:val="18"/>
                          <w:lang w:val="pt-BR"/>
                        </w:rPr>
                        <w:t>/</w:t>
                      </w:r>
                      <w:r w:rsidR="00274415" w:rsidRPr="00274415">
                        <w:rPr>
                          <w:rFonts w:asciiTheme="majorHAnsi" w:hAnsiTheme="majorHAnsi"/>
                          <w:color w:val="595959" w:themeColor="text1" w:themeTint="A6"/>
                          <w:sz w:val="18"/>
                          <w:szCs w:val="18"/>
                          <w:lang w:val="pt-BR"/>
                        </w:rPr>
                        <w:t>25</w:t>
                      </w:r>
                      <w:r w:rsidRPr="0027441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74415">
                        <w:rPr>
                          <w:rFonts w:asciiTheme="majorHAnsi" w:hAnsiTheme="majorHAnsi"/>
                          <w:color w:val="595959" w:themeColor="text1" w:themeTint="A6"/>
                          <w:sz w:val="18"/>
                          <w:szCs w:val="18"/>
                          <w:lang w:val="es-ES"/>
                        </w:rPr>
                        <w:t>1551</w:t>
                      </w:r>
                      <w:r w:rsidR="000433C9">
                        <w:rPr>
                          <w:rFonts w:asciiTheme="majorHAnsi" w:hAnsiTheme="majorHAnsi"/>
                          <w:color w:val="595959" w:themeColor="text1" w:themeTint="A6"/>
                          <w:sz w:val="18"/>
                          <w:szCs w:val="18"/>
                          <w:lang w:val="es-ES"/>
                        </w:rPr>
                        <w:t>-</w:t>
                      </w:r>
                      <w:r w:rsidR="00274415">
                        <w:rPr>
                          <w:rFonts w:asciiTheme="majorHAnsi" w:hAnsiTheme="majorHAnsi"/>
                          <w:color w:val="595959" w:themeColor="text1" w:themeTint="A6"/>
                          <w:sz w:val="18"/>
                          <w:szCs w:val="18"/>
                          <w:lang w:val="es-ES"/>
                        </w:rPr>
                        <w:t>15 y 2061</w:t>
                      </w:r>
                      <w:r w:rsidR="00102888">
                        <w:rPr>
                          <w:rFonts w:asciiTheme="majorHAnsi" w:hAnsiTheme="majorHAnsi"/>
                          <w:color w:val="595959" w:themeColor="text1" w:themeTint="A6"/>
                          <w:sz w:val="18"/>
                          <w:szCs w:val="18"/>
                          <w:lang w:val="es-ES"/>
                        </w:rPr>
                        <w:t xml:space="preserve">-16, </w:t>
                      </w:r>
                      <w:r w:rsidRPr="00890650">
                        <w:rPr>
                          <w:rFonts w:asciiTheme="majorHAnsi" w:hAnsiTheme="majorHAnsi"/>
                          <w:color w:val="595959" w:themeColor="text1" w:themeTint="A6"/>
                          <w:sz w:val="18"/>
                          <w:szCs w:val="18"/>
                          <w:lang w:val="es-ES_tradnl"/>
                        </w:rPr>
                        <w:t xml:space="preserve">Admisibilidad. </w:t>
                      </w:r>
                      <w:r w:rsidR="00102888">
                        <w:rPr>
                          <w:rFonts w:asciiTheme="majorHAnsi" w:hAnsiTheme="majorHAnsi"/>
                          <w:color w:val="595959" w:themeColor="text1" w:themeTint="A6"/>
                          <w:sz w:val="18"/>
                          <w:szCs w:val="18"/>
                          <w:lang w:val="es-ES_tradnl"/>
                        </w:rPr>
                        <w:t>Ruben Dar</w:t>
                      </w:r>
                      <w:r w:rsidR="00102888" w:rsidRPr="007B014D">
                        <w:rPr>
                          <w:rFonts w:asciiTheme="majorHAnsi" w:hAnsiTheme="majorHAnsi"/>
                          <w:color w:val="595959" w:themeColor="text1" w:themeTint="A6"/>
                          <w:sz w:val="18"/>
                          <w:szCs w:val="18"/>
                          <w:lang w:val="es-ES"/>
                        </w:rPr>
                        <w:t>ío</w:t>
                      </w:r>
                      <w:r w:rsidR="007B014D" w:rsidRPr="007B014D">
                        <w:rPr>
                          <w:rFonts w:asciiTheme="majorHAnsi" w:hAnsiTheme="majorHAnsi"/>
                          <w:color w:val="595959" w:themeColor="text1" w:themeTint="A6"/>
                          <w:sz w:val="18"/>
                          <w:szCs w:val="18"/>
                          <w:lang w:val="es-ES"/>
                        </w:rPr>
                        <w:t xml:space="preserve"> Carvajal Hernández y Howard David Méndez Blanco</w:t>
                      </w:r>
                      <w:r w:rsidRPr="00890650">
                        <w:rPr>
                          <w:rFonts w:asciiTheme="majorHAnsi" w:hAnsiTheme="majorHAnsi"/>
                          <w:color w:val="595959" w:themeColor="text1" w:themeTint="A6"/>
                          <w:sz w:val="18"/>
                          <w:szCs w:val="18"/>
                          <w:lang w:val="es-ES_tradnl"/>
                        </w:rPr>
                        <w:t xml:space="preserve">. </w:t>
                      </w:r>
                      <w:r w:rsidR="007B014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B014D">
                        <w:rPr>
                          <w:rFonts w:asciiTheme="majorHAnsi" w:hAnsiTheme="majorHAnsi"/>
                          <w:color w:val="595959" w:themeColor="text1" w:themeTint="A6"/>
                          <w:sz w:val="18"/>
                          <w:szCs w:val="18"/>
                          <w:lang w:val="es-ES"/>
                        </w:rPr>
                        <w:t>17 de agosto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B573870" w:rsidR="003239B8" w:rsidRPr="000D05CB" w:rsidRDefault="00E93E93" w:rsidP="008D2290">
            <w:pPr>
              <w:jc w:val="both"/>
              <w:rPr>
                <w:rFonts w:ascii="Cambria" w:hAnsi="Cambria"/>
                <w:bCs/>
                <w:sz w:val="20"/>
                <w:szCs w:val="20"/>
              </w:rPr>
            </w:pPr>
            <w:r>
              <w:rPr>
                <w:rFonts w:ascii="Cambria" w:hAnsi="Cambria"/>
                <w:bCs/>
                <w:sz w:val="20"/>
                <w:szCs w:val="20"/>
              </w:rPr>
              <w:t>A</w:t>
            </w:r>
            <w:r w:rsidRPr="00E93E93">
              <w:rPr>
                <w:rFonts w:ascii="Cambria" w:hAnsi="Cambria"/>
                <w:bCs/>
                <w:sz w:val="20"/>
                <w:szCs w:val="20"/>
              </w:rPr>
              <w:t>lejandro Aguirre Restrepo</w:t>
            </w:r>
            <w:r w:rsidR="00D07B4C">
              <w:rPr>
                <w:rStyle w:val="FootnoteReference"/>
                <w:rFonts w:ascii="Cambria" w:hAnsi="Cambria"/>
                <w:bCs/>
                <w:sz w:val="20"/>
                <w:szCs w:val="20"/>
              </w:rPr>
              <w:footnoteReference w:id="2"/>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A76F7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22B389E" w14:textId="77777777" w:rsidR="003239B8" w:rsidRDefault="002D73B1" w:rsidP="00E95DF4">
            <w:pPr>
              <w:jc w:val="both"/>
              <w:rPr>
                <w:rFonts w:ascii="Cambria" w:hAnsi="Cambria"/>
                <w:bCs/>
                <w:sz w:val="20"/>
                <w:szCs w:val="20"/>
              </w:rPr>
            </w:pPr>
            <w:r w:rsidRPr="00E95DF4">
              <w:rPr>
                <w:rFonts w:ascii="Cambria" w:hAnsi="Cambria"/>
                <w:b/>
                <w:sz w:val="20"/>
                <w:szCs w:val="20"/>
              </w:rPr>
              <w:t>1551-15:</w:t>
            </w:r>
            <w:r w:rsidR="00E95DF4">
              <w:rPr>
                <w:rFonts w:ascii="Cambria" w:hAnsi="Cambria"/>
                <w:bCs/>
                <w:sz w:val="20"/>
                <w:szCs w:val="20"/>
              </w:rPr>
              <w:t xml:space="preserve"> </w:t>
            </w:r>
            <w:r w:rsidR="00387DB6" w:rsidRPr="00387DB6">
              <w:rPr>
                <w:rFonts w:ascii="Cambria" w:hAnsi="Cambria"/>
                <w:bCs/>
                <w:sz w:val="20"/>
                <w:szCs w:val="20"/>
              </w:rPr>
              <w:t>Ruben Darío Carvajal Hernández</w:t>
            </w:r>
          </w:p>
          <w:p w14:paraId="143D44A8" w14:textId="3E502537" w:rsidR="00E95DF4" w:rsidRPr="00FA488F" w:rsidRDefault="00E95DF4" w:rsidP="00E95DF4">
            <w:pPr>
              <w:jc w:val="both"/>
              <w:rPr>
                <w:rFonts w:ascii="Cambria" w:hAnsi="Cambria"/>
                <w:bCs/>
                <w:sz w:val="20"/>
                <w:szCs w:val="20"/>
              </w:rPr>
            </w:pPr>
            <w:r w:rsidRPr="00E95DF4">
              <w:rPr>
                <w:rFonts w:ascii="Cambria" w:hAnsi="Cambria"/>
                <w:b/>
                <w:sz w:val="20"/>
                <w:szCs w:val="20"/>
              </w:rPr>
              <w:t>2061-16:</w:t>
            </w:r>
            <w:r>
              <w:rPr>
                <w:rFonts w:ascii="Cambria" w:hAnsi="Cambria"/>
                <w:bCs/>
                <w:sz w:val="20"/>
                <w:szCs w:val="20"/>
              </w:rPr>
              <w:t xml:space="preserve"> Howard David Méndez Blanco</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CC61FC9" w:rsidR="003239B8" w:rsidRPr="000D05CB" w:rsidRDefault="00387DB6"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8058B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9468A72" w:rsidR="00223A29" w:rsidRPr="00A91087" w:rsidRDefault="00A91087" w:rsidP="008D2290">
            <w:pPr>
              <w:jc w:val="both"/>
              <w:rPr>
                <w:rFonts w:ascii="Cambria" w:hAnsi="Cambria"/>
                <w:bCs/>
                <w:sz w:val="20"/>
                <w:szCs w:val="20"/>
                <w:lang w:val="es-CO"/>
              </w:rPr>
            </w:pPr>
            <w:r w:rsidRPr="002C6FBF">
              <w:rPr>
                <w:rFonts w:ascii="Cambria" w:hAnsi="Cambria"/>
                <w:bCs/>
                <w:sz w:val="20"/>
                <w:szCs w:val="20"/>
                <w:lang w:val="es-CO"/>
              </w:rPr>
              <w:t xml:space="preserve">Artículos 8 </w:t>
            </w:r>
            <w:r>
              <w:rPr>
                <w:rFonts w:ascii="Cambria" w:hAnsi="Cambria"/>
                <w:bCs/>
                <w:sz w:val="20"/>
                <w:szCs w:val="20"/>
                <w:lang w:val="es-CO"/>
              </w:rPr>
              <w:t xml:space="preserve">(garantías judiciales), </w:t>
            </w:r>
            <w:r w:rsidR="00A00F33">
              <w:rPr>
                <w:rFonts w:ascii="Cambria" w:hAnsi="Cambria"/>
                <w:bCs/>
                <w:sz w:val="20"/>
                <w:szCs w:val="20"/>
                <w:lang w:val="es-CO"/>
              </w:rPr>
              <w:t>11 (protección a la honra y dignidad), 24</w:t>
            </w:r>
            <w:r>
              <w:rPr>
                <w:rFonts w:ascii="Cambria" w:hAnsi="Cambria"/>
                <w:bCs/>
                <w:sz w:val="20"/>
                <w:szCs w:val="20"/>
                <w:lang w:val="es-CO"/>
              </w:rPr>
              <w:t xml:space="preserve"> (</w:t>
            </w:r>
            <w:r w:rsidR="00A00F33">
              <w:rPr>
                <w:rFonts w:ascii="Cambria" w:hAnsi="Cambria"/>
                <w:bCs/>
                <w:sz w:val="20"/>
                <w:szCs w:val="20"/>
                <w:lang w:val="es-CO"/>
              </w:rPr>
              <w:t>igualdad ante la ley</w:t>
            </w:r>
            <w:r>
              <w:rPr>
                <w:rFonts w:ascii="Cambria" w:hAnsi="Cambria"/>
                <w:bCs/>
                <w:sz w:val="20"/>
                <w:szCs w:val="20"/>
                <w:lang w:val="es-CO"/>
              </w:rPr>
              <w:t>)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xml:space="preserve">; </w:t>
            </w:r>
            <w:r w:rsidR="00961908">
              <w:rPr>
                <w:rFonts w:ascii="Cambria" w:hAnsi="Cambria"/>
                <w:bCs/>
                <w:sz w:val="20"/>
                <w:szCs w:val="20"/>
                <w:lang w:val="es-CO"/>
              </w:rPr>
              <w:t xml:space="preserve">artículos </w:t>
            </w:r>
            <w:r w:rsidR="00B229F5">
              <w:rPr>
                <w:rFonts w:ascii="Cambria" w:hAnsi="Cambria"/>
                <w:bCs/>
                <w:sz w:val="20"/>
                <w:szCs w:val="20"/>
                <w:lang w:val="es-CO"/>
              </w:rPr>
              <w:t>X</w:t>
            </w:r>
            <w:r w:rsidR="00961908">
              <w:rPr>
                <w:rFonts w:ascii="Cambria" w:hAnsi="Cambria"/>
                <w:bCs/>
                <w:sz w:val="20"/>
                <w:szCs w:val="20"/>
                <w:lang w:val="es-CO"/>
              </w:rPr>
              <w:t>I</w:t>
            </w:r>
            <w:r w:rsidR="00B229F5">
              <w:rPr>
                <w:rFonts w:ascii="Cambria" w:hAnsi="Cambria"/>
                <w:bCs/>
                <w:sz w:val="20"/>
                <w:szCs w:val="20"/>
                <w:lang w:val="es-CO"/>
              </w:rPr>
              <w:t>V y</w:t>
            </w:r>
            <w:r w:rsidR="00961908">
              <w:rPr>
                <w:rFonts w:ascii="Cambria" w:hAnsi="Cambria"/>
                <w:bCs/>
                <w:sz w:val="20"/>
                <w:szCs w:val="20"/>
                <w:lang w:val="es-CO"/>
              </w:rPr>
              <w:t xml:space="preserve"> </w:t>
            </w:r>
            <w:r w:rsidR="00B229F5">
              <w:rPr>
                <w:rFonts w:ascii="Cambria" w:hAnsi="Cambria"/>
                <w:bCs/>
                <w:sz w:val="20"/>
                <w:szCs w:val="20"/>
                <w:lang w:val="es-CO"/>
              </w:rPr>
              <w:t>X</w:t>
            </w:r>
            <w:r w:rsidR="00961908">
              <w:rPr>
                <w:rFonts w:ascii="Cambria" w:hAnsi="Cambria"/>
                <w:bCs/>
                <w:sz w:val="20"/>
                <w:szCs w:val="20"/>
                <w:lang w:val="es-CO"/>
              </w:rPr>
              <w:t>VIII de la Declaración Americana de los Derechos y Deberes del Hombre</w:t>
            </w:r>
            <w:r w:rsidR="00961908">
              <w:rPr>
                <w:rStyle w:val="FootnoteReference"/>
                <w:rFonts w:ascii="Cambria" w:hAnsi="Cambria"/>
                <w:bCs/>
                <w:sz w:val="20"/>
                <w:szCs w:val="20"/>
                <w:lang w:val="es-CO"/>
              </w:rPr>
              <w:footnoteReference w:id="5"/>
            </w:r>
            <w:r w:rsidR="00961908">
              <w:rPr>
                <w:rFonts w:ascii="Cambria" w:hAnsi="Cambria"/>
                <w:bCs/>
                <w:sz w:val="20"/>
                <w:szCs w:val="20"/>
                <w:lang w:val="es-CO"/>
              </w:rPr>
              <w:t xml:space="preserve">; </w:t>
            </w:r>
            <w:r w:rsidR="0051696A">
              <w:rPr>
                <w:rFonts w:ascii="Cambria" w:hAnsi="Cambria"/>
                <w:bCs/>
                <w:sz w:val="20"/>
                <w:szCs w:val="20"/>
                <w:lang w:val="es-CO"/>
              </w:rPr>
              <w:t>y otros tratados internacionales</w:t>
            </w:r>
            <w:r w:rsidR="0051696A">
              <w:rPr>
                <w:rStyle w:val="FootnoteReference"/>
                <w:rFonts w:ascii="Cambria" w:hAnsi="Cambria"/>
                <w:bCs/>
                <w:sz w:val="20"/>
                <w:szCs w:val="20"/>
                <w:lang w:val="es-CO"/>
              </w:rPr>
              <w:footnoteReference w:id="6"/>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8058BD"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298CD86" w14:textId="77777777" w:rsidR="004C2312" w:rsidRDefault="00E95DF4" w:rsidP="002625EA">
            <w:pPr>
              <w:jc w:val="both"/>
              <w:rPr>
                <w:rFonts w:ascii="Cambria" w:hAnsi="Cambria"/>
                <w:bCs/>
                <w:sz w:val="20"/>
                <w:szCs w:val="20"/>
                <w:lang w:val="es-ES"/>
              </w:rPr>
            </w:pPr>
            <w:r w:rsidRPr="005924C3">
              <w:rPr>
                <w:rFonts w:ascii="Cambria" w:hAnsi="Cambria"/>
                <w:b/>
                <w:sz w:val="20"/>
                <w:szCs w:val="20"/>
                <w:lang w:val="es-CO"/>
              </w:rPr>
              <w:t>1551-15:</w:t>
            </w:r>
            <w:r w:rsidRPr="005924C3">
              <w:rPr>
                <w:rFonts w:ascii="Cambria" w:hAnsi="Cambria"/>
                <w:bCs/>
                <w:sz w:val="20"/>
                <w:szCs w:val="20"/>
                <w:lang w:val="es-CO"/>
              </w:rPr>
              <w:t xml:space="preserve"> </w:t>
            </w:r>
            <w:r w:rsidR="00455259">
              <w:rPr>
                <w:rFonts w:ascii="Cambria" w:hAnsi="Cambria"/>
                <w:bCs/>
                <w:sz w:val="20"/>
                <w:szCs w:val="20"/>
                <w:lang w:val="es-ES"/>
              </w:rPr>
              <w:t>1° de octubre de 2015</w:t>
            </w:r>
          </w:p>
          <w:p w14:paraId="6883A5F8" w14:textId="0A26927F" w:rsidR="00E95DF4" w:rsidRPr="005924C3" w:rsidRDefault="00DD7D8E" w:rsidP="002625EA">
            <w:pPr>
              <w:jc w:val="both"/>
              <w:rPr>
                <w:rFonts w:ascii="Cambria" w:hAnsi="Cambria"/>
                <w:bCs/>
                <w:sz w:val="20"/>
                <w:szCs w:val="20"/>
                <w:lang w:val="es-CO"/>
              </w:rPr>
            </w:pPr>
            <w:r w:rsidRPr="005924C3">
              <w:rPr>
                <w:rFonts w:ascii="Cambria" w:hAnsi="Cambria"/>
                <w:b/>
                <w:sz w:val="20"/>
                <w:szCs w:val="20"/>
                <w:lang w:val="es-CO"/>
              </w:rPr>
              <w:t>2061-16:</w:t>
            </w:r>
            <w:r w:rsidRPr="005924C3">
              <w:rPr>
                <w:rFonts w:ascii="Cambria" w:hAnsi="Cambria"/>
                <w:bCs/>
                <w:sz w:val="20"/>
                <w:szCs w:val="20"/>
                <w:lang w:val="es-CO"/>
              </w:rPr>
              <w:t xml:space="preserve"> </w:t>
            </w:r>
            <w:r w:rsidR="005924C3" w:rsidRPr="005924C3">
              <w:rPr>
                <w:rFonts w:ascii="Cambria" w:hAnsi="Cambria"/>
                <w:bCs/>
                <w:sz w:val="20"/>
                <w:szCs w:val="20"/>
                <w:lang w:val="es-CO"/>
              </w:rPr>
              <w:t>13 de oct</w:t>
            </w:r>
            <w:r w:rsidR="005924C3">
              <w:rPr>
                <w:rFonts w:ascii="Cambria" w:hAnsi="Cambria"/>
                <w:bCs/>
                <w:sz w:val="20"/>
                <w:szCs w:val="20"/>
                <w:lang w:val="es-CO"/>
              </w:rPr>
              <w:t>ubre de 2016</w:t>
            </w:r>
          </w:p>
        </w:tc>
      </w:tr>
      <w:tr w:rsidR="00131425" w:rsidRPr="008058B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0378E4A1" w14:textId="77777777" w:rsidR="00131425" w:rsidRDefault="00E95DF4" w:rsidP="002625EA">
            <w:pPr>
              <w:jc w:val="both"/>
              <w:rPr>
                <w:rFonts w:ascii="Cambria" w:hAnsi="Cambria"/>
                <w:bCs/>
                <w:sz w:val="20"/>
                <w:szCs w:val="20"/>
                <w:lang w:val="es-ES"/>
              </w:rPr>
            </w:pPr>
            <w:r w:rsidRPr="00E95DF4">
              <w:rPr>
                <w:rFonts w:ascii="Cambria" w:hAnsi="Cambria"/>
                <w:b/>
                <w:sz w:val="20"/>
                <w:szCs w:val="20"/>
                <w:lang w:val="es-CO"/>
              </w:rPr>
              <w:t>1551-15:</w:t>
            </w:r>
            <w:r w:rsidRPr="00E95DF4">
              <w:rPr>
                <w:rFonts w:ascii="Cambria" w:hAnsi="Cambria"/>
                <w:bCs/>
                <w:sz w:val="20"/>
                <w:szCs w:val="20"/>
                <w:lang w:val="es-CO"/>
              </w:rPr>
              <w:t xml:space="preserve"> </w:t>
            </w:r>
            <w:r w:rsidR="002A5E37">
              <w:rPr>
                <w:rFonts w:ascii="Cambria" w:hAnsi="Cambria"/>
                <w:bCs/>
                <w:sz w:val="20"/>
                <w:szCs w:val="20"/>
                <w:lang w:val="es-ES"/>
              </w:rPr>
              <w:t>7 de febrero de 2018</w:t>
            </w:r>
            <w:r w:rsidR="00761DCF">
              <w:rPr>
                <w:rFonts w:ascii="Cambria" w:hAnsi="Cambria"/>
                <w:bCs/>
                <w:sz w:val="20"/>
                <w:szCs w:val="20"/>
                <w:lang w:val="es-ES"/>
              </w:rPr>
              <w:t>, 12 de diciembre de 2019</w:t>
            </w:r>
            <w:r w:rsidR="00467984">
              <w:rPr>
                <w:rFonts w:ascii="Cambria" w:hAnsi="Cambria"/>
                <w:bCs/>
                <w:sz w:val="20"/>
                <w:szCs w:val="20"/>
                <w:lang w:val="es-ES"/>
              </w:rPr>
              <w:t xml:space="preserve"> y</w:t>
            </w:r>
            <w:r w:rsidR="00A720BC">
              <w:rPr>
                <w:rFonts w:ascii="Cambria" w:hAnsi="Cambria"/>
                <w:bCs/>
                <w:sz w:val="20"/>
                <w:szCs w:val="20"/>
                <w:lang w:val="es-ES"/>
              </w:rPr>
              <w:t xml:space="preserve"> 16 de enero de 2020</w:t>
            </w:r>
          </w:p>
          <w:p w14:paraId="65CBC29E" w14:textId="3F1619AB" w:rsidR="00E95DF4" w:rsidRPr="00D22352" w:rsidRDefault="00DD7D8E" w:rsidP="002625EA">
            <w:pPr>
              <w:jc w:val="both"/>
              <w:rPr>
                <w:rFonts w:ascii="Cambria" w:hAnsi="Cambria"/>
                <w:bCs/>
                <w:sz w:val="20"/>
                <w:szCs w:val="20"/>
                <w:lang w:val="es-CO"/>
              </w:rPr>
            </w:pPr>
            <w:r w:rsidRPr="00D22352">
              <w:rPr>
                <w:rFonts w:ascii="Cambria" w:hAnsi="Cambria"/>
                <w:b/>
                <w:sz w:val="20"/>
                <w:szCs w:val="20"/>
                <w:lang w:val="es-CO"/>
              </w:rPr>
              <w:t>2061-16:</w:t>
            </w:r>
            <w:r w:rsidR="00EC252A" w:rsidRPr="00D22352">
              <w:rPr>
                <w:rFonts w:ascii="Cambria" w:hAnsi="Cambria"/>
                <w:bCs/>
                <w:sz w:val="20"/>
                <w:szCs w:val="20"/>
                <w:lang w:val="es-CO"/>
              </w:rPr>
              <w:t xml:space="preserve"> 14 de diciembre de 2016, </w:t>
            </w:r>
            <w:r w:rsidR="00037D91" w:rsidRPr="00D22352">
              <w:rPr>
                <w:rFonts w:ascii="Cambria" w:hAnsi="Cambria"/>
                <w:bCs/>
                <w:sz w:val="20"/>
                <w:szCs w:val="20"/>
                <w:lang w:val="es-CO"/>
              </w:rPr>
              <w:t>23 de diciembre de 2016</w:t>
            </w:r>
            <w:r w:rsidR="00E903D1" w:rsidRPr="00D22352">
              <w:rPr>
                <w:rFonts w:ascii="Cambria" w:hAnsi="Cambria"/>
                <w:bCs/>
                <w:sz w:val="20"/>
                <w:szCs w:val="20"/>
                <w:lang w:val="es-CO"/>
              </w:rPr>
              <w:t xml:space="preserve">, </w:t>
            </w:r>
            <w:r w:rsidR="00D22352" w:rsidRPr="00D22352">
              <w:rPr>
                <w:rFonts w:ascii="Cambria" w:hAnsi="Cambria"/>
                <w:bCs/>
                <w:sz w:val="20"/>
                <w:szCs w:val="20"/>
                <w:lang w:val="es-CO"/>
              </w:rPr>
              <w:t>5 de enero</w:t>
            </w:r>
            <w:r w:rsidR="00D22352">
              <w:rPr>
                <w:rFonts w:ascii="Cambria" w:hAnsi="Cambria"/>
                <w:bCs/>
                <w:sz w:val="20"/>
                <w:szCs w:val="20"/>
                <w:lang w:val="es-CO"/>
              </w:rPr>
              <w:t xml:space="preserve"> de 2017</w:t>
            </w:r>
            <w:r w:rsidR="000678CB">
              <w:rPr>
                <w:rFonts w:ascii="Cambria" w:hAnsi="Cambria"/>
                <w:bCs/>
                <w:sz w:val="20"/>
                <w:szCs w:val="20"/>
                <w:lang w:val="es-CO"/>
              </w:rPr>
              <w:t xml:space="preserve">, </w:t>
            </w:r>
            <w:r w:rsidR="00F7755F">
              <w:rPr>
                <w:rFonts w:ascii="Cambria" w:hAnsi="Cambria"/>
                <w:bCs/>
                <w:sz w:val="20"/>
                <w:szCs w:val="20"/>
                <w:lang w:val="es-CO"/>
              </w:rPr>
              <w:t>9</w:t>
            </w:r>
            <w:r w:rsidR="00B339BF">
              <w:rPr>
                <w:rFonts w:ascii="Cambria" w:hAnsi="Cambria"/>
                <w:bCs/>
                <w:sz w:val="20"/>
                <w:szCs w:val="20"/>
                <w:lang w:val="es-CO"/>
              </w:rPr>
              <w:t xml:space="preserve"> de marzo de 2017, </w:t>
            </w:r>
            <w:r w:rsidR="00EE4AE3">
              <w:rPr>
                <w:rFonts w:ascii="Cambria" w:hAnsi="Cambria"/>
                <w:bCs/>
                <w:sz w:val="20"/>
                <w:szCs w:val="20"/>
                <w:lang w:val="es-CO"/>
              </w:rPr>
              <w:t xml:space="preserve">25 de mayo de 2017, 27 de mayo de 2017, </w:t>
            </w:r>
            <w:r w:rsidR="00406E46">
              <w:rPr>
                <w:rFonts w:ascii="Cambria" w:hAnsi="Cambria"/>
                <w:bCs/>
                <w:sz w:val="20"/>
                <w:szCs w:val="20"/>
                <w:lang w:val="es-CO"/>
              </w:rPr>
              <w:t xml:space="preserve">30 de mayo de 2017, </w:t>
            </w:r>
            <w:r w:rsidR="00A15366">
              <w:rPr>
                <w:rFonts w:ascii="Cambria" w:hAnsi="Cambria"/>
                <w:bCs/>
                <w:sz w:val="20"/>
                <w:szCs w:val="20"/>
                <w:lang w:val="es-CO"/>
              </w:rPr>
              <w:t xml:space="preserve">1° de junio de 2017, </w:t>
            </w:r>
            <w:r w:rsidR="00733941">
              <w:rPr>
                <w:rFonts w:ascii="Cambria" w:hAnsi="Cambria"/>
                <w:bCs/>
                <w:sz w:val="20"/>
                <w:szCs w:val="20"/>
                <w:lang w:val="es-CO"/>
              </w:rPr>
              <w:t xml:space="preserve">2 de junio de 2017, </w:t>
            </w:r>
            <w:r w:rsidR="00921E30">
              <w:rPr>
                <w:rFonts w:ascii="Cambria" w:hAnsi="Cambria"/>
                <w:bCs/>
                <w:sz w:val="20"/>
                <w:szCs w:val="20"/>
                <w:lang w:val="es-CO"/>
              </w:rPr>
              <w:t xml:space="preserve">12 de febrero de 2018, </w:t>
            </w:r>
            <w:r w:rsidR="00BD1D67">
              <w:rPr>
                <w:rFonts w:ascii="Cambria" w:hAnsi="Cambria"/>
                <w:bCs/>
                <w:sz w:val="20"/>
                <w:szCs w:val="20"/>
                <w:lang w:val="es-CO"/>
              </w:rPr>
              <w:t xml:space="preserve">14 de mayo de 2018, </w:t>
            </w:r>
            <w:r w:rsidR="008372BC">
              <w:rPr>
                <w:rFonts w:ascii="Cambria" w:hAnsi="Cambria"/>
                <w:bCs/>
                <w:sz w:val="20"/>
                <w:szCs w:val="20"/>
                <w:lang w:val="es-CO"/>
              </w:rPr>
              <w:t>16</w:t>
            </w:r>
            <w:r w:rsidR="00794AC2">
              <w:rPr>
                <w:rFonts w:ascii="Cambria" w:hAnsi="Cambria"/>
                <w:bCs/>
                <w:sz w:val="20"/>
                <w:szCs w:val="20"/>
                <w:lang w:val="es-CO"/>
              </w:rPr>
              <w:t xml:space="preserve"> de mayo de 2018, </w:t>
            </w:r>
            <w:r w:rsidR="00D76ECE">
              <w:rPr>
                <w:rFonts w:ascii="Cambria" w:hAnsi="Cambria"/>
                <w:bCs/>
                <w:sz w:val="20"/>
                <w:szCs w:val="20"/>
                <w:lang w:val="es-CO"/>
              </w:rPr>
              <w:t xml:space="preserve">25 de julio de 2018, </w:t>
            </w:r>
            <w:r w:rsidR="00B84C4C">
              <w:rPr>
                <w:rFonts w:ascii="Cambria" w:hAnsi="Cambria"/>
                <w:bCs/>
                <w:sz w:val="20"/>
                <w:szCs w:val="20"/>
                <w:lang w:val="es-CO"/>
              </w:rPr>
              <w:t>28 de enero de 2019</w:t>
            </w:r>
            <w:r w:rsidR="009A696F">
              <w:rPr>
                <w:rFonts w:ascii="Cambria" w:hAnsi="Cambria"/>
                <w:bCs/>
                <w:sz w:val="20"/>
                <w:szCs w:val="20"/>
                <w:lang w:val="es-CO"/>
              </w:rPr>
              <w:t>,</w:t>
            </w:r>
            <w:r w:rsidR="00B84C4C">
              <w:rPr>
                <w:rFonts w:ascii="Cambria" w:hAnsi="Cambria"/>
                <w:bCs/>
                <w:sz w:val="20"/>
                <w:szCs w:val="20"/>
                <w:lang w:val="es-CO"/>
              </w:rPr>
              <w:t xml:space="preserve"> </w:t>
            </w:r>
            <w:r w:rsidR="007921A1">
              <w:rPr>
                <w:rFonts w:ascii="Cambria" w:hAnsi="Cambria"/>
                <w:bCs/>
                <w:sz w:val="20"/>
                <w:szCs w:val="20"/>
                <w:lang w:val="es-CO"/>
              </w:rPr>
              <w:t>4 de febrero de 2019</w:t>
            </w:r>
            <w:r w:rsidR="009A696F">
              <w:rPr>
                <w:rFonts w:ascii="Cambria" w:hAnsi="Cambria"/>
                <w:bCs/>
                <w:sz w:val="20"/>
                <w:szCs w:val="20"/>
                <w:lang w:val="es-CO"/>
              </w:rPr>
              <w:t>, 10 d</w:t>
            </w:r>
            <w:r w:rsidR="00863B4B">
              <w:rPr>
                <w:rFonts w:ascii="Cambria" w:hAnsi="Cambria"/>
                <w:bCs/>
                <w:sz w:val="20"/>
                <w:szCs w:val="20"/>
                <w:lang w:val="es-CO"/>
              </w:rPr>
              <w:t>e abril de 2020</w:t>
            </w:r>
            <w:r w:rsidR="00C073CE">
              <w:rPr>
                <w:rFonts w:ascii="Cambria" w:hAnsi="Cambria"/>
                <w:bCs/>
                <w:sz w:val="20"/>
                <w:szCs w:val="20"/>
                <w:lang w:val="es-CO"/>
              </w:rPr>
              <w:t>,</w:t>
            </w:r>
            <w:r w:rsidR="00863B4B">
              <w:rPr>
                <w:rFonts w:ascii="Cambria" w:hAnsi="Cambria"/>
                <w:bCs/>
                <w:sz w:val="20"/>
                <w:szCs w:val="20"/>
                <w:lang w:val="es-CO"/>
              </w:rPr>
              <w:t xml:space="preserve"> 13 de julio de 2020</w:t>
            </w:r>
            <w:r w:rsidR="00C073CE">
              <w:rPr>
                <w:rFonts w:ascii="Cambria" w:hAnsi="Cambria"/>
                <w:bCs/>
                <w:sz w:val="20"/>
                <w:szCs w:val="20"/>
                <w:lang w:val="es-CO"/>
              </w:rPr>
              <w:t xml:space="preserve"> y 9 de mayo de 2021</w:t>
            </w:r>
          </w:p>
        </w:tc>
      </w:tr>
      <w:tr w:rsidR="004C2312" w:rsidRPr="008058BD"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0A7DB055" w14:textId="77777777" w:rsidR="004C2312" w:rsidRDefault="00E95DF4" w:rsidP="008D2290">
            <w:pPr>
              <w:jc w:val="both"/>
              <w:rPr>
                <w:rFonts w:ascii="Cambria" w:hAnsi="Cambria"/>
                <w:bCs/>
                <w:sz w:val="20"/>
                <w:szCs w:val="20"/>
                <w:lang w:val="es-ES"/>
              </w:rPr>
            </w:pPr>
            <w:r w:rsidRPr="009A696F">
              <w:rPr>
                <w:rFonts w:ascii="Cambria" w:hAnsi="Cambria"/>
                <w:b/>
                <w:sz w:val="20"/>
                <w:szCs w:val="20"/>
                <w:lang w:val="es-CO"/>
              </w:rPr>
              <w:t>1551-15:</w:t>
            </w:r>
            <w:r w:rsidRPr="009A696F">
              <w:rPr>
                <w:rFonts w:ascii="Cambria" w:hAnsi="Cambria"/>
                <w:bCs/>
                <w:sz w:val="20"/>
                <w:szCs w:val="20"/>
                <w:lang w:val="es-CO"/>
              </w:rPr>
              <w:t xml:space="preserve"> </w:t>
            </w:r>
            <w:r w:rsidR="00681784">
              <w:rPr>
                <w:rFonts w:ascii="Cambria" w:hAnsi="Cambria"/>
                <w:bCs/>
                <w:sz w:val="20"/>
                <w:szCs w:val="20"/>
                <w:lang w:val="es-ES"/>
              </w:rPr>
              <w:t>11 de febrero de 2020</w:t>
            </w:r>
          </w:p>
          <w:p w14:paraId="58485921" w14:textId="00C0574E" w:rsidR="00E95DF4" w:rsidRPr="009A696F" w:rsidRDefault="00DD7D8E" w:rsidP="008D2290">
            <w:pPr>
              <w:jc w:val="both"/>
              <w:rPr>
                <w:rFonts w:ascii="Cambria" w:hAnsi="Cambria"/>
                <w:bCs/>
                <w:sz w:val="20"/>
                <w:szCs w:val="20"/>
                <w:lang w:val="es-CO"/>
              </w:rPr>
            </w:pPr>
            <w:r w:rsidRPr="009A696F">
              <w:rPr>
                <w:rFonts w:ascii="Cambria" w:hAnsi="Cambria"/>
                <w:b/>
                <w:sz w:val="20"/>
                <w:szCs w:val="20"/>
                <w:lang w:val="es-CO"/>
              </w:rPr>
              <w:t>2061-16:</w:t>
            </w:r>
            <w:r w:rsidR="0041627E" w:rsidRPr="009A696F">
              <w:rPr>
                <w:rFonts w:ascii="Cambria" w:hAnsi="Cambria"/>
                <w:bCs/>
                <w:sz w:val="20"/>
                <w:szCs w:val="20"/>
                <w:lang w:val="es-CO"/>
              </w:rPr>
              <w:t xml:space="preserve"> </w:t>
            </w:r>
            <w:r w:rsidR="009A696F" w:rsidRPr="009A696F">
              <w:rPr>
                <w:rFonts w:ascii="Cambria" w:hAnsi="Cambria"/>
                <w:bCs/>
                <w:sz w:val="20"/>
                <w:szCs w:val="20"/>
                <w:lang w:val="es-CO"/>
              </w:rPr>
              <w:t>11 de marzo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37B9127F" w:rsidR="004C2312" w:rsidRPr="003239B8" w:rsidRDefault="00C0466D"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229003DD" w14:textId="77777777" w:rsidR="004C2312" w:rsidRDefault="00E95DF4" w:rsidP="008D2290">
            <w:pPr>
              <w:jc w:val="both"/>
              <w:rPr>
                <w:rFonts w:ascii="Cambria" w:hAnsi="Cambria"/>
                <w:bCs/>
                <w:sz w:val="20"/>
                <w:szCs w:val="20"/>
                <w:lang w:val="es-ES"/>
              </w:rPr>
            </w:pPr>
            <w:r w:rsidRPr="00E95DF4">
              <w:rPr>
                <w:rFonts w:ascii="Cambria" w:hAnsi="Cambria"/>
                <w:b/>
                <w:sz w:val="20"/>
                <w:szCs w:val="20"/>
              </w:rPr>
              <w:t>1551-15:</w:t>
            </w:r>
            <w:r>
              <w:rPr>
                <w:rFonts w:ascii="Cambria" w:hAnsi="Cambria"/>
                <w:bCs/>
                <w:sz w:val="20"/>
                <w:szCs w:val="20"/>
              </w:rPr>
              <w:t xml:space="preserve"> </w:t>
            </w:r>
            <w:r w:rsidR="000412EF">
              <w:rPr>
                <w:rFonts w:ascii="Cambria" w:hAnsi="Cambria"/>
                <w:bCs/>
                <w:sz w:val="20"/>
                <w:szCs w:val="20"/>
                <w:lang w:val="es-ES"/>
              </w:rPr>
              <w:t>20 de noviembre de 2020</w:t>
            </w:r>
          </w:p>
          <w:p w14:paraId="6B47064C" w14:textId="3CCEF77E" w:rsidR="00E95DF4" w:rsidRPr="00432D91" w:rsidRDefault="00DD7D8E" w:rsidP="008D2290">
            <w:pPr>
              <w:jc w:val="both"/>
              <w:rPr>
                <w:rFonts w:ascii="Cambria" w:hAnsi="Cambria"/>
                <w:bCs/>
                <w:sz w:val="20"/>
                <w:szCs w:val="20"/>
                <w:lang w:val="es-ES"/>
              </w:rPr>
            </w:pPr>
            <w:r w:rsidRPr="00E95DF4">
              <w:rPr>
                <w:rFonts w:ascii="Cambria" w:hAnsi="Cambria"/>
                <w:b/>
                <w:sz w:val="20"/>
                <w:szCs w:val="20"/>
              </w:rPr>
              <w:t>2061-16:</w:t>
            </w:r>
            <w:r w:rsidR="00432D91">
              <w:rPr>
                <w:rFonts w:ascii="Cambria" w:hAnsi="Cambria"/>
                <w:bCs/>
                <w:sz w:val="20"/>
                <w:szCs w:val="20"/>
              </w:rPr>
              <w:t xml:space="preserve"> 10 de </w:t>
            </w:r>
            <w:r w:rsidR="003B6431">
              <w:rPr>
                <w:rFonts w:ascii="Cambria" w:hAnsi="Cambria"/>
                <w:bCs/>
                <w:sz w:val="20"/>
                <w:szCs w:val="20"/>
              </w:rPr>
              <w:t>a</w:t>
            </w:r>
            <w:r w:rsidR="00432D91">
              <w:rPr>
                <w:rFonts w:ascii="Cambria" w:hAnsi="Cambria"/>
                <w:bCs/>
                <w:sz w:val="20"/>
                <w:szCs w:val="20"/>
              </w:rPr>
              <w:t>gosto de 2020</w:t>
            </w:r>
          </w:p>
        </w:tc>
      </w:tr>
      <w:tr w:rsidR="004C2312" w:rsidRPr="008058BD"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33A4662F" w14:textId="77777777" w:rsidR="004C2312" w:rsidRDefault="00E95DF4" w:rsidP="008D2290">
            <w:pPr>
              <w:jc w:val="both"/>
              <w:rPr>
                <w:rFonts w:ascii="Cambria" w:hAnsi="Cambria"/>
                <w:bCs/>
                <w:sz w:val="20"/>
                <w:szCs w:val="20"/>
                <w:lang w:val="es-ES"/>
              </w:rPr>
            </w:pPr>
            <w:r w:rsidRPr="00FA488F">
              <w:rPr>
                <w:rFonts w:ascii="Cambria" w:hAnsi="Cambria"/>
                <w:b/>
                <w:sz w:val="20"/>
                <w:szCs w:val="20"/>
                <w:lang w:val="es-ES"/>
              </w:rPr>
              <w:t>1551-15:</w:t>
            </w:r>
            <w:r w:rsidRPr="00FA488F">
              <w:rPr>
                <w:rFonts w:ascii="Cambria" w:hAnsi="Cambria"/>
                <w:bCs/>
                <w:sz w:val="20"/>
                <w:szCs w:val="20"/>
                <w:lang w:val="es-ES"/>
              </w:rPr>
              <w:t xml:space="preserve"> </w:t>
            </w:r>
            <w:r w:rsidR="007D7172">
              <w:rPr>
                <w:rFonts w:ascii="Cambria" w:hAnsi="Cambria"/>
                <w:bCs/>
                <w:sz w:val="20"/>
                <w:szCs w:val="20"/>
                <w:lang w:val="es-ES"/>
              </w:rPr>
              <w:t>9 de mayo de 2021</w:t>
            </w:r>
          </w:p>
          <w:p w14:paraId="66A99206" w14:textId="160656CB" w:rsidR="00E95DF4" w:rsidRPr="00630796" w:rsidRDefault="00DD7D8E" w:rsidP="008D2290">
            <w:pPr>
              <w:jc w:val="both"/>
              <w:rPr>
                <w:rFonts w:ascii="Cambria" w:hAnsi="Cambria"/>
                <w:bCs/>
                <w:sz w:val="20"/>
                <w:szCs w:val="20"/>
                <w:lang w:val="es-ES"/>
              </w:rPr>
            </w:pPr>
            <w:r w:rsidRPr="00FA488F">
              <w:rPr>
                <w:rFonts w:ascii="Cambria" w:hAnsi="Cambria"/>
                <w:b/>
                <w:sz w:val="20"/>
                <w:szCs w:val="20"/>
                <w:lang w:val="es-ES"/>
              </w:rPr>
              <w:t>2061-16:</w:t>
            </w:r>
            <w:r w:rsidR="00630796" w:rsidRPr="00FA488F">
              <w:rPr>
                <w:rFonts w:ascii="Cambria" w:hAnsi="Cambria"/>
                <w:b/>
                <w:sz w:val="20"/>
                <w:szCs w:val="20"/>
                <w:lang w:val="es-ES"/>
              </w:rPr>
              <w:t xml:space="preserve"> </w:t>
            </w:r>
            <w:r w:rsidR="00630796" w:rsidRPr="00FA488F">
              <w:rPr>
                <w:rFonts w:ascii="Cambria" w:hAnsi="Cambria"/>
                <w:bCs/>
                <w:sz w:val="20"/>
                <w:szCs w:val="20"/>
                <w:lang w:val="es-ES"/>
              </w:rPr>
              <w:t>18 de octubre de 2020</w:t>
            </w:r>
          </w:p>
        </w:tc>
      </w:tr>
      <w:tr w:rsidR="001E49E7" w:rsidRPr="008058BD"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69DA95BB" w14:textId="77777777" w:rsidR="001E49E7" w:rsidRDefault="00E95DF4" w:rsidP="002625EA">
            <w:pPr>
              <w:jc w:val="both"/>
              <w:rPr>
                <w:rFonts w:ascii="Cambria" w:hAnsi="Cambria"/>
                <w:bCs/>
                <w:sz w:val="20"/>
                <w:szCs w:val="20"/>
                <w:lang w:val="es-ES"/>
              </w:rPr>
            </w:pPr>
            <w:r w:rsidRPr="00FA488F">
              <w:rPr>
                <w:rFonts w:ascii="Cambria" w:hAnsi="Cambria"/>
                <w:b/>
                <w:sz w:val="20"/>
                <w:szCs w:val="20"/>
                <w:lang w:val="es-ES"/>
              </w:rPr>
              <w:t>1551-15:</w:t>
            </w:r>
            <w:r w:rsidRPr="00FA488F">
              <w:rPr>
                <w:rFonts w:ascii="Cambria" w:hAnsi="Cambria"/>
                <w:bCs/>
                <w:sz w:val="20"/>
                <w:szCs w:val="20"/>
                <w:lang w:val="es-ES"/>
              </w:rPr>
              <w:t xml:space="preserve"> </w:t>
            </w:r>
            <w:r w:rsidR="00DB7F4D">
              <w:rPr>
                <w:rFonts w:ascii="Cambria" w:hAnsi="Cambria"/>
                <w:bCs/>
                <w:sz w:val="20"/>
                <w:szCs w:val="20"/>
                <w:lang w:val="es-ES"/>
              </w:rPr>
              <w:t>10 de abril de 2025</w:t>
            </w:r>
          </w:p>
          <w:p w14:paraId="48CA2CFB" w14:textId="654F2BEA" w:rsidR="00E95DF4" w:rsidRPr="00DC3666" w:rsidRDefault="00DD7D8E" w:rsidP="002625EA">
            <w:pPr>
              <w:jc w:val="both"/>
              <w:rPr>
                <w:rFonts w:ascii="Cambria" w:hAnsi="Cambria"/>
                <w:bCs/>
                <w:sz w:val="20"/>
                <w:szCs w:val="20"/>
                <w:lang w:val="es-ES"/>
              </w:rPr>
            </w:pPr>
            <w:r w:rsidRPr="00FA488F">
              <w:rPr>
                <w:rFonts w:ascii="Cambria" w:hAnsi="Cambria"/>
                <w:b/>
                <w:sz w:val="20"/>
                <w:szCs w:val="20"/>
                <w:lang w:val="es-ES"/>
              </w:rPr>
              <w:t>2061-16:</w:t>
            </w:r>
            <w:r w:rsidR="00DC3666" w:rsidRPr="00FA488F">
              <w:rPr>
                <w:rFonts w:ascii="Cambria" w:hAnsi="Cambria"/>
                <w:bCs/>
                <w:sz w:val="20"/>
                <w:szCs w:val="20"/>
                <w:lang w:val="es-ES"/>
              </w:rPr>
              <w:t xml:space="preserve"> 2 </w:t>
            </w:r>
            <w:r w:rsidR="00D07B4C" w:rsidRPr="00FA488F">
              <w:rPr>
                <w:rFonts w:ascii="Cambria" w:hAnsi="Cambria"/>
                <w:bCs/>
                <w:sz w:val="20"/>
                <w:szCs w:val="20"/>
                <w:lang w:val="es-ES"/>
              </w:rPr>
              <w:t>d</w:t>
            </w:r>
            <w:r w:rsidR="00DC3666" w:rsidRPr="00FA488F">
              <w:rPr>
                <w:rFonts w:ascii="Cambria" w:hAnsi="Cambria"/>
                <w:bCs/>
                <w:sz w:val="20"/>
                <w:szCs w:val="20"/>
                <w:lang w:val="es-ES"/>
              </w:rPr>
              <w:t>e mayo de 2025</w:t>
            </w:r>
          </w:p>
        </w:tc>
      </w:tr>
      <w:tr w:rsidR="001E49E7" w:rsidRPr="008058BD"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4A8DBFA" w14:textId="77777777" w:rsidR="001E49E7" w:rsidRDefault="00E95DF4" w:rsidP="002625EA">
            <w:pPr>
              <w:jc w:val="both"/>
              <w:rPr>
                <w:rFonts w:ascii="Cambria" w:hAnsi="Cambria"/>
                <w:bCs/>
                <w:sz w:val="20"/>
                <w:szCs w:val="20"/>
                <w:lang w:val="es-ES"/>
              </w:rPr>
            </w:pPr>
            <w:r w:rsidRPr="00FA488F">
              <w:rPr>
                <w:rFonts w:ascii="Cambria" w:hAnsi="Cambria"/>
                <w:b/>
                <w:sz w:val="20"/>
                <w:szCs w:val="20"/>
                <w:lang w:val="es-ES"/>
              </w:rPr>
              <w:t>1551-15:</w:t>
            </w:r>
            <w:r w:rsidRPr="00FA488F">
              <w:rPr>
                <w:rFonts w:ascii="Cambria" w:hAnsi="Cambria"/>
                <w:bCs/>
                <w:sz w:val="20"/>
                <w:szCs w:val="20"/>
                <w:lang w:val="es-ES"/>
              </w:rPr>
              <w:t xml:space="preserve"> </w:t>
            </w:r>
            <w:r w:rsidR="00C0466D">
              <w:rPr>
                <w:rFonts w:ascii="Cambria" w:hAnsi="Cambria"/>
                <w:bCs/>
                <w:sz w:val="20"/>
                <w:szCs w:val="20"/>
                <w:lang w:val="es-ES"/>
              </w:rPr>
              <w:t>30 de abril de 2025</w:t>
            </w:r>
          </w:p>
          <w:p w14:paraId="6E85D194" w14:textId="78EBE9FD" w:rsidR="00E95DF4" w:rsidRPr="00DC3666" w:rsidRDefault="00DD7D8E" w:rsidP="002625EA">
            <w:pPr>
              <w:jc w:val="both"/>
              <w:rPr>
                <w:rFonts w:ascii="Cambria" w:hAnsi="Cambria"/>
                <w:bCs/>
                <w:sz w:val="20"/>
                <w:szCs w:val="20"/>
                <w:lang w:val="es-ES"/>
              </w:rPr>
            </w:pPr>
            <w:r w:rsidRPr="00FA488F">
              <w:rPr>
                <w:rFonts w:ascii="Cambria" w:hAnsi="Cambria"/>
                <w:b/>
                <w:sz w:val="20"/>
                <w:szCs w:val="20"/>
                <w:lang w:val="es-ES"/>
              </w:rPr>
              <w:t>2061-16:</w:t>
            </w:r>
            <w:r w:rsidR="00DC3666" w:rsidRPr="00FA488F">
              <w:rPr>
                <w:rFonts w:ascii="Cambria" w:hAnsi="Cambria"/>
                <w:bCs/>
                <w:sz w:val="20"/>
                <w:szCs w:val="20"/>
                <w:lang w:val="es-ES"/>
              </w:rPr>
              <w:t xml:space="preserve"> 8 de mayo de 2025</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0CA2825B" w:rsidR="003239B8" w:rsidRPr="00B3745F" w:rsidRDefault="00E95F12"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4130BC1F" w:rsidR="003239B8" w:rsidRPr="00B3745F" w:rsidRDefault="00E95F12"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6E55B28" w:rsidR="003239B8" w:rsidRPr="00B3745F" w:rsidRDefault="00E95F12" w:rsidP="008D2290">
            <w:pPr>
              <w:rPr>
                <w:rFonts w:ascii="Cambria" w:hAnsi="Cambria"/>
                <w:bCs/>
                <w:sz w:val="20"/>
                <w:szCs w:val="20"/>
              </w:rPr>
            </w:pPr>
            <w:r>
              <w:rPr>
                <w:rFonts w:ascii="Cambria" w:hAnsi="Cambria"/>
                <w:bCs/>
                <w:sz w:val="20"/>
                <w:szCs w:val="20"/>
              </w:rPr>
              <w:t>Sí</w:t>
            </w:r>
          </w:p>
        </w:tc>
      </w:tr>
      <w:tr w:rsidR="003239B8" w:rsidRPr="008058B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0469160" w:rsidR="003239B8" w:rsidRPr="00B3745F" w:rsidRDefault="00520A7A" w:rsidP="008D2290">
            <w:pPr>
              <w:jc w:val="both"/>
              <w:rPr>
                <w:rFonts w:ascii="Cambria" w:hAnsi="Cambria"/>
                <w:bCs/>
                <w:sz w:val="20"/>
                <w:szCs w:val="20"/>
                <w:lang w:val="es-ES"/>
              </w:rPr>
            </w:pPr>
            <w:r w:rsidRPr="004F6FF8">
              <w:rPr>
                <w:rFonts w:ascii="Cambria" w:hAnsi="Cambria"/>
                <w:bCs/>
                <w:sz w:val="20"/>
                <w:szCs w:val="20"/>
                <w:lang w:val="es-419"/>
              </w:rPr>
              <w:t>Sí, la Convención Americana (depósito de instrumento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44DE0"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7B341EE3" w:rsidR="00EE00E9" w:rsidRPr="00DC24E3" w:rsidRDefault="00E95F12" w:rsidP="008D2290">
            <w:pPr>
              <w:jc w:val="both"/>
              <w:rPr>
                <w:rFonts w:ascii="Cambria" w:hAnsi="Cambria"/>
                <w:bCs/>
                <w:sz w:val="20"/>
                <w:szCs w:val="20"/>
                <w:lang w:val="es-ES"/>
              </w:rPr>
            </w:pPr>
            <w:r>
              <w:rPr>
                <w:rFonts w:ascii="Cambria" w:hAnsi="Cambria"/>
                <w:bCs/>
                <w:sz w:val="20"/>
                <w:szCs w:val="20"/>
                <w:lang w:val="es-ES"/>
              </w:rPr>
              <w:t>No</w:t>
            </w:r>
          </w:p>
        </w:tc>
      </w:tr>
      <w:tr w:rsidR="003239B8" w:rsidRPr="008058BD"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2704BDE" w:rsidR="003239B8" w:rsidRPr="00693D86" w:rsidRDefault="00693D86" w:rsidP="008D2290">
            <w:pPr>
              <w:jc w:val="both"/>
              <w:rPr>
                <w:rFonts w:ascii="Cambria" w:hAnsi="Cambria"/>
                <w:bCs/>
                <w:sz w:val="20"/>
                <w:szCs w:val="20"/>
                <w:lang w:val="es-CO"/>
              </w:rPr>
            </w:pPr>
            <w:r w:rsidRPr="002C6FBF">
              <w:rPr>
                <w:rFonts w:ascii="Cambria" w:hAnsi="Cambria"/>
                <w:bCs/>
                <w:sz w:val="20"/>
                <w:szCs w:val="20"/>
                <w:lang w:val="es-CO"/>
              </w:rPr>
              <w:t xml:space="preserve">Artículos 8 </w:t>
            </w:r>
            <w:r>
              <w:rPr>
                <w:rFonts w:ascii="Cambria" w:hAnsi="Cambria"/>
                <w:bCs/>
                <w:sz w:val="20"/>
                <w:szCs w:val="20"/>
                <w:lang w:val="es-CO"/>
              </w:rPr>
              <w:t xml:space="preserve">(garantías judiciales), 24 (igualdad ante la ley), 25 (protección judicial) y 26 (derechos económicos, sociales </w:t>
            </w:r>
            <w:r w:rsidR="00BF5104">
              <w:rPr>
                <w:rFonts w:ascii="Cambria" w:hAnsi="Cambria"/>
                <w:bCs/>
                <w:sz w:val="20"/>
                <w:szCs w:val="20"/>
                <w:lang w:val="es-CO"/>
              </w:rPr>
              <w:t xml:space="preserve">y culturales) </w:t>
            </w:r>
            <w:r>
              <w:rPr>
                <w:rFonts w:ascii="Cambria" w:hAnsi="Cambria"/>
                <w:bCs/>
                <w:sz w:val="20"/>
                <w:szCs w:val="20"/>
                <w:lang w:val="es-CO"/>
              </w:rPr>
              <w:t>de la Convención Americana</w:t>
            </w:r>
            <w:r w:rsidR="0051696A">
              <w:rPr>
                <w:rFonts w:ascii="Cambria" w:hAnsi="Cambria"/>
                <w:bCs/>
                <w:sz w:val="20"/>
                <w:szCs w:val="20"/>
                <w:lang w:val="es-CO"/>
              </w:rPr>
              <w:t>, en relación con sus artículos 1.1 (obligación de respetar los derechos) y 2 (deber de adoptar disposiciones de derecho interno)</w:t>
            </w:r>
          </w:p>
        </w:tc>
      </w:tr>
      <w:tr w:rsidR="003239B8" w:rsidRPr="00144DE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BB986B7" w:rsidR="003239B8" w:rsidRPr="00DC24E3" w:rsidRDefault="00C75D70" w:rsidP="008D2290">
            <w:pPr>
              <w:rPr>
                <w:rFonts w:ascii="Cambria" w:hAnsi="Cambria"/>
                <w:bCs/>
                <w:sz w:val="20"/>
                <w:szCs w:val="20"/>
                <w:lang w:val="es-ES"/>
              </w:rPr>
            </w:pPr>
            <w:r>
              <w:rPr>
                <w:rFonts w:ascii="Cambria" w:hAnsi="Cambria"/>
                <w:bCs/>
                <w:sz w:val="20"/>
                <w:szCs w:val="20"/>
                <w:lang w:val="es-ES"/>
              </w:rPr>
              <w:t>Sí</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4E2B713" w:rsidR="003239B8" w:rsidRPr="00DC24E3" w:rsidRDefault="00C75D70" w:rsidP="008D2290">
            <w:pPr>
              <w:rPr>
                <w:rFonts w:ascii="Cambria" w:hAnsi="Cambria"/>
                <w:bCs/>
                <w:sz w:val="20"/>
                <w:szCs w:val="20"/>
              </w:rPr>
            </w:pPr>
            <w:r>
              <w:rPr>
                <w:rFonts w:ascii="Cambria" w:hAnsi="Cambria"/>
                <w:bCs/>
                <w:sz w:val="20"/>
                <w:szCs w:val="20"/>
              </w:rPr>
              <w:t>Sí</w:t>
            </w:r>
          </w:p>
        </w:tc>
      </w:tr>
    </w:tbl>
    <w:p w14:paraId="56FD5D57" w14:textId="252B1FD5" w:rsidR="003239B8" w:rsidRPr="00482806" w:rsidRDefault="00223A29" w:rsidP="00D912FC">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482806">
        <w:rPr>
          <w:rFonts w:asciiTheme="majorHAnsi" w:hAnsiTheme="majorHAnsi"/>
          <w:b/>
          <w:sz w:val="20"/>
          <w:szCs w:val="20"/>
          <w:lang w:val="es-ES"/>
        </w:rPr>
        <w:t>POSICIÓN DE LAS PARTES</w:t>
      </w:r>
      <w:r w:rsidR="003239B8" w:rsidRPr="00482806">
        <w:rPr>
          <w:rFonts w:asciiTheme="majorHAnsi" w:hAnsiTheme="majorHAnsi"/>
          <w:b/>
          <w:sz w:val="20"/>
          <w:szCs w:val="20"/>
          <w:lang w:val="es-ES"/>
        </w:rPr>
        <w:t xml:space="preserve"> </w:t>
      </w:r>
    </w:p>
    <w:p w14:paraId="0356CA07" w14:textId="77777777" w:rsidR="002C4A56" w:rsidRPr="00482806" w:rsidRDefault="002C4A56" w:rsidP="00D912FC">
      <w:pPr>
        <w:spacing w:before="240" w:after="240"/>
        <w:ind w:firstLine="720"/>
        <w:jc w:val="both"/>
        <w:rPr>
          <w:rFonts w:asciiTheme="majorHAnsi" w:hAnsiTheme="majorHAnsi"/>
          <w:b/>
          <w:bCs/>
          <w:sz w:val="20"/>
          <w:szCs w:val="20"/>
          <w:lang w:val="es-ES"/>
        </w:rPr>
      </w:pPr>
      <w:r w:rsidRPr="00482806">
        <w:rPr>
          <w:rFonts w:asciiTheme="majorHAnsi" w:hAnsiTheme="majorHAnsi"/>
          <w:b/>
          <w:bCs/>
          <w:sz w:val="20"/>
          <w:szCs w:val="20"/>
          <w:lang w:val="es-ES"/>
        </w:rPr>
        <w:t>Consideraciones preliminares</w:t>
      </w:r>
    </w:p>
    <w:p w14:paraId="339131E8" w14:textId="583C9A37" w:rsidR="002C4A56" w:rsidRPr="00482806" w:rsidRDefault="002C4A56" w:rsidP="00D912FC">
      <w:pPr>
        <w:pStyle w:val="ListParagraph"/>
        <w:numPr>
          <w:ilvl w:val="0"/>
          <w:numId w:val="61"/>
        </w:numPr>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Las </w:t>
      </w:r>
      <w:r w:rsidR="001F7750" w:rsidRPr="00482806">
        <w:rPr>
          <w:rFonts w:asciiTheme="majorHAnsi" w:hAnsiTheme="majorHAnsi"/>
          <w:sz w:val="20"/>
          <w:szCs w:val="20"/>
          <w:lang w:val="es-ES"/>
        </w:rPr>
        <w:t>do</w:t>
      </w:r>
      <w:r w:rsidRPr="00482806">
        <w:rPr>
          <w:rFonts w:asciiTheme="majorHAnsi" w:hAnsiTheme="majorHAnsi"/>
          <w:sz w:val="20"/>
          <w:szCs w:val="20"/>
          <w:lang w:val="es-ES"/>
        </w:rPr>
        <w:t xml:space="preserve">s peticiones consideradas en el presente informe plantean la violación de los derechos </w:t>
      </w:r>
      <w:r w:rsidR="00EA08D9" w:rsidRPr="00482806">
        <w:rPr>
          <w:rFonts w:asciiTheme="majorHAnsi" w:hAnsiTheme="majorHAnsi"/>
          <w:sz w:val="20"/>
          <w:szCs w:val="20"/>
          <w:lang w:val="es-ES"/>
        </w:rPr>
        <w:t xml:space="preserve">a las garantías judiciales y </w:t>
      </w:r>
      <w:r w:rsidRPr="00482806">
        <w:rPr>
          <w:rFonts w:asciiTheme="majorHAnsi" w:hAnsiTheme="majorHAnsi"/>
          <w:sz w:val="20"/>
          <w:szCs w:val="20"/>
          <w:lang w:val="es-ES"/>
        </w:rPr>
        <w:t xml:space="preserve">de </w:t>
      </w:r>
      <w:r w:rsidR="00EA08D9" w:rsidRPr="00482806">
        <w:rPr>
          <w:rFonts w:asciiTheme="majorHAnsi" w:hAnsiTheme="majorHAnsi"/>
          <w:sz w:val="20"/>
          <w:szCs w:val="20"/>
          <w:lang w:val="es-ES"/>
        </w:rPr>
        <w:t xml:space="preserve">acceso a la justicia de </w:t>
      </w:r>
      <w:r w:rsidRPr="00482806">
        <w:rPr>
          <w:rFonts w:asciiTheme="majorHAnsi" w:hAnsiTheme="majorHAnsi"/>
          <w:bCs/>
          <w:sz w:val="20"/>
          <w:szCs w:val="20"/>
          <w:lang w:val="es-ES"/>
        </w:rPr>
        <w:t xml:space="preserve">las presuntas víctimas como consecuencia </w:t>
      </w:r>
      <w:r w:rsidRPr="00482806">
        <w:rPr>
          <w:rFonts w:asciiTheme="majorHAnsi" w:hAnsiTheme="majorHAnsi"/>
          <w:sz w:val="20"/>
          <w:szCs w:val="20"/>
          <w:lang w:val="es-ES"/>
        </w:rPr>
        <w:t xml:space="preserve">de </w:t>
      </w:r>
      <w:r w:rsidR="00EA08D9" w:rsidRPr="00482806">
        <w:rPr>
          <w:rFonts w:asciiTheme="majorHAnsi" w:hAnsiTheme="majorHAnsi"/>
          <w:sz w:val="20"/>
          <w:szCs w:val="20"/>
          <w:lang w:val="es-ES"/>
        </w:rPr>
        <w:t>su retiro injustificado como funcionarios de la Policía Nacional.</w:t>
      </w:r>
      <w:r w:rsidR="00C52EDC" w:rsidRPr="00482806">
        <w:rPr>
          <w:rFonts w:asciiTheme="majorHAnsi" w:hAnsiTheme="majorHAnsi"/>
          <w:sz w:val="20"/>
          <w:szCs w:val="20"/>
          <w:lang w:val="es-ES"/>
        </w:rPr>
        <w:t xml:space="preserve"> El peticionario solicitó la acumulación de </w:t>
      </w:r>
      <w:r w:rsidR="00662DF5" w:rsidRPr="00482806">
        <w:rPr>
          <w:rFonts w:asciiTheme="majorHAnsi" w:hAnsiTheme="majorHAnsi"/>
          <w:sz w:val="20"/>
          <w:szCs w:val="20"/>
          <w:lang w:val="es-ES"/>
        </w:rPr>
        <w:t xml:space="preserve">ambas porque considera que comparten identidad de partes, de hechos </w:t>
      </w:r>
      <w:r w:rsidR="00380BD5" w:rsidRPr="00482806">
        <w:rPr>
          <w:rFonts w:asciiTheme="majorHAnsi" w:hAnsiTheme="majorHAnsi"/>
          <w:sz w:val="20"/>
          <w:szCs w:val="20"/>
          <w:lang w:val="es-ES"/>
        </w:rPr>
        <w:t xml:space="preserve">y de objeto. </w:t>
      </w:r>
      <w:r w:rsidR="000470E9" w:rsidRPr="00482806">
        <w:rPr>
          <w:rFonts w:asciiTheme="majorHAnsi" w:hAnsiTheme="majorHAnsi"/>
          <w:sz w:val="20"/>
          <w:szCs w:val="20"/>
          <w:lang w:val="es-ES"/>
        </w:rPr>
        <w:t>La solicitud fue trasmitida, en debida forma, a</w:t>
      </w:r>
      <w:r w:rsidR="00380BD5" w:rsidRPr="00482806">
        <w:rPr>
          <w:rFonts w:asciiTheme="majorHAnsi" w:hAnsiTheme="majorHAnsi"/>
          <w:sz w:val="20"/>
          <w:szCs w:val="20"/>
          <w:lang w:val="es-ES"/>
        </w:rPr>
        <w:t>l Estado</w:t>
      </w:r>
      <w:r w:rsidR="000470E9" w:rsidRPr="00482806">
        <w:rPr>
          <w:rFonts w:asciiTheme="majorHAnsi" w:hAnsiTheme="majorHAnsi"/>
          <w:sz w:val="20"/>
          <w:szCs w:val="20"/>
          <w:lang w:val="es-ES"/>
        </w:rPr>
        <w:t>, pero éste</w:t>
      </w:r>
      <w:r w:rsidR="00380BD5" w:rsidRPr="00482806">
        <w:rPr>
          <w:rFonts w:asciiTheme="majorHAnsi" w:hAnsiTheme="majorHAnsi"/>
          <w:sz w:val="20"/>
          <w:szCs w:val="20"/>
          <w:lang w:val="es-ES"/>
        </w:rPr>
        <w:t xml:space="preserve"> no se pronunci</w:t>
      </w:r>
      <w:r w:rsidR="000470E9" w:rsidRPr="00482806">
        <w:rPr>
          <w:rFonts w:asciiTheme="majorHAnsi" w:hAnsiTheme="majorHAnsi"/>
          <w:sz w:val="20"/>
          <w:szCs w:val="20"/>
          <w:lang w:val="es-ES"/>
        </w:rPr>
        <w:t>ó</w:t>
      </w:r>
      <w:r w:rsidR="00380BD5" w:rsidRPr="00482806">
        <w:rPr>
          <w:rFonts w:asciiTheme="majorHAnsi" w:hAnsiTheme="majorHAnsi"/>
          <w:sz w:val="20"/>
          <w:szCs w:val="20"/>
          <w:lang w:val="es-ES"/>
        </w:rPr>
        <w:t xml:space="preserve"> </w:t>
      </w:r>
      <w:r w:rsidR="000470E9" w:rsidRPr="00482806">
        <w:rPr>
          <w:rFonts w:asciiTheme="majorHAnsi" w:hAnsiTheme="majorHAnsi"/>
          <w:sz w:val="20"/>
          <w:szCs w:val="20"/>
          <w:lang w:val="es-ES"/>
        </w:rPr>
        <w:t>al respecto</w:t>
      </w:r>
      <w:r w:rsidR="00380BD5" w:rsidRPr="00482806">
        <w:rPr>
          <w:rFonts w:asciiTheme="majorHAnsi" w:hAnsiTheme="majorHAnsi"/>
          <w:sz w:val="20"/>
          <w:szCs w:val="20"/>
          <w:lang w:val="es-ES"/>
        </w:rPr>
        <w:t>.</w:t>
      </w:r>
    </w:p>
    <w:p w14:paraId="64345012" w14:textId="3289529B" w:rsidR="002C4A56" w:rsidRPr="00482806" w:rsidRDefault="002C4A56" w:rsidP="00D912FC">
      <w:pPr>
        <w:pStyle w:val="ListParagraph"/>
        <w:numPr>
          <w:ilvl w:val="0"/>
          <w:numId w:val="61"/>
        </w:numPr>
        <w:ind w:left="0" w:firstLine="720"/>
        <w:jc w:val="both"/>
        <w:rPr>
          <w:rFonts w:asciiTheme="majorHAnsi" w:hAnsiTheme="majorHAnsi"/>
          <w:i/>
          <w:iCs/>
          <w:sz w:val="20"/>
          <w:szCs w:val="20"/>
          <w:lang w:val="es-ES"/>
        </w:rPr>
      </w:pPr>
      <w:r w:rsidRPr="00482806">
        <w:rPr>
          <w:rFonts w:asciiTheme="majorHAnsi" w:hAnsiTheme="majorHAnsi"/>
          <w:sz w:val="20"/>
          <w:szCs w:val="20"/>
          <w:lang w:val="es-ES"/>
        </w:rPr>
        <w:t xml:space="preserve">La CIDH decidió acumular las </w:t>
      </w:r>
      <w:r w:rsidR="000470E9" w:rsidRPr="00482806">
        <w:rPr>
          <w:rFonts w:asciiTheme="majorHAnsi" w:hAnsiTheme="majorHAnsi"/>
          <w:sz w:val="20"/>
          <w:szCs w:val="20"/>
          <w:lang w:val="es-ES"/>
        </w:rPr>
        <w:t>do</w:t>
      </w:r>
      <w:r w:rsidRPr="00482806">
        <w:rPr>
          <w:rFonts w:asciiTheme="majorHAnsi" w:hAnsiTheme="majorHAnsi"/>
          <w:sz w:val="20"/>
          <w:szCs w:val="20"/>
          <w:lang w:val="es-ES"/>
        </w:rPr>
        <w:t>s peticiones para que en lo sucesivo sean tramitadas a través de un solo procedimiento, en aplicación del artículo 29.5</w:t>
      </w:r>
      <w:r w:rsidRPr="00482806">
        <w:rPr>
          <w:rStyle w:val="FootnoteReference"/>
          <w:rFonts w:asciiTheme="majorHAnsi" w:hAnsiTheme="majorHAnsi"/>
          <w:sz w:val="20"/>
          <w:szCs w:val="20"/>
          <w:lang w:val="es-ES"/>
        </w:rPr>
        <w:footnoteReference w:id="8"/>
      </w:r>
      <w:r w:rsidRPr="00482806">
        <w:rPr>
          <w:rFonts w:asciiTheme="majorHAnsi" w:hAnsiTheme="majorHAnsi"/>
          <w:sz w:val="20"/>
          <w:szCs w:val="20"/>
          <w:lang w:val="es-ES"/>
        </w:rPr>
        <w:t xml:space="preserve"> de su Reglamento</w:t>
      </w:r>
      <w:r w:rsidR="000470E9" w:rsidRPr="00482806">
        <w:rPr>
          <w:rFonts w:asciiTheme="majorHAnsi" w:hAnsiTheme="majorHAnsi"/>
          <w:sz w:val="20"/>
          <w:szCs w:val="20"/>
          <w:lang w:val="es-ES"/>
        </w:rPr>
        <w:t>,</w:t>
      </w:r>
      <w:r w:rsidRPr="00482806">
        <w:rPr>
          <w:rFonts w:asciiTheme="majorHAnsi" w:hAnsiTheme="majorHAnsi"/>
          <w:sz w:val="20"/>
          <w:szCs w:val="20"/>
          <w:lang w:val="es-ES"/>
        </w:rPr>
        <w:t xml:space="preserve"> que la faculta para acumular y tramitar conjuntamente peticiones que tienen elementos comunes relevantes. Ello debido a que </w:t>
      </w:r>
      <w:r w:rsidR="001019A3" w:rsidRPr="00482806">
        <w:rPr>
          <w:rFonts w:asciiTheme="majorHAnsi" w:hAnsiTheme="majorHAnsi"/>
          <w:sz w:val="20"/>
          <w:szCs w:val="20"/>
          <w:lang w:val="es-ES"/>
        </w:rPr>
        <w:t>amba</w:t>
      </w:r>
      <w:r w:rsidRPr="00482806">
        <w:rPr>
          <w:rFonts w:asciiTheme="majorHAnsi" w:hAnsiTheme="majorHAnsi"/>
          <w:sz w:val="20"/>
          <w:szCs w:val="20"/>
          <w:lang w:val="es-ES"/>
        </w:rPr>
        <w:t>s peticiones se refieren a los mismos hechos</w:t>
      </w:r>
      <w:r w:rsidR="00256BFF" w:rsidRPr="00482806">
        <w:rPr>
          <w:rFonts w:asciiTheme="majorHAnsi" w:hAnsiTheme="majorHAnsi"/>
          <w:sz w:val="20"/>
          <w:szCs w:val="20"/>
          <w:lang w:val="es-ES"/>
        </w:rPr>
        <w:t>,</w:t>
      </w:r>
      <w:r w:rsidRPr="00482806">
        <w:rPr>
          <w:rFonts w:asciiTheme="majorHAnsi" w:hAnsiTheme="majorHAnsi"/>
          <w:sz w:val="20"/>
          <w:szCs w:val="20"/>
          <w:lang w:val="es-ES"/>
        </w:rPr>
        <w:t xml:space="preserve"> presentan identidad en sus reclamaciones</w:t>
      </w:r>
      <w:r w:rsidR="001019A3" w:rsidRPr="00482806">
        <w:rPr>
          <w:rFonts w:asciiTheme="majorHAnsi" w:hAnsiTheme="majorHAnsi"/>
          <w:sz w:val="20"/>
          <w:szCs w:val="20"/>
          <w:lang w:val="es-ES"/>
        </w:rPr>
        <w:t xml:space="preserve"> y el Estado no se opuso a su acumulación</w:t>
      </w:r>
      <w:r w:rsidRPr="00482806">
        <w:rPr>
          <w:rFonts w:asciiTheme="majorHAnsi" w:hAnsiTheme="majorHAnsi"/>
          <w:sz w:val="20"/>
          <w:szCs w:val="20"/>
          <w:lang w:val="es-ES"/>
        </w:rPr>
        <w:t>.</w:t>
      </w:r>
    </w:p>
    <w:p w14:paraId="45F0A49F" w14:textId="5D4EF209" w:rsidR="002C4A56" w:rsidRPr="00482806" w:rsidRDefault="002C4A56" w:rsidP="00D912FC">
      <w:pPr>
        <w:spacing w:before="240" w:after="240"/>
        <w:ind w:firstLine="720"/>
        <w:jc w:val="both"/>
        <w:rPr>
          <w:rFonts w:asciiTheme="majorHAnsi" w:hAnsiTheme="majorHAnsi"/>
          <w:b/>
          <w:bCs/>
          <w:sz w:val="20"/>
          <w:szCs w:val="20"/>
          <w:lang w:val="es-ES"/>
        </w:rPr>
      </w:pPr>
      <w:r w:rsidRPr="00482806">
        <w:rPr>
          <w:rFonts w:asciiTheme="majorHAnsi" w:hAnsiTheme="majorHAnsi"/>
          <w:b/>
          <w:bCs/>
          <w:sz w:val="20"/>
          <w:szCs w:val="20"/>
          <w:lang w:val="es-ES"/>
        </w:rPr>
        <w:t xml:space="preserve">Hechos expuestos </w:t>
      </w:r>
      <w:r w:rsidR="00ED5194" w:rsidRPr="00482806">
        <w:rPr>
          <w:rFonts w:asciiTheme="majorHAnsi" w:hAnsiTheme="majorHAnsi"/>
          <w:b/>
          <w:bCs/>
          <w:sz w:val="20"/>
          <w:szCs w:val="20"/>
          <w:lang w:val="es-ES"/>
        </w:rPr>
        <w:t>respecto de</w:t>
      </w:r>
      <w:r w:rsidR="004E17D7" w:rsidRPr="00482806">
        <w:rPr>
          <w:rFonts w:asciiTheme="majorHAnsi" w:hAnsiTheme="majorHAnsi"/>
          <w:b/>
          <w:bCs/>
          <w:sz w:val="20"/>
          <w:szCs w:val="20"/>
          <w:lang w:val="es-ES"/>
        </w:rPr>
        <w:t>l señor</w:t>
      </w:r>
      <w:r w:rsidR="00ED5194" w:rsidRPr="00482806">
        <w:rPr>
          <w:rFonts w:asciiTheme="majorHAnsi" w:hAnsiTheme="majorHAnsi"/>
          <w:b/>
          <w:bCs/>
          <w:sz w:val="20"/>
          <w:szCs w:val="20"/>
          <w:lang w:val="es-ES"/>
        </w:rPr>
        <w:t xml:space="preserve"> Rubén Darío Carvajal Hernández</w:t>
      </w:r>
    </w:p>
    <w:p w14:paraId="7BB1EDDA" w14:textId="5BD741D7" w:rsidR="00394722" w:rsidRPr="00482806" w:rsidRDefault="00AD0B6E"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 xml:space="preserve">El </w:t>
      </w:r>
      <w:r w:rsidR="00CA4F09" w:rsidRPr="00482806">
        <w:rPr>
          <w:rFonts w:asciiTheme="majorHAnsi" w:hAnsiTheme="majorHAnsi"/>
          <w:sz w:val="20"/>
          <w:szCs w:val="20"/>
          <w:lang w:val="es-ES"/>
        </w:rPr>
        <w:t xml:space="preserve">peticionario </w:t>
      </w:r>
      <w:r w:rsidR="00FA488F" w:rsidRPr="00482806">
        <w:rPr>
          <w:rFonts w:asciiTheme="majorHAnsi" w:hAnsiTheme="majorHAnsi"/>
          <w:sz w:val="20"/>
          <w:szCs w:val="20"/>
          <w:lang w:val="es-ES"/>
        </w:rPr>
        <w:t>narra</w:t>
      </w:r>
      <w:r w:rsidR="00CA4F09" w:rsidRPr="00482806">
        <w:rPr>
          <w:rFonts w:asciiTheme="majorHAnsi" w:hAnsiTheme="majorHAnsi"/>
          <w:sz w:val="20"/>
          <w:szCs w:val="20"/>
          <w:lang w:val="es-ES"/>
        </w:rPr>
        <w:t xml:space="preserve"> que el Sr. Carvajal Hernández </w:t>
      </w:r>
      <w:r w:rsidR="0043086D" w:rsidRPr="00482806">
        <w:rPr>
          <w:rFonts w:asciiTheme="majorHAnsi" w:hAnsiTheme="majorHAnsi"/>
          <w:sz w:val="20"/>
          <w:szCs w:val="20"/>
          <w:lang w:val="es-ES"/>
        </w:rPr>
        <w:t xml:space="preserve">ingresó a prestar servicios en la Policía Nacional el 17 de abril de 1995 </w:t>
      </w:r>
      <w:r w:rsidR="00AB5317" w:rsidRPr="00482806">
        <w:rPr>
          <w:rFonts w:asciiTheme="majorHAnsi" w:hAnsiTheme="majorHAnsi"/>
          <w:sz w:val="20"/>
          <w:szCs w:val="20"/>
          <w:lang w:val="es-ES"/>
        </w:rPr>
        <w:t xml:space="preserve">hasta el </w:t>
      </w:r>
      <w:r w:rsidRPr="00482806">
        <w:rPr>
          <w:rFonts w:asciiTheme="majorHAnsi" w:hAnsiTheme="majorHAnsi"/>
          <w:sz w:val="20"/>
          <w:szCs w:val="20"/>
          <w:lang w:val="es-ES"/>
        </w:rPr>
        <w:t>9 de octubre de 2008</w:t>
      </w:r>
      <w:r w:rsidR="00AB5317" w:rsidRPr="00482806">
        <w:rPr>
          <w:rFonts w:asciiTheme="majorHAnsi" w:hAnsiTheme="majorHAnsi"/>
          <w:sz w:val="20"/>
          <w:szCs w:val="20"/>
          <w:lang w:val="es-ES"/>
        </w:rPr>
        <w:t>, día en que fue informado de su retiro bajo la facultad discrecional de la entidad</w:t>
      </w:r>
      <w:r w:rsidRPr="00482806">
        <w:rPr>
          <w:rFonts w:asciiTheme="majorHAnsi" w:hAnsiTheme="majorHAnsi"/>
          <w:sz w:val="20"/>
          <w:szCs w:val="20"/>
          <w:lang w:val="es-ES"/>
        </w:rPr>
        <w:t xml:space="preserve"> mediante la resolución </w:t>
      </w:r>
      <w:r w:rsidR="00FA488F" w:rsidRPr="00482806">
        <w:rPr>
          <w:rFonts w:asciiTheme="majorHAnsi" w:hAnsiTheme="majorHAnsi"/>
          <w:sz w:val="20"/>
          <w:szCs w:val="20"/>
          <w:lang w:val="es-ES"/>
        </w:rPr>
        <w:t>nr</w:t>
      </w:r>
      <w:r w:rsidRPr="00482806">
        <w:rPr>
          <w:rFonts w:asciiTheme="majorHAnsi" w:hAnsiTheme="majorHAnsi"/>
          <w:sz w:val="20"/>
          <w:szCs w:val="20"/>
          <w:lang w:val="es-ES"/>
        </w:rPr>
        <w:t>o. 0054</w:t>
      </w:r>
      <w:r w:rsidR="00EF37C0" w:rsidRPr="00482806">
        <w:rPr>
          <w:rFonts w:asciiTheme="majorHAnsi" w:hAnsiTheme="majorHAnsi"/>
          <w:sz w:val="20"/>
          <w:szCs w:val="20"/>
          <w:lang w:val="es-ES"/>
        </w:rPr>
        <w:t>, previa recomendación de la Junta de Evaluación y Calificación</w:t>
      </w:r>
      <w:r w:rsidR="00394722" w:rsidRPr="00482806">
        <w:rPr>
          <w:rFonts w:asciiTheme="majorHAnsi" w:hAnsiTheme="majorHAnsi"/>
          <w:sz w:val="20"/>
          <w:szCs w:val="20"/>
          <w:lang w:val="es-ES"/>
        </w:rPr>
        <w:t>, sin motivación alguna</w:t>
      </w:r>
      <w:r w:rsidR="003F5154" w:rsidRPr="00482806">
        <w:rPr>
          <w:rFonts w:asciiTheme="majorHAnsi" w:hAnsiTheme="majorHAnsi"/>
          <w:sz w:val="20"/>
          <w:szCs w:val="20"/>
          <w:lang w:val="es-ES"/>
        </w:rPr>
        <w:t>.</w:t>
      </w:r>
    </w:p>
    <w:p w14:paraId="57990D4D" w14:textId="34B2E1F2" w:rsidR="00D95B9A" w:rsidRPr="00482806" w:rsidRDefault="00FA488F"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L</w:t>
      </w:r>
      <w:r w:rsidR="003623F7" w:rsidRPr="00482806">
        <w:rPr>
          <w:rFonts w:asciiTheme="majorHAnsi" w:hAnsiTheme="majorHAnsi"/>
          <w:sz w:val="20"/>
          <w:szCs w:val="20"/>
          <w:lang w:val="es-ES"/>
        </w:rPr>
        <w:t xml:space="preserve">a presunta víctima promovió una acción de nulidad y restablecimiento del derecho contra la resolución que ordenó su retiro del servicio, </w:t>
      </w:r>
      <w:r w:rsidR="00D04290" w:rsidRPr="00482806">
        <w:rPr>
          <w:rFonts w:asciiTheme="majorHAnsi" w:hAnsiTheme="majorHAnsi"/>
          <w:sz w:val="20"/>
          <w:szCs w:val="20"/>
          <w:lang w:val="es-ES"/>
        </w:rPr>
        <w:t xml:space="preserve">en el marco de la cual, el Juzgado 16 Administrativo del Circuito de Cali </w:t>
      </w:r>
      <w:r w:rsidR="00170F85" w:rsidRPr="00482806">
        <w:rPr>
          <w:rFonts w:asciiTheme="majorHAnsi" w:hAnsiTheme="majorHAnsi"/>
          <w:sz w:val="20"/>
          <w:szCs w:val="20"/>
          <w:lang w:val="es-ES"/>
        </w:rPr>
        <w:t xml:space="preserve">denegó </w:t>
      </w:r>
      <w:r w:rsidR="009212DA" w:rsidRPr="00482806">
        <w:rPr>
          <w:rFonts w:asciiTheme="majorHAnsi" w:hAnsiTheme="majorHAnsi"/>
          <w:sz w:val="20"/>
          <w:szCs w:val="20"/>
          <w:lang w:val="es-ES"/>
        </w:rPr>
        <w:t>su</w:t>
      </w:r>
      <w:r w:rsidR="00170F85" w:rsidRPr="00482806">
        <w:rPr>
          <w:rFonts w:asciiTheme="majorHAnsi" w:hAnsiTheme="majorHAnsi"/>
          <w:sz w:val="20"/>
          <w:szCs w:val="20"/>
          <w:lang w:val="es-ES"/>
        </w:rPr>
        <w:t>s pretensiones en primera instancia, con fundamento en la presunción de legalidad de los actos administrativos y e</w:t>
      </w:r>
      <w:r w:rsidR="00077897" w:rsidRPr="00482806">
        <w:rPr>
          <w:rFonts w:asciiTheme="majorHAnsi" w:hAnsiTheme="majorHAnsi"/>
          <w:sz w:val="20"/>
          <w:szCs w:val="20"/>
          <w:lang w:val="es-ES"/>
        </w:rPr>
        <w:t>n</w:t>
      </w:r>
      <w:r w:rsidR="00170F85" w:rsidRPr="00482806">
        <w:rPr>
          <w:rFonts w:asciiTheme="majorHAnsi" w:hAnsiTheme="majorHAnsi"/>
          <w:sz w:val="20"/>
          <w:szCs w:val="20"/>
          <w:lang w:val="es-ES"/>
        </w:rPr>
        <w:t xml:space="preserve"> la facultad discrecional de retiro de la Policía. </w:t>
      </w:r>
      <w:r w:rsidR="009A6FD1" w:rsidRPr="00482806">
        <w:rPr>
          <w:rFonts w:asciiTheme="majorHAnsi" w:hAnsiTheme="majorHAnsi"/>
          <w:sz w:val="20"/>
          <w:szCs w:val="20"/>
          <w:lang w:val="es-ES"/>
        </w:rPr>
        <w:t xml:space="preserve">La parte peticionaria apeló esta decisión y el 19 de marzo de 2014 el Tribunal de lo Contencioso Administrativo del Valle del Cauca confirmó la </w:t>
      </w:r>
      <w:r w:rsidR="0033150C" w:rsidRPr="00482806">
        <w:rPr>
          <w:rFonts w:asciiTheme="majorHAnsi" w:hAnsiTheme="majorHAnsi"/>
          <w:sz w:val="20"/>
          <w:szCs w:val="20"/>
          <w:lang w:val="es-ES"/>
        </w:rPr>
        <w:t>sentencia bajo el mism</w:t>
      </w:r>
      <w:r w:rsidR="00DB607D" w:rsidRPr="00482806">
        <w:rPr>
          <w:rFonts w:asciiTheme="majorHAnsi" w:hAnsiTheme="majorHAnsi"/>
          <w:sz w:val="20"/>
          <w:szCs w:val="20"/>
          <w:lang w:val="es-ES"/>
        </w:rPr>
        <w:t>o</w:t>
      </w:r>
      <w:r w:rsidR="0033150C" w:rsidRPr="00482806">
        <w:rPr>
          <w:rFonts w:asciiTheme="majorHAnsi" w:hAnsiTheme="majorHAnsi"/>
          <w:sz w:val="20"/>
          <w:szCs w:val="20"/>
          <w:lang w:val="es-ES"/>
        </w:rPr>
        <w:t xml:space="preserve"> sustento</w:t>
      </w:r>
      <w:r w:rsidR="0000653F" w:rsidRPr="00482806">
        <w:rPr>
          <w:rFonts w:asciiTheme="majorHAnsi" w:hAnsiTheme="majorHAnsi"/>
          <w:sz w:val="20"/>
          <w:szCs w:val="20"/>
          <w:lang w:val="es-ES"/>
        </w:rPr>
        <w:t xml:space="preserve">, recordando que estos actos se presumen expedidos </w:t>
      </w:r>
      <w:r w:rsidR="00B4675A" w:rsidRPr="00482806">
        <w:rPr>
          <w:rFonts w:asciiTheme="majorHAnsi" w:hAnsiTheme="majorHAnsi"/>
          <w:sz w:val="20"/>
          <w:szCs w:val="20"/>
          <w:lang w:val="es-ES"/>
        </w:rPr>
        <w:t>en aras de la prestación del buen servicio y la administración no está obligada a motivarlos</w:t>
      </w:r>
      <w:r w:rsidR="0033150C" w:rsidRPr="00482806">
        <w:rPr>
          <w:rFonts w:asciiTheme="majorHAnsi" w:hAnsiTheme="majorHAnsi"/>
          <w:sz w:val="20"/>
          <w:szCs w:val="20"/>
          <w:lang w:val="es-ES"/>
        </w:rPr>
        <w:t>.</w:t>
      </w:r>
    </w:p>
    <w:p w14:paraId="7CFB56BF" w14:textId="09FED18B" w:rsidR="006E621A" w:rsidRPr="00482806" w:rsidRDefault="00C72DD2" w:rsidP="00D912FC">
      <w:pPr>
        <w:pStyle w:val="ListParagraph"/>
        <w:numPr>
          <w:ilvl w:val="0"/>
          <w:numId w:val="61"/>
        </w:numPr>
        <w:ind w:left="0" w:firstLine="720"/>
        <w:jc w:val="both"/>
        <w:rPr>
          <w:rFonts w:asciiTheme="majorHAnsi" w:hAnsiTheme="majorHAnsi"/>
          <w:bCs/>
          <w:sz w:val="20"/>
          <w:szCs w:val="20"/>
          <w:lang w:val="es-ES"/>
        </w:rPr>
      </w:pPr>
      <w:r>
        <w:rPr>
          <w:rFonts w:asciiTheme="majorHAnsi" w:hAnsiTheme="majorHAnsi"/>
          <w:bCs/>
          <w:sz w:val="20"/>
          <w:szCs w:val="20"/>
          <w:lang w:val="es-ES"/>
        </w:rPr>
        <w:t>A</w:t>
      </w:r>
      <w:r w:rsidR="00FC18FC" w:rsidRPr="00482806">
        <w:rPr>
          <w:rFonts w:asciiTheme="majorHAnsi" w:hAnsiTheme="majorHAnsi"/>
          <w:bCs/>
          <w:sz w:val="20"/>
          <w:szCs w:val="20"/>
          <w:lang w:val="es-ES"/>
        </w:rPr>
        <w:t>nte ello, el Sr. Carvajal Hernández interpuso una acción de tutela</w:t>
      </w:r>
      <w:r w:rsidR="008A367C" w:rsidRPr="00482806">
        <w:rPr>
          <w:rFonts w:asciiTheme="majorHAnsi" w:hAnsiTheme="majorHAnsi"/>
          <w:bCs/>
          <w:sz w:val="20"/>
          <w:szCs w:val="20"/>
          <w:lang w:val="es-ES"/>
        </w:rPr>
        <w:t xml:space="preserve"> por violación de sus derechos fundamentales y con sustento en la jurisprudencia de la Corte Constitucional, que establecía </w:t>
      </w:r>
      <w:r w:rsidR="008E32D9" w:rsidRPr="00482806">
        <w:rPr>
          <w:rFonts w:asciiTheme="majorHAnsi" w:hAnsiTheme="majorHAnsi"/>
          <w:bCs/>
          <w:sz w:val="20"/>
          <w:szCs w:val="20"/>
          <w:lang w:val="es-ES"/>
        </w:rPr>
        <w:t xml:space="preserve">el deber de motivar las resoluciones de retiro por parte de la Policía Nacional. Sin embargo, </w:t>
      </w:r>
      <w:r w:rsidR="00E165A7" w:rsidRPr="00482806">
        <w:rPr>
          <w:rFonts w:asciiTheme="majorHAnsi" w:hAnsiTheme="majorHAnsi"/>
          <w:bCs/>
          <w:sz w:val="20"/>
          <w:szCs w:val="20"/>
          <w:lang w:val="es-ES"/>
        </w:rPr>
        <w:t>el Consejo de Estado denegó el amparo</w:t>
      </w:r>
      <w:r w:rsidR="00FA488F" w:rsidRPr="00482806">
        <w:rPr>
          <w:rFonts w:asciiTheme="majorHAnsi" w:hAnsiTheme="majorHAnsi"/>
          <w:bCs/>
          <w:sz w:val="20"/>
          <w:szCs w:val="20"/>
          <w:lang w:val="es-ES"/>
        </w:rPr>
        <w:t>;</w:t>
      </w:r>
      <w:r w:rsidR="00E165A7" w:rsidRPr="00482806">
        <w:rPr>
          <w:rFonts w:asciiTheme="majorHAnsi" w:hAnsiTheme="majorHAnsi"/>
          <w:bCs/>
          <w:sz w:val="20"/>
          <w:szCs w:val="20"/>
          <w:lang w:val="es-ES"/>
        </w:rPr>
        <w:t xml:space="preserve"> y el </w:t>
      </w:r>
      <w:r w:rsidR="007A682A" w:rsidRPr="00482806">
        <w:rPr>
          <w:rFonts w:asciiTheme="majorHAnsi" w:hAnsiTheme="majorHAnsi"/>
          <w:bCs/>
          <w:sz w:val="20"/>
          <w:szCs w:val="20"/>
          <w:lang w:val="es-ES"/>
        </w:rPr>
        <w:t>9 de abril de 2015 la Corte Constitucional deci</w:t>
      </w:r>
      <w:r w:rsidR="00FA488F" w:rsidRPr="00482806">
        <w:rPr>
          <w:rFonts w:asciiTheme="majorHAnsi" w:hAnsiTheme="majorHAnsi"/>
          <w:bCs/>
          <w:sz w:val="20"/>
          <w:szCs w:val="20"/>
          <w:lang w:val="es-ES"/>
        </w:rPr>
        <w:t>dió</w:t>
      </w:r>
      <w:r w:rsidR="007A682A" w:rsidRPr="00482806">
        <w:rPr>
          <w:rFonts w:asciiTheme="majorHAnsi" w:hAnsiTheme="majorHAnsi"/>
          <w:bCs/>
          <w:sz w:val="20"/>
          <w:szCs w:val="20"/>
          <w:lang w:val="es-ES"/>
        </w:rPr>
        <w:t xml:space="preserve"> no revisar la acción de tutela</w:t>
      </w:r>
      <w:r w:rsidR="009A5744" w:rsidRPr="00482806">
        <w:rPr>
          <w:rFonts w:asciiTheme="majorHAnsi" w:hAnsiTheme="majorHAnsi"/>
          <w:bCs/>
          <w:sz w:val="20"/>
          <w:szCs w:val="20"/>
          <w:lang w:val="es-ES"/>
        </w:rPr>
        <w:t xml:space="preserve">, mediante una providencia que le fue </w:t>
      </w:r>
      <w:r w:rsidR="00461B7B" w:rsidRPr="00482806">
        <w:rPr>
          <w:rFonts w:asciiTheme="majorHAnsi" w:hAnsiTheme="majorHAnsi"/>
          <w:sz w:val="20"/>
          <w:szCs w:val="20"/>
          <w:lang w:val="es-ES"/>
        </w:rPr>
        <w:t>no</w:t>
      </w:r>
      <w:r w:rsidR="00AA3D89" w:rsidRPr="00482806">
        <w:rPr>
          <w:rFonts w:asciiTheme="majorHAnsi" w:hAnsiTheme="majorHAnsi"/>
          <w:sz w:val="20"/>
          <w:szCs w:val="20"/>
          <w:lang w:val="es-ES"/>
        </w:rPr>
        <w:t>tifica</w:t>
      </w:r>
      <w:r w:rsidR="009A5744" w:rsidRPr="00482806">
        <w:rPr>
          <w:rFonts w:asciiTheme="majorHAnsi" w:hAnsiTheme="majorHAnsi"/>
          <w:sz w:val="20"/>
          <w:szCs w:val="20"/>
          <w:lang w:val="es-ES"/>
        </w:rPr>
        <w:t>da a la presunta víctima el</w:t>
      </w:r>
      <w:r w:rsidR="00AA3D89" w:rsidRPr="00482806">
        <w:rPr>
          <w:rFonts w:asciiTheme="majorHAnsi" w:hAnsiTheme="majorHAnsi"/>
          <w:sz w:val="20"/>
          <w:szCs w:val="20"/>
          <w:lang w:val="es-ES"/>
        </w:rPr>
        <w:t xml:space="preserve"> 6 de mayo de 2015.</w:t>
      </w:r>
      <w:r w:rsidR="00F77CB6" w:rsidRPr="00482806">
        <w:rPr>
          <w:rFonts w:asciiTheme="majorHAnsi" w:hAnsiTheme="majorHAnsi"/>
          <w:sz w:val="20"/>
          <w:szCs w:val="20"/>
          <w:lang w:val="es-ES"/>
        </w:rPr>
        <w:t xml:space="preserve"> Asevera que dicha decisión fue la que agotó los recursos internos, y desde esa fecha debe contarse el plazo de presentación de la petición.</w:t>
      </w:r>
    </w:p>
    <w:p w14:paraId="726D076C" w14:textId="7C96EE7F" w:rsidR="004E17D7" w:rsidRPr="00482806" w:rsidRDefault="004E17D7" w:rsidP="00D912FC">
      <w:pPr>
        <w:spacing w:before="240" w:after="240"/>
        <w:ind w:firstLine="720"/>
        <w:jc w:val="both"/>
        <w:rPr>
          <w:rFonts w:asciiTheme="majorHAnsi" w:hAnsiTheme="majorHAnsi"/>
          <w:b/>
          <w:bCs/>
          <w:sz w:val="20"/>
          <w:szCs w:val="20"/>
          <w:lang w:val="es-ES"/>
        </w:rPr>
      </w:pPr>
      <w:r w:rsidRPr="00482806">
        <w:rPr>
          <w:rFonts w:asciiTheme="majorHAnsi" w:hAnsiTheme="majorHAnsi"/>
          <w:b/>
          <w:bCs/>
          <w:sz w:val="20"/>
          <w:szCs w:val="20"/>
          <w:lang w:val="es-ES"/>
        </w:rPr>
        <w:lastRenderedPageBreak/>
        <w:t xml:space="preserve">Hechos respecto del señor </w:t>
      </w:r>
      <w:r w:rsidR="006A52C6" w:rsidRPr="00482806">
        <w:rPr>
          <w:rFonts w:asciiTheme="majorHAnsi" w:hAnsiTheme="majorHAnsi"/>
          <w:b/>
          <w:bCs/>
          <w:sz w:val="20"/>
          <w:szCs w:val="20"/>
          <w:lang w:val="es-ES"/>
        </w:rPr>
        <w:t>Howard David Méndez Blanco</w:t>
      </w:r>
    </w:p>
    <w:p w14:paraId="746C53EB" w14:textId="736B1044" w:rsidR="004E17D7" w:rsidRPr="00482806" w:rsidRDefault="006A52C6"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bCs/>
          <w:sz w:val="20"/>
          <w:szCs w:val="20"/>
          <w:lang w:val="es-ES"/>
        </w:rPr>
        <w:t xml:space="preserve">La parte peticionaria relata que </w:t>
      </w:r>
      <w:r w:rsidR="000F0D32" w:rsidRPr="00482806">
        <w:rPr>
          <w:rFonts w:asciiTheme="majorHAnsi" w:hAnsiTheme="majorHAnsi"/>
          <w:bCs/>
          <w:sz w:val="20"/>
          <w:szCs w:val="20"/>
          <w:lang w:val="es-ES"/>
        </w:rPr>
        <w:t xml:space="preserve">el Sr. Méndez Blanco </w:t>
      </w:r>
      <w:r w:rsidR="009B7FB5" w:rsidRPr="00482806">
        <w:rPr>
          <w:rFonts w:asciiTheme="majorHAnsi" w:hAnsiTheme="majorHAnsi"/>
          <w:bCs/>
          <w:sz w:val="20"/>
          <w:szCs w:val="20"/>
          <w:lang w:val="es-ES"/>
        </w:rPr>
        <w:t xml:space="preserve">prestó sus servicios en la Policía Nacional desde el 20 de febrero de 1998 hasta </w:t>
      </w:r>
      <w:r w:rsidR="00551D35" w:rsidRPr="00482806">
        <w:rPr>
          <w:rFonts w:asciiTheme="majorHAnsi" w:hAnsiTheme="majorHAnsi"/>
          <w:bCs/>
          <w:sz w:val="20"/>
          <w:szCs w:val="20"/>
          <w:lang w:val="es-ES"/>
        </w:rPr>
        <w:t>el 3 de mayo de 2009</w:t>
      </w:r>
      <w:r w:rsidR="00BD3776" w:rsidRPr="00482806">
        <w:rPr>
          <w:rFonts w:asciiTheme="majorHAnsi" w:hAnsiTheme="majorHAnsi"/>
          <w:bCs/>
          <w:sz w:val="20"/>
          <w:szCs w:val="20"/>
          <w:lang w:val="es-ES"/>
        </w:rPr>
        <w:t>, fecha en que la entidad dispuso su retiro sin motivación alguna</w:t>
      </w:r>
      <w:r w:rsidR="007C2237" w:rsidRPr="00482806">
        <w:rPr>
          <w:rFonts w:asciiTheme="majorHAnsi" w:hAnsiTheme="majorHAnsi"/>
          <w:bCs/>
          <w:sz w:val="20"/>
          <w:szCs w:val="20"/>
          <w:lang w:val="es-ES"/>
        </w:rPr>
        <w:t xml:space="preserve"> mediante la Resolución No. 0210, pese </w:t>
      </w:r>
      <w:r w:rsidR="00017D43" w:rsidRPr="00482806">
        <w:rPr>
          <w:rFonts w:asciiTheme="majorHAnsi" w:hAnsiTheme="majorHAnsi"/>
          <w:bCs/>
          <w:sz w:val="20"/>
          <w:szCs w:val="20"/>
          <w:lang w:val="es-ES"/>
        </w:rPr>
        <w:t>su desempeño anual había sido calificado en los rangos</w:t>
      </w:r>
      <w:r w:rsidR="00F7275E" w:rsidRPr="00482806">
        <w:rPr>
          <w:rFonts w:asciiTheme="majorHAnsi" w:hAnsiTheme="majorHAnsi"/>
          <w:bCs/>
          <w:sz w:val="20"/>
          <w:szCs w:val="20"/>
          <w:lang w:val="es-ES"/>
        </w:rPr>
        <w:t xml:space="preserve"> de</w:t>
      </w:r>
      <w:r w:rsidR="00017D43" w:rsidRPr="00482806">
        <w:rPr>
          <w:rFonts w:asciiTheme="majorHAnsi" w:hAnsiTheme="majorHAnsi"/>
          <w:bCs/>
          <w:sz w:val="20"/>
          <w:szCs w:val="20"/>
          <w:lang w:val="es-ES"/>
        </w:rPr>
        <w:t xml:space="preserve"> “superior</w:t>
      </w:r>
      <w:r w:rsidR="00F7275E" w:rsidRPr="00482806">
        <w:rPr>
          <w:rFonts w:asciiTheme="majorHAnsi" w:hAnsiTheme="majorHAnsi"/>
          <w:bCs/>
          <w:sz w:val="20"/>
          <w:szCs w:val="20"/>
          <w:lang w:val="es-ES"/>
        </w:rPr>
        <w:t>”</w:t>
      </w:r>
      <w:r w:rsidR="00017D43" w:rsidRPr="00482806">
        <w:rPr>
          <w:rFonts w:asciiTheme="majorHAnsi" w:hAnsiTheme="majorHAnsi"/>
          <w:bCs/>
          <w:sz w:val="20"/>
          <w:szCs w:val="20"/>
          <w:lang w:val="es-ES"/>
        </w:rPr>
        <w:t xml:space="preserve"> y </w:t>
      </w:r>
      <w:r w:rsidR="00F7275E" w:rsidRPr="00482806">
        <w:rPr>
          <w:rFonts w:asciiTheme="majorHAnsi" w:hAnsiTheme="majorHAnsi"/>
          <w:bCs/>
          <w:sz w:val="20"/>
          <w:szCs w:val="20"/>
          <w:lang w:val="es-ES"/>
        </w:rPr>
        <w:t>“</w:t>
      </w:r>
      <w:r w:rsidR="00017D43" w:rsidRPr="00482806">
        <w:rPr>
          <w:rFonts w:asciiTheme="majorHAnsi" w:hAnsiTheme="majorHAnsi"/>
          <w:bCs/>
          <w:sz w:val="20"/>
          <w:szCs w:val="20"/>
          <w:lang w:val="es-ES"/>
        </w:rPr>
        <w:t xml:space="preserve">excepcional” y de contar con varias condecoraciones por su </w:t>
      </w:r>
      <w:r w:rsidR="00CE796F" w:rsidRPr="00482806">
        <w:rPr>
          <w:rFonts w:asciiTheme="majorHAnsi" w:hAnsiTheme="majorHAnsi"/>
          <w:bCs/>
          <w:sz w:val="20"/>
          <w:szCs w:val="20"/>
          <w:lang w:val="es-ES"/>
        </w:rPr>
        <w:t>trabajo en la Sección de Investigación Criminal “SIJIN”.</w:t>
      </w:r>
    </w:p>
    <w:p w14:paraId="1D0B1861" w14:textId="4FA9F6A2" w:rsidR="00A203CB" w:rsidRPr="00482806" w:rsidRDefault="003D7A24"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bCs/>
          <w:sz w:val="20"/>
          <w:szCs w:val="20"/>
          <w:lang w:val="es-ES"/>
        </w:rPr>
        <w:t xml:space="preserve">Señala que </w:t>
      </w:r>
      <w:r w:rsidR="00FA488F" w:rsidRPr="00482806">
        <w:rPr>
          <w:rFonts w:asciiTheme="majorHAnsi" w:hAnsiTheme="majorHAnsi"/>
          <w:bCs/>
          <w:sz w:val="20"/>
          <w:szCs w:val="20"/>
          <w:lang w:val="es-ES"/>
        </w:rPr>
        <w:t>presentó</w:t>
      </w:r>
      <w:r w:rsidR="009C77A5" w:rsidRPr="00482806">
        <w:rPr>
          <w:rFonts w:asciiTheme="majorHAnsi" w:hAnsiTheme="majorHAnsi"/>
          <w:bCs/>
          <w:sz w:val="20"/>
          <w:szCs w:val="20"/>
          <w:lang w:val="es-ES"/>
        </w:rPr>
        <w:t xml:space="preserve"> demanda de nulidad y restablecimiento del derecho contra dicha resolución que fue denegada</w:t>
      </w:r>
      <w:r w:rsidR="00FC14C8" w:rsidRPr="00482806">
        <w:rPr>
          <w:rFonts w:asciiTheme="majorHAnsi" w:hAnsiTheme="majorHAnsi"/>
          <w:bCs/>
          <w:sz w:val="20"/>
          <w:szCs w:val="20"/>
          <w:lang w:val="es-ES"/>
        </w:rPr>
        <w:t xml:space="preserve"> el 20 de septiembre de 2013 en primera instancia por el Juzgado Cuarto Administrativo del Distrito Judicial de Sincelejo, </w:t>
      </w:r>
      <w:r w:rsidR="004355B9" w:rsidRPr="00482806">
        <w:rPr>
          <w:rFonts w:asciiTheme="majorHAnsi" w:hAnsiTheme="majorHAnsi"/>
          <w:bCs/>
          <w:sz w:val="20"/>
          <w:szCs w:val="20"/>
          <w:lang w:val="es-ES"/>
        </w:rPr>
        <w:t>fundado</w:t>
      </w:r>
      <w:r w:rsidR="00D73CB0" w:rsidRPr="00482806">
        <w:rPr>
          <w:rFonts w:asciiTheme="majorHAnsi" w:hAnsiTheme="majorHAnsi"/>
          <w:bCs/>
          <w:sz w:val="20"/>
          <w:szCs w:val="20"/>
          <w:lang w:val="es-ES"/>
        </w:rPr>
        <w:t xml:space="preserve"> en que </w:t>
      </w:r>
      <w:r w:rsidR="00261C76" w:rsidRPr="00482806">
        <w:rPr>
          <w:rFonts w:asciiTheme="majorHAnsi" w:hAnsiTheme="majorHAnsi"/>
          <w:bCs/>
          <w:sz w:val="20"/>
          <w:szCs w:val="20"/>
          <w:lang w:val="es-ES"/>
        </w:rPr>
        <w:t>los actos administrativos de retiro no requieren motivación.</w:t>
      </w:r>
      <w:r w:rsidR="00AF0BFD" w:rsidRPr="00482806">
        <w:rPr>
          <w:rFonts w:asciiTheme="majorHAnsi" w:hAnsiTheme="majorHAnsi"/>
          <w:bCs/>
          <w:sz w:val="20"/>
          <w:szCs w:val="20"/>
          <w:lang w:val="es-ES"/>
        </w:rPr>
        <w:t xml:space="preserve"> Ante ello, refiere que interpuso un recuro de apelación contra el fallo, </w:t>
      </w:r>
      <w:r w:rsidR="0003277F" w:rsidRPr="00482806">
        <w:rPr>
          <w:rFonts w:asciiTheme="majorHAnsi" w:hAnsiTheme="majorHAnsi"/>
          <w:bCs/>
          <w:sz w:val="20"/>
          <w:szCs w:val="20"/>
          <w:lang w:val="es-ES"/>
        </w:rPr>
        <w:t>pero éste fue confirmado el 15 de diciembre de 2015 por el Tribunal Administrativo de Sucre en segunda instancia.</w:t>
      </w:r>
    </w:p>
    <w:p w14:paraId="4EB01473" w14:textId="63264A61" w:rsidR="00094DC8" w:rsidRPr="00482806" w:rsidRDefault="00FA488F"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bCs/>
          <w:sz w:val="20"/>
          <w:szCs w:val="20"/>
          <w:lang w:val="es-ES"/>
        </w:rPr>
        <w:t>El afectado</w:t>
      </w:r>
      <w:r w:rsidR="004C0CC1" w:rsidRPr="00482806">
        <w:rPr>
          <w:rFonts w:asciiTheme="majorHAnsi" w:hAnsiTheme="majorHAnsi"/>
          <w:bCs/>
          <w:sz w:val="20"/>
          <w:szCs w:val="20"/>
          <w:lang w:val="es-ES"/>
        </w:rPr>
        <w:t xml:space="preserve"> promovió una acción de tutela ante el Consejo de Estado, pero el 2 de julio de 2015 esta Corporación denegó el amparo solicitado porque, de acuerdo con su </w:t>
      </w:r>
      <w:r w:rsidR="007F4779" w:rsidRPr="00482806">
        <w:rPr>
          <w:rFonts w:asciiTheme="majorHAnsi" w:hAnsiTheme="majorHAnsi"/>
          <w:bCs/>
          <w:sz w:val="20"/>
          <w:szCs w:val="20"/>
          <w:lang w:val="es-ES"/>
        </w:rPr>
        <w:t>jurisprudencia</w:t>
      </w:r>
      <w:r w:rsidR="004C0CC1" w:rsidRPr="00482806">
        <w:rPr>
          <w:rFonts w:asciiTheme="majorHAnsi" w:hAnsiTheme="majorHAnsi"/>
          <w:bCs/>
          <w:sz w:val="20"/>
          <w:szCs w:val="20"/>
          <w:lang w:val="es-ES"/>
        </w:rPr>
        <w:t xml:space="preserve">, el retiro discrecional del servicio de funcionarios de policía no requería </w:t>
      </w:r>
      <w:r w:rsidR="00FF227D" w:rsidRPr="00482806">
        <w:rPr>
          <w:rFonts w:asciiTheme="majorHAnsi" w:hAnsiTheme="majorHAnsi"/>
          <w:bCs/>
          <w:sz w:val="20"/>
          <w:szCs w:val="20"/>
          <w:lang w:val="es-ES"/>
        </w:rPr>
        <w:t>motivación.</w:t>
      </w:r>
      <w:r w:rsidR="00CE3247" w:rsidRPr="00482806">
        <w:rPr>
          <w:rFonts w:asciiTheme="majorHAnsi" w:hAnsiTheme="majorHAnsi"/>
          <w:bCs/>
          <w:sz w:val="20"/>
          <w:szCs w:val="20"/>
          <w:lang w:val="es-ES"/>
        </w:rPr>
        <w:t xml:space="preserve"> </w:t>
      </w:r>
      <w:r w:rsidR="00D25EAC" w:rsidRPr="00482806">
        <w:rPr>
          <w:rFonts w:asciiTheme="majorHAnsi" w:hAnsiTheme="majorHAnsi"/>
          <w:bCs/>
          <w:sz w:val="20"/>
          <w:szCs w:val="20"/>
          <w:lang w:val="es-ES"/>
        </w:rPr>
        <w:t>El Sr. Méndez Blanco impugnó esta decisión, y el 2 de diciembre de 2015 fue confirmada por otra sección del Consejo de Estado</w:t>
      </w:r>
      <w:r w:rsidR="004E0044" w:rsidRPr="00482806">
        <w:rPr>
          <w:rFonts w:asciiTheme="majorHAnsi" w:hAnsiTheme="majorHAnsi"/>
          <w:bCs/>
          <w:sz w:val="20"/>
          <w:szCs w:val="20"/>
          <w:lang w:val="es-ES"/>
        </w:rPr>
        <w:t>.</w:t>
      </w:r>
      <w:r w:rsidR="000F1E68" w:rsidRPr="00482806">
        <w:rPr>
          <w:rFonts w:asciiTheme="majorHAnsi" w:hAnsiTheme="majorHAnsi"/>
          <w:bCs/>
          <w:sz w:val="20"/>
          <w:szCs w:val="20"/>
          <w:lang w:val="es-ES"/>
        </w:rPr>
        <w:t xml:space="preserve"> Ante ello, solicitó la revisión del proceso a la Corte Constitucional</w:t>
      </w:r>
      <w:r w:rsidR="005F6E39" w:rsidRPr="00482806">
        <w:rPr>
          <w:rFonts w:asciiTheme="majorHAnsi" w:hAnsiTheme="majorHAnsi"/>
          <w:bCs/>
          <w:sz w:val="20"/>
          <w:szCs w:val="20"/>
          <w:lang w:val="es-ES"/>
        </w:rPr>
        <w:t xml:space="preserve"> y en marzo de 2016 radicó una insistencia</w:t>
      </w:r>
      <w:r w:rsidR="000F1E68" w:rsidRPr="00482806">
        <w:rPr>
          <w:rFonts w:asciiTheme="majorHAnsi" w:hAnsiTheme="majorHAnsi"/>
          <w:bCs/>
          <w:sz w:val="20"/>
          <w:szCs w:val="20"/>
          <w:lang w:val="es-ES"/>
        </w:rPr>
        <w:t xml:space="preserve">, pero el </w:t>
      </w:r>
      <w:r w:rsidR="004D40F2" w:rsidRPr="00482806">
        <w:rPr>
          <w:rFonts w:asciiTheme="majorHAnsi" w:hAnsiTheme="majorHAnsi"/>
          <w:bCs/>
          <w:sz w:val="20"/>
          <w:szCs w:val="20"/>
          <w:lang w:val="es-ES"/>
        </w:rPr>
        <w:t xml:space="preserve">14 de abril de 2016 </w:t>
      </w:r>
      <w:r w:rsidRPr="00482806">
        <w:rPr>
          <w:rFonts w:asciiTheme="majorHAnsi" w:hAnsiTheme="majorHAnsi"/>
          <w:bCs/>
          <w:sz w:val="20"/>
          <w:szCs w:val="20"/>
          <w:lang w:val="es-ES"/>
        </w:rPr>
        <w:t>esta máxima instancia</w:t>
      </w:r>
      <w:r w:rsidR="004D40F2" w:rsidRPr="00482806">
        <w:rPr>
          <w:rFonts w:asciiTheme="majorHAnsi" w:hAnsiTheme="majorHAnsi"/>
          <w:bCs/>
          <w:sz w:val="20"/>
          <w:szCs w:val="20"/>
          <w:lang w:val="es-ES"/>
        </w:rPr>
        <w:t xml:space="preserve"> le notificó que </w:t>
      </w:r>
      <w:r w:rsidR="00EF66AC" w:rsidRPr="00482806">
        <w:rPr>
          <w:rFonts w:asciiTheme="majorHAnsi" w:hAnsiTheme="majorHAnsi"/>
          <w:bCs/>
          <w:sz w:val="20"/>
          <w:szCs w:val="20"/>
          <w:lang w:val="es-ES"/>
        </w:rPr>
        <w:t>no revisaría el proceso de tutela.</w:t>
      </w:r>
    </w:p>
    <w:p w14:paraId="1BE71319" w14:textId="150E5618" w:rsidR="00B2508B" w:rsidRPr="00482806" w:rsidRDefault="00B2508B" w:rsidP="00D912FC">
      <w:pPr>
        <w:pStyle w:val="ListParagraph"/>
        <w:numPr>
          <w:ilvl w:val="0"/>
          <w:numId w:val="0"/>
        </w:numPr>
        <w:ind w:left="720"/>
        <w:jc w:val="both"/>
        <w:rPr>
          <w:rFonts w:asciiTheme="majorHAnsi" w:hAnsiTheme="majorHAnsi"/>
          <w:b/>
          <w:sz w:val="20"/>
          <w:szCs w:val="20"/>
          <w:lang w:val="es-ES"/>
        </w:rPr>
      </w:pPr>
      <w:r w:rsidRPr="00482806">
        <w:rPr>
          <w:rFonts w:asciiTheme="majorHAnsi" w:hAnsiTheme="majorHAnsi"/>
          <w:b/>
          <w:sz w:val="20"/>
          <w:szCs w:val="20"/>
          <w:lang w:val="es-ES"/>
        </w:rPr>
        <w:t>Alegatos comunes d</w:t>
      </w:r>
      <w:r w:rsidR="00DD3413" w:rsidRPr="00482806">
        <w:rPr>
          <w:rFonts w:asciiTheme="majorHAnsi" w:hAnsiTheme="majorHAnsi"/>
          <w:b/>
          <w:sz w:val="20"/>
          <w:szCs w:val="20"/>
          <w:lang w:val="es-ES"/>
        </w:rPr>
        <w:t>e</w:t>
      </w:r>
      <w:r w:rsidR="000B47A7" w:rsidRPr="00482806">
        <w:rPr>
          <w:rFonts w:asciiTheme="majorHAnsi" w:hAnsiTheme="majorHAnsi"/>
          <w:b/>
          <w:sz w:val="20"/>
          <w:szCs w:val="20"/>
          <w:lang w:val="es-ES"/>
        </w:rPr>
        <w:t xml:space="preserve"> la parte peticionaria</w:t>
      </w:r>
    </w:p>
    <w:p w14:paraId="45C7BD82" w14:textId="4E4ABEE6" w:rsidR="00B2508B" w:rsidRPr="00482806" w:rsidRDefault="00FA488F"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L</w:t>
      </w:r>
      <w:r w:rsidR="007755AB" w:rsidRPr="00482806">
        <w:rPr>
          <w:rFonts w:asciiTheme="majorHAnsi" w:hAnsiTheme="majorHAnsi"/>
          <w:sz w:val="20"/>
          <w:szCs w:val="20"/>
          <w:lang w:val="es-ES"/>
        </w:rPr>
        <w:t>a</w:t>
      </w:r>
      <w:r w:rsidR="00B2508B" w:rsidRPr="00482806">
        <w:rPr>
          <w:rFonts w:asciiTheme="majorHAnsi" w:hAnsiTheme="majorHAnsi"/>
          <w:sz w:val="20"/>
          <w:szCs w:val="20"/>
          <w:lang w:val="es-ES"/>
        </w:rPr>
        <w:t xml:space="preserve"> </w:t>
      </w:r>
      <w:r w:rsidR="007755AB" w:rsidRPr="00482806">
        <w:rPr>
          <w:rFonts w:asciiTheme="majorHAnsi" w:hAnsiTheme="majorHAnsi"/>
          <w:sz w:val="20"/>
          <w:szCs w:val="20"/>
          <w:lang w:val="es-ES"/>
        </w:rPr>
        <w:t xml:space="preserve">parte </w:t>
      </w:r>
      <w:r w:rsidR="00B2508B" w:rsidRPr="00482806">
        <w:rPr>
          <w:rFonts w:asciiTheme="majorHAnsi" w:hAnsiTheme="majorHAnsi"/>
          <w:sz w:val="20"/>
          <w:szCs w:val="20"/>
          <w:lang w:val="es-ES"/>
        </w:rPr>
        <w:t>peticionari</w:t>
      </w:r>
      <w:r w:rsidR="007755AB" w:rsidRPr="00482806">
        <w:rPr>
          <w:rFonts w:asciiTheme="majorHAnsi" w:hAnsiTheme="majorHAnsi"/>
          <w:sz w:val="20"/>
          <w:szCs w:val="20"/>
          <w:lang w:val="es-ES"/>
        </w:rPr>
        <w:t>a</w:t>
      </w:r>
      <w:r w:rsidR="00B2508B" w:rsidRPr="00482806">
        <w:rPr>
          <w:rFonts w:asciiTheme="majorHAnsi" w:hAnsiTheme="majorHAnsi"/>
          <w:sz w:val="20"/>
          <w:szCs w:val="20"/>
          <w:lang w:val="es-ES"/>
        </w:rPr>
        <w:t xml:space="preserve"> alega la violación del derecho al debido proceso y de acceso a la justicia, </w:t>
      </w:r>
      <w:r w:rsidRPr="00482806">
        <w:rPr>
          <w:rFonts w:asciiTheme="majorHAnsi" w:hAnsiTheme="majorHAnsi"/>
          <w:sz w:val="20"/>
          <w:szCs w:val="20"/>
          <w:lang w:val="es-ES"/>
        </w:rPr>
        <w:t>argumentando</w:t>
      </w:r>
      <w:r w:rsidR="00B2508B" w:rsidRPr="00482806">
        <w:rPr>
          <w:rFonts w:asciiTheme="majorHAnsi" w:hAnsiTheme="majorHAnsi"/>
          <w:sz w:val="20"/>
          <w:szCs w:val="20"/>
          <w:lang w:val="es-ES"/>
        </w:rPr>
        <w:t xml:space="preserve"> la falta de remedio judicial ante la decisión arbitraria de la Policía Nacional y la expedición de fallos contrarios a la jurisprudencia constitucional vigente que disponía el deber de motivación de los actos de retiro del servicio.</w:t>
      </w:r>
      <w:r w:rsidR="007755AB" w:rsidRPr="00482806">
        <w:rPr>
          <w:rFonts w:asciiTheme="majorHAnsi" w:hAnsiTheme="majorHAnsi"/>
          <w:sz w:val="20"/>
          <w:szCs w:val="20"/>
          <w:lang w:val="es-ES"/>
        </w:rPr>
        <w:t xml:space="preserve"> Sostiene que la falta de motivación de los actos de retiro deviene </w:t>
      </w:r>
      <w:r w:rsidR="0099363E" w:rsidRPr="00482806">
        <w:rPr>
          <w:rFonts w:asciiTheme="majorHAnsi" w:hAnsiTheme="majorHAnsi"/>
          <w:sz w:val="20"/>
          <w:szCs w:val="20"/>
          <w:lang w:val="es-ES"/>
        </w:rPr>
        <w:t>la decisión en arbitraria y viola las garantías judiciales del debido proceso laboral</w:t>
      </w:r>
      <w:r w:rsidR="0039269A" w:rsidRPr="00482806">
        <w:rPr>
          <w:rFonts w:asciiTheme="majorHAnsi" w:hAnsiTheme="majorHAnsi"/>
          <w:sz w:val="20"/>
          <w:szCs w:val="20"/>
          <w:lang w:val="es-ES"/>
        </w:rPr>
        <w:t xml:space="preserve"> y el derecho de defensa</w:t>
      </w:r>
      <w:r w:rsidR="0099363E" w:rsidRPr="00482806">
        <w:rPr>
          <w:rFonts w:asciiTheme="majorHAnsi" w:hAnsiTheme="majorHAnsi"/>
          <w:sz w:val="20"/>
          <w:szCs w:val="20"/>
          <w:lang w:val="es-ES"/>
        </w:rPr>
        <w:t>.</w:t>
      </w:r>
    </w:p>
    <w:p w14:paraId="36E0B750" w14:textId="56A31911" w:rsidR="00C53178" w:rsidRPr="00482806" w:rsidRDefault="007E5C73"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 xml:space="preserve">En respuesta a las observaciones del Estado </w:t>
      </w:r>
      <w:r w:rsidR="00DD0643" w:rsidRPr="00482806">
        <w:rPr>
          <w:rFonts w:asciiTheme="majorHAnsi" w:hAnsiTheme="majorHAnsi"/>
          <w:sz w:val="20"/>
          <w:szCs w:val="20"/>
          <w:lang w:val="es-ES"/>
        </w:rPr>
        <w:t>s</w:t>
      </w:r>
      <w:r w:rsidR="00E9318C" w:rsidRPr="00482806">
        <w:rPr>
          <w:rFonts w:asciiTheme="majorHAnsi" w:hAnsiTheme="majorHAnsi"/>
          <w:sz w:val="20"/>
          <w:szCs w:val="20"/>
          <w:lang w:val="es-ES"/>
        </w:rPr>
        <w:t>obre el alegato de la configuración de la cuarta instancia</w:t>
      </w:r>
      <w:r w:rsidR="00FA488F" w:rsidRPr="00482806">
        <w:rPr>
          <w:rFonts w:asciiTheme="majorHAnsi" w:hAnsiTheme="majorHAnsi"/>
          <w:sz w:val="20"/>
          <w:szCs w:val="20"/>
          <w:lang w:val="es-ES"/>
        </w:rPr>
        <w:t>, el peticionario aduce</w:t>
      </w:r>
      <w:r w:rsidR="00E9318C" w:rsidRPr="00482806">
        <w:rPr>
          <w:rFonts w:asciiTheme="majorHAnsi" w:hAnsiTheme="majorHAnsi"/>
          <w:sz w:val="20"/>
          <w:szCs w:val="20"/>
          <w:lang w:val="es-ES"/>
        </w:rPr>
        <w:t xml:space="preserve"> que las decisiones judiciales violaron los derechos </w:t>
      </w:r>
      <w:r w:rsidR="007A20FE" w:rsidRPr="00482806">
        <w:rPr>
          <w:rFonts w:asciiTheme="majorHAnsi" w:hAnsiTheme="majorHAnsi"/>
          <w:sz w:val="20"/>
          <w:szCs w:val="20"/>
          <w:lang w:val="es-ES"/>
        </w:rPr>
        <w:t>a las garantías judiciales, a la igualdad ante la ley y a la protección judicial de la</w:t>
      </w:r>
      <w:r w:rsidR="000A2788" w:rsidRPr="00482806">
        <w:rPr>
          <w:rFonts w:asciiTheme="majorHAnsi" w:hAnsiTheme="majorHAnsi"/>
          <w:sz w:val="20"/>
          <w:szCs w:val="20"/>
          <w:lang w:val="es-ES"/>
        </w:rPr>
        <w:t>s</w:t>
      </w:r>
      <w:r w:rsidR="007A20FE" w:rsidRPr="00482806">
        <w:rPr>
          <w:rFonts w:asciiTheme="majorHAnsi" w:hAnsiTheme="majorHAnsi"/>
          <w:sz w:val="20"/>
          <w:szCs w:val="20"/>
          <w:lang w:val="es-ES"/>
        </w:rPr>
        <w:t xml:space="preserve"> presunta</w:t>
      </w:r>
      <w:r w:rsidR="000A2788" w:rsidRPr="00482806">
        <w:rPr>
          <w:rFonts w:asciiTheme="majorHAnsi" w:hAnsiTheme="majorHAnsi"/>
          <w:sz w:val="20"/>
          <w:szCs w:val="20"/>
          <w:lang w:val="es-ES"/>
        </w:rPr>
        <w:t>s</w:t>
      </w:r>
      <w:r w:rsidR="007A20FE" w:rsidRPr="00482806">
        <w:rPr>
          <w:rFonts w:asciiTheme="majorHAnsi" w:hAnsiTheme="majorHAnsi"/>
          <w:sz w:val="20"/>
          <w:szCs w:val="20"/>
          <w:lang w:val="es-ES"/>
        </w:rPr>
        <w:t xml:space="preserve"> víctima</w:t>
      </w:r>
      <w:r w:rsidR="000A2788" w:rsidRPr="00482806">
        <w:rPr>
          <w:rFonts w:asciiTheme="majorHAnsi" w:hAnsiTheme="majorHAnsi"/>
          <w:sz w:val="20"/>
          <w:szCs w:val="20"/>
          <w:lang w:val="es-ES"/>
        </w:rPr>
        <w:t>s</w:t>
      </w:r>
      <w:r w:rsidR="007A20FE" w:rsidRPr="00482806">
        <w:rPr>
          <w:rFonts w:asciiTheme="majorHAnsi" w:hAnsiTheme="majorHAnsi"/>
          <w:sz w:val="20"/>
          <w:szCs w:val="20"/>
          <w:lang w:val="es-ES"/>
        </w:rPr>
        <w:t xml:space="preserve"> por aplicar una jurisprudencia del Consejo de Estado y obviar la de la Corte Constitucional que concebía el deber de motivación como parte del derecho al debido proceso y a la estabilidad laboral</w:t>
      </w:r>
      <w:r w:rsidR="0057466D" w:rsidRPr="00482806">
        <w:rPr>
          <w:rFonts w:asciiTheme="majorHAnsi" w:hAnsiTheme="majorHAnsi"/>
          <w:sz w:val="20"/>
          <w:szCs w:val="20"/>
          <w:lang w:val="es-ES"/>
        </w:rPr>
        <w:t>, lo que habilita a la CIDH a conocer el caso, de conformidad con el principio de complementariedad del Sistema Interamericano de Protección de Derechos Humanos</w:t>
      </w:r>
      <w:r w:rsidR="007A20FE" w:rsidRPr="00482806">
        <w:rPr>
          <w:rFonts w:asciiTheme="majorHAnsi" w:hAnsiTheme="majorHAnsi"/>
          <w:sz w:val="20"/>
          <w:szCs w:val="20"/>
          <w:lang w:val="es-ES"/>
        </w:rPr>
        <w:t>.</w:t>
      </w:r>
    </w:p>
    <w:p w14:paraId="142267EB" w14:textId="53AC6734" w:rsidR="00890DA0" w:rsidRPr="00482806" w:rsidRDefault="00125980" w:rsidP="00D912FC">
      <w:pPr>
        <w:pStyle w:val="ListParagraph"/>
        <w:numPr>
          <w:ilvl w:val="0"/>
          <w:numId w:val="0"/>
        </w:numPr>
        <w:ind w:left="720"/>
        <w:jc w:val="both"/>
        <w:rPr>
          <w:rFonts w:asciiTheme="majorHAnsi" w:hAnsiTheme="majorHAnsi"/>
          <w:b/>
          <w:bCs/>
          <w:sz w:val="20"/>
          <w:szCs w:val="20"/>
          <w:lang w:val="es-ES"/>
        </w:rPr>
      </w:pPr>
      <w:r w:rsidRPr="00482806">
        <w:rPr>
          <w:rFonts w:asciiTheme="majorHAnsi" w:hAnsiTheme="majorHAnsi"/>
          <w:b/>
          <w:bCs/>
          <w:sz w:val="20"/>
          <w:szCs w:val="20"/>
          <w:lang w:val="es-ES"/>
        </w:rPr>
        <w:t xml:space="preserve">El </w:t>
      </w:r>
      <w:r w:rsidR="00890DA0" w:rsidRPr="00482806">
        <w:rPr>
          <w:rFonts w:asciiTheme="majorHAnsi" w:hAnsiTheme="majorHAnsi"/>
          <w:b/>
          <w:bCs/>
          <w:sz w:val="20"/>
          <w:szCs w:val="20"/>
          <w:lang w:val="es-ES"/>
        </w:rPr>
        <w:t>Estado</w:t>
      </w:r>
      <w:r w:rsidRPr="00482806">
        <w:rPr>
          <w:rFonts w:asciiTheme="majorHAnsi" w:hAnsiTheme="majorHAnsi"/>
          <w:b/>
          <w:bCs/>
          <w:sz w:val="20"/>
          <w:szCs w:val="20"/>
          <w:lang w:val="es-ES"/>
        </w:rPr>
        <w:t xml:space="preserve"> </w:t>
      </w:r>
      <w:r w:rsidR="00AF5C1E" w:rsidRPr="00482806">
        <w:rPr>
          <w:rFonts w:asciiTheme="majorHAnsi" w:hAnsiTheme="majorHAnsi"/>
          <w:b/>
          <w:bCs/>
          <w:sz w:val="20"/>
          <w:szCs w:val="20"/>
          <w:lang w:val="es-ES"/>
        </w:rPr>
        <w:t>colombiano</w:t>
      </w:r>
    </w:p>
    <w:p w14:paraId="68A417B2" w14:textId="1A249BD8" w:rsidR="00B93D7F" w:rsidRPr="00482806" w:rsidRDefault="00B93D7F"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Po</w:t>
      </w:r>
      <w:r w:rsidR="00EF428A" w:rsidRPr="00482806">
        <w:rPr>
          <w:rFonts w:asciiTheme="majorHAnsi" w:hAnsiTheme="majorHAnsi"/>
          <w:sz w:val="20"/>
          <w:szCs w:val="20"/>
          <w:lang w:val="es-ES"/>
        </w:rPr>
        <w:t xml:space="preserve">r su parte, </w:t>
      </w:r>
      <w:r w:rsidRPr="00482806">
        <w:rPr>
          <w:rFonts w:asciiTheme="majorHAnsi" w:hAnsiTheme="majorHAnsi"/>
          <w:sz w:val="20"/>
          <w:szCs w:val="20"/>
          <w:lang w:val="es-ES"/>
        </w:rPr>
        <w:t>el Es</w:t>
      </w:r>
      <w:r w:rsidR="003F5154" w:rsidRPr="00482806">
        <w:rPr>
          <w:rFonts w:asciiTheme="majorHAnsi" w:hAnsiTheme="majorHAnsi"/>
          <w:sz w:val="20"/>
          <w:szCs w:val="20"/>
          <w:lang w:val="es-ES"/>
        </w:rPr>
        <w:t xml:space="preserve">tado, </w:t>
      </w:r>
      <w:r w:rsidR="00766866" w:rsidRPr="00482806">
        <w:rPr>
          <w:rFonts w:asciiTheme="majorHAnsi" w:hAnsiTheme="majorHAnsi"/>
          <w:sz w:val="20"/>
          <w:szCs w:val="20"/>
          <w:lang w:val="es-ES"/>
        </w:rPr>
        <w:t>replica que ambas peticiones son inadmisibles, la primera por haber sido presentada de manera extemporánea</w:t>
      </w:r>
      <w:r w:rsidR="00A66359" w:rsidRPr="00482806">
        <w:rPr>
          <w:rFonts w:asciiTheme="majorHAnsi" w:hAnsiTheme="majorHAnsi"/>
          <w:sz w:val="20"/>
          <w:szCs w:val="20"/>
          <w:lang w:val="es-ES"/>
        </w:rPr>
        <w:t>,</w:t>
      </w:r>
      <w:r w:rsidR="00766866" w:rsidRPr="00482806">
        <w:rPr>
          <w:rFonts w:asciiTheme="majorHAnsi" w:hAnsiTheme="majorHAnsi"/>
          <w:sz w:val="20"/>
          <w:szCs w:val="20"/>
          <w:lang w:val="es-ES"/>
        </w:rPr>
        <w:t xml:space="preserve"> y </w:t>
      </w:r>
      <w:r w:rsidR="00A66359" w:rsidRPr="00482806">
        <w:rPr>
          <w:rFonts w:asciiTheme="majorHAnsi" w:hAnsiTheme="majorHAnsi"/>
          <w:sz w:val="20"/>
          <w:szCs w:val="20"/>
          <w:lang w:val="es-ES"/>
        </w:rPr>
        <w:t>ambas</w:t>
      </w:r>
      <w:r w:rsidR="00766866" w:rsidRPr="00482806">
        <w:rPr>
          <w:rFonts w:asciiTheme="majorHAnsi" w:hAnsiTheme="majorHAnsi"/>
          <w:sz w:val="20"/>
          <w:szCs w:val="20"/>
          <w:lang w:val="es-ES"/>
        </w:rPr>
        <w:t xml:space="preserve"> por la configuración </w:t>
      </w:r>
      <w:r w:rsidR="002C770B" w:rsidRPr="00482806">
        <w:rPr>
          <w:rFonts w:asciiTheme="majorHAnsi" w:hAnsiTheme="majorHAnsi"/>
          <w:sz w:val="20"/>
          <w:szCs w:val="20"/>
          <w:lang w:val="es-ES"/>
        </w:rPr>
        <w:t>de la denominada ‘fórmula de la cuarta instancia internacional’</w:t>
      </w:r>
      <w:r w:rsidR="00656BDC" w:rsidRPr="00482806">
        <w:rPr>
          <w:rFonts w:asciiTheme="majorHAnsi" w:hAnsiTheme="majorHAnsi"/>
          <w:sz w:val="20"/>
          <w:szCs w:val="20"/>
          <w:lang w:val="es-ES"/>
        </w:rPr>
        <w:t xml:space="preserve"> respecto de las decisiones </w:t>
      </w:r>
      <w:r w:rsidR="00E574E1" w:rsidRPr="00482806">
        <w:rPr>
          <w:rFonts w:asciiTheme="majorHAnsi" w:hAnsiTheme="majorHAnsi"/>
          <w:sz w:val="20"/>
          <w:szCs w:val="20"/>
          <w:lang w:val="es-ES"/>
        </w:rPr>
        <w:t>de nulidad y de tutela</w:t>
      </w:r>
      <w:r w:rsidR="003F5154" w:rsidRPr="00482806">
        <w:rPr>
          <w:rFonts w:asciiTheme="majorHAnsi" w:hAnsiTheme="majorHAnsi"/>
          <w:sz w:val="20"/>
          <w:szCs w:val="20"/>
          <w:lang w:val="es-ES"/>
        </w:rPr>
        <w:t>.</w:t>
      </w:r>
      <w:r w:rsidR="00A27FD3" w:rsidRPr="00482806">
        <w:rPr>
          <w:rFonts w:asciiTheme="majorHAnsi" w:hAnsiTheme="majorHAnsi"/>
          <w:sz w:val="20"/>
          <w:szCs w:val="20"/>
          <w:lang w:val="es-ES"/>
        </w:rPr>
        <w:t xml:space="preserve"> </w:t>
      </w:r>
      <w:r w:rsidR="00A02CB0" w:rsidRPr="00482806">
        <w:rPr>
          <w:rFonts w:asciiTheme="majorHAnsi" w:hAnsiTheme="majorHAnsi"/>
          <w:sz w:val="20"/>
          <w:szCs w:val="20"/>
          <w:lang w:val="es-ES"/>
        </w:rPr>
        <w:t>Adicionalmente, alega la f</w:t>
      </w:r>
      <w:r w:rsidR="00A27FD3" w:rsidRPr="00482806">
        <w:rPr>
          <w:rFonts w:asciiTheme="majorHAnsi" w:hAnsiTheme="majorHAnsi"/>
          <w:sz w:val="20"/>
          <w:szCs w:val="20"/>
          <w:lang w:val="es-ES"/>
        </w:rPr>
        <w:t xml:space="preserve">alta de competencia </w:t>
      </w:r>
      <w:r w:rsidR="008608B6" w:rsidRPr="00482806">
        <w:rPr>
          <w:rFonts w:asciiTheme="majorHAnsi" w:hAnsiTheme="majorHAnsi"/>
          <w:sz w:val="20"/>
          <w:szCs w:val="20"/>
          <w:lang w:val="es-ES"/>
        </w:rPr>
        <w:t xml:space="preserve">de la CIDH </w:t>
      </w:r>
      <w:r w:rsidR="00A27FD3" w:rsidRPr="00482806">
        <w:rPr>
          <w:rFonts w:asciiTheme="majorHAnsi" w:hAnsiTheme="majorHAnsi"/>
          <w:sz w:val="20"/>
          <w:szCs w:val="20"/>
          <w:lang w:val="es-ES"/>
        </w:rPr>
        <w:t xml:space="preserve">para conocer sobre las alegadas violaciones a la </w:t>
      </w:r>
      <w:r w:rsidR="00AA1476" w:rsidRPr="00482806">
        <w:rPr>
          <w:rFonts w:asciiTheme="majorHAnsi" w:hAnsiTheme="majorHAnsi"/>
          <w:sz w:val="20"/>
          <w:szCs w:val="20"/>
          <w:lang w:val="es-ES"/>
        </w:rPr>
        <w:t>Declaración</w:t>
      </w:r>
      <w:r w:rsidR="00A27FD3" w:rsidRPr="00482806">
        <w:rPr>
          <w:rFonts w:asciiTheme="majorHAnsi" w:hAnsiTheme="majorHAnsi"/>
          <w:sz w:val="20"/>
          <w:szCs w:val="20"/>
          <w:lang w:val="es-ES"/>
        </w:rPr>
        <w:t xml:space="preserve"> Universal de Derechos Humanos y al Pacto Internacional de Derechos Civiles y Políticos.</w:t>
      </w:r>
    </w:p>
    <w:p w14:paraId="2F09B407" w14:textId="0ABBD62F" w:rsidR="005A68BA" w:rsidRPr="00CA7073" w:rsidRDefault="00E259AC"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En primer lugar, en relación con la petición presentada en representación del Sr.</w:t>
      </w:r>
      <w:r w:rsidR="009A5C7B" w:rsidRPr="00482806">
        <w:rPr>
          <w:rFonts w:asciiTheme="majorHAnsi" w:hAnsiTheme="majorHAnsi"/>
          <w:sz w:val="20"/>
          <w:szCs w:val="20"/>
          <w:lang w:val="es-ES"/>
        </w:rPr>
        <w:t xml:space="preserve"> Carvajal Hernández</w:t>
      </w:r>
      <w:r w:rsidR="0061351D" w:rsidRPr="00482806">
        <w:rPr>
          <w:rFonts w:asciiTheme="majorHAnsi" w:hAnsiTheme="majorHAnsi"/>
          <w:sz w:val="20"/>
          <w:szCs w:val="20"/>
          <w:lang w:val="es-ES"/>
        </w:rPr>
        <w:t xml:space="preserve">, el Estado colombiano </w:t>
      </w:r>
      <w:r w:rsidR="00815781" w:rsidRPr="00482806">
        <w:rPr>
          <w:rFonts w:asciiTheme="majorHAnsi" w:hAnsiTheme="majorHAnsi"/>
          <w:sz w:val="20"/>
          <w:szCs w:val="20"/>
          <w:lang w:val="es-ES"/>
        </w:rPr>
        <w:t xml:space="preserve">recuerda que </w:t>
      </w:r>
      <w:r w:rsidR="00D822FF" w:rsidRPr="00482806">
        <w:rPr>
          <w:rFonts w:asciiTheme="majorHAnsi" w:hAnsiTheme="majorHAnsi"/>
          <w:sz w:val="20"/>
          <w:szCs w:val="20"/>
          <w:lang w:val="es-ES"/>
        </w:rPr>
        <w:t xml:space="preserve">el artículo 46.1.b) de la Convención dispone de un plazo de presentación de la petición ante la Comisión de seis meses contados a partir de la emisión de la decisión que agotó los recursos internos. En ese sentido, </w:t>
      </w:r>
      <w:r w:rsidR="0061351D" w:rsidRPr="00482806">
        <w:rPr>
          <w:rFonts w:asciiTheme="majorHAnsi" w:hAnsiTheme="majorHAnsi"/>
          <w:sz w:val="20"/>
          <w:szCs w:val="20"/>
          <w:lang w:val="es-ES"/>
        </w:rPr>
        <w:t xml:space="preserve">aduce que </w:t>
      </w:r>
      <w:r w:rsidR="00FF774F" w:rsidRPr="00482806">
        <w:rPr>
          <w:rFonts w:asciiTheme="majorHAnsi" w:hAnsiTheme="majorHAnsi"/>
          <w:sz w:val="20"/>
          <w:szCs w:val="20"/>
          <w:lang w:val="es-ES"/>
        </w:rPr>
        <w:t xml:space="preserve">la comunicación </w:t>
      </w:r>
      <w:r w:rsidR="005D030D" w:rsidRPr="00482806">
        <w:rPr>
          <w:rFonts w:asciiTheme="majorHAnsi" w:hAnsiTheme="majorHAnsi"/>
          <w:sz w:val="20"/>
          <w:szCs w:val="20"/>
          <w:lang w:val="es-ES"/>
        </w:rPr>
        <w:t>de la Corte Constitucional de 9 de abril de 2015 no constituye la fecha en la que fue notificado del auto que decidió no seleccionar su p</w:t>
      </w:r>
      <w:r w:rsidR="00B209AE" w:rsidRPr="00482806">
        <w:rPr>
          <w:rFonts w:asciiTheme="majorHAnsi" w:hAnsiTheme="majorHAnsi"/>
          <w:sz w:val="20"/>
          <w:szCs w:val="20"/>
          <w:lang w:val="es-ES"/>
        </w:rPr>
        <w:t>roceso para revisión</w:t>
      </w:r>
      <w:r w:rsidR="005D030D" w:rsidRPr="00482806">
        <w:rPr>
          <w:rFonts w:asciiTheme="majorHAnsi" w:hAnsiTheme="majorHAnsi"/>
          <w:sz w:val="20"/>
          <w:szCs w:val="20"/>
          <w:lang w:val="es-ES"/>
        </w:rPr>
        <w:t xml:space="preserve">, sino </w:t>
      </w:r>
      <w:r w:rsidR="00926C30" w:rsidRPr="00482806">
        <w:rPr>
          <w:rFonts w:asciiTheme="majorHAnsi" w:hAnsiTheme="majorHAnsi"/>
          <w:sz w:val="20"/>
          <w:szCs w:val="20"/>
          <w:lang w:val="es-ES"/>
        </w:rPr>
        <w:t xml:space="preserve">que se trató de una respuesta de dicho tribunal a una consulta planteada por la parte peticionaria. </w:t>
      </w:r>
      <w:r w:rsidR="00126372" w:rsidRPr="00482806">
        <w:rPr>
          <w:rFonts w:asciiTheme="majorHAnsi" w:hAnsiTheme="majorHAnsi"/>
          <w:sz w:val="20"/>
          <w:szCs w:val="20"/>
          <w:lang w:val="es-ES"/>
        </w:rPr>
        <w:t xml:space="preserve">Y advierte que la </w:t>
      </w:r>
      <w:r w:rsidR="00165C2E" w:rsidRPr="00482806">
        <w:rPr>
          <w:rFonts w:asciiTheme="majorHAnsi" w:hAnsiTheme="majorHAnsi"/>
          <w:sz w:val="20"/>
          <w:szCs w:val="20"/>
          <w:lang w:val="es-ES"/>
        </w:rPr>
        <w:t>decisión no fue objeto de solicitud de insistencia, por lo cual considera que la CIDH debe declarar la inadmisibilidad de la petición por extemporaneidad.</w:t>
      </w:r>
    </w:p>
    <w:p w14:paraId="3E1F484D" w14:textId="77777777" w:rsidR="00CA7073" w:rsidRPr="00482806" w:rsidRDefault="00CA7073" w:rsidP="00CA7073">
      <w:pPr>
        <w:pStyle w:val="ListParagraph"/>
        <w:numPr>
          <w:ilvl w:val="0"/>
          <w:numId w:val="0"/>
        </w:numPr>
        <w:ind w:left="720"/>
        <w:jc w:val="both"/>
        <w:rPr>
          <w:rFonts w:asciiTheme="majorHAnsi" w:hAnsiTheme="majorHAnsi"/>
          <w:bCs/>
          <w:sz w:val="20"/>
          <w:szCs w:val="20"/>
          <w:lang w:val="es-ES"/>
        </w:rPr>
      </w:pPr>
    </w:p>
    <w:p w14:paraId="73DE51DE" w14:textId="19E61F4D" w:rsidR="00584AF3" w:rsidRPr="00482806" w:rsidRDefault="000D3C5B"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lastRenderedPageBreak/>
        <w:t xml:space="preserve">Por otro lado, </w:t>
      </w:r>
      <w:r w:rsidR="006605C9" w:rsidRPr="00482806">
        <w:rPr>
          <w:rFonts w:asciiTheme="majorHAnsi" w:hAnsiTheme="majorHAnsi"/>
          <w:sz w:val="20"/>
          <w:szCs w:val="20"/>
          <w:lang w:val="es-ES"/>
        </w:rPr>
        <w:t xml:space="preserve">con respecto a ambas peticiones, </w:t>
      </w:r>
      <w:r w:rsidRPr="00482806">
        <w:rPr>
          <w:rFonts w:asciiTheme="majorHAnsi" w:hAnsiTheme="majorHAnsi"/>
          <w:sz w:val="20"/>
          <w:szCs w:val="20"/>
          <w:lang w:val="es-ES"/>
        </w:rPr>
        <w:t xml:space="preserve">el Estado </w:t>
      </w:r>
      <w:r w:rsidR="00EF3971" w:rsidRPr="00482806">
        <w:rPr>
          <w:rFonts w:asciiTheme="majorHAnsi" w:hAnsiTheme="majorHAnsi"/>
          <w:sz w:val="20"/>
          <w:szCs w:val="20"/>
          <w:lang w:val="es-ES"/>
        </w:rPr>
        <w:t xml:space="preserve">sostiene que </w:t>
      </w:r>
      <w:r w:rsidRPr="00482806">
        <w:rPr>
          <w:rFonts w:asciiTheme="majorHAnsi" w:hAnsiTheme="majorHAnsi"/>
          <w:sz w:val="20"/>
          <w:szCs w:val="20"/>
          <w:lang w:val="es-ES"/>
        </w:rPr>
        <w:t>incurre</w:t>
      </w:r>
      <w:r w:rsidR="00EF3971" w:rsidRPr="00482806">
        <w:rPr>
          <w:rFonts w:asciiTheme="majorHAnsi" w:hAnsiTheme="majorHAnsi"/>
          <w:sz w:val="20"/>
          <w:szCs w:val="20"/>
          <w:lang w:val="es-ES"/>
        </w:rPr>
        <w:t>n</w:t>
      </w:r>
      <w:r w:rsidRPr="00482806">
        <w:rPr>
          <w:rFonts w:asciiTheme="majorHAnsi" w:hAnsiTheme="majorHAnsi"/>
          <w:sz w:val="20"/>
          <w:szCs w:val="20"/>
          <w:lang w:val="es-ES"/>
        </w:rPr>
        <w:t xml:space="preserve"> en la denominada ‘fórmula de la cuarta instancia internacional’, en la medida que el peticionario pretende que la Comisión revise y revoque la</w:t>
      </w:r>
      <w:r w:rsidR="00FB0E07" w:rsidRPr="00482806">
        <w:rPr>
          <w:rFonts w:asciiTheme="majorHAnsi" w:hAnsiTheme="majorHAnsi"/>
          <w:sz w:val="20"/>
          <w:szCs w:val="20"/>
          <w:lang w:val="es-ES"/>
        </w:rPr>
        <w:t>s</w:t>
      </w:r>
      <w:r w:rsidRPr="00482806">
        <w:rPr>
          <w:rFonts w:asciiTheme="majorHAnsi" w:hAnsiTheme="majorHAnsi"/>
          <w:sz w:val="20"/>
          <w:szCs w:val="20"/>
          <w:lang w:val="es-ES"/>
        </w:rPr>
        <w:t xml:space="preserve"> sentencia</w:t>
      </w:r>
      <w:r w:rsidR="00FB0E07" w:rsidRPr="00482806">
        <w:rPr>
          <w:rFonts w:asciiTheme="majorHAnsi" w:hAnsiTheme="majorHAnsi"/>
          <w:sz w:val="20"/>
          <w:szCs w:val="20"/>
          <w:lang w:val="es-ES"/>
        </w:rPr>
        <w:t>s</w:t>
      </w:r>
      <w:r w:rsidRPr="00482806">
        <w:rPr>
          <w:rFonts w:asciiTheme="majorHAnsi" w:hAnsiTheme="majorHAnsi"/>
          <w:sz w:val="20"/>
          <w:szCs w:val="20"/>
          <w:lang w:val="es-ES"/>
        </w:rPr>
        <w:t xml:space="preserve"> </w:t>
      </w:r>
      <w:r w:rsidR="00FB0E07" w:rsidRPr="00482806">
        <w:rPr>
          <w:rFonts w:asciiTheme="majorHAnsi" w:hAnsiTheme="majorHAnsi"/>
          <w:sz w:val="20"/>
          <w:szCs w:val="20"/>
          <w:lang w:val="es-ES"/>
        </w:rPr>
        <w:t xml:space="preserve">emitidas en el proceso de nulidad y en el de tutela como un </w:t>
      </w:r>
      <w:r w:rsidRPr="00482806">
        <w:rPr>
          <w:rFonts w:asciiTheme="majorHAnsi" w:hAnsiTheme="majorHAnsi"/>
          <w:sz w:val="20"/>
          <w:szCs w:val="20"/>
          <w:lang w:val="es-ES"/>
        </w:rPr>
        <w:t>tribunal de alzada internacional, sin que se verifique la existencia de violaciones de derechos humanos. Colombia recalca que, según la doctrina de la cuarta instancia, la CIDH no tiene la facultad de revisar las providencias emanadas de los tribunales domésticos que actúen en la esfera de su competencia y en aplicación de las garantías judiciales. En el caso concreto, afirma que</w:t>
      </w:r>
      <w:r w:rsidR="00573AC4" w:rsidRPr="00482806">
        <w:rPr>
          <w:rFonts w:asciiTheme="majorHAnsi" w:hAnsiTheme="majorHAnsi"/>
          <w:sz w:val="20"/>
          <w:szCs w:val="20"/>
          <w:lang w:val="es-ES"/>
        </w:rPr>
        <w:t xml:space="preserve"> los tribunales internos determinaron que las presuntas víctimas no lograron acreditar las causales de nulidad</w:t>
      </w:r>
      <w:r w:rsidR="00460732" w:rsidRPr="00482806">
        <w:rPr>
          <w:rFonts w:asciiTheme="majorHAnsi" w:hAnsiTheme="majorHAnsi"/>
          <w:sz w:val="20"/>
          <w:szCs w:val="20"/>
          <w:lang w:val="es-ES"/>
        </w:rPr>
        <w:t xml:space="preserve"> de las resoluciones de retiro</w:t>
      </w:r>
      <w:r w:rsidR="00573AC4" w:rsidRPr="00482806">
        <w:rPr>
          <w:rFonts w:asciiTheme="majorHAnsi" w:hAnsiTheme="majorHAnsi"/>
          <w:sz w:val="20"/>
          <w:szCs w:val="20"/>
          <w:lang w:val="es-ES"/>
        </w:rPr>
        <w:t>, pues el alegado buen desempeño laboral no les otorgaba una</w:t>
      </w:r>
      <w:r w:rsidR="00D734E6" w:rsidRPr="00482806">
        <w:rPr>
          <w:rFonts w:asciiTheme="majorHAnsi" w:hAnsiTheme="majorHAnsi"/>
          <w:sz w:val="20"/>
          <w:szCs w:val="20"/>
          <w:lang w:val="es-ES"/>
        </w:rPr>
        <w:t xml:space="preserve"> garantía de</w:t>
      </w:r>
      <w:r w:rsidR="00573AC4" w:rsidRPr="00482806">
        <w:rPr>
          <w:rFonts w:asciiTheme="majorHAnsi" w:hAnsiTheme="majorHAnsi"/>
          <w:sz w:val="20"/>
          <w:szCs w:val="20"/>
          <w:lang w:val="es-ES"/>
        </w:rPr>
        <w:t xml:space="preserve"> inamovilidad en sus cargos</w:t>
      </w:r>
      <w:r w:rsidR="003E2F32" w:rsidRPr="00482806">
        <w:rPr>
          <w:rFonts w:asciiTheme="majorHAnsi" w:hAnsiTheme="majorHAnsi"/>
          <w:sz w:val="20"/>
          <w:szCs w:val="20"/>
          <w:lang w:val="es-ES"/>
        </w:rPr>
        <w:t xml:space="preserve"> y no priva</w:t>
      </w:r>
      <w:r w:rsidR="001725B2" w:rsidRPr="00482806">
        <w:rPr>
          <w:rFonts w:asciiTheme="majorHAnsi" w:hAnsiTheme="majorHAnsi"/>
          <w:sz w:val="20"/>
          <w:szCs w:val="20"/>
          <w:lang w:val="es-ES"/>
        </w:rPr>
        <w:t>ba</w:t>
      </w:r>
      <w:r w:rsidR="003E2F32" w:rsidRPr="00482806">
        <w:rPr>
          <w:rFonts w:asciiTheme="majorHAnsi" w:hAnsiTheme="majorHAnsi"/>
          <w:sz w:val="20"/>
          <w:szCs w:val="20"/>
          <w:lang w:val="es-ES"/>
        </w:rPr>
        <w:t xml:space="preserve"> a</w:t>
      </w:r>
      <w:r w:rsidR="00203F0B" w:rsidRPr="00482806">
        <w:rPr>
          <w:rFonts w:asciiTheme="majorHAnsi" w:hAnsiTheme="majorHAnsi"/>
          <w:sz w:val="20"/>
          <w:szCs w:val="20"/>
          <w:lang w:val="es-ES"/>
        </w:rPr>
        <w:t xml:space="preserve"> </w:t>
      </w:r>
      <w:r w:rsidR="003E2F32" w:rsidRPr="00482806">
        <w:rPr>
          <w:rFonts w:asciiTheme="majorHAnsi" w:hAnsiTheme="majorHAnsi"/>
          <w:sz w:val="20"/>
          <w:szCs w:val="20"/>
          <w:lang w:val="es-ES"/>
        </w:rPr>
        <w:t>la administración de su facultad discrecional</w:t>
      </w:r>
      <w:r w:rsidR="00677F45" w:rsidRPr="00482806">
        <w:rPr>
          <w:rFonts w:asciiTheme="majorHAnsi" w:hAnsiTheme="majorHAnsi"/>
          <w:sz w:val="20"/>
          <w:szCs w:val="20"/>
          <w:lang w:val="es-ES"/>
        </w:rPr>
        <w:t>.</w:t>
      </w:r>
      <w:r w:rsidR="00F743B6" w:rsidRPr="00482806">
        <w:rPr>
          <w:rFonts w:asciiTheme="majorHAnsi" w:hAnsiTheme="majorHAnsi"/>
          <w:sz w:val="20"/>
          <w:szCs w:val="20"/>
          <w:lang w:val="es-ES"/>
        </w:rPr>
        <w:t xml:space="preserve"> </w:t>
      </w:r>
      <w:r w:rsidR="008C0658" w:rsidRPr="00482806">
        <w:rPr>
          <w:rFonts w:asciiTheme="majorHAnsi" w:hAnsiTheme="majorHAnsi"/>
          <w:sz w:val="20"/>
          <w:szCs w:val="20"/>
          <w:lang w:val="es-ES"/>
        </w:rPr>
        <w:t>En cuanto a</w:t>
      </w:r>
      <w:r w:rsidR="00147FB4" w:rsidRPr="00482806">
        <w:rPr>
          <w:rFonts w:asciiTheme="majorHAnsi" w:hAnsiTheme="majorHAnsi"/>
          <w:sz w:val="20"/>
          <w:szCs w:val="20"/>
          <w:lang w:val="es-ES"/>
        </w:rPr>
        <w:t>l alegado desconocimiento del precedente constitucional en el caso del Sr.</w:t>
      </w:r>
      <w:r w:rsidR="009D23CD" w:rsidRPr="00482806">
        <w:rPr>
          <w:rFonts w:asciiTheme="majorHAnsi" w:hAnsiTheme="majorHAnsi"/>
          <w:sz w:val="20"/>
          <w:szCs w:val="20"/>
          <w:lang w:val="es-ES"/>
        </w:rPr>
        <w:t xml:space="preserve"> Méndez Blanco, asevera que las decisiones lo tuvieron en cuenta en </w:t>
      </w:r>
      <w:r w:rsidR="00E03859" w:rsidRPr="00482806">
        <w:rPr>
          <w:rFonts w:asciiTheme="majorHAnsi" w:hAnsiTheme="majorHAnsi"/>
          <w:sz w:val="20"/>
          <w:szCs w:val="20"/>
          <w:lang w:val="es-ES"/>
        </w:rPr>
        <w:t xml:space="preserve">tanto </w:t>
      </w:r>
      <w:r w:rsidR="009D23CD" w:rsidRPr="00482806">
        <w:rPr>
          <w:rFonts w:asciiTheme="majorHAnsi" w:hAnsiTheme="majorHAnsi"/>
          <w:sz w:val="20"/>
          <w:szCs w:val="20"/>
          <w:lang w:val="es-ES"/>
        </w:rPr>
        <w:t xml:space="preserve">estudiaron </w:t>
      </w:r>
      <w:r w:rsidR="004E222C" w:rsidRPr="00482806">
        <w:rPr>
          <w:rFonts w:asciiTheme="majorHAnsi" w:hAnsiTheme="majorHAnsi"/>
          <w:sz w:val="20"/>
          <w:szCs w:val="20"/>
          <w:lang w:val="es-ES"/>
        </w:rPr>
        <w:t>los “</w:t>
      </w:r>
      <w:r w:rsidR="004E222C" w:rsidRPr="00482806">
        <w:rPr>
          <w:rFonts w:asciiTheme="majorHAnsi" w:hAnsiTheme="majorHAnsi"/>
          <w:i/>
          <w:iCs/>
          <w:sz w:val="20"/>
          <w:szCs w:val="20"/>
          <w:lang w:val="es-ES"/>
        </w:rPr>
        <w:t>motivos ocultos</w:t>
      </w:r>
      <w:r w:rsidR="004E222C" w:rsidRPr="00482806">
        <w:rPr>
          <w:rFonts w:asciiTheme="majorHAnsi" w:hAnsiTheme="majorHAnsi"/>
          <w:sz w:val="20"/>
          <w:szCs w:val="20"/>
          <w:lang w:val="es-ES"/>
        </w:rPr>
        <w:t>” de la decisión de retiro, en observancia al deber de motivación establecido por la Corte Constitucional.</w:t>
      </w:r>
      <w:r w:rsidR="008C0658" w:rsidRPr="00482806">
        <w:rPr>
          <w:rFonts w:asciiTheme="majorHAnsi" w:hAnsiTheme="majorHAnsi"/>
          <w:sz w:val="20"/>
          <w:szCs w:val="20"/>
          <w:lang w:val="es-ES"/>
        </w:rPr>
        <w:t xml:space="preserve"> </w:t>
      </w:r>
      <w:r w:rsidR="00F743B6" w:rsidRPr="00482806">
        <w:rPr>
          <w:rFonts w:asciiTheme="majorHAnsi" w:hAnsiTheme="majorHAnsi"/>
          <w:sz w:val="20"/>
          <w:szCs w:val="20"/>
          <w:lang w:val="es-ES"/>
        </w:rPr>
        <w:t xml:space="preserve">De esta manera, el Estado considera que </w:t>
      </w:r>
      <w:r w:rsidR="00E246A4" w:rsidRPr="00482806">
        <w:rPr>
          <w:rFonts w:asciiTheme="majorHAnsi" w:hAnsiTheme="majorHAnsi"/>
          <w:sz w:val="20"/>
          <w:szCs w:val="20"/>
          <w:lang w:val="es-ES"/>
        </w:rPr>
        <w:t xml:space="preserve">las presuntas víctimas </w:t>
      </w:r>
      <w:r w:rsidR="00F743B6" w:rsidRPr="00482806">
        <w:rPr>
          <w:rFonts w:asciiTheme="majorHAnsi" w:hAnsiTheme="majorHAnsi"/>
          <w:sz w:val="20"/>
          <w:szCs w:val="20"/>
          <w:lang w:val="es-ES"/>
        </w:rPr>
        <w:t xml:space="preserve">pretenden que la CIDH sustituya la valoración de la prueba realizada por los jueces a nivel </w:t>
      </w:r>
      <w:r w:rsidR="003D3C91" w:rsidRPr="00482806">
        <w:rPr>
          <w:rFonts w:asciiTheme="majorHAnsi" w:hAnsiTheme="majorHAnsi"/>
          <w:sz w:val="20"/>
          <w:szCs w:val="20"/>
          <w:lang w:val="es-ES"/>
        </w:rPr>
        <w:t>doméstico y que analice cuestiones que ya fueron debidamente resueltas.</w:t>
      </w:r>
      <w:r w:rsidR="00577B42" w:rsidRPr="00482806">
        <w:rPr>
          <w:rFonts w:asciiTheme="majorHAnsi" w:hAnsiTheme="majorHAnsi"/>
          <w:sz w:val="20"/>
          <w:szCs w:val="20"/>
          <w:lang w:val="es-ES"/>
        </w:rPr>
        <w:t xml:space="preserve"> Por ello, solicita que las dos peticiones sean declaradas inadmisibles.</w:t>
      </w:r>
    </w:p>
    <w:p w14:paraId="627F5297" w14:textId="1F1FF3C9" w:rsidR="005A0784" w:rsidRPr="00482806" w:rsidRDefault="005A0784" w:rsidP="00D912FC">
      <w:pPr>
        <w:pStyle w:val="ListParagraph"/>
        <w:numPr>
          <w:ilvl w:val="0"/>
          <w:numId w:val="61"/>
        </w:numPr>
        <w:ind w:left="0" w:firstLine="720"/>
        <w:jc w:val="both"/>
        <w:rPr>
          <w:rFonts w:asciiTheme="majorHAnsi" w:hAnsiTheme="majorHAnsi"/>
          <w:bCs/>
          <w:sz w:val="20"/>
          <w:szCs w:val="20"/>
          <w:lang w:val="es-ES"/>
        </w:rPr>
      </w:pPr>
      <w:r w:rsidRPr="00482806">
        <w:rPr>
          <w:rFonts w:asciiTheme="majorHAnsi" w:hAnsiTheme="majorHAnsi"/>
          <w:sz w:val="20"/>
          <w:szCs w:val="20"/>
          <w:lang w:val="es-ES"/>
        </w:rPr>
        <w:t>Por último, el Estado arguye que la CIDH carece de competencia para conocer las alegadas violaciones de</w:t>
      </w:r>
      <w:r w:rsidR="007B159C" w:rsidRPr="00482806">
        <w:rPr>
          <w:rFonts w:asciiTheme="majorHAnsi" w:hAnsiTheme="majorHAnsi"/>
          <w:sz w:val="20"/>
          <w:szCs w:val="20"/>
          <w:lang w:val="es-ES"/>
        </w:rPr>
        <w:t xml:space="preserve"> los</w:t>
      </w:r>
      <w:r w:rsidRPr="00482806">
        <w:rPr>
          <w:rFonts w:asciiTheme="majorHAnsi" w:hAnsiTheme="majorHAnsi"/>
          <w:sz w:val="20"/>
          <w:szCs w:val="20"/>
          <w:lang w:val="es-ES"/>
        </w:rPr>
        <w:t xml:space="preserve"> artículo</w:t>
      </w:r>
      <w:r w:rsidR="007B159C" w:rsidRPr="00482806">
        <w:rPr>
          <w:rFonts w:asciiTheme="majorHAnsi" w:hAnsiTheme="majorHAnsi"/>
          <w:sz w:val="20"/>
          <w:szCs w:val="20"/>
          <w:lang w:val="es-ES"/>
        </w:rPr>
        <w:t>s</w:t>
      </w:r>
      <w:r w:rsidRPr="00482806">
        <w:rPr>
          <w:rFonts w:asciiTheme="majorHAnsi" w:hAnsiTheme="majorHAnsi"/>
          <w:sz w:val="20"/>
          <w:szCs w:val="20"/>
          <w:lang w:val="es-ES"/>
        </w:rPr>
        <w:t xml:space="preserve"> de</w:t>
      </w:r>
      <w:r w:rsidR="007B159C" w:rsidRPr="00482806">
        <w:rPr>
          <w:rFonts w:asciiTheme="majorHAnsi" w:hAnsiTheme="majorHAnsi"/>
          <w:sz w:val="20"/>
          <w:szCs w:val="20"/>
          <w:lang w:val="es-ES"/>
        </w:rPr>
        <w:t xml:space="preserve"> </w:t>
      </w:r>
      <w:r w:rsidRPr="00482806">
        <w:rPr>
          <w:rFonts w:asciiTheme="majorHAnsi" w:hAnsiTheme="majorHAnsi"/>
          <w:sz w:val="20"/>
          <w:szCs w:val="20"/>
          <w:lang w:val="es-ES"/>
        </w:rPr>
        <w:t>l</w:t>
      </w:r>
      <w:r w:rsidR="007B159C" w:rsidRPr="00482806">
        <w:rPr>
          <w:rFonts w:asciiTheme="majorHAnsi" w:hAnsiTheme="majorHAnsi"/>
          <w:sz w:val="20"/>
          <w:szCs w:val="20"/>
          <w:lang w:val="es-ES"/>
        </w:rPr>
        <w:t>a</w:t>
      </w:r>
      <w:r w:rsidRPr="00482806">
        <w:rPr>
          <w:rFonts w:asciiTheme="majorHAnsi" w:hAnsiTheme="majorHAnsi"/>
          <w:sz w:val="20"/>
          <w:szCs w:val="20"/>
          <w:lang w:val="es-ES"/>
        </w:rPr>
        <w:t xml:space="preserve"> </w:t>
      </w:r>
      <w:r w:rsidR="007B159C" w:rsidRPr="00482806">
        <w:rPr>
          <w:rFonts w:asciiTheme="majorHAnsi" w:hAnsiTheme="majorHAnsi"/>
          <w:sz w:val="20"/>
          <w:szCs w:val="20"/>
          <w:lang w:val="es-ES"/>
        </w:rPr>
        <w:t>Declaración Universal de los Derechos Humanos y del Pacto Internacional de Derechos Civiles y Políticos</w:t>
      </w:r>
      <w:r w:rsidR="00456CE4" w:rsidRPr="00482806">
        <w:rPr>
          <w:rFonts w:asciiTheme="majorHAnsi" w:hAnsiTheme="majorHAnsi"/>
          <w:sz w:val="20"/>
          <w:szCs w:val="20"/>
          <w:lang w:val="es-ES"/>
        </w:rPr>
        <w:t xml:space="preserve">, conforme lo ha determinado en su </w:t>
      </w:r>
      <w:r w:rsidR="009C4CF7" w:rsidRPr="00482806">
        <w:rPr>
          <w:rFonts w:asciiTheme="majorHAnsi" w:hAnsiTheme="majorHAnsi"/>
          <w:sz w:val="20"/>
          <w:szCs w:val="20"/>
          <w:lang w:val="es-ES"/>
        </w:rPr>
        <w:t>jurisprudencia</w:t>
      </w:r>
      <w:r w:rsidRPr="00482806">
        <w:rPr>
          <w:rFonts w:asciiTheme="majorHAnsi" w:hAnsiTheme="majorHAnsi"/>
          <w:sz w:val="20"/>
          <w:szCs w:val="20"/>
          <w:lang w:val="es-ES"/>
        </w:rPr>
        <w:t>. En consecuencia, sostiene que la Comisión no tiene la facultad de pronunciarse sobre este reclamo y solicita que se abstenga de hacerlo.</w:t>
      </w:r>
    </w:p>
    <w:p w14:paraId="51F68C92" w14:textId="77777777" w:rsidR="003239B8" w:rsidRPr="00482806" w:rsidRDefault="003239B8" w:rsidP="00D912FC">
      <w:pPr>
        <w:spacing w:before="240" w:after="240"/>
        <w:ind w:firstLine="720"/>
        <w:jc w:val="both"/>
        <w:rPr>
          <w:rFonts w:asciiTheme="majorHAnsi" w:hAnsiTheme="majorHAnsi"/>
          <w:sz w:val="20"/>
          <w:szCs w:val="20"/>
          <w:lang w:val="es-ES"/>
        </w:rPr>
      </w:pPr>
      <w:r w:rsidRPr="00482806">
        <w:rPr>
          <w:rFonts w:asciiTheme="majorHAnsi" w:eastAsia="Cambria" w:hAnsiTheme="majorHAnsi" w:cs="Cambria"/>
          <w:b/>
          <w:bCs/>
          <w:color w:val="000000"/>
          <w:sz w:val="20"/>
          <w:szCs w:val="20"/>
          <w:u w:color="000000"/>
          <w:lang w:val="es-ES" w:eastAsia="es-ES"/>
        </w:rPr>
        <w:t>VI.</w:t>
      </w:r>
      <w:r w:rsidRPr="00482806">
        <w:rPr>
          <w:rFonts w:asciiTheme="majorHAnsi" w:eastAsia="Cambria" w:hAnsiTheme="majorHAnsi" w:cs="Cambria"/>
          <w:b/>
          <w:bCs/>
          <w:color w:val="000000"/>
          <w:sz w:val="20"/>
          <w:szCs w:val="20"/>
          <w:u w:color="000000"/>
          <w:lang w:val="es-ES" w:eastAsia="es-ES"/>
        </w:rPr>
        <w:tab/>
      </w:r>
      <w:r w:rsidR="004A6A54" w:rsidRPr="00482806">
        <w:rPr>
          <w:rFonts w:asciiTheme="majorHAnsi" w:hAnsiTheme="majorHAnsi"/>
          <w:b/>
          <w:bCs/>
          <w:sz w:val="20"/>
          <w:szCs w:val="20"/>
          <w:lang w:val="es-ES"/>
        </w:rPr>
        <w:t xml:space="preserve">ANÁLISIS DE </w:t>
      </w:r>
      <w:r w:rsidR="00C21FEF" w:rsidRPr="00482806">
        <w:rPr>
          <w:rFonts w:asciiTheme="majorHAnsi" w:hAnsiTheme="majorHAnsi"/>
          <w:b/>
          <w:sz w:val="20"/>
          <w:szCs w:val="20"/>
          <w:lang w:val="es-ES"/>
        </w:rPr>
        <w:t>AGOTAMIENTO DE LOS RECURSOS INTERNOS Y PLAZO DE PRESENTACIÓN</w:t>
      </w:r>
      <w:r w:rsidR="00C21FEF" w:rsidRPr="00482806">
        <w:rPr>
          <w:rFonts w:asciiTheme="majorHAnsi" w:eastAsia="Cambria" w:hAnsiTheme="majorHAnsi" w:cs="Cambria"/>
          <w:b/>
          <w:bCs/>
          <w:color w:val="000000"/>
          <w:sz w:val="20"/>
          <w:szCs w:val="20"/>
          <w:u w:color="000000"/>
          <w:lang w:val="es-ES" w:eastAsia="es-ES"/>
        </w:rPr>
        <w:t xml:space="preserve"> </w:t>
      </w:r>
    </w:p>
    <w:p w14:paraId="7A7BA3C3" w14:textId="0F00B8B6" w:rsidR="006C0ECF" w:rsidRPr="00482806" w:rsidRDefault="00740FC2"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El presente asunto versa sobre la alegada violación </w:t>
      </w:r>
      <w:r w:rsidR="0051696A" w:rsidRPr="00482806">
        <w:rPr>
          <w:rFonts w:asciiTheme="majorHAnsi" w:hAnsiTheme="majorHAnsi"/>
          <w:sz w:val="20"/>
          <w:szCs w:val="20"/>
          <w:lang w:val="es-ES"/>
        </w:rPr>
        <w:t>a</w:t>
      </w:r>
      <w:r w:rsidRPr="00482806">
        <w:rPr>
          <w:rFonts w:asciiTheme="majorHAnsi" w:hAnsiTheme="majorHAnsi"/>
          <w:sz w:val="20"/>
          <w:szCs w:val="20"/>
          <w:lang w:val="es-ES"/>
        </w:rPr>
        <w:t xml:space="preserve"> las garantías judiciales</w:t>
      </w:r>
      <w:r w:rsidR="005F5B1C" w:rsidRPr="00482806">
        <w:rPr>
          <w:rFonts w:asciiTheme="majorHAnsi" w:hAnsiTheme="majorHAnsi"/>
          <w:sz w:val="20"/>
          <w:szCs w:val="20"/>
          <w:lang w:val="es-ES"/>
        </w:rPr>
        <w:t xml:space="preserve"> por el retiro injustificado del servicio que prestaban las presuntas víctimas en la Policía Nacional</w:t>
      </w:r>
      <w:r w:rsidRPr="00482806">
        <w:rPr>
          <w:rFonts w:asciiTheme="majorHAnsi" w:hAnsiTheme="majorHAnsi"/>
          <w:sz w:val="20"/>
          <w:szCs w:val="20"/>
          <w:lang w:val="es-ES"/>
        </w:rPr>
        <w:t xml:space="preserve"> y </w:t>
      </w:r>
      <w:r w:rsidR="005F5B1C" w:rsidRPr="00482806">
        <w:rPr>
          <w:rFonts w:asciiTheme="majorHAnsi" w:hAnsiTheme="majorHAnsi"/>
          <w:sz w:val="20"/>
          <w:szCs w:val="20"/>
          <w:lang w:val="es-ES"/>
        </w:rPr>
        <w:t>la con</w:t>
      </w:r>
      <w:r w:rsidR="00407B62" w:rsidRPr="00482806">
        <w:rPr>
          <w:rFonts w:asciiTheme="majorHAnsi" w:hAnsiTheme="majorHAnsi"/>
          <w:sz w:val="20"/>
          <w:szCs w:val="20"/>
          <w:lang w:val="es-ES"/>
        </w:rPr>
        <w:t xml:space="preserve">secuente violación de sus </w:t>
      </w:r>
      <w:r w:rsidRPr="00482806">
        <w:rPr>
          <w:rFonts w:asciiTheme="majorHAnsi" w:hAnsiTheme="majorHAnsi"/>
          <w:sz w:val="20"/>
          <w:szCs w:val="20"/>
          <w:lang w:val="es-ES"/>
        </w:rPr>
        <w:t>derechos a la igualdad y a un recurso judicial efectivo</w:t>
      </w:r>
      <w:r w:rsidR="005F5B1C" w:rsidRPr="00482806">
        <w:rPr>
          <w:rFonts w:asciiTheme="majorHAnsi" w:hAnsiTheme="majorHAnsi"/>
          <w:sz w:val="20"/>
          <w:szCs w:val="20"/>
          <w:lang w:val="es-ES"/>
        </w:rPr>
        <w:t xml:space="preserve"> </w:t>
      </w:r>
      <w:r w:rsidR="00407B62" w:rsidRPr="00482806">
        <w:rPr>
          <w:rFonts w:asciiTheme="majorHAnsi" w:hAnsiTheme="majorHAnsi"/>
          <w:sz w:val="20"/>
          <w:szCs w:val="20"/>
          <w:lang w:val="es-ES"/>
        </w:rPr>
        <w:t xml:space="preserve">para remediar la situación. </w:t>
      </w:r>
      <w:r w:rsidR="00BB617E" w:rsidRPr="00482806">
        <w:rPr>
          <w:rFonts w:asciiTheme="majorHAnsi" w:hAnsiTheme="majorHAnsi"/>
          <w:sz w:val="20"/>
          <w:szCs w:val="20"/>
          <w:lang w:val="es-ES"/>
        </w:rPr>
        <w:t xml:space="preserve">El Estado plantea que la petición del Sr. Carvajal Hernández es extemporánea, ya que la notificación de la última decisión proferida por la Corte Constitucional no </w:t>
      </w:r>
      <w:r w:rsidR="00B9252E" w:rsidRPr="00482806">
        <w:rPr>
          <w:rFonts w:asciiTheme="majorHAnsi" w:hAnsiTheme="majorHAnsi"/>
          <w:sz w:val="20"/>
          <w:szCs w:val="20"/>
          <w:lang w:val="es-ES"/>
        </w:rPr>
        <w:t>fue notificada en la fecha en que el peticionario afirma.</w:t>
      </w:r>
      <w:r w:rsidR="00811C17" w:rsidRPr="00482806">
        <w:rPr>
          <w:rFonts w:asciiTheme="majorHAnsi" w:hAnsiTheme="majorHAnsi"/>
          <w:sz w:val="20"/>
          <w:szCs w:val="20"/>
          <w:lang w:val="es-ES"/>
        </w:rPr>
        <w:t xml:space="preserve"> La parte peticionaria asegura que el </w:t>
      </w:r>
      <w:r w:rsidR="00DC25EB" w:rsidRPr="00482806">
        <w:rPr>
          <w:rFonts w:asciiTheme="majorHAnsi" w:hAnsiTheme="majorHAnsi"/>
          <w:sz w:val="20"/>
          <w:szCs w:val="20"/>
          <w:lang w:val="es-ES"/>
        </w:rPr>
        <w:t>plazo de presentación debe contar desde el 9 de abril de 2015 porque en esa fecha la Corte Constitucional adoptó la última decisión en el proceso.</w:t>
      </w:r>
    </w:p>
    <w:p w14:paraId="49AF47E5" w14:textId="4CF7C232" w:rsidR="00751421" w:rsidRPr="00482806" w:rsidRDefault="00B46914"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El artículo 46.1.a) de la Convención Americana dispone que</w:t>
      </w:r>
      <w:r w:rsidR="000A33BE" w:rsidRPr="00482806">
        <w:rPr>
          <w:rFonts w:asciiTheme="majorHAnsi" w:hAnsiTheme="majorHAnsi"/>
          <w:sz w:val="20"/>
          <w:szCs w:val="20"/>
          <w:lang w:val="es-ES"/>
        </w:rPr>
        <w:t>,</w:t>
      </w:r>
      <w:r w:rsidRPr="00482806">
        <w:rPr>
          <w:rFonts w:asciiTheme="majorHAnsi" w:hAnsiTheme="majorHAnsi"/>
          <w:sz w:val="20"/>
          <w:szCs w:val="20"/>
          <w:lang w:val="es-ES"/>
        </w:rPr>
        <w:t xml:space="preserve"> para que una petición sea admitida se requiere “que se hayan interpuesto y agotado los recursos de jurisdicción interna, conforme a los principios del Derecho Internacional generalmente reconocidos”. Y, a su turno, el artículo 46.1.b) </w:t>
      </w:r>
      <w:r w:rsidR="00C85281" w:rsidRPr="00482806">
        <w:rPr>
          <w:rFonts w:asciiTheme="majorHAnsi" w:hAnsiTheme="majorHAnsi"/>
          <w:sz w:val="20"/>
          <w:szCs w:val="20"/>
          <w:lang w:val="es-ES"/>
        </w:rPr>
        <w:t>establece como requisito “que sea presentada dentro del plazo de seis meses, a partir de la fecha en que el presunto lesionado en sus derechos haya sido notificado de la decisión definitiva”.</w:t>
      </w:r>
    </w:p>
    <w:p w14:paraId="08CA6F8D" w14:textId="5B505FCF" w:rsidR="00C95F88" w:rsidRPr="00482806" w:rsidRDefault="003E0D2F"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En relación con la petición del Sr. Carvajal Hernández, la Comisión observa que la comunicación de la Corte Constitucional fechada el 9 de abril de 2015, se expidió, en efecto, para informarle a la parte peticionaria que el </w:t>
      </w:r>
      <w:r w:rsidR="00C95F88" w:rsidRPr="00482806">
        <w:rPr>
          <w:rFonts w:asciiTheme="majorHAnsi" w:hAnsiTheme="majorHAnsi"/>
          <w:sz w:val="20"/>
          <w:szCs w:val="20"/>
          <w:lang w:val="es-ES"/>
        </w:rPr>
        <w:t>13 de marzo de 2015</w:t>
      </w:r>
      <w:r w:rsidR="0089155C" w:rsidRPr="00482806">
        <w:rPr>
          <w:rFonts w:asciiTheme="majorHAnsi" w:hAnsiTheme="majorHAnsi"/>
          <w:sz w:val="20"/>
          <w:szCs w:val="20"/>
          <w:lang w:val="es-ES"/>
        </w:rPr>
        <w:t xml:space="preserve"> </w:t>
      </w:r>
      <w:r w:rsidRPr="00482806">
        <w:rPr>
          <w:rFonts w:asciiTheme="majorHAnsi" w:hAnsiTheme="majorHAnsi"/>
          <w:sz w:val="20"/>
          <w:szCs w:val="20"/>
          <w:lang w:val="es-ES"/>
        </w:rPr>
        <w:t>dicha corporación había decidido no selecci</w:t>
      </w:r>
      <w:r w:rsidR="009820BC" w:rsidRPr="00482806">
        <w:rPr>
          <w:rFonts w:asciiTheme="majorHAnsi" w:hAnsiTheme="majorHAnsi"/>
          <w:sz w:val="20"/>
          <w:szCs w:val="20"/>
          <w:lang w:val="es-ES"/>
        </w:rPr>
        <w:t>o</w:t>
      </w:r>
      <w:r w:rsidRPr="00482806">
        <w:rPr>
          <w:rFonts w:asciiTheme="majorHAnsi" w:hAnsiTheme="majorHAnsi"/>
          <w:sz w:val="20"/>
          <w:szCs w:val="20"/>
          <w:lang w:val="es-ES"/>
        </w:rPr>
        <w:t>n</w:t>
      </w:r>
      <w:r w:rsidR="009820BC" w:rsidRPr="00482806">
        <w:rPr>
          <w:rFonts w:asciiTheme="majorHAnsi" w:hAnsiTheme="majorHAnsi"/>
          <w:sz w:val="20"/>
          <w:szCs w:val="20"/>
          <w:lang w:val="es-ES"/>
        </w:rPr>
        <w:t>ar</w:t>
      </w:r>
      <w:r w:rsidRPr="00482806">
        <w:rPr>
          <w:rFonts w:asciiTheme="majorHAnsi" w:hAnsiTheme="majorHAnsi"/>
          <w:sz w:val="20"/>
          <w:szCs w:val="20"/>
          <w:lang w:val="es-ES"/>
        </w:rPr>
        <w:t xml:space="preserve"> su acción de tutela para revisión</w:t>
      </w:r>
      <w:r w:rsidR="00C95F88" w:rsidRPr="00482806">
        <w:rPr>
          <w:rFonts w:asciiTheme="majorHAnsi" w:hAnsiTheme="majorHAnsi"/>
          <w:sz w:val="20"/>
          <w:szCs w:val="20"/>
          <w:lang w:val="es-ES"/>
        </w:rPr>
        <w:t>.</w:t>
      </w:r>
      <w:r w:rsidRPr="00482806">
        <w:rPr>
          <w:rFonts w:asciiTheme="majorHAnsi" w:hAnsiTheme="majorHAnsi"/>
          <w:sz w:val="20"/>
          <w:szCs w:val="20"/>
          <w:lang w:val="es-ES"/>
        </w:rPr>
        <w:t xml:space="preserve"> No obstante, también nota </w:t>
      </w:r>
      <w:r w:rsidR="00F77AB0" w:rsidRPr="00482806">
        <w:rPr>
          <w:rFonts w:asciiTheme="majorHAnsi" w:hAnsiTheme="majorHAnsi"/>
          <w:sz w:val="20"/>
          <w:szCs w:val="20"/>
          <w:lang w:val="es-ES"/>
        </w:rPr>
        <w:t xml:space="preserve">que el Estado no informa cuál fue la fecha de notificación efectiva de la decisión. </w:t>
      </w:r>
      <w:r w:rsidR="008A3793" w:rsidRPr="00482806">
        <w:rPr>
          <w:rFonts w:asciiTheme="majorHAnsi" w:hAnsiTheme="majorHAnsi"/>
          <w:sz w:val="20"/>
          <w:szCs w:val="20"/>
          <w:lang w:val="es-ES"/>
        </w:rPr>
        <w:t xml:space="preserve">En esa medida, y dado que había transcurrido menos de un mes entre la adopción de la decisión y la comunicación informativa </w:t>
      </w:r>
      <w:r w:rsidR="009820BC" w:rsidRPr="00482806">
        <w:rPr>
          <w:rFonts w:asciiTheme="majorHAnsi" w:hAnsiTheme="majorHAnsi"/>
          <w:sz w:val="20"/>
          <w:szCs w:val="20"/>
          <w:lang w:val="es-ES"/>
        </w:rPr>
        <w:t xml:space="preserve">expedida por </w:t>
      </w:r>
      <w:r w:rsidR="008A3793" w:rsidRPr="00482806">
        <w:rPr>
          <w:rFonts w:asciiTheme="majorHAnsi" w:hAnsiTheme="majorHAnsi"/>
          <w:sz w:val="20"/>
          <w:szCs w:val="20"/>
          <w:lang w:val="es-ES"/>
        </w:rPr>
        <w:t>la Corte Constitucional</w:t>
      </w:r>
      <w:r w:rsidR="009820BC" w:rsidRPr="00482806">
        <w:rPr>
          <w:rFonts w:asciiTheme="majorHAnsi" w:hAnsiTheme="majorHAnsi"/>
          <w:sz w:val="20"/>
          <w:szCs w:val="20"/>
          <w:lang w:val="es-ES"/>
        </w:rPr>
        <w:t xml:space="preserve"> a solicitud del peticionario</w:t>
      </w:r>
      <w:r w:rsidR="008A3793" w:rsidRPr="00482806">
        <w:rPr>
          <w:rFonts w:asciiTheme="majorHAnsi" w:hAnsiTheme="majorHAnsi"/>
          <w:sz w:val="20"/>
          <w:szCs w:val="20"/>
          <w:lang w:val="es-ES"/>
        </w:rPr>
        <w:t xml:space="preserve">, resulta plausible que la notificación judicial no se hubiera surtido cuando </w:t>
      </w:r>
      <w:r w:rsidR="00F011CE" w:rsidRPr="00482806">
        <w:rPr>
          <w:rFonts w:asciiTheme="majorHAnsi" w:hAnsiTheme="majorHAnsi"/>
          <w:sz w:val="20"/>
          <w:szCs w:val="20"/>
          <w:lang w:val="es-ES"/>
        </w:rPr>
        <w:t xml:space="preserve">éste </w:t>
      </w:r>
      <w:r w:rsidR="008A3793" w:rsidRPr="00482806">
        <w:rPr>
          <w:rFonts w:asciiTheme="majorHAnsi" w:hAnsiTheme="majorHAnsi"/>
          <w:sz w:val="20"/>
          <w:szCs w:val="20"/>
          <w:lang w:val="es-ES"/>
        </w:rPr>
        <w:t xml:space="preserve">solicitó la información, y el Estado no ofrece una fecha </w:t>
      </w:r>
      <w:r w:rsidR="00342205" w:rsidRPr="00482806">
        <w:rPr>
          <w:rFonts w:asciiTheme="majorHAnsi" w:hAnsiTheme="majorHAnsi"/>
          <w:sz w:val="20"/>
          <w:szCs w:val="20"/>
          <w:lang w:val="es-ES"/>
        </w:rPr>
        <w:t xml:space="preserve">de notificación </w:t>
      </w:r>
      <w:r w:rsidR="008A3793" w:rsidRPr="00482806">
        <w:rPr>
          <w:rFonts w:asciiTheme="majorHAnsi" w:hAnsiTheme="majorHAnsi"/>
          <w:sz w:val="20"/>
          <w:szCs w:val="20"/>
          <w:lang w:val="es-ES"/>
        </w:rPr>
        <w:t>alternativa.</w:t>
      </w:r>
      <w:r w:rsidR="00F011CE" w:rsidRPr="00482806">
        <w:rPr>
          <w:rFonts w:asciiTheme="majorHAnsi" w:hAnsiTheme="majorHAnsi"/>
          <w:sz w:val="20"/>
          <w:szCs w:val="20"/>
          <w:lang w:val="es-ES"/>
        </w:rPr>
        <w:t xml:space="preserve"> En consecuencia, y, en vista de que es la única fecha </w:t>
      </w:r>
      <w:r w:rsidR="001C4668" w:rsidRPr="00482806">
        <w:rPr>
          <w:rFonts w:asciiTheme="majorHAnsi" w:hAnsiTheme="majorHAnsi"/>
          <w:sz w:val="20"/>
          <w:szCs w:val="20"/>
          <w:lang w:val="es-ES"/>
        </w:rPr>
        <w:t>de notificación que parece en el expediente, la Comisión la tomará para el inicio del cómputo del plazo de presentación.</w:t>
      </w:r>
    </w:p>
    <w:p w14:paraId="444AFF82" w14:textId="29BAC54E" w:rsidR="008A3793" w:rsidRPr="00482806" w:rsidRDefault="002076C3"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Así, dado que el Sr. Carvajal Hernández </w:t>
      </w:r>
      <w:r w:rsidR="00C83958" w:rsidRPr="00482806">
        <w:rPr>
          <w:rFonts w:asciiTheme="majorHAnsi" w:hAnsiTheme="majorHAnsi"/>
          <w:sz w:val="20"/>
          <w:szCs w:val="20"/>
          <w:lang w:val="es-ES"/>
        </w:rPr>
        <w:t>agotó los recursos de nulidad y de tutela</w:t>
      </w:r>
      <w:r w:rsidR="006E0271" w:rsidRPr="00482806">
        <w:rPr>
          <w:rFonts w:asciiTheme="majorHAnsi" w:hAnsiTheme="majorHAnsi"/>
          <w:sz w:val="20"/>
          <w:szCs w:val="20"/>
          <w:lang w:val="es-ES"/>
        </w:rPr>
        <w:t xml:space="preserve"> el 9 de abril de 2015</w:t>
      </w:r>
      <w:r w:rsidR="00C83958" w:rsidRPr="00482806">
        <w:rPr>
          <w:rFonts w:asciiTheme="majorHAnsi" w:hAnsiTheme="majorHAnsi"/>
          <w:sz w:val="20"/>
          <w:szCs w:val="20"/>
          <w:lang w:val="es-ES"/>
        </w:rPr>
        <w:t xml:space="preserve">, y la petición fue presentada el </w:t>
      </w:r>
      <w:r w:rsidR="00C83958" w:rsidRPr="00482806">
        <w:rPr>
          <w:rFonts w:asciiTheme="majorHAnsi" w:hAnsiTheme="majorHAnsi"/>
          <w:bCs/>
          <w:sz w:val="20"/>
          <w:szCs w:val="20"/>
          <w:lang w:val="es-ES"/>
        </w:rPr>
        <w:t>1° de octubre de 2015, la CIDH concluye que cumple con los requisitos establecidos en los artículos 46.1.a) y b) de la Convención Americana</w:t>
      </w:r>
      <w:r w:rsidR="00AE7DF6" w:rsidRPr="00482806">
        <w:rPr>
          <w:rFonts w:asciiTheme="majorHAnsi" w:hAnsiTheme="majorHAnsi"/>
          <w:bCs/>
          <w:sz w:val="20"/>
          <w:szCs w:val="20"/>
          <w:lang w:val="es-ES"/>
        </w:rPr>
        <w:t>.</w:t>
      </w:r>
    </w:p>
    <w:p w14:paraId="4D7045E1" w14:textId="25635889" w:rsidR="008C5E2D" w:rsidRPr="00482806" w:rsidRDefault="00AE7DF6"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En cuanto a la petición del Sr. </w:t>
      </w:r>
      <w:r w:rsidR="00494191" w:rsidRPr="00482806">
        <w:rPr>
          <w:rFonts w:asciiTheme="majorHAnsi" w:hAnsiTheme="majorHAnsi"/>
          <w:bCs/>
          <w:sz w:val="20"/>
          <w:szCs w:val="20"/>
          <w:lang w:val="es-ES"/>
        </w:rPr>
        <w:t xml:space="preserve">Méndez Blanco, la Comisión </w:t>
      </w:r>
      <w:r w:rsidR="00907BC5" w:rsidRPr="00482806">
        <w:rPr>
          <w:rFonts w:asciiTheme="majorHAnsi" w:hAnsiTheme="majorHAnsi"/>
          <w:bCs/>
          <w:sz w:val="20"/>
          <w:szCs w:val="20"/>
          <w:lang w:val="es-ES"/>
        </w:rPr>
        <w:t xml:space="preserve">concluye que agotó los mismos recursos, </w:t>
      </w:r>
      <w:r w:rsidR="00884240" w:rsidRPr="00482806">
        <w:rPr>
          <w:rFonts w:asciiTheme="majorHAnsi" w:hAnsiTheme="majorHAnsi"/>
          <w:bCs/>
          <w:sz w:val="20"/>
          <w:szCs w:val="20"/>
          <w:lang w:val="es-ES"/>
        </w:rPr>
        <w:t xml:space="preserve">y la última decisión le fue notificada el </w:t>
      </w:r>
      <w:r w:rsidR="00B4361E" w:rsidRPr="00482806">
        <w:rPr>
          <w:rFonts w:asciiTheme="majorHAnsi" w:hAnsiTheme="majorHAnsi"/>
          <w:bCs/>
          <w:sz w:val="20"/>
          <w:szCs w:val="20"/>
          <w:lang w:val="es-ES"/>
        </w:rPr>
        <w:t>14 de abril de 2016 e interpuso su denuncia internacional el 13 de octubre de ese año, por lo cual, cumple con los requisitos establecidos en los artículos 46.1.a) y b) de la Convención Americana.</w:t>
      </w:r>
    </w:p>
    <w:p w14:paraId="673598AF" w14:textId="2BC412D0" w:rsidR="003239B8" w:rsidRPr="00482806" w:rsidRDefault="003239B8" w:rsidP="00D912FC">
      <w:pPr>
        <w:pStyle w:val="ListParagraph"/>
        <w:numPr>
          <w:ilvl w:val="0"/>
          <w:numId w:val="0"/>
        </w:numPr>
        <w:ind w:left="720"/>
        <w:jc w:val="both"/>
        <w:rPr>
          <w:rFonts w:asciiTheme="majorHAnsi" w:hAnsiTheme="majorHAnsi"/>
          <w:b/>
          <w:bCs/>
          <w:sz w:val="20"/>
          <w:szCs w:val="20"/>
          <w:lang w:val="es-ES"/>
        </w:rPr>
      </w:pPr>
      <w:r w:rsidRPr="00482806">
        <w:rPr>
          <w:rFonts w:asciiTheme="majorHAnsi" w:hAnsiTheme="majorHAnsi"/>
          <w:b/>
          <w:bCs/>
          <w:sz w:val="20"/>
          <w:szCs w:val="20"/>
          <w:lang w:val="es-ES"/>
        </w:rPr>
        <w:lastRenderedPageBreak/>
        <w:t>VII.</w:t>
      </w:r>
      <w:r w:rsidRPr="00482806">
        <w:rPr>
          <w:rFonts w:asciiTheme="majorHAnsi" w:hAnsiTheme="majorHAnsi"/>
          <w:b/>
          <w:bCs/>
          <w:sz w:val="20"/>
          <w:szCs w:val="20"/>
          <w:lang w:val="es-ES"/>
        </w:rPr>
        <w:tab/>
      </w:r>
      <w:r w:rsidR="004A6A54" w:rsidRPr="00482806">
        <w:rPr>
          <w:rFonts w:asciiTheme="majorHAnsi" w:hAnsiTheme="majorHAnsi"/>
          <w:b/>
          <w:bCs/>
          <w:sz w:val="20"/>
          <w:szCs w:val="20"/>
          <w:lang w:val="es-ES"/>
        </w:rPr>
        <w:t xml:space="preserve">ANÁLISIS DE </w:t>
      </w:r>
      <w:r w:rsidR="00C21FEF" w:rsidRPr="00482806">
        <w:rPr>
          <w:rFonts w:asciiTheme="majorHAnsi" w:hAnsiTheme="majorHAnsi"/>
          <w:b/>
          <w:bCs/>
          <w:sz w:val="20"/>
          <w:szCs w:val="20"/>
          <w:lang w:val="es-ES"/>
        </w:rPr>
        <w:t>CARACTERIZACIÓN DE LOS HECHOS ALEGADOS</w:t>
      </w:r>
    </w:p>
    <w:p w14:paraId="4479FF4C" w14:textId="398D5262" w:rsidR="00753065" w:rsidRPr="00482806" w:rsidRDefault="00753065"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Ahora bien, la Comisión advierte que </w:t>
      </w:r>
      <w:r w:rsidR="00A853D2" w:rsidRPr="00482806">
        <w:rPr>
          <w:rFonts w:asciiTheme="majorHAnsi" w:hAnsiTheme="majorHAnsi"/>
          <w:sz w:val="20"/>
          <w:szCs w:val="20"/>
          <w:lang w:val="es-ES"/>
        </w:rPr>
        <w:t>e</w:t>
      </w:r>
      <w:r w:rsidRPr="00482806">
        <w:rPr>
          <w:rFonts w:asciiTheme="majorHAnsi" w:hAnsiTheme="majorHAnsi"/>
          <w:sz w:val="20"/>
          <w:szCs w:val="20"/>
          <w:lang w:val="es-ES"/>
        </w:rPr>
        <w:t xml:space="preserve">l presente </w:t>
      </w:r>
      <w:r w:rsidR="00A853D2" w:rsidRPr="00482806">
        <w:rPr>
          <w:rFonts w:asciiTheme="majorHAnsi" w:hAnsiTheme="majorHAnsi"/>
          <w:sz w:val="20"/>
          <w:szCs w:val="20"/>
          <w:lang w:val="es-ES"/>
        </w:rPr>
        <w:t>asunto</w:t>
      </w:r>
      <w:r w:rsidRPr="00482806">
        <w:rPr>
          <w:rFonts w:asciiTheme="majorHAnsi" w:hAnsiTheme="majorHAnsi"/>
          <w:sz w:val="20"/>
          <w:szCs w:val="20"/>
          <w:lang w:val="es-ES"/>
        </w:rPr>
        <w:t xml:space="preserve"> incluye alegatos con respecto </w:t>
      </w:r>
      <w:r w:rsidR="005C250E" w:rsidRPr="00482806">
        <w:rPr>
          <w:rFonts w:asciiTheme="majorHAnsi" w:hAnsiTheme="majorHAnsi"/>
          <w:sz w:val="20"/>
          <w:szCs w:val="20"/>
          <w:lang w:val="es-ES"/>
        </w:rPr>
        <w:t>al retiro arbitrario de las resuntas víctimas de la Policía Nacional y la falta de acceso a un recurso judici</w:t>
      </w:r>
      <w:r w:rsidR="002D6B27" w:rsidRPr="00482806">
        <w:rPr>
          <w:rFonts w:asciiTheme="majorHAnsi" w:hAnsiTheme="majorHAnsi"/>
          <w:sz w:val="20"/>
          <w:szCs w:val="20"/>
          <w:lang w:val="es-ES"/>
        </w:rPr>
        <w:t>al efectivo</w:t>
      </w:r>
      <w:r w:rsidRPr="00482806">
        <w:rPr>
          <w:rFonts w:asciiTheme="majorHAnsi" w:hAnsiTheme="majorHAnsi"/>
          <w:sz w:val="20"/>
          <w:szCs w:val="20"/>
          <w:lang w:val="es-ES"/>
        </w:rPr>
        <w:t>. El Estado replica que el peticionario pretende que la CIDH haga las veces de tribunal de alzada internacional frente a la</w:t>
      </w:r>
      <w:r w:rsidR="00362324" w:rsidRPr="00482806">
        <w:rPr>
          <w:rFonts w:asciiTheme="majorHAnsi" w:hAnsiTheme="majorHAnsi"/>
          <w:sz w:val="20"/>
          <w:szCs w:val="20"/>
          <w:lang w:val="es-ES"/>
        </w:rPr>
        <w:t>s</w:t>
      </w:r>
      <w:r w:rsidRPr="00482806">
        <w:rPr>
          <w:rFonts w:asciiTheme="majorHAnsi" w:hAnsiTheme="majorHAnsi"/>
          <w:sz w:val="20"/>
          <w:szCs w:val="20"/>
          <w:lang w:val="es-ES"/>
        </w:rPr>
        <w:t xml:space="preserve"> decisi</w:t>
      </w:r>
      <w:r w:rsidR="00362324" w:rsidRPr="00482806">
        <w:rPr>
          <w:rFonts w:asciiTheme="majorHAnsi" w:hAnsiTheme="majorHAnsi"/>
          <w:sz w:val="20"/>
          <w:szCs w:val="20"/>
          <w:lang w:val="es-ES"/>
        </w:rPr>
        <w:t>o</w:t>
      </w:r>
      <w:r w:rsidRPr="00482806">
        <w:rPr>
          <w:rFonts w:asciiTheme="majorHAnsi" w:hAnsiTheme="majorHAnsi"/>
          <w:sz w:val="20"/>
          <w:szCs w:val="20"/>
          <w:lang w:val="es-ES"/>
        </w:rPr>
        <w:t>n</w:t>
      </w:r>
      <w:r w:rsidR="00362324" w:rsidRPr="00482806">
        <w:rPr>
          <w:rFonts w:asciiTheme="majorHAnsi" w:hAnsiTheme="majorHAnsi"/>
          <w:sz w:val="20"/>
          <w:szCs w:val="20"/>
          <w:lang w:val="es-ES"/>
        </w:rPr>
        <w:t>es</w:t>
      </w:r>
      <w:r w:rsidRPr="00482806">
        <w:rPr>
          <w:rFonts w:asciiTheme="majorHAnsi" w:hAnsiTheme="majorHAnsi"/>
          <w:sz w:val="20"/>
          <w:szCs w:val="20"/>
          <w:lang w:val="es-ES"/>
        </w:rPr>
        <w:t xml:space="preserve"> adoptada</w:t>
      </w:r>
      <w:r w:rsidR="00362324" w:rsidRPr="00482806">
        <w:rPr>
          <w:rFonts w:asciiTheme="majorHAnsi" w:hAnsiTheme="majorHAnsi"/>
          <w:sz w:val="20"/>
          <w:szCs w:val="20"/>
          <w:lang w:val="es-ES"/>
        </w:rPr>
        <w:t>s</w:t>
      </w:r>
      <w:r w:rsidRPr="00482806">
        <w:rPr>
          <w:rFonts w:asciiTheme="majorHAnsi" w:hAnsiTheme="majorHAnsi"/>
          <w:sz w:val="20"/>
          <w:szCs w:val="20"/>
          <w:lang w:val="es-ES"/>
        </w:rPr>
        <w:t xml:space="preserve"> por </w:t>
      </w:r>
      <w:r w:rsidR="00362324" w:rsidRPr="00482806">
        <w:rPr>
          <w:rFonts w:asciiTheme="majorHAnsi" w:hAnsiTheme="majorHAnsi"/>
          <w:sz w:val="20"/>
          <w:szCs w:val="20"/>
          <w:lang w:val="es-ES"/>
        </w:rPr>
        <w:t>los tribunales internos</w:t>
      </w:r>
      <w:r w:rsidRPr="00482806">
        <w:rPr>
          <w:rFonts w:asciiTheme="majorHAnsi" w:hAnsiTheme="majorHAnsi"/>
          <w:sz w:val="20"/>
          <w:szCs w:val="20"/>
          <w:lang w:val="es-ES"/>
        </w:rPr>
        <w:t>, pese a que no involucra la violación de los derechos de la presunta víctima y su reclamo fue resuelto.</w:t>
      </w:r>
    </w:p>
    <w:p w14:paraId="6EB7ACE2" w14:textId="7F1205D0" w:rsidR="00697949" w:rsidRPr="00482806" w:rsidRDefault="00D469B9" w:rsidP="00D912FC">
      <w:pPr>
        <w:pStyle w:val="ListParagraph"/>
        <w:numPr>
          <w:ilvl w:val="0"/>
          <w:numId w:val="61"/>
        </w:numP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482806">
        <w:rPr>
          <w:rFonts w:asciiTheme="majorHAnsi" w:hAnsiTheme="majorHAnsi"/>
          <w:i/>
          <w:iCs/>
          <w:sz w:val="20"/>
          <w:szCs w:val="20"/>
          <w:lang w:val="es-ES"/>
        </w:rPr>
        <w:t>prima facie</w:t>
      </w:r>
      <w:r w:rsidRPr="00482806">
        <w:rPr>
          <w:rFonts w:asciiTheme="majorHAnsi" w:hAnsiTheme="majorHAnsi"/>
          <w:sz w:val="20"/>
          <w:szCs w:val="20"/>
          <w:lang w:val="es-ES"/>
        </w:rPr>
        <w:t xml:space="preserv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03CE9148" w14:textId="35970E59" w:rsidR="00A7261C" w:rsidRPr="00482806" w:rsidRDefault="002E66FC"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Acerca </w:t>
      </w:r>
      <w:r w:rsidR="005830E0" w:rsidRPr="00482806">
        <w:rPr>
          <w:rFonts w:asciiTheme="majorHAnsi" w:hAnsiTheme="majorHAnsi"/>
          <w:sz w:val="20"/>
          <w:szCs w:val="20"/>
          <w:lang w:val="es-ES"/>
        </w:rPr>
        <w:t>de la “fórmula de la cuarta instancia”, la Comisión subraya el carácter complementario del sistema interamericano y resalta que, según lo ha indicado la Corte Interamericana, para que proceda una excepción de “cuarta instancia” sería necesario que se “busque que […][se]  revise el fallo de un tribunal interno en virtud de su incorrecta apreciación de la prueba, los hechos o el derecho interno, sin que, a la vez, se alegue que tal fallo incurrió en una violación de tratados internacionales [ …]”</w:t>
      </w:r>
      <w:r w:rsidR="005830E0" w:rsidRPr="00482806">
        <w:rPr>
          <w:rStyle w:val="FootnoteReference"/>
          <w:rFonts w:asciiTheme="majorHAnsi" w:hAnsiTheme="majorHAnsi"/>
          <w:sz w:val="20"/>
          <w:szCs w:val="20"/>
          <w:lang w:val="es-ES"/>
        </w:rPr>
        <w:footnoteReference w:id="9"/>
      </w:r>
      <w:r w:rsidR="005830E0" w:rsidRPr="00482806">
        <w:rPr>
          <w:rFonts w:asciiTheme="majorHAnsi" w:hAnsiTheme="majorHAnsi"/>
          <w:sz w:val="20"/>
          <w:szCs w:val="20"/>
          <w:lang w:val="es-ES"/>
        </w:rPr>
        <w:t>.En el presente caso, la Comisión considera que, tal como lo ha indicado la Corte Interamericana, “[le]compete verificar si en los pasos efectivamente dados a nivel interno se violaron o no obligaciones internacionales del Estado derivadas de los instrumentos interamericanos que le otorgan competencia”</w:t>
      </w:r>
      <w:r w:rsidR="005830E0" w:rsidRPr="00482806">
        <w:rPr>
          <w:rFonts w:asciiTheme="majorHAnsi" w:hAnsiTheme="majorHAnsi"/>
          <w:sz w:val="20"/>
          <w:szCs w:val="20"/>
          <w:vertAlign w:val="superscript"/>
          <w:lang w:val="es-ES"/>
        </w:rPr>
        <w:t xml:space="preserve"> </w:t>
      </w:r>
      <w:r w:rsidR="005830E0" w:rsidRPr="00482806">
        <w:rPr>
          <w:rFonts w:asciiTheme="majorHAnsi" w:hAnsiTheme="majorHAnsi"/>
          <w:sz w:val="20"/>
          <w:szCs w:val="20"/>
          <w:vertAlign w:val="superscript"/>
          <w:lang w:val="es-ES"/>
        </w:rPr>
        <w:footnoteReference w:id="10"/>
      </w:r>
      <w:r w:rsidR="005830E0" w:rsidRPr="00482806">
        <w:rPr>
          <w:rFonts w:asciiTheme="majorHAnsi" w:hAnsiTheme="majorHAnsi"/>
          <w:sz w:val="20"/>
          <w:szCs w:val="20"/>
          <w:lang w:val="es-ES"/>
        </w:rPr>
        <w:t xml:space="preserve">. </w:t>
      </w:r>
    </w:p>
    <w:p w14:paraId="7AE5718A" w14:textId="481081F0" w:rsidR="00753065" w:rsidRPr="00482806" w:rsidRDefault="00A7261C"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Ello por cuanto subsiste una controversia sobre si el retiro injustificado puede caracterizar una violación de los derechos invocados, y del derecho al trabajo, que </w:t>
      </w:r>
      <w:r w:rsidR="00DF36A2" w:rsidRPr="00482806">
        <w:rPr>
          <w:rFonts w:asciiTheme="majorHAnsi" w:hAnsiTheme="majorHAnsi"/>
          <w:sz w:val="20"/>
          <w:szCs w:val="20"/>
          <w:lang w:val="es-ES"/>
        </w:rPr>
        <w:t xml:space="preserve">tanto la Comisión como la Corte Interamericana de Derechos Humanos (“la Corte Interamericana, “la Corte IDH” o “la Corte”) han reconocido </w:t>
      </w:r>
      <w:r w:rsidR="00E27A6C" w:rsidRPr="00482806">
        <w:rPr>
          <w:rFonts w:asciiTheme="majorHAnsi" w:hAnsiTheme="majorHAnsi"/>
          <w:sz w:val="20"/>
          <w:szCs w:val="20"/>
          <w:lang w:val="es-ES"/>
        </w:rPr>
        <w:t xml:space="preserve">como </w:t>
      </w:r>
      <w:r w:rsidR="00DF36A2" w:rsidRPr="00482806">
        <w:rPr>
          <w:rFonts w:asciiTheme="majorHAnsi" w:hAnsiTheme="majorHAnsi"/>
          <w:sz w:val="20"/>
          <w:szCs w:val="20"/>
          <w:lang w:val="es-ES"/>
        </w:rPr>
        <w:t>un derecho protegido por el artículo 26 de la Convención</w:t>
      </w:r>
      <w:r w:rsidR="00DF36A2" w:rsidRPr="00482806">
        <w:rPr>
          <w:rFonts w:asciiTheme="majorHAnsi" w:hAnsiTheme="majorHAnsi"/>
          <w:sz w:val="20"/>
          <w:szCs w:val="20"/>
          <w:vertAlign w:val="superscript"/>
          <w:lang w:val="es-ES"/>
        </w:rPr>
        <w:footnoteReference w:id="11"/>
      </w:r>
      <w:r w:rsidR="00DF36A2" w:rsidRPr="00482806">
        <w:rPr>
          <w:rFonts w:asciiTheme="majorHAnsi" w:hAnsiTheme="majorHAnsi"/>
          <w:sz w:val="20"/>
          <w:szCs w:val="20"/>
          <w:lang w:val="es-ES"/>
        </w:rPr>
        <w:t>.</w:t>
      </w:r>
      <w:r w:rsidR="009A3F08" w:rsidRPr="00482806">
        <w:rPr>
          <w:rFonts w:asciiTheme="majorHAnsi" w:hAnsiTheme="majorHAnsi"/>
          <w:sz w:val="20"/>
          <w:szCs w:val="20"/>
          <w:lang w:val="es-ES"/>
        </w:rPr>
        <w:t xml:space="preserve"> Y, a su vez, </w:t>
      </w:r>
      <w:r w:rsidR="00211317">
        <w:rPr>
          <w:rFonts w:asciiTheme="majorHAnsi" w:hAnsiTheme="majorHAnsi"/>
          <w:sz w:val="20"/>
          <w:szCs w:val="20"/>
          <w:lang w:val="es-ES"/>
        </w:rPr>
        <w:t xml:space="preserve">han entendido </w:t>
      </w:r>
      <w:r w:rsidR="009A3F08" w:rsidRPr="00482806">
        <w:rPr>
          <w:rFonts w:asciiTheme="majorHAnsi" w:hAnsiTheme="majorHAnsi"/>
          <w:sz w:val="20"/>
          <w:szCs w:val="20"/>
          <w:lang w:val="es-ES"/>
        </w:rPr>
        <w:t>que el derecho al trabajo “implica el derecho a no ser privado injustamente del empleo”</w:t>
      </w:r>
      <w:r w:rsidR="009A3F08" w:rsidRPr="00482806">
        <w:rPr>
          <w:rFonts w:asciiTheme="majorHAnsi" w:hAnsiTheme="majorHAnsi"/>
          <w:sz w:val="20"/>
          <w:szCs w:val="20"/>
          <w:vertAlign w:val="superscript"/>
          <w:lang w:val="es-ES"/>
        </w:rPr>
        <w:footnoteReference w:id="12"/>
      </w:r>
      <w:r w:rsidR="009A3F08" w:rsidRPr="00482806">
        <w:rPr>
          <w:rFonts w:asciiTheme="majorHAnsi" w:hAnsiTheme="majorHAnsi"/>
          <w:sz w:val="20"/>
          <w:szCs w:val="20"/>
          <w:lang w:val="es-ES"/>
        </w:rPr>
        <w:t xml:space="preserve">. </w:t>
      </w:r>
      <w:r w:rsidR="005830E0" w:rsidRPr="00482806">
        <w:rPr>
          <w:rFonts w:asciiTheme="majorHAnsi" w:hAnsiTheme="majorHAnsi"/>
          <w:sz w:val="20"/>
          <w:szCs w:val="20"/>
          <w:lang w:val="es-ES"/>
        </w:rPr>
        <w:t>En este sentido, el análisis sobre si el Estado incurrió en violaciones a la Convención Americana es una cuestión que corresponde ser decidida en el fondo del presente asunto</w:t>
      </w:r>
      <w:r w:rsidR="00A20EF8" w:rsidRPr="00482806">
        <w:rPr>
          <w:rFonts w:asciiTheme="majorHAnsi" w:hAnsiTheme="majorHAnsi"/>
          <w:sz w:val="20"/>
          <w:szCs w:val="20"/>
          <w:lang w:val="es-ES"/>
        </w:rPr>
        <w:t xml:space="preserve">. Asimismo, la CIDH admitirá el artículo 26 (derecho al trabajo) dentro del presente caso para que su posible violación sea </w:t>
      </w:r>
      <w:r w:rsidR="00A00B30" w:rsidRPr="00482806">
        <w:rPr>
          <w:rFonts w:asciiTheme="majorHAnsi" w:hAnsiTheme="majorHAnsi"/>
          <w:sz w:val="20"/>
          <w:szCs w:val="20"/>
          <w:lang w:val="es-ES"/>
        </w:rPr>
        <w:t>verificada en dicha etapa.</w:t>
      </w:r>
      <w:r w:rsidR="00C0145A">
        <w:rPr>
          <w:rFonts w:asciiTheme="majorHAnsi" w:hAnsiTheme="majorHAnsi"/>
          <w:sz w:val="20"/>
          <w:szCs w:val="20"/>
          <w:lang w:val="es-ES"/>
        </w:rPr>
        <w:t xml:space="preserve"> De igual manera, </w:t>
      </w:r>
      <w:r w:rsidR="00927861" w:rsidRPr="00927861">
        <w:rPr>
          <w:rFonts w:asciiTheme="majorHAnsi" w:hAnsiTheme="majorHAnsi"/>
          <w:sz w:val="20"/>
          <w:szCs w:val="20"/>
          <w:lang w:val="es-CO"/>
        </w:rPr>
        <w:t>l</w:t>
      </w:r>
      <w:r w:rsidR="00927861" w:rsidRPr="00927861">
        <w:rPr>
          <w:rFonts w:asciiTheme="majorHAnsi" w:hAnsiTheme="majorHAnsi"/>
          <w:sz w:val="20"/>
          <w:szCs w:val="20"/>
          <w:lang w:val="es-ES"/>
        </w:rPr>
        <w:t>a Comisión Interamericana ha adoptado una postura uniforme y consistente</w:t>
      </w:r>
      <w:r w:rsidR="006B730C" w:rsidRPr="006B730C">
        <w:rPr>
          <w:rFonts w:asciiTheme="majorHAnsi" w:hAnsiTheme="majorHAnsi"/>
          <w:sz w:val="20"/>
          <w:szCs w:val="20"/>
          <w:lang w:val="es-ES"/>
        </w:rPr>
        <w:t xml:space="preserve"> </w:t>
      </w:r>
      <w:r w:rsidR="006B730C" w:rsidRPr="00927861">
        <w:rPr>
          <w:rFonts w:asciiTheme="majorHAnsi" w:hAnsiTheme="majorHAnsi"/>
          <w:sz w:val="20"/>
          <w:szCs w:val="20"/>
          <w:lang w:val="es-ES"/>
        </w:rPr>
        <w:t>en el sentido de</w:t>
      </w:r>
      <w:r w:rsidR="006B730C">
        <w:rPr>
          <w:rFonts w:asciiTheme="majorHAnsi" w:hAnsiTheme="majorHAnsi"/>
          <w:sz w:val="20"/>
          <w:szCs w:val="20"/>
          <w:lang w:val="es-CO"/>
        </w:rPr>
        <w:t xml:space="preserve"> admitir las peticiones relacionadas con el retiro injustificado de agentes de la Policía Nacional en Colombia</w:t>
      </w:r>
      <w:r w:rsidR="00155637">
        <w:rPr>
          <w:rStyle w:val="FootnoteReference"/>
          <w:rFonts w:asciiTheme="majorHAnsi" w:hAnsiTheme="majorHAnsi"/>
          <w:sz w:val="20"/>
          <w:szCs w:val="20"/>
          <w:lang w:val="es-CO"/>
        </w:rPr>
        <w:footnoteReference w:id="13"/>
      </w:r>
      <w:r w:rsidR="006B730C">
        <w:rPr>
          <w:rFonts w:asciiTheme="majorHAnsi" w:hAnsiTheme="majorHAnsi"/>
          <w:sz w:val="20"/>
          <w:szCs w:val="20"/>
          <w:lang w:val="es-CO"/>
        </w:rPr>
        <w:t>.</w:t>
      </w:r>
      <w:r w:rsidR="00927861" w:rsidRPr="00927861">
        <w:rPr>
          <w:rFonts w:asciiTheme="majorHAnsi" w:hAnsiTheme="majorHAnsi"/>
          <w:sz w:val="20"/>
          <w:szCs w:val="20"/>
          <w:lang w:val="es-ES"/>
        </w:rPr>
        <w:t xml:space="preserve"> </w:t>
      </w:r>
    </w:p>
    <w:p w14:paraId="35CD31D6" w14:textId="156BEAC2" w:rsidR="006E621A" w:rsidRPr="00482806" w:rsidRDefault="008C5E2D"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En aten</w:t>
      </w:r>
      <w:r w:rsidR="00C25ADB" w:rsidRPr="00482806">
        <w:rPr>
          <w:rFonts w:asciiTheme="majorHAnsi" w:hAnsiTheme="majorHAnsi"/>
          <w:sz w:val="20"/>
          <w:szCs w:val="20"/>
          <w:lang w:val="es-ES"/>
        </w:rPr>
        <w:t xml:space="preserve">ción a estas consideraciones y </w:t>
      </w:r>
      <w:r w:rsidRPr="00482806">
        <w:rPr>
          <w:rFonts w:asciiTheme="majorHAnsi" w:hAnsiTheme="majorHAnsi"/>
          <w:sz w:val="20"/>
          <w:szCs w:val="20"/>
          <w:lang w:val="es-ES"/>
        </w:rPr>
        <w:t>tras examinar los elementos de hecho y de derecho expuestos por las partes la Comisión estima que las alegaciones de la parte peticionaria no resultan manifiestamente infundadas y requieren un estudio de fondo</w:t>
      </w:r>
      <w:r w:rsidR="00394073" w:rsidRPr="00482806">
        <w:rPr>
          <w:rFonts w:asciiTheme="majorHAnsi" w:hAnsiTheme="majorHAnsi"/>
          <w:sz w:val="20"/>
          <w:szCs w:val="20"/>
          <w:lang w:val="es-ES"/>
        </w:rPr>
        <w:t>;</w:t>
      </w:r>
      <w:r w:rsidRPr="00482806">
        <w:rPr>
          <w:rFonts w:asciiTheme="majorHAnsi" w:hAnsiTheme="majorHAnsi"/>
          <w:sz w:val="20"/>
          <w:szCs w:val="20"/>
          <w:lang w:val="es-ES"/>
        </w:rPr>
        <w:t xml:space="preserve"> pues los hechos alegados, de corroborarse como ciertos</w:t>
      </w:r>
      <w:r w:rsidR="00394073" w:rsidRPr="00482806">
        <w:rPr>
          <w:rFonts w:asciiTheme="majorHAnsi" w:hAnsiTheme="majorHAnsi"/>
          <w:sz w:val="20"/>
          <w:szCs w:val="20"/>
          <w:lang w:val="es-ES"/>
        </w:rPr>
        <w:t>,</w:t>
      </w:r>
      <w:r w:rsidRPr="00482806">
        <w:rPr>
          <w:rFonts w:asciiTheme="majorHAnsi" w:hAnsiTheme="majorHAnsi"/>
          <w:sz w:val="20"/>
          <w:szCs w:val="20"/>
          <w:lang w:val="es-ES"/>
        </w:rPr>
        <w:t xml:space="preserve"> podrían caracteri</w:t>
      </w:r>
      <w:r w:rsidR="004B421C" w:rsidRPr="00482806">
        <w:rPr>
          <w:rFonts w:asciiTheme="majorHAnsi" w:hAnsiTheme="majorHAnsi"/>
          <w:sz w:val="20"/>
          <w:szCs w:val="20"/>
          <w:lang w:val="es-ES"/>
        </w:rPr>
        <w:t>zar violaciones a los artículos</w:t>
      </w:r>
      <w:r w:rsidR="00394073" w:rsidRPr="00482806">
        <w:rPr>
          <w:rFonts w:asciiTheme="majorHAnsi" w:hAnsiTheme="majorHAnsi"/>
          <w:sz w:val="20"/>
          <w:szCs w:val="20"/>
          <w:lang w:val="es-ES"/>
        </w:rPr>
        <w:t xml:space="preserve"> </w:t>
      </w:r>
      <w:r w:rsidR="00530BB8" w:rsidRPr="00482806">
        <w:rPr>
          <w:rFonts w:asciiTheme="majorHAnsi" w:hAnsiTheme="majorHAnsi"/>
          <w:bCs/>
          <w:sz w:val="20"/>
          <w:szCs w:val="20"/>
          <w:lang w:val="es-ES"/>
        </w:rPr>
        <w:t xml:space="preserve">8 (garantías judiciales), 24 (igualdad ante la ley), 25 </w:t>
      </w:r>
      <w:r w:rsidR="00530BB8" w:rsidRPr="00482806">
        <w:rPr>
          <w:rFonts w:asciiTheme="majorHAnsi" w:hAnsiTheme="majorHAnsi"/>
          <w:bCs/>
          <w:sz w:val="20"/>
          <w:szCs w:val="20"/>
          <w:lang w:val="es-ES"/>
        </w:rPr>
        <w:lastRenderedPageBreak/>
        <w:t>(protección judicial) y 26 (derechos económicos, sociales y culturales) de la Convención Americana</w:t>
      </w:r>
      <w:r w:rsidR="00394073" w:rsidRPr="00482806">
        <w:rPr>
          <w:rFonts w:asciiTheme="majorHAnsi" w:hAnsiTheme="majorHAnsi"/>
          <w:sz w:val="20"/>
          <w:szCs w:val="20"/>
          <w:lang w:val="es-ES"/>
        </w:rPr>
        <w:t xml:space="preserve"> en perjuicio de l</w:t>
      </w:r>
      <w:r w:rsidR="00753065" w:rsidRPr="00482806">
        <w:rPr>
          <w:rFonts w:asciiTheme="majorHAnsi" w:hAnsiTheme="majorHAnsi"/>
          <w:sz w:val="20"/>
          <w:szCs w:val="20"/>
          <w:lang w:val="es-ES"/>
        </w:rPr>
        <w:t>o</w:t>
      </w:r>
      <w:r w:rsidR="00394073" w:rsidRPr="00482806">
        <w:rPr>
          <w:rFonts w:asciiTheme="majorHAnsi" w:hAnsiTheme="majorHAnsi"/>
          <w:sz w:val="20"/>
          <w:szCs w:val="20"/>
          <w:lang w:val="es-ES"/>
        </w:rPr>
        <w:t xml:space="preserve">s </w:t>
      </w:r>
      <w:r w:rsidR="00753065" w:rsidRPr="00482806">
        <w:rPr>
          <w:rFonts w:asciiTheme="majorHAnsi" w:hAnsiTheme="majorHAnsi"/>
          <w:sz w:val="20"/>
          <w:szCs w:val="20"/>
          <w:lang w:val="es-ES"/>
        </w:rPr>
        <w:t xml:space="preserve">señores </w:t>
      </w:r>
      <w:r w:rsidR="00DC452F" w:rsidRPr="00482806">
        <w:rPr>
          <w:rFonts w:asciiTheme="majorHAnsi" w:hAnsiTheme="majorHAnsi"/>
          <w:sz w:val="20"/>
          <w:szCs w:val="20"/>
          <w:lang w:val="es-ES"/>
        </w:rPr>
        <w:t>Rubén Darío Carvajal Hernández y Howard David Méndez Blanco</w:t>
      </w:r>
      <w:r w:rsidR="00753065" w:rsidRPr="00482806">
        <w:rPr>
          <w:rFonts w:asciiTheme="majorHAnsi" w:hAnsiTheme="majorHAnsi"/>
          <w:sz w:val="20"/>
          <w:szCs w:val="20"/>
          <w:lang w:val="es-ES"/>
        </w:rPr>
        <w:t xml:space="preserve"> </w:t>
      </w:r>
      <w:r w:rsidR="00394073" w:rsidRPr="00482806">
        <w:rPr>
          <w:rFonts w:asciiTheme="majorHAnsi" w:hAnsiTheme="majorHAnsi"/>
          <w:sz w:val="20"/>
          <w:szCs w:val="20"/>
          <w:lang w:val="es-ES"/>
        </w:rPr>
        <w:t>en los términos del presente informe.</w:t>
      </w:r>
    </w:p>
    <w:p w14:paraId="07E5F121" w14:textId="429C9E99" w:rsidR="007B6D1D" w:rsidRDefault="007B6D1D"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A11B3B">
        <w:rPr>
          <w:sz w:val="20"/>
          <w:szCs w:val="20"/>
          <w:lang w:val="es-ES_tradnl"/>
        </w:rPr>
        <w:t xml:space="preserve">En cuanto al reclamo sobre la presunta violación del artículo </w:t>
      </w:r>
      <w:r>
        <w:rPr>
          <w:sz w:val="20"/>
          <w:szCs w:val="20"/>
          <w:lang w:val="es-ES_tradnl"/>
        </w:rPr>
        <w:t xml:space="preserve">11 (protección a la honra y dignidad) </w:t>
      </w:r>
      <w:r w:rsidRPr="00A11B3B">
        <w:rPr>
          <w:sz w:val="20"/>
          <w:szCs w:val="20"/>
          <w:lang w:val="es-ES_tradnl"/>
        </w:rPr>
        <w:t xml:space="preserve">de la Convención Americana; la Comisión observa que </w:t>
      </w:r>
      <w:r>
        <w:rPr>
          <w:sz w:val="20"/>
          <w:szCs w:val="20"/>
          <w:lang w:val="es-ES_tradnl"/>
        </w:rPr>
        <w:t>e</w:t>
      </w:r>
      <w:r w:rsidRPr="00A11B3B">
        <w:rPr>
          <w:sz w:val="20"/>
          <w:szCs w:val="20"/>
          <w:lang w:val="es-ES_tradnl"/>
        </w:rPr>
        <w:t>l peticionari</w:t>
      </w:r>
      <w:r>
        <w:rPr>
          <w:sz w:val="20"/>
          <w:szCs w:val="20"/>
          <w:lang w:val="es-ES_tradnl"/>
        </w:rPr>
        <w:t>o</w:t>
      </w:r>
      <w:r w:rsidRPr="00A11B3B">
        <w:rPr>
          <w:sz w:val="20"/>
          <w:szCs w:val="20"/>
          <w:lang w:val="es-ES_tradnl"/>
        </w:rPr>
        <w:t xml:space="preserve"> no ha ofrecido alegatos o sustento suficiente que permita considerar </w:t>
      </w:r>
      <w:r w:rsidRPr="00A11B3B">
        <w:rPr>
          <w:i/>
          <w:sz w:val="20"/>
          <w:szCs w:val="20"/>
          <w:lang w:val="es-ES_tradnl"/>
        </w:rPr>
        <w:t>prima facie</w:t>
      </w:r>
      <w:r w:rsidRPr="00A11B3B">
        <w:rPr>
          <w:sz w:val="20"/>
          <w:szCs w:val="20"/>
          <w:lang w:val="es-ES_tradnl"/>
        </w:rPr>
        <w:t xml:space="preserve"> su posible violación</w:t>
      </w:r>
      <w:r w:rsidR="00366935">
        <w:rPr>
          <w:sz w:val="20"/>
          <w:szCs w:val="20"/>
          <w:lang w:val="es-ES_tradnl"/>
        </w:rPr>
        <w:t>; y, en todo caso, su análisis queda subsumido en el estudio de los otros derechos</w:t>
      </w:r>
      <w:r w:rsidRPr="00A11B3B">
        <w:rPr>
          <w:sz w:val="20"/>
          <w:szCs w:val="20"/>
          <w:lang w:val="es-ES_tradnl"/>
        </w:rPr>
        <w:t>.</w:t>
      </w:r>
    </w:p>
    <w:p w14:paraId="1BBBC968" w14:textId="410F6D6E" w:rsidR="00A828AE" w:rsidRPr="00482806" w:rsidRDefault="009E447F" w:rsidP="00D912FC">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r w:rsidRPr="00482806">
        <w:rPr>
          <w:rFonts w:asciiTheme="majorHAnsi" w:hAnsiTheme="majorHAnsi"/>
          <w:sz w:val="20"/>
          <w:szCs w:val="20"/>
          <w:lang w:val="es-ES"/>
        </w:rPr>
        <w:t xml:space="preserve">Por otra parte, en relación con </w:t>
      </w:r>
      <w:r w:rsidR="000F7D7B" w:rsidRPr="00482806">
        <w:rPr>
          <w:rFonts w:asciiTheme="majorHAnsi" w:hAnsiTheme="majorHAnsi"/>
          <w:sz w:val="20"/>
          <w:szCs w:val="20"/>
          <w:lang w:val="es-ES"/>
        </w:rPr>
        <w:t xml:space="preserve">la Declaración Universal de los Derechos Humanos y </w:t>
      </w:r>
      <w:r w:rsidRPr="00482806">
        <w:rPr>
          <w:rFonts w:asciiTheme="majorHAnsi" w:hAnsiTheme="majorHAnsi"/>
          <w:sz w:val="20"/>
          <w:szCs w:val="20"/>
          <w:lang w:val="es-ES"/>
        </w:rPr>
        <w:t xml:space="preserve">el Pacto Internacional de Derechos Civiles y Políticos, la Comisión </w:t>
      </w:r>
      <w:r w:rsidR="0094541E" w:rsidRPr="00482806">
        <w:rPr>
          <w:rFonts w:asciiTheme="majorHAnsi" w:hAnsiTheme="majorHAnsi"/>
          <w:sz w:val="20"/>
          <w:szCs w:val="20"/>
          <w:lang w:val="es-ES"/>
        </w:rPr>
        <w:t xml:space="preserve">reitera que </w:t>
      </w:r>
      <w:r w:rsidRPr="00482806">
        <w:rPr>
          <w:rFonts w:asciiTheme="majorHAnsi" w:hAnsiTheme="majorHAnsi"/>
          <w:sz w:val="20"/>
          <w:szCs w:val="20"/>
          <w:lang w:val="es-ES"/>
        </w:rPr>
        <w:t>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445BF42E" w14:textId="77777777" w:rsidR="003239B8" w:rsidRPr="00482806" w:rsidRDefault="003239B8" w:rsidP="00D912FC">
      <w:pPr>
        <w:pStyle w:val="ListParagraph"/>
        <w:numPr>
          <w:ilvl w:val="0"/>
          <w:numId w:val="0"/>
        </w:numPr>
        <w:ind w:left="720"/>
        <w:jc w:val="both"/>
        <w:rPr>
          <w:rFonts w:asciiTheme="majorHAnsi" w:hAnsiTheme="majorHAnsi"/>
          <w:b/>
          <w:bCs/>
          <w:sz w:val="20"/>
          <w:szCs w:val="20"/>
          <w:lang w:val="es-ES"/>
        </w:rPr>
      </w:pPr>
      <w:r w:rsidRPr="00482806">
        <w:rPr>
          <w:rFonts w:asciiTheme="majorHAnsi" w:hAnsiTheme="majorHAnsi"/>
          <w:b/>
          <w:bCs/>
          <w:sz w:val="20"/>
          <w:szCs w:val="20"/>
          <w:lang w:val="es-ES"/>
        </w:rPr>
        <w:t xml:space="preserve">VIII. </w:t>
      </w:r>
      <w:r w:rsidRPr="00482806">
        <w:rPr>
          <w:rFonts w:asciiTheme="majorHAnsi" w:hAnsiTheme="majorHAnsi"/>
          <w:b/>
          <w:bCs/>
          <w:sz w:val="20"/>
          <w:szCs w:val="20"/>
          <w:lang w:val="es-ES"/>
        </w:rPr>
        <w:tab/>
        <w:t>DECISIÓN</w:t>
      </w:r>
    </w:p>
    <w:p w14:paraId="16B36F97" w14:textId="463E52C6" w:rsidR="003239B8" w:rsidRDefault="003239B8" w:rsidP="00D912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482806">
        <w:rPr>
          <w:rFonts w:asciiTheme="majorHAnsi" w:hAnsiTheme="majorHAnsi"/>
          <w:sz w:val="20"/>
          <w:szCs w:val="20"/>
          <w:lang w:val="es-ES"/>
        </w:rPr>
        <w:t>Declarar admisible la presente petición en relación con</w:t>
      </w:r>
      <w:r w:rsidR="001D7F96" w:rsidRPr="00482806">
        <w:rPr>
          <w:rFonts w:asciiTheme="majorHAnsi" w:hAnsiTheme="majorHAnsi"/>
          <w:sz w:val="20"/>
          <w:szCs w:val="20"/>
          <w:lang w:val="es-ES"/>
        </w:rPr>
        <w:t xml:space="preserve"> </w:t>
      </w:r>
      <w:r w:rsidR="00DC452F" w:rsidRPr="00482806">
        <w:rPr>
          <w:rFonts w:asciiTheme="majorHAnsi" w:hAnsiTheme="majorHAnsi"/>
          <w:sz w:val="20"/>
          <w:szCs w:val="20"/>
          <w:lang w:val="es-ES"/>
        </w:rPr>
        <w:t xml:space="preserve">los artículos </w:t>
      </w:r>
      <w:r w:rsidR="00A828AE" w:rsidRPr="00482806">
        <w:rPr>
          <w:rFonts w:asciiTheme="majorHAnsi" w:hAnsiTheme="majorHAnsi"/>
          <w:sz w:val="20"/>
          <w:szCs w:val="20"/>
          <w:lang w:val="es-ES"/>
        </w:rPr>
        <w:t xml:space="preserve">8, 24, 25 y 26 de </w:t>
      </w:r>
      <w:r w:rsidR="00C44A1D" w:rsidRPr="00482806">
        <w:rPr>
          <w:rFonts w:asciiTheme="majorHAnsi" w:hAnsiTheme="majorHAnsi"/>
          <w:sz w:val="20"/>
          <w:szCs w:val="20"/>
          <w:lang w:val="es-ES"/>
        </w:rPr>
        <w:t>l</w:t>
      </w:r>
      <w:r w:rsidR="00A828AE" w:rsidRPr="00482806">
        <w:rPr>
          <w:rFonts w:asciiTheme="majorHAnsi" w:hAnsiTheme="majorHAnsi"/>
          <w:sz w:val="20"/>
          <w:szCs w:val="20"/>
          <w:lang w:val="es-ES"/>
        </w:rPr>
        <w:t xml:space="preserve">a Convención Americana </w:t>
      </w:r>
      <w:r w:rsidR="00991E71" w:rsidRPr="00482806">
        <w:rPr>
          <w:rFonts w:asciiTheme="majorHAnsi" w:hAnsiTheme="majorHAnsi"/>
          <w:sz w:val="20"/>
          <w:szCs w:val="20"/>
          <w:lang w:val="es-ES"/>
        </w:rPr>
        <w:t>en concordancia con sus artículos 1.1 y 2</w:t>
      </w:r>
      <w:r w:rsidR="00A758AA" w:rsidRPr="00482806">
        <w:rPr>
          <w:rFonts w:asciiTheme="majorHAnsi" w:hAnsiTheme="majorHAnsi"/>
          <w:sz w:val="20"/>
          <w:szCs w:val="20"/>
          <w:lang w:val="es-ES"/>
        </w:rPr>
        <w:t>;</w:t>
      </w:r>
    </w:p>
    <w:p w14:paraId="7D451945" w14:textId="07F189D7" w:rsidR="007E6F42" w:rsidRPr="00482806" w:rsidRDefault="007E6F42" w:rsidP="00D912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11 de la Convención Americana</w:t>
      </w:r>
      <w:r w:rsidR="003D7DBE">
        <w:rPr>
          <w:rFonts w:asciiTheme="majorHAnsi" w:hAnsiTheme="majorHAnsi"/>
          <w:sz w:val="20"/>
          <w:szCs w:val="20"/>
          <w:lang w:val="es-ES"/>
        </w:rPr>
        <w:t>, y;</w:t>
      </w:r>
    </w:p>
    <w:p w14:paraId="02C904B2" w14:textId="48064C54" w:rsidR="009A56CE" w:rsidRDefault="004A6A54" w:rsidP="00D912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482806">
        <w:rPr>
          <w:rFonts w:asciiTheme="majorHAnsi" w:hAnsiTheme="majorHAnsi"/>
          <w:sz w:val="20"/>
          <w:szCs w:val="20"/>
          <w:lang w:val="es-ES"/>
        </w:rPr>
        <w:t xml:space="preserve">Notificar a las partes la presente decisión; </w:t>
      </w:r>
      <w:r w:rsidRPr="00482806">
        <w:rPr>
          <w:rFonts w:asciiTheme="majorHAnsi" w:hAnsiTheme="majorHAnsi"/>
          <w:color w:val="auto"/>
          <w:sz w:val="20"/>
          <w:szCs w:val="20"/>
          <w:lang w:val="es-ES"/>
        </w:rPr>
        <w:t>continuar con el análisis del fondo de la cuestión</w:t>
      </w:r>
      <w:r w:rsidR="00DC452F" w:rsidRPr="00482806">
        <w:rPr>
          <w:rFonts w:asciiTheme="majorHAnsi" w:hAnsiTheme="majorHAnsi"/>
          <w:color w:val="auto"/>
          <w:sz w:val="20"/>
          <w:szCs w:val="20"/>
          <w:lang w:val="es-ES"/>
        </w:rPr>
        <w:t>;</w:t>
      </w:r>
      <w:r w:rsidR="00DC452F" w:rsidRPr="00482806">
        <w:rPr>
          <w:rFonts w:asciiTheme="majorHAnsi" w:hAnsiTheme="majorHAnsi"/>
          <w:color w:val="FF0000"/>
          <w:sz w:val="20"/>
          <w:szCs w:val="20"/>
          <w:lang w:val="es-ES"/>
        </w:rPr>
        <w:t xml:space="preserve"> </w:t>
      </w:r>
      <w:r w:rsidRPr="00482806">
        <w:rPr>
          <w:rFonts w:asciiTheme="majorHAnsi" w:hAnsiTheme="majorHAnsi"/>
          <w:sz w:val="20"/>
          <w:szCs w:val="20"/>
          <w:lang w:val="es-ES"/>
        </w:rPr>
        <w:t>y publicar esta decisión e incluirla en su Informe Anual a la Asamblea General de la Organización de los Estados Americanos.</w:t>
      </w:r>
    </w:p>
    <w:p w14:paraId="11D7200B" w14:textId="06EC2EEB" w:rsidR="009C24CE" w:rsidRPr="009C24CE" w:rsidRDefault="003D7DBE" w:rsidP="009C24CE">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w:t>
      </w:r>
      <w:r w:rsidRPr="000B5813">
        <w:rPr>
          <w:rStyle w:val="normaltextrun"/>
          <w:rFonts w:ascii="Cambria" w:hAnsi="Cambria" w:cs="Segoe UI"/>
          <w:color w:val="000000" w:themeColor="text1"/>
          <w:sz w:val="20"/>
          <w:szCs w:val="20"/>
          <w:lang w:val="es-CL"/>
        </w:rPr>
        <w:t xml:space="preserve">ramericana de Derechos Humanos a los </w:t>
      </w:r>
      <w:r>
        <w:rPr>
          <w:rStyle w:val="normaltextrun"/>
          <w:rFonts w:ascii="Cambria" w:hAnsi="Cambria" w:cs="Segoe UI"/>
          <w:color w:val="000000" w:themeColor="text1"/>
          <w:sz w:val="20"/>
          <w:szCs w:val="20"/>
          <w:lang w:val="es-CL"/>
        </w:rPr>
        <w:t>1</w:t>
      </w:r>
      <w:r w:rsidRPr="000B5813">
        <w:rPr>
          <w:rStyle w:val="normaltextrun"/>
          <w:rFonts w:ascii="Cambria" w:hAnsi="Cambria" w:cs="Segoe UI"/>
          <w:color w:val="000000" w:themeColor="text1"/>
          <w:sz w:val="20"/>
          <w:szCs w:val="20"/>
          <w:lang w:val="es-CL"/>
        </w:rPr>
        <w:t xml:space="preserve">7 días del mes de agosto de 2025.  (Firmado): José Luis Caballero Ochoa, Presidente; Arif Bulkan, Segundo Vicepresidente; Roberta Clarke y Gloria Monique de Mees, </w:t>
      </w:r>
      <w:r w:rsidR="009C24CE">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p w14:paraId="6900E53C" w14:textId="7F3EE461" w:rsidR="003D7DBE" w:rsidRPr="00482806" w:rsidRDefault="003D7DBE" w:rsidP="003D7DBE">
      <w:pPr>
        <w:pStyle w:val="paragraph"/>
        <w:spacing w:before="0" w:beforeAutospacing="0" w:after="0" w:afterAutospacing="0"/>
        <w:jc w:val="center"/>
        <w:textAlignment w:val="baseline"/>
        <w:rPr>
          <w:rFonts w:asciiTheme="majorHAnsi" w:hAnsiTheme="majorHAnsi"/>
          <w:sz w:val="20"/>
          <w:szCs w:val="20"/>
          <w:lang w:val="es-ES"/>
        </w:rPr>
      </w:pPr>
    </w:p>
    <w:sectPr w:rsidR="003D7DBE" w:rsidRPr="0048280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5BAB" w14:textId="77777777" w:rsidR="00B42A2F" w:rsidRDefault="00B42A2F">
      <w:r>
        <w:separator/>
      </w:r>
    </w:p>
  </w:endnote>
  <w:endnote w:type="continuationSeparator" w:id="0">
    <w:p w14:paraId="3909D2C1" w14:textId="77777777" w:rsidR="00B42A2F" w:rsidRDefault="00B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607B" w14:textId="77777777" w:rsidR="00B42A2F" w:rsidRPr="000F35ED" w:rsidRDefault="00B42A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07F2E4" w14:textId="77777777" w:rsidR="00B42A2F" w:rsidRPr="000F35ED" w:rsidRDefault="00B42A2F" w:rsidP="000F35ED">
      <w:pPr>
        <w:rPr>
          <w:rFonts w:asciiTheme="majorHAnsi" w:hAnsiTheme="majorHAnsi"/>
          <w:sz w:val="16"/>
          <w:szCs w:val="16"/>
        </w:rPr>
      </w:pPr>
      <w:r w:rsidRPr="000F35ED">
        <w:rPr>
          <w:rFonts w:asciiTheme="majorHAnsi" w:hAnsiTheme="majorHAnsi"/>
          <w:sz w:val="16"/>
          <w:szCs w:val="16"/>
        </w:rPr>
        <w:separator/>
      </w:r>
    </w:p>
    <w:p w14:paraId="11FE1209" w14:textId="77777777" w:rsidR="00B42A2F" w:rsidRPr="000F35ED" w:rsidRDefault="00B42A2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9D44C67" w14:textId="77777777" w:rsidR="00B42A2F" w:rsidRPr="000F35ED" w:rsidRDefault="00B42A2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C1D119B" w14:textId="04D95112" w:rsidR="00D07B4C" w:rsidRPr="0051696A" w:rsidRDefault="00D07B4C" w:rsidP="0051696A">
      <w:pPr>
        <w:pStyle w:val="Notasalpie"/>
      </w:pPr>
      <w:r w:rsidRPr="0051696A">
        <w:rPr>
          <w:rStyle w:val="FootnoteReference"/>
        </w:rPr>
        <w:footnoteRef/>
      </w:r>
      <w:r w:rsidRPr="0051696A">
        <w:t xml:space="preserve"> </w:t>
      </w:r>
      <w:r w:rsidR="00480E61" w:rsidRPr="0051696A">
        <w:t xml:space="preserve">La Petición 2061-15 fue inicialmente presentada por </w:t>
      </w:r>
      <w:r w:rsidR="00927D6D" w:rsidRPr="0051696A">
        <w:t>el señor Howard David Méndez Blanco</w:t>
      </w:r>
      <w:r w:rsidR="0069336C" w:rsidRPr="0051696A">
        <w:t xml:space="preserve">, </w:t>
      </w:r>
      <w:r w:rsidR="00653797" w:rsidRPr="0051696A">
        <w:t>después asumió la representación la organización Fondejusticia, y, posteriormente el peticionario Alejandro Aguirre Restrepo.</w:t>
      </w:r>
    </w:p>
  </w:footnote>
  <w:footnote w:id="3">
    <w:p w14:paraId="66E930B8" w14:textId="28DCE2C2" w:rsidR="004A6A54" w:rsidRPr="0051696A" w:rsidRDefault="004A6A54" w:rsidP="0051696A">
      <w:pPr>
        <w:pStyle w:val="Notasalpie"/>
      </w:pPr>
      <w:r w:rsidRPr="0051696A">
        <w:rPr>
          <w:rStyle w:val="FootnoteReference"/>
        </w:rPr>
        <w:footnoteRef/>
      </w:r>
      <w:r w:rsidRPr="0051696A">
        <w:t xml:space="preserve"> Conforme a lo dispuesto en el artículo 17.2.a del Reglamento de la Comisión, el Comisionado </w:t>
      </w:r>
      <w:r w:rsidR="00263619" w:rsidRPr="0051696A">
        <w:t>Carlos Bernal Pulido</w:t>
      </w:r>
      <w:r w:rsidRPr="0051696A">
        <w:t xml:space="preserve">, de nacionalidad </w:t>
      </w:r>
      <w:r w:rsidR="00263619" w:rsidRPr="0051696A">
        <w:t>colombiana</w:t>
      </w:r>
      <w:r w:rsidRPr="0051696A">
        <w:t>, no participó en el debate ni en la decisión del presente asunto.</w:t>
      </w:r>
    </w:p>
  </w:footnote>
  <w:footnote w:id="4">
    <w:p w14:paraId="19209626" w14:textId="77777777" w:rsidR="00A91087" w:rsidRPr="0051696A" w:rsidRDefault="00A91087" w:rsidP="0051696A">
      <w:pPr>
        <w:pStyle w:val="Notasalpie"/>
      </w:pPr>
      <w:r w:rsidRPr="0051696A">
        <w:rPr>
          <w:rStyle w:val="FootnoteReference"/>
        </w:rPr>
        <w:footnoteRef/>
      </w:r>
      <w:r w:rsidRPr="0051696A">
        <w:t xml:space="preserve"> En adelante “la Convención Americana” o “la Convención”.</w:t>
      </w:r>
    </w:p>
  </w:footnote>
  <w:footnote w:id="5">
    <w:p w14:paraId="63AA4AAC" w14:textId="77777777" w:rsidR="00961908" w:rsidRPr="0051696A" w:rsidRDefault="00961908" w:rsidP="0051696A">
      <w:pPr>
        <w:pStyle w:val="Notasalpie"/>
        <w:rPr>
          <w:rStyle w:val="FootnoteReference"/>
          <w:lang w:val="es-CO"/>
        </w:rPr>
      </w:pPr>
      <w:r w:rsidRPr="0051696A">
        <w:rPr>
          <w:rStyle w:val="FootnoteReference"/>
        </w:rPr>
        <w:footnoteRef/>
      </w:r>
      <w:r w:rsidRPr="0051696A">
        <w:t xml:space="preserve"> En adelante “la Declaración Americana” o “la Declaración”.</w:t>
      </w:r>
    </w:p>
  </w:footnote>
  <w:footnote w:id="6">
    <w:p w14:paraId="623A050A" w14:textId="33ACF466" w:rsidR="0051696A" w:rsidRPr="0051696A" w:rsidRDefault="0051696A" w:rsidP="0051696A">
      <w:pPr>
        <w:pStyle w:val="FootnoteText"/>
        <w:ind w:firstLine="720"/>
        <w:jc w:val="both"/>
        <w:rPr>
          <w:rFonts w:asciiTheme="majorHAnsi" w:hAnsiTheme="majorHAnsi"/>
          <w:sz w:val="16"/>
          <w:szCs w:val="16"/>
          <w:lang w:val="es-ES"/>
        </w:rPr>
      </w:pPr>
      <w:r w:rsidRPr="0051696A">
        <w:rPr>
          <w:rStyle w:val="FootnoteReference"/>
          <w:rFonts w:asciiTheme="majorHAnsi" w:hAnsiTheme="majorHAnsi"/>
          <w:sz w:val="16"/>
          <w:szCs w:val="16"/>
        </w:rPr>
        <w:footnoteRef/>
      </w:r>
      <w:r w:rsidRPr="0051696A">
        <w:rPr>
          <w:rFonts w:asciiTheme="majorHAnsi" w:hAnsiTheme="majorHAnsi"/>
          <w:sz w:val="16"/>
          <w:szCs w:val="16"/>
          <w:lang w:val="es-ES"/>
        </w:rPr>
        <w:t xml:space="preserve"> </w:t>
      </w:r>
      <w:r w:rsidRPr="0051696A">
        <w:rPr>
          <w:rFonts w:asciiTheme="majorHAnsi" w:hAnsiTheme="majorHAnsi"/>
          <w:bCs/>
          <w:sz w:val="16"/>
          <w:szCs w:val="16"/>
          <w:lang w:val="es-CO"/>
        </w:rPr>
        <w:t>Los artículos 2, 5, 14, 25 y 26 del Pacto Internacional de Derechos Civiles y Políticos; y artículos 8 y 23 de la Declaración Universal de los Derechos Humanos</w:t>
      </w:r>
    </w:p>
  </w:footnote>
  <w:footnote w:id="7">
    <w:p w14:paraId="1AFEF3B0" w14:textId="3B5D9238" w:rsidR="008E3BFE" w:rsidRPr="0051696A" w:rsidRDefault="008E3BFE" w:rsidP="0051696A">
      <w:pPr>
        <w:pStyle w:val="FootnoteText"/>
        <w:ind w:firstLine="720"/>
        <w:jc w:val="both"/>
        <w:rPr>
          <w:rFonts w:asciiTheme="majorHAnsi" w:hAnsiTheme="majorHAnsi"/>
          <w:sz w:val="16"/>
          <w:szCs w:val="16"/>
          <w:lang w:val="es-ES"/>
        </w:rPr>
      </w:pPr>
      <w:r w:rsidRPr="0051696A">
        <w:rPr>
          <w:rStyle w:val="FootnoteReference"/>
          <w:rFonts w:asciiTheme="majorHAnsi" w:hAnsiTheme="majorHAnsi"/>
          <w:sz w:val="16"/>
          <w:szCs w:val="16"/>
        </w:rPr>
        <w:footnoteRef/>
      </w:r>
      <w:r w:rsidRPr="0051696A">
        <w:rPr>
          <w:rFonts w:asciiTheme="majorHAnsi" w:hAnsiTheme="majorHAnsi"/>
          <w:sz w:val="16"/>
          <w:szCs w:val="16"/>
          <w:lang w:val="es-ES"/>
        </w:rPr>
        <w:t xml:space="preserve"> Las observaciones de cada parte fueron debidamente trasladadas a la parte contraria.</w:t>
      </w:r>
    </w:p>
  </w:footnote>
  <w:footnote w:id="8">
    <w:p w14:paraId="56D37202" w14:textId="77777777" w:rsidR="002C4A56" w:rsidRPr="006C0B12" w:rsidRDefault="002C4A56" w:rsidP="0051696A">
      <w:pPr>
        <w:pStyle w:val="FootnoteText"/>
        <w:ind w:firstLine="720"/>
        <w:jc w:val="both"/>
        <w:rPr>
          <w:rFonts w:asciiTheme="majorHAnsi" w:hAnsiTheme="majorHAnsi"/>
          <w:sz w:val="16"/>
          <w:szCs w:val="16"/>
          <w:lang w:val="es-CO"/>
        </w:rPr>
      </w:pPr>
      <w:r w:rsidRPr="006C0B12">
        <w:rPr>
          <w:rStyle w:val="FootnoteReference"/>
          <w:rFonts w:asciiTheme="majorHAnsi" w:hAnsiTheme="majorHAnsi"/>
          <w:sz w:val="16"/>
          <w:szCs w:val="16"/>
        </w:rPr>
        <w:footnoteRef/>
      </w:r>
      <w:r w:rsidRPr="006C0B12">
        <w:rPr>
          <w:rFonts w:asciiTheme="majorHAnsi" w:hAnsiTheme="majorHAnsi"/>
          <w:sz w:val="16"/>
          <w:szCs w:val="16"/>
          <w:lang w:val="es-CO"/>
        </w:rPr>
        <w:t xml:space="preserve"> El artículo 29.5 del Reglamento Interno de la CIDH dispone: “</w:t>
      </w:r>
      <w:r w:rsidRPr="006C0B12">
        <w:rPr>
          <w:rFonts w:asciiTheme="majorHAnsi" w:hAnsiTheme="majorHAnsi"/>
          <w:i/>
          <w:iCs/>
          <w:sz w:val="16"/>
          <w:szCs w:val="16"/>
          <w:lang w:val="es-ES_tradnl"/>
        </w:rPr>
        <w:t>Si dos o más peticiones versan sobre hechos similares, involucran a las mismas personas, o si revelan el mismo patrón de conducta, la Comisión las podrá acumular y tramitar en un mismo expediente”.</w:t>
      </w:r>
    </w:p>
  </w:footnote>
  <w:footnote w:id="9">
    <w:p w14:paraId="46BA4B54" w14:textId="77777777" w:rsidR="005830E0" w:rsidRPr="00A11B3B" w:rsidRDefault="005830E0" w:rsidP="0051696A">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0">
    <w:p w14:paraId="73E8C2C2" w14:textId="77777777" w:rsidR="005830E0" w:rsidRPr="00A11B3B" w:rsidRDefault="005830E0" w:rsidP="0051696A">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1">
    <w:p w14:paraId="261FAD84" w14:textId="77777777" w:rsidR="00DF36A2" w:rsidRPr="00243E7F" w:rsidRDefault="00DF36A2" w:rsidP="0051696A">
      <w:pPr>
        <w:pStyle w:val="Notasalpie"/>
      </w:pPr>
      <w:r w:rsidRPr="00243E7F">
        <w:rPr>
          <w:rStyle w:val="FootnoteReference"/>
        </w:rPr>
        <w:footnoteRef/>
      </w:r>
      <w:r w:rsidRPr="00243E7F">
        <w:t xml:space="preserve"> </w:t>
      </w:r>
      <w:r w:rsidRPr="0072091B">
        <w:t xml:space="preserve">Corte IDH. Caso Viteri Ungaretti y otros Vs. Ecuador. Excepciones Preliminares, Fondo, Reparaciones y Costas. </w:t>
      </w:r>
      <w:r w:rsidRPr="00386B3D">
        <w:t xml:space="preserve">Sentencia de 27 de noviembre de 2023. Serie C No. 510, párr. 137; </w:t>
      </w:r>
      <w:r w:rsidRPr="00243E7F">
        <w:t>Caso Mina Cuero Vs. Ecuador. Excepción Preliminar, Fondo, Reparaciones y Costas. Sentencia de 7 de septiembre de 2022. Serie C No. 464, párr. 130;</w:t>
      </w:r>
      <w:r>
        <w:t xml:space="preserve"> </w:t>
      </w:r>
      <w:r w:rsidRPr="00386B3D">
        <w:t xml:space="preserve">Caso de los Empleados de la Fábrica de Fuegos de Santo Antônio de Jesus y sus familiares Vs. Brasil. Excepciones Preliminares, Fondo, Reparaciones y Costas. Sentencia de 15 de julio de 2020. </w:t>
      </w:r>
      <w:r w:rsidRPr="0061371A">
        <w:t xml:space="preserve">Serie C No. 40, párr. 155; </w:t>
      </w:r>
      <w:r w:rsidRPr="00243E7F">
        <w:t>y CIDH. Informe No. 169/19. Caso 12.396 Fondo. Leónidas Bendezú Tuncar. Perú. 9 de noviembre de 2019, párr. 70 y ss.</w:t>
      </w:r>
    </w:p>
  </w:footnote>
  <w:footnote w:id="12">
    <w:p w14:paraId="7641EE95" w14:textId="77777777" w:rsidR="009A3F08" w:rsidRPr="002E5CA6" w:rsidRDefault="009A3F08" w:rsidP="0051696A">
      <w:pPr>
        <w:pStyle w:val="Notasalpie"/>
      </w:pPr>
      <w:r>
        <w:rPr>
          <w:rStyle w:val="FootnoteReference"/>
        </w:rPr>
        <w:footnoteRef/>
      </w:r>
      <w:r w:rsidRPr="003C7BEE">
        <w:t xml:space="preserve"> Corte IDH. </w:t>
      </w:r>
      <w:r w:rsidRPr="00D125A2">
        <w:t xml:space="preserve">Caso Lagos del Campo Vs. Perú. Excepciones Preliminares, Fondo, Reparaciones y Costas. </w:t>
      </w:r>
      <w:r w:rsidRPr="00DB2B2E">
        <w:t xml:space="preserve">Sentencia de 31 de agosto de 2017. Serie C No. 340, párr. 147; citando, a su vez, ONU. Comité de Derechos Económicos, Sociales y Culturales, Observación General No 18: El derecho al Trabajo, U.N. Doc. </w:t>
      </w:r>
      <w:r w:rsidRPr="0061371A">
        <w:t>E/C.12/GC/18, 24 de noviembre de 2005.</w:t>
      </w:r>
    </w:p>
  </w:footnote>
  <w:footnote w:id="13">
    <w:p w14:paraId="3C55AB2E" w14:textId="32AD7EF5" w:rsidR="00155637" w:rsidRPr="00155637" w:rsidRDefault="00155637" w:rsidP="00155637">
      <w:pPr>
        <w:pStyle w:val="Notasalpie"/>
        <w:rPr>
          <w:lang w:val="es-CO"/>
        </w:rPr>
      </w:pPr>
      <w:r>
        <w:rPr>
          <w:rStyle w:val="FootnoteReference"/>
        </w:rPr>
        <w:footnoteRef/>
      </w:r>
      <w:r>
        <w:t xml:space="preserve"> </w:t>
      </w:r>
      <w:r w:rsidRPr="00155637">
        <w:rPr>
          <w:lang w:val="es-CO"/>
        </w:rPr>
        <w:t>CIDH, Informe No. 173/24. Petición 1149-14. Admisibilidad. Javier Játiva García. Colombia. 18 de octubre de 2024</w:t>
      </w:r>
      <w:r>
        <w:rPr>
          <w:lang w:val="es-CO"/>
        </w:rPr>
        <w:t xml:space="preserve">; </w:t>
      </w:r>
      <w:r w:rsidR="00902073" w:rsidRPr="00902073">
        <w:rPr>
          <w:lang w:val="es-CO"/>
        </w:rPr>
        <w:t xml:space="preserve">Informe No. 156/24. Petición 875-14. Admisibilidad. William Cedano Bermúdez. Colombia. </w:t>
      </w:r>
      <w:r w:rsidR="00902073" w:rsidRPr="006D3753">
        <w:rPr>
          <w:lang w:val="es-CO"/>
        </w:rPr>
        <w:t>27 de septiembre de 2024;</w:t>
      </w:r>
      <w:r w:rsidR="00CB5661">
        <w:rPr>
          <w:lang w:val="es-CO"/>
        </w:rPr>
        <w:t xml:space="preserve"> e,</w:t>
      </w:r>
      <w:r w:rsidR="00902073" w:rsidRPr="006D3753">
        <w:rPr>
          <w:lang w:val="es-CO"/>
        </w:rPr>
        <w:t xml:space="preserve"> </w:t>
      </w:r>
      <w:r w:rsidR="006D3753" w:rsidRPr="006D3753">
        <w:rPr>
          <w:lang w:val="es-CO"/>
        </w:rPr>
        <w:t xml:space="preserve">Informe No. 155/24. Petición 757-14. Admisibilidad. Nicolás del Cristo Buelvas Gutiérrez. </w:t>
      </w:r>
      <w:r w:rsidR="006D3753" w:rsidRPr="00C72DD2">
        <w:t>Colombia. 27 de septiembre de 2024</w:t>
      </w:r>
      <w:r w:rsidR="00CB5661" w:rsidRPr="00C72D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76F7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8B34F8"/>
    <w:multiLevelType w:val="hybridMultilevel"/>
    <w:tmpl w:val="283CE9D8"/>
    <w:lvl w:ilvl="0" w:tplc="B404B282">
      <w:start w:val="1"/>
      <w:numFmt w:val="decimal"/>
      <w:lvlText w:val="%1."/>
      <w:lvlJc w:val="left"/>
      <w:pPr>
        <w:ind w:left="1440" w:hanging="360"/>
      </w:pPr>
      <w:rPr>
        <w:i w:val="0"/>
        <w:iCs w:val="0"/>
        <w:color w:val="auto"/>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6BC6E152"/>
    <w:lvl w:ilvl="0" w:tplc="BB08B6DE">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2"/>
  </w:num>
  <w:num w:numId="5" w16cid:durableId="368341374">
    <w:abstractNumId w:val="51"/>
  </w:num>
  <w:num w:numId="6" w16cid:durableId="1074009954">
    <w:abstractNumId w:val="30"/>
  </w:num>
  <w:num w:numId="7" w16cid:durableId="1545016965">
    <w:abstractNumId w:val="7"/>
  </w:num>
  <w:num w:numId="8" w16cid:durableId="1165165820">
    <w:abstractNumId w:val="17"/>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8"/>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4"/>
  </w:num>
  <w:num w:numId="53" w16cid:durableId="586957926">
    <w:abstractNumId w:val="55"/>
  </w:num>
  <w:num w:numId="54" w16cid:durableId="1498381482">
    <w:abstractNumId w:val="49"/>
  </w:num>
  <w:num w:numId="55" w16cid:durableId="1930308158">
    <w:abstractNumId w:val="47"/>
  </w:num>
  <w:num w:numId="56" w16cid:durableId="71783945">
    <w:abstractNumId w:val="29"/>
  </w:num>
  <w:num w:numId="57" w16cid:durableId="327246300">
    <w:abstractNumId w:val="27"/>
  </w:num>
  <w:num w:numId="58" w16cid:durableId="823088829">
    <w:abstractNumId w:val="39"/>
  </w:num>
  <w:num w:numId="59" w16cid:durableId="219633537">
    <w:abstractNumId w:val="4"/>
  </w:num>
  <w:num w:numId="60" w16cid:durableId="364453791">
    <w:abstractNumId w:val="46"/>
  </w:num>
  <w:num w:numId="61" w16cid:durableId="319626255">
    <w:abstractNumId w:val="54"/>
  </w:num>
  <w:num w:numId="62" w16cid:durableId="362898492">
    <w:abstractNumId w:val="6"/>
  </w:num>
  <w:num w:numId="63" w16cid:durableId="413744366">
    <w:abstractNumId w:val="23"/>
  </w:num>
  <w:num w:numId="64" w16cid:durableId="967050090">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53F"/>
    <w:rsid w:val="00006E1F"/>
    <w:rsid w:val="000070D7"/>
    <w:rsid w:val="0001788C"/>
    <w:rsid w:val="00017D43"/>
    <w:rsid w:val="0002349D"/>
    <w:rsid w:val="0003277F"/>
    <w:rsid w:val="000337EF"/>
    <w:rsid w:val="00037D91"/>
    <w:rsid w:val="00040C3A"/>
    <w:rsid w:val="000412EF"/>
    <w:rsid w:val="000419AD"/>
    <w:rsid w:val="000433C9"/>
    <w:rsid w:val="00044779"/>
    <w:rsid w:val="000470E9"/>
    <w:rsid w:val="000619E3"/>
    <w:rsid w:val="000678CB"/>
    <w:rsid w:val="00071174"/>
    <w:rsid w:val="000716C5"/>
    <w:rsid w:val="00075E23"/>
    <w:rsid w:val="00077897"/>
    <w:rsid w:val="0008158C"/>
    <w:rsid w:val="00083509"/>
    <w:rsid w:val="0009344A"/>
    <w:rsid w:val="00094DC8"/>
    <w:rsid w:val="000A2788"/>
    <w:rsid w:val="000A33BE"/>
    <w:rsid w:val="000A392E"/>
    <w:rsid w:val="000A575F"/>
    <w:rsid w:val="000B47A7"/>
    <w:rsid w:val="000D05CB"/>
    <w:rsid w:val="000D10DB"/>
    <w:rsid w:val="000D3C5B"/>
    <w:rsid w:val="000E25E8"/>
    <w:rsid w:val="000E5EB5"/>
    <w:rsid w:val="000F0D32"/>
    <w:rsid w:val="000F1E68"/>
    <w:rsid w:val="000F35ED"/>
    <w:rsid w:val="000F7D7B"/>
    <w:rsid w:val="001004FE"/>
    <w:rsid w:val="001019A3"/>
    <w:rsid w:val="00102888"/>
    <w:rsid w:val="00105397"/>
    <w:rsid w:val="00107131"/>
    <w:rsid w:val="0010736F"/>
    <w:rsid w:val="00113F73"/>
    <w:rsid w:val="00117F3C"/>
    <w:rsid w:val="00121CC2"/>
    <w:rsid w:val="00125980"/>
    <w:rsid w:val="00126372"/>
    <w:rsid w:val="00131425"/>
    <w:rsid w:val="00133EE5"/>
    <w:rsid w:val="00144DE0"/>
    <w:rsid w:val="00147FB4"/>
    <w:rsid w:val="00155637"/>
    <w:rsid w:val="00155CA1"/>
    <w:rsid w:val="00165C2E"/>
    <w:rsid w:val="00167A34"/>
    <w:rsid w:val="00170F85"/>
    <w:rsid w:val="001725B2"/>
    <w:rsid w:val="00173782"/>
    <w:rsid w:val="00180086"/>
    <w:rsid w:val="001975F1"/>
    <w:rsid w:val="001A520D"/>
    <w:rsid w:val="001A7870"/>
    <w:rsid w:val="001B3A00"/>
    <w:rsid w:val="001B478B"/>
    <w:rsid w:val="001C1B41"/>
    <w:rsid w:val="001C4668"/>
    <w:rsid w:val="001D65EF"/>
    <w:rsid w:val="001D7F96"/>
    <w:rsid w:val="001E49E7"/>
    <w:rsid w:val="001F2A82"/>
    <w:rsid w:val="001F7201"/>
    <w:rsid w:val="001F7750"/>
    <w:rsid w:val="00200EF2"/>
    <w:rsid w:val="00203F0B"/>
    <w:rsid w:val="002076C3"/>
    <w:rsid w:val="00211317"/>
    <w:rsid w:val="002113F1"/>
    <w:rsid w:val="00223A29"/>
    <w:rsid w:val="002250A3"/>
    <w:rsid w:val="00235217"/>
    <w:rsid w:val="002378BD"/>
    <w:rsid w:val="00245C2E"/>
    <w:rsid w:val="00246D1F"/>
    <w:rsid w:val="00247403"/>
    <w:rsid w:val="00247542"/>
    <w:rsid w:val="002515E6"/>
    <w:rsid w:val="002543F0"/>
    <w:rsid w:val="00256BFF"/>
    <w:rsid w:val="00261C76"/>
    <w:rsid w:val="00263619"/>
    <w:rsid w:val="00266B61"/>
    <w:rsid w:val="0026712A"/>
    <w:rsid w:val="002704DB"/>
    <w:rsid w:val="00271525"/>
    <w:rsid w:val="00274415"/>
    <w:rsid w:val="002A0AAE"/>
    <w:rsid w:val="002A5820"/>
    <w:rsid w:val="002A5E37"/>
    <w:rsid w:val="002C4A56"/>
    <w:rsid w:val="002C770B"/>
    <w:rsid w:val="002D0E26"/>
    <w:rsid w:val="002D2B26"/>
    <w:rsid w:val="002D6B27"/>
    <w:rsid w:val="002D73B1"/>
    <w:rsid w:val="002D7EA2"/>
    <w:rsid w:val="002E187C"/>
    <w:rsid w:val="002E5A4F"/>
    <w:rsid w:val="002E66FC"/>
    <w:rsid w:val="00302733"/>
    <w:rsid w:val="00305835"/>
    <w:rsid w:val="00306F33"/>
    <w:rsid w:val="00314078"/>
    <w:rsid w:val="0031535D"/>
    <w:rsid w:val="003239B8"/>
    <w:rsid w:val="00323DD5"/>
    <w:rsid w:val="0033150C"/>
    <w:rsid w:val="0033169F"/>
    <w:rsid w:val="00335D68"/>
    <w:rsid w:val="00342205"/>
    <w:rsid w:val="00344977"/>
    <w:rsid w:val="00346C95"/>
    <w:rsid w:val="00356185"/>
    <w:rsid w:val="00356501"/>
    <w:rsid w:val="00360380"/>
    <w:rsid w:val="00362324"/>
    <w:rsid w:val="003623F7"/>
    <w:rsid w:val="00366935"/>
    <w:rsid w:val="0037519E"/>
    <w:rsid w:val="00380BD5"/>
    <w:rsid w:val="00386CF0"/>
    <w:rsid w:val="00387DB6"/>
    <w:rsid w:val="0039269A"/>
    <w:rsid w:val="00394073"/>
    <w:rsid w:val="00394722"/>
    <w:rsid w:val="003B6431"/>
    <w:rsid w:val="003B70FB"/>
    <w:rsid w:val="003B795E"/>
    <w:rsid w:val="003C676B"/>
    <w:rsid w:val="003D3566"/>
    <w:rsid w:val="003D3BC2"/>
    <w:rsid w:val="003D3C91"/>
    <w:rsid w:val="003D7A24"/>
    <w:rsid w:val="003D7DBE"/>
    <w:rsid w:val="003E0D2F"/>
    <w:rsid w:val="003E2F32"/>
    <w:rsid w:val="003E6CA1"/>
    <w:rsid w:val="003F27AE"/>
    <w:rsid w:val="003F5154"/>
    <w:rsid w:val="00405F9C"/>
    <w:rsid w:val="004065A8"/>
    <w:rsid w:val="00406E46"/>
    <w:rsid w:val="00407B62"/>
    <w:rsid w:val="00414C6D"/>
    <w:rsid w:val="0041627E"/>
    <w:rsid w:val="004165C2"/>
    <w:rsid w:val="004241A0"/>
    <w:rsid w:val="0043086D"/>
    <w:rsid w:val="00432D91"/>
    <w:rsid w:val="004355B9"/>
    <w:rsid w:val="00441ECB"/>
    <w:rsid w:val="00445193"/>
    <w:rsid w:val="00455259"/>
    <w:rsid w:val="00456CE4"/>
    <w:rsid w:val="00460732"/>
    <w:rsid w:val="00461B7B"/>
    <w:rsid w:val="00462C1B"/>
    <w:rsid w:val="00467984"/>
    <w:rsid w:val="00467B7E"/>
    <w:rsid w:val="00473BB4"/>
    <w:rsid w:val="00477592"/>
    <w:rsid w:val="00477887"/>
    <w:rsid w:val="00480E61"/>
    <w:rsid w:val="00482806"/>
    <w:rsid w:val="00486F1C"/>
    <w:rsid w:val="0049003A"/>
    <w:rsid w:val="00494191"/>
    <w:rsid w:val="0049419D"/>
    <w:rsid w:val="004A057B"/>
    <w:rsid w:val="004A6A54"/>
    <w:rsid w:val="004B12F1"/>
    <w:rsid w:val="004B421C"/>
    <w:rsid w:val="004C0CC1"/>
    <w:rsid w:val="004C20D2"/>
    <w:rsid w:val="004C2312"/>
    <w:rsid w:val="004C4B62"/>
    <w:rsid w:val="004C54C9"/>
    <w:rsid w:val="004D0BE0"/>
    <w:rsid w:val="004D2E69"/>
    <w:rsid w:val="004D40F2"/>
    <w:rsid w:val="004D4ABA"/>
    <w:rsid w:val="004D6025"/>
    <w:rsid w:val="004E0044"/>
    <w:rsid w:val="004E17D7"/>
    <w:rsid w:val="004E222C"/>
    <w:rsid w:val="004E2649"/>
    <w:rsid w:val="004F626F"/>
    <w:rsid w:val="00500AB0"/>
    <w:rsid w:val="00501399"/>
    <w:rsid w:val="005047ED"/>
    <w:rsid w:val="0050633D"/>
    <w:rsid w:val="00507BC4"/>
    <w:rsid w:val="005128E4"/>
    <w:rsid w:val="005133DB"/>
    <w:rsid w:val="00514504"/>
    <w:rsid w:val="0051696A"/>
    <w:rsid w:val="0051731C"/>
    <w:rsid w:val="005173A3"/>
    <w:rsid w:val="00520A7A"/>
    <w:rsid w:val="00521E1F"/>
    <w:rsid w:val="00525560"/>
    <w:rsid w:val="00530BB8"/>
    <w:rsid w:val="00544C49"/>
    <w:rsid w:val="005516A1"/>
    <w:rsid w:val="00551D35"/>
    <w:rsid w:val="00555946"/>
    <w:rsid w:val="005559EF"/>
    <w:rsid w:val="00563557"/>
    <w:rsid w:val="00573AC4"/>
    <w:rsid w:val="0057402A"/>
    <w:rsid w:val="0057466D"/>
    <w:rsid w:val="00576BD2"/>
    <w:rsid w:val="005771D0"/>
    <w:rsid w:val="00577B42"/>
    <w:rsid w:val="005830E0"/>
    <w:rsid w:val="00584AF3"/>
    <w:rsid w:val="005851FF"/>
    <w:rsid w:val="0059191A"/>
    <w:rsid w:val="005921FF"/>
    <w:rsid w:val="005924C3"/>
    <w:rsid w:val="005A0784"/>
    <w:rsid w:val="005A24ED"/>
    <w:rsid w:val="005A68BA"/>
    <w:rsid w:val="005A6D0E"/>
    <w:rsid w:val="005B52B0"/>
    <w:rsid w:val="005B6806"/>
    <w:rsid w:val="005C250E"/>
    <w:rsid w:val="005C4225"/>
    <w:rsid w:val="005D030D"/>
    <w:rsid w:val="005F0DAD"/>
    <w:rsid w:val="005F0F33"/>
    <w:rsid w:val="005F5B1C"/>
    <w:rsid w:val="005F6E39"/>
    <w:rsid w:val="00600DEB"/>
    <w:rsid w:val="0061351D"/>
    <w:rsid w:val="00627C9F"/>
    <w:rsid w:val="00630796"/>
    <w:rsid w:val="006311E9"/>
    <w:rsid w:val="00632354"/>
    <w:rsid w:val="00635421"/>
    <w:rsid w:val="00642810"/>
    <w:rsid w:val="00652333"/>
    <w:rsid w:val="00653797"/>
    <w:rsid w:val="00656BDC"/>
    <w:rsid w:val="006605C9"/>
    <w:rsid w:val="00662DF5"/>
    <w:rsid w:val="00677F45"/>
    <w:rsid w:val="0068009E"/>
    <w:rsid w:val="00681784"/>
    <w:rsid w:val="006845D1"/>
    <w:rsid w:val="006905D9"/>
    <w:rsid w:val="00692219"/>
    <w:rsid w:val="0069336C"/>
    <w:rsid w:val="00693D86"/>
    <w:rsid w:val="00697949"/>
    <w:rsid w:val="00697EF7"/>
    <w:rsid w:val="006A17D2"/>
    <w:rsid w:val="006A52C6"/>
    <w:rsid w:val="006A73E6"/>
    <w:rsid w:val="006B2D5C"/>
    <w:rsid w:val="006B730C"/>
    <w:rsid w:val="006C0ECF"/>
    <w:rsid w:val="006C4EB1"/>
    <w:rsid w:val="006D3753"/>
    <w:rsid w:val="006E0166"/>
    <w:rsid w:val="006E0271"/>
    <w:rsid w:val="006E2FFB"/>
    <w:rsid w:val="006E621A"/>
    <w:rsid w:val="006E7B34"/>
    <w:rsid w:val="00701F92"/>
    <w:rsid w:val="0070697F"/>
    <w:rsid w:val="007103C4"/>
    <w:rsid w:val="0072199C"/>
    <w:rsid w:val="00722C9F"/>
    <w:rsid w:val="00723D92"/>
    <w:rsid w:val="007253B8"/>
    <w:rsid w:val="00733941"/>
    <w:rsid w:val="0073741F"/>
    <w:rsid w:val="00740FC2"/>
    <w:rsid w:val="00751421"/>
    <w:rsid w:val="00753065"/>
    <w:rsid w:val="00761DCF"/>
    <w:rsid w:val="0076643F"/>
    <w:rsid w:val="00766866"/>
    <w:rsid w:val="00772AFD"/>
    <w:rsid w:val="007755AB"/>
    <w:rsid w:val="00777F63"/>
    <w:rsid w:val="0079188B"/>
    <w:rsid w:val="007921A1"/>
    <w:rsid w:val="00794AC2"/>
    <w:rsid w:val="00797A52"/>
    <w:rsid w:val="007A20FE"/>
    <w:rsid w:val="007A48B8"/>
    <w:rsid w:val="007A5817"/>
    <w:rsid w:val="007A682A"/>
    <w:rsid w:val="007B014D"/>
    <w:rsid w:val="007B05C4"/>
    <w:rsid w:val="007B159C"/>
    <w:rsid w:val="007B4A15"/>
    <w:rsid w:val="007B60E9"/>
    <w:rsid w:val="007B6CC3"/>
    <w:rsid w:val="007B6D1D"/>
    <w:rsid w:val="007B76D3"/>
    <w:rsid w:val="007C2237"/>
    <w:rsid w:val="007C3334"/>
    <w:rsid w:val="007C72C7"/>
    <w:rsid w:val="007D2B98"/>
    <w:rsid w:val="007D7172"/>
    <w:rsid w:val="007E21BC"/>
    <w:rsid w:val="007E5C73"/>
    <w:rsid w:val="007E6F42"/>
    <w:rsid w:val="007E7C82"/>
    <w:rsid w:val="007F2AA1"/>
    <w:rsid w:val="007F4779"/>
    <w:rsid w:val="007F588D"/>
    <w:rsid w:val="00803F1C"/>
    <w:rsid w:val="00804AC5"/>
    <w:rsid w:val="008058BD"/>
    <w:rsid w:val="0080600E"/>
    <w:rsid w:val="00811C17"/>
    <w:rsid w:val="00814688"/>
    <w:rsid w:val="00815781"/>
    <w:rsid w:val="00817612"/>
    <w:rsid w:val="008338A4"/>
    <w:rsid w:val="00834D49"/>
    <w:rsid w:val="008372BC"/>
    <w:rsid w:val="00837C45"/>
    <w:rsid w:val="00844730"/>
    <w:rsid w:val="008457C2"/>
    <w:rsid w:val="00857A82"/>
    <w:rsid w:val="008608B6"/>
    <w:rsid w:val="00863B4B"/>
    <w:rsid w:val="00873836"/>
    <w:rsid w:val="00884240"/>
    <w:rsid w:val="00885737"/>
    <w:rsid w:val="00890650"/>
    <w:rsid w:val="00890DA0"/>
    <w:rsid w:val="0089155C"/>
    <w:rsid w:val="008944DC"/>
    <w:rsid w:val="00897E12"/>
    <w:rsid w:val="008A367C"/>
    <w:rsid w:val="008A3793"/>
    <w:rsid w:val="008A7E0F"/>
    <w:rsid w:val="008B12F5"/>
    <w:rsid w:val="008C0658"/>
    <w:rsid w:val="008C5E2D"/>
    <w:rsid w:val="008D445C"/>
    <w:rsid w:val="008D768D"/>
    <w:rsid w:val="008E32D9"/>
    <w:rsid w:val="008E3759"/>
    <w:rsid w:val="008E3BFE"/>
    <w:rsid w:val="008E6599"/>
    <w:rsid w:val="008F1912"/>
    <w:rsid w:val="008F2884"/>
    <w:rsid w:val="00901503"/>
    <w:rsid w:val="00902073"/>
    <w:rsid w:val="0090270B"/>
    <w:rsid w:val="009041DC"/>
    <w:rsid w:val="00907BC5"/>
    <w:rsid w:val="00910AC8"/>
    <w:rsid w:val="00917B5A"/>
    <w:rsid w:val="00920A58"/>
    <w:rsid w:val="00920A8C"/>
    <w:rsid w:val="009212DA"/>
    <w:rsid w:val="00921E30"/>
    <w:rsid w:val="00926C30"/>
    <w:rsid w:val="00927861"/>
    <w:rsid w:val="00927D6D"/>
    <w:rsid w:val="00934A2C"/>
    <w:rsid w:val="0094541E"/>
    <w:rsid w:val="00950C33"/>
    <w:rsid w:val="00961908"/>
    <w:rsid w:val="0096706E"/>
    <w:rsid w:val="00974276"/>
    <w:rsid w:val="00974491"/>
    <w:rsid w:val="00975AE3"/>
    <w:rsid w:val="00975C4E"/>
    <w:rsid w:val="00981FBA"/>
    <w:rsid w:val="009820BC"/>
    <w:rsid w:val="009901FF"/>
    <w:rsid w:val="00991E71"/>
    <w:rsid w:val="0099363E"/>
    <w:rsid w:val="00997BC5"/>
    <w:rsid w:val="009A3F08"/>
    <w:rsid w:val="009A4F41"/>
    <w:rsid w:val="009A56CE"/>
    <w:rsid w:val="009A5744"/>
    <w:rsid w:val="009A5C7B"/>
    <w:rsid w:val="009A696F"/>
    <w:rsid w:val="009A6FD1"/>
    <w:rsid w:val="009B381B"/>
    <w:rsid w:val="009B7820"/>
    <w:rsid w:val="009B7FB5"/>
    <w:rsid w:val="009C24CE"/>
    <w:rsid w:val="009C4CF7"/>
    <w:rsid w:val="009C77A5"/>
    <w:rsid w:val="009D1753"/>
    <w:rsid w:val="009D23CD"/>
    <w:rsid w:val="009D7611"/>
    <w:rsid w:val="009E0B61"/>
    <w:rsid w:val="009E447F"/>
    <w:rsid w:val="009E4EBF"/>
    <w:rsid w:val="009E53DE"/>
    <w:rsid w:val="00A00B30"/>
    <w:rsid w:val="00A00F33"/>
    <w:rsid w:val="00A02CB0"/>
    <w:rsid w:val="00A03F6A"/>
    <w:rsid w:val="00A11212"/>
    <w:rsid w:val="00A11E44"/>
    <w:rsid w:val="00A15366"/>
    <w:rsid w:val="00A15562"/>
    <w:rsid w:val="00A203CB"/>
    <w:rsid w:val="00A20EF8"/>
    <w:rsid w:val="00A27FD3"/>
    <w:rsid w:val="00A30100"/>
    <w:rsid w:val="00A328B3"/>
    <w:rsid w:val="00A4759E"/>
    <w:rsid w:val="00A50FCF"/>
    <w:rsid w:val="00A528D1"/>
    <w:rsid w:val="00A56C7F"/>
    <w:rsid w:val="00A610CD"/>
    <w:rsid w:val="00A66359"/>
    <w:rsid w:val="00A720BC"/>
    <w:rsid w:val="00A7261C"/>
    <w:rsid w:val="00A758AA"/>
    <w:rsid w:val="00A76F7D"/>
    <w:rsid w:val="00A828AE"/>
    <w:rsid w:val="00A853D2"/>
    <w:rsid w:val="00A91087"/>
    <w:rsid w:val="00AA09A2"/>
    <w:rsid w:val="00AA1476"/>
    <w:rsid w:val="00AA3D89"/>
    <w:rsid w:val="00AA7996"/>
    <w:rsid w:val="00AB5317"/>
    <w:rsid w:val="00AC19CB"/>
    <w:rsid w:val="00AD0B6E"/>
    <w:rsid w:val="00AE5488"/>
    <w:rsid w:val="00AE628D"/>
    <w:rsid w:val="00AE6F91"/>
    <w:rsid w:val="00AE7DF6"/>
    <w:rsid w:val="00AF0BFD"/>
    <w:rsid w:val="00AF5571"/>
    <w:rsid w:val="00AF5C1E"/>
    <w:rsid w:val="00B04818"/>
    <w:rsid w:val="00B07341"/>
    <w:rsid w:val="00B209AE"/>
    <w:rsid w:val="00B229F5"/>
    <w:rsid w:val="00B2508B"/>
    <w:rsid w:val="00B30539"/>
    <w:rsid w:val="00B314DB"/>
    <w:rsid w:val="00B339BF"/>
    <w:rsid w:val="00B361F2"/>
    <w:rsid w:val="00B3718B"/>
    <w:rsid w:val="00B3745F"/>
    <w:rsid w:val="00B42A2F"/>
    <w:rsid w:val="00B4361E"/>
    <w:rsid w:val="00B4632A"/>
    <w:rsid w:val="00B4675A"/>
    <w:rsid w:val="00B46914"/>
    <w:rsid w:val="00B530F1"/>
    <w:rsid w:val="00B6765D"/>
    <w:rsid w:val="00B80A2C"/>
    <w:rsid w:val="00B84C4C"/>
    <w:rsid w:val="00B9189B"/>
    <w:rsid w:val="00B9252E"/>
    <w:rsid w:val="00B93D7F"/>
    <w:rsid w:val="00B955EA"/>
    <w:rsid w:val="00BA276C"/>
    <w:rsid w:val="00BB019D"/>
    <w:rsid w:val="00BB306F"/>
    <w:rsid w:val="00BB617E"/>
    <w:rsid w:val="00BD0FF5"/>
    <w:rsid w:val="00BD1D67"/>
    <w:rsid w:val="00BD3776"/>
    <w:rsid w:val="00BD4B89"/>
    <w:rsid w:val="00BD5922"/>
    <w:rsid w:val="00BF02CB"/>
    <w:rsid w:val="00BF134A"/>
    <w:rsid w:val="00BF3523"/>
    <w:rsid w:val="00BF5104"/>
    <w:rsid w:val="00BF6FD8"/>
    <w:rsid w:val="00C0145A"/>
    <w:rsid w:val="00C03680"/>
    <w:rsid w:val="00C0466D"/>
    <w:rsid w:val="00C054DF"/>
    <w:rsid w:val="00C073CE"/>
    <w:rsid w:val="00C21762"/>
    <w:rsid w:val="00C21FEF"/>
    <w:rsid w:val="00C23BA4"/>
    <w:rsid w:val="00C24543"/>
    <w:rsid w:val="00C256A2"/>
    <w:rsid w:val="00C25ADB"/>
    <w:rsid w:val="00C44A1D"/>
    <w:rsid w:val="00C51515"/>
    <w:rsid w:val="00C52EDC"/>
    <w:rsid w:val="00C53178"/>
    <w:rsid w:val="00C5660B"/>
    <w:rsid w:val="00C62923"/>
    <w:rsid w:val="00C66B72"/>
    <w:rsid w:val="00C72DBC"/>
    <w:rsid w:val="00C72DD2"/>
    <w:rsid w:val="00C75D70"/>
    <w:rsid w:val="00C8096A"/>
    <w:rsid w:val="00C83958"/>
    <w:rsid w:val="00C85281"/>
    <w:rsid w:val="00C87AC4"/>
    <w:rsid w:val="00C9567A"/>
    <w:rsid w:val="00C95F88"/>
    <w:rsid w:val="00CA4F09"/>
    <w:rsid w:val="00CA7073"/>
    <w:rsid w:val="00CB183E"/>
    <w:rsid w:val="00CB212D"/>
    <w:rsid w:val="00CB2660"/>
    <w:rsid w:val="00CB5661"/>
    <w:rsid w:val="00CC5E90"/>
    <w:rsid w:val="00CC7C18"/>
    <w:rsid w:val="00CD046C"/>
    <w:rsid w:val="00CD607F"/>
    <w:rsid w:val="00CE076C"/>
    <w:rsid w:val="00CE3247"/>
    <w:rsid w:val="00CE5199"/>
    <w:rsid w:val="00CE5EBE"/>
    <w:rsid w:val="00CE66D5"/>
    <w:rsid w:val="00CE796F"/>
    <w:rsid w:val="00CF1D5C"/>
    <w:rsid w:val="00CF637A"/>
    <w:rsid w:val="00D04290"/>
    <w:rsid w:val="00D049A2"/>
    <w:rsid w:val="00D059DE"/>
    <w:rsid w:val="00D05ABD"/>
    <w:rsid w:val="00D07B4C"/>
    <w:rsid w:val="00D13C4B"/>
    <w:rsid w:val="00D13FCE"/>
    <w:rsid w:val="00D22352"/>
    <w:rsid w:val="00D25EAC"/>
    <w:rsid w:val="00D306D1"/>
    <w:rsid w:val="00D30800"/>
    <w:rsid w:val="00D34786"/>
    <w:rsid w:val="00D37BFC"/>
    <w:rsid w:val="00D420A6"/>
    <w:rsid w:val="00D4293B"/>
    <w:rsid w:val="00D469B9"/>
    <w:rsid w:val="00D47A8E"/>
    <w:rsid w:val="00D52D14"/>
    <w:rsid w:val="00D712D3"/>
    <w:rsid w:val="00D71422"/>
    <w:rsid w:val="00D72DC6"/>
    <w:rsid w:val="00D734E6"/>
    <w:rsid w:val="00D73CB0"/>
    <w:rsid w:val="00D7558D"/>
    <w:rsid w:val="00D76ECE"/>
    <w:rsid w:val="00D81D92"/>
    <w:rsid w:val="00D822FF"/>
    <w:rsid w:val="00D876F9"/>
    <w:rsid w:val="00D912FC"/>
    <w:rsid w:val="00D95B9A"/>
    <w:rsid w:val="00DA7B5F"/>
    <w:rsid w:val="00DB607D"/>
    <w:rsid w:val="00DB772F"/>
    <w:rsid w:val="00DB7F4D"/>
    <w:rsid w:val="00DC0D1A"/>
    <w:rsid w:val="00DC11E7"/>
    <w:rsid w:val="00DC24E3"/>
    <w:rsid w:val="00DC25EB"/>
    <w:rsid w:val="00DC3666"/>
    <w:rsid w:val="00DC452F"/>
    <w:rsid w:val="00DC7023"/>
    <w:rsid w:val="00DC769A"/>
    <w:rsid w:val="00DD0643"/>
    <w:rsid w:val="00DD3413"/>
    <w:rsid w:val="00DD3D86"/>
    <w:rsid w:val="00DD4AD2"/>
    <w:rsid w:val="00DD629A"/>
    <w:rsid w:val="00DD7D8E"/>
    <w:rsid w:val="00DE2862"/>
    <w:rsid w:val="00DE3286"/>
    <w:rsid w:val="00DE3F29"/>
    <w:rsid w:val="00DF1EC4"/>
    <w:rsid w:val="00DF36A2"/>
    <w:rsid w:val="00E0340B"/>
    <w:rsid w:val="00E03859"/>
    <w:rsid w:val="00E03973"/>
    <w:rsid w:val="00E04A90"/>
    <w:rsid w:val="00E0551F"/>
    <w:rsid w:val="00E165A7"/>
    <w:rsid w:val="00E17261"/>
    <w:rsid w:val="00E219C7"/>
    <w:rsid w:val="00E246A4"/>
    <w:rsid w:val="00E259AC"/>
    <w:rsid w:val="00E26257"/>
    <w:rsid w:val="00E27A6C"/>
    <w:rsid w:val="00E305EB"/>
    <w:rsid w:val="00E31749"/>
    <w:rsid w:val="00E4118C"/>
    <w:rsid w:val="00E43157"/>
    <w:rsid w:val="00E461CE"/>
    <w:rsid w:val="00E4729B"/>
    <w:rsid w:val="00E573E4"/>
    <w:rsid w:val="00E574E1"/>
    <w:rsid w:val="00E64C3D"/>
    <w:rsid w:val="00E66075"/>
    <w:rsid w:val="00E720CA"/>
    <w:rsid w:val="00E84EB5"/>
    <w:rsid w:val="00E85662"/>
    <w:rsid w:val="00E8789F"/>
    <w:rsid w:val="00E903D1"/>
    <w:rsid w:val="00E9318C"/>
    <w:rsid w:val="00E93E93"/>
    <w:rsid w:val="00E95DF4"/>
    <w:rsid w:val="00E95F12"/>
    <w:rsid w:val="00E97B71"/>
    <w:rsid w:val="00EA08D9"/>
    <w:rsid w:val="00EA3D34"/>
    <w:rsid w:val="00EA4F24"/>
    <w:rsid w:val="00EB454D"/>
    <w:rsid w:val="00EC252A"/>
    <w:rsid w:val="00ED5194"/>
    <w:rsid w:val="00ED549D"/>
    <w:rsid w:val="00ED5E10"/>
    <w:rsid w:val="00ED76BE"/>
    <w:rsid w:val="00EE00E9"/>
    <w:rsid w:val="00EE4AE3"/>
    <w:rsid w:val="00EF1AAA"/>
    <w:rsid w:val="00EF37C0"/>
    <w:rsid w:val="00EF3971"/>
    <w:rsid w:val="00EF428A"/>
    <w:rsid w:val="00EF619B"/>
    <w:rsid w:val="00EF66AC"/>
    <w:rsid w:val="00F00B55"/>
    <w:rsid w:val="00F011CE"/>
    <w:rsid w:val="00F02AD1"/>
    <w:rsid w:val="00F253CC"/>
    <w:rsid w:val="00F37106"/>
    <w:rsid w:val="00F44E25"/>
    <w:rsid w:val="00F519CF"/>
    <w:rsid w:val="00F55758"/>
    <w:rsid w:val="00F56BA5"/>
    <w:rsid w:val="00F56ECB"/>
    <w:rsid w:val="00F60E22"/>
    <w:rsid w:val="00F7275E"/>
    <w:rsid w:val="00F743B6"/>
    <w:rsid w:val="00F7755F"/>
    <w:rsid w:val="00F77AB0"/>
    <w:rsid w:val="00F77CB6"/>
    <w:rsid w:val="00F81395"/>
    <w:rsid w:val="00F81BB8"/>
    <w:rsid w:val="00F90C64"/>
    <w:rsid w:val="00F917D1"/>
    <w:rsid w:val="00F9653B"/>
    <w:rsid w:val="00FA488F"/>
    <w:rsid w:val="00FB0E07"/>
    <w:rsid w:val="00FB62CF"/>
    <w:rsid w:val="00FC14C8"/>
    <w:rsid w:val="00FC18FC"/>
    <w:rsid w:val="00FD3C3B"/>
    <w:rsid w:val="00FE07DD"/>
    <w:rsid w:val="00FE54AB"/>
    <w:rsid w:val="00FE6B45"/>
    <w:rsid w:val="00FF227D"/>
    <w:rsid w:val="00FF55F3"/>
    <w:rsid w:val="00FF5851"/>
    <w:rsid w:val="00FF774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9108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CommentText">
    <w:name w:val="annotation text"/>
    <w:basedOn w:val="Normal"/>
    <w:link w:val="CommentTextChar"/>
    <w:uiPriority w:val="99"/>
    <w:unhideWhenUsed/>
    <w:rsid w:val="00FA488F"/>
    <w:rPr>
      <w:sz w:val="20"/>
      <w:szCs w:val="20"/>
    </w:rPr>
  </w:style>
  <w:style w:type="character" w:customStyle="1" w:styleId="CommentTextChar">
    <w:name w:val="Comment Text Char"/>
    <w:basedOn w:val="DefaultParagraphFont"/>
    <w:link w:val="CommentText"/>
    <w:uiPriority w:val="99"/>
    <w:rsid w:val="00FA488F"/>
    <w:rPr>
      <w:lang w:val="en-US" w:eastAsia="en-US"/>
    </w:rPr>
  </w:style>
  <w:style w:type="paragraph" w:styleId="CommentSubject">
    <w:name w:val="annotation subject"/>
    <w:basedOn w:val="CommentText"/>
    <w:next w:val="CommentText"/>
    <w:link w:val="CommentSubjectChar"/>
    <w:uiPriority w:val="99"/>
    <w:semiHidden/>
    <w:unhideWhenUsed/>
    <w:rsid w:val="00FA488F"/>
    <w:rPr>
      <w:b/>
      <w:bCs/>
    </w:rPr>
  </w:style>
  <w:style w:type="character" w:customStyle="1" w:styleId="CommentSubjectChar">
    <w:name w:val="Comment Subject Char"/>
    <w:basedOn w:val="CommentTextChar"/>
    <w:link w:val="CommentSubject"/>
    <w:uiPriority w:val="99"/>
    <w:semiHidden/>
    <w:rsid w:val="00FA488F"/>
    <w:rPr>
      <w:b/>
      <w:bCs/>
      <w:lang w:val="en-US" w:eastAsia="en-US"/>
    </w:rPr>
  </w:style>
  <w:style w:type="paragraph" w:customStyle="1" w:styleId="paragraph">
    <w:name w:val="paragraph"/>
    <w:basedOn w:val="Normal"/>
    <w:rsid w:val="003D7D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D7DBE"/>
  </w:style>
  <w:style w:type="character" w:customStyle="1" w:styleId="eop">
    <w:name w:val="eop"/>
    <w:basedOn w:val="DefaultParagraphFont"/>
    <w:rsid w:val="003D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105397"/>
    <w:rsid w:val="00117F3C"/>
    <w:rsid w:val="00173782"/>
    <w:rsid w:val="00200821"/>
    <w:rsid w:val="0025245B"/>
    <w:rsid w:val="002A3923"/>
    <w:rsid w:val="00323DD5"/>
    <w:rsid w:val="00335D68"/>
    <w:rsid w:val="00394049"/>
    <w:rsid w:val="003B0C71"/>
    <w:rsid w:val="003B795E"/>
    <w:rsid w:val="003E2DD8"/>
    <w:rsid w:val="00494F12"/>
    <w:rsid w:val="004B5BBB"/>
    <w:rsid w:val="004F2DF8"/>
    <w:rsid w:val="00517E2A"/>
    <w:rsid w:val="005963A4"/>
    <w:rsid w:val="00660797"/>
    <w:rsid w:val="00697EF7"/>
    <w:rsid w:val="006D3128"/>
    <w:rsid w:val="006F24A1"/>
    <w:rsid w:val="007C72C7"/>
    <w:rsid w:val="00875B8A"/>
    <w:rsid w:val="008937F7"/>
    <w:rsid w:val="008953BC"/>
    <w:rsid w:val="00901503"/>
    <w:rsid w:val="00910AC8"/>
    <w:rsid w:val="009A261B"/>
    <w:rsid w:val="009E4EBF"/>
    <w:rsid w:val="00AA2E17"/>
    <w:rsid w:val="00AC15A4"/>
    <w:rsid w:val="00AE628D"/>
    <w:rsid w:val="00B0336C"/>
    <w:rsid w:val="00CC7C18"/>
    <w:rsid w:val="00CE5EBE"/>
    <w:rsid w:val="00D241E9"/>
    <w:rsid w:val="00D3126A"/>
    <w:rsid w:val="00D7750D"/>
    <w:rsid w:val="00DD629A"/>
    <w:rsid w:val="00DE3F29"/>
    <w:rsid w:val="00E66075"/>
    <w:rsid w:val="00EA4F24"/>
    <w:rsid w:val="00F00D2F"/>
    <w:rsid w:val="00F128DF"/>
    <w:rsid w:val="00F55758"/>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31150A9B-14C6-43C9-8B0E-226204AF0AF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4C5852A-0E8C-45B3-AAEF-F39DC3A53921}">
  <ds:schemaRefs>
    <ds:schemaRef ds:uri="http://schemas.microsoft.com/sharepoint/v3/contenttype/forms"/>
  </ds:schemaRefs>
</ds:datastoreItem>
</file>

<file path=customXml/itemProps4.xml><?xml version="1.0" encoding="utf-8"?>
<ds:datastoreItem xmlns:ds="http://schemas.openxmlformats.org/officeDocument/2006/customXml" ds:itemID="{4E0ACC82-5D38-47FA-814E-8A95FECC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2025-10-17T15:42:00Z</dcterms:created>
  <dcterms:modified xsi:type="dcterms:W3CDTF">2025-10-17T15:42:00Z</dcterms:modified>
</cp:coreProperties>
</file>