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9FCC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FFCFB3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2657F">
                              <w:rPr>
                                <w:rFonts w:asciiTheme="majorHAnsi" w:hAnsiTheme="majorHAnsi" w:cs="Arial"/>
                                <w:b/>
                                <w:bCs/>
                                <w:color w:val="0D0D0D" w:themeColor="text1" w:themeTint="F2"/>
                                <w:sz w:val="36"/>
                                <w:szCs w:val="22"/>
                                <w:lang w:val="es-ES_tradnl"/>
                              </w:rPr>
                              <w:t>133</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22D0AEA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2DA4">
                              <w:rPr>
                                <w:rFonts w:asciiTheme="majorHAnsi" w:hAnsiTheme="majorHAnsi" w:cs="Arial"/>
                                <w:b/>
                                <w:color w:val="0D0D0D" w:themeColor="text1" w:themeTint="F2"/>
                                <w:sz w:val="36"/>
                                <w:szCs w:val="22"/>
                                <w:lang w:val="es-ES_tradnl"/>
                              </w:rPr>
                              <w:t>230-15</w:t>
                            </w:r>
                            <w:r w:rsidR="00246D1F" w:rsidRPr="004E2649">
                              <w:rPr>
                                <w:rFonts w:asciiTheme="majorHAnsi" w:hAnsiTheme="majorHAnsi" w:cs="Arial"/>
                                <w:b/>
                                <w:color w:val="0D0D0D" w:themeColor="text1" w:themeTint="F2"/>
                                <w:sz w:val="36"/>
                                <w:szCs w:val="22"/>
                                <w:lang w:val="es-ES_tradnl"/>
                              </w:rPr>
                              <w:t xml:space="preserve"> </w:t>
                            </w:r>
                          </w:p>
                          <w:p w14:paraId="188B4303" w14:textId="3E3344D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80256F6" w:rsidR="005B52B0" w:rsidRPr="0010736F" w:rsidRDefault="00322DA4" w:rsidP="00997BC5">
                            <w:pPr>
                              <w:spacing w:line="276" w:lineRule="auto"/>
                              <w:rPr>
                                <w:rFonts w:asciiTheme="majorHAnsi" w:hAnsiTheme="majorHAnsi" w:cs="Arial"/>
                                <w:color w:val="0D0D0D" w:themeColor="text1" w:themeTint="F2"/>
                                <w:szCs w:val="22"/>
                                <w:lang w:val="es-ES_tradnl"/>
                              </w:rPr>
                            </w:pPr>
                            <w:r w:rsidRPr="00322DA4">
                              <w:rPr>
                                <w:rFonts w:asciiTheme="majorHAnsi" w:hAnsiTheme="majorHAnsi" w:cs="Arial"/>
                                <w:color w:val="0D0D0D" w:themeColor="text1" w:themeTint="F2"/>
                                <w:szCs w:val="22"/>
                                <w:lang w:val="es-CO"/>
                              </w:rPr>
                              <w:t>RAMIRO ALFONSO MOLINA BALBÍN</w:t>
                            </w:r>
                            <w:r>
                              <w:rPr>
                                <w:rFonts w:asciiTheme="majorHAnsi" w:hAnsiTheme="majorHAnsi" w:cs="Arial"/>
                                <w:color w:val="0D0D0D" w:themeColor="text1" w:themeTint="F2"/>
                                <w:szCs w:val="22"/>
                                <w:lang w:val="es-ES_tradnl"/>
                              </w:rPr>
                              <w:t xml:space="preserve"> Y FAMILIARES</w:t>
                            </w:r>
                          </w:p>
                          <w:bookmarkEnd w:id="0"/>
                          <w:p w14:paraId="0B9F7D22" w14:textId="2780C01C" w:rsidR="005B52B0" w:rsidRPr="00F56ECB" w:rsidRDefault="00322DA4"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FFCFB3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2657F">
                        <w:rPr>
                          <w:rFonts w:asciiTheme="majorHAnsi" w:hAnsiTheme="majorHAnsi" w:cs="Arial"/>
                          <w:b/>
                          <w:bCs/>
                          <w:color w:val="0D0D0D" w:themeColor="text1" w:themeTint="F2"/>
                          <w:sz w:val="36"/>
                          <w:szCs w:val="22"/>
                          <w:lang w:val="es-ES_tradnl"/>
                        </w:rPr>
                        <w:t>133</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22D0AEA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2DA4">
                        <w:rPr>
                          <w:rFonts w:asciiTheme="majorHAnsi" w:hAnsiTheme="majorHAnsi" w:cs="Arial"/>
                          <w:b/>
                          <w:color w:val="0D0D0D" w:themeColor="text1" w:themeTint="F2"/>
                          <w:sz w:val="36"/>
                          <w:szCs w:val="22"/>
                          <w:lang w:val="es-ES_tradnl"/>
                        </w:rPr>
                        <w:t>230-15</w:t>
                      </w:r>
                      <w:r w:rsidR="00246D1F" w:rsidRPr="004E2649">
                        <w:rPr>
                          <w:rFonts w:asciiTheme="majorHAnsi" w:hAnsiTheme="majorHAnsi" w:cs="Arial"/>
                          <w:b/>
                          <w:color w:val="0D0D0D" w:themeColor="text1" w:themeTint="F2"/>
                          <w:sz w:val="36"/>
                          <w:szCs w:val="22"/>
                          <w:lang w:val="es-ES_tradnl"/>
                        </w:rPr>
                        <w:t xml:space="preserve"> </w:t>
                      </w:r>
                    </w:p>
                    <w:p w14:paraId="188B4303" w14:textId="3E3344D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80256F6" w:rsidR="005B52B0" w:rsidRPr="0010736F" w:rsidRDefault="00322DA4" w:rsidP="00997BC5">
                      <w:pPr>
                        <w:spacing w:line="276" w:lineRule="auto"/>
                        <w:rPr>
                          <w:rFonts w:asciiTheme="majorHAnsi" w:hAnsiTheme="majorHAnsi" w:cs="Arial"/>
                          <w:color w:val="0D0D0D" w:themeColor="text1" w:themeTint="F2"/>
                          <w:szCs w:val="22"/>
                          <w:lang w:val="es-ES_tradnl"/>
                        </w:rPr>
                      </w:pPr>
                      <w:r w:rsidRPr="00322DA4">
                        <w:rPr>
                          <w:rFonts w:asciiTheme="majorHAnsi" w:hAnsiTheme="majorHAnsi" w:cs="Arial"/>
                          <w:color w:val="0D0D0D" w:themeColor="text1" w:themeTint="F2"/>
                          <w:szCs w:val="22"/>
                          <w:lang w:val="es-CO"/>
                        </w:rPr>
                        <w:t>RAMIRO ALFONSO MOLINA BALBÍN</w:t>
                      </w:r>
                      <w:r>
                        <w:rPr>
                          <w:rFonts w:asciiTheme="majorHAnsi" w:hAnsiTheme="majorHAnsi" w:cs="Arial"/>
                          <w:color w:val="0D0D0D" w:themeColor="text1" w:themeTint="F2"/>
                          <w:szCs w:val="22"/>
                          <w:lang w:val="es-ES_tradnl"/>
                        </w:rPr>
                        <w:t xml:space="preserve"> Y FAMILIARES</w:t>
                      </w:r>
                    </w:p>
                    <w:bookmarkEnd w:id="1"/>
                    <w:p w14:paraId="0B9F7D22" w14:textId="2780C01C" w:rsidR="005B52B0" w:rsidRPr="00F56ECB" w:rsidRDefault="00322DA4"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73DC319" w:rsidR="00627C9F" w:rsidRPr="003F0E96" w:rsidRDefault="00834D49" w:rsidP="007A5817">
                            <w:pPr>
                              <w:spacing w:line="276" w:lineRule="auto"/>
                              <w:jc w:val="right"/>
                              <w:rPr>
                                <w:rFonts w:asciiTheme="minorHAnsi" w:hAnsiTheme="minorHAnsi"/>
                                <w:color w:val="FFFFFF" w:themeColor="background1"/>
                                <w:sz w:val="22"/>
                                <w:lang w:val="es-ES"/>
                              </w:rPr>
                            </w:pPr>
                            <w:r w:rsidRPr="003F0E96">
                              <w:rPr>
                                <w:rFonts w:asciiTheme="minorHAnsi" w:hAnsiTheme="minorHAnsi"/>
                                <w:color w:val="FFFFFF" w:themeColor="background1"/>
                                <w:sz w:val="22"/>
                                <w:lang w:val="es-ES"/>
                              </w:rPr>
                              <w:t>OEA/Ser.L/V/II</w:t>
                            </w:r>
                          </w:p>
                          <w:p w14:paraId="71D2D5D2" w14:textId="0FFC1E65" w:rsidR="00627C9F" w:rsidRPr="003F0E96" w:rsidRDefault="00627C9F" w:rsidP="007A5817">
                            <w:pPr>
                              <w:spacing w:line="276" w:lineRule="auto"/>
                              <w:jc w:val="right"/>
                              <w:rPr>
                                <w:rFonts w:asciiTheme="minorHAnsi" w:hAnsiTheme="minorHAnsi"/>
                                <w:color w:val="FFFFFF" w:themeColor="background1"/>
                                <w:sz w:val="22"/>
                                <w:lang w:val="es-ES"/>
                              </w:rPr>
                            </w:pPr>
                            <w:r w:rsidRPr="003F0E96">
                              <w:rPr>
                                <w:rFonts w:asciiTheme="minorHAnsi" w:hAnsiTheme="minorHAnsi"/>
                                <w:color w:val="FFFFFF" w:themeColor="background1"/>
                                <w:sz w:val="22"/>
                                <w:lang w:val="es-ES"/>
                              </w:rPr>
                              <w:t>Doc.</w:t>
                            </w:r>
                            <w:r w:rsidR="009C531B" w:rsidRPr="003F0E96">
                              <w:rPr>
                                <w:rFonts w:asciiTheme="minorHAnsi" w:hAnsiTheme="minorHAnsi"/>
                                <w:color w:val="FFFFFF" w:themeColor="background1"/>
                                <w:sz w:val="22"/>
                                <w:lang w:val="es-ES"/>
                              </w:rPr>
                              <w:t xml:space="preserve"> 139</w:t>
                            </w:r>
                            <w:r w:rsidRPr="003F0E96">
                              <w:rPr>
                                <w:rFonts w:asciiTheme="minorHAnsi" w:hAnsiTheme="minorHAnsi"/>
                                <w:color w:val="FFFFFF" w:themeColor="background1"/>
                                <w:sz w:val="22"/>
                                <w:lang w:val="es-ES"/>
                              </w:rPr>
                              <w:t xml:space="preserve"> </w:t>
                            </w:r>
                          </w:p>
                          <w:p w14:paraId="4061DBBD" w14:textId="765576EF" w:rsidR="00627C9F" w:rsidRPr="00C25ADB" w:rsidRDefault="00BD043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19 de julio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73DC319" w:rsidR="00627C9F" w:rsidRPr="003F0E96" w:rsidRDefault="00834D49" w:rsidP="007A5817">
                      <w:pPr>
                        <w:spacing w:line="276" w:lineRule="auto"/>
                        <w:jc w:val="right"/>
                        <w:rPr>
                          <w:rFonts w:asciiTheme="minorHAnsi" w:hAnsiTheme="minorHAnsi"/>
                          <w:color w:val="FFFFFF" w:themeColor="background1"/>
                          <w:sz w:val="22"/>
                          <w:lang w:val="es-ES"/>
                        </w:rPr>
                      </w:pPr>
                      <w:r w:rsidRPr="003F0E96">
                        <w:rPr>
                          <w:rFonts w:asciiTheme="minorHAnsi" w:hAnsiTheme="minorHAnsi"/>
                          <w:color w:val="FFFFFF" w:themeColor="background1"/>
                          <w:sz w:val="22"/>
                          <w:lang w:val="es-ES"/>
                        </w:rPr>
                        <w:t>OEA/Ser.L/V/II</w:t>
                      </w:r>
                    </w:p>
                    <w:p w14:paraId="71D2D5D2" w14:textId="0FFC1E65" w:rsidR="00627C9F" w:rsidRPr="003F0E96" w:rsidRDefault="00627C9F" w:rsidP="007A5817">
                      <w:pPr>
                        <w:spacing w:line="276" w:lineRule="auto"/>
                        <w:jc w:val="right"/>
                        <w:rPr>
                          <w:rFonts w:asciiTheme="minorHAnsi" w:hAnsiTheme="minorHAnsi"/>
                          <w:color w:val="FFFFFF" w:themeColor="background1"/>
                          <w:sz w:val="22"/>
                          <w:lang w:val="es-ES"/>
                        </w:rPr>
                      </w:pPr>
                      <w:r w:rsidRPr="003F0E96">
                        <w:rPr>
                          <w:rFonts w:asciiTheme="minorHAnsi" w:hAnsiTheme="minorHAnsi"/>
                          <w:color w:val="FFFFFF" w:themeColor="background1"/>
                          <w:sz w:val="22"/>
                          <w:lang w:val="es-ES"/>
                        </w:rPr>
                        <w:t>Doc.</w:t>
                      </w:r>
                      <w:r w:rsidR="009C531B" w:rsidRPr="003F0E96">
                        <w:rPr>
                          <w:rFonts w:asciiTheme="minorHAnsi" w:hAnsiTheme="minorHAnsi"/>
                          <w:color w:val="FFFFFF" w:themeColor="background1"/>
                          <w:sz w:val="22"/>
                          <w:lang w:val="es-ES"/>
                        </w:rPr>
                        <w:t xml:space="preserve"> 139</w:t>
                      </w:r>
                      <w:r w:rsidRPr="003F0E96">
                        <w:rPr>
                          <w:rFonts w:asciiTheme="minorHAnsi" w:hAnsiTheme="minorHAnsi"/>
                          <w:color w:val="FFFFFF" w:themeColor="background1"/>
                          <w:sz w:val="22"/>
                          <w:lang w:val="es-ES"/>
                        </w:rPr>
                        <w:t xml:space="preserve"> </w:t>
                      </w:r>
                    </w:p>
                    <w:p w14:paraId="4061DBBD" w14:textId="765576EF" w:rsidR="00627C9F" w:rsidRPr="00C25ADB" w:rsidRDefault="00BD043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19 de julio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04E07C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D043C">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BD043C">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BD043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04E07C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D043C">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BD043C">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BD043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8E3122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D043C" w:rsidRPr="00BD043C">
                              <w:rPr>
                                <w:rFonts w:asciiTheme="majorHAnsi" w:hAnsiTheme="majorHAnsi"/>
                                <w:color w:val="595959" w:themeColor="text1" w:themeTint="A6"/>
                                <w:sz w:val="18"/>
                                <w:szCs w:val="18"/>
                                <w:lang w:val="pt-BR"/>
                              </w:rPr>
                              <w:t>133</w:t>
                            </w:r>
                            <w:r w:rsidR="007B05C4" w:rsidRPr="00BD043C">
                              <w:rPr>
                                <w:rFonts w:asciiTheme="majorHAnsi" w:hAnsiTheme="majorHAnsi"/>
                                <w:color w:val="595959" w:themeColor="text1" w:themeTint="A6"/>
                                <w:sz w:val="18"/>
                                <w:szCs w:val="18"/>
                                <w:lang w:val="pt-BR"/>
                              </w:rPr>
                              <w:t>/</w:t>
                            </w:r>
                            <w:r w:rsidR="00BD043C" w:rsidRPr="00BD043C">
                              <w:rPr>
                                <w:rFonts w:asciiTheme="majorHAnsi" w:hAnsiTheme="majorHAnsi"/>
                                <w:color w:val="595959" w:themeColor="text1" w:themeTint="A6"/>
                                <w:sz w:val="18"/>
                                <w:szCs w:val="18"/>
                                <w:lang w:val="pt-BR"/>
                              </w:rPr>
                              <w:t>25</w:t>
                            </w:r>
                            <w:r w:rsidRPr="00BD043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324AC">
                              <w:rPr>
                                <w:rFonts w:asciiTheme="majorHAnsi" w:hAnsiTheme="majorHAnsi"/>
                                <w:color w:val="595959" w:themeColor="text1" w:themeTint="A6"/>
                                <w:sz w:val="18"/>
                                <w:szCs w:val="18"/>
                                <w:lang w:val="es-ES"/>
                              </w:rPr>
                              <w:t>230</w:t>
                            </w:r>
                            <w:r w:rsidR="000433C9">
                              <w:rPr>
                                <w:rFonts w:asciiTheme="majorHAnsi" w:hAnsiTheme="majorHAnsi"/>
                                <w:color w:val="595959" w:themeColor="text1" w:themeTint="A6"/>
                                <w:sz w:val="18"/>
                                <w:szCs w:val="18"/>
                                <w:lang w:val="es-ES"/>
                              </w:rPr>
                              <w:t>-</w:t>
                            </w:r>
                            <w:r w:rsidR="006324AC">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324AC">
                              <w:rPr>
                                <w:rFonts w:asciiTheme="majorHAnsi" w:hAnsiTheme="majorHAnsi"/>
                                <w:color w:val="595959" w:themeColor="text1" w:themeTint="A6"/>
                                <w:sz w:val="18"/>
                                <w:szCs w:val="18"/>
                                <w:lang w:val="es-ES_tradnl"/>
                              </w:rPr>
                              <w:t>Ramiro Alfonso Molina Balbín y familiares</w:t>
                            </w:r>
                            <w:r w:rsidRPr="00890650">
                              <w:rPr>
                                <w:rFonts w:asciiTheme="majorHAnsi" w:hAnsiTheme="majorHAnsi"/>
                                <w:color w:val="595959" w:themeColor="text1" w:themeTint="A6"/>
                                <w:sz w:val="18"/>
                                <w:szCs w:val="18"/>
                                <w:lang w:val="es-ES_tradnl"/>
                              </w:rPr>
                              <w:t xml:space="preserve">. </w:t>
                            </w:r>
                            <w:r w:rsidR="006324A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324AC">
                              <w:rPr>
                                <w:rFonts w:asciiTheme="majorHAnsi" w:hAnsiTheme="majorHAnsi"/>
                                <w:color w:val="595959" w:themeColor="text1" w:themeTint="A6"/>
                                <w:sz w:val="18"/>
                                <w:szCs w:val="18"/>
                                <w:lang w:val="es-ES"/>
                              </w:rPr>
                              <w:t>19 de julio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8E3122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D043C" w:rsidRPr="00BD043C">
                        <w:rPr>
                          <w:rFonts w:asciiTheme="majorHAnsi" w:hAnsiTheme="majorHAnsi"/>
                          <w:color w:val="595959" w:themeColor="text1" w:themeTint="A6"/>
                          <w:sz w:val="18"/>
                          <w:szCs w:val="18"/>
                          <w:lang w:val="pt-BR"/>
                        </w:rPr>
                        <w:t>133</w:t>
                      </w:r>
                      <w:r w:rsidR="007B05C4" w:rsidRPr="00BD043C">
                        <w:rPr>
                          <w:rFonts w:asciiTheme="majorHAnsi" w:hAnsiTheme="majorHAnsi"/>
                          <w:color w:val="595959" w:themeColor="text1" w:themeTint="A6"/>
                          <w:sz w:val="18"/>
                          <w:szCs w:val="18"/>
                          <w:lang w:val="pt-BR"/>
                        </w:rPr>
                        <w:t>/</w:t>
                      </w:r>
                      <w:r w:rsidR="00BD043C" w:rsidRPr="00BD043C">
                        <w:rPr>
                          <w:rFonts w:asciiTheme="majorHAnsi" w:hAnsiTheme="majorHAnsi"/>
                          <w:color w:val="595959" w:themeColor="text1" w:themeTint="A6"/>
                          <w:sz w:val="18"/>
                          <w:szCs w:val="18"/>
                          <w:lang w:val="pt-BR"/>
                        </w:rPr>
                        <w:t>25</w:t>
                      </w:r>
                      <w:r w:rsidRPr="00BD043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324AC">
                        <w:rPr>
                          <w:rFonts w:asciiTheme="majorHAnsi" w:hAnsiTheme="majorHAnsi"/>
                          <w:color w:val="595959" w:themeColor="text1" w:themeTint="A6"/>
                          <w:sz w:val="18"/>
                          <w:szCs w:val="18"/>
                          <w:lang w:val="es-ES"/>
                        </w:rPr>
                        <w:t>230</w:t>
                      </w:r>
                      <w:r w:rsidR="000433C9">
                        <w:rPr>
                          <w:rFonts w:asciiTheme="majorHAnsi" w:hAnsiTheme="majorHAnsi"/>
                          <w:color w:val="595959" w:themeColor="text1" w:themeTint="A6"/>
                          <w:sz w:val="18"/>
                          <w:szCs w:val="18"/>
                          <w:lang w:val="es-ES"/>
                        </w:rPr>
                        <w:t>-</w:t>
                      </w:r>
                      <w:r w:rsidR="006324AC">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324AC">
                        <w:rPr>
                          <w:rFonts w:asciiTheme="majorHAnsi" w:hAnsiTheme="majorHAnsi"/>
                          <w:color w:val="595959" w:themeColor="text1" w:themeTint="A6"/>
                          <w:sz w:val="18"/>
                          <w:szCs w:val="18"/>
                          <w:lang w:val="es-ES_tradnl"/>
                        </w:rPr>
                        <w:t>Ramiro Alfonso Molina Balbín y familiares</w:t>
                      </w:r>
                      <w:r w:rsidRPr="00890650">
                        <w:rPr>
                          <w:rFonts w:asciiTheme="majorHAnsi" w:hAnsiTheme="majorHAnsi"/>
                          <w:color w:val="595959" w:themeColor="text1" w:themeTint="A6"/>
                          <w:sz w:val="18"/>
                          <w:szCs w:val="18"/>
                          <w:lang w:val="es-ES_tradnl"/>
                        </w:rPr>
                        <w:t xml:space="preserve">. </w:t>
                      </w:r>
                      <w:r w:rsidR="006324A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324AC">
                        <w:rPr>
                          <w:rFonts w:asciiTheme="majorHAnsi" w:hAnsiTheme="majorHAnsi"/>
                          <w:color w:val="595959" w:themeColor="text1" w:themeTint="A6"/>
                          <w:sz w:val="18"/>
                          <w:szCs w:val="18"/>
                          <w:lang w:val="es-ES"/>
                        </w:rPr>
                        <w:t>19 de julio de 2025</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10DDB248" w:rsidR="003239B8" w:rsidRPr="000D05CB" w:rsidRDefault="0027311B" w:rsidP="008D2290">
            <w:pPr>
              <w:jc w:val="both"/>
              <w:rPr>
                <w:rFonts w:ascii="Cambria" w:hAnsi="Cambria"/>
                <w:bCs/>
                <w:sz w:val="20"/>
                <w:szCs w:val="20"/>
              </w:rPr>
            </w:pPr>
            <w:r>
              <w:rPr>
                <w:rFonts w:ascii="Cambria" w:hAnsi="Cambria"/>
                <w:bCs/>
                <w:sz w:val="20"/>
                <w:szCs w:val="20"/>
              </w:rPr>
              <w:t xml:space="preserve">Javier </w:t>
            </w:r>
            <w:r w:rsidR="00B96317">
              <w:rPr>
                <w:rFonts w:ascii="Cambria" w:hAnsi="Cambria"/>
                <w:bCs/>
                <w:sz w:val="20"/>
                <w:szCs w:val="20"/>
              </w:rPr>
              <w:t xml:space="preserve">Leonidas </w:t>
            </w:r>
            <w:r>
              <w:rPr>
                <w:rFonts w:ascii="Cambria" w:hAnsi="Cambria"/>
                <w:bCs/>
                <w:sz w:val="20"/>
                <w:szCs w:val="20"/>
              </w:rPr>
              <w:t>Villegas Posada</w:t>
            </w:r>
            <w:r w:rsidR="003404EE">
              <w:rPr>
                <w:rFonts w:ascii="Cambria" w:hAnsi="Cambria"/>
                <w:bCs/>
                <w:sz w:val="20"/>
                <w:szCs w:val="20"/>
              </w:rPr>
              <w:t xml:space="preserve"> </w:t>
            </w:r>
          </w:p>
        </w:tc>
      </w:tr>
      <w:tr w:rsidR="003239B8" w:rsidRPr="00177A8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0538B1D0" w:rsidR="003239B8" w:rsidRPr="000D05CB" w:rsidRDefault="007D5D0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96317">
                  <w:rPr>
                    <w:rFonts w:ascii="Cambria" w:hAnsi="Cambria"/>
                    <w:b/>
                    <w:bCs/>
                    <w:color w:val="FFFFFF" w:themeColor="background1"/>
                    <w:sz w:val="20"/>
                    <w:szCs w:val="20"/>
                  </w:rPr>
                  <w:t>Presuntas víctimas</w:t>
                </w:r>
              </w:sdtContent>
            </w:sdt>
            <w:r w:rsidR="003239B8" w:rsidRPr="000D05CB">
              <w:rPr>
                <w:rFonts w:ascii="Cambria" w:hAnsi="Cambria"/>
                <w:b/>
                <w:bCs/>
                <w:color w:val="FFFFFF" w:themeColor="background1"/>
                <w:sz w:val="20"/>
                <w:szCs w:val="20"/>
              </w:rPr>
              <w:t>:</w:t>
            </w:r>
          </w:p>
        </w:tc>
        <w:tc>
          <w:tcPr>
            <w:tcW w:w="5647" w:type="dxa"/>
            <w:vAlign w:val="center"/>
          </w:tcPr>
          <w:p w14:paraId="143D44A8" w14:textId="65984713" w:rsidR="003239B8" w:rsidRPr="00177A87" w:rsidRDefault="0043072D" w:rsidP="008D2290">
            <w:pPr>
              <w:jc w:val="both"/>
              <w:rPr>
                <w:rFonts w:ascii="Cambria" w:hAnsi="Cambria"/>
                <w:bCs/>
                <w:sz w:val="20"/>
                <w:szCs w:val="20"/>
              </w:rPr>
            </w:pPr>
            <w:r w:rsidRPr="00177A87">
              <w:rPr>
                <w:rFonts w:ascii="Cambria" w:hAnsi="Cambria"/>
                <w:bCs/>
                <w:sz w:val="20"/>
                <w:szCs w:val="20"/>
              </w:rPr>
              <w:t xml:space="preserve">Ramiro Alfonso Molina Balbín, </w:t>
            </w:r>
            <w:r w:rsidR="00486E31" w:rsidRPr="00177A87">
              <w:rPr>
                <w:rFonts w:ascii="Cambria" w:hAnsi="Cambria"/>
                <w:bCs/>
                <w:sz w:val="20"/>
                <w:szCs w:val="20"/>
              </w:rPr>
              <w:t>Gloria Cecilia Vélez B</w:t>
            </w:r>
            <w:r w:rsidR="00711545" w:rsidRPr="00177A87">
              <w:rPr>
                <w:rFonts w:ascii="Cambria" w:hAnsi="Cambria"/>
                <w:bCs/>
                <w:sz w:val="20"/>
                <w:szCs w:val="20"/>
              </w:rPr>
              <w:t xml:space="preserve">albín, Claudia Marcela Molina Vélez, Ricardo Alberto Molina Vélez, María Clarisa Balbín Agudelo, Aura Elena Molina Balbín, </w:t>
            </w:r>
            <w:r w:rsidR="00151777" w:rsidRPr="00177A87">
              <w:rPr>
                <w:rFonts w:ascii="Cambria" w:hAnsi="Cambria"/>
                <w:bCs/>
                <w:sz w:val="20"/>
                <w:szCs w:val="20"/>
              </w:rPr>
              <w:t xml:space="preserve">Beatriz Amparo Molina Balbín, </w:t>
            </w:r>
            <w:r w:rsidR="00177A87">
              <w:rPr>
                <w:rFonts w:ascii="Cambria" w:hAnsi="Cambria"/>
                <w:bCs/>
                <w:sz w:val="20"/>
                <w:szCs w:val="20"/>
              </w:rPr>
              <w:t>Martha Dolly Molina Bolbín y Jader Orlando Molina Balbín</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7E47852D" w:rsidR="003239B8" w:rsidRPr="000D05CB" w:rsidRDefault="00A92E0C"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3F0E9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06D6DB8E" w:rsidR="00223A29" w:rsidRPr="00BD0D98" w:rsidRDefault="00BD5EF5" w:rsidP="008D2290">
            <w:pPr>
              <w:jc w:val="both"/>
              <w:rPr>
                <w:rFonts w:ascii="Cambria" w:hAnsi="Cambria"/>
                <w:bCs/>
                <w:sz w:val="20"/>
                <w:szCs w:val="20"/>
                <w:lang w:val="es-CO"/>
              </w:rPr>
            </w:pPr>
            <w:r w:rsidRPr="00BD0D98">
              <w:rPr>
                <w:rFonts w:ascii="Cambria" w:hAnsi="Cambria"/>
                <w:bCs/>
                <w:sz w:val="20"/>
                <w:szCs w:val="20"/>
                <w:lang w:val="es-CO"/>
              </w:rPr>
              <w:t xml:space="preserve">Artículos 4 (vida), </w:t>
            </w:r>
            <w:r w:rsidR="00BD0D98" w:rsidRPr="00BD0D98">
              <w:rPr>
                <w:rFonts w:ascii="Cambria" w:hAnsi="Cambria"/>
                <w:bCs/>
                <w:sz w:val="20"/>
                <w:szCs w:val="20"/>
                <w:lang w:val="es-CO"/>
              </w:rPr>
              <w:t>5 (integridad personal), 7 (l</w:t>
            </w:r>
            <w:r w:rsidR="00BD0D98">
              <w:rPr>
                <w:rFonts w:ascii="Cambria" w:hAnsi="Cambria"/>
                <w:bCs/>
                <w:sz w:val="20"/>
                <w:szCs w:val="20"/>
                <w:lang w:val="es-CO"/>
              </w:rPr>
              <w:t>ibertad p</w:t>
            </w:r>
            <w:r w:rsidR="006A6711">
              <w:rPr>
                <w:rFonts w:ascii="Cambria" w:hAnsi="Cambria"/>
                <w:bCs/>
                <w:sz w:val="20"/>
                <w:szCs w:val="20"/>
                <w:lang w:val="es-CO"/>
              </w:rPr>
              <w:t>e</w:t>
            </w:r>
            <w:r w:rsidR="00BD0D98">
              <w:rPr>
                <w:rFonts w:ascii="Cambria" w:hAnsi="Cambria"/>
                <w:bCs/>
                <w:sz w:val="20"/>
                <w:szCs w:val="20"/>
                <w:lang w:val="es-CO"/>
              </w:rPr>
              <w:t>rsonal), 8 (garantías judiciales), 22 (</w:t>
            </w:r>
            <w:r w:rsidR="006A6711">
              <w:rPr>
                <w:rFonts w:ascii="Cambria" w:hAnsi="Cambria"/>
                <w:bCs/>
                <w:sz w:val="20"/>
                <w:szCs w:val="20"/>
                <w:lang w:val="es-CO"/>
              </w:rPr>
              <w:t xml:space="preserve">circulación y residencia) y 25 (protección judicial) </w:t>
            </w:r>
            <w:r w:rsidR="00F25CD4" w:rsidRPr="000366F7">
              <w:rPr>
                <w:rFonts w:ascii="Cambria" w:hAnsi="Cambria"/>
                <w:bCs/>
                <w:sz w:val="20"/>
                <w:szCs w:val="20"/>
                <w:lang w:val="es-CO"/>
              </w:rPr>
              <w:t>de l</w:t>
            </w:r>
            <w:r w:rsidR="00F25CD4">
              <w:rPr>
                <w:rFonts w:ascii="Cambria" w:hAnsi="Cambria"/>
                <w:bCs/>
                <w:sz w:val="20"/>
                <w:szCs w:val="20"/>
                <w:lang w:val="es-CO"/>
              </w:rPr>
              <w:t>a Convención Americana sobre Derechos Humanos</w:t>
            </w:r>
            <w:r w:rsidR="00F25CD4">
              <w:rPr>
                <w:rStyle w:val="FootnoteReference"/>
                <w:rFonts w:ascii="Cambria" w:hAnsi="Cambria"/>
                <w:bCs/>
                <w:sz w:val="20"/>
                <w:szCs w:val="20"/>
                <w:lang w:val="es-CO"/>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5DB41D6F" w:rsidR="004C2312" w:rsidRPr="003239B8" w:rsidRDefault="00A92E0C" w:rsidP="002625EA">
            <w:pPr>
              <w:jc w:val="both"/>
              <w:rPr>
                <w:rFonts w:ascii="Cambria" w:hAnsi="Cambria"/>
                <w:bCs/>
                <w:sz w:val="20"/>
                <w:szCs w:val="20"/>
                <w:lang w:val="es-ES"/>
              </w:rPr>
            </w:pPr>
            <w:r>
              <w:rPr>
                <w:rFonts w:ascii="Cambria" w:hAnsi="Cambria"/>
                <w:bCs/>
                <w:sz w:val="20"/>
                <w:szCs w:val="20"/>
                <w:lang w:val="es-ES"/>
              </w:rPr>
              <w:t>31 de marzo de 2015</w:t>
            </w:r>
          </w:p>
        </w:tc>
      </w:tr>
      <w:tr w:rsidR="00131425" w:rsidRPr="003F0E96"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18EF2679" w:rsidR="00131425" w:rsidRPr="003239B8" w:rsidRDefault="00596622" w:rsidP="002625EA">
            <w:pPr>
              <w:jc w:val="both"/>
              <w:rPr>
                <w:rFonts w:ascii="Cambria" w:hAnsi="Cambria"/>
                <w:bCs/>
                <w:sz w:val="20"/>
                <w:szCs w:val="20"/>
                <w:lang w:val="es-ES"/>
              </w:rPr>
            </w:pPr>
            <w:r>
              <w:rPr>
                <w:rFonts w:ascii="Cambria" w:hAnsi="Cambria"/>
                <w:bCs/>
                <w:sz w:val="20"/>
                <w:szCs w:val="20"/>
                <w:lang w:val="es-ES"/>
              </w:rPr>
              <w:t xml:space="preserve">4 de octubre de 2018, </w:t>
            </w:r>
            <w:r w:rsidR="008E5DFD">
              <w:rPr>
                <w:rFonts w:ascii="Cambria" w:hAnsi="Cambria"/>
                <w:bCs/>
                <w:sz w:val="20"/>
                <w:szCs w:val="20"/>
                <w:lang w:val="es-ES"/>
              </w:rPr>
              <w:t>10 de octubre de 2019</w:t>
            </w:r>
            <w:r w:rsidR="000118DF">
              <w:rPr>
                <w:rFonts w:ascii="Cambria" w:hAnsi="Cambria"/>
                <w:bCs/>
                <w:sz w:val="20"/>
                <w:szCs w:val="20"/>
                <w:lang w:val="es-ES"/>
              </w:rPr>
              <w:t>, 10 de enero de 2020</w:t>
            </w:r>
            <w:r w:rsidR="002154F6">
              <w:rPr>
                <w:rFonts w:ascii="Cambria" w:hAnsi="Cambria"/>
                <w:bCs/>
                <w:sz w:val="20"/>
                <w:szCs w:val="20"/>
                <w:lang w:val="es-ES"/>
              </w:rPr>
              <w:t xml:space="preserve"> y 7 de abril de 2025</w:t>
            </w:r>
          </w:p>
        </w:tc>
      </w:tr>
      <w:tr w:rsidR="004C2312" w:rsidRPr="00A272D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53D99026" w:rsidR="004C2312" w:rsidRPr="003239B8" w:rsidRDefault="007A3E08" w:rsidP="008D2290">
            <w:pPr>
              <w:jc w:val="both"/>
              <w:rPr>
                <w:rFonts w:ascii="Cambria" w:hAnsi="Cambria"/>
                <w:bCs/>
                <w:sz w:val="20"/>
                <w:szCs w:val="20"/>
                <w:lang w:val="es-ES"/>
              </w:rPr>
            </w:pPr>
            <w:r>
              <w:rPr>
                <w:rFonts w:ascii="Cambria" w:hAnsi="Cambria"/>
                <w:bCs/>
                <w:sz w:val="20"/>
                <w:szCs w:val="20"/>
                <w:lang w:val="es-ES"/>
              </w:rPr>
              <w:t>2</w:t>
            </w:r>
            <w:r w:rsidR="00725E82">
              <w:rPr>
                <w:rFonts w:ascii="Cambria" w:hAnsi="Cambria"/>
                <w:bCs/>
                <w:sz w:val="20"/>
                <w:szCs w:val="20"/>
                <w:lang w:val="es-ES"/>
              </w:rPr>
              <w:t>3</w:t>
            </w:r>
            <w:r>
              <w:rPr>
                <w:rFonts w:ascii="Cambria" w:hAnsi="Cambria"/>
                <w:bCs/>
                <w:sz w:val="20"/>
                <w:szCs w:val="20"/>
                <w:lang w:val="es-ES"/>
              </w:rPr>
              <w:t xml:space="preserve"> de </w:t>
            </w:r>
            <w:r w:rsidR="00725E82">
              <w:rPr>
                <w:rFonts w:ascii="Cambria" w:hAnsi="Cambria"/>
                <w:bCs/>
                <w:sz w:val="20"/>
                <w:szCs w:val="20"/>
                <w:lang w:val="es-ES"/>
              </w:rPr>
              <w:t xml:space="preserve">noviembre </w:t>
            </w:r>
            <w:r>
              <w:rPr>
                <w:rFonts w:ascii="Cambria" w:hAnsi="Cambria"/>
                <w:bCs/>
                <w:sz w:val="20"/>
                <w:szCs w:val="20"/>
                <w:lang w:val="es-ES"/>
              </w:rPr>
              <w:t>de 2022</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46961615" w:rsidR="004C2312" w:rsidRPr="003239B8" w:rsidRDefault="00456508"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164F612E" w:rsidR="004C2312" w:rsidRPr="003239B8" w:rsidRDefault="009D4D3B" w:rsidP="008D2290">
            <w:pPr>
              <w:jc w:val="both"/>
              <w:rPr>
                <w:rFonts w:ascii="Cambria" w:hAnsi="Cambria"/>
                <w:bCs/>
                <w:sz w:val="20"/>
                <w:szCs w:val="20"/>
                <w:lang w:val="es-ES"/>
              </w:rPr>
            </w:pPr>
            <w:r>
              <w:rPr>
                <w:rFonts w:ascii="Cambria" w:hAnsi="Cambria"/>
                <w:bCs/>
                <w:sz w:val="20"/>
                <w:szCs w:val="20"/>
                <w:lang w:val="es-ES"/>
              </w:rPr>
              <w:t>31 de marzo de 2023</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38FA85BA" w:rsidR="001E49E7" w:rsidRPr="003239B8" w:rsidRDefault="00996CEB" w:rsidP="002625EA">
            <w:pPr>
              <w:jc w:val="both"/>
              <w:rPr>
                <w:rFonts w:ascii="Cambria" w:hAnsi="Cambria"/>
                <w:bCs/>
                <w:sz w:val="20"/>
                <w:szCs w:val="20"/>
                <w:lang w:val="es-ES"/>
              </w:rPr>
            </w:pPr>
            <w:r>
              <w:rPr>
                <w:rFonts w:ascii="Cambria" w:hAnsi="Cambria"/>
                <w:bCs/>
                <w:sz w:val="20"/>
                <w:szCs w:val="20"/>
                <w:lang w:val="es-ES"/>
              </w:rPr>
              <w:t>8 de agosto de 2018</w:t>
            </w:r>
          </w:p>
        </w:tc>
      </w:tr>
      <w:tr w:rsidR="001E49E7" w:rsidRPr="00A272D3"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03D53E08" w:rsidR="001E49E7" w:rsidRPr="003239B8" w:rsidRDefault="00996CEB" w:rsidP="002625EA">
            <w:pPr>
              <w:jc w:val="both"/>
              <w:rPr>
                <w:rFonts w:ascii="Cambria" w:hAnsi="Cambria"/>
                <w:bCs/>
                <w:sz w:val="20"/>
                <w:szCs w:val="20"/>
                <w:lang w:val="es-ES"/>
              </w:rPr>
            </w:pPr>
            <w:r>
              <w:rPr>
                <w:rFonts w:ascii="Cambria" w:hAnsi="Cambria"/>
                <w:bCs/>
                <w:sz w:val="20"/>
                <w:szCs w:val="20"/>
                <w:lang w:val="es-ES"/>
              </w:rPr>
              <w:t>17 de agosto de 2018</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592DBE7F" w:rsidR="003239B8" w:rsidRPr="00B3745F" w:rsidRDefault="009A5F51"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AF1B0A1" w:rsidR="003239B8" w:rsidRPr="00B3745F" w:rsidRDefault="009A5F51"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6511E561" w:rsidR="003239B8" w:rsidRPr="00B3745F" w:rsidRDefault="009A5F51" w:rsidP="008D2290">
            <w:pPr>
              <w:rPr>
                <w:rFonts w:ascii="Cambria" w:hAnsi="Cambria"/>
                <w:bCs/>
                <w:sz w:val="20"/>
                <w:szCs w:val="20"/>
              </w:rPr>
            </w:pPr>
            <w:r>
              <w:rPr>
                <w:rFonts w:ascii="Cambria" w:hAnsi="Cambria"/>
                <w:bCs/>
                <w:sz w:val="20"/>
                <w:szCs w:val="20"/>
              </w:rPr>
              <w:t>Sí</w:t>
            </w:r>
          </w:p>
        </w:tc>
      </w:tr>
      <w:tr w:rsidR="003239B8" w:rsidRPr="003F0E9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53C6403C" w:rsidR="003239B8" w:rsidRPr="00B3745F" w:rsidRDefault="002B5130" w:rsidP="008D2290">
            <w:pPr>
              <w:jc w:val="both"/>
              <w:rPr>
                <w:rFonts w:ascii="Cambria" w:hAnsi="Cambria"/>
                <w:bCs/>
                <w:sz w:val="20"/>
                <w:szCs w:val="20"/>
                <w:lang w:val="es-ES"/>
              </w:rPr>
            </w:pPr>
            <w:r>
              <w:rPr>
                <w:rFonts w:ascii="Cambria" w:hAnsi="Cambria"/>
                <w:bCs/>
                <w:sz w:val="20"/>
                <w:szCs w:val="20"/>
                <w:lang w:val="es-ES"/>
              </w:rPr>
              <w:t xml:space="preserve">Sí, </w:t>
            </w:r>
            <w:r w:rsidRPr="00CB26AC">
              <w:rPr>
                <w:rFonts w:ascii="Cambria" w:hAnsi="Cambria"/>
                <w:bCs/>
                <w:sz w:val="20"/>
                <w:szCs w:val="20"/>
                <w:lang w:val="es-ES"/>
              </w:rPr>
              <w:t>Convención Americana (depósito del instrumento de ratificación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272D3"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16605B80" w:rsidR="00EE00E9" w:rsidRPr="00DC24E3" w:rsidRDefault="007B64CF" w:rsidP="008D2290">
            <w:pPr>
              <w:jc w:val="both"/>
              <w:rPr>
                <w:rFonts w:ascii="Cambria" w:hAnsi="Cambria"/>
                <w:bCs/>
                <w:sz w:val="20"/>
                <w:szCs w:val="20"/>
                <w:lang w:val="es-ES"/>
              </w:rPr>
            </w:pPr>
            <w:r>
              <w:rPr>
                <w:rFonts w:ascii="Cambria" w:hAnsi="Cambria"/>
                <w:bCs/>
                <w:sz w:val="20"/>
                <w:szCs w:val="20"/>
                <w:lang w:val="es-ES"/>
              </w:rPr>
              <w:t>No</w:t>
            </w:r>
          </w:p>
        </w:tc>
      </w:tr>
      <w:tr w:rsidR="003239B8" w:rsidRPr="003F0E96"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E450D6" w:rsidRDefault="003239B8" w:rsidP="008D2290">
            <w:pPr>
              <w:jc w:val="center"/>
              <w:rPr>
                <w:rFonts w:ascii="Cambria" w:hAnsi="Cambria"/>
                <w:b/>
                <w:bCs/>
                <w:i/>
                <w:color w:val="FFFFFF" w:themeColor="background1"/>
                <w:sz w:val="20"/>
                <w:szCs w:val="20"/>
              </w:rPr>
            </w:pPr>
            <w:r w:rsidRPr="00E450D6">
              <w:rPr>
                <w:rFonts w:ascii="Cambria" w:hAnsi="Cambria"/>
                <w:b/>
                <w:bCs/>
                <w:color w:val="FFFFFF" w:themeColor="background1"/>
                <w:sz w:val="20"/>
                <w:szCs w:val="20"/>
              </w:rPr>
              <w:t>Derechos declarados admisibles</w:t>
            </w:r>
            <w:r w:rsidRPr="00E450D6">
              <w:rPr>
                <w:rFonts w:ascii="Cambria" w:hAnsi="Cambria"/>
                <w:b/>
                <w:bCs/>
                <w:i/>
                <w:color w:val="FFFFFF" w:themeColor="background1"/>
                <w:sz w:val="20"/>
                <w:szCs w:val="20"/>
              </w:rPr>
              <w:t>:</w:t>
            </w:r>
          </w:p>
        </w:tc>
        <w:tc>
          <w:tcPr>
            <w:tcW w:w="5760" w:type="dxa"/>
            <w:vAlign w:val="center"/>
          </w:tcPr>
          <w:p w14:paraId="4DAE9D4D" w14:textId="76807D13" w:rsidR="003239B8" w:rsidRPr="00E450D6" w:rsidRDefault="00CA4FB3" w:rsidP="008D2290">
            <w:pPr>
              <w:jc w:val="both"/>
              <w:rPr>
                <w:rFonts w:ascii="Cambria" w:hAnsi="Cambria"/>
                <w:bCs/>
                <w:sz w:val="20"/>
                <w:szCs w:val="20"/>
                <w:lang w:val="es-CO"/>
              </w:rPr>
            </w:pPr>
            <w:r w:rsidRPr="00E450D6">
              <w:rPr>
                <w:rFonts w:ascii="Cambria" w:hAnsi="Cambria"/>
                <w:bCs/>
                <w:sz w:val="20"/>
                <w:szCs w:val="20"/>
                <w:lang w:val="es-CO"/>
              </w:rPr>
              <w:t>Artículos</w:t>
            </w:r>
            <w:r w:rsidR="006B5B85" w:rsidRPr="00E450D6">
              <w:rPr>
                <w:rFonts w:ascii="Cambria" w:hAnsi="Cambria"/>
                <w:bCs/>
                <w:sz w:val="20"/>
                <w:szCs w:val="20"/>
                <w:lang w:val="es-CO"/>
              </w:rPr>
              <w:t xml:space="preserve"> 4 (vida), 5 (integridad personal), 8 (garantías judiciales), </w:t>
            </w:r>
            <w:r w:rsidR="004F6363" w:rsidRPr="00E450D6">
              <w:rPr>
                <w:rFonts w:ascii="Cambria" w:hAnsi="Cambria"/>
                <w:bCs/>
                <w:sz w:val="20"/>
                <w:szCs w:val="20"/>
                <w:lang w:val="es-CO"/>
              </w:rPr>
              <w:t>17 (protección de la familia)</w:t>
            </w:r>
            <w:r w:rsidR="00E450D6" w:rsidRPr="00E450D6">
              <w:rPr>
                <w:rFonts w:ascii="Cambria" w:hAnsi="Cambria"/>
                <w:bCs/>
                <w:sz w:val="20"/>
                <w:szCs w:val="20"/>
                <w:lang w:val="es-CO"/>
              </w:rPr>
              <w:t xml:space="preserve"> </w:t>
            </w:r>
            <w:r w:rsidR="006B5B85" w:rsidRPr="00E450D6">
              <w:rPr>
                <w:rFonts w:ascii="Cambria" w:hAnsi="Cambria"/>
                <w:bCs/>
                <w:sz w:val="20"/>
                <w:szCs w:val="20"/>
                <w:lang w:val="es-CO"/>
              </w:rPr>
              <w:t>y 25 (protección judicial) de la Convención Americana</w:t>
            </w:r>
            <w:r w:rsidR="00E450D6" w:rsidRPr="00E450D6">
              <w:rPr>
                <w:rFonts w:ascii="Cambria" w:hAnsi="Cambria"/>
                <w:bCs/>
                <w:sz w:val="20"/>
                <w:szCs w:val="20"/>
                <w:lang w:val="es-CO"/>
              </w:rPr>
              <w:t>, en relación con su artículo 1.1 (obligación de respetar los derechos)</w:t>
            </w:r>
          </w:p>
        </w:tc>
      </w:tr>
      <w:tr w:rsidR="003239B8" w:rsidRPr="003F0E96"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E450D6" w:rsidRDefault="003239B8" w:rsidP="008D2290">
            <w:pPr>
              <w:jc w:val="center"/>
              <w:rPr>
                <w:rFonts w:ascii="Cambria" w:hAnsi="Cambria"/>
                <w:b/>
                <w:bCs/>
                <w:color w:val="FFFFFF" w:themeColor="background1"/>
                <w:sz w:val="20"/>
                <w:szCs w:val="20"/>
                <w:lang w:val="es-ES"/>
              </w:rPr>
            </w:pPr>
            <w:r w:rsidRPr="00E450D6">
              <w:rPr>
                <w:rFonts w:ascii="Cambria" w:hAnsi="Cambria"/>
                <w:b/>
                <w:bCs/>
                <w:color w:val="FFFFFF" w:themeColor="background1"/>
                <w:sz w:val="20"/>
                <w:szCs w:val="20"/>
                <w:lang w:val="es-ES"/>
              </w:rPr>
              <w:t>Agotamiento de recursos internos</w:t>
            </w:r>
            <w:r w:rsidR="00EE00E9" w:rsidRPr="00E450D6">
              <w:rPr>
                <w:rFonts w:ascii="Cambria" w:hAnsi="Cambria"/>
                <w:b/>
                <w:bCs/>
                <w:color w:val="FFFFFF" w:themeColor="background1"/>
                <w:sz w:val="20"/>
                <w:szCs w:val="20"/>
                <w:lang w:val="es-ES"/>
              </w:rPr>
              <w:t xml:space="preserve"> o procedencia de una excepción</w:t>
            </w:r>
            <w:r w:rsidRPr="00E450D6">
              <w:rPr>
                <w:rFonts w:ascii="Cambria" w:hAnsi="Cambria"/>
                <w:b/>
                <w:bCs/>
                <w:color w:val="FFFFFF" w:themeColor="background1"/>
                <w:sz w:val="20"/>
                <w:szCs w:val="20"/>
                <w:lang w:val="es-ES"/>
              </w:rPr>
              <w:t>:</w:t>
            </w:r>
          </w:p>
        </w:tc>
        <w:tc>
          <w:tcPr>
            <w:tcW w:w="5760" w:type="dxa"/>
            <w:vAlign w:val="center"/>
          </w:tcPr>
          <w:p w14:paraId="7F7C1A19" w14:textId="1C3DEBE9" w:rsidR="003239B8" w:rsidRPr="00E450D6" w:rsidRDefault="00505643" w:rsidP="008D2290">
            <w:pPr>
              <w:rPr>
                <w:rFonts w:ascii="Cambria" w:hAnsi="Cambria"/>
                <w:bCs/>
                <w:sz w:val="20"/>
                <w:szCs w:val="20"/>
                <w:lang w:val="es-ES"/>
              </w:rPr>
            </w:pPr>
            <w:r w:rsidRPr="00E450D6">
              <w:rPr>
                <w:rFonts w:ascii="Cambria" w:hAnsi="Cambria"/>
                <w:bCs/>
                <w:sz w:val="20"/>
                <w:szCs w:val="20"/>
                <w:lang w:val="es-ES"/>
              </w:rPr>
              <w:t>Sí</w:t>
            </w:r>
            <w:r w:rsidR="00CA4FB3" w:rsidRPr="00E450D6">
              <w:rPr>
                <w:rFonts w:ascii="Cambria" w:hAnsi="Cambria"/>
                <w:bCs/>
                <w:sz w:val="20"/>
                <w:szCs w:val="20"/>
                <w:lang w:val="es-ES"/>
              </w:rPr>
              <w:t>, en los términos de la Sección VI</w:t>
            </w:r>
          </w:p>
        </w:tc>
      </w:tr>
      <w:tr w:rsidR="003239B8" w:rsidRPr="003F0E96"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E450D6" w:rsidRDefault="003239B8" w:rsidP="008D2290">
            <w:pPr>
              <w:jc w:val="center"/>
              <w:rPr>
                <w:rFonts w:ascii="Cambria" w:hAnsi="Cambria"/>
                <w:b/>
                <w:bCs/>
                <w:color w:val="FFFFFF" w:themeColor="background1"/>
                <w:sz w:val="20"/>
                <w:szCs w:val="20"/>
              </w:rPr>
            </w:pPr>
            <w:r w:rsidRPr="00E450D6">
              <w:rPr>
                <w:rFonts w:ascii="Cambria" w:hAnsi="Cambria"/>
                <w:b/>
                <w:bCs/>
                <w:color w:val="FFFFFF" w:themeColor="background1"/>
                <w:sz w:val="20"/>
                <w:szCs w:val="20"/>
              </w:rPr>
              <w:t>Presentación dentro de plazo:</w:t>
            </w:r>
          </w:p>
        </w:tc>
        <w:tc>
          <w:tcPr>
            <w:tcW w:w="5760" w:type="dxa"/>
            <w:vAlign w:val="center"/>
          </w:tcPr>
          <w:p w14:paraId="2AF0FC69" w14:textId="52974DC7" w:rsidR="003239B8" w:rsidRPr="00CA4FB3" w:rsidRDefault="00505643" w:rsidP="008D2290">
            <w:pPr>
              <w:rPr>
                <w:rFonts w:ascii="Cambria" w:hAnsi="Cambria"/>
                <w:bCs/>
                <w:sz w:val="20"/>
                <w:szCs w:val="20"/>
                <w:lang w:val="es-CO"/>
              </w:rPr>
            </w:pPr>
            <w:r w:rsidRPr="00E450D6">
              <w:rPr>
                <w:rFonts w:ascii="Cambria" w:hAnsi="Cambria"/>
                <w:bCs/>
                <w:sz w:val="20"/>
                <w:szCs w:val="20"/>
                <w:lang w:val="es-CO"/>
              </w:rPr>
              <w:t>Sí</w:t>
            </w:r>
            <w:r w:rsidR="00CA4FB3" w:rsidRPr="00E450D6">
              <w:rPr>
                <w:rFonts w:ascii="Cambria" w:hAnsi="Cambria"/>
                <w:bCs/>
                <w:sz w:val="20"/>
                <w:szCs w:val="20"/>
                <w:lang w:val="es-ES"/>
              </w:rPr>
              <w:t>, en los términos de la Sección VI</w:t>
            </w:r>
          </w:p>
        </w:tc>
      </w:tr>
    </w:tbl>
    <w:p w14:paraId="4F60345B" w14:textId="77777777" w:rsidR="00B9393A" w:rsidRDefault="00B9393A" w:rsidP="003239B8">
      <w:pPr>
        <w:spacing w:before="240" w:after="240"/>
        <w:ind w:firstLine="720"/>
        <w:jc w:val="both"/>
        <w:rPr>
          <w:rFonts w:asciiTheme="majorHAnsi" w:hAnsiTheme="majorHAnsi"/>
          <w:b/>
          <w:sz w:val="20"/>
          <w:szCs w:val="20"/>
          <w:lang w:val="es-UY"/>
        </w:rPr>
      </w:pPr>
    </w:p>
    <w:p w14:paraId="56FD5D57" w14:textId="7EEF40F3" w:rsidR="003239B8" w:rsidRDefault="00223A29" w:rsidP="00B9393A">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901F992" w14:textId="2868F9D8" w:rsidR="0008158C" w:rsidRPr="00E450D6" w:rsidRDefault="00125980" w:rsidP="00B9393A">
      <w:pPr>
        <w:pStyle w:val="ListParagraph"/>
        <w:numPr>
          <w:ilvl w:val="0"/>
          <w:numId w:val="0"/>
        </w:numPr>
        <w:ind w:firstLine="720"/>
        <w:jc w:val="both"/>
        <w:rPr>
          <w:rFonts w:asciiTheme="majorHAnsi" w:hAnsiTheme="majorHAnsi"/>
          <w:b/>
          <w:sz w:val="20"/>
          <w:szCs w:val="20"/>
          <w:lang w:val="es-UY"/>
        </w:rPr>
      </w:pPr>
      <w:r w:rsidRPr="00E450D6">
        <w:rPr>
          <w:rFonts w:asciiTheme="majorHAnsi" w:hAnsiTheme="majorHAnsi"/>
          <w:b/>
          <w:sz w:val="20"/>
          <w:szCs w:val="20"/>
          <w:lang w:val="es-UY"/>
        </w:rPr>
        <w:t>La p</w:t>
      </w:r>
      <w:r w:rsidR="0008158C" w:rsidRPr="00E450D6">
        <w:rPr>
          <w:rFonts w:asciiTheme="majorHAnsi" w:hAnsiTheme="majorHAnsi"/>
          <w:b/>
          <w:sz w:val="20"/>
          <w:szCs w:val="20"/>
          <w:lang w:val="es-UY"/>
        </w:rPr>
        <w:t>arte peticionaria</w:t>
      </w:r>
    </w:p>
    <w:p w14:paraId="53BD3EF6" w14:textId="5AF7D530" w:rsidR="006E621A" w:rsidRPr="00E450D6" w:rsidRDefault="00573595" w:rsidP="00B9393A">
      <w:pPr>
        <w:pStyle w:val="ListParagraph"/>
        <w:numPr>
          <w:ilvl w:val="0"/>
          <w:numId w:val="61"/>
        </w:numPr>
        <w:ind w:left="0" w:firstLine="720"/>
        <w:jc w:val="both"/>
        <w:rPr>
          <w:rFonts w:asciiTheme="majorHAnsi" w:hAnsiTheme="majorHAnsi"/>
          <w:bCs/>
          <w:sz w:val="20"/>
          <w:szCs w:val="20"/>
          <w:lang w:val="es-UY"/>
        </w:rPr>
      </w:pPr>
      <w:r w:rsidRPr="00E450D6">
        <w:rPr>
          <w:sz w:val="20"/>
          <w:szCs w:val="20"/>
          <w:lang w:val="es-AR"/>
        </w:rPr>
        <w:t>La parte peticionaria alega la respo</w:t>
      </w:r>
      <w:r w:rsidR="00A61D45" w:rsidRPr="00E450D6">
        <w:rPr>
          <w:sz w:val="20"/>
          <w:szCs w:val="20"/>
          <w:lang w:val="es-AR"/>
        </w:rPr>
        <w:t>n</w:t>
      </w:r>
      <w:r w:rsidRPr="00E450D6">
        <w:rPr>
          <w:sz w:val="20"/>
          <w:szCs w:val="20"/>
          <w:lang w:val="es-AR"/>
        </w:rPr>
        <w:t>sabilidad</w:t>
      </w:r>
      <w:r w:rsidR="00A61D45" w:rsidRPr="00E450D6">
        <w:rPr>
          <w:sz w:val="20"/>
          <w:szCs w:val="20"/>
          <w:lang w:val="es-AR"/>
        </w:rPr>
        <w:t xml:space="preserve"> internacional del Estado en el </w:t>
      </w:r>
      <w:r w:rsidR="00EA0F58" w:rsidRPr="00E450D6">
        <w:rPr>
          <w:sz w:val="20"/>
          <w:szCs w:val="20"/>
          <w:lang w:val="es-AR"/>
        </w:rPr>
        <w:t xml:space="preserve">asesinato </w:t>
      </w:r>
      <w:r w:rsidR="00A61D45" w:rsidRPr="00E450D6">
        <w:rPr>
          <w:sz w:val="20"/>
          <w:szCs w:val="20"/>
          <w:lang w:val="es-AR"/>
        </w:rPr>
        <w:t>de Ramiro Alfonso Molina Balbín</w:t>
      </w:r>
      <w:r w:rsidR="00D05B88" w:rsidRPr="00E450D6">
        <w:rPr>
          <w:sz w:val="20"/>
          <w:szCs w:val="20"/>
          <w:lang w:val="es-AR"/>
        </w:rPr>
        <w:t xml:space="preserve"> </w:t>
      </w:r>
      <w:r w:rsidR="001255A4" w:rsidRPr="00E450D6">
        <w:rPr>
          <w:sz w:val="20"/>
          <w:szCs w:val="20"/>
          <w:lang w:val="es-AR"/>
        </w:rPr>
        <w:t>(en adelante también “el Sr. Molina Balbín”)</w:t>
      </w:r>
      <w:r w:rsidR="00611D48" w:rsidRPr="00E450D6">
        <w:rPr>
          <w:sz w:val="20"/>
          <w:szCs w:val="20"/>
          <w:lang w:val="es-AR"/>
        </w:rPr>
        <w:t xml:space="preserve">, debido a la </w:t>
      </w:r>
      <w:r w:rsidR="009A290A" w:rsidRPr="00E450D6">
        <w:rPr>
          <w:sz w:val="20"/>
          <w:szCs w:val="20"/>
          <w:lang w:val="es-AR"/>
        </w:rPr>
        <w:t>falta de adopción de medidas de pr</w:t>
      </w:r>
      <w:r w:rsidR="00CF331B" w:rsidRPr="00E450D6">
        <w:rPr>
          <w:sz w:val="20"/>
          <w:szCs w:val="20"/>
          <w:lang w:val="es-AR"/>
        </w:rPr>
        <w:t>otec</w:t>
      </w:r>
      <w:r w:rsidR="009A290A" w:rsidRPr="00E450D6">
        <w:rPr>
          <w:sz w:val="20"/>
          <w:szCs w:val="20"/>
          <w:lang w:val="es-AR"/>
        </w:rPr>
        <w:t>ción</w:t>
      </w:r>
      <w:r w:rsidR="007B59C6" w:rsidRPr="00E450D6">
        <w:rPr>
          <w:sz w:val="20"/>
          <w:szCs w:val="20"/>
          <w:lang w:val="es-AR"/>
        </w:rPr>
        <w:t xml:space="preserve"> para prevenir</w:t>
      </w:r>
      <w:r w:rsidR="0031208B" w:rsidRPr="00E450D6">
        <w:rPr>
          <w:sz w:val="20"/>
          <w:szCs w:val="20"/>
          <w:lang w:val="es-AR"/>
        </w:rPr>
        <w:t xml:space="preserve"> </w:t>
      </w:r>
      <w:r w:rsidR="00347550" w:rsidRPr="00E450D6">
        <w:rPr>
          <w:sz w:val="20"/>
          <w:szCs w:val="20"/>
          <w:lang w:val="es-AR"/>
        </w:rPr>
        <w:t>este hecho</w:t>
      </w:r>
      <w:r w:rsidR="007B59C6" w:rsidRPr="00E450D6">
        <w:rPr>
          <w:sz w:val="20"/>
          <w:szCs w:val="20"/>
          <w:lang w:val="es-AR"/>
        </w:rPr>
        <w:t xml:space="preserve">, pese a sus solicitudes y a haber sido </w:t>
      </w:r>
      <w:r w:rsidR="0031208B" w:rsidRPr="00E450D6">
        <w:rPr>
          <w:sz w:val="20"/>
          <w:szCs w:val="20"/>
          <w:lang w:val="es-AR"/>
        </w:rPr>
        <w:t xml:space="preserve">víctima </w:t>
      </w:r>
      <w:r w:rsidR="007B59C6" w:rsidRPr="00E450D6">
        <w:rPr>
          <w:sz w:val="20"/>
          <w:szCs w:val="20"/>
          <w:lang w:val="es-AR"/>
        </w:rPr>
        <w:t xml:space="preserve">de secuestro y amenazas </w:t>
      </w:r>
      <w:r w:rsidR="0031208B" w:rsidRPr="00E450D6">
        <w:rPr>
          <w:sz w:val="20"/>
          <w:szCs w:val="20"/>
          <w:lang w:val="es-AR"/>
        </w:rPr>
        <w:t>por parte de un grupo criminal</w:t>
      </w:r>
      <w:r w:rsidR="00D445B2" w:rsidRPr="00E450D6">
        <w:rPr>
          <w:sz w:val="20"/>
          <w:szCs w:val="20"/>
          <w:lang w:val="es-AR"/>
        </w:rPr>
        <w:t>.</w:t>
      </w:r>
    </w:p>
    <w:p w14:paraId="1FAF7B5A" w14:textId="5CABE3D6" w:rsidR="00142FA9" w:rsidRPr="00E450D6" w:rsidRDefault="00185460" w:rsidP="00142FA9">
      <w:pPr>
        <w:pStyle w:val="ListParagraph"/>
        <w:numPr>
          <w:ilvl w:val="0"/>
          <w:numId w:val="0"/>
        </w:numPr>
        <w:ind w:left="720"/>
        <w:jc w:val="both"/>
        <w:rPr>
          <w:rFonts w:asciiTheme="majorHAnsi" w:hAnsiTheme="majorHAnsi"/>
          <w:bCs/>
          <w:i/>
          <w:iCs/>
          <w:sz w:val="20"/>
          <w:szCs w:val="20"/>
          <w:lang w:val="es-UY"/>
        </w:rPr>
      </w:pPr>
      <w:r w:rsidRPr="00E450D6">
        <w:rPr>
          <w:i/>
          <w:iCs/>
          <w:sz w:val="20"/>
          <w:szCs w:val="20"/>
          <w:lang w:val="es-AR"/>
        </w:rPr>
        <w:t>El s</w:t>
      </w:r>
      <w:r w:rsidR="00142FA9" w:rsidRPr="00E450D6">
        <w:rPr>
          <w:i/>
          <w:iCs/>
          <w:sz w:val="20"/>
          <w:szCs w:val="20"/>
          <w:lang w:val="es-AR"/>
        </w:rPr>
        <w:t>ecuestro de miembros de la familia Molina Vélez</w:t>
      </w:r>
    </w:p>
    <w:p w14:paraId="7CFB56BF" w14:textId="6F18C006" w:rsidR="006E621A" w:rsidRPr="00E450D6" w:rsidRDefault="007509CE" w:rsidP="00B9393A">
      <w:pPr>
        <w:pStyle w:val="ListParagraph"/>
        <w:numPr>
          <w:ilvl w:val="0"/>
          <w:numId w:val="61"/>
        </w:numPr>
        <w:ind w:left="0" w:firstLine="720"/>
        <w:jc w:val="both"/>
        <w:rPr>
          <w:rFonts w:asciiTheme="majorHAnsi" w:hAnsiTheme="majorHAnsi"/>
          <w:bCs/>
          <w:sz w:val="20"/>
          <w:szCs w:val="20"/>
          <w:lang w:val="es-UY"/>
        </w:rPr>
      </w:pPr>
      <w:r w:rsidRPr="00E450D6">
        <w:rPr>
          <w:sz w:val="20"/>
          <w:szCs w:val="20"/>
          <w:lang w:val="es-AR"/>
        </w:rPr>
        <w:t xml:space="preserve">El peticionario relata que </w:t>
      </w:r>
      <w:r w:rsidR="00566BB4" w:rsidRPr="00E450D6">
        <w:rPr>
          <w:sz w:val="20"/>
          <w:szCs w:val="20"/>
          <w:lang w:val="es-AR"/>
        </w:rPr>
        <w:t xml:space="preserve">sobre las 11:00 p.m. del 11 de diciembre de 2002 </w:t>
      </w:r>
      <w:r w:rsidR="005B0D1B" w:rsidRPr="00E450D6">
        <w:rPr>
          <w:sz w:val="20"/>
          <w:szCs w:val="20"/>
          <w:lang w:val="es-AR"/>
        </w:rPr>
        <w:t>el señor Ramiro Alfonso Molina</w:t>
      </w:r>
      <w:r w:rsidR="00955071" w:rsidRPr="00E450D6">
        <w:rPr>
          <w:sz w:val="20"/>
          <w:szCs w:val="20"/>
          <w:lang w:val="es-AR"/>
        </w:rPr>
        <w:t xml:space="preserve"> Balbín y su hijo</w:t>
      </w:r>
      <w:r w:rsidR="00666466" w:rsidRPr="00E450D6">
        <w:rPr>
          <w:sz w:val="20"/>
          <w:szCs w:val="20"/>
          <w:lang w:val="es-AR"/>
        </w:rPr>
        <w:t>, Ricardo Alberto Molina Vélez se d</w:t>
      </w:r>
      <w:r w:rsidR="007B7212" w:rsidRPr="00E450D6">
        <w:rPr>
          <w:sz w:val="20"/>
          <w:szCs w:val="20"/>
          <w:lang w:val="es-AR"/>
        </w:rPr>
        <w:t>irigí</w:t>
      </w:r>
      <w:r w:rsidR="00666466" w:rsidRPr="00E450D6">
        <w:rPr>
          <w:sz w:val="20"/>
          <w:szCs w:val="20"/>
          <w:lang w:val="es-AR"/>
        </w:rPr>
        <w:t xml:space="preserve">an </w:t>
      </w:r>
      <w:r w:rsidR="00EC1F53" w:rsidRPr="00E450D6">
        <w:rPr>
          <w:sz w:val="20"/>
          <w:szCs w:val="20"/>
          <w:lang w:val="es-AR"/>
        </w:rPr>
        <w:t xml:space="preserve">hacia su residencia </w:t>
      </w:r>
      <w:r w:rsidR="00666466" w:rsidRPr="00E450D6">
        <w:rPr>
          <w:sz w:val="20"/>
          <w:szCs w:val="20"/>
          <w:lang w:val="es-AR"/>
        </w:rPr>
        <w:t xml:space="preserve">en su vehículo </w:t>
      </w:r>
      <w:r w:rsidR="009E586C" w:rsidRPr="00E450D6">
        <w:rPr>
          <w:sz w:val="20"/>
          <w:szCs w:val="20"/>
          <w:lang w:val="es-AR"/>
        </w:rPr>
        <w:t xml:space="preserve">familiar </w:t>
      </w:r>
      <w:r w:rsidR="007B7212" w:rsidRPr="00E450D6">
        <w:rPr>
          <w:sz w:val="20"/>
          <w:szCs w:val="20"/>
          <w:lang w:val="es-AR"/>
        </w:rPr>
        <w:t>en la ciudad de Medellín</w:t>
      </w:r>
      <w:r w:rsidR="00EC1F53" w:rsidRPr="00E450D6">
        <w:rPr>
          <w:sz w:val="20"/>
          <w:szCs w:val="20"/>
          <w:lang w:val="es-AR"/>
        </w:rPr>
        <w:t xml:space="preserve"> cuando</w:t>
      </w:r>
      <w:r w:rsidR="000A4CE8" w:rsidRPr="00E450D6">
        <w:rPr>
          <w:sz w:val="20"/>
          <w:szCs w:val="20"/>
          <w:lang w:val="es-AR"/>
        </w:rPr>
        <w:t xml:space="preserve"> hombres uniformados con emblemas y armamento de la Policía Nacional los interceptaron.</w:t>
      </w:r>
      <w:r w:rsidR="00576153" w:rsidRPr="00E450D6">
        <w:rPr>
          <w:sz w:val="20"/>
          <w:szCs w:val="20"/>
          <w:lang w:val="es-AR"/>
        </w:rPr>
        <w:t xml:space="preserve"> </w:t>
      </w:r>
      <w:r w:rsidR="006B52CF" w:rsidRPr="00E450D6">
        <w:rPr>
          <w:sz w:val="20"/>
          <w:szCs w:val="20"/>
          <w:lang w:val="es-AR"/>
        </w:rPr>
        <w:t>D</w:t>
      </w:r>
      <w:r w:rsidR="00576153" w:rsidRPr="00E450D6">
        <w:rPr>
          <w:sz w:val="20"/>
          <w:szCs w:val="20"/>
          <w:lang w:val="es-AR"/>
        </w:rPr>
        <w:t xml:space="preserve">estaca que las motocicletas de los </w:t>
      </w:r>
      <w:r w:rsidR="006B52CF" w:rsidRPr="00E450D6">
        <w:rPr>
          <w:sz w:val="20"/>
          <w:szCs w:val="20"/>
          <w:lang w:val="es-AR"/>
        </w:rPr>
        <w:t>uniformados</w:t>
      </w:r>
      <w:r w:rsidR="00576153" w:rsidRPr="00E450D6">
        <w:rPr>
          <w:sz w:val="20"/>
          <w:szCs w:val="20"/>
          <w:lang w:val="es-AR"/>
        </w:rPr>
        <w:t xml:space="preserve"> también traían el </w:t>
      </w:r>
      <w:r w:rsidR="006B52CF" w:rsidRPr="00E450D6">
        <w:rPr>
          <w:sz w:val="20"/>
          <w:szCs w:val="20"/>
          <w:lang w:val="es-AR"/>
        </w:rPr>
        <w:t>logotipo de la policía</w:t>
      </w:r>
      <w:r w:rsidR="00353ECD" w:rsidRPr="00E450D6">
        <w:rPr>
          <w:sz w:val="20"/>
          <w:szCs w:val="20"/>
          <w:lang w:val="es-AR"/>
        </w:rPr>
        <w:t xml:space="preserve"> y los hombres le</w:t>
      </w:r>
      <w:r w:rsidR="00114C23" w:rsidRPr="00E450D6">
        <w:rPr>
          <w:sz w:val="20"/>
          <w:szCs w:val="20"/>
          <w:lang w:val="es-AR"/>
        </w:rPr>
        <w:t>s</w:t>
      </w:r>
      <w:r w:rsidR="00353ECD" w:rsidRPr="00E450D6">
        <w:rPr>
          <w:sz w:val="20"/>
          <w:szCs w:val="20"/>
          <w:lang w:val="es-AR"/>
        </w:rPr>
        <w:t xml:space="preserve"> indicaron a las presuntas víctimas que el señor Molina Bal</w:t>
      </w:r>
      <w:r w:rsidR="00114C23" w:rsidRPr="00E450D6">
        <w:rPr>
          <w:sz w:val="20"/>
          <w:szCs w:val="20"/>
          <w:lang w:val="es-AR"/>
        </w:rPr>
        <w:t>b</w:t>
      </w:r>
      <w:r w:rsidR="00353ECD" w:rsidRPr="00E450D6">
        <w:rPr>
          <w:sz w:val="20"/>
          <w:szCs w:val="20"/>
          <w:lang w:val="es-AR"/>
        </w:rPr>
        <w:t>ín tenía una orden de captura por el delito de enriquecimiento ilícito</w:t>
      </w:r>
      <w:r w:rsidR="006B52CF" w:rsidRPr="00E450D6">
        <w:rPr>
          <w:sz w:val="20"/>
          <w:szCs w:val="20"/>
          <w:lang w:val="es-AR"/>
        </w:rPr>
        <w:t xml:space="preserve">. </w:t>
      </w:r>
      <w:r w:rsidR="00631D2C" w:rsidRPr="00E450D6">
        <w:rPr>
          <w:sz w:val="20"/>
          <w:szCs w:val="20"/>
          <w:lang w:val="es-AR"/>
        </w:rPr>
        <w:t xml:space="preserve">Bajo este </w:t>
      </w:r>
      <w:r w:rsidR="00736E5F" w:rsidRPr="00E450D6">
        <w:rPr>
          <w:sz w:val="20"/>
          <w:szCs w:val="20"/>
          <w:lang w:val="es-AR"/>
        </w:rPr>
        <w:t>pretexto, los llevaron esposados en su propio vehículo a un taller mecánico al occidente de Medellín</w:t>
      </w:r>
      <w:r w:rsidR="002F54CC" w:rsidRPr="00E450D6">
        <w:rPr>
          <w:sz w:val="20"/>
          <w:szCs w:val="20"/>
          <w:lang w:val="es-AR"/>
        </w:rPr>
        <w:t xml:space="preserve">, donde los dejaron amarrados bajo custodia de </w:t>
      </w:r>
      <w:r w:rsidR="003E7D30" w:rsidRPr="00E450D6">
        <w:rPr>
          <w:sz w:val="20"/>
          <w:szCs w:val="20"/>
          <w:lang w:val="es-AR"/>
        </w:rPr>
        <w:t>varios hombres vestidos de civil y se marcharon.</w:t>
      </w:r>
      <w:r w:rsidR="00B467C4" w:rsidRPr="00E450D6">
        <w:rPr>
          <w:sz w:val="20"/>
          <w:szCs w:val="20"/>
          <w:lang w:val="es-AR"/>
        </w:rPr>
        <w:t xml:space="preserve"> </w:t>
      </w:r>
      <w:r w:rsidR="003E7D30" w:rsidRPr="00E450D6">
        <w:rPr>
          <w:sz w:val="20"/>
          <w:szCs w:val="20"/>
          <w:lang w:val="es-AR"/>
        </w:rPr>
        <w:t xml:space="preserve">Allí, señala que </w:t>
      </w:r>
      <w:r w:rsidR="00224553" w:rsidRPr="00E450D6">
        <w:rPr>
          <w:sz w:val="20"/>
          <w:szCs w:val="20"/>
          <w:lang w:val="es-AR"/>
        </w:rPr>
        <w:t xml:space="preserve">los hombres obligaron al señor Molina Balbín a ingerir una </w:t>
      </w:r>
      <w:r w:rsidR="00815128" w:rsidRPr="00E450D6">
        <w:rPr>
          <w:sz w:val="20"/>
          <w:szCs w:val="20"/>
          <w:lang w:val="es-AR"/>
        </w:rPr>
        <w:t xml:space="preserve">capsula que lo dejó inconsciente y </w:t>
      </w:r>
      <w:r w:rsidR="002F3D13" w:rsidRPr="00E450D6">
        <w:rPr>
          <w:sz w:val="20"/>
          <w:szCs w:val="20"/>
          <w:lang w:val="es-AR"/>
        </w:rPr>
        <w:t>se lo llevaron en una ambulancia</w:t>
      </w:r>
      <w:r w:rsidR="003E4C11" w:rsidRPr="00E450D6">
        <w:rPr>
          <w:sz w:val="20"/>
          <w:szCs w:val="20"/>
          <w:lang w:val="es-AR"/>
        </w:rPr>
        <w:t>.</w:t>
      </w:r>
      <w:r w:rsidR="002F3D13" w:rsidRPr="00E450D6">
        <w:rPr>
          <w:sz w:val="20"/>
          <w:szCs w:val="20"/>
          <w:lang w:val="es-AR"/>
        </w:rPr>
        <w:t xml:space="preserve"> </w:t>
      </w:r>
      <w:r w:rsidR="003E4C11" w:rsidRPr="00E450D6">
        <w:rPr>
          <w:sz w:val="20"/>
          <w:szCs w:val="20"/>
          <w:lang w:val="es-AR"/>
        </w:rPr>
        <w:t>Además,</w:t>
      </w:r>
      <w:r w:rsidR="002F3D13" w:rsidRPr="00E450D6">
        <w:rPr>
          <w:sz w:val="20"/>
          <w:szCs w:val="20"/>
          <w:lang w:val="es-AR"/>
        </w:rPr>
        <w:t xml:space="preserve"> ataron </w:t>
      </w:r>
      <w:r w:rsidR="00C7638F" w:rsidRPr="00E450D6">
        <w:rPr>
          <w:sz w:val="20"/>
          <w:szCs w:val="20"/>
          <w:lang w:val="es-AR"/>
        </w:rPr>
        <w:t xml:space="preserve">las manos del joven Molina Vélez, lo despojaron de su teléfono </w:t>
      </w:r>
      <w:r w:rsidR="001A4B51" w:rsidRPr="00E450D6">
        <w:rPr>
          <w:sz w:val="20"/>
          <w:szCs w:val="20"/>
          <w:lang w:val="es-AR"/>
        </w:rPr>
        <w:t xml:space="preserve">y </w:t>
      </w:r>
      <w:r w:rsidR="000275B2" w:rsidRPr="00E450D6">
        <w:rPr>
          <w:sz w:val="20"/>
          <w:szCs w:val="20"/>
          <w:lang w:val="es-AR"/>
        </w:rPr>
        <w:t>d</w:t>
      </w:r>
      <w:r w:rsidR="001A4B51" w:rsidRPr="00E450D6">
        <w:rPr>
          <w:sz w:val="20"/>
          <w:szCs w:val="20"/>
          <w:lang w:val="es-AR"/>
        </w:rPr>
        <w:t xml:space="preserve">el dinero que portaba, y lo encerraron en el baúl </w:t>
      </w:r>
      <w:r w:rsidR="00E47804" w:rsidRPr="00E450D6">
        <w:rPr>
          <w:sz w:val="20"/>
          <w:szCs w:val="20"/>
          <w:lang w:val="es-AR"/>
        </w:rPr>
        <w:t>del carro de su padre.</w:t>
      </w:r>
    </w:p>
    <w:p w14:paraId="7FC26345" w14:textId="353358FC" w:rsidR="00B467C4" w:rsidRPr="00E450D6" w:rsidRDefault="00B467C4" w:rsidP="00B9393A">
      <w:pPr>
        <w:pStyle w:val="ListParagraph"/>
        <w:numPr>
          <w:ilvl w:val="0"/>
          <w:numId w:val="61"/>
        </w:numPr>
        <w:ind w:left="0" w:firstLine="720"/>
        <w:jc w:val="both"/>
        <w:rPr>
          <w:rFonts w:asciiTheme="majorHAnsi" w:hAnsiTheme="majorHAnsi"/>
          <w:bCs/>
          <w:sz w:val="20"/>
          <w:szCs w:val="20"/>
          <w:lang w:val="es-UY"/>
        </w:rPr>
      </w:pPr>
      <w:r w:rsidRPr="00E450D6">
        <w:rPr>
          <w:sz w:val="20"/>
          <w:szCs w:val="20"/>
          <w:lang w:val="es-UY"/>
        </w:rPr>
        <w:t xml:space="preserve">El peticionario cuenta que </w:t>
      </w:r>
      <w:r w:rsidR="00F03BB7" w:rsidRPr="00E450D6">
        <w:rPr>
          <w:sz w:val="20"/>
          <w:szCs w:val="20"/>
          <w:lang w:val="es-UY"/>
        </w:rPr>
        <w:t xml:space="preserve">el señor Ricardo Alberto Molina Vélez </w:t>
      </w:r>
      <w:r w:rsidR="003A6CD3" w:rsidRPr="00E450D6">
        <w:rPr>
          <w:sz w:val="20"/>
          <w:szCs w:val="20"/>
          <w:lang w:val="es-UY"/>
        </w:rPr>
        <w:t>logró liberarse y puso en conocimiento el hecho ante las autoridades</w:t>
      </w:r>
      <w:r w:rsidR="008D428E" w:rsidRPr="00E450D6">
        <w:rPr>
          <w:sz w:val="20"/>
          <w:szCs w:val="20"/>
          <w:lang w:val="es-UY"/>
        </w:rPr>
        <w:t xml:space="preserve">. Después de cuatro días sin tener noticia del paradero del señor </w:t>
      </w:r>
      <w:r w:rsidR="00386548" w:rsidRPr="00E450D6">
        <w:rPr>
          <w:sz w:val="20"/>
          <w:szCs w:val="20"/>
          <w:lang w:val="es-UY"/>
        </w:rPr>
        <w:t xml:space="preserve">Molina Balbín, el 15 de diciembre de 2002 la familia Molina Vélez recibió una llamada </w:t>
      </w:r>
      <w:r w:rsidR="00EC27A0" w:rsidRPr="00E450D6">
        <w:rPr>
          <w:sz w:val="20"/>
          <w:szCs w:val="20"/>
          <w:lang w:val="es-UY"/>
        </w:rPr>
        <w:t>de un sujeto que se identificó como miembros del Frente 34 de la guerrilla de las Fuerzas Armadas Revolucionarias de Colombia (en adelante “FARC”)</w:t>
      </w:r>
      <w:r w:rsidR="00A03B64" w:rsidRPr="00E450D6">
        <w:rPr>
          <w:sz w:val="20"/>
          <w:szCs w:val="20"/>
          <w:lang w:val="es-UY"/>
        </w:rPr>
        <w:t xml:space="preserve">, quien les informó que tenían secuestrado a su familiar y les exigió el pago de una suma de seis millones de dólares para su liberación. </w:t>
      </w:r>
      <w:r w:rsidR="0026461F" w:rsidRPr="00E450D6">
        <w:rPr>
          <w:sz w:val="20"/>
          <w:szCs w:val="20"/>
          <w:lang w:val="es-UY"/>
        </w:rPr>
        <w:t xml:space="preserve">Con ello, el peticionario </w:t>
      </w:r>
      <w:r w:rsidR="008A14A8" w:rsidRPr="00E450D6">
        <w:rPr>
          <w:sz w:val="20"/>
          <w:szCs w:val="20"/>
          <w:lang w:val="es-UY"/>
        </w:rPr>
        <w:t xml:space="preserve">indica que comenzó una peligrosa y dolorosa negociación con la familia, en el marco de la cual, el Grupo </w:t>
      </w:r>
      <w:r w:rsidR="001B1188" w:rsidRPr="00E450D6">
        <w:rPr>
          <w:sz w:val="20"/>
          <w:szCs w:val="20"/>
          <w:lang w:val="es-UY"/>
        </w:rPr>
        <w:t xml:space="preserve">de Acción Unificada por la Libertad </w:t>
      </w:r>
      <w:r w:rsidR="00975415" w:rsidRPr="00E450D6">
        <w:rPr>
          <w:sz w:val="20"/>
          <w:szCs w:val="20"/>
          <w:lang w:val="es-UY"/>
        </w:rPr>
        <w:t xml:space="preserve">Personal </w:t>
      </w:r>
      <w:r w:rsidR="008A14A8" w:rsidRPr="00E450D6">
        <w:rPr>
          <w:sz w:val="20"/>
          <w:szCs w:val="20"/>
          <w:lang w:val="es-UY"/>
        </w:rPr>
        <w:t>(en adelante “G</w:t>
      </w:r>
      <w:r w:rsidR="004E727D" w:rsidRPr="00E450D6">
        <w:rPr>
          <w:sz w:val="20"/>
          <w:szCs w:val="20"/>
          <w:lang w:val="es-UY"/>
        </w:rPr>
        <w:t>aula</w:t>
      </w:r>
      <w:r w:rsidR="008A14A8" w:rsidRPr="00E450D6">
        <w:rPr>
          <w:sz w:val="20"/>
          <w:szCs w:val="20"/>
          <w:lang w:val="es-UY"/>
        </w:rPr>
        <w:t>”) de la Policía Nacional</w:t>
      </w:r>
      <w:r w:rsidR="001705CA" w:rsidRPr="00E450D6">
        <w:rPr>
          <w:sz w:val="20"/>
          <w:szCs w:val="20"/>
          <w:lang w:val="es-UY"/>
        </w:rPr>
        <w:t xml:space="preserve"> empezó a indagar la identidad y paradero de los responsables</w:t>
      </w:r>
      <w:r w:rsidR="008A14A8" w:rsidRPr="00E450D6">
        <w:rPr>
          <w:sz w:val="20"/>
          <w:szCs w:val="20"/>
          <w:lang w:val="es-UY"/>
        </w:rPr>
        <w:t>.</w:t>
      </w:r>
    </w:p>
    <w:p w14:paraId="16FC000F" w14:textId="1048D88C" w:rsidR="00F526E2" w:rsidRPr="00E450D6" w:rsidRDefault="00F526E2" w:rsidP="00B9393A">
      <w:pPr>
        <w:pStyle w:val="ListParagraph"/>
        <w:numPr>
          <w:ilvl w:val="0"/>
          <w:numId w:val="61"/>
        </w:numPr>
        <w:ind w:left="0" w:firstLine="720"/>
        <w:jc w:val="both"/>
        <w:rPr>
          <w:rFonts w:asciiTheme="majorHAnsi" w:hAnsiTheme="majorHAnsi"/>
          <w:bCs/>
          <w:sz w:val="20"/>
          <w:szCs w:val="20"/>
          <w:lang w:val="es-UY"/>
        </w:rPr>
      </w:pPr>
      <w:r w:rsidRPr="00E450D6">
        <w:rPr>
          <w:sz w:val="20"/>
          <w:szCs w:val="20"/>
          <w:lang w:val="es-UY"/>
        </w:rPr>
        <w:t xml:space="preserve">La parte peticionaria refiere que la familia recolectó la suma que habían negociado mediante préstamos, </w:t>
      </w:r>
      <w:r w:rsidR="00C0340C" w:rsidRPr="00E450D6">
        <w:rPr>
          <w:sz w:val="20"/>
          <w:szCs w:val="20"/>
          <w:lang w:val="es-UY"/>
        </w:rPr>
        <w:t>y dada su inexperiencia en el tema, designaron a varios negociadores, con quienes el grupo secuestrador pactó un encuentro para el 14 de febrero de 2003.</w:t>
      </w:r>
      <w:r w:rsidR="009C3408" w:rsidRPr="00E450D6">
        <w:rPr>
          <w:sz w:val="20"/>
          <w:szCs w:val="20"/>
          <w:lang w:val="es-UY"/>
        </w:rPr>
        <w:t xml:space="preserve"> </w:t>
      </w:r>
      <w:r w:rsidR="006D4409" w:rsidRPr="00E450D6">
        <w:rPr>
          <w:sz w:val="20"/>
          <w:szCs w:val="20"/>
          <w:lang w:val="es-UY"/>
        </w:rPr>
        <w:t xml:space="preserve">La esposa del señor Molina Balbín, la señora Gloria Cecilia Vélez, acudió al sitio, en donde entregó </w:t>
      </w:r>
      <w:r w:rsidR="001D35BE" w:rsidRPr="00E450D6">
        <w:rPr>
          <w:sz w:val="20"/>
          <w:szCs w:val="20"/>
          <w:lang w:val="es-UY"/>
        </w:rPr>
        <w:t>aproximadamente USD$.</w:t>
      </w:r>
      <w:r w:rsidR="007A790F" w:rsidRPr="00E450D6">
        <w:rPr>
          <w:sz w:val="20"/>
          <w:szCs w:val="20"/>
          <w:lang w:val="es-UY"/>
        </w:rPr>
        <w:t xml:space="preserve"> 101</w:t>
      </w:r>
      <w:r w:rsidR="000827C6" w:rsidRPr="00E450D6">
        <w:rPr>
          <w:sz w:val="20"/>
          <w:szCs w:val="20"/>
          <w:lang w:val="es-UY"/>
        </w:rPr>
        <w:t>,</w:t>
      </w:r>
      <w:r w:rsidR="007A790F" w:rsidRPr="00E450D6">
        <w:rPr>
          <w:sz w:val="20"/>
          <w:szCs w:val="20"/>
          <w:lang w:val="es-UY"/>
        </w:rPr>
        <w:t xml:space="preserve">360 dólares </w:t>
      </w:r>
      <w:r w:rsidR="00C60875" w:rsidRPr="00E450D6">
        <w:rPr>
          <w:sz w:val="20"/>
          <w:szCs w:val="20"/>
          <w:lang w:val="es-UY"/>
        </w:rPr>
        <w:t>al comandante del Frente 34 de las FARC</w:t>
      </w:r>
      <w:r w:rsidR="002A030D" w:rsidRPr="00E450D6">
        <w:rPr>
          <w:sz w:val="20"/>
          <w:szCs w:val="20"/>
          <w:lang w:val="es-UY"/>
        </w:rPr>
        <w:t xml:space="preserve">, quien </w:t>
      </w:r>
      <w:r w:rsidR="001D031C" w:rsidRPr="00E450D6">
        <w:rPr>
          <w:sz w:val="20"/>
          <w:szCs w:val="20"/>
          <w:lang w:val="es-UY"/>
        </w:rPr>
        <w:t>dejó en libertad a</w:t>
      </w:r>
      <w:r w:rsidR="003A3FF8" w:rsidRPr="00E450D6">
        <w:rPr>
          <w:sz w:val="20"/>
          <w:szCs w:val="20"/>
          <w:lang w:val="es-UY"/>
        </w:rPr>
        <w:t xml:space="preserve"> Ramiro Alfonso Molina </w:t>
      </w:r>
      <w:r w:rsidR="006F1A5C" w:rsidRPr="00E450D6">
        <w:rPr>
          <w:sz w:val="20"/>
          <w:szCs w:val="20"/>
          <w:lang w:val="es-UY"/>
        </w:rPr>
        <w:t>Bal</w:t>
      </w:r>
      <w:r w:rsidR="00FC440C" w:rsidRPr="00E450D6">
        <w:rPr>
          <w:sz w:val="20"/>
          <w:szCs w:val="20"/>
          <w:lang w:val="es-UY"/>
        </w:rPr>
        <w:t>b</w:t>
      </w:r>
      <w:r w:rsidR="006F1A5C" w:rsidRPr="00E450D6">
        <w:rPr>
          <w:sz w:val="20"/>
          <w:szCs w:val="20"/>
          <w:lang w:val="es-UY"/>
        </w:rPr>
        <w:t>ín</w:t>
      </w:r>
      <w:r w:rsidR="001D031C" w:rsidRPr="00E450D6">
        <w:rPr>
          <w:sz w:val="20"/>
          <w:szCs w:val="20"/>
          <w:lang w:val="es-UY"/>
        </w:rPr>
        <w:t xml:space="preserve">, pero </w:t>
      </w:r>
      <w:r w:rsidR="002A030D" w:rsidRPr="00E450D6">
        <w:rPr>
          <w:sz w:val="20"/>
          <w:szCs w:val="20"/>
          <w:lang w:val="es-UY"/>
        </w:rPr>
        <w:t>retuvo a la señora Gloria Cecilia Véle</w:t>
      </w:r>
      <w:r w:rsidR="001D39E3" w:rsidRPr="00E450D6">
        <w:rPr>
          <w:sz w:val="20"/>
          <w:szCs w:val="20"/>
          <w:lang w:val="es-UY"/>
        </w:rPr>
        <w:t xml:space="preserve">z </w:t>
      </w:r>
      <w:r w:rsidR="001D031C" w:rsidRPr="00E450D6">
        <w:rPr>
          <w:sz w:val="20"/>
          <w:szCs w:val="20"/>
          <w:lang w:val="es-UY"/>
        </w:rPr>
        <w:t xml:space="preserve">exigiendo el pago de </w:t>
      </w:r>
      <w:r w:rsidR="006F1A5C" w:rsidRPr="00E450D6">
        <w:rPr>
          <w:sz w:val="20"/>
          <w:szCs w:val="20"/>
          <w:lang w:val="es-UY"/>
        </w:rPr>
        <w:t xml:space="preserve">una nueva suma de </w:t>
      </w:r>
      <w:r w:rsidR="00504DDA" w:rsidRPr="00E450D6">
        <w:rPr>
          <w:sz w:val="20"/>
          <w:szCs w:val="20"/>
          <w:lang w:val="es-UY"/>
        </w:rPr>
        <w:t>cerca de USD$. 150</w:t>
      </w:r>
      <w:r w:rsidR="00ED42E4" w:rsidRPr="00E450D6">
        <w:rPr>
          <w:sz w:val="20"/>
          <w:szCs w:val="20"/>
          <w:lang w:val="es-UY"/>
        </w:rPr>
        <w:t>,</w:t>
      </w:r>
      <w:r w:rsidR="00504DDA" w:rsidRPr="00E450D6">
        <w:rPr>
          <w:sz w:val="20"/>
          <w:szCs w:val="20"/>
          <w:lang w:val="es-UY"/>
        </w:rPr>
        <w:t xml:space="preserve">000 dólares más. Después de una ardua negociación y del pago de USD$. 50.000 dólares </w:t>
      </w:r>
      <w:r w:rsidR="001756C3" w:rsidRPr="00E450D6">
        <w:rPr>
          <w:sz w:val="20"/>
          <w:szCs w:val="20"/>
          <w:lang w:val="es-UY"/>
        </w:rPr>
        <w:t xml:space="preserve">liberaron a la señora Vélez </w:t>
      </w:r>
      <w:r w:rsidR="001B633C" w:rsidRPr="00E450D6">
        <w:rPr>
          <w:sz w:val="20"/>
          <w:szCs w:val="20"/>
          <w:lang w:val="es-UY"/>
        </w:rPr>
        <w:t xml:space="preserve">nueves meses después, </w:t>
      </w:r>
      <w:r w:rsidR="001756C3" w:rsidRPr="00E450D6">
        <w:rPr>
          <w:sz w:val="20"/>
          <w:szCs w:val="20"/>
          <w:lang w:val="es-UY"/>
        </w:rPr>
        <w:t>el 12 de noviembre de 2003</w:t>
      </w:r>
      <w:r w:rsidR="001B633C" w:rsidRPr="00E450D6">
        <w:rPr>
          <w:sz w:val="20"/>
          <w:szCs w:val="20"/>
          <w:lang w:val="es-UY"/>
        </w:rPr>
        <w:t xml:space="preserve"> </w:t>
      </w:r>
      <w:r w:rsidR="006F1A5C" w:rsidRPr="00E450D6">
        <w:rPr>
          <w:sz w:val="20"/>
          <w:szCs w:val="20"/>
          <w:lang w:val="es-UY"/>
        </w:rPr>
        <w:t xml:space="preserve">con la intervención </w:t>
      </w:r>
      <w:r w:rsidR="001B633C" w:rsidRPr="00E450D6">
        <w:rPr>
          <w:sz w:val="20"/>
          <w:szCs w:val="20"/>
          <w:lang w:val="es-UY"/>
        </w:rPr>
        <w:t>de la iglesia católica</w:t>
      </w:r>
      <w:r w:rsidR="00583C8F" w:rsidRPr="00E450D6">
        <w:rPr>
          <w:sz w:val="20"/>
          <w:szCs w:val="20"/>
          <w:lang w:val="es-UY"/>
        </w:rPr>
        <w:t>.</w:t>
      </w:r>
    </w:p>
    <w:p w14:paraId="403ED084" w14:textId="61B51A9A" w:rsidR="003E7991" w:rsidRPr="00E450D6" w:rsidRDefault="003E7991" w:rsidP="003E7991">
      <w:pPr>
        <w:pStyle w:val="ListParagraph"/>
        <w:numPr>
          <w:ilvl w:val="0"/>
          <w:numId w:val="0"/>
        </w:numPr>
        <w:ind w:left="720"/>
        <w:jc w:val="both"/>
        <w:rPr>
          <w:rFonts w:asciiTheme="majorHAnsi" w:hAnsiTheme="majorHAnsi"/>
          <w:bCs/>
          <w:i/>
          <w:iCs/>
          <w:sz w:val="20"/>
          <w:szCs w:val="20"/>
          <w:lang w:val="es-UY"/>
        </w:rPr>
      </w:pPr>
      <w:r w:rsidRPr="00E450D6">
        <w:rPr>
          <w:i/>
          <w:iCs/>
          <w:sz w:val="20"/>
          <w:szCs w:val="20"/>
          <w:lang w:val="es-UY"/>
        </w:rPr>
        <w:t xml:space="preserve">Homicidio del </w:t>
      </w:r>
      <w:r w:rsidR="00CF331B" w:rsidRPr="00E450D6">
        <w:rPr>
          <w:i/>
          <w:iCs/>
          <w:sz w:val="20"/>
          <w:szCs w:val="20"/>
          <w:lang w:val="es-UY"/>
        </w:rPr>
        <w:t>Sr.</w:t>
      </w:r>
      <w:r w:rsidRPr="00E450D6">
        <w:rPr>
          <w:i/>
          <w:iCs/>
          <w:sz w:val="20"/>
          <w:szCs w:val="20"/>
          <w:lang w:val="es-UY"/>
        </w:rPr>
        <w:t xml:space="preserve"> Ramiro Alfonso Molina Balbín</w:t>
      </w:r>
    </w:p>
    <w:p w14:paraId="0A32CCA1" w14:textId="6D603611" w:rsidR="00344D4F" w:rsidRPr="00E450D6" w:rsidRDefault="00031DC2" w:rsidP="00B9393A">
      <w:pPr>
        <w:pStyle w:val="ListParagraph"/>
        <w:numPr>
          <w:ilvl w:val="0"/>
          <w:numId w:val="61"/>
        </w:numPr>
        <w:ind w:left="0" w:firstLine="720"/>
        <w:jc w:val="both"/>
        <w:rPr>
          <w:rFonts w:asciiTheme="majorHAnsi" w:hAnsiTheme="majorHAnsi"/>
          <w:bCs/>
          <w:sz w:val="20"/>
          <w:szCs w:val="20"/>
          <w:lang w:val="es-UY"/>
        </w:rPr>
      </w:pPr>
      <w:r w:rsidRPr="00E450D6">
        <w:rPr>
          <w:rFonts w:asciiTheme="majorHAnsi" w:hAnsiTheme="majorHAnsi"/>
          <w:bCs/>
          <w:sz w:val="20"/>
          <w:szCs w:val="20"/>
          <w:lang w:val="es-UY"/>
        </w:rPr>
        <w:t>La parte peticionaria enfatiza que</w:t>
      </w:r>
      <w:r w:rsidR="00C73547" w:rsidRPr="00E450D6">
        <w:rPr>
          <w:rFonts w:asciiTheme="majorHAnsi" w:hAnsiTheme="majorHAnsi"/>
          <w:bCs/>
          <w:sz w:val="20"/>
          <w:szCs w:val="20"/>
          <w:lang w:val="es-UY"/>
        </w:rPr>
        <w:t xml:space="preserve"> después de la liberación de la señora Vélez, el Es</w:t>
      </w:r>
      <w:r w:rsidR="00407C96" w:rsidRPr="00E450D6">
        <w:rPr>
          <w:rFonts w:asciiTheme="majorHAnsi" w:hAnsiTheme="majorHAnsi"/>
          <w:bCs/>
          <w:sz w:val="20"/>
          <w:szCs w:val="20"/>
          <w:lang w:val="es-UY"/>
        </w:rPr>
        <w:t>t</w:t>
      </w:r>
      <w:r w:rsidR="00C73547" w:rsidRPr="00E450D6">
        <w:rPr>
          <w:rFonts w:asciiTheme="majorHAnsi" w:hAnsiTheme="majorHAnsi"/>
          <w:bCs/>
          <w:sz w:val="20"/>
          <w:szCs w:val="20"/>
          <w:lang w:val="es-UY"/>
        </w:rPr>
        <w:t xml:space="preserve">ado decidió retirar el servicio de escolta con el que contaba la familia Molina </w:t>
      </w:r>
      <w:r w:rsidR="00383DBF" w:rsidRPr="00E450D6">
        <w:rPr>
          <w:rFonts w:asciiTheme="majorHAnsi" w:hAnsiTheme="majorHAnsi"/>
          <w:bCs/>
          <w:sz w:val="20"/>
          <w:szCs w:val="20"/>
          <w:lang w:val="es-UY"/>
        </w:rPr>
        <w:t>Vélez</w:t>
      </w:r>
      <w:r w:rsidR="0016015F" w:rsidRPr="00E450D6">
        <w:rPr>
          <w:rFonts w:asciiTheme="majorHAnsi" w:hAnsiTheme="majorHAnsi"/>
          <w:bCs/>
          <w:sz w:val="20"/>
          <w:szCs w:val="20"/>
          <w:lang w:val="es-UY"/>
        </w:rPr>
        <w:t>;</w:t>
      </w:r>
      <w:r w:rsidR="0085030F" w:rsidRPr="00E450D6">
        <w:rPr>
          <w:rFonts w:asciiTheme="majorHAnsi" w:hAnsiTheme="majorHAnsi"/>
          <w:bCs/>
          <w:sz w:val="20"/>
          <w:szCs w:val="20"/>
          <w:lang w:val="es-UY"/>
        </w:rPr>
        <w:t xml:space="preserve"> y aunque en el marco de la investigación se logró la captura de varias personas identificadas en las transacciones realizadas por las presuntas víctimas, el riesgo permanecía porque </w:t>
      </w:r>
      <w:r w:rsidR="00EA12BC" w:rsidRPr="00E450D6">
        <w:rPr>
          <w:rFonts w:asciiTheme="majorHAnsi" w:hAnsiTheme="majorHAnsi"/>
          <w:bCs/>
          <w:sz w:val="20"/>
          <w:szCs w:val="20"/>
          <w:lang w:val="es-UY"/>
        </w:rPr>
        <w:t>aún había varios perpetradores sin capturar</w:t>
      </w:r>
      <w:r w:rsidR="002B480A" w:rsidRPr="00E450D6">
        <w:rPr>
          <w:rFonts w:asciiTheme="majorHAnsi" w:hAnsiTheme="majorHAnsi"/>
          <w:bCs/>
          <w:sz w:val="20"/>
          <w:szCs w:val="20"/>
          <w:lang w:val="es-UY"/>
        </w:rPr>
        <w:t xml:space="preserve"> y la colaboración del señor Molina Balbín había sido crucial para </w:t>
      </w:r>
      <w:r w:rsidR="00C610E9" w:rsidRPr="00E450D6">
        <w:rPr>
          <w:rFonts w:asciiTheme="majorHAnsi" w:hAnsiTheme="majorHAnsi"/>
          <w:bCs/>
          <w:sz w:val="20"/>
          <w:szCs w:val="20"/>
          <w:lang w:val="es-UY"/>
        </w:rPr>
        <w:t>investigar y capturar a los responsables.</w:t>
      </w:r>
      <w:r w:rsidR="00746E78" w:rsidRPr="00E450D6">
        <w:rPr>
          <w:rFonts w:asciiTheme="majorHAnsi" w:hAnsiTheme="majorHAnsi"/>
          <w:bCs/>
          <w:sz w:val="20"/>
          <w:szCs w:val="20"/>
          <w:lang w:val="es-UY"/>
        </w:rPr>
        <w:t xml:space="preserve"> </w:t>
      </w:r>
      <w:r w:rsidR="00B556FC" w:rsidRPr="00E450D6">
        <w:rPr>
          <w:rFonts w:asciiTheme="majorHAnsi" w:hAnsiTheme="majorHAnsi"/>
          <w:bCs/>
          <w:sz w:val="20"/>
          <w:szCs w:val="20"/>
          <w:lang w:val="es-UY"/>
        </w:rPr>
        <w:t xml:space="preserve">Ante </w:t>
      </w:r>
      <w:r w:rsidR="00AB2A35" w:rsidRPr="00E450D6">
        <w:rPr>
          <w:rFonts w:asciiTheme="majorHAnsi" w:hAnsiTheme="majorHAnsi"/>
          <w:bCs/>
          <w:sz w:val="20"/>
          <w:szCs w:val="20"/>
          <w:lang w:val="es-UY"/>
        </w:rPr>
        <w:t>el retiro</w:t>
      </w:r>
      <w:r w:rsidR="00B556FC" w:rsidRPr="00E450D6">
        <w:rPr>
          <w:rFonts w:asciiTheme="majorHAnsi" w:hAnsiTheme="majorHAnsi"/>
          <w:bCs/>
          <w:sz w:val="20"/>
          <w:szCs w:val="20"/>
          <w:lang w:val="es-UY"/>
        </w:rPr>
        <w:t xml:space="preserve"> del esquema de protección que les había otorgado la policía, el peticionario indica que </w:t>
      </w:r>
      <w:r w:rsidR="00A37013" w:rsidRPr="00E450D6">
        <w:rPr>
          <w:rFonts w:asciiTheme="majorHAnsi" w:hAnsiTheme="majorHAnsi"/>
          <w:bCs/>
          <w:sz w:val="20"/>
          <w:szCs w:val="20"/>
          <w:lang w:val="es-UY"/>
        </w:rPr>
        <w:t xml:space="preserve">el 27 de enero de 2005 solicitó </w:t>
      </w:r>
      <w:r w:rsidR="00F13F95" w:rsidRPr="00E450D6">
        <w:rPr>
          <w:rFonts w:asciiTheme="majorHAnsi" w:hAnsiTheme="majorHAnsi"/>
          <w:bCs/>
          <w:sz w:val="20"/>
          <w:szCs w:val="20"/>
          <w:lang w:val="es-UY"/>
        </w:rPr>
        <w:t xml:space="preserve">al Gaula </w:t>
      </w:r>
      <w:r w:rsidR="00CB23CD" w:rsidRPr="00E450D6">
        <w:rPr>
          <w:rFonts w:asciiTheme="majorHAnsi" w:hAnsiTheme="majorHAnsi"/>
          <w:bCs/>
          <w:sz w:val="20"/>
          <w:szCs w:val="20"/>
          <w:lang w:val="es-UY"/>
        </w:rPr>
        <w:t xml:space="preserve">la asignación del esquema por el riesgo que </w:t>
      </w:r>
      <w:r w:rsidR="008746E1" w:rsidRPr="00E450D6">
        <w:rPr>
          <w:rFonts w:asciiTheme="majorHAnsi" w:hAnsiTheme="majorHAnsi"/>
          <w:bCs/>
          <w:sz w:val="20"/>
          <w:szCs w:val="20"/>
          <w:lang w:val="es-UY"/>
        </w:rPr>
        <w:t>le correspondería</w:t>
      </w:r>
      <w:r w:rsidR="00CB23CD" w:rsidRPr="00E450D6">
        <w:rPr>
          <w:rFonts w:asciiTheme="majorHAnsi" w:hAnsiTheme="majorHAnsi"/>
          <w:bCs/>
          <w:sz w:val="20"/>
          <w:szCs w:val="20"/>
          <w:lang w:val="es-UY"/>
        </w:rPr>
        <w:t xml:space="preserve"> como colaborador de la justicia, pero </w:t>
      </w:r>
      <w:r w:rsidR="00011F09" w:rsidRPr="00E450D6">
        <w:rPr>
          <w:rFonts w:asciiTheme="majorHAnsi" w:hAnsiTheme="majorHAnsi"/>
          <w:bCs/>
          <w:sz w:val="20"/>
          <w:szCs w:val="20"/>
          <w:lang w:val="es-UY"/>
        </w:rPr>
        <w:t xml:space="preserve">dicha entidad nunca contestó </w:t>
      </w:r>
      <w:r w:rsidR="00367CE8" w:rsidRPr="00E450D6">
        <w:rPr>
          <w:rFonts w:asciiTheme="majorHAnsi" w:hAnsiTheme="majorHAnsi"/>
          <w:bCs/>
          <w:sz w:val="20"/>
          <w:szCs w:val="20"/>
          <w:lang w:val="es-UY"/>
        </w:rPr>
        <w:t>la solicitud</w:t>
      </w:r>
      <w:r w:rsidR="00011F09" w:rsidRPr="00E450D6">
        <w:rPr>
          <w:rFonts w:asciiTheme="majorHAnsi" w:hAnsiTheme="majorHAnsi"/>
          <w:bCs/>
          <w:sz w:val="20"/>
          <w:szCs w:val="20"/>
          <w:lang w:val="es-UY"/>
        </w:rPr>
        <w:t xml:space="preserve">. Por ello, la presunta víctima interpuso una acción de tutela </w:t>
      </w:r>
      <w:r w:rsidR="007E3B83" w:rsidRPr="00E450D6">
        <w:rPr>
          <w:rFonts w:asciiTheme="majorHAnsi" w:hAnsiTheme="majorHAnsi"/>
          <w:bCs/>
          <w:sz w:val="20"/>
          <w:szCs w:val="20"/>
          <w:lang w:val="es-UY"/>
        </w:rPr>
        <w:t xml:space="preserve">que </w:t>
      </w:r>
      <w:r w:rsidR="004150E2" w:rsidRPr="00E450D6">
        <w:rPr>
          <w:rFonts w:asciiTheme="majorHAnsi" w:hAnsiTheme="majorHAnsi"/>
          <w:bCs/>
          <w:sz w:val="20"/>
          <w:szCs w:val="20"/>
          <w:lang w:val="es-UY"/>
        </w:rPr>
        <w:t xml:space="preserve">derivó en que el 20 de febrero de 2004 la Policía Metropolitana autorizara </w:t>
      </w:r>
      <w:r w:rsidR="002167BF" w:rsidRPr="00E450D6">
        <w:rPr>
          <w:rFonts w:asciiTheme="majorHAnsi" w:hAnsiTheme="majorHAnsi"/>
          <w:bCs/>
          <w:sz w:val="20"/>
          <w:szCs w:val="20"/>
          <w:lang w:val="es-UY"/>
        </w:rPr>
        <w:t>la polarización del vehículo</w:t>
      </w:r>
      <w:r w:rsidR="009714A9" w:rsidRPr="00E450D6">
        <w:rPr>
          <w:rFonts w:asciiTheme="majorHAnsi" w:hAnsiTheme="majorHAnsi"/>
          <w:bCs/>
          <w:sz w:val="20"/>
          <w:szCs w:val="20"/>
          <w:lang w:val="es-UY"/>
        </w:rPr>
        <w:t xml:space="preserve"> de la presunta víctima</w:t>
      </w:r>
      <w:r w:rsidR="00081529" w:rsidRPr="00E450D6">
        <w:rPr>
          <w:rFonts w:asciiTheme="majorHAnsi" w:hAnsiTheme="majorHAnsi"/>
          <w:bCs/>
          <w:sz w:val="20"/>
          <w:szCs w:val="20"/>
          <w:lang w:val="es-UY"/>
        </w:rPr>
        <w:t xml:space="preserve"> como medida de protección</w:t>
      </w:r>
      <w:r w:rsidR="002167BF" w:rsidRPr="00E450D6">
        <w:rPr>
          <w:rFonts w:asciiTheme="majorHAnsi" w:hAnsiTheme="majorHAnsi"/>
          <w:bCs/>
          <w:sz w:val="20"/>
          <w:szCs w:val="20"/>
          <w:lang w:val="es-UY"/>
        </w:rPr>
        <w:t>.</w:t>
      </w:r>
      <w:r w:rsidR="009714A9" w:rsidRPr="00E450D6">
        <w:rPr>
          <w:rFonts w:asciiTheme="majorHAnsi" w:hAnsiTheme="majorHAnsi"/>
          <w:bCs/>
          <w:sz w:val="20"/>
          <w:szCs w:val="20"/>
          <w:lang w:val="es-UY"/>
        </w:rPr>
        <w:t xml:space="preserve"> El peticionario recalca que</w:t>
      </w:r>
      <w:r w:rsidR="00E1190B" w:rsidRPr="00E450D6">
        <w:rPr>
          <w:rFonts w:asciiTheme="majorHAnsi" w:hAnsiTheme="majorHAnsi"/>
          <w:bCs/>
          <w:sz w:val="20"/>
          <w:szCs w:val="20"/>
          <w:lang w:val="es-UY"/>
        </w:rPr>
        <w:t xml:space="preserve"> debido a la falta de protección del Gaula, el 8 de noviembre de 200</w:t>
      </w:r>
      <w:r w:rsidR="000D0207" w:rsidRPr="00E450D6">
        <w:rPr>
          <w:rFonts w:asciiTheme="majorHAnsi" w:hAnsiTheme="majorHAnsi"/>
          <w:bCs/>
          <w:sz w:val="20"/>
          <w:szCs w:val="20"/>
          <w:lang w:val="es-UY"/>
        </w:rPr>
        <w:t xml:space="preserve">5 sujetos desconocidos asesinaron al señor Ramiro Alfonso </w:t>
      </w:r>
      <w:r w:rsidR="003C259C" w:rsidRPr="00E450D6">
        <w:rPr>
          <w:rFonts w:asciiTheme="majorHAnsi" w:hAnsiTheme="majorHAnsi"/>
          <w:bCs/>
          <w:sz w:val="20"/>
          <w:szCs w:val="20"/>
          <w:lang w:val="es-UY"/>
        </w:rPr>
        <w:t>Molina Balbín cuando se acercaba a un estacionamiento donde tenía su vehículo.</w:t>
      </w:r>
    </w:p>
    <w:p w14:paraId="1C322426" w14:textId="7E604BC4" w:rsidR="00B32613" w:rsidRPr="00E450D6" w:rsidRDefault="00B32613" w:rsidP="00B32613">
      <w:pPr>
        <w:pStyle w:val="ListParagraph"/>
        <w:numPr>
          <w:ilvl w:val="0"/>
          <w:numId w:val="0"/>
        </w:numPr>
        <w:ind w:left="720"/>
        <w:jc w:val="both"/>
        <w:rPr>
          <w:rFonts w:asciiTheme="majorHAnsi" w:hAnsiTheme="majorHAnsi"/>
          <w:bCs/>
          <w:i/>
          <w:iCs/>
          <w:sz w:val="20"/>
          <w:szCs w:val="20"/>
          <w:lang w:val="pt-BR"/>
        </w:rPr>
      </w:pPr>
      <w:r w:rsidRPr="00E450D6">
        <w:rPr>
          <w:rFonts w:asciiTheme="majorHAnsi" w:hAnsiTheme="majorHAnsi"/>
          <w:bCs/>
          <w:i/>
          <w:iCs/>
          <w:sz w:val="20"/>
          <w:szCs w:val="20"/>
          <w:lang w:val="pt-BR"/>
        </w:rPr>
        <w:lastRenderedPageBreak/>
        <w:t>Procesos judicial promovidos a raíz del secuestro</w:t>
      </w:r>
    </w:p>
    <w:p w14:paraId="49F1F280" w14:textId="77777777" w:rsidR="00CA2D80" w:rsidRPr="00E450D6" w:rsidRDefault="008852F6" w:rsidP="00B9393A">
      <w:pPr>
        <w:pStyle w:val="ListParagraph"/>
        <w:numPr>
          <w:ilvl w:val="0"/>
          <w:numId w:val="61"/>
        </w:numPr>
        <w:ind w:left="0" w:firstLine="720"/>
        <w:jc w:val="both"/>
        <w:rPr>
          <w:rFonts w:asciiTheme="majorHAnsi" w:hAnsiTheme="majorHAnsi"/>
          <w:bCs/>
          <w:sz w:val="20"/>
          <w:szCs w:val="20"/>
          <w:lang w:val="es-CO"/>
        </w:rPr>
      </w:pPr>
      <w:r w:rsidRPr="00E450D6">
        <w:rPr>
          <w:rFonts w:asciiTheme="majorHAnsi" w:hAnsiTheme="majorHAnsi"/>
          <w:bCs/>
          <w:sz w:val="20"/>
          <w:szCs w:val="20"/>
          <w:lang w:val="es-UY"/>
        </w:rPr>
        <w:t>Sobre los procesos seguidos a raíz de estos hechos, la parte peticionaria reseña que la fiscalía adelantó una investigación por el secuestro del señor Molina Balbín</w:t>
      </w:r>
      <w:r w:rsidR="00A54124" w:rsidRPr="00E450D6">
        <w:rPr>
          <w:rFonts w:asciiTheme="majorHAnsi" w:hAnsiTheme="majorHAnsi"/>
          <w:bCs/>
          <w:sz w:val="20"/>
          <w:szCs w:val="20"/>
          <w:lang w:val="es-UY"/>
        </w:rPr>
        <w:t xml:space="preserve"> </w:t>
      </w:r>
      <w:r w:rsidR="001F0497" w:rsidRPr="00E450D6">
        <w:rPr>
          <w:rFonts w:asciiTheme="majorHAnsi" w:hAnsiTheme="majorHAnsi"/>
          <w:bCs/>
          <w:sz w:val="20"/>
          <w:szCs w:val="20"/>
          <w:lang w:val="es-UY"/>
        </w:rPr>
        <w:t>(</w:t>
      </w:r>
      <w:r w:rsidR="00A54124" w:rsidRPr="00E450D6">
        <w:rPr>
          <w:rFonts w:asciiTheme="majorHAnsi" w:hAnsiTheme="majorHAnsi"/>
          <w:bCs/>
          <w:sz w:val="20"/>
          <w:szCs w:val="20"/>
          <w:lang w:val="es-UY"/>
        </w:rPr>
        <w:t>tramitado bajo el número 610446</w:t>
      </w:r>
      <w:r w:rsidR="001F0497" w:rsidRPr="00E450D6">
        <w:rPr>
          <w:rFonts w:asciiTheme="majorHAnsi" w:hAnsiTheme="majorHAnsi"/>
          <w:bCs/>
          <w:sz w:val="20"/>
          <w:szCs w:val="20"/>
          <w:lang w:val="es-UY"/>
        </w:rPr>
        <w:t>)</w:t>
      </w:r>
      <w:r w:rsidR="00A54124" w:rsidRPr="00E450D6">
        <w:rPr>
          <w:rFonts w:asciiTheme="majorHAnsi" w:hAnsiTheme="majorHAnsi"/>
          <w:bCs/>
          <w:sz w:val="20"/>
          <w:szCs w:val="20"/>
          <w:lang w:val="es-UY"/>
        </w:rPr>
        <w:t xml:space="preserve"> en el cual se identificó y libró orden de captura contra el comandante del Frente 34 de las FARC, </w:t>
      </w:r>
      <w:r w:rsidR="00364E63" w:rsidRPr="00E450D6">
        <w:rPr>
          <w:rFonts w:asciiTheme="majorHAnsi" w:hAnsiTheme="majorHAnsi"/>
          <w:bCs/>
          <w:sz w:val="20"/>
          <w:szCs w:val="20"/>
          <w:lang w:val="es-UY"/>
        </w:rPr>
        <w:t>quien se acogió a sentencia anticipada y fue condenado a 420 meses de prisión.</w:t>
      </w:r>
      <w:r w:rsidR="00BB0531" w:rsidRPr="00E450D6">
        <w:rPr>
          <w:rFonts w:asciiTheme="majorHAnsi" w:hAnsiTheme="majorHAnsi"/>
          <w:bCs/>
          <w:sz w:val="20"/>
          <w:szCs w:val="20"/>
          <w:lang w:val="es-UY"/>
        </w:rPr>
        <w:t xml:space="preserve"> </w:t>
      </w:r>
      <w:r w:rsidR="0097765A" w:rsidRPr="00E450D6">
        <w:rPr>
          <w:rFonts w:asciiTheme="majorHAnsi" w:hAnsiTheme="majorHAnsi"/>
          <w:bCs/>
          <w:sz w:val="20"/>
          <w:szCs w:val="20"/>
          <w:lang w:val="es-UY"/>
        </w:rPr>
        <w:t>Tres</w:t>
      </w:r>
      <w:r w:rsidR="00BB0531" w:rsidRPr="00E450D6">
        <w:rPr>
          <w:rFonts w:asciiTheme="majorHAnsi" w:hAnsiTheme="majorHAnsi"/>
          <w:bCs/>
          <w:sz w:val="20"/>
          <w:szCs w:val="20"/>
          <w:lang w:val="es-UY"/>
        </w:rPr>
        <w:t xml:space="preserve"> agentes de la policía </w:t>
      </w:r>
      <w:r w:rsidR="0097765A" w:rsidRPr="00E450D6">
        <w:rPr>
          <w:rFonts w:asciiTheme="majorHAnsi" w:hAnsiTheme="majorHAnsi"/>
          <w:bCs/>
          <w:sz w:val="20"/>
          <w:szCs w:val="20"/>
          <w:lang w:val="es-UY"/>
        </w:rPr>
        <w:t xml:space="preserve">y cuatro civiles </w:t>
      </w:r>
      <w:r w:rsidR="00BB0531" w:rsidRPr="00E450D6">
        <w:rPr>
          <w:rFonts w:asciiTheme="majorHAnsi" w:hAnsiTheme="majorHAnsi"/>
          <w:bCs/>
          <w:sz w:val="20"/>
          <w:szCs w:val="20"/>
          <w:lang w:val="es-UY"/>
        </w:rPr>
        <w:t xml:space="preserve">fueron vinculados al proceso, </w:t>
      </w:r>
      <w:r w:rsidR="00DB3FC8" w:rsidRPr="00E450D6">
        <w:rPr>
          <w:rFonts w:asciiTheme="majorHAnsi" w:hAnsiTheme="majorHAnsi"/>
          <w:bCs/>
          <w:sz w:val="20"/>
          <w:szCs w:val="20"/>
          <w:lang w:val="es-UY"/>
        </w:rPr>
        <w:t>y el 1° de septiembre de 2006 fueron condenados a 30 y 32 años de prisión por el secuestro de la presunta víctima.</w:t>
      </w:r>
      <w:r w:rsidR="009E5B93" w:rsidRPr="00E450D6">
        <w:rPr>
          <w:rFonts w:asciiTheme="majorHAnsi" w:hAnsiTheme="majorHAnsi"/>
          <w:bCs/>
          <w:sz w:val="20"/>
          <w:szCs w:val="20"/>
          <w:lang w:val="es-CO"/>
        </w:rPr>
        <w:t xml:space="preserve"> También el Inspector Seis delegado Regional de la Policía Nacional abrió una investigación disciplinaria contra varios funcionarios de la institución por el secuestro del Sr. Molina Balbín, y el 1° de diciembre de 2005 declaró la responsabilidad de dos agentes de policía involucrados en los hechos y los destituyó del cargo </w:t>
      </w:r>
      <w:r w:rsidR="0032009B" w:rsidRPr="00E450D6">
        <w:rPr>
          <w:rFonts w:asciiTheme="majorHAnsi" w:hAnsiTheme="majorHAnsi"/>
          <w:bCs/>
          <w:sz w:val="20"/>
          <w:szCs w:val="20"/>
          <w:lang w:val="es-CO"/>
        </w:rPr>
        <w:t>y les</w:t>
      </w:r>
      <w:r w:rsidR="009E5B93" w:rsidRPr="00E450D6">
        <w:rPr>
          <w:rFonts w:asciiTheme="majorHAnsi" w:hAnsiTheme="majorHAnsi"/>
          <w:bCs/>
          <w:sz w:val="20"/>
          <w:szCs w:val="20"/>
          <w:lang w:val="es-CO"/>
        </w:rPr>
        <w:t xml:space="preserve"> impuso inhabilidad para ejercer cargos públicos durante cinco años.</w:t>
      </w:r>
    </w:p>
    <w:p w14:paraId="70C75A27" w14:textId="06DC3CA7" w:rsidR="009E5B93" w:rsidRPr="00E450D6" w:rsidRDefault="00A5710C" w:rsidP="00B9393A">
      <w:pPr>
        <w:pStyle w:val="ListParagraph"/>
        <w:numPr>
          <w:ilvl w:val="0"/>
          <w:numId w:val="61"/>
        </w:numPr>
        <w:ind w:left="0" w:firstLine="720"/>
        <w:jc w:val="both"/>
        <w:rPr>
          <w:rFonts w:asciiTheme="majorHAnsi" w:hAnsiTheme="majorHAnsi"/>
          <w:bCs/>
          <w:sz w:val="20"/>
          <w:szCs w:val="20"/>
          <w:lang w:val="es-CO"/>
        </w:rPr>
      </w:pPr>
      <w:r w:rsidRPr="00E450D6">
        <w:rPr>
          <w:rFonts w:asciiTheme="majorHAnsi" w:hAnsiTheme="majorHAnsi"/>
          <w:bCs/>
          <w:sz w:val="20"/>
          <w:szCs w:val="20"/>
          <w:lang w:val="es-UY"/>
        </w:rPr>
        <w:t xml:space="preserve"> </w:t>
      </w:r>
      <w:r w:rsidR="00CA2D80" w:rsidRPr="00E450D6">
        <w:rPr>
          <w:rFonts w:asciiTheme="majorHAnsi" w:hAnsiTheme="majorHAnsi"/>
          <w:bCs/>
          <w:sz w:val="20"/>
          <w:szCs w:val="20"/>
          <w:lang w:val="es-UY"/>
        </w:rPr>
        <w:t>Por otra parte, refiere que el 2 de marzo de 2005 la familia Molina Vélez demandó a la Nación ante la jurisdicción contencioso-administrativa por el secuestro del Sr. Molina Balbín. Indica que el 2 de marzo de 2005 el Tribunal Administrativo de Antioquia emitió un fallo desfavorable a los demandantes y éstos apelaron la decisión ante el Consejo de Estado</w:t>
      </w:r>
      <w:r w:rsidR="00566558" w:rsidRPr="00E450D6">
        <w:rPr>
          <w:rFonts w:asciiTheme="majorHAnsi" w:hAnsiTheme="majorHAnsi"/>
          <w:bCs/>
          <w:sz w:val="20"/>
          <w:szCs w:val="20"/>
          <w:lang w:val="es-UY"/>
        </w:rPr>
        <w:t>, pero no informa cómo culminó dicho proceso, ni cuáles fueron los fundamentos de la sentencia desestimatoria</w:t>
      </w:r>
      <w:r w:rsidR="00CA2D80" w:rsidRPr="00E450D6">
        <w:rPr>
          <w:rFonts w:asciiTheme="majorHAnsi" w:hAnsiTheme="majorHAnsi"/>
          <w:bCs/>
          <w:sz w:val="20"/>
          <w:szCs w:val="20"/>
          <w:lang w:val="es-UY"/>
        </w:rPr>
        <w:t>.</w:t>
      </w:r>
    </w:p>
    <w:p w14:paraId="0A9A61D6" w14:textId="179ABEAD" w:rsidR="00B32613" w:rsidRPr="00E450D6" w:rsidRDefault="00B32613" w:rsidP="00B32613">
      <w:pPr>
        <w:pStyle w:val="ListParagraph"/>
        <w:numPr>
          <w:ilvl w:val="0"/>
          <w:numId w:val="0"/>
        </w:numPr>
        <w:ind w:left="720"/>
        <w:jc w:val="both"/>
        <w:rPr>
          <w:rFonts w:asciiTheme="majorHAnsi" w:hAnsiTheme="majorHAnsi"/>
          <w:bCs/>
          <w:i/>
          <w:iCs/>
          <w:sz w:val="20"/>
          <w:szCs w:val="20"/>
          <w:lang w:val="es-CO"/>
        </w:rPr>
      </w:pPr>
      <w:r w:rsidRPr="00E450D6">
        <w:rPr>
          <w:rFonts w:asciiTheme="majorHAnsi" w:hAnsiTheme="majorHAnsi"/>
          <w:bCs/>
          <w:i/>
          <w:iCs/>
          <w:sz w:val="20"/>
          <w:szCs w:val="20"/>
          <w:lang w:val="es-CO"/>
        </w:rPr>
        <w:t>Procesos promovidos a raíz del homicidio del Sr. Molina Balbín</w:t>
      </w:r>
    </w:p>
    <w:p w14:paraId="1BCBC217" w14:textId="442EE18A" w:rsidR="005D0DA7" w:rsidRPr="00E450D6" w:rsidRDefault="001A2F39" w:rsidP="00B9393A">
      <w:pPr>
        <w:pStyle w:val="ListParagraph"/>
        <w:numPr>
          <w:ilvl w:val="0"/>
          <w:numId w:val="61"/>
        </w:numPr>
        <w:ind w:left="0" w:firstLine="720"/>
        <w:jc w:val="both"/>
        <w:rPr>
          <w:rFonts w:asciiTheme="majorHAnsi" w:hAnsiTheme="majorHAnsi"/>
          <w:bCs/>
          <w:sz w:val="20"/>
          <w:szCs w:val="20"/>
          <w:lang w:val="es-UY"/>
        </w:rPr>
      </w:pPr>
      <w:r w:rsidRPr="00E450D6">
        <w:rPr>
          <w:rFonts w:asciiTheme="majorHAnsi" w:hAnsiTheme="majorHAnsi"/>
          <w:bCs/>
          <w:sz w:val="20"/>
          <w:szCs w:val="20"/>
          <w:lang w:val="es-UY"/>
        </w:rPr>
        <w:t>Por otro lado, respecto del homicidio del Sr. Molina Balbín, e</w:t>
      </w:r>
      <w:r w:rsidR="0032009B" w:rsidRPr="00E450D6">
        <w:rPr>
          <w:rFonts w:asciiTheme="majorHAnsi" w:hAnsiTheme="majorHAnsi"/>
          <w:bCs/>
          <w:sz w:val="20"/>
          <w:szCs w:val="20"/>
          <w:lang w:val="es-UY"/>
        </w:rPr>
        <w:t xml:space="preserve">l peticionario </w:t>
      </w:r>
      <w:r w:rsidR="004872A8" w:rsidRPr="00E450D6">
        <w:rPr>
          <w:rFonts w:asciiTheme="majorHAnsi" w:hAnsiTheme="majorHAnsi"/>
          <w:bCs/>
          <w:sz w:val="20"/>
          <w:szCs w:val="20"/>
          <w:lang w:val="es-UY"/>
        </w:rPr>
        <w:t xml:space="preserve">indica </w:t>
      </w:r>
      <w:r w:rsidR="005D0DA7" w:rsidRPr="00E450D6">
        <w:rPr>
          <w:rFonts w:asciiTheme="majorHAnsi" w:hAnsiTheme="majorHAnsi"/>
          <w:bCs/>
          <w:sz w:val="20"/>
          <w:szCs w:val="20"/>
          <w:lang w:val="es-UY"/>
        </w:rPr>
        <w:t xml:space="preserve">que la investigación abierta </w:t>
      </w:r>
      <w:r w:rsidR="00417FC6" w:rsidRPr="00E450D6">
        <w:rPr>
          <w:rFonts w:asciiTheme="majorHAnsi" w:hAnsiTheme="majorHAnsi"/>
          <w:bCs/>
          <w:sz w:val="20"/>
          <w:szCs w:val="20"/>
          <w:lang w:val="es-UY"/>
        </w:rPr>
        <w:t xml:space="preserve">fue tramitada bajo el número de radicado </w:t>
      </w:r>
      <w:r w:rsidR="00D33E74" w:rsidRPr="00E450D6">
        <w:rPr>
          <w:rFonts w:asciiTheme="majorHAnsi" w:hAnsiTheme="majorHAnsi"/>
          <w:bCs/>
          <w:sz w:val="20"/>
          <w:szCs w:val="20"/>
          <w:lang w:val="es-UY"/>
        </w:rPr>
        <w:t xml:space="preserve">1008594 </w:t>
      </w:r>
      <w:r w:rsidR="00417FC6" w:rsidRPr="00E450D6">
        <w:rPr>
          <w:rFonts w:asciiTheme="majorHAnsi" w:hAnsiTheme="majorHAnsi"/>
          <w:bCs/>
          <w:sz w:val="20"/>
          <w:szCs w:val="20"/>
          <w:lang w:val="es-UY"/>
        </w:rPr>
        <w:t xml:space="preserve">de la </w:t>
      </w:r>
      <w:r w:rsidR="00D33E74" w:rsidRPr="00E450D6">
        <w:rPr>
          <w:rFonts w:asciiTheme="majorHAnsi" w:hAnsiTheme="majorHAnsi"/>
          <w:bCs/>
          <w:sz w:val="20"/>
          <w:szCs w:val="20"/>
          <w:lang w:val="es-UY"/>
        </w:rPr>
        <w:t>Unidad de Vida de la F</w:t>
      </w:r>
      <w:r w:rsidR="00417FC6" w:rsidRPr="00E450D6">
        <w:rPr>
          <w:rFonts w:asciiTheme="majorHAnsi" w:hAnsiTheme="majorHAnsi"/>
          <w:bCs/>
          <w:sz w:val="20"/>
          <w:szCs w:val="20"/>
          <w:lang w:val="es-UY"/>
        </w:rPr>
        <w:t xml:space="preserve">iscalía </w:t>
      </w:r>
      <w:r w:rsidR="00D33E74" w:rsidRPr="00E450D6">
        <w:rPr>
          <w:rFonts w:asciiTheme="majorHAnsi" w:hAnsiTheme="majorHAnsi"/>
          <w:bCs/>
          <w:sz w:val="20"/>
          <w:szCs w:val="20"/>
          <w:lang w:val="es-UY"/>
        </w:rPr>
        <w:t>de Medellín</w:t>
      </w:r>
      <w:r w:rsidR="00417FC6" w:rsidRPr="00E450D6">
        <w:rPr>
          <w:rFonts w:asciiTheme="majorHAnsi" w:hAnsiTheme="majorHAnsi"/>
          <w:bCs/>
          <w:sz w:val="20"/>
          <w:szCs w:val="20"/>
          <w:lang w:val="es-UY"/>
        </w:rPr>
        <w:t xml:space="preserve">, </w:t>
      </w:r>
      <w:r w:rsidR="00307319" w:rsidRPr="00E450D6">
        <w:rPr>
          <w:rFonts w:asciiTheme="majorHAnsi" w:hAnsiTheme="majorHAnsi"/>
          <w:bCs/>
          <w:sz w:val="20"/>
          <w:szCs w:val="20"/>
          <w:lang w:val="es-UY"/>
        </w:rPr>
        <w:t>pero fue cerrada el 27 de febrero de 2007 cuando quedó ejecutoriada una resolución inhibitoria proferida por dicha entidad.</w:t>
      </w:r>
      <w:r w:rsidR="00384EC7" w:rsidRPr="00E450D6">
        <w:rPr>
          <w:rFonts w:asciiTheme="majorHAnsi" w:hAnsiTheme="majorHAnsi"/>
          <w:bCs/>
          <w:sz w:val="20"/>
          <w:szCs w:val="20"/>
          <w:lang w:val="es-UY"/>
        </w:rPr>
        <w:t xml:space="preserve"> Con esta decisión, la parte peticionaria sostiene que el Estado </w:t>
      </w:r>
      <w:r w:rsidR="004D373F" w:rsidRPr="00E450D6">
        <w:rPr>
          <w:rFonts w:asciiTheme="majorHAnsi" w:hAnsiTheme="majorHAnsi"/>
          <w:bCs/>
          <w:sz w:val="20"/>
          <w:szCs w:val="20"/>
          <w:lang w:val="es-UY"/>
        </w:rPr>
        <w:t xml:space="preserve">tornó nugatorio los derechos a la verdad y a la justicia </w:t>
      </w:r>
      <w:r w:rsidR="009F0460" w:rsidRPr="00E450D6">
        <w:rPr>
          <w:rFonts w:asciiTheme="majorHAnsi" w:hAnsiTheme="majorHAnsi"/>
          <w:bCs/>
          <w:sz w:val="20"/>
          <w:szCs w:val="20"/>
          <w:lang w:val="es-UY"/>
        </w:rPr>
        <w:t>de l</w:t>
      </w:r>
      <w:r w:rsidR="00B90FA2" w:rsidRPr="00E450D6">
        <w:rPr>
          <w:rFonts w:asciiTheme="majorHAnsi" w:hAnsiTheme="majorHAnsi"/>
          <w:bCs/>
          <w:sz w:val="20"/>
          <w:szCs w:val="20"/>
          <w:lang w:val="es-UY"/>
        </w:rPr>
        <w:t>as presuntas víctimas</w:t>
      </w:r>
      <w:r w:rsidR="009F0460" w:rsidRPr="00E450D6">
        <w:rPr>
          <w:rFonts w:asciiTheme="majorHAnsi" w:hAnsiTheme="majorHAnsi"/>
          <w:bCs/>
          <w:sz w:val="20"/>
          <w:szCs w:val="20"/>
          <w:lang w:val="es-UY"/>
        </w:rPr>
        <w:t>.</w:t>
      </w:r>
    </w:p>
    <w:p w14:paraId="012A1E9C" w14:textId="6D8AFDA3" w:rsidR="00331209" w:rsidRPr="00E450D6" w:rsidRDefault="00B32C73" w:rsidP="00B9393A">
      <w:pPr>
        <w:pStyle w:val="ListParagraph"/>
        <w:numPr>
          <w:ilvl w:val="0"/>
          <w:numId w:val="61"/>
        </w:numPr>
        <w:ind w:left="0" w:firstLine="720"/>
        <w:jc w:val="both"/>
        <w:rPr>
          <w:rFonts w:asciiTheme="majorHAnsi" w:hAnsiTheme="majorHAnsi"/>
          <w:bCs/>
          <w:sz w:val="20"/>
          <w:szCs w:val="20"/>
          <w:lang w:val="es-UY"/>
        </w:rPr>
      </w:pPr>
      <w:r w:rsidRPr="00E450D6">
        <w:rPr>
          <w:rFonts w:asciiTheme="majorHAnsi" w:hAnsiTheme="majorHAnsi"/>
          <w:bCs/>
          <w:sz w:val="20"/>
          <w:szCs w:val="20"/>
          <w:lang w:val="es-UY"/>
        </w:rPr>
        <w:t>También promovieron una demanda de reparación direct</w:t>
      </w:r>
      <w:r w:rsidR="00BB6FA7" w:rsidRPr="00E450D6">
        <w:rPr>
          <w:rFonts w:asciiTheme="majorHAnsi" w:hAnsiTheme="majorHAnsi"/>
          <w:bCs/>
          <w:sz w:val="20"/>
          <w:szCs w:val="20"/>
          <w:lang w:val="es-UY"/>
        </w:rPr>
        <w:t>a</w:t>
      </w:r>
      <w:r w:rsidRPr="00E450D6">
        <w:rPr>
          <w:rFonts w:asciiTheme="majorHAnsi" w:hAnsiTheme="majorHAnsi"/>
          <w:bCs/>
          <w:sz w:val="20"/>
          <w:szCs w:val="20"/>
          <w:lang w:val="es-UY"/>
        </w:rPr>
        <w:t xml:space="preserve"> por el homicidio de la presunta víctima el 8 de noviembre de 2005</w:t>
      </w:r>
      <w:r w:rsidR="00BF450F" w:rsidRPr="00E450D6">
        <w:rPr>
          <w:rFonts w:asciiTheme="majorHAnsi" w:hAnsiTheme="majorHAnsi"/>
          <w:bCs/>
          <w:sz w:val="20"/>
          <w:szCs w:val="20"/>
          <w:lang w:val="es-UY"/>
        </w:rPr>
        <w:t>.</w:t>
      </w:r>
      <w:r w:rsidR="00B21BAE" w:rsidRPr="00E450D6">
        <w:rPr>
          <w:rFonts w:asciiTheme="majorHAnsi" w:hAnsiTheme="majorHAnsi"/>
          <w:bCs/>
          <w:sz w:val="20"/>
          <w:szCs w:val="20"/>
          <w:lang w:val="es-UY"/>
        </w:rPr>
        <w:t xml:space="preserve"> </w:t>
      </w:r>
      <w:r w:rsidR="00BF450F" w:rsidRPr="00E450D6">
        <w:rPr>
          <w:rFonts w:asciiTheme="majorHAnsi" w:hAnsiTheme="majorHAnsi"/>
          <w:bCs/>
          <w:sz w:val="20"/>
          <w:szCs w:val="20"/>
          <w:lang w:val="es-UY"/>
        </w:rPr>
        <w:t xml:space="preserve">Relata que </w:t>
      </w:r>
      <w:r w:rsidR="00B21BAE" w:rsidRPr="00E450D6">
        <w:rPr>
          <w:rFonts w:asciiTheme="majorHAnsi" w:hAnsiTheme="majorHAnsi"/>
          <w:bCs/>
          <w:sz w:val="20"/>
          <w:szCs w:val="20"/>
          <w:lang w:val="es-UY"/>
        </w:rPr>
        <w:t>el 11 de noviembre el Tribunal Administrativo de Antioquia profirió una sentencia negando sus pretensiones en primera instancia</w:t>
      </w:r>
      <w:r w:rsidRPr="00E450D6">
        <w:rPr>
          <w:rFonts w:asciiTheme="majorHAnsi" w:hAnsiTheme="majorHAnsi"/>
          <w:bCs/>
          <w:sz w:val="20"/>
          <w:szCs w:val="20"/>
          <w:lang w:val="es-UY"/>
        </w:rPr>
        <w:t>.</w:t>
      </w:r>
      <w:r w:rsidR="00B21BAE" w:rsidRPr="00E450D6">
        <w:rPr>
          <w:rFonts w:asciiTheme="majorHAnsi" w:hAnsiTheme="majorHAnsi"/>
          <w:bCs/>
          <w:sz w:val="20"/>
          <w:szCs w:val="20"/>
          <w:lang w:val="es-UY"/>
        </w:rPr>
        <w:t xml:space="preserve"> No obstante, </w:t>
      </w:r>
      <w:r w:rsidR="002F0023" w:rsidRPr="00E450D6">
        <w:rPr>
          <w:rFonts w:asciiTheme="majorHAnsi" w:hAnsiTheme="majorHAnsi"/>
          <w:bCs/>
          <w:sz w:val="20"/>
          <w:szCs w:val="20"/>
          <w:lang w:val="es-UY"/>
        </w:rPr>
        <w:t>e</w:t>
      </w:r>
      <w:r w:rsidR="009C3604" w:rsidRPr="00E450D6">
        <w:rPr>
          <w:rFonts w:asciiTheme="majorHAnsi" w:hAnsiTheme="majorHAnsi"/>
          <w:bCs/>
          <w:sz w:val="20"/>
          <w:szCs w:val="20"/>
          <w:lang w:val="es-UY"/>
        </w:rPr>
        <w:t xml:space="preserve">l 6 de agosto de 2018 el Consejo de Estado revocó dicho fallo, y condenó </w:t>
      </w:r>
      <w:r w:rsidR="005546C2" w:rsidRPr="00E450D6">
        <w:rPr>
          <w:rFonts w:asciiTheme="majorHAnsi" w:hAnsiTheme="majorHAnsi"/>
          <w:bCs/>
          <w:sz w:val="20"/>
          <w:szCs w:val="20"/>
          <w:lang w:val="es-UY"/>
        </w:rPr>
        <w:t>el Estado</w:t>
      </w:r>
      <w:r w:rsidR="009C3604" w:rsidRPr="00E450D6">
        <w:rPr>
          <w:rFonts w:asciiTheme="majorHAnsi" w:hAnsiTheme="majorHAnsi"/>
          <w:bCs/>
          <w:sz w:val="20"/>
          <w:szCs w:val="20"/>
          <w:lang w:val="es-UY"/>
        </w:rPr>
        <w:t xml:space="preserve"> por la falta de prevención en el asesinato del Sr. Molina Balbín</w:t>
      </w:r>
      <w:r w:rsidR="00E21DEB" w:rsidRPr="00E450D6">
        <w:rPr>
          <w:rFonts w:asciiTheme="majorHAnsi" w:hAnsiTheme="majorHAnsi"/>
          <w:bCs/>
          <w:sz w:val="20"/>
          <w:szCs w:val="20"/>
          <w:lang w:val="es-UY"/>
        </w:rPr>
        <w:t>.</w:t>
      </w:r>
      <w:r w:rsidR="00BE3DC3" w:rsidRPr="00E450D6">
        <w:rPr>
          <w:rFonts w:asciiTheme="majorHAnsi" w:hAnsiTheme="majorHAnsi"/>
          <w:bCs/>
          <w:sz w:val="20"/>
          <w:szCs w:val="20"/>
          <w:lang w:val="es-UY"/>
        </w:rPr>
        <w:t xml:space="preserve"> Sin embargo, el peticionario </w:t>
      </w:r>
      <w:r w:rsidR="00697157" w:rsidRPr="00E450D6">
        <w:rPr>
          <w:rFonts w:asciiTheme="majorHAnsi" w:hAnsiTheme="majorHAnsi"/>
          <w:bCs/>
          <w:sz w:val="20"/>
          <w:szCs w:val="20"/>
          <w:lang w:val="es-UY"/>
        </w:rPr>
        <w:t>considera</w:t>
      </w:r>
      <w:r w:rsidR="00BE3DC3" w:rsidRPr="00E450D6">
        <w:rPr>
          <w:rFonts w:asciiTheme="majorHAnsi" w:hAnsiTheme="majorHAnsi"/>
          <w:bCs/>
          <w:sz w:val="20"/>
          <w:szCs w:val="20"/>
          <w:lang w:val="es-UY"/>
        </w:rPr>
        <w:t xml:space="preserve"> que la sentencia no ofreció medidas de reparación integral a la familia, dado que no ordenó compulsar copias para que se investigaran a los funcionarios responsables de la negligencia en la falta de respuesta y de ejecución de estudios de riesgo a la familia</w:t>
      </w:r>
      <w:r w:rsidR="00C15408" w:rsidRPr="00E450D6">
        <w:rPr>
          <w:rFonts w:asciiTheme="majorHAnsi" w:hAnsiTheme="majorHAnsi"/>
          <w:bCs/>
          <w:sz w:val="20"/>
          <w:szCs w:val="20"/>
          <w:lang w:val="es-UY"/>
        </w:rPr>
        <w:t>.</w:t>
      </w:r>
    </w:p>
    <w:p w14:paraId="142267EB" w14:textId="44B9931B" w:rsidR="00890DA0" w:rsidRPr="00E450D6" w:rsidRDefault="00125980" w:rsidP="00B9393A">
      <w:pPr>
        <w:pStyle w:val="ListParagraph"/>
        <w:numPr>
          <w:ilvl w:val="0"/>
          <w:numId w:val="0"/>
        </w:numPr>
        <w:ind w:firstLine="720"/>
        <w:jc w:val="both"/>
        <w:rPr>
          <w:rFonts w:asciiTheme="majorHAnsi" w:hAnsiTheme="majorHAnsi"/>
          <w:b/>
          <w:bCs/>
          <w:sz w:val="20"/>
          <w:szCs w:val="20"/>
          <w:lang w:val="es-UY"/>
        </w:rPr>
      </w:pPr>
      <w:r w:rsidRPr="00E450D6">
        <w:rPr>
          <w:b/>
          <w:bCs/>
          <w:sz w:val="20"/>
          <w:szCs w:val="20"/>
          <w:lang w:val="es-AR"/>
        </w:rPr>
        <w:t xml:space="preserve">El </w:t>
      </w:r>
      <w:r w:rsidR="00890DA0" w:rsidRPr="00E450D6">
        <w:rPr>
          <w:b/>
          <w:bCs/>
          <w:sz w:val="20"/>
          <w:szCs w:val="20"/>
          <w:lang w:val="es-AR"/>
        </w:rPr>
        <w:t>Estado</w:t>
      </w:r>
      <w:r w:rsidRPr="00E450D6">
        <w:rPr>
          <w:b/>
          <w:bCs/>
          <w:sz w:val="20"/>
          <w:szCs w:val="20"/>
          <w:lang w:val="es-AR"/>
        </w:rPr>
        <w:t xml:space="preserve"> </w:t>
      </w:r>
      <w:r w:rsidR="007B64CF" w:rsidRPr="00E450D6">
        <w:rPr>
          <w:b/>
          <w:bCs/>
          <w:sz w:val="20"/>
          <w:szCs w:val="20"/>
          <w:lang w:val="es-AR"/>
        </w:rPr>
        <w:t>colombiano</w:t>
      </w:r>
    </w:p>
    <w:p w14:paraId="68A417B2" w14:textId="25DEA3EC" w:rsidR="00B93D7F" w:rsidRPr="00E450D6" w:rsidRDefault="00B93D7F" w:rsidP="00B9393A">
      <w:pPr>
        <w:pStyle w:val="ListParagraph"/>
        <w:numPr>
          <w:ilvl w:val="0"/>
          <w:numId w:val="61"/>
        </w:numPr>
        <w:ind w:left="0" w:firstLine="720"/>
        <w:jc w:val="both"/>
        <w:rPr>
          <w:rFonts w:asciiTheme="majorHAnsi" w:hAnsiTheme="majorHAnsi"/>
          <w:bCs/>
          <w:sz w:val="20"/>
          <w:szCs w:val="20"/>
          <w:lang w:val="es-UY"/>
        </w:rPr>
      </w:pPr>
      <w:r w:rsidRPr="00E450D6">
        <w:rPr>
          <w:sz w:val="20"/>
          <w:szCs w:val="20"/>
          <w:lang w:val="es-AR"/>
        </w:rPr>
        <w:t>Po</w:t>
      </w:r>
      <w:r w:rsidR="007A7F1A" w:rsidRPr="00E450D6">
        <w:rPr>
          <w:sz w:val="20"/>
          <w:szCs w:val="20"/>
          <w:lang w:val="es-AR"/>
        </w:rPr>
        <w:t xml:space="preserve">r su parte, </w:t>
      </w:r>
      <w:r w:rsidRPr="00E450D6">
        <w:rPr>
          <w:sz w:val="20"/>
          <w:szCs w:val="20"/>
          <w:lang w:val="es-AR"/>
        </w:rPr>
        <w:t>el Es</w:t>
      </w:r>
      <w:r w:rsidR="003F5154" w:rsidRPr="00E450D6">
        <w:rPr>
          <w:sz w:val="20"/>
          <w:szCs w:val="20"/>
          <w:lang w:val="es-AR"/>
        </w:rPr>
        <w:t xml:space="preserve">tado </w:t>
      </w:r>
      <w:r w:rsidR="00A13E21" w:rsidRPr="00E450D6">
        <w:rPr>
          <w:sz w:val="20"/>
          <w:szCs w:val="20"/>
          <w:lang w:val="es-AR"/>
        </w:rPr>
        <w:t xml:space="preserve">presenta sus observaciones </w:t>
      </w:r>
      <w:r w:rsidR="00B7738D" w:rsidRPr="00E450D6">
        <w:rPr>
          <w:sz w:val="20"/>
          <w:szCs w:val="20"/>
          <w:lang w:val="es-AR"/>
        </w:rPr>
        <w:t xml:space="preserve">únicamente frente al asesinato del Sr. Molina Balbín y </w:t>
      </w:r>
      <w:r w:rsidR="006C0ECF" w:rsidRPr="00E450D6">
        <w:rPr>
          <w:sz w:val="20"/>
          <w:szCs w:val="20"/>
          <w:lang w:val="es-AR"/>
        </w:rPr>
        <w:t>re</w:t>
      </w:r>
      <w:r w:rsidR="007A7F1A" w:rsidRPr="00E450D6">
        <w:rPr>
          <w:sz w:val="20"/>
          <w:szCs w:val="20"/>
          <w:lang w:val="es-AR"/>
        </w:rPr>
        <w:t>plica que la presente petición es inadmisible</w:t>
      </w:r>
      <w:r w:rsidR="00467DAF" w:rsidRPr="00E450D6">
        <w:rPr>
          <w:sz w:val="20"/>
          <w:szCs w:val="20"/>
          <w:lang w:val="es-AR"/>
        </w:rPr>
        <w:t xml:space="preserve"> por</w:t>
      </w:r>
      <w:r w:rsidR="00410970" w:rsidRPr="00E450D6">
        <w:rPr>
          <w:sz w:val="20"/>
          <w:szCs w:val="20"/>
          <w:lang w:val="es-AR"/>
        </w:rPr>
        <w:t xml:space="preserve"> extempor</w:t>
      </w:r>
      <w:r w:rsidR="00B7738D" w:rsidRPr="00E450D6">
        <w:rPr>
          <w:sz w:val="20"/>
          <w:szCs w:val="20"/>
          <w:lang w:val="es-AR"/>
        </w:rPr>
        <w:t>aneidad</w:t>
      </w:r>
      <w:r w:rsidR="00410970" w:rsidRPr="00E450D6">
        <w:rPr>
          <w:sz w:val="20"/>
          <w:szCs w:val="20"/>
          <w:lang w:val="es-AR"/>
        </w:rPr>
        <w:t xml:space="preserve">, ya que excede el plazo de seis meses </w:t>
      </w:r>
      <w:r w:rsidR="006555CB" w:rsidRPr="00E450D6">
        <w:rPr>
          <w:sz w:val="20"/>
          <w:szCs w:val="20"/>
          <w:lang w:val="es-AR"/>
        </w:rPr>
        <w:t xml:space="preserve">establecido en el </w:t>
      </w:r>
      <w:r w:rsidR="00467DAF" w:rsidRPr="00E450D6">
        <w:rPr>
          <w:sz w:val="20"/>
          <w:szCs w:val="20"/>
          <w:lang w:val="es-AR"/>
        </w:rPr>
        <w:t>artículo 46.1.b) de la Convención Americana</w:t>
      </w:r>
      <w:r w:rsidR="006555CB" w:rsidRPr="00E450D6">
        <w:rPr>
          <w:sz w:val="20"/>
          <w:szCs w:val="20"/>
          <w:lang w:val="es-AR"/>
        </w:rPr>
        <w:t xml:space="preserve"> para la presentación de peticiones</w:t>
      </w:r>
      <w:r w:rsidR="003F5154" w:rsidRPr="00E450D6">
        <w:rPr>
          <w:sz w:val="20"/>
          <w:szCs w:val="20"/>
          <w:lang w:val="es-AR"/>
        </w:rPr>
        <w:t>.</w:t>
      </w:r>
      <w:r w:rsidR="00410970" w:rsidRPr="00E450D6">
        <w:rPr>
          <w:sz w:val="20"/>
          <w:szCs w:val="20"/>
          <w:lang w:val="es-AR"/>
        </w:rPr>
        <w:t xml:space="preserve"> De </w:t>
      </w:r>
      <w:r w:rsidR="00FB029A" w:rsidRPr="00E450D6">
        <w:rPr>
          <w:sz w:val="20"/>
          <w:szCs w:val="20"/>
          <w:lang w:val="es-AR"/>
        </w:rPr>
        <w:t>igual forma</w:t>
      </w:r>
      <w:r w:rsidR="00410970" w:rsidRPr="00E450D6">
        <w:rPr>
          <w:sz w:val="20"/>
          <w:szCs w:val="20"/>
          <w:lang w:val="es-AR"/>
        </w:rPr>
        <w:t xml:space="preserve"> alega la falta de agotamiento de los recursos internos</w:t>
      </w:r>
      <w:r w:rsidR="001255A4" w:rsidRPr="00E450D6">
        <w:rPr>
          <w:sz w:val="20"/>
          <w:szCs w:val="20"/>
          <w:lang w:val="es-AR"/>
        </w:rPr>
        <w:t>,</w:t>
      </w:r>
      <w:r w:rsidR="00410970" w:rsidRPr="00E450D6">
        <w:rPr>
          <w:sz w:val="20"/>
          <w:szCs w:val="20"/>
          <w:lang w:val="es-AR"/>
        </w:rPr>
        <w:t xml:space="preserve"> y la configuración de la denominada ‘doctrina de la cuarta instancia internacional’ en el presente asunto.</w:t>
      </w:r>
    </w:p>
    <w:p w14:paraId="1E3010A8" w14:textId="124F15E1" w:rsidR="007A7F1A" w:rsidRPr="00E450D6" w:rsidRDefault="00BA3907" w:rsidP="00B9393A">
      <w:pPr>
        <w:pStyle w:val="ListParagraph"/>
        <w:numPr>
          <w:ilvl w:val="0"/>
          <w:numId w:val="61"/>
        </w:numPr>
        <w:ind w:left="0" w:firstLine="720"/>
        <w:jc w:val="both"/>
        <w:rPr>
          <w:rFonts w:asciiTheme="majorHAnsi" w:hAnsiTheme="majorHAnsi"/>
          <w:bCs/>
          <w:sz w:val="20"/>
          <w:szCs w:val="20"/>
          <w:lang w:val="es-UY"/>
        </w:rPr>
      </w:pPr>
      <w:r w:rsidRPr="00E450D6">
        <w:rPr>
          <w:sz w:val="20"/>
          <w:szCs w:val="20"/>
          <w:lang w:val="es-AR"/>
        </w:rPr>
        <w:t xml:space="preserve">En cuanto a los hechos denunciados, </w:t>
      </w:r>
      <w:r w:rsidR="009A48B8" w:rsidRPr="00E450D6">
        <w:rPr>
          <w:sz w:val="20"/>
          <w:szCs w:val="20"/>
          <w:lang w:val="es-AR"/>
        </w:rPr>
        <w:t>el Estado agrega que la fiscalía inició la investigación por el homicidio del Sr. Molina Balbín el 8 de noviembre de 2005</w:t>
      </w:r>
      <w:r w:rsidR="006D6503" w:rsidRPr="00E450D6">
        <w:rPr>
          <w:sz w:val="20"/>
          <w:szCs w:val="20"/>
          <w:lang w:val="es-AR"/>
        </w:rPr>
        <w:t xml:space="preserve">, </w:t>
      </w:r>
      <w:r w:rsidR="0095096A" w:rsidRPr="00E450D6">
        <w:rPr>
          <w:sz w:val="20"/>
          <w:szCs w:val="20"/>
          <w:lang w:val="es-AR"/>
        </w:rPr>
        <w:t xml:space="preserve">dentro de la </w:t>
      </w:r>
      <w:r w:rsidR="001C1D64" w:rsidRPr="00E450D6">
        <w:rPr>
          <w:sz w:val="20"/>
          <w:szCs w:val="20"/>
          <w:lang w:val="es-AR"/>
        </w:rPr>
        <w:t>cual,</w:t>
      </w:r>
      <w:r w:rsidR="0095096A" w:rsidRPr="00E450D6">
        <w:rPr>
          <w:sz w:val="20"/>
          <w:szCs w:val="20"/>
          <w:lang w:val="es-AR"/>
        </w:rPr>
        <w:t xml:space="preserve"> recibió el testimonio de </w:t>
      </w:r>
      <w:r w:rsidR="00FF33E6" w:rsidRPr="00E450D6">
        <w:rPr>
          <w:sz w:val="20"/>
          <w:szCs w:val="20"/>
          <w:lang w:val="es-AR"/>
        </w:rPr>
        <w:t>diez</w:t>
      </w:r>
      <w:r w:rsidR="0095096A" w:rsidRPr="00E450D6">
        <w:rPr>
          <w:sz w:val="20"/>
          <w:szCs w:val="20"/>
          <w:lang w:val="es-AR"/>
        </w:rPr>
        <w:t xml:space="preserve"> personas y vinculó a </w:t>
      </w:r>
      <w:r w:rsidR="003D60C9" w:rsidRPr="00E450D6">
        <w:rPr>
          <w:sz w:val="20"/>
          <w:szCs w:val="20"/>
          <w:lang w:val="es-AR"/>
        </w:rPr>
        <w:t>cuatro mediante versión libre.</w:t>
      </w:r>
      <w:r w:rsidR="00C62F61" w:rsidRPr="00E450D6">
        <w:rPr>
          <w:sz w:val="20"/>
          <w:szCs w:val="20"/>
          <w:lang w:val="es-AR"/>
        </w:rPr>
        <w:t xml:space="preserve"> Sin embargo, </w:t>
      </w:r>
      <w:r w:rsidR="00C717C7" w:rsidRPr="00E450D6">
        <w:rPr>
          <w:sz w:val="20"/>
          <w:szCs w:val="20"/>
          <w:lang w:val="es-AR"/>
        </w:rPr>
        <w:t>al no hallar</w:t>
      </w:r>
      <w:r w:rsidR="00C62F61" w:rsidRPr="00E450D6">
        <w:rPr>
          <w:sz w:val="20"/>
          <w:szCs w:val="20"/>
          <w:lang w:val="es-AR"/>
        </w:rPr>
        <w:t xml:space="preserve"> </w:t>
      </w:r>
      <w:r w:rsidR="001945DB" w:rsidRPr="00E450D6">
        <w:rPr>
          <w:sz w:val="20"/>
          <w:szCs w:val="20"/>
          <w:lang w:val="es-AR"/>
        </w:rPr>
        <w:t xml:space="preserve">graves </w:t>
      </w:r>
      <w:r w:rsidR="00C62F61" w:rsidRPr="00E450D6">
        <w:rPr>
          <w:sz w:val="20"/>
          <w:szCs w:val="20"/>
          <w:lang w:val="es-AR"/>
        </w:rPr>
        <w:t xml:space="preserve">indicios </w:t>
      </w:r>
      <w:r w:rsidR="001945DB" w:rsidRPr="00E450D6">
        <w:rPr>
          <w:sz w:val="20"/>
          <w:szCs w:val="20"/>
          <w:lang w:val="es-AR"/>
        </w:rPr>
        <w:t xml:space="preserve">de autoría profirió resolución inhibitoria </w:t>
      </w:r>
      <w:r w:rsidR="00490D5B" w:rsidRPr="00E450D6">
        <w:rPr>
          <w:sz w:val="20"/>
          <w:szCs w:val="20"/>
          <w:lang w:val="es-AR"/>
        </w:rPr>
        <w:t>el 14 de febrero de 2007, pues</w:t>
      </w:r>
      <w:r w:rsidR="00E72040" w:rsidRPr="00E450D6">
        <w:rPr>
          <w:sz w:val="20"/>
          <w:szCs w:val="20"/>
          <w:lang w:val="es-AR"/>
        </w:rPr>
        <w:t xml:space="preserve"> no </w:t>
      </w:r>
      <w:r w:rsidR="00A62733" w:rsidRPr="00E450D6">
        <w:rPr>
          <w:sz w:val="20"/>
          <w:szCs w:val="20"/>
          <w:lang w:val="es-AR"/>
        </w:rPr>
        <w:t xml:space="preserve">fue posible </w:t>
      </w:r>
      <w:r w:rsidR="00E72040" w:rsidRPr="00E450D6">
        <w:rPr>
          <w:sz w:val="20"/>
          <w:szCs w:val="20"/>
          <w:lang w:val="es-AR"/>
        </w:rPr>
        <w:t>identificar a los responsables.</w:t>
      </w:r>
      <w:r w:rsidR="00E14862" w:rsidRPr="00E450D6">
        <w:rPr>
          <w:sz w:val="20"/>
          <w:szCs w:val="20"/>
          <w:lang w:val="es-AR"/>
        </w:rPr>
        <w:t xml:space="preserve"> Por otro lado, </w:t>
      </w:r>
      <w:r w:rsidR="00D512C3" w:rsidRPr="00E450D6">
        <w:rPr>
          <w:sz w:val="20"/>
          <w:szCs w:val="20"/>
          <w:lang w:val="es-AR"/>
        </w:rPr>
        <w:t xml:space="preserve">señala que, en el proceso contencioso-administrativo, las </w:t>
      </w:r>
      <w:r w:rsidR="004902BE" w:rsidRPr="00E450D6">
        <w:rPr>
          <w:sz w:val="20"/>
          <w:szCs w:val="20"/>
          <w:lang w:val="es-AR"/>
        </w:rPr>
        <w:t xml:space="preserve">pretensiones </w:t>
      </w:r>
      <w:r w:rsidR="00D512C3" w:rsidRPr="00E450D6">
        <w:rPr>
          <w:sz w:val="20"/>
          <w:szCs w:val="20"/>
          <w:lang w:val="es-AR"/>
        </w:rPr>
        <w:t xml:space="preserve">de las presuntas víctimas de indemnización </w:t>
      </w:r>
      <w:r w:rsidR="004902BE" w:rsidRPr="00E450D6">
        <w:rPr>
          <w:sz w:val="20"/>
          <w:szCs w:val="20"/>
          <w:lang w:val="es-AR"/>
        </w:rPr>
        <w:t>fueron denegadas en primera instancia el 11 de noviembre de 2011 y concedidas en segunda instancia el 19 de julio de 2018 por el Consejo</w:t>
      </w:r>
      <w:r w:rsidR="008A64A5" w:rsidRPr="00E450D6">
        <w:rPr>
          <w:sz w:val="20"/>
          <w:szCs w:val="20"/>
          <w:lang w:val="es-AR"/>
        </w:rPr>
        <w:t xml:space="preserve"> </w:t>
      </w:r>
      <w:r w:rsidR="004902BE" w:rsidRPr="00E450D6">
        <w:rPr>
          <w:sz w:val="20"/>
          <w:szCs w:val="20"/>
          <w:lang w:val="es-AR"/>
        </w:rPr>
        <w:t>de Estado.</w:t>
      </w:r>
    </w:p>
    <w:p w14:paraId="37374B78" w14:textId="38275447" w:rsidR="00DE2C08" w:rsidRPr="00E450D6" w:rsidRDefault="00596348" w:rsidP="00B9393A">
      <w:pPr>
        <w:pStyle w:val="ListParagraph"/>
        <w:numPr>
          <w:ilvl w:val="0"/>
          <w:numId w:val="61"/>
        </w:numPr>
        <w:ind w:left="0" w:firstLine="720"/>
        <w:jc w:val="both"/>
        <w:rPr>
          <w:rFonts w:asciiTheme="majorHAnsi" w:hAnsiTheme="majorHAnsi"/>
          <w:bCs/>
          <w:sz w:val="20"/>
          <w:szCs w:val="20"/>
          <w:lang w:val="es-UY"/>
        </w:rPr>
      </w:pPr>
      <w:r w:rsidRPr="00E450D6">
        <w:rPr>
          <w:rFonts w:asciiTheme="majorHAnsi" w:hAnsiTheme="majorHAnsi"/>
          <w:bCs/>
          <w:sz w:val="20"/>
          <w:szCs w:val="20"/>
          <w:lang w:val="es-UY"/>
        </w:rPr>
        <w:t xml:space="preserve">Sobre la inadmisibilidad de la petición, el Estado arguye, en primer lugar, que </w:t>
      </w:r>
      <w:r w:rsidR="008A64A5" w:rsidRPr="00E450D6">
        <w:rPr>
          <w:rFonts w:asciiTheme="majorHAnsi" w:hAnsiTheme="majorHAnsi"/>
          <w:bCs/>
          <w:sz w:val="20"/>
          <w:szCs w:val="20"/>
          <w:lang w:val="es-UY"/>
        </w:rPr>
        <w:t>ésta excedió el plazo de presentación de seis meses establecido en el artículo 46.1.b) de la Convención Americana</w:t>
      </w:r>
      <w:r w:rsidR="006C3A04" w:rsidRPr="00E450D6">
        <w:rPr>
          <w:rFonts w:asciiTheme="majorHAnsi" w:hAnsiTheme="majorHAnsi"/>
          <w:bCs/>
          <w:sz w:val="20"/>
          <w:szCs w:val="20"/>
          <w:lang w:val="es-UY"/>
        </w:rPr>
        <w:t xml:space="preserve">, por cuanto </w:t>
      </w:r>
      <w:r w:rsidR="008E1D8D" w:rsidRPr="00E450D6">
        <w:rPr>
          <w:rFonts w:asciiTheme="majorHAnsi" w:hAnsiTheme="majorHAnsi"/>
          <w:bCs/>
          <w:sz w:val="20"/>
          <w:szCs w:val="20"/>
          <w:lang w:val="es-UY"/>
        </w:rPr>
        <w:t xml:space="preserve">la decisión que agotó el proceso penal fue la resolución inhibitoria emitida el 14 de febrero de 2007, </w:t>
      </w:r>
      <w:r w:rsidR="001D586C" w:rsidRPr="00E450D6">
        <w:rPr>
          <w:rFonts w:asciiTheme="majorHAnsi" w:hAnsiTheme="majorHAnsi"/>
          <w:bCs/>
          <w:sz w:val="20"/>
          <w:szCs w:val="20"/>
          <w:lang w:val="es-UY"/>
        </w:rPr>
        <w:t xml:space="preserve">y en vista de que la parte peticionaria presentó su denuncia internacional el 31 de marzo de 2015, transcurrieron 8 años, </w:t>
      </w:r>
      <w:r w:rsidR="001D586C" w:rsidRPr="00E450D6">
        <w:rPr>
          <w:rFonts w:asciiTheme="majorHAnsi" w:hAnsiTheme="majorHAnsi"/>
          <w:bCs/>
          <w:sz w:val="20"/>
          <w:szCs w:val="20"/>
          <w:lang w:val="es-UY"/>
        </w:rPr>
        <w:lastRenderedPageBreak/>
        <w:t xml:space="preserve">un mes y 17 días desde la </w:t>
      </w:r>
      <w:r w:rsidR="00176554" w:rsidRPr="00E450D6">
        <w:rPr>
          <w:rFonts w:asciiTheme="majorHAnsi" w:hAnsiTheme="majorHAnsi"/>
          <w:bCs/>
          <w:sz w:val="20"/>
          <w:szCs w:val="20"/>
          <w:lang w:val="es-UY"/>
        </w:rPr>
        <w:t xml:space="preserve">providencia </w:t>
      </w:r>
      <w:r w:rsidR="00650ED0" w:rsidRPr="00E450D6">
        <w:rPr>
          <w:rFonts w:asciiTheme="majorHAnsi" w:hAnsiTheme="majorHAnsi"/>
          <w:bCs/>
          <w:sz w:val="20"/>
          <w:szCs w:val="20"/>
          <w:lang w:val="es-UY"/>
        </w:rPr>
        <w:t xml:space="preserve">que cerró </w:t>
      </w:r>
      <w:r w:rsidR="00176554" w:rsidRPr="00E450D6">
        <w:rPr>
          <w:rFonts w:asciiTheme="majorHAnsi" w:hAnsiTheme="majorHAnsi"/>
          <w:bCs/>
          <w:sz w:val="20"/>
          <w:szCs w:val="20"/>
          <w:lang w:val="es-UY"/>
        </w:rPr>
        <w:t>la investigación</w:t>
      </w:r>
      <w:r w:rsidR="001D586C" w:rsidRPr="00E450D6">
        <w:rPr>
          <w:rFonts w:asciiTheme="majorHAnsi" w:hAnsiTheme="majorHAnsi"/>
          <w:bCs/>
          <w:sz w:val="20"/>
          <w:szCs w:val="20"/>
          <w:lang w:val="es-UY"/>
        </w:rPr>
        <w:t>.</w:t>
      </w:r>
      <w:r w:rsidR="00E663F4" w:rsidRPr="00E450D6">
        <w:rPr>
          <w:rFonts w:asciiTheme="majorHAnsi" w:hAnsiTheme="majorHAnsi"/>
          <w:bCs/>
          <w:sz w:val="20"/>
          <w:szCs w:val="20"/>
          <w:lang w:val="es-UY"/>
        </w:rPr>
        <w:t xml:space="preserve"> Por consiguiente, considera que la presente petición se torna inadmisible por extemporaneidad.</w:t>
      </w:r>
    </w:p>
    <w:p w14:paraId="4B82C8E6" w14:textId="77777777" w:rsidR="00290FA2" w:rsidRPr="00E450D6" w:rsidRDefault="009E1787" w:rsidP="00B9393A">
      <w:pPr>
        <w:pStyle w:val="ListParagraph"/>
        <w:numPr>
          <w:ilvl w:val="0"/>
          <w:numId w:val="61"/>
        </w:numPr>
        <w:ind w:left="0" w:firstLine="720"/>
        <w:jc w:val="both"/>
        <w:rPr>
          <w:rFonts w:asciiTheme="majorHAnsi" w:hAnsiTheme="majorHAnsi"/>
          <w:bCs/>
          <w:sz w:val="20"/>
          <w:szCs w:val="20"/>
          <w:lang w:val="es-UY"/>
        </w:rPr>
      </w:pPr>
      <w:r w:rsidRPr="00E450D6">
        <w:rPr>
          <w:rFonts w:asciiTheme="majorHAnsi" w:hAnsiTheme="majorHAnsi"/>
          <w:bCs/>
          <w:sz w:val="20"/>
          <w:szCs w:val="20"/>
          <w:lang w:val="es-UY"/>
        </w:rPr>
        <w:t xml:space="preserve">De manera subsidiaria, </w:t>
      </w:r>
      <w:r w:rsidR="00AF4325" w:rsidRPr="00E450D6">
        <w:rPr>
          <w:rFonts w:asciiTheme="majorHAnsi" w:hAnsiTheme="majorHAnsi"/>
          <w:bCs/>
          <w:sz w:val="20"/>
          <w:szCs w:val="20"/>
          <w:lang w:val="es-UY"/>
        </w:rPr>
        <w:t>plantea la falta de agotamiento de los recursos internos, en incumplimiento de lo dispuesto en el artículo 46.1.a) de la Convención</w:t>
      </w:r>
      <w:r w:rsidR="00337E36" w:rsidRPr="00E450D6">
        <w:rPr>
          <w:rFonts w:asciiTheme="majorHAnsi" w:hAnsiTheme="majorHAnsi"/>
          <w:bCs/>
          <w:sz w:val="20"/>
          <w:szCs w:val="20"/>
          <w:lang w:val="es-UY"/>
        </w:rPr>
        <w:t xml:space="preserve">. A este respecto, recuerda que este requisito </w:t>
      </w:r>
      <w:r w:rsidR="00A23DE8" w:rsidRPr="00E450D6">
        <w:rPr>
          <w:rFonts w:asciiTheme="majorHAnsi" w:hAnsiTheme="majorHAnsi"/>
          <w:bCs/>
          <w:sz w:val="20"/>
          <w:szCs w:val="20"/>
          <w:lang w:val="es-UY"/>
        </w:rPr>
        <w:t xml:space="preserve">tiene sustento en el principio de subsidiariedad del Sistema Interamericano de Protección de Derechos Humanos </w:t>
      </w:r>
      <w:r w:rsidR="00995760" w:rsidRPr="00E450D6">
        <w:rPr>
          <w:rFonts w:asciiTheme="majorHAnsi" w:hAnsiTheme="majorHAnsi"/>
          <w:bCs/>
          <w:sz w:val="20"/>
          <w:szCs w:val="20"/>
          <w:lang w:val="es-UY"/>
        </w:rPr>
        <w:t xml:space="preserve">con el objetivo de permitir que las autoridades nacionales conozcan la supuesta violación de los derechos protegidos </w:t>
      </w:r>
      <w:r w:rsidR="003F3840" w:rsidRPr="00E450D6">
        <w:rPr>
          <w:rFonts w:asciiTheme="majorHAnsi" w:hAnsiTheme="majorHAnsi"/>
          <w:bCs/>
          <w:sz w:val="20"/>
          <w:szCs w:val="20"/>
          <w:lang w:val="es-UY"/>
        </w:rPr>
        <w:t>a fin de solucionarla y repararla antes de acudir a la instancia internacional.</w:t>
      </w:r>
      <w:r w:rsidR="00D5614E" w:rsidRPr="00E450D6">
        <w:rPr>
          <w:rFonts w:asciiTheme="majorHAnsi" w:hAnsiTheme="majorHAnsi"/>
          <w:bCs/>
          <w:sz w:val="20"/>
          <w:szCs w:val="20"/>
          <w:lang w:val="es-UY"/>
        </w:rPr>
        <w:t xml:space="preserve"> En el presente caso, </w:t>
      </w:r>
      <w:r w:rsidR="00C15339" w:rsidRPr="00E450D6">
        <w:rPr>
          <w:rFonts w:asciiTheme="majorHAnsi" w:hAnsiTheme="majorHAnsi"/>
          <w:bCs/>
          <w:sz w:val="20"/>
          <w:szCs w:val="20"/>
          <w:lang w:val="es-UY"/>
        </w:rPr>
        <w:t xml:space="preserve">Colombia </w:t>
      </w:r>
      <w:r w:rsidR="0068548C" w:rsidRPr="00E450D6">
        <w:rPr>
          <w:rFonts w:asciiTheme="majorHAnsi" w:hAnsiTheme="majorHAnsi"/>
          <w:bCs/>
          <w:sz w:val="20"/>
          <w:szCs w:val="20"/>
          <w:lang w:val="es-UY"/>
        </w:rPr>
        <w:t xml:space="preserve">asevera que la acción de tutela era el mecanismo previsto en la legislación entonces vigente para impugnar las resoluciones inhibitorias </w:t>
      </w:r>
      <w:r w:rsidR="00F237CA" w:rsidRPr="00E450D6">
        <w:rPr>
          <w:rFonts w:asciiTheme="majorHAnsi" w:hAnsiTheme="majorHAnsi"/>
          <w:bCs/>
          <w:sz w:val="20"/>
          <w:szCs w:val="20"/>
          <w:lang w:val="es-UY"/>
        </w:rPr>
        <w:t>proferidas por la fiscalía cuando exista una violación de derechos humanos.</w:t>
      </w:r>
      <w:r w:rsidR="002C70A2" w:rsidRPr="00E450D6">
        <w:rPr>
          <w:rFonts w:asciiTheme="majorHAnsi" w:hAnsiTheme="majorHAnsi"/>
          <w:bCs/>
          <w:sz w:val="20"/>
          <w:szCs w:val="20"/>
          <w:lang w:val="es-UY"/>
        </w:rPr>
        <w:t xml:space="preserve"> Fundamenta este argumento en la jurisprudencia de la Corte Suprema de Justicia y la Corte Constitucional</w:t>
      </w:r>
      <w:r w:rsidR="008949DE" w:rsidRPr="00E450D6">
        <w:rPr>
          <w:rFonts w:asciiTheme="majorHAnsi" w:hAnsiTheme="majorHAnsi"/>
          <w:bCs/>
          <w:sz w:val="20"/>
          <w:szCs w:val="20"/>
          <w:lang w:val="es-UY"/>
        </w:rPr>
        <w:t xml:space="preserve">, así como decisiones de inadmisibilidad de la CIDH por la falta de </w:t>
      </w:r>
      <w:r w:rsidR="00EB2C36" w:rsidRPr="00E450D6">
        <w:rPr>
          <w:rFonts w:asciiTheme="majorHAnsi" w:hAnsiTheme="majorHAnsi"/>
          <w:bCs/>
          <w:sz w:val="20"/>
          <w:szCs w:val="20"/>
          <w:lang w:val="es-UY"/>
        </w:rPr>
        <w:t>interposición de la acción de tutela contra las decisiones inhibitorias.</w:t>
      </w:r>
    </w:p>
    <w:p w14:paraId="3FB0B772" w14:textId="5D1C18D7" w:rsidR="00ED3E22" w:rsidRPr="00E450D6" w:rsidRDefault="00290FA2" w:rsidP="00B9393A">
      <w:pPr>
        <w:pStyle w:val="ListParagraph"/>
        <w:numPr>
          <w:ilvl w:val="0"/>
          <w:numId w:val="61"/>
        </w:numPr>
        <w:ind w:left="0" w:firstLine="720"/>
        <w:jc w:val="both"/>
        <w:rPr>
          <w:rFonts w:asciiTheme="majorHAnsi" w:hAnsiTheme="majorHAnsi"/>
          <w:bCs/>
          <w:sz w:val="20"/>
          <w:szCs w:val="20"/>
          <w:lang w:val="es-UY"/>
        </w:rPr>
      </w:pPr>
      <w:r w:rsidRPr="00E450D6">
        <w:rPr>
          <w:rFonts w:asciiTheme="majorHAnsi" w:hAnsiTheme="majorHAnsi"/>
          <w:bCs/>
          <w:sz w:val="20"/>
          <w:szCs w:val="20"/>
          <w:lang w:val="es-UY"/>
        </w:rPr>
        <w:t xml:space="preserve"> </w:t>
      </w:r>
      <w:r w:rsidR="00C97382" w:rsidRPr="00E450D6">
        <w:rPr>
          <w:rFonts w:asciiTheme="majorHAnsi" w:hAnsiTheme="majorHAnsi"/>
          <w:bCs/>
          <w:sz w:val="20"/>
          <w:szCs w:val="20"/>
          <w:lang w:val="es-UY"/>
        </w:rPr>
        <w:t xml:space="preserve">Finalmente, </w:t>
      </w:r>
      <w:r w:rsidR="003D40A9" w:rsidRPr="00E450D6">
        <w:rPr>
          <w:rFonts w:asciiTheme="majorHAnsi" w:hAnsiTheme="majorHAnsi"/>
          <w:bCs/>
          <w:sz w:val="20"/>
          <w:szCs w:val="20"/>
          <w:lang w:val="es-UY"/>
        </w:rPr>
        <w:t xml:space="preserve">Colombia </w:t>
      </w:r>
      <w:r w:rsidR="00C97382" w:rsidRPr="00E450D6">
        <w:rPr>
          <w:rFonts w:asciiTheme="majorHAnsi" w:hAnsiTheme="majorHAnsi"/>
          <w:bCs/>
          <w:sz w:val="20"/>
          <w:szCs w:val="20"/>
          <w:lang w:val="es-UY"/>
        </w:rPr>
        <w:t>manifiest</w:t>
      </w:r>
      <w:r w:rsidR="00907131" w:rsidRPr="00E450D6">
        <w:rPr>
          <w:rFonts w:asciiTheme="majorHAnsi" w:hAnsiTheme="majorHAnsi"/>
          <w:bCs/>
          <w:sz w:val="20"/>
          <w:szCs w:val="20"/>
          <w:lang w:val="es-UY"/>
        </w:rPr>
        <w:t xml:space="preserve">a que la presente petición incurre en la ‘fórmula de la cuarta instancia internacional’, según la cual, los órganos del Sistema interamericano </w:t>
      </w:r>
      <w:r w:rsidR="00111180" w:rsidRPr="00E450D6">
        <w:rPr>
          <w:rFonts w:asciiTheme="majorHAnsi" w:hAnsiTheme="majorHAnsi"/>
          <w:bCs/>
          <w:sz w:val="20"/>
          <w:szCs w:val="20"/>
          <w:lang w:val="es-UY"/>
        </w:rPr>
        <w:t xml:space="preserve">no tienen la facultad de revisar las providencias que emanan de los tribunales </w:t>
      </w:r>
      <w:r w:rsidR="005A521A" w:rsidRPr="00E450D6">
        <w:rPr>
          <w:rFonts w:asciiTheme="majorHAnsi" w:hAnsiTheme="majorHAnsi"/>
          <w:bCs/>
          <w:sz w:val="20"/>
          <w:szCs w:val="20"/>
          <w:lang w:val="es-UY"/>
        </w:rPr>
        <w:t xml:space="preserve">nacionales que actúen en la esfera de su </w:t>
      </w:r>
      <w:r w:rsidR="009571B0" w:rsidRPr="00E450D6">
        <w:rPr>
          <w:rFonts w:asciiTheme="majorHAnsi" w:hAnsiTheme="majorHAnsi"/>
          <w:bCs/>
          <w:sz w:val="20"/>
          <w:szCs w:val="20"/>
          <w:lang w:val="es-UY"/>
        </w:rPr>
        <w:t>competencia</w:t>
      </w:r>
      <w:r w:rsidR="00057F3E" w:rsidRPr="00E450D6">
        <w:rPr>
          <w:rFonts w:asciiTheme="majorHAnsi" w:hAnsiTheme="majorHAnsi"/>
          <w:bCs/>
          <w:sz w:val="20"/>
          <w:szCs w:val="20"/>
          <w:lang w:val="es-UY"/>
        </w:rPr>
        <w:t xml:space="preserve"> y en aplicación de las garantías judiciales, </w:t>
      </w:r>
      <w:r w:rsidR="009571B0" w:rsidRPr="00E450D6">
        <w:rPr>
          <w:rFonts w:asciiTheme="majorHAnsi" w:hAnsiTheme="majorHAnsi"/>
          <w:bCs/>
          <w:sz w:val="20"/>
          <w:szCs w:val="20"/>
          <w:lang w:val="es-UY"/>
        </w:rPr>
        <w:t xml:space="preserve">puesto </w:t>
      </w:r>
      <w:r w:rsidR="00057F3E" w:rsidRPr="00E450D6">
        <w:rPr>
          <w:rFonts w:asciiTheme="majorHAnsi" w:hAnsiTheme="majorHAnsi"/>
          <w:bCs/>
          <w:sz w:val="20"/>
          <w:szCs w:val="20"/>
          <w:lang w:val="es-UY"/>
        </w:rPr>
        <w:t xml:space="preserve">que </w:t>
      </w:r>
      <w:r w:rsidR="00F762F3" w:rsidRPr="00E450D6">
        <w:rPr>
          <w:rFonts w:asciiTheme="majorHAnsi" w:hAnsiTheme="majorHAnsi"/>
          <w:bCs/>
          <w:sz w:val="20"/>
          <w:szCs w:val="20"/>
          <w:lang w:val="es-UY"/>
        </w:rPr>
        <w:t>la Comisión no es un tribunal de alzada para examinar supuestos errores de hecho o de derecho.</w:t>
      </w:r>
      <w:r w:rsidR="00B03BC1" w:rsidRPr="00E450D6">
        <w:rPr>
          <w:rFonts w:asciiTheme="majorHAnsi" w:hAnsiTheme="majorHAnsi"/>
          <w:bCs/>
          <w:sz w:val="20"/>
          <w:szCs w:val="20"/>
          <w:lang w:val="es-UY"/>
        </w:rPr>
        <w:t xml:space="preserve"> De manera que la revisión de un fallo judicial sólo será procedente cuando verse sobre una vulneración de los derechos contenidos en la</w:t>
      </w:r>
      <w:r w:rsidR="0071410A" w:rsidRPr="00E450D6">
        <w:rPr>
          <w:rFonts w:asciiTheme="majorHAnsi" w:hAnsiTheme="majorHAnsi"/>
          <w:bCs/>
          <w:sz w:val="20"/>
          <w:szCs w:val="20"/>
          <w:lang w:val="es-UY"/>
        </w:rPr>
        <w:t xml:space="preserve"> </w:t>
      </w:r>
      <w:r w:rsidR="00B03BC1" w:rsidRPr="00E450D6">
        <w:rPr>
          <w:rFonts w:asciiTheme="majorHAnsi" w:hAnsiTheme="majorHAnsi"/>
          <w:bCs/>
          <w:sz w:val="20"/>
          <w:szCs w:val="20"/>
          <w:lang w:val="es-UY"/>
        </w:rPr>
        <w:t>Convención Americana.</w:t>
      </w:r>
      <w:r w:rsidR="00A73C6F" w:rsidRPr="00E450D6">
        <w:rPr>
          <w:rFonts w:asciiTheme="majorHAnsi" w:hAnsiTheme="majorHAnsi"/>
          <w:bCs/>
          <w:sz w:val="20"/>
          <w:szCs w:val="20"/>
          <w:lang w:val="es-UY"/>
        </w:rPr>
        <w:t xml:space="preserve"> En ese sentido, Colombia manifiesta que </w:t>
      </w:r>
      <w:r w:rsidR="00764E8F" w:rsidRPr="00E450D6">
        <w:rPr>
          <w:rFonts w:asciiTheme="majorHAnsi" w:hAnsiTheme="majorHAnsi"/>
          <w:bCs/>
          <w:sz w:val="20"/>
          <w:szCs w:val="20"/>
          <w:lang w:val="es-UY"/>
        </w:rPr>
        <w:t>la parte peticionaria pretende que la CIDH revise las sentencias emitidas en el proceso contencioso-administrativo, pese a que respetaron las garantías del debido proceso, y, en segunda instancia resultó ser favorable a los intereses de las presuntas víctimas.</w:t>
      </w:r>
      <w:r w:rsidR="0031142C" w:rsidRPr="00E450D6">
        <w:rPr>
          <w:rFonts w:asciiTheme="majorHAnsi" w:hAnsiTheme="majorHAnsi"/>
          <w:bCs/>
          <w:sz w:val="20"/>
          <w:szCs w:val="20"/>
          <w:lang w:val="es-UY"/>
        </w:rPr>
        <w:t xml:space="preserve"> Por ello, solicita la declaratoria de inadmisibilidad del presente caso</w:t>
      </w:r>
      <w:r w:rsidR="00A94138" w:rsidRPr="00E450D6">
        <w:rPr>
          <w:rFonts w:asciiTheme="majorHAnsi" w:hAnsiTheme="majorHAnsi"/>
          <w:bCs/>
          <w:sz w:val="20"/>
          <w:szCs w:val="20"/>
          <w:lang w:val="es-UY"/>
        </w:rPr>
        <w:t>, de conformidad con lo dispuesto en el artículo 47.b) de la Convención en este extremo.</w:t>
      </w:r>
    </w:p>
    <w:p w14:paraId="51F68C92" w14:textId="77777777" w:rsidR="003239B8" w:rsidRPr="00E450D6" w:rsidRDefault="003239B8" w:rsidP="00B9393A">
      <w:pPr>
        <w:spacing w:before="240" w:after="240"/>
        <w:ind w:firstLine="720"/>
        <w:jc w:val="both"/>
        <w:rPr>
          <w:rFonts w:ascii="Cambria" w:hAnsi="Cambria"/>
          <w:sz w:val="20"/>
          <w:szCs w:val="20"/>
          <w:lang w:val="es-UY"/>
        </w:rPr>
      </w:pPr>
      <w:r w:rsidRPr="00E450D6">
        <w:rPr>
          <w:rFonts w:asciiTheme="majorHAnsi" w:eastAsia="Cambria" w:hAnsiTheme="majorHAnsi" w:cs="Cambria"/>
          <w:b/>
          <w:bCs/>
          <w:color w:val="000000"/>
          <w:sz w:val="20"/>
          <w:szCs w:val="20"/>
          <w:u w:color="000000"/>
          <w:lang w:val="es-ES" w:eastAsia="es-ES"/>
        </w:rPr>
        <w:t>VI.</w:t>
      </w:r>
      <w:r w:rsidRPr="00E450D6">
        <w:rPr>
          <w:rFonts w:asciiTheme="majorHAnsi" w:eastAsia="Cambria" w:hAnsiTheme="majorHAnsi" w:cs="Cambria"/>
          <w:b/>
          <w:bCs/>
          <w:color w:val="000000"/>
          <w:sz w:val="20"/>
          <w:szCs w:val="20"/>
          <w:u w:color="000000"/>
          <w:lang w:val="es-ES" w:eastAsia="es-ES"/>
        </w:rPr>
        <w:tab/>
      </w:r>
      <w:r w:rsidR="004A6A54" w:rsidRPr="00E450D6">
        <w:rPr>
          <w:rFonts w:asciiTheme="majorHAnsi" w:hAnsiTheme="majorHAnsi"/>
          <w:b/>
          <w:bCs/>
          <w:sz w:val="20"/>
          <w:szCs w:val="20"/>
          <w:lang w:val="es-ES_tradnl"/>
        </w:rPr>
        <w:t xml:space="preserve">ANÁLISIS DE </w:t>
      </w:r>
      <w:r w:rsidR="00C21FEF" w:rsidRPr="00E450D6">
        <w:rPr>
          <w:rFonts w:asciiTheme="majorHAnsi" w:hAnsiTheme="majorHAnsi"/>
          <w:b/>
          <w:sz w:val="20"/>
          <w:szCs w:val="20"/>
          <w:lang w:val="es-ES"/>
        </w:rPr>
        <w:t>AGOTAMIENTO DE LOS RECURSOS INTERNOS Y PLAZO DE PRESENTACIÓN</w:t>
      </w:r>
      <w:r w:rsidR="00C21FEF" w:rsidRPr="00E450D6">
        <w:rPr>
          <w:rFonts w:asciiTheme="majorHAnsi" w:eastAsia="Cambria" w:hAnsiTheme="majorHAnsi" w:cs="Cambria"/>
          <w:b/>
          <w:bCs/>
          <w:color w:val="000000"/>
          <w:sz w:val="20"/>
          <w:szCs w:val="20"/>
          <w:u w:color="000000"/>
          <w:lang w:val="es-ES" w:eastAsia="es-ES"/>
        </w:rPr>
        <w:t xml:space="preserve"> </w:t>
      </w:r>
    </w:p>
    <w:p w14:paraId="7A7BA3C3" w14:textId="1AE53C7D" w:rsidR="006C0ECF" w:rsidRPr="00E450D6" w:rsidRDefault="00E8689F" w:rsidP="00B9393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E450D6">
        <w:rPr>
          <w:sz w:val="20"/>
          <w:szCs w:val="20"/>
          <w:lang w:val="es-ES"/>
        </w:rPr>
        <w:t xml:space="preserve">La presente petición versa sobre la falta de </w:t>
      </w:r>
      <w:r w:rsidR="004340ED" w:rsidRPr="00E450D6">
        <w:rPr>
          <w:sz w:val="20"/>
          <w:szCs w:val="20"/>
          <w:lang w:val="es-ES"/>
        </w:rPr>
        <w:t xml:space="preserve">prevención y </w:t>
      </w:r>
      <w:r w:rsidRPr="00E450D6">
        <w:rPr>
          <w:sz w:val="20"/>
          <w:szCs w:val="20"/>
          <w:lang w:val="es-ES"/>
        </w:rPr>
        <w:t xml:space="preserve">reparación </w:t>
      </w:r>
      <w:r w:rsidR="004340ED" w:rsidRPr="00E450D6">
        <w:rPr>
          <w:sz w:val="20"/>
          <w:szCs w:val="20"/>
          <w:lang w:val="es-ES"/>
        </w:rPr>
        <w:t xml:space="preserve">por </w:t>
      </w:r>
      <w:r w:rsidR="00CE3DC0" w:rsidRPr="00E450D6">
        <w:rPr>
          <w:sz w:val="20"/>
          <w:szCs w:val="20"/>
          <w:lang w:val="es-ES"/>
        </w:rPr>
        <w:t xml:space="preserve">el </w:t>
      </w:r>
      <w:r w:rsidR="007E6575" w:rsidRPr="00E450D6">
        <w:rPr>
          <w:sz w:val="20"/>
          <w:szCs w:val="20"/>
          <w:lang w:val="es-ES"/>
        </w:rPr>
        <w:t xml:space="preserve">asesinato de </w:t>
      </w:r>
      <w:r w:rsidR="00CE3DC0" w:rsidRPr="00E450D6">
        <w:rPr>
          <w:sz w:val="20"/>
          <w:szCs w:val="20"/>
          <w:lang w:val="es-ES"/>
        </w:rPr>
        <w:t xml:space="preserve">Ramiro Alfonso Molina Balbín. El Estado </w:t>
      </w:r>
      <w:r w:rsidR="006169BE" w:rsidRPr="00E450D6">
        <w:rPr>
          <w:sz w:val="20"/>
          <w:szCs w:val="20"/>
          <w:lang w:val="es-ES"/>
        </w:rPr>
        <w:t xml:space="preserve">afirma que la presente petición es extemporánea frente al proceso penal, porque fue presentada </w:t>
      </w:r>
      <w:r w:rsidR="006F266A" w:rsidRPr="00E450D6">
        <w:rPr>
          <w:sz w:val="20"/>
          <w:szCs w:val="20"/>
          <w:lang w:val="es-ES"/>
        </w:rPr>
        <w:t>más de ocho años después de su culminación; y, de manera subsidiaria, resulta inadmisible por falta de agotamiento de la acción de tutela contra la resolución inhibitoria proferida por la fiscalía.</w:t>
      </w:r>
      <w:r w:rsidR="00384E69" w:rsidRPr="00E450D6">
        <w:rPr>
          <w:sz w:val="20"/>
          <w:szCs w:val="20"/>
          <w:lang w:val="es-ES"/>
        </w:rPr>
        <w:t xml:space="preserve"> La parte peticionaria no presenta observaciones adicionales al respecto, ni controvierte estos alegatos.</w:t>
      </w:r>
    </w:p>
    <w:p w14:paraId="07DA7B5A" w14:textId="77777777" w:rsidR="00222C49" w:rsidRPr="00E450D6" w:rsidRDefault="00714762" w:rsidP="00222C4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E450D6">
        <w:rPr>
          <w:sz w:val="20"/>
          <w:szCs w:val="20"/>
          <w:lang w:val="es-ES"/>
        </w:rPr>
        <w:t>La CIDH recuerda que el artículo 46.1.a) de la Convención Americana dispone que para que una petición sea admitida se requiere que se hayan interpuesto y agotado los recursos de jurisdicción interna, conforme a los principios del Derecho Internacional generalmente reconocidos.</w:t>
      </w:r>
      <w:r w:rsidR="00B94978" w:rsidRPr="00E450D6">
        <w:rPr>
          <w:sz w:val="20"/>
          <w:szCs w:val="20"/>
          <w:lang w:val="es-ES"/>
        </w:rPr>
        <w:t xml:space="preserve"> </w:t>
      </w:r>
      <w:r w:rsidR="00222C49" w:rsidRPr="00E450D6">
        <w:rPr>
          <w:sz w:val="20"/>
          <w:szCs w:val="20"/>
          <w:lang w:val="es-ES"/>
        </w:rPr>
        <w:t xml:space="preserve">Desde su primera jurisprudencia, en el Caso Velásquez Rodríguez, la Corte Interamericana sentó los criterios fundamentales de esta norma en los siguientes términos: </w:t>
      </w:r>
    </w:p>
    <w:p w14:paraId="63BAE889" w14:textId="77777777" w:rsidR="00222C49" w:rsidRPr="00E450D6" w:rsidRDefault="00222C49" w:rsidP="00222C49">
      <w:pPr>
        <w:pStyle w:val="ListParagraph"/>
        <w:numPr>
          <w:ilvl w:val="0"/>
          <w:numId w:val="0"/>
        </w:numPr>
        <w:suppressAutoHyphens/>
        <w:ind w:left="360" w:right="360"/>
        <w:jc w:val="both"/>
        <w:rPr>
          <w:sz w:val="18"/>
          <w:szCs w:val="18"/>
          <w:lang w:val="es-ES"/>
        </w:rPr>
      </w:pPr>
      <w:r w:rsidRPr="00E450D6">
        <w:rPr>
          <w:sz w:val="18"/>
          <w:szCs w:val="18"/>
          <w:lang w:val="es-ES"/>
        </w:rPr>
        <w:t>De los principios de derecho internacional generalmente reconocidos resulta, en primer lugar, que se trata de una regla cuya invocación puede ser renunciada en forma expresa o tácita por el Estado que tiene derecho a invocarla […] En segundo lugar, que la excepción de no agotamiento de los recursos internos, para ser oportuna, debe plantearse en las primeras etapas del procedimiento, a falta de lo cual podrá presumirse la renuncia tácita a valerse de la misma por parte del Estado interesado. En tercer lugar, que el Estado que alega el no agotamiento tiene a su cargo el señalamiento de los recursos internos que deben agotarse y de su efectividad</w:t>
      </w:r>
      <w:r w:rsidRPr="00E450D6">
        <w:rPr>
          <w:sz w:val="18"/>
          <w:szCs w:val="18"/>
          <w:vertAlign w:val="superscript"/>
          <w:lang w:val="es-ES"/>
        </w:rPr>
        <w:footnoteReference w:id="5"/>
      </w:r>
      <w:r w:rsidRPr="00E450D6">
        <w:rPr>
          <w:sz w:val="18"/>
          <w:szCs w:val="18"/>
          <w:lang w:val="es-ES"/>
        </w:rPr>
        <w:t>.</w:t>
      </w:r>
    </w:p>
    <w:p w14:paraId="160711C0" w14:textId="462F30AF" w:rsidR="00714762" w:rsidRPr="00E450D6" w:rsidRDefault="00714762" w:rsidP="00B9393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E450D6">
        <w:rPr>
          <w:iCs/>
          <w:sz w:val="20"/>
          <w:szCs w:val="20"/>
          <w:lang w:val="es-ES_tradnl"/>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w:t>
      </w:r>
      <w:r w:rsidRPr="00E450D6">
        <w:rPr>
          <w:iCs/>
          <w:sz w:val="20"/>
          <w:szCs w:val="20"/>
          <w:lang w:val="es-ES_tradnl"/>
        </w:rPr>
        <w:lastRenderedPageBreak/>
        <w:t>metodológico del análisis consiste en deslindar los distintos reclamos formulados en la correspondiente petición para proceder a su examen individualizado</w:t>
      </w:r>
      <w:r w:rsidR="00FB66A6" w:rsidRPr="00E450D6">
        <w:rPr>
          <w:rStyle w:val="FootnoteReference"/>
          <w:iCs/>
          <w:sz w:val="20"/>
          <w:szCs w:val="20"/>
          <w:lang w:val="es-ES_tradnl"/>
        </w:rPr>
        <w:footnoteReference w:id="6"/>
      </w:r>
      <w:r w:rsidRPr="00E450D6">
        <w:rPr>
          <w:iCs/>
          <w:sz w:val="20"/>
          <w:szCs w:val="20"/>
          <w:lang w:val="es-ES_tradnl"/>
        </w:rPr>
        <w:t>.</w:t>
      </w:r>
    </w:p>
    <w:p w14:paraId="0ED71916" w14:textId="29A338FE" w:rsidR="000E2348" w:rsidRPr="00E450D6" w:rsidRDefault="00714762" w:rsidP="00B9393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E450D6">
        <w:rPr>
          <w:iCs/>
          <w:sz w:val="20"/>
          <w:szCs w:val="20"/>
          <w:lang w:val="es-ES_tradnl"/>
        </w:rPr>
        <w:t>En esta línea, en el presente procedimiento la C</w:t>
      </w:r>
      <w:r w:rsidRPr="00E450D6">
        <w:rPr>
          <w:iCs/>
          <w:color w:val="auto"/>
          <w:sz w:val="20"/>
          <w:szCs w:val="20"/>
          <w:lang w:val="es-ES_tradnl"/>
        </w:rPr>
        <w:t xml:space="preserve">IDH observa que los reclamos formulados por los peticionarios son en lo fundamental: (a) </w:t>
      </w:r>
      <w:r w:rsidR="00DF5959" w:rsidRPr="00E450D6">
        <w:rPr>
          <w:iCs/>
          <w:color w:val="auto"/>
          <w:sz w:val="20"/>
          <w:szCs w:val="20"/>
          <w:lang w:val="es-ES_tradnl"/>
        </w:rPr>
        <w:t xml:space="preserve">la </w:t>
      </w:r>
      <w:r w:rsidR="002A0BD6" w:rsidRPr="00E450D6">
        <w:rPr>
          <w:iCs/>
          <w:color w:val="auto"/>
          <w:sz w:val="20"/>
          <w:szCs w:val="20"/>
          <w:lang w:val="es-ES_tradnl"/>
        </w:rPr>
        <w:t>falta de prevención d</w:t>
      </w:r>
      <w:r w:rsidR="00DF5959" w:rsidRPr="00E450D6">
        <w:rPr>
          <w:iCs/>
          <w:color w:val="auto"/>
          <w:sz w:val="20"/>
          <w:szCs w:val="20"/>
          <w:lang w:val="es-ES_tradnl"/>
        </w:rPr>
        <w:t>el asesinato de</w:t>
      </w:r>
      <w:r w:rsidR="00233DCB" w:rsidRPr="00E450D6">
        <w:rPr>
          <w:iCs/>
          <w:color w:val="auto"/>
          <w:sz w:val="20"/>
          <w:szCs w:val="20"/>
          <w:lang w:val="es-ES_tradnl"/>
        </w:rPr>
        <w:t xml:space="preserve">l Sr. Molina Balbín; y, </w:t>
      </w:r>
      <w:r w:rsidRPr="00E450D6">
        <w:rPr>
          <w:iCs/>
          <w:color w:val="auto"/>
          <w:sz w:val="20"/>
          <w:szCs w:val="20"/>
          <w:lang w:val="es-ES_tradnl"/>
        </w:rPr>
        <w:t>(b)</w:t>
      </w:r>
      <w:r w:rsidR="00233DCB" w:rsidRPr="00E450D6">
        <w:rPr>
          <w:iCs/>
          <w:color w:val="auto"/>
          <w:sz w:val="20"/>
          <w:szCs w:val="20"/>
          <w:lang w:val="es-ES_tradnl"/>
        </w:rPr>
        <w:t xml:space="preserve"> la falta de reparación integral a favor de su familia por </w:t>
      </w:r>
      <w:r w:rsidR="00C224B4" w:rsidRPr="00E450D6">
        <w:rPr>
          <w:iCs/>
          <w:color w:val="auto"/>
          <w:sz w:val="20"/>
          <w:szCs w:val="20"/>
          <w:lang w:val="es-ES_tradnl"/>
        </w:rPr>
        <w:t>dicho homicidio</w:t>
      </w:r>
      <w:r w:rsidRPr="00E450D6">
        <w:rPr>
          <w:iCs/>
          <w:color w:val="auto"/>
          <w:sz w:val="20"/>
          <w:szCs w:val="20"/>
          <w:lang w:val="es-ES_tradnl"/>
        </w:rPr>
        <w:t>.</w:t>
      </w:r>
      <w:r w:rsidR="009D309B" w:rsidRPr="00E450D6">
        <w:rPr>
          <w:iCs/>
          <w:color w:val="auto"/>
          <w:sz w:val="20"/>
          <w:szCs w:val="20"/>
          <w:lang w:val="es-ES_tradnl"/>
        </w:rPr>
        <w:t xml:space="preserve"> </w:t>
      </w:r>
      <w:r w:rsidR="00C428A1" w:rsidRPr="00E450D6">
        <w:rPr>
          <w:iCs/>
          <w:color w:val="auto"/>
          <w:sz w:val="20"/>
          <w:szCs w:val="20"/>
          <w:lang w:val="es-ES_tradnl"/>
        </w:rPr>
        <w:t xml:space="preserve">La Comisión </w:t>
      </w:r>
      <w:r w:rsidR="00E413B7" w:rsidRPr="00E450D6">
        <w:rPr>
          <w:iCs/>
          <w:color w:val="auto"/>
          <w:sz w:val="20"/>
          <w:szCs w:val="20"/>
          <w:lang w:val="es-ES_tradnl"/>
        </w:rPr>
        <w:t xml:space="preserve">procederá </w:t>
      </w:r>
      <w:r w:rsidR="00C428A1" w:rsidRPr="00E450D6">
        <w:rPr>
          <w:iCs/>
          <w:color w:val="auto"/>
          <w:sz w:val="20"/>
          <w:szCs w:val="20"/>
          <w:lang w:val="es-ES_tradnl"/>
        </w:rPr>
        <w:t xml:space="preserve">a </w:t>
      </w:r>
      <w:r w:rsidR="00387852" w:rsidRPr="00E450D6">
        <w:rPr>
          <w:iCs/>
          <w:color w:val="auto"/>
          <w:sz w:val="20"/>
          <w:szCs w:val="20"/>
          <w:lang w:val="es-ES_tradnl"/>
        </w:rPr>
        <w:t xml:space="preserve">realizar el análisis de agotamiento </w:t>
      </w:r>
      <w:r w:rsidR="00E413B7" w:rsidRPr="00E450D6">
        <w:rPr>
          <w:iCs/>
          <w:color w:val="auto"/>
          <w:sz w:val="20"/>
          <w:szCs w:val="20"/>
          <w:lang w:val="es-ES_tradnl"/>
        </w:rPr>
        <w:t xml:space="preserve">en relación con cada </w:t>
      </w:r>
      <w:r w:rsidR="009D309B" w:rsidRPr="00E450D6">
        <w:rPr>
          <w:iCs/>
          <w:color w:val="auto"/>
          <w:sz w:val="20"/>
          <w:szCs w:val="20"/>
          <w:lang w:val="es-ES_tradnl"/>
        </w:rPr>
        <w:t>objeto</w:t>
      </w:r>
      <w:r w:rsidR="00E413B7" w:rsidRPr="00E450D6">
        <w:rPr>
          <w:iCs/>
          <w:color w:val="auto"/>
          <w:sz w:val="20"/>
          <w:szCs w:val="20"/>
          <w:lang w:val="es-ES_tradnl"/>
        </w:rPr>
        <w:t>.</w:t>
      </w:r>
    </w:p>
    <w:p w14:paraId="432C445E" w14:textId="77777777" w:rsidR="00C307B3" w:rsidRPr="00E450D6" w:rsidRDefault="00C307B3" w:rsidP="00C307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sz w:val="20"/>
          <w:szCs w:val="20"/>
          <w:lang w:val="es-ES"/>
        </w:rPr>
      </w:pPr>
      <w:r w:rsidRPr="00E450D6">
        <w:rPr>
          <w:rFonts w:asciiTheme="majorHAnsi" w:hAnsiTheme="majorHAnsi"/>
          <w:i/>
          <w:sz w:val="20"/>
          <w:szCs w:val="20"/>
          <w:lang w:val="es-ES_tradnl"/>
        </w:rPr>
        <w:t>Con respecto a la falta de prevención del asesinato del Sr. Molina Balbín</w:t>
      </w:r>
    </w:p>
    <w:p w14:paraId="226DDBF7" w14:textId="63C64DA5" w:rsidR="00E41C58" w:rsidRPr="00E450D6" w:rsidRDefault="000E2348" w:rsidP="00E41C5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E450D6">
        <w:rPr>
          <w:iCs/>
          <w:color w:val="auto"/>
          <w:sz w:val="20"/>
          <w:szCs w:val="20"/>
          <w:lang w:val="es-ES_tradnl"/>
        </w:rPr>
        <w:t xml:space="preserve">En relación con el primer reclamo, la Comisión nota que </w:t>
      </w:r>
      <w:r w:rsidR="006C7D51" w:rsidRPr="00E450D6">
        <w:rPr>
          <w:iCs/>
          <w:color w:val="auto"/>
          <w:sz w:val="20"/>
          <w:szCs w:val="20"/>
          <w:lang w:val="es-ES_tradnl"/>
        </w:rPr>
        <w:t xml:space="preserve">las presuntas víctimas </w:t>
      </w:r>
      <w:r w:rsidR="008C42B3" w:rsidRPr="00E450D6">
        <w:rPr>
          <w:iCs/>
          <w:color w:val="auto"/>
          <w:sz w:val="20"/>
          <w:szCs w:val="20"/>
          <w:lang w:val="es-ES_tradnl"/>
        </w:rPr>
        <w:t>solicitaron, de manera oportuna, al Gaula de la policía</w:t>
      </w:r>
      <w:r w:rsidR="00077523" w:rsidRPr="00E450D6">
        <w:rPr>
          <w:iCs/>
          <w:color w:val="auto"/>
          <w:sz w:val="20"/>
          <w:szCs w:val="20"/>
          <w:lang w:val="es-ES_tradnl"/>
        </w:rPr>
        <w:t xml:space="preserve"> que mantuviera su esquema de seguridad y acudieron a la acción de tutela para garantizar protección para la vida del Sr. Molina Balbín. No obstante, </w:t>
      </w:r>
      <w:r w:rsidR="00F14569" w:rsidRPr="00E450D6">
        <w:rPr>
          <w:iCs/>
          <w:color w:val="auto"/>
          <w:sz w:val="20"/>
          <w:szCs w:val="20"/>
          <w:lang w:val="es-ES_tradnl"/>
        </w:rPr>
        <w:t xml:space="preserve">los recursos para lograr su protección no fueron adecuados, ni efectivos. </w:t>
      </w:r>
      <w:r w:rsidR="00E41C58" w:rsidRPr="00E450D6">
        <w:rPr>
          <w:sz w:val="20"/>
          <w:szCs w:val="20"/>
          <w:lang w:val="es-ES"/>
        </w:rPr>
        <w:t xml:space="preserve">En este sentido, la Comisión </w:t>
      </w:r>
      <w:r w:rsidR="00811F40" w:rsidRPr="00E450D6">
        <w:rPr>
          <w:sz w:val="20"/>
          <w:szCs w:val="20"/>
          <w:lang w:val="es-ES"/>
        </w:rPr>
        <w:t xml:space="preserve">advierte </w:t>
      </w:r>
      <w:r w:rsidR="00E41C58" w:rsidRPr="00E450D6">
        <w:rPr>
          <w:sz w:val="20"/>
          <w:szCs w:val="20"/>
          <w:lang w:val="es-ES"/>
        </w:rPr>
        <w:t xml:space="preserve">que </w:t>
      </w:r>
      <w:r w:rsidR="009E26B9" w:rsidRPr="00E450D6">
        <w:rPr>
          <w:sz w:val="20"/>
          <w:szCs w:val="20"/>
          <w:lang w:val="es-ES"/>
        </w:rPr>
        <w:t xml:space="preserve">la familia fue </w:t>
      </w:r>
      <w:r w:rsidR="00BA504D" w:rsidRPr="00E450D6">
        <w:rPr>
          <w:sz w:val="20"/>
          <w:szCs w:val="20"/>
          <w:lang w:val="es-ES"/>
        </w:rPr>
        <w:t xml:space="preserve">perseguida y convertida en objeto </w:t>
      </w:r>
      <w:r w:rsidR="009E26B9" w:rsidRPr="00E450D6">
        <w:rPr>
          <w:sz w:val="20"/>
          <w:szCs w:val="20"/>
          <w:lang w:val="es-ES"/>
        </w:rPr>
        <w:t>de un</w:t>
      </w:r>
      <w:r w:rsidR="00F80086" w:rsidRPr="00E450D6">
        <w:rPr>
          <w:sz w:val="20"/>
          <w:szCs w:val="20"/>
          <w:lang w:val="es-ES"/>
        </w:rPr>
        <w:t>a asociación</w:t>
      </w:r>
      <w:r w:rsidR="009E26B9" w:rsidRPr="00E450D6">
        <w:rPr>
          <w:sz w:val="20"/>
          <w:szCs w:val="20"/>
          <w:lang w:val="es-ES"/>
        </w:rPr>
        <w:t xml:space="preserve"> criminal</w:t>
      </w:r>
      <w:r w:rsidR="00F80086" w:rsidRPr="00E450D6">
        <w:rPr>
          <w:sz w:val="20"/>
          <w:szCs w:val="20"/>
          <w:lang w:val="es-ES"/>
        </w:rPr>
        <w:t xml:space="preserve"> compuesta por guerrilleros y policías</w:t>
      </w:r>
      <w:r w:rsidR="009E26B9" w:rsidRPr="00E450D6">
        <w:rPr>
          <w:sz w:val="20"/>
          <w:szCs w:val="20"/>
          <w:lang w:val="es-ES"/>
        </w:rPr>
        <w:t xml:space="preserve">, </w:t>
      </w:r>
      <w:r w:rsidR="00BA504D" w:rsidRPr="00E450D6">
        <w:rPr>
          <w:sz w:val="20"/>
          <w:szCs w:val="20"/>
          <w:lang w:val="es-ES"/>
        </w:rPr>
        <w:t xml:space="preserve">el Sr. Molina Balbín colaboró con las autoridades para </w:t>
      </w:r>
      <w:r w:rsidR="00F80086" w:rsidRPr="00E450D6">
        <w:rPr>
          <w:sz w:val="20"/>
          <w:szCs w:val="20"/>
          <w:lang w:val="es-ES"/>
        </w:rPr>
        <w:t xml:space="preserve">develar la identidad de los responsables de sus secuestros, </w:t>
      </w:r>
      <w:r w:rsidR="00436A68" w:rsidRPr="00E450D6">
        <w:rPr>
          <w:sz w:val="20"/>
          <w:szCs w:val="20"/>
          <w:lang w:val="es-ES"/>
        </w:rPr>
        <w:t>y solicitó protección hasta que se consumó su homicidio.</w:t>
      </w:r>
      <w:r w:rsidR="0025203C" w:rsidRPr="00E450D6">
        <w:rPr>
          <w:sz w:val="20"/>
          <w:szCs w:val="20"/>
          <w:lang w:val="es-ES"/>
        </w:rPr>
        <w:t xml:space="preserve"> </w:t>
      </w:r>
    </w:p>
    <w:p w14:paraId="3A2BA988" w14:textId="3D2E9691" w:rsidR="00834AC7" w:rsidRPr="00E450D6" w:rsidRDefault="0086169A" w:rsidP="009A1C2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E450D6">
        <w:rPr>
          <w:sz w:val="20"/>
          <w:szCs w:val="20"/>
          <w:lang w:val="es-ES"/>
        </w:rPr>
        <w:t>Estos son i</w:t>
      </w:r>
      <w:r w:rsidR="00C6633D" w:rsidRPr="00E450D6">
        <w:rPr>
          <w:sz w:val="20"/>
          <w:szCs w:val="20"/>
          <w:lang w:val="es-ES"/>
        </w:rPr>
        <w:t>ndicios suficientes para estimar</w:t>
      </w:r>
      <w:r w:rsidR="00626144" w:rsidRPr="00E450D6">
        <w:rPr>
          <w:sz w:val="20"/>
          <w:szCs w:val="20"/>
          <w:lang w:val="es-ES"/>
        </w:rPr>
        <w:t xml:space="preserve">, </w:t>
      </w:r>
      <w:r w:rsidR="00626144" w:rsidRPr="00E450D6">
        <w:rPr>
          <w:i/>
          <w:iCs/>
          <w:sz w:val="20"/>
          <w:szCs w:val="20"/>
          <w:lang w:val="es-ES"/>
        </w:rPr>
        <w:t>prima facie</w:t>
      </w:r>
      <w:r w:rsidR="00626144" w:rsidRPr="00E450D6">
        <w:rPr>
          <w:sz w:val="20"/>
          <w:szCs w:val="20"/>
          <w:lang w:val="es-ES"/>
        </w:rPr>
        <w:t>,</w:t>
      </w:r>
      <w:r w:rsidR="00C6633D" w:rsidRPr="00E450D6">
        <w:rPr>
          <w:sz w:val="20"/>
          <w:szCs w:val="20"/>
          <w:lang w:val="es-ES"/>
        </w:rPr>
        <w:t xml:space="preserve"> que los recursos y mecanismos de protección no fueron suficientes</w:t>
      </w:r>
      <w:r w:rsidR="00626144" w:rsidRPr="00E450D6">
        <w:rPr>
          <w:sz w:val="20"/>
          <w:szCs w:val="20"/>
          <w:lang w:val="es-ES"/>
        </w:rPr>
        <w:t xml:space="preserve"> en el presente caso, pese a que las presuntas víctimas </w:t>
      </w:r>
      <w:r w:rsidR="00C12F2B" w:rsidRPr="00E450D6">
        <w:rPr>
          <w:sz w:val="20"/>
          <w:szCs w:val="20"/>
          <w:lang w:val="es-ES"/>
        </w:rPr>
        <w:t>pu</w:t>
      </w:r>
      <w:r w:rsidR="00626144" w:rsidRPr="00E450D6">
        <w:rPr>
          <w:sz w:val="20"/>
          <w:szCs w:val="20"/>
          <w:lang w:val="es-ES"/>
        </w:rPr>
        <w:t>sieron</w:t>
      </w:r>
      <w:r w:rsidR="00C12F2B" w:rsidRPr="00E450D6">
        <w:rPr>
          <w:sz w:val="20"/>
          <w:szCs w:val="20"/>
          <w:lang w:val="es-ES"/>
        </w:rPr>
        <w:t xml:space="preserve"> en </w:t>
      </w:r>
      <w:r w:rsidR="009A0534" w:rsidRPr="00E450D6">
        <w:rPr>
          <w:sz w:val="20"/>
          <w:szCs w:val="20"/>
          <w:lang w:val="es-ES"/>
        </w:rPr>
        <w:t>conocimiento de las autoridades</w:t>
      </w:r>
      <w:r w:rsidR="00626144" w:rsidRPr="00E450D6">
        <w:rPr>
          <w:sz w:val="20"/>
          <w:szCs w:val="20"/>
          <w:lang w:val="es-ES"/>
        </w:rPr>
        <w:t xml:space="preserve"> su situación de seguridad</w:t>
      </w:r>
      <w:r w:rsidR="00347550" w:rsidRPr="00E450D6">
        <w:rPr>
          <w:sz w:val="20"/>
          <w:szCs w:val="20"/>
          <w:lang w:val="es-ES"/>
        </w:rPr>
        <w:t>,</w:t>
      </w:r>
      <w:r w:rsidR="00626144" w:rsidRPr="00E450D6">
        <w:rPr>
          <w:sz w:val="20"/>
          <w:szCs w:val="20"/>
          <w:lang w:val="es-ES"/>
        </w:rPr>
        <w:t xml:space="preserve"> y aun así, nunca les fue practicada una evaluación de riesgo</w:t>
      </w:r>
      <w:r w:rsidR="009A0534" w:rsidRPr="00E450D6">
        <w:rPr>
          <w:sz w:val="20"/>
          <w:szCs w:val="20"/>
          <w:lang w:val="es-ES"/>
        </w:rPr>
        <w:t xml:space="preserve">. </w:t>
      </w:r>
      <w:r w:rsidR="007001E6" w:rsidRPr="00E450D6">
        <w:rPr>
          <w:sz w:val="20"/>
          <w:szCs w:val="20"/>
          <w:lang w:val="es-ES"/>
        </w:rPr>
        <w:t xml:space="preserve">Con ello, la Comisión considera que </w:t>
      </w:r>
      <w:r w:rsidR="00050363" w:rsidRPr="00E450D6">
        <w:rPr>
          <w:sz w:val="20"/>
          <w:szCs w:val="20"/>
          <w:lang w:val="es-ES"/>
        </w:rPr>
        <w:t>l</w:t>
      </w:r>
      <w:r w:rsidR="00050363" w:rsidRPr="00E450D6">
        <w:rPr>
          <w:sz w:val="20"/>
          <w:szCs w:val="20"/>
          <w:lang w:val="es-CO"/>
        </w:rPr>
        <w:t>a cuestión del agotamiento de los recursos internos está inextricablemente vinculada a las alegadas violaciones de la Convención Americana, en cuanto a la</w:t>
      </w:r>
      <w:r w:rsidR="00C06E5F" w:rsidRPr="00E450D6">
        <w:rPr>
          <w:sz w:val="20"/>
          <w:szCs w:val="20"/>
          <w:lang w:val="es-CO"/>
        </w:rPr>
        <w:t xml:space="preserve"> falta del deber de prevención </w:t>
      </w:r>
      <w:r w:rsidR="009A1C25" w:rsidRPr="00E450D6">
        <w:rPr>
          <w:sz w:val="20"/>
          <w:szCs w:val="20"/>
          <w:lang w:val="es-CO"/>
        </w:rPr>
        <w:t>en relación con el derecho a la vida del Sr. Molina Balbín</w:t>
      </w:r>
      <w:r w:rsidR="00050363" w:rsidRPr="00E450D6">
        <w:rPr>
          <w:sz w:val="20"/>
          <w:szCs w:val="20"/>
          <w:lang w:val="es-CO"/>
        </w:rPr>
        <w:t xml:space="preserve">. Dada la interconexión entre estos elementos, la Comisión </w:t>
      </w:r>
      <w:r w:rsidR="009A1C25" w:rsidRPr="00E450D6">
        <w:rPr>
          <w:sz w:val="20"/>
          <w:szCs w:val="20"/>
          <w:lang w:val="es-CO"/>
        </w:rPr>
        <w:t xml:space="preserve">concluye </w:t>
      </w:r>
      <w:r w:rsidR="00050363" w:rsidRPr="00E450D6">
        <w:rPr>
          <w:sz w:val="20"/>
          <w:szCs w:val="20"/>
          <w:lang w:val="es-CO"/>
        </w:rPr>
        <w:t xml:space="preserve">que </w:t>
      </w:r>
      <w:r w:rsidR="009A1C25" w:rsidRPr="00E450D6">
        <w:rPr>
          <w:sz w:val="20"/>
          <w:szCs w:val="20"/>
          <w:lang w:val="es-CO"/>
        </w:rPr>
        <w:t xml:space="preserve">el </w:t>
      </w:r>
      <w:r w:rsidR="00C12F2B" w:rsidRPr="00E450D6">
        <w:rPr>
          <w:sz w:val="20"/>
          <w:szCs w:val="20"/>
          <w:lang w:val="es-ES"/>
        </w:rPr>
        <w:t xml:space="preserve">análisis más profundo </w:t>
      </w:r>
      <w:r w:rsidR="009A1C25" w:rsidRPr="00E450D6">
        <w:rPr>
          <w:sz w:val="20"/>
          <w:szCs w:val="20"/>
          <w:lang w:val="es-ES"/>
        </w:rPr>
        <w:t xml:space="preserve">de agotamiento de los recursos internos </w:t>
      </w:r>
      <w:r w:rsidR="00C12F2B" w:rsidRPr="00E450D6">
        <w:rPr>
          <w:sz w:val="20"/>
          <w:szCs w:val="20"/>
          <w:lang w:val="es-ES"/>
        </w:rPr>
        <w:t>corresponde a la etapa de fondo</w:t>
      </w:r>
      <w:r w:rsidR="009A1C25" w:rsidRPr="00E450D6">
        <w:rPr>
          <w:sz w:val="20"/>
          <w:szCs w:val="20"/>
          <w:lang w:val="es-ES"/>
        </w:rPr>
        <w:t>, por lo que</w:t>
      </w:r>
      <w:r w:rsidR="00C12F2B" w:rsidRPr="00E450D6">
        <w:rPr>
          <w:sz w:val="20"/>
          <w:szCs w:val="20"/>
          <w:lang w:val="es-ES"/>
        </w:rPr>
        <w:t xml:space="preserve"> difiere</w:t>
      </w:r>
      <w:r w:rsidR="009B2B1D" w:rsidRPr="00E450D6">
        <w:rPr>
          <w:sz w:val="20"/>
          <w:szCs w:val="20"/>
          <w:lang w:val="es-ES"/>
        </w:rPr>
        <w:t xml:space="preserve"> </w:t>
      </w:r>
      <w:r w:rsidR="009A1C25" w:rsidRPr="00E450D6">
        <w:rPr>
          <w:sz w:val="20"/>
          <w:szCs w:val="20"/>
          <w:lang w:val="es-ES"/>
        </w:rPr>
        <w:t xml:space="preserve">esta cuestión </w:t>
      </w:r>
      <w:r w:rsidR="009B2B1D" w:rsidRPr="00E450D6">
        <w:rPr>
          <w:sz w:val="20"/>
          <w:szCs w:val="20"/>
          <w:lang w:val="es-ES"/>
        </w:rPr>
        <w:t>a</w:t>
      </w:r>
      <w:r w:rsidR="007E79C6" w:rsidRPr="00E450D6">
        <w:rPr>
          <w:sz w:val="20"/>
          <w:szCs w:val="20"/>
          <w:lang w:val="es-ES"/>
        </w:rPr>
        <w:t xml:space="preserve"> dicho momento procesal</w:t>
      </w:r>
      <w:r w:rsidR="009B2B1D" w:rsidRPr="00E450D6">
        <w:rPr>
          <w:sz w:val="20"/>
          <w:szCs w:val="20"/>
          <w:lang w:val="es-ES"/>
        </w:rPr>
        <w:t>.</w:t>
      </w:r>
    </w:p>
    <w:p w14:paraId="1BB37FC9" w14:textId="5E7B0D3E" w:rsidR="00A00E4D" w:rsidRPr="00E450D6" w:rsidRDefault="004659C6" w:rsidP="001539E5">
      <w:pPr>
        <w:pStyle w:val="ListParagraph"/>
        <w:numPr>
          <w:ilvl w:val="0"/>
          <w:numId w:val="61"/>
        </w:numPr>
        <w:ind w:left="0" w:firstLine="720"/>
        <w:jc w:val="both"/>
        <w:rPr>
          <w:sz w:val="20"/>
          <w:szCs w:val="20"/>
          <w:lang w:val="es-ES"/>
        </w:rPr>
      </w:pPr>
      <w:r w:rsidRPr="00E450D6">
        <w:rPr>
          <w:sz w:val="20"/>
          <w:szCs w:val="20"/>
          <w:lang w:val="es-ES"/>
        </w:rPr>
        <w:t>Asimismo</w:t>
      </w:r>
      <w:r w:rsidR="00A00E4D" w:rsidRPr="00E450D6">
        <w:rPr>
          <w:sz w:val="20"/>
          <w:szCs w:val="20"/>
          <w:lang w:val="es-ES"/>
        </w:rPr>
        <w:t xml:space="preserve">, dado que el </w:t>
      </w:r>
      <w:r w:rsidR="005C6764" w:rsidRPr="00E450D6">
        <w:rPr>
          <w:sz w:val="20"/>
          <w:szCs w:val="20"/>
          <w:lang w:val="es-ES"/>
        </w:rPr>
        <w:t xml:space="preserve">asesinato del Sr. Molina Balbín ocurrió </w:t>
      </w:r>
      <w:r w:rsidR="00095EF1" w:rsidRPr="00E450D6">
        <w:rPr>
          <w:sz w:val="20"/>
          <w:szCs w:val="20"/>
          <w:lang w:val="es-ES"/>
        </w:rPr>
        <w:t>el 8 de noviembre de 2005</w:t>
      </w:r>
      <w:r w:rsidR="00A00E4D" w:rsidRPr="00E450D6">
        <w:rPr>
          <w:sz w:val="20"/>
          <w:szCs w:val="20"/>
          <w:lang w:val="es-ES"/>
        </w:rPr>
        <w:t xml:space="preserve">, </w:t>
      </w:r>
      <w:r w:rsidR="005E5970" w:rsidRPr="00E450D6">
        <w:rPr>
          <w:sz w:val="20"/>
          <w:szCs w:val="20"/>
          <w:lang w:val="es-ES"/>
        </w:rPr>
        <w:t xml:space="preserve">y sus familiares </w:t>
      </w:r>
      <w:r w:rsidR="00095EF1" w:rsidRPr="00E450D6">
        <w:rPr>
          <w:sz w:val="20"/>
          <w:szCs w:val="20"/>
          <w:lang w:val="es-ES"/>
        </w:rPr>
        <w:t xml:space="preserve">han planteado sus reclamos </w:t>
      </w:r>
      <w:r w:rsidR="007B6B68" w:rsidRPr="00E450D6">
        <w:rPr>
          <w:sz w:val="20"/>
          <w:szCs w:val="20"/>
          <w:lang w:val="es-ES"/>
        </w:rPr>
        <w:t xml:space="preserve">de manera continua, </w:t>
      </w:r>
      <w:r w:rsidR="00A00E4D" w:rsidRPr="00E450D6">
        <w:rPr>
          <w:sz w:val="20"/>
          <w:szCs w:val="20"/>
          <w:lang w:val="es-ES"/>
        </w:rPr>
        <w:t xml:space="preserve">y en vista de que la petición fue presentada el </w:t>
      </w:r>
      <w:r w:rsidR="00416378" w:rsidRPr="00E450D6">
        <w:rPr>
          <w:sz w:val="20"/>
          <w:szCs w:val="20"/>
          <w:lang w:val="es-ES"/>
        </w:rPr>
        <w:t>31</w:t>
      </w:r>
      <w:r w:rsidR="00A00E4D" w:rsidRPr="00E450D6">
        <w:rPr>
          <w:sz w:val="20"/>
          <w:szCs w:val="20"/>
          <w:lang w:val="es-ES"/>
        </w:rPr>
        <w:t xml:space="preserve"> de </w:t>
      </w:r>
      <w:r w:rsidR="00416378" w:rsidRPr="00E450D6">
        <w:rPr>
          <w:sz w:val="20"/>
          <w:szCs w:val="20"/>
          <w:lang w:val="es-ES"/>
        </w:rPr>
        <w:t xml:space="preserve">marzo </w:t>
      </w:r>
      <w:r w:rsidR="00A00E4D" w:rsidRPr="00E450D6">
        <w:rPr>
          <w:sz w:val="20"/>
          <w:szCs w:val="20"/>
          <w:lang w:val="es-ES"/>
        </w:rPr>
        <w:t>de 201</w:t>
      </w:r>
      <w:r w:rsidR="00416378" w:rsidRPr="00E450D6">
        <w:rPr>
          <w:sz w:val="20"/>
          <w:szCs w:val="20"/>
          <w:lang w:val="es-ES"/>
        </w:rPr>
        <w:t>5</w:t>
      </w:r>
      <w:r w:rsidR="00A00E4D" w:rsidRPr="00E450D6">
        <w:rPr>
          <w:sz w:val="20"/>
          <w:szCs w:val="20"/>
          <w:lang w:val="es-ES"/>
        </w:rPr>
        <w:t xml:space="preserve">, </w:t>
      </w:r>
      <w:r w:rsidR="00416378" w:rsidRPr="00E450D6">
        <w:rPr>
          <w:sz w:val="20"/>
          <w:szCs w:val="20"/>
          <w:lang w:val="es-ES"/>
        </w:rPr>
        <w:t xml:space="preserve">la CIDH </w:t>
      </w:r>
      <w:r w:rsidR="00A00E4D" w:rsidRPr="00E450D6">
        <w:rPr>
          <w:sz w:val="20"/>
          <w:szCs w:val="20"/>
          <w:lang w:val="es-ES"/>
        </w:rPr>
        <w:t>concluye que fue interpuesta dentro de un plazo razonable en los términos del artículo 32.2 del Reglamento de la Comisión.</w:t>
      </w:r>
    </w:p>
    <w:p w14:paraId="67E0B440" w14:textId="15D6FA76" w:rsidR="009B2B1D" w:rsidRPr="00E450D6" w:rsidRDefault="009B2B1D" w:rsidP="009B2B1D">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i/>
          <w:iCs/>
          <w:sz w:val="20"/>
          <w:szCs w:val="20"/>
          <w:lang w:val="es-ES"/>
        </w:rPr>
      </w:pPr>
      <w:r w:rsidRPr="00E450D6">
        <w:rPr>
          <w:i/>
          <w:iCs/>
          <w:sz w:val="20"/>
          <w:szCs w:val="20"/>
          <w:lang w:val="es-ES"/>
        </w:rPr>
        <w:t>Con respecto a la solicitud de una indemnización como parte de la reparación integral</w:t>
      </w:r>
    </w:p>
    <w:p w14:paraId="6A2D76BD" w14:textId="45127A28" w:rsidR="00834AC7" w:rsidRPr="00E450D6" w:rsidRDefault="00834AC7" w:rsidP="00834AC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UY"/>
        </w:rPr>
      </w:pPr>
      <w:r w:rsidRPr="00E450D6">
        <w:rPr>
          <w:sz w:val="20"/>
          <w:szCs w:val="20"/>
          <w:lang w:val="es-ES"/>
        </w:rPr>
        <w:t>Con relación al segundo reclamo concerniente a la falta de reparación integral, la Comisión advierte que la parte peticionaria promovió una demanda de reparación directa que culminó con la decisión proferida por el Consejo de Estado de 19 de julio de 2018. Dado que la petición fue presentada el 31 de marzo de 2015; considera que cumple con lo</w:t>
      </w:r>
      <w:r w:rsidR="00404AD1" w:rsidRPr="00E450D6">
        <w:rPr>
          <w:sz w:val="20"/>
          <w:szCs w:val="20"/>
          <w:lang w:val="es-ES"/>
        </w:rPr>
        <w:t xml:space="preserve">s requisitos previstos </w:t>
      </w:r>
      <w:r w:rsidRPr="00E450D6">
        <w:rPr>
          <w:sz w:val="20"/>
          <w:szCs w:val="20"/>
          <w:lang w:val="es-ES"/>
        </w:rPr>
        <w:t>en los artículos 46.1.a) y b) de la Convención Americana.</w:t>
      </w:r>
    </w:p>
    <w:p w14:paraId="673598AF" w14:textId="37D10EB1" w:rsidR="003239B8" w:rsidRPr="00E450D6" w:rsidRDefault="003239B8" w:rsidP="00834AC7">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UY"/>
        </w:rPr>
      </w:pPr>
      <w:r w:rsidRPr="00E450D6">
        <w:rPr>
          <w:rFonts w:asciiTheme="majorHAnsi" w:hAnsiTheme="majorHAnsi"/>
          <w:b/>
          <w:bCs/>
          <w:sz w:val="20"/>
          <w:szCs w:val="20"/>
          <w:lang w:val="es-ES"/>
        </w:rPr>
        <w:t>VII.</w:t>
      </w:r>
      <w:r w:rsidRPr="00E450D6">
        <w:rPr>
          <w:rFonts w:asciiTheme="majorHAnsi" w:hAnsiTheme="majorHAnsi"/>
          <w:b/>
          <w:bCs/>
          <w:sz w:val="20"/>
          <w:szCs w:val="20"/>
          <w:lang w:val="es-ES"/>
        </w:rPr>
        <w:tab/>
      </w:r>
      <w:r w:rsidR="004A6A54" w:rsidRPr="00E450D6">
        <w:rPr>
          <w:rFonts w:asciiTheme="majorHAnsi" w:hAnsiTheme="majorHAnsi"/>
          <w:b/>
          <w:bCs/>
          <w:sz w:val="20"/>
          <w:szCs w:val="20"/>
          <w:lang w:val="es-ES_tradnl"/>
        </w:rPr>
        <w:t xml:space="preserve">ANÁLISIS DE </w:t>
      </w:r>
      <w:r w:rsidR="00C21FEF" w:rsidRPr="00E450D6">
        <w:rPr>
          <w:rFonts w:asciiTheme="majorHAnsi" w:hAnsiTheme="majorHAnsi"/>
          <w:b/>
          <w:bCs/>
          <w:sz w:val="20"/>
          <w:szCs w:val="20"/>
          <w:lang w:val="es-ES"/>
        </w:rPr>
        <w:t xml:space="preserve">CARACTERIZACIÓN </w:t>
      </w:r>
      <w:r w:rsidR="00C21FEF" w:rsidRPr="00E450D6">
        <w:rPr>
          <w:rFonts w:asciiTheme="majorHAnsi" w:hAnsiTheme="majorHAnsi"/>
          <w:b/>
          <w:bCs/>
          <w:sz w:val="20"/>
          <w:szCs w:val="20"/>
          <w:lang w:val="es-UY"/>
        </w:rPr>
        <w:t>DE LOS HECHOS ALEGADOS</w:t>
      </w:r>
    </w:p>
    <w:p w14:paraId="2DDF1999" w14:textId="743001A7" w:rsidR="006E621A" w:rsidRDefault="00A910D8" w:rsidP="00B9393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E450D6">
        <w:rPr>
          <w:sz w:val="20"/>
          <w:szCs w:val="20"/>
          <w:lang w:val="es-ES"/>
        </w:rPr>
        <w:t>L</w:t>
      </w:r>
      <w:r w:rsidR="003D1B1E" w:rsidRPr="00E450D6">
        <w:rPr>
          <w:sz w:val="20"/>
          <w:szCs w:val="20"/>
          <w:lang w:val="es-ES"/>
        </w:rPr>
        <w:t xml:space="preserve">a Comisión </w:t>
      </w:r>
      <w:r w:rsidRPr="00E450D6">
        <w:rPr>
          <w:sz w:val="20"/>
          <w:szCs w:val="20"/>
          <w:lang w:val="es-ES"/>
        </w:rPr>
        <w:t xml:space="preserve">observa que la presente petición </w:t>
      </w:r>
      <w:r w:rsidR="00011C43" w:rsidRPr="00E450D6">
        <w:rPr>
          <w:sz w:val="20"/>
          <w:szCs w:val="20"/>
          <w:lang w:val="es-ES"/>
        </w:rPr>
        <w:t>incluye alegatos relacion</w:t>
      </w:r>
      <w:r w:rsidR="003E70CB" w:rsidRPr="00E450D6">
        <w:rPr>
          <w:sz w:val="20"/>
          <w:szCs w:val="20"/>
          <w:lang w:val="es-ES"/>
        </w:rPr>
        <w:t>ado</w:t>
      </w:r>
      <w:r w:rsidR="00011C43" w:rsidRPr="00E450D6">
        <w:rPr>
          <w:sz w:val="20"/>
          <w:szCs w:val="20"/>
          <w:lang w:val="es-ES"/>
        </w:rPr>
        <w:t xml:space="preserve">s con la falta de </w:t>
      </w:r>
      <w:r w:rsidR="004C2CAF" w:rsidRPr="00E450D6">
        <w:rPr>
          <w:sz w:val="20"/>
          <w:szCs w:val="20"/>
          <w:lang w:val="es-ES"/>
        </w:rPr>
        <w:t>prevención del homicidio del Sr. Molina Balbín y la in</w:t>
      </w:r>
      <w:r w:rsidR="00011C43" w:rsidRPr="00E450D6">
        <w:rPr>
          <w:sz w:val="20"/>
          <w:szCs w:val="20"/>
          <w:lang w:val="es-ES"/>
        </w:rPr>
        <w:t xml:space="preserve">efectividad del proceso contencioso-administrativo para brindar una reparación integral a la familia </w:t>
      </w:r>
      <w:r w:rsidR="009D4368" w:rsidRPr="00E450D6">
        <w:rPr>
          <w:sz w:val="20"/>
          <w:szCs w:val="20"/>
          <w:lang w:val="es-ES"/>
        </w:rPr>
        <w:t>Molina Vélez que comprendiera la orden de investigar a los funcionarios públicos involucrados en los hechos.</w:t>
      </w:r>
      <w:r w:rsidR="00315556" w:rsidRPr="00E450D6">
        <w:rPr>
          <w:sz w:val="20"/>
          <w:szCs w:val="20"/>
          <w:lang w:val="es-ES"/>
        </w:rPr>
        <w:t xml:space="preserve"> El Estado, por su parte, sostiene que </w:t>
      </w:r>
      <w:r w:rsidR="00DD2074" w:rsidRPr="00E450D6">
        <w:rPr>
          <w:sz w:val="20"/>
          <w:szCs w:val="20"/>
          <w:lang w:val="es-ES"/>
        </w:rPr>
        <w:t xml:space="preserve">la </w:t>
      </w:r>
      <w:r w:rsidR="00F303E2" w:rsidRPr="00E450D6">
        <w:rPr>
          <w:sz w:val="20"/>
          <w:szCs w:val="20"/>
          <w:lang w:val="es-ES"/>
        </w:rPr>
        <w:t>denuncia</w:t>
      </w:r>
      <w:r w:rsidR="003470E2" w:rsidRPr="00E450D6">
        <w:rPr>
          <w:sz w:val="20"/>
          <w:szCs w:val="20"/>
          <w:lang w:val="es-ES"/>
        </w:rPr>
        <w:t xml:space="preserve"> incurre en la denominada fórmula de la cuarta instancia internacional </w:t>
      </w:r>
      <w:r w:rsidR="003833AC" w:rsidRPr="00E450D6">
        <w:rPr>
          <w:sz w:val="20"/>
          <w:szCs w:val="20"/>
          <w:lang w:val="es-ES"/>
        </w:rPr>
        <w:t xml:space="preserve">porque la parte peticionaria pretende que la </w:t>
      </w:r>
      <w:r w:rsidR="00943347" w:rsidRPr="00E450D6">
        <w:rPr>
          <w:sz w:val="20"/>
          <w:szCs w:val="20"/>
          <w:lang w:val="es-ES"/>
        </w:rPr>
        <w:t>CIDH revise la sentencia de reparación directa como un tribunal de alzada, sin que existan violaciones de derechos humanos dentro del proceso</w:t>
      </w:r>
      <w:r w:rsidR="009F6CC4" w:rsidRPr="00E450D6">
        <w:rPr>
          <w:sz w:val="20"/>
          <w:szCs w:val="20"/>
          <w:lang w:val="es-ES"/>
        </w:rPr>
        <w:t>.</w:t>
      </w:r>
    </w:p>
    <w:p w14:paraId="23B41C88" w14:textId="77777777" w:rsidR="006324AC" w:rsidRPr="00E450D6" w:rsidRDefault="006324AC" w:rsidP="006324AC">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sz w:val="20"/>
          <w:szCs w:val="20"/>
          <w:lang w:val="es-ES"/>
        </w:rPr>
      </w:pPr>
    </w:p>
    <w:p w14:paraId="7EA68004" w14:textId="77777777" w:rsidR="00EC5019" w:rsidRPr="00E450D6" w:rsidRDefault="00EC5019" w:rsidP="00EC5019">
      <w:pPr>
        <w:pStyle w:val="ListParagraph"/>
        <w:numPr>
          <w:ilvl w:val="0"/>
          <w:numId w:val="61"/>
        </w:numPr>
        <w:suppressAutoHyphens/>
        <w:ind w:left="0" w:firstLine="720"/>
        <w:jc w:val="both"/>
        <w:rPr>
          <w:sz w:val="20"/>
          <w:szCs w:val="20"/>
          <w:lang w:val="es-ES"/>
        </w:rPr>
      </w:pPr>
      <w:r w:rsidRPr="00E450D6">
        <w:rPr>
          <w:sz w:val="20"/>
          <w:szCs w:val="20"/>
          <w:lang w:val="es-CO"/>
        </w:rPr>
        <w:lastRenderedPageBreak/>
        <w:t xml:space="preserve">La Comisión reitera que el criterio de evaluación de la fase de admisibilidad difiere del que se utiliza para pronunciarse sobre el fondo de una petición; la CIDH debe realizar en esta etapa una evaluación </w:t>
      </w:r>
      <w:r w:rsidRPr="00E450D6">
        <w:rPr>
          <w:i/>
          <w:iCs/>
          <w:sz w:val="20"/>
          <w:szCs w:val="20"/>
          <w:lang w:val="es-CO"/>
        </w:rPr>
        <w:t>prima facie</w:t>
      </w:r>
      <w:r w:rsidRPr="00E450D6">
        <w:rPr>
          <w:sz w:val="20"/>
          <w:szCs w:val="20"/>
          <w:lang w:val="es-CO"/>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4E7D0D21" w14:textId="3DB31632" w:rsidR="007B3899" w:rsidRPr="00E450D6" w:rsidRDefault="0011722F" w:rsidP="007B3899">
      <w:pPr>
        <w:pStyle w:val="ListParagraph"/>
        <w:numPr>
          <w:ilvl w:val="0"/>
          <w:numId w:val="61"/>
        </w:numPr>
        <w:suppressAutoHyphens/>
        <w:ind w:left="0" w:firstLine="720"/>
        <w:jc w:val="both"/>
        <w:rPr>
          <w:sz w:val="20"/>
          <w:szCs w:val="20"/>
          <w:lang w:val="es-ES"/>
        </w:rPr>
      </w:pPr>
      <w:r w:rsidRPr="00E450D6">
        <w:rPr>
          <w:sz w:val="20"/>
          <w:szCs w:val="20"/>
          <w:lang w:val="es-ES"/>
        </w:rPr>
        <w:t xml:space="preserve">En primer lugar, en cuanto al reclamo de la falta al deber de prevención, la CIDH </w:t>
      </w:r>
      <w:r w:rsidR="005A4704" w:rsidRPr="00E450D6">
        <w:rPr>
          <w:sz w:val="20"/>
          <w:szCs w:val="20"/>
          <w:lang w:val="es-ES"/>
        </w:rPr>
        <w:t xml:space="preserve">estima que </w:t>
      </w:r>
      <w:r w:rsidR="00DF75C6" w:rsidRPr="00E450D6">
        <w:rPr>
          <w:sz w:val="20"/>
          <w:szCs w:val="20"/>
          <w:lang w:val="es-ES"/>
        </w:rPr>
        <w:t>las alegaciones de la parte peticionaria no resultan manifiestamente infundadas y requieren un estudio de fondo; pues los hechos alegados, de corroborarse como ciertos, podrían caracterizar violaciones a los artículos</w:t>
      </w:r>
      <w:r w:rsidR="0075154D" w:rsidRPr="00E450D6">
        <w:rPr>
          <w:sz w:val="20"/>
          <w:szCs w:val="20"/>
          <w:lang w:val="es-ES"/>
        </w:rPr>
        <w:t xml:space="preserve"> 4 (vida), 5 (integridad personal), 8 (garantías judiciales), 17 (protección a la familia) y 25 (protección judicial) de la Convención Americana sobre Derechos Humanos.</w:t>
      </w:r>
      <w:r w:rsidR="00DF75C6" w:rsidRPr="00E450D6">
        <w:rPr>
          <w:sz w:val="20"/>
          <w:szCs w:val="20"/>
          <w:lang w:val="es-ES"/>
        </w:rPr>
        <w:t xml:space="preserve"> </w:t>
      </w:r>
    </w:p>
    <w:p w14:paraId="6BC3402D" w14:textId="5BDFB377" w:rsidR="00C918F6" w:rsidRPr="00E450D6" w:rsidRDefault="00C918F6" w:rsidP="00B9393A">
      <w:pPr>
        <w:pStyle w:val="ListParagraph"/>
        <w:numPr>
          <w:ilvl w:val="0"/>
          <w:numId w:val="61"/>
        </w:numPr>
        <w:suppressAutoHyphens/>
        <w:ind w:left="0" w:firstLine="720"/>
        <w:jc w:val="both"/>
        <w:rPr>
          <w:sz w:val="20"/>
          <w:szCs w:val="20"/>
          <w:lang w:val="es-ES_tradnl"/>
        </w:rPr>
      </w:pPr>
      <w:r w:rsidRPr="00E450D6">
        <w:rPr>
          <w:sz w:val="20"/>
          <w:szCs w:val="20"/>
          <w:lang w:val="es-ES_tradnl"/>
        </w:rPr>
        <w:t xml:space="preserve">En </w:t>
      </w:r>
      <w:r w:rsidR="00EC5019" w:rsidRPr="00E450D6">
        <w:rPr>
          <w:sz w:val="20"/>
          <w:szCs w:val="20"/>
          <w:lang w:val="es-ES_tradnl"/>
        </w:rPr>
        <w:t>relación con el segundo reclamo de índole indemnizatoria,</w:t>
      </w:r>
      <w:r w:rsidRPr="00E450D6">
        <w:rPr>
          <w:sz w:val="20"/>
          <w:szCs w:val="20"/>
          <w:lang w:val="es-ES_tradnl"/>
        </w:rPr>
        <w:t xml:space="preserve"> </w:t>
      </w:r>
      <w:r w:rsidR="00EC5019" w:rsidRPr="00E450D6">
        <w:rPr>
          <w:sz w:val="20"/>
          <w:szCs w:val="20"/>
          <w:lang w:val="es-ES_tradnl"/>
        </w:rPr>
        <w:t xml:space="preserve">la Comisión recuerda que </w:t>
      </w:r>
      <w:r w:rsidRPr="00E450D6">
        <w:rPr>
          <w:sz w:val="20"/>
          <w:szCs w:val="20"/>
          <w:lang w:val="es-ES_tradnl"/>
        </w:rPr>
        <w:t>el derecho de acceso a la justicia derivado de la lectura conjunta de los artículos 8.1 y 25.1 de la Convención Americana “</w:t>
      </w:r>
      <w:r w:rsidRPr="00E450D6">
        <w:rPr>
          <w:i/>
          <w:iCs/>
          <w:sz w:val="20"/>
          <w:szCs w:val="20"/>
          <w:lang w:val="es-ES_tradnl"/>
        </w:rPr>
        <w:t>confiere a los familiares de las víctimas el derecho a que se reparen los perjuicios sufridos por la muerte de sus seres queridos</w:t>
      </w:r>
      <w:r w:rsidRPr="00E450D6">
        <w:rPr>
          <w:sz w:val="20"/>
          <w:szCs w:val="20"/>
          <w:lang w:val="es-ES_tradnl"/>
        </w:rPr>
        <w:t>”</w:t>
      </w:r>
      <w:r w:rsidRPr="00E450D6">
        <w:rPr>
          <w:sz w:val="20"/>
          <w:szCs w:val="20"/>
          <w:vertAlign w:val="superscript"/>
          <w:lang w:val="es-ES_tradnl"/>
        </w:rPr>
        <w:footnoteReference w:id="7"/>
      </w:r>
      <w:r w:rsidRPr="00E450D6">
        <w:rPr>
          <w:sz w:val="20"/>
          <w:szCs w:val="20"/>
          <w:lang w:val="es-ES_tradnl"/>
        </w:rPr>
        <w:t>. No obstante, la CIDH ha limitado el análisis de la violación del derecho a acceder a un recurso judicial efectivo a que no se circunscriba a determinar un monto específico de indemnización o a reemplazar a los tribunales internos cuando las presuntas víctimas están disconformes con los montos otorgados a nivel interno</w:t>
      </w:r>
      <w:r w:rsidRPr="00E450D6">
        <w:rPr>
          <w:sz w:val="20"/>
          <w:szCs w:val="20"/>
          <w:vertAlign w:val="superscript"/>
          <w:lang w:val="es-ES_tradnl"/>
        </w:rPr>
        <w:footnoteReference w:id="8"/>
      </w:r>
      <w:r w:rsidRPr="00E450D6">
        <w:rPr>
          <w:sz w:val="20"/>
          <w:szCs w:val="20"/>
          <w:lang w:val="es-ES_tradnl"/>
        </w:rPr>
        <w:t>.</w:t>
      </w:r>
    </w:p>
    <w:p w14:paraId="1DAFA46A" w14:textId="76AE3560" w:rsidR="00B37F50" w:rsidRPr="00E450D6" w:rsidRDefault="00B840E0" w:rsidP="00B9393A">
      <w:pPr>
        <w:pStyle w:val="ListParagraph"/>
        <w:numPr>
          <w:ilvl w:val="0"/>
          <w:numId w:val="61"/>
        </w:numPr>
        <w:suppressAutoHyphens/>
        <w:ind w:left="0" w:firstLine="720"/>
        <w:jc w:val="both"/>
        <w:rPr>
          <w:sz w:val="20"/>
          <w:szCs w:val="20"/>
          <w:lang w:val="es-ES_tradnl"/>
        </w:rPr>
      </w:pPr>
      <w:r w:rsidRPr="00E450D6">
        <w:rPr>
          <w:sz w:val="20"/>
          <w:szCs w:val="20"/>
          <w:lang w:val="es-ES"/>
        </w:rPr>
        <w:t xml:space="preserve">En el presente caso, </w:t>
      </w:r>
      <w:r w:rsidR="00E655CE" w:rsidRPr="00E450D6">
        <w:rPr>
          <w:sz w:val="20"/>
          <w:szCs w:val="20"/>
          <w:lang w:val="es-ES"/>
        </w:rPr>
        <w:t xml:space="preserve">la CIDH nota que </w:t>
      </w:r>
      <w:r w:rsidR="007D78CD" w:rsidRPr="00E450D6">
        <w:rPr>
          <w:sz w:val="20"/>
          <w:szCs w:val="20"/>
          <w:lang w:val="es-ES"/>
        </w:rPr>
        <w:t xml:space="preserve">la parte peticionaria </w:t>
      </w:r>
      <w:r w:rsidR="00B817D5">
        <w:rPr>
          <w:sz w:val="20"/>
          <w:szCs w:val="20"/>
          <w:lang w:val="es-ES"/>
        </w:rPr>
        <w:t>aduce</w:t>
      </w:r>
      <w:r w:rsidR="007D78CD" w:rsidRPr="00E450D6">
        <w:rPr>
          <w:sz w:val="20"/>
          <w:szCs w:val="20"/>
          <w:lang w:val="es-ES"/>
        </w:rPr>
        <w:t xml:space="preserve"> que la sentencia que ordenó la indemnización a su favor no </w:t>
      </w:r>
      <w:r w:rsidR="002C2A66" w:rsidRPr="00E450D6">
        <w:rPr>
          <w:sz w:val="20"/>
          <w:szCs w:val="20"/>
          <w:lang w:val="es-ES"/>
        </w:rPr>
        <w:t>constituyó una forma de reparación integral porque no ordenó investigar la responsabilidad penal de los funcionarios estatales involucrados. Sin embargo, la Comisión considera que ése no era el recurso adecuado para investigar este tipo de responsabilidades, como sí lo era la jurisdicción penal</w:t>
      </w:r>
      <w:r w:rsidR="0026116B" w:rsidRPr="00E450D6">
        <w:rPr>
          <w:sz w:val="20"/>
          <w:szCs w:val="20"/>
          <w:lang w:val="es-ES"/>
        </w:rPr>
        <w:t>.</w:t>
      </w:r>
    </w:p>
    <w:p w14:paraId="3B17133C" w14:textId="164CDD95" w:rsidR="00D8463B" w:rsidRPr="00E450D6" w:rsidRDefault="00C60699" w:rsidP="00B9393A">
      <w:pPr>
        <w:pStyle w:val="ListParagraph"/>
        <w:numPr>
          <w:ilvl w:val="0"/>
          <w:numId w:val="61"/>
        </w:numPr>
        <w:suppressAutoHyphens/>
        <w:ind w:left="0" w:firstLine="720"/>
        <w:jc w:val="both"/>
        <w:rPr>
          <w:sz w:val="20"/>
          <w:szCs w:val="20"/>
          <w:lang w:val="es-ES"/>
        </w:rPr>
      </w:pPr>
      <w:r w:rsidRPr="00E450D6">
        <w:rPr>
          <w:sz w:val="20"/>
          <w:szCs w:val="20"/>
          <w:lang w:val="es-ES"/>
        </w:rPr>
        <w:t>L</w:t>
      </w:r>
      <w:r w:rsidR="009F08DC" w:rsidRPr="00E450D6">
        <w:rPr>
          <w:sz w:val="20"/>
          <w:szCs w:val="20"/>
          <w:lang w:val="es-ES"/>
        </w:rPr>
        <w:t xml:space="preserve">a Comisión </w:t>
      </w:r>
      <w:r w:rsidR="007A13EA" w:rsidRPr="00E450D6">
        <w:rPr>
          <w:sz w:val="20"/>
          <w:szCs w:val="20"/>
          <w:lang w:val="es-ES"/>
        </w:rPr>
        <w:t>reitera</w:t>
      </w:r>
      <w:r w:rsidR="009F08DC" w:rsidRPr="00E450D6">
        <w:rPr>
          <w:sz w:val="20"/>
          <w:szCs w:val="20"/>
          <w:lang w:val="es-ES"/>
        </w:rPr>
        <w:t xml:space="preserve"> que no puede revisar sentencias dentro de procesos que respetaron </w:t>
      </w:r>
      <w:r w:rsidR="00B25FC1" w:rsidRPr="00E450D6">
        <w:rPr>
          <w:sz w:val="20"/>
          <w:szCs w:val="20"/>
          <w:lang w:val="es-ES"/>
        </w:rPr>
        <w:t>las garantías judiciales</w:t>
      </w:r>
      <w:r w:rsidR="009F08DC" w:rsidRPr="00E450D6">
        <w:rPr>
          <w:sz w:val="20"/>
          <w:szCs w:val="20"/>
          <w:lang w:val="es-ES"/>
        </w:rPr>
        <w:t xml:space="preserve"> y </w:t>
      </w:r>
      <w:r w:rsidR="00E9528A" w:rsidRPr="00E450D6">
        <w:rPr>
          <w:sz w:val="20"/>
          <w:szCs w:val="20"/>
          <w:lang w:val="es-ES"/>
        </w:rPr>
        <w:t>en los que no se alegan violaciones de fondo</w:t>
      </w:r>
      <w:r w:rsidRPr="00E450D6">
        <w:rPr>
          <w:sz w:val="20"/>
          <w:szCs w:val="20"/>
          <w:lang w:val="es-ES"/>
        </w:rPr>
        <w:t>, particularmente, porque ha quedado acreditado que el recurso utilizado fue efectivo para alcanzar la indemnización que pretendían las presuntas víctimas</w:t>
      </w:r>
      <w:r w:rsidR="00E9528A" w:rsidRPr="00E450D6">
        <w:rPr>
          <w:sz w:val="20"/>
          <w:szCs w:val="20"/>
          <w:lang w:val="es-ES"/>
        </w:rPr>
        <w:t>.</w:t>
      </w:r>
      <w:r w:rsidR="005E3796">
        <w:rPr>
          <w:sz w:val="20"/>
          <w:szCs w:val="20"/>
          <w:lang w:val="es-ES"/>
        </w:rPr>
        <w:t xml:space="preserve"> El resultado les fue favorable</w:t>
      </w:r>
      <w:r w:rsidR="00E125B0">
        <w:rPr>
          <w:sz w:val="20"/>
          <w:szCs w:val="20"/>
          <w:lang w:val="es-ES"/>
        </w:rPr>
        <w:t xml:space="preserve"> en este </w:t>
      </w:r>
      <w:r w:rsidR="00E125B0" w:rsidRPr="00E450D6">
        <w:rPr>
          <w:bCs/>
          <w:sz w:val="20"/>
          <w:szCs w:val="20"/>
          <w:lang w:val="es-ES"/>
        </w:rPr>
        <w:t>proceso contencioso-administrativo</w:t>
      </w:r>
      <w:r w:rsidR="00E125B0">
        <w:rPr>
          <w:sz w:val="20"/>
          <w:szCs w:val="20"/>
          <w:lang w:val="es-ES"/>
        </w:rPr>
        <w:t xml:space="preserve">. </w:t>
      </w:r>
      <w:r w:rsidR="00E125B0">
        <w:rPr>
          <w:bCs/>
          <w:sz w:val="20"/>
          <w:szCs w:val="20"/>
          <w:lang w:val="es-ES"/>
        </w:rPr>
        <w:t>A este respecto</w:t>
      </w:r>
      <w:r w:rsidR="00C918F6" w:rsidRPr="00E450D6">
        <w:rPr>
          <w:bCs/>
          <w:sz w:val="20"/>
          <w:szCs w:val="20"/>
          <w:lang w:val="es-ES"/>
        </w:rPr>
        <w:t xml:space="preserve">, los alegatos de la parte peticionaria </w:t>
      </w:r>
      <w:r w:rsidR="00E125B0">
        <w:rPr>
          <w:bCs/>
          <w:sz w:val="20"/>
          <w:szCs w:val="20"/>
          <w:lang w:val="es-ES"/>
        </w:rPr>
        <w:t>n</w:t>
      </w:r>
      <w:r w:rsidR="00C918F6" w:rsidRPr="00E450D6">
        <w:rPr>
          <w:bCs/>
          <w:sz w:val="20"/>
          <w:szCs w:val="20"/>
          <w:lang w:val="es-ES"/>
        </w:rPr>
        <w:t xml:space="preserve">o </w:t>
      </w:r>
      <w:r w:rsidR="00336D44" w:rsidRPr="00E450D6">
        <w:rPr>
          <w:bCs/>
          <w:sz w:val="20"/>
          <w:szCs w:val="20"/>
          <w:lang w:val="es-ES"/>
        </w:rPr>
        <w:t>detallan ninguna violación de los derechos protegidos por la Convención, sino que se refiere a un proceso de naturaleza distinta, cuyos recursos no agotaron.</w:t>
      </w:r>
    </w:p>
    <w:p w14:paraId="47732533" w14:textId="173191FF" w:rsidR="00B25FC1" w:rsidRPr="00E450D6" w:rsidRDefault="009C3616" w:rsidP="00B9393A">
      <w:pPr>
        <w:pStyle w:val="ListParagraph"/>
        <w:numPr>
          <w:ilvl w:val="0"/>
          <w:numId w:val="61"/>
        </w:numPr>
        <w:suppressAutoHyphens/>
        <w:ind w:left="0" w:firstLine="720"/>
        <w:jc w:val="both"/>
        <w:rPr>
          <w:sz w:val="20"/>
          <w:szCs w:val="20"/>
          <w:lang w:val="es-ES"/>
        </w:rPr>
      </w:pPr>
      <w:r w:rsidRPr="00E450D6">
        <w:rPr>
          <w:bCs/>
          <w:sz w:val="20"/>
          <w:szCs w:val="20"/>
          <w:lang w:val="es-ES"/>
        </w:rPr>
        <w:t>En consecuencia, corresponde declarar la inadmisibilidad de la petición en este extremo porque</w:t>
      </w:r>
      <w:r w:rsidR="00C8503C" w:rsidRPr="00E450D6">
        <w:rPr>
          <w:bCs/>
          <w:sz w:val="20"/>
          <w:szCs w:val="20"/>
          <w:lang w:val="es-ES"/>
        </w:rPr>
        <w:t xml:space="preserve"> no se ha acreditado siquiera </w:t>
      </w:r>
      <w:r w:rsidRPr="00E450D6">
        <w:rPr>
          <w:bCs/>
          <w:i/>
          <w:iCs/>
          <w:sz w:val="20"/>
          <w:szCs w:val="20"/>
          <w:lang w:val="es-ES"/>
        </w:rPr>
        <w:t>prima facie</w:t>
      </w:r>
      <w:r w:rsidRPr="00E450D6">
        <w:rPr>
          <w:bCs/>
          <w:sz w:val="20"/>
          <w:szCs w:val="20"/>
          <w:lang w:val="es-ES"/>
        </w:rPr>
        <w:t xml:space="preserve"> </w:t>
      </w:r>
      <w:r w:rsidR="00C8503C" w:rsidRPr="00E450D6">
        <w:rPr>
          <w:bCs/>
          <w:sz w:val="20"/>
          <w:szCs w:val="20"/>
          <w:lang w:val="es-ES"/>
        </w:rPr>
        <w:t>la existencia de violaciones a derechos contenidos en la Convención Americana en el marco del proceso contencioso-administrativo.</w:t>
      </w:r>
      <w:r w:rsidR="0042254F" w:rsidRPr="00E450D6">
        <w:rPr>
          <w:bCs/>
          <w:sz w:val="20"/>
          <w:szCs w:val="20"/>
          <w:lang w:val="es-ES"/>
        </w:rPr>
        <w:t xml:space="preserve"> </w:t>
      </w:r>
      <w:r w:rsidR="00DF75C6" w:rsidRPr="00E450D6">
        <w:rPr>
          <w:bCs/>
          <w:sz w:val="20"/>
          <w:szCs w:val="20"/>
          <w:lang w:val="es-ES"/>
        </w:rPr>
        <w:t>No obstante, la Comisión, en la etapa de fondo, podrá establecer las reparaciones que correspondan a la posible violación de los derechos a la vida</w:t>
      </w:r>
      <w:r w:rsidR="0018741C" w:rsidRPr="00E450D6">
        <w:rPr>
          <w:bCs/>
          <w:sz w:val="20"/>
          <w:szCs w:val="20"/>
          <w:lang w:val="es-ES"/>
        </w:rPr>
        <w:t>, integridad personal y protección a la familia</w:t>
      </w:r>
      <w:r w:rsidR="00DF75C6" w:rsidRPr="00E450D6">
        <w:rPr>
          <w:bCs/>
          <w:sz w:val="20"/>
          <w:szCs w:val="20"/>
          <w:lang w:val="es-ES"/>
        </w:rPr>
        <w:t>.</w:t>
      </w:r>
    </w:p>
    <w:p w14:paraId="445BF42E" w14:textId="77777777" w:rsidR="003239B8" w:rsidRPr="00E450D6" w:rsidRDefault="003239B8" w:rsidP="00B9393A">
      <w:pPr>
        <w:pStyle w:val="ListParagraph"/>
        <w:numPr>
          <w:ilvl w:val="0"/>
          <w:numId w:val="0"/>
        </w:numPr>
        <w:ind w:firstLine="720"/>
        <w:jc w:val="both"/>
        <w:rPr>
          <w:rFonts w:asciiTheme="majorHAnsi" w:hAnsiTheme="majorHAnsi"/>
          <w:b/>
          <w:bCs/>
          <w:sz w:val="20"/>
          <w:szCs w:val="20"/>
          <w:lang w:val="es-ES"/>
        </w:rPr>
      </w:pPr>
      <w:r w:rsidRPr="00E450D6">
        <w:rPr>
          <w:rFonts w:asciiTheme="majorHAnsi" w:hAnsiTheme="majorHAnsi"/>
          <w:b/>
          <w:bCs/>
          <w:sz w:val="20"/>
          <w:szCs w:val="20"/>
          <w:lang w:val="es-ES"/>
        </w:rPr>
        <w:t xml:space="preserve">VIII. </w:t>
      </w:r>
      <w:r w:rsidRPr="00E450D6">
        <w:rPr>
          <w:rFonts w:asciiTheme="majorHAnsi" w:hAnsiTheme="majorHAnsi"/>
          <w:b/>
          <w:bCs/>
          <w:sz w:val="20"/>
          <w:szCs w:val="20"/>
          <w:lang w:val="es-ES"/>
        </w:rPr>
        <w:tab/>
        <w:t>DECISIÓN</w:t>
      </w:r>
    </w:p>
    <w:p w14:paraId="16B36F97" w14:textId="6411A4FD" w:rsidR="003239B8" w:rsidRPr="00E450D6" w:rsidRDefault="003239B8" w:rsidP="00B939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E450D6">
        <w:rPr>
          <w:rFonts w:asciiTheme="majorHAnsi" w:hAnsiTheme="majorHAnsi"/>
          <w:sz w:val="20"/>
          <w:szCs w:val="20"/>
          <w:lang w:val="es-ES"/>
        </w:rPr>
        <w:t>Declarar admisible la presente petición</w:t>
      </w:r>
      <w:r w:rsidR="00B15DB5" w:rsidRPr="00E450D6">
        <w:rPr>
          <w:rFonts w:asciiTheme="majorHAnsi" w:hAnsiTheme="majorHAnsi"/>
          <w:sz w:val="20"/>
          <w:szCs w:val="20"/>
          <w:lang w:val="es-ES"/>
        </w:rPr>
        <w:t xml:space="preserve"> en relación con los artículos 4, </w:t>
      </w:r>
      <w:r w:rsidR="002A6033" w:rsidRPr="00E450D6">
        <w:rPr>
          <w:rFonts w:asciiTheme="majorHAnsi" w:hAnsiTheme="majorHAnsi"/>
          <w:sz w:val="20"/>
          <w:szCs w:val="20"/>
          <w:lang w:val="es-ES"/>
        </w:rPr>
        <w:t xml:space="preserve">5, </w:t>
      </w:r>
      <w:r w:rsidR="00B15DB5" w:rsidRPr="00E450D6">
        <w:rPr>
          <w:rFonts w:asciiTheme="majorHAnsi" w:hAnsiTheme="majorHAnsi"/>
          <w:sz w:val="20"/>
          <w:szCs w:val="20"/>
          <w:lang w:val="es-ES"/>
        </w:rPr>
        <w:t>8, 17</w:t>
      </w:r>
      <w:r w:rsidR="00347550" w:rsidRPr="00E450D6">
        <w:rPr>
          <w:rFonts w:asciiTheme="majorHAnsi" w:hAnsiTheme="majorHAnsi"/>
          <w:sz w:val="20"/>
          <w:szCs w:val="20"/>
          <w:lang w:val="es-ES"/>
        </w:rPr>
        <w:t xml:space="preserve"> </w:t>
      </w:r>
      <w:r w:rsidR="00B15DB5" w:rsidRPr="00E450D6">
        <w:rPr>
          <w:rFonts w:asciiTheme="majorHAnsi" w:hAnsiTheme="majorHAnsi"/>
          <w:sz w:val="20"/>
          <w:szCs w:val="20"/>
          <w:lang w:val="es-ES"/>
        </w:rPr>
        <w:t>y 25 de la Convención Americana en conexión con su artículo 1.1</w:t>
      </w:r>
      <w:r w:rsidR="00A758AA" w:rsidRPr="00E450D6">
        <w:rPr>
          <w:rFonts w:asciiTheme="majorHAnsi" w:hAnsiTheme="majorHAnsi"/>
          <w:sz w:val="20"/>
          <w:szCs w:val="20"/>
          <w:lang w:val="es-ES"/>
        </w:rPr>
        <w:t>;</w:t>
      </w:r>
      <w:r w:rsidR="007B76D3" w:rsidRPr="00E450D6">
        <w:rPr>
          <w:rFonts w:asciiTheme="majorHAnsi" w:hAnsiTheme="majorHAnsi"/>
          <w:sz w:val="20"/>
          <w:szCs w:val="20"/>
          <w:lang w:val="es-ES"/>
        </w:rPr>
        <w:t xml:space="preserve"> y</w:t>
      </w:r>
    </w:p>
    <w:p w14:paraId="02C904B2" w14:textId="70C218E2" w:rsidR="009A56CE" w:rsidRDefault="004A6A54" w:rsidP="00B939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450D6">
        <w:rPr>
          <w:rFonts w:asciiTheme="majorHAnsi" w:hAnsiTheme="majorHAnsi"/>
          <w:sz w:val="20"/>
          <w:szCs w:val="20"/>
          <w:lang w:val="es-ES"/>
        </w:rPr>
        <w:lastRenderedPageBreak/>
        <w:t xml:space="preserve">Notificar a las partes la presente decisión; </w:t>
      </w:r>
      <w:r w:rsidR="00744B2D" w:rsidRPr="00E450D6">
        <w:rPr>
          <w:rFonts w:asciiTheme="majorHAnsi" w:hAnsiTheme="majorHAnsi"/>
          <w:color w:val="auto"/>
          <w:sz w:val="20"/>
          <w:szCs w:val="20"/>
          <w:lang w:val="es-ES"/>
        </w:rPr>
        <w:t>continuar con el análisis del fondo de la cuestión;</w:t>
      </w:r>
      <w:r w:rsidR="00744B2D" w:rsidRPr="00E450D6">
        <w:rPr>
          <w:rFonts w:asciiTheme="majorHAnsi" w:hAnsiTheme="majorHAnsi"/>
          <w:color w:val="FF0000"/>
          <w:sz w:val="20"/>
          <w:szCs w:val="20"/>
          <w:lang w:val="es-ES"/>
        </w:rPr>
        <w:t xml:space="preserve"> </w:t>
      </w:r>
      <w:r w:rsidRPr="00E450D6">
        <w:rPr>
          <w:rFonts w:asciiTheme="majorHAnsi" w:hAnsiTheme="majorHAnsi"/>
          <w:sz w:val="20"/>
          <w:szCs w:val="20"/>
          <w:lang w:val="es-ES"/>
        </w:rPr>
        <w:t>y publicar esta decisión e incluirla en su Informe Anual a la Asamblea General de la Organización de los Estados Americanos.</w:t>
      </w:r>
    </w:p>
    <w:p w14:paraId="11EEAD0E" w14:textId="13830B30" w:rsidR="0074686B" w:rsidRPr="003F0E96" w:rsidRDefault="0074686B" w:rsidP="003F0E96">
      <w:pPr>
        <w:suppressAutoHyphens/>
        <w:ind w:firstLine="720"/>
        <w:jc w:val="both"/>
        <w:rPr>
          <w:rFonts w:ascii="Segoe UI" w:hAnsi="Segoe UI" w:cs="Segoe UI"/>
          <w:sz w:val="18"/>
          <w:szCs w:val="18"/>
          <w:lang w:val="es-ES"/>
        </w:rPr>
      </w:pPr>
      <w:r w:rsidRPr="0074686B">
        <w:rPr>
          <w:rStyle w:val="normaltextrun"/>
          <w:rFonts w:ascii="Cambria" w:hAnsi="Cambria" w:cs="Segoe UI"/>
          <w:sz w:val="20"/>
          <w:szCs w:val="20"/>
          <w:lang w:val="es-CL"/>
        </w:rPr>
        <w:t>Aprobado por la Comisión Interameric</w:t>
      </w:r>
      <w:r w:rsidRPr="00500A42">
        <w:rPr>
          <w:rStyle w:val="normaltextrun"/>
          <w:rFonts w:ascii="Cambria" w:hAnsi="Cambria" w:cs="Segoe UI"/>
          <w:sz w:val="20"/>
          <w:szCs w:val="20"/>
          <w:lang w:val="es-CL"/>
        </w:rPr>
        <w:t xml:space="preserve">ana de Derechos Humanos a los </w:t>
      </w:r>
      <w:r w:rsidR="008C160F" w:rsidRPr="00500A42">
        <w:rPr>
          <w:rStyle w:val="normaltextrun"/>
          <w:rFonts w:ascii="Cambria" w:hAnsi="Cambria" w:cs="Segoe UI"/>
          <w:sz w:val="20"/>
          <w:szCs w:val="20"/>
          <w:lang w:val="es-CL"/>
        </w:rPr>
        <w:t>19</w:t>
      </w:r>
      <w:r w:rsidRPr="00500A42">
        <w:rPr>
          <w:rStyle w:val="normaltextrun"/>
          <w:rFonts w:ascii="Cambria" w:hAnsi="Cambria" w:cs="Segoe UI"/>
          <w:sz w:val="20"/>
          <w:szCs w:val="20"/>
          <w:lang w:val="es-CL"/>
        </w:rPr>
        <w:t xml:space="preserve"> días del mes de </w:t>
      </w:r>
      <w:r w:rsidR="008C160F" w:rsidRPr="00500A42">
        <w:rPr>
          <w:rStyle w:val="normaltextrun"/>
          <w:rFonts w:ascii="Cambria" w:hAnsi="Cambria" w:cs="Segoe UI"/>
          <w:sz w:val="20"/>
          <w:szCs w:val="20"/>
          <w:lang w:val="es-CL"/>
        </w:rPr>
        <w:t>julio</w:t>
      </w:r>
      <w:r w:rsidRPr="00500A42">
        <w:rPr>
          <w:rStyle w:val="normaltextrun"/>
          <w:rFonts w:ascii="Cambria" w:hAnsi="Cambria" w:cs="Segoe UI"/>
          <w:sz w:val="20"/>
          <w:szCs w:val="20"/>
          <w:lang w:val="es-CL"/>
        </w:rPr>
        <w:t xml:space="preserve"> de 20</w:t>
      </w:r>
      <w:r w:rsidR="008C160F" w:rsidRPr="00500A42">
        <w:rPr>
          <w:rStyle w:val="normaltextrun"/>
          <w:rFonts w:ascii="Cambria" w:hAnsi="Cambria" w:cs="Segoe UI"/>
          <w:sz w:val="20"/>
          <w:szCs w:val="20"/>
          <w:lang w:val="es-CL"/>
        </w:rPr>
        <w:t>25</w:t>
      </w:r>
      <w:r w:rsidRPr="00500A42">
        <w:rPr>
          <w:rStyle w:val="normaltextrun"/>
          <w:rFonts w:ascii="Cambria" w:hAnsi="Cambria" w:cs="Segoe UI"/>
          <w:sz w:val="20"/>
          <w:szCs w:val="20"/>
          <w:lang w:val="es-CL"/>
        </w:rPr>
        <w:t>.  (Firmado): José Luis Caballero Ochoa, Presidente; Arif Bulkan, Segundo Vicepresidente; Roberta Clarke</w:t>
      </w:r>
      <w:r w:rsidR="008C160F" w:rsidRPr="00500A42">
        <w:rPr>
          <w:rStyle w:val="normaltextrun"/>
          <w:rFonts w:ascii="Cambria" w:hAnsi="Cambria" w:cs="Segoe UI"/>
          <w:sz w:val="20"/>
          <w:szCs w:val="20"/>
          <w:lang w:val="es-CL"/>
        </w:rPr>
        <w:t xml:space="preserve"> </w:t>
      </w:r>
      <w:r w:rsidRPr="00500A42">
        <w:rPr>
          <w:rStyle w:val="normaltextrun"/>
          <w:rFonts w:ascii="Cambria" w:hAnsi="Cambria" w:cs="Segoe UI"/>
          <w:sz w:val="20"/>
          <w:szCs w:val="20"/>
          <w:lang w:val="es-CL"/>
        </w:rPr>
        <w:t xml:space="preserve">y Gloria Monique de Mees, </w:t>
      </w:r>
      <w:r w:rsidR="003F0E96">
        <w:rPr>
          <w:rStyle w:val="normaltextrun"/>
          <w:rFonts w:ascii="Cambria" w:hAnsi="Cambria" w:cs="Segoe UI"/>
          <w:sz w:val="20"/>
          <w:szCs w:val="20"/>
          <w:lang w:val="es-CL"/>
        </w:rPr>
        <w:t>m</w:t>
      </w:r>
      <w:r w:rsidRPr="00500A42">
        <w:rPr>
          <w:rStyle w:val="normaltextrun"/>
          <w:rFonts w:ascii="Cambria" w:hAnsi="Cambria" w:cs="Segoe UI"/>
          <w:sz w:val="20"/>
          <w:szCs w:val="20"/>
          <w:lang w:val="es-CL"/>
        </w:rPr>
        <w:t>iembros de la Comisión.</w:t>
      </w:r>
    </w:p>
    <w:sectPr w:rsidR="0074686B" w:rsidRPr="003F0E9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6A4A" w14:textId="77777777" w:rsidR="00471FCE" w:rsidRDefault="00471FCE">
      <w:r>
        <w:separator/>
      </w:r>
    </w:p>
  </w:endnote>
  <w:endnote w:type="continuationSeparator" w:id="0">
    <w:p w14:paraId="52A9F904" w14:textId="77777777" w:rsidR="00471FCE" w:rsidRDefault="0047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5A71B" w14:textId="77777777" w:rsidR="00471FCE" w:rsidRPr="000F35ED" w:rsidRDefault="00471FC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FA4B656" w14:textId="77777777" w:rsidR="00471FCE" w:rsidRPr="000F35ED" w:rsidRDefault="00471FCE" w:rsidP="000F35ED">
      <w:pPr>
        <w:rPr>
          <w:rFonts w:asciiTheme="majorHAnsi" w:hAnsiTheme="majorHAnsi"/>
          <w:sz w:val="16"/>
          <w:szCs w:val="16"/>
        </w:rPr>
      </w:pPr>
      <w:r w:rsidRPr="000F35ED">
        <w:rPr>
          <w:rFonts w:asciiTheme="majorHAnsi" w:hAnsiTheme="majorHAnsi"/>
          <w:sz w:val="16"/>
          <w:szCs w:val="16"/>
        </w:rPr>
        <w:separator/>
      </w:r>
    </w:p>
    <w:p w14:paraId="7CF3E75E" w14:textId="77777777" w:rsidR="00471FCE" w:rsidRPr="000F35ED" w:rsidRDefault="00471FC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CD0E794" w14:textId="77777777" w:rsidR="00471FCE" w:rsidRPr="000F35ED" w:rsidRDefault="00471FC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711E281D" w:rsidR="004A6A54" w:rsidRPr="00306F33" w:rsidRDefault="004A6A54" w:rsidP="009901FF">
      <w:pPr>
        <w:pStyle w:val="Notasalpie"/>
      </w:pPr>
      <w:r w:rsidRPr="00306F33">
        <w:rPr>
          <w:rStyle w:val="FootnoteReference"/>
        </w:rPr>
        <w:footnoteRef/>
      </w:r>
      <w:r w:rsidRPr="00306F33">
        <w:t xml:space="preserve"> Conforme a lo dispuesto en el artículo 17.2.a del Reglamento de la Comisión, el Comisionado </w:t>
      </w:r>
      <w:r w:rsidR="000A6493">
        <w:t>Carlos Bernal Pulido</w:t>
      </w:r>
      <w:r w:rsidRPr="00306F33">
        <w:t xml:space="preserve">, de nacionalidad </w:t>
      </w:r>
      <w:r w:rsidR="000A6493">
        <w:t>colombiana</w:t>
      </w:r>
      <w:r w:rsidRPr="00306F33">
        <w:t>, no participó en el debate ni en la decisión del presente asunto.</w:t>
      </w:r>
    </w:p>
  </w:footnote>
  <w:footnote w:id="3">
    <w:p w14:paraId="7BB18530" w14:textId="77777777" w:rsidR="00F25CD4" w:rsidRPr="006521A0" w:rsidRDefault="00F25CD4" w:rsidP="00F25CD4">
      <w:pPr>
        <w:pStyle w:val="Notasalpie"/>
      </w:pPr>
      <w:r>
        <w:rPr>
          <w:rStyle w:val="FootnoteReference"/>
        </w:rPr>
        <w:footnoteRef/>
      </w:r>
      <w:r w:rsidRPr="006521A0">
        <w:t xml:space="preserve"> </w:t>
      </w:r>
      <w:r>
        <w:t>En adelante “la Convención Americana” o “la Convención”.</w:t>
      </w:r>
    </w:p>
  </w:footnote>
  <w:footnote w:id="4">
    <w:p w14:paraId="1AFEF3B0" w14:textId="4E36B3A2" w:rsidR="008E3BFE" w:rsidRPr="00306F33" w:rsidRDefault="008E3BFE" w:rsidP="00306F33">
      <w:pPr>
        <w:pStyle w:val="FootnoteText"/>
        <w:ind w:firstLine="720"/>
        <w:jc w:val="both"/>
        <w:rPr>
          <w:rFonts w:asciiTheme="majorHAnsi" w:hAnsiTheme="majorHAnsi"/>
          <w:sz w:val="16"/>
          <w:szCs w:val="16"/>
          <w:lang w:val="es-ES"/>
        </w:rPr>
      </w:pPr>
      <w:r w:rsidRPr="007B64CF">
        <w:rPr>
          <w:rStyle w:val="FootnoteReference"/>
          <w:rFonts w:asciiTheme="majorHAnsi" w:hAnsiTheme="majorHAnsi"/>
          <w:sz w:val="16"/>
          <w:szCs w:val="16"/>
        </w:rPr>
        <w:footnoteRef/>
      </w:r>
      <w:r w:rsidRPr="007B64CF">
        <w:rPr>
          <w:rFonts w:asciiTheme="majorHAnsi" w:hAnsiTheme="majorHAnsi"/>
          <w:sz w:val="16"/>
          <w:szCs w:val="16"/>
          <w:lang w:val="es-ES"/>
        </w:rPr>
        <w:t xml:space="preserve"> Las observaciones de cada parte fueron debidamente trasladadas a la parte contraria.</w:t>
      </w:r>
    </w:p>
  </w:footnote>
  <w:footnote w:id="5">
    <w:p w14:paraId="5086F6C1" w14:textId="77777777" w:rsidR="00222C49" w:rsidRPr="00A11B3B" w:rsidRDefault="00222C49" w:rsidP="00222C49">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Corte IDH. Caso Velásquez Rodríguez Vs. Honduras. Excepciones Preliminares. Sentencia de 26 de junio de 1987. Serie C No. 1, párr. 88</w:t>
      </w:r>
      <w:r>
        <w:rPr>
          <w:rFonts w:ascii="Cambria" w:hAnsi="Cambria"/>
          <w:sz w:val="16"/>
          <w:szCs w:val="16"/>
          <w:lang w:val="es-ES"/>
        </w:rPr>
        <w:t xml:space="preserve">; en el mismo sentido, véase más recientemente el mismo lenguaje en: </w:t>
      </w:r>
      <w:r w:rsidRPr="00726F24">
        <w:rPr>
          <w:rFonts w:ascii="Cambria" w:hAnsi="Cambria"/>
          <w:sz w:val="16"/>
          <w:szCs w:val="16"/>
          <w:lang w:val="es-ES"/>
        </w:rPr>
        <w:t>Corte IDH. Caso Hernández Vs. Argentina. Excepción Preliminar, Fondo, Reparaciones y Costas. Sentencia de 22 de noviembre de 2019. Serie C No. 395</w:t>
      </w:r>
      <w:r>
        <w:rPr>
          <w:rFonts w:ascii="Cambria" w:hAnsi="Cambria"/>
          <w:sz w:val="16"/>
          <w:szCs w:val="16"/>
          <w:lang w:val="es-ES"/>
        </w:rPr>
        <w:t>, párr. 15.</w:t>
      </w:r>
    </w:p>
  </w:footnote>
  <w:footnote w:id="6">
    <w:p w14:paraId="1B6B7A93" w14:textId="4B5A178D" w:rsidR="00FB66A6" w:rsidRPr="00FB66A6" w:rsidRDefault="00FB66A6" w:rsidP="00FB66A6">
      <w:pPr>
        <w:pStyle w:val="Notasalpie"/>
        <w:rPr>
          <w:lang w:val="es-CO"/>
        </w:rPr>
      </w:pPr>
      <w:r>
        <w:rPr>
          <w:rStyle w:val="FootnoteReference"/>
        </w:rPr>
        <w:footnoteRef/>
      </w:r>
      <w:r>
        <w:t xml:space="preserve"> </w:t>
      </w:r>
      <w:r w:rsidR="00C66FA5" w:rsidRPr="00C66FA5">
        <w:rPr>
          <w:lang w:val="es-CO"/>
        </w:rPr>
        <w:t>CIDH, Informe No. 279/21. Petición 2106-12</w:t>
      </w:r>
      <w:r w:rsidR="00C66FA5">
        <w:rPr>
          <w:lang w:val="es-CO"/>
        </w:rPr>
        <w:t>,</w:t>
      </w:r>
      <w:r w:rsidR="00C66FA5" w:rsidRPr="00C66FA5">
        <w:rPr>
          <w:lang w:val="es-CO"/>
        </w:rPr>
        <w:t xml:space="preserve"> Admisibilidad</w:t>
      </w:r>
      <w:r w:rsidR="00C66FA5">
        <w:rPr>
          <w:lang w:val="es-CO"/>
        </w:rPr>
        <w:t>,</w:t>
      </w:r>
      <w:r w:rsidR="00C66FA5" w:rsidRPr="00C66FA5">
        <w:rPr>
          <w:lang w:val="es-CO"/>
        </w:rPr>
        <w:t xml:space="preserve"> Comunidades Huitosachi, Mogótavo y Bacajípare del pueblo indígena Rarámuri</w:t>
      </w:r>
      <w:r w:rsidR="00C66FA5">
        <w:rPr>
          <w:lang w:val="es-CO"/>
        </w:rPr>
        <w:t>,</w:t>
      </w:r>
      <w:r w:rsidR="00C66FA5" w:rsidRPr="00C66FA5">
        <w:rPr>
          <w:lang w:val="es-CO"/>
        </w:rPr>
        <w:t xml:space="preserve"> México</w:t>
      </w:r>
      <w:r w:rsidR="00C66FA5">
        <w:rPr>
          <w:lang w:val="es-CO"/>
        </w:rPr>
        <w:t>,</w:t>
      </w:r>
      <w:r w:rsidR="00C66FA5" w:rsidRPr="00C66FA5">
        <w:rPr>
          <w:lang w:val="es-CO"/>
        </w:rPr>
        <w:t xml:space="preserve"> 29 de octubre de 2021, párr. </w:t>
      </w:r>
      <w:r w:rsidR="000828E4">
        <w:rPr>
          <w:lang w:val="es-CO"/>
        </w:rPr>
        <w:t>29.</w:t>
      </w:r>
    </w:p>
  </w:footnote>
  <w:footnote w:id="7">
    <w:p w14:paraId="3C81E84C" w14:textId="509F8E8A" w:rsidR="00C918F6" w:rsidRPr="00497A9B" w:rsidRDefault="00C918F6" w:rsidP="00C918F6">
      <w:pPr>
        <w:pStyle w:val="Notasalpie"/>
      </w:pPr>
      <w:r w:rsidRPr="00497A9B">
        <w:rPr>
          <w:rStyle w:val="FootnoteReference"/>
          <w:rFonts w:ascii="Cambria" w:hAnsi="Cambria"/>
          <w:color w:val="auto"/>
        </w:rPr>
        <w:footnoteRef/>
      </w:r>
      <w:r w:rsidRPr="00497A9B">
        <w:t xml:space="preserve"> CIDH</w:t>
      </w:r>
      <w:r w:rsidR="008A3F6E">
        <w:t>,</w:t>
      </w:r>
      <w:r w:rsidRPr="00497A9B">
        <w:t xml:space="preserve"> Informe No 62/01, </w:t>
      </w:r>
      <w:r w:rsidR="008A3F6E">
        <w:t>C</w:t>
      </w:r>
      <w:r w:rsidRPr="00497A9B">
        <w:t>aso 11.564, Masacre de Riofrío, Colombia, 6 de abril de 2001, párr. 44; y CIDH, Informe No. 52/16, Caso 12.521</w:t>
      </w:r>
      <w:r w:rsidR="008A3F6E">
        <w:t>,</w:t>
      </w:r>
      <w:r w:rsidRPr="00497A9B">
        <w:t xml:space="preserve"> Fondo</w:t>
      </w:r>
      <w:r w:rsidR="008A3F6E">
        <w:t>,</w:t>
      </w:r>
      <w:r w:rsidRPr="00497A9B">
        <w:t xml:space="preserve"> Maria Laura Ordenes Guerra y otros</w:t>
      </w:r>
      <w:r w:rsidR="008A3F6E">
        <w:t>,</w:t>
      </w:r>
      <w:r w:rsidRPr="00497A9B">
        <w:t xml:space="preserve"> Chile</w:t>
      </w:r>
      <w:r w:rsidR="008A3F6E">
        <w:t>,</w:t>
      </w:r>
      <w:r w:rsidRPr="00497A9B">
        <w:t xml:space="preserve"> 30 de noviembre de 2016, párr. 105.</w:t>
      </w:r>
    </w:p>
  </w:footnote>
  <w:footnote w:id="8">
    <w:p w14:paraId="5EB97F74" w14:textId="3036D73C" w:rsidR="00C918F6" w:rsidRPr="00497A9B" w:rsidRDefault="00C918F6" w:rsidP="00C918F6">
      <w:pPr>
        <w:pStyle w:val="Notasalpie"/>
      </w:pPr>
      <w:r w:rsidRPr="00497A9B">
        <w:rPr>
          <w:rStyle w:val="FootnoteReference"/>
          <w:rFonts w:ascii="Cambria" w:hAnsi="Cambria"/>
          <w:color w:val="auto"/>
        </w:rPr>
        <w:footnoteRef/>
      </w:r>
      <w:r w:rsidRPr="00497A9B">
        <w:t xml:space="preserve"> </w:t>
      </w:r>
      <w:r w:rsidRPr="00497A9B">
        <w:rPr>
          <w:i/>
          <w:iCs/>
        </w:rPr>
        <w:t>Ver</w:t>
      </w:r>
      <w:r w:rsidRPr="00497A9B">
        <w:t xml:space="preserve"> CIDH, Informe No. 173/22</w:t>
      </w:r>
      <w:r w:rsidR="00A91242">
        <w:t>,</w:t>
      </w:r>
      <w:r w:rsidRPr="00497A9B">
        <w:t xml:space="preserve"> Petición 916-10</w:t>
      </w:r>
      <w:r w:rsidR="008A3F6E">
        <w:t>,</w:t>
      </w:r>
      <w:r w:rsidRPr="00497A9B">
        <w:t xml:space="preserve"> Inadmisibilidad</w:t>
      </w:r>
      <w:r w:rsidR="00A91242">
        <w:t>,</w:t>
      </w:r>
      <w:r w:rsidRPr="00497A9B">
        <w:t xml:space="preserve"> Hernando Martínez Novoa y otros</w:t>
      </w:r>
      <w:r w:rsidR="00A91242">
        <w:t>,</w:t>
      </w:r>
      <w:r w:rsidRPr="00497A9B">
        <w:t xml:space="preserve"> Colombia</w:t>
      </w:r>
      <w:r w:rsidR="00A91242">
        <w:t>,</w:t>
      </w:r>
      <w:r w:rsidRPr="00497A9B">
        <w:t xml:space="preserve"> 22 de julio de 2022, párrs. 15 y 16; y</w:t>
      </w:r>
      <w:r w:rsidR="00A91242">
        <w:t xml:space="preserve"> </w:t>
      </w:r>
      <w:r w:rsidRPr="00497A9B">
        <w:t>CIDH, Informe No. 12/22</w:t>
      </w:r>
      <w:r w:rsidR="00A91242">
        <w:t>,</w:t>
      </w:r>
      <w:r w:rsidRPr="00497A9B">
        <w:t xml:space="preserve"> Petición 1035-11</w:t>
      </w:r>
      <w:r w:rsidR="00A91242">
        <w:t>,</w:t>
      </w:r>
      <w:r w:rsidRPr="00497A9B">
        <w:t xml:space="preserve"> Admisibilidad</w:t>
      </w:r>
      <w:r w:rsidR="00A91242">
        <w:t>,</w:t>
      </w:r>
      <w:r w:rsidRPr="00497A9B">
        <w:t xml:space="preserve"> Blanca Ruth Sánchez de Franco y Familia</w:t>
      </w:r>
      <w:r w:rsidR="00F90BAE">
        <w:t>,</w:t>
      </w:r>
      <w:r w:rsidRPr="00497A9B">
        <w:t xml:space="preserve"> Colombia</w:t>
      </w:r>
      <w:r w:rsidR="00A91242">
        <w:t>,</w:t>
      </w:r>
      <w:r w:rsidRPr="00497A9B">
        <w:t xml:space="preserve"> 9 de febrero de 2022,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D5D03"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ED81597"/>
    <w:multiLevelType w:val="hybridMultilevel"/>
    <w:tmpl w:val="D8942128"/>
    <w:lvl w:ilvl="0" w:tplc="8200D5EE">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8"/>
  </w:num>
  <w:num w:numId="4" w16cid:durableId="2018339747">
    <w:abstractNumId w:val="21"/>
  </w:num>
  <w:num w:numId="5" w16cid:durableId="368341374">
    <w:abstractNumId w:val="51"/>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50"/>
  </w:num>
  <w:num w:numId="42" w16cid:durableId="910309630">
    <w:abstractNumId w:val="52"/>
  </w:num>
  <w:num w:numId="43" w16cid:durableId="221603102">
    <w:abstractNumId w:val="53"/>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0"/>
  </w:num>
  <w:num w:numId="52" w16cid:durableId="955454438">
    <w:abstractNumId w:val="43"/>
  </w:num>
  <w:num w:numId="53" w16cid:durableId="586957926">
    <w:abstractNumId w:val="55"/>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4"/>
  </w:num>
  <w:num w:numId="62" w16cid:durableId="362898492">
    <w:abstractNumId w:val="6"/>
  </w:num>
  <w:num w:numId="63" w16cid:durableId="413744366">
    <w:abstractNumId w:val="22"/>
  </w:num>
  <w:num w:numId="64" w16cid:durableId="462499593">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6E1F"/>
    <w:rsid w:val="000070D7"/>
    <w:rsid w:val="000118DF"/>
    <w:rsid w:val="00011C43"/>
    <w:rsid w:val="00011F09"/>
    <w:rsid w:val="0001788C"/>
    <w:rsid w:val="00017D20"/>
    <w:rsid w:val="0002349D"/>
    <w:rsid w:val="000275B2"/>
    <w:rsid w:val="00031DC2"/>
    <w:rsid w:val="000337EF"/>
    <w:rsid w:val="00040C3A"/>
    <w:rsid w:val="000419AD"/>
    <w:rsid w:val="000433C9"/>
    <w:rsid w:val="00050363"/>
    <w:rsid w:val="00051EE7"/>
    <w:rsid w:val="00054C25"/>
    <w:rsid w:val="00057F3E"/>
    <w:rsid w:val="000619E3"/>
    <w:rsid w:val="00067843"/>
    <w:rsid w:val="00071174"/>
    <w:rsid w:val="000716C5"/>
    <w:rsid w:val="00075E23"/>
    <w:rsid w:val="00077523"/>
    <w:rsid w:val="00081529"/>
    <w:rsid w:val="0008158C"/>
    <w:rsid w:val="000827C6"/>
    <w:rsid w:val="000828E4"/>
    <w:rsid w:val="00084ACB"/>
    <w:rsid w:val="0009344A"/>
    <w:rsid w:val="0009354D"/>
    <w:rsid w:val="00095EF1"/>
    <w:rsid w:val="000A392E"/>
    <w:rsid w:val="000A4CE8"/>
    <w:rsid w:val="000A575F"/>
    <w:rsid w:val="000A6493"/>
    <w:rsid w:val="000B7B76"/>
    <w:rsid w:val="000D0207"/>
    <w:rsid w:val="000D05CB"/>
    <w:rsid w:val="000D10DB"/>
    <w:rsid w:val="000E2348"/>
    <w:rsid w:val="000E5EB5"/>
    <w:rsid w:val="000F35ED"/>
    <w:rsid w:val="000F4207"/>
    <w:rsid w:val="001004FE"/>
    <w:rsid w:val="00107131"/>
    <w:rsid w:val="0010736F"/>
    <w:rsid w:val="00111180"/>
    <w:rsid w:val="00113F73"/>
    <w:rsid w:val="00114C23"/>
    <w:rsid w:val="0011722F"/>
    <w:rsid w:val="00117658"/>
    <w:rsid w:val="00120AF0"/>
    <w:rsid w:val="00121CC2"/>
    <w:rsid w:val="001255A4"/>
    <w:rsid w:val="00125980"/>
    <w:rsid w:val="00131425"/>
    <w:rsid w:val="00133EE5"/>
    <w:rsid w:val="00134303"/>
    <w:rsid w:val="00142FA9"/>
    <w:rsid w:val="00151777"/>
    <w:rsid w:val="001539E5"/>
    <w:rsid w:val="0016015F"/>
    <w:rsid w:val="00165681"/>
    <w:rsid w:val="00167A34"/>
    <w:rsid w:val="00167F2B"/>
    <w:rsid w:val="001705CA"/>
    <w:rsid w:val="001756C3"/>
    <w:rsid w:val="00176554"/>
    <w:rsid w:val="0017711D"/>
    <w:rsid w:val="00177A87"/>
    <w:rsid w:val="00185460"/>
    <w:rsid w:val="0018741C"/>
    <w:rsid w:val="00190C12"/>
    <w:rsid w:val="001945DB"/>
    <w:rsid w:val="001A2C91"/>
    <w:rsid w:val="001A2F39"/>
    <w:rsid w:val="001A4B51"/>
    <w:rsid w:val="001A520D"/>
    <w:rsid w:val="001A7870"/>
    <w:rsid w:val="001B1188"/>
    <w:rsid w:val="001B3A00"/>
    <w:rsid w:val="001B478B"/>
    <w:rsid w:val="001B633C"/>
    <w:rsid w:val="001C1B41"/>
    <w:rsid w:val="001C1D64"/>
    <w:rsid w:val="001C6A28"/>
    <w:rsid w:val="001D031C"/>
    <w:rsid w:val="001D35BE"/>
    <w:rsid w:val="001D39E3"/>
    <w:rsid w:val="001D586C"/>
    <w:rsid w:val="001D65EF"/>
    <w:rsid w:val="001D7F96"/>
    <w:rsid w:val="001E49E7"/>
    <w:rsid w:val="001F0497"/>
    <w:rsid w:val="001F7201"/>
    <w:rsid w:val="00200EF2"/>
    <w:rsid w:val="00205788"/>
    <w:rsid w:val="002154F6"/>
    <w:rsid w:val="002167BF"/>
    <w:rsid w:val="002209B3"/>
    <w:rsid w:val="00222C49"/>
    <w:rsid w:val="00223A29"/>
    <w:rsid w:val="00224347"/>
    <w:rsid w:val="00224553"/>
    <w:rsid w:val="002250A3"/>
    <w:rsid w:val="00233DCB"/>
    <w:rsid w:val="00235217"/>
    <w:rsid w:val="002378BD"/>
    <w:rsid w:val="002444EA"/>
    <w:rsid w:val="00244867"/>
    <w:rsid w:val="00245C2E"/>
    <w:rsid w:val="00246D1F"/>
    <w:rsid w:val="00247403"/>
    <w:rsid w:val="00247542"/>
    <w:rsid w:val="00251469"/>
    <w:rsid w:val="0025203C"/>
    <w:rsid w:val="002543F0"/>
    <w:rsid w:val="0026116B"/>
    <w:rsid w:val="0026461F"/>
    <w:rsid w:val="00266B61"/>
    <w:rsid w:val="0026712A"/>
    <w:rsid w:val="002704DB"/>
    <w:rsid w:val="0027311B"/>
    <w:rsid w:val="00274A61"/>
    <w:rsid w:val="00290FA2"/>
    <w:rsid w:val="002A030D"/>
    <w:rsid w:val="002A0AAE"/>
    <w:rsid w:val="002A0BD6"/>
    <w:rsid w:val="002A5820"/>
    <w:rsid w:val="002A6033"/>
    <w:rsid w:val="002B480A"/>
    <w:rsid w:val="002B5130"/>
    <w:rsid w:val="002C2A66"/>
    <w:rsid w:val="002C70A2"/>
    <w:rsid w:val="002D2B26"/>
    <w:rsid w:val="002D4A79"/>
    <w:rsid w:val="002D6164"/>
    <w:rsid w:val="002D7EA2"/>
    <w:rsid w:val="002E187C"/>
    <w:rsid w:val="002E5A4F"/>
    <w:rsid w:val="002F0023"/>
    <w:rsid w:val="002F3D13"/>
    <w:rsid w:val="002F54CC"/>
    <w:rsid w:val="00302733"/>
    <w:rsid w:val="003032E4"/>
    <w:rsid w:val="00305835"/>
    <w:rsid w:val="00306F33"/>
    <w:rsid w:val="00307319"/>
    <w:rsid w:val="0031142C"/>
    <w:rsid w:val="0031208B"/>
    <w:rsid w:val="00314078"/>
    <w:rsid w:val="0031535D"/>
    <w:rsid w:val="00315556"/>
    <w:rsid w:val="0032009B"/>
    <w:rsid w:val="00322DA4"/>
    <w:rsid w:val="003239B8"/>
    <w:rsid w:val="00323DD5"/>
    <w:rsid w:val="00331209"/>
    <w:rsid w:val="0033169F"/>
    <w:rsid w:val="0033460B"/>
    <w:rsid w:val="00335D68"/>
    <w:rsid w:val="00336D44"/>
    <w:rsid w:val="00337E36"/>
    <w:rsid w:val="003404EE"/>
    <w:rsid w:val="003434AC"/>
    <w:rsid w:val="00344977"/>
    <w:rsid w:val="00344D4F"/>
    <w:rsid w:val="00346C95"/>
    <w:rsid w:val="003470E2"/>
    <w:rsid w:val="00347550"/>
    <w:rsid w:val="003477E5"/>
    <w:rsid w:val="003502DB"/>
    <w:rsid w:val="00353ECD"/>
    <w:rsid w:val="00356185"/>
    <w:rsid w:val="00360380"/>
    <w:rsid w:val="00363D59"/>
    <w:rsid w:val="00364E63"/>
    <w:rsid w:val="00366233"/>
    <w:rsid w:val="0036771A"/>
    <w:rsid w:val="00367CE8"/>
    <w:rsid w:val="0037519E"/>
    <w:rsid w:val="0038282B"/>
    <w:rsid w:val="003833AC"/>
    <w:rsid w:val="00383DBF"/>
    <w:rsid w:val="00384E69"/>
    <w:rsid w:val="00384EC7"/>
    <w:rsid w:val="00386548"/>
    <w:rsid w:val="00386CF0"/>
    <w:rsid w:val="00387852"/>
    <w:rsid w:val="00394073"/>
    <w:rsid w:val="003A3DDC"/>
    <w:rsid w:val="003A3FF8"/>
    <w:rsid w:val="003A6CD3"/>
    <w:rsid w:val="003A7837"/>
    <w:rsid w:val="003B70FB"/>
    <w:rsid w:val="003B795E"/>
    <w:rsid w:val="003C259C"/>
    <w:rsid w:val="003C676B"/>
    <w:rsid w:val="003D1B1E"/>
    <w:rsid w:val="003D3449"/>
    <w:rsid w:val="003D3566"/>
    <w:rsid w:val="003D3BC2"/>
    <w:rsid w:val="003D40A9"/>
    <w:rsid w:val="003D60C9"/>
    <w:rsid w:val="003E4C11"/>
    <w:rsid w:val="003E6CA1"/>
    <w:rsid w:val="003E70CB"/>
    <w:rsid w:val="003E7991"/>
    <w:rsid w:val="003E7D30"/>
    <w:rsid w:val="003F0E96"/>
    <w:rsid w:val="003F27AE"/>
    <w:rsid w:val="003F3840"/>
    <w:rsid w:val="003F5154"/>
    <w:rsid w:val="00401F0A"/>
    <w:rsid w:val="00404AD1"/>
    <w:rsid w:val="00405F9C"/>
    <w:rsid w:val="004065A8"/>
    <w:rsid w:val="00407C96"/>
    <w:rsid w:val="00410970"/>
    <w:rsid w:val="00414C6D"/>
    <w:rsid w:val="004150E2"/>
    <w:rsid w:val="00416378"/>
    <w:rsid w:val="004165C2"/>
    <w:rsid w:val="00417FC6"/>
    <w:rsid w:val="0042254F"/>
    <w:rsid w:val="004241A0"/>
    <w:rsid w:val="0042657F"/>
    <w:rsid w:val="0043072D"/>
    <w:rsid w:val="004340ED"/>
    <w:rsid w:val="00436A68"/>
    <w:rsid w:val="00441B31"/>
    <w:rsid w:val="00441ECB"/>
    <w:rsid w:val="00445193"/>
    <w:rsid w:val="00454998"/>
    <w:rsid w:val="00456508"/>
    <w:rsid w:val="0046122B"/>
    <w:rsid w:val="00462C1B"/>
    <w:rsid w:val="004659C6"/>
    <w:rsid w:val="00467B7E"/>
    <w:rsid w:val="00467DAF"/>
    <w:rsid w:val="00471FCE"/>
    <w:rsid w:val="00473BB4"/>
    <w:rsid w:val="00477592"/>
    <w:rsid w:val="00477887"/>
    <w:rsid w:val="00486E31"/>
    <w:rsid w:val="00486F1C"/>
    <w:rsid w:val="004872A8"/>
    <w:rsid w:val="0049003A"/>
    <w:rsid w:val="004902BE"/>
    <w:rsid w:val="00490D5B"/>
    <w:rsid w:val="004923EB"/>
    <w:rsid w:val="0049419D"/>
    <w:rsid w:val="004A057B"/>
    <w:rsid w:val="004A6A54"/>
    <w:rsid w:val="004B421C"/>
    <w:rsid w:val="004B7623"/>
    <w:rsid w:val="004C20D2"/>
    <w:rsid w:val="004C2312"/>
    <w:rsid w:val="004C2CAF"/>
    <w:rsid w:val="004C33DE"/>
    <w:rsid w:val="004C4B62"/>
    <w:rsid w:val="004C54C9"/>
    <w:rsid w:val="004D2335"/>
    <w:rsid w:val="004D373F"/>
    <w:rsid w:val="004D4ABA"/>
    <w:rsid w:val="004D6025"/>
    <w:rsid w:val="004E24DA"/>
    <w:rsid w:val="004E2649"/>
    <w:rsid w:val="004E3182"/>
    <w:rsid w:val="004E727D"/>
    <w:rsid w:val="004E7887"/>
    <w:rsid w:val="004F0427"/>
    <w:rsid w:val="004F626F"/>
    <w:rsid w:val="004F6363"/>
    <w:rsid w:val="00500A42"/>
    <w:rsid w:val="00501399"/>
    <w:rsid w:val="005047ED"/>
    <w:rsid w:val="00504DDA"/>
    <w:rsid w:val="00505643"/>
    <w:rsid w:val="0050633D"/>
    <w:rsid w:val="00507BC4"/>
    <w:rsid w:val="00510DE9"/>
    <w:rsid w:val="005128E4"/>
    <w:rsid w:val="00512E05"/>
    <w:rsid w:val="005133DB"/>
    <w:rsid w:val="00514504"/>
    <w:rsid w:val="005173A3"/>
    <w:rsid w:val="00521E1F"/>
    <w:rsid w:val="00525560"/>
    <w:rsid w:val="0053433B"/>
    <w:rsid w:val="00544C49"/>
    <w:rsid w:val="005516A1"/>
    <w:rsid w:val="005546C2"/>
    <w:rsid w:val="005559EF"/>
    <w:rsid w:val="00563557"/>
    <w:rsid w:val="00566558"/>
    <w:rsid w:val="00566BB4"/>
    <w:rsid w:val="00573595"/>
    <w:rsid w:val="0057402A"/>
    <w:rsid w:val="00576153"/>
    <w:rsid w:val="00576BD2"/>
    <w:rsid w:val="005771D0"/>
    <w:rsid w:val="00583C8F"/>
    <w:rsid w:val="005851FF"/>
    <w:rsid w:val="0058641D"/>
    <w:rsid w:val="0059191A"/>
    <w:rsid w:val="005921FF"/>
    <w:rsid w:val="00596348"/>
    <w:rsid w:val="00596622"/>
    <w:rsid w:val="005A21F9"/>
    <w:rsid w:val="005A24ED"/>
    <w:rsid w:val="005A2E1E"/>
    <w:rsid w:val="005A4704"/>
    <w:rsid w:val="005A521A"/>
    <w:rsid w:val="005A6D0E"/>
    <w:rsid w:val="005B0D1B"/>
    <w:rsid w:val="005B25EE"/>
    <w:rsid w:val="005B3A7F"/>
    <w:rsid w:val="005B52B0"/>
    <w:rsid w:val="005B6806"/>
    <w:rsid w:val="005C4225"/>
    <w:rsid w:val="005C6764"/>
    <w:rsid w:val="005D0DA7"/>
    <w:rsid w:val="005E29DD"/>
    <w:rsid w:val="005E3796"/>
    <w:rsid w:val="005E5970"/>
    <w:rsid w:val="005F0DAD"/>
    <w:rsid w:val="005F0F33"/>
    <w:rsid w:val="00600DEB"/>
    <w:rsid w:val="00611D48"/>
    <w:rsid w:val="006169BE"/>
    <w:rsid w:val="00621473"/>
    <w:rsid w:val="00626144"/>
    <w:rsid w:val="00627C9F"/>
    <w:rsid w:val="006311E9"/>
    <w:rsid w:val="00631D2C"/>
    <w:rsid w:val="00632354"/>
    <w:rsid w:val="006324AC"/>
    <w:rsid w:val="00635001"/>
    <w:rsid w:val="00635421"/>
    <w:rsid w:val="00642810"/>
    <w:rsid w:val="00650ED0"/>
    <w:rsid w:val="00652333"/>
    <w:rsid w:val="006555CB"/>
    <w:rsid w:val="00666466"/>
    <w:rsid w:val="00672F9E"/>
    <w:rsid w:val="0068009E"/>
    <w:rsid w:val="00681868"/>
    <w:rsid w:val="006845D1"/>
    <w:rsid w:val="0068548C"/>
    <w:rsid w:val="00692219"/>
    <w:rsid w:val="00697157"/>
    <w:rsid w:val="00697949"/>
    <w:rsid w:val="006A17D2"/>
    <w:rsid w:val="006A6711"/>
    <w:rsid w:val="006A73E6"/>
    <w:rsid w:val="006B2D5C"/>
    <w:rsid w:val="006B52CF"/>
    <w:rsid w:val="006B5B85"/>
    <w:rsid w:val="006B5E02"/>
    <w:rsid w:val="006C0ECF"/>
    <w:rsid w:val="006C3A04"/>
    <w:rsid w:val="006C4EB1"/>
    <w:rsid w:val="006C7D51"/>
    <w:rsid w:val="006D4409"/>
    <w:rsid w:val="006D6503"/>
    <w:rsid w:val="006E0166"/>
    <w:rsid w:val="006E2FFB"/>
    <w:rsid w:val="006E621A"/>
    <w:rsid w:val="006E7B34"/>
    <w:rsid w:val="006F048A"/>
    <w:rsid w:val="006F1A5C"/>
    <w:rsid w:val="006F266A"/>
    <w:rsid w:val="007001E6"/>
    <w:rsid w:val="007018F9"/>
    <w:rsid w:val="00706151"/>
    <w:rsid w:val="0070697F"/>
    <w:rsid w:val="007103C4"/>
    <w:rsid w:val="00711545"/>
    <w:rsid w:val="0071410A"/>
    <w:rsid w:val="00714762"/>
    <w:rsid w:val="0072199C"/>
    <w:rsid w:val="00722C9F"/>
    <w:rsid w:val="007253B8"/>
    <w:rsid w:val="00725E82"/>
    <w:rsid w:val="00736E5F"/>
    <w:rsid w:val="0073741F"/>
    <w:rsid w:val="00744B2D"/>
    <w:rsid w:val="0074686B"/>
    <w:rsid w:val="00746E78"/>
    <w:rsid w:val="007509CE"/>
    <w:rsid w:val="0075154D"/>
    <w:rsid w:val="00764E8F"/>
    <w:rsid w:val="007652AD"/>
    <w:rsid w:val="0076643F"/>
    <w:rsid w:val="00772AFD"/>
    <w:rsid w:val="00773BEA"/>
    <w:rsid w:val="007746D9"/>
    <w:rsid w:val="00777F63"/>
    <w:rsid w:val="00786C56"/>
    <w:rsid w:val="0079188B"/>
    <w:rsid w:val="00794A28"/>
    <w:rsid w:val="007A13EA"/>
    <w:rsid w:val="007A3E08"/>
    <w:rsid w:val="007A5817"/>
    <w:rsid w:val="007A790F"/>
    <w:rsid w:val="007A7F1A"/>
    <w:rsid w:val="007B05C4"/>
    <w:rsid w:val="007B3899"/>
    <w:rsid w:val="007B59C6"/>
    <w:rsid w:val="007B60E9"/>
    <w:rsid w:val="007B6215"/>
    <w:rsid w:val="007B64CF"/>
    <w:rsid w:val="007B6B68"/>
    <w:rsid w:val="007B6CC3"/>
    <w:rsid w:val="007B7212"/>
    <w:rsid w:val="007B76D3"/>
    <w:rsid w:val="007C3334"/>
    <w:rsid w:val="007C5DC7"/>
    <w:rsid w:val="007C6DA8"/>
    <w:rsid w:val="007C72C7"/>
    <w:rsid w:val="007D2B98"/>
    <w:rsid w:val="007D5D03"/>
    <w:rsid w:val="007D78CD"/>
    <w:rsid w:val="007E21BC"/>
    <w:rsid w:val="007E2422"/>
    <w:rsid w:val="007E3B83"/>
    <w:rsid w:val="007E6575"/>
    <w:rsid w:val="007E79C6"/>
    <w:rsid w:val="007E7C82"/>
    <w:rsid w:val="007F2AA1"/>
    <w:rsid w:val="007F588D"/>
    <w:rsid w:val="00803F1C"/>
    <w:rsid w:val="0080600E"/>
    <w:rsid w:val="00806CFB"/>
    <w:rsid w:val="00810008"/>
    <w:rsid w:val="00811F40"/>
    <w:rsid w:val="00814688"/>
    <w:rsid w:val="00815128"/>
    <w:rsid w:val="00817612"/>
    <w:rsid w:val="008338A4"/>
    <w:rsid w:val="00834AC7"/>
    <w:rsid w:val="00834D49"/>
    <w:rsid w:val="00837C45"/>
    <w:rsid w:val="00841791"/>
    <w:rsid w:val="00844730"/>
    <w:rsid w:val="008457C2"/>
    <w:rsid w:val="0085030F"/>
    <w:rsid w:val="00857A82"/>
    <w:rsid w:val="0086169A"/>
    <w:rsid w:val="00873836"/>
    <w:rsid w:val="008746E1"/>
    <w:rsid w:val="008852F6"/>
    <w:rsid w:val="00885737"/>
    <w:rsid w:val="00890650"/>
    <w:rsid w:val="00890DA0"/>
    <w:rsid w:val="008944DC"/>
    <w:rsid w:val="008949DE"/>
    <w:rsid w:val="00895546"/>
    <w:rsid w:val="00895A7B"/>
    <w:rsid w:val="00897E12"/>
    <w:rsid w:val="008A14A8"/>
    <w:rsid w:val="008A3F6E"/>
    <w:rsid w:val="008A64A5"/>
    <w:rsid w:val="008A7E0F"/>
    <w:rsid w:val="008B12F5"/>
    <w:rsid w:val="008B544E"/>
    <w:rsid w:val="008C160F"/>
    <w:rsid w:val="008C42B3"/>
    <w:rsid w:val="008C5E2D"/>
    <w:rsid w:val="008D428E"/>
    <w:rsid w:val="008D63A5"/>
    <w:rsid w:val="008D6932"/>
    <w:rsid w:val="008D6AE7"/>
    <w:rsid w:val="008D768D"/>
    <w:rsid w:val="008E1D8D"/>
    <w:rsid w:val="008E3759"/>
    <w:rsid w:val="008E3BFE"/>
    <w:rsid w:val="008E40A7"/>
    <w:rsid w:val="008E5DFD"/>
    <w:rsid w:val="008F1912"/>
    <w:rsid w:val="008F4EAE"/>
    <w:rsid w:val="00901503"/>
    <w:rsid w:val="0090270B"/>
    <w:rsid w:val="009041DC"/>
    <w:rsid w:val="00907131"/>
    <w:rsid w:val="00917B5A"/>
    <w:rsid w:val="00920A58"/>
    <w:rsid w:val="00920A8C"/>
    <w:rsid w:val="00934A2C"/>
    <w:rsid w:val="00940BD5"/>
    <w:rsid w:val="00943347"/>
    <w:rsid w:val="0095096A"/>
    <w:rsid w:val="00950C33"/>
    <w:rsid w:val="00955071"/>
    <w:rsid w:val="009571B0"/>
    <w:rsid w:val="0096706E"/>
    <w:rsid w:val="009714A9"/>
    <w:rsid w:val="00974276"/>
    <w:rsid w:val="00974491"/>
    <w:rsid w:val="00975415"/>
    <w:rsid w:val="00975AE3"/>
    <w:rsid w:val="00975C4E"/>
    <w:rsid w:val="0097765A"/>
    <w:rsid w:val="00981FBA"/>
    <w:rsid w:val="009901FF"/>
    <w:rsid w:val="00995760"/>
    <w:rsid w:val="00996CEB"/>
    <w:rsid w:val="00997BC5"/>
    <w:rsid w:val="009A0534"/>
    <w:rsid w:val="009A1C25"/>
    <w:rsid w:val="009A290A"/>
    <w:rsid w:val="009A48B8"/>
    <w:rsid w:val="009A4F41"/>
    <w:rsid w:val="009A56CE"/>
    <w:rsid w:val="009A5F51"/>
    <w:rsid w:val="009B23F5"/>
    <w:rsid w:val="009B2B1D"/>
    <w:rsid w:val="009B3328"/>
    <w:rsid w:val="009B381B"/>
    <w:rsid w:val="009B3EB3"/>
    <w:rsid w:val="009B4C12"/>
    <w:rsid w:val="009B5484"/>
    <w:rsid w:val="009C031F"/>
    <w:rsid w:val="009C3408"/>
    <w:rsid w:val="009C3604"/>
    <w:rsid w:val="009C3616"/>
    <w:rsid w:val="009C531B"/>
    <w:rsid w:val="009D1753"/>
    <w:rsid w:val="009D309B"/>
    <w:rsid w:val="009D4368"/>
    <w:rsid w:val="009D4D3B"/>
    <w:rsid w:val="009D7611"/>
    <w:rsid w:val="009E0B61"/>
    <w:rsid w:val="009E1787"/>
    <w:rsid w:val="009E26B9"/>
    <w:rsid w:val="009E4EBF"/>
    <w:rsid w:val="009E53DE"/>
    <w:rsid w:val="009E586C"/>
    <w:rsid w:val="009E5B93"/>
    <w:rsid w:val="009E6666"/>
    <w:rsid w:val="009F0460"/>
    <w:rsid w:val="009F08DC"/>
    <w:rsid w:val="009F6CC4"/>
    <w:rsid w:val="009F7FA8"/>
    <w:rsid w:val="00A00E4D"/>
    <w:rsid w:val="00A03B64"/>
    <w:rsid w:val="00A03F6A"/>
    <w:rsid w:val="00A11212"/>
    <w:rsid w:val="00A11BB4"/>
    <w:rsid w:val="00A11E44"/>
    <w:rsid w:val="00A11F21"/>
    <w:rsid w:val="00A13E21"/>
    <w:rsid w:val="00A15562"/>
    <w:rsid w:val="00A20B6D"/>
    <w:rsid w:val="00A23DE8"/>
    <w:rsid w:val="00A272D3"/>
    <w:rsid w:val="00A30100"/>
    <w:rsid w:val="00A328B3"/>
    <w:rsid w:val="00A3411B"/>
    <w:rsid w:val="00A37013"/>
    <w:rsid w:val="00A50FCF"/>
    <w:rsid w:val="00A528D1"/>
    <w:rsid w:val="00A54124"/>
    <w:rsid w:val="00A5710C"/>
    <w:rsid w:val="00A610CD"/>
    <w:rsid w:val="00A61D45"/>
    <w:rsid w:val="00A62733"/>
    <w:rsid w:val="00A6733D"/>
    <w:rsid w:val="00A73C6F"/>
    <w:rsid w:val="00A740F2"/>
    <w:rsid w:val="00A758AA"/>
    <w:rsid w:val="00A82A8B"/>
    <w:rsid w:val="00A910D8"/>
    <w:rsid w:val="00A91242"/>
    <w:rsid w:val="00A92E0C"/>
    <w:rsid w:val="00A94138"/>
    <w:rsid w:val="00AA09A2"/>
    <w:rsid w:val="00AA4816"/>
    <w:rsid w:val="00AA7403"/>
    <w:rsid w:val="00AA7996"/>
    <w:rsid w:val="00AB2A35"/>
    <w:rsid w:val="00AC19CB"/>
    <w:rsid w:val="00AE5488"/>
    <w:rsid w:val="00AE628D"/>
    <w:rsid w:val="00AE6F91"/>
    <w:rsid w:val="00AF4325"/>
    <w:rsid w:val="00AF5571"/>
    <w:rsid w:val="00B03BC1"/>
    <w:rsid w:val="00B04818"/>
    <w:rsid w:val="00B07341"/>
    <w:rsid w:val="00B111BC"/>
    <w:rsid w:val="00B15DB5"/>
    <w:rsid w:val="00B21BAE"/>
    <w:rsid w:val="00B25FC1"/>
    <w:rsid w:val="00B30539"/>
    <w:rsid w:val="00B314DB"/>
    <w:rsid w:val="00B32613"/>
    <w:rsid w:val="00B32C73"/>
    <w:rsid w:val="00B361F2"/>
    <w:rsid w:val="00B3718B"/>
    <w:rsid w:val="00B3745F"/>
    <w:rsid w:val="00B37F50"/>
    <w:rsid w:val="00B422D6"/>
    <w:rsid w:val="00B4632A"/>
    <w:rsid w:val="00B467C4"/>
    <w:rsid w:val="00B530F1"/>
    <w:rsid w:val="00B556FC"/>
    <w:rsid w:val="00B6765D"/>
    <w:rsid w:val="00B7522A"/>
    <w:rsid w:val="00B7738D"/>
    <w:rsid w:val="00B80A2C"/>
    <w:rsid w:val="00B817D5"/>
    <w:rsid w:val="00B840E0"/>
    <w:rsid w:val="00B90FA2"/>
    <w:rsid w:val="00B9393A"/>
    <w:rsid w:val="00B93D7F"/>
    <w:rsid w:val="00B94978"/>
    <w:rsid w:val="00B96317"/>
    <w:rsid w:val="00BA276C"/>
    <w:rsid w:val="00BA3907"/>
    <w:rsid w:val="00BA504D"/>
    <w:rsid w:val="00BA7BBC"/>
    <w:rsid w:val="00BB019D"/>
    <w:rsid w:val="00BB0531"/>
    <w:rsid w:val="00BB306F"/>
    <w:rsid w:val="00BB6FA7"/>
    <w:rsid w:val="00BD043C"/>
    <w:rsid w:val="00BD0D98"/>
    <w:rsid w:val="00BD0FF5"/>
    <w:rsid w:val="00BD4B89"/>
    <w:rsid w:val="00BD5922"/>
    <w:rsid w:val="00BD5EF5"/>
    <w:rsid w:val="00BE3DC3"/>
    <w:rsid w:val="00BF02CB"/>
    <w:rsid w:val="00BF134A"/>
    <w:rsid w:val="00BF450F"/>
    <w:rsid w:val="00BF6FD8"/>
    <w:rsid w:val="00C0340C"/>
    <w:rsid w:val="00C03680"/>
    <w:rsid w:val="00C0389E"/>
    <w:rsid w:val="00C054DF"/>
    <w:rsid w:val="00C06E5F"/>
    <w:rsid w:val="00C12F2B"/>
    <w:rsid w:val="00C15339"/>
    <w:rsid w:val="00C15408"/>
    <w:rsid w:val="00C21762"/>
    <w:rsid w:val="00C21FEF"/>
    <w:rsid w:val="00C224B4"/>
    <w:rsid w:val="00C23BA4"/>
    <w:rsid w:val="00C24543"/>
    <w:rsid w:val="00C256A2"/>
    <w:rsid w:val="00C25ADB"/>
    <w:rsid w:val="00C307B3"/>
    <w:rsid w:val="00C428A1"/>
    <w:rsid w:val="00C51515"/>
    <w:rsid w:val="00C5660B"/>
    <w:rsid w:val="00C60699"/>
    <w:rsid w:val="00C60875"/>
    <w:rsid w:val="00C610E9"/>
    <w:rsid w:val="00C62F61"/>
    <w:rsid w:val="00C6633D"/>
    <w:rsid w:val="00C66B72"/>
    <w:rsid w:val="00C66FA5"/>
    <w:rsid w:val="00C717C7"/>
    <w:rsid w:val="00C73547"/>
    <w:rsid w:val="00C7638F"/>
    <w:rsid w:val="00C83FD5"/>
    <w:rsid w:val="00C8503C"/>
    <w:rsid w:val="00C87AC4"/>
    <w:rsid w:val="00C918F6"/>
    <w:rsid w:val="00C9567A"/>
    <w:rsid w:val="00C97382"/>
    <w:rsid w:val="00CA2D80"/>
    <w:rsid w:val="00CA4FB3"/>
    <w:rsid w:val="00CB183E"/>
    <w:rsid w:val="00CB212D"/>
    <w:rsid w:val="00CB23CD"/>
    <w:rsid w:val="00CB2660"/>
    <w:rsid w:val="00CC5E90"/>
    <w:rsid w:val="00CC757F"/>
    <w:rsid w:val="00CD046C"/>
    <w:rsid w:val="00CD607F"/>
    <w:rsid w:val="00CE076C"/>
    <w:rsid w:val="00CE3DC0"/>
    <w:rsid w:val="00CE3EB3"/>
    <w:rsid w:val="00CE5199"/>
    <w:rsid w:val="00CE66D5"/>
    <w:rsid w:val="00CF07C1"/>
    <w:rsid w:val="00CF331B"/>
    <w:rsid w:val="00CF637A"/>
    <w:rsid w:val="00D049A2"/>
    <w:rsid w:val="00D059DE"/>
    <w:rsid w:val="00D05ABD"/>
    <w:rsid w:val="00D05B88"/>
    <w:rsid w:val="00D06241"/>
    <w:rsid w:val="00D13FCE"/>
    <w:rsid w:val="00D27499"/>
    <w:rsid w:val="00D306C0"/>
    <w:rsid w:val="00D306D1"/>
    <w:rsid w:val="00D30800"/>
    <w:rsid w:val="00D33E74"/>
    <w:rsid w:val="00D34786"/>
    <w:rsid w:val="00D37BFC"/>
    <w:rsid w:val="00D4293B"/>
    <w:rsid w:val="00D445B2"/>
    <w:rsid w:val="00D469B9"/>
    <w:rsid w:val="00D47A8E"/>
    <w:rsid w:val="00D512C3"/>
    <w:rsid w:val="00D52D14"/>
    <w:rsid w:val="00D5614E"/>
    <w:rsid w:val="00D57F2B"/>
    <w:rsid w:val="00D712D3"/>
    <w:rsid w:val="00D71422"/>
    <w:rsid w:val="00D72DC6"/>
    <w:rsid w:val="00D75113"/>
    <w:rsid w:val="00D7558D"/>
    <w:rsid w:val="00D81D92"/>
    <w:rsid w:val="00D8463B"/>
    <w:rsid w:val="00D876F9"/>
    <w:rsid w:val="00DA3129"/>
    <w:rsid w:val="00DA7B5F"/>
    <w:rsid w:val="00DB3FC8"/>
    <w:rsid w:val="00DB772F"/>
    <w:rsid w:val="00DC0D1A"/>
    <w:rsid w:val="00DC11E7"/>
    <w:rsid w:val="00DC24E3"/>
    <w:rsid w:val="00DC7023"/>
    <w:rsid w:val="00DC769A"/>
    <w:rsid w:val="00DC7B3F"/>
    <w:rsid w:val="00DD2074"/>
    <w:rsid w:val="00DD3D86"/>
    <w:rsid w:val="00DD4AD2"/>
    <w:rsid w:val="00DD629A"/>
    <w:rsid w:val="00DE2862"/>
    <w:rsid w:val="00DE2C08"/>
    <w:rsid w:val="00DE4ABA"/>
    <w:rsid w:val="00DF09F8"/>
    <w:rsid w:val="00DF1EC4"/>
    <w:rsid w:val="00DF5959"/>
    <w:rsid w:val="00DF75C6"/>
    <w:rsid w:val="00E010E8"/>
    <w:rsid w:val="00E0340B"/>
    <w:rsid w:val="00E03973"/>
    <w:rsid w:val="00E04A90"/>
    <w:rsid w:val="00E0551F"/>
    <w:rsid w:val="00E1190B"/>
    <w:rsid w:val="00E125B0"/>
    <w:rsid w:val="00E14862"/>
    <w:rsid w:val="00E15A95"/>
    <w:rsid w:val="00E219C7"/>
    <w:rsid w:val="00E21DEB"/>
    <w:rsid w:val="00E21FC0"/>
    <w:rsid w:val="00E305EB"/>
    <w:rsid w:val="00E31749"/>
    <w:rsid w:val="00E4118C"/>
    <w:rsid w:val="00E413B7"/>
    <w:rsid w:val="00E41C58"/>
    <w:rsid w:val="00E43157"/>
    <w:rsid w:val="00E450D6"/>
    <w:rsid w:val="00E461CE"/>
    <w:rsid w:val="00E4729B"/>
    <w:rsid w:val="00E47804"/>
    <w:rsid w:val="00E573E4"/>
    <w:rsid w:val="00E57456"/>
    <w:rsid w:val="00E64C3D"/>
    <w:rsid w:val="00E655CE"/>
    <w:rsid w:val="00E66075"/>
    <w:rsid w:val="00E663F4"/>
    <w:rsid w:val="00E67D99"/>
    <w:rsid w:val="00E72040"/>
    <w:rsid w:val="00E720CA"/>
    <w:rsid w:val="00E84EB5"/>
    <w:rsid w:val="00E85662"/>
    <w:rsid w:val="00E8689F"/>
    <w:rsid w:val="00E8789F"/>
    <w:rsid w:val="00E9528A"/>
    <w:rsid w:val="00E97B71"/>
    <w:rsid w:val="00EA0F58"/>
    <w:rsid w:val="00EA12BC"/>
    <w:rsid w:val="00EA3D34"/>
    <w:rsid w:val="00EA4F24"/>
    <w:rsid w:val="00EB2C36"/>
    <w:rsid w:val="00EB454D"/>
    <w:rsid w:val="00EC1F53"/>
    <w:rsid w:val="00EC27A0"/>
    <w:rsid w:val="00EC30F8"/>
    <w:rsid w:val="00EC5019"/>
    <w:rsid w:val="00ED3E22"/>
    <w:rsid w:val="00ED42E4"/>
    <w:rsid w:val="00ED549D"/>
    <w:rsid w:val="00ED5E10"/>
    <w:rsid w:val="00ED76BE"/>
    <w:rsid w:val="00EE00E9"/>
    <w:rsid w:val="00EE0D4D"/>
    <w:rsid w:val="00EF1AAA"/>
    <w:rsid w:val="00EF619B"/>
    <w:rsid w:val="00F00914"/>
    <w:rsid w:val="00F00B55"/>
    <w:rsid w:val="00F02AD1"/>
    <w:rsid w:val="00F03BB7"/>
    <w:rsid w:val="00F13F95"/>
    <w:rsid w:val="00F14569"/>
    <w:rsid w:val="00F237CA"/>
    <w:rsid w:val="00F253CC"/>
    <w:rsid w:val="00F25CD4"/>
    <w:rsid w:val="00F303E2"/>
    <w:rsid w:val="00F3577C"/>
    <w:rsid w:val="00F37106"/>
    <w:rsid w:val="00F44E25"/>
    <w:rsid w:val="00F519CF"/>
    <w:rsid w:val="00F526E2"/>
    <w:rsid w:val="00F56BA5"/>
    <w:rsid w:val="00F56ECB"/>
    <w:rsid w:val="00F60E22"/>
    <w:rsid w:val="00F67029"/>
    <w:rsid w:val="00F762F3"/>
    <w:rsid w:val="00F80086"/>
    <w:rsid w:val="00F81395"/>
    <w:rsid w:val="00F81BB8"/>
    <w:rsid w:val="00F90BAE"/>
    <w:rsid w:val="00F90C64"/>
    <w:rsid w:val="00F917D1"/>
    <w:rsid w:val="00F9653B"/>
    <w:rsid w:val="00FA31D2"/>
    <w:rsid w:val="00FB029A"/>
    <w:rsid w:val="00FB62CF"/>
    <w:rsid w:val="00FB66A6"/>
    <w:rsid w:val="00FC145F"/>
    <w:rsid w:val="00FC440C"/>
    <w:rsid w:val="00FD3C3B"/>
    <w:rsid w:val="00FE07DD"/>
    <w:rsid w:val="00FE19F0"/>
    <w:rsid w:val="00FE4306"/>
    <w:rsid w:val="00FE54AB"/>
    <w:rsid w:val="00FE6B45"/>
    <w:rsid w:val="00FF33E6"/>
    <w:rsid w:val="00FF55F3"/>
    <w:rsid w:val="00FF5851"/>
    <w:rsid w:val="00FF5BC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9B3EB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rafos">
    <w:name w:val="parrafos"/>
    <w:basedOn w:val="Normal"/>
    <w:qFormat/>
    <w:rsid w:val="00B37F50"/>
    <w:pPr>
      <w:numPr>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styleId="CommentText">
    <w:name w:val="annotation text"/>
    <w:basedOn w:val="Normal"/>
    <w:link w:val="CommentTextChar"/>
    <w:uiPriority w:val="99"/>
    <w:unhideWhenUsed/>
    <w:rsid w:val="009C031F"/>
    <w:rPr>
      <w:sz w:val="20"/>
      <w:szCs w:val="20"/>
    </w:rPr>
  </w:style>
  <w:style w:type="character" w:customStyle="1" w:styleId="CommentTextChar">
    <w:name w:val="Comment Text Char"/>
    <w:basedOn w:val="DefaultParagraphFont"/>
    <w:link w:val="CommentText"/>
    <w:uiPriority w:val="99"/>
    <w:rsid w:val="009C031F"/>
    <w:rPr>
      <w:lang w:val="en-US" w:eastAsia="en-US"/>
    </w:rPr>
  </w:style>
  <w:style w:type="paragraph" w:styleId="CommentSubject">
    <w:name w:val="annotation subject"/>
    <w:basedOn w:val="CommentText"/>
    <w:next w:val="CommentText"/>
    <w:link w:val="CommentSubjectChar"/>
    <w:uiPriority w:val="99"/>
    <w:semiHidden/>
    <w:unhideWhenUsed/>
    <w:rsid w:val="009C031F"/>
    <w:rPr>
      <w:b/>
      <w:bCs/>
    </w:rPr>
  </w:style>
  <w:style w:type="character" w:customStyle="1" w:styleId="CommentSubjectChar">
    <w:name w:val="Comment Subject Char"/>
    <w:basedOn w:val="CommentTextChar"/>
    <w:link w:val="CommentSubject"/>
    <w:uiPriority w:val="99"/>
    <w:semiHidden/>
    <w:rsid w:val="009C031F"/>
    <w:rPr>
      <w:b/>
      <w:bCs/>
      <w:lang w:val="en-US" w:eastAsia="en-US"/>
    </w:rPr>
  </w:style>
  <w:style w:type="paragraph" w:customStyle="1" w:styleId="paragraph">
    <w:name w:val="paragraph"/>
    <w:basedOn w:val="Normal"/>
    <w:rsid w:val="007468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4686B"/>
  </w:style>
  <w:style w:type="character" w:customStyle="1" w:styleId="eop">
    <w:name w:val="eop"/>
    <w:basedOn w:val="DefaultParagraphFont"/>
    <w:rsid w:val="00746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200821"/>
    <w:rsid w:val="00244867"/>
    <w:rsid w:val="0025245B"/>
    <w:rsid w:val="002A3923"/>
    <w:rsid w:val="00323DD5"/>
    <w:rsid w:val="00335D68"/>
    <w:rsid w:val="0038282B"/>
    <w:rsid w:val="00394049"/>
    <w:rsid w:val="003B0C71"/>
    <w:rsid w:val="003B795E"/>
    <w:rsid w:val="003E2DD8"/>
    <w:rsid w:val="004373C0"/>
    <w:rsid w:val="00441B31"/>
    <w:rsid w:val="004B5BBB"/>
    <w:rsid w:val="004F2DF8"/>
    <w:rsid w:val="00512E05"/>
    <w:rsid w:val="00517E2A"/>
    <w:rsid w:val="006D3128"/>
    <w:rsid w:val="006F24A1"/>
    <w:rsid w:val="007018F9"/>
    <w:rsid w:val="00773BEA"/>
    <w:rsid w:val="007C72C7"/>
    <w:rsid w:val="00875B8A"/>
    <w:rsid w:val="008937F7"/>
    <w:rsid w:val="008953BC"/>
    <w:rsid w:val="008B544E"/>
    <w:rsid w:val="00901503"/>
    <w:rsid w:val="009A261B"/>
    <w:rsid w:val="009E4EBF"/>
    <w:rsid w:val="00A11F21"/>
    <w:rsid w:val="00A461B5"/>
    <w:rsid w:val="00A6733D"/>
    <w:rsid w:val="00AA2E17"/>
    <w:rsid w:val="00AC15A4"/>
    <w:rsid w:val="00AE628D"/>
    <w:rsid w:val="00B0336C"/>
    <w:rsid w:val="00D241E9"/>
    <w:rsid w:val="00D3126A"/>
    <w:rsid w:val="00D7750D"/>
    <w:rsid w:val="00DD629A"/>
    <w:rsid w:val="00E66075"/>
    <w:rsid w:val="00EA4F24"/>
    <w:rsid w:val="00F00D2F"/>
    <w:rsid w:val="00F128DF"/>
    <w:rsid w:val="00FD2165"/>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F815CDA2-B55C-492F-9177-A409F34C681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FA4EBBD4-1EEF-4974-B5FA-705BC2874AE8}">
  <ds:schemaRefs>
    <ds:schemaRef ds:uri="http://schemas.microsoft.com/sharepoint/v3/contenttype/forms"/>
  </ds:schemaRefs>
</ds:datastoreItem>
</file>

<file path=customXml/itemProps4.xml><?xml version="1.0" encoding="utf-8"?>
<ds:datastoreItem xmlns:ds="http://schemas.openxmlformats.org/officeDocument/2006/customXml" ds:itemID="{D24AF52E-8D47-4F57-8C84-635107DAD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3437</Words>
  <Characters>19597</Characters>
  <Application>Microsoft Office Word</Application>
  <DocSecurity>0</DocSecurity>
  <Lines>163</Lines>
  <Paragraphs>45</Paragraphs>
  <ScaleCrop>false</ScaleCrop>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2025-09-25T21:04:00Z</dcterms:created>
  <dcterms:modified xsi:type="dcterms:W3CDTF">2025-09-25T21:04:00Z</dcterms:modified>
</cp:coreProperties>
</file>