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4A106C" w:rsidRDefault="00D306D1" w:rsidP="00627C9F">
      <w:pPr>
        <w:jc w:val="both"/>
        <w:rPr>
          <w:rFonts w:asciiTheme="majorHAnsi" w:hAnsiTheme="majorHAnsi" w:cs="Univers"/>
          <w:b/>
          <w:bCs/>
          <w:sz w:val="22"/>
          <w:szCs w:val="22"/>
          <w:lang w:val="es-ES"/>
        </w:rPr>
      </w:pPr>
      <w:r w:rsidRPr="004A106C">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98E5E"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A106C">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D47810" w:rsidRDefault="00D47810"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D47810" w:rsidRDefault="00D47810"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4A106C">
        <w:rPr>
          <w:rFonts w:asciiTheme="majorHAnsi" w:hAnsiTheme="majorHAnsi" w:cs="Univers"/>
          <w:b/>
          <w:bCs/>
          <w:sz w:val="22"/>
          <w:szCs w:val="22"/>
          <w:lang w:val="es-ES"/>
        </w:rPr>
        <w:t xml:space="preserve"> </w:t>
      </w:r>
    </w:p>
    <w:p w14:paraId="751BC92D" w14:textId="77777777" w:rsidR="00040C3A" w:rsidRPr="004A106C"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4A106C"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4A106C" w:rsidRDefault="005128E4" w:rsidP="00040C3A">
      <w:pPr>
        <w:tabs>
          <w:tab w:val="center" w:pos="5400"/>
        </w:tabs>
        <w:suppressAutoHyphens/>
        <w:rPr>
          <w:rFonts w:asciiTheme="majorHAnsi" w:hAnsiTheme="majorHAnsi"/>
          <w:sz w:val="22"/>
          <w:szCs w:val="22"/>
          <w:lang w:val="es-ES"/>
        </w:rPr>
      </w:pPr>
    </w:p>
    <w:p w14:paraId="7F51F08B" w14:textId="77777777" w:rsidR="005128E4" w:rsidRPr="004A106C" w:rsidRDefault="005128E4" w:rsidP="00040C3A">
      <w:pPr>
        <w:tabs>
          <w:tab w:val="center" w:pos="5400"/>
        </w:tabs>
        <w:suppressAutoHyphens/>
        <w:rPr>
          <w:rFonts w:asciiTheme="majorHAnsi" w:hAnsiTheme="majorHAnsi"/>
          <w:sz w:val="22"/>
          <w:szCs w:val="22"/>
          <w:lang w:val="es-ES"/>
        </w:rPr>
      </w:pPr>
    </w:p>
    <w:p w14:paraId="058606A7" w14:textId="77777777" w:rsidR="005128E4" w:rsidRPr="004A106C" w:rsidRDefault="005128E4" w:rsidP="00040C3A">
      <w:pPr>
        <w:tabs>
          <w:tab w:val="center" w:pos="5400"/>
        </w:tabs>
        <w:suppressAutoHyphens/>
        <w:rPr>
          <w:rFonts w:asciiTheme="majorHAnsi" w:hAnsiTheme="majorHAnsi"/>
          <w:sz w:val="22"/>
          <w:szCs w:val="22"/>
          <w:lang w:val="es-ES"/>
        </w:rPr>
      </w:pPr>
    </w:p>
    <w:p w14:paraId="01B9D56A" w14:textId="77777777" w:rsidR="00040C3A" w:rsidRPr="004A106C"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4A106C"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4A106C"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4A106C"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4A106C"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4A106C"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4A106C"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4A106C" w:rsidRDefault="003D3BC2" w:rsidP="00040C3A">
      <w:pPr>
        <w:tabs>
          <w:tab w:val="center" w:pos="5400"/>
        </w:tabs>
        <w:suppressAutoHyphens/>
        <w:jc w:val="center"/>
        <w:rPr>
          <w:rFonts w:asciiTheme="majorHAnsi" w:hAnsiTheme="majorHAnsi"/>
          <w:sz w:val="22"/>
          <w:szCs w:val="22"/>
          <w:lang w:val="es-ES"/>
        </w:rPr>
      </w:pPr>
      <w:r w:rsidRPr="004A106C">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wps:spPr>
                        <a:xfrm>
                          <a:off x="0" y="0"/>
                          <a:ext cx="4441190" cy="2181225"/>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4FAF40F9" w14:textId="19B65E02" w:rsidR="00D47810" w:rsidRPr="00AE4666" w:rsidRDefault="00D47810" w:rsidP="00997BC5">
                            <w:pPr>
                              <w:spacing w:line="276" w:lineRule="auto"/>
                              <w:rPr>
                                <w:rFonts w:ascii="Cambria" w:eastAsia="Cambria" w:hAnsi="Cambria"/>
                                <w:b/>
                                <w:color w:val="0D0D0D"/>
                                <w:sz w:val="36"/>
                                <w:szCs w:val="36"/>
                                <w:lang w:val="es-ES"/>
                              </w:rPr>
                            </w:pPr>
                            <w:r w:rsidRPr="00AE4666">
                              <w:rPr>
                                <w:rFonts w:ascii="Cambria" w:eastAsia="Cambria" w:hAnsi="Cambria"/>
                                <w:b/>
                                <w:color w:val="0D0D0D"/>
                                <w:sz w:val="36"/>
                                <w:szCs w:val="36"/>
                                <w:lang w:val="es-ES"/>
                              </w:rPr>
                              <w:t xml:space="preserve">INFORME No. </w:t>
                            </w:r>
                            <w:r w:rsidR="008675B1">
                              <w:rPr>
                                <w:rFonts w:ascii="Cambria" w:eastAsia="Cambria" w:hAnsi="Cambria"/>
                                <w:b/>
                                <w:color w:val="0D0D0D"/>
                                <w:sz w:val="36"/>
                                <w:szCs w:val="36"/>
                                <w:lang w:val="es-ES"/>
                              </w:rPr>
                              <w:t>128</w:t>
                            </w:r>
                            <w:r w:rsidRPr="00AE4666">
                              <w:rPr>
                                <w:rFonts w:ascii="Cambria" w:eastAsia="Cambria" w:hAnsi="Cambria"/>
                                <w:b/>
                                <w:color w:val="0D0D0D"/>
                                <w:sz w:val="36"/>
                                <w:szCs w:val="36"/>
                                <w:lang w:val="es-ES"/>
                              </w:rPr>
                              <w:t>/</w:t>
                            </w:r>
                            <w:r w:rsidR="00AE4666">
                              <w:rPr>
                                <w:rFonts w:ascii="Cambria" w:eastAsia="Cambria" w:hAnsi="Cambria"/>
                                <w:b/>
                                <w:color w:val="0D0D0D"/>
                                <w:sz w:val="36"/>
                                <w:szCs w:val="36"/>
                                <w:lang w:val="es-ES"/>
                              </w:rPr>
                              <w:t>25</w:t>
                            </w:r>
                          </w:p>
                          <w:p w14:paraId="115C5ED6" w14:textId="77777777" w:rsidR="00D47810" w:rsidRPr="00EA3C24" w:rsidRDefault="00D47810" w:rsidP="00997BC5">
                            <w:pPr>
                              <w:spacing w:line="276" w:lineRule="auto"/>
                              <w:rPr>
                                <w:rFonts w:ascii="Cambria" w:eastAsia="Cambria" w:hAnsi="Cambria"/>
                                <w:b/>
                                <w:color w:val="0D0D0D"/>
                                <w:sz w:val="36"/>
                                <w:szCs w:val="36"/>
                                <w:lang w:val="es-US"/>
                              </w:rPr>
                            </w:pPr>
                            <w:r w:rsidRPr="00EA3C24">
                              <w:rPr>
                                <w:rFonts w:ascii="Cambria" w:eastAsia="Cambria" w:hAnsi="Cambria"/>
                                <w:b/>
                                <w:color w:val="0D0D0D"/>
                                <w:sz w:val="36"/>
                                <w:szCs w:val="36"/>
                                <w:lang w:val="es-US"/>
                              </w:rPr>
                              <w:t xml:space="preserve">PETICIÓN </w:t>
                            </w:r>
                            <w:r w:rsidR="00A6360A" w:rsidRPr="00EA3C24">
                              <w:rPr>
                                <w:rFonts w:ascii="Cambria" w:eastAsia="Cambria" w:hAnsi="Cambria"/>
                                <w:b/>
                                <w:color w:val="0D0D0D"/>
                                <w:sz w:val="36"/>
                                <w:szCs w:val="36"/>
                                <w:lang w:val="es-US"/>
                              </w:rPr>
                              <w:t>2113</w:t>
                            </w:r>
                            <w:r w:rsidRPr="00EA3C24">
                              <w:rPr>
                                <w:rFonts w:ascii="Cambria" w:eastAsia="Cambria" w:hAnsi="Cambria"/>
                                <w:b/>
                                <w:color w:val="0D0D0D"/>
                                <w:sz w:val="36"/>
                                <w:szCs w:val="36"/>
                                <w:lang w:val="es-US"/>
                              </w:rPr>
                              <w:t>-</w:t>
                            </w:r>
                            <w:r w:rsidR="00A6360A" w:rsidRPr="00EA3C24">
                              <w:rPr>
                                <w:rFonts w:ascii="Cambria" w:eastAsia="Cambria" w:hAnsi="Cambria"/>
                                <w:b/>
                                <w:color w:val="0D0D0D"/>
                                <w:sz w:val="36"/>
                                <w:szCs w:val="36"/>
                                <w:lang w:val="es-US"/>
                              </w:rPr>
                              <w:t>16</w:t>
                            </w:r>
                            <w:r w:rsidRPr="00EA3C24">
                              <w:rPr>
                                <w:rFonts w:ascii="Cambria" w:eastAsia="Cambria" w:hAnsi="Cambria"/>
                                <w:b/>
                                <w:color w:val="0D0D0D"/>
                                <w:sz w:val="36"/>
                                <w:szCs w:val="36"/>
                                <w:lang w:val="es-US"/>
                              </w:rPr>
                              <w:t xml:space="preserve"> </w:t>
                            </w:r>
                          </w:p>
                          <w:p w14:paraId="1FAEEB12" w14:textId="77777777" w:rsidR="00D47810" w:rsidRPr="00EA3C24" w:rsidRDefault="00D47810" w:rsidP="00997BC5">
                            <w:pPr>
                              <w:spacing w:line="276" w:lineRule="auto"/>
                              <w:rPr>
                                <w:rFonts w:ascii="Cambria" w:eastAsia="Cambria" w:hAnsi="Cambria"/>
                                <w:color w:val="0D0D0D"/>
                                <w:lang w:val="es-US"/>
                              </w:rPr>
                            </w:pPr>
                            <w:r w:rsidRPr="00EA3C24">
                              <w:rPr>
                                <w:rFonts w:ascii="Cambria" w:eastAsia="Cambria" w:hAnsi="Cambria"/>
                                <w:color w:val="0D0D0D"/>
                                <w:lang w:val="es-US"/>
                              </w:rPr>
                              <w:t>INFORME DE ADMISIBILIDAD</w:t>
                            </w:r>
                          </w:p>
                          <w:p w14:paraId="147CD547" w14:textId="77777777" w:rsidR="00D47810" w:rsidRPr="00EA3C24" w:rsidRDefault="00E073DF" w:rsidP="00997BC5">
                            <w:pPr>
                              <w:spacing w:line="276" w:lineRule="auto"/>
                              <w:rPr>
                                <w:rFonts w:ascii="Cambria" w:eastAsia="Cambria" w:hAnsi="Cambria"/>
                                <w:color w:val="0D0D0D"/>
                                <w:lang w:val="es-US"/>
                              </w:rPr>
                            </w:pPr>
                            <w:r w:rsidRPr="00EA3C24">
                              <w:rPr>
                                <w:rFonts w:ascii="Cambria" w:eastAsia="Cambria" w:hAnsi="Cambria"/>
                                <w:color w:val="0D0D0D"/>
                                <w:lang w:val="es-US"/>
                              </w:rPr>
                              <w:t> </w:t>
                            </w:r>
                          </w:p>
                          <w:p w14:paraId="140EC010" w14:textId="77777777" w:rsidR="00D47810" w:rsidRPr="00EA3C24" w:rsidRDefault="00A6360A" w:rsidP="00997BC5">
                            <w:pPr>
                              <w:spacing w:line="276" w:lineRule="auto"/>
                              <w:rPr>
                                <w:rFonts w:ascii="Cambria" w:eastAsia="Cambria" w:hAnsi="Cambria"/>
                                <w:color w:val="0D0D0D"/>
                                <w:lang w:val="es-US"/>
                              </w:rPr>
                            </w:pPr>
                            <w:r w:rsidRPr="00EA3C24">
                              <w:rPr>
                                <w:rFonts w:ascii="Cambria" w:eastAsia="Cambria" w:hAnsi="Cambria"/>
                                <w:color w:val="0D0D0D"/>
                                <w:lang w:val="es-US"/>
                              </w:rPr>
                              <w:t>FRANCISCO DANIEL ENDARA DAZA</w:t>
                            </w:r>
                          </w:p>
                          <w:p w14:paraId="14EAF34B" w14:textId="77777777" w:rsidR="00D47810" w:rsidRDefault="00A6360A" w:rsidP="00F56ECB">
                            <w:pPr>
                              <w:spacing w:line="276" w:lineRule="auto"/>
                              <w:rPr>
                                <w:rFonts w:ascii="Cambria" w:eastAsia="Cambria" w:hAnsi="Cambria"/>
                                <w:color w:val="0D0D0D"/>
                              </w:rPr>
                            </w:pPr>
                            <w:r>
                              <w:rPr>
                                <w:rFonts w:ascii="Cambria" w:eastAsia="Cambria" w:hAnsi="Cambria"/>
                                <w:color w:val="0D0D0D"/>
                              </w:rPr>
                              <w:t>ECUADOR</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5C56D75" id="Text Box 5" o:spid="_x0000_s1027"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" filled="f" stroked="f" strokeweight=".5pt">
                <v:textbox>
                  <w:txbxContent>
                    <w:p w14:paraId="4FAF40F9" w14:textId="19B65E02" w:rsidR="00D47810" w:rsidRPr="00AE4666" w:rsidRDefault="00D47810" w:rsidP="00997BC5">
                      <w:pPr>
                        <w:spacing w:line="276" w:lineRule="auto"/>
                        <w:rPr>
                          <w:rFonts w:ascii="Cambria" w:eastAsia="Cambria" w:hAnsi="Cambria"/>
                          <w:b/>
                          <w:color w:val="0D0D0D"/>
                          <w:sz w:val="36"/>
                          <w:szCs w:val="36"/>
                          <w:lang w:val="es-ES"/>
                        </w:rPr>
                      </w:pPr>
                      <w:r w:rsidRPr="00AE4666">
                        <w:rPr>
                          <w:rFonts w:ascii="Cambria" w:eastAsia="Cambria" w:hAnsi="Cambria"/>
                          <w:b/>
                          <w:color w:val="0D0D0D"/>
                          <w:sz w:val="36"/>
                          <w:szCs w:val="36"/>
                          <w:lang w:val="es-ES"/>
                        </w:rPr>
                        <w:t xml:space="preserve">INFORME No. </w:t>
                      </w:r>
                      <w:r w:rsidR="008675B1">
                        <w:rPr>
                          <w:rFonts w:ascii="Cambria" w:eastAsia="Cambria" w:hAnsi="Cambria"/>
                          <w:b/>
                          <w:color w:val="0D0D0D"/>
                          <w:sz w:val="36"/>
                          <w:szCs w:val="36"/>
                          <w:lang w:val="es-ES"/>
                        </w:rPr>
                        <w:t>128</w:t>
                      </w:r>
                      <w:r w:rsidRPr="00AE4666">
                        <w:rPr>
                          <w:rFonts w:ascii="Cambria" w:eastAsia="Cambria" w:hAnsi="Cambria"/>
                          <w:b/>
                          <w:color w:val="0D0D0D"/>
                          <w:sz w:val="36"/>
                          <w:szCs w:val="36"/>
                          <w:lang w:val="es-ES"/>
                        </w:rPr>
                        <w:t>/</w:t>
                      </w:r>
                      <w:r w:rsidR="00AE4666">
                        <w:rPr>
                          <w:rFonts w:ascii="Cambria" w:eastAsia="Cambria" w:hAnsi="Cambria"/>
                          <w:b/>
                          <w:color w:val="0D0D0D"/>
                          <w:sz w:val="36"/>
                          <w:szCs w:val="36"/>
                          <w:lang w:val="es-ES"/>
                        </w:rPr>
                        <w:t>25</w:t>
                      </w:r>
                    </w:p>
                    <w:p w14:paraId="115C5ED6" w14:textId="77777777" w:rsidR="00D47810" w:rsidRPr="00EA3C24" w:rsidRDefault="00D47810" w:rsidP="00997BC5">
                      <w:pPr>
                        <w:spacing w:line="276" w:lineRule="auto"/>
                        <w:rPr>
                          <w:rFonts w:ascii="Cambria" w:eastAsia="Cambria" w:hAnsi="Cambria"/>
                          <w:b/>
                          <w:color w:val="0D0D0D"/>
                          <w:sz w:val="36"/>
                          <w:szCs w:val="36"/>
                          <w:lang w:val="es-US"/>
                        </w:rPr>
                      </w:pPr>
                      <w:r w:rsidRPr="00EA3C24">
                        <w:rPr>
                          <w:rFonts w:ascii="Cambria" w:eastAsia="Cambria" w:hAnsi="Cambria"/>
                          <w:b/>
                          <w:color w:val="0D0D0D"/>
                          <w:sz w:val="36"/>
                          <w:szCs w:val="36"/>
                          <w:lang w:val="es-US"/>
                        </w:rPr>
                        <w:t xml:space="preserve">PETICIÓN </w:t>
                      </w:r>
                      <w:r w:rsidR="00A6360A" w:rsidRPr="00EA3C24">
                        <w:rPr>
                          <w:rFonts w:ascii="Cambria" w:eastAsia="Cambria" w:hAnsi="Cambria"/>
                          <w:b/>
                          <w:color w:val="0D0D0D"/>
                          <w:sz w:val="36"/>
                          <w:szCs w:val="36"/>
                          <w:lang w:val="es-US"/>
                        </w:rPr>
                        <w:t>2113</w:t>
                      </w:r>
                      <w:r w:rsidRPr="00EA3C24">
                        <w:rPr>
                          <w:rFonts w:ascii="Cambria" w:eastAsia="Cambria" w:hAnsi="Cambria"/>
                          <w:b/>
                          <w:color w:val="0D0D0D"/>
                          <w:sz w:val="36"/>
                          <w:szCs w:val="36"/>
                          <w:lang w:val="es-US"/>
                        </w:rPr>
                        <w:t>-</w:t>
                      </w:r>
                      <w:r w:rsidR="00A6360A" w:rsidRPr="00EA3C24">
                        <w:rPr>
                          <w:rFonts w:ascii="Cambria" w:eastAsia="Cambria" w:hAnsi="Cambria"/>
                          <w:b/>
                          <w:color w:val="0D0D0D"/>
                          <w:sz w:val="36"/>
                          <w:szCs w:val="36"/>
                          <w:lang w:val="es-US"/>
                        </w:rPr>
                        <w:t>16</w:t>
                      </w:r>
                      <w:r w:rsidRPr="00EA3C24">
                        <w:rPr>
                          <w:rFonts w:ascii="Cambria" w:eastAsia="Cambria" w:hAnsi="Cambria"/>
                          <w:b/>
                          <w:color w:val="0D0D0D"/>
                          <w:sz w:val="36"/>
                          <w:szCs w:val="36"/>
                          <w:lang w:val="es-US"/>
                        </w:rPr>
                        <w:t xml:space="preserve"> </w:t>
                      </w:r>
                    </w:p>
                    <w:p w14:paraId="1FAEEB12" w14:textId="77777777" w:rsidR="00D47810" w:rsidRPr="00EA3C24" w:rsidRDefault="00D47810" w:rsidP="00997BC5">
                      <w:pPr>
                        <w:spacing w:line="276" w:lineRule="auto"/>
                        <w:rPr>
                          <w:rFonts w:ascii="Cambria" w:eastAsia="Cambria" w:hAnsi="Cambria"/>
                          <w:color w:val="0D0D0D"/>
                          <w:lang w:val="es-US"/>
                        </w:rPr>
                      </w:pPr>
                      <w:r w:rsidRPr="00EA3C24">
                        <w:rPr>
                          <w:rFonts w:ascii="Cambria" w:eastAsia="Cambria" w:hAnsi="Cambria"/>
                          <w:color w:val="0D0D0D"/>
                          <w:lang w:val="es-US"/>
                        </w:rPr>
                        <w:t>INFORME DE ADMISIBILIDAD</w:t>
                      </w:r>
                    </w:p>
                    <w:p w14:paraId="147CD547" w14:textId="77777777" w:rsidR="00D47810" w:rsidRPr="00EA3C24" w:rsidRDefault="00E073DF" w:rsidP="00997BC5">
                      <w:pPr>
                        <w:spacing w:line="276" w:lineRule="auto"/>
                        <w:rPr>
                          <w:rFonts w:ascii="Cambria" w:eastAsia="Cambria" w:hAnsi="Cambria"/>
                          <w:color w:val="0D0D0D"/>
                          <w:lang w:val="es-US"/>
                        </w:rPr>
                      </w:pPr>
                      <w:r w:rsidRPr="00EA3C24">
                        <w:rPr>
                          <w:rFonts w:ascii="Cambria" w:eastAsia="Cambria" w:hAnsi="Cambria"/>
                          <w:color w:val="0D0D0D"/>
                          <w:lang w:val="es-US"/>
                        </w:rPr>
                        <w:t> </w:t>
                      </w:r>
                    </w:p>
                    <w:p w14:paraId="140EC010" w14:textId="77777777" w:rsidR="00D47810" w:rsidRPr="00EA3C24" w:rsidRDefault="00A6360A" w:rsidP="00997BC5">
                      <w:pPr>
                        <w:spacing w:line="276" w:lineRule="auto"/>
                        <w:rPr>
                          <w:rFonts w:ascii="Cambria" w:eastAsia="Cambria" w:hAnsi="Cambria"/>
                          <w:color w:val="0D0D0D"/>
                          <w:lang w:val="es-US"/>
                        </w:rPr>
                      </w:pPr>
                      <w:r w:rsidRPr="00EA3C24">
                        <w:rPr>
                          <w:rFonts w:ascii="Cambria" w:eastAsia="Cambria" w:hAnsi="Cambria"/>
                          <w:color w:val="0D0D0D"/>
                          <w:lang w:val="es-US"/>
                        </w:rPr>
                        <w:t>FRANCISCO DANIEL ENDARA DAZA</w:t>
                      </w:r>
                    </w:p>
                    <w:p w14:paraId="14EAF34B" w14:textId="77777777" w:rsidR="00D47810" w:rsidRDefault="00A6360A" w:rsidP="00F56ECB">
                      <w:pPr>
                        <w:spacing w:line="276" w:lineRule="auto"/>
                        <w:rPr>
                          <w:rFonts w:ascii="Cambria" w:eastAsia="Cambria" w:hAnsi="Cambria"/>
                          <w:color w:val="0D0D0D"/>
                        </w:rPr>
                      </w:pPr>
                      <w:r>
                        <w:rPr>
                          <w:rFonts w:ascii="Cambria" w:eastAsia="Cambria" w:hAnsi="Cambria"/>
                          <w:color w:val="0D0D0D"/>
                        </w:rPr>
                        <w:t>ECUADOR</w:t>
                      </w:r>
                    </w:p>
                  </w:txbxContent>
                </v:textbox>
              </v:rect>
            </w:pict>
          </mc:Fallback>
        </mc:AlternateContent>
      </w:r>
      <w:r w:rsidR="004E2649" w:rsidRPr="004A106C">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1C34E3E" w:rsidR="00D47810" w:rsidRPr="00AB4520" w:rsidRDefault="00D47810" w:rsidP="007A5817">
                            <w:pPr>
                              <w:spacing w:line="276" w:lineRule="auto"/>
                              <w:jc w:val="right"/>
                              <w:rPr>
                                <w:rFonts w:asciiTheme="minorHAnsi" w:hAnsiTheme="minorHAnsi"/>
                                <w:color w:val="FFFFFF" w:themeColor="background1"/>
                                <w:sz w:val="22"/>
                                <w:lang w:val="es-ES"/>
                              </w:rPr>
                            </w:pPr>
                            <w:r w:rsidRPr="00AB4520">
                              <w:rPr>
                                <w:rFonts w:asciiTheme="minorHAnsi" w:hAnsiTheme="minorHAnsi"/>
                                <w:color w:val="FFFFFF" w:themeColor="background1"/>
                                <w:sz w:val="22"/>
                                <w:lang w:val="es-ES"/>
                              </w:rPr>
                              <w:t>OEA/Ser.L/V/II</w:t>
                            </w:r>
                          </w:p>
                          <w:p w14:paraId="71D2D5D2" w14:textId="49786577" w:rsidR="00D47810" w:rsidRPr="00AB4520" w:rsidRDefault="00D47810" w:rsidP="007A5817">
                            <w:pPr>
                              <w:spacing w:line="276" w:lineRule="auto"/>
                              <w:jc w:val="right"/>
                              <w:rPr>
                                <w:rFonts w:asciiTheme="minorHAnsi" w:hAnsiTheme="minorHAnsi"/>
                                <w:color w:val="FFFFFF" w:themeColor="background1"/>
                                <w:sz w:val="22"/>
                                <w:lang w:val="es-ES"/>
                              </w:rPr>
                            </w:pPr>
                            <w:r w:rsidRPr="00AB4520">
                              <w:rPr>
                                <w:rFonts w:asciiTheme="minorHAnsi" w:hAnsiTheme="minorHAnsi"/>
                                <w:color w:val="FFFFFF" w:themeColor="background1"/>
                                <w:sz w:val="22"/>
                                <w:lang w:val="es-ES"/>
                              </w:rPr>
                              <w:t xml:space="preserve">Doc. </w:t>
                            </w:r>
                            <w:r w:rsidR="00AB4520" w:rsidRPr="00AB4520">
                              <w:rPr>
                                <w:rFonts w:asciiTheme="minorHAnsi" w:hAnsiTheme="minorHAnsi"/>
                                <w:color w:val="FFFFFF" w:themeColor="background1"/>
                                <w:sz w:val="22"/>
                                <w:lang w:val="es-ES"/>
                              </w:rPr>
                              <w:t>134</w:t>
                            </w:r>
                          </w:p>
                          <w:p w14:paraId="4061DBBD" w14:textId="3DA264EF" w:rsidR="00D47810" w:rsidRPr="00C25ADB" w:rsidRDefault="00AB452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julio</w:t>
                            </w:r>
                            <w:r w:rsidR="00D47810" w:rsidRPr="00C25ADB">
                              <w:rPr>
                                <w:rFonts w:asciiTheme="minorHAnsi" w:hAnsiTheme="minorHAnsi"/>
                                <w:color w:val="FFFFFF" w:themeColor="background1"/>
                                <w:sz w:val="22"/>
                                <w:lang w:val="es-PA"/>
                              </w:rPr>
                              <w:t xml:space="preserve"> 202</w:t>
                            </w:r>
                            <w:r w:rsidR="00AE4666">
                              <w:rPr>
                                <w:rFonts w:asciiTheme="minorHAnsi" w:hAnsiTheme="minorHAnsi"/>
                                <w:color w:val="FFFFFF" w:themeColor="background1"/>
                                <w:sz w:val="22"/>
                                <w:lang w:val="es-PA"/>
                              </w:rPr>
                              <w:t>5</w:t>
                            </w:r>
                          </w:p>
                          <w:p w14:paraId="0537C4A5" w14:textId="77777777" w:rsidR="00D47810" w:rsidRPr="00C25ADB" w:rsidRDefault="00D4781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1C34E3E" w:rsidR="00D47810" w:rsidRPr="00AB4520" w:rsidRDefault="00D47810" w:rsidP="007A5817">
                      <w:pPr>
                        <w:spacing w:line="276" w:lineRule="auto"/>
                        <w:jc w:val="right"/>
                        <w:rPr>
                          <w:rFonts w:asciiTheme="minorHAnsi" w:hAnsiTheme="minorHAnsi"/>
                          <w:color w:val="FFFFFF" w:themeColor="background1"/>
                          <w:sz w:val="22"/>
                          <w:lang w:val="es-ES"/>
                        </w:rPr>
                      </w:pPr>
                      <w:r w:rsidRPr="00AB4520">
                        <w:rPr>
                          <w:rFonts w:asciiTheme="minorHAnsi" w:hAnsiTheme="minorHAnsi"/>
                          <w:color w:val="FFFFFF" w:themeColor="background1"/>
                          <w:sz w:val="22"/>
                          <w:lang w:val="es-ES"/>
                        </w:rPr>
                        <w:t>OEA/Ser.L/V/II</w:t>
                      </w:r>
                    </w:p>
                    <w:p w14:paraId="71D2D5D2" w14:textId="49786577" w:rsidR="00D47810" w:rsidRPr="00AB4520" w:rsidRDefault="00D47810" w:rsidP="007A5817">
                      <w:pPr>
                        <w:spacing w:line="276" w:lineRule="auto"/>
                        <w:jc w:val="right"/>
                        <w:rPr>
                          <w:rFonts w:asciiTheme="minorHAnsi" w:hAnsiTheme="minorHAnsi"/>
                          <w:color w:val="FFFFFF" w:themeColor="background1"/>
                          <w:sz w:val="22"/>
                          <w:lang w:val="es-ES"/>
                        </w:rPr>
                      </w:pPr>
                      <w:r w:rsidRPr="00AB4520">
                        <w:rPr>
                          <w:rFonts w:asciiTheme="minorHAnsi" w:hAnsiTheme="minorHAnsi"/>
                          <w:color w:val="FFFFFF" w:themeColor="background1"/>
                          <w:sz w:val="22"/>
                          <w:lang w:val="es-ES"/>
                        </w:rPr>
                        <w:t xml:space="preserve">Doc. </w:t>
                      </w:r>
                      <w:r w:rsidR="00AB4520" w:rsidRPr="00AB4520">
                        <w:rPr>
                          <w:rFonts w:asciiTheme="minorHAnsi" w:hAnsiTheme="minorHAnsi"/>
                          <w:color w:val="FFFFFF" w:themeColor="background1"/>
                          <w:sz w:val="22"/>
                          <w:lang w:val="es-ES"/>
                        </w:rPr>
                        <w:t>134</w:t>
                      </w:r>
                    </w:p>
                    <w:p w14:paraId="4061DBBD" w14:textId="3DA264EF" w:rsidR="00D47810" w:rsidRPr="00C25ADB" w:rsidRDefault="00AB452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julio</w:t>
                      </w:r>
                      <w:r w:rsidR="00D47810" w:rsidRPr="00C25ADB">
                        <w:rPr>
                          <w:rFonts w:asciiTheme="minorHAnsi" w:hAnsiTheme="minorHAnsi"/>
                          <w:color w:val="FFFFFF" w:themeColor="background1"/>
                          <w:sz w:val="22"/>
                          <w:lang w:val="es-PA"/>
                        </w:rPr>
                        <w:t xml:space="preserve"> 202</w:t>
                      </w:r>
                      <w:r w:rsidR="00AE4666">
                        <w:rPr>
                          <w:rFonts w:asciiTheme="minorHAnsi" w:hAnsiTheme="minorHAnsi"/>
                          <w:color w:val="FFFFFF" w:themeColor="background1"/>
                          <w:sz w:val="22"/>
                          <w:lang w:val="es-PA"/>
                        </w:rPr>
                        <w:t>5</w:t>
                      </w:r>
                    </w:p>
                    <w:p w14:paraId="0537C4A5" w14:textId="77777777" w:rsidR="00D47810" w:rsidRPr="00C25ADB" w:rsidRDefault="00D4781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5E23869" w14:textId="77777777" w:rsidR="00040C3A" w:rsidRPr="004A106C"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4A106C"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4A106C"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4A106C"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4A106C"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4A106C"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4A106C"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4A106C"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4A106C"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4A106C"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4A106C"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4A106C"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4A106C"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4A106C"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4A106C" w:rsidRDefault="0090270B" w:rsidP="00040C3A">
      <w:pPr>
        <w:tabs>
          <w:tab w:val="center" w:pos="5400"/>
        </w:tabs>
        <w:suppressAutoHyphens/>
        <w:jc w:val="center"/>
        <w:rPr>
          <w:rFonts w:asciiTheme="majorHAnsi" w:hAnsiTheme="majorHAnsi"/>
          <w:sz w:val="18"/>
          <w:szCs w:val="22"/>
          <w:lang w:val="es-ES"/>
        </w:rPr>
      </w:pPr>
      <w:r w:rsidRPr="004A106C">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D1A2884" w:rsidR="00D47810" w:rsidRPr="00890650" w:rsidRDefault="00D4781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B4520">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AB4520">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02356">
                              <w:rPr>
                                <w:rFonts w:asciiTheme="majorHAnsi" w:hAnsiTheme="majorHAnsi"/>
                                <w:color w:val="0D0D0D" w:themeColor="text1" w:themeTint="F2"/>
                                <w:sz w:val="18"/>
                                <w:szCs w:val="22"/>
                                <w:lang w:val="es-ES"/>
                              </w:rPr>
                              <w:t>5</w:t>
                            </w:r>
                            <w:r w:rsidR="00AB4520">
                              <w:rPr>
                                <w:rFonts w:asciiTheme="majorHAnsi" w:hAnsiTheme="majorHAnsi"/>
                                <w:color w:val="0D0D0D" w:themeColor="text1" w:themeTint="F2"/>
                                <w:sz w:val="18"/>
                                <w:szCs w:val="22"/>
                                <w:lang w:val="es-ES"/>
                              </w:rPr>
                              <w:t>.</w:t>
                            </w:r>
                          </w:p>
                          <w:p w14:paraId="27EB8538" w14:textId="77777777" w:rsidR="00D47810" w:rsidRPr="007A5817" w:rsidRDefault="00D47810"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D47810" w:rsidRPr="00167A34" w:rsidRDefault="00D4781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D1A2884" w:rsidR="00D47810" w:rsidRPr="00890650" w:rsidRDefault="00D4781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B4520">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AB4520">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02356">
                        <w:rPr>
                          <w:rFonts w:asciiTheme="majorHAnsi" w:hAnsiTheme="majorHAnsi"/>
                          <w:color w:val="0D0D0D" w:themeColor="text1" w:themeTint="F2"/>
                          <w:sz w:val="18"/>
                          <w:szCs w:val="22"/>
                          <w:lang w:val="es-ES"/>
                        </w:rPr>
                        <w:t>5</w:t>
                      </w:r>
                      <w:r w:rsidR="00AB4520">
                        <w:rPr>
                          <w:rFonts w:asciiTheme="majorHAnsi" w:hAnsiTheme="majorHAnsi"/>
                          <w:color w:val="0D0D0D" w:themeColor="text1" w:themeTint="F2"/>
                          <w:sz w:val="18"/>
                          <w:szCs w:val="22"/>
                          <w:lang w:val="es-ES"/>
                        </w:rPr>
                        <w:t>.</w:t>
                      </w:r>
                    </w:p>
                    <w:p w14:paraId="27EB8538" w14:textId="77777777" w:rsidR="00D47810" w:rsidRPr="007A5817" w:rsidRDefault="00D47810"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D47810" w:rsidRPr="00167A34" w:rsidRDefault="00D4781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5EDC5EE2"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4730F205" w14:textId="77777777" w:rsidR="00A50FCF" w:rsidRPr="004A106C" w:rsidRDefault="0090270B" w:rsidP="00040C3A">
      <w:pPr>
        <w:tabs>
          <w:tab w:val="center" w:pos="5400"/>
        </w:tabs>
        <w:suppressAutoHyphens/>
        <w:jc w:val="center"/>
        <w:rPr>
          <w:rFonts w:asciiTheme="majorHAnsi" w:hAnsiTheme="majorHAnsi"/>
          <w:sz w:val="18"/>
          <w:szCs w:val="22"/>
          <w:lang w:val="es-ES"/>
        </w:rPr>
      </w:pPr>
      <w:r w:rsidRPr="004A106C">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7796A" w14:textId="77777777" w:rsidR="00D75402" w:rsidRDefault="00D47810"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B4520" w:rsidRPr="00AB4520">
                              <w:rPr>
                                <w:rFonts w:asciiTheme="majorHAnsi" w:hAnsiTheme="majorHAnsi"/>
                                <w:color w:val="595959" w:themeColor="text1" w:themeTint="A6"/>
                                <w:sz w:val="18"/>
                                <w:szCs w:val="18"/>
                                <w:lang w:val="pt-BR"/>
                              </w:rPr>
                              <w:t>128/25</w:t>
                            </w:r>
                            <w:r w:rsidRPr="00AB452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AB4520">
                              <w:rPr>
                                <w:rFonts w:asciiTheme="majorHAnsi" w:hAnsiTheme="majorHAnsi"/>
                                <w:color w:val="595959" w:themeColor="text1" w:themeTint="A6"/>
                                <w:sz w:val="18"/>
                                <w:szCs w:val="18"/>
                                <w:lang w:val="es-ES"/>
                              </w:rPr>
                              <w:t>2113</w:t>
                            </w:r>
                            <w:r>
                              <w:rPr>
                                <w:rFonts w:asciiTheme="majorHAnsi" w:hAnsiTheme="majorHAnsi"/>
                                <w:color w:val="595959" w:themeColor="text1" w:themeTint="A6"/>
                                <w:sz w:val="18"/>
                                <w:szCs w:val="18"/>
                                <w:lang w:val="es-ES"/>
                              </w:rPr>
                              <w:t>-</w:t>
                            </w:r>
                            <w:r w:rsidR="00AB4520">
                              <w:rPr>
                                <w:rFonts w:asciiTheme="majorHAnsi" w:hAnsiTheme="majorHAnsi"/>
                                <w:color w:val="595959" w:themeColor="text1" w:themeTint="A6"/>
                                <w:sz w:val="18"/>
                                <w:szCs w:val="18"/>
                                <w:lang w:val="es-ES"/>
                              </w:rPr>
                              <w:t>16</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EBCFD20" w:rsidR="00D47810" w:rsidRPr="007B05C4" w:rsidRDefault="00AB452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Francisco Daniel Endara Daza</w:t>
                            </w:r>
                            <w:r w:rsidR="00D47810"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00D47810" w:rsidRPr="00890650">
                              <w:rPr>
                                <w:rFonts w:asciiTheme="majorHAnsi" w:hAnsiTheme="majorHAnsi"/>
                                <w:color w:val="595959" w:themeColor="text1" w:themeTint="A6"/>
                                <w:sz w:val="18"/>
                                <w:szCs w:val="18"/>
                                <w:lang w:val="es-ES_tradnl"/>
                              </w:rPr>
                              <w:t xml:space="preserve">. </w:t>
                            </w:r>
                            <w:r w:rsidR="0073102F">
                              <w:rPr>
                                <w:rFonts w:asciiTheme="majorHAnsi" w:hAnsiTheme="majorHAnsi"/>
                                <w:color w:val="595959" w:themeColor="text1" w:themeTint="A6"/>
                                <w:sz w:val="18"/>
                                <w:szCs w:val="18"/>
                                <w:lang w:val="es-ES"/>
                              </w:rPr>
                              <w:t>1º de julio de 2025</w:t>
                            </w:r>
                            <w:r w:rsidR="00D47810"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347796A" w14:textId="77777777" w:rsidR="00D75402" w:rsidRDefault="00D47810"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B4520" w:rsidRPr="00AB4520">
                        <w:rPr>
                          <w:rFonts w:asciiTheme="majorHAnsi" w:hAnsiTheme="majorHAnsi"/>
                          <w:color w:val="595959" w:themeColor="text1" w:themeTint="A6"/>
                          <w:sz w:val="18"/>
                          <w:szCs w:val="18"/>
                          <w:lang w:val="pt-BR"/>
                        </w:rPr>
                        <w:t>128/25</w:t>
                      </w:r>
                      <w:r w:rsidRPr="00AB452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AB4520">
                        <w:rPr>
                          <w:rFonts w:asciiTheme="majorHAnsi" w:hAnsiTheme="majorHAnsi"/>
                          <w:color w:val="595959" w:themeColor="text1" w:themeTint="A6"/>
                          <w:sz w:val="18"/>
                          <w:szCs w:val="18"/>
                          <w:lang w:val="es-ES"/>
                        </w:rPr>
                        <w:t>2113</w:t>
                      </w:r>
                      <w:r>
                        <w:rPr>
                          <w:rFonts w:asciiTheme="majorHAnsi" w:hAnsiTheme="majorHAnsi"/>
                          <w:color w:val="595959" w:themeColor="text1" w:themeTint="A6"/>
                          <w:sz w:val="18"/>
                          <w:szCs w:val="18"/>
                          <w:lang w:val="es-ES"/>
                        </w:rPr>
                        <w:t>-</w:t>
                      </w:r>
                      <w:r w:rsidR="00AB4520">
                        <w:rPr>
                          <w:rFonts w:asciiTheme="majorHAnsi" w:hAnsiTheme="majorHAnsi"/>
                          <w:color w:val="595959" w:themeColor="text1" w:themeTint="A6"/>
                          <w:sz w:val="18"/>
                          <w:szCs w:val="18"/>
                          <w:lang w:val="es-ES"/>
                        </w:rPr>
                        <w:t>16</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EBCFD20" w:rsidR="00D47810" w:rsidRPr="007B05C4" w:rsidRDefault="00AB452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Francisco Daniel Endara Daza</w:t>
                      </w:r>
                      <w:r w:rsidR="00D47810"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00D47810" w:rsidRPr="00890650">
                        <w:rPr>
                          <w:rFonts w:asciiTheme="majorHAnsi" w:hAnsiTheme="majorHAnsi"/>
                          <w:color w:val="595959" w:themeColor="text1" w:themeTint="A6"/>
                          <w:sz w:val="18"/>
                          <w:szCs w:val="18"/>
                          <w:lang w:val="es-ES_tradnl"/>
                        </w:rPr>
                        <w:t xml:space="preserve">. </w:t>
                      </w:r>
                      <w:r w:rsidR="0073102F">
                        <w:rPr>
                          <w:rFonts w:asciiTheme="majorHAnsi" w:hAnsiTheme="majorHAnsi"/>
                          <w:color w:val="595959" w:themeColor="text1" w:themeTint="A6"/>
                          <w:sz w:val="18"/>
                          <w:szCs w:val="18"/>
                          <w:lang w:val="es-ES"/>
                        </w:rPr>
                        <w:t>1º de julio de 2025</w:t>
                      </w:r>
                      <w:r w:rsidR="00D47810"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4A106C"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4A106C" w:rsidRDefault="00D306D1" w:rsidP="005516A1">
      <w:pPr>
        <w:tabs>
          <w:tab w:val="center" w:pos="5400"/>
        </w:tabs>
        <w:suppressAutoHyphens/>
        <w:jc w:val="center"/>
        <w:rPr>
          <w:rFonts w:asciiTheme="majorHAnsi" w:hAnsiTheme="majorHAnsi"/>
          <w:b/>
          <w:sz w:val="20"/>
          <w:lang w:val="es-ES"/>
        </w:rPr>
      </w:pPr>
      <w:r w:rsidRPr="004A106C">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47810" w:rsidRPr="00D72DC6" w:rsidRDefault="00D47810"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47810" w:rsidRPr="00D72DC6" w:rsidRDefault="00D47810"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4A106C">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47810" w:rsidRPr="004B7EB6" w:rsidRDefault="00D4781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47810" w:rsidRPr="004B7EB6" w:rsidRDefault="00D4781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4A106C" w:rsidRDefault="004A6A54" w:rsidP="005516A1">
      <w:pPr>
        <w:tabs>
          <w:tab w:val="center" w:pos="5400"/>
        </w:tabs>
        <w:suppressAutoHyphens/>
        <w:jc w:val="center"/>
        <w:rPr>
          <w:rFonts w:asciiTheme="majorHAnsi" w:hAnsiTheme="majorHAnsi"/>
          <w:b/>
          <w:sz w:val="20"/>
          <w:lang w:val="es-ES"/>
        </w:rPr>
        <w:sectPr w:rsidR="0070697F" w:rsidRPr="004A106C"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4A106C">
        <w:rPr>
          <w:rFonts w:asciiTheme="majorHAnsi" w:hAnsiTheme="majorHAnsi"/>
          <w:b/>
          <w:sz w:val="20"/>
          <w:lang w:val="es-ES"/>
        </w:rPr>
        <w:tab/>
      </w:r>
    </w:p>
    <w:p w14:paraId="2786EE58" w14:textId="20D1688D" w:rsidR="003239B8" w:rsidRPr="003C33A8" w:rsidRDefault="521EA9D4" w:rsidP="003C33A8">
      <w:pPr>
        <w:pStyle w:val="ListParagraph"/>
        <w:numPr>
          <w:ilvl w:val="0"/>
          <w:numId w:val="66"/>
        </w:numPr>
        <w:spacing w:after="240"/>
        <w:jc w:val="both"/>
        <w:rPr>
          <w:rFonts w:asciiTheme="majorHAnsi" w:eastAsiaTheme="majorEastAsia" w:hAnsiTheme="majorHAnsi" w:cstheme="majorBidi"/>
          <w:b/>
          <w:sz w:val="20"/>
          <w:szCs w:val="20"/>
          <w:lang w:val="es-ES"/>
        </w:rPr>
      </w:pPr>
      <w:r w:rsidRPr="00541F12">
        <w:rPr>
          <w:rFonts w:asciiTheme="majorHAnsi" w:eastAsiaTheme="majorEastAsia" w:hAnsiTheme="majorHAnsi" w:cstheme="majorBidi"/>
          <w:b/>
          <w:sz w:val="20"/>
          <w:szCs w:val="20"/>
          <w:lang w:val="es-ES"/>
        </w:rPr>
        <w:lastRenderedPageBreak/>
        <w:t>DATOS DE LA PETICIÓ</w:t>
      </w:r>
      <w:r w:rsidR="003C33A8">
        <w:rPr>
          <w:rFonts w:asciiTheme="majorHAnsi" w:eastAsiaTheme="majorEastAsia" w:hAnsiTheme="majorHAnsi" w:cstheme="majorBidi"/>
          <w:b/>
          <w:sz w:val="20"/>
          <w:szCs w:val="20"/>
          <w:lang w:val="es-ES"/>
        </w:rPr>
        <w:t>N</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A106C" w14:paraId="6B58C8A4" w14:textId="77777777" w:rsidTr="36011B61">
        <w:tc>
          <w:tcPr>
            <w:tcW w:w="3600" w:type="dxa"/>
            <w:tcBorders>
              <w:top w:val="single" w:sz="4" w:space="0" w:color="auto"/>
              <w:bottom w:val="single" w:sz="6" w:space="0" w:color="auto"/>
            </w:tcBorders>
            <w:shd w:val="clear" w:color="auto" w:fill="386294"/>
            <w:vAlign w:val="center"/>
          </w:tcPr>
          <w:p w14:paraId="7E72740A" w14:textId="77777777" w:rsidR="003239B8" w:rsidRPr="004A106C" w:rsidRDefault="521EA9D4"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Parte peticionaria:</w:t>
            </w:r>
          </w:p>
        </w:tc>
        <w:tc>
          <w:tcPr>
            <w:tcW w:w="5647" w:type="dxa"/>
            <w:vAlign w:val="center"/>
          </w:tcPr>
          <w:p w14:paraId="07DAAE2E" w14:textId="61C86A4A" w:rsidR="003239B8" w:rsidRPr="004A106C" w:rsidRDefault="5F213622"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Francisco</w:t>
            </w:r>
            <w:r w:rsidR="6DAD5F29" w:rsidRPr="004A106C">
              <w:rPr>
                <w:rFonts w:asciiTheme="majorHAnsi" w:eastAsiaTheme="majorEastAsia" w:hAnsiTheme="majorHAnsi" w:cstheme="majorBidi"/>
                <w:sz w:val="20"/>
                <w:szCs w:val="20"/>
                <w:lang w:val="es-ES"/>
              </w:rPr>
              <w:t xml:space="preserve"> Daniel</w:t>
            </w:r>
            <w:r w:rsidRPr="004A106C">
              <w:rPr>
                <w:rFonts w:asciiTheme="majorHAnsi" w:eastAsiaTheme="majorEastAsia" w:hAnsiTheme="majorHAnsi" w:cstheme="majorBidi"/>
                <w:sz w:val="20"/>
                <w:szCs w:val="20"/>
                <w:lang w:val="es-ES"/>
              </w:rPr>
              <w:t xml:space="preserve"> Endara Daza</w:t>
            </w:r>
            <w:r w:rsidR="21B4C501" w:rsidRPr="004A106C">
              <w:rPr>
                <w:rFonts w:asciiTheme="majorHAnsi" w:eastAsiaTheme="majorEastAsia" w:hAnsiTheme="majorHAnsi" w:cstheme="majorBidi"/>
                <w:sz w:val="20"/>
                <w:szCs w:val="20"/>
                <w:lang w:val="es-ES"/>
              </w:rPr>
              <w:t>, Carlos Manosalvas Silva</w:t>
            </w:r>
            <w:r w:rsidR="002A5BB5" w:rsidRPr="004A106C">
              <w:rPr>
                <w:rFonts w:asciiTheme="majorHAnsi" w:eastAsiaTheme="majorEastAsia" w:hAnsiTheme="majorHAnsi" w:cstheme="majorBidi"/>
                <w:sz w:val="20"/>
                <w:szCs w:val="20"/>
                <w:lang w:val="es-ES"/>
              </w:rPr>
              <w:t xml:space="preserve"> y</w:t>
            </w:r>
            <w:r w:rsidR="28BC5994" w:rsidRPr="004A106C">
              <w:rPr>
                <w:rFonts w:asciiTheme="majorHAnsi" w:eastAsiaTheme="majorEastAsia" w:hAnsiTheme="majorHAnsi" w:cstheme="majorBidi"/>
                <w:sz w:val="20"/>
                <w:szCs w:val="20"/>
                <w:lang w:val="es-ES"/>
              </w:rPr>
              <w:t xml:space="preserve"> Francisco Rubianes Morales</w:t>
            </w:r>
            <w:r w:rsidRPr="004A106C">
              <w:rPr>
                <w:rFonts w:asciiTheme="majorHAnsi" w:eastAsiaTheme="majorEastAsia" w:hAnsiTheme="majorHAnsi" w:cstheme="majorBidi"/>
                <w:sz w:val="20"/>
                <w:szCs w:val="20"/>
                <w:vertAlign w:val="superscript"/>
                <w:lang w:val="es-ES"/>
              </w:rPr>
              <w:footnoteReference w:id="2"/>
            </w:r>
          </w:p>
        </w:tc>
      </w:tr>
      <w:tr w:rsidR="003239B8" w:rsidRPr="004A106C" w14:paraId="0D7F9389" w14:textId="77777777" w:rsidTr="36011B61">
        <w:tc>
          <w:tcPr>
            <w:tcW w:w="3600" w:type="dxa"/>
            <w:tcBorders>
              <w:top w:val="single" w:sz="6" w:space="0" w:color="auto"/>
              <w:bottom w:val="single" w:sz="6" w:space="0" w:color="auto"/>
            </w:tcBorders>
            <w:shd w:val="clear" w:color="auto" w:fill="386294"/>
            <w:vAlign w:val="center"/>
          </w:tcPr>
          <w:p w14:paraId="481622AE" w14:textId="77777777" w:rsidR="003239B8" w:rsidRPr="004A106C" w:rsidRDefault="00F652BF" w:rsidP="36011B61">
            <w:pPr>
              <w:jc w:val="center"/>
              <w:rPr>
                <w:rFonts w:asciiTheme="majorHAnsi" w:eastAsiaTheme="majorEastAsia" w:hAnsiTheme="majorHAnsi" w:cstheme="majorBidi"/>
                <w:b/>
                <w:color w:val="FFFFFF" w:themeColor="background1"/>
                <w:sz w:val="20"/>
                <w:szCs w:val="20"/>
                <w:lang w:val="es-ES"/>
              </w:rPr>
            </w:pPr>
            <w:sdt>
              <w:sdtPr>
                <w:rPr>
                  <w:rFonts w:asciiTheme="majorHAnsi" w:eastAsiaTheme="majorEastAsia" w:hAnsiTheme="majorHAnsi" w:cstheme="majorBidi"/>
                  <w:b/>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521EA9D4" w:rsidRPr="004A106C">
                  <w:rPr>
                    <w:rFonts w:asciiTheme="majorHAnsi" w:eastAsiaTheme="majorEastAsia" w:hAnsiTheme="majorHAnsi" w:cstheme="majorBidi"/>
                    <w:b/>
                    <w:color w:val="FFFFFF" w:themeColor="background1"/>
                    <w:sz w:val="20"/>
                    <w:szCs w:val="20"/>
                    <w:lang w:val="es-ES"/>
                  </w:rPr>
                  <w:t>Presunta víctima</w:t>
                </w:r>
              </w:sdtContent>
            </w:sdt>
            <w:r w:rsidR="521EA9D4" w:rsidRPr="004A106C">
              <w:rPr>
                <w:rFonts w:asciiTheme="majorHAnsi" w:eastAsiaTheme="majorEastAsia" w:hAnsiTheme="majorHAnsi" w:cstheme="majorBidi"/>
                <w:b/>
                <w:color w:val="FFFFFF" w:themeColor="background1"/>
                <w:sz w:val="20"/>
                <w:szCs w:val="20"/>
                <w:lang w:val="es-ES"/>
              </w:rPr>
              <w:t>:</w:t>
            </w:r>
          </w:p>
        </w:tc>
        <w:tc>
          <w:tcPr>
            <w:tcW w:w="5647" w:type="dxa"/>
            <w:vAlign w:val="center"/>
          </w:tcPr>
          <w:p w14:paraId="143D44A8" w14:textId="04E89AA6" w:rsidR="003239B8" w:rsidRPr="004A106C" w:rsidRDefault="5F213622"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 xml:space="preserve">Francisco </w:t>
            </w:r>
            <w:r w:rsidR="6DAD5F29" w:rsidRPr="004A106C">
              <w:rPr>
                <w:rFonts w:asciiTheme="majorHAnsi" w:eastAsiaTheme="majorEastAsia" w:hAnsiTheme="majorHAnsi" w:cstheme="majorBidi"/>
                <w:sz w:val="20"/>
                <w:szCs w:val="20"/>
                <w:lang w:val="es-ES"/>
              </w:rPr>
              <w:t xml:space="preserve">Daniel </w:t>
            </w:r>
            <w:r w:rsidRPr="004A106C">
              <w:rPr>
                <w:rFonts w:asciiTheme="majorHAnsi" w:eastAsiaTheme="majorEastAsia" w:hAnsiTheme="majorHAnsi" w:cstheme="majorBidi"/>
                <w:sz w:val="20"/>
                <w:szCs w:val="20"/>
                <w:lang w:val="es-ES"/>
              </w:rPr>
              <w:t>Endara Daza</w:t>
            </w:r>
          </w:p>
        </w:tc>
      </w:tr>
      <w:tr w:rsidR="003239B8" w:rsidRPr="004A106C" w14:paraId="19F69F82" w14:textId="77777777" w:rsidTr="36011B61">
        <w:tc>
          <w:tcPr>
            <w:tcW w:w="3600" w:type="dxa"/>
            <w:tcBorders>
              <w:top w:val="single" w:sz="6" w:space="0" w:color="auto"/>
              <w:bottom w:val="single" w:sz="6" w:space="0" w:color="auto"/>
            </w:tcBorders>
            <w:shd w:val="clear" w:color="auto" w:fill="386294"/>
            <w:vAlign w:val="center"/>
          </w:tcPr>
          <w:p w14:paraId="724BB294" w14:textId="77777777" w:rsidR="003239B8" w:rsidRPr="004A106C" w:rsidRDefault="521EA9D4"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Estado denunciado:</w:t>
            </w:r>
          </w:p>
        </w:tc>
        <w:tc>
          <w:tcPr>
            <w:tcW w:w="5647" w:type="dxa"/>
            <w:vAlign w:val="center"/>
          </w:tcPr>
          <w:p w14:paraId="5D0EC05D" w14:textId="390DA61E" w:rsidR="003239B8" w:rsidRPr="004A106C" w:rsidRDefault="6B107A13"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Ecuador</w:t>
            </w:r>
            <w:r w:rsidRPr="004A106C">
              <w:rPr>
                <w:rStyle w:val="FootnoteReference"/>
                <w:rFonts w:asciiTheme="majorHAnsi" w:eastAsiaTheme="majorEastAsia" w:hAnsiTheme="majorHAnsi" w:cstheme="majorBidi"/>
                <w:sz w:val="20"/>
                <w:szCs w:val="20"/>
                <w:vertAlign w:val="baseline"/>
                <w:lang w:val="es-ES"/>
              </w:rPr>
              <w:t xml:space="preserve"> </w:t>
            </w:r>
          </w:p>
        </w:tc>
      </w:tr>
      <w:tr w:rsidR="00223A29" w:rsidRPr="00D76863" w14:paraId="256E66EF" w14:textId="77777777" w:rsidTr="36011B61">
        <w:tc>
          <w:tcPr>
            <w:tcW w:w="3600" w:type="dxa"/>
            <w:tcBorders>
              <w:top w:val="single" w:sz="6" w:space="0" w:color="auto"/>
              <w:bottom w:val="single" w:sz="6" w:space="0" w:color="auto"/>
            </w:tcBorders>
            <w:shd w:val="clear" w:color="auto" w:fill="386294"/>
            <w:vAlign w:val="center"/>
          </w:tcPr>
          <w:p w14:paraId="2551EB09" w14:textId="77777777" w:rsidR="00223A29" w:rsidRPr="004A106C" w:rsidRDefault="2B4F8320"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 xml:space="preserve">Derechos </w:t>
            </w:r>
            <w:r w:rsidR="3649AB21" w:rsidRPr="004A106C">
              <w:rPr>
                <w:rFonts w:asciiTheme="majorHAnsi" w:eastAsiaTheme="majorEastAsia" w:hAnsiTheme="majorHAnsi" w:cstheme="majorBidi"/>
                <w:b/>
                <w:color w:val="FFFFFF" w:themeColor="background1"/>
                <w:sz w:val="20"/>
                <w:szCs w:val="20"/>
                <w:lang w:val="es-ES"/>
              </w:rPr>
              <w:t>invocados</w:t>
            </w:r>
            <w:r w:rsidRPr="004A106C">
              <w:rPr>
                <w:rFonts w:asciiTheme="majorHAnsi" w:eastAsiaTheme="majorEastAsia" w:hAnsiTheme="majorHAnsi" w:cstheme="majorBidi"/>
                <w:b/>
                <w:color w:val="FFFFFF" w:themeColor="background1"/>
                <w:sz w:val="20"/>
                <w:szCs w:val="20"/>
                <w:lang w:val="es-ES"/>
              </w:rPr>
              <w:t>:</w:t>
            </w:r>
          </w:p>
        </w:tc>
        <w:tc>
          <w:tcPr>
            <w:tcW w:w="5647" w:type="dxa"/>
            <w:vAlign w:val="center"/>
          </w:tcPr>
          <w:p w14:paraId="52B28392" w14:textId="07268B15" w:rsidR="00223A29" w:rsidRPr="004A106C" w:rsidRDefault="5F213622"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8 (garantías judiciales), 9 (principio de Legalidad y de retroactividad), 13 (libertad de pensamiento y de expresión) y 25 (protecci</w:t>
            </w:r>
            <w:r w:rsidR="0D4487D2" w:rsidRPr="004A106C">
              <w:rPr>
                <w:rFonts w:asciiTheme="majorHAnsi" w:eastAsiaTheme="majorEastAsia" w:hAnsiTheme="majorHAnsi" w:cstheme="majorBidi"/>
                <w:sz w:val="20"/>
                <w:szCs w:val="20"/>
                <w:lang w:val="es-ES"/>
              </w:rPr>
              <w:t>ón judicial) de la Convención Americana sobre Derechos Humanos.</w:t>
            </w:r>
          </w:p>
        </w:tc>
      </w:tr>
    </w:tbl>
    <w:p w14:paraId="176FB213" w14:textId="77777777" w:rsidR="003239B8" w:rsidRPr="004A106C" w:rsidRDefault="521EA9D4" w:rsidP="36011B61">
      <w:pPr>
        <w:spacing w:before="240" w:after="240"/>
        <w:ind w:firstLine="720"/>
        <w:jc w:val="both"/>
        <w:rPr>
          <w:rStyle w:val="FootnoteReference"/>
          <w:rFonts w:asciiTheme="majorHAnsi" w:eastAsiaTheme="majorEastAsia" w:hAnsiTheme="majorHAnsi" w:cstheme="majorBidi"/>
          <w:b/>
          <w:sz w:val="20"/>
          <w:szCs w:val="20"/>
          <w:lang w:val="es-ES"/>
        </w:rPr>
      </w:pPr>
      <w:r w:rsidRPr="004A106C">
        <w:rPr>
          <w:rFonts w:asciiTheme="majorHAnsi" w:eastAsiaTheme="majorEastAsia" w:hAnsiTheme="majorHAnsi" w:cstheme="majorBidi"/>
          <w:b/>
          <w:sz w:val="20"/>
          <w:szCs w:val="20"/>
          <w:lang w:val="es-ES"/>
        </w:rPr>
        <w:t>II.</w:t>
      </w:r>
      <w:r w:rsidR="003239B8" w:rsidRPr="004A106C">
        <w:rPr>
          <w:lang w:val="es-ES"/>
        </w:rPr>
        <w:tab/>
      </w:r>
      <w:r w:rsidRPr="004A106C">
        <w:rPr>
          <w:rFonts w:asciiTheme="majorHAnsi" w:eastAsiaTheme="majorEastAsia" w:hAnsiTheme="majorHAnsi" w:cstheme="majorBidi"/>
          <w:b/>
          <w:sz w:val="20"/>
          <w:szCs w:val="20"/>
          <w:lang w:val="es-ES"/>
        </w:rPr>
        <w:t>TRÁMITE ANTE LA CIDH</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106C" w14:paraId="1D831514" w14:textId="77777777" w:rsidTr="36011B61">
        <w:tc>
          <w:tcPr>
            <w:tcW w:w="3600" w:type="dxa"/>
            <w:tcBorders>
              <w:top w:val="single" w:sz="6" w:space="0" w:color="auto"/>
              <w:bottom w:val="single" w:sz="6" w:space="0" w:color="auto"/>
            </w:tcBorders>
            <w:shd w:val="clear" w:color="auto" w:fill="386294"/>
            <w:vAlign w:val="center"/>
          </w:tcPr>
          <w:p w14:paraId="330F2ED0" w14:textId="77777777" w:rsidR="004C2312" w:rsidRPr="004A106C" w:rsidRDefault="6DD0217A"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P</w:t>
            </w:r>
            <w:r w:rsidR="69B61090" w:rsidRPr="004A106C">
              <w:rPr>
                <w:rFonts w:asciiTheme="majorHAnsi" w:eastAsiaTheme="majorEastAsia" w:hAnsiTheme="majorHAnsi" w:cstheme="majorBidi"/>
                <w:b/>
                <w:color w:val="FFFFFF" w:themeColor="background1"/>
                <w:sz w:val="20"/>
                <w:szCs w:val="20"/>
                <w:lang w:val="es-ES"/>
              </w:rPr>
              <w:t>resentación de la petición:</w:t>
            </w:r>
          </w:p>
        </w:tc>
        <w:tc>
          <w:tcPr>
            <w:tcW w:w="5647" w:type="dxa"/>
            <w:vAlign w:val="center"/>
          </w:tcPr>
          <w:p w14:paraId="6883A5F8" w14:textId="26F4A2E9" w:rsidR="004C2312" w:rsidRPr="004A106C" w:rsidRDefault="0DDA17CA"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 xml:space="preserve">18 de octubre de 2016 </w:t>
            </w:r>
          </w:p>
        </w:tc>
      </w:tr>
      <w:tr w:rsidR="004C2312" w:rsidRPr="004A106C" w14:paraId="6A9025D9" w14:textId="77777777" w:rsidTr="36011B61">
        <w:tc>
          <w:tcPr>
            <w:tcW w:w="3600" w:type="dxa"/>
            <w:tcBorders>
              <w:top w:val="single" w:sz="6" w:space="0" w:color="auto"/>
              <w:bottom w:val="single" w:sz="6" w:space="0" w:color="auto"/>
            </w:tcBorders>
            <w:shd w:val="clear" w:color="auto" w:fill="386294"/>
            <w:vAlign w:val="center"/>
          </w:tcPr>
          <w:p w14:paraId="01B3581F" w14:textId="77777777" w:rsidR="004C2312" w:rsidRPr="004A106C" w:rsidRDefault="6DD0217A"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N</w:t>
            </w:r>
            <w:r w:rsidR="69B61090" w:rsidRPr="004A106C">
              <w:rPr>
                <w:rFonts w:asciiTheme="majorHAnsi" w:eastAsiaTheme="majorEastAsia" w:hAnsiTheme="majorHAnsi" w:cstheme="majorBidi"/>
                <w:b/>
                <w:color w:val="FFFFFF" w:themeColor="background1"/>
                <w:sz w:val="20"/>
                <w:szCs w:val="20"/>
                <w:lang w:val="es-ES"/>
              </w:rPr>
              <w:t>otificación de la petición al Estado:</w:t>
            </w:r>
          </w:p>
        </w:tc>
        <w:tc>
          <w:tcPr>
            <w:tcW w:w="5647" w:type="dxa"/>
            <w:vAlign w:val="center"/>
          </w:tcPr>
          <w:p w14:paraId="58485921" w14:textId="624ED791" w:rsidR="004C2312" w:rsidRPr="004A106C" w:rsidRDefault="4B130509"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 xml:space="preserve">10 de marzo de 2020 </w:t>
            </w:r>
            <w:r w:rsidR="232F4B2F" w:rsidRPr="004A106C">
              <w:rPr>
                <w:rFonts w:asciiTheme="majorHAnsi" w:eastAsiaTheme="majorEastAsia" w:hAnsiTheme="majorHAnsi" w:cstheme="majorBidi"/>
                <w:sz w:val="20"/>
                <w:szCs w:val="20"/>
                <w:lang w:val="es-ES"/>
              </w:rPr>
              <w:t xml:space="preserve"> </w:t>
            </w:r>
          </w:p>
        </w:tc>
      </w:tr>
      <w:tr w:rsidR="004C2312" w:rsidRPr="004A106C" w14:paraId="1EC979C3" w14:textId="77777777" w:rsidTr="36011B61">
        <w:tc>
          <w:tcPr>
            <w:tcW w:w="3600" w:type="dxa"/>
            <w:tcBorders>
              <w:top w:val="single" w:sz="6" w:space="0" w:color="auto"/>
              <w:bottom w:val="single" w:sz="6" w:space="0" w:color="auto"/>
            </w:tcBorders>
            <w:shd w:val="clear" w:color="auto" w:fill="386294"/>
            <w:vAlign w:val="center"/>
          </w:tcPr>
          <w:p w14:paraId="3708E507" w14:textId="77777777" w:rsidR="004C2312" w:rsidRPr="004A106C" w:rsidRDefault="6DD0217A"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P</w:t>
            </w:r>
            <w:r w:rsidR="69B61090" w:rsidRPr="004A106C">
              <w:rPr>
                <w:rFonts w:asciiTheme="majorHAnsi" w:eastAsiaTheme="majorEastAsia" w:hAnsiTheme="majorHAnsi" w:cstheme="majorBidi"/>
                <w:b/>
                <w:color w:val="FFFFFF" w:themeColor="background1"/>
                <w:sz w:val="20"/>
                <w:szCs w:val="20"/>
                <w:lang w:val="es-ES"/>
              </w:rPr>
              <w:t>rimera respuesta del Estado:</w:t>
            </w:r>
          </w:p>
        </w:tc>
        <w:tc>
          <w:tcPr>
            <w:tcW w:w="5647" w:type="dxa"/>
            <w:vAlign w:val="center"/>
          </w:tcPr>
          <w:p w14:paraId="6B47064C" w14:textId="352202AD" w:rsidR="004C2312" w:rsidRPr="004A106C" w:rsidRDefault="0AAFF676"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 xml:space="preserve">13 de julio </w:t>
            </w:r>
            <w:r w:rsidR="641B3890" w:rsidRPr="004A106C">
              <w:rPr>
                <w:rFonts w:asciiTheme="majorHAnsi" w:eastAsiaTheme="majorEastAsia" w:hAnsiTheme="majorHAnsi" w:cstheme="majorBidi"/>
                <w:sz w:val="20"/>
                <w:szCs w:val="20"/>
                <w:lang w:val="es-ES"/>
              </w:rPr>
              <w:t>de 2021</w:t>
            </w:r>
          </w:p>
        </w:tc>
      </w:tr>
      <w:tr w:rsidR="004C2312" w:rsidRPr="00D76863" w14:paraId="1253D75C" w14:textId="77777777" w:rsidTr="36011B61">
        <w:tc>
          <w:tcPr>
            <w:tcW w:w="3600" w:type="dxa"/>
            <w:tcBorders>
              <w:top w:val="single" w:sz="6" w:space="0" w:color="auto"/>
              <w:bottom w:val="single" w:sz="6" w:space="0" w:color="auto"/>
            </w:tcBorders>
            <w:shd w:val="clear" w:color="auto" w:fill="386294"/>
            <w:vAlign w:val="center"/>
          </w:tcPr>
          <w:p w14:paraId="3250F3E6" w14:textId="2AD8A91D" w:rsidR="004C2312" w:rsidRPr="004A106C" w:rsidRDefault="4B7B898E"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Observaciones adicionales de la parte peticionaria:</w:t>
            </w:r>
          </w:p>
        </w:tc>
        <w:tc>
          <w:tcPr>
            <w:tcW w:w="5647" w:type="dxa"/>
            <w:vAlign w:val="center"/>
          </w:tcPr>
          <w:p w14:paraId="66A99206" w14:textId="339D8245" w:rsidR="004C2312" w:rsidRPr="004A106C" w:rsidRDefault="4A43813E"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9 de agosto de 2021, 28 de septiembre de 2021, 16 de agosto de 2022, 26 de agosto de 2022, 19 de septiembre de 2022</w:t>
            </w:r>
            <w:r w:rsidR="004A1F49" w:rsidRPr="004A106C">
              <w:rPr>
                <w:rFonts w:asciiTheme="majorHAnsi" w:eastAsiaTheme="majorEastAsia" w:hAnsiTheme="majorHAnsi" w:cstheme="majorBidi"/>
                <w:sz w:val="20"/>
                <w:szCs w:val="20"/>
                <w:lang w:val="es-ES"/>
              </w:rPr>
              <w:t xml:space="preserve"> y</w:t>
            </w:r>
            <w:r w:rsidRPr="004A106C">
              <w:rPr>
                <w:rFonts w:asciiTheme="majorHAnsi" w:eastAsiaTheme="majorEastAsia" w:hAnsiTheme="majorHAnsi" w:cstheme="majorBidi"/>
                <w:sz w:val="20"/>
                <w:szCs w:val="20"/>
                <w:lang w:val="es-ES"/>
              </w:rPr>
              <w:t xml:space="preserve"> 23 de enero de 2024</w:t>
            </w:r>
          </w:p>
        </w:tc>
      </w:tr>
      <w:tr w:rsidR="004C2312" w:rsidRPr="004A106C" w14:paraId="30D2D9CB" w14:textId="77777777" w:rsidTr="36011B61">
        <w:tc>
          <w:tcPr>
            <w:tcW w:w="3600" w:type="dxa"/>
            <w:tcBorders>
              <w:top w:val="single" w:sz="6" w:space="0" w:color="auto"/>
              <w:bottom w:val="single" w:sz="6" w:space="0" w:color="auto"/>
            </w:tcBorders>
            <w:shd w:val="clear" w:color="auto" w:fill="386294"/>
            <w:vAlign w:val="center"/>
          </w:tcPr>
          <w:p w14:paraId="35799C78" w14:textId="77777777" w:rsidR="004C2312" w:rsidRPr="004A106C" w:rsidRDefault="69B61090"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Observaciones adicionales del Estado:</w:t>
            </w:r>
          </w:p>
        </w:tc>
        <w:tc>
          <w:tcPr>
            <w:tcW w:w="5647" w:type="dxa"/>
            <w:vAlign w:val="center"/>
          </w:tcPr>
          <w:p w14:paraId="15747C57" w14:textId="5731D334" w:rsidR="004C2312" w:rsidRPr="004A106C" w:rsidRDefault="4B130509"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27 de julio de 2023</w:t>
            </w:r>
          </w:p>
        </w:tc>
      </w:tr>
    </w:tbl>
    <w:p w14:paraId="31FFE4EA" w14:textId="2AD30166" w:rsidR="0D541CB0" w:rsidRPr="004A106C" w:rsidRDefault="0D541CB0" w:rsidP="36011B61">
      <w:pPr>
        <w:rPr>
          <w:rFonts w:asciiTheme="majorHAnsi" w:eastAsiaTheme="majorEastAsia" w:hAnsiTheme="majorHAnsi" w:cstheme="majorBidi"/>
          <w:sz w:val="20"/>
          <w:szCs w:val="20"/>
          <w:lang w:val="es-ES"/>
        </w:rPr>
      </w:pPr>
    </w:p>
    <w:p w14:paraId="0FC6E9E8" w14:textId="77777777" w:rsidR="003239B8" w:rsidRPr="004A106C" w:rsidRDefault="521EA9D4" w:rsidP="36011B61">
      <w:pPr>
        <w:spacing w:before="240" w:after="240"/>
        <w:ind w:firstLine="720"/>
        <w:jc w:val="both"/>
        <w:rPr>
          <w:rFonts w:asciiTheme="majorHAnsi" w:eastAsiaTheme="majorEastAsia" w:hAnsiTheme="majorHAnsi" w:cstheme="majorBidi"/>
          <w:b/>
          <w:sz w:val="20"/>
          <w:szCs w:val="20"/>
          <w:lang w:val="es-ES"/>
        </w:rPr>
      </w:pPr>
      <w:r w:rsidRPr="004A106C">
        <w:rPr>
          <w:rFonts w:asciiTheme="majorHAnsi" w:eastAsiaTheme="majorEastAsia" w:hAnsiTheme="majorHAnsi" w:cstheme="majorBidi"/>
          <w:b/>
          <w:sz w:val="20"/>
          <w:szCs w:val="20"/>
          <w:lang w:val="es-ES"/>
        </w:rPr>
        <w:t xml:space="preserve">III. </w:t>
      </w:r>
      <w:r w:rsidR="003239B8" w:rsidRPr="004A106C">
        <w:rPr>
          <w:lang w:val="es-ES"/>
        </w:rPr>
        <w:tab/>
      </w:r>
      <w:r w:rsidRPr="004A106C">
        <w:rPr>
          <w:rFonts w:asciiTheme="majorHAnsi" w:eastAsiaTheme="majorEastAsia" w:hAnsiTheme="majorHAnsi" w:cstheme="majorBidi"/>
          <w:b/>
          <w:sz w:val="20"/>
          <w:szCs w:val="20"/>
          <w:lang w:val="es-ES"/>
        </w:rPr>
        <w:t>COMPETENCIA</w:t>
      </w:r>
      <w:r w:rsidR="0120E201" w:rsidRPr="004A106C">
        <w:rPr>
          <w:rFonts w:asciiTheme="majorHAnsi" w:eastAsiaTheme="majorEastAsia" w:hAnsiTheme="majorHAnsi" w:cstheme="majorBidi"/>
          <w:b/>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A106C" w14:paraId="7D299FC7" w14:textId="77777777" w:rsidTr="36011B61">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4A106C" w:rsidRDefault="521EA9D4" w:rsidP="36011B61">
            <w:pPr>
              <w:jc w:val="center"/>
              <w:rPr>
                <w:rFonts w:asciiTheme="majorHAnsi" w:eastAsiaTheme="majorEastAsia" w:hAnsiTheme="majorHAnsi" w:cstheme="majorBidi"/>
                <w:b/>
                <w:i/>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Competencia</w:t>
            </w:r>
            <w:r w:rsidRPr="004A106C">
              <w:rPr>
                <w:rFonts w:asciiTheme="majorHAnsi" w:eastAsiaTheme="majorEastAsia" w:hAnsiTheme="majorHAnsi" w:cstheme="majorBidi"/>
                <w:b/>
                <w:i/>
                <w:color w:val="FFFFFF" w:themeColor="background1"/>
                <w:sz w:val="20"/>
                <w:szCs w:val="20"/>
                <w:lang w:val="es-ES"/>
              </w:rPr>
              <w:t xml:space="preserve"> Ratione personae:</w:t>
            </w:r>
          </w:p>
        </w:tc>
        <w:tc>
          <w:tcPr>
            <w:tcW w:w="5760" w:type="dxa"/>
            <w:vAlign w:val="center"/>
          </w:tcPr>
          <w:p w14:paraId="1E494D5D" w14:textId="3CD5C637" w:rsidR="003239B8" w:rsidRPr="004A106C" w:rsidRDefault="1B34BC66" w:rsidP="36011B61">
            <w:pPr>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Sí</w:t>
            </w:r>
          </w:p>
        </w:tc>
      </w:tr>
      <w:tr w:rsidR="003239B8" w:rsidRPr="004A106C" w14:paraId="54503A4F" w14:textId="77777777" w:rsidTr="36011B61">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4A106C" w:rsidRDefault="521EA9D4"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Competencia</w:t>
            </w:r>
            <w:r w:rsidRPr="004A106C">
              <w:rPr>
                <w:rFonts w:asciiTheme="majorHAnsi" w:eastAsiaTheme="majorEastAsia" w:hAnsiTheme="majorHAnsi" w:cstheme="majorBidi"/>
                <w:b/>
                <w:i/>
                <w:color w:val="FFFFFF" w:themeColor="background1"/>
                <w:sz w:val="20"/>
                <w:szCs w:val="20"/>
                <w:lang w:val="es-ES"/>
              </w:rPr>
              <w:t xml:space="preserve"> Ratione loci</w:t>
            </w:r>
            <w:r w:rsidRPr="004A106C">
              <w:rPr>
                <w:rFonts w:asciiTheme="majorHAnsi" w:eastAsiaTheme="majorEastAsia" w:hAnsiTheme="majorHAnsi" w:cstheme="majorBidi"/>
                <w:b/>
                <w:color w:val="FFFFFF" w:themeColor="background1"/>
                <w:sz w:val="20"/>
                <w:szCs w:val="20"/>
                <w:lang w:val="es-ES"/>
              </w:rPr>
              <w:t>:</w:t>
            </w:r>
          </w:p>
        </w:tc>
        <w:tc>
          <w:tcPr>
            <w:tcW w:w="5760" w:type="dxa"/>
            <w:vAlign w:val="center"/>
          </w:tcPr>
          <w:p w14:paraId="77C8256A" w14:textId="144DAE54" w:rsidR="003239B8" w:rsidRPr="004A106C" w:rsidRDefault="1B34BC66" w:rsidP="36011B61">
            <w:pPr>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Sí</w:t>
            </w:r>
          </w:p>
        </w:tc>
      </w:tr>
      <w:tr w:rsidR="003239B8" w:rsidRPr="004A106C" w14:paraId="6618D96A" w14:textId="77777777" w:rsidTr="36011B61">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4A106C" w:rsidRDefault="521EA9D4"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Competencia</w:t>
            </w:r>
            <w:r w:rsidRPr="004A106C">
              <w:rPr>
                <w:rFonts w:asciiTheme="majorHAnsi" w:eastAsiaTheme="majorEastAsia" w:hAnsiTheme="majorHAnsi" w:cstheme="majorBidi"/>
                <w:b/>
                <w:i/>
                <w:color w:val="FFFFFF" w:themeColor="background1"/>
                <w:sz w:val="20"/>
                <w:szCs w:val="20"/>
                <w:lang w:val="es-ES"/>
              </w:rPr>
              <w:t xml:space="preserve"> Ratione temporis</w:t>
            </w:r>
            <w:r w:rsidRPr="004A106C">
              <w:rPr>
                <w:rFonts w:asciiTheme="majorHAnsi" w:eastAsiaTheme="majorEastAsia" w:hAnsiTheme="majorHAnsi" w:cstheme="majorBidi"/>
                <w:b/>
                <w:color w:val="FFFFFF" w:themeColor="background1"/>
                <w:sz w:val="20"/>
                <w:szCs w:val="20"/>
                <w:lang w:val="es-ES"/>
              </w:rPr>
              <w:t>:</w:t>
            </w:r>
          </w:p>
        </w:tc>
        <w:tc>
          <w:tcPr>
            <w:tcW w:w="5760" w:type="dxa"/>
            <w:vAlign w:val="center"/>
          </w:tcPr>
          <w:p w14:paraId="523F6BD6" w14:textId="5C5BDC68" w:rsidR="003239B8" w:rsidRPr="004A106C" w:rsidRDefault="1B34BC66" w:rsidP="36011B61">
            <w:pPr>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Sí</w:t>
            </w:r>
          </w:p>
        </w:tc>
      </w:tr>
      <w:tr w:rsidR="003239B8" w:rsidRPr="00D76863" w14:paraId="34C2A0A9" w14:textId="77777777" w:rsidTr="36011B61">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4A106C" w:rsidRDefault="521EA9D4"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Competencia</w:t>
            </w:r>
            <w:r w:rsidRPr="004A106C">
              <w:rPr>
                <w:rFonts w:asciiTheme="majorHAnsi" w:eastAsiaTheme="majorEastAsia" w:hAnsiTheme="majorHAnsi" w:cstheme="majorBidi"/>
                <w:b/>
                <w:i/>
                <w:color w:val="FFFFFF" w:themeColor="background1"/>
                <w:sz w:val="20"/>
                <w:szCs w:val="20"/>
                <w:lang w:val="es-ES"/>
              </w:rPr>
              <w:t xml:space="preserve"> Ratione materia</w:t>
            </w:r>
            <w:r w:rsidR="0120E201" w:rsidRPr="004A106C">
              <w:rPr>
                <w:rFonts w:asciiTheme="majorHAnsi" w:eastAsiaTheme="majorEastAsia" w:hAnsiTheme="majorHAnsi" w:cstheme="majorBidi"/>
                <w:b/>
                <w:i/>
                <w:color w:val="FFFFFF" w:themeColor="background1"/>
                <w:sz w:val="20"/>
                <w:szCs w:val="20"/>
                <w:lang w:val="es-ES"/>
              </w:rPr>
              <w:t>e</w:t>
            </w:r>
            <w:r w:rsidRPr="004A106C">
              <w:rPr>
                <w:rFonts w:asciiTheme="majorHAnsi" w:eastAsiaTheme="majorEastAsia" w:hAnsiTheme="majorHAnsi" w:cstheme="majorBidi"/>
                <w:b/>
                <w:color w:val="FFFFFF" w:themeColor="background1"/>
                <w:sz w:val="20"/>
                <w:szCs w:val="20"/>
                <w:lang w:val="es-ES"/>
              </w:rPr>
              <w:t>:</w:t>
            </w:r>
          </w:p>
        </w:tc>
        <w:tc>
          <w:tcPr>
            <w:tcW w:w="5760" w:type="dxa"/>
            <w:vAlign w:val="center"/>
          </w:tcPr>
          <w:p w14:paraId="257C8337" w14:textId="754F8584" w:rsidR="003239B8" w:rsidRPr="004A106C" w:rsidRDefault="1B34BC66"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Sí</w:t>
            </w:r>
            <w:r w:rsidR="17AEA56B" w:rsidRPr="004A106C">
              <w:rPr>
                <w:rFonts w:asciiTheme="majorHAnsi" w:eastAsiaTheme="majorEastAsia" w:hAnsiTheme="majorHAnsi" w:cstheme="majorBidi"/>
                <w:sz w:val="20"/>
                <w:szCs w:val="20"/>
                <w:lang w:val="es-ES"/>
              </w:rPr>
              <w:t>, Convención Americana (depósito del instrumento de ratificación realizado el 28 de diciembre de 1977)</w:t>
            </w:r>
          </w:p>
        </w:tc>
      </w:tr>
    </w:tbl>
    <w:p w14:paraId="299A3868" w14:textId="1730772D" w:rsidR="003239B8" w:rsidRPr="004A106C" w:rsidRDefault="521EA9D4" w:rsidP="36011B61">
      <w:pPr>
        <w:spacing w:before="240" w:after="240"/>
        <w:ind w:firstLine="720"/>
        <w:jc w:val="both"/>
        <w:rPr>
          <w:rFonts w:asciiTheme="majorHAnsi" w:eastAsiaTheme="majorEastAsia" w:hAnsiTheme="majorHAnsi" w:cstheme="majorBidi"/>
          <w:b/>
          <w:sz w:val="20"/>
          <w:szCs w:val="20"/>
          <w:lang w:val="es-ES"/>
        </w:rPr>
      </w:pPr>
      <w:r w:rsidRPr="004A106C">
        <w:rPr>
          <w:rFonts w:asciiTheme="majorHAnsi" w:eastAsiaTheme="majorEastAsia" w:hAnsiTheme="majorHAnsi" w:cstheme="majorBidi"/>
          <w:b/>
          <w:sz w:val="20"/>
          <w:szCs w:val="20"/>
          <w:lang w:val="es-ES"/>
        </w:rPr>
        <w:t xml:space="preserve">IV. </w:t>
      </w:r>
      <w:r w:rsidR="003239B8" w:rsidRPr="004A106C">
        <w:rPr>
          <w:lang w:val="es-ES"/>
        </w:rPr>
        <w:tab/>
      </w:r>
      <w:r w:rsidR="0120E201" w:rsidRPr="004A106C">
        <w:rPr>
          <w:rFonts w:asciiTheme="majorHAnsi" w:eastAsiaTheme="majorEastAsia" w:hAnsiTheme="majorHAnsi" w:cstheme="majorBidi"/>
          <w:b/>
          <w:sz w:val="20"/>
          <w:szCs w:val="20"/>
          <w:lang w:val="es-ES"/>
        </w:rPr>
        <w:t>DUPLICACIÓN</w:t>
      </w:r>
      <w:r w:rsidR="0120E201" w:rsidRPr="004A106C">
        <w:rPr>
          <w:rFonts w:asciiTheme="majorHAnsi" w:eastAsiaTheme="majorEastAsia" w:hAnsiTheme="majorHAnsi" w:cstheme="majorBidi"/>
          <w:b/>
          <w:color w:val="FFFFFF" w:themeColor="background1"/>
          <w:sz w:val="20"/>
          <w:szCs w:val="20"/>
          <w:lang w:val="es-ES"/>
        </w:rPr>
        <w:t xml:space="preserve"> </w:t>
      </w:r>
      <w:r w:rsidR="0120E201" w:rsidRPr="004A106C">
        <w:rPr>
          <w:rFonts w:asciiTheme="majorHAnsi" w:eastAsiaTheme="majorEastAsia" w:hAnsiTheme="majorHAnsi" w:cstheme="majorBidi"/>
          <w:b/>
          <w:sz w:val="20"/>
          <w:szCs w:val="20"/>
          <w:lang w:val="es-ES"/>
        </w:rPr>
        <w:t>DE PROCEDIMIENTOS Y COSA JUZGADA</w:t>
      </w:r>
      <w:r w:rsidR="0120E201" w:rsidRPr="004A106C">
        <w:rPr>
          <w:rFonts w:asciiTheme="majorHAnsi" w:eastAsiaTheme="majorEastAsia" w:hAnsiTheme="majorHAnsi" w:cstheme="majorBidi"/>
          <w:b/>
          <w:i/>
          <w:sz w:val="20"/>
          <w:szCs w:val="20"/>
          <w:lang w:val="es-ES"/>
        </w:rPr>
        <w:t xml:space="preserve"> </w:t>
      </w:r>
      <w:r w:rsidR="0120E201" w:rsidRPr="004A106C">
        <w:rPr>
          <w:rFonts w:asciiTheme="majorHAnsi" w:eastAsiaTheme="majorEastAsia" w:hAnsiTheme="majorHAnsi" w:cstheme="majorBidi"/>
          <w:b/>
          <w:sz w:val="20"/>
          <w:szCs w:val="20"/>
          <w:lang w:val="es-ES"/>
        </w:rPr>
        <w:t xml:space="preserve">INTERNACIONAL, </w:t>
      </w:r>
      <w:r w:rsidRPr="004A106C">
        <w:rPr>
          <w:rFonts w:asciiTheme="majorHAnsi" w:eastAsiaTheme="majorEastAsia" w:hAnsiTheme="majorHAnsi" w:cstheme="majorBidi"/>
          <w:b/>
          <w:sz w:val="20"/>
          <w:szCs w:val="20"/>
          <w:lang w:val="es-ES"/>
        </w:rPr>
        <w:t>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9"/>
        <w:gridCol w:w="5673"/>
      </w:tblGrid>
      <w:tr w:rsidR="00EE00E9" w:rsidRPr="004A106C" w14:paraId="161C8568" w14:textId="77777777" w:rsidTr="36011B61">
        <w:trPr>
          <w:cantSplit/>
        </w:trPr>
        <w:tc>
          <w:tcPr>
            <w:tcW w:w="3569" w:type="dxa"/>
            <w:tcBorders>
              <w:top w:val="single" w:sz="4" w:space="0" w:color="auto"/>
              <w:bottom w:val="single" w:sz="6" w:space="0" w:color="auto"/>
            </w:tcBorders>
            <w:shd w:val="clear" w:color="auto" w:fill="386294"/>
            <w:vAlign w:val="center"/>
          </w:tcPr>
          <w:p w14:paraId="1C72AC6C" w14:textId="77777777" w:rsidR="00EE00E9" w:rsidRPr="004A106C" w:rsidRDefault="0120E201"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Duplicación de procedimientos y cosa juzgada internacional:</w:t>
            </w:r>
          </w:p>
        </w:tc>
        <w:tc>
          <w:tcPr>
            <w:tcW w:w="5673" w:type="dxa"/>
            <w:vAlign w:val="center"/>
          </w:tcPr>
          <w:p w14:paraId="764D7F60" w14:textId="6F0B1D59" w:rsidR="00EE00E9" w:rsidRPr="004A106C" w:rsidRDefault="1B34BC66"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No</w:t>
            </w:r>
          </w:p>
        </w:tc>
      </w:tr>
      <w:tr w:rsidR="00EB3E1C" w:rsidRPr="00D76863" w14:paraId="3ED57BF3" w14:textId="77777777" w:rsidTr="36011B61">
        <w:trPr>
          <w:cantSplit/>
        </w:trPr>
        <w:tc>
          <w:tcPr>
            <w:tcW w:w="3569" w:type="dxa"/>
            <w:tcBorders>
              <w:top w:val="single" w:sz="4" w:space="0" w:color="auto"/>
              <w:bottom w:val="single" w:sz="6" w:space="0" w:color="auto"/>
            </w:tcBorders>
            <w:shd w:val="clear" w:color="auto" w:fill="386294"/>
            <w:vAlign w:val="center"/>
          </w:tcPr>
          <w:p w14:paraId="5F36A040" w14:textId="77777777" w:rsidR="00EB3E1C" w:rsidRPr="004A106C" w:rsidRDefault="1B34BC66" w:rsidP="36011B61">
            <w:pPr>
              <w:jc w:val="center"/>
              <w:rPr>
                <w:rFonts w:asciiTheme="majorHAnsi" w:eastAsiaTheme="majorEastAsia" w:hAnsiTheme="majorHAnsi" w:cstheme="majorBidi"/>
                <w:b/>
                <w:i/>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Derechos declarados admisibles</w:t>
            </w:r>
            <w:r w:rsidRPr="004A106C">
              <w:rPr>
                <w:rFonts w:asciiTheme="majorHAnsi" w:eastAsiaTheme="majorEastAsia" w:hAnsiTheme="majorHAnsi" w:cstheme="majorBidi"/>
                <w:b/>
                <w:i/>
                <w:color w:val="FFFFFF" w:themeColor="background1"/>
                <w:sz w:val="20"/>
                <w:szCs w:val="20"/>
                <w:lang w:val="es-ES"/>
              </w:rPr>
              <w:t>:</w:t>
            </w:r>
          </w:p>
        </w:tc>
        <w:tc>
          <w:tcPr>
            <w:tcW w:w="5673" w:type="dxa"/>
            <w:vAlign w:val="center"/>
          </w:tcPr>
          <w:p w14:paraId="4DAE9D4D" w14:textId="5F7323E3" w:rsidR="00EB3E1C" w:rsidRPr="004A106C" w:rsidRDefault="1B34BC66" w:rsidP="36011B61">
            <w:pPr>
              <w:jc w:val="both"/>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 xml:space="preserve">8 (garantías judiciales), 9 (principio de </w:t>
            </w:r>
            <w:r w:rsidR="00183F8E">
              <w:rPr>
                <w:rFonts w:asciiTheme="majorHAnsi" w:eastAsiaTheme="majorEastAsia" w:hAnsiTheme="majorHAnsi" w:cstheme="majorBidi"/>
                <w:sz w:val="20"/>
                <w:szCs w:val="20"/>
                <w:lang w:val="es-ES"/>
              </w:rPr>
              <w:t>l</w:t>
            </w:r>
            <w:r w:rsidRPr="004A106C">
              <w:rPr>
                <w:rFonts w:asciiTheme="majorHAnsi" w:eastAsiaTheme="majorEastAsia" w:hAnsiTheme="majorHAnsi" w:cstheme="majorBidi"/>
                <w:sz w:val="20"/>
                <w:szCs w:val="20"/>
                <w:lang w:val="es-ES"/>
              </w:rPr>
              <w:t>egalidad y de</w:t>
            </w:r>
            <w:r w:rsidR="006D0BFE">
              <w:rPr>
                <w:rFonts w:asciiTheme="majorHAnsi" w:eastAsiaTheme="majorEastAsia" w:hAnsiTheme="majorHAnsi" w:cstheme="majorBidi"/>
                <w:sz w:val="20"/>
                <w:szCs w:val="20"/>
                <w:lang w:val="es-ES"/>
              </w:rPr>
              <w:t xml:space="preserve"> no</w:t>
            </w:r>
            <w:r w:rsidRPr="004A106C">
              <w:rPr>
                <w:rFonts w:asciiTheme="majorHAnsi" w:eastAsiaTheme="majorEastAsia" w:hAnsiTheme="majorHAnsi" w:cstheme="majorBidi"/>
                <w:sz w:val="20"/>
                <w:szCs w:val="20"/>
                <w:lang w:val="es-ES"/>
              </w:rPr>
              <w:t xml:space="preserve"> retroactividad), 13 (libertad de pensamiento y de expresión)</w:t>
            </w:r>
            <w:r w:rsidR="003100A7">
              <w:rPr>
                <w:rFonts w:asciiTheme="majorHAnsi" w:eastAsiaTheme="majorEastAsia" w:hAnsiTheme="majorHAnsi" w:cstheme="majorBidi"/>
                <w:sz w:val="20"/>
                <w:szCs w:val="20"/>
                <w:lang w:val="es-ES"/>
              </w:rPr>
              <w:t>, 15 (libertad de reunión)</w:t>
            </w:r>
            <w:r w:rsidRPr="004A106C">
              <w:rPr>
                <w:rFonts w:asciiTheme="majorHAnsi" w:eastAsiaTheme="majorEastAsia" w:hAnsiTheme="majorHAnsi" w:cstheme="majorBidi"/>
                <w:sz w:val="20"/>
                <w:szCs w:val="20"/>
                <w:lang w:val="es-ES"/>
              </w:rPr>
              <w:t xml:space="preserve"> y 25 (protección judicial) de la Convención Americana</w:t>
            </w:r>
            <w:r w:rsidR="0069564F">
              <w:rPr>
                <w:rFonts w:asciiTheme="majorHAnsi" w:eastAsiaTheme="majorEastAsia" w:hAnsiTheme="majorHAnsi" w:cstheme="majorBidi"/>
                <w:sz w:val="20"/>
                <w:szCs w:val="20"/>
                <w:lang w:val="es-ES"/>
              </w:rPr>
              <w:t>, en relación con su artículo 1.1 (obligación de respetar los derechos)</w:t>
            </w:r>
          </w:p>
        </w:tc>
      </w:tr>
      <w:tr w:rsidR="00EB3E1C" w:rsidRPr="00D76863" w14:paraId="5702249F" w14:textId="77777777" w:rsidTr="36011B61">
        <w:trPr>
          <w:cantSplit/>
        </w:trPr>
        <w:tc>
          <w:tcPr>
            <w:tcW w:w="3569" w:type="dxa"/>
            <w:tcBorders>
              <w:top w:val="single" w:sz="6" w:space="0" w:color="auto"/>
              <w:bottom w:val="single" w:sz="6" w:space="0" w:color="auto"/>
            </w:tcBorders>
            <w:shd w:val="clear" w:color="auto" w:fill="386294"/>
            <w:vAlign w:val="center"/>
          </w:tcPr>
          <w:p w14:paraId="1F00DF1D" w14:textId="77777777" w:rsidR="00EB3E1C" w:rsidRPr="004A106C" w:rsidRDefault="1B34BC66"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Agotamiento de recursos internos o procedencia de una excepción:</w:t>
            </w:r>
          </w:p>
        </w:tc>
        <w:tc>
          <w:tcPr>
            <w:tcW w:w="5673" w:type="dxa"/>
            <w:vAlign w:val="center"/>
          </w:tcPr>
          <w:p w14:paraId="7F7C1A19" w14:textId="0D89022D" w:rsidR="00EB3E1C" w:rsidRPr="004A106C" w:rsidRDefault="17AEA56B" w:rsidP="36011B61">
            <w:pPr>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eastAsia="ja-JP"/>
              </w:rPr>
              <w:t xml:space="preserve">Sí, el </w:t>
            </w:r>
            <w:r w:rsidR="4B130509" w:rsidRPr="004A106C">
              <w:rPr>
                <w:rFonts w:asciiTheme="majorHAnsi" w:eastAsiaTheme="majorEastAsia" w:hAnsiTheme="majorHAnsi" w:cstheme="majorBidi"/>
                <w:sz w:val="20"/>
                <w:szCs w:val="20"/>
                <w:lang w:val="es-ES" w:eastAsia="ja-JP"/>
              </w:rPr>
              <w:t>6 de junio de 2006</w:t>
            </w:r>
          </w:p>
        </w:tc>
      </w:tr>
      <w:tr w:rsidR="00EB3E1C" w:rsidRPr="004A106C" w14:paraId="7A101B89" w14:textId="77777777" w:rsidTr="36011B61">
        <w:trPr>
          <w:cantSplit/>
        </w:trPr>
        <w:tc>
          <w:tcPr>
            <w:tcW w:w="3569" w:type="dxa"/>
            <w:tcBorders>
              <w:top w:val="single" w:sz="6" w:space="0" w:color="auto"/>
              <w:bottom w:val="single" w:sz="6" w:space="0" w:color="auto"/>
            </w:tcBorders>
            <w:shd w:val="clear" w:color="auto" w:fill="386294"/>
            <w:vAlign w:val="center"/>
          </w:tcPr>
          <w:p w14:paraId="0843C533" w14:textId="77777777" w:rsidR="00EB3E1C" w:rsidRPr="004A106C" w:rsidRDefault="1B34BC66" w:rsidP="36011B61">
            <w:pPr>
              <w:jc w:val="center"/>
              <w:rPr>
                <w:rFonts w:asciiTheme="majorHAnsi" w:eastAsiaTheme="majorEastAsia" w:hAnsiTheme="majorHAnsi" w:cstheme="majorBidi"/>
                <w:b/>
                <w:color w:val="FFFFFF" w:themeColor="background1"/>
                <w:sz w:val="20"/>
                <w:szCs w:val="20"/>
                <w:lang w:val="es-ES"/>
              </w:rPr>
            </w:pPr>
            <w:r w:rsidRPr="004A106C">
              <w:rPr>
                <w:rFonts w:asciiTheme="majorHAnsi" w:eastAsiaTheme="majorEastAsia" w:hAnsiTheme="majorHAnsi" w:cstheme="majorBidi"/>
                <w:b/>
                <w:color w:val="FFFFFF" w:themeColor="background1"/>
                <w:sz w:val="20"/>
                <w:szCs w:val="20"/>
                <w:lang w:val="es-ES"/>
              </w:rPr>
              <w:t>Presentación dentro de plazo:</w:t>
            </w:r>
          </w:p>
        </w:tc>
        <w:tc>
          <w:tcPr>
            <w:tcW w:w="5673" w:type="dxa"/>
            <w:vAlign w:val="center"/>
          </w:tcPr>
          <w:p w14:paraId="2AF0FC69" w14:textId="2FBE4BC8" w:rsidR="00EB3E1C" w:rsidRPr="004A106C" w:rsidRDefault="7FD690C1" w:rsidP="36011B61">
            <w:pPr>
              <w:rPr>
                <w:rFonts w:asciiTheme="majorHAnsi" w:eastAsiaTheme="majorEastAsia" w:hAnsiTheme="majorHAnsi" w:cstheme="majorBidi"/>
                <w:sz w:val="20"/>
                <w:szCs w:val="20"/>
                <w:lang w:val="es-ES"/>
              </w:rPr>
            </w:pPr>
            <w:r w:rsidRPr="004A106C">
              <w:rPr>
                <w:rFonts w:asciiTheme="majorHAnsi" w:eastAsiaTheme="majorEastAsia" w:hAnsiTheme="majorHAnsi" w:cstheme="majorBidi"/>
                <w:sz w:val="20"/>
                <w:szCs w:val="20"/>
                <w:lang w:val="es-ES"/>
              </w:rPr>
              <w:t>Sí</w:t>
            </w:r>
          </w:p>
        </w:tc>
      </w:tr>
    </w:tbl>
    <w:p w14:paraId="1B05E046" w14:textId="77777777" w:rsidR="00541F12" w:rsidRDefault="00541F12" w:rsidP="0069564F">
      <w:pPr>
        <w:spacing w:after="240"/>
        <w:jc w:val="both"/>
        <w:rPr>
          <w:rFonts w:asciiTheme="majorHAnsi" w:eastAsiaTheme="majorEastAsia" w:hAnsiTheme="majorHAnsi" w:cstheme="majorBidi"/>
          <w:b/>
          <w:sz w:val="20"/>
          <w:szCs w:val="20"/>
          <w:lang w:val="es-ES"/>
        </w:rPr>
      </w:pPr>
    </w:p>
    <w:p w14:paraId="043BAA5E" w14:textId="77777777" w:rsidR="0069564F" w:rsidRDefault="0069564F" w:rsidP="00541F12">
      <w:pPr>
        <w:spacing w:before="240" w:after="240"/>
        <w:ind w:firstLine="720"/>
        <w:jc w:val="both"/>
        <w:rPr>
          <w:rFonts w:asciiTheme="majorHAnsi" w:eastAsiaTheme="majorEastAsia" w:hAnsiTheme="majorHAnsi" w:cstheme="majorBidi"/>
          <w:b/>
          <w:sz w:val="20"/>
          <w:szCs w:val="20"/>
          <w:lang w:val="es-ES"/>
        </w:rPr>
      </w:pPr>
    </w:p>
    <w:p w14:paraId="22B44EF0" w14:textId="77777777" w:rsidR="0069564F" w:rsidRDefault="0069564F" w:rsidP="00541F12">
      <w:pPr>
        <w:spacing w:before="240" w:after="240"/>
        <w:ind w:firstLine="720"/>
        <w:jc w:val="both"/>
        <w:rPr>
          <w:rFonts w:asciiTheme="majorHAnsi" w:eastAsiaTheme="majorEastAsia" w:hAnsiTheme="majorHAnsi" w:cstheme="majorBidi"/>
          <w:b/>
          <w:sz w:val="20"/>
          <w:szCs w:val="20"/>
          <w:lang w:val="es-ES"/>
        </w:rPr>
      </w:pPr>
    </w:p>
    <w:p w14:paraId="56FD5D57" w14:textId="0003893B" w:rsidR="003239B8" w:rsidRPr="00541F12" w:rsidRDefault="753AB277" w:rsidP="00541F12">
      <w:pPr>
        <w:spacing w:before="240" w:after="240"/>
        <w:ind w:firstLine="720"/>
        <w:jc w:val="both"/>
        <w:rPr>
          <w:rFonts w:asciiTheme="majorHAnsi" w:eastAsiaTheme="majorEastAsia" w:hAnsiTheme="majorHAnsi" w:cstheme="majorBidi"/>
          <w:b/>
          <w:sz w:val="20"/>
          <w:szCs w:val="20"/>
          <w:lang w:val="es-ES"/>
        </w:rPr>
      </w:pPr>
      <w:r w:rsidRPr="00541F12">
        <w:rPr>
          <w:rFonts w:asciiTheme="majorHAnsi" w:eastAsiaTheme="majorEastAsia" w:hAnsiTheme="majorHAnsi" w:cstheme="majorBidi"/>
          <w:b/>
          <w:sz w:val="20"/>
          <w:szCs w:val="20"/>
          <w:lang w:val="es-ES"/>
        </w:rPr>
        <w:lastRenderedPageBreak/>
        <w:t xml:space="preserve">V. </w:t>
      </w:r>
      <w:r w:rsidR="00223A29" w:rsidRPr="00541F12">
        <w:rPr>
          <w:rFonts w:asciiTheme="majorHAnsi" w:hAnsiTheme="majorHAnsi"/>
          <w:sz w:val="20"/>
          <w:szCs w:val="20"/>
          <w:lang w:val="es-ES"/>
        </w:rPr>
        <w:tab/>
      </w:r>
      <w:r w:rsidR="2D34CBBD" w:rsidRPr="00541F12">
        <w:rPr>
          <w:rFonts w:asciiTheme="majorHAnsi" w:eastAsiaTheme="majorEastAsia" w:hAnsiTheme="majorHAnsi" w:cstheme="majorBidi"/>
          <w:b/>
          <w:sz w:val="20"/>
          <w:szCs w:val="20"/>
          <w:lang w:val="es-ES"/>
        </w:rPr>
        <w:t>POSICIÓN DE LAS PARTES</w:t>
      </w:r>
      <w:r w:rsidR="521EA9D4" w:rsidRPr="00541F12">
        <w:rPr>
          <w:rFonts w:asciiTheme="majorHAnsi" w:eastAsiaTheme="majorEastAsia" w:hAnsiTheme="majorHAnsi" w:cstheme="majorBidi"/>
          <w:b/>
          <w:sz w:val="20"/>
          <w:szCs w:val="20"/>
          <w:lang w:val="es-ES"/>
        </w:rPr>
        <w:t xml:space="preserve"> </w:t>
      </w:r>
    </w:p>
    <w:p w14:paraId="1A1044B8" w14:textId="5C7E24F2" w:rsidR="00A50EBA" w:rsidRPr="00541F12" w:rsidRDefault="00A50EBA" w:rsidP="00541F12">
      <w:pPr>
        <w:spacing w:before="240" w:after="240"/>
        <w:ind w:firstLine="720"/>
        <w:jc w:val="both"/>
        <w:rPr>
          <w:rFonts w:asciiTheme="majorHAnsi" w:eastAsiaTheme="majorEastAsia" w:hAnsiTheme="majorHAnsi" w:cstheme="majorBidi"/>
          <w:b/>
          <w:sz w:val="20"/>
          <w:szCs w:val="20"/>
          <w:lang w:val="es-ES"/>
        </w:rPr>
      </w:pPr>
      <w:r w:rsidRPr="00541F12">
        <w:rPr>
          <w:rFonts w:asciiTheme="majorHAnsi" w:eastAsiaTheme="majorEastAsia" w:hAnsiTheme="majorHAnsi" w:cstheme="majorBidi"/>
          <w:b/>
          <w:sz w:val="20"/>
          <w:szCs w:val="20"/>
          <w:lang w:val="es-ES"/>
        </w:rPr>
        <w:t>La parte peticionaria</w:t>
      </w:r>
    </w:p>
    <w:p w14:paraId="7C795177" w14:textId="7482C02B" w:rsidR="00E20D05" w:rsidRPr="00541F12" w:rsidRDefault="60956FAB"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La parte peticionaria</w:t>
      </w:r>
      <w:r w:rsidR="204522FF" w:rsidRPr="00541F12">
        <w:rPr>
          <w:rFonts w:asciiTheme="majorHAnsi" w:eastAsiaTheme="majorEastAsia" w:hAnsiTheme="majorHAnsi" w:cstheme="majorBidi"/>
          <w:sz w:val="20"/>
          <w:szCs w:val="20"/>
          <w:lang w:val="es-ES"/>
        </w:rPr>
        <w:t xml:space="preserve"> alega la violación de su derecho a la libertad de pensamiento y de expresión</w:t>
      </w:r>
      <w:r w:rsidR="365C122B" w:rsidRPr="00541F12">
        <w:rPr>
          <w:rFonts w:asciiTheme="majorHAnsi" w:eastAsiaTheme="majorEastAsia" w:hAnsiTheme="majorHAnsi" w:cstheme="majorBidi"/>
          <w:sz w:val="20"/>
          <w:szCs w:val="20"/>
          <w:lang w:val="es-ES"/>
        </w:rPr>
        <w:t xml:space="preserve">, principio de legalidad y </w:t>
      </w:r>
      <w:r w:rsidR="006D0BFE">
        <w:rPr>
          <w:rFonts w:asciiTheme="majorHAnsi" w:eastAsiaTheme="majorEastAsia" w:hAnsiTheme="majorHAnsi" w:cstheme="majorBidi"/>
          <w:sz w:val="20"/>
          <w:szCs w:val="20"/>
          <w:lang w:val="es-ES"/>
        </w:rPr>
        <w:t xml:space="preserve">de no </w:t>
      </w:r>
      <w:r w:rsidR="365C122B" w:rsidRPr="00541F12">
        <w:rPr>
          <w:rFonts w:asciiTheme="majorHAnsi" w:eastAsiaTheme="majorEastAsia" w:hAnsiTheme="majorHAnsi" w:cstheme="majorBidi"/>
          <w:sz w:val="20"/>
          <w:szCs w:val="20"/>
          <w:lang w:val="es-ES"/>
        </w:rPr>
        <w:t>retroactividad</w:t>
      </w:r>
      <w:r w:rsidR="204522FF" w:rsidRPr="00541F12">
        <w:rPr>
          <w:rFonts w:asciiTheme="majorHAnsi" w:eastAsiaTheme="majorEastAsia" w:hAnsiTheme="majorHAnsi" w:cstheme="majorBidi"/>
          <w:sz w:val="20"/>
          <w:szCs w:val="20"/>
          <w:lang w:val="es-ES"/>
        </w:rPr>
        <w:t xml:space="preserve"> </w:t>
      </w:r>
      <w:r w:rsidR="63FB7AE4" w:rsidRPr="00541F12">
        <w:rPr>
          <w:rFonts w:asciiTheme="majorHAnsi" w:eastAsiaTheme="majorEastAsia" w:hAnsiTheme="majorHAnsi" w:cstheme="majorBidi"/>
          <w:sz w:val="20"/>
          <w:szCs w:val="20"/>
          <w:lang w:val="es-ES"/>
        </w:rPr>
        <w:t xml:space="preserve">y garantías judiciales </w:t>
      </w:r>
      <w:r w:rsidR="77259EA8" w:rsidRPr="00541F12">
        <w:rPr>
          <w:rFonts w:asciiTheme="majorHAnsi" w:eastAsiaTheme="majorEastAsia" w:hAnsiTheme="majorHAnsi" w:cstheme="majorBidi"/>
          <w:sz w:val="20"/>
          <w:szCs w:val="20"/>
          <w:lang w:val="es-ES"/>
        </w:rPr>
        <w:t>debido a</w:t>
      </w:r>
      <w:r w:rsidR="204522FF" w:rsidRPr="00541F12">
        <w:rPr>
          <w:rFonts w:asciiTheme="majorHAnsi" w:eastAsiaTheme="majorEastAsia" w:hAnsiTheme="majorHAnsi" w:cstheme="majorBidi"/>
          <w:sz w:val="20"/>
          <w:szCs w:val="20"/>
          <w:lang w:val="es-ES"/>
        </w:rPr>
        <w:t xml:space="preserve"> la imposición de una condena penal</w:t>
      </w:r>
      <w:r w:rsidR="76776676" w:rsidRPr="00541F12">
        <w:rPr>
          <w:rFonts w:asciiTheme="majorHAnsi" w:eastAsiaTheme="majorEastAsia" w:hAnsiTheme="majorHAnsi" w:cstheme="majorBidi"/>
          <w:sz w:val="20"/>
          <w:szCs w:val="20"/>
          <w:lang w:val="es-ES"/>
        </w:rPr>
        <w:t xml:space="preserve"> </w:t>
      </w:r>
      <w:r w:rsidR="005004F2" w:rsidRPr="00541F12">
        <w:rPr>
          <w:rFonts w:asciiTheme="majorHAnsi" w:eastAsiaTheme="majorEastAsia" w:hAnsiTheme="majorHAnsi" w:cstheme="majorBidi"/>
          <w:sz w:val="20"/>
          <w:szCs w:val="20"/>
          <w:lang w:val="es-ES"/>
        </w:rPr>
        <w:t xml:space="preserve">al Sr. Francisco Daniel Endara Daza (en adelante también </w:t>
      </w:r>
      <w:r w:rsidR="00A34F44" w:rsidRPr="00541F12">
        <w:rPr>
          <w:rFonts w:asciiTheme="majorHAnsi" w:eastAsiaTheme="majorEastAsia" w:hAnsiTheme="majorHAnsi" w:cstheme="majorBidi"/>
          <w:sz w:val="20"/>
          <w:szCs w:val="20"/>
          <w:lang w:val="es-ES"/>
        </w:rPr>
        <w:t>“la presunta víctima” o el “Sr. Endara”</w:t>
      </w:r>
      <w:r w:rsidR="00A01E4D" w:rsidRPr="00541F12">
        <w:rPr>
          <w:rFonts w:asciiTheme="majorHAnsi" w:eastAsiaTheme="majorEastAsia" w:hAnsiTheme="majorHAnsi" w:cstheme="majorBidi"/>
          <w:sz w:val="20"/>
          <w:szCs w:val="20"/>
          <w:lang w:val="es-ES"/>
        </w:rPr>
        <w:t>)</w:t>
      </w:r>
      <w:r w:rsidR="00A34F44" w:rsidRPr="00541F12">
        <w:rPr>
          <w:rFonts w:asciiTheme="majorHAnsi" w:eastAsiaTheme="majorEastAsia" w:hAnsiTheme="majorHAnsi" w:cstheme="majorBidi"/>
          <w:sz w:val="20"/>
          <w:szCs w:val="20"/>
          <w:lang w:val="es-ES"/>
        </w:rPr>
        <w:t xml:space="preserve"> </w:t>
      </w:r>
      <w:r w:rsidR="6DAD5F29" w:rsidRPr="00541F12">
        <w:rPr>
          <w:rFonts w:asciiTheme="majorHAnsi" w:eastAsiaTheme="majorEastAsia" w:hAnsiTheme="majorHAnsi" w:cstheme="majorBidi"/>
          <w:sz w:val="20"/>
          <w:szCs w:val="20"/>
          <w:lang w:val="es-ES"/>
        </w:rPr>
        <w:t xml:space="preserve">por </w:t>
      </w:r>
      <w:r w:rsidR="77259EA8" w:rsidRPr="00541F12">
        <w:rPr>
          <w:rFonts w:asciiTheme="majorHAnsi" w:eastAsiaTheme="majorEastAsia" w:hAnsiTheme="majorHAnsi" w:cstheme="majorBidi"/>
          <w:sz w:val="20"/>
          <w:szCs w:val="20"/>
          <w:lang w:val="es-ES"/>
        </w:rPr>
        <w:t>su participación</w:t>
      </w:r>
      <w:r w:rsidR="204522FF" w:rsidRPr="00541F12">
        <w:rPr>
          <w:rFonts w:asciiTheme="majorHAnsi" w:eastAsiaTheme="majorEastAsia" w:hAnsiTheme="majorHAnsi" w:cstheme="majorBidi"/>
          <w:sz w:val="20"/>
          <w:szCs w:val="20"/>
          <w:lang w:val="es-ES"/>
        </w:rPr>
        <w:t xml:space="preserve"> en una protesta</w:t>
      </w:r>
      <w:r w:rsidR="6DAD5F29" w:rsidRPr="00541F12">
        <w:rPr>
          <w:rFonts w:asciiTheme="majorHAnsi" w:eastAsiaTheme="majorEastAsia" w:hAnsiTheme="majorHAnsi" w:cstheme="majorBidi"/>
          <w:sz w:val="20"/>
          <w:szCs w:val="20"/>
          <w:lang w:val="es-ES"/>
        </w:rPr>
        <w:t xml:space="preserve">. </w:t>
      </w:r>
    </w:p>
    <w:p w14:paraId="07319651" w14:textId="3F489924" w:rsidR="00E20D05" w:rsidRPr="00541F12" w:rsidRDefault="00EA5175"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El</w:t>
      </w:r>
      <w:r w:rsidR="5DB13A12" w:rsidRPr="00541F12">
        <w:rPr>
          <w:rFonts w:asciiTheme="majorHAnsi" w:eastAsiaTheme="majorEastAsia" w:hAnsiTheme="majorHAnsi" w:cstheme="majorBidi"/>
          <w:sz w:val="20"/>
          <w:szCs w:val="20"/>
          <w:lang w:val="es-ES"/>
        </w:rPr>
        <w:t xml:space="preserve"> </w:t>
      </w:r>
      <w:r w:rsidR="10A9E857" w:rsidRPr="00541F12">
        <w:rPr>
          <w:rFonts w:asciiTheme="majorHAnsi" w:eastAsiaTheme="majorEastAsia" w:hAnsiTheme="majorHAnsi" w:cstheme="majorBidi"/>
          <w:sz w:val="20"/>
          <w:szCs w:val="20"/>
          <w:lang w:val="es-ES"/>
        </w:rPr>
        <w:t xml:space="preserve">30 de septiembre de 2010 </w:t>
      </w:r>
      <w:r w:rsidRPr="00541F12">
        <w:rPr>
          <w:rFonts w:asciiTheme="majorHAnsi" w:eastAsiaTheme="majorEastAsia" w:hAnsiTheme="majorHAnsi" w:cstheme="majorBidi"/>
          <w:sz w:val="20"/>
          <w:szCs w:val="20"/>
          <w:lang w:val="es-ES"/>
        </w:rPr>
        <w:t xml:space="preserve">el Sr. </w:t>
      </w:r>
      <w:r w:rsidR="004805A8" w:rsidRPr="00541F12">
        <w:rPr>
          <w:rFonts w:asciiTheme="majorHAnsi" w:eastAsiaTheme="majorEastAsia" w:hAnsiTheme="majorHAnsi" w:cstheme="majorBidi"/>
          <w:sz w:val="20"/>
          <w:szCs w:val="20"/>
          <w:lang w:val="es-ES"/>
        </w:rPr>
        <w:t>Endara</w:t>
      </w:r>
      <w:r w:rsidR="744901E3" w:rsidRPr="00541F12">
        <w:rPr>
          <w:rFonts w:asciiTheme="majorHAnsi" w:eastAsiaTheme="majorEastAsia" w:hAnsiTheme="majorHAnsi" w:cstheme="majorBidi"/>
          <w:sz w:val="20"/>
          <w:szCs w:val="20"/>
          <w:lang w:val="es-ES"/>
        </w:rPr>
        <w:t xml:space="preserve"> integró un grupo de </w:t>
      </w:r>
      <w:r w:rsidR="4C0D08E0" w:rsidRPr="00541F12">
        <w:rPr>
          <w:rFonts w:asciiTheme="majorHAnsi" w:eastAsiaTheme="majorEastAsia" w:hAnsiTheme="majorHAnsi" w:cstheme="majorBidi"/>
          <w:sz w:val="20"/>
          <w:szCs w:val="20"/>
          <w:lang w:val="es-ES"/>
        </w:rPr>
        <w:t xml:space="preserve">cerca de </w:t>
      </w:r>
      <w:r w:rsidR="744901E3" w:rsidRPr="00541F12">
        <w:rPr>
          <w:rFonts w:asciiTheme="majorHAnsi" w:eastAsiaTheme="majorEastAsia" w:hAnsiTheme="majorHAnsi" w:cstheme="majorBidi"/>
          <w:sz w:val="20"/>
          <w:szCs w:val="20"/>
          <w:lang w:val="es-ES"/>
        </w:rPr>
        <w:t xml:space="preserve">200 personas que se </w:t>
      </w:r>
      <w:r w:rsidR="5321B9F0" w:rsidRPr="00541F12">
        <w:rPr>
          <w:rFonts w:asciiTheme="majorHAnsi" w:eastAsiaTheme="majorEastAsia" w:hAnsiTheme="majorHAnsi" w:cstheme="majorBidi"/>
          <w:sz w:val="20"/>
          <w:szCs w:val="20"/>
          <w:lang w:val="es-ES"/>
        </w:rPr>
        <w:t xml:space="preserve">dirigieron </w:t>
      </w:r>
      <w:r w:rsidR="744901E3" w:rsidRPr="00541F12">
        <w:rPr>
          <w:rFonts w:asciiTheme="majorHAnsi" w:eastAsiaTheme="majorEastAsia" w:hAnsiTheme="majorHAnsi" w:cstheme="majorBidi"/>
          <w:sz w:val="20"/>
          <w:szCs w:val="20"/>
          <w:lang w:val="es-ES"/>
        </w:rPr>
        <w:t xml:space="preserve">al canal estatal </w:t>
      </w:r>
      <w:r w:rsidR="00D44BEF">
        <w:rPr>
          <w:rFonts w:asciiTheme="majorHAnsi" w:eastAsiaTheme="majorEastAsia" w:hAnsiTheme="majorHAnsi" w:cstheme="majorBidi"/>
          <w:sz w:val="20"/>
          <w:szCs w:val="20"/>
          <w:lang w:val="es-ES"/>
        </w:rPr>
        <w:t>“</w:t>
      </w:r>
      <w:r w:rsidR="744901E3" w:rsidRPr="00541F12">
        <w:rPr>
          <w:rFonts w:asciiTheme="majorHAnsi" w:eastAsiaTheme="majorEastAsia" w:hAnsiTheme="majorHAnsi" w:cstheme="majorBidi"/>
          <w:sz w:val="20"/>
          <w:szCs w:val="20"/>
          <w:lang w:val="es-ES"/>
        </w:rPr>
        <w:t>Ecuador TV</w:t>
      </w:r>
      <w:r w:rsidR="00D44BEF">
        <w:rPr>
          <w:rFonts w:asciiTheme="majorHAnsi" w:eastAsiaTheme="majorEastAsia" w:hAnsiTheme="majorHAnsi" w:cstheme="majorBidi"/>
          <w:sz w:val="20"/>
          <w:szCs w:val="20"/>
          <w:lang w:val="es-ES"/>
        </w:rPr>
        <w:t>:</w:t>
      </w:r>
      <w:r w:rsidR="744901E3" w:rsidRPr="00541F12">
        <w:rPr>
          <w:rFonts w:asciiTheme="majorHAnsi" w:eastAsiaTheme="majorEastAsia" w:hAnsiTheme="majorHAnsi" w:cstheme="majorBidi"/>
          <w:sz w:val="20"/>
          <w:szCs w:val="20"/>
          <w:lang w:val="es-ES"/>
        </w:rPr>
        <w:t xml:space="preserve"> e ingresaron</w:t>
      </w:r>
      <w:r w:rsidR="4DB90504" w:rsidRPr="00541F12">
        <w:rPr>
          <w:rFonts w:asciiTheme="majorHAnsi" w:eastAsiaTheme="majorEastAsia" w:hAnsiTheme="majorHAnsi" w:cstheme="majorBidi"/>
          <w:sz w:val="20"/>
          <w:szCs w:val="20"/>
          <w:lang w:val="es-ES"/>
        </w:rPr>
        <w:t xml:space="preserve"> a sus instalaciones</w:t>
      </w:r>
      <w:r w:rsidR="5A9F7109" w:rsidRPr="00541F12">
        <w:rPr>
          <w:rFonts w:asciiTheme="majorHAnsi" w:eastAsiaTheme="majorEastAsia" w:hAnsiTheme="majorHAnsi" w:cstheme="majorBidi"/>
          <w:sz w:val="20"/>
          <w:szCs w:val="20"/>
          <w:lang w:val="es-ES"/>
        </w:rPr>
        <w:t xml:space="preserve"> con el objetivo de protesta</w:t>
      </w:r>
      <w:r w:rsidR="797428A2" w:rsidRPr="00541F12">
        <w:rPr>
          <w:rFonts w:asciiTheme="majorHAnsi" w:eastAsiaTheme="majorEastAsia" w:hAnsiTheme="majorHAnsi" w:cstheme="majorBidi"/>
          <w:sz w:val="20"/>
          <w:szCs w:val="20"/>
          <w:lang w:val="es-ES"/>
        </w:rPr>
        <w:t>r</w:t>
      </w:r>
      <w:r w:rsidR="5A9F7109" w:rsidRPr="00541F12">
        <w:rPr>
          <w:rFonts w:asciiTheme="majorHAnsi" w:eastAsiaTheme="majorEastAsia" w:hAnsiTheme="majorHAnsi" w:cstheme="majorBidi"/>
          <w:sz w:val="20"/>
          <w:szCs w:val="20"/>
          <w:lang w:val="es-ES"/>
        </w:rPr>
        <w:t xml:space="preserve"> </w:t>
      </w:r>
      <w:r w:rsidR="30C8DEBF" w:rsidRPr="00541F12">
        <w:rPr>
          <w:rFonts w:asciiTheme="majorHAnsi" w:eastAsiaTheme="majorEastAsia" w:hAnsiTheme="majorHAnsi" w:cstheme="majorBidi"/>
          <w:sz w:val="20"/>
          <w:szCs w:val="20"/>
          <w:lang w:val="es-ES"/>
        </w:rPr>
        <w:t xml:space="preserve">por </w:t>
      </w:r>
      <w:r w:rsidR="772779CB" w:rsidRPr="00541F12">
        <w:rPr>
          <w:rFonts w:asciiTheme="majorHAnsi" w:eastAsiaTheme="majorEastAsia" w:hAnsiTheme="majorHAnsi" w:cstheme="majorBidi"/>
          <w:sz w:val="20"/>
          <w:szCs w:val="20"/>
          <w:lang w:val="es-ES"/>
        </w:rPr>
        <w:t>la publicación</w:t>
      </w:r>
      <w:r w:rsidR="2C31FAFE" w:rsidRPr="00541F12">
        <w:rPr>
          <w:rFonts w:asciiTheme="majorHAnsi" w:eastAsiaTheme="majorEastAsia" w:hAnsiTheme="majorHAnsi" w:cstheme="majorBidi"/>
          <w:sz w:val="20"/>
          <w:szCs w:val="20"/>
          <w:lang w:val="es-ES"/>
        </w:rPr>
        <w:t xml:space="preserve"> del</w:t>
      </w:r>
      <w:r w:rsidR="30C8DEBF" w:rsidRPr="00541F12">
        <w:rPr>
          <w:rFonts w:asciiTheme="majorHAnsi" w:eastAsiaTheme="majorEastAsia" w:hAnsiTheme="majorHAnsi" w:cstheme="majorBidi"/>
          <w:sz w:val="20"/>
          <w:szCs w:val="20"/>
          <w:lang w:val="es-ES"/>
        </w:rPr>
        <w:t xml:space="preserve"> Decreto</w:t>
      </w:r>
      <w:r w:rsidR="5C5BD034" w:rsidRPr="00541F12">
        <w:rPr>
          <w:rFonts w:asciiTheme="majorHAnsi" w:eastAsiaTheme="majorEastAsia" w:hAnsiTheme="majorHAnsi" w:cstheme="majorBidi"/>
          <w:sz w:val="20"/>
          <w:szCs w:val="20"/>
          <w:lang w:val="es-ES"/>
        </w:rPr>
        <w:t xml:space="preserve"> Presidencial de Excepción N°</w:t>
      </w:r>
      <w:r w:rsidR="00D44BEF">
        <w:rPr>
          <w:rFonts w:asciiTheme="majorHAnsi" w:eastAsiaTheme="majorEastAsia" w:hAnsiTheme="majorHAnsi" w:cstheme="majorBidi"/>
          <w:sz w:val="20"/>
          <w:szCs w:val="20"/>
          <w:lang w:val="es-ES"/>
        </w:rPr>
        <w:t xml:space="preserve"> </w:t>
      </w:r>
      <w:r w:rsidR="5C5BD034" w:rsidRPr="00541F12">
        <w:rPr>
          <w:rFonts w:asciiTheme="majorHAnsi" w:eastAsiaTheme="majorEastAsia" w:hAnsiTheme="majorHAnsi" w:cstheme="majorBidi"/>
          <w:sz w:val="20"/>
          <w:szCs w:val="20"/>
          <w:lang w:val="es-ES"/>
        </w:rPr>
        <w:t>488</w:t>
      </w:r>
      <w:r w:rsidR="7F7D77E4" w:rsidRPr="00541F12">
        <w:rPr>
          <w:rFonts w:asciiTheme="majorHAnsi" w:eastAsiaTheme="majorEastAsia" w:hAnsiTheme="majorHAnsi" w:cstheme="majorBidi"/>
          <w:sz w:val="20"/>
          <w:szCs w:val="20"/>
          <w:lang w:val="es-ES"/>
        </w:rPr>
        <w:t xml:space="preserve"> en el cual se estableció </w:t>
      </w:r>
      <w:r w:rsidR="0777F011" w:rsidRPr="00541F12">
        <w:rPr>
          <w:rFonts w:asciiTheme="majorHAnsi" w:eastAsiaTheme="majorEastAsia" w:hAnsiTheme="majorHAnsi" w:cstheme="majorBidi"/>
          <w:sz w:val="20"/>
          <w:szCs w:val="20"/>
          <w:lang w:val="es-ES"/>
        </w:rPr>
        <w:t xml:space="preserve">que el Estado controlaría los medios de comunicación y permitiría </w:t>
      </w:r>
      <w:r w:rsidR="2237997F" w:rsidRPr="00541F12">
        <w:rPr>
          <w:rFonts w:asciiTheme="majorHAnsi" w:eastAsiaTheme="majorEastAsia" w:hAnsiTheme="majorHAnsi" w:cstheme="majorBidi"/>
          <w:sz w:val="20"/>
          <w:szCs w:val="20"/>
          <w:lang w:val="es-ES"/>
        </w:rPr>
        <w:t>únicamente</w:t>
      </w:r>
      <w:r w:rsidR="0777F011" w:rsidRPr="00541F12">
        <w:rPr>
          <w:rFonts w:asciiTheme="majorHAnsi" w:eastAsiaTheme="majorEastAsia" w:hAnsiTheme="majorHAnsi" w:cstheme="majorBidi"/>
          <w:sz w:val="20"/>
          <w:szCs w:val="20"/>
          <w:lang w:val="es-ES"/>
        </w:rPr>
        <w:t xml:space="preserve"> a “Ecuador TV” comunicar sobre los hechos ocurridos tras el cese de labores de los miembros de la Polic</w:t>
      </w:r>
      <w:r w:rsidR="680CE49D" w:rsidRPr="00541F12">
        <w:rPr>
          <w:rFonts w:asciiTheme="majorHAnsi" w:eastAsiaTheme="majorEastAsia" w:hAnsiTheme="majorHAnsi" w:cstheme="majorBidi"/>
          <w:sz w:val="20"/>
          <w:szCs w:val="20"/>
          <w:lang w:val="es-ES"/>
        </w:rPr>
        <w:t xml:space="preserve">ía Nacional. </w:t>
      </w:r>
      <w:r w:rsidR="60956FAB" w:rsidRPr="00541F12">
        <w:rPr>
          <w:rFonts w:asciiTheme="majorHAnsi" w:eastAsiaTheme="majorEastAsia" w:hAnsiTheme="majorHAnsi" w:cstheme="majorBidi"/>
          <w:sz w:val="20"/>
          <w:szCs w:val="20"/>
          <w:lang w:val="es-ES"/>
        </w:rPr>
        <w:t>La parte peticionaria</w:t>
      </w:r>
      <w:r w:rsidR="4A26B770" w:rsidRPr="00541F12">
        <w:rPr>
          <w:rFonts w:asciiTheme="majorHAnsi" w:eastAsiaTheme="majorEastAsia" w:hAnsiTheme="majorHAnsi" w:cstheme="majorBidi"/>
          <w:sz w:val="20"/>
          <w:szCs w:val="20"/>
          <w:lang w:val="es-ES"/>
        </w:rPr>
        <w:t xml:space="preserve"> </w:t>
      </w:r>
      <w:r w:rsidR="00EA3C24" w:rsidRPr="00541F12">
        <w:rPr>
          <w:rFonts w:asciiTheme="majorHAnsi" w:eastAsiaTheme="majorEastAsia" w:hAnsiTheme="majorHAnsi" w:cstheme="majorBidi"/>
          <w:sz w:val="20"/>
          <w:szCs w:val="20"/>
          <w:lang w:val="es-ES"/>
        </w:rPr>
        <w:t xml:space="preserve">indica </w:t>
      </w:r>
      <w:r w:rsidR="4A26B770" w:rsidRPr="00541F12">
        <w:rPr>
          <w:rFonts w:asciiTheme="majorHAnsi" w:eastAsiaTheme="majorEastAsia" w:hAnsiTheme="majorHAnsi" w:cstheme="majorBidi"/>
          <w:sz w:val="20"/>
          <w:szCs w:val="20"/>
          <w:lang w:val="es-ES"/>
        </w:rPr>
        <w:t>que</w:t>
      </w:r>
      <w:r w:rsidR="52307392" w:rsidRPr="00541F12">
        <w:rPr>
          <w:rFonts w:asciiTheme="majorHAnsi" w:eastAsiaTheme="majorEastAsia" w:hAnsiTheme="majorHAnsi" w:cstheme="majorBidi"/>
          <w:sz w:val="20"/>
          <w:szCs w:val="20"/>
          <w:lang w:val="es-ES"/>
        </w:rPr>
        <w:t xml:space="preserve"> en las instalaciones del canal</w:t>
      </w:r>
      <w:r w:rsidR="4A26B770" w:rsidRPr="00541F12">
        <w:rPr>
          <w:rFonts w:asciiTheme="majorHAnsi" w:eastAsiaTheme="majorEastAsia" w:hAnsiTheme="majorHAnsi" w:cstheme="majorBidi"/>
          <w:sz w:val="20"/>
          <w:szCs w:val="20"/>
          <w:lang w:val="es-ES"/>
        </w:rPr>
        <w:t xml:space="preserve"> d</w:t>
      </w:r>
      <w:r w:rsidR="5DB13A12" w:rsidRPr="00541F12">
        <w:rPr>
          <w:rFonts w:asciiTheme="majorHAnsi" w:eastAsiaTheme="majorEastAsia" w:hAnsiTheme="majorHAnsi" w:cstheme="majorBidi"/>
          <w:sz w:val="20"/>
          <w:szCs w:val="20"/>
          <w:lang w:val="es-ES"/>
        </w:rPr>
        <w:t xml:space="preserve">os personas tomaron la palabra y </w:t>
      </w:r>
      <w:r w:rsidR="0C93DC9D" w:rsidRPr="00541F12">
        <w:rPr>
          <w:rFonts w:asciiTheme="majorHAnsi" w:eastAsiaTheme="majorEastAsia" w:hAnsiTheme="majorHAnsi" w:cstheme="majorBidi"/>
          <w:sz w:val="20"/>
          <w:szCs w:val="20"/>
          <w:lang w:val="es-ES"/>
        </w:rPr>
        <w:t xml:space="preserve">que </w:t>
      </w:r>
      <w:r w:rsidR="221EBE74" w:rsidRPr="00541F12">
        <w:rPr>
          <w:rFonts w:asciiTheme="majorHAnsi" w:eastAsiaTheme="majorEastAsia" w:hAnsiTheme="majorHAnsi" w:cstheme="majorBidi"/>
          <w:sz w:val="20"/>
          <w:szCs w:val="20"/>
          <w:lang w:val="es-ES"/>
        </w:rPr>
        <w:t>él</w:t>
      </w:r>
      <w:r w:rsidR="5DB13A12" w:rsidRPr="00541F12">
        <w:rPr>
          <w:rFonts w:asciiTheme="majorHAnsi" w:eastAsiaTheme="majorEastAsia" w:hAnsiTheme="majorHAnsi" w:cstheme="majorBidi"/>
          <w:sz w:val="20"/>
          <w:szCs w:val="20"/>
          <w:lang w:val="es-ES"/>
        </w:rPr>
        <w:t xml:space="preserve"> se limitó a aplaudir sus ideas y a calmar al resto de los manifestantes sin causar daños. </w:t>
      </w:r>
    </w:p>
    <w:p w14:paraId="083C4DA8" w14:textId="2050D014" w:rsidR="00E20D05" w:rsidRPr="00541F12" w:rsidRDefault="00D3786A"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 xml:space="preserve">Como consecuencia de </w:t>
      </w:r>
      <w:r w:rsidR="00710A1A">
        <w:rPr>
          <w:rFonts w:asciiTheme="majorHAnsi" w:eastAsiaTheme="majorEastAsia" w:hAnsiTheme="majorHAnsi" w:cstheme="majorBidi"/>
          <w:sz w:val="20"/>
          <w:szCs w:val="20"/>
          <w:lang w:val="es-ES"/>
        </w:rPr>
        <w:t>estos</w:t>
      </w:r>
      <w:r w:rsidRPr="00541F12">
        <w:rPr>
          <w:rFonts w:asciiTheme="majorHAnsi" w:eastAsiaTheme="majorEastAsia" w:hAnsiTheme="majorHAnsi" w:cstheme="majorBidi"/>
          <w:sz w:val="20"/>
          <w:szCs w:val="20"/>
          <w:lang w:val="es-ES"/>
        </w:rPr>
        <w:t xml:space="preserve"> hechos, el 8 de marzo de 2014 el Tribunal Segundo de Garantías Penales de Pichincha condenó a la presunta </w:t>
      </w:r>
      <w:r w:rsidR="004A106C" w:rsidRPr="00541F12">
        <w:rPr>
          <w:rFonts w:asciiTheme="majorHAnsi" w:eastAsiaTheme="majorEastAsia" w:hAnsiTheme="majorHAnsi" w:cstheme="majorBidi"/>
          <w:sz w:val="20"/>
          <w:szCs w:val="20"/>
          <w:lang w:val="es-ES"/>
        </w:rPr>
        <w:t>víctima</w:t>
      </w:r>
      <w:r w:rsidRPr="00541F12">
        <w:rPr>
          <w:rFonts w:asciiTheme="majorHAnsi" w:eastAsiaTheme="majorEastAsia" w:hAnsiTheme="majorHAnsi" w:cstheme="majorBidi"/>
          <w:sz w:val="20"/>
          <w:szCs w:val="20"/>
          <w:lang w:val="es-ES"/>
        </w:rPr>
        <w:t xml:space="preserve"> en primera instancia por el delito dispuesto en el artículo 158</w:t>
      </w:r>
      <w:r w:rsidR="00EC0D57" w:rsidRPr="00541F12">
        <w:rPr>
          <w:rStyle w:val="FootnoteReference"/>
          <w:rFonts w:asciiTheme="majorHAnsi" w:eastAsiaTheme="majorEastAsia" w:hAnsiTheme="majorHAnsi" w:cstheme="majorBidi"/>
          <w:sz w:val="20"/>
          <w:szCs w:val="20"/>
          <w:lang w:val="es-ES"/>
        </w:rPr>
        <w:footnoteReference w:id="3"/>
      </w:r>
      <w:r w:rsidRPr="00541F12">
        <w:rPr>
          <w:rFonts w:asciiTheme="majorHAnsi" w:eastAsiaTheme="majorEastAsia" w:hAnsiTheme="majorHAnsi" w:cstheme="majorBidi"/>
          <w:sz w:val="20"/>
          <w:szCs w:val="20"/>
          <w:lang w:val="es-ES"/>
        </w:rPr>
        <w:t xml:space="preserve"> del Código Penal de Ecuador de 1971</w:t>
      </w:r>
      <w:r w:rsidRPr="00541F12">
        <w:rPr>
          <w:rStyle w:val="FootnoteReference"/>
          <w:rFonts w:asciiTheme="majorHAnsi" w:eastAsiaTheme="majorEastAsia" w:hAnsiTheme="majorHAnsi" w:cstheme="majorBidi"/>
          <w:sz w:val="20"/>
          <w:szCs w:val="20"/>
          <w:lang w:val="es-ES"/>
        </w:rPr>
        <w:footnoteReference w:id="4"/>
      </w:r>
      <w:r w:rsidRPr="00541F12">
        <w:rPr>
          <w:rFonts w:asciiTheme="majorHAnsi" w:eastAsiaTheme="majorEastAsia" w:hAnsiTheme="majorHAnsi" w:cstheme="majorBidi"/>
          <w:sz w:val="20"/>
          <w:szCs w:val="20"/>
          <w:lang w:val="es-ES"/>
        </w:rPr>
        <w:t xml:space="preserve">, vigente en </w:t>
      </w:r>
      <w:r w:rsidR="004A106C" w:rsidRPr="00541F12">
        <w:rPr>
          <w:rFonts w:asciiTheme="majorHAnsi" w:eastAsiaTheme="majorEastAsia" w:hAnsiTheme="majorHAnsi" w:cstheme="majorBidi"/>
          <w:sz w:val="20"/>
          <w:szCs w:val="20"/>
          <w:lang w:val="es-ES"/>
        </w:rPr>
        <w:t>septiembre</w:t>
      </w:r>
      <w:r w:rsidRPr="00541F12">
        <w:rPr>
          <w:rFonts w:asciiTheme="majorHAnsi" w:eastAsiaTheme="majorEastAsia" w:hAnsiTheme="majorHAnsi" w:cstheme="majorBidi"/>
          <w:sz w:val="20"/>
          <w:szCs w:val="20"/>
          <w:lang w:val="es-ES"/>
        </w:rPr>
        <w:t xml:space="preserve"> de 2010</w:t>
      </w:r>
      <w:r w:rsidR="31B3AAAB" w:rsidRPr="00541F12">
        <w:rPr>
          <w:rFonts w:asciiTheme="majorHAnsi" w:eastAsiaTheme="majorEastAsia" w:hAnsiTheme="majorHAnsi" w:cstheme="majorBidi"/>
          <w:sz w:val="20"/>
          <w:szCs w:val="20"/>
          <w:lang w:val="es-ES"/>
        </w:rPr>
        <w:t>.</w:t>
      </w:r>
      <w:r w:rsidR="66B3C3A9" w:rsidRPr="00541F12">
        <w:rPr>
          <w:rFonts w:asciiTheme="majorHAnsi" w:eastAsiaTheme="majorEastAsia" w:hAnsiTheme="majorHAnsi" w:cstheme="majorBidi"/>
          <w:sz w:val="20"/>
          <w:szCs w:val="20"/>
          <w:lang w:val="es-ES"/>
        </w:rPr>
        <w:t xml:space="preserve"> </w:t>
      </w:r>
      <w:r w:rsidR="001A3542" w:rsidRPr="00541F12">
        <w:rPr>
          <w:rFonts w:asciiTheme="majorHAnsi" w:eastAsiaTheme="majorEastAsia" w:hAnsiTheme="majorHAnsi" w:cstheme="majorBidi"/>
          <w:sz w:val="20"/>
          <w:szCs w:val="20"/>
          <w:lang w:val="es-ES"/>
        </w:rPr>
        <w:t>E</w:t>
      </w:r>
      <w:r w:rsidR="71854DF7" w:rsidRPr="00541F12">
        <w:rPr>
          <w:rFonts w:asciiTheme="majorHAnsi" w:eastAsiaTheme="majorEastAsia" w:hAnsiTheme="majorHAnsi" w:cstheme="majorBidi"/>
          <w:sz w:val="20"/>
          <w:szCs w:val="20"/>
          <w:lang w:val="es-ES"/>
        </w:rPr>
        <w:t xml:space="preserve">l </w:t>
      </w:r>
      <w:r w:rsidR="640D4ED3" w:rsidRPr="00541F12">
        <w:rPr>
          <w:rFonts w:asciiTheme="majorHAnsi" w:eastAsiaTheme="majorEastAsia" w:hAnsiTheme="majorHAnsi" w:cstheme="majorBidi"/>
          <w:sz w:val="20"/>
          <w:szCs w:val="20"/>
          <w:lang w:val="es-ES"/>
        </w:rPr>
        <w:t>29</w:t>
      </w:r>
      <w:r w:rsidR="28DBEAAE" w:rsidRPr="00541F12">
        <w:rPr>
          <w:rFonts w:asciiTheme="majorHAnsi" w:eastAsiaTheme="majorEastAsia" w:hAnsiTheme="majorHAnsi" w:cstheme="majorBidi"/>
          <w:sz w:val="20"/>
          <w:szCs w:val="20"/>
          <w:lang w:val="es-ES"/>
        </w:rPr>
        <w:t xml:space="preserve"> de mayo</w:t>
      </w:r>
      <w:r w:rsidR="31BBD853" w:rsidRPr="00541F12">
        <w:rPr>
          <w:rFonts w:asciiTheme="majorHAnsi" w:eastAsiaTheme="majorEastAsia" w:hAnsiTheme="majorHAnsi" w:cstheme="majorBidi"/>
          <w:sz w:val="20"/>
          <w:szCs w:val="20"/>
          <w:lang w:val="es-ES"/>
        </w:rPr>
        <w:t xml:space="preserve"> de</w:t>
      </w:r>
      <w:r w:rsidR="28DBEAAE" w:rsidRPr="00541F12">
        <w:rPr>
          <w:rFonts w:asciiTheme="majorHAnsi" w:eastAsiaTheme="majorEastAsia" w:hAnsiTheme="majorHAnsi" w:cstheme="majorBidi"/>
          <w:sz w:val="20"/>
          <w:szCs w:val="20"/>
          <w:lang w:val="es-ES"/>
        </w:rPr>
        <w:t xml:space="preserve"> </w:t>
      </w:r>
      <w:r w:rsidR="1DD9D16D" w:rsidRPr="00541F12">
        <w:rPr>
          <w:rFonts w:asciiTheme="majorHAnsi" w:eastAsiaTheme="majorEastAsia" w:hAnsiTheme="majorHAnsi" w:cstheme="majorBidi"/>
          <w:sz w:val="20"/>
          <w:szCs w:val="20"/>
          <w:lang w:val="es-ES"/>
        </w:rPr>
        <w:t>2014</w:t>
      </w:r>
      <w:r w:rsidR="31B3AAAB" w:rsidRPr="00541F12">
        <w:rPr>
          <w:rFonts w:asciiTheme="majorHAnsi" w:eastAsiaTheme="majorEastAsia" w:hAnsiTheme="majorHAnsi" w:cstheme="majorBidi"/>
          <w:sz w:val="20"/>
          <w:szCs w:val="20"/>
          <w:lang w:val="es-ES"/>
        </w:rPr>
        <w:t>,</w:t>
      </w:r>
      <w:r w:rsidR="4C6EE319" w:rsidRPr="00541F12">
        <w:rPr>
          <w:rFonts w:asciiTheme="majorHAnsi" w:eastAsiaTheme="majorEastAsia" w:hAnsiTheme="majorHAnsi" w:cstheme="majorBidi"/>
          <w:sz w:val="20"/>
          <w:szCs w:val="20"/>
          <w:lang w:val="es-ES"/>
        </w:rPr>
        <w:t xml:space="preserve"> tras la presentación de un recurso </w:t>
      </w:r>
      <w:r w:rsidR="54A121BD" w:rsidRPr="00541F12">
        <w:rPr>
          <w:rFonts w:asciiTheme="majorHAnsi" w:eastAsiaTheme="majorEastAsia" w:hAnsiTheme="majorHAnsi" w:cstheme="majorBidi"/>
          <w:sz w:val="20"/>
          <w:szCs w:val="20"/>
          <w:lang w:val="es-ES"/>
        </w:rPr>
        <w:t>de apelación</w:t>
      </w:r>
      <w:r w:rsidR="4C6EE319" w:rsidRPr="00541F12">
        <w:rPr>
          <w:rFonts w:asciiTheme="majorHAnsi" w:eastAsiaTheme="majorEastAsia" w:hAnsiTheme="majorHAnsi" w:cstheme="majorBidi"/>
          <w:sz w:val="20"/>
          <w:szCs w:val="20"/>
          <w:lang w:val="es-ES"/>
        </w:rPr>
        <w:t xml:space="preserve">, la </w:t>
      </w:r>
      <w:r w:rsidR="34290F39" w:rsidRPr="00541F12">
        <w:rPr>
          <w:rFonts w:asciiTheme="majorHAnsi" w:eastAsiaTheme="majorEastAsia" w:hAnsiTheme="majorHAnsi" w:cstheme="majorBidi"/>
          <w:sz w:val="20"/>
          <w:szCs w:val="20"/>
          <w:lang w:val="es-ES"/>
        </w:rPr>
        <w:t>Sala de lo Penal de la Corte Provincial de Justicia de Pichincha</w:t>
      </w:r>
      <w:r w:rsidR="1DF98E5F" w:rsidRPr="00541F12">
        <w:rPr>
          <w:rFonts w:asciiTheme="majorHAnsi" w:eastAsiaTheme="majorEastAsia" w:hAnsiTheme="majorHAnsi" w:cstheme="majorBidi"/>
          <w:sz w:val="20"/>
          <w:szCs w:val="20"/>
          <w:lang w:val="es-ES"/>
        </w:rPr>
        <w:t xml:space="preserve"> </w:t>
      </w:r>
      <w:r w:rsidR="31B3AAAB" w:rsidRPr="00541F12">
        <w:rPr>
          <w:rFonts w:asciiTheme="majorHAnsi" w:eastAsiaTheme="majorEastAsia" w:hAnsiTheme="majorHAnsi" w:cstheme="majorBidi"/>
          <w:sz w:val="20"/>
          <w:szCs w:val="20"/>
          <w:lang w:val="es-ES"/>
        </w:rPr>
        <w:t>revis</w:t>
      </w:r>
      <w:r w:rsidR="1DF98E5F" w:rsidRPr="00541F12">
        <w:rPr>
          <w:rFonts w:asciiTheme="majorHAnsi" w:eastAsiaTheme="majorEastAsia" w:hAnsiTheme="majorHAnsi" w:cstheme="majorBidi"/>
          <w:sz w:val="20"/>
          <w:szCs w:val="20"/>
          <w:lang w:val="es-ES"/>
        </w:rPr>
        <w:t>ó la sentencia</w:t>
      </w:r>
      <w:r w:rsidR="00417DB5">
        <w:rPr>
          <w:rFonts w:asciiTheme="majorHAnsi" w:eastAsiaTheme="majorEastAsia" w:hAnsiTheme="majorHAnsi" w:cstheme="majorBidi"/>
          <w:sz w:val="20"/>
          <w:szCs w:val="20"/>
          <w:lang w:val="es-ES"/>
        </w:rPr>
        <w:t>;</w:t>
      </w:r>
      <w:r w:rsidR="1DF98E5F" w:rsidRPr="00541F12">
        <w:rPr>
          <w:rFonts w:asciiTheme="majorHAnsi" w:eastAsiaTheme="majorEastAsia" w:hAnsiTheme="majorHAnsi" w:cstheme="majorBidi"/>
          <w:sz w:val="20"/>
          <w:szCs w:val="20"/>
          <w:lang w:val="es-ES"/>
        </w:rPr>
        <w:t xml:space="preserve"> y </w:t>
      </w:r>
      <w:r w:rsidR="7D79EA8F" w:rsidRPr="00541F12">
        <w:rPr>
          <w:rFonts w:asciiTheme="majorHAnsi" w:eastAsiaTheme="majorEastAsia" w:hAnsiTheme="majorHAnsi" w:cstheme="majorBidi"/>
          <w:sz w:val="20"/>
          <w:szCs w:val="20"/>
          <w:lang w:val="es-ES"/>
        </w:rPr>
        <w:t xml:space="preserve">si bien mantuvo la condena por el mismo delito, </w:t>
      </w:r>
      <w:r w:rsidR="10A9E857" w:rsidRPr="00541F12">
        <w:rPr>
          <w:rFonts w:asciiTheme="majorHAnsi" w:eastAsiaTheme="majorEastAsia" w:hAnsiTheme="majorHAnsi" w:cstheme="majorBidi"/>
          <w:sz w:val="20"/>
          <w:szCs w:val="20"/>
          <w:lang w:val="es-ES"/>
        </w:rPr>
        <w:t>mod</w:t>
      </w:r>
      <w:r w:rsidR="1DF98E5F" w:rsidRPr="00541F12">
        <w:rPr>
          <w:rFonts w:asciiTheme="majorHAnsi" w:eastAsiaTheme="majorEastAsia" w:hAnsiTheme="majorHAnsi" w:cstheme="majorBidi"/>
          <w:sz w:val="20"/>
          <w:szCs w:val="20"/>
          <w:lang w:val="es-ES"/>
        </w:rPr>
        <w:t>ificó el grado de participación</w:t>
      </w:r>
      <w:r w:rsidR="01CA425F" w:rsidRPr="00541F12">
        <w:rPr>
          <w:rFonts w:asciiTheme="majorHAnsi" w:eastAsiaTheme="majorEastAsia" w:hAnsiTheme="majorHAnsi" w:cstheme="majorBidi"/>
          <w:sz w:val="20"/>
          <w:szCs w:val="20"/>
          <w:lang w:val="es-ES"/>
        </w:rPr>
        <w:t xml:space="preserve"> de autor a cómplice</w:t>
      </w:r>
      <w:r w:rsidR="1DF98E5F" w:rsidRPr="00541F12">
        <w:rPr>
          <w:rFonts w:asciiTheme="majorHAnsi" w:eastAsiaTheme="majorEastAsia" w:hAnsiTheme="majorHAnsi" w:cstheme="majorBidi"/>
          <w:sz w:val="20"/>
          <w:szCs w:val="20"/>
          <w:lang w:val="es-ES"/>
        </w:rPr>
        <w:t>, reduciendo</w:t>
      </w:r>
      <w:r w:rsidR="10A9E857" w:rsidRPr="00541F12">
        <w:rPr>
          <w:rFonts w:asciiTheme="majorHAnsi" w:eastAsiaTheme="majorEastAsia" w:hAnsiTheme="majorHAnsi" w:cstheme="majorBidi"/>
          <w:sz w:val="20"/>
          <w:szCs w:val="20"/>
          <w:lang w:val="es-ES"/>
        </w:rPr>
        <w:t xml:space="preserve"> su pena a dos años. </w:t>
      </w:r>
      <w:r w:rsidR="1DF98E5F" w:rsidRPr="00541F12">
        <w:rPr>
          <w:rFonts w:asciiTheme="majorHAnsi" w:eastAsiaTheme="majorEastAsia" w:hAnsiTheme="majorHAnsi" w:cstheme="majorBidi"/>
          <w:sz w:val="20"/>
          <w:szCs w:val="20"/>
          <w:lang w:val="es-ES"/>
        </w:rPr>
        <w:t>Finalmente</w:t>
      </w:r>
      <w:r w:rsidR="10A9E857" w:rsidRPr="00541F12">
        <w:rPr>
          <w:rFonts w:asciiTheme="majorHAnsi" w:eastAsiaTheme="majorEastAsia" w:hAnsiTheme="majorHAnsi" w:cstheme="majorBidi"/>
          <w:sz w:val="20"/>
          <w:szCs w:val="20"/>
          <w:lang w:val="es-ES"/>
        </w:rPr>
        <w:t xml:space="preserve">, </w:t>
      </w:r>
      <w:r w:rsidR="7734903C" w:rsidRPr="00541F12">
        <w:rPr>
          <w:rFonts w:asciiTheme="majorHAnsi" w:eastAsiaTheme="majorEastAsia" w:hAnsiTheme="majorHAnsi" w:cstheme="majorBidi"/>
          <w:sz w:val="20"/>
          <w:szCs w:val="20"/>
          <w:lang w:val="es-ES"/>
        </w:rPr>
        <w:t xml:space="preserve">el </w:t>
      </w:r>
      <w:r w:rsidR="00E22737" w:rsidRPr="00541F12">
        <w:rPr>
          <w:rFonts w:asciiTheme="majorHAnsi" w:eastAsiaTheme="majorEastAsia" w:hAnsiTheme="majorHAnsi" w:cstheme="majorBidi"/>
          <w:sz w:val="20"/>
          <w:szCs w:val="20"/>
          <w:lang w:val="es-ES"/>
        </w:rPr>
        <w:t>23</w:t>
      </w:r>
      <w:r w:rsidR="3C06EF41" w:rsidRPr="00541F12">
        <w:rPr>
          <w:rFonts w:asciiTheme="majorHAnsi" w:eastAsiaTheme="majorEastAsia" w:hAnsiTheme="majorHAnsi" w:cstheme="majorBidi"/>
          <w:sz w:val="20"/>
          <w:szCs w:val="20"/>
          <w:lang w:val="es-ES"/>
        </w:rPr>
        <w:t xml:space="preserve"> de noviembre </w:t>
      </w:r>
      <w:r w:rsidR="23D2625D" w:rsidRPr="00541F12">
        <w:rPr>
          <w:rFonts w:asciiTheme="majorHAnsi" w:eastAsiaTheme="majorEastAsia" w:hAnsiTheme="majorHAnsi" w:cstheme="majorBidi"/>
          <w:sz w:val="20"/>
          <w:szCs w:val="20"/>
          <w:lang w:val="es-ES"/>
        </w:rPr>
        <w:t xml:space="preserve">de </w:t>
      </w:r>
      <w:r w:rsidR="1DBF290B" w:rsidRPr="00541F12">
        <w:rPr>
          <w:rFonts w:asciiTheme="majorHAnsi" w:eastAsiaTheme="majorEastAsia" w:hAnsiTheme="majorHAnsi" w:cstheme="majorBidi"/>
          <w:sz w:val="20"/>
          <w:szCs w:val="20"/>
          <w:lang w:val="es-ES"/>
        </w:rPr>
        <w:t xml:space="preserve">2015 </w:t>
      </w:r>
      <w:r w:rsidR="1DF98E5F" w:rsidRPr="00541F12">
        <w:rPr>
          <w:rFonts w:asciiTheme="majorHAnsi" w:eastAsiaTheme="majorEastAsia" w:hAnsiTheme="majorHAnsi" w:cstheme="majorBidi"/>
          <w:sz w:val="20"/>
          <w:szCs w:val="20"/>
          <w:lang w:val="es-ES"/>
        </w:rPr>
        <w:t>la Corte Nacional de Justicia del Ecuador</w:t>
      </w:r>
      <w:r w:rsidR="7E4B15B6" w:rsidRPr="00541F12">
        <w:rPr>
          <w:rFonts w:asciiTheme="majorHAnsi" w:eastAsiaTheme="majorEastAsia" w:hAnsiTheme="majorHAnsi" w:cstheme="majorBidi"/>
          <w:sz w:val="20"/>
          <w:szCs w:val="20"/>
          <w:lang w:val="es-ES"/>
        </w:rPr>
        <w:t xml:space="preserve"> </w:t>
      </w:r>
      <w:r w:rsidR="36E598D2" w:rsidRPr="00541F12">
        <w:rPr>
          <w:rFonts w:asciiTheme="majorHAnsi" w:eastAsiaTheme="majorEastAsia" w:hAnsiTheme="majorHAnsi" w:cstheme="majorBidi"/>
          <w:sz w:val="20"/>
          <w:szCs w:val="20"/>
          <w:lang w:val="es-ES"/>
        </w:rPr>
        <w:t>resolvi</w:t>
      </w:r>
      <w:r w:rsidR="15506F40" w:rsidRPr="00541F12">
        <w:rPr>
          <w:rFonts w:asciiTheme="majorHAnsi" w:eastAsiaTheme="majorEastAsia" w:hAnsiTheme="majorHAnsi" w:cstheme="majorBidi"/>
          <w:sz w:val="20"/>
          <w:szCs w:val="20"/>
          <w:lang w:val="es-ES"/>
        </w:rPr>
        <w:t xml:space="preserve">ó </w:t>
      </w:r>
      <w:r w:rsidR="64CC7C08" w:rsidRPr="00541F12">
        <w:rPr>
          <w:rFonts w:asciiTheme="majorHAnsi" w:eastAsiaTheme="majorEastAsia" w:hAnsiTheme="majorHAnsi" w:cstheme="majorBidi"/>
          <w:sz w:val="20"/>
          <w:szCs w:val="20"/>
          <w:lang w:val="es-ES"/>
        </w:rPr>
        <w:t>el recurso de casación interpuesto</w:t>
      </w:r>
      <w:r w:rsidR="6ABE37C0" w:rsidRPr="00541F12">
        <w:rPr>
          <w:rFonts w:asciiTheme="majorHAnsi" w:eastAsiaTheme="majorEastAsia" w:hAnsiTheme="majorHAnsi" w:cstheme="majorBidi"/>
          <w:sz w:val="20"/>
          <w:szCs w:val="20"/>
          <w:lang w:val="es-ES"/>
        </w:rPr>
        <w:t xml:space="preserve"> por </w:t>
      </w:r>
      <w:r w:rsidR="07CC0E6B" w:rsidRPr="00541F12">
        <w:rPr>
          <w:rFonts w:asciiTheme="majorHAnsi" w:eastAsiaTheme="majorEastAsia" w:hAnsiTheme="majorHAnsi" w:cstheme="majorBidi"/>
          <w:sz w:val="20"/>
          <w:szCs w:val="20"/>
          <w:lang w:val="es-ES"/>
        </w:rPr>
        <w:t>l</w:t>
      </w:r>
      <w:r w:rsidR="60956FAB" w:rsidRPr="00541F12">
        <w:rPr>
          <w:rFonts w:asciiTheme="majorHAnsi" w:eastAsiaTheme="majorEastAsia" w:hAnsiTheme="majorHAnsi" w:cstheme="majorBidi"/>
          <w:sz w:val="20"/>
          <w:szCs w:val="20"/>
          <w:lang w:val="es-ES"/>
        </w:rPr>
        <w:t>a parte peticionaria</w:t>
      </w:r>
      <w:r w:rsidR="64CC7C08" w:rsidRPr="00541F12">
        <w:rPr>
          <w:rFonts w:asciiTheme="majorHAnsi" w:eastAsiaTheme="majorEastAsia" w:hAnsiTheme="majorHAnsi" w:cstheme="majorBidi"/>
          <w:sz w:val="20"/>
          <w:szCs w:val="20"/>
          <w:lang w:val="es-ES"/>
        </w:rPr>
        <w:t xml:space="preserve"> </w:t>
      </w:r>
      <w:r w:rsidR="15506F40" w:rsidRPr="00541F12">
        <w:rPr>
          <w:rFonts w:asciiTheme="majorHAnsi" w:eastAsiaTheme="majorEastAsia" w:hAnsiTheme="majorHAnsi" w:cstheme="majorBidi"/>
          <w:sz w:val="20"/>
          <w:szCs w:val="20"/>
          <w:lang w:val="es-ES"/>
        </w:rPr>
        <w:t>y</w:t>
      </w:r>
      <w:r w:rsidR="1DF98E5F" w:rsidRPr="00541F12">
        <w:rPr>
          <w:rFonts w:asciiTheme="majorHAnsi" w:eastAsiaTheme="majorEastAsia" w:hAnsiTheme="majorHAnsi" w:cstheme="majorBidi"/>
          <w:sz w:val="20"/>
          <w:szCs w:val="20"/>
          <w:lang w:val="es-ES"/>
        </w:rPr>
        <w:t xml:space="preserve"> cambió el tipo penal por el que había sido </w:t>
      </w:r>
      <w:r w:rsidRPr="00541F12">
        <w:rPr>
          <w:rFonts w:asciiTheme="majorHAnsi" w:eastAsiaTheme="majorEastAsia" w:hAnsiTheme="majorHAnsi" w:cstheme="majorBidi"/>
          <w:sz w:val="20"/>
          <w:szCs w:val="20"/>
          <w:lang w:val="es-ES"/>
        </w:rPr>
        <w:t xml:space="preserve">inicialmente acusado, condenándolo a una pena de 18 meses por el delito de </w:t>
      </w:r>
      <w:r w:rsidR="00417DB5">
        <w:rPr>
          <w:rFonts w:asciiTheme="majorHAnsi" w:eastAsiaTheme="majorEastAsia" w:hAnsiTheme="majorHAnsi" w:cstheme="majorBidi"/>
          <w:sz w:val="20"/>
          <w:szCs w:val="20"/>
          <w:lang w:val="es-ES"/>
        </w:rPr>
        <w:t>“</w:t>
      </w:r>
      <w:r w:rsidRPr="00541F12">
        <w:rPr>
          <w:rFonts w:asciiTheme="majorHAnsi" w:eastAsiaTheme="majorEastAsia" w:hAnsiTheme="majorHAnsi" w:cstheme="majorBidi"/>
          <w:sz w:val="20"/>
          <w:szCs w:val="20"/>
          <w:lang w:val="es-ES"/>
        </w:rPr>
        <w:t>paralización de los servicios públicos</w:t>
      </w:r>
      <w:r w:rsidR="00417DB5">
        <w:rPr>
          <w:rFonts w:asciiTheme="majorHAnsi" w:eastAsiaTheme="majorEastAsia" w:hAnsiTheme="majorHAnsi" w:cstheme="majorBidi"/>
          <w:sz w:val="20"/>
          <w:szCs w:val="20"/>
          <w:lang w:val="es-ES"/>
        </w:rPr>
        <w:t>”</w:t>
      </w:r>
      <w:r w:rsidRPr="00541F12">
        <w:rPr>
          <w:rFonts w:asciiTheme="majorHAnsi" w:eastAsiaTheme="majorEastAsia" w:hAnsiTheme="majorHAnsi" w:cstheme="majorBidi"/>
          <w:sz w:val="20"/>
          <w:szCs w:val="20"/>
          <w:lang w:val="es-ES"/>
        </w:rPr>
        <w:t>, dispuesto en el artículo 346 del Código Orgánico Integral Penal</w:t>
      </w:r>
      <w:r w:rsidRPr="00541F12">
        <w:rPr>
          <w:rStyle w:val="FootnoteReference"/>
          <w:rFonts w:asciiTheme="majorHAnsi" w:eastAsiaTheme="majorEastAsia" w:hAnsiTheme="majorHAnsi" w:cstheme="majorBidi"/>
          <w:sz w:val="20"/>
          <w:szCs w:val="20"/>
          <w:lang w:val="es-ES"/>
        </w:rPr>
        <w:footnoteReference w:id="5"/>
      </w:r>
      <w:r w:rsidRPr="00541F12">
        <w:rPr>
          <w:rFonts w:asciiTheme="majorHAnsi" w:eastAsiaTheme="majorEastAsia" w:hAnsiTheme="majorHAnsi" w:cstheme="majorBidi"/>
          <w:sz w:val="20"/>
          <w:szCs w:val="20"/>
          <w:lang w:val="es-ES"/>
        </w:rPr>
        <w:t xml:space="preserve">, publicado el 10 de febrero de 2014 </w:t>
      </w:r>
      <w:r w:rsidR="004C3123">
        <w:rPr>
          <w:rFonts w:asciiTheme="majorHAnsi" w:eastAsiaTheme="majorEastAsia" w:hAnsiTheme="majorHAnsi" w:cstheme="majorBidi"/>
          <w:sz w:val="20"/>
          <w:szCs w:val="20"/>
          <w:lang w:val="es-ES"/>
        </w:rPr>
        <w:t>(</w:t>
      </w:r>
      <w:r w:rsidRPr="00541F12">
        <w:rPr>
          <w:rFonts w:asciiTheme="majorHAnsi" w:eastAsiaTheme="majorEastAsia" w:hAnsiTheme="majorHAnsi" w:cstheme="majorBidi"/>
          <w:sz w:val="20"/>
          <w:szCs w:val="20"/>
          <w:lang w:val="es-ES"/>
        </w:rPr>
        <w:t xml:space="preserve">que sustituyó el Código </w:t>
      </w:r>
      <w:r w:rsidR="004A106C" w:rsidRPr="00541F12">
        <w:rPr>
          <w:rFonts w:asciiTheme="majorHAnsi" w:eastAsiaTheme="majorEastAsia" w:hAnsiTheme="majorHAnsi" w:cstheme="majorBidi"/>
          <w:sz w:val="20"/>
          <w:szCs w:val="20"/>
          <w:lang w:val="es-ES"/>
        </w:rPr>
        <w:t>Penal</w:t>
      </w:r>
      <w:r w:rsidRPr="00541F12">
        <w:rPr>
          <w:rFonts w:asciiTheme="majorHAnsi" w:eastAsiaTheme="majorEastAsia" w:hAnsiTheme="majorHAnsi" w:cstheme="majorBidi"/>
          <w:sz w:val="20"/>
          <w:szCs w:val="20"/>
          <w:lang w:val="es-ES"/>
        </w:rPr>
        <w:t xml:space="preserve"> de 1971</w:t>
      </w:r>
      <w:r w:rsidR="004C3123">
        <w:rPr>
          <w:rFonts w:asciiTheme="majorHAnsi" w:eastAsiaTheme="majorEastAsia" w:hAnsiTheme="majorHAnsi" w:cstheme="majorBidi"/>
          <w:sz w:val="20"/>
          <w:szCs w:val="20"/>
          <w:lang w:val="es-ES"/>
        </w:rPr>
        <w:t>)</w:t>
      </w:r>
      <w:r w:rsidR="31B3AAAB" w:rsidRPr="00541F12">
        <w:rPr>
          <w:rFonts w:asciiTheme="majorHAnsi" w:eastAsiaTheme="majorEastAsia" w:hAnsiTheme="majorHAnsi" w:cstheme="majorBidi"/>
          <w:sz w:val="20"/>
          <w:szCs w:val="20"/>
          <w:lang w:val="es-ES"/>
        </w:rPr>
        <w:t xml:space="preserve">. </w:t>
      </w:r>
      <w:r w:rsidR="00355999" w:rsidRPr="00541F12">
        <w:rPr>
          <w:rFonts w:asciiTheme="majorHAnsi" w:eastAsiaTheme="majorEastAsia" w:hAnsiTheme="majorHAnsi" w:cstheme="majorBidi"/>
          <w:sz w:val="20"/>
          <w:szCs w:val="20"/>
          <w:lang w:val="es-ES"/>
        </w:rPr>
        <w:t>E</w:t>
      </w:r>
      <w:r w:rsidR="1CF80CC0" w:rsidRPr="00541F12">
        <w:rPr>
          <w:rFonts w:asciiTheme="majorHAnsi" w:eastAsiaTheme="majorEastAsia" w:hAnsiTheme="majorHAnsi" w:cstheme="majorBidi"/>
          <w:sz w:val="20"/>
          <w:szCs w:val="20"/>
          <w:lang w:val="es-ES"/>
        </w:rPr>
        <w:t xml:space="preserve">l </w:t>
      </w:r>
      <w:r w:rsidR="5F100A29" w:rsidRPr="00541F12">
        <w:rPr>
          <w:rFonts w:asciiTheme="majorHAnsi" w:eastAsiaTheme="majorEastAsia" w:hAnsiTheme="majorHAnsi" w:cstheme="majorBidi"/>
          <w:sz w:val="20"/>
          <w:szCs w:val="20"/>
          <w:lang w:val="es-ES"/>
        </w:rPr>
        <w:t>7 de enero de 2016</w:t>
      </w:r>
      <w:r w:rsidR="20ACF83F" w:rsidRPr="00541F12">
        <w:rPr>
          <w:rFonts w:asciiTheme="majorHAnsi" w:eastAsiaTheme="majorEastAsia" w:hAnsiTheme="majorHAnsi" w:cstheme="majorBidi"/>
          <w:sz w:val="20"/>
          <w:szCs w:val="20"/>
          <w:lang w:val="es-ES"/>
        </w:rPr>
        <w:t xml:space="preserve"> </w:t>
      </w:r>
      <w:r w:rsidR="7035BC89" w:rsidRPr="00541F12">
        <w:rPr>
          <w:rFonts w:asciiTheme="majorHAnsi" w:eastAsiaTheme="majorEastAsia" w:hAnsiTheme="majorHAnsi" w:cstheme="majorBidi"/>
          <w:sz w:val="20"/>
          <w:szCs w:val="20"/>
          <w:lang w:val="es-ES"/>
        </w:rPr>
        <w:t>l</w:t>
      </w:r>
      <w:r w:rsidR="60956FAB" w:rsidRPr="00541F12">
        <w:rPr>
          <w:rFonts w:asciiTheme="majorHAnsi" w:eastAsiaTheme="majorEastAsia" w:hAnsiTheme="majorHAnsi" w:cstheme="majorBidi"/>
          <w:sz w:val="20"/>
          <w:szCs w:val="20"/>
          <w:lang w:val="es-ES"/>
        </w:rPr>
        <w:t xml:space="preserve">a </w:t>
      </w:r>
      <w:r w:rsidR="00355999" w:rsidRPr="00541F12">
        <w:rPr>
          <w:rFonts w:asciiTheme="majorHAnsi" w:eastAsiaTheme="majorEastAsia" w:hAnsiTheme="majorHAnsi" w:cstheme="majorBidi"/>
          <w:sz w:val="20"/>
          <w:szCs w:val="20"/>
          <w:lang w:val="es-ES"/>
        </w:rPr>
        <w:t>representación del Sr. Endara</w:t>
      </w:r>
      <w:r w:rsidR="287B4096" w:rsidRPr="00541F12">
        <w:rPr>
          <w:rFonts w:asciiTheme="majorHAnsi" w:eastAsiaTheme="majorEastAsia" w:hAnsiTheme="majorHAnsi" w:cstheme="majorBidi"/>
          <w:sz w:val="20"/>
          <w:szCs w:val="20"/>
          <w:lang w:val="es-ES"/>
        </w:rPr>
        <w:t xml:space="preserve"> interpuso una acción extraordinaria de protección contra </w:t>
      </w:r>
      <w:r w:rsidR="1DF98E5F" w:rsidRPr="00541F12">
        <w:rPr>
          <w:rFonts w:asciiTheme="majorHAnsi" w:eastAsiaTheme="majorEastAsia" w:hAnsiTheme="majorHAnsi" w:cstheme="majorBidi"/>
          <w:sz w:val="20"/>
          <w:szCs w:val="20"/>
          <w:lang w:val="es-ES"/>
        </w:rPr>
        <w:t>esta última sentencia</w:t>
      </w:r>
      <w:r w:rsidR="287B4096" w:rsidRPr="00541F12">
        <w:rPr>
          <w:rFonts w:asciiTheme="majorHAnsi" w:eastAsiaTheme="majorEastAsia" w:hAnsiTheme="majorHAnsi" w:cstheme="majorBidi"/>
          <w:sz w:val="20"/>
          <w:szCs w:val="20"/>
          <w:lang w:val="es-ES"/>
        </w:rPr>
        <w:t xml:space="preserve">, </w:t>
      </w:r>
      <w:r w:rsidR="00C81FE7">
        <w:rPr>
          <w:rFonts w:asciiTheme="majorHAnsi" w:eastAsiaTheme="majorEastAsia" w:hAnsiTheme="majorHAnsi" w:cstheme="majorBidi"/>
          <w:sz w:val="20"/>
          <w:szCs w:val="20"/>
          <w:lang w:val="es-ES"/>
        </w:rPr>
        <w:t xml:space="preserve">pero </w:t>
      </w:r>
      <w:r w:rsidR="287B4096" w:rsidRPr="00541F12">
        <w:rPr>
          <w:rFonts w:asciiTheme="majorHAnsi" w:eastAsiaTheme="majorEastAsia" w:hAnsiTheme="majorHAnsi" w:cstheme="majorBidi"/>
          <w:sz w:val="20"/>
          <w:szCs w:val="20"/>
          <w:lang w:val="es-ES"/>
        </w:rPr>
        <w:t xml:space="preserve">la Corte Constitucional </w:t>
      </w:r>
      <w:r w:rsidR="1DF98E5F" w:rsidRPr="00541F12">
        <w:rPr>
          <w:rFonts w:asciiTheme="majorHAnsi" w:eastAsiaTheme="majorEastAsia" w:hAnsiTheme="majorHAnsi" w:cstheme="majorBidi"/>
          <w:sz w:val="20"/>
          <w:szCs w:val="20"/>
          <w:lang w:val="es-ES"/>
        </w:rPr>
        <w:t xml:space="preserve">la </w:t>
      </w:r>
      <w:r w:rsidR="287B4096" w:rsidRPr="00541F12">
        <w:rPr>
          <w:rFonts w:asciiTheme="majorHAnsi" w:eastAsiaTheme="majorEastAsia" w:hAnsiTheme="majorHAnsi" w:cstheme="majorBidi"/>
          <w:sz w:val="20"/>
          <w:szCs w:val="20"/>
          <w:lang w:val="es-ES"/>
        </w:rPr>
        <w:t>declar</w:t>
      </w:r>
      <w:r w:rsidR="1DF98E5F" w:rsidRPr="00541F12">
        <w:rPr>
          <w:rFonts w:asciiTheme="majorHAnsi" w:eastAsiaTheme="majorEastAsia" w:hAnsiTheme="majorHAnsi" w:cstheme="majorBidi"/>
          <w:sz w:val="20"/>
          <w:szCs w:val="20"/>
          <w:lang w:val="es-ES"/>
        </w:rPr>
        <w:t>ó inadmisible</w:t>
      </w:r>
      <w:r w:rsidR="5F8439B1" w:rsidRPr="00541F12">
        <w:rPr>
          <w:rFonts w:asciiTheme="majorHAnsi" w:eastAsiaTheme="majorEastAsia" w:hAnsiTheme="majorHAnsi" w:cstheme="majorBidi"/>
          <w:sz w:val="20"/>
          <w:szCs w:val="20"/>
          <w:lang w:val="es-ES"/>
        </w:rPr>
        <w:t xml:space="preserve"> el 17</w:t>
      </w:r>
      <w:r w:rsidR="06AF5B84" w:rsidRPr="00541F12">
        <w:rPr>
          <w:rFonts w:asciiTheme="majorHAnsi" w:eastAsiaTheme="majorEastAsia" w:hAnsiTheme="majorHAnsi" w:cstheme="majorBidi"/>
          <w:sz w:val="20"/>
          <w:szCs w:val="20"/>
          <w:lang w:val="es-ES"/>
        </w:rPr>
        <w:t xml:space="preserve"> </w:t>
      </w:r>
      <w:r w:rsidR="17361E13" w:rsidRPr="00541F12">
        <w:rPr>
          <w:rFonts w:asciiTheme="majorHAnsi" w:eastAsiaTheme="majorEastAsia" w:hAnsiTheme="majorHAnsi" w:cstheme="majorBidi"/>
          <w:sz w:val="20"/>
          <w:szCs w:val="20"/>
          <w:lang w:val="es-ES"/>
        </w:rPr>
        <w:t xml:space="preserve">de mayo </w:t>
      </w:r>
      <w:r w:rsidR="55169D01" w:rsidRPr="00541F12">
        <w:rPr>
          <w:rFonts w:asciiTheme="majorHAnsi" w:eastAsiaTheme="majorEastAsia" w:hAnsiTheme="majorHAnsi" w:cstheme="majorBidi"/>
          <w:sz w:val="20"/>
          <w:szCs w:val="20"/>
          <w:lang w:val="es-ES"/>
        </w:rPr>
        <w:t xml:space="preserve">de </w:t>
      </w:r>
      <w:r w:rsidR="5F8439B1" w:rsidRPr="00541F12">
        <w:rPr>
          <w:rFonts w:asciiTheme="majorHAnsi" w:eastAsiaTheme="majorEastAsia" w:hAnsiTheme="majorHAnsi" w:cstheme="majorBidi"/>
          <w:sz w:val="20"/>
          <w:szCs w:val="20"/>
          <w:lang w:val="es-ES"/>
        </w:rPr>
        <w:t>2016</w:t>
      </w:r>
      <w:r w:rsidR="1DF98E5F" w:rsidRPr="00541F12">
        <w:rPr>
          <w:rFonts w:asciiTheme="majorHAnsi" w:eastAsiaTheme="majorEastAsia" w:hAnsiTheme="majorHAnsi" w:cstheme="majorBidi"/>
          <w:sz w:val="20"/>
          <w:szCs w:val="20"/>
          <w:lang w:val="es-ES"/>
        </w:rPr>
        <w:t xml:space="preserve"> </w:t>
      </w:r>
      <w:r w:rsidR="287B4096" w:rsidRPr="00541F12">
        <w:rPr>
          <w:rFonts w:asciiTheme="majorHAnsi" w:eastAsiaTheme="majorEastAsia" w:hAnsiTheme="majorHAnsi" w:cstheme="majorBidi"/>
          <w:sz w:val="20"/>
          <w:szCs w:val="20"/>
          <w:lang w:val="es-ES"/>
        </w:rPr>
        <w:t>y no se pronunció sobre el fondo</w:t>
      </w:r>
      <w:r w:rsidR="00C81FE7">
        <w:rPr>
          <w:rFonts w:asciiTheme="majorHAnsi" w:eastAsiaTheme="majorEastAsia" w:hAnsiTheme="majorHAnsi" w:cstheme="majorBidi"/>
          <w:sz w:val="20"/>
          <w:szCs w:val="20"/>
          <w:lang w:val="es-ES"/>
        </w:rPr>
        <w:t>.</w:t>
      </w:r>
      <w:r w:rsidR="129AB29B" w:rsidRPr="00541F12">
        <w:rPr>
          <w:rFonts w:asciiTheme="majorHAnsi" w:eastAsiaTheme="majorEastAsia" w:hAnsiTheme="majorHAnsi" w:cstheme="majorBidi"/>
          <w:sz w:val="20"/>
          <w:szCs w:val="20"/>
          <w:lang w:val="es-ES"/>
        </w:rPr>
        <w:t xml:space="preserve"> </w:t>
      </w:r>
    </w:p>
    <w:p w14:paraId="0E27B811" w14:textId="703CBA6B" w:rsidR="00E20D05" w:rsidRDefault="60956FAB"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La parte peticionaria</w:t>
      </w:r>
      <w:r w:rsidR="129AB29B" w:rsidRPr="00541F12">
        <w:rPr>
          <w:rFonts w:asciiTheme="majorHAnsi" w:eastAsiaTheme="majorEastAsia" w:hAnsiTheme="majorHAnsi" w:cstheme="majorBidi"/>
          <w:sz w:val="20"/>
          <w:szCs w:val="20"/>
          <w:lang w:val="es-ES"/>
        </w:rPr>
        <w:t xml:space="preserve"> alega que el proceso penal tuvo como objetivo </w:t>
      </w:r>
      <w:r w:rsidR="00CE6617" w:rsidRPr="00541F12">
        <w:rPr>
          <w:rFonts w:asciiTheme="majorHAnsi" w:eastAsiaTheme="majorEastAsia" w:hAnsiTheme="majorHAnsi" w:cstheme="majorBidi"/>
          <w:sz w:val="20"/>
          <w:szCs w:val="20"/>
          <w:lang w:val="es-ES"/>
        </w:rPr>
        <w:t>el</w:t>
      </w:r>
      <w:r w:rsidR="129AB29B" w:rsidRPr="00541F12">
        <w:rPr>
          <w:rFonts w:asciiTheme="majorHAnsi" w:eastAsiaTheme="majorEastAsia" w:hAnsiTheme="majorHAnsi" w:cstheme="majorBidi"/>
          <w:sz w:val="20"/>
          <w:szCs w:val="20"/>
          <w:lang w:val="es-ES"/>
        </w:rPr>
        <w:t xml:space="preserve"> silenciamiento </w:t>
      </w:r>
      <w:r w:rsidR="00CE6617" w:rsidRPr="00541F12">
        <w:rPr>
          <w:rFonts w:asciiTheme="majorHAnsi" w:eastAsiaTheme="majorEastAsia" w:hAnsiTheme="majorHAnsi" w:cstheme="majorBidi"/>
          <w:sz w:val="20"/>
          <w:szCs w:val="20"/>
          <w:lang w:val="es-ES"/>
        </w:rPr>
        <w:t xml:space="preserve">de la presunta víctima </w:t>
      </w:r>
      <w:r w:rsidR="129AB29B" w:rsidRPr="00541F12">
        <w:rPr>
          <w:rFonts w:asciiTheme="majorHAnsi" w:eastAsiaTheme="majorEastAsia" w:hAnsiTheme="majorHAnsi" w:cstheme="majorBidi"/>
          <w:sz w:val="20"/>
          <w:szCs w:val="20"/>
          <w:lang w:val="es-ES"/>
        </w:rPr>
        <w:t xml:space="preserve">y que durante todo el proceso sufrió una </w:t>
      </w:r>
      <w:r w:rsidR="100E09FF" w:rsidRPr="00541F12">
        <w:rPr>
          <w:rFonts w:asciiTheme="majorHAnsi" w:eastAsiaTheme="majorEastAsia" w:hAnsiTheme="majorHAnsi" w:cstheme="majorBidi"/>
          <w:sz w:val="20"/>
          <w:szCs w:val="20"/>
          <w:lang w:val="es-ES"/>
        </w:rPr>
        <w:t>persecución mediática</w:t>
      </w:r>
      <w:r w:rsidR="129AB29B" w:rsidRPr="00541F12">
        <w:rPr>
          <w:rFonts w:asciiTheme="majorHAnsi" w:eastAsiaTheme="majorEastAsia" w:hAnsiTheme="majorHAnsi" w:cstheme="majorBidi"/>
          <w:sz w:val="20"/>
          <w:szCs w:val="20"/>
          <w:lang w:val="es-ES"/>
        </w:rPr>
        <w:t xml:space="preserve"> por parte del Estado que lo tildaba como “criminal” en diversos </w:t>
      </w:r>
      <w:r w:rsidR="100E09FF" w:rsidRPr="00541F12">
        <w:rPr>
          <w:rFonts w:asciiTheme="majorHAnsi" w:eastAsiaTheme="majorEastAsia" w:hAnsiTheme="majorHAnsi" w:cstheme="majorBidi"/>
          <w:sz w:val="20"/>
          <w:szCs w:val="20"/>
          <w:lang w:val="es-ES"/>
        </w:rPr>
        <w:t xml:space="preserve">medios </w:t>
      </w:r>
      <w:r w:rsidR="129AB29B" w:rsidRPr="00541F12">
        <w:rPr>
          <w:rFonts w:asciiTheme="majorHAnsi" w:eastAsiaTheme="majorEastAsia" w:hAnsiTheme="majorHAnsi" w:cstheme="majorBidi"/>
          <w:sz w:val="20"/>
          <w:szCs w:val="20"/>
          <w:lang w:val="es-ES"/>
        </w:rPr>
        <w:t xml:space="preserve">estatales. Esta situación lo llevó a </w:t>
      </w:r>
      <w:r w:rsidR="100E09FF" w:rsidRPr="00541F12">
        <w:rPr>
          <w:rFonts w:asciiTheme="majorHAnsi" w:eastAsiaTheme="majorEastAsia" w:hAnsiTheme="majorHAnsi" w:cstheme="majorBidi"/>
          <w:sz w:val="20"/>
          <w:szCs w:val="20"/>
          <w:lang w:val="es-ES"/>
        </w:rPr>
        <w:t>abandonar su entorno familiar, social y su país.</w:t>
      </w:r>
      <w:r w:rsidR="287B4096" w:rsidRPr="00541F12">
        <w:rPr>
          <w:rFonts w:asciiTheme="majorHAnsi" w:eastAsiaTheme="majorEastAsia" w:hAnsiTheme="majorHAnsi" w:cstheme="majorBidi"/>
          <w:sz w:val="20"/>
          <w:szCs w:val="20"/>
          <w:lang w:val="es-ES"/>
        </w:rPr>
        <w:t xml:space="preserve"> </w:t>
      </w:r>
      <w:r w:rsidR="485C65FE" w:rsidRPr="00541F12">
        <w:rPr>
          <w:rFonts w:asciiTheme="majorHAnsi" w:eastAsiaTheme="majorEastAsia" w:hAnsiTheme="majorHAnsi" w:cstheme="majorBidi"/>
          <w:sz w:val="20"/>
          <w:szCs w:val="20"/>
          <w:lang w:val="es-ES"/>
        </w:rPr>
        <w:t>Basado en lo anterior,</w:t>
      </w:r>
      <w:r w:rsidR="00CE6617" w:rsidRPr="00541F12">
        <w:rPr>
          <w:rFonts w:asciiTheme="majorHAnsi" w:eastAsiaTheme="majorEastAsia" w:hAnsiTheme="majorHAnsi" w:cstheme="majorBidi"/>
          <w:sz w:val="20"/>
          <w:szCs w:val="20"/>
          <w:lang w:val="es-ES"/>
        </w:rPr>
        <w:t xml:space="preserve"> </w:t>
      </w:r>
      <w:r w:rsidR="485C65FE" w:rsidRPr="00541F12">
        <w:rPr>
          <w:rFonts w:asciiTheme="majorHAnsi" w:eastAsiaTheme="majorEastAsia" w:hAnsiTheme="majorHAnsi" w:cstheme="majorBidi"/>
          <w:sz w:val="20"/>
          <w:szCs w:val="20"/>
          <w:lang w:val="es-ES"/>
        </w:rPr>
        <w:t xml:space="preserve">afirma que la condena penal vulneró </w:t>
      </w:r>
      <w:r w:rsidR="047991A2" w:rsidRPr="00541F12">
        <w:rPr>
          <w:rFonts w:asciiTheme="majorHAnsi" w:eastAsiaTheme="majorEastAsia" w:hAnsiTheme="majorHAnsi" w:cstheme="majorBidi"/>
          <w:sz w:val="20"/>
          <w:szCs w:val="20"/>
          <w:lang w:val="es-ES"/>
        </w:rPr>
        <w:t>s</w:t>
      </w:r>
      <w:r w:rsidR="485C65FE" w:rsidRPr="00541F12">
        <w:rPr>
          <w:rFonts w:asciiTheme="majorHAnsi" w:eastAsiaTheme="majorEastAsia" w:hAnsiTheme="majorHAnsi" w:cstheme="majorBidi"/>
          <w:sz w:val="20"/>
          <w:szCs w:val="20"/>
          <w:lang w:val="es-ES"/>
        </w:rPr>
        <w:t xml:space="preserve">us derechos a la libertad de pensamiento y de expresión. Asimismo, </w:t>
      </w:r>
      <w:r w:rsidR="00535A47" w:rsidRPr="00541F12">
        <w:rPr>
          <w:rFonts w:asciiTheme="majorHAnsi" w:eastAsiaTheme="majorEastAsia" w:hAnsiTheme="majorHAnsi" w:cstheme="majorBidi"/>
          <w:sz w:val="20"/>
          <w:szCs w:val="20"/>
          <w:lang w:val="es-ES"/>
        </w:rPr>
        <w:t>alega</w:t>
      </w:r>
      <w:r w:rsidR="485C65FE" w:rsidRPr="00541F12">
        <w:rPr>
          <w:rFonts w:asciiTheme="majorHAnsi" w:eastAsiaTheme="majorEastAsia" w:hAnsiTheme="majorHAnsi" w:cstheme="majorBidi"/>
          <w:sz w:val="20"/>
          <w:szCs w:val="20"/>
          <w:lang w:val="es-ES"/>
        </w:rPr>
        <w:t xml:space="preserve"> que</w:t>
      </w:r>
      <w:r w:rsidR="5F2D747F" w:rsidRPr="00541F12">
        <w:rPr>
          <w:rFonts w:asciiTheme="majorHAnsi" w:eastAsiaTheme="majorEastAsia" w:hAnsiTheme="majorHAnsi" w:cstheme="majorBidi"/>
          <w:sz w:val="20"/>
          <w:szCs w:val="20"/>
          <w:lang w:val="es-ES"/>
        </w:rPr>
        <w:t xml:space="preserve"> el Estado violó sus derechos a las garantías judiciales y al principio de legalidad y </w:t>
      </w:r>
      <w:r w:rsidR="40B4D9BD" w:rsidRPr="00541F12">
        <w:rPr>
          <w:rFonts w:asciiTheme="majorHAnsi" w:eastAsiaTheme="majorEastAsia" w:hAnsiTheme="majorHAnsi" w:cstheme="majorBidi"/>
          <w:sz w:val="20"/>
          <w:szCs w:val="20"/>
          <w:lang w:val="es-ES"/>
        </w:rPr>
        <w:t xml:space="preserve">de </w:t>
      </w:r>
      <w:r w:rsidR="5F2D747F" w:rsidRPr="00541F12">
        <w:rPr>
          <w:rFonts w:asciiTheme="majorHAnsi" w:eastAsiaTheme="majorEastAsia" w:hAnsiTheme="majorHAnsi" w:cstheme="majorBidi"/>
          <w:sz w:val="20"/>
          <w:szCs w:val="20"/>
          <w:lang w:val="es-ES"/>
        </w:rPr>
        <w:t xml:space="preserve">retroactividad porque </w:t>
      </w:r>
      <w:r w:rsidR="00D3786A" w:rsidRPr="00541F12">
        <w:rPr>
          <w:rFonts w:asciiTheme="majorHAnsi" w:eastAsiaTheme="majorEastAsia" w:hAnsiTheme="majorHAnsi" w:cstheme="majorBidi"/>
          <w:sz w:val="20"/>
          <w:szCs w:val="20"/>
          <w:lang w:val="es-ES"/>
        </w:rPr>
        <w:t>la Corte Nacional de Justicia lo condenó por un delito (art. 346 del Código Orgánico Integral Penal de 2014) distinto al delito que le había sido imputado en las investigaciones y en las instancias inferiores (art. 158 del Código Penal de 1971). En particular, alega que los verbos rectores de estos dos tipos penales son distintos entre sí, por lo que no procedería la modificación del tipo por el Poder Judicial.</w:t>
      </w:r>
      <w:r w:rsidR="0FD78CB3" w:rsidRPr="00541F12">
        <w:rPr>
          <w:rFonts w:asciiTheme="majorHAnsi" w:eastAsiaTheme="majorEastAsia" w:hAnsiTheme="majorHAnsi" w:cstheme="majorBidi"/>
          <w:sz w:val="20"/>
          <w:szCs w:val="20"/>
          <w:lang w:val="es-ES"/>
        </w:rPr>
        <w:t xml:space="preserve"> </w:t>
      </w:r>
      <w:r w:rsidR="15507B51" w:rsidRPr="00541F12">
        <w:rPr>
          <w:rFonts w:asciiTheme="majorHAnsi" w:eastAsiaTheme="majorEastAsia" w:hAnsiTheme="majorHAnsi" w:cstheme="majorBidi"/>
          <w:sz w:val="20"/>
          <w:szCs w:val="20"/>
          <w:lang w:val="es-ES"/>
        </w:rPr>
        <w:t xml:space="preserve">Por último, sostiene que la falta de análisis de </w:t>
      </w:r>
      <w:r w:rsidR="0EE6A846" w:rsidRPr="00541F12">
        <w:rPr>
          <w:rFonts w:asciiTheme="majorHAnsi" w:eastAsiaTheme="majorEastAsia" w:hAnsiTheme="majorHAnsi" w:cstheme="majorBidi"/>
          <w:sz w:val="20"/>
          <w:szCs w:val="20"/>
          <w:lang w:val="es-ES"/>
        </w:rPr>
        <w:t xml:space="preserve">la </w:t>
      </w:r>
      <w:r w:rsidR="15507B51" w:rsidRPr="00541F12">
        <w:rPr>
          <w:rFonts w:asciiTheme="majorHAnsi" w:eastAsiaTheme="majorEastAsia" w:hAnsiTheme="majorHAnsi" w:cstheme="majorBidi"/>
          <w:sz w:val="20"/>
          <w:szCs w:val="20"/>
          <w:lang w:val="es-ES"/>
        </w:rPr>
        <w:t>acción extraordinaria de protección interpuesta en contra de la condena vulneró su derecho a la protección judicial.</w:t>
      </w:r>
    </w:p>
    <w:p w14:paraId="5F5765D9" w14:textId="77777777" w:rsidR="0073102F" w:rsidRPr="00541F12" w:rsidRDefault="0073102F" w:rsidP="0073102F">
      <w:pPr>
        <w:pStyle w:val="ListParagraph"/>
        <w:spacing w:before="240" w:after="240"/>
        <w:jc w:val="both"/>
        <w:rPr>
          <w:rFonts w:asciiTheme="majorHAnsi" w:eastAsiaTheme="majorEastAsia" w:hAnsiTheme="majorHAnsi" w:cstheme="majorBidi"/>
          <w:sz w:val="20"/>
          <w:szCs w:val="20"/>
          <w:lang w:val="es-ES"/>
        </w:rPr>
      </w:pPr>
    </w:p>
    <w:p w14:paraId="51E2B8CC" w14:textId="5F6B3784" w:rsidR="00940218" w:rsidRPr="00541F12" w:rsidRDefault="00940218" w:rsidP="0069564F">
      <w:pPr>
        <w:spacing w:before="240" w:after="240"/>
        <w:ind w:firstLine="720"/>
        <w:jc w:val="both"/>
        <w:rPr>
          <w:rFonts w:asciiTheme="majorHAnsi" w:eastAsiaTheme="majorEastAsia" w:hAnsiTheme="majorHAnsi" w:cstheme="majorBidi"/>
          <w:b/>
          <w:bCs/>
          <w:sz w:val="20"/>
          <w:szCs w:val="20"/>
          <w:lang w:val="es-ES"/>
        </w:rPr>
      </w:pPr>
      <w:r w:rsidRPr="00541F12">
        <w:rPr>
          <w:rFonts w:asciiTheme="majorHAnsi" w:eastAsiaTheme="majorEastAsia" w:hAnsiTheme="majorHAnsi" w:cstheme="majorBidi"/>
          <w:b/>
          <w:bCs/>
          <w:sz w:val="20"/>
          <w:szCs w:val="20"/>
          <w:lang w:val="es-ES"/>
        </w:rPr>
        <w:lastRenderedPageBreak/>
        <w:t>El Estado ecuatoriano</w:t>
      </w:r>
    </w:p>
    <w:p w14:paraId="4CCACD79" w14:textId="1C1347C2" w:rsidR="00E20D05" w:rsidRPr="00541F12" w:rsidRDefault="399D7925"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El Estado</w:t>
      </w:r>
      <w:r w:rsidR="4296533E" w:rsidRPr="00541F12">
        <w:rPr>
          <w:rFonts w:asciiTheme="majorHAnsi" w:eastAsiaTheme="majorEastAsia" w:hAnsiTheme="majorHAnsi" w:cstheme="majorBidi"/>
          <w:sz w:val="20"/>
          <w:szCs w:val="20"/>
          <w:lang w:val="es-ES"/>
        </w:rPr>
        <w:t xml:space="preserve">, sostiene que la presente petición es inadmisible </w:t>
      </w:r>
      <w:r w:rsidR="68B194D6" w:rsidRPr="00541F12">
        <w:rPr>
          <w:rFonts w:asciiTheme="majorHAnsi" w:eastAsiaTheme="majorEastAsia" w:hAnsiTheme="majorHAnsi" w:cstheme="majorBidi"/>
          <w:sz w:val="20"/>
          <w:szCs w:val="20"/>
          <w:lang w:val="es-ES"/>
        </w:rPr>
        <w:t xml:space="preserve">por extemporaneidad y por considerar que </w:t>
      </w:r>
      <w:r w:rsidR="4296533E" w:rsidRPr="00541F12">
        <w:rPr>
          <w:rFonts w:asciiTheme="majorHAnsi" w:eastAsiaTheme="majorEastAsia" w:hAnsiTheme="majorHAnsi" w:cstheme="majorBidi"/>
          <w:sz w:val="20"/>
          <w:szCs w:val="20"/>
          <w:lang w:val="es-ES"/>
        </w:rPr>
        <w:t>la parte peticionaria no habí</w:t>
      </w:r>
      <w:r w:rsidR="68B194D6" w:rsidRPr="00541F12">
        <w:rPr>
          <w:rFonts w:asciiTheme="majorHAnsi" w:eastAsiaTheme="majorEastAsia" w:hAnsiTheme="majorHAnsi" w:cstheme="majorBidi"/>
          <w:sz w:val="20"/>
          <w:szCs w:val="20"/>
          <w:lang w:val="es-ES"/>
        </w:rPr>
        <w:t xml:space="preserve">a agotado los recursos internos. </w:t>
      </w:r>
      <w:r w:rsidR="4523D950" w:rsidRPr="00541F12">
        <w:rPr>
          <w:rFonts w:asciiTheme="majorHAnsi" w:eastAsiaTheme="majorEastAsia" w:hAnsiTheme="majorHAnsi" w:cstheme="majorBidi"/>
          <w:sz w:val="20"/>
          <w:szCs w:val="20"/>
          <w:lang w:val="es-ES"/>
        </w:rPr>
        <w:t>Además,</w:t>
      </w:r>
      <w:r w:rsidR="68B194D6" w:rsidRPr="00541F12">
        <w:rPr>
          <w:rFonts w:asciiTheme="majorHAnsi" w:eastAsiaTheme="majorEastAsia" w:hAnsiTheme="majorHAnsi" w:cstheme="majorBidi"/>
          <w:sz w:val="20"/>
          <w:szCs w:val="20"/>
          <w:lang w:val="es-ES"/>
        </w:rPr>
        <w:t xml:space="preserve"> alega </w:t>
      </w:r>
      <w:r w:rsidR="00276252" w:rsidRPr="00541F12">
        <w:rPr>
          <w:rFonts w:asciiTheme="majorHAnsi" w:eastAsiaTheme="majorEastAsia" w:hAnsiTheme="majorHAnsi" w:cstheme="majorBidi"/>
          <w:sz w:val="20"/>
          <w:szCs w:val="20"/>
          <w:lang w:val="es-ES"/>
        </w:rPr>
        <w:t>que</w:t>
      </w:r>
      <w:r w:rsidR="68B194D6" w:rsidRPr="00541F12">
        <w:rPr>
          <w:rFonts w:asciiTheme="majorHAnsi" w:eastAsiaTheme="majorEastAsia" w:hAnsiTheme="majorHAnsi" w:cstheme="majorBidi"/>
          <w:sz w:val="20"/>
          <w:szCs w:val="20"/>
          <w:lang w:val="es-ES"/>
        </w:rPr>
        <w:t xml:space="preserve"> la petición</w:t>
      </w:r>
      <w:r w:rsidR="4296533E" w:rsidRPr="00541F12">
        <w:rPr>
          <w:rFonts w:asciiTheme="majorHAnsi" w:eastAsiaTheme="majorEastAsia" w:hAnsiTheme="majorHAnsi" w:cstheme="majorBidi"/>
          <w:sz w:val="20"/>
          <w:szCs w:val="20"/>
          <w:lang w:val="es-ES"/>
        </w:rPr>
        <w:t xml:space="preserve"> no contiene hechos que caractericen una violación de los derechos consagrados en la Convención Americana. </w:t>
      </w:r>
      <w:r w:rsidRPr="00541F12">
        <w:rPr>
          <w:rFonts w:asciiTheme="majorHAnsi" w:eastAsiaTheme="majorEastAsia" w:hAnsiTheme="majorHAnsi" w:cstheme="majorBidi"/>
          <w:sz w:val="20"/>
          <w:szCs w:val="20"/>
          <w:lang w:val="es-ES"/>
        </w:rPr>
        <w:t xml:space="preserve"> </w:t>
      </w:r>
    </w:p>
    <w:p w14:paraId="3A5A728F" w14:textId="7FE166F2" w:rsidR="00787DC6" w:rsidRPr="00541F12" w:rsidRDefault="68B194D6"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En cuanto a la extemporaneidad</w:t>
      </w:r>
      <w:r w:rsidR="00C85283">
        <w:rPr>
          <w:rFonts w:asciiTheme="majorHAnsi" w:eastAsiaTheme="majorEastAsia" w:hAnsiTheme="majorHAnsi" w:cstheme="majorBidi"/>
          <w:sz w:val="20"/>
          <w:szCs w:val="20"/>
          <w:lang w:val="es-ES"/>
        </w:rPr>
        <w:t>,</w:t>
      </w:r>
      <w:r w:rsidRPr="00541F12">
        <w:rPr>
          <w:rFonts w:asciiTheme="majorHAnsi" w:eastAsiaTheme="majorEastAsia" w:hAnsiTheme="majorHAnsi" w:cstheme="majorBidi"/>
          <w:sz w:val="20"/>
          <w:szCs w:val="20"/>
          <w:lang w:val="es-ES"/>
        </w:rPr>
        <w:t xml:space="preserve"> </w:t>
      </w:r>
      <w:r w:rsidR="00276252" w:rsidRPr="00541F12">
        <w:rPr>
          <w:rFonts w:asciiTheme="majorHAnsi" w:eastAsiaTheme="majorEastAsia" w:hAnsiTheme="majorHAnsi" w:cstheme="majorBidi"/>
          <w:sz w:val="20"/>
          <w:szCs w:val="20"/>
          <w:lang w:val="es-ES"/>
        </w:rPr>
        <w:t>Ecuador</w:t>
      </w:r>
      <w:r w:rsidR="190F4050" w:rsidRPr="00541F12">
        <w:rPr>
          <w:rFonts w:asciiTheme="majorHAnsi" w:eastAsiaTheme="majorEastAsia" w:hAnsiTheme="majorHAnsi" w:cstheme="majorBidi"/>
          <w:sz w:val="20"/>
          <w:szCs w:val="20"/>
          <w:lang w:val="es-ES"/>
        </w:rPr>
        <w:t xml:space="preserve"> alega que el plazo de seis meses dispuesto por el artículo 46.1</w:t>
      </w:r>
      <w:r w:rsidR="008E7139">
        <w:rPr>
          <w:rFonts w:asciiTheme="majorHAnsi" w:eastAsiaTheme="majorEastAsia" w:hAnsiTheme="majorHAnsi" w:cstheme="majorBidi"/>
          <w:sz w:val="20"/>
          <w:szCs w:val="20"/>
          <w:lang w:val="es-ES"/>
        </w:rPr>
        <w:t>.b)</w:t>
      </w:r>
      <w:r w:rsidR="190F4050" w:rsidRPr="00541F12">
        <w:rPr>
          <w:rFonts w:asciiTheme="majorHAnsi" w:eastAsiaTheme="majorEastAsia" w:hAnsiTheme="majorHAnsi" w:cstheme="majorBidi"/>
          <w:sz w:val="20"/>
          <w:szCs w:val="20"/>
          <w:lang w:val="es-ES"/>
        </w:rPr>
        <w:t xml:space="preserve"> de la Convención Americana </w:t>
      </w:r>
      <w:r w:rsidR="7FCDC372" w:rsidRPr="00541F12">
        <w:rPr>
          <w:rFonts w:asciiTheme="majorHAnsi" w:eastAsiaTheme="majorEastAsia" w:hAnsiTheme="majorHAnsi" w:cstheme="majorBidi"/>
          <w:sz w:val="20"/>
          <w:szCs w:val="20"/>
          <w:lang w:val="es-ES"/>
        </w:rPr>
        <w:t>comenzaba</w:t>
      </w:r>
      <w:r w:rsidR="190F4050" w:rsidRPr="00541F12">
        <w:rPr>
          <w:rFonts w:asciiTheme="majorHAnsi" w:eastAsiaTheme="majorEastAsia" w:hAnsiTheme="majorHAnsi" w:cstheme="majorBidi"/>
          <w:sz w:val="20"/>
          <w:szCs w:val="20"/>
          <w:lang w:val="es-ES"/>
        </w:rPr>
        <w:t xml:space="preserve"> a contar a partir de la sentencia de la Corte Nacional de Justicia, emitida el 23 de noviembre de 2015, y no de la resolución de la Corte Constitucional que declaró inadmisible la acción de protección.</w:t>
      </w:r>
      <w:r w:rsidR="316F7602" w:rsidRPr="00541F12">
        <w:rPr>
          <w:rFonts w:asciiTheme="majorHAnsi" w:eastAsiaTheme="majorEastAsia" w:hAnsiTheme="majorHAnsi" w:cstheme="majorBidi"/>
          <w:sz w:val="20"/>
          <w:szCs w:val="20"/>
          <w:lang w:val="es-ES"/>
        </w:rPr>
        <w:t xml:space="preserve"> Según la Corte Constitucional, </w:t>
      </w:r>
      <w:r w:rsidR="2D86AC11" w:rsidRPr="00541F12">
        <w:rPr>
          <w:rFonts w:asciiTheme="majorHAnsi" w:eastAsiaTheme="majorEastAsia" w:hAnsiTheme="majorHAnsi" w:cstheme="majorBidi"/>
          <w:sz w:val="20"/>
          <w:szCs w:val="20"/>
          <w:lang w:val="es-ES"/>
        </w:rPr>
        <w:t xml:space="preserve">la acción extraordinaria se basaba en </w:t>
      </w:r>
      <w:r w:rsidR="6843667D" w:rsidRPr="00541F12">
        <w:rPr>
          <w:rFonts w:asciiTheme="majorHAnsi" w:eastAsiaTheme="majorEastAsia" w:hAnsiTheme="majorHAnsi" w:cstheme="majorBidi"/>
          <w:sz w:val="20"/>
          <w:szCs w:val="20"/>
          <w:lang w:val="es-ES"/>
        </w:rPr>
        <w:t>alegaciones de</w:t>
      </w:r>
      <w:r w:rsidR="735A8BE7" w:rsidRPr="00541F12">
        <w:rPr>
          <w:rFonts w:asciiTheme="majorHAnsi" w:eastAsiaTheme="majorEastAsia" w:hAnsiTheme="majorHAnsi" w:cstheme="majorBidi"/>
          <w:sz w:val="20"/>
          <w:szCs w:val="20"/>
          <w:lang w:val="es-ES"/>
        </w:rPr>
        <w:t xml:space="preserve"> falta de aplicación o errónea aplicación de la ley</w:t>
      </w:r>
      <w:r w:rsidR="42CC64A6" w:rsidRPr="00541F12">
        <w:rPr>
          <w:rFonts w:asciiTheme="majorHAnsi" w:eastAsiaTheme="majorEastAsia" w:hAnsiTheme="majorHAnsi" w:cstheme="majorBidi"/>
          <w:sz w:val="20"/>
          <w:szCs w:val="20"/>
          <w:lang w:val="es-ES"/>
        </w:rPr>
        <w:t xml:space="preserve"> interna, lo que no </w:t>
      </w:r>
      <w:r w:rsidR="20D3B99B" w:rsidRPr="00541F12">
        <w:rPr>
          <w:rFonts w:asciiTheme="majorHAnsi" w:eastAsiaTheme="majorEastAsia" w:hAnsiTheme="majorHAnsi" w:cstheme="majorBidi"/>
          <w:sz w:val="20"/>
          <w:szCs w:val="20"/>
          <w:lang w:val="es-ES"/>
        </w:rPr>
        <w:t>podría</w:t>
      </w:r>
      <w:r w:rsidR="74211D41" w:rsidRPr="00541F12">
        <w:rPr>
          <w:rFonts w:asciiTheme="majorHAnsi" w:eastAsiaTheme="majorEastAsia" w:hAnsiTheme="majorHAnsi" w:cstheme="majorBidi"/>
          <w:sz w:val="20"/>
          <w:szCs w:val="20"/>
          <w:lang w:val="es-ES"/>
        </w:rPr>
        <w:t xml:space="preserve"> </w:t>
      </w:r>
      <w:r w:rsidR="42CC64A6" w:rsidRPr="00541F12">
        <w:rPr>
          <w:rFonts w:asciiTheme="majorHAnsi" w:eastAsiaTheme="majorEastAsia" w:hAnsiTheme="majorHAnsi" w:cstheme="majorBidi"/>
          <w:sz w:val="20"/>
          <w:szCs w:val="20"/>
          <w:lang w:val="es-ES"/>
        </w:rPr>
        <w:t xml:space="preserve">ser objeto de una acción </w:t>
      </w:r>
      <w:r w:rsidR="131B5630" w:rsidRPr="00541F12">
        <w:rPr>
          <w:rFonts w:asciiTheme="majorHAnsi" w:eastAsiaTheme="majorEastAsia" w:hAnsiTheme="majorHAnsi" w:cstheme="majorBidi"/>
          <w:sz w:val="20"/>
          <w:szCs w:val="20"/>
          <w:lang w:val="es-ES"/>
        </w:rPr>
        <w:t>extraordinaria (art</w:t>
      </w:r>
      <w:r w:rsidR="6FAAAE45" w:rsidRPr="00541F12">
        <w:rPr>
          <w:rFonts w:asciiTheme="majorHAnsi" w:eastAsiaTheme="majorEastAsia" w:hAnsiTheme="majorHAnsi" w:cstheme="majorBidi"/>
          <w:sz w:val="20"/>
          <w:szCs w:val="20"/>
          <w:lang w:val="es-ES"/>
        </w:rPr>
        <w:t>ículo</w:t>
      </w:r>
      <w:r w:rsidR="42CC64A6" w:rsidRPr="00541F12">
        <w:rPr>
          <w:rFonts w:asciiTheme="majorHAnsi" w:eastAsiaTheme="majorEastAsia" w:hAnsiTheme="majorHAnsi" w:cstheme="majorBidi"/>
          <w:sz w:val="20"/>
          <w:szCs w:val="20"/>
          <w:lang w:val="es-ES"/>
        </w:rPr>
        <w:t xml:space="preserve"> 62.4 de la Ley </w:t>
      </w:r>
      <w:r w:rsidR="297EB69E" w:rsidRPr="00541F12">
        <w:rPr>
          <w:rFonts w:asciiTheme="majorHAnsi" w:eastAsiaTheme="majorEastAsia" w:hAnsiTheme="majorHAnsi" w:cstheme="majorBidi"/>
          <w:sz w:val="20"/>
          <w:szCs w:val="20"/>
          <w:lang w:val="es-ES"/>
        </w:rPr>
        <w:t>Orgánica</w:t>
      </w:r>
      <w:r w:rsidR="4622E61F" w:rsidRPr="00541F12">
        <w:rPr>
          <w:rFonts w:asciiTheme="majorHAnsi" w:eastAsiaTheme="majorEastAsia" w:hAnsiTheme="majorHAnsi" w:cstheme="majorBidi"/>
          <w:sz w:val="20"/>
          <w:szCs w:val="20"/>
          <w:lang w:val="es-ES"/>
        </w:rPr>
        <w:t xml:space="preserve"> de Garantías </w:t>
      </w:r>
      <w:r w:rsidR="170078AB" w:rsidRPr="00541F12">
        <w:rPr>
          <w:rFonts w:asciiTheme="majorHAnsi" w:eastAsiaTheme="majorEastAsia" w:hAnsiTheme="majorHAnsi" w:cstheme="majorBidi"/>
          <w:sz w:val="20"/>
          <w:szCs w:val="20"/>
          <w:lang w:val="es-ES"/>
        </w:rPr>
        <w:t>Jurisdiccionales</w:t>
      </w:r>
      <w:r w:rsidR="4622E61F" w:rsidRPr="00541F12">
        <w:rPr>
          <w:rFonts w:asciiTheme="majorHAnsi" w:eastAsiaTheme="majorEastAsia" w:hAnsiTheme="majorHAnsi" w:cstheme="majorBidi"/>
          <w:sz w:val="20"/>
          <w:szCs w:val="20"/>
          <w:lang w:val="es-ES"/>
        </w:rPr>
        <w:t xml:space="preserve"> y </w:t>
      </w:r>
      <w:r w:rsidR="0AF3AAD8" w:rsidRPr="00541F12">
        <w:rPr>
          <w:rFonts w:asciiTheme="majorHAnsi" w:eastAsiaTheme="majorEastAsia" w:hAnsiTheme="majorHAnsi" w:cstheme="majorBidi"/>
          <w:sz w:val="20"/>
          <w:szCs w:val="20"/>
          <w:lang w:val="es-ES"/>
        </w:rPr>
        <w:t>Control</w:t>
      </w:r>
      <w:r w:rsidR="4622E61F" w:rsidRPr="00541F12">
        <w:rPr>
          <w:rFonts w:asciiTheme="majorHAnsi" w:eastAsiaTheme="majorEastAsia" w:hAnsiTheme="majorHAnsi" w:cstheme="majorBidi"/>
          <w:sz w:val="20"/>
          <w:szCs w:val="20"/>
          <w:lang w:val="es-ES"/>
        </w:rPr>
        <w:t xml:space="preserve"> </w:t>
      </w:r>
      <w:r w:rsidR="23D1C4B8" w:rsidRPr="00541F12">
        <w:rPr>
          <w:rFonts w:asciiTheme="majorHAnsi" w:eastAsiaTheme="majorEastAsia" w:hAnsiTheme="majorHAnsi" w:cstheme="majorBidi"/>
          <w:sz w:val="20"/>
          <w:szCs w:val="20"/>
          <w:lang w:val="es-ES"/>
        </w:rPr>
        <w:t>Jurisdiccional</w:t>
      </w:r>
      <w:r w:rsidR="6B24C819" w:rsidRPr="00541F12">
        <w:rPr>
          <w:rFonts w:asciiTheme="majorHAnsi" w:eastAsiaTheme="majorEastAsia" w:hAnsiTheme="majorHAnsi" w:cstheme="majorBidi"/>
          <w:sz w:val="20"/>
          <w:szCs w:val="20"/>
          <w:lang w:val="es-ES"/>
        </w:rPr>
        <w:t>).</w:t>
      </w:r>
      <w:r w:rsidR="7E24A36A" w:rsidRPr="00541F12">
        <w:rPr>
          <w:rFonts w:asciiTheme="majorHAnsi" w:eastAsiaTheme="majorEastAsia" w:hAnsiTheme="majorHAnsi" w:cstheme="majorBidi"/>
          <w:sz w:val="20"/>
          <w:szCs w:val="20"/>
          <w:lang w:val="es-ES"/>
        </w:rPr>
        <w:t xml:space="preserve"> </w:t>
      </w:r>
      <w:r w:rsidR="190F4050" w:rsidRPr="00541F12">
        <w:rPr>
          <w:rFonts w:asciiTheme="majorHAnsi" w:eastAsiaTheme="majorEastAsia" w:hAnsiTheme="majorHAnsi" w:cstheme="majorBidi"/>
          <w:sz w:val="20"/>
          <w:szCs w:val="20"/>
          <w:lang w:val="es-ES"/>
        </w:rPr>
        <w:t xml:space="preserve">De este modo, </w:t>
      </w:r>
      <w:r w:rsidR="4582BEFD" w:rsidRPr="00541F12">
        <w:rPr>
          <w:rFonts w:asciiTheme="majorHAnsi" w:eastAsiaTheme="majorEastAsia" w:hAnsiTheme="majorHAnsi" w:cstheme="majorBidi"/>
          <w:sz w:val="20"/>
          <w:szCs w:val="20"/>
          <w:lang w:val="es-ES"/>
        </w:rPr>
        <w:t xml:space="preserve">el Estado </w:t>
      </w:r>
      <w:r w:rsidR="009E3A23">
        <w:rPr>
          <w:rFonts w:asciiTheme="majorHAnsi" w:eastAsiaTheme="majorEastAsia" w:hAnsiTheme="majorHAnsi" w:cstheme="majorBidi"/>
          <w:sz w:val="20"/>
          <w:szCs w:val="20"/>
          <w:lang w:val="es-ES"/>
        </w:rPr>
        <w:t>aduce</w:t>
      </w:r>
      <w:r w:rsidR="009E3A23" w:rsidRPr="00541F12">
        <w:rPr>
          <w:rFonts w:asciiTheme="majorHAnsi" w:eastAsiaTheme="majorEastAsia" w:hAnsiTheme="majorHAnsi" w:cstheme="majorBidi"/>
          <w:sz w:val="20"/>
          <w:szCs w:val="20"/>
          <w:lang w:val="es-ES"/>
        </w:rPr>
        <w:t xml:space="preserve"> </w:t>
      </w:r>
      <w:r w:rsidR="4582BEFD" w:rsidRPr="00541F12">
        <w:rPr>
          <w:rFonts w:asciiTheme="majorHAnsi" w:eastAsiaTheme="majorEastAsia" w:hAnsiTheme="majorHAnsi" w:cstheme="majorBidi"/>
          <w:sz w:val="20"/>
          <w:szCs w:val="20"/>
          <w:lang w:val="es-ES"/>
        </w:rPr>
        <w:t>que</w:t>
      </w:r>
      <w:r w:rsidR="08DDA174" w:rsidRPr="00541F12">
        <w:rPr>
          <w:rFonts w:asciiTheme="majorHAnsi" w:eastAsiaTheme="majorEastAsia" w:hAnsiTheme="majorHAnsi" w:cstheme="majorBidi"/>
          <w:sz w:val="20"/>
          <w:szCs w:val="20"/>
          <w:lang w:val="es-ES"/>
        </w:rPr>
        <w:t xml:space="preserve"> la acción extraordinaria fue presentada indebidamente, por lo que no debe ser considerada en el cálculo del plazo dispuesto en el artículo 46.1</w:t>
      </w:r>
      <w:r w:rsidR="2EACCFBE" w:rsidRPr="00541F12">
        <w:rPr>
          <w:rFonts w:asciiTheme="majorHAnsi" w:eastAsiaTheme="majorEastAsia" w:hAnsiTheme="majorHAnsi" w:cstheme="majorBidi"/>
          <w:sz w:val="20"/>
          <w:szCs w:val="20"/>
          <w:lang w:val="es-ES"/>
        </w:rPr>
        <w:t>.b</w:t>
      </w:r>
      <w:r w:rsidR="009828EE" w:rsidRPr="00541F12">
        <w:rPr>
          <w:rFonts w:asciiTheme="majorHAnsi" w:eastAsiaTheme="majorEastAsia" w:hAnsiTheme="majorHAnsi" w:cstheme="majorBidi"/>
          <w:sz w:val="20"/>
          <w:szCs w:val="20"/>
          <w:lang w:val="es-ES"/>
        </w:rPr>
        <w:t>)</w:t>
      </w:r>
      <w:r w:rsidR="08DDA174" w:rsidRPr="00541F12">
        <w:rPr>
          <w:rFonts w:asciiTheme="majorHAnsi" w:eastAsiaTheme="majorEastAsia" w:hAnsiTheme="majorHAnsi" w:cstheme="majorBidi"/>
          <w:sz w:val="20"/>
          <w:szCs w:val="20"/>
          <w:lang w:val="es-ES"/>
        </w:rPr>
        <w:t xml:space="preserve"> de la </w:t>
      </w:r>
      <w:r w:rsidR="00EC0D57" w:rsidRPr="00541F12">
        <w:rPr>
          <w:rFonts w:asciiTheme="majorHAnsi" w:eastAsiaTheme="majorEastAsia" w:hAnsiTheme="majorHAnsi" w:cstheme="majorBidi"/>
          <w:sz w:val="20"/>
          <w:szCs w:val="20"/>
          <w:lang w:val="es-ES"/>
        </w:rPr>
        <w:t>Convención</w:t>
      </w:r>
      <w:r w:rsidR="08DDA174" w:rsidRPr="00541F12">
        <w:rPr>
          <w:rFonts w:asciiTheme="majorHAnsi" w:eastAsiaTheme="majorEastAsia" w:hAnsiTheme="majorHAnsi" w:cstheme="majorBidi"/>
          <w:sz w:val="20"/>
          <w:szCs w:val="20"/>
          <w:lang w:val="es-ES"/>
        </w:rPr>
        <w:t xml:space="preserve">. </w:t>
      </w:r>
      <w:r w:rsidRPr="00541F12">
        <w:rPr>
          <w:rFonts w:asciiTheme="majorHAnsi" w:eastAsiaTheme="majorEastAsia" w:hAnsiTheme="majorHAnsi" w:cstheme="majorBidi"/>
          <w:sz w:val="20"/>
          <w:szCs w:val="20"/>
          <w:lang w:val="es-ES"/>
        </w:rPr>
        <w:t>Respecto a la falta de agotamiento de los recursos internos</w:t>
      </w:r>
      <w:r w:rsidR="190F4050" w:rsidRPr="00541F12">
        <w:rPr>
          <w:rFonts w:asciiTheme="majorHAnsi" w:eastAsiaTheme="majorEastAsia" w:hAnsiTheme="majorHAnsi" w:cstheme="majorBidi"/>
          <w:sz w:val="20"/>
          <w:szCs w:val="20"/>
          <w:lang w:val="es-ES"/>
        </w:rPr>
        <w:t xml:space="preserve">, el Estado sostiene que </w:t>
      </w:r>
      <w:r w:rsidR="19D91C75" w:rsidRPr="00541F12">
        <w:rPr>
          <w:rFonts w:asciiTheme="majorHAnsi" w:eastAsiaTheme="majorEastAsia" w:hAnsiTheme="majorHAnsi" w:cstheme="majorBidi"/>
          <w:sz w:val="20"/>
          <w:szCs w:val="20"/>
          <w:lang w:val="es-ES"/>
        </w:rPr>
        <w:t>l</w:t>
      </w:r>
      <w:r w:rsidR="60956FAB" w:rsidRPr="00541F12">
        <w:rPr>
          <w:rFonts w:asciiTheme="majorHAnsi" w:eastAsiaTheme="majorEastAsia" w:hAnsiTheme="majorHAnsi" w:cstheme="majorBidi"/>
          <w:sz w:val="20"/>
          <w:szCs w:val="20"/>
          <w:lang w:val="es-ES"/>
        </w:rPr>
        <w:t>a parte peticionaria</w:t>
      </w:r>
      <w:r w:rsidR="190F4050" w:rsidRPr="00541F12">
        <w:rPr>
          <w:rFonts w:asciiTheme="majorHAnsi" w:eastAsiaTheme="majorEastAsia" w:hAnsiTheme="majorHAnsi" w:cstheme="majorBidi"/>
          <w:sz w:val="20"/>
          <w:szCs w:val="20"/>
          <w:lang w:val="es-ES"/>
        </w:rPr>
        <w:t xml:space="preserve"> debería haber interpuesto una demanda administrativa por error judicial antes de acudir a la CIDH</w:t>
      </w:r>
      <w:r w:rsidRPr="00541F12">
        <w:rPr>
          <w:rFonts w:asciiTheme="majorHAnsi" w:eastAsiaTheme="majorEastAsia" w:hAnsiTheme="majorHAnsi" w:cstheme="majorBidi"/>
          <w:sz w:val="20"/>
          <w:szCs w:val="20"/>
          <w:lang w:val="es-ES"/>
        </w:rPr>
        <w:t xml:space="preserve">. </w:t>
      </w:r>
    </w:p>
    <w:p w14:paraId="0B96CFCA" w14:textId="37F40806" w:rsidR="00787DC6" w:rsidRPr="00541F12" w:rsidRDefault="17AEA56B"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 xml:space="preserve">Finalmente, </w:t>
      </w:r>
      <w:r w:rsidR="00726BD7" w:rsidRPr="00541F12">
        <w:rPr>
          <w:rFonts w:asciiTheme="majorHAnsi" w:eastAsiaTheme="majorEastAsia" w:hAnsiTheme="majorHAnsi" w:cstheme="majorBidi"/>
          <w:sz w:val="20"/>
          <w:szCs w:val="20"/>
          <w:lang w:val="es-ES"/>
        </w:rPr>
        <w:t>con</w:t>
      </w:r>
      <w:r w:rsidRPr="00541F12">
        <w:rPr>
          <w:rFonts w:asciiTheme="majorHAnsi" w:eastAsiaTheme="majorEastAsia" w:hAnsiTheme="majorHAnsi" w:cstheme="majorBidi"/>
          <w:sz w:val="20"/>
          <w:szCs w:val="20"/>
          <w:lang w:val="es-ES"/>
        </w:rPr>
        <w:t xml:space="preserve"> relación </w:t>
      </w:r>
      <w:r w:rsidR="00726BD7" w:rsidRPr="00541F12">
        <w:rPr>
          <w:rFonts w:asciiTheme="majorHAnsi" w:eastAsiaTheme="majorEastAsia" w:hAnsiTheme="majorHAnsi" w:cstheme="majorBidi"/>
          <w:sz w:val="20"/>
          <w:szCs w:val="20"/>
          <w:lang w:val="es-ES"/>
        </w:rPr>
        <w:t xml:space="preserve">a </w:t>
      </w:r>
      <w:r w:rsidRPr="00541F12">
        <w:rPr>
          <w:rFonts w:asciiTheme="majorHAnsi" w:eastAsiaTheme="majorEastAsia" w:hAnsiTheme="majorHAnsi" w:cstheme="majorBidi"/>
          <w:sz w:val="20"/>
          <w:szCs w:val="20"/>
          <w:lang w:val="es-ES"/>
        </w:rPr>
        <w:t>la falta de caracterización de los hechos, el Estado</w:t>
      </w:r>
      <w:r w:rsidR="68B194D6" w:rsidRPr="00541F12">
        <w:rPr>
          <w:rFonts w:asciiTheme="majorHAnsi" w:eastAsiaTheme="majorEastAsia" w:hAnsiTheme="majorHAnsi" w:cstheme="majorBidi"/>
          <w:sz w:val="20"/>
          <w:szCs w:val="20"/>
          <w:lang w:val="es-ES"/>
        </w:rPr>
        <w:t xml:space="preserve"> </w:t>
      </w:r>
      <w:r w:rsidR="009B569A">
        <w:rPr>
          <w:rFonts w:asciiTheme="majorHAnsi" w:eastAsiaTheme="majorEastAsia" w:hAnsiTheme="majorHAnsi" w:cstheme="majorBidi"/>
          <w:sz w:val="20"/>
          <w:szCs w:val="20"/>
          <w:lang w:val="es-ES"/>
        </w:rPr>
        <w:t>argumenta</w:t>
      </w:r>
      <w:r w:rsidR="009B569A" w:rsidRPr="00541F12">
        <w:rPr>
          <w:rFonts w:asciiTheme="majorHAnsi" w:eastAsiaTheme="majorEastAsia" w:hAnsiTheme="majorHAnsi" w:cstheme="majorBidi"/>
          <w:sz w:val="20"/>
          <w:szCs w:val="20"/>
          <w:lang w:val="es-ES"/>
        </w:rPr>
        <w:t xml:space="preserve"> </w:t>
      </w:r>
      <w:r w:rsidR="7FCDC372" w:rsidRPr="00541F12">
        <w:rPr>
          <w:rFonts w:asciiTheme="majorHAnsi" w:eastAsiaTheme="majorEastAsia" w:hAnsiTheme="majorHAnsi" w:cstheme="majorBidi"/>
          <w:sz w:val="20"/>
          <w:szCs w:val="20"/>
          <w:lang w:val="es-ES"/>
        </w:rPr>
        <w:t>que</w:t>
      </w:r>
      <w:r w:rsidR="5E386074" w:rsidRPr="00541F12">
        <w:rPr>
          <w:rFonts w:asciiTheme="majorHAnsi" w:eastAsiaTheme="majorEastAsia" w:hAnsiTheme="majorHAnsi" w:cstheme="majorBidi"/>
          <w:sz w:val="20"/>
          <w:szCs w:val="20"/>
          <w:lang w:val="es-ES"/>
        </w:rPr>
        <w:t xml:space="preserve"> la condena penal resultó de procesos que </w:t>
      </w:r>
      <w:r w:rsidR="00135227">
        <w:rPr>
          <w:rFonts w:asciiTheme="majorHAnsi" w:eastAsiaTheme="majorEastAsia" w:hAnsiTheme="majorHAnsi" w:cstheme="majorBidi"/>
          <w:sz w:val="20"/>
          <w:szCs w:val="20"/>
          <w:lang w:val="es-ES"/>
        </w:rPr>
        <w:t xml:space="preserve">se </w:t>
      </w:r>
      <w:r w:rsidR="40E56390" w:rsidRPr="00541F12">
        <w:rPr>
          <w:rFonts w:asciiTheme="majorHAnsi" w:eastAsiaTheme="majorEastAsia" w:hAnsiTheme="majorHAnsi" w:cstheme="majorBidi"/>
          <w:sz w:val="20"/>
          <w:szCs w:val="20"/>
          <w:lang w:val="es-ES"/>
        </w:rPr>
        <w:t>tramitaron</w:t>
      </w:r>
      <w:r w:rsidR="5E386074" w:rsidRPr="00541F12">
        <w:rPr>
          <w:rFonts w:asciiTheme="majorHAnsi" w:eastAsiaTheme="majorEastAsia" w:hAnsiTheme="majorHAnsi" w:cstheme="majorBidi"/>
          <w:sz w:val="20"/>
          <w:szCs w:val="20"/>
          <w:lang w:val="es-ES"/>
        </w:rPr>
        <w:t xml:space="preserve"> de acuerdo con </w:t>
      </w:r>
      <w:r w:rsidR="470025C2" w:rsidRPr="00541F12">
        <w:rPr>
          <w:rFonts w:asciiTheme="majorHAnsi" w:eastAsiaTheme="majorEastAsia" w:hAnsiTheme="majorHAnsi" w:cstheme="majorBidi"/>
          <w:sz w:val="20"/>
          <w:szCs w:val="20"/>
          <w:lang w:val="es-ES"/>
        </w:rPr>
        <w:t>la legislación vigente</w:t>
      </w:r>
      <w:r w:rsidR="5E386074" w:rsidRPr="00541F12">
        <w:rPr>
          <w:rFonts w:asciiTheme="majorHAnsi" w:eastAsiaTheme="majorEastAsia" w:hAnsiTheme="majorHAnsi" w:cstheme="majorBidi"/>
          <w:sz w:val="20"/>
          <w:szCs w:val="20"/>
          <w:lang w:val="es-ES"/>
        </w:rPr>
        <w:t xml:space="preserve"> y </w:t>
      </w:r>
      <w:r w:rsidR="4BC77935" w:rsidRPr="00541F12">
        <w:rPr>
          <w:rFonts w:asciiTheme="majorHAnsi" w:eastAsiaTheme="majorEastAsia" w:hAnsiTheme="majorHAnsi" w:cstheme="majorBidi"/>
          <w:sz w:val="20"/>
          <w:szCs w:val="20"/>
          <w:lang w:val="es-ES"/>
        </w:rPr>
        <w:t>respetando</w:t>
      </w:r>
      <w:r w:rsidR="5E386074" w:rsidRPr="00541F12">
        <w:rPr>
          <w:rFonts w:asciiTheme="majorHAnsi" w:eastAsiaTheme="majorEastAsia" w:hAnsiTheme="majorHAnsi" w:cstheme="majorBidi"/>
          <w:sz w:val="20"/>
          <w:szCs w:val="20"/>
          <w:lang w:val="es-ES"/>
        </w:rPr>
        <w:t xml:space="preserve"> las garantías para el </w:t>
      </w:r>
      <w:r w:rsidR="7BF69C9C" w:rsidRPr="00541F12">
        <w:rPr>
          <w:rFonts w:asciiTheme="majorHAnsi" w:eastAsiaTheme="majorEastAsia" w:hAnsiTheme="majorHAnsi" w:cstheme="majorBidi"/>
          <w:sz w:val="20"/>
          <w:szCs w:val="20"/>
          <w:lang w:val="es-ES"/>
        </w:rPr>
        <w:t>acusado</w:t>
      </w:r>
      <w:r w:rsidR="41A87C91" w:rsidRPr="00541F12">
        <w:rPr>
          <w:rFonts w:asciiTheme="majorHAnsi" w:eastAsiaTheme="majorEastAsia" w:hAnsiTheme="majorHAnsi" w:cstheme="majorBidi"/>
          <w:sz w:val="20"/>
          <w:szCs w:val="20"/>
          <w:lang w:val="es-ES"/>
        </w:rPr>
        <w:t>;</w:t>
      </w:r>
      <w:r w:rsidR="5E386074" w:rsidRPr="00541F12">
        <w:rPr>
          <w:rFonts w:asciiTheme="majorHAnsi" w:eastAsiaTheme="majorEastAsia" w:hAnsiTheme="majorHAnsi" w:cstheme="majorBidi"/>
          <w:sz w:val="20"/>
          <w:szCs w:val="20"/>
          <w:lang w:val="es-ES"/>
        </w:rPr>
        <w:t xml:space="preserve"> y que el cambio d</w:t>
      </w:r>
      <w:r w:rsidR="2859A072" w:rsidRPr="00541F12">
        <w:rPr>
          <w:rFonts w:asciiTheme="majorHAnsi" w:eastAsiaTheme="majorEastAsia" w:hAnsiTheme="majorHAnsi" w:cstheme="majorBidi"/>
          <w:sz w:val="20"/>
          <w:szCs w:val="20"/>
          <w:lang w:val="es-ES"/>
        </w:rPr>
        <w:t>el tipo penal del art.</w:t>
      </w:r>
      <w:r w:rsidR="5E386074" w:rsidRPr="00541F12">
        <w:rPr>
          <w:rFonts w:asciiTheme="majorHAnsi" w:eastAsiaTheme="majorEastAsia" w:hAnsiTheme="majorHAnsi" w:cstheme="majorBidi"/>
          <w:sz w:val="20"/>
          <w:szCs w:val="20"/>
          <w:lang w:val="es-ES"/>
        </w:rPr>
        <w:t xml:space="preserve"> 158</w:t>
      </w:r>
      <w:r w:rsidR="00D3786A" w:rsidRPr="00541F12">
        <w:rPr>
          <w:rFonts w:asciiTheme="majorHAnsi" w:eastAsiaTheme="majorEastAsia" w:hAnsiTheme="majorHAnsi" w:cstheme="majorBidi"/>
          <w:sz w:val="20"/>
          <w:szCs w:val="20"/>
          <w:lang w:val="es-ES"/>
        </w:rPr>
        <w:t xml:space="preserve"> del Código Penal de 1971</w:t>
      </w:r>
      <w:r w:rsidR="5E386074" w:rsidRPr="00541F12">
        <w:rPr>
          <w:rFonts w:asciiTheme="majorHAnsi" w:eastAsiaTheme="majorEastAsia" w:hAnsiTheme="majorHAnsi" w:cstheme="majorBidi"/>
          <w:sz w:val="20"/>
          <w:szCs w:val="20"/>
          <w:lang w:val="es-ES"/>
        </w:rPr>
        <w:t xml:space="preserve"> a</w:t>
      </w:r>
      <w:r w:rsidR="0D7D47CA" w:rsidRPr="00541F12">
        <w:rPr>
          <w:rFonts w:asciiTheme="majorHAnsi" w:eastAsiaTheme="majorEastAsia" w:hAnsiTheme="majorHAnsi" w:cstheme="majorBidi"/>
          <w:sz w:val="20"/>
          <w:szCs w:val="20"/>
          <w:lang w:val="es-ES"/>
        </w:rPr>
        <w:t>l art.</w:t>
      </w:r>
      <w:r w:rsidR="5E386074" w:rsidRPr="00541F12">
        <w:rPr>
          <w:rFonts w:asciiTheme="majorHAnsi" w:eastAsiaTheme="majorEastAsia" w:hAnsiTheme="majorHAnsi" w:cstheme="majorBidi"/>
          <w:sz w:val="20"/>
          <w:szCs w:val="20"/>
          <w:lang w:val="es-ES"/>
        </w:rPr>
        <w:t xml:space="preserve"> 34</w:t>
      </w:r>
      <w:r w:rsidR="00D3786A" w:rsidRPr="00541F12">
        <w:rPr>
          <w:rFonts w:asciiTheme="majorHAnsi" w:eastAsiaTheme="majorEastAsia" w:hAnsiTheme="majorHAnsi" w:cstheme="majorBidi"/>
          <w:sz w:val="20"/>
          <w:szCs w:val="20"/>
          <w:lang w:val="es-ES"/>
        </w:rPr>
        <w:t xml:space="preserve">6 del Código Orgánico </w:t>
      </w:r>
      <w:r w:rsidR="00EC0D57" w:rsidRPr="00541F12">
        <w:rPr>
          <w:rFonts w:asciiTheme="majorHAnsi" w:eastAsiaTheme="majorEastAsia" w:hAnsiTheme="majorHAnsi" w:cstheme="majorBidi"/>
          <w:sz w:val="20"/>
          <w:szCs w:val="20"/>
          <w:lang w:val="es-ES"/>
        </w:rPr>
        <w:t>Integral</w:t>
      </w:r>
      <w:r w:rsidR="00D3786A" w:rsidRPr="00541F12">
        <w:rPr>
          <w:rFonts w:asciiTheme="majorHAnsi" w:eastAsiaTheme="majorEastAsia" w:hAnsiTheme="majorHAnsi" w:cstheme="majorBidi"/>
          <w:sz w:val="20"/>
          <w:szCs w:val="20"/>
          <w:lang w:val="es-ES"/>
        </w:rPr>
        <w:t xml:space="preserve"> Penal de 2014</w:t>
      </w:r>
      <w:r w:rsidR="5E386074" w:rsidRPr="00541F12">
        <w:rPr>
          <w:rFonts w:asciiTheme="majorHAnsi" w:eastAsiaTheme="majorEastAsia" w:hAnsiTheme="majorHAnsi" w:cstheme="majorBidi"/>
          <w:sz w:val="20"/>
          <w:szCs w:val="20"/>
          <w:lang w:val="es-ES"/>
        </w:rPr>
        <w:t xml:space="preserve"> </w:t>
      </w:r>
      <w:r w:rsidR="2B562741" w:rsidRPr="00541F12">
        <w:rPr>
          <w:rFonts w:asciiTheme="majorHAnsi" w:eastAsiaTheme="majorEastAsia" w:hAnsiTheme="majorHAnsi" w:cstheme="majorBidi"/>
          <w:sz w:val="20"/>
          <w:szCs w:val="20"/>
          <w:lang w:val="es-ES"/>
        </w:rPr>
        <w:t xml:space="preserve">ocurrió para aplicar una regla más </w:t>
      </w:r>
      <w:r w:rsidR="47A21C27" w:rsidRPr="00541F12">
        <w:rPr>
          <w:rFonts w:asciiTheme="majorHAnsi" w:eastAsiaTheme="majorEastAsia" w:hAnsiTheme="majorHAnsi" w:cstheme="majorBidi"/>
          <w:sz w:val="20"/>
          <w:szCs w:val="20"/>
          <w:lang w:val="es-ES"/>
        </w:rPr>
        <w:t xml:space="preserve">benéfica. </w:t>
      </w:r>
      <w:r w:rsidR="00C07A50" w:rsidRPr="00541F12">
        <w:rPr>
          <w:rFonts w:asciiTheme="majorHAnsi" w:eastAsiaTheme="majorEastAsia" w:hAnsiTheme="majorHAnsi" w:cstheme="majorBidi"/>
          <w:sz w:val="20"/>
          <w:szCs w:val="20"/>
          <w:lang w:val="es-ES"/>
        </w:rPr>
        <w:t>El Estado destacó qu</w:t>
      </w:r>
      <w:r w:rsidR="00EC0D57" w:rsidRPr="00541F12">
        <w:rPr>
          <w:rFonts w:asciiTheme="majorHAnsi" w:eastAsiaTheme="majorEastAsia" w:hAnsiTheme="majorHAnsi" w:cstheme="majorBidi"/>
          <w:sz w:val="20"/>
          <w:szCs w:val="20"/>
          <w:lang w:val="es-ES"/>
        </w:rPr>
        <w:t>e</w:t>
      </w:r>
      <w:r w:rsidR="00C07A50" w:rsidRPr="00541F12">
        <w:rPr>
          <w:rFonts w:asciiTheme="majorHAnsi" w:eastAsiaTheme="majorEastAsia" w:hAnsiTheme="majorHAnsi" w:cstheme="majorBidi"/>
          <w:sz w:val="20"/>
          <w:szCs w:val="20"/>
          <w:lang w:val="es-ES"/>
        </w:rPr>
        <w:t xml:space="preserve"> el artículo 346 del Código Orgánico Integral Penal actual reproducía lo previsto en el art. 158 del Código Penal anterior</w:t>
      </w:r>
      <w:r w:rsidR="008660B2">
        <w:rPr>
          <w:rFonts w:asciiTheme="majorHAnsi" w:eastAsiaTheme="majorEastAsia" w:hAnsiTheme="majorHAnsi" w:cstheme="majorBidi"/>
          <w:sz w:val="20"/>
          <w:szCs w:val="20"/>
          <w:lang w:val="es-ES"/>
        </w:rPr>
        <w:t>;</w:t>
      </w:r>
      <w:r w:rsidR="00C07A50" w:rsidRPr="00541F12">
        <w:rPr>
          <w:rFonts w:asciiTheme="majorHAnsi" w:eastAsiaTheme="majorEastAsia" w:hAnsiTheme="majorHAnsi" w:cstheme="majorBidi"/>
          <w:sz w:val="20"/>
          <w:szCs w:val="20"/>
          <w:lang w:val="es-ES"/>
        </w:rPr>
        <w:t xml:space="preserve"> </w:t>
      </w:r>
      <w:r w:rsidR="00C70C95">
        <w:rPr>
          <w:rFonts w:asciiTheme="majorHAnsi" w:eastAsiaTheme="majorEastAsia" w:hAnsiTheme="majorHAnsi" w:cstheme="majorBidi"/>
          <w:sz w:val="20"/>
          <w:szCs w:val="20"/>
          <w:lang w:val="es-ES"/>
        </w:rPr>
        <w:t>p</w:t>
      </w:r>
      <w:r w:rsidR="4A7714BD" w:rsidRPr="00541F12">
        <w:rPr>
          <w:rFonts w:asciiTheme="majorHAnsi" w:eastAsiaTheme="majorEastAsia" w:hAnsiTheme="majorHAnsi" w:cstheme="majorBidi"/>
          <w:sz w:val="20"/>
          <w:szCs w:val="20"/>
          <w:lang w:val="es-ES"/>
        </w:rPr>
        <w:t xml:space="preserve">or lo tanto, la </w:t>
      </w:r>
      <w:r w:rsidR="77871989" w:rsidRPr="00541F12">
        <w:rPr>
          <w:rFonts w:asciiTheme="majorHAnsi" w:eastAsiaTheme="majorEastAsia" w:hAnsiTheme="majorHAnsi" w:cstheme="majorBidi"/>
          <w:sz w:val="20"/>
          <w:szCs w:val="20"/>
          <w:lang w:val="es-ES"/>
        </w:rPr>
        <w:t>sanción</w:t>
      </w:r>
      <w:r w:rsidR="4A7714BD" w:rsidRPr="00541F12">
        <w:rPr>
          <w:rFonts w:asciiTheme="majorHAnsi" w:eastAsiaTheme="majorEastAsia" w:hAnsiTheme="majorHAnsi" w:cstheme="majorBidi"/>
          <w:sz w:val="20"/>
          <w:szCs w:val="20"/>
          <w:lang w:val="es-ES"/>
        </w:rPr>
        <w:t xml:space="preserve"> penal aplicada no </w:t>
      </w:r>
      <w:r w:rsidR="2AF6CF34" w:rsidRPr="00541F12">
        <w:rPr>
          <w:rFonts w:asciiTheme="majorHAnsi" w:eastAsiaTheme="majorEastAsia" w:hAnsiTheme="majorHAnsi" w:cstheme="majorBidi"/>
          <w:sz w:val="20"/>
          <w:szCs w:val="20"/>
          <w:lang w:val="es-ES"/>
        </w:rPr>
        <w:t>caracterizaría</w:t>
      </w:r>
      <w:r w:rsidR="4A7714BD" w:rsidRPr="00541F12">
        <w:rPr>
          <w:rFonts w:asciiTheme="majorHAnsi" w:eastAsiaTheme="majorEastAsia" w:hAnsiTheme="majorHAnsi" w:cstheme="majorBidi"/>
          <w:sz w:val="20"/>
          <w:szCs w:val="20"/>
          <w:lang w:val="es-ES"/>
        </w:rPr>
        <w:t xml:space="preserve"> violación alguna a la Convención Americana.</w:t>
      </w:r>
      <w:r w:rsidR="50D5FFF0" w:rsidRPr="00541F12">
        <w:rPr>
          <w:rFonts w:asciiTheme="majorHAnsi" w:eastAsiaTheme="majorEastAsia" w:hAnsiTheme="majorHAnsi" w:cstheme="majorBidi"/>
          <w:sz w:val="20"/>
          <w:szCs w:val="20"/>
          <w:lang w:val="es-ES"/>
        </w:rPr>
        <w:t xml:space="preserve"> Para el Estado, la petición result</w:t>
      </w:r>
      <w:r w:rsidR="75F8559D" w:rsidRPr="00541F12">
        <w:rPr>
          <w:rFonts w:asciiTheme="majorHAnsi" w:eastAsiaTheme="majorEastAsia" w:hAnsiTheme="majorHAnsi" w:cstheme="majorBidi"/>
          <w:sz w:val="20"/>
          <w:szCs w:val="20"/>
          <w:lang w:val="es-ES"/>
        </w:rPr>
        <w:t>a</w:t>
      </w:r>
      <w:r w:rsidR="50D5FFF0" w:rsidRPr="00541F12">
        <w:rPr>
          <w:rFonts w:asciiTheme="majorHAnsi" w:eastAsiaTheme="majorEastAsia" w:hAnsiTheme="majorHAnsi" w:cstheme="majorBidi"/>
          <w:sz w:val="20"/>
          <w:szCs w:val="20"/>
          <w:lang w:val="es-ES"/>
        </w:rPr>
        <w:t xml:space="preserve"> de </w:t>
      </w:r>
      <w:r w:rsidR="3166E48C" w:rsidRPr="00541F12">
        <w:rPr>
          <w:rFonts w:asciiTheme="majorHAnsi" w:eastAsiaTheme="majorEastAsia" w:hAnsiTheme="majorHAnsi" w:cstheme="majorBidi"/>
          <w:sz w:val="20"/>
          <w:szCs w:val="20"/>
          <w:lang w:val="es-ES"/>
        </w:rPr>
        <w:t xml:space="preserve">una </w:t>
      </w:r>
      <w:r w:rsidR="50D5FFF0" w:rsidRPr="00541F12">
        <w:rPr>
          <w:rFonts w:asciiTheme="majorHAnsi" w:eastAsiaTheme="majorEastAsia" w:hAnsiTheme="majorHAnsi" w:cstheme="majorBidi"/>
          <w:sz w:val="20"/>
          <w:szCs w:val="20"/>
          <w:lang w:val="es-ES"/>
        </w:rPr>
        <w:t xml:space="preserve">mera inconformidad </w:t>
      </w:r>
      <w:r w:rsidR="45F9DA08" w:rsidRPr="00541F12">
        <w:rPr>
          <w:rFonts w:asciiTheme="majorHAnsi" w:eastAsiaTheme="majorEastAsia" w:hAnsiTheme="majorHAnsi" w:cstheme="majorBidi"/>
          <w:sz w:val="20"/>
          <w:szCs w:val="20"/>
          <w:lang w:val="es-ES"/>
        </w:rPr>
        <w:t xml:space="preserve">de la presunta víctima </w:t>
      </w:r>
      <w:r w:rsidR="50D5FFF0" w:rsidRPr="00541F12">
        <w:rPr>
          <w:rFonts w:asciiTheme="majorHAnsi" w:eastAsiaTheme="majorEastAsia" w:hAnsiTheme="majorHAnsi" w:cstheme="majorBidi"/>
          <w:sz w:val="20"/>
          <w:szCs w:val="20"/>
          <w:lang w:val="es-ES"/>
        </w:rPr>
        <w:t>con la condena</w:t>
      </w:r>
      <w:r w:rsidR="3090DDB4" w:rsidRPr="00541F12">
        <w:rPr>
          <w:rFonts w:asciiTheme="majorHAnsi" w:eastAsiaTheme="majorEastAsia" w:hAnsiTheme="majorHAnsi" w:cstheme="majorBidi"/>
          <w:sz w:val="20"/>
          <w:szCs w:val="20"/>
          <w:lang w:val="es-ES"/>
        </w:rPr>
        <w:t xml:space="preserve"> </w:t>
      </w:r>
      <w:r w:rsidR="02765C8F" w:rsidRPr="00541F12">
        <w:rPr>
          <w:rFonts w:asciiTheme="majorHAnsi" w:eastAsiaTheme="majorEastAsia" w:hAnsiTheme="majorHAnsi" w:cstheme="majorBidi"/>
          <w:sz w:val="20"/>
          <w:szCs w:val="20"/>
          <w:lang w:val="es-ES"/>
        </w:rPr>
        <w:t>y la parte peticionaria solicita que</w:t>
      </w:r>
      <w:r w:rsidR="40F96C19" w:rsidRPr="00541F12">
        <w:rPr>
          <w:rFonts w:asciiTheme="majorHAnsi" w:eastAsiaTheme="majorEastAsia" w:hAnsiTheme="majorHAnsi" w:cstheme="majorBidi"/>
          <w:sz w:val="20"/>
          <w:szCs w:val="20"/>
          <w:lang w:val="es-ES"/>
        </w:rPr>
        <w:t xml:space="preserve"> la Comisión </w:t>
      </w:r>
      <w:r w:rsidR="37A2DD10" w:rsidRPr="00541F12">
        <w:rPr>
          <w:rFonts w:asciiTheme="majorHAnsi" w:eastAsiaTheme="majorEastAsia" w:hAnsiTheme="majorHAnsi" w:cstheme="majorBidi"/>
          <w:sz w:val="20"/>
          <w:szCs w:val="20"/>
          <w:lang w:val="es-ES"/>
        </w:rPr>
        <w:t xml:space="preserve">revise </w:t>
      </w:r>
      <w:r w:rsidR="40F96C19" w:rsidRPr="00541F12">
        <w:rPr>
          <w:rFonts w:asciiTheme="majorHAnsi" w:eastAsiaTheme="majorEastAsia" w:hAnsiTheme="majorHAnsi" w:cstheme="majorBidi"/>
          <w:sz w:val="20"/>
          <w:szCs w:val="20"/>
          <w:lang w:val="es-ES"/>
        </w:rPr>
        <w:t>el contenido de fallos internos</w:t>
      </w:r>
      <w:r w:rsidR="00DD2A9D" w:rsidRPr="00541F12">
        <w:rPr>
          <w:rFonts w:asciiTheme="majorHAnsi" w:eastAsiaTheme="majorEastAsia" w:hAnsiTheme="majorHAnsi" w:cstheme="majorBidi"/>
          <w:sz w:val="20"/>
          <w:szCs w:val="20"/>
          <w:lang w:val="es-ES"/>
        </w:rPr>
        <w:t xml:space="preserve">. </w:t>
      </w:r>
    </w:p>
    <w:p w14:paraId="1A73BEF8" w14:textId="77777777" w:rsidR="00166727" w:rsidRPr="00541F12" w:rsidRDefault="0A4A8293" w:rsidP="00541F12">
      <w:pPr>
        <w:spacing w:before="240" w:after="240"/>
        <w:ind w:firstLine="720"/>
        <w:jc w:val="both"/>
        <w:rPr>
          <w:rFonts w:asciiTheme="majorHAnsi" w:eastAsiaTheme="majorEastAsia" w:hAnsiTheme="majorHAnsi" w:cstheme="majorBidi"/>
          <w:b/>
          <w:bCs/>
          <w:sz w:val="20"/>
          <w:szCs w:val="20"/>
          <w:lang w:val="es-ES"/>
        </w:rPr>
      </w:pPr>
      <w:r w:rsidRPr="00541F12">
        <w:rPr>
          <w:rFonts w:asciiTheme="majorHAnsi" w:eastAsiaTheme="majorEastAsia" w:hAnsiTheme="majorHAnsi" w:cstheme="majorBidi"/>
          <w:b/>
          <w:bCs/>
          <w:sz w:val="20"/>
          <w:szCs w:val="20"/>
          <w:lang w:val="es-ES"/>
        </w:rPr>
        <w:t xml:space="preserve">VI. </w:t>
      </w:r>
      <w:r w:rsidR="008061DC" w:rsidRPr="00541F12">
        <w:rPr>
          <w:rFonts w:asciiTheme="majorHAnsi" w:eastAsiaTheme="majorEastAsia" w:hAnsiTheme="majorHAnsi" w:cstheme="majorBidi"/>
          <w:b/>
          <w:bCs/>
          <w:sz w:val="20"/>
          <w:szCs w:val="20"/>
          <w:lang w:val="es-ES"/>
        </w:rPr>
        <w:tab/>
      </w:r>
      <w:r w:rsidRPr="00541F12">
        <w:rPr>
          <w:rFonts w:asciiTheme="majorHAnsi" w:eastAsiaTheme="majorEastAsia" w:hAnsiTheme="majorHAnsi" w:cstheme="majorBidi"/>
          <w:b/>
          <w:bCs/>
          <w:sz w:val="20"/>
          <w:szCs w:val="20"/>
          <w:lang w:val="es-ES"/>
        </w:rPr>
        <w:t>ANALISIS DEL AGOTAMIENTO DE LOS RECURSOS INTERNOS Y PLAZO DE PRESENTACIÓN DE LA PETICIÓN</w:t>
      </w:r>
    </w:p>
    <w:p w14:paraId="6C9FEBB0" w14:textId="1C393BA0" w:rsidR="009A56CE" w:rsidRPr="00541F12" w:rsidRDefault="00166727" w:rsidP="00541F12">
      <w:pPr>
        <w:spacing w:before="240" w:after="240"/>
        <w:ind w:firstLine="720"/>
        <w:jc w:val="both"/>
        <w:rPr>
          <w:rFonts w:asciiTheme="majorHAnsi" w:eastAsiaTheme="majorEastAsia" w:hAnsiTheme="majorHAnsi" w:cstheme="majorBidi"/>
          <w:i/>
          <w:iCs/>
          <w:sz w:val="20"/>
          <w:szCs w:val="20"/>
          <w:lang w:val="es-ES"/>
        </w:rPr>
      </w:pPr>
      <w:r w:rsidRPr="00541F12">
        <w:rPr>
          <w:rFonts w:asciiTheme="majorHAnsi" w:eastAsiaTheme="majorEastAsia" w:hAnsiTheme="majorHAnsi" w:cstheme="majorBidi"/>
          <w:i/>
          <w:iCs/>
          <w:sz w:val="20"/>
          <w:szCs w:val="20"/>
          <w:lang w:val="es-ES"/>
        </w:rPr>
        <w:t>Análisis de agotamiento de los recursos internos</w:t>
      </w:r>
      <w:r w:rsidR="0A4A8293" w:rsidRPr="00541F12">
        <w:rPr>
          <w:rFonts w:asciiTheme="majorHAnsi" w:eastAsiaTheme="majorEastAsia" w:hAnsiTheme="majorHAnsi" w:cstheme="majorBidi"/>
          <w:i/>
          <w:iCs/>
          <w:sz w:val="20"/>
          <w:szCs w:val="20"/>
          <w:lang w:val="es-ES"/>
        </w:rPr>
        <w:t xml:space="preserve"> </w:t>
      </w:r>
    </w:p>
    <w:p w14:paraId="6401253E" w14:textId="029F2A9E" w:rsidR="009A56CE" w:rsidRPr="00541F12" w:rsidRDefault="08C453FE" w:rsidP="00541F12">
      <w:pPr>
        <w:pStyle w:val="ListParagraph"/>
        <w:numPr>
          <w:ilvl w:val="0"/>
          <w:numId w:val="62"/>
        </w:numPr>
        <w:spacing w:before="240" w:after="240"/>
        <w:ind w:left="0" w:firstLine="720"/>
        <w:jc w:val="both"/>
        <w:rPr>
          <w:rFonts w:asciiTheme="majorHAnsi" w:eastAsiaTheme="majorEastAsia" w:hAnsiTheme="majorHAnsi" w:cstheme="majorBidi"/>
          <w:color w:val="000000" w:themeColor="text1"/>
          <w:sz w:val="20"/>
          <w:szCs w:val="20"/>
          <w:lang w:val="es-ES"/>
        </w:rPr>
      </w:pPr>
      <w:r w:rsidRPr="00541F12">
        <w:rPr>
          <w:rFonts w:asciiTheme="majorHAnsi" w:eastAsiaTheme="majorEastAsia" w:hAnsiTheme="majorHAnsi" w:cstheme="majorBidi"/>
          <w:color w:val="000000" w:themeColor="text1"/>
          <w:sz w:val="20"/>
          <w:szCs w:val="20"/>
          <w:lang w:val="es-ES"/>
        </w:rPr>
        <w:t xml:space="preserve">Respecto al agotamiento de los recursos internos, el </w:t>
      </w:r>
      <w:r w:rsidR="7DF77D3D" w:rsidRPr="00541F12">
        <w:rPr>
          <w:rFonts w:asciiTheme="majorHAnsi" w:eastAsiaTheme="majorEastAsia" w:hAnsiTheme="majorHAnsi" w:cstheme="majorBidi"/>
          <w:color w:val="000000" w:themeColor="text1"/>
          <w:sz w:val="20"/>
          <w:szCs w:val="20"/>
          <w:lang w:val="es-ES"/>
        </w:rPr>
        <w:t xml:space="preserve">Estado </w:t>
      </w:r>
      <w:r w:rsidR="00A2580B">
        <w:rPr>
          <w:rFonts w:asciiTheme="majorHAnsi" w:eastAsiaTheme="majorEastAsia" w:hAnsiTheme="majorHAnsi" w:cstheme="majorBidi"/>
          <w:color w:val="000000" w:themeColor="text1"/>
          <w:sz w:val="20"/>
          <w:szCs w:val="20"/>
          <w:lang w:val="es-ES"/>
        </w:rPr>
        <w:t>plantea</w:t>
      </w:r>
      <w:r w:rsidR="7DF77D3D" w:rsidRPr="00541F12">
        <w:rPr>
          <w:rFonts w:asciiTheme="majorHAnsi" w:eastAsiaTheme="majorEastAsia" w:hAnsiTheme="majorHAnsi" w:cstheme="majorBidi"/>
          <w:color w:val="000000" w:themeColor="text1"/>
          <w:sz w:val="20"/>
          <w:szCs w:val="20"/>
          <w:lang w:val="es-ES"/>
        </w:rPr>
        <w:t xml:space="preserve"> que </w:t>
      </w:r>
      <w:r w:rsidR="127C834B" w:rsidRPr="00541F12">
        <w:rPr>
          <w:rFonts w:asciiTheme="majorHAnsi" w:eastAsiaTheme="majorEastAsia" w:hAnsiTheme="majorHAnsi" w:cstheme="majorBidi"/>
          <w:color w:val="000000" w:themeColor="text1"/>
          <w:sz w:val="20"/>
          <w:szCs w:val="20"/>
          <w:lang w:val="es-ES"/>
        </w:rPr>
        <w:t>la presunta víctima</w:t>
      </w:r>
      <w:r w:rsidR="7DF77D3D" w:rsidRPr="00541F12">
        <w:rPr>
          <w:rFonts w:asciiTheme="majorHAnsi" w:eastAsiaTheme="majorEastAsia" w:hAnsiTheme="majorHAnsi" w:cstheme="majorBidi"/>
          <w:color w:val="000000" w:themeColor="text1"/>
          <w:sz w:val="20"/>
          <w:szCs w:val="20"/>
          <w:lang w:val="es-ES"/>
        </w:rPr>
        <w:t xml:space="preserve"> no interpuso la demanda administrativa contra el Estado por error judicial</w:t>
      </w:r>
      <w:r w:rsidR="00703F02">
        <w:rPr>
          <w:rFonts w:asciiTheme="majorHAnsi" w:eastAsiaTheme="majorEastAsia" w:hAnsiTheme="majorHAnsi" w:cstheme="majorBidi"/>
          <w:color w:val="000000" w:themeColor="text1"/>
          <w:sz w:val="20"/>
          <w:szCs w:val="20"/>
          <w:lang w:val="es-ES"/>
        </w:rPr>
        <w:t xml:space="preserve">, </w:t>
      </w:r>
      <w:r w:rsidR="00703F02" w:rsidRPr="00541F12">
        <w:rPr>
          <w:rFonts w:asciiTheme="majorHAnsi" w:eastAsiaTheme="majorEastAsia" w:hAnsiTheme="majorHAnsi" w:cstheme="majorBidi"/>
          <w:color w:val="000000" w:themeColor="text1"/>
          <w:sz w:val="20"/>
          <w:szCs w:val="20"/>
          <w:lang w:val="es-ES"/>
        </w:rPr>
        <w:t xml:space="preserve">recurso </w:t>
      </w:r>
      <w:r w:rsidR="00703F02">
        <w:rPr>
          <w:rFonts w:asciiTheme="majorHAnsi" w:eastAsiaTheme="majorEastAsia" w:hAnsiTheme="majorHAnsi" w:cstheme="majorBidi"/>
          <w:color w:val="000000" w:themeColor="text1"/>
          <w:sz w:val="20"/>
          <w:szCs w:val="20"/>
          <w:lang w:val="es-ES"/>
        </w:rPr>
        <w:t>disponible en</w:t>
      </w:r>
      <w:r w:rsidR="00703F02" w:rsidRPr="00541F12">
        <w:rPr>
          <w:rFonts w:asciiTheme="majorHAnsi" w:eastAsiaTheme="majorEastAsia" w:hAnsiTheme="majorHAnsi" w:cstheme="majorBidi"/>
          <w:color w:val="000000" w:themeColor="text1"/>
          <w:sz w:val="20"/>
          <w:szCs w:val="20"/>
          <w:lang w:val="es-ES"/>
        </w:rPr>
        <w:t xml:space="preserve"> la legislación nacional</w:t>
      </w:r>
      <w:r w:rsidR="7DF77D3D" w:rsidRPr="00541F12">
        <w:rPr>
          <w:rFonts w:asciiTheme="majorHAnsi" w:eastAsiaTheme="majorEastAsia" w:hAnsiTheme="majorHAnsi" w:cstheme="majorBidi"/>
          <w:color w:val="000000" w:themeColor="text1"/>
          <w:sz w:val="20"/>
          <w:szCs w:val="20"/>
          <w:lang w:val="es-ES"/>
        </w:rPr>
        <w:t xml:space="preserve">. </w:t>
      </w:r>
      <w:r w:rsidR="08B7DA0C" w:rsidRPr="00541F12">
        <w:rPr>
          <w:rFonts w:asciiTheme="majorHAnsi" w:eastAsiaTheme="majorEastAsia" w:hAnsiTheme="majorHAnsi" w:cstheme="majorBidi"/>
          <w:color w:val="000000" w:themeColor="text1"/>
          <w:sz w:val="20"/>
          <w:szCs w:val="20"/>
          <w:lang w:val="es-ES"/>
        </w:rPr>
        <w:t>La presunta víctima</w:t>
      </w:r>
      <w:r w:rsidR="004167CA">
        <w:rPr>
          <w:rFonts w:asciiTheme="majorHAnsi" w:eastAsiaTheme="majorEastAsia" w:hAnsiTheme="majorHAnsi" w:cstheme="majorBidi"/>
          <w:color w:val="000000" w:themeColor="text1"/>
          <w:sz w:val="20"/>
          <w:szCs w:val="20"/>
          <w:lang w:val="es-ES"/>
        </w:rPr>
        <w:t>, por su parte,</w:t>
      </w:r>
      <w:r w:rsidR="08B7DA0C" w:rsidRPr="00541F12">
        <w:rPr>
          <w:rFonts w:asciiTheme="majorHAnsi" w:eastAsiaTheme="majorEastAsia" w:hAnsiTheme="majorHAnsi" w:cstheme="majorBidi"/>
          <w:color w:val="000000" w:themeColor="text1"/>
          <w:sz w:val="20"/>
          <w:szCs w:val="20"/>
          <w:lang w:val="es-ES"/>
        </w:rPr>
        <w:t xml:space="preserve"> afirma que</w:t>
      </w:r>
      <w:r w:rsidR="76D725AC" w:rsidRPr="00541F12">
        <w:rPr>
          <w:rFonts w:asciiTheme="majorHAnsi" w:eastAsiaTheme="majorEastAsia" w:hAnsiTheme="majorHAnsi" w:cstheme="majorBidi"/>
          <w:color w:val="000000" w:themeColor="text1"/>
          <w:sz w:val="20"/>
          <w:szCs w:val="20"/>
          <w:lang w:val="es-ES"/>
        </w:rPr>
        <w:t xml:space="preserve"> conforme antecedentes de la CIDH </w:t>
      </w:r>
      <w:r w:rsidR="08B7DA0C" w:rsidRPr="00541F12">
        <w:rPr>
          <w:rFonts w:asciiTheme="majorHAnsi" w:eastAsiaTheme="majorEastAsia" w:hAnsiTheme="majorHAnsi" w:cstheme="majorBidi"/>
          <w:color w:val="000000" w:themeColor="text1"/>
          <w:sz w:val="20"/>
          <w:szCs w:val="20"/>
          <w:lang w:val="es-ES"/>
        </w:rPr>
        <w:t xml:space="preserve">dicho </w:t>
      </w:r>
      <w:r w:rsidR="004167CA">
        <w:rPr>
          <w:rFonts w:asciiTheme="majorHAnsi" w:eastAsiaTheme="majorEastAsia" w:hAnsiTheme="majorHAnsi" w:cstheme="majorBidi"/>
          <w:color w:val="000000" w:themeColor="text1"/>
          <w:sz w:val="20"/>
          <w:szCs w:val="20"/>
          <w:lang w:val="es-ES"/>
        </w:rPr>
        <w:t>proceso</w:t>
      </w:r>
      <w:r w:rsidR="08B7DA0C" w:rsidRPr="00541F12">
        <w:rPr>
          <w:rFonts w:asciiTheme="majorHAnsi" w:eastAsiaTheme="majorEastAsia" w:hAnsiTheme="majorHAnsi" w:cstheme="majorBidi"/>
          <w:color w:val="000000" w:themeColor="text1"/>
          <w:sz w:val="20"/>
          <w:szCs w:val="20"/>
          <w:lang w:val="es-ES"/>
        </w:rPr>
        <w:t xml:space="preserve"> no necesita ser agotado en el presente caso y </w:t>
      </w:r>
      <w:r w:rsidR="59AD24D7" w:rsidRPr="00541F12">
        <w:rPr>
          <w:rFonts w:asciiTheme="majorHAnsi" w:eastAsiaTheme="majorEastAsia" w:hAnsiTheme="majorHAnsi" w:cstheme="majorBidi"/>
          <w:color w:val="000000" w:themeColor="text1"/>
          <w:sz w:val="20"/>
          <w:szCs w:val="20"/>
          <w:lang w:val="es-ES"/>
        </w:rPr>
        <w:t xml:space="preserve">que una demanda administrativa por error judicial </w:t>
      </w:r>
      <w:r w:rsidR="08B7DA0C" w:rsidRPr="00541F12">
        <w:rPr>
          <w:rFonts w:asciiTheme="majorHAnsi" w:eastAsiaTheme="majorEastAsia" w:hAnsiTheme="majorHAnsi" w:cstheme="majorBidi"/>
          <w:color w:val="000000" w:themeColor="text1"/>
          <w:sz w:val="20"/>
          <w:szCs w:val="20"/>
          <w:lang w:val="es-ES"/>
        </w:rPr>
        <w:t xml:space="preserve">no sería capaz de subsanar </w:t>
      </w:r>
      <w:r w:rsidR="6E95CB9E" w:rsidRPr="00541F12">
        <w:rPr>
          <w:rFonts w:asciiTheme="majorHAnsi" w:eastAsiaTheme="majorEastAsia" w:hAnsiTheme="majorHAnsi" w:cstheme="majorBidi"/>
          <w:color w:val="000000" w:themeColor="text1"/>
          <w:sz w:val="20"/>
          <w:szCs w:val="20"/>
          <w:lang w:val="es-ES"/>
        </w:rPr>
        <w:t>integralmente</w:t>
      </w:r>
      <w:r w:rsidR="08B7DA0C" w:rsidRPr="00541F12">
        <w:rPr>
          <w:rFonts w:asciiTheme="majorHAnsi" w:eastAsiaTheme="majorEastAsia" w:hAnsiTheme="majorHAnsi" w:cstheme="majorBidi"/>
          <w:color w:val="000000" w:themeColor="text1"/>
          <w:sz w:val="20"/>
          <w:szCs w:val="20"/>
          <w:lang w:val="es-ES"/>
        </w:rPr>
        <w:t xml:space="preserve"> las vi</w:t>
      </w:r>
      <w:r w:rsidR="080A06BA" w:rsidRPr="00541F12">
        <w:rPr>
          <w:rFonts w:asciiTheme="majorHAnsi" w:eastAsiaTheme="majorEastAsia" w:hAnsiTheme="majorHAnsi" w:cstheme="majorBidi"/>
          <w:color w:val="000000" w:themeColor="text1"/>
          <w:sz w:val="20"/>
          <w:szCs w:val="20"/>
          <w:lang w:val="es-ES"/>
        </w:rPr>
        <w:t xml:space="preserve">olaciones de derechos humanos que atribuye al Estado. </w:t>
      </w:r>
      <w:r w:rsidR="08B7DA0C" w:rsidRPr="00541F12">
        <w:rPr>
          <w:rFonts w:asciiTheme="majorHAnsi" w:eastAsiaTheme="majorEastAsia" w:hAnsiTheme="majorHAnsi" w:cstheme="majorBidi"/>
          <w:color w:val="000000" w:themeColor="text1"/>
          <w:sz w:val="20"/>
          <w:szCs w:val="20"/>
          <w:lang w:val="es-ES"/>
        </w:rPr>
        <w:t xml:space="preserve"> </w:t>
      </w:r>
    </w:p>
    <w:p w14:paraId="476E19EF" w14:textId="0856CD47" w:rsidR="009A56CE" w:rsidRPr="00541F12" w:rsidRDefault="00F63F46"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Pr>
          <w:rFonts w:asciiTheme="majorHAnsi" w:eastAsiaTheme="majorEastAsia" w:hAnsiTheme="majorHAnsi" w:cstheme="majorBidi"/>
          <w:sz w:val="20"/>
          <w:szCs w:val="20"/>
          <w:lang w:val="es-ES"/>
        </w:rPr>
        <w:t>A este respecto, l</w:t>
      </w:r>
      <w:r w:rsidR="2377E980" w:rsidRPr="00541F12">
        <w:rPr>
          <w:rFonts w:asciiTheme="majorHAnsi" w:eastAsiaTheme="majorEastAsia" w:hAnsiTheme="majorHAnsi" w:cstheme="majorBidi"/>
          <w:sz w:val="20"/>
          <w:szCs w:val="20"/>
          <w:lang w:val="es-ES"/>
        </w:rPr>
        <w:t>a CIDH ha establecido que los recursos idóneos a agotar en casos en</w:t>
      </w:r>
      <w:r w:rsidR="00E15527" w:rsidRPr="00541F12">
        <w:rPr>
          <w:rFonts w:asciiTheme="majorHAnsi" w:eastAsiaTheme="majorEastAsia" w:hAnsiTheme="majorHAnsi" w:cstheme="majorBidi"/>
          <w:sz w:val="20"/>
          <w:szCs w:val="20"/>
          <w:lang w:val="es-ES"/>
        </w:rPr>
        <w:t xml:space="preserve"> los</w:t>
      </w:r>
      <w:r w:rsidR="2377E980" w:rsidRPr="00541F12">
        <w:rPr>
          <w:rFonts w:asciiTheme="majorHAnsi" w:eastAsiaTheme="majorEastAsia" w:hAnsiTheme="majorHAnsi" w:cstheme="majorBidi"/>
          <w:sz w:val="20"/>
          <w:szCs w:val="20"/>
          <w:lang w:val="es-ES"/>
        </w:rPr>
        <w:t xml:space="preserve"> que se alegan violaciones de las garantías procesales y otros derechos humanos en el curso de procesos penales son</w:t>
      </w:r>
      <w:r w:rsidR="00747DF4">
        <w:rPr>
          <w:rFonts w:asciiTheme="majorHAnsi" w:eastAsiaTheme="majorEastAsia" w:hAnsiTheme="majorHAnsi" w:cstheme="majorBidi"/>
          <w:sz w:val="20"/>
          <w:szCs w:val="20"/>
          <w:lang w:val="es-ES"/>
        </w:rPr>
        <w:t>,</w:t>
      </w:r>
      <w:r w:rsidR="2377E980" w:rsidRPr="00541F12">
        <w:rPr>
          <w:rFonts w:asciiTheme="majorHAnsi" w:eastAsiaTheme="majorEastAsia" w:hAnsiTheme="majorHAnsi" w:cstheme="majorBidi"/>
          <w:sz w:val="20"/>
          <w:szCs w:val="20"/>
          <w:lang w:val="es-ES"/>
        </w:rPr>
        <w:t xml:space="preserve"> por regla general</w:t>
      </w:r>
      <w:r w:rsidR="00747DF4">
        <w:rPr>
          <w:rFonts w:asciiTheme="majorHAnsi" w:eastAsiaTheme="majorEastAsia" w:hAnsiTheme="majorHAnsi" w:cstheme="majorBidi"/>
          <w:sz w:val="20"/>
          <w:szCs w:val="20"/>
          <w:lang w:val="es-ES"/>
        </w:rPr>
        <w:t>,</w:t>
      </w:r>
      <w:r w:rsidR="2377E980" w:rsidRPr="00541F12">
        <w:rPr>
          <w:rFonts w:asciiTheme="majorHAnsi" w:eastAsiaTheme="majorEastAsia" w:hAnsiTheme="majorHAnsi" w:cstheme="majorBidi"/>
          <w:sz w:val="20"/>
          <w:szCs w:val="20"/>
          <w:lang w:val="es-ES"/>
        </w:rPr>
        <w:t xml:space="preserve"> aquellos medios provistos por la legislación procesal nacional que permiten atacar, en el curso del propio proceso cuestionado, las actuaciones y decisiones adoptadas en </w:t>
      </w:r>
      <w:r w:rsidR="00EE3EE3" w:rsidRPr="00541F12">
        <w:rPr>
          <w:rFonts w:asciiTheme="majorHAnsi" w:eastAsiaTheme="majorEastAsia" w:hAnsiTheme="majorHAnsi" w:cstheme="majorBidi"/>
          <w:sz w:val="20"/>
          <w:szCs w:val="20"/>
          <w:lang w:val="es-ES"/>
        </w:rPr>
        <w:t xml:space="preserve">su </w:t>
      </w:r>
      <w:r w:rsidR="2377E980" w:rsidRPr="00541F12">
        <w:rPr>
          <w:rFonts w:asciiTheme="majorHAnsi" w:eastAsiaTheme="majorEastAsia" w:hAnsiTheme="majorHAnsi" w:cstheme="majorBidi"/>
          <w:sz w:val="20"/>
          <w:szCs w:val="20"/>
          <w:lang w:val="es-ES"/>
        </w:rPr>
        <w:t>desarrollo</w:t>
      </w:r>
      <w:r w:rsidR="00993EF7">
        <w:rPr>
          <w:rFonts w:asciiTheme="majorHAnsi" w:eastAsiaTheme="majorEastAsia" w:hAnsiTheme="majorHAnsi" w:cstheme="majorBidi"/>
          <w:sz w:val="20"/>
          <w:szCs w:val="20"/>
          <w:lang w:val="es-ES"/>
        </w:rPr>
        <w:t>;</w:t>
      </w:r>
      <w:r w:rsidR="2377E980" w:rsidRPr="00541F12">
        <w:rPr>
          <w:rFonts w:asciiTheme="majorHAnsi" w:eastAsiaTheme="majorEastAsia" w:hAnsiTheme="majorHAnsi" w:cstheme="majorBidi"/>
          <w:sz w:val="20"/>
          <w:szCs w:val="20"/>
          <w:lang w:val="es-ES"/>
        </w:rPr>
        <w:t xml:space="preserve"> en particular los recursos judiciales ordinarios a los que haya lugar, o los extraordinarios si éstos fueron interpuestos por las alegadas víctimas de las violaciones de la libertad y las garantías procesales para hacer valer sus derechos, los cuales una vez agotados</w:t>
      </w:r>
      <w:r w:rsidR="00D53912" w:rsidRPr="00541F12">
        <w:rPr>
          <w:rFonts w:asciiTheme="majorHAnsi" w:eastAsiaTheme="majorEastAsia" w:hAnsiTheme="majorHAnsi" w:cstheme="majorBidi"/>
          <w:sz w:val="20"/>
          <w:szCs w:val="20"/>
          <w:lang w:val="es-ES"/>
        </w:rPr>
        <w:t xml:space="preserve"> cumplen el</w:t>
      </w:r>
      <w:r w:rsidR="2377E980" w:rsidRPr="00541F12">
        <w:rPr>
          <w:rFonts w:asciiTheme="majorHAnsi" w:eastAsiaTheme="majorEastAsia" w:hAnsiTheme="majorHAnsi" w:cstheme="majorBidi"/>
          <w:sz w:val="20"/>
          <w:szCs w:val="20"/>
          <w:lang w:val="es-ES"/>
        </w:rPr>
        <w:t xml:space="preserve"> requisito del artículo 46.1.a) de la Convención Americana</w:t>
      </w:r>
      <w:r w:rsidR="009A56CE" w:rsidRPr="00541F12">
        <w:rPr>
          <w:rFonts w:asciiTheme="majorHAnsi" w:eastAsiaTheme="majorEastAsia" w:hAnsiTheme="majorHAnsi" w:cstheme="majorBidi"/>
          <w:sz w:val="20"/>
          <w:szCs w:val="20"/>
          <w:vertAlign w:val="superscript"/>
          <w:lang w:val="es-ES"/>
        </w:rPr>
        <w:footnoteReference w:id="6"/>
      </w:r>
      <w:r w:rsidR="2377E980" w:rsidRPr="00541F12">
        <w:rPr>
          <w:rFonts w:asciiTheme="majorHAnsi" w:eastAsiaTheme="majorEastAsia" w:hAnsiTheme="majorHAnsi" w:cstheme="majorBidi"/>
          <w:sz w:val="20"/>
          <w:szCs w:val="20"/>
          <w:lang w:val="es-ES"/>
        </w:rPr>
        <w:t>.</w:t>
      </w:r>
      <w:r w:rsidR="70727DF4" w:rsidRPr="00541F12">
        <w:rPr>
          <w:rFonts w:asciiTheme="majorHAnsi" w:eastAsiaTheme="majorEastAsia" w:hAnsiTheme="majorHAnsi" w:cstheme="majorBidi"/>
          <w:sz w:val="20"/>
          <w:szCs w:val="20"/>
          <w:lang w:val="es-ES"/>
        </w:rPr>
        <w:t xml:space="preserve"> </w:t>
      </w:r>
    </w:p>
    <w:p w14:paraId="18DB3813" w14:textId="050DE088" w:rsidR="009A56CE" w:rsidRPr="00541F12" w:rsidRDefault="5705F5CE"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color w:val="000000" w:themeColor="text1"/>
          <w:sz w:val="20"/>
          <w:szCs w:val="20"/>
          <w:lang w:val="es-ES"/>
        </w:rPr>
        <w:t xml:space="preserve">En el presente caso, </w:t>
      </w:r>
      <w:r w:rsidR="00527363" w:rsidRPr="00541F12">
        <w:rPr>
          <w:rFonts w:asciiTheme="majorHAnsi" w:eastAsiaTheme="majorEastAsia" w:hAnsiTheme="majorHAnsi" w:cstheme="majorBidi"/>
          <w:color w:val="000000" w:themeColor="text1"/>
          <w:sz w:val="20"/>
          <w:szCs w:val="20"/>
          <w:lang w:val="es-ES"/>
        </w:rPr>
        <w:t>la representación del Sr. Endara</w:t>
      </w:r>
      <w:r w:rsidRPr="00541F12">
        <w:rPr>
          <w:rFonts w:asciiTheme="majorHAnsi" w:eastAsiaTheme="majorEastAsia" w:hAnsiTheme="majorHAnsi" w:cstheme="majorBidi"/>
          <w:color w:val="000000" w:themeColor="text1"/>
          <w:sz w:val="20"/>
          <w:szCs w:val="20"/>
          <w:lang w:val="es-ES"/>
        </w:rPr>
        <w:t xml:space="preserve"> presentó distintos recursos </w:t>
      </w:r>
      <w:r w:rsidR="079D220B" w:rsidRPr="00541F12">
        <w:rPr>
          <w:rFonts w:asciiTheme="majorHAnsi" w:eastAsiaTheme="majorEastAsia" w:hAnsiTheme="majorHAnsi" w:cstheme="majorBidi"/>
          <w:color w:val="000000" w:themeColor="text1"/>
          <w:sz w:val="20"/>
          <w:szCs w:val="20"/>
          <w:lang w:val="es-ES"/>
        </w:rPr>
        <w:t>ordinarios</w:t>
      </w:r>
      <w:r w:rsidRPr="00541F12">
        <w:rPr>
          <w:rFonts w:asciiTheme="majorHAnsi" w:eastAsiaTheme="majorEastAsia" w:hAnsiTheme="majorHAnsi" w:cstheme="majorBidi"/>
          <w:color w:val="000000" w:themeColor="text1"/>
          <w:sz w:val="20"/>
          <w:szCs w:val="20"/>
          <w:lang w:val="es-ES"/>
        </w:rPr>
        <w:t>,</w:t>
      </w:r>
      <w:r w:rsidR="7AFA417D" w:rsidRPr="00541F12">
        <w:rPr>
          <w:rFonts w:asciiTheme="majorHAnsi" w:eastAsiaTheme="majorEastAsia" w:hAnsiTheme="majorHAnsi" w:cstheme="majorBidi"/>
          <w:color w:val="000000" w:themeColor="text1"/>
          <w:sz w:val="20"/>
          <w:szCs w:val="20"/>
          <w:lang w:val="es-ES"/>
        </w:rPr>
        <w:t xml:space="preserve"> c</w:t>
      </w:r>
      <w:r w:rsidR="00993EF7">
        <w:rPr>
          <w:rFonts w:asciiTheme="majorHAnsi" w:eastAsiaTheme="majorEastAsia" w:hAnsiTheme="majorHAnsi" w:cstheme="majorBidi"/>
          <w:color w:val="000000" w:themeColor="text1"/>
          <w:sz w:val="20"/>
          <w:szCs w:val="20"/>
          <w:lang w:val="es-ES"/>
        </w:rPr>
        <w:t>o</w:t>
      </w:r>
      <w:r w:rsidR="7AFA417D" w:rsidRPr="00541F12">
        <w:rPr>
          <w:rFonts w:asciiTheme="majorHAnsi" w:eastAsiaTheme="majorEastAsia" w:hAnsiTheme="majorHAnsi" w:cstheme="majorBidi"/>
          <w:color w:val="000000" w:themeColor="text1"/>
          <w:sz w:val="20"/>
          <w:szCs w:val="20"/>
          <w:lang w:val="es-ES"/>
        </w:rPr>
        <w:t xml:space="preserve">mo un recurso de apelación ante la </w:t>
      </w:r>
      <w:r w:rsidR="004EFFFE" w:rsidRPr="00541F12">
        <w:rPr>
          <w:rFonts w:asciiTheme="majorHAnsi" w:eastAsiaTheme="majorEastAsia" w:hAnsiTheme="majorHAnsi" w:cstheme="majorBidi"/>
          <w:color w:val="000000" w:themeColor="text1"/>
          <w:sz w:val="20"/>
          <w:szCs w:val="20"/>
          <w:lang w:val="es-ES"/>
        </w:rPr>
        <w:t xml:space="preserve">Corte Provincial de Justicia de Pichincha </w:t>
      </w:r>
      <w:r w:rsidR="7AFA417D" w:rsidRPr="00541F12">
        <w:rPr>
          <w:rFonts w:asciiTheme="majorHAnsi" w:eastAsiaTheme="majorEastAsia" w:hAnsiTheme="majorHAnsi" w:cstheme="majorBidi"/>
          <w:color w:val="000000" w:themeColor="text1"/>
          <w:sz w:val="20"/>
          <w:szCs w:val="20"/>
          <w:lang w:val="es-ES"/>
        </w:rPr>
        <w:t xml:space="preserve">y un recurso </w:t>
      </w:r>
      <w:r w:rsidR="60DFF73D" w:rsidRPr="00541F12">
        <w:rPr>
          <w:rFonts w:asciiTheme="majorHAnsi" w:eastAsiaTheme="majorEastAsia" w:hAnsiTheme="majorHAnsi" w:cstheme="majorBidi"/>
          <w:color w:val="000000" w:themeColor="text1"/>
          <w:sz w:val="20"/>
          <w:szCs w:val="20"/>
          <w:lang w:val="es-ES"/>
        </w:rPr>
        <w:t xml:space="preserve">de casación </w:t>
      </w:r>
      <w:r w:rsidR="7AFA417D" w:rsidRPr="00541F12">
        <w:rPr>
          <w:rFonts w:asciiTheme="majorHAnsi" w:eastAsiaTheme="majorEastAsia" w:hAnsiTheme="majorHAnsi" w:cstheme="majorBidi"/>
          <w:color w:val="000000" w:themeColor="text1"/>
          <w:sz w:val="20"/>
          <w:szCs w:val="20"/>
          <w:lang w:val="es-ES"/>
        </w:rPr>
        <w:t xml:space="preserve">ante la </w:t>
      </w:r>
      <w:r w:rsidR="40F023CF" w:rsidRPr="00541F12">
        <w:rPr>
          <w:rFonts w:asciiTheme="majorHAnsi" w:eastAsiaTheme="majorEastAsia" w:hAnsiTheme="majorHAnsi" w:cstheme="majorBidi"/>
          <w:sz w:val="20"/>
          <w:szCs w:val="20"/>
          <w:lang w:val="es-ES"/>
        </w:rPr>
        <w:t>Corte Nacional de Justicia del Ecuador</w:t>
      </w:r>
      <w:r w:rsidR="7AFA417D" w:rsidRPr="00541F12">
        <w:rPr>
          <w:rFonts w:asciiTheme="majorHAnsi" w:eastAsiaTheme="majorEastAsia" w:hAnsiTheme="majorHAnsi" w:cstheme="majorBidi"/>
          <w:color w:val="000000" w:themeColor="text1"/>
          <w:sz w:val="20"/>
          <w:szCs w:val="20"/>
          <w:lang w:val="es-ES"/>
        </w:rPr>
        <w:t xml:space="preserve">. </w:t>
      </w:r>
      <w:r w:rsidR="004C1D57" w:rsidRPr="00541F12">
        <w:rPr>
          <w:rFonts w:asciiTheme="majorHAnsi" w:eastAsiaTheme="majorEastAsia" w:hAnsiTheme="majorHAnsi" w:cstheme="majorBidi"/>
          <w:color w:val="000000" w:themeColor="text1"/>
          <w:sz w:val="20"/>
          <w:szCs w:val="20"/>
          <w:lang w:val="es-ES"/>
        </w:rPr>
        <w:t>T</w:t>
      </w:r>
      <w:r w:rsidR="7AFA417D" w:rsidRPr="00541F12">
        <w:rPr>
          <w:rFonts w:asciiTheme="majorHAnsi" w:eastAsiaTheme="majorEastAsia" w:hAnsiTheme="majorHAnsi" w:cstheme="majorBidi"/>
          <w:color w:val="000000" w:themeColor="text1"/>
          <w:sz w:val="20"/>
          <w:szCs w:val="20"/>
          <w:lang w:val="es-ES"/>
        </w:rPr>
        <w:t>ambién interpuso</w:t>
      </w:r>
      <w:r w:rsidRPr="00541F12">
        <w:rPr>
          <w:rFonts w:asciiTheme="majorHAnsi" w:eastAsiaTheme="majorEastAsia" w:hAnsiTheme="majorHAnsi" w:cstheme="majorBidi"/>
          <w:color w:val="000000" w:themeColor="text1"/>
          <w:sz w:val="20"/>
          <w:szCs w:val="20"/>
          <w:lang w:val="es-ES"/>
        </w:rPr>
        <w:t xml:space="preserve"> como </w:t>
      </w:r>
      <w:r w:rsidR="24573067" w:rsidRPr="00541F12">
        <w:rPr>
          <w:rFonts w:asciiTheme="majorHAnsi" w:eastAsiaTheme="majorEastAsia" w:hAnsiTheme="majorHAnsi" w:cstheme="majorBidi"/>
          <w:color w:val="000000" w:themeColor="text1"/>
          <w:sz w:val="20"/>
          <w:szCs w:val="20"/>
          <w:lang w:val="es-ES"/>
        </w:rPr>
        <w:t>último recurso una a</w:t>
      </w:r>
      <w:r w:rsidR="24573067" w:rsidRPr="00541F12">
        <w:rPr>
          <w:rFonts w:asciiTheme="majorHAnsi" w:eastAsiaTheme="majorEastAsia" w:hAnsiTheme="majorHAnsi" w:cstheme="majorBidi"/>
          <w:sz w:val="20"/>
          <w:szCs w:val="20"/>
          <w:lang w:val="es-ES"/>
        </w:rPr>
        <w:t>cción extraordinaria de protección</w:t>
      </w:r>
      <w:r w:rsidR="15F48831" w:rsidRPr="00541F12">
        <w:rPr>
          <w:rFonts w:asciiTheme="majorHAnsi" w:eastAsiaTheme="majorEastAsia" w:hAnsiTheme="majorHAnsi" w:cstheme="majorBidi"/>
          <w:sz w:val="20"/>
          <w:szCs w:val="20"/>
          <w:lang w:val="es-ES"/>
        </w:rPr>
        <w:t xml:space="preserve"> ante la Corte Constitucional. </w:t>
      </w:r>
      <w:r w:rsidR="006D1781" w:rsidRPr="00541F12">
        <w:rPr>
          <w:rFonts w:asciiTheme="majorHAnsi" w:eastAsiaTheme="majorEastAsia" w:hAnsiTheme="majorHAnsi" w:cstheme="majorBidi"/>
          <w:sz w:val="20"/>
          <w:szCs w:val="20"/>
          <w:lang w:val="es-ES"/>
        </w:rPr>
        <w:t>Con lo cual</w:t>
      </w:r>
      <w:r w:rsidR="14E8EE07" w:rsidRPr="00541F12">
        <w:rPr>
          <w:rFonts w:asciiTheme="majorHAnsi" w:eastAsiaTheme="majorEastAsia" w:hAnsiTheme="majorHAnsi" w:cstheme="majorBidi"/>
          <w:sz w:val="20"/>
          <w:szCs w:val="20"/>
          <w:lang w:val="es-ES"/>
        </w:rPr>
        <w:t xml:space="preserve">, la CIDH concluye que </w:t>
      </w:r>
      <w:r w:rsidR="76E5A279" w:rsidRPr="00541F12">
        <w:rPr>
          <w:rFonts w:asciiTheme="majorHAnsi" w:eastAsiaTheme="majorEastAsia" w:hAnsiTheme="majorHAnsi" w:cstheme="majorBidi"/>
          <w:sz w:val="20"/>
          <w:szCs w:val="20"/>
          <w:lang w:val="es-ES"/>
        </w:rPr>
        <w:t>la presunta víctima present</w:t>
      </w:r>
      <w:r w:rsidR="622AE08F" w:rsidRPr="00541F12">
        <w:rPr>
          <w:rFonts w:asciiTheme="majorHAnsi" w:eastAsiaTheme="majorEastAsia" w:hAnsiTheme="majorHAnsi" w:cstheme="majorBidi"/>
          <w:sz w:val="20"/>
          <w:szCs w:val="20"/>
          <w:lang w:val="es-ES"/>
        </w:rPr>
        <w:t>ó</w:t>
      </w:r>
      <w:r w:rsidR="77E44871" w:rsidRPr="00541F12">
        <w:rPr>
          <w:rFonts w:asciiTheme="majorHAnsi" w:eastAsiaTheme="majorEastAsia" w:hAnsiTheme="majorHAnsi" w:cstheme="majorBidi"/>
          <w:sz w:val="20"/>
          <w:szCs w:val="20"/>
          <w:lang w:val="es-ES"/>
        </w:rPr>
        <w:t xml:space="preserve"> y agotó</w:t>
      </w:r>
      <w:r w:rsidR="622AE08F" w:rsidRPr="00541F12">
        <w:rPr>
          <w:rFonts w:asciiTheme="majorHAnsi" w:eastAsiaTheme="majorEastAsia" w:hAnsiTheme="majorHAnsi" w:cstheme="majorBidi"/>
          <w:sz w:val="20"/>
          <w:szCs w:val="20"/>
          <w:lang w:val="es-ES"/>
        </w:rPr>
        <w:t xml:space="preserve"> </w:t>
      </w:r>
      <w:r w:rsidR="76E5A279" w:rsidRPr="00541F12">
        <w:rPr>
          <w:rFonts w:asciiTheme="majorHAnsi" w:eastAsiaTheme="majorEastAsia" w:hAnsiTheme="majorHAnsi" w:cstheme="majorBidi"/>
          <w:sz w:val="20"/>
          <w:szCs w:val="20"/>
          <w:lang w:val="es-ES"/>
        </w:rPr>
        <w:lastRenderedPageBreak/>
        <w:t xml:space="preserve">recursos idóneos </w:t>
      </w:r>
      <w:r w:rsidR="4AD5EA99" w:rsidRPr="00541F12">
        <w:rPr>
          <w:rFonts w:asciiTheme="majorHAnsi" w:eastAsiaTheme="majorEastAsia" w:hAnsiTheme="majorHAnsi" w:cstheme="majorBidi"/>
          <w:sz w:val="20"/>
          <w:szCs w:val="20"/>
          <w:lang w:val="es-ES"/>
        </w:rPr>
        <w:t xml:space="preserve">en la </w:t>
      </w:r>
      <w:r w:rsidR="59074F96" w:rsidRPr="00541F12">
        <w:rPr>
          <w:rFonts w:asciiTheme="majorHAnsi" w:eastAsiaTheme="majorEastAsia" w:hAnsiTheme="majorHAnsi" w:cstheme="majorBidi"/>
          <w:sz w:val="20"/>
          <w:szCs w:val="20"/>
          <w:lang w:val="es-ES"/>
        </w:rPr>
        <w:t>jurisdicción</w:t>
      </w:r>
      <w:r w:rsidR="006D1781" w:rsidRPr="00541F12">
        <w:rPr>
          <w:rFonts w:asciiTheme="majorHAnsi" w:eastAsiaTheme="majorEastAsia" w:hAnsiTheme="majorHAnsi" w:cstheme="majorBidi"/>
          <w:sz w:val="20"/>
          <w:szCs w:val="20"/>
          <w:lang w:val="es-ES"/>
        </w:rPr>
        <w:t xml:space="preserve"> penal</w:t>
      </w:r>
      <w:r w:rsidR="4AD5EA99" w:rsidRPr="00541F12">
        <w:rPr>
          <w:rFonts w:asciiTheme="majorHAnsi" w:eastAsiaTheme="majorEastAsia" w:hAnsiTheme="majorHAnsi" w:cstheme="majorBidi"/>
          <w:sz w:val="20"/>
          <w:szCs w:val="20"/>
          <w:lang w:val="es-ES"/>
        </w:rPr>
        <w:t xml:space="preserve"> interna</w:t>
      </w:r>
      <w:r w:rsidR="7B04319E" w:rsidRPr="00541F12">
        <w:rPr>
          <w:rFonts w:asciiTheme="majorHAnsi" w:eastAsiaTheme="majorEastAsia" w:hAnsiTheme="majorHAnsi" w:cstheme="majorBidi"/>
          <w:sz w:val="20"/>
          <w:szCs w:val="20"/>
          <w:lang w:val="es-ES"/>
        </w:rPr>
        <w:t>. Al contrario de lo que alega el Estado, en estas circunstancias no es necesario agotar una demanda administrativa por error judicial</w:t>
      </w:r>
      <w:r w:rsidR="009A56CE" w:rsidRPr="00541F12">
        <w:rPr>
          <w:rFonts w:asciiTheme="majorHAnsi" w:eastAsiaTheme="majorEastAsia" w:hAnsiTheme="majorHAnsi" w:cstheme="majorBidi"/>
          <w:sz w:val="20"/>
          <w:szCs w:val="20"/>
          <w:vertAlign w:val="superscript"/>
          <w:lang w:val="es-ES"/>
        </w:rPr>
        <w:footnoteReference w:id="7"/>
      </w:r>
      <w:r w:rsidR="7328287A" w:rsidRPr="00541F12">
        <w:rPr>
          <w:rFonts w:asciiTheme="majorHAnsi" w:eastAsiaTheme="majorEastAsia" w:hAnsiTheme="majorHAnsi" w:cstheme="majorBidi"/>
          <w:sz w:val="20"/>
          <w:szCs w:val="20"/>
          <w:lang w:val="es-ES"/>
        </w:rPr>
        <w:t>.</w:t>
      </w:r>
    </w:p>
    <w:p w14:paraId="7DEB6F26" w14:textId="006B7CAE" w:rsidR="009A56CE" w:rsidRPr="00541F12" w:rsidRDefault="5B72473F"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 xml:space="preserve">Por ende, la CIDH </w:t>
      </w:r>
      <w:r w:rsidR="00E278C5">
        <w:rPr>
          <w:rFonts w:asciiTheme="majorHAnsi" w:eastAsiaTheme="majorEastAsia" w:hAnsiTheme="majorHAnsi" w:cstheme="majorBidi"/>
          <w:sz w:val="20"/>
          <w:szCs w:val="20"/>
          <w:lang w:val="es-ES"/>
        </w:rPr>
        <w:t>advierte</w:t>
      </w:r>
      <w:r w:rsidR="00E278C5" w:rsidRPr="00541F12">
        <w:rPr>
          <w:rFonts w:asciiTheme="majorHAnsi" w:eastAsiaTheme="majorEastAsia" w:hAnsiTheme="majorHAnsi" w:cstheme="majorBidi"/>
          <w:sz w:val="20"/>
          <w:szCs w:val="20"/>
          <w:lang w:val="es-ES"/>
        </w:rPr>
        <w:t xml:space="preserve"> </w:t>
      </w:r>
      <w:r w:rsidRPr="00541F12">
        <w:rPr>
          <w:rFonts w:asciiTheme="majorHAnsi" w:eastAsiaTheme="majorEastAsia" w:hAnsiTheme="majorHAnsi" w:cstheme="majorBidi"/>
          <w:sz w:val="20"/>
          <w:szCs w:val="20"/>
          <w:lang w:val="es-ES"/>
        </w:rPr>
        <w:t xml:space="preserve">que la presunta víctima cumplió con el requisito del artículo 46.1.a) de la Convención Americana. </w:t>
      </w:r>
    </w:p>
    <w:p w14:paraId="57934E97" w14:textId="3DD89ABA" w:rsidR="00166727" w:rsidRPr="00541F12" w:rsidRDefault="00166727" w:rsidP="00541F12">
      <w:pPr>
        <w:pStyle w:val="ListParagraph"/>
        <w:spacing w:before="240" w:after="240"/>
        <w:ind w:left="0" w:firstLine="720"/>
        <w:jc w:val="both"/>
        <w:rPr>
          <w:rFonts w:asciiTheme="majorHAnsi" w:eastAsiaTheme="majorEastAsia" w:hAnsiTheme="majorHAnsi" w:cstheme="majorBidi"/>
          <w:i/>
          <w:iCs/>
          <w:sz w:val="20"/>
          <w:szCs w:val="20"/>
          <w:lang w:val="es-ES"/>
        </w:rPr>
      </w:pPr>
      <w:r w:rsidRPr="00541F12">
        <w:rPr>
          <w:rFonts w:asciiTheme="majorHAnsi" w:eastAsiaTheme="majorEastAsia" w:hAnsiTheme="majorHAnsi" w:cstheme="majorBidi"/>
          <w:i/>
          <w:iCs/>
          <w:sz w:val="20"/>
          <w:szCs w:val="20"/>
          <w:lang w:val="es-ES"/>
        </w:rPr>
        <w:t>Análisis del plazo de presentación</w:t>
      </w:r>
    </w:p>
    <w:p w14:paraId="5BFBA73E" w14:textId="2BCA3159" w:rsidR="009A56CE" w:rsidRPr="00541F12" w:rsidRDefault="5B72473F"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 xml:space="preserve">Asimismo, </w:t>
      </w:r>
      <w:r w:rsidR="00FE7C9C">
        <w:rPr>
          <w:rFonts w:asciiTheme="majorHAnsi" w:eastAsiaTheme="majorEastAsia" w:hAnsiTheme="majorHAnsi" w:cstheme="majorBidi"/>
          <w:sz w:val="20"/>
          <w:szCs w:val="20"/>
          <w:lang w:val="es-ES"/>
        </w:rPr>
        <w:t>Ecuador</w:t>
      </w:r>
      <w:r w:rsidRPr="00541F12">
        <w:rPr>
          <w:rFonts w:asciiTheme="majorHAnsi" w:eastAsiaTheme="majorEastAsia" w:hAnsiTheme="majorHAnsi" w:cstheme="majorBidi"/>
          <w:sz w:val="20"/>
          <w:szCs w:val="20"/>
          <w:lang w:val="es-ES"/>
        </w:rPr>
        <w:t xml:space="preserve"> cuestiona el cumplimiento de la regla</w:t>
      </w:r>
      <w:r w:rsidR="0034261E" w:rsidRPr="00541F12">
        <w:rPr>
          <w:rFonts w:asciiTheme="majorHAnsi" w:eastAsiaTheme="majorEastAsia" w:hAnsiTheme="majorHAnsi" w:cstheme="majorBidi"/>
          <w:sz w:val="20"/>
          <w:szCs w:val="20"/>
          <w:lang w:val="es-ES"/>
        </w:rPr>
        <w:t xml:space="preserve"> de seis meses de plazo</w:t>
      </w:r>
      <w:r w:rsidRPr="00541F12">
        <w:rPr>
          <w:rFonts w:asciiTheme="majorHAnsi" w:eastAsiaTheme="majorEastAsia" w:hAnsiTheme="majorHAnsi" w:cstheme="majorBidi"/>
          <w:sz w:val="20"/>
          <w:szCs w:val="20"/>
          <w:lang w:val="es-ES"/>
        </w:rPr>
        <w:t xml:space="preserve"> del artículo 46.1.b) de la Convención Americana</w:t>
      </w:r>
      <w:r w:rsidR="0034261E" w:rsidRPr="00541F12">
        <w:rPr>
          <w:rFonts w:asciiTheme="majorHAnsi" w:eastAsiaTheme="majorEastAsia" w:hAnsiTheme="majorHAnsi" w:cstheme="majorBidi"/>
          <w:sz w:val="20"/>
          <w:szCs w:val="20"/>
          <w:lang w:val="es-ES"/>
        </w:rPr>
        <w:t>.</w:t>
      </w:r>
      <w:r w:rsidR="00EC0D57" w:rsidRPr="00541F12">
        <w:rPr>
          <w:rFonts w:asciiTheme="majorHAnsi" w:eastAsiaTheme="majorEastAsia" w:hAnsiTheme="majorHAnsi" w:cstheme="majorBidi"/>
          <w:sz w:val="20"/>
          <w:szCs w:val="20"/>
          <w:lang w:val="es-ES"/>
        </w:rPr>
        <w:t xml:space="preserve"> </w:t>
      </w:r>
      <w:r w:rsidR="7FED78F2" w:rsidRPr="00541F12">
        <w:rPr>
          <w:rFonts w:asciiTheme="majorHAnsi" w:eastAsiaTheme="majorEastAsia" w:hAnsiTheme="majorHAnsi" w:cstheme="majorBidi"/>
          <w:sz w:val="20"/>
          <w:szCs w:val="20"/>
          <w:lang w:val="es-ES"/>
        </w:rPr>
        <w:t xml:space="preserve">Según el Estado, dicho plazo debe ser contabilizado a partir de </w:t>
      </w:r>
      <w:r w:rsidR="6FDD7552" w:rsidRPr="00541F12">
        <w:rPr>
          <w:rFonts w:asciiTheme="majorHAnsi" w:eastAsiaTheme="majorEastAsia" w:hAnsiTheme="majorHAnsi" w:cstheme="majorBidi"/>
          <w:sz w:val="20"/>
          <w:szCs w:val="20"/>
          <w:lang w:val="es-ES"/>
        </w:rPr>
        <w:t>23 de noviembre de 2015</w:t>
      </w:r>
      <w:r w:rsidR="7FED78F2" w:rsidRPr="00541F12">
        <w:rPr>
          <w:rFonts w:asciiTheme="majorHAnsi" w:eastAsiaTheme="majorEastAsia" w:hAnsiTheme="majorHAnsi" w:cstheme="majorBidi"/>
          <w:sz w:val="20"/>
          <w:szCs w:val="20"/>
          <w:lang w:val="es-ES"/>
        </w:rPr>
        <w:t xml:space="preserve">, fecha en que la </w:t>
      </w:r>
      <w:r w:rsidR="76F02F22" w:rsidRPr="00541F12">
        <w:rPr>
          <w:rFonts w:asciiTheme="majorHAnsi" w:eastAsiaTheme="majorEastAsia" w:hAnsiTheme="majorHAnsi" w:cstheme="majorBidi"/>
          <w:sz w:val="20"/>
          <w:szCs w:val="20"/>
          <w:lang w:val="es-ES"/>
        </w:rPr>
        <w:t xml:space="preserve">Corte Nacional de Justicia </w:t>
      </w:r>
      <w:r w:rsidR="7FED78F2" w:rsidRPr="00541F12">
        <w:rPr>
          <w:rFonts w:asciiTheme="majorHAnsi" w:eastAsiaTheme="majorEastAsia" w:hAnsiTheme="majorHAnsi" w:cstheme="majorBidi"/>
          <w:sz w:val="20"/>
          <w:szCs w:val="20"/>
          <w:lang w:val="es-ES"/>
        </w:rPr>
        <w:t>desestimó el recurso</w:t>
      </w:r>
      <w:r w:rsidR="360AE2B3" w:rsidRPr="00541F12">
        <w:rPr>
          <w:rFonts w:asciiTheme="majorHAnsi" w:eastAsiaTheme="majorEastAsia" w:hAnsiTheme="majorHAnsi" w:cstheme="majorBidi"/>
          <w:sz w:val="20"/>
          <w:szCs w:val="20"/>
          <w:lang w:val="es-ES"/>
        </w:rPr>
        <w:t xml:space="preserve"> </w:t>
      </w:r>
      <w:r w:rsidR="218D2561" w:rsidRPr="00541F12">
        <w:rPr>
          <w:rFonts w:asciiTheme="majorHAnsi" w:eastAsiaTheme="majorEastAsia" w:hAnsiTheme="majorHAnsi" w:cstheme="majorBidi"/>
          <w:sz w:val="20"/>
          <w:szCs w:val="20"/>
          <w:lang w:val="es-ES"/>
        </w:rPr>
        <w:t xml:space="preserve">casación </w:t>
      </w:r>
      <w:r w:rsidR="360AE2B3" w:rsidRPr="00541F12">
        <w:rPr>
          <w:rFonts w:asciiTheme="majorHAnsi" w:eastAsiaTheme="majorEastAsia" w:hAnsiTheme="majorHAnsi" w:cstheme="majorBidi"/>
          <w:sz w:val="20"/>
          <w:szCs w:val="20"/>
          <w:lang w:val="es-ES"/>
        </w:rPr>
        <w:t xml:space="preserve">presentado por la supuesta víctima. Ecuador argumenta que, frente a la inadmisibilidad de </w:t>
      </w:r>
      <w:r w:rsidR="360AE2B3" w:rsidRPr="00541F12">
        <w:rPr>
          <w:rFonts w:asciiTheme="majorHAnsi" w:eastAsiaTheme="majorEastAsia" w:hAnsiTheme="majorHAnsi" w:cstheme="majorBidi"/>
          <w:color w:val="000000" w:themeColor="text1"/>
          <w:sz w:val="20"/>
          <w:szCs w:val="20"/>
          <w:lang w:val="es-ES"/>
        </w:rPr>
        <w:t>a</w:t>
      </w:r>
      <w:r w:rsidR="360AE2B3" w:rsidRPr="00541F12">
        <w:rPr>
          <w:rFonts w:asciiTheme="majorHAnsi" w:eastAsiaTheme="majorEastAsia" w:hAnsiTheme="majorHAnsi" w:cstheme="majorBidi"/>
          <w:sz w:val="20"/>
          <w:szCs w:val="20"/>
          <w:lang w:val="es-ES"/>
        </w:rPr>
        <w:t xml:space="preserve">cción extraordinaria de protección ante la Corte Constitucional, </w:t>
      </w:r>
      <w:r w:rsidR="188A184E" w:rsidRPr="00541F12">
        <w:rPr>
          <w:rFonts w:asciiTheme="majorHAnsi" w:eastAsiaTheme="majorEastAsia" w:hAnsiTheme="majorHAnsi" w:cstheme="majorBidi"/>
          <w:sz w:val="20"/>
          <w:szCs w:val="20"/>
          <w:lang w:val="es-ES"/>
        </w:rPr>
        <w:t>se demuestra que</w:t>
      </w:r>
      <w:r w:rsidR="360AE2B3" w:rsidRPr="00541F12">
        <w:rPr>
          <w:rFonts w:asciiTheme="majorHAnsi" w:eastAsiaTheme="majorEastAsia" w:hAnsiTheme="majorHAnsi" w:cstheme="majorBidi"/>
          <w:sz w:val="20"/>
          <w:szCs w:val="20"/>
          <w:lang w:val="es-ES"/>
        </w:rPr>
        <w:t xml:space="preserve"> </w:t>
      </w:r>
      <w:r w:rsidR="188A184E" w:rsidRPr="00541F12">
        <w:rPr>
          <w:rFonts w:asciiTheme="majorHAnsi" w:eastAsiaTheme="majorEastAsia" w:hAnsiTheme="majorHAnsi" w:cstheme="majorBidi"/>
          <w:sz w:val="20"/>
          <w:szCs w:val="20"/>
          <w:lang w:val="es-ES"/>
        </w:rPr>
        <w:t xml:space="preserve">dicho </w:t>
      </w:r>
      <w:r w:rsidR="360AE2B3" w:rsidRPr="00541F12">
        <w:rPr>
          <w:rFonts w:asciiTheme="majorHAnsi" w:eastAsiaTheme="majorEastAsia" w:hAnsiTheme="majorHAnsi" w:cstheme="majorBidi"/>
          <w:sz w:val="20"/>
          <w:szCs w:val="20"/>
          <w:lang w:val="es-ES"/>
        </w:rPr>
        <w:t>recurso fue presentado de forma indebida</w:t>
      </w:r>
      <w:r w:rsidR="2F56EE09" w:rsidRPr="00541F12">
        <w:rPr>
          <w:rFonts w:asciiTheme="majorHAnsi" w:eastAsiaTheme="majorEastAsia" w:hAnsiTheme="majorHAnsi" w:cstheme="majorBidi"/>
          <w:sz w:val="20"/>
          <w:szCs w:val="20"/>
          <w:lang w:val="es-ES"/>
        </w:rPr>
        <w:t xml:space="preserve"> y que no debe ser considerado para el plazo del artículo 46.1.b)</w:t>
      </w:r>
      <w:r w:rsidR="19D9095C" w:rsidRPr="00541F12">
        <w:rPr>
          <w:rFonts w:asciiTheme="majorHAnsi" w:eastAsiaTheme="majorEastAsia" w:hAnsiTheme="majorHAnsi" w:cstheme="majorBidi"/>
          <w:sz w:val="20"/>
          <w:szCs w:val="20"/>
          <w:lang w:val="es-ES"/>
        </w:rPr>
        <w:t>. A su vez, la presunta víctima afirma que la acción extraordinaria ofrecía la posibilidad de analizar y re</w:t>
      </w:r>
      <w:r w:rsidR="15754A5B" w:rsidRPr="00541F12">
        <w:rPr>
          <w:rFonts w:asciiTheme="majorHAnsi" w:eastAsiaTheme="majorEastAsia" w:hAnsiTheme="majorHAnsi" w:cstheme="majorBidi"/>
          <w:sz w:val="20"/>
          <w:szCs w:val="20"/>
          <w:lang w:val="es-ES"/>
        </w:rPr>
        <w:t>para</w:t>
      </w:r>
      <w:r w:rsidR="19D9095C" w:rsidRPr="00541F12">
        <w:rPr>
          <w:rFonts w:asciiTheme="majorHAnsi" w:eastAsiaTheme="majorEastAsia" w:hAnsiTheme="majorHAnsi" w:cstheme="majorBidi"/>
          <w:sz w:val="20"/>
          <w:szCs w:val="20"/>
          <w:lang w:val="es-ES"/>
        </w:rPr>
        <w:t xml:space="preserve">r </w:t>
      </w:r>
      <w:r w:rsidR="5A5E78BD" w:rsidRPr="00541F12">
        <w:rPr>
          <w:rFonts w:asciiTheme="majorHAnsi" w:eastAsiaTheme="majorEastAsia" w:hAnsiTheme="majorHAnsi" w:cstheme="majorBidi"/>
          <w:sz w:val="20"/>
          <w:szCs w:val="20"/>
          <w:lang w:val="es-ES"/>
        </w:rPr>
        <w:t>las</w:t>
      </w:r>
      <w:r w:rsidR="19D9095C" w:rsidRPr="00541F12">
        <w:rPr>
          <w:rFonts w:asciiTheme="majorHAnsi" w:eastAsiaTheme="majorEastAsia" w:hAnsiTheme="majorHAnsi" w:cstheme="majorBidi"/>
          <w:sz w:val="20"/>
          <w:szCs w:val="20"/>
          <w:lang w:val="es-ES"/>
        </w:rPr>
        <w:t xml:space="preserve"> violaciones a </w:t>
      </w:r>
      <w:r w:rsidR="213E09A8" w:rsidRPr="00541F12">
        <w:rPr>
          <w:rFonts w:asciiTheme="majorHAnsi" w:eastAsiaTheme="majorEastAsia" w:hAnsiTheme="majorHAnsi" w:cstheme="majorBidi"/>
          <w:sz w:val="20"/>
          <w:szCs w:val="20"/>
          <w:lang w:val="es-ES"/>
        </w:rPr>
        <w:t xml:space="preserve">sus </w:t>
      </w:r>
      <w:r w:rsidR="19D9095C" w:rsidRPr="00541F12">
        <w:rPr>
          <w:rFonts w:asciiTheme="majorHAnsi" w:eastAsiaTheme="majorEastAsia" w:hAnsiTheme="majorHAnsi" w:cstheme="majorBidi"/>
          <w:sz w:val="20"/>
          <w:szCs w:val="20"/>
          <w:lang w:val="es-ES"/>
        </w:rPr>
        <w:t xml:space="preserve">derechos humanos en el juicio penal. </w:t>
      </w:r>
    </w:p>
    <w:p w14:paraId="6A15C84B" w14:textId="5DAD777A" w:rsidR="009A56CE" w:rsidRPr="00541F12" w:rsidRDefault="4A2015CD"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color w:val="auto"/>
          <w:sz w:val="20"/>
          <w:szCs w:val="20"/>
          <w:lang w:val="es-ES"/>
        </w:rPr>
        <w:t xml:space="preserve">La </w:t>
      </w:r>
      <w:r w:rsidRPr="00541F12">
        <w:rPr>
          <w:rFonts w:asciiTheme="majorHAnsi" w:eastAsiaTheme="majorEastAsia" w:hAnsiTheme="majorHAnsi" w:cstheme="majorBidi"/>
          <w:sz w:val="20"/>
          <w:szCs w:val="20"/>
          <w:lang w:val="es-ES"/>
        </w:rPr>
        <w:t xml:space="preserve">Comisión advierte que el recurso extraordinario de protección, por su propia naturaleza, es un recurso </w:t>
      </w:r>
      <w:r w:rsidR="00D9466F" w:rsidRPr="00541F12">
        <w:rPr>
          <w:rFonts w:asciiTheme="majorHAnsi" w:eastAsiaTheme="majorEastAsia" w:hAnsiTheme="majorHAnsi" w:cstheme="majorBidi"/>
          <w:sz w:val="20"/>
          <w:szCs w:val="20"/>
          <w:lang w:val="es-ES"/>
        </w:rPr>
        <w:t>de naturaleza extraordinaria</w:t>
      </w:r>
      <w:r w:rsidR="000B3E78" w:rsidRPr="00541F12">
        <w:rPr>
          <w:rFonts w:asciiTheme="majorHAnsi" w:eastAsiaTheme="majorEastAsia" w:hAnsiTheme="majorHAnsi" w:cstheme="majorBidi"/>
          <w:sz w:val="20"/>
          <w:szCs w:val="20"/>
          <w:lang w:val="es-ES"/>
        </w:rPr>
        <w:t>.</w:t>
      </w:r>
      <w:r w:rsidRPr="00541F12">
        <w:rPr>
          <w:rFonts w:asciiTheme="majorHAnsi" w:eastAsiaTheme="majorEastAsia" w:hAnsiTheme="majorHAnsi" w:cstheme="majorBidi"/>
          <w:sz w:val="20"/>
          <w:szCs w:val="20"/>
          <w:lang w:val="es-ES"/>
        </w:rPr>
        <w:t xml:space="preserve"> </w:t>
      </w:r>
      <w:r w:rsidR="2080A0E6" w:rsidRPr="00541F12">
        <w:rPr>
          <w:rFonts w:asciiTheme="majorHAnsi" w:eastAsiaTheme="majorEastAsia" w:hAnsiTheme="majorHAnsi" w:cstheme="majorBidi"/>
          <w:sz w:val="20"/>
          <w:szCs w:val="20"/>
          <w:lang w:val="es-ES"/>
        </w:rPr>
        <w:t xml:space="preserve">En sus antecedentes, </w:t>
      </w:r>
      <w:r w:rsidR="05E200E2" w:rsidRPr="00541F12">
        <w:rPr>
          <w:rFonts w:asciiTheme="majorHAnsi" w:eastAsiaTheme="majorEastAsia" w:hAnsiTheme="majorHAnsi" w:cstheme="majorBidi"/>
          <w:sz w:val="20"/>
          <w:szCs w:val="20"/>
          <w:lang w:val="es-ES"/>
        </w:rPr>
        <w:t>a los efectos de analizar el artículo 46.1.b</w:t>
      </w:r>
      <w:r w:rsidR="003F39C1" w:rsidRPr="00541F12">
        <w:rPr>
          <w:rFonts w:asciiTheme="majorHAnsi" w:eastAsiaTheme="majorEastAsia" w:hAnsiTheme="majorHAnsi" w:cstheme="majorBidi"/>
          <w:sz w:val="20"/>
          <w:szCs w:val="20"/>
          <w:lang w:val="es-ES"/>
        </w:rPr>
        <w:t>)</w:t>
      </w:r>
      <w:r w:rsidR="05E200E2" w:rsidRPr="00541F12">
        <w:rPr>
          <w:rFonts w:asciiTheme="majorHAnsi" w:eastAsiaTheme="majorEastAsia" w:hAnsiTheme="majorHAnsi" w:cstheme="majorBidi"/>
          <w:sz w:val="20"/>
          <w:szCs w:val="20"/>
          <w:lang w:val="es-ES"/>
        </w:rPr>
        <w:t xml:space="preserve"> de la Convención Americana, </w:t>
      </w:r>
      <w:r w:rsidR="2080A0E6" w:rsidRPr="00541F12">
        <w:rPr>
          <w:rFonts w:asciiTheme="majorHAnsi" w:eastAsiaTheme="majorEastAsia" w:hAnsiTheme="majorHAnsi" w:cstheme="majorBidi"/>
          <w:sz w:val="20"/>
          <w:szCs w:val="20"/>
          <w:lang w:val="es-ES"/>
        </w:rPr>
        <w:t>la CIDH ha considerado que</w:t>
      </w:r>
      <w:r w:rsidR="007D2D87">
        <w:rPr>
          <w:rFonts w:asciiTheme="majorHAnsi" w:eastAsiaTheme="majorEastAsia" w:hAnsiTheme="majorHAnsi" w:cstheme="majorBidi"/>
          <w:sz w:val="20"/>
          <w:szCs w:val="20"/>
          <w:lang w:val="es-ES"/>
        </w:rPr>
        <w:t>,</w:t>
      </w:r>
      <w:r w:rsidR="2080A0E6" w:rsidRPr="00541F12">
        <w:rPr>
          <w:rFonts w:asciiTheme="majorHAnsi" w:eastAsiaTheme="majorEastAsia" w:hAnsiTheme="majorHAnsi" w:cstheme="majorBidi"/>
          <w:sz w:val="20"/>
          <w:szCs w:val="20"/>
          <w:lang w:val="es-ES"/>
        </w:rPr>
        <w:t xml:space="preserve"> para tomar en cuenta la presentación de un recurso</w:t>
      </w:r>
      <w:r w:rsidR="000B3E78" w:rsidRPr="00541F12">
        <w:rPr>
          <w:rFonts w:asciiTheme="majorHAnsi" w:eastAsiaTheme="majorEastAsia" w:hAnsiTheme="majorHAnsi" w:cstheme="majorBidi"/>
          <w:sz w:val="20"/>
          <w:szCs w:val="20"/>
          <w:lang w:val="es-ES"/>
        </w:rPr>
        <w:t xml:space="preserve"> de naturaleza</w:t>
      </w:r>
      <w:r w:rsidR="2080A0E6" w:rsidRPr="00541F12">
        <w:rPr>
          <w:rFonts w:asciiTheme="majorHAnsi" w:eastAsiaTheme="majorEastAsia" w:hAnsiTheme="majorHAnsi" w:cstheme="majorBidi"/>
          <w:sz w:val="20"/>
          <w:szCs w:val="20"/>
          <w:lang w:val="es-ES"/>
        </w:rPr>
        <w:t xml:space="preserve"> </w:t>
      </w:r>
      <w:r w:rsidR="25247B0A" w:rsidRPr="00541F12">
        <w:rPr>
          <w:rFonts w:asciiTheme="majorHAnsi" w:eastAsiaTheme="majorEastAsia" w:hAnsiTheme="majorHAnsi" w:cstheme="majorBidi"/>
          <w:sz w:val="20"/>
          <w:szCs w:val="20"/>
          <w:lang w:val="es-ES"/>
        </w:rPr>
        <w:t>extraordinari</w:t>
      </w:r>
      <w:r w:rsidR="000B3E78" w:rsidRPr="00541F12">
        <w:rPr>
          <w:rFonts w:asciiTheme="majorHAnsi" w:eastAsiaTheme="majorEastAsia" w:hAnsiTheme="majorHAnsi" w:cstheme="majorBidi"/>
          <w:sz w:val="20"/>
          <w:szCs w:val="20"/>
          <w:lang w:val="es-ES"/>
        </w:rPr>
        <w:t>a</w:t>
      </w:r>
      <w:r w:rsidR="25247B0A" w:rsidRPr="00541F12">
        <w:rPr>
          <w:rFonts w:asciiTheme="majorHAnsi" w:eastAsiaTheme="majorEastAsia" w:hAnsiTheme="majorHAnsi" w:cstheme="majorBidi"/>
          <w:sz w:val="20"/>
          <w:szCs w:val="20"/>
          <w:lang w:val="es-ES"/>
        </w:rPr>
        <w:t xml:space="preserve">, </w:t>
      </w:r>
      <w:r w:rsidR="36AA9F8E" w:rsidRPr="00541F12">
        <w:rPr>
          <w:rFonts w:asciiTheme="majorHAnsi" w:eastAsiaTheme="majorEastAsia" w:hAnsiTheme="majorHAnsi" w:cstheme="majorBidi"/>
          <w:sz w:val="20"/>
          <w:szCs w:val="20"/>
          <w:lang w:val="es-ES"/>
        </w:rPr>
        <w:t xml:space="preserve">se debe </w:t>
      </w:r>
      <w:r w:rsidR="00252A1A" w:rsidRPr="00541F12">
        <w:rPr>
          <w:rFonts w:asciiTheme="majorHAnsi" w:eastAsiaTheme="majorEastAsia" w:hAnsiTheme="majorHAnsi" w:cstheme="majorBidi"/>
          <w:sz w:val="20"/>
          <w:szCs w:val="20"/>
          <w:lang w:val="es-ES"/>
        </w:rPr>
        <w:t>atender a</w:t>
      </w:r>
      <w:r w:rsidR="36AA9F8E" w:rsidRPr="00541F12">
        <w:rPr>
          <w:rFonts w:asciiTheme="majorHAnsi" w:eastAsiaTheme="majorEastAsia" w:hAnsiTheme="majorHAnsi" w:cstheme="majorBidi"/>
          <w:sz w:val="20"/>
          <w:szCs w:val="20"/>
          <w:lang w:val="es-ES"/>
        </w:rPr>
        <w:t xml:space="preserve"> si </w:t>
      </w:r>
      <w:r w:rsidRPr="00541F12">
        <w:rPr>
          <w:rFonts w:asciiTheme="majorHAnsi" w:eastAsiaTheme="majorEastAsia" w:hAnsiTheme="majorHAnsi" w:cstheme="majorBidi"/>
          <w:sz w:val="20"/>
          <w:szCs w:val="20"/>
          <w:lang w:val="es-ES"/>
        </w:rPr>
        <w:t xml:space="preserve">la interposición </w:t>
      </w:r>
      <w:r w:rsidR="7F8AB68B" w:rsidRPr="00541F12">
        <w:rPr>
          <w:rFonts w:asciiTheme="majorHAnsi" w:eastAsiaTheme="majorEastAsia" w:hAnsiTheme="majorHAnsi" w:cstheme="majorBidi"/>
          <w:sz w:val="20"/>
          <w:szCs w:val="20"/>
          <w:lang w:val="es-ES"/>
        </w:rPr>
        <w:t>fue irrazonable o temeraria</w:t>
      </w:r>
      <w:r w:rsidR="00926CA0" w:rsidRPr="00541F12">
        <w:rPr>
          <w:rStyle w:val="FootnoteReference"/>
          <w:rFonts w:asciiTheme="majorHAnsi" w:eastAsiaTheme="majorEastAsia" w:hAnsiTheme="majorHAnsi" w:cstheme="majorBidi"/>
          <w:sz w:val="20"/>
          <w:szCs w:val="20"/>
          <w:lang w:val="es-ES"/>
        </w:rPr>
        <w:footnoteReference w:id="8"/>
      </w:r>
      <w:r w:rsidR="218D646D" w:rsidRPr="00541F12">
        <w:rPr>
          <w:rFonts w:asciiTheme="majorHAnsi" w:eastAsiaTheme="majorEastAsia" w:hAnsiTheme="majorHAnsi" w:cstheme="majorBidi"/>
          <w:sz w:val="20"/>
          <w:szCs w:val="20"/>
          <w:lang w:val="es-ES"/>
        </w:rPr>
        <w:t>.</w:t>
      </w:r>
    </w:p>
    <w:p w14:paraId="2D0E33F2" w14:textId="6343C5A5" w:rsidR="000B3E78" w:rsidRPr="00541F12" w:rsidRDefault="11A32FFE" w:rsidP="00541F12">
      <w:pPr>
        <w:pStyle w:val="ListParagraph"/>
        <w:numPr>
          <w:ilvl w:val="0"/>
          <w:numId w:val="62"/>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En el presente caso,</w:t>
      </w:r>
      <w:r w:rsidR="000B3E78" w:rsidRPr="00541F12">
        <w:rPr>
          <w:rFonts w:asciiTheme="majorHAnsi" w:eastAsiaTheme="majorEastAsia" w:hAnsiTheme="majorHAnsi" w:cstheme="majorBidi"/>
          <w:sz w:val="20"/>
          <w:szCs w:val="20"/>
          <w:lang w:val="es-ES"/>
        </w:rPr>
        <w:t xml:space="preserve"> </w:t>
      </w:r>
      <w:r w:rsidR="00B30B8B" w:rsidRPr="00541F12">
        <w:rPr>
          <w:rFonts w:asciiTheme="majorHAnsi" w:hAnsiTheme="majorHAnsi"/>
          <w:sz w:val="20"/>
          <w:szCs w:val="20"/>
          <w:lang w:val="es-ES"/>
        </w:rPr>
        <w:t>l</w:t>
      </w:r>
      <w:r w:rsidR="000B3E78" w:rsidRPr="00541F12">
        <w:rPr>
          <w:rFonts w:asciiTheme="majorHAnsi" w:hAnsiTheme="majorHAnsi"/>
          <w:sz w:val="20"/>
          <w:szCs w:val="20"/>
          <w:lang w:val="es-ES"/>
        </w:rPr>
        <w:t>a presunta víctima interpuso una acción extraordinaria de protección alegando violaciones al debido proceso y solicitó su admisión para anular la condena penal. Argumentó que hubo un cambio de tipo penal entre la primera instancia y la</w:t>
      </w:r>
      <w:r w:rsidR="00B30B8B" w:rsidRPr="00541F12">
        <w:rPr>
          <w:rFonts w:asciiTheme="majorHAnsi" w:hAnsiTheme="majorHAnsi"/>
          <w:sz w:val="20"/>
          <w:szCs w:val="20"/>
          <w:lang w:val="es-ES"/>
        </w:rPr>
        <w:t xml:space="preserve"> </w:t>
      </w:r>
      <w:r w:rsidR="004A106C" w:rsidRPr="00541F12">
        <w:rPr>
          <w:rFonts w:asciiTheme="majorHAnsi" w:hAnsiTheme="majorHAnsi"/>
          <w:sz w:val="20"/>
          <w:szCs w:val="20"/>
          <w:lang w:val="es-ES"/>
        </w:rPr>
        <w:t>decisión</w:t>
      </w:r>
      <w:r w:rsidR="00B30B8B" w:rsidRPr="00541F12">
        <w:rPr>
          <w:rFonts w:asciiTheme="majorHAnsi" w:hAnsiTheme="majorHAnsi"/>
          <w:sz w:val="20"/>
          <w:szCs w:val="20"/>
          <w:lang w:val="es-ES"/>
        </w:rPr>
        <w:t xml:space="preserve"> de la</w:t>
      </w:r>
      <w:r w:rsidR="000B3E78" w:rsidRPr="00541F12">
        <w:rPr>
          <w:rFonts w:asciiTheme="majorHAnsi" w:hAnsiTheme="majorHAnsi"/>
          <w:sz w:val="20"/>
          <w:szCs w:val="20"/>
          <w:lang w:val="es-ES"/>
        </w:rPr>
        <w:t xml:space="preserve"> Corte Nacional de Justicia, y que no se comprobó adecuadamente la tipicidad de su conducta. La acción fue presentada bajo el artículo 94 de la Constitución, que permitiría este recurso frente a sentencias definitivas que vulneren derechos constitucionales. No obstante, la Corte </w:t>
      </w:r>
      <w:r w:rsidR="004A106C" w:rsidRPr="00541F12">
        <w:rPr>
          <w:rFonts w:asciiTheme="majorHAnsi" w:hAnsiTheme="majorHAnsi"/>
          <w:sz w:val="20"/>
          <w:szCs w:val="20"/>
          <w:lang w:val="es-ES"/>
        </w:rPr>
        <w:t>Constitucional</w:t>
      </w:r>
      <w:r w:rsidR="000B3E78" w:rsidRPr="00541F12">
        <w:rPr>
          <w:rFonts w:asciiTheme="majorHAnsi" w:hAnsiTheme="majorHAnsi"/>
          <w:sz w:val="20"/>
          <w:szCs w:val="20"/>
          <w:lang w:val="es-ES"/>
        </w:rPr>
        <w:t xml:space="preserve"> concluyó que la demanda </w:t>
      </w:r>
      <w:r w:rsidR="00B30B8B" w:rsidRPr="00541F12">
        <w:rPr>
          <w:rFonts w:asciiTheme="majorHAnsi" w:hAnsiTheme="majorHAnsi"/>
          <w:sz w:val="20"/>
          <w:szCs w:val="20"/>
          <w:lang w:val="es-ES"/>
        </w:rPr>
        <w:t xml:space="preserve">se refería </w:t>
      </w:r>
      <w:r w:rsidR="004A106C" w:rsidRPr="00541F12">
        <w:rPr>
          <w:rFonts w:asciiTheme="majorHAnsi" w:hAnsiTheme="majorHAnsi"/>
          <w:sz w:val="20"/>
          <w:szCs w:val="20"/>
          <w:lang w:val="es-ES"/>
        </w:rPr>
        <w:t>únicamente</w:t>
      </w:r>
      <w:r w:rsidR="00B30B8B" w:rsidRPr="00541F12">
        <w:rPr>
          <w:rFonts w:asciiTheme="majorHAnsi" w:hAnsiTheme="majorHAnsi"/>
          <w:sz w:val="20"/>
          <w:szCs w:val="20"/>
          <w:lang w:val="es-ES"/>
        </w:rPr>
        <w:t xml:space="preserve"> a un alegado error de aplicación legal</w:t>
      </w:r>
      <w:r w:rsidR="00F57EE2">
        <w:rPr>
          <w:rFonts w:asciiTheme="majorHAnsi" w:hAnsiTheme="majorHAnsi"/>
          <w:sz w:val="20"/>
          <w:szCs w:val="20"/>
          <w:lang w:val="es-ES"/>
        </w:rPr>
        <w:t>,</w:t>
      </w:r>
      <w:r w:rsidR="00B30B8B" w:rsidRPr="00541F12">
        <w:rPr>
          <w:rFonts w:asciiTheme="majorHAnsi" w:hAnsiTheme="majorHAnsi"/>
          <w:sz w:val="20"/>
          <w:szCs w:val="20"/>
          <w:lang w:val="es-ES"/>
        </w:rPr>
        <w:t xml:space="preserve"> y por ello </w:t>
      </w:r>
      <w:r w:rsidR="000B3E78" w:rsidRPr="00541F12">
        <w:rPr>
          <w:rFonts w:asciiTheme="majorHAnsi" w:hAnsiTheme="majorHAnsi"/>
          <w:sz w:val="20"/>
          <w:szCs w:val="20"/>
          <w:lang w:val="es-ES"/>
        </w:rPr>
        <w:t xml:space="preserve">no cumplía con los </w:t>
      </w:r>
      <w:r w:rsidR="00B30B8B" w:rsidRPr="00541F12">
        <w:rPr>
          <w:rFonts w:asciiTheme="majorHAnsi" w:hAnsiTheme="majorHAnsi"/>
          <w:sz w:val="20"/>
          <w:szCs w:val="20"/>
          <w:lang w:val="es-ES"/>
        </w:rPr>
        <w:t xml:space="preserve">requisitos </w:t>
      </w:r>
      <w:r w:rsidR="000B3E78" w:rsidRPr="00541F12">
        <w:rPr>
          <w:rFonts w:asciiTheme="majorHAnsi" w:hAnsiTheme="majorHAnsi"/>
          <w:sz w:val="20"/>
          <w:szCs w:val="20"/>
          <w:lang w:val="es-ES"/>
        </w:rPr>
        <w:t xml:space="preserve">del artículo 62 de la Ley Orgánica de Garantías </w:t>
      </w:r>
      <w:r w:rsidR="004A106C" w:rsidRPr="00541F12">
        <w:rPr>
          <w:rFonts w:asciiTheme="majorHAnsi" w:hAnsiTheme="majorHAnsi"/>
          <w:sz w:val="20"/>
          <w:szCs w:val="20"/>
          <w:lang w:val="es-ES"/>
        </w:rPr>
        <w:t>Jurisdiccionales</w:t>
      </w:r>
      <w:r w:rsidR="000B3E78" w:rsidRPr="00541F12">
        <w:rPr>
          <w:rFonts w:asciiTheme="majorHAnsi" w:hAnsiTheme="majorHAnsi"/>
          <w:sz w:val="20"/>
          <w:szCs w:val="20"/>
          <w:lang w:val="es-ES"/>
        </w:rPr>
        <w:t>.</w:t>
      </w:r>
    </w:p>
    <w:p w14:paraId="7BFA9EF9" w14:textId="369AC653" w:rsidR="009A56CE" w:rsidRPr="00541F12" w:rsidRDefault="3B44C2BF" w:rsidP="00541F12">
      <w:pPr>
        <w:pStyle w:val="ListParagraph"/>
        <w:numPr>
          <w:ilvl w:val="0"/>
          <w:numId w:val="62"/>
        </w:numPr>
        <w:spacing w:before="240" w:after="240"/>
        <w:ind w:left="0" w:firstLine="720"/>
        <w:jc w:val="both"/>
        <w:rPr>
          <w:rFonts w:asciiTheme="majorHAnsi" w:eastAsiaTheme="majorEastAsia" w:hAnsiTheme="majorHAnsi" w:cstheme="majorBidi"/>
          <w:color w:val="000000" w:themeColor="text1"/>
          <w:sz w:val="20"/>
          <w:szCs w:val="20"/>
          <w:lang w:val="es-ES"/>
        </w:rPr>
      </w:pPr>
      <w:r w:rsidRPr="00541F12">
        <w:rPr>
          <w:rFonts w:asciiTheme="majorHAnsi" w:eastAsiaTheme="majorEastAsia" w:hAnsiTheme="majorHAnsi" w:cstheme="majorBidi"/>
          <w:color w:val="000000" w:themeColor="text1"/>
          <w:sz w:val="20"/>
          <w:szCs w:val="20"/>
          <w:lang w:val="es-ES"/>
        </w:rPr>
        <w:t xml:space="preserve">La CIDH observa </w:t>
      </w:r>
      <w:r w:rsidR="0896973A" w:rsidRPr="00541F12">
        <w:rPr>
          <w:rFonts w:asciiTheme="majorHAnsi" w:eastAsiaTheme="majorEastAsia" w:hAnsiTheme="majorHAnsi" w:cstheme="majorBidi"/>
          <w:color w:val="000000" w:themeColor="text1"/>
          <w:sz w:val="20"/>
          <w:szCs w:val="20"/>
          <w:lang w:val="es-ES"/>
        </w:rPr>
        <w:t>que</w:t>
      </w:r>
      <w:r w:rsidR="002D5D4C">
        <w:rPr>
          <w:rFonts w:asciiTheme="majorHAnsi" w:eastAsiaTheme="majorEastAsia" w:hAnsiTheme="majorHAnsi" w:cstheme="majorBidi"/>
          <w:color w:val="000000" w:themeColor="text1"/>
          <w:sz w:val="20"/>
          <w:szCs w:val="20"/>
          <w:lang w:val="es-ES"/>
        </w:rPr>
        <w:t>,</w:t>
      </w:r>
      <w:r w:rsidRPr="00541F12">
        <w:rPr>
          <w:rFonts w:asciiTheme="majorHAnsi" w:eastAsiaTheme="majorEastAsia" w:hAnsiTheme="majorHAnsi" w:cstheme="majorBidi"/>
          <w:color w:val="000000" w:themeColor="text1"/>
          <w:sz w:val="20"/>
          <w:szCs w:val="20"/>
          <w:lang w:val="es-ES"/>
        </w:rPr>
        <w:t xml:space="preserve"> en el presente caso, tal como </w:t>
      </w:r>
      <w:r w:rsidR="00F76EDC">
        <w:rPr>
          <w:rFonts w:asciiTheme="majorHAnsi" w:eastAsiaTheme="majorEastAsia" w:hAnsiTheme="majorHAnsi" w:cstheme="majorBidi"/>
          <w:color w:val="000000" w:themeColor="text1"/>
          <w:sz w:val="20"/>
          <w:szCs w:val="20"/>
          <w:lang w:val="es-ES"/>
        </w:rPr>
        <w:t>ha indicado</w:t>
      </w:r>
      <w:r w:rsidRPr="00541F12">
        <w:rPr>
          <w:rFonts w:asciiTheme="majorHAnsi" w:eastAsiaTheme="majorEastAsia" w:hAnsiTheme="majorHAnsi" w:cstheme="majorBidi"/>
          <w:color w:val="000000" w:themeColor="text1"/>
          <w:sz w:val="20"/>
          <w:szCs w:val="20"/>
          <w:lang w:val="es-ES"/>
        </w:rPr>
        <w:t xml:space="preserve"> en casos anteriores </w:t>
      </w:r>
      <w:r w:rsidR="00A56449">
        <w:rPr>
          <w:rFonts w:asciiTheme="majorHAnsi" w:eastAsiaTheme="majorEastAsia" w:hAnsiTheme="majorHAnsi" w:cstheme="majorBidi"/>
          <w:color w:val="000000" w:themeColor="text1"/>
          <w:sz w:val="20"/>
          <w:szCs w:val="20"/>
          <w:lang w:val="es-ES"/>
        </w:rPr>
        <w:t xml:space="preserve">en los que </w:t>
      </w:r>
      <w:r w:rsidRPr="00541F12">
        <w:rPr>
          <w:rFonts w:asciiTheme="majorHAnsi" w:eastAsiaTheme="majorEastAsia" w:hAnsiTheme="majorHAnsi" w:cstheme="majorBidi"/>
          <w:color w:val="000000" w:themeColor="text1"/>
          <w:sz w:val="20"/>
          <w:szCs w:val="20"/>
          <w:lang w:val="es-ES"/>
        </w:rPr>
        <w:t xml:space="preserve">el </w:t>
      </w:r>
      <w:r w:rsidR="14E8C4B9" w:rsidRPr="00541F12">
        <w:rPr>
          <w:rFonts w:asciiTheme="majorHAnsi" w:eastAsiaTheme="majorEastAsia" w:hAnsiTheme="majorHAnsi" w:cstheme="majorBidi"/>
          <w:color w:val="000000" w:themeColor="text1"/>
          <w:sz w:val="20"/>
          <w:szCs w:val="20"/>
          <w:lang w:val="es-ES"/>
        </w:rPr>
        <w:t>Estado de Ecuador</w:t>
      </w:r>
      <w:r w:rsidR="5632BC87" w:rsidRPr="00541F12">
        <w:rPr>
          <w:rFonts w:asciiTheme="majorHAnsi" w:eastAsiaTheme="majorEastAsia" w:hAnsiTheme="majorHAnsi" w:cstheme="majorBidi"/>
          <w:color w:val="000000" w:themeColor="text1"/>
          <w:sz w:val="20"/>
          <w:szCs w:val="20"/>
          <w:lang w:val="es-ES"/>
        </w:rPr>
        <w:t xml:space="preserve"> presentó </w:t>
      </w:r>
      <w:r w:rsidR="00073D4E" w:rsidRPr="00541F12">
        <w:rPr>
          <w:rFonts w:asciiTheme="majorHAnsi" w:eastAsiaTheme="majorEastAsia" w:hAnsiTheme="majorHAnsi" w:cstheme="majorBidi"/>
          <w:color w:val="000000" w:themeColor="text1"/>
          <w:sz w:val="20"/>
          <w:szCs w:val="20"/>
          <w:lang w:val="es-ES"/>
        </w:rPr>
        <w:t>un cuestionamiento</w:t>
      </w:r>
      <w:r w:rsidR="5632BC87" w:rsidRPr="00541F12">
        <w:rPr>
          <w:rFonts w:asciiTheme="majorHAnsi" w:eastAsiaTheme="majorEastAsia" w:hAnsiTheme="majorHAnsi" w:cstheme="majorBidi"/>
          <w:color w:val="000000" w:themeColor="text1"/>
          <w:sz w:val="20"/>
          <w:szCs w:val="20"/>
          <w:lang w:val="es-ES"/>
        </w:rPr>
        <w:t xml:space="preserve"> similar</w:t>
      </w:r>
      <w:r w:rsidR="009A56CE" w:rsidRPr="00541F12">
        <w:rPr>
          <w:rFonts w:asciiTheme="majorHAnsi" w:eastAsiaTheme="majorEastAsia" w:hAnsiTheme="majorHAnsi" w:cstheme="majorBidi"/>
          <w:sz w:val="20"/>
          <w:szCs w:val="20"/>
          <w:vertAlign w:val="superscript"/>
          <w:lang w:val="es-ES"/>
        </w:rPr>
        <w:footnoteReference w:id="9"/>
      </w:r>
      <w:r w:rsidR="14E8C4B9" w:rsidRPr="00541F12">
        <w:rPr>
          <w:rFonts w:asciiTheme="majorHAnsi" w:eastAsiaTheme="majorEastAsia" w:hAnsiTheme="majorHAnsi" w:cstheme="majorBidi"/>
          <w:color w:val="000000" w:themeColor="text1"/>
          <w:sz w:val="20"/>
          <w:szCs w:val="20"/>
          <w:lang w:val="es-ES"/>
        </w:rPr>
        <w:t xml:space="preserve">, </w:t>
      </w:r>
      <w:r w:rsidR="33833B31" w:rsidRPr="00541F12">
        <w:rPr>
          <w:rFonts w:asciiTheme="majorHAnsi" w:eastAsiaTheme="majorEastAsia" w:hAnsiTheme="majorHAnsi" w:cstheme="majorBidi"/>
          <w:color w:val="000000" w:themeColor="text1"/>
          <w:sz w:val="20"/>
          <w:szCs w:val="20"/>
          <w:lang w:val="es-ES"/>
        </w:rPr>
        <w:t xml:space="preserve">si </w:t>
      </w:r>
      <w:r w:rsidRPr="00541F12">
        <w:rPr>
          <w:rFonts w:asciiTheme="majorHAnsi" w:eastAsiaTheme="majorEastAsia" w:hAnsiTheme="majorHAnsi" w:cstheme="majorBidi"/>
          <w:color w:val="000000" w:themeColor="text1"/>
          <w:sz w:val="20"/>
          <w:szCs w:val="20"/>
          <w:lang w:val="es-ES"/>
        </w:rPr>
        <w:t xml:space="preserve">bien </w:t>
      </w:r>
      <w:r w:rsidR="79434C90" w:rsidRPr="00541F12">
        <w:rPr>
          <w:rFonts w:asciiTheme="majorHAnsi" w:eastAsiaTheme="majorEastAsia" w:hAnsiTheme="majorHAnsi" w:cstheme="majorBidi"/>
          <w:color w:val="000000" w:themeColor="text1"/>
          <w:sz w:val="20"/>
          <w:szCs w:val="20"/>
          <w:lang w:val="es-ES"/>
        </w:rPr>
        <w:t>la Corte Consti</w:t>
      </w:r>
      <w:r w:rsidR="6F81B591" w:rsidRPr="00541F12">
        <w:rPr>
          <w:rFonts w:asciiTheme="majorHAnsi" w:eastAsiaTheme="majorEastAsia" w:hAnsiTheme="majorHAnsi" w:cstheme="majorBidi"/>
          <w:color w:val="000000" w:themeColor="text1"/>
          <w:sz w:val="20"/>
          <w:szCs w:val="20"/>
          <w:lang w:val="es-ES"/>
        </w:rPr>
        <w:t>tu</w:t>
      </w:r>
      <w:r w:rsidR="79434C90" w:rsidRPr="00541F12">
        <w:rPr>
          <w:rFonts w:asciiTheme="majorHAnsi" w:eastAsiaTheme="majorEastAsia" w:hAnsiTheme="majorHAnsi" w:cstheme="majorBidi"/>
          <w:color w:val="000000" w:themeColor="text1"/>
          <w:sz w:val="20"/>
          <w:szCs w:val="20"/>
          <w:lang w:val="es-ES"/>
        </w:rPr>
        <w:t xml:space="preserve">cional </w:t>
      </w:r>
      <w:r w:rsidRPr="00541F12">
        <w:rPr>
          <w:rFonts w:asciiTheme="majorHAnsi" w:eastAsiaTheme="majorEastAsia" w:hAnsiTheme="majorHAnsi" w:cstheme="majorBidi"/>
          <w:color w:val="000000" w:themeColor="text1"/>
          <w:sz w:val="20"/>
          <w:szCs w:val="20"/>
          <w:lang w:val="es-ES"/>
        </w:rPr>
        <w:t xml:space="preserve">rechazó </w:t>
      </w:r>
      <w:r w:rsidR="0656F345" w:rsidRPr="00541F12">
        <w:rPr>
          <w:rFonts w:asciiTheme="majorHAnsi" w:eastAsiaTheme="majorEastAsia" w:hAnsiTheme="majorHAnsi" w:cstheme="majorBidi"/>
          <w:color w:val="000000" w:themeColor="text1"/>
          <w:sz w:val="20"/>
          <w:szCs w:val="20"/>
          <w:lang w:val="es-ES"/>
        </w:rPr>
        <w:t>l</w:t>
      </w:r>
      <w:r w:rsidR="17982867" w:rsidRPr="00541F12">
        <w:rPr>
          <w:rFonts w:asciiTheme="majorHAnsi" w:eastAsiaTheme="majorEastAsia" w:hAnsiTheme="majorHAnsi" w:cstheme="majorBidi"/>
          <w:color w:val="000000" w:themeColor="text1"/>
          <w:sz w:val="20"/>
          <w:szCs w:val="20"/>
          <w:lang w:val="es-ES"/>
        </w:rPr>
        <w:t>a</w:t>
      </w:r>
      <w:r w:rsidR="0656F345" w:rsidRPr="00541F12">
        <w:rPr>
          <w:rFonts w:asciiTheme="majorHAnsi" w:eastAsiaTheme="majorEastAsia" w:hAnsiTheme="majorHAnsi" w:cstheme="majorBidi"/>
          <w:color w:val="000000" w:themeColor="text1"/>
          <w:sz w:val="20"/>
          <w:szCs w:val="20"/>
          <w:lang w:val="es-ES"/>
        </w:rPr>
        <w:t xml:space="preserve"> acción extraordinaria como </w:t>
      </w:r>
      <w:r w:rsidRPr="00541F12">
        <w:rPr>
          <w:rFonts w:asciiTheme="majorHAnsi" w:eastAsiaTheme="majorEastAsia" w:hAnsiTheme="majorHAnsi" w:cstheme="majorBidi"/>
          <w:color w:val="000000" w:themeColor="text1"/>
          <w:sz w:val="20"/>
          <w:szCs w:val="20"/>
          <w:lang w:val="es-ES"/>
        </w:rPr>
        <w:t xml:space="preserve">inadmisible, </w:t>
      </w:r>
      <w:r w:rsidR="76BA4ADD" w:rsidRPr="00541F12">
        <w:rPr>
          <w:rFonts w:asciiTheme="majorHAnsi" w:eastAsiaTheme="majorEastAsia" w:hAnsiTheme="majorHAnsi" w:cstheme="majorBidi"/>
          <w:color w:val="000000" w:themeColor="text1"/>
          <w:sz w:val="20"/>
          <w:szCs w:val="20"/>
          <w:lang w:val="es-ES"/>
        </w:rPr>
        <w:t>su decisión</w:t>
      </w:r>
      <w:r w:rsidRPr="00541F12">
        <w:rPr>
          <w:rFonts w:asciiTheme="majorHAnsi" w:eastAsiaTheme="majorEastAsia" w:hAnsiTheme="majorHAnsi" w:cstheme="majorBidi"/>
          <w:color w:val="000000" w:themeColor="text1"/>
          <w:sz w:val="20"/>
          <w:szCs w:val="20"/>
          <w:lang w:val="es-ES"/>
        </w:rPr>
        <w:t xml:space="preserve"> implicó un </w:t>
      </w:r>
      <w:bookmarkStart w:id="0" w:name="_Int_SUR2ekCc"/>
      <w:r w:rsidRPr="00541F12">
        <w:rPr>
          <w:rFonts w:asciiTheme="majorHAnsi" w:eastAsiaTheme="majorEastAsia" w:hAnsiTheme="majorHAnsi" w:cstheme="majorBidi"/>
          <w:color w:val="000000" w:themeColor="text1"/>
          <w:sz w:val="20"/>
          <w:szCs w:val="20"/>
          <w:lang w:val="es-ES"/>
        </w:rPr>
        <w:t xml:space="preserve">estudio al menos </w:t>
      </w:r>
      <w:r w:rsidRPr="00541F12">
        <w:rPr>
          <w:rFonts w:asciiTheme="majorHAnsi" w:eastAsiaTheme="majorEastAsia" w:hAnsiTheme="majorHAnsi" w:cstheme="majorBidi"/>
          <w:i/>
          <w:iCs/>
          <w:color w:val="000000" w:themeColor="text1"/>
          <w:sz w:val="20"/>
          <w:szCs w:val="20"/>
          <w:lang w:val="es-ES"/>
        </w:rPr>
        <w:t>prima</w:t>
      </w:r>
      <w:bookmarkEnd w:id="0"/>
      <w:r w:rsidRPr="00541F12">
        <w:rPr>
          <w:rFonts w:asciiTheme="majorHAnsi" w:eastAsiaTheme="majorEastAsia" w:hAnsiTheme="majorHAnsi" w:cstheme="majorBidi"/>
          <w:i/>
          <w:iCs/>
          <w:color w:val="000000" w:themeColor="text1"/>
          <w:sz w:val="20"/>
          <w:szCs w:val="20"/>
          <w:lang w:val="es-ES"/>
        </w:rPr>
        <w:t xml:space="preserve"> facie</w:t>
      </w:r>
      <w:r w:rsidRPr="00541F12">
        <w:rPr>
          <w:rFonts w:asciiTheme="majorHAnsi" w:eastAsiaTheme="majorEastAsia" w:hAnsiTheme="majorHAnsi" w:cstheme="majorBidi"/>
          <w:color w:val="000000" w:themeColor="text1"/>
          <w:sz w:val="20"/>
          <w:szCs w:val="20"/>
          <w:lang w:val="es-ES"/>
        </w:rPr>
        <w:t xml:space="preserve"> de la cuestión jurídica planteada, y no se observa que se haya rechazad</w:t>
      </w:r>
      <w:r w:rsidR="0082196E">
        <w:rPr>
          <w:rFonts w:asciiTheme="majorHAnsi" w:eastAsiaTheme="majorEastAsia" w:hAnsiTheme="majorHAnsi" w:cstheme="majorBidi"/>
          <w:color w:val="000000" w:themeColor="text1"/>
          <w:sz w:val="20"/>
          <w:szCs w:val="20"/>
          <w:lang w:val="es-ES"/>
        </w:rPr>
        <w:t>o</w:t>
      </w:r>
      <w:r w:rsidRPr="00541F12">
        <w:rPr>
          <w:rFonts w:asciiTheme="majorHAnsi" w:eastAsiaTheme="majorEastAsia" w:hAnsiTheme="majorHAnsi" w:cstheme="majorBidi"/>
          <w:color w:val="000000" w:themeColor="text1"/>
          <w:sz w:val="20"/>
          <w:szCs w:val="20"/>
          <w:lang w:val="es-ES"/>
        </w:rPr>
        <w:t xml:space="preserve"> por incumplimiento de alguna formalidad básica o que haya sido desechad</w:t>
      </w:r>
      <w:r w:rsidR="000B3E78" w:rsidRPr="00541F12">
        <w:rPr>
          <w:rFonts w:asciiTheme="majorHAnsi" w:eastAsiaTheme="majorEastAsia" w:hAnsiTheme="majorHAnsi" w:cstheme="majorBidi"/>
          <w:color w:val="000000" w:themeColor="text1"/>
          <w:sz w:val="20"/>
          <w:szCs w:val="20"/>
          <w:lang w:val="es-ES"/>
        </w:rPr>
        <w:t>a</w:t>
      </w:r>
      <w:r w:rsidRPr="00541F12">
        <w:rPr>
          <w:rFonts w:asciiTheme="majorHAnsi" w:eastAsiaTheme="majorEastAsia" w:hAnsiTheme="majorHAnsi" w:cstheme="majorBidi"/>
          <w:color w:val="000000" w:themeColor="text1"/>
          <w:sz w:val="20"/>
          <w:szCs w:val="20"/>
          <w:lang w:val="es-ES"/>
        </w:rPr>
        <w:t xml:space="preserve"> </w:t>
      </w:r>
      <w:r w:rsidRPr="00541F12">
        <w:rPr>
          <w:rFonts w:asciiTheme="majorHAnsi" w:eastAsiaTheme="majorEastAsia" w:hAnsiTheme="majorHAnsi" w:cstheme="majorBidi"/>
          <w:i/>
          <w:color w:val="000000" w:themeColor="text1"/>
          <w:sz w:val="20"/>
          <w:szCs w:val="20"/>
          <w:lang w:val="es-ES"/>
        </w:rPr>
        <w:t>in limine.</w:t>
      </w:r>
      <w:r w:rsidR="6B5023CA" w:rsidRPr="00541F12">
        <w:rPr>
          <w:rFonts w:asciiTheme="majorHAnsi" w:eastAsiaTheme="majorEastAsia" w:hAnsiTheme="majorHAnsi" w:cstheme="majorBidi"/>
          <w:color w:val="000000" w:themeColor="text1"/>
          <w:sz w:val="20"/>
          <w:szCs w:val="20"/>
          <w:lang w:val="es-ES"/>
        </w:rPr>
        <w:t xml:space="preserve"> </w:t>
      </w:r>
      <w:r w:rsidR="68F82B59" w:rsidRPr="00541F12">
        <w:rPr>
          <w:rFonts w:asciiTheme="majorHAnsi" w:eastAsiaTheme="majorEastAsia" w:hAnsiTheme="majorHAnsi" w:cstheme="majorBidi"/>
          <w:color w:val="000000" w:themeColor="text1"/>
          <w:sz w:val="20"/>
          <w:szCs w:val="20"/>
          <w:lang w:val="es-ES"/>
        </w:rPr>
        <w:t xml:space="preserve">Asimismo, la presunta </w:t>
      </w:r>
      <w:r w:rsidR="06341835" w:rsidRPr="00541F12">
        <w:rPr>
          <w:rFonts w:asciiTheme="majorHAnsi" w:eastAsiaTheme="majorEastAsia" w:hAnsiTheme="majorHAnsi" w:cstheme="majorBidi"/>
          <w:color w:val="000000" w:themeColor="text1"/>
          <w:sz w:val="20"/>
          <w:szCs w:val="20"/>
          <w:lang w:val="es-ES"/>
        </w:rPr>
        <w:t>víctima</w:t>
      </w:r>
      <w:r w:rsidR="68F82B59" w:rsidRPr="00541F12">
        <w:rPr>
          <w:rFonts w:asciiTheme="majorHAnsi" w:eastAsiaTheme="majorEastAsia" w:hAnsiTheme="majorHAnsi" w:cstheme="majorBidi"/>
          <w:color w:val="000000" w:themeColor="text1"/>
          <w:sz w:val="20"/>
          <w:szCs w:val="20"/>
          <w:lang w:val="es-ES"/>
        </w:rPr>
        <w:t xml:space="preserve"> interpuso la acción extraordinaria el </w:t>
      </w:r>
      <w:r w:rsidR="1AA87250" w:rsidRPr="00541F12">
        <w:rPr>
          <w:rFonts w:asciiTheme="majorHAnsi" w:eastAsiaTheme="majorEastAsia" w:hAnsiTheme="majorHAnsi" w:cstheme="majorBidi"/>
          <w:color w:val="auto"/>
          <w:sz w:val="20"/>
          <w:szCs w:val="20"/>
          <w:lang w:val="es-ES" w:eastAsia="en-US"/>
        </w:rPr>
        <w:t>7 de enero de 2016</w:t>
      </w:r>
      <w:r w:rsidR="68F82B59" w:rsidRPr="00541F12">
        <w:rPr>
          <w:rFonts w:asciiTheme="majorHAnsi" w:eastAsiaTheme="majorEastAsia" w:hAnsiTheme="majorHAnsi" w:cstheme="majorBidi"/>
          <w:color w:val="000000" w:themeColor="text1"/>
          <w:sz w:val="20"/>
          <w:szCs w:val="20"/>
          <w:lang w:val="es-ES"/>
        </w:rPr>
        <w:t xml:space="preserve">, cerca de </w:t>
      </w:r>
      <w:r w:rsidR="003A73F8">
        <w:rPr>
          <w:rFonts w:asciiTheme="majorHAnsi" w:eastAsiaTheme="majorEastAsia" w:hAnsiTheme="majorHAnsi" w:cstheme="majorBidi"/>
          <w:color w:val="000000" w:themeColor="text1"/>
          <w:sz w:val="20"/>
          <w:szCs w:val="20"/>
          <w:lang w:val="es-ES"/>
        </w:rPr>
        <w:t>un</w:t>
      </w:r>
      <w:r w:rsidR="68F82B59" w:rsidRPr="00541F12">
        <w:rPr>
          <w:rFonts w:asciiTheme="majorHAnsi" w:eastAsiaTheme="majorEastAsia" w:hAnsiTheme="majorHAnsi" w:cstheme="majorBidi"/>
          <w:color w:val="000000" w:themeColor="text1"/>
          <w:sz w:val="20"/>
          <w:szCs w:val="20"/>
          <w:lang w:val="es-ES"/>
        </w:rPr>
        <w:t xml:space="preserve"> </w:t>
      </w:r>
      <w:r w:rsidR="004D4D8E" w:rsidRPr="00541F12">
        <w:rPr>
          <w:rFonts w:asciiTheme="majorHAnsi" w:eastAsiaTheme="majorEastAsia" w:hAnsiTheme="majorHAnsi" w:cstheme="majorBidi"/>
          <w:color w:val="000000" w:themeColor="text1"/>
          <w:sz w:val="20"/>
          <w:szCs w:val="20"/>
          <w:lang w:val="es-ES"/>
        </w:rPr>
        <w:t>mes</w:t>
      </w:r>
      <w:r w:rsidR="68F82B59" w:rsidRPr="00541F12">
        <w:rPr>
          <w:rFonts w:asciiTheme="majorHAnsi" w:eastAsiaTheme="majorEastAsia" w:hAnsiTheme="majorHAnsi" w:cstheme="majorBidi"/>
          <w:color w:val="000000" w:themeColor="text1"/>
          <w:sz w:val="20"/>
          <w:szCs w:val="20"/>
          <w:lang w:val="es-ES"/>
        </w:rPr>
        <w:t xml:space="preserve"> después de </w:t>
      </w:r>
      <w:r w:rsidR="582121C6" w:rsidRPr="00541F12">
        <w:rPr>
          <w:rFonts w:asciiTheme="majorHAnsi" w:eastAsiaTheme="majorEastAsia" w:hAnsiTheme="majorHAnsi" w:cstheme="majorBidi"/>
          <w:color w:val="000000" w:themeColor="text1"/>
          <w:sz w:val="20"/>
          <w:szCs w:val="20"/>
          <w:lang w:val="es-ES"/>
        </w:rPr>
        <w:t xml:space="preserve">que </w:t>
      </w:r>
      <w:r w:rsidR="68F82B59" w:rsidRPr="00541F12">
        <w:rPr>
          <w:rFonts w:asciiTheme="majorHAnsi" w:eastAsiaTheme="majorEastAsia" w:hAnsiTheme="majorHAnsi" w:cstheme="majorBidi"/>
          <w:color w:val="000000" w:themeColor="text1"/>
          <w:sz w:val="20"/>
          <w:szCs w:val="20"/>
          <w:lang w:val="es-ES"/>
        </w:rPr>
        <w:t xml:space="preserve">la </w:t>
      </w:r>
      <w:r w:rsidR="67B51B60" w:rsidRPr="00541F12">
        <w:rPr>
          <w:rFonts w:asciiTheme="majorHAnsi" w:eastAsiaTheme="majorEastAsia" w:hAnsiTheme="majorHAnsi" w:cstheme="majorBidi"/>
          <w:color w:val="000000" w:themeColor="text1"/>
          <w:sz w:val="20"/>
          <w:szCs w:val="20"/>
          <w:lang w:val="es-ES"/>
        </w:rPr>
        <w:t>Corte Nacional de Justicia desestimar</w:t>
      </w:r>
      <w:r w:rsidR="2B50209F" w:rsidRPr="00541F12">
        <w:rPr>
          <w:rFonts w:asciiTheme="majorHAnsi" w:eastAsiaTheme="majorEastAsia" w:hAnsiTheme="majorHAnsi" w:cstheme="majorBidi"/>
          <w:color w:val="000000" w:themeColor="text1"/>
          <w:sz w:val="20"/>
          <w:szCs w:val="20"/>
          <w:lang w:val="es-ES"/>
        </w:rPr>
        <w:t>a</w:t>
      </w:r>
      <w:r w:rsidR="67B51B60" w:rsidRPr="00541F12">
        <w:rPr>
          <w:rFonts w:asciiTheme="majorHAnsi" w:eastAsiaTheme="majorEastAsia" w:hAnsiTheme="majorHAnsi" w:cstheme="majorBidi"/>
          <w:color w:val="000000" w:themeColor="text1"/>
          <w:sz w:val="20"/>
          <w:szCs w:val="20"/>
          <w:lang w:val="es-ES"/>
        </w:rPr>
        <w:t xml:space="preserve"> su decisión final sobre la condena penal. </w:t>
      </w:r>
    </w:p>
    <w:p w14:paraId="393EFC32" w14:textId="6AB730F2" w:rsidR="009A56CE" w:rsidRPr="002D6820" w:rsidRDefault="70C1643D" w:rsidP="002D6820">
      <w:pPr>
        <w:pStyle w:val="ListParagraph"/>
        <w:numPr>
          <w:ilvl w:val="0"/>
          <w:numId w:val="62"/>
        </w:numPr>
        <w:spacing w:before="240" w:after="240"/>
        <w:ind w:left="0" w:firstLine="720"/>
        <w:jc w:val="both"/>
        <w:rPr>
          <w:rFonts w:asciiTheme="majorHAnsi" w:eastAsiaTheme="majorEastAsia" w:hAnsiTheme="majorHAnsi" w:cstheme="majorBidi"/>
          <w:color w:val="000000" w:themeColor="text1"/>
          <w:sz w:val="20"/>
          <w:szCs w:val="20"/>
          <w:lang w:val="es-ES"/>
        </w:rPr>
      </w:pPr>
      <w:r w:rsidRPr="00541F12">
        <w:rPr>
          <w:rFonts w:asciiTheme="majorHAnsi" w:eastAsiaTheme="majorEastAsia" w:hAnsiTheme="majorHAnsi" w:cstheme="majorBidi"/>
          <w:color w:val="000000" w:themeColor="text1"/>
          <w:sz w:val="20"/>
          <w:szCs w:val="20"/>
          <w:lang w:val="es-ES"/>
        </w:rPr>
        <w:t xml:space="preserve">Finalmente, la CIDH destaca que, </w:t>
      </w:r>
      <w:r w:rsidR="051365D2" w:rsidRPr="00541F12">
        <w:rPr>
          <w:rFonts w:asciiTheme="majorHAnsi" w:eastAsiaTheme="majorEastAsia" w:hAnsiTheme="majorHAnsi" w:cstheme="majorBidi"/>
          <w:color w:val="000000" w:themeColor="text1"/>
          <w:sz w:val="20"/>
          <w:szCs w:val="20"/>
          <w:lang w:val="es-ES"/>
        </w:rPr>
        <w:t>en</w:t>
      </w:r>
      <w:r w:rsidRPr="00541F12">
        <w:rPr>
          <w:rFonts w:asciiTheme="majorHAnsi" w:eastAsiaTheme="majorEastAsia" w:hAnsiTheme="majorHAnsi" w:cstheme="majorBidi"/>
          <w:color w:val="000000" w:themeColor="text1"/>
          <w:sz w:val="20"/>
          <w:szCs w:val="20"/>
          <w:lang w:val="es-ES"/>
        </w:rPr>
        <w:t xml:space="preserve"> un caso e</w:t>
      </w:r>
      <w:r w:rsidR="51DB2B32" w:rsidRPr="00541F12">
        <w:rPr>
          <w:rFonts w:asciiTheme="majorHAnsi" w:eastAsiaTheme="majorEastAsia" w:hAnsiTheme="majorHAnsi" w:cstheme="majorBidi"/>
          <w:color w:val="000000" w:themeColor="text1"/>
          <w:sz w:val="20"/>
          <w:szCs w:val="20"/>
          <w:lang w:val="es-ES"/>
        </w:rPr>
        <w:t xml:space="preserve">n que se </w:t>
      </w:r>
      <w:r w:rsidR="659CE808" w:rsidRPr="00541F12">
        <w:rPr>
          <w:rFonts w:asciiTheme="majorHAnsi" w:eastAsiaTheme="majorEastAsia" w:hAnsiTheme="majorHAnsi" w:cstheme="majorBidi"/>
          <w:color w:val="000000" w:themeColor="text1"/>
          <w:sz w:val="20"/>
          <w:szCs w:val="20"/>
          <w:lang w:val="es-ES"/>
        </w:rPr>
        <w:t xml:space="preserve">alegaron </w:t>
      </w:r>
      <w:r w:rsidR="51DB2B32" w:rsidRPr="00541F12">
        <w:rPr>
          <w:rFonts w:asciiTheme="majorHAnsi" w:eastAsiaTheme="majorEastAsia" w:hAnsiTheme="majorHAnsi" w:cstheme="majorBidi"/>
          <w:color w:val="000000" w:themeColor="text1"/>
          <w:sz w:val="20"/>
          <w:szCs w:val="20"/>
          <w:lang w:val="es-ES"/>
        </w:rPr>
        <w:t xml:space="preserve">violaciones al derecho a la libertad de expresión, garantías judiciales y otros derechos humanos a raíz de una condena penal, el propio Estado de Ecuador </w:t>
      </w:r>
      <w:r w:rsidRPr="00541F12">
        <w:rPr>
          <w:rFonts w:asciiTheme="majorHAnsi" w:eastAsiaTheme="majorEastAsia" w:hAnsiTheme="majorHAnsi" w:cstheme="majorBidi"/>
          <w:color w:val="000000" w:themeColor="text1"/>
          <w:sz w:val="20"/>
          <w:szCs w:val="20"/>
          <w:lang w:val="es-ES"/>
        </w:rPr>
        <w:t>planteó la falta de agotamiento de los recursos internos porque la víctima de ese caso no había interpuesto una acción extraordinaria de protección, entendiendo a tal acción como válida para ser interpuesta</w:t>
      </w:r>
      <w:r w:rsidR="009A56CE" w:rsidRPr="00541F12">
        <w:rPr>
          <w:rFonts w:asciiTheme="majorHAnsi" w:eastAsiaTheme="majorEastAsia" w:hAnsiTheme="majorHAnsi" w:cstheme="majorBidi"/>
          <w:sz w:val="20"/>
          <w:szCs w:val="20"/>
          <w:vertAlign w:val="superscript"/>
          <w:lang w:val="es-ES"/>
        </w:rPr>
        <w:footnoteReference w:id="10"/>
      </w:r>
      <w:r w:rsidRPr="00541F12">
        <w:rPr>
          <w:rFonts w:asciiTheme="majorHAnsi" w:eastAsiaTheme="majorEastAsia" w:hAnsiTheme="majorHAnsi" w:cstheme="majorBidi"/>
          <w:color w:val="000000" w:themeColor="text1"/>
          <w:sz w:val="20"/>
          <w:szCs w:val="20"/>
          <w:lang w:val="es-ES"/>
        </w:rPr>
        <w:t xml:space="preserve">. </w:t>
      </w:r>
      <w:r w:rsidR="00E82548">
        <w:rPr>
          <w:rFonts w:asciiTheme="majorHAnsi" w:eastAsiaTheme="majorEastAsia" w:hAnsiTheme="majorHAnsi" w:cstheme="majorBidi"/>
          <w:color w:val="000000" w:themeColor="text1"/>
          <w:sz w:val="20"/>
          <w:szCs w:val="20"/>
          <w:lang w:val="es-ES"/>
        </w:rPr>
        <w:t>En consecuencia</w:t>
      </w:r>
      <w:r w:rsidR="003A73F8" w:rsidRPr="00541F12">
        <w:rPr>
          <w:rFonts w:asciiTheme="majorHAnsi" w:eastAsiaTheme="majorEastAsia" w:hAnsiTheme="majorHAnsi" w:cstheme="majorBidi"/>
          <w:color w:val="000000" w:themeColor="text1"/>
          <w:sz w:val="20"/>
          <w:szCs w:val="20"/>
          <w:lang w:val="es-ES"/>
        </w:rPr>
        <w:t xml:space="preserve">, la CIDH </w:t>
      </w:r>
      <w:r w:rsidR="002D6820">
        <w:rPr>
          <w:rFonts w:asciiTheme="majorHAnsi" w:eastAsiaTheme="majorEastAsia" w:hAnsiTheme="majorHAnsi" w:cstheme="majorBidi"/>
          <w:color w:val="000000" w:themeColor="text1"/>
          <w:sz w:val="20"/>
          <w:szCs w:val="20"/>
          <w:lang w:val="es-ES"/>
        </w:rPr>
        <w:t xml:space="preserve">no </w:t>
      </w:r>
      <w:r w:rsidR="003A73F8">
        <w:rPr>
          <w:rFonts w:asciiTheme="majorHAnsi" w:eastAsiaTheme="majorEastAsia" w:hAnsiTheme="majorHAnsi" w:cstheme="majorBidi"/>
          <w:color w:val="000000" w:themeColor="text1"/>
          <w:sz w:val="20"/>
          <w:szCs w:val="20"/>
          <w:lang w:val="es-ES"/>
        </w:rPr>
        <w:t>observa</w:t>
      </w:r>
      <w:r w:rsidR="003A73F8" w:rsidRPr="00541F12">
        <w:rPr>
          <w:rFonts w:asciiTheme="majorHAnsi" w:eastAsiaTheme="majorEastAsia" w:hAnsiTheme="majorHAnsi" w:cstheme="majorBidi"/>
          <w:color w:val="000000" w:themeColor="text1"/>
          <w:sz w:val="20"/>
          <w:szCs w:val="20"/>
          <w:lang w:val="es-ES"/>
        </w:rPr>
        <w:t xml:space="preserve"> que la acción extraordinaria </w:t>
      </w:r>
      <w:r w:rsidR="002D6820">
        <w:rPr>
          <w:rFonts w:asciiTheme="majorHAnsi" w:eastAsiaTheme="majorEastAsia" w:hAnsiTheme="majorHAnsi" w:cstheme="majorBidi"/>
          <w:color w:val="000000" w:themeColor="text1"/>
          <w:sz w:val="20"/>
          <w:szCs w:val="20"/>
          <w:lang w:val="es-ES"/>
        </w:rPr>
        <w:t>haya sido</w:t>
      </w:r>
      <w:r w:rsidR="003A73F8" w:rsidRPr="00541F12">
        <w:rPr>
          <w:rFonts w:asciiTheme="majorHAnsi" w:eastAsiaTheme="majorEastAsia" w:hAnsiTheme="majorHAnsi" w:cstheme="majorBidi"/>
          <w:color w:val="000000" w:themeColor="text1"/>
          <w:sz w:val="20"/>
          <w:szCs w:val="20"/>
          <w:lang w:val="es-ES"/>
        </w:rPr>
        <w:t xml:space="preserve"> presentada de manera temeraria o manifiestamente </w:t>
      </w:r>
      <w:r w:rsidR="002D6820">
        <w:rPr>
          <w:rFonts w:asciiTheme="majorHAnsi" w:eastAsiaTheme="majorEastAsia" w:hAnsiTheme="majorHAnsi" w:cstheme="majorBidi"/>
          <w:color w:val="000000" w:themeColor="text1"/>
          <w:sz w:val="20"/>
          <w:szCs w:val="20"/>
          <w:lang w:val="es-ES"/>
        </w:rPr>
        <w:t>improcedente</w:t>
      </w:r>
      <w:r w:rsidR="003A73F8" w:rsidRPr="00541F12">
        <w:rPr>
          <w:rFonts w:asciiTheme="majorHAnsi" w:eastAsiaTheme="majorEastAsia" w:hAnsiTheme="majorHAnsi" w:cstheme="majorBidi"/>
          <w:color w:val="000000" w:themeColor="text1"/>
          <w:sz w:val="20"/>
          <w:szCs w:val="20"/>
          <w:lang w:val="es-ES"/>
        </w:rPr>
        <w:t xml:space="preserve">, sino con la expectativa </w:t>
      </w:r>
      <w:r w:rsidR="006B7FA8">
        <w:rPr>
          <w:rFonts w:asciiTheme="majorHAnsi" w:eastAsiaTheme="majorEastAsia" w:hAnsiTheme="majorHAnsi" w:cstheme="majorBidi"/>
          <w:color w:val="000000" w:themeColor="text1"/>
          <w:sz w:val="20"/>
          <w:szCs w:val="20"/>
          <w:lang w:val="es-ES"/>
        </w:rPr>
        <w:t xml:space="preserve">legítima </w:t>
      </w:r>
      <w:r w:rsidR="003A73F8" w:rsidRPr="00541F12">
        <w:rPr>
          <w:rFonts w:asciiTheme="majorHAnsi" w:eastAsiaTheme="majorEastAsia" w:hAnsiTheme="majorHAnsi" w:cstheme="majorBidi"/>
          <w:color w:val="000000" w:themeColor="text1"/>
          <w:sz w:val="20"/>
          <w:szCs w:val="20"/>
          <w:lang w:val="es-ES"/>
        </w:rPr>
        <w:t xml:space="preserve">de obtener un resultado favorable. </w:t>
      </w:r>
    </w:p>
    <w:p w14:paraId="46D33810" w14:textId="4FBD1167" w:rsidR="009A56CE" w:rsidRPr="00541F12" w:rsidRDefault="5D872C20" w:rsidP="00541F12">
      <w:pPr>
        <w:pStyle w:val="ListParagraph"/>
        <w:numPr>
          <w:ilvl w:val="0"/>
          <w:numId w:val="62"/>
        </w:numPr>
        <w:spacing w:before="240" w:after="240"/>
        <w:ind w:left="0" w:firstLine="720"/>
        <w:jc w:val="both"/>
        <w:rPr>
          <w:rFonts w:asciiTheme="majorHAnsi" w:eastAsiaTheme="majorEastAsia" w:hAnsiTheme="majorHAnsi" w:cstheme="majorBidi"/>
          <w:color w:val="000000" w:themeColor="text1"/>
          <w:sz w:val="20"/>
          <w:szCs w:val="20"/>
          <w:lang w:val="es-ES"/>
        </w:rPr>
      </w:pPr>
      <w:r w:rsidRPr="00541F12">
        <w:rPr>
          <w:rFonts w:asciiTheme="majorHAnsi" w:eastAsiaTheme="majorEastAsia" w:hAnsiTheme="majorHAnsi" w:cstheme="majorBidi"/>
          <w:color w:val="000000" w:themeColor="text1"/>
          <w:sz w:val="20"/>
          <w:szCs w:val="20"/>
          <w:lang w:val="es-ES"/>
        </w:rPr>
        <w:lastRenderedPageBreak/>
        <w:t xml:space="preserve">Por lo expuesto, la CIDH concluye que puede considerarse a la decisión del </w:t>
      </w:r>
      <w:r w:rsidR="1ED6F0A3" w:rsidRPr="00541F12">
        <w:rPr>
          <w:rFonts w:asciiTheme="majorHAnsi" w:eastAsiaTheme="majorEastAsia" w:hAnsiTheme="majorHAnsi" w:cstheme="majorBidi"/>
          <w:sz w:val="20"/>
          <w:szCs w:val="20"/>
          <w:lang w:val="es-ES"/>
        </w:rPr>
        <w:t>17 de mayo de 2016</w:t>
      </w:r>
      <w:r w:rsidRPr="00541F12">
        <w:rPr>
          <w:rFonts w:asciiTheme="majorHAnsi" w:eastAsiaTheme="majorEastAsia" w:hAnsiTheme="majorHAnsi" w:cstheme="majorBidi"/>
          <w:color w:val="000000" w:themeColor="text1"/>
          <w:sz w:val="20"/>
          <w:szCs w:val="20"/>
          <w:lang w:val="es-ES"/>
        </w:rPr>
        <w:t xml:space="preserve"> como “la decisión definitiva” en los términos del artículo 46.1.b) de la Convención</w:t>
      </w:r>
      <w:r w:rsidR="00C80759">
        <w:rPr>
          <w:rFonts w:asciiTheme="majorHAnsi" w:eastAsiaTheme="majorEastAsia" w:hAnsiTheme="majorHAnsi" w:cstheme="majorBidi"/>
          <w:color w:val="000000" w:themeColor="text1"/>
          <w:sz w:val="20"/>
          <w:szCs w:val="20"/>
          <w:lang w:val="es-ES"/>
        </w:rPr>
        <w:t>,</w:t>
      </w:r>
      <w:r w:rsidRPr="00541F12">
        <w:rPr>
          <w:rFonts w:asciiTheme="majorHAnsi" w:eastAsiaTheme="majorEastAsia" w:hAnsiTheme="majorHAnsi" w:cstheme="majorBidi"/>
          <w:color w:val="000000" w:themeColor="text1"/>
          <w:sz w:val="20"/>
          <w:szCs w:val="20"/>
          <w:lang w:val="es-ES"/>
        </w:rPr>
        <w:t xml:space="preserve"> a efecto de contabilizar el plazo de los seis meses. </w:t>
      </w:r>
      <w:r w:rsidR="00C80759">
        <w:rPr>
          <w:rFonts w:asciiTheme="majorHAnsi" w:eastAsiaTheme="majorEastAsia" w:hAnsiTheme="majorHAnsi" w:cstheme="majorBidi"/>
          <w:color w:val="000000" w:themeColor="text1"/>
          <w:sz w:val="20"/>
          <w:szCs w:val="20"/>
          <w:lang w:val="es-ES"/>
        </w:rPr>
        <w:t>Por ende</w:t>
      </w:r>
      <w:r w:rsidRPr="00541F12">
        <w:rPr>
          <w:rFonts w:asciiTheme="majorHAnsi" w:eastAsiaTheme="majorEastAsia" w:hAnsiTheme="majorHAnsi" w:cstheme="majorBidi"/>
          <w:color w:val="000000" w:themeColor="text1"/>
          <w:sz w:val="20"/>
          <w:szCs w:val="20"/>
          <w:lang w:val="es-ES"/>
        </w:rPr>
        <w:t xml:space="preserve">, si la petición fue presentada el </w:t>
      </w:r>
      <w:r w:rsidR="4F2A183F" w:rsidRPr="00541F12">
        <w:rPr>
          <w:rFonts w:asciiTheme="majorHAnsi" w:eastAsiaTheme="majorEastAsia" w:hAnsiTheme="majorHAnsi" w:cstheme="majorBidi"/>
          <w:color w:val="000000" w:themeColor="text1"/>
          <w:sz w:val="20"/>
          <w:szCs w:val="20"/>
          <w:lang w:val="es-ES"/>
        </w:rPr>
        <w:t>18 de octubre de 2016</w:t>
      </w:r>
      <w:r w:rsidRPr="00541F12">
        <w:rPr>
          <w:rFonts w:asciiTheme="majorHAnsi" w:eastAsiaTheme="majorEastAsia" w:hAnsiTheme="majorHAnsi" w:cstheme="majorBidi"/>
          <w:color w:val="000000" w:themeColor="text1"/>
          <w:sz w:val="20"/>
          <w:szCs w:val="20"/>
          <w:lang w:val="es-ES"/>
        </w:rPr>
        <w:t xml:space="preserve">, fue </w:t>
      </w:r>
      <w:r w:rsidR="00072172">
        <w:rPr>
          <w:rFonts w:asciiTheme="majorHAnsi" w:eastAsiaTheme="majorEastAsia" w:hAnsiTheme="majorHAnsi" w:cstheme="majorBidi"/>
          <w:color w:val="000000" w:themeColor="text1"/>
          <w:sz w:val="20"/>
          <w:szCs w:val="20"/>
          <w:lang w:val="es-ES"/>
        </w:rPr>
        <w:t>interpuesta</w:t>
      </w:r>
      <w:r w:rsidR="00072172" w:rsidRPr="00541F12">
        <w:rPr>
          <w:rFonts w:asciiTheme="majorHAnsi" w:eastAsiaTheme="majorEastAsia" w:hAnsiTheme="majorHAnsi" w:cstheme="majorBidi"/>
          <w:color w:val="000000" w:themeColor="text1"/>
          <w:sz w:val="20"/>
          <w:szCs w:val="20"/>
          <w:lang w:val="es-ES"/>
        </w:rPr>
        <w:t xml:space="preserve"> </w:t>
      </w:r>
      <w:r w:rsidRPr="00541F12">
        <w:rPr>
          <w:rFonts w:asciiTheme="majorHAnsi" w:eastAsiaTheme="majorEastAsia" w:hAnsiTheme="majorHAnsi" w:cstheme="majorBidi"/>
          <w:color w:val="000000" w:themeColor="text1"/>
          <w:sz w:val="20"/>
          <w:szCs w:val="20"/>
          <w:lang w:val="es-ES"/>
        </w:rPr>
        <w:t>dentro del plazo establecido en el artículo 46.1.b) de la Convención.</w:t>
      </w:r>
    </w:p>
    <w:p w14:paraId="5AE925FD" w14:textId="181E51FC" w:rsidR="009A56CE" w:rsidRPr="00541F12" w:rsidRDefault="62693CC1" w:rsidP="00541F12">
      <w:pPr>
        <w:spacing w:before="240" w:after="240"/>
        <w:ind w:firstLine="720"/>
        <w:jc w:val="both"/>
        <w:rPr>
          <w:rFonts w:asciiTheme="majorHAnsi" w:eastAsiaTheme="majorEastAsia" w:hAnsiTheme="majorHAnsi" w:cstheme="majorBidi"/>
          <w:b/>
          <w:bCs/>
          <w:color w:val="000000" w:themeColor="text1"/>
          <w:sz w:val="20"/>
          <w:szCs w:val="20"/>
          <w:lang w:val="es-ES"/>
        </w:rPr>
      </w:pPr>
      <w:r w:rsidRPr="00541F12">
        <w:rPr>
          <w:rFonts w:asciiTheme="majorHAnsi" w:eastAsiaTheme="majorEastAsia" w:hAnsiTheme="majorHAnsi" w:cstheme="majorBidi"/>
          <w:b/>
          <w:bCs/>
          <w:color w:val="000000" w:themeColor="text1"/>
          <w:sz w:val="20"/>
          <w:szCs w:val="20"/>
          <w:lang w:val="es-ES"/>
        </w:rPr>
        <w:t>VII.</w:t>
      </w:r>
      <w:r w:rsidR="009A56CE" w:rsidRPr="00541F12">
        <w:rPr>
          <w:rFonts w:asciiTheme="majorHAnsi" w:hAnsiTheme="majorHAnsi"/>
          <w:sz w:val="20"/>
          <w:szCs w:val="20"/>
          <w:lang w:val="es-ES"/>
        </w:rPr>
        <w:tab/>
      </w:r>
      <w:r w:rsidRPr="00541F12">
        <w:rPr>
          <w:rFonts w:asciiTheme="majorHAnsi" w:eastAsiaTheme="majorEastAsia" w:hAnsiTheme="majorHAnsi" w:cstheme="majorBidi"/>
          <w:b/>
          <w:bCs/>
          <w:color w:val="000000" w:themeColor="text1"/>
          <w:sz w:val="20"/>
          <w:szCs w:val="20"/>
          <w:lang w:val="es-ES"/>
        </w:rPr>
        <w:t>ANÁLISIS DE CARACTERIZACIÓN DE LOS HECHOS ALEGADOS</w:t>
      </w:r>
    </w:p>
    <w:p w14:paraId="6E13E432" w14:textId="77777777" w:rsidR="002176F5" w:rsidRDefault="1A389F93" w:rsidP="002176F5">
      <w:pPr>
        <w:pStyle w:val="ListParagraph"/>
        <w:numPr>
          <w:ilvl w:val="0"/>
          <w:numId w:val="62"/>
        </w:numPr>
        <w:spacing w:before="240" w:after="240"/>
        <w:ind w:left="0" w:firstLine="720"/>
        <w:jc w:val="both"/>
        <w:rPr>
          <w:rFonts w:asciiTheme="majorHAnsi" w:eastAsiaTheme="majorEastAsia" w:hAnsiTheme="majorHAnsi" w:cstheme="majorBidi"/>
          <w:color w:val="000000" w:themeColor="text1"/>
          <w:sz w:val="20"/>
          <w:szCs w:val="20"/>
          <w:lang w:val="es-ES"/>
        </w:rPr>
      </w:pPr>
      <w:r w:rsidRPr="00541F12">
        <w:rPr>
          <w:rFonts w:asciiTheme="majorHAnsi" w:eastAsiaTheme="majorEastAsia" w:hAnsiTheme="majorHAnsi" w:cstheme="majorBidi"/>
          <w:color w:val="000000" w:themeColor="text1"/>
          <w:sz w:val="20"/>
          <w:szCs w:val="20"/>
          <w:lang w:val="es-ES"/>
        </w:rPr>
        <w:t>La parte peticionaria ha expuest</w:t>
      </w:r>
      <w:r w:rsidR="602EE675" w:rsidRPr="00541F12">
        <w:rPr>
          <w:rFonts w:asciiTheme="majorHAnsi" w:eastAsiaTheme="majorEastAsia" w:hAnsiTheme="majorHAnsi" w:cstheme="majorBidi"/>
          <w:color w:val="000000" w:themeColor="text1"/>
          <w:sz w:val="20"/>
          <w:szCs w:val="20"/>
          <w:lang w:val="es-ES"/>
        </w:rPr>
        <w:t>o</w:t>
      </w:r>
      <w:r w:rsidRPr="00541F12">
        <w:rPr>
          <w:rFonts w:asciiTheme="majorHAnsi" w:eastAsiaTheme="majorEastAsia" w:hAnsiTheme="majorHAnsi" w:cstheme="majorBidi"/>
          <w:color w:val="000000" w:themeColor="text1"/>
          <w:sz w:val="20"/>
          <w:szCs w:val="20"/>
          <w:lang w:val="es-ES"/>
        </w:rPr>
        <w:t xml:space="preserve"> distintas razones por las cuales consider</w:t>
      </w:r>
      <w:r w:rsidR="1E9E9718" w:rsidRPr="00541F12">
        <w:rPr>
          <w:rFonts w:asciiTheme="majorHAnsi" w:eastAsiaTheme="majorEastAsia" w:hAnsiTheme="majorHAnsi" w:cstheme="majorBidi"/>
          <w:color w:val="000000" w:themeColor="text1"/>
          <w:sz w:val="20"/>
          <w:szCs w:val="20"/>
          <w:lang w:val="es-ES"/>
        </w:rPr>
        <w:t>a</w:t>
      </w:r>
      <w:r w:rsidRPr="00541F12">
        <w:rPr>
          <w:rFonts w:asciiTheme="majorHAnsi" w:eastAsiaTheme="majorEastAsia" w:hAnsiTheme="majorHAnsi" w:cstheme="majorBidi"/>
          <w:color w:val="000000" w:themeColor="text1"/>
          <w:sz w:val="20"/>
          <w:szCs w:val="20"/>
          <w:lang w:val="es-ES"/>
        </w:rPr>
        <w:t xml:space="preserve"> que la condena penal de la </w:t>
      </w:r>
      <w:r w:rsidR="3CD89DDD" w:rsidRPr="00541F12">
        <w:rPr>
          <w:rFonts w:asciiTheme="majorHAnsi" w:eastAsiaTheme="majorEastAsia" w:hAnsiTheme="majorHAnsi" w:cstheme="majorBidi"/>
          <w:color w:val="000000" w:themeColor="text1"/>
          <w:sz w:val="20"/>
          <w:szCs w:val="20"/>
          <w:lang w:val="es-ES"/>
        </w:rPr>
        <w:t>presunta víctima</w:t>
      </w:r>
      <w:r w:rsidRPr="00541F12">
        <w:rPr>
          <w:rFonts w:asciiTheme="majorHAnsi" w:eastAsiaTheme="majorEastAsia" w:hAnsiTheme="majorHAnsi" w:cstheme="majorBidi"/>
          <w:color w:val="000000" w:themeColor="text1"/>
          <w:sz w:val="20"/>
          <w:szCs w:val="20"/>
          <w:lang w:val="es-ES"/>
        </w:rPr>
        <w:t xml:space="preserve"> ha sido lesiva a su derecho a la libertad de expresión, al principio de legalidad y no retroactividad, a las </w:t>
      </w:r>
      <w:bookmarkStart w:id="1" w:name="_Int_okBzmD2F"/>
      <w:r w:rsidRPr="00541F12">
        <w:rPr>
          <w:rFonts w:asciiTheme="majorHAnsi" w:eastAsiaTheme="majorEastAsia" w:hAnsiTheme="majorHAnsi" w:cstheme="majorBidi"/>
          <w:color w:val="000000" w:themeColor="text1"/>
          <w:sz w:val="20"/>
          <w:szCs w:val="20"/>
          <w:lang w:val="es-ES"/>
        </w:rPr>
        <w:t>garantías judiciales</w:t>
      </w:r>
      <w:r w:rsidR="36B33E2A" w:rsidRPr="00541F12">
        <w:rPr>
          <w:rFonts w:asciiTheme="majorHAnsi" w:eastAsiaTheme="majorEastAsia" w:hAnsiTheme="majorHAnsi" w:cstheme="majorBidi"/>
          <w:color w:val="000000" w:themeColor="text1"/>
          <w:sz w:val="20"/>
          <w:szCs w:val="20"/>
          <w:lang w:val="es-ES"/>
        </w:rPr>
        <w:t xml:space="preserve"> y protección judicial</w:t>
      </w:r>
      <w:bookmarkEnd w:id="1"/>
      <w:r w:rsidRPr="00541F12">
        <w:rPr>
          <w:rFonts w:asciiTheme="majorHAnsi" w:eastAsiaTheme="majorEastAsia" w:hAnsiTheme="majorHAnsi" w:cstheme="majorBidi"/>
          <w:color w:val="000000" w:themeColor="text1"/>
          <w:sz w:val="20"/>
          <w:szCs w:val="20"/>
          <w:lang w:val="es-ES"/>
        </w:rPr>
        <w:t xml:space="preserve">. En ese sentido, la CIDH observa que, como consecuencia de este procesamiento y condena penales, </w:t>
      </w:r>
      <w:r w:rsidR="5F8BD049" w:rsidRPr="00541F12">
        <w:rPr>
          <w:rFonts w:asciiTheme="majorHAnsi" w:eastAsiaTheme="majorEastAsia" w:hAnsiTheme="majorHAnsi" w:cstheme="majorBidi"/>
          <w:color w:val="000000" w:themeColor="text1"/>
          <w:sz w:val="20"/>
          <w:szCs w:val="20"/>
          <w:lang w:val="es-ES"/>
        </w:rPr>
        <w:t>la presunta víctima</w:t>
      </w:r>
      <w:r w:rsidRPr="00541F12">
        <w:rPr>
          <w:rFonts w:asciiTheme="majorHAnsi" w:eastAsiaTheme="majorEastAsia" w:hAnsiTheme="majorHAnsi" w:cstheme="majorBidi"/>
          <w:color w:val="000000" w:themeColor="text1"/>
          <w:sz w:val="20"/>
          <w:szCs w:val="20"/>
          <w:lang w:val="es-ES"/>
        </w:rPr>
        <w:t xml:space="preserve"> fue efectivamente </w:t>
      </w:r>
      <w:r w:rsidR="79E416AA" w:rsidRPr="00541F12">
        <w:rPr>
          <w:rFonts w:asciiTheme="majorHAnsi" w:eastAsiaTheme="majorEastAsia" w:hAnsiTheme="majorHAnsi" w:cstheme="majorBidi"/>
          <w:color w:val="000000" w:themeColor="text1"/>
          <w:sz w:val="20"/>
          <w:szCs w:val="20"/>
          <w:lang w:val="es-ES"/>
        </w:rPr>
        <w:t xml:space="preserve">condenada a una pena </w:t>
      </w:r>
      <w:r w:rsidR="39A0408D" w:rsidRPr="00541F12">
        <w:rPr>
          <w:rFonts w:asciiTheme="majorHAnsi" w:eastAsiaTheme="majorEastAsia" w:hAnsiTheme="majorHAnsi" w:cstheme="majorBidi"/>
          <w:color w:val="000000" w:themeColor="text1"/>
          <w:sz w:val="20"/>
          <w:szCs w:val="20"/>
          <w:lang w:val="es-ES"/>
        </w:rPr>
        <w:t xml:space="preserve">privativa de libertad </w:t>
      </w:r>
      <w:r w:rsidR="79E416AA" w:rsidRPr="00541F12">
        <w:rPr>
          <w:rFonts w:asciiTheme="majorHAnsi" w:eastAsiaTheme="majorEastAsia" w:hAnsiTheme="majorHAnsi" w:cstheme="majorBidi"/>
          <w:color w:val="000000" w:themeColor="text1"/>
          <w:sz w:val="20"/>
          <w:szCs w:val="20"/>
          <w:lang w:val="es-ES"/>
        </w:rPr>
        <w:t xml:space="preserve">de 18 meses de </w:t>
      </w:r>
      <w:r w:rsidR="1CE1E8A5" w:rsidRPr="00541F12">
        <w:rPr>
          <w:rFonts w:asciiTheme="majorHAnsi" w:eastAsiaTheme="majorEastAsia" w:hAnsiTheme="majorHAnsi" w:cstheme="majorBidi"/>
          <w:color w:val="000000" w:themeColor="text1"/>
          <w:sz w:val="20"/>
          <w:szCs w:val="20"/>
          <w:lang w:val="es-ES"/>
        </w:rPr>
        <w:t>cárcel</w:t>
      </w:r>
      <w:r w:rsidRPr="00541F12">
        <w:rPr>
          <w:rFonts w:asciiTheme="majorHAnsi" w:eastAsiaTheme="majorEastAsia" w:hAnsiTheme="majorHAnsi" w:cstheme="majorBidi"/>
          <w:color w:val="000000" w:themeColor="text1"/>
          <w:sz w:val="20"/>
          <w:szCs w:val="20"/>
          <w:lang w:val="es-ES"/>
        </w:rPr>
        <w:t>, por motivos de hecho y de derecho que deben ser examinados en cuanto a su concordancia con los postulados de la Convención American</w:t>
      </w:r>
      <w:r w:rsidR="1DCC86CF" w:rsidRPr="00541F12">
        <w:rPr>
          <w:rFonts w:asciiTheme="majorHAnsi" w:eastAsiaTheme="majorEastAsia" w:hAnsiTheme="majorHAnsi" w:cstheme="majorBidi"/>
          <w:color w:val="000000" w:themeColor="text1"/>
          <w:sz w:val="20"/>
          <w:szCs w:val="20"/>
          <w:lang w:val="es-ES"/>
        </w:rPr>
        <w:t xml:space="preserve">a. </w:t>
      </w:r>
      <w:r w:rsidR="3EDEF1D1" w:rsidRPr="00541F12">
        <w:rPr>
          <w:rFonts w:asciiTheme="majorHAnsi" w:eastAsiaTheme="majorEastAsia" w:hAnsiTheme="majorHAnsi" w:cstheme="majorBidi"/>
          <w:color w:val="000000" w:themeColor="text1"/>
          <w:sz w:val="20"/>
          <w:szCs w:val="20"/>
          <w:lang w:val="es-ES"/>
        </w:rPr>
        <w:t xml:space="preserve">A la vez, el Estado ha argumentado </w:t>
      </w:r>
      <w:r w:rsidR="4F389A72" w:rsidRPr="00541F12">
        <w:rPr>
          <w:rFonts w:asciiTheme="majorHAnsi" w:eastAsiaTheme="majorEastAsia" w:hAnsiTheme="majorHAnsi" w:cstheme="majorBidi"/>
          <w:color w:val="000000" w:themeColor="text1"/>
          <w:sz w:val="20"/>
          <w:szCs w:val="20"/>
          <w:lang w:val="es-ES"/>
        </w:rPr>
        <w:t>que nunca se modificó el tipo penal de forma arbitraria</w:t>
      </w:r>
      <w:r w:rsidR="0FCCC237" w:rsidRPr="00541F12">
        <w:rPr>
          <w:rFonts w:asciiTheme="majorHAnsi" w:eastAsiaTheme="majorEastAsia" w:hAnsiTheme="majorHAnsi" w:cstheme="majorBidi"/>
          <w:color w:val="000000" w:themeColor="text1"/>
          <w:sz w:val="20"/>
          <w:szCs w:val="20"/>
          <w:lang w:val="es-ES"/>
        </w:rPr>
        <w:t>, sino que el cambio se debió a la aplicación del principio de favorabilidad</w:t>
      </w:r>
      <w:r w:rsidR="06535EBA" w:rsidRPr="00541F12">
        <w:rPr>
          <w:rFonts w:asciiTheme="majorHAnsi" w:eastAsiaTheme="majorEastAsia" w:hAnsiTheme="majorHAnsi" w:cstheme="majorBidi"/>
          <w:color w:val="000000" w:themeColor="text1"/>
          <w:sz w:val="20"/>
          <w:szCs w:val="20"/>
          <w:lang w:val="es-ES"/>
        </w:rPr>
        <w:t xml:space="preserve"> penal</w:t>
      </w:r>
      <w:r w:rsidR="0FCCC237" w:rsidRPr="00541F12">
        <w:rPr>
          <w:rFonts w:asciiTheme="majorHAnsi" w:eastAsiaTheme="majorEastAsia" w:hAnsiTheme="majorHAnsi" w:cstheme="majorBidi"/>
          <w:color w:val="000000" w:themeColor="text1"/>
          <w:sz w:val="20"/>
          <w:szCs w:val="20"/>
          <w:lang w:val="es-ES"/>
        </w:rPr>
        <w:t>.</w:t>
      </w:r>
      <w:r w:rsidR="6B6BE4DA" w:rsidRPr="00541F12">
        <w:rPr>
          <w:rFonts w:asciiTheme="majorHAnsi" w:eastAsiaTheme="majorEastAsia" w:hAnsiTheme="majorHAnsi" w:cstheme="majorBidi"/>
          <w:color w:val="000000" w:themeColor="text1"/>
          <w:sz w:val="20"/>
          <w:szCs w:val="20"/>
          <w:lang w:val="es-ES"/>
        </w:rPr>
        <w:t xml:space="preserve"> </w:t>
      </w:r>
      <w:r w:rsidR="00FE6A70">
        <w:rPr>
          <w:rFonts w:asciiTheme="majorHAnsi" w:eastAsiaTheme="majorEastAsia" w:hAnsiTheme="majorHAnsi" w:cstheme="majorBidi"/>
          <w:color w:val="000000" w:themeColor="text1"/>
          <w:sz w:val="20"/>
          <w:szCs w:val="20"/>
          <w:lang w:val="es-ES"/>
        </w:rPr>
        <w:t>Ecuador concluye</w:t>
      </w:r>
      <w:r w:rsidR="6B6BE4DA" w:rsidRPr="00541F12">
        <w:rPr>
          <w:rFonts w:asciiTheme="majorHAnsi" w:eastAsiaTheme="majorEastAsia" w:hAnsiTheme="majorHAnsi" w:cstheme="majorBidi"/>
          <w:color w:val="000000" w:themeColor="text1"/>
          <w:sz w:val="20"/>
          <w:szCs w:val="20"/>
          <w:lang w:val="es-ES"/>
        </w:rPr>
        <w:t xml:space="preserve"> que en la petición no se identifica ningún tipo de violación a la Convención Americana y que la parte peticionaria acude al </w:t>
      </w:r>
      <w:r w:rsidR="00C07A50" w:rsidRPr="00541F12">
        <w:rPr>
          <w:rFonts w:asciiTheme="majorHAnsi" w:eastAsiaTheme="majorEastAsia" w:hAnsiTheme="majorHAnsi" w:cstheme="majorBidi"/>
          <w:color w:val="000000" w:themeColor="text1"/>
          <w:sz w:val="20"/>
          <w:szCs w:val="20"/>
          <w:lang w:val="es-ES"/>
        </w:rPr>
        <w:t xml:space="preserve">Sistema Interamericano de Derechos Humanos </w:t>
      </w:r>
      <w:r w:rsidR="6B6BE4DA" w:rsidRPr="00541F12">
        <w:rPr>
          <w:rFonts w:asciiTheme="majorHAnsi" w:eastAsiaTheme="majorEastAsia" w:hAnsiTheme="majorHAnsi" w:cstheme="majorBidi"/>
          <w:color w:val="000000" w:themeColor="text1"/>
          <w:sz w:val="20"/>
          <w:szCs w:val="20"/>
          <w:lang w:val="es-ES"/>
        </w:rPr>
        <w:t xml:space="preserve">por no estar conforme con el resultado de las sentencias a nivel interno. </w:t>
      </w:r>
    </w:p>
    <w:p w14:paraId="44279757" w14:textId="187A4CFD" w:rsidR="009A56CE" w:rsidRPr="002176F5" w:rsidRDefault="00FE6A70" w:rsidP="002176F5">
      <w:pPr>
        <w:pStyle w:val="ListParagraph"/>
        <w:numPr>
          <w:ilvl w:val="0"/>
          <w:numId w:val="62"/>
        </w:numPr>
        <w:spacing w:before="240" w:after="240"/>
        <w:ind w:left="0" w:firstLine="720"/>
        <w:jc w:val="both"/>
        <w:rPr>
          <w:rFonts w:asciiTheme="majorHAnsi" w:eastAsiaTheme="majorEastAsia" w:hAnsiTheme="majorHAnsi" w:cstheme="majorBidi"/>
          <w:color w:val="000000" w:themeColor="text1"/>
          <w:sz w:val="20"/>
          <w:szCs w:val="20"/>
          <w:lang w:val="es-ES"/>
        </w:rPr>
      </w:pPr>
      <w:r w:rsidRPr="002176F5">
        <w:rPr>
          <w:rFonts w:asciiTheme="majorHAnsi" w:hAnsiTheme="majorHAnsi"/>
          <w:sz w:val="20"/>
          <w:szCs w:val="20"/>
          <w:lang w:val="es-ES"/>
        </w:rPr>
        <w:t>En primer lugar, l</w:t>
      </w:r>
      <w:r w:rsidR="00BA599A" w:rsidRPr="002176F5">
        <w:rPr>
          <w:rFonts w:asciiTheme="majorHAnsi" w:hAnsiTheme="majorHAnsi"/>
          <w:sz w:val="20"/>
          <w:szCs w:val="20"/>
          <w:lang w:val="es-ES"/>
        </w:rPr>
        <w:t xml:space="preserve">a Comisión reitera </w:t>
      </w:r>
      <w:r w:rsidR="002176F5" w:rsidRPr="002176F5">
        <w:rPr>
          <w:rFonts w:asciiTheme="majorHAnsi" w:hAnsiTheme="majorHAnsi"/>
          <w:sz w:val="20"/>
          <w:szCs w:val="20"/>
          <w:lang w:val="es-ES"/>
        </w:rPr>
        <w:t xml:space="preserve">que el criterio de evaluación de la fase de admisibilidad difiere del que se utiliza para pronunciarse sobre el fondo de una petición; la CIDH debe realizar en esta etapa una evaluación </w:t>
      </w:r>
      <w:r w:rsidR="002176F5" w:rsidRPr="0069564F">
        <w:rPr>
          <w:rFonts w:asciiTheme="majorHAnsi" w:hAnsiTheme="majorHAnsi"/>
          <w:i/>
          <w:iCs/>
          <w:sz w:val="20"/>
          <w:szCs w:val="20"/>
          <w:lang w:val="es-ES"/>
        </w:rPr>
        <w:t>prima facie</w:t>
      </w:r>
      <w:r w:rsidR="002176F5" w:rsidRPr="002176F5">
        <w:rPr>
          <w:rFonts w:asciiTheme="majorHAnsi" w:hAnsiTheme="majorHAnsi"/>
          <w:sz w:val="20"/>
          <w:szCs w:val="20"/>
          <w:lang w:val="es-ES"/>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6332ACA3" w14:textId="6C0DBE13" w:rsidR="00A6360A" w:rsidRPr="00541F12" w:rsidRDefault="05F13F72" w:rsidP="00541F12">
      <w:pPr>
        <w:pStyle w:val="ListParagraph"/>
        <w:numPr>
          <w:ilvl w:val="0"/>
          <w:numId w:val="62"/>
        </w:numPr>
        <w:spacing w:before="240" w:after="240"/>
        <w:ind w:left="0" w:firstLine="720"/>
        <w:jc w:val="both"/>
        <w:rPr>
          <w:rFonts w:asciiTheme="majorHAnsi" w:eastAsiaTheme="majorEastAsia" w:hAnsiTheme="majorHAnsi" w:cstheme="majorBidi"/>
          <w:color w:val="000000" w:themeColor="text1"/>
          <w:sz w:val="20"/>
          <w:szCs w:val="20"/>
          <w:lang w:val="es-ES"/>
        </w:rPr>
      </w:pPr>
      <w:r w:rsidRPr="00541F12">
        <w:rPr>
          <w:rFonts w:asciiTheme="majorHAnsi" w:eastAsiaTheme="majorEastAsia" w:hAnsiTheme="majorHAnsi" w:cstheme="majorBidi"/>
          <w:sz w:val="20"/>
          <w:szCs w:val="20"/>
          <w:lang w:val="es-ES"/>
        </w:rPr>
        <w:t xml:space="preserve">A la vez, la Comisión recalca que los instrumentos jurídicos correspondientes no exigen a la parte peticionaria identificar los derechos específicos que se alegan violados por parte del Estado en un asunto sometido a la Comisión, aunque los peticionarios pueden hacerlo. </w:t>
      </w:r>
      <w:r w:rsidR="00C20880">
        <w:rPr>
          <w:rFonts w:asciiTheme="majorHAnsi" w:eastAsiaTheme="majorEastAsia" w:hAnsiTheme="majorHAnsi" w:cstheme="majorBidi"/>
          <w:sz w:val="20"/>
          <w:szCs w:val="20"/>
          <w:lang w:val="es-ES"/>
        </w:rPr>
        <w:t>Compete</w:t>
      </w:r>
      <w:r w:rsidR="00C20880" w:rsidRPr="00541F12">
        <w:rPr>
          <w:rFonts w:asciiTheme="majorHAnsi" w:eastAsiaTheme="majorEastAsia" w:hAnsiTheme="majorHAnsi" w:cstheme="majorBidi"/>
          <w:sz w:val="20"/>
          <w:szCs w:val="20"/>
          <w:lang w:val="es-ES"/>
        </w:rPr>
        <w:t xml:space="preserve"> </w:t>
      </w:r>
      <w:r w:rsidRPr="00541F12">
        <w:rPr>
          <w:rFonts w:asciiTheme="majorHAnsi" w:eastAsiaTheme="majorEastAsia" w:hAnsiTheme="majorHAnsi" w:cstheme="majorBidi"/>
          <w:sz w:val="20"/>
          <w:szCs w:val="20"/>
          <w:lang w:val="es-ES"/>
        </w:rPr>
        <w:t>a la Comisión, con base en la jurisprudencia del sistema, determinar en sus informes de admisibilidad qué disposición de los</w:t>
      </w:r>
      <w:r w:rsidR="2DEB6DE8" w:rsidRPr="00541F12">
        <w:rPr>
          <w:rFonts w:asciiTheme="majorHAnsi" w:eastAsiaTheme="majorEastAsia" w:hAnsiTheme="majorHAnsi" w:cstheme="majorBidi"/>
          <w:sz w:val="20"/>
          <w:szCs w:val="20"/>
          <w:lang w:val="es-ES"/>
        </w:rPr>
        <w:t xml:space="preserve"> </w:t>
      </w:r>
      <w:r w:rsidRPr="00541F12">
        <w:rPr>
          <w:rFonts w:asciiTheme="majorHAnsi" w:eastAsiaTheme="majorEastAsia" w:hAnsiTheme="majorHAnsi" w:cstheme="majorBidi"/>
          <w:sz w:val="20"/>
          <w:szCs w:val="20"/>
          <w:lang w:val="es-ES"/>
        </w:rPr>
        <w:t>instrumentos interamericanos relevantes es aplicable y podría establecerse su violación si los hechos alegados son probados mediante elementos suficientes</w:t>
      </w:r>
      <w:r w:rsidR="009A56CE" w:rsidRPr="00541F12">
        <w:rPr>
          <w:rFonts w:asciiTheme="majorHAnsi" w:eastAsiaTheme="majorEastAsia" w:hAnsiTheme="majorHAnsi" w:cstheme="majorBidi"/>
          <w:sz w:val="20"/>
          <w:szCs w:val="20"/>
          <w:vertAlign w:val="superscript"/>
          <w:lang w:val="es-ES"/>
        </w:rPr>
        <w:footnoteReference w:id="11"/>
      </w:r>
      <w:r w:rsidRPr="00541F12">
        <w:rPr>
          <w:rFonts w:asciiTheme="majorHAnsi" w:eastAsiaTheme="majorEastAsia" w:hAnsiTheme="majorHAnsi" w:cstheme="majorBidi"/>
          <w:sz w:val="20"/>
          <w:szCs w:val="20"/>
          <w:lang w:val="es-ES"/>
        </w:rPr>
        <w:t>.</w:t>
      </w:r>
      <w:r w:rsidRPr="00541F12">
        <w:rPr>
          <w:rFonts w:asciiTheme="majorHAnsi" w:eastAsiaTheme="majorEastAsia" w:hAnsiTheme="majorHAnsi" w:cstheme="majorBidi"/>
          <w:color w:val="000000" w:themeColor="text1"/>
          <w:sz w:val="20"/>
          <w:szCs w:val="20"/>
          <w:lang w:val="es-ES"/>
        </w:rPr>
        <w:t xml:space="preserve"> </w:t>
      </w:r>
      <w:r w:rsidR="6DAD3B63" w:rsidRPr="00541F12">
        <w:rPr>
          <w:rFonts w:asciiTheme="majorHAnsi" w:eastAsiaTheme="majorEastAsia" w:hAnsiTheme="majorHAnsi" w:cstheme="majorBidi"/>
          <w:color w:val="000000" w:themeColor="text1"/>
          <w:sz w:val="20"/>
          <w:szCs w:val="20"/>
          <w:lang w:val="es-ES"/>
        </w:rPr>
        <w:t>D</w:t>
      </w:r>
      <w:r w:rsidRPr="00541F12">
        <w:rPr>
          <w:rFonts w:asciiTheme="majorHAnsi" w:eastAsiaTheme="majorEastAsia" w:hAnsiTheme="majorHAnsi" w:cstheme="majorBidi"/>
          <w:color w:val="000000" w:themeColor="text1"/>
          <w:sz w:val="20"/>
          <w:szCs w:val="20"/>
          <w:lang w:val="es-ES"/>
        </w:rPr>
        <w:t>ado que tales sanciones se aplicaron debido a la participación de la presunta víctima en un</w:t>
      </w:r>
      <w:r w:rsidR="74B8F51E" w:rsidRPr="00541F12">
        <w:rPr>
          <w:rFonts w:asciiTheme="majorHAnsi" w:eastAsiaTheme="majorEastAsia" w:hAnsiTheme="majorHAnsi" w:cstheme="majorBidi"/>
          <w:color w:val="000000" w:themeColor="text1"/>
          <w:sz w:val="20"/>
          <w:szCs w:val="20"/>
          <w:lang w:val="es-ES"/>
        </w:rPr>
        <w:t xml:space="preserve">a alegada protesta, </w:t>
      </w:r>
      <w:r w:rsidR="00F1389B">
        <w:rPr>
          <w:rFonts w:asciiTheme="majorHAnsi" w:eastAsiaTheme="majorEastAsia" w:hAnsiTheme="majorHAnsi" w:cstheme="majorBidi"/>
          <w:color w:val="000000" w:themeColor="text1"/>
          <w:sz w:val="20"/>
          <w:szCs w:val="20"/>
          <w:lang w:val="es-ES"/>
        </w:rPr>
        <w:t>se debe</w:t>
      </w:r>
      <w:r w:rsidR="00F1389B" w:rsidRPr="00541F12">
        <w:rPr>
          <w:rFonts w:asciiTheme="majorHAnsi" w:eastAsiaTheme="majorEastAsia" w:hAnsiTheme="majorHAnsi" w:cstheme="majorBidi"/>
          <w:color w:val="000000" w:themeColor="text1"/>
          <w:sz w:val="20"/>
          <w:szCs w:val="20"/>
          <w:lang w:val="es-ES"/>
        </w:rPr>
        <w:t xml:space="preserve"> </w:t>
      </w:r>
      <w:r w:rsidR="74B8F51E" w:rsidRPr="00541F12">
        <w:rPr>
          <w:rFonts w:asciiTheme="majorHAnsi" w:eastAsiaTheme="majorEastAsia" w:hAnsiTheme="majorHAnsi" w:cstheme="majorBidi"/>
          <w:color w:val="000000" w:themeColor="text1"/>
          <w:sz w:val="20"/>
          <w:szCs w:val="20"/>
          <w:lang w:val="es-ES"/>
        </w:rPr>
        <w:t>también examinar si los efectos de esas decisiones pueden constituir una afectación, más allá del derecho a la libertad de expresión</w:t>
      </w:r>
      <w:r w:rsidR="235F94B6" w:rsidRPr="00541F12">
        <w:rPr>
          <w:rFonts w:asciiTheme="majorHAnsi" w:eastAsiaTheme="majorEastAsia" w:hAnsiTheme="majorHAnsi" w:cstheme="majorBidi"/>
          <w:color w:val="000000" w:themeColor="text1"/>
          <w:sz w:val="20"/>
          <w:szCs w:val="20"/>
          <w:lang w:val="es-ES"/>
        </w:rPr>
        <w:t xml:space="preserve">, </w:t>
      </w:r>
      <w:r w:rsidR="74B8F51E" w:rsidRPr="00541F12">
        <w:rPr>
          <w:rFonts w:asciiTheme="majorHAnsi" w:eastAsiaTheme="majorEastAsia" w:hAnsiTheme="majorHAnsi" w:cstheme="majorBidi"/>
          <w:color w:val="000000" w:themeColor="text1"/>
          <w:sz w:val="20"/>
          <w:szCs w:val="20"/>
          <w:lang w:val="es-ES"/>
        </w:rPr>
        <w:t xml:space="preserve">al derecho </w:t>
      </w:r>
      <w:r w:rsidR="51822D12" w:rsidRPr="00541F12">
        <w:rPr>
          <w:rFonts w:asciiTheme="majorHAnsi" w:eastAsiaTheme="majorEastAsia" w:hAnsiTheme="majorHAnsi" w:cstheme="majorBidi"/>
          <w:color w:val="000000" w:themeColor="text1"/>
          <w:sz w:val="20"/>
          <w:szCs w:val="20"/>
          <w:lang w:val="es-ES"/>
        </w:rPr>
        <w:t>a</w:t>
      </w:r>
      <w:r w:rsidR="74B8F51E" w:rsidRPr="00541F12">
        <w:rPr>
          <w:rFonts w:asciiTheme="majorHAnsi" w:eastAsiaTheme="majorEastAsia" w:hAnsiTheme="majorHAnsi" w:cstheme="majorBidi"/>
          <w:color w:val="000000" w:themeColor="text1"/>
          <w:sz w:val="20"/>
          <w:szCs w:val="20"/>
          <w:lang w:val="es-ES"/>
        </w:rPr>
        <w:t xml:space="preserve"> la libertad de reunión</w:t>
      </w:r>
      <w:r w:rsidR="009A56CE" w:rsidRPr="00541F12">
        <w:rPr>
          <w:rFonts w:asciiTheme="majorHAnsi" w:eastAsiaTheme="majorEastAsia" w:hAnsiTheme="majorHAnsi" w:cstheme="majorBidi"/>
          <w:color w:val="000000" w:themeColor="text1"/>
          <w:sz w:val="20"/>
          <w:szCs w:val="20"/>
          <w:vertAlign w:val="superscript"/>
          <w:lang w:val="es-ES"/>
        </w:rPr>
        <w:footnoteReference w:id="12"/>
      </w:r>
      <w:r w:rsidR="74B8F51E" w:rsidRPr="00541F12">
        <w:rPr>
          <w:rFonts w:asciiTheme="majorHAnsi" w:eastAsiaTheme="majorEastAsia" w:hAnsiTheme="majorHAnsi" w:cstheme="majorBidi"/>
          <w:color w:val="000000" w:themeColor="text1"/>
          <w:sz w:val="20"/>
          <w:szCs w:val="20"/>
          <w:lang w:val="es-ES"/>
        </w:rPr>
        <w:t>.</w:t>
      </w:r>
    </w:p>
    <w:p w14:paraId="153FAC58" w14:textId="7FEA0C29" w:rsidR="009A56CE" w:rsidRPr="00541F12" w:rsidRDefault="00A6360A" w:rsidP="00541F12">
      <w:pPr>
        <w:pStyle w:val="ListParagraph"/>
        <w:numPr>
          <w:ilvl w:val="0"/>
          <w:numId w:val="62"/>
        </w:numPr>
        <w:spacing w:before="240" w:after="240"/>
        <w:ind w:left="0" w:firstLine="720"/>
        <w:jc w:val="both"/>
        <w:rPr>
          <w:rFonts w:asciiTheme="majorHAnsi" w:eastAsiaTheme="majorEastAsia" w:hAnsiTheme="majorHAnsi" w:cstheme="majorBidi"/>
          <w:color w:val="000000" w:themeColor="text1"/>
          <w:sz w:val="20"/>
          <w:szCs w:val="20"/>
          <w:lang w:val="es-ES"/>
        </w:rPr>
      </w:pPr>
      <w:r w:rsidRPr="00541F12">
        <w:rPr>
          <w:rFonts w:asciiTheme="majorHAnsi" w:eastAsiaTheme="majorEastAsia" w:hAnsiTheme="majorHAnsi" w:cstheme="majorBidi"/>
          <w:color w:val="000000" w:themeColor="text1"/>
          <w:sz w:val="20"/>
          <w:szCs w:val="20"/>
          <w:lang w:val="es-ES"/>
        </w:rPr>
        <w:t xml:space="preserve">Respecto </w:t>
      </w:r>
      <w:r w:rsidR="66E363E9" w:rsidRPr="00541F12">
        <w:rPr>
          <w:rFonts w:asciiTheme="majorHAnsi" w:eastAsiaTheme="majorEastAsia" w:hAnsiTheme="majorHAnsi" w:cstheme="majorBidi"/>
          <w:color w:val="000000" w:themeColor="text1"/>
          <w:sz w:val="20"/>
          <w:szCs w:val="20"/>
          <w:lang w:val="es-ES"/>
        </w:rPr>
        <w:t>a</w:t>
      </w:r>
      <w:r w:rsidRPr="00541F12">
        <w:rPr>
          <w:rFonts w:asciiTheme="majorHAnsi" w:eastAsiaTheme="majorEastAsia" w:hAnsiTheme="majorHAnsi" w:cstheme="majorBidi"/>
          <w:color w:val="000000" w:themeColor="text1"/>
          <w:sz w:val="20"/>
          <w:szCs w:val="20"/>
          <w:lang w:val="es-ES"/>
        </w:rPr>
        <w:t xml:space="preserve">l argumento del Estado de que la </w:t>
      </w:r>
      <w:r w:rsidR="0017750E" w:rsidRPr="00541F12">
        <w:rPr>
          <w:rFonts w:asciiTheme="majorHAnsi" w:eastAsiaTheme="majorEastAsia" w:hAnsiTheme="majorHAnsi" w:cstheme="majorBidi"/>
          <w:color w:val="000000" w:themeColor="text1"/>
          <w:sz w:val="20"/>
          <w:szCs w:val="20"/>
          <w:lang w:val="es-ES"/>
        </w:rPr>
        <w:t>petición demostraría mera inconformidad de la presunta víctima con la condena interna,</w:t>
      </w:r>
      <w:r w:rsidR="3E5DF0FB" w:rsidRPr="00541F12">
        <w:rPr>
          <w:rFonts w:asciiTheme="majorHAnsi" w:eastAsiaTheme="majorEastAsia" w:hAnsiTheme="majorHAnsi" w:cstheme="majorBidi"/>
          <w:color w:val="000000" w:themeColor="text1"/>
          <w:sz w:val="20"/>
          <w:szCs w:val="20"/>
          <w:lang w:val="es-ES"/>
        </w:rPr>
        <w:t xml:space="preserve"> </w:t>
      </w:r>
      <w:r w:rsidR="17B57FBE" w:rsidRPr="00541F12">
        <w:rPr>
          <w:rFonts w:asciiTheme="majorHAnsi" w:eastAsiaTheme="majorEastAsia" w:hAnsiTheme="majorHAnsi" w:cstheme="majorBidi"/>
          <w:color w:val="000000" w:themeColor="text1"/>
          <w:sz w:val="20"/>
          <w:szCs w:val="20"/>
          <w:lang w:val="es-ES"/>
        </w:rPr>
        <w:t xml:space="preserve">la Comisión </w:t>
      </w:r>
      <w:r w:rsidR="006D65DD" w:rsidRPr="00541F12">
        <w:rPr>
          <w:rFonts w:asciiTheme="majorHAnsi" w:eastAsiaTheme="majorEastAsia" w:hAnsiTheme="majorHAnsi" w:cstheme="majorBidi"/>
          <w:color w:val="000000" w:themeColor="text1"/>
          <w:sz w:val="20"/>
          <w:szCs w:val="20"/>
          <w:lang w:val="es-ES"/>
        </w:rPr>
        <w:t>reitera que al</w:t>
      </w:r>
      <w:r w:rsidR="17B57FBE" w:rsidRPr="00541F12">
        <w:rPr>
          <w:rFonts w:asciiTheme="majorHAnsi" w:eastAsiaTheme="majorEastAsia" w:hAnsiTheme="majorHAnsi" w:cstheme="majorBidi"/>
          <w:color w:val="000000" w:themeColor="text1"/>
          <w:sz w:val="20"/>
          <w:szCs w:val="20"/>
          <w:lang w:val="es-ES"/>
        </w:rPr>
        <w:t xml:space="preserve"> admitir una petición no pretende suplantar la competencia de las autoridades judiciales domésticas. </w:t>
      </w:r>
      <w:r w:rsidR="00F1389B">
        <w:rPr>
          <w:rFonts w:asciiTheme="majorHAnsi" w:eastAsiaTheme="majorEastAsia" w:hAnsiTheme="majorHAnsi" w:cstheme="majorBidi"/>
          <w:color w:val="000000" w:themeColor="text1"/>
          <w:sz w:val="20"/>
          <w:szCs w:val="20"/>
          <w:lang w:val="es-ES"/>
        </w:rPr>
        <w:t xml:space="preserve">En efecto, </w:t>
      </w:r>
      <w:r w:rsidR="17B57FBE" w:rsidRPr="00541F12">
        <w:rPr>
          <w:rFonts w:asciiTheme="majorHAnsi" w:eastAsiaTheme="majorEastAsia" w:hAnsiTheme="majorHAnsi" w:cstheme="majorBidi"/>
          <w:color w:val="000000" w:themeColor="text1"/>
          <w:sz w:val="20"/>
          <w:szCs w:val="20"/>
          <w:lang w:val="es-ES"/>
        </w:rPr>
        <w:t>dentro del marco de su mandato</w:t>
      </w:r>
      <w:r w:rsidR="00F1389B">
        <w:rPr>
          <w:rFonts w:asciiTheme="majorHAnsi" w:eastAsiaTheme="majorEastAsia" w:hAnsiTheme="majorHAnsi" w:cstheme="majorBidi"/>
          <w:color w:val="000000" w:themeColor="text1"/>
          <w:sz w:val="20"/>
          <w:szCs w:val="20"/>
          <w:lang w:val="es-ES"/>
        </w:rPr>
        <w:t>, la CIDH</w:t>
      </w:r>
      <w:r w:rsidR="17B57FBE" w:rsidRPr="00541F12">
        <w:rPr>
          <w:rFonts w:asciiTheme="majorHAnsi" w:eastAsiaTheme="majorEastAsia" w:hAnsiTheme="majorHAnsi" w:cstheme="majorBidi"/>
          <w:color w:val="000000" w:themeColor="text1"/>
          <w:sz w:val="20"/>
          <w:szCs w:val="20"/>
          <w:lang w:val="es-ES"/>
        </w:rPr>
        <w:t xml:space="preserve"> sí es competente para declarar admisible una petición y fallar sobre el fondo cuando ésta se refiere a procesos internos que podrían ser violatorios de derechos garantizados por la Convención Americana. Por lo tanto, el hecho que la presunta víctima alegue ser inocente o solicite a la CIDH que revise las pruebas presentadas en los procesos judiciales internos no implica </w:t>
      </w:r>
      <w:r w:rsidR="17B57FBE" w:rsidRPr="00541F12">
        <w:rPr>
          <w:rFonts w:asciiTheme="majorHAnsi" w:eastAsiaTheme="majorEastAsia" w:hAnsiTheme="majorHAnsi" w:cstheme="majorBidi"/>
          <w:i/>
          <w:iCs/>
          <w:color w:val="000000" w:themeColor="text1"/>
          <w:sz w:val="20"/>
          <w:szCs w:val="20"/>
          <w:lang w:val="es-ES"/>
        </w:rPr>
        <w:t xml:space="preserve">per </w:t>
      </w:r>
      <w:bookmarkStart w:id="2" w:name="_Int_wujCmdx0"/>
      <w:r w:rsidR="17B57FBE" w:rsidRPr="00541F12">
        <w:rPr>
          <w:rFonts w:asciiTheme="majorHAnsi" w:eastAsiaTheme="majorEastAsia" w:hAnsiTheme="majorHAnsi" w:cstheme="majorBidi"/>
          <w:i/>
          <w:iCs/>
          <w:color w:val="000000" w:themeColor="text1"/>
          <w:sz w:val="20"/>
          <w:szCs w:val="20"/>
          <w:lang w:val="es-ES"/>
        </w:rPr>
        <w:t>se</w:t>
      </w:r>
      <w:bookmarkEnd w:id="2"/>
      <w:r w:rsidR="17B57FBE" w:rsidRPr="00541F12">
        <w:rPr>
          <w:rFonts w:asciiTheme="majorHAnsi" w:eastAsiaTheme="majorEastAsia" w:hAnsiTheme="majorHAnsi" w:cstheme="majorBidi"/>
          <w:color w:val="000000" w:themeColor="text1"/>
          <w:sz w:val="20"/>
          <w:szCs w:val="20"/>
          <w:lang w:val="es-ES"/>
        </w:rPr>
        <w:t xml:space="preserve"> que la petición sea inadmisible o que la Comisión no sea competente para pronunciarse respecto de </w:t>
      </w:r>
      <w:r w:rsidR="00767C83">
        <w:rPr>
          <w:rFonts w:asciiTheme="majorHAnsi" w:eastAsiaTheme="majorEastAsia" w:hAnsiTheme="majorHAnsi" w:cstheme="majorBidi"/>
          <w:color w:val="000000" w:themeColor="text1"/>
          <w:sz w:val="20"/>
          <w:szCs w:val="20"/>
          <w:lang w:val="es-ES"/>
        </w:rPr>
        <w:t>aquella</w:t>
      </w:r>
      <w:r w:rsidR="17B57FBE" w:rsidRPr="00541F12">
        <w:rPr>
          <w:rFonts w:asciiTheme="majorHAnsi" w:eastAsiaTheme="majorEastAsia" w:hAnsiTheme="majorHAnsi" w:cstheme="majorBidi"/>
          <w:color w:val="000000" w:themeColor="text1"/>
          <w:sz w:val="20"/>
          <w:szCs w:val="20"/>
          <w:lang w:val="es-ES"/>
        </w:rPr>
        <w:t xml:space="preserve">. Esto, dado que el análisis realizado por la Comisión se centra en </w:t>
      </w:r>
      <w:r w:rsidR="33B12362" w:rsidRPr="00541F12">
        <w:rPr>
          <w:rFonts w:asciiTheme="majorHAnsi" w:eastAsiaTheme="majorEastAsia" w:hAnsiTheme="majorHAnsi" w:cstheme="majorBidi"/>
          <w:color w:val="000000" w:themeColor="text1"/>
          <w:sz w:val="20"/>
          <w:szCs w:val="20"/>
          <w:lang w:val="es-ES"/>
        </w:rPr>
        <w:t>s</w:t>
      </w:r>
      <w:r w:rsidR="00702A79">
        <w:rPr>
          <w:rFonts w:asciiTheme="majorHAnsi" w:eastAsiaTheme="majorEastAsia" w:hAnsiTheme="majorHAnsi" w:cstheme="majorBidi"/>
          <w:color w:val="000000" w:themeColor="text1"/>
          <w:sz w:val="20"/>
          <w:szCs w:val="20"/>
          <w:lang w:val="es-ES"/>
        </w:rPr>
        <w:t>i</w:t>
      </w:r>
      <w:r w:rsidR="17B57FBE" w:rsidRPr="00541F12">
        <w:rPr>
          <w:rFonts w:asciiTheme="majorHAnsi" w:eastAsiaTheme="majorEastAsia" w:hAnsiTheme="majorHAnsi" w:cstheme="majorBidi"/>
          <w:color w:val="000000" w:themeColor="text1"/>
          <w:sz w:val="20"/>
          <w:szCs w:val="20"/>
          <w:lang w:val="es-ES"/>
        </w:rPr>
        <w:t xml:space="preserve">, en el marco del proceso penal, se respetaron las garantías al debido proceso y a la protección judicial establecidas en la Convención Americana u otros instrumentos aplicables. Es decir, este análisis es objetivo, y se </w:t>
      </w:r>
      <w:r w:rsidR="00702A79">
        <w:rPr>
          <w:rFonts w:asciiTheme="majorHAnsi" w:eastAsiaTheme="majorEastAsia" w:hAnsiTheme="majorHAnsi" w:cstheme="majorBidi"/>
          <w:color w:val="000000" w:themeColor="text1"/>
          <w:sz w:val="20"/>
          <w:szCs w:val="20"/>
          <w:lang w:val="es-ES"/>
        </w:rPr>
        <w:t>efectúa</w:t>
      </w:r>
      <w:r w:rsidR="00702A79" w:rsidRPr="00541F12">
        <w:rPr>
          <w:rFonts w:asciiTheme="majorHAnsi" w:eastAsiaTheme="majorEastAsia" w:hAnsiTheme="majorHAnsi" w:cstheme="majorBidi"/>
          <w:color w:val="000000" w:themeColor="text1"/>
          <w:sz w:val="20"/>
          <w:szCs w:val="20"/>
          <w:lang w:val="es-ES"/>
        </w:rPr>
        <w:t xml:space="preserve"> </w:t>
      </w:r>
      <w:r w:rsidR="17B57FBE" w:rsidRPr="00541F12">
        <w:rPr>
          <w:rFonts w:asciiTheme="majorHAnsi" w:eastAsiaTheme="majorEastAsia" w:hAnsiTheme="majorHAnsi" w:cstheme="majorBidi"/>
          <w:color w:val="000000" w:themeColor="text1"/>
          <w:sz w:val="20"/>
          <w:szCs w:val="20"/>
          <w:lang w:val="es-ES"/>
        </w:rPr>
        <w:t xml:space="preserve">a la luz de los estándares y normas pertinentes del derecho internacional de los derechos </w:t>
      </w:r>
      <w:r w:rsidR="17B57FBE" w:rsidRPr="00541F12">
        <w:rPr>
          <w:rFonts w:asciiTheme="majorHAnsi" w:eastAsiaTheme="majorEastAsia" w:hAnsiTheme="majorHAnsi" w:cstheme="majorBidi"/>
          <w:color w:val="000000" w:themeColor="text1"/>
          <w:sz w:val="20"/>
          <w:szCs w:val="20"/>
          <w:lang w:val="es-ES"/>
        </w:rPr>
        <w:lastRenderedPageBreak/>
        <w:t xml:space="preserve">humanos, y como tal abarca la actuación de cualquier autoridad pública, incluidos los </w:t>
      </w:r>
      <w:r w:rsidR="008405C6">
        <w:rPr>
          <w:rFonts w:asciiTheme="majorHAnsi" w:eastAsiaTheme="majorEastAsia" w:hAnsiTheme="majorHAnsi" w:cstheme="majorBidi"/>
          <w:color w:val="000000" w:themeColor="text1"/>
          <w:sz w:val="20"/>
          <w:szCs w:val="20"/>
          <w:lang w:val="es-ES"/>
        </w:rPr>
        <w:t xml:space="preserve">y las </w:t>
      </w:r>
      <w:r w:rsidR="17B57FBE" w:rsidRPr="00541F12">
        <w:rPr>
          <w:rFonts w:asciiTheme="majorHAnsi" w:eastAsiaTheme="majorEastAsia" w:hAnsiTheme="majorHAnsi" w:cstheme="majorBidi"/>
          <w:color w:val="000000" w:themeColor="text1"/>
          <w:sz w:val="20"/>
          <w:szCs w:val="20"/>
          <w:lang w:val="es-ES"/>
        </w:rPr>
        <w:t>operador</w:t>
      </w:r>
      <w:r w:rsidR="008405C6">
        <w:rPr>
          <w:rFonts w:asciiTheme="majorHAnsi" w:eastAsiaTheme="majorEastAsia" w:hAnsiTheme="majorHAnsi" w:cstheme="majorBidi"/>
          <w:color w:val="000000" w:themeColor="text1"/>
          <w:sz w:val="20"/>
          <w:szCs w:val="20"/>
          <w:lang w:val="es-ES"/>
        </w:rPr>
        <w:t>a</w:t>
      </w:r>
      <w:r w:rsidR="17B57FBE" w:rsidRPr="00541F12">
        <w:rPr>
          <w:rFonts w:asciiTheme="majorHAnsi" w:eastAsiaTheme="majorEastAsia" w:hAnsiTheme="majorHAnsi" w:cstheme="majorBidi"/>
          <w:color w:val="000000" w:themeColor="text1"/>
          <w:sz w:val="20"/>
          <w:szCs w:val="20"/>
          <w:lang w:val="es-ES"/>
        </w:rPr>
        <w:t>s de justicia</w:t>
      </w:r>
      <w:r w:rsidR="00D0200C" w:rsidRPr="00541F12">
        <w:rPr>
          <w:rStyle w:val="FootnoteReference"/>
          <w:rFonts w:asciiTheme="majorHAnsi" w:eastAsiaTheme="majorEastAsia" w:hAnsiTheme="majorHAnsi" w:cstheme="majorBidi"/>
          <w:color w:val="000000" w:themeColor="text1"/>
          <w:sz w:val="20"/>
          <w:szCs w:val="20"/>
          <w:lang w:val="es-ES"/>
        </w:rPr>
        <w:footnoteReference w:id="13"/>
      </w:r>
      <w:r w:rsidR="17B57FBE" w:rsidRPr="00541F12">
        <w:rPr>
          <w:rFonts w:asciiTheme="majorHAnsi" w:eastAsiaTheme="majorEastAsia" w:hAnsiTheme="majorHAnsi" w:cstheme="majorBidi"/>
          <w:color w:val="000000" w:themeColor="text1"/>
          <w:sz w:val="20"/>
          <w:szCs w:val="20"/>
          <w:lang w:val="es-ES"/>
        </w:rPr>
        <w:t>.</w:t>
      </w:r>
    </w:p>
    <w:p w14:paraId="568F99DB" w14:textId="50E18837" w:rsidR="0034261E" w:rsidRPr="00541F12" w:rsidRDefault="008405C6" w:rsidP="00541F12">
      <w:pPr>
        <w:pStyle w:val="ListParagraph"/>
        <w:numPr>
          <w:ilvl w:val="0"/>
          <w:numId w:val="62"/>
        </w:numPr>
        <w:spacing w:before="240" w:after="240"/>
        <w:ind w:left="0" w:firstLine="720"/>
        <w:jc w:val="both"/>
        <w:rPr>
          <w:rFonts w:asciiTheme="majorHAnsi" w:eastAsiaTheme="majorEastAsia" w:hAnsiTheme="majorHAnsi" w:cstheme="majorBidi"/>
          <w:color w:val="000000" w:themeColor="text1"/>
          <w:sz w:val="20"/>
          <w:szCs w:val="20"/>
          <w:lang w:val="es-ES"/>
        </w:rPr>
      </w:pPr>
      <w:r>
        <w:rPr>
          <w:rFonts w:asciiTheme="majorHAnsi" w:eastAsiaTheme="majorEastAsia" w:hAnsiTheme="majorHAnsi" w:cstheme="majorBidi"/>
          <w:color w:val="000000" w:themeColor="text1"/>
          <w:sz w:val="20"/>
          <w:szCs w:val="20"/>
          <w:lang w:val="es-ES"/>
        </w:rPr>
        <w:t>L</w:t>
      </w:r>
      <w:r w:rsidR="006B3E97" w:rsidRPr="00541F12">
        <w:rPr>
          <w:rFonts w:asciiTheme="majorHAnsi" w:eastAsiaTheme="majorEastAsia" w:hAnsiTheme="majorHAnsi" w:cstheme="majorBidi"/>
          <w:color w:val="000000" w:themeColor="text1"/>
          <w:sz w:val="20"/>
          <w:szCs w:val="20"/>
          <w:lang w:val="es-ES"/>
        </w:rPr>
        <w:t>a Comisión</w:t>
      </w:r>
      <w:r w:rsidR="007309DC" w:rsidRPr="00541F12">
        <w:rPr>
          <w:rFonts w:asciiTheme="majorHAnsi" w:eastAsiaTheme="majorEastAsia" w:hAnsiTheme="majorHAnsi" w:cstheme="majorBidi"/>
          <w:color w:val="000000" w:themeColor="text1"/>
          <w:sz w:val="20"/>
          <w:szCs w:val="20"/>
          <w:lang w:val="es-ES"/>
        </w:rPr>
        <w:t xml:space="preserve"> </w:t>
      </w:r>
      <w:r w:rsidR="00EF29B5" w:rsidRPr="00541F12">
        <w:rPr>
          <w:rFonts w:asciiTheme="majorHAnsi" w:hAnsiTheme="majorHAnsi"/>
          <w:sz w:val="20"/>
          <w:szCs w:val="20"/>
          <w:lang w:val="es-ES"/>
        </w:rPr>
        <w:t xml:space="preserve">resalta </w:t>
      </w:r>
      <w:r w:rsidR="007309DC" w:rsidRPr="00541F12">
        <w:rPr>
          <w:rFonts w:asciiTheme="majorHAnsi" w:hAnsiTheme="majorHAnsi"/>
          <w:sz w:val="20"/>
          <w:szCs w:val="20"/>
          <w:lang w:val="es-ES"/>
        </w:rPr>
        <w:t>precedentes en casos similares en que ha evaluado la criminalización de personas que han participado en protestas</w:t>
      </w:r>
      <w:r w:rsidR="0034261E" w:rsidRPr="00541F12">
        <w:rPr>
          <w:rFonts w:asciiTheme="majorHAnsi" w:hAnsiTheme="majorHAnsi"/>
          <w:sz w:val="20"/>
          <w:szCs w:val="20"/>
          <w:lang w:val="es-ES"/>
        </w:rPr>
        <w:t xml:space="preserve"> en Ecuador</w:t>
      </w:r>
      <w:r w:rsidR="006B3E97" w:rsidRPr="00541F12">
        <w:rPr>
          <w:rStyle w:val="FootnoteReference"/>
          <w:rFonts w:asciiTheme="majorHAnsi" w:hAnsiTheme="majorHAnsi"/>
          <w:sz w:val="20"/>
          <w:szCs w:val="20"/>
          <w:lang w:val="es-ES"/>
        </w:rPr>
        <w:footnoteReference w:id="14"/>
      </w:r>
      <w:r w:rsidR="0034261E" w:rsidRPr="00541F12">
        <w:rPr>
          <w:rFonts w:asciiTheme="majorHAnsi" w:hAnsiTheme="majorHAnsi"/>
          <w:sz w:val="20"/>
          <w:szCs w:val="20"/>
          <w:lang w:val="es-ES"/>
        </w:rPr>
        <w:t>. En particular, en su reciente Informe No. 76/24, la CIDH declaró admisible un caso en el que las presuntas víctimas habrían sido procesadas penalmente por su supuesta participación en un movimiento que, según se alega en el expediente, ingresó a las instalaciones de un edificio gubernamental en Ecuador el 30 de septiembre de 2010. En esa ocasión, los líderes del movimiento habrían leído una declaración ante la prensa desde el interior del edificio.</w:t>
      </w:r>
    </w:p>
    <w:p w14:paraId="20230F12" w14:textId="7F02D632" w:rsidR="007309DC" w:rsidRPr="00541F12" w:rsidRDefault="0034261E" w:rsidP="00541F12">
      <w:pPr>
        <w:pStyle w:val="ListParagraph"/>
        <w:numPr>
          <w:ilvl w:val="0"/>
          <w:numId w:val="62"/>
        </w:numPr>
        <w:spacing w:before="240" w:after="240"/>
        <w:ind w:left="0" w:firstLine="720"/>
        <w:jc w:val="both"/>
        <w:rPr>
          <w:rFonts w:asciiTheme="majorHAnsi" w:eastAsiaTheme="majorEastAsia" w:hAnsiTheme="majorHAnsi" w:cstheme="majorBidi"/>
          <w:color w:val="000000" w:themeColor="text1"/>
          <w:sz w:val="20"/>
          <w:szCs w:val="20"/>
          <w:lang w:val="es-ES"/>
        </w:rPr>
      </w:pPr>
      <w:r w:rsidRPr="00541F12">
        <w:rPr>
          <w:rFonts w:asciiTheme="majorHAnsi" w:hAnsiTheme="majorHAnsi"/>
          <w:sz w:val="20"/>
          <w:szCs w:val="20"/>
          <w:lang w:val="es-ES"/>
        </w:rPr>
        <w:t>Ahora bien</w:t>
      </w:r>
      <w:r w:rsidR="00EF29B5" w:rsidRPr="00541F12">
        <w:rPr>
          <w:rFonts w:asciiTheme="majorHAnsi" w:hAnsiTheme="majorHAnsi"/>
          <w:sz w:val="20"/>
          <w:szCs w:val="20"/>
          <w:lang w:val="es-ES"/>
        </w:rPr>
        <w:t>, la Comisión también advierte que los</w:t>
      </w:r>
      <w:r w:rsidRPr="00541F12">
        <w:rPr>
          <w:rFonts w:asciiTheme="majorHAnsi" w:hAnsiTheme="majorHAnsi"/>
          <w:sz w:val="20"/>
          <w:szCs w:val="20"/>
          <w:lang w:val="es-ES"/>
        </w:rPr>
        <w:t xml:space="preserve"> hechos del presente caso </w:t>
      </w:r>
      <w:r w:rsidR="00EF29B5" w:rsidRPr="00541F12">
        <w:rPr>
          <w:rFonts w:asciiTheme="majorHAnsi" w:hAnsiTheme="majorHAnsi"/>
          <w:sz w:val="20"/>
          <w:szCs w:val="20"/>
          <w:lang w:val="es-ES"/>
        </w:rPr>
        <w:t>se enmarcan en el contexto del “movimiento de 30-S</w:t>
      </w:r>
      <w:r w:rsidRPr="00541F12">
        <w:rPr>
          <w:rFonts w:asciiTheme="majorHAnsi" w:hAnsiTheme="majorHAnsi"/>
          <w:sz w:val="20"/>
          <w:szCs w:val="20"/>
          <w:lang w:val="es-ES"/>
        </w:rPr>
        <w:t>”</w:t>
      </w:r>
      <w:r w:rsidRPr="00541F12">
        <w:rPr>
          <w:rStyle w:val="FootnoteReference"/>
          <w:rFonts w:asciiTheme="majorHAnsi" w:hAnsiTheme="majorHAnsi"/>
          <w:sz w:val="20"/>
          <w:szCs w:val="20"/>
          <w:lang w:val="es-ES"/>
        </w:rPr>
        <w:footnoteReference w:id="15"/>
      </w:r>
      <w:r w:rsidRPr="00541F12">
        <w:rPr>
          <w:rFonts w:asciiTheme="majorHAnsi" w:hAnsiTheme="majorHAnsi"/>
          <w:sz w:val="20"/>
          <w:szCs w:val="20"/>
          <w:lang w:val="es-ES"/>
        </w:rPr>
        <w:t>.</w:t>
      </w:r>
      <w:r w:rsidR="00EF29B5" w:rsidRPr="00541F12">
        <w:rPr>
          <w:rFonts w:asciiTheme="majorHAnsi" w:hAnsiTheme="majorHAnsi"/>
          <w:sz w:val="20"/>
          <w:szCs w:val="20"/>
          <w:lang w:val="es-ES"/>
        </w:rPr>
        <w:t xml:space="preserve"> </w:t>
      </w:r>
      <w:r w:rsidRPr="00541F12">
        <w:rPr>
          <w:rFonts w:asciiTheme="majorHAnsi" w:hAnsiTheme="majorHAnsi"/>
          <w:sz w:val="20"/>
          <w:szCs w:val="20"/>
          <w:lang w:val="es-ES"/>
        </w:rPr>
        <w:t>E</w:t>
      </w:r>
      <w:r w:rsidR="00EF29B5" w:rsidRPr="00541F12">
        <w:rPr>
          <w:rFonts w:asciiTheme="majorHAnsi" w:hAnsiTheme="majorHAnsi"/>
          <w:sz w:val="20"/>
          <w:szCs w:val="20"/>
          <w:lang w:val="es-ES"/>
        </w:rPr>
        <w:t>n la fecha</w:t>
      </w:r>
      <w:r w:rsidRPr="00541F12">
        <w:rPr>
          <w:rFonts w:asciiTheme="majorHAnsi" w:hAnsiTheme="majorHAnsi"/>
          <w:sz w:val="20"/>
          <w:szCs w:val="20"/>
          <w:lang w:val="es-ES"/>
        </w:rPr>
        <w:t xml:space="preserve"> del 30 de septiembre</w:t>
      </w:r>
      <w:r w:rsidR="00EF29B5" w:rsidRPr="00541F12">
        <w:rPr>
          <w:rFonts w:asciiTheme="majorHAnsi" w:hAnsiTheme="majorHAnsi"/>
          <w:sz w:val="20"/>
          <w:szCs w:val="20"/>
          <w:lang w:val="es-ES"/>
        </w:rPr>
        <w:t xml:space="preserve">, </w:t>
      </w:r>
      <w:r w:rsidR="00994D96">
        <w:rPr>
          <w:rFonts w:asciiTheme="majorHAnsi" w:hAnsiTheme="majorHAnsi"/>
          <w:sz w:val="20"/>
          <w:szCs w:val="20"/>
          <w:lang w:val="es-ES"/>
        </w:rPr>
        <w:t>“</w:t>
      </w:r>
      <w:r w:rsidR="00EF29B5" w:rsidRPr="00541F12">
        <w:rPr>
          <w:rFonts w:asciiTheme="majorHAnsi" w:hAnsiTheme="majorHAnsi"/>
          <w:sz w:val="20"/>
          <w:szCs w:val="20"/>
          <w:lang w:val="es-ES"/>
        </w:rPr>
        <w:t>agentes de la policía se amotinaron en algunos cuarteles del país”</w:t>
      </w:r>
      <w:r w:rsidR="00EF29B5" w:rsidRPr="00541F12">
        <w:rPr>
          <w:rStyle w:val="FootnoteReference"/>
          <w:rFonts w:asciiTheme="majorHAnsi" w:hAnsiTheme="majorHAnsi"/>
          <w:sz w:val="20"/>
          <w:szCs w:val="20"/>
          <w:lang w:val="es-ES"/>
        </w:rPr>
        <w:footnoteReference w:id="16"/>
      </w:r>
      <w:r w:rsidRPr="00541F12">
        <w:rPr>
          <w:rFonts w:asciiTheme="majorHAnsi" w:hAnsiTheme="majorHAnsi"/>
          <w:sz w:val="20"/>
          <w:szCs w:val="20"/>
          <w:lang w:val="es-ES"/>
        </w:rPr>
        <w:t xml:space="preserve">; </w:t>
      </w:r>
      <w:r w:rsidR="00EF29B5" w:rsidRPr="00541F12">
        <w:rPr>
          <w:rFonts w:asciiTheme="majorHAnsi" w:hAnsiTheme="majorHAnsi"/>
          <w:sz w:val="20"/>
          <w:szCs w:val="20"/>
          <w:lang w:val="es-ES"/>
        </w:rPr>
        <w:t xml:space="preserve">y </w:t>
      </w:r>
      <w:r w:rsidRPr="00541F12">
        <w:rPr>
          <w:rFonts w:asciiTheme="majorHAnsi" w:hAnsiTheme="majorHAnsi"/>
          <w:sz w:val="20"/>
          <w:szCs w:val="20"/>
          <w:lang w:val="es-ES"/>
        </w:rPr>
        <w:t>la CIDH</w:t>
      </w:r>
      <w:r w:rsidR="00EF29B5" w:rsidRPr="00541F12">
        <w:rPr>
          <w:rFonts w:asciiTheme="majorHAnsi" w:hAnsiTheme="majorHAnsi"/>
          <w:sz w:val="20"/>
          <w:szCs w:val="20"/>
          <w:lang w:val="es-ES"/>
        </w:rPr>
        <w:t xml:space="preserve"> hizo “un llamado urgente a estos sectores a deponer su actitud, a respetar en forma irrestricta el Estado de derecho y a adaptar inmediatamente su conducta de acuerdo con el principio de sujeción al poder civil"</w:t>
      </w:r>
      <w:r w:rsidR="00EF29B5" w:rsidRPr="00541F12">
        <w:rPr>
          <w:rStyle w:val="FootnoteReference"/>
          <w:rFonts w:asciiTheme="majorHAnsi" w:hAnsiTheme="majorHAnsi"/>
          <w:sz w:val="20"/>
          <w:szCs w:val="20"/>
          <w:lang w:val="es-ES"/>
        </w:rPr>
        <w:footnoteReference w:id="17"/>
      </w:r>
      <w:r w:rsidR="00EF29B5" w:rsidRPr="00541F12">
        <w:rPr>
          <w:rFonts w:asciiTheme="majorHAnsi" w:hAnsiTheme="majorHAnsi"/>
          <w:sz w:val="20"/>
          <w:szCs w:val="20"/>
          <w:lang w:val="es-ES"/>
        </w:rPr>
        <w:t xml:space="preserve">. </w:t>
      </w:r>
      <w:r w:rsidR="006B3E97" w:rsidRPr="00541F12">
        <w:rPr>
          <w:rFonts w:asciiTheme="majorHAnsi" w:hAnsiTheme="majorHAnsi"/>
          <w:sz w:val="20"/>
          <w:szCs w:val="20"/>
          <w:lang w:val="es-ES"/>
        </w:rPr>
        <w:t>En s</w:t>
      </w:r>
      <w:r w:rsidRPr="00541F12">
        <w:rPr>
          <w:rFonts w:asciiTheme="majorHAnsi" w:hAnsiTheme="majorHAnsi"/>
          <w:sz w:val="20"/>
          <w:szCs w:val="20"/>
          <w:lang w:val="es-ES"/>
        </w:rPr>
        <w:t>u</w:t>
      </w:r>
      <w:r w:rsidR="006B3E97" w:rsidRPr="00541F12">
        <w:rPr>
          <w:rFonts w:asciiTheme="majorHAnsi" w:hAnsiTheme="majorHAnsi"/>
          <w:sz w:val="20"/>
          <w:szCs w:val="20"/>
          <w:lang w:val="es-ES"/>
        </w:rPr>
        <w:t xml:space="preserve"> informe anual de 2010, la Relatoría Especial para Libertad de Expresión </w:t>
      </w:r>
      <w:r w:rsidRPr="00541F12">
        <w:rPr>
          <w:rFonts w:asciiTheme="majorHAnsi" w:hAnsiTheme="majorHAnsi"/>
          <w:sz w:val="20"/>
          <w:szCs w:val="20"/>
          <w:lang w:val="es-ES"/>
        </w:rPr>
        <w:t xml:space="preserve">de la </w:t>
      </w:r>
      <w:r w:rsidR="00332526">
        <w:rPr>
          <w:rFonts w:asciiTheme="majorHAnsi" w:hAnsiTheme="majorHAnsi"/>
          <w:sz w:val="20"/>
          <w:szCs w:val="20"/>
          <w:lang w:val="es-ES"/>
        </w:rPr>
        <w:t>CIDH</w:t>
      </w:r>
      <w:r w:rsidRPr="00541F12">
        <w:rPr>
          <w:rFonts w:asciiTheme="majorHAnsi" w:hAnsiTheme="majorHAnsi"/>
          <w:sz w:val="20"/>
          <w:szCs w:val="20"/>
          <w:lang w:val="es-ES"/>
        </w:rPr>
        <w:t xml:space="preserve"> </w:t>
      </w:r>
      <w:r w:rsidR="006B3E97" w:rsidRPr="00541F12">
        <w:rPr>
          <w:rFonts w:asciiTheme="majorHAnsi" w:hAnsiTheme="majorHAnsi"/>
          <w:sz w:val="20"/>
          <w:szCs w:val="20"/>
          <w:lang w:val="es-ES"/>
        </w:rPr>
        <w:t xml:space="preserve">registró </w:t>
      </w:r>
      <w:r w:rsidRPr="00541F12">
        <w:rPr>
          <w:rFonts w:asciiTheme="majorHAnsi" w:hAnsiTheme="majorHAnsi"/>
          <w:sz w:val="20"/>
          <w:szCs w:val="20"/>
          <w:lang w:val="es-ES"/>
        </w:rPr>
        <w:t>información</w:t>
      </w:r>
      <w:r w:rsidR="006B3E97" w:rsidRPr="00541F12">
        <w:rPr>
          <w:rFonts w:asciiTheme="majorHAnsi" w:hAnsiTheme="majorHAnsi"/>
          <w:sz w:val="20"/>
          <w:szCs w:val="20"/>
          <w:lang w:val="es-ES"/>
        </w:rPr>
        <w:t xml:space="preserve"> recibida sobre “</w:t>
      </w:r>
      <w:r w:rsidR="006B3E97" w:rsidRPr="001D266C">
        <w:rPr>
          <w:rFonts w:asciiTheme="majorHAnsi" w:hAnsiTheme="majorHAnsi"/>
          <w:i/>
          <w:iCs/>
          <w:sz w:val="20"/>
          <w:szCs w:val="20"/>
          <w:lang w:val="es-ES"/>
        </w:rPr>
        <w:t>actos de agresión contra trabajadores de los medios de comunicación que habrían sido cometidos durante los graves hechos de violencia</w:t>
      </w:r>
      <w:r w:rsidR="006B3E97" w:rsidRPr="00541F12">
        <w:rPr>
          <w:rFonts w:asciiTheme="majorHAnsi" w:hAnsiTheme="majorHAnsi"/>
          <w:sz w:val="20"/>
          <w:szCs w:val="20"/>
          <w:lang w:val="es-ES"/>
        </w:rPr>
        <w:t>”</w:t>
      </w:r>
      <w:r w:rsidR="006B3E97" w:rsidRPr="00541F12">
        <w:rPr>
          <w:rStyle w:val="FootnoteReference"/>
          <w:rFonts w:asciiTheme="majorHAnsi" w:hAnsiTheme="majorHAnsi"/>
          <w:sz w:val="20"/>
          <w:szCs w:val="20"/>
          <w:lang w:val="es-ES"/>
        </w:rPr>
        <w:footnoteReference w:id="18"/>
      </w:r>
      <w:r w:rsidR="006B3E97" w:rsidRPr="00541F12">
        <w:rPr>
          <w:rFonts w:asciiTheme="majorHAnsi" w:hAnsiTheme="majorHAnsi"/>
          <w:sz w:val="20"/>
          <w:szCs w:val="20"/>
          <w:lang w:val="es-ES"/>
        </w:rPr>
        <w:t>el 30 de septiembre</w:t>
      </w:r>
      <w:r w:rsidRPr="00541F12">
        <w:rPr>
          <w:rFonts w:asciiTheme="majorHAnsi" w:hAnsiTheme="majorHAnsi"/>
          <w:sz w:val="20"/>
          <w:szCs w:val="20"/>
          <w:lang w:val="es-ES"/>
        </w:rPr>
        <w:t xml:space="preserve">. Igualmente </w:t>
      </w:r>
      <w:r w:rsidR="004C1CFA">
        <w:rPr>
          <w:rFonts w:asciiTheme="majorHAnsi" w:hAnsiTheme="majorHAnsi"/>
          <w:sz w:val="20"/>
          <w:szCs w:val="20"/>
          <w:lang w:val="es-ES"/>
        </w:rPr>
        <w:t>observó</w:t>
      </w:r>
      <w:r w:rsidR="004C1CFA" w:rsidRPr="00541F12">
        <w:rPr>
          <w:rFonts w:asciiTheme="majorHAnsi" w:hAnsiTheme="majorHAnsi"/>
          <w:sz w:val="20"/>
          <w:szCs w:val="20"/>
          <w:lang w:val="es-ES"/>
        </w:rPr>
        <w:t xml:space="preserve"> </w:t>
      </w:r>
      <w:r w:rsidR="006B3E97" w:rsidRPr="00541F12">
        <w:rPr>
          <w:rFonts w:asciiTheme="majorHAnsi" w:hAnsiTheme="majorHAnsi"/>
          <w:sz w:val="20"/>
          <w:szCs w:val="20"/>
          <w:lang w:val="es-ES"/>
        </w:rPr>
        <w:t xml:space="preserve">la declaración de un Estado de emergencia con </w:t>
      </w:r>
      <w:r w:rsidR="001051A2">
        <w:rPr>
          <w:rFonts w:asciiTheme="majorHAnsi" w:hAnsiTheme="majorHAnsi"/>
          <w:sz w:val="20"/>
          <w:szCs w:val="20"/>
          <w:lang w:val="es-ES"/>
        </w:rPr>
        <w:t>la</w:t>
      </w:r>
      <w:r w:rsidR="001051A2" w:rsidRPr="00541F12">
        <w:rPr>
          <w:rFonts w:asciiTheme="majorHAnsi" w:hAnsiTheme="majorHAnsi"/>
          <w:sz w:val="20"/>
          <w:szCs w:val="20"/>
          <w:lang w:val="es-ES"/>
        </w:rPr>
        <w:t xml:space="preserve"> </w:t>
      </w:r>
      <w:r w:rsidR="006B3E97" w:rsidRPr="00541F12">
        <w:rPr>
          <w:rFonts w:asciiTheme="majorHAnsi" w:hAnsiTheme="majorHAnsi"/>
          <w:sz w:val="20"/>
          <w:szCs w:val="20"/>
          <w:lang w:val="es-ES"/>
        </w:rPr>
        <w:t>orden de que “</w:t>
      </w:r>
      <w:r w:rsidR="006B3E97" w:rsidRPr="001D266C">
        <w:rPr>
          <w:rFonts w:asciiTheme="majorHAnsi" w:hAnsiTheme="majorHAnsi"/>
          <w:i/>
          <w:iCs/>
          <w:sz w:val="20"/>
          <w:szCs w:val="20"/>
          <w:lang w:val="es-ES"/>
        </w:rPr>
        <w:t>emisoras de radio y televisión</w:t>
      </w:r>
      <w:r w:rsidR="00BF011B">
        <w:rPr>
          <w:rFonts w:asciiTheme="majorHAnsi" w:hAnsiTheme="majorHAnsi"/>
          <w:i/>
          <w:iCs/>
          <w:sz w:val="20"/>
          <w:szCs w:val="20"/>
          <w:lang w:val="es-ES"/>
        </w:rPr>
        <w:t>”</w:t>
      </w:r>
      <w:r w:rsidR="006B3E97" w:rsidRPr="001D266C">
        <w:rPr>
          <w:rFonts w:asciiTheme="majorHAnsi" w:hAnsiTheme="majorHAnsi"/>
          <w:i/>
          <w:iCs/>
          <w:sz w:val="20"/>
          <w:szCs w:val="20"/>
          <w:lang w:val="es-ES"/>
        </w:rPr>
        <w:t xml:space="preserve"> </w:t>
      </w:r>
      <w:r w:rsidR="006B3E97" w:rsidRPr="0069564F">
        <w:rPr>
          <w:rFonts w:asciiTheme="majorHAnsi" w:hAnsiTheme="majorHAnsi"/>
          <w:sz w:val="20"/>
          <w:szCs w:val="20"/>
          <w:lang w:val="es-ES"/>
        </w:rPr>
        <w:t>suspend</w:t>
      </w:r>
      <w:r w:rsidR="001051A2" w:rsidRPr="0069564F">
        <w:rPr>
          <w:rFonts w:asciiTheme="majorHAnsi" w:hAnsiTheme="majorHAnsi"/>
          <w:sz w:val="20"/>
          <w:szCs w:val="20"/>
          <w:lang w:val="es-ES"/>
        </w:rPr>
        <w:t>an</w:t>
      </w:r>
      <w:r w:rsidR="006B3E97" w:rsidRPr="001D266C">
        <w:rPr>
          <w:rFonts w:asciiTheme="majorHAnsi" w:hAnsiTheme="majorHAnsi"/>
          <w:i/>
          <w:iCs/>
          <w:sz w:val="20"/>
          <w:szCs w:val="20"/>
          <w:lang w:val="es-ES"/>
        </w:rPr>
        <w:t xml:space="preserve"> </w:t>
      </w:r>
      <w:r w:rsidR="00BF011B">
        <w:rPr>
          <w:rFonts w:asciiTheme="majorHAnsi" w:hAnsiTheme="majorHAnsi"/>
          <w:i/>
          <w:iCs/>
          <w:sz w:val="20"/>
          <w:szCs w:val="20"/>
          <w:lang w:val="es-ES"/>
        </w:rPr>
        <w:t>“</w:t>
      </w:r>
      <w:r w:rsidR="006B3E97" w:rsidRPr="001D266C">
        <w:rPr>
          <w:rFonts w:asciiTheme="majorHAnsi" w:hAnsiTheme="majorHAnsi"/>
          <w:i/>
          <w:iCs/>
          <w:sz w:val="20"/>
          <w:szCs w:val="20"/>
          <w:lang w:val="es-ES"/>
        </w:rPr>
        <w:t>sus transmisiones ordinarias</w:t>
      </w:r>
      <w:r w:rsidR="00BF011B">
        <w:rPr>
          <w:rFonts w:asciiTheme="majorHAnsi" w:hAnsiTheme="majorHAnsi"/>
          <w:i/>
          <w:iCs/>
          <w:sz w:val="20"/>
          <w:szCs w:val="20"/>
          <w:lang w:val="es-ES"/>
        </w:rPr>
        <w:t>”</w:t>
      </w:r>
      <w:r w:rsidR="006B3E97" w:rsidRPr="0069564F">
        <w:rPr>
          <w:rFonts w:asciiTheme="majorHAnsi" w:hAnsiTheme="majorHAnsi"/>
          <w:sz w:val="20"/>
          <w:szCs w:val="20"/>
          <w:lang w:val="es-ES"/>
        </w:rPr>
        <w:t xml:space="preserve"> y </w:t>
      </w:r>
      <w:r w:rsidR="00BF011B" w:rsidRPr="0069564F">
        <w:rPr>
          <w:rFonts w:asciiTheme="majorHAnsi" w:hAnsiTheme="majorHAnsi"/>
          <w:sz w:val="20"/>
          <w:szCs w:val="20"/>
          <w:lang w:val="es-ES"/>
        </w:rPr>
        <w:t xml:space="preserve">se enlacen </w:t>
      </w:r>
      <w:r w:rsidR="00BF011B">
        <w:rPr>
          <w:rFonts w:asciiTheme="majorHAnsi" w:hAnsiTheme="majorHAnsi"/>
          <w:i/>
          <w:iCs/>
          <w:sz w:val="20"/>
          <w:szCs w:val="20"/>
          <w:lang w:val="es-ES"/>
        </w:rPr>
        <w:t>”</w:t>
      </w:r>
      <w:r w:rsidR="006B3E97" w:rsidRPr="001D266C">
        <w:rPr>
          <w:rFonts w:asciiTheme="majorHAnsi" w:hAnsiTheme="majorHAnsi"/>
          <w:i/>
          <w:iCs/>
          <w:sz w:val="20"/>
          <w:szCs w:val="20"/>
          <w:lang w:val="es-ES"/>
        </w:rPr>
        <w:t>a la señal oficial</w:t>
      </w:r>
      <w:r w:rsidR="006B3E97" w:rsidRPr="00541F12">
        <w:rPr>
          <w:rFonts w:asciiTheme="majorHAnsi" w:hAnsiTheme="majorHAnsi"/>
          <w:sz w:val="20"/>
          <w:szCs w:val="20"/>
          <w:lang w:val="es-ES"/>
        </w:rPr>
        <w:t>”</w:t>
      </w:r>
      <w:r w:rsidR="006B3E97" w:rsidRPr="00541F12">
        <w:rPr>
          <w:rStyle w:val="FootnoteReference"/>
          <w:rFonts w:asciiTheme="majorHAnsi" w:hAnsiTheme="majorHAnsi"/>
          <w:sz w:val="20"/>
          <w:szCs w:val="20"/>
          <w:lang w:val="es-ES"/>
        </w:rPr>
        <w:footnoteReference w:id="19"/>
      </w:r>
      <w:r w:rsidR="006B3E97" w:rsidRPr="00541F12">
        <w:rPr>
          <w:rFonts w:asciiTheme="majorHAnsi" w:hAnsiTheme="majorHAnsi"/>
          <w:sz w:val="20"/>
          <w:szCs w:val="20"/>
          <w:lang w:val="es-ES"/>
        </w:rPr>
        <w:t xml:space="preserve">. </w:t>
      </w:r>
      <w:r w:rsidR="00EF29B5" w:rsidRPr="00541F12">
        <w:rPr>
          <w:rFonts w:asciiTheme="majorHAnsi" w:hAnsiTheme="majorHAnsi"/>
          <w:sz w:val="20"/>
          <w:szCs w:val="20"/>
          <w:lang w:val="es-ES"/>
        </w:rPr>
        <w:t>Además, la Corte IDH expresó en la sentencia del Caso Palacio Urrutia vs. Ecuador, que: “</w:t>
      </w:r>
      <w:r w:rsidR="00EF29B5" w:rsidRPr="00172A9F">
        <w:rPr>
          <w:rFonts w:asciiTheme="majorHAnsi" w:hAnsiTheme="majorHAnsi"/>
          <w:i/>
          <w:iCs/>
          <w:sz w:val="20"/>
          <w:szCs w:val="20"/>
          <w:lang w:val="es-ES"/>
        </w:rPr>
        <w:t>los hechos ocurridos el 30 de septiembre de 2010 generaron un notorio interés público, provocando diversas interpretaciones y reacciones en la opinión pública en Ecuador</w:t>
      </w:r>
      <w:r w:rsidR="00EF29B5" w:rsidRPr="00541F12">
        <w:rPr>
          <w:rFonts w:asciiTheme="majorHAnsi" w:hAnsiTheme="majorHAnsi"/>
          <w:sz w:val="20"/>
          <w:szCs w:val="20"/>
          <w:lang w:val="es-ES"/>
        </w:rPr>
        <w:t>”</w:t>
      </w:r>
      <w:r w:rsidR="006B3E97" w:rsidRPr="00541F12">
        <w:rPr>
          <w:rStyle w:val="FootnoteReference"/>
          <w:rFonts w:asciiTheme="majorHAnsi" w:hAnsiTheme="majorHAnsi"/>
          <w:sz w:val="20"/>
          <w:szCs w:val="20"/>
          <w:lang w:val="es-ES"/>
        </w:rPr>
        <w:footnoteReference w:id="20"/>
      </w:r>
      <w:r w:rsidR="006B3E97" w:rsidRPr="00541F12">
        <w:rPr>
          <w:rFonts w:asciiTheme="majorHAnsi" w:hAnsiTheme="majorHAnsi"/>
          <w:sz w:val="20"/>
          <w:szCs w:val="20"/>
          <w:lang w:val="es-ES"/>
        </w:rPr>
        <w:t>.</w:t>
      </w:r>
    </w:p>
    <w:p w14:paraId="2523CBA3" w14:textId="2AE0339A" w:rsidR="00541F12" w:rsidRPr="0071521C" w:rsidRDefault="0605DB2E" w:rsidP="0071521C">
      <w:pPr>
        <w:pStyle w:val="ListParagraph"/>
        <w:numPr>
          <w:ilvl w:val="0"/>
          <w:numId w:val="62"/>
        </w:numPr>
        <w:spacing w:before="240" w:after="240"/>
        <w:ind w:left="0" w:firstLine="720"/>
        <w:jc w:val="both"/>
        <w:rPr>
          <w:rFonts w:asciiTheme="majorHAnsi" w:eastAsiaTheme="majorEastAsia" w:hAnsiTheme="majorHAnsi" w:cstheme="majorBidi"/>
          <w:color w:val="000000" w:themeColor="text1"/>
          <w:sz w:val="20"/>
          <w:szCs w:val="20"/>
          <w:lang w:val="es-ES"/>
        </w:rPr>
      </w:pPr>
      <w:r w:rsidRPr="00541F12">
        <w:rPr>
          <w:rFonts w:asciiTheme="majorHAnsi" w:eastAsiaTheme="majorEastAsia" w:hAnsiTheme="majorHAnsi" w:cstheme="majorBidi"/>
          <w:color w:val="000000" w:themeColor="text1"/>
          <w:sz w:val="20"/>
          <w:szCs w:val="20"/>
          <w:lang w:val="es-ES"/>
        </w:rPr>
        <w:t xml:space="preserve"> </w:t>
      </w:r>
      <w:r w:rsidR="00541F12">
        <w:rPr>
          <w:rFonts w:asciiTheme="majorHAnsi" w:eastAsiaTheme="majorEastAsia" w:hAnsiTheme="majorHAnsi" w:cstheme="majorBidi"/>
          <w:color w:val="000000" w:themeColor="text1"/>
          <w:sz w:val="20"/>
          <w:szCs w:val="20"/>
          <w:lang w:val="es-ES"/>
        </w:rPr>
        <w:t xml:space="preserve">En atención a estas consideraciones, y luego de analizar la información aportada por las partes, la Comisión concluye que los hechos denunciados </w:t>
      </w:r>
      <w:r w:rsidRPr="00541F12">
        <w:rPr>
          <w:rFonts w:asciiTheme="majorHAnsi" w:eastAsiaTheme="majorEastAsia" w:hAnsiTheme="majorHAnsi" w:cstheme="majorBidi"/>
          <w:color w:val="000000" w:themeColor="text1"/>
          <w:sz w:val="20"/>
          <w:szCs w:val="20"/>
          <w:lang w:val="es-ES"/>
        </w:rPr>
        <w:t>no resultan manifiestamente infundad</w:t>
      </w:r>
      <w:r w:rsidR="00EA3C24" w:rsidRPr="00541F12">
        <w:rPr>
          <w:rFonts w:asciiTheme="majorHAnsi" w:eastAsiaTheme="majorEastAsia" w:hAnsiTheme="majorHAnsi" w:cstheme="majorBidi"/>
          <w:color w:val="000000" w:themeColor="text1"/>
          <w:sz w:val="20"/>
          <w:szCs w:val="20"/>
          <w:lang w:val="es-ES"/>
        </w:rPr>
        <w:t>o</w:t>
      </w:r>
      <w:r w:rsidRPr="00541F12">
        <w:rPr>
          <w:rFonts w:asciiTheme="majorHAnsi" w:eastAsiaTheme="majorEastAsia" w:hAnsiTheme="majorHAnsi" w:cstheme="majorBidi"/>
          <w:color w:val="000000" w:themeColor="text1"/>
          <w:sz w:val="20"/>
          <w:szCs w:val="20"/>
          <w:lang w:val="es-ES"/>
        </w:rPr>
        <w:t>s y requieren un estudio de fondo, pues, de corroborarse, podrían caracterizar violaciones a los artículos 8 (garantías judiciales)</w:t>
      </w:r>
      <w:r w:rsidR="5689506B" w:rsidRPr="00541F12">
        <w:rPr>
          <w:rFonts w:asciiTheme="majorHAnsi" w:eastAsiaTheme="majorEastAsia" w:hAnsiTheme="majorHAnsi" w:cstheme="majorBidi"/>
          <w:color w:val="000000" w:themeColor="text1"/>
          <w:sz w:val="20"/>
          <w:szCs w:val="20"/>
          <w:lang w:val="es-ES"/>
        </w:rPr>
        <w:t>, 9 (principio de legalidad y retroactividad</w:t>
      </w:r>
      <w:r w:rsidR="62C7DC9C" w:rsidRPr="00541F12">
        <w:rPr>
          <w:rFonts w:asciiTheme="majorHAnsi" w:eastAsiaTheme="majorEastAsia" w:hAnsiTheme="majorHAnsi" w:cstheme="majorBidi"/>
          <w:color w:val="000000" w:themeColor="text1"/>
          <w:sz w:val="20"/>
          <w:szCs w:val="20"/>
          <w:lang w:val="es-ES"/>
        </w:rPr>
        <w:t>)</w:t>
      </w:r>
      <w:r w:rsidR="3D2018D5" w:rsidRPr="00541F12">
        <w:rPr>
          <w:rFonts w:asciiTheme="majorHAnsi" w:eastAsiaTheme="majorEastAsia" w:hAnsiTheme="majorHAnsi" w:cstheme="majorBidi"/>
          <w:color w:val="000000" w:themeColor="text1"/>
          <w:sz w:val="20"/>
          <w:szCs w:val="20"/>
          <w:lang w:val="es-ES"/>
        </w:rPr>
        <w:t>,</w:t>
      </w:r>
      <w:r w:rsidRPr="00541F12">
        <w:rPr>
          <w:rFonts w:asciiTheme="majorHAnsi" w:eastAsiaTheme="majorEastAsia" w:hAnsiTheme="majorHAnsi" w:cstheme="majorBidi"/>
          <w:color w:val="000000" w:themeColor="text1"/>
          <w:sz w:val="20"/>
          <w:szCs w:val="20"/>
          <w:lang w:val="es-ES"/>
        </w:rPr>
        <w:t xml:space="preserve"> 13 (libertad de pensamiento y expresión)</w:t>
      </w:r>
      <w:r w:rsidR="00172A9F">
        <w:rPr>
          <w:rFonts w:asciiTheme="majorHAnsi" w:eastAsiaTheme="majorEastAsia" w:hAnsiTheme="majorHAnsi" w:cstheme="majorBidi"/>
          <w:color w:val="000000" w:themeColor="text1"/>
          <w:sz w:val="20"/>
          <w:szCs w:val="20"/>
          <w:lang w:val="es-ES"/>
        </w:rPr>
        <w:t>, 15 (libertad de reunión)</w:t>
      </w:r>
      <w:r w:rsidRPr="00541F12">
        <w:rPr>
          <w:rFonts w:asciiTheme="majorHAnsi" w:eastAsiaTheme="majorEastAsia" w:hAnsiTheme="majorHAnsi" w:cstheme="majorBidi"/>
          <w:color w:val="000000" w:themeColor="text1"/>
          <w:sz w:val="20"/>
          <w:szCs w:val="20"/>
          <w:lang w:val="es-ES"/>
        </w:rPr>
        <w:t xml:space="preserve"> y 25 (protección judicial) de la Convención Americana, en relación con su artículo 1.1 (obligación de respetar los derechos) en perjuicio de la presunta víctima en los términos del presente informe.</w:t>
      </w:r>
    </w:p>
    <w:p w14:paraId="1CF83D60" w14:textId="0EACD0DE" w:rsidR="00D023FF" w:rsidRPr="00541F12" w:rsidRDefault="62693CC1" w:rsidP="00541F12">
      <w:pPr>
        <w:pStyle w:val="ListParagraph"/>
        <w:spacing w:before="240" w:after="240"/>
        <w:ind w:left="0" w:firstLine="720"/>
        <w:jc w:val="both"/>
        <w:rPr>
          <w:rFonts w:asciiTheme="majorHAnsi" w:eastAsiaTheme="majorEastAsia" w:hAnsiTheme="majorHAnsi" w:cstheme="majorBidi"/>
          <w:b/>
          <w:bCs/>
          <w:color w:val="000000" w:themeColor="text1"/>
          <w:sz w:val="20"/>
          <w:szCs w:val="20"/>
          <w:lang w:val="es-ES"/>
        </w:rPr>
      </w:pPr>
      <w:r w:rsidRPr="00541F12">
        <w:rPr>
          <w:rFonts w:asciiTheme="majorHAnsi" w:eastAsiaTheme="majorEastAsia" w:hAnsiTheme="majorHAnsi" w:cstheme="majorBidi"/>
          <w:b/>
          <w:bCs/>
          <w:color w:val="000000" w:themeColor="text1"/>
          <w:sz w:val="20"/>
          <w:szCs w:val="20"/>
          <w:lang w:val="es-ES"/>
        </w:rPr>
        <w:t xml:space="preserve">VIII. </w:t>
      </w:r>
      <w:r w:rsidR="009A56CE" w:rsidRPr="00541F12">
        <w:rPr>
          <w:rFonts w:asciiTheme="majorHAnsi" w:hAnsiTheme="majorHAnsi"/>
          <w:sz w:val="20"/>
          <w:szCs w:val="20"/>
          <w:lang w:val="es-ES"/>
        </w:rPr>
        <w:tab/>
      </w:r>
      <w:r w:rsidRPr="00541F12">
        <w:rPr>
          <w:rFonts w:asciiTheme="majorHAnsi" w:eastAsiaTheme="majorEastAsia" w:hAnsiTheme="majorHAnsi" w:cstheme="majorBidi"/>
          <w:b/>
          <w:bCs/>
          <w:color w:val="000000" w:themeColor="text1"/>
          <w:sz w:val="20"/>
          <w:szCs w:val="20"/>
          <w:lang w:val="es-ES"/>
        </w:rPr>
        <w:t>DECISIÓN</w:t>
      </w:r>
    </w:p>
    <w:p w14:paraId="51BF61BA" w14:textId="32C397AC" w:rsidR="00D023FF" w:rsidRPr="00541F12" w:rsidRDefault="62693CC1" w:rsidP="00541F12">
      <w:pPr>
        <w:pStyle w:val="ListParagraph"/>
        <w:numPr>
          <w:ilvl w:val="0"/>
          <w:numId w:val="1"/>
        </w:numPr>
        <w:spacing w:before="240" w:after="240"/>
        <w:ind w:left="0" w:firstLine="720"/>
        <w:jc w:val="both"/>
        <w:rPr>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 xml:space="preserve">Declarar admisible la presente petición en relación con </w:t>
      </w:r>
      <w:r w:rsidR="1A15320B" w:rsidRPr="00541F12">
        <w:rPr>
          <w:rFonts w:asciiTheme="majorHAnsi" w:eastAsiaTheme="majorEastAsia" w:hAnsiTheme="majorHAnsi" w:cstheme="majorBidi"/>
          <w:sz w:val="20"/>
          <w:szCs w:val="20"/>
          <w:lang w:val="es-ES"/>
        </w:rPr>
        <w:t>los artículos 8, 9, 13</w:t>
      </w:r>
      <w:r w:rsidR="0071521C">
        <w:rPr>
          <w:rFonts w:asciiTheme="majorHAnsi" w:eastAsiaTheme="majorEastAsia" w:hAnsiTheme="majorHAnsi" w:cstheme="majorBidi"/>
          <w:sz w:val="20"/>
          <w:szCs w:val="20"/>
          <w:lang w:val="es-ES"/>
        </w:rPr>
        <w:t>, 15</w:t>
      </w:r>
      <w:r w:rsidR="1A15320B" w:rsidRPr="00541F12">
        <w:rPr>
          <w:rFonts w:asciiTheme="majorHAnsi" w:eastAsiaTheme="majorEastAsia" w:hAnsiTheme="majorHAnsi" w:cstheme="majorBidi"/>
          <w:sz w:val="20"/>
          <w:szCs w:val="20"/>
          <w:lang w:val="es-ES"/>
        </w:rPr>
        <w:t xml:space="preserve"> y 25</w:t>
      </w:r>
      <w:r w:rsidR="2C5E263F" w:rsidRPr="00541F12">
        <w:rPr>
          <w:rFonts w:asciiTheme="majorHAnsi" w:eastAsiaTheme="majorEastAsia" w:hAnsiTheme="majorHAnsi" w:cstheme="majorBidi"/>
          <w:sz w:val="20"/>
          <w:szCs w:val="20"/>
          <w:lang w:val="es-ES"/>
        </w:rPr>
        <w:t xml:space="preserve"> de la Convención Americana sobre Derechos humanos, en concordancia con sus </w:t>
      </w:r>
      <w:r w:rsidR="1A15320B" w:rsidRPr="00541F12">
        <w:rPr>
          <w:rFonts w:asciiTheme="majorHAnsi" w:eastAsiaTheme="majorEastAsia" w:hAnsiTheme="majorHAnsi" w:cstheme="majorBidi"/>
          <w:sz w:val="20"/>
          <w:szCs w:val="20"/>
          <w:lang w:val="es-ES"/>
        </w:rPr>
        <w:t>artículos 1.</w:t>
      </w:r>
      <w:r w:rsidR="7DFA5C51" w:rsidRPr="00541F12">
        <w:rPr>
          <w:rFonts w:asciiTheme="majorHAnsi" w:eastAsiaTheme="majorEastAsia" w:hAnsiTheme="majorHAnsi" w:cstheme="majorBidi"/>
          <w:sz w:val="20"/>
          <w:szCs w:val="20"/>
          <w:lang w:val="es-ES"/>
        </w:rPr>
        <w:t>1</w:t>
      </w:r>
      <w:r w:rsidR="00F47D56" w:rsidRPr="00541F12">
        <w:rPr>
          <w:rFonts w:asciiTheme="majorHAnsi" w:eastAsiaTheme="majorEastAsia" w:hAnsiTheme="majorHAnsi" w:cstheme="majorBidi"/>
          <w:sz w:val="20"/>
          <w:szCs w:val="20"/>
          <w:lang w:val="es-ES"/>
        </w:rPr>
        <w:t xml:space="preserve">; </w:t>
      </w:r>
      <w:r w:rsidR="00F47D56" w:rsidRPr="00541F12">
        <w:rPr>
          <w:rFonts w:asciiTheme="majorHAnsi" w:eastAsiaTheme="majorEastAsia" w:hAnsiTheme="majorHAnsi" w:cstheme="majorBidi"/>
          <w:color w:val="000000" w:themeColor="text1"/>
          <w:sz w:val="20"/>
          <w:szCs w:val="20"/>
          <w:lang w:val="es-ES"/>
        </w:rPr>
        <w:t>y</w:t>
      </w:r>
    </w:p>
    <w:p w14:paraId="5F973DCB" w14:textId="07A48BD2" w:rsidR="00F47D56" w:rsidRPr="00891981" w:rsidRDefault="62693CC1" w:rsidP="00891981">
      <w:pPr>
        <w:pStyle w:val="ListParagraph"/>
        <w:numPr>
          <w:ilvl w:val="0"/>
          <w:numId w:val="1"/>
        </w:numPr>
        <w:spacing w:before="240" w:after="240"/>
        <w:ind w:left="0" w:firstLine="720"/>
        <w:jc w:val="both"/>
        <w:rPr>
          <w:rStyle w:val="normaltextrun"/>
          <w:rFonts w:asciiTheme="majorHAnsi" w:eastAsiaTheme="majorEastAsia" w:hAnsiTheme="majorHAnsi" w:cstheme="majorBidi"/>
          <w:sz w:val="20"/>
          <w:szCs w:val="20"/>
          <w:lang w:val="es-ES"/>
        </w:rPr>
      </w:pPr>
      <w:r w:rsidRPr="00541F12">
        <w:rPr>
          <w:rFonts w:asciiTheme="majorHAnsi" w:eastAsiaTheme="majorEastAsia" w:hAnsiTheme="majorHAnsi" w:cstheme="majorBidi"/>
          <w:sz w:val="20"/>
          <w:szCs w:val="20"/>
          <w:lang w:val="es-ES"/>
        </w:rPr>
        <w:t xml:space="preserve">Notificar a las partes la presente decisión; </w:t>
      </w:r>
      <w:r w:rsidR="00E5362A" w:rsidRPr="00541F12">
        <w:rPr>
          <w:rFonts w:asciiTheme="majorHAnsi" w:eastAsiaTheme="majorEastAsia" w:hAnsiTheme="majorHAnsi" w:cstheme="majorBidi"/>
          <w:sz w:val="20"/>
          <w:szCs w:val="20"/>
          <w:lang w:val="es-ES"/>
        </w:rPr>
        <w:t>c</w:t>
      </w:r>
      <w:r w:rsidR="16E51E10" w:rsidRPr="00541F12">
        <w:rPr>
          <w:rFonts w:asciiTheme="majorHAnsi" w:eastAsiaTheme="majorEastAsia" w:hAnsiTheme="majorHAnsi" w:cstheme="majorBidi"/>
          <w:sz w:val="20"/>
          <w:szCs w:val="20"/>
          <w:lang w:val="es-ES"/>
        </w:rPr>
        <w:t>ontinuar con el análisis del fondo de la cuestión; y</w:t>
      </w:r>
      <w:r w:rsidRPr="00541F12">
        <w:rPr>
          <w:rFonts w:asciiTheme="majorHAnsi" w:eastAsiaTheme="majorEastAsia" w:hAnsiTheme="majorHAnsi" w:cstheme="majorBidi"/>
          <w:sz w:val="20"/>
          <w:szCs w:val="20"/>
          <w:lang w:val="es-ES"/>
        </w:rPr>
        <w:t xml:space="preserve"> </w:t>
      </w:r>
      <w:r w:rsidR="565600AE" w:rsidRPr="00541F12">
        <w:rPr>
          <w:rFonts w:asciiTheme="majorHAnsi" w:eastAsiaTheme="majorEastAsia" w:hAnsiTheme="majorHAnsi" w:cstheme="majorBidi"/>
          <w:sz w:val="20"/>
          <w:szCs w:val="20"/>
          <w:lang w:val="es-ES"/>
        </w:rPr>
        <w:t>p</w:t>
      </w:r>
      <w:r w:rsidRPr="00541F12">
        <w:rPr>
          <w:rFonts w:asciiTheme="majorHAnsi" w:eastAsiaTheme="majorEastAsia" w:hAnsiTheme="majorHAnsi" w:cstheme="majorBidi"/>
          <w:sz w:val="20"/>
          <w:szCs w:val="20"/>
          <w:lang w:val="es-ES"/>
        </w:rPr>
        <w:t>ublicar esta decisión e incluirla en su Informe Anual a la Asamblea General de la Organización de los Estados Ameri</w:t>
      </w:r>
      <w:r w:rsidRPr="004A106C">
        <w:rPr>
          <w:rFonts w:asciiTheme="majorHAnsi" w:eastAsiaTheme="majorEastAsia" w:hAnsiTheme="majorHAnsi" w:cstheme="majorBidi"/>
          <w:sz w:val="20"/>
          <w:szCs w:val="20"/>
          <w:lang w:val="es-ES"/>
        </w:rPr>
        <w:t>canos.</w:t>
      </w:r>
    </w:p>
    <w:p w14:paraId="1E9F2524" w14:textId="77777777" w:rsidR="00F47D56" w:rsidRDefault="00F47D56" w:rsidP="006877BF">
      <w:pPr>
        <w:suppressAutoHyphens/>
        <w:ind w:firstLine="720"/>
        <w:jc w:val="both"/>
        <w:rPr>
          <w:rStyle w:val="normaltextrun"/>
          <w:rFonts w:ascii="Cambria" w:hAnsi="Cambria" w:cs="Segoe UI"/>
          <w:sz w:val="20"/>
          <w:szCs w:val="20"/>
          <w:lang w:val="es-CL"/>
        </w:rPr>
      </w:pPr>
    </w:p>
    <w:p w14:paraId="2C18964E" w14:textId="52F60850" w:rsidR="00282114" w:rsidRPr="00D76863" w:rsidRDefault="006877BF" w:rsidP="00D76863">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w:t>
      </w:r>
      <w:r w:rsidR="00B30252">
        <w:rPr>
          <w:rStyle w:val="normaltextrun"/>
          <w:rFonts w:ascii="Cambria" w:hAnsi="Cambria" w:cs="Segoe UI"/>
          <w:sz w:val="20"/>
          <w:szCs w:val="20"/>
          <w:lang w:val="es-CL"/>
        </w:rPr>
        <w:t>por la Comisión Interamericana de Derechos Hu</w:t>
      </w:r>
      <w:r w:rsidR="00B30252" w:rsidRPr="00F47D56">
        <w:rPr>
          <w:rStyle w:val="normaltextrun"/>
          <w:rFonts w:ascii="Cambria" w:hAnsi="Cambria" w:cs="Segoe UI"/>
          <w:sz w:val="20"/>
          <w:szCs w:val="20"/>
          <w:lang w:val="es-CL"/>
        </w:rPr>
        <w:t>manos al</w:t>
      </w:r>
      <w:r w:rsidRPr="00F47D56">
        <w:rPr>
          <w:rStyle w:val="normaltextrun"/>
          <w:rFonts w:ascii="Cambria" w:hAnsi="Cambria" w:cs="Segoe UI"/>
          <w:sz w:val="20"/>
          <w:szCs w:val="20"/>
          <w:lang w:val="es-CL"/>
        </w:rPr>
        <w:t xml:space="preserve"> primer </w:t>
      </w:r>
      <w:r w:rsidR="00B30252" w:rsidRPr="00F47D56">
        <w:rPr>
          <w:rStyle w:val="normaltextrun"/>
          <w:rFonts w:ascii="Cambria" w:hAnsi="Cambria" w:cs="Segoe UI"/>
          <w:sz w:val="20"/>
          <w:szCs w:val="20"/>
          <w:lang w:val="es-CL"/>
        </w:rPr>
        <w:t xml:space="preserve">día del mes de </w:t>
      </w:r>
      <w:r w:rsidR="0005447B" w:rsidRPr="00F47D56">
        <w:rPr>
          <w:rStyle w:val="normaltextrun"/>
          <w:rFonts w:ascii="Cambria" w:hAnsi="Cambria" w:cs="Segoe UI"/>
          <w:sz w:val="20"/>
          <w:szCs w:val="20"/>
          <w:lang w:val="es-CL"/>
        </w:rPr>
        <w:t>julio</w:t>
      </w:r>
      <w:r w:rsidR="00B30252" w:rsidRPr="00F47D56">
        <w:rPr>
          <w:rStyle w:val="normaltextrun"/>
          <w:rFonts w:ascii="Cambria" w:hAnsi="Cambria" w:cs="Segoe UI"/>
          <w:sz w:val="20"/>
          <w:szCs w:val="20"/>
          <w:lang w:val="es-CL"/>
        </w:rPr>
        <w:t xml:space="preserve"> de 20</w:t>
      </w:r>
      <w:r w:rsidR="0005447B" w:rsidRPr="00F47D56">
        <w:rPr>
          <w:rStyle w:val="normaltextrun"/>
          <w:rFonts w:ascii="Cambria" w:hAnsi="Cambria" w:cs="Segoe UI"/>
          <w:sz w:val="20"/>
          <w:szCs w:val="20"/>
          <w:lang w:val="es-CL"/>
        </w:rPr>
        <w:t>25</w:t>
      </w:r>
      <w:r w:rsidR="00B30252" w:rsidRPr="00F47D56">
        <w:rPr>
          <w:rStyle w:val="normaltextrun"/>
          <w:rFonts w:ascii="Cambria" w:hAnsi="Cambria" w:cs="Segoe UI"/>
          <w:sz w:val="20"/>
          <w:szCs w:val="20"/>
          <w:lang w:val="es-CL"/>
        </w:rPr>
        <w:t>.  (Firmado): José Luis Caballero Ochoa, Presidente; Andrea Pochak, Primera Vicepresidenta; Edgar Stuardo Ralón Orellana</w:t>
      </w:r>
      <w:r w:rsidR="00F47D56" w:rsidRPr="00F47D56">
        <w:rPr>
          <w:rStyle w:val="normaltextrun"/>
          <w:rFonts w:ascii="Cambria" w:hAnsi="Cambria" w:cs="Segoe UI"/>
          <w:sz w:val="20"/>
          <w:szCs w:val="20"/>
          <w:lang w:val="es-CL"/>
        </w:rPr>
        <w:t xml:space="preserve"> y </w:t>
      </w:r>
      <w:r w:rsidR="00B30252" w:rsidRPr="00F47D56">
        <w:rPr>
          <w:rStyle w:val="normaltextrun"/>
          <w:rFonts w:ascii="Cambria" w:hAnsi="Cambria" w:cs="Segoe UI"/>
          <w:sz w:val="20"/>
          <w:szCs w:val="20"/>
          <w:lang w:val="es-CL"/>
        </w:rPr>
        <w:t xml:space="preserve">Carlos Bernal Pulido, </w:t>
      </w:r>
      <w:r w:rsidR="00D76863">
        <w:rPr>
          <w:rStyle w:val="normaltextrun"/>
          <w:rFonts w:ascii="Cambria" w:hAnsi="Cambria" w:cs="Segoe UI"/>
          <w:sz w:val="20"/>
          <w:szCs w:val="20"/>
          <w:lang w:val="es-CL"/>
        </w:rPr>
        <w:t>m</w:t>
      </w:r>
      <w:r w:rsidR="00B30252" w:rsidRPr="00F47D56">
        <w:rPr>
          <w:rStyle w:val="normaltextrun"/>
          <w:rFonts w:ascii="Cambria" w:hAnsi="Cambria" w:cs="Segoe UI"/>
          <w:sz w:val="20"/>
          <w:szCs w:val="20"/>
          <w:lang w:val="es-CL"/>
        </w:rPr>
        <w:t>iembros de la Comisión.</w:t>
      </w:r>
    </w:p>
    <w:sectPr w:rsidR="00282114" w:rsidRPr="00D7686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FAD14" w14:textId="77777777" w:rsidR="005C5146" w:rsidRDefault="005C5146">
      <w:r>
        <w:separator/>
      </w:r>
    </w:p>
  </w:endnote>
  <w:endnote w:type="continuationSeparator" w:id="0">
    <w:p w14:paraId="730EA684" w14:textId="77777777" w:rsidR="005C5146" w:rsidRDefault="005C5146">
      <w:r>
        <w:continuationSeparator/>
      </w:r>
    </w:p>
  </w:endnote>
  <w:endnote w:type="continuationNotice" w:id="1">
    <w:p w14:paraId="53669D8A" w14:textId="77777777" w:rsidR="005C5146" w:rsidRDefault="005C5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27459DCC" w:rsidR="00D47810" w:rsidRPr="00934A2C" w:rsidRDefault="00D4781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1237">
          <w:rPr>
            <w:noProof/>
            <w:sz w:val="16"/>
            <w:szCs w:val="22"/>
          </w:rPr>
          <w:t>2</w:t>
        </w:r>
        <w:r w:rsidRPr="00934A2C">
          <w:rPr>
            <w:noProof/>
            <w:sz w:val="16"/>
            <w:szCs w:val="22"/>
          </w:rPr>
          <w:fldChar w:fldCharType="end"/>
        </w:r>
      </w:p>
    </w:sdtContent>
  </w:sdt>
  <w:p w14:paraId="14E72376" w14:textId="77777777" w:rsidR="00D47810" w:rsidRDefault="00D47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D47810" w:rsidRPr="00934A2C" w:rsidRDefault="00D47810">
    <w:pPr>
      <w:pStyle w:val="Footer"/>
      <w:jc w:val="center"/>
      <w:rPr>
        <w:sz w:val="16"/>
        <w:szCs w:val="22"/>
      </w:rPr>
    </w:pPr>
  </w:p>
  <w:p w14:paraId="46DFE2DB" w14:textId="77777777" w:rsidR="00D47810" w:rsidRDefault="00D47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E306" w14:textId="77777777" w:rsidR="005C5146" w:rsidRPr="000F35ED" w:rsidRDefault="005C514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BF356A" w14:textId="77777777" w:rsidR="005C5146" w:rsidRPr="000F35ED" w:rsidRDefault="005C5146" w:rsidP="000F35ED">
      <w:pPr>
        <w:rPr>
          <w:rFonts w:asciiTheme="majorHAnsi" w:hAnsiTheme="majorHAnsi"/>
          <w:sz w:val="16"/>
          <w:szCs w:val="16"/>
        </w:rPr>
      </w:pPr>
      <w:r w:rsidRPr="000F35ED">
        <w:rPr>
          <w:rFonts w:asciiTheme="majorHAnsi" w:hAnsiTheme="majorHAnsi"/>
          <w:sz w:val="16"/>
          <w:szCs w:val="16"/>
        </w:rPr>
        <w:separator/>
      </w:r>
    </w:p>
    <w:p w14:paraId="0570E659" w14:textId="77777777" w:rsidR="005C5146" w:rsidRPr="000F35ED" w:rsidRDefault="005C514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A8C3053" w14:textId="77777777" w:rsidR="005C5146" w:rsidRPr="000F35ED" w:rsidRDefault="005C514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6A8C7A4" w14:textId="20DA4BAB" w:rsidR="4EAA6E16" w:rsidRPr="004A106C" w:rsidRDefault="4EAA6E16" w:rsidP="00541F12">
      <w:pPr>
        <w:ind w:firstLine="720"/>
        <w:jc w:val="both"/>
        <w:rPr>
          <w:rFonts w:ascii="Cambria" w:hAnsi="Cambria"/>
          <w:sz w:val="16"/>
          <w:szCs w:val="16"/>
          <w:lang w:val="es-ES"/>
        </w:rPr>
      </w:pPr>
      <w:r w:rsidRPr="004A106C">
        <w:rPr>
          <w:rFonts w:ascii="Cambria" w:hAnsi="Cambria"/>
          <w:sz w:val="16"/>
          <w:szCs w:val="16"/>
          <w:vertAlign w:val="superscript"/>
          <w:lang w:val="es-ES"/>
        </w:rPr>
        <w:footnoteRef/>
      </w:r>
      <w:r w:rsidR="689E2D8A" w:rsidRPr="004A106C">
        <w:rPr>
          <w:rFonts w:ascii="Cambria" w:eastAsiaTheme="majorEastAsia" w:hAnsi="Cambria" w:cstheme="majorBidi"/>
          <w:sz w:val="16"/>
          <w:szCs w:val="16"/>
          <w:lang w:val="es-ES"/>
        </w:rPr>
        <w:t xml:space="preserve"> El señor Francisco R</w:t>
      </w:r>
      <w:r w:rsidR="00564B0C" w:rsidRPr="004A106C">
        <w:rPr>
          <w:rFonts w:ascii="Cambria" w:eastAsiaTheme="majorEastAsia" w:hAnsi="Cambria" w:cstheme="majorBidi"/>
          <w:sz w:val="16"/>
          <w:szCs w:val="16"/>
          <w:lang w:val="es-ES"/>
        </w:rPr>
        <w:t>u</w:t>
      </w:r>
      <w:r w:rsidR="689E2D8A" w:rsidRPr="004A106C">
        <w:rPr>
          <w:rFonts w:ascii="Cambria" w:eastAsiaTheme="majorEastAsia" w:hAnsi="Cambria" w:cstheme="majorBidi"/>
          <w:sz w:val="16"/>
          <w:szCs w:val="16"/>
          <w:lang w:val="es-ES"/>
        </w:rPr>
        <w:t xml:space="preserve">bianes </w:t>
      </w:r>
      <w:r w:rsidR="5D40175C" w:rsidRPr="004A106C">
        <w:rPr>
          <w:rFonts w:ascii="Cambria" w:eastAsiaTheme="majorEastAsia" w:hAnsi="Cambria" w:cstheme="majorBidi"/>
          <w:sz w:val="16"/>
          <w:szCs w:val="16"/>
          <w:lang w:val="es-ES"/>
        </w:rPr>
        <w:t xml:space="preserve">Morales fue </w:t>
      </w:r>
      <w:r w:rsidR="00661154" w:rsidRPr="004A106C">
        <w:rPr>
          <w:rFonts w:ascii="Cambria" w:eastAsiaTheme="majorEastAsia" w:hAnsi="Cambria" w:cstheme="majorBidi"/>
          <w:sz w:val="16"/>
          <w:szCs w:val="16"/>
          <w:lang w:val="es-ES"/>
        </w:rPr>
        <w:t>incluido</w:t>
      </w:r>
      <w:r w:rsidR="0A664A20" w:rsidRPr="004A106C">
        <w:rPr>
          <w:rFonts w:ascii="Cambria" w:eastAsiaTheme="majorEastAsia" w:hAnsi="Cambria" w:cstheme="majorBidi"/>
          <w:sz w:val="16"/>
          <w:szCs w:val="16"/>
          <w:lang w:val="es-ES"/>
        </w:rPr>
        <w:t xml:space="preserve"> </w:t>
      </w:r>
      <w:r w:rsidR="44C87D4F" w:rsidRPr="004A106C">
        <w:rPr>
          <w:rFonts w:ascii="Cambria" w:eastAsiaTheme="majorEastAsia" w:hAnsi="Cambria" w:cstheme="majorBidi"/>
          <w:sz w:val="16"/>
          <w:szCs w:val="16"/>
          <w:lang w:val="es-ES"/>
        </w:rPr>
        <w:t xml:space="preserve">como representante de </w:t>
      </w:r>
      <w:r w:rsidR="73A5BE55" w:rsidRPr="004A106C">
        <w:rPr>
          <w:rFonts w:ascii="Cambria" w:eastAsiaTheme="majorEastAsia" w:hAnsi="Cambria" w:cstheme="majorBidi"/>
          <w:sz w:val="16"/>
          <w:szCs w:val="16"/>
          <w:lang w:val="es-ES"/>
        </w:rPr>
        <w:t xml:space="preserve">Francisco Daniel </w:t>
      </w:r>
      <w:r w:rsidR="5AF604C9" w:rsidRPr="004A106C">
        <w:rPr>
          <w:rFonts w:ascii="Cambria" w:eastAsiaTheme="majorEastAsia" w:hAnsi="Cambria" w:cstheme="majorBidi"/>
          <w:sz w:val="16"/>
          <w:szCs w:val="16"/>
          <w:lang w:val="es-ES"/>
        </w:rPr>
        <w:t xml:space="preserve">Endara </w:t>
      </w:r>
      <w:r w:rsidR="0F3463D8" w:rsidRPr="004A106C">
        <w:rPr>
          <w:rFonts w:ascii="Cambria" w:eastAsiaTheme="majorEastAsia" w:hAnsi="Cambria" w:cstheme="majorBidi"/>
          <w:sz w:val="16"/>
          <w:szCs w:val="16"/>
          <w:lang w:val="es-ES"/>
        </w:rPr>
        <w:t xml:space="preserve">Daza tras la presentación </w:t>
      </w:r>
      <w:r w:rsidR="64891CFF" w:rsidRPr="004A106C">
        <w:rPr>
          <w:rFonts w:ascii="Cambria" w:eastAsiaTheme="majorEastAsia" w:hAnsi="Cambria" w:cstheme="majorBidi"/>
          <w:sz w:val="16"/>
          <w:szCs w:val="16"/>
          <w:lang w:val="es-ES"/>
        </w:rPr>
        <w:t xml:space="preserve">de un escrito </w:t>
      </w:r>
      <w:r w:rsidR="6F8D7189" w:rsidRPr="004A106C">
        <w:rPr>
          <w:rFonts w:ascii="Cambria" w:eastAsiaTheme="majorEastAsia" w:hAnsi="Cambria" w:cstheme="majorBidi"/>
          <w:sz w:val="16"/>
          <w:szCs w:val="16"/>
          <w:lang w:val="es-ES"/>
        </w:rPr>
        <w:t xml:space="preserve">recibido el 31 </w:t>
      </w:r>
      <w:r w:rsidR="2BB54B10" w:rsidRPr="004A106C">
        <w:rPr>
          <w:rFonts w:ascii="Cambria" w:eastAsiaTheme="majorEastAsia" w:hAnsi="Cambria" w:cstheme="majorBidi"/>
          <w:sz w:val="16"/>
          <w:szCs w:val="16"/>
          <w:lang w:val="es-ES"/>
        </w:rPr>
        <w:t>de mayo de 2018.</w:t>
      </w:r>
    </w:p>
  </w:footnote>
  <w:footnote w:id="3">
    <w:p w14:paraId="06584DA8" w14:textId="76286319" w:rsidR="00EC0D57" w:rsidRPr="004A106C" w:rsidRDefault="00EC0D57" w:rsidP="00541F12">
      <w:pPr>
        <w:pStyle w:val="FootnoteText"/>
        <w:ind w:firstLine="720"/>
        <w:jc w:val="both"/>
        <w:rPr>
          <w:rFonts w:ascii="Cambria" w:hAnsi="Cambria"/>
          <w:sz w:val="16"/>
          <w:szCs w:val="16"/>
          <w:lang w:val="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La CIDH nota que ambas partes se refieren a este delito como “sabotaje y terrorismo”, aunque en el Có</w:t>
      </w:r>
      <w:r w:rsidR="005C26F9">
        <w:rPr>
          <w:rFonts w:ascii="Cambria" w:hAnsi="Cambria"/>
          <w:sz w:val="16"/>
          <w:szCs w:val="16"/>
          <w:lang w:val="es-ES"/>
        </w:rPr>
        <w:t>d</w:t>
      </w:r>
      <w:r w:rsidRPr="004A106C">
        <w:rPr>
          <w:rFonts w:ascii="Cambria" w:hAnsi="Cambria"/>
          <w:sz w:val="16"/>
          <w:szCs w:val="16"/>
          <w:lang w:val="es-ES"/>
        </w:rPr>
        <w:t>igo Penal no haya ninguna denominación</w:t>
      </w:r>
      <w:r w:rsidR="005C26F9">
        <w:rPr>
          <w:rFonts w:ascii="Cambria" w:hAnsi="Cambria"/>
          <w:sz w:val="16"/>
          <w:szCs w:val="16"/>
          <w:lang w:val="es-ES"/>
        </w:rPr>
        <w:t xml:space="preserve"> específica</w:t>
      </w:r>
      <w:r w:rsidRPr="004A106C">
        <w:rPr>
          <w:rFonts w:ascii="Cambria" w:hAnsi="Cambria"/>
          <w:sz w:val="16"/>
          <w:szCs w:val="16"/>
          <w:lang w:val="es-ES"/>
        </w:rPr>
        <w:t>.</w:t>
      </w:r>
    </w:p>
  </w:footnote>
  <w:footnote w:id="4">
    <w:p w14:paraId="708B61C6" w14:textId="77777777" w:rsidR="00D3786A" w:rsidRPr="004A106C" w:rsidRDefault="00D3786A" w:rsidP="00541F12">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jc w:val="both"/>
        <w:rPr>
          <w:rFonts w:ascii="Cambria" w:hAnsi="Cambria"/>
          <w:color w:val="000000"/>
          <w:sz w:val="16"/>
          <w:szCs w:val="16"/>
          <w:lang w:val="es-ES" w:eastAsia="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Art. 158 - </w:t>
      </w:r>
      <w:r w:rsidRPr="004A106C">
        <w:rPr>
          <w:rFonts w:ascii="Cambria" w:hAnsi="Cambria"/>
          <w:color w:val="000000"/>
          <w:sz w:val="16"/>
          <w:szCs w:val="16"/>
          <w:lang w:val="es-ES" w:eastAsia="es-ES"/>
        </w:rPr>
        <w:t>Será reprimido con reclusión mayor ordinaria de ocho a doce años y multa de ochenta y siete a ciento setenta y cinco dólares de los Estados Unidos de Norte América, el que fuera de los casos contemplados en este Código, destruya, deteriore, inutilice, interrumpa o paralice servicios públicos, instalaciones industriales o fabriles, centros comerciales, puertos, canales, embalses, minas, polvorines, vehículos o cualquier otro elemento de transporte, instalaciones públicas o privadas de energía eléctrica, de agua potable, gas u otras semejantes, o instalaciones de radio, teléfono, telégrafo, televisión o cualquier otro sistema de transmisión; depósitos de mercancías, de explosivos, de lubricantes, combustibles, materias primas destinadas a la producción o al consumo nacional, o cualquier</w:t>
      </w:r>
      <w:r w:rsidRPr="004A106C">
        <w:rPr>
          <w:rFonts w:ascii="Cambria" w:hAnsi="Cambria"/>
          <w:sz w:val="16"/>
          <w:szCs w:val="16"/>
          <w:lang w:val="es-ES"/>
        </w:rPr>
        <w:t xml:space="preserve"> </w:t>
      </w:r>
      <w:r w:rsidRPr="004A106C">
        <w:rPr>
          <w:rFonts w:ascii="Cambria" w:hAnsi="Cambria"/>
          <w:color w:val="000000"/>
          <w:sz w:val="16"/>
          <w:szCs w:val="16"/>
          <w:lang w:val="es-ES" w:eastAsia="es-ES"/>
        </w:rPr>
        <w:t>otro tipo de abastecimiento semejante, con el propósito de producir alarma colectiva</w:t>
      </w:r>
      <w:r w:rsidRPr="004A106C">
        <w:rPr>
          <w:rFonts w:ascii="Cambria" w:hAnsi="Cambria"/>
          <w:sz w:val="16"/>
          <w:szCs w:val="16"/>
          <w:lang w:val="es-ES"/>
        </w:rPr>
        <w:t>.</w:t>
      </w:r>
    </w:p>
  </w:footnote>
  <w:footnote w:id="5">
    <w:p w14:paraId="6930B16A" w14:textId="77777777" w:rsidR="00D3786A" w:rsidRPr="004A106C" w:rsidRDefault="00D3786A" w:rsidP="00541F12">
      <w:pPr>
        <w:pStyle w:val="FootnoteText"/>
        <w:ind w:firstLine="720"/>
        <w:jc w:val="both"/>
        <w:rPr>
          <w:rFonts w:ascii="Cambria" w:hAnsi="Cambria"/>
          <w:sz w:val="16"/>
          <w:szCs w:val="16"/>
          <w:lang w:val="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Art. 346 - Paralización de un servicio público. La persona que impida, entorpezca o paralice la normal prestación de un servicio público o se resista violentamente al restablecimiento del mismo; o, se tome por fuerza un edificio o instalación pública, será sancionada con pena privativa de libertad de uno a tres años.</w:t>
      </w:r>
    </w:p>
  </w:footnote>
  <w:footnote w:id="6">
    <w:p w14:paraId="200A68F8" w14:textId="6751423D" w:rsidR="36011B61" w:rsidRPr="004A106C" w:rsidRDefault="36011B61" w:rsidP="00541F12">
      <w:pPr>
        <w:ind w:firstLine="720"/>
        <w:jc w:val="both"/>
        <w:rPr>
          <w:rFonts w:ascii="Cambria" w:eastAsiaTheme="majorEastAsia" w:hAnsi="Cambria" w:cstheme="majorBidi"/>
          <w:sz w:val="16"/>
          <w:szCs w:val="16"/>
          <w:lang w:val="es-ES"/>
        </w:rPr>
      </w:pPr>
      <w:r w:rsidRPr="004A106C">
        <w:rPr>
          <w:rFonts w:ascii="Cambria" w:eastAsiaTheme="majorEastAsia" w:hAnsi="Cambria" w:cstheme="majorBidi"/>
          <w:sz w:val="16"/>
          <w:szCs w:val="16"/>
          <w:vertAlign w:val="superscript"/>
          <w:lang w:val="es-ES"/>
        </w:rPr>
        <w:footnoteRef/>
      </w:r>
      <w:r w:rsidRPr="004A106C">
        <w:rPr>
          <w:rFonts w:ascii="Cambria" w:eastAsiaTheme="majorEastAsia" w:hAnsi="Cambria" w:cstheme="majorBidi"/>
          <w:sz w:val="16"/>
          <w:szCs w:val="16"/>
          <w:lang w:val="es-ES"/>
        </w:rPr>
        <w:t xml:space="preserve"> CIDH, Informe No. 168/17. Petición 1502-07. Admisibilidad. Miguel Ángel Morales Morales. Perú. 1 de diciembre de 2017, párr. 15. </w:t>
      </w:r>
    </w:p>
  </w:footnote>
  <w:footnote w:id="7">
    <w:p w14:paraId="10287214" w14:textId="50FFE9BA" w:rsidR="36011B61" w:rsidRPr="004A106C" w:rsidRDefault="36011B61" w:rsidP="00541F12">
      <w:pPr>
        <w:ind w:firstLine="720"/>
        <w:jc w:val="both"/>
        <w:rPr>
          <w:rFonts w:ascii="Cambria" w:eastAsiaTheme="majorEastAsia" w:hAnsi="Cambria" w:cstheme="majorBidi"/>
          <w:sz w:val="16"/>
          <w:szCs w:val="16"/>
          <w:lang w:val="es-ES"/>
        </w:rPr>
      </w:pPr>
      <w:r w:rsidRPr="0069564F">
        <w:rPr>
          <w:rFonts w:ascii="Cambria" w:eastAsiaTheme="majorEastAsia" w:hAnsi="Cambria" w:cstheme="majorBidi"/>
          <w:sz w:val="16"/>
          <w:szCs w:val="16"/>
          <w:vertAlign w:val="superscript"/>
          <w:lang w:val="es-ES"/>
        </w:rPr>
        <w:footnoteRef/>
      </w:r>
      <w:r w:rsidR="00F30848">
        <w:rPr>
          <w:rFonts w:ascii="Cambria" w:eastAsiaTheme="majorEastAsia" w:hAnsi="Cambria" w:cstheme="majorBidi"/>
          <w:sz w:val="16"/>
          <w:szCs w:val="16"/>
          <w:vertAlign w:val="superscript"/>
          <w:lang w:val="es-ES"/>
        </w:rPr>
        <w:t xml:space="preserve"> </w:t>
      </w:r>
      <w:r w:rsidRPr="0069564F">
        <w:rPr>
          <w:rFonts w:ascii="Cambria" w:eastAsiaTheme="majorEastAsia" w:hAnsi="Cambria" w:cstheme="majorBidi"/>
          <w:sz w:val="16"/>
          <w:szCs w:val="16"/>
          <w:vertAlign w:val="superscript"/>
          <w:lang w:val="es-ES"/>
        </w:rPr>
        <w:t xml:space="preserve"> </w:t>
      </w:r>
      <w:r w:rsidRPr="004A106C">
        <w:rPr>
          <w:rFonts w:ascii="Cambria" w:eastAsiaTheme="majorEastAsia" w:hAnsi="Cambria" w:cstheme="majorBidi"/>
          <w:sz w:val="16"/>
          <w:szCs w:val="16"/>
          <w:lang w:val="es-ES"/>
        </w:rPr>
        <w:t>CIDH, Informe No. 346/20</w:t>
      </w:r>
      <w:r w:rsidR="003B549D"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Petición 1801-10. Admisibilidad</w:t>
      </w:r>
      <w:r w:rsidR="00BA599A" w:rsidRPr="004A106C">
        <w:rPr>
          <w:rFonts w:ascii="Cambria" w:eastAsiaTheme="majorEastAsia" w:hAnsi="Cambria" w:cstheme="majorBidi"/>
          <w:sz w:val="16"/>
          <w:szCs w:val="16"/>
          <w:lang w:val="es-ES"/>
        </w:rPr>
        <w:t xml:space="preserve">, </w:t>
      </w:r>
      <w:r w:rsidRPr="004A106C">
        <w:rPr>
          <w:rFonts w:ascii="Cambria" w:eastAsiaTheme="majorEastAsia" w:hAnsi="Cambria" w:cstheme="majorBidi"/>
          <w:sz w:val="16"/>
          <w:szCs w:val="16"/>
          <w:lang w:val="es-ES"/>
        </w:rPr>
        <w:t>Emilio Palacio Urrutia. Ecuador</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23 de noviembre de 2020, párr. 16. </w:t>
      </w:r>
      <w:r w:rsidR="006764DC" w:rsidRPr="004A106C">
        <w:rPr>
          <w:rFonts w:ascii="Cambria" w:eastAsiaTheme="majorEastAsia" w:hAnsi="Cambria" w:cstheme="majorBidi"/>
          <w:sz w:val="16"/>
          <w:szCs w:val="16"/>
          <w:lang w:val="es-ES"/>
        </w:rPr>
        <w:t xml:space="preserve"> </w:t>
      </w:r>
      <w:r w:rsidR="00AB3EDB" w:rsidRPr="004A106C">
        <w:rPr>
          <w:rFonts w:ascii="Cambria" w:eastAsiaTheme="majorEastAsia" w:hAnsi="Cambria" w:cstheme="majorBidi"/>
          <w:sz w:val="16"/>
          <w:szCs w:val="16"/>
          <w:lang w:val="es-ES"/>
        </w:rPr>
        <w:t>En este informe la CIDH</w:t>
      </w:r>
      <w:r w:rsidR="006764DC" w:rsidRPr="004A106C">
        <w:rPr>
          <w:rFonts w:ascii="Cambria" w:eastAsiaTheme="majorEastAsia" w:hAnsi="Cambria" w:cstheme="majorBidi"/>
          <w:sz w:val="16"/>
          <w:szCs w:val="16"/>
          <w:lang w:val="es-ES"/>
        </w:rPr>
        <w:t xml:space="preserve"> rechazó </w:t>
      </w:r>
      <w:r w:rsidR="0021782D" w:rsidRPr="004A106C">
        <w:rPr>
          <w:rFonts w:ascii="Cambria" w:eastAsiaTheme="majorEastAsia" w:hAnsi="Cambria" w:cstheme="majorBidi"/>
          <w:sz w:val="16"/>
          <w:szCs w:val="16"/>
          <w:lang w:val="es-ES"/>
        </w:rPr>
        <w:t xml:space="preserve">este planteamiento del Estado ecuatoriano en un caso similar en este punto. </w:t>
      </w:r>
    </w:p>
  </w:footnote>
  <w:footnote w:id="8">
    <w:p w14:paraId="78CE1A67" w14:textId="743ECE7E" w:rsidR="00926CA0" w:rsidRPr="004A106C" w:rsidRDefault="00926CA0" w:rsidP="00541F12">
      <w:pPr>
        <w:pStyle w:val="FootnoteText"/>
        <w:ind w:firstLine="720"/>
        <w:jc w:val="both"/>
        <w:rPr>
          <w:rFonts w:ascii="Cambria" w:hAnsi="Cambria"/>
          <w:sz w:val="16"/>
          <w:szCs w:val="16"/>
          <w:lang w:val="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w:t>
      </w:r>
      <w:r w:rsidR="00C07A50" w:rsidRPr="004A106C">
        <w:rPr>
          <w:rFonts w:ascii="Cambria" w:hAnsi="Cambria"/>
          <w:sz w:val="16"/>
          <w:szCs w:val="16"/>
          <w:lang w:val="es-ES"/>
        </w:rPr>
        <w:t>CIDH, Informe No. 27/16, Petición 30-04</w:t>
      </w:r>
      <w:r w:rsidR="00C14D3B">
        <w:rPr>
          <w:rFonts w:ascii="Cambria" w:hAnsi="Cambria"/>
          <w:sz w:val="16"/>
          <w:szCs w:val="16"/>
          <w:lang w:val="es-ES"/>
        </w:rPr>
        <w:t>,</w:t>
      </w:r>
      <w:r w:rsidR="00C07A50" w:rsidRPr="004A106C">
        <w:rPr>
          <w:rFonts w:ascii="Cambria" w:hAnsi="Cambria"/>
          <w:sz w:val="16"/>
          <w:szCs w:val="16"/>
          <w:lang w:val="es-ES"/>
        </w:rPr>
        <w:t xml:space="preserve"> Inadmisibilidad</w:t>
      </w:r>
      <w:r w:rsidR="00C14D3B">
        <w:rPr>
          <w:rFonts w:ascii="Cambria" w:hAnsi="Cambria"/>
          <w:sz w:val="16"/>
          <w:szCs w:val="16"/>
          <w:lang w:val="es-ES"/>
        </w:rPr>
        <w:t>,</w:t>
      </w:r>
      <w:r w:rsidR="00C07A50" w:rsidRPr="004A106C">
        <w:rPr>
          <w:rFonts w:ascii="Cambria" w:hAnsi="Cambria"/>
          <w:sz w:val="16"/>
          <w:szCs w:val="16"/>
          <w:lang w:val="es-ES"/>
        </w:rPr>
        <w:t xml:space="preserve"> Luis Alexsander Santillán Hermoza</w:t>
      </w:r>
      <w:r w:rsidR="00C14D3B">
        <w:rPr>
          <w:rFonts w:ascii="Cambria" w:hAnsi="Cambria"/>
          <w:sz w:val="16"/>
          <w:szCs w:val="16"/>
          <w:lang w:val="es-ES"/>
        </w:rPr>
        <w:t>,</w:t>
      </w:r>
      <w:r w:rsidR="00C07A50" w:rsidRPr="004A106C">
        <w:rPr>
          <w:rFonts w:ascii="Cambria" w:hAnsi="Cambria"/>
          <w:sz w:val="16"/>
          <w:szCs w:val="16"/>
          <w:lang w:val="es-ES"/>
        </w:rPr>
        <w:t xml:space="preserve"> Perú</w:t>
      </w:r>
      <w:r w:rsidR="00C14D3B">
        <w:rPr>
          <w:rFonts w:ascii="Cambria" w:hAnsi="Cambria"/>
          <w:sz w:val="16"/>
          <w:szCs w:val="16"/>
          <w:lang w:val="es-ES"/>
        </w:rPr>
        <w:t>,</w:t>
      </w:r>
      <w:r w:rsidR="00C07A50" w:rsidRPr="004A106C">
        <w:rPr>
          <w:rFonts w:ascii="Cambria" w:hAnsi="Cambria"/>
          <w:sz w:val="16"/>
          <w:szCs w:val="16"/>
          <w:lang w:val="es-ES"/>
        </w:rPr>
        <w:t xml:space="preserve"> 15 de abril de 2016, párrs. 25 y 26</w:t>
      </w:r>
      <w:r w:rsidR="00C14D3B">
        <w:rPr>
          <w:rFonts w:ascii="Cambria" w:hAnsi="Cambria"/>
          <w:sz w:val="16"/>
          <w:szCs w:val="16"/>
          <w:lang w:val="es-ES"/>
        </w:rPr>
        <w:t>.</w:t>
      </w:r>
    </w:p>
  </w:footnote>
  <w:footnote w:id="9">
    <w:p w14:paraId="430303FD" w14:textId="0827DC39" w:rsidR="36011B61" w:rsidRPr="004A106C" w:rsidRDefault="36011B61" w:rsidP="00541F12">
      <w:pPr>
        <w:ind w:firstLine="720"/>
        <w:jc w:val="both"/>
        <w:rPr>
          <w:rFonts w:ascii="Cambria" w:eastAsiaTheme="majorEastAsia" w:hAnsi="Cambria" w:cstheme="majorBidi"/>
          <w:color w:val="000000" w:themeColor="text1"/>
          <w:sz w:val="16"/>
          <w:szCs w:val="16"/>
          <w:lang w:val="es-ES"/>
        </w:rPr>
      </w:pPr>
      <w:r w:rsidRPr="004A106C">
        <w:rPr>
          <w:rFonts w:ascii="Cambria" w:eastAsiaTheme="majorEastAsia" w:hAnsi="Cambria" w:cstheme="majorBidi"/>
          <w:sz w:val="16"/>
          <w:szCs w:val="16"/>
          <w:vertAlign w:val="superscript"/>
          <w:lang w:val="es-ES"/>
        </w:rPr>
        <w:footnoteRef/>
      </w:r>
      <w:r w:rsidRPr="004A106C">
        <w:rPr>
          <w:rFonts w:ascii="Cambria" w:eastAsiaTheme="majorEastAsia" w:hAnsi="Cambria" w:cstheme="majorBidi"/>
          <w:sz w:val="16"/>
          <w:szCs w:val="16"/>
          <w:lang w:val="es-ES"/>
        </w:rPr>
        <w:t xml:space="preserve"> </w:t>
      </w:r>
      <w:r w:rsidRPr="004A106C">
        <w:rPr>
          <w:rFonts w:ascii="Cambria" w:eastAsiaTheme="majorEastAsia" w:hAnsi="Cambria" w:cstheme="majorBidi"/>
          <w:color w:val="000000" w:themeColor="text1"/>
          <w:sz w:val="16"/>
          <w:szCs w:val="16"/>
          <w:lang w:val="es-ES"/>
        </w:rPr>
        <w:t>CIDH, Informe No. 128/22</w:t>
      </w:r>
      <w:r w:rsidR="00BA599A" w:rsidRPr="004A106C">
        <w:rPr>
          <w:rFonts w:ascii="Cambria" w:eastAsiaTheme="majorEastAsia" w:hAnsi="Cambria" w:cstheme="majorBidi"/>
          <w:color w:val="000000" w:themeColor="text1"/>
          <w:sz w:val="16"/>
          <w:szCs w:val="16"/>
          <w:lang w:val="es-ES"/>
        </w:rPr>
        <w:t>,</w:t>
      </w:r>
      <w:r w:rsidRPr="004A106C">
        <w:rPr>
          <w:rFonts w:ascii="Cambria" w:eastAsiaTheme="majorEastAsia" w:hAnsi="Cambria" w:cstheme="majorBidi"/>
          <w:color w:val="000000" w:themeColor="text1"/>
          <w:sz w:val="16"/>
          <w:szCs w:val="16"/>
          <w:lang w:val="es-ES"/>
        </w:rPr>
        <w:t xml:space="preserve"> Petición 2170-15</w:t>
      </w:r>
      <w:r w:rsidR="00BA599A" w:rsidRPr="004A106C">
        <w:rPr>
          <w:rFonts w:ascii="Cambria" w:eastAsiaTheme="majorEastAsia" w:hAnsi="Cambria" w:cstheme="majorBidi"/>
          <w:color w:val="000000" w:themeColor="text1"/>
          <w:sz w:val="16"/>
          <w:szCs w:val="16"/>
          <w:lang w:val="es-ES"/>
        </w:rPr>
        <w:t>,</w:t>
      </w:r>
      <w:r w:rsidRPr="004A106C">
        <w:rPr>
          <w:rFonts w:ascii="Cambria" w:eastAsiaTheme="majorEastAsia" w:hAnsi="Cambria" w:cstheme="majorBidi"/>
          <w:color w:val="000000" w:themeColor="text1"/>
          <w:sz w:val="16"/>
          <w:szCs w:val="16"/>
          <w:lang w:val="es-ES"/>
        </w:rPr>
        <w:t xml:space="preserve"> Admisibilidad</w:t>
      </w:r>
      <w:r w:rsidR="00BA599A" w:rsidRPr="004A106C">
        <w:rPr>
          <w:rFonts w:ascii="Cambria" w:eastAsiaTheme="majorEastAsia" w:hAnsi="Cambria" w:cstheme="majorBidi"/>
          <w:color w:val="000000" w:themeColor="text1"/>
          <w:sz w:val="16"/>
          <w:szCs w:val="16"/>
          <w:lang w:val="es-ES"/>
        </w:rPr>
        <w:t xml:space="preserve">, </w:t>
      </w:r>
      <w:r w:rsidRPr="004A106C">
        <w:rPr>
          <w:rFonts w:ascii="Cambria" w:eastAsiaTheme="majorEastAsia" w:hAnsi="Cambria" w:cstheme="majorBidi"/>
          <w:color w:val="000000" w:themeColor="text1"/>
          <w:sz w:val="16"/>
          <w:szCs w:val="16"/>
          <w:lang w:val="es-ES"/>
        </w:rPr>
        <w:t>Hernán Arturo Rueda Mosquera</w:t>
      </w:r>
      <w:r w:rsidR="00BA599A" w:rsidRPr="004A106C">
        <w:rPr>
          <w:rFonts w:ascii="Cambria" w:eastAsiaTheme="majorEastAsia" w:hAnsi="Cambria" w:cstheme="majorBidi"/>
          <w:color w:val="000000" w:themeColor="text1"/>
          <w:sz w:val="16"/>
          <w:szCs w:val="16"/>
          <w:lang w:val="es-ES"/>
        </w:rPr>
        <w:t>,</w:t>
      </w:r>
      <w:r w:rsidRPr="004A106C">
        <w:rPr>
          <w:rFonts w:ascii="Cambria" w:eastAsiaTheme="majorEastAsia" w:hAnsi="Cambria" w:cstheme="majorBidi"/>
          <w:color w:val="000000" w:themeColor="text1"/>
          <w:sz w:val="16"/>
          <w:szCs w:val="16"/>
          <w:lang w:val="es-ES"/>
        </w:rPr>
        <w:t xml:space="preserve"> Ecuador</w:t>
      </w:r>
      <w:r w:rsidR="00BA599A" w:rsidRPr="004A106C">
        <w:rPr>
          <w:rFonts w:ascii="Cambria" w:eastAsiaTheme="majorEastAsia" w:hAnsi="Cambria" w:cstheme="majorBidi"/>
          <w:color w:val="000000" w:themeColor="text1"/>
          <w:sz w:val="16"/>
          <w:szCs w:val="16"/>
          <w:lang w:val="es-ES"/>
        </w:rPr>
        <w:t>,</w:t>
      </w:r>
      <w:r w:rsidRPr="004A106C">
        <w:rPr>
          <w:rFonts w:ascii="Cambria" w:eastAsiaTheme="majorEastAsia" w:hAnsi="Cambria" w:cstheme="majorBidi"/>
          <w:color w:val="000000" w:themeColor="text1"/>
          <w:sz w:val="16"/>
          <w:szCs w:val="16"/>
          <w:lang w:val="es-ES"/>
        </w:rPr>
        <w:t xml:space="preserve"> 6 de junio de 2022, párr. 23. </w:t>
      </w:r>
    </w:p>
  </w:footnote>
  <w:footnote w:id="10">
    <w:p w14:paraId="375887DD" w14:textId="2884A193" w:rsidR="36011B61" w:rsidRPr="004A106C" w:rsidRDefault="36011B61" w:rsidP="00541F12">
      <w:pPr>
        <w:ind w:firstLine="720"/>
        <w:jc w:val="both"/>
        <w:rPr>
          <w:rFonts w:ascii="Cambria" w:eastAsiaTheme="majorEastAsia" w:hAnsi="Cambria" w:cstheme="majorBidi"/>
          <w:sz w:val="16"/>
          <w:szCs w:val="16"/>
          <w:lang w:val="es-ES"/>
        </w:rPr>
      </w:pPr>
      <w:r w:rsidRPr="004A106C">
        <w:rPr>
          <w:rFonts w:ascii="Cambria" w:eastAsiaTheme="majorEastAsia" w:hAnsi="Cambria" w:cstheme="majorBidi"/>
          <w:sz w:val="16"/>
          <w:szCs w:val="16"/>
          <w:vertAlign w:val="superscript"/>
          <w:lang w:val="es-ES"/>
        </w:rPr>
        <w:footnoteRef/>
      </w:r>
      <w:r w:rsidRPr="004A106C">
        <w:rPr>
          <w:rFonts w:ascii="Cambria" w:eastAsiaTheme="majorEastAsia" w:hAnsi="Cambria" w:cstheme="majorBidi"/>
          <w:sz w:val="16"/>
          <w:szCs w:val="16"/>
          <w:lang w:val="es-ES"/>
        </w:rPr>
        <w:t xml:space="preserve"> CIDH, Informe No. 346/20</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Petición 1801-10</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Admisibilidad</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Emilio Palacio Urrutia</w:t>
      </w:r>
      <w:r w:rsidR="00C14D3B">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Ecuador</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23 de </w:t>
      </w:r>
      <w:r w:rsidR="00450941" w:rsidRPr="004A106C">
        <w:rPr>
          <w:rFonts w:ascii="Cambria" w:eastAsiaTheme="majorEastAsia" w:hAnsi="Cambria" w:cstheme="majorBidi"/>
          <w:sz w:val="16"/>
          <w:szCs w:val="16"/>
          <w:lang w:val="es-ES"/>
        </w:rPr>
        <w:t>noviembre</w:t>
      </w:r>
      <w:r w:rsidRPr="004A106C">
        <w:rPr>
          <w:rFonts w:ascii="Cambria" w:eastAsiaTheme="majorEastAsia" w:hAnsi="Cambria" w:cstheme="majorBidi"/>
          <w:sz w:val="16"/>
          <w:szCs w:val="16"/>
          <w:lang w:val="es-ES"/>
        </w:rPr>
        <w:t xml:space="preserve"> de 2020, párr. 16. </w:t>
      </w:r>
    </w:p>
  </w:footnote>
  <w:footnote w:id="11">
    <w:p w14:paraId="6A1BB716" w14:textId="3837E4B0" w:rsidR="36011B61" w:rsidRPr="004A106C" w:rsidRDefault="36011B61" w:rsidP="00541F12">
      <w:pPr>
        <w:ind w:firstLine="720"/>
        <w:jc w:val="both"/>
        <w:rPr>
          <w:rFonts w:ascii="Cambria" w:eastAsiaTheme="majorEastAsia" w:hAnsi="Cambria" w:cstheme="majorBidi"/>
          <w:sz w:val="16"/>
          <w:szCs w:val="16"/>
          <w:lang w:val="es-ES"/>
        </w:rPr>
      </w:pPr>
      <w:r w:rsidRPr="004A106C">
        <w:rPr>
          <w:rFonts w:ascii="Cambria" w:eastAsiaTheme="majorEastAsia" w:hAnsi="Cambria" w:cstheme="majorBidi"/>
          <w:sz w:val="16"/>
          <w:szCs w:val="16"/>
          <w:vertAlign w:val="superscript"/>
          <w:lang w:val="es-ES"/>
        </w:rPr>
        <w:footnoteRef/>
      </w:r>
      <w:r w:rsidRPr="004A106C">
        <w:rPr>
          <w:rFonts w:ascii="Cambria" w:eastAsiaTheme="majorEastAsia" w:hAnsi="Cambria" w:cstheme="majorBidi"/>
          <w:sz w:val="16"/>
          <w:szCs w:val="16"/>
          <w:lang w:val="es-ES"/>
        </w:rPr>
        <w:t xml:space="preserve"> CIDH, Informe No. 143/22</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Petición 1350-13</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Admisibilidad</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Luis Guillermo Catalán Arriagada</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Chile</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27 de junio de 2022, párr. 18. </w:t>
      </w:r>
    </w:p>
  </w:footnote>
  <w:footnote w:id="12">
    <w:p w14:paraId="0E8AE2EC" w14:textId="1A6D3C8B" w:rsidR="36011B61" w:rsidRPr="004A106C" w:rsidRDefault="36011B61" w:rsidP="00541F12">
      <w:pPr>
        <w:ind w:firstLine="720"/>
        <w:jc w:val="both"/>
        <w:rPr>
          <w:rFonts w:ascii="Cambria" w:eastAsiaTheme="majorEastAsia" w:hAnsi="Cambria" w:cstheme="majorBidi"/>
          <w:sz w:val="16"/>
          <w:szCs w:val="16"/>
          <w:lang w:val="es-ES"/>
        </w:rPr>
      </w:pPr>
      <w:r w:rsidRPr="004A106C">
        <w:rPr>
          <w:rFonts w:ascii="Cambria" w:eastAsiaTheme="majorEastAsia" w:hAnsi="Cambria" w:cstheme="majorBidi"/>
          <w:sz w:val="16"/>
          <w:szCs w:val="16"/>
          <w:vertAlign w:val="superscript"/>
          <w:lang w:val="es-ES"/>
        </w:rPr>
        <w:footnoteRef/>
      </w:r>
      <w:r w:rsidRPr="004A106C">
        <w:rPr>
          <w:rFonts w:ascii="Cambria" w:eastAsiaTheme="majorEastAsia" w:hAnsi="Cambria" w:cstheme="majorBidi"/>
          <w:sz w:val="16"/>
          <w:szCs w:val="16"/>
          <w:lang w:val="es-ES"/>
        </w:rPr>
        <w:t xml:space="preserve"> Sobre lo anterior: CIDH, Informe No. 100/24</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Petición 1560-14</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Admisibilidad</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David Efraín Castro Montalvo y otros. Ecuador</w:t>
      </w:r>
      <w:r w:rsidR="00BA599A" w:rsidRPr="004A106C">
        <w:rPr>
          <w:rFonts w:ascii="Cambria" w:eastAsiaTheme="majorEastAsia" w:hAnsi="Cambria" w:cstheme="majorBidi"/>
          <w:sz w:val="16"/>
          <w:szCs w:val="16"/>
          <w:lang w:val="es-ES"/>
        </w:rPr>
        <w:t>,</w:t>
      </w:r>
      <w:r w:rsidRPr="004A106C">
        <w:rPr>
          <w:rFonts w:ascii="Cambria" w:eastAsiaTheme="majorEastAsia" w:hAnsi="Cambria" w:cstheme="majorBidi"/>
          <w:sz w:val="16"/>
          <w:szCs w:val="16"/>
          <w:lang w:val="es-ES"/>
        </w:rPr>
        <w:t xml:space="preserve"> 1º de julio de 2024, párr. 20. </w:t>
      </w:r>
    </w:p>
  </w:footnote>
  <w:footnote w:id="13">
    <w:p w14:paraId="7543B837" w14:textId="10AEA967" w:rsidR="00D0200C" w:rsidRPr="004A106C" w:rsidRDefault="00D0200C" w:rsidP="00541F12">
      <w:pPr>
        <w:pStyle w:val="FootnoteText"/>
        <w:ind w:firstLine="720"/>
        <w:jc w:val="both"/>
        <w:rPr>
          <w:rFonts w:ascii="Cambria" w:hAnsi="Cambria"/>
          <w:sz w:val="16"/>
          <w:szCs w:val="16"/>
          <w:lang w:val="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CIDH, Informe No. 74/24</w:t>
      </w:r>
      <w:r w:rsidR="00BA599A" w:rsidRPr="004A106C">
        <w:rPr>
          <w:rFonts w:ascii="Cambria" w:hAnsi="Cambria"/>
          <w:sz w:val="16"/>
          <w:szCs w:val="16"/>
          <w:lang w:val="es-ES"/>
        </w:rPr>
        <w:t>,</w:t>
      </w:r>
      <w:r w:rsidRPr="004A106C">
        <w:rPr>
          <w:rFonts w:ascii="Cambria" w:hAnsi="Cambria"/>
          <w:sz w:val="16"/>
          <w:szCs w:val="16"/>
          <w:lang w:val="es-ES"/>
        </w:rPr>
        <w:t xml:space="preserve"> Petición 278-14</w:t>
      </w:r>
      <w:r w:rsidR="00BA599A" w:rsidRPr="004A106C">
        <w:rPr>
          <w:rFonts w:ascii="Cambria" w:hAnsi="Cambria"/>
          <w:sz w:val="16"/>
          <w:szCs w:val="16"/>
          <w:lang w:val="es-ES"/>
        </w:rPr>
        <w:t>,</w:t>
      </w:r>
      <w:r w:rsidRPr="004A106C">
        <w:rPr>
          <w:rFonts w:ascii="Cambria" w:hAnsi="Cambria"/>
          <w:sz w:val="16"/>
          <w:szCs w:val="16"/>
          <w:lang w:val="es-ES"/>
        </w:rPr>
        <w:t xml:space="preserve"> Admisibilidad. Pedro Abelardo Sandoval Sánchez</w:t>
      </w:r>
      <w:r w:rsidR="00BA599A" w:rsidRPr="004A106C">
        <w:rPr>
          <w:rFonts w:ascii="Cambria" w:hAnsi="Cambria"/>
          <w:sz w:val="16"/>
          <w:szCs w:val="16"/>
          <w:lang w:val="es-ES"/>
        </w:rPr>
        <w:t>,</w:t>
      </w:r>
      <w:r w:rsidRPr="004A106C">
        <w:rPr>
          <w:rFonts w:ascii="Cambria" w:hAnsi="Cambria"/>
          <w:sz w:val="16"/>
          <w:szCs w:val="16"/>
          <w:lang w:val="es-ES"/>
        </w:rPr>
        <w:t xml:space="preserve"> Perú. 20 de mayo de 2024, parr. 22. </w:t>
      </w:r>
    </w:p>
  </w:footnote>
  <w:footnote w:id="14">
    <w:p w14:paraId="3CC8BED3" w14:textId="03374A2A" w:rsidR="006B3E97" w:rsidRPr="004A106C" w:rsidRDefault="006B3E97" w:rsidP="00541F12">
      <w:pPr>
        <w:pStyle w:val="FootnoteText"/>
        <w:ind w:firstLine="720"/>
        <w:jc w:val="both"/>
        <w:rPr>
          <w:rFonts w:ascii="Cambria" w:hAnsi="Cambria"/>
          <w:sz w:val="16"/>
          <w:szCs w:val="16"/>
          <w:lang w:val="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CIDH, Informe No. 100/24, Petición 1560-14, Admisibilidad. David Efraín Castro Montalvo y otros, Ecuador, 1º de julio de 2024; Informe No. 76/24, Petición 581-14, Admisibilidad</w:t>
      </w:r>
      <w:r w:rsidR="009A7004">
        <w:rPr>
          <w:rFonts w:ascii="Cambria" w:hAnsi="Cambria"/>
          <w:sz w:val="16"/>
          <w:szCs w:val="16"/>
          <w:lang w:val="es-ES"/>
        </w:rPr>
        <w:t>,</w:t>
      </w:r>
      <w:r w:rsidRPr="004A106C">
        <w:rPr>
          <w:rFonts w:ascii="Cambria" w:hAnsi="Cambria"/>
          <w:sz w:val="16"/>
          <w:szCs w:val="16"/>
          <w:lang w:val="es-ES"/>
        </w:rPr>
        <w:t xml:space="preserve"> Edgar Paúl Jácome Segovia y otros, Ecuador, 31 de mayo de 2024.</w:t>
      </w:r>
    </w:p>
  </w:footnote>
  <w:footnote w:id="15">
    <w:p w14:paraId="1EF804E0" w14:textId="7B24E4DA" w:rsidR="0034261E" w:rsidRPr="004A106C" w:rsidRDefault="0034261E" w:rsidP="00541F12">
      <w:pPr>
        <w:pStyle w:val="FootnoteText"/>
        <w:ind w:firstLine="720"/>
        <w:jc w:val="both"/>
        <w:rPr>
          <w:rFonts w:ascii="Cambria" w:hAnsi="Cambria"/>
          <w:sz w:val="16"/>
          <w:szCs w:val="16"/>
          <w:lang w:val="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CID</w:t>
      </w:r>
      <w:r w:rsidR="0071521C">
        <w:rPr>
          <w:rFonts w:ascii="Cambria" w:hAnsi="Cambria"/>
          <w:sz w:val="16"/>
          <w:szCs w:val="16"/>
          <w:lang w:val="es-ES"/>
        </w:rPr>
        <w:t>H</w:t>
      </w:r>
      <w:r w:rsidRPr="004A106C">
        <w:rPr>
          <w:rFonts w:ascii="Cambria" w:hAnsi="Cambria"/>
          <w:sz w:val="16"/>
          <w:szCs w:val="16"/>
          <w:lang w:val="es-ES"/>
        </w:rPr>
        <w:t>, Informe No. 76/24, Petición 581-14, Admisibilidad</w:t>
      </w:r>
      <w:r w:rsidR="009A7004">
        <w:rPr>
          <w:rFonts w:ascii="Cambria" w:hAnsi="Cambria"/>
          <w:sz w:val="16"/>
          <w:szCs w:val="16"/>
          <w:lang w:val="es-ES"/>
        </w:rPr>
        <w:t>,</w:t>
      </w:r>
      <w:r w:rsidRPr="004A106C">
        <w:rPr>
          <w:rFonts w:ascii="Cambria" w:hAnsi="Cambria"/>
          <w:sz w:val="16"/>
          <w:szCs w:val="16"/>
          <w:lang w:val="es-ES"/>
        </w:rPr>
        <w:t xml:space="preserve"> Edgar Paúl Jácome Segovia y otros, Ecuador, 31 de mayo de 2024</w:t>
      </w:r>
    </w:p>
  </w:footnote>
  <w:footnote w:id="16">
    <w:p w14:paraId="64A926BA" w14:textId="4918A379" w:rsidR="00EF29B5" w:rsidRPr="004A106C" w:rsidRDefault="00EF29B5" w:rsidP="00541F12">
      <w:pPr>
        <w:pStyle w:val="FootnoteText"/>
        <w:ind w:firstLine="720"/>
        <w:jc w:val="both"/>
        <w:rPr>
          <w:rFonts w:ascii="Cambria" w:hAnsi="Cambria"/>
          <w:sz w:val="16"/>
          <w:szCs w:val="16"/>
          <w:lang w:val="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CIDH</w:t>
      </w:r>
      <w:r w:rsidR="009A7004">
        <w:rPr>
          <w:rFonts w:ascii="Cambria" w:hAnsi="Cambria"/>
          <w:sz w:val="16"/>
          <w:szCs w:val="16"/>
          <w:lang w:val="es-ES"/>
        </w:rPr>
        <w:t>,</w:t>
      </w:r>
      <w:r w:rsidRPr="004A106C">
        <w:rPr>
          <w:rFonts w:ascii="Cambria" w:hAnsi="Cambria"/>
          <w:sz w:val="16"/>
          <w:szCs w:val="16"/>
          <w:lang w:val="es-ES"/>
        </w:rPr>
        <w:t xml:space="preserve"> 30 de septiembre de 2010. Comunicado de Prensa 99/10</w:t>
      </w:r>
      <w:r w:rsidR="009A7004">
        <w:rPr>
          <w:rFonts w:ascii="Cambria" w:hAnsi="Cambria"/>
          <w:sz w:val="16"/>
          <w:szCs w:val="16"/>
          <w:lang w:val="es-ES"/>
        </w:rPr>
        <w:t>,</w:t>
      </w:r>
      <w:r w:rsidRPr="004A106C">
        <w:rPr>
          <w:rFonts w:ascii="Cambria" w:hAnsi="Cambria"/>
          <w:sz w:val="16"/>
          <w:szCs w:val="16"/>
          <w:lang w:val="es-ES"/>
        </w:rPr>
        <w:t xml:space="preserve"> CIDH condena cualquier intento de alterar el orden democrático en Ecuador</w:t>
      </w:r>
      <w:r w:rsidR="009A7004">
        <w:rPr>
          <w:rFonts w:ascii="Cambria" w:hAnsi="Cambria"/>
          <w:sz w:val="16"/>
          <w:szCs w:val="16"/>
          <w:lang w:val="es-ES"/>
        </w:rPr>
        <w:t>.</w:t>
      </w:r>
    </w:p>
  </w:footnote>
  <w:footnote w:id="17">
    <w:p w14:paraId="0C45C507" w14:textId="71CEA127" w:rsidR="00EF29B5" w:rsidRPr="004A106C" w:rsidRDefault="00EF29B5" w:rsidP="00541F12">
      <w:pPr>
        <w:pStyle w:val="FootnoteText"/>
        <w:ind w:firstLine="720"/>
        <w:jc w:val="both"/>
        <w:rPr>
          <w:rFonts w:ascii="Cambria" w:hAnsi="Cambria"/>
          <w:sz w:val="16"/>
          <w:szCs w:val="16"/>
          <w:lang w:val="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CIDH</w:t>
      </w:r>
      <w:r w:rsidR="009A7004">
        <w:rPr>
          <w:rFonts w:ascii="Cambria" w:hAnsi="Cambria"/>
          <w:sz w:val="16"/>
          <w:szCs w:val="16"/>
          <w:lang w:val="es-ES"/>
        </w:rPr>
        <w:t>,</w:t>
      </w:r>
      <w:r w:rsidRPr="004A106C">
        <w:rPr>
          <w:rFonts w:ascii="Cambria" w:hAnsi="Cambria"/>
          <w:sz w:val="16"/>
          <w:szCs w:val="16"/>
          <w:lang w:val="es-ES"/>
        </w:rPr>
        <w:t xml:space="preserve"> 30 de septiembre de 2010</w:t>
      </w:r>
      <w:r w:rsidR="009A7004">
        <w:rPr>
          <w:rFonts w:ascii="Cambria" w:hAnsi="Cambria"/>
          <w:sz w:val="16"/>
          <w:szCs w:val="16"/>
          <w:lang w:val="es-ES"/>
        </w:rPr>
        <w:t>,</w:t>
      </w:r>
      <w:r w:rsidRPr="004A106C">
        <w:rPr>
          <w:rFonts w:ascii="Cambria" w:hAnsi="Cambria"/>
          <w:sz w:val="16"/>
          <w:szCs w:val="16"/>
          <w:lang w:val="es-ES"/>
        </w:rPr>
        <w:t xml:space="preserve"> Comunicado de Prensa 99/10</w:t>
      </w:r>
      <w:r w:rsidR="009A7004">
        <w:rPr>
          <w:rFonts w:ascii="Cambria" w:hAnsi="Cambria"/>
          <w:sz w:val="16"/>
          <w:szCs w:val="16"/>
          <w:lang w:val="es-ES"/>
        </w:rPr>
        <w:t>,</w:t>
      </w:r>
      <w:r w:rsidRPr="004A106C">
        <w:rPr>
          <w:rFonts w:ascii="Cambria" w:hAnsi="Cambria"/>
          <w:sz w:val="16"/>
          <w:szCs w:val="16"/>
          <w:lang w:val="es-ES"/>
        </w:rPr>
        <w:t xml:space="preserve"> CIDH condena cualquier intento de alterar el orden democrático en Ecuador</w:t>
      </w:r>
      <w:r w:rsidR="009A7004">
        <w:rPr>
          <w:rFonts w:ascii="Cambria" w:hAnsi="Cambria"/>
          <w:sz w:val="16"/>
          <w:szCs w:val="16"/>
          <w:lang w:val="es-ES"/>
        </w:rPr>
        <w:t>.</w:t>
      </w:r>
    </w:p>
  </w:footnote>
  <w:footnote w:id="18">
    <w:p w14:paraId="3E2DFC24" w14:textId="425103F3" w:rsidR="006B3E97" w:rsidRPr="004A106C" w:rsidRDefault="006B3E97" w:rsidP="00541F12">
      <w:pPr>
        <w:pStyle w:val="FootnoteText"/>
        <w:ind w:firstLine="720"/>
        <w:jc w:val="both"/>
        <w:rPr>
          <w:rFonts w:ascii="Cambria" w:hAnsi="Cambria"/>
          <w:sz w:val="16"/>
          <w:szCs w:val="16"/>
          <w:lang w:val="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CIDH, Relatoría Especial para la Libertad de Expresión, Informe Anual de la Relatoría Especial para Libertad de Expresión 2010, OEA/Ser.L/V/II. Doc. 5, 7 </w:t>
      </w:r>
      <w:r w:rsidR="00855698">
        <w:rPr>
          <w:rFonts w:ascii="Cambria" w:hAnsi="Cambria"/>
          <w:sz w:val="16"/>
          <w:szCs w:val="16"/>
          <w:lang w:val="es-ES"/>
        </w:rPr>
        <w:t xml:space="preserve">de </w:t>
      </w:r>
      <w:r w:rsidRPr="004A106C">
        <w:rPr>
          <w:rFonts w:ascii="Cambria" w:hAnsi="Cambria"/>
          <w:sz w:val="16"/>
          <w:szCs w:val="16"/>
          <w:lang w:val="es-ES"/>
        </w:rPr>
        <w:t xml:space="preserve">marzo </w:t>
      </w:r>
      <w:r w:rsidR="00855698">
        <w:rPr>
          <w:rFonts w:ascii="Cambria" w:hAnsi="Cambria"/>
          <w:sz w:val="16"/>
          <w:szCs w:val="16"/>
          <w:lang w:val="es-ES"/>
        </w:rPr>
        <w:t xml:space="preserve">de </w:t>
      </w:r>
      <w:r w:rsidRPr="004A106C">
        <w:rPr>
          <w:rFonts w:ascii="Cambria" w:hAnsi="Cambria"/>
          <w:sz w:val="16"/>
          <w:szCs w:val="16"/>
          <w:lang w:val="es-ES"/>
        </w:rPr>
        <w:t xml:space="preserve">2011, párr. 200. </w:t>
      </w:r>
    </w:p>
  </w:footnote>
  <w:footnote w:id="19">
    <w:p w14:paraId="7D216601" w14:textId="6BEF67E7" w:rsidR="006B3E97" w:rsidRPr="004A106C" w:rsidRDefault="006B3E97" w:rsidP="00541F12">
      <w:pPr>
        <w:pStyle w:val="FootnoteText"/>
        <w:ind w:firstLine="720"/>
        <w:jc w:val="both"/>
        <w:rPr>
          <w:rFonts w:ascii="Cambria" w:hAnsi="Cambria"/>
          <w:sz w:val="16"/>
          <w:szCs w:val="16"/>
          <w:lang w:val="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CIDH, Relatoría Especial para la Libertad de Expresión, Informe Anual de la Relatoría Especial para Libertad de Expresión 2010, OEA/Ser.L/V/II. Doc. 5, 7 </w:t>
      </w:r>
      <w:r w:rsidR="00855698">
        <w:rPr>
          <w:rFonts w:ascii="Cambria" w:hAnsi="Cambria"/>
          <w:sz w:val="16"/>
          <w:szCs w:val="16"/>
          <w:lang w:val="es-ES"/>
        </w:rPr>
        <w:t xml:space="preserve">de </w:t>
      </w:r>
      <w:r w:rsidRPr="004A106C">
        <w:rPr>
          <w:rFonts w:ascii="Cambria" w:hAnsi="Cambria"/>
          <w:sz w:val="16"/>
          <w:szCs w:val="16"/>
          <w:lang w:val="es-ES"/>
        </w:rPr>
        <w:t xml:space="preserve">marzo </w:t>
      </w:r>
      <w:r w:rsidR="00855698">
        <w:rPr>
          <w:rFonts w:ascii="Cambria" w:hAnsi="Cambria"/>
          <w:sz w:val="16"/>
          <w:szCs w:val="16"/>
          <w:lang w:val="es-ES"/>
        </w:rPr>
        <w:t xml:space="preserve">de </w:t>
      </w:r>
      <w:r w:rsidRPr="004A106C">
        <w:rPr>
          <w:rFonts w:ascii="Cambria" w:hAnsi="Cambria"/>
          <w:sz w:val="16"/>
          <w:szCs w:val="16"/>
          <w:lang w:val="es-ES"/>
        </w:rPr>
        <w:t>2011, párr. 201.</w:t>
      </w:r>
    </w:p>
  </w:footnote>
  <w:footnote w:id="20">
    <w:p w14:paraId="54015A4F" w14:textId="5FFAC84A" w:rsidR="006B3E97" w:rsidRPr="004A106C" w:rsidRDefault="006B3E97" w:rsidP="00541F12">
      <w:pPr>
        <w:pStyle w:val="FootnoteText"/>
        <w:ind w:firstLine="720"/>
        <w:jc w:val="both"/>
        <w:rPr>
          <w:rFonts w:ascii="Cambria" w:hAnsi="Cambria"/>
          <w:sz w:val="16"/>
          <w:szCs w:val="16"/>
          <w:lang w:val="es-ES"/>
        </w:rPr>
      </w:pPr>
      <w:r w:rsidRPr="004A106C">
        <w:rPr>
          <w:rStyle w:val="FootnoteReference"/>
          <w:rFonts w:ascii="Cambria" w:hAnsi="Cambria"/>
          <w:sz w:val="16"/>
          <w:szCs w:val="16"/>
          <w:lang w:val="es-ES"/>
        </w:rPr>
        <w:footnoteRef/>
      </w:r>
      <w:r w:rsidRPr="004A106C">
        <w:rPr>
          <w:rFonts w:ascii="Cambria" w:hAnsi="Cambria"/>
          <w:sz w:val="16"/>
          <w:szCs w:val="16"/>
          <w:lang w:val="es-ES"/>
        </w:rPr>
        <w:t xml:space="preserve"> Corte IDH, Caso Palacio Urrutia y otros </w:t>
      </w:r>
      <w:r w:rsidR="00855698">
        <w:rPr>
          <w:rFonts w:ascii="Cambria" w:hAnsi="Cambria"/>
          <w:sz w:val="16"/>
          <w:szCs w:val="16"/>
          <w:lang w:val="es-ES"/>
        </w:rPr>
        <w:t>V</w:t>
      </w:r>
      <w:r w:rsidRPr="004A106C">
        <w:rPr>
          <w:rFonts w:ascii="Cambria" w:hAnsi="Cambria"/>
          <w:sz w:val="16"/>
          <w:szCs w:val="16"/>
          <w:lang w:val="es-ES"/>
        </w:rPr>
        <w:t xml:space="preserve">s. Ecuador, Fondo, Reparaciones y Costas, Sentencia de 24 de noviembre de 2021, </w:t>
      </w:r>
      <w:r w:rsidR="00855698">
        <w:rPr>
          <w:rFonts w:ascii="Cambria" w:hAnsi="Cambria"/>
          <w:sz w:val="16"/>
          <w:szCs w:val="16"/>
          <w:lang w:val="es-ES"/>
        </w:rPr>
        <w:t>S</w:t>
      </w:r>
      <w:r w:rsidRPr="004A106C">
        <w:rPr>
          <w:rFonts w:ascii="Cambria" w:hAnsi="Cambria"/>
          <w:sz w:val="16"/>
          <w:szCs w:val="16"/>
          <w:lang w:val="es-ES"/>
        </w:rPr>
        <w:t>erie C, no. 446, parr.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D47810" w:rsidRDefault="00D47810" w:rsidP="00D4781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D47810" w:rsidRDefault="00D47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D47810" w:rsidRDefault="00D47810"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D47810" w:rsidRPr="00EC7D62" w:rsidRDefault="00F652BF" w:rsidP="00A50FCF">
    <w:pPr>
      <w:pStyle w:val="Header"/>
      <w:tabs>
        <w:tab w:val="clear" w:pos="4320"/>
        <w:tab w:val="clear" w:pos="8640"/>
      </w:tabs>
      <w:jc w:val="center"/>
      <w:rPr>
        <w:sz w:val="22"/>
        <w:szCs w:val="22"/>
      </w:rPr>
    </w:pPr>
    <w:r>
      <w:rPr>
        <w:noProof/>
        <w:sz w:val="22"/>
        <w:szCs w:val="22"/>
        <w:bdr w:val="nil"/>
      </w:rPr>
      <w:pict w14:anchorId="43C7E6AC">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D575A8"/>
    <w:multiLevelType w:val="hybridMultilevel"/>
    <w:tmpl w:val="087E2C3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F4D660"/>
    <w:multiLevelType w:val="hybridMultilevel"/>
    <w:tmpl w:val="71567D98"/>
    <w:lvl w:ilvl="0" w:tplc="C46852C8">
      <w:start w:val="1"/>
      <w:numFmt w:val="bullet"/>
      <w:lvlText w:val="·"/>
      <w:lvlJc w:val="left"/>
      <w:pPr>
        <w:ind w:left="720" w:hanging="360"/>
      </w:pPr>
      <w:rPr>
        <w:rFonts w:ascii="Symbol" w:hAnsi="Symbol" w:hint="default"/>
      </w:rPr>
    </w:lvl>
    <w:lvl w:ilvl="1" w:tplc="2F5433EC">
      <w:start w:val="1"/>
      <w:numFmt w:val="bullet"/>
      <w:lvlText w:val="o"/>
      <w:lvlJc w:val="left"/>
      <w:pPr>
        <w:ind w:left="1440" w:hanging="360"/>
      </w:pPr>
      <w:rPr>
        <w:rFonts w:ascii="Courier New" w:hAnsi="Courier New" w:hint="default"/>
      </w:rPr>
    </w:lvl>
    <w:lvl w:ilvl="2" w:tplc="4246D4AA">
      <w:start w:val="1"/>
      <w:numFmt w:val="bullet"/>
      <w:lvlText w:val=""/>
      <w:lvlJc w:val="left"/>
      <w:pPr>
        <w:ind w:left="2160" w:hanging="360"/>
      </w:pPr>
      <w:rPr>
        <w:rFonts w:ascii="Wingdings" w:hAnsi="Wingdings" w:hint="default"/>
      </w:rPr>
    </w:lvl>
    <w:lvl w:ilvl="3" w:tplc="297A7342">
      <w:start w:val="1"/>
      <w:numFmt w:val="bullet"/>
      <w:lvlText w:val=""/>
      <w:lvlJc w:val="left"/>
      <w:pPr>
        <w:ind w:left="2880" w:hanging="360"/>
      </w:pPr>
      <w:rPr>
        <w:rFonts w:ascii="Symbol" w:hAnsi="Symbol" w:hint="default"/>
      </w:rPr>
    </w:lvl>
    <w:lvl w:ilvl="4" w:tplc="1C506D92">
      <w:start w:val="1"/>
      <w:numFmt w:val="bullet"/>
      <w:lvlText w:val="o"/>
      <w:lvlJc w:val="left"/>
      <w:pPr>
        <w:ind w:left="3600" w:hanging="360"/>
      </w:pPr>
      <w:rPr>
        <w:rFonts w:ascii="Courier New" w:hAnsi="Courier New" w:hint="default"/>
      </w:rPr>
    </w:lvl>
    <w:lvl w:ilvl="5" w:tplc="F680391A">
      <w:start w:val="1"/>
      <w:numFmt w:val="bullet"/>
      <w:lvlText w:val=""/>
      <w:lvlJc w:val="left"/>
      <w:pPr>
        <w:ind w:left="4320" w:hanging="360"/>
      </w:pPr>
      <w:rPr>
        <w:rFonts w:ascii="Wingdings" w:hAnsi="Wingdings" w:hint="default"/>
      </w:rPr>
    </w:lvl>
    <w:lvl w:ilvl="6" w:tplc="F788DF98">
      <w:start w:val="1"/>
      <w:numFmt w:val="bullet"/>
      <w:lvlText w:val=""/>
      <w:lvlJc w:val="left"/>
      <w:pPr>
        <w:ind w:left="5040" w:hanging="360"/>
      </w:pPr>
      <w:rPr>
        <w:rFonts w:ascii="Symbol" w:hAnsi="Symbol" w:hint="default"/>
      </w:rPr>
    </w:lvl>
    <w:lvl w:ilvl="7" w:tplc="5E183840">
      <w:start w:val="1"/>
      <w:numFmt w:val="bullet"/>
      <w:lvlText w:val="o"/>
      <w:lvlJc w:val="left"/>
      <w:pPr>
        <w:ind w:left="5760" w:hanging="360"/>
      </w:pPr>
      <w:rPr>
        <w:rFonts w:ascii="Courier New" w:hAnsi="Courier New" w:hint="default"/>
      </w:rPr>
    </w:lvl>
    <w:lvl w:ilvl="8" w:tplc="3692FAF0">
      <w:start w:val="1"/>
      <w:numFmt w:val="bullet"/>
      <w:lvlText w:val=""/>
      <w:lvlJc w:val="left"/>
      <w:pPr>
        <w:ind w:left="6480" w:hanging="360"/>
      </w:pPr>
      <w:rPr>
        <w:rFonts w:ascii="Wingdings" w:hAnsi="Wingdings" w:hint="default"/>
      </w:rPr>
    </w:lvl>
  </w:abstractNum>
  <w:abstractNum w:abstractNumId="34" w15:restartNumberingAfterBreak="0">
    <w:nsid w:val="46212985"/>
    <w:multiLevelType w:val="hybridMultilevel"/>
    <w:tmpl w:val="274AAD1A"/>
    <w:lvl w:ilvl="0" w:tplc="2B74908C">
      <w:start w:val="1"/>
      <w:numFmt w:val="decimal"/>
      <w:lvlText w:val="%1."/>
      <w:lvlJc w:val="left"/>
      <w:pPr>
        <w:ind w:left="1440" w:hanging="720"/>
      </w:pPr>
      <w:rPr>
        <w:rFonts w:eastAsia="Arial Unicode M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D3C08C"/>
    <w:multiLevelType w:val="hybridMultilevel"/>
    <w:tmpl w:val="A8B832BA"/>
    <w:lvl w:ilvl="0" w:tplc="8D440DE2">
      <w:start w:val="1"/>
      <w:numFmt w:val="decimal"/>
      <w:lvlText w:val="%1."/>
      <w:lvlJc w:val="left"/>
      <w:pPr>
        <w:ind w:left="720" w:hanging="360"/>
      </w:pPr>
    </w:lvl>
    <w:lvl w:ilvl="1" w:tplc="0AA844EA">
      <w:start w:val="1"/>
      <w:numFmt w:val="lowerLetter"/>
      <w:lvlText w:val="%2."/>
      <w:lvlJc w:val="left"/>
      <w:pPr>
        <w:ind w:left="1440" w:hanging="360"/>
      </w:pPr>
    </w:lvl>
    <w:lvl w:ilvl="2" w:tplc="2162FDA2">
      <w:start w:val="1"/>
      <w:numFmt w:val="lowerRoman"/>
      <w:lvlText w:val="%3."/>
      <w:lvlJc w:val="right"/>
      <w:pPr>
        <w:ind w:left="2160" w:hanging="180"/>
      </w:pPr>
    </w:lvl>
    <w:lvl w:ilvl="3" w:tplc="BACA8632">
      <w:start w:val="1"/>
      <w:numFmt w:val="decimal"/>
      <w:lvlText w:val="%4."/>
      <w:lvlJc w:val="left"/>
      <w:pPr>
        <w:ind w:left="2880" w:hanging="360"/>
      </w:pPr>
    </w:lvl>
    <w:lvl w:ilvl="4" w:tplc="A0C05D54">
      <w:start w:val="1"/>
      <w:numFmt w:val="lowerLetter"/>
      <w:lvlText w:val="%5."/>
      <w:lvlJc w:val="left"/>
      <w:pPr>
        <w:ind w:left="3600" w:hanging="360"/>
      </w:pPr>
    </w:lvl>
    <w:lvl w:ilvl="5" w:tplc="F5D6C602">
      <w:start w:val="1"/>
      <w:numFmt w:val="lowerRoman"/>
      <w:lvlText w:val="%6."/>
      <w:lvlJc w:val="right"/>
      <w:pPr>
        <w:ind w:left="4320" w:hanging="180"/>
      </w:pPr>
    </w:lvl>
    <w:lvl w:ilvl="6" w:tplc="AF42230C">
      <w:start w:val="1"/>
      <w:numFmt w:val="decimal"/>
      <w:lvlText w:val="%7."/>
      <w:lvlJc w:val="left"/>
      <w:pPr>
        <w:ind w:left="5040" w:hanging="360"/>
      </w:pPr>
    </w:lvl>
    <w:lvl w:ilvl="7" w:tplc="E2268B78">
      <w:start w:val="1"/>
      <w:numFmt w:val="lowerLetter"/>
      <w:lvlText w:val="%8."/>
      <w:lvlJc w:val="left"/>
      <w:pPr>
        <w:ind w:left="5760" w:hanging="360"/>
      </w:pPr>
    </w:lvl>
    <w:lvl w:ilvl="8" w:tplc="1340D682">
      <w:start w:val="1"/>
      <w:numFmt w:val="lowerRoman"/>
      <w:lvlText w:val="%9."/>
      <w:lvlJc w:val="right"/>
      <w:pPr>
        <w:ind w:left="6480" w:hanging="180"/>
      </w:p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361731F"/>
    <w:multiLevelType w:val="hybridMultilevel"/>
    <w:tmpl w:val="1C52BBD2"/>
    <w:lvl w:ilvl="0" w:tplc="5024F1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0520776"/>
    <w:multiLevelType w:val="hybridMultilevel"/>
    <w:tmpl w:val="BBE6FB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65211DC"/>
    <w:multiLevelType w:val="hybridMultilevel"/>
    <w:tmpl w:val="EEC48176"/>
    <w:lvl w:ilvl="0" w:tplc="2B74908C">
      <w:start w:val="1"/>
      <w:numFmt w:val="decimal"/>
      <w:lvlText w:val="%1."/>
      <w:lvlJc w:val="left"/>
      <w:pPr>
        <w:ind w:left="1440" w:hanging="720"/>
      </w:pPr>
      <w:rPr>
        <w:rFonts w:eastAsia="Arial Unicode M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81C999"/>
    <w:multiLevelType w:val="hybridMultilevel"/>
    <w:tmpl w:val="236A1088"/>
    <w:lvl w:ilvl="0" w:tplc="76B806CE">
      <w:start w:val="1"/>
      <w:numFmt w:val="decimal"/>
      <w:lvlText w:val="%1."/>
      <w:lvlJc w:val="left"/>
      <w:pPr>
        <w:ind w:left="1080" w:hanging="360"/>
      </w:pPr>
    </w:lvl>
    <w:lvl w:ilvl="1" w:tplc="6E8C93D6">
      <w:start w:val="1"/>
      <w:numFmt w:val="lowerLetter"/>
      <w:lvlText w:val="%2."/>
      <w:lvlJc w:val="left"/>
      <w:pPr>
        <w:ind w:left="1800" w:hanging="360"/>
      </w:pPr>
    </w:lvl>
    <w:lvl w:ilvl="2" w:tplc="FE10709A">
      <w:start w:val="1"/>
      <w:numFmt w:val="lowerRoman"/>
      <w:lvlText w:val="%3."/>
      <w:lvlJc w:val="right"/>
      <w:pPr>
        <w:ind w:left="2520" w:hanging="180"/>
      </w:pPr>
    </w:lvl>
    <w:lvl w:ilvl="3" w:tplc="41D03216">
      <w:start w:val="1"/>
      <w:numFmt w:val="decimal"/>
      <w:lvlText w:val="%4."/>
      <w:lvlJc w:val="left"/>
      <w:pPr>
        <w:ind w:left="3240" w:hanging="360"/>
      </w:pPr>
    </w:lvl>
    <w:lvl w:ilvl="4" w:tplc="BC70A0A0">
      <w:start w:val="1"/>
      <w:numFmt w:val="lowerLetter"/>
      <w:lvlText w:val="%5."/>
      <w:lvlJc w:val="left"/>
      <w:pPr>
        <w:ind w:left="3960" w:hanging="360"/>
      </w:pPr>
    </w:lvl>
    <w:lvl w:ilvl="5" w:tplc="BB9A7752">
      <w:start w:val="1"/>
      <w:numFmt w:val="lowerRoman"/>
      <w:lvlText w:val="%6."/>
      <w:lvlJc w:val="right"/>
      <w:pPr>
        <w:ind w:left="4680" w:hanging="180"/>
      </w:pPr>
    </w:lvl>
    <w:lvl w:ilvl="6" w:tplc="24F05024">
      <w:start w:val="1"/>
      <w:numFmt w:val="decimal"/>
      <w:lvlText w:val="%7."/>
      <w:lvlJc w:val="left"/>
      <w:pPr>
        <w:ind w:left="5400" w:hanging="360"/>
      </w:pPr>
    </w:lvl>
    <w:lvl w:ilvl="7" w:tplc="DA9C199C">
      <w:start w:val="1"/>
      <w:numFmt w:val="lowerLetter"/>
      <w:lvlText w:val="%8."/>
      <w:lvlJc w:val="left"/>
      <w:pPr>
        <w:ind w:left="6120" w:hanging="360"/>
      </w:pPr>
    </w:lvl>
    <w:lvl w:ilvl="8" w:tplc="FA8A1D38">
      <w:start w:val="1"/>
      <w:numFmt w:val="lowerRoman"/>
      <w:lvlText w:val="%9."/>
      <w:lvlJc w:val="right"/>
      <w:pPr>
        <w:ind w:left="684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93472615">
    <w:abstractNumId w:val="37"/>
  </w:num>
  <w:num w:numId="2" w16cid:durableId="455878573">
    <w:abstractNumId w:val="33"/>
  </w:num>
  <w:num w:numId="3" w16cid:durableId="183828962">
    <w:abstractNumId w:val="55"/>
  </w:num>
  <w:num w:numId="4" w16cid:durableId="137503493">
    <w:abstractNumId w:val="3"/>
  </w:num>
  <w:num w:numId="5" w16cid:durableId="53816397">
    <w:abstractNumId w:val="4"/>
  </w:num>
  <w:num w:numId="6" w16cid:durableId="1705785281">
    <w:abstractNumId w:val="60"/>
  </w:num>
  <w:num w:numId="7" w16cid:durableId="779180781">
    <w:abstractNumId w:val="19"/>
  </w:num>
  <w:num w:numId="8" w16cid:durableId="882710745">
    <w:abstractNumId w:val="52"/>
  </w:num>
  <w:num w:numId="9" w16cid:durableId="414741897">
    <w:abstractNumId w:val="26"/>
  </w:num>
  <w:num w:numId="10" w16cid:durableId="1625962350">
    <w:abstractNumId w:val="5"/>
  </w:num>
  <w:num w:numId="11" w16cid:durableId="243149974">
    <w:abstractNumId w:val="15"/>
  </w:num>
  <w:num w:numId="12" w16cid:durableId="879315711">
    <w:abstractNumId w:val="46"/>
  </w:num>
  <w:num w:numId="13" w16cid:durableId="1813862165">
    <w:abstractNumId w:val="0"/>
  </w:num>
  <w:num w:numId="14" w16cid:durableId="106170084">
    <w:abstractNumId w:val="40"/>
  </w:num>
  <w:num w:numId="15" w16cid:durableId="628702968">
    <w:abstractNumId w:val="41"/>
  </w:num>
  <w:num w:numId="16" w16cid:durableId="1756517397">
    <w:abstractNumId w:val="48"/>
  </w:num>
  <w:num w:numId="17" w16cid:durableId="871920681">
    <w:abstractNumId w:val="1"/>
  </w:num>
  <w:num w:numId="18" w16cid:durableId="1364861396">
    <w:abstractNumId w:val="2"/>
  </w:num>
  <w:num w:numId="19" w16cid:durableId="893588327">
    <w:abstractNumId w:val="6"/>
  </w:num>
  <w:num w:numId="20" w16cid:durableId="1600791307">
    <w:abstractNumId w:val="7"/>
  </w:num>
  <w:num w:numId="21" w16cid:durableId="385614956">
    <w:abstractNumId w:val="8"/>
  </w:num>
  <w:num w:numId="22" w16cid:durableId="846940466">
    <w:abstractNumId w:val="9"/>
  </w:num>
  <w:num w:numId="23" w16cid:durableId="1714966594">
    <w:abstractNumId w:val="10"/>
  </w:num>
  <w:num w:numId="24" w16cid:durableId="1631978860">
    <w:abstractNumId w:val="11"/>
  </w:num>
  <w:num w:numId="25" w16cid:durableId="1439057751">
    <w:abstractNumId w:val="12"/>
  </w:num>
  <w:num w:numId="26" w16cid:durableId="1766999679">
    <w:abstractNumId w:val="13"/>
  </w:num>
  <w:num w:numId="27" w16cid:durableId="2075539254">
    <w:abstractNumId w:val="14"/>
  </w:num>
  <w:num w:numId="28" w16cid:durableId="1142383899">
    <w:abstractNumId w:val="16"/>
  </w:num>
  <w:num w:numId="29" w16cid:durableId="2014993265">
    <w:abstractNumId w:val="17"/>
  </w:num>
  <w:num w:numId="30" w16cid:durableId="526916986">
    <w:abstractNumId w:val="20"/>
  </w:num>
  <w:num w:numId="31" w16cid:durableId="641814432">
    <w:abstractNumId w:val="21"/>
  </w:num>
  <w:num w:numId="32" w16cid:durableId="465005285">
    <w:abstractNumId w:val="22"/>
  </w:num>
  <w:num w:numId="33" w16cid:durableId="2125690445">
    <w:abstractNumId w:val="24"/>
  </w:num>
  <w:num w:numId="34" w16cid:durableId="1020425655">
    <w:abstractNumId w:val="27"/>
  </w:num>
  <w:num w:numId="35" w16cid:durableId="390736429">
    <w:abstractNumId w:val="28"/>
  </w:num>
  <w:num w:numId="36" w16cid:durableId="63652438">
    <w:abstractNumId w:val="29"/>
  </w:num>
  <w:num w:numId="37" w16cid:durableId="1305741807">
    <w:abstractNumId w:val="30"/>
  </w:num>
  <w:num w:numId="38" w16cid:durableId="482889518">
    <w:abstractNumId w:val="32"/>
  </w:num>
  <w:num w:numId="39" w16cid:durableId="1734304389">
    <w:abstractNumId w:val="35"/>
  </w:num>
  <w:num w:numId="40" w16cid:durableId="197668757">
    <w:abstractNumId w:val="36"/>
  </w:num>
  <w:num w:numId="41" w16cid:durableId="649210650">
    <w:abstractNumId w:val="38"/>
  </w:num>
  <w:num w:numId="42" w16cid:durableId="608512962">
    <w:abstractNumId w:val="42"/>
  </w:num>
  <w:num w:numId="43" w16cid:durableId="1217738732">
    <w:abstractNumId w:val="43"/>
  </w:num>
  <w:num w:numId="44" w16cid:durableId="834338953">
    <w:abstractNumId w:val="51"/>
  </w:num>
  <w:num w:numId="45" w16cid:durableId="1013992202">
    <w:abstractNumId w:val="54"/>
  </w:num>
  <w:num w:numId="46" w16cid:durableId="221064146">
    <w:abstractNumId w:val="56"/>
  </w:num>
  <w:num w:numId="47" w16cid:durableId="1594625225">
    <w:abstractNumId w:val="58"/>
  </w:num>
  <w:num w:numId="48" w16cid:durableId="431512867">
    <w:abstractNumId w:val="59"/>
  </w:num>
  <w:num w:numId="49" w16cid:durableId="267008050">
    <w:abstractNumId w:val="61"/>
  </w:num>
  <w:num w:numId="50" w16cid:durableId="942227858">
    <w:abstractNumId w:val="62"/>
  </w:num>
  <w:num w:numId="51" w16cid:durableId="92633761">
    <w:abstractNumId w:val="63"/>
  </w:num>
  <w:num w:numId="52" w16cid:durableId="1740664930">
    <w:abstractNumId w:val="64"/>
  </w:num>
  <w:num w:numId="53" w16cid:durableId="510876657">
    <w:abstractNumId w:val="65"/>
  </w:num>
  <w:num w:numId="54" w16cid:durableId="843281659">
    <w:abstractNumId w:val="18"/>
  </w:num>
  <w:num w:numId="55" w16cid:durableId="719401890">
    <w:abstractNumId w:val="44"/>
  </w:num>
  <w:num w:numId="56" w16cid:durableId="404642967">
    <w:abstractNumId w:val="57"/>
  </w:num>
  <w:num w:numId="57" w16cid:durableId="964966380">
    <w:abstractNumId w:val="49"/>
  </w:num>
  <w:num w:numId="58" w16cid:durableId="1420179493">
    <w:abstractNumId w:val="47"/>
  </w:num>
  <w:num w:numId="59" w16cid:durableId="608394691">
    <w:abstractNumId w:val="25"/>
  </w:num>
  <w:num w:numId="60" w16cid:durableId="1178697118">
    <w:abstractNumId w:val="23"/>
  </w:num>
  <w:num w:numId="61" w16cid:durableId="1220479033">
    <w:abstractNumId w:val="39"/>
  </w:num>
  <w:num w:numId="62" w16cid:durableId="731779047">
    <w:abstractNumId w:val="31"/>
  </w:num>
  <w:num w:numId="63" w16cid:durableId="1659533940">
    <w:abstractNumId w:val="53"/>
  </w:num>
  <w:num w:numId="64" w16cid:durableId="1741252369">
    <w:abstractNumId w:val="34"/>
  </w:num>
  <w:num w:numId="65" w16cid:durableId="498421400">
    <w:abstractNumId w:val="50"/>
  </w:num>
  <w:num w:numId="66" w16cid:durableId="197644577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27369"/>
    <w:rsid w:val="0003064F"/>
    <w:rsid w:val="00033215"/>
    <w:rsid w:val="000337EF"/>
    <w:rsid w:val="00040C3A"/>
    <w:rsid w:val="000419AD"/>
    <w:rsid w:val="000433C9"/>
    <w:rsid w:val="00045ABD"/>
    <w:rsid w:val="00046BE4"/>
    <w:rsid w:val="0005447B"/>
    <w:rsid w:val="000563AF"/>
    <w:rsid w:val="00071174"/>
    <w:rsid w:val="000716C5"/>
    <w:rsid w:val="00071A3B"/>
    <w:rsid w:val="00072172"/>
    <w:rsid w:val="00073D4E"/>
    <w:rsid w:val="00075E23"/>
    <w:rsid w:val="0008253E"/>
    <w:rsid w:val="00086325"/>
    <w:rsid w:val="0008756C"/>
    <w:rsid w:val="0009344A"/>
    <w:rsid w:val="00097D83"/>
    <w:rsid w:val="000A10B7"/>
    <w:rsid w:val="000A3440"/>
    <w:rsid w:val="000A392E"/>
    <w:rsid w:val="000A557B"/>
    <w:rsid w:val="000A575F"/>
    <w:rsid w:val="000A583A"/>
    <w:rsid w:val="000A7B0A"/>
    <w:rsid w:val="000B3E78"/>
    <w:rsid w:val="000B601E"/>
    <w:rsid w:val="000C2359"/>
    <w:rsid w:val="000C2EDB"/>
    <w:rsid w:val="000D05CB"/>
    <w:rsid w:val="000D0752"/>
    <w:rsid w:val="000D10DB"/>
    <w:rsid w:val="000D5FD0"/>
    <w:rsid w:val="000E4A58"/>
    <w:rsid w:val="000E5EB5"/>
    <w:rsid w:val="000F35ED"/>
    <w:rsid w:val="000F661B"/>
    <w:rsid w:val="001004FE"/>
    <w:rsid w:val="001051A2"/>
    <w:rsid w:val="001053A4"/>
    <w:rsid w:val="00106190"/>
    <w:rsid w:val="00107131"/>
    <w:rsid w:val="0010736F"/>
    <w:rsid w:val="0011320D"/>
    <w:rsid w:val="00113F73"/>
    <w:rsid w:val="0012152C"/>
    <w:rsid w:val="00121CC2"/>
    <w:rsid w:val="00130D3A"/>
    <w:rsid w:val="00131092"/>
    <w:rsid w:val="00131425"/>
    <w:rsid w:val="00133EE5"/>
    <w:rsid w:val="00135227"/>
    <w:rsid w:val="001514FA"/>
    <w:rsid w:val="00164160"/>
    <w:rsid w:val="00164AAD"/>
    <w:rsid w:val="00166727"/>
    <w:rsid w:val="00167420"/>
    <w:rsid w:val="00167A34"/>
    <w:rsid w:val="00172A9F"/>
    <w:rsid w:val="00175749"/>
    <w:rsid w:val="001768E3"/>
    <w:rsid w:val="00176CCA"/>
    <w:rsid w:val="0017750E"/>
    <w:rsid w:val="00181205"/>
    <w:rsid w:val="00183F8E"/>
    <w:rsid w:val="001A3542"/>
    <w:rsid w:val="001A520D"/>
    <w:rsid w:val="001A6484"/>
    <w:rsid w:val="001A7870"/>
    <w:rsid w:val="001B0A38"/>
    <w:rsid w:val="001B2376"/>
    <w:rsid w:val="001B3A00"/>
    <w:rsid w:val="001B478B"/>
    <w:rsid w:val="001B70B3"/>
    <w:rsid w:val="001C166F"/>
    <w:rsid w:val="001C169C"/>
    <w:rsid w:val="001C1B41"/>
    <w:rsid w:val="001C54AF"/>
    <w:rsid w:val="001D266C"/>
    <w:rsid w:val="001D65EF"/>
    <w:rsid w:val="001D7F96"/>
    <w:rsid w:val="001E2A7D"/>
    <w:rsid w:val="001E49E7"/>
    <w:rsid w:val="001E5742"/>
    <w:rsid w:val="001F1479"/>
    <w:rsid w:val="001F40F1"/>
    <w:rsid w:val="001F613D"/>
    <w:rsid w:val="001F6BF2"/>
    <w:rsid w:val="001F7201"/>
    <w:rsid w:val="001F7682"/>
    <w:rsid w:val="00207258"/>
    <w:rsid w:val="00217093"/>
    <w:rsid w:val="002176F5"/>
    <w:rsid w:val="0021782D"/>
    <w:rsid w:val="00217AEC"/>
    <w:rsid w:val="00223A29"/>
    <w:rsid w:val="00223B8A"/>
    <w:rsid w:val="00224F53"/>
    <w:rsid w:val="002250A3"/>
    <w:rsid w:val="00235217"/>
    <w:rsid w:val="00244867"/>
    <w:rsid w:val="0024694E"/>
    <w:rsid w:val="00246D1F"/>
    <w:rsid w:val="00247403"/>
    <w:rsid w:val="00247542"/>
    <w:rsid w:val="00250BB3"/>
    <w:rsid w:val="00252064"/>
    <w:rsid w:val="00252A1A"/>
    <w:rsid w:val="00266104"/>
    <w:rsid w:val="00266B61"/>
    <w:rsid w:val="0026712A"/>
    <w:rsid w:val="002704DB"/>
    <w:rsid w:val="00270BAF"/>
    <w:rsid w:val="0027185A"/>
    <w:rsid w:val="00276252"/>
    <w:rsid w:val="00282114"/>
    <w:rsid w:val="00296426"/>
    <w:rsid w:val="002A0AAE"/>
    <w:rsid w:val="002A5820"/>
    <w:rsid w:val="002A5BB5"/>
    <w:rsid w:val="002B446F"/>
    <w:rsid w:val="002C4358"/>
    <w:rsid w:val="002C61F0"/>
    <w:rsid w:val="002D1880"/>
    <w:rsid w:val="002D2B26"/>
    <w:rsid w:val="002D5D4C"/>
    <w:rsid w:val="002D5FC7"/>
    <w:rsid w:val="002D6820"/>
    <w:rsid w:val="002D7EA2"/>
    <w:rsid w:val="002E187C"/>
    <w:rsid w:val="002E7CAA"/>
    <w:rsid w:val="00302733"/>
    <w:rsid w:val="00303C6D"/>
    <w:rsid w:val="00305835"/>
    <w:rsid w:val="00306F33"/>
    <w:rsid w:val="003100A7"/>
    <w:rsid w:val="00314078"/>
    <w:rsid w:val="00314AB1"/>
    <w:rsid w:val="0031535D"/>
    <w:rsid w:val="003239B8"/>
    <w:rsid w:val="0033169F"/>
    <w:rsid w:val="00332224"/>
    <w:rsid w:val="00332526"/>
    <w:rsid w:val="0034261E"/>
    <w:rsid w:val="00344977"/>
    <w:rsid w:val="00346C95"/>
    <w:rsid w:val="00350FD5"/>
    <w:rsid w:val="00351FC5"/>
    <w:rsid w:val="00355999"/>
    <w:rsid w:val="00356185"/>
    <w:rsid w:val="00360380"/>
    <w:rsid w:val="00365512"/>
    <w:rsid w:val="00371443"/>
    <w:rsid w:val="003720B2"/>
    <w:rsid w:val="00373484"/>
    <w:rsid w:val="0037519E"/>
    <w:rsid w:val="00382C8F"/>
    <w:rsid w:val="00386CF0"/>
    <w:rsid w:val="00393495"/>
    <w:rsid w:val="00394049"/>
    <w:rsid w:val="00394073"/>
    <w:rsid w:val="00395E80"/>
    <w:rsid w:val="00397FDC"/>
    <w:rsid w:val="003A3D7B"/>
    <w:rsid w:val="003A73F8"/>
    <w:rsid w:val="003B1F53"/>
    <w:rsid w:val="003B29D8"/>
    <w:rsid w:val="003B3D3F"/>
    <w:rsid w:val="003B549D"/>
    <w:rsid w:val="003B70FB"/>
    <w:rsid w:val="003C33A8"/>
    <w:rsid w:val="003C676B"/>
    <w:rsid w:val="003C6E03"/>
    <w:rsid w:val="003D0661"/>
    <w:rsid w:val="003D3BC2"/>
    <w:rsid w:val="003E3819"/>
    <w:rsid w:val="003E6CA1"/>
    <w:rsid w:val="003F39C1"/>
    <w:rsid w:val="003F4FFE"/>
    <w:rsid w:val="003F5154"/>
    <w:rsid w:val="004008F7"/>
    <w:rsid w:val="00404556"/>
    <w:rsid w:val="00405F9C"/>
    <w:rsid w:val="004065A8"/>
    <w:rsid w:val="0041504D"/>
    <w:rsid w:val="0041635F"/>
    <w:rsid w:val="00416452"/>
    <w:rsid w:val="004165C2"/>
    <w:rsid w:val="004167CA"/>
    <w:rsid w:val="00417DB5"/>
    <w:rsid w:val="00422E6A"/>
    <w:rsid w:val="004241A0"/>
    <w:rsid w:val="0042737C"/>
    <w:rsid w:val="004338D0"/>
    <w:rsid w:val="00441ECB"/>
    <w:rsid w:val="004446CB"/>
    <w:rsid w:val="00445193"/>
    <w:rsid w:val="00450941"/>
    <w:rsid w:val="004574C6"/>
    <w:rsid w:val="004610B2"/>
    <w:rsid w:val="00462C1B"/>
    <w:rsid w:val="00463D4B"/>
    <w:rsid w:val="00467B7E"/>
    <w:rsid w:val="004717E9"/>
    <w:rsid w:val="00473BB4"/>
    <w:rsid w:val="00477592"/>
    <w:rsid w:val="004805A8"/>
    <w:rsid w:val="00483B93"/>
    <w:rsid w:val="00486F1C"/>
    <w:rsid w:val="00491F3B"/>
    <w:rsid w:val="0049419D"/>
    <w:rsid w:val="004976EB"/>
    <w:rsid w:val="0049F759"/>
    <w:rsid w:val="004A057B"/>
    <w:rsid w:val="004A106C"/>
    <w:rsid w:val="004A1F49"/>
    <w:rsid w:val="004A6A54"/>
    <w:rsid w:val="004B421C"/>
    <w:rsid w:val="004C1CFA"/>
    <w:rsid w:val="004C1D57"/>
    <w:rsid w:val="004C20D2"/>
    <w:rsid w:val="004C2312"/>
    <w:rsid w:val="004C3123"/>
    <w:rsid w:val="004C4B62"/>
    <w:rsid w:val="004C54C9"/>
    <w:rsid w:val="004D06C2"/>
    <w:rsid w:val="004D4ABA"/>
    <w:rsid w:val="004D4D8E"/>
    <w:rsid w:val="004D6025"/>
    <w:rsid w:val="004E2649"/>
    <w:rsid w:val="004E76F4"/>
    <w:rsid w:val="004EFFFE"/>
    <w:rsid w:val="004F626F"/>
    <w:rsid w:val="005004F2"/>
    <w:rsid w:val="00501399"/>
    <w:rsid w:val="005016C9"/>
    <w:rsid w:val="005047ED"/>
    <w:rsid w:val="0050633D"/>
    <w:rsid w:val="00507274"/>
    <w:rsid w:val="00507BC4"/>
    <w:rsid w:val="005124C9"/>
    <w:rsid w:val="005128E4"/>
    <w:rsid w:val="005133DB"/>
    <w:rsid w:val="00514504"/>
    <w:rsid w:val="00520C1C"/>
    <w:rsid w:val="00521E1F"/>
    <w:rsid w:val="00522768"/>
    <w:rsid w:val="00525560"/>
    <w:rsid w:val="00527363"/>
    <w:rsid w:val="005305DF"/>
    <w:rsid w:val="00535A47"/>
    <w:rsid w:val="005413D3"/>
    <w:rsid w:val="00541F12"/>
    <w:rsid w:val="00544561"/>
    <w:rsid w:val="00544C49"/>
    <w:rsid w:val="005516A1"/>
    <w:rsid w:val="005547BF"/>
    <w:rsid w:val="005559EF"/>
    <w:rsid w:val="0055798A"/>
    <w:rsid w:val="005621EB"/>
    <w:rsid w:val="00563557"/>
    <w:rsid w:val="00563962"/>
    <w:rsid w:val="0056436B"/>
    <w:rsid w:val="00564B0C"/>
    <w:rsid w:val="00565D3C"/>
    <w:rsid w:val="00571454"/>
    <w:rsid w:val="00571C6D"/>
    <w:rsid w:val="0057402A"/>
    <w:rsid w:val="005771D0"/>
    <w:rsid w:val="00580D0A"/>
    <w:rsid w:val="0059191A"/>
    <w:rsid w:val="005921FF"/>
    <w:rsid w:val="00595126"/>
    <w:rsid w:val="005A24ED"/>
    <w:rsid w:val="005A3A9C"/>
    <w:rsid w:val="005A6D0E"/>
    <w:rsid w:val="005B2016"/>
    <w:rsid w:val="005B52B0"/>
    <w:rsid w:val="005B6806"/>
    <w:rsid w:val="005C1F1E"/>
    <w:rsid w:val="005C26F9"/>
    <w:rsid w:val="005C31AA"/>
    <w:rsid w:val="005C4225"/>
    <w:rsid w:val="005C5146"/>
    <w:rsid w:val="005E34D3"/>
    <w:rsid w:val="005F0DAD"/>
    <w:rsid w:val="005F0F33"/>
    <w:rsid w:val="005F0FDA"/>
    <w:rsid w:val="005F1B10"/>
    <w:rsid w:val="00600DEB"/>
    <w:rsid w:val="00601237"/>
    <w:rsid w:val="00605BE0"/>
    <w:rsid w:val="00627C9F"/>
    <w:rsid w:val="0063021A"/>
    <w:rsid w:val="006311E9"/>
    <w:rsid w:val="0063185D"/>
    <w:rsid w:val="00632354"/>
    <w:rsid w:val="00635421"/>
    <w:rsid w:val="00640F65"/>
    <w:rsid w:val="00642810"/>
    <w:rsid w:val="00652333"/>
    <w:rsid w:val="006532DE"/>
    <w:rsid w:val="00654025"/>
    <w:rsid w:val="006610B7"/>
    <w:rsid w:val="00661154"/>
    <w:rsid w:val="006716E4"/>
    <w:rsid w:val="006719D1"/>
    <w:rsid w:val="00674E11"/>
    <w:rsid w:val="006764DC"/>
    <w:rsid w:val="0068009E"/>
    <w:rsid w:val="006877BF"/>
    <w:rsid w:val="00692219"/>
    <w:rsid w:val="00694F1F"/>
    <w:rsid w:val="0069564F"/>
    <w:rsid w:val="006A17D2"/>
    <w:rsid w:val="006A42CE"/>
    <w:rsid w:val="006A4B59"/>
    <w:rsid w:val="006A73E6"/>
    <w:rsid w:val="006B1A11"/>
    <w:rsid w:val="006B2D5C"/>
    <w:rsid w:val="006B3E97"/>
    <w:rsid w:val="006B4D95"/>
    <w:rsid w:val="006B7FA8"/>
    <w:rsid w:val="006C0ECF"/>
    <w:rsid w:val="006C4EB1"/>
    <w:rsid w:val="006C4F91"/>
    <w:rsid w:val="006D0299"/>
    <w:rsid w:val="006D0BFE"/>
    <w:rsid w:val="006D1305"/>
    <w:rsid w:val="006D1781"/>
    <w:rsid w:val="006D2FE3"/>
    <w:rsid w:val="006D4325"/>
    <w:rsid w:val="006D65DD"/>
    <w:rsid w:val="006E0166"/>
    <w:rsid w:val="006E2FFB"/>
    <w:rsid w:val="006E7B34"/>
    <w:rsid w:val="006F7CC8"/>
    <w:rsid w:val="00702A79"/>
    <w:rsid w:val="00703A91"/>
    <w:rsid w:val="00703F02"/>
    <w:rsid w:val="007047B9"/>
    <w:rsid w:val="0070697F"/>
    <w:rsid w:val="00707BB6"/>
    <w:rsid w:val="00707FE3"/>
    <w:rsid w:val="007103C4"/>
    <w:rsid w:val="00710A1A"/>
    <w:rsid w:val="00712E1C"/>
    <w:rsid w:val="00714056"/>
    <w:rsid w:val="007145D9"/>
    <w:rsid w:val="0071521C"/>
    <w:rsid w:val="0072199C"/>
    <w:rsid w:val="00722C9F"/>
    <w:rsid w:val="007253B8"/>
    <w:rsid w:val="00726BD7"/>
    <w:rsid w:val="007309DC"/>
    <w:rsid w:val="0073102F"/>
    <w:rsid w:val="0073741F"/>
    <w:rsid w:val="00747DF4"/>
    <w:rsid w:val="007553DA"/>
    <w:rsid w:val="007623ED"/>
    <w:rsid w:val="0076643F"/>
    <w:rsid w:val="00767C83"/>
    <w:rsid w:val="00771ADD"/>
    <w:rsid w:val="0077645F"/>
    <w:rsid w:val="00777F63"/>
    <w:rsid w:val="007855D7"/>
    <w:rsid w:val="00787DC6"/>
    <w:rsid w:val="00793D4B"/>
    <w:rsid w:val="00797494"/>
    <w:rsid w:val="007A03A8"/>
    <w:rsid w:val="007A3DA6"/>
    <w:rsid w:val="007A5817"/>
    <w:rsid w:val="007A7C96"/>
    <w:rsid w:val="007B05C4"/>
    <w:rsid w:val="007B60E9"/>
    <w:rsid w:val="007B6CC3"/>
    <w:rsid w:val="007B76D3"/>
    <w:rsid w:val="007C3334"/>
    <w:rsid w:val="007C692A"/>
    <w:rsid w:val="007D1663"/>
    <w:rsid w:val="007D1C2D"/>
    <w:rsid w:val="007D2B98"/>
    <w:rsid w:val="007D2D87"/>
    <w:rsid w:val="007D48C5"/>
    <w:rsid w:val="007D6944"/>
    <w:rsid w:val="007E21BC"/>
    <w:rsid w:val="007E4F65"/>
    <w:rsid w:val="007E7C82"/>
    <w:rsid w:val="007F2AA1"/>
    <w:rsid w:val="007F588D"/>
    <w:rsid w:val="007F7DA1"/>
    <w:rsid w:val="00803F1C"/>
    <w:rsid w:val="0080600E"/>
    <w:rsid w:val="00806073"/>
    <w:rsid w:val="008061DC"/>
    <w:rsid w:val="00807244"/>
    <w:rsid w:val="0080732A"/>
    <w:rsid w:val="008128E0"/>
    <w:rsid w:val="00814688"/>
    <w:rsid w:val="00817612"/>
    <w:rsid w:val="0082196E"/>
    <w:rsid w:val="00831C47"/>
    <w:rsid w:val="008338A4"/>
    <w:rsid w:val="00834D49"/>
    <w:rsid w:val="00837C45"/>
    <w:rsid w:val="008405C6"/>
    <w:rsid w:val="0084388A"/>
    <w:rsid w:val="00844730"/>
    <w:rsid w:val="008457C2"/>
    <w:rsid w:val="00852728"/>
    <w:rsid w:val="00855422"/>
    <w:rsid w:val="00855698"/>
    <w:rsid w:val="00855B11"/>
    <w:rsid w:val="00857A82"/>
    <w:rsid w:val="008660B2"/>
    <w:rsid w:val="008675B1"/>
    <w:rsid w:val="00867C77"/>
    <w:rsid w:val="00873836"/>
    <w:rsid w:val="00876353"/>
    <w:rsid w:val="00885737"/>
    <w:rsid w:val="00890650"/>
    <w:rsid w:val="008914F2"/>
    <w:rsid w:val="00891981"/>
    <w:rsid w:val="008944DC"/>
    <w:rsid w:val="00897800"/>
    <w:rsid w:val="00897E12"/>
    <w:rsid w:val="008A14D7"/>
    <w:rsid w:val="008A7E0F"/>
    <w:rsid w:val="008B12F5"/>
    <w:rsid w:val="008C5E2D"/>
    <w:rsid w:val="008C7A8C"/>
    <w:rsid w:val="008D64FB"/>
    <w:rsid w:val="008D768D"/>
    <w:rsid w:val="008E0BDA"/>
    <w:rsid w:val="008E3759"/>
    <w:rsid w:val="008E3BFE"/>
    <w:rsid w:val="008E47A8"/>
    <w:rsid w:val="008E7139"/>
    <w:rsid w:val="008F1912"/>
    <w:rsid w:val="008F2514"/>
    <w:rsid w:val="008F2640"/>
    <w:rsid w:val="00902356"/>
    <w:rsid w:val="0090270B"/>
    <w:rsid w:val="009041DC"/>
    <w:rsid w:val="009049CD"/>
    <w:rsid w:val="00910481"/>
    <w:rsid w:val="00914CAA"/>
    <w:rsid w:val="0091527B"/>
    <w:rsid w:val="00917B5A"/>
    <w:rsid w:val="00920A58"/>
    <w:rsid w:val="00920A8C"/>
    <w:rsid w:val="009246C0"/>
    <w:rsid w:val="00926615"/>
    <w:rsid w:val="00926CA0"/>
    <w:rsid w:val="00927F3B"/>
    <w:rsid w:val="00934A2C"/>
    <w:rsid w:val="00935978"/>
    <w:rsid w:val="00935D67"/>
    <w:rsid w:val="009364E5"/>
    <w:rsid w:val="00940218"/>
    <w:rsid w:val="00952C44"/>
    <w:rsid w:val="009548EF"/>
    <w:rsid w:val="00956801"/>
    <w:rsid w:val="00957B0C"/>
    <w:rsid w:val="009620DD"/>
    <w:rsid w:val="0096706E"/>
    <w:rsid w:val="00967171"/>
    <w:rsid w:val="0097329D"/>
    <w:rsid w:val="00974491"/>
    <w:rsid w:val="00975C4E"/>
    <w:rsid w:val="00981FBA"/>
    <w:rsid w:val="0098203D"/>
    <w:rsid w:val="009828EE"/>
    <w:rsid w:val="009923B6"/>
    <w:rsid w:val="00993EF7"/>
    <w:rsid w:val="00994D96"/>
    <w:rsid w:val="009975DD"/>
    <w:rsid w:val="00997BC5"/>
    <w:rsid w:val="009A4F41"/>
    <w:rsid w:val="009A56CE"/>
    <w:rsid w:val="009A7004"/>
    <w:rsid w:val="009A7E99"/>
    <w:rsid w:val="009B381B"/>
    <w:rsid w:val="009B569A"/>
    <w:rsid w:val="009B78CA"/>
    <w:rsid w:val="009D1753"/>
    <w:rsid w:val="009D7611"/>
    <w:rsid w:val="009E0B61"/>
    <w:rsid w:val="009E3A23"/>
    <w:rsid w:val="009E53DE"/>
    <w:rsid w:val="009E6B34"/>
    <w:rsid w:val="009F0426"/>
    <w:rsid w:val="009F4191"/>
    <w:rsid w:val="00A01E4D"/>
    <w:rsid w:val="00A11212"/>
    <w:rsid w:val="00A118A5"/>
    <w:rsid w:val="00A11CE7"/>
    <w:rsid w:val="00A11E44"/>
    <w:rsid w:val="00A15562"/>
    <w:rsid w:val="00A15E22"/>
    <w:rsid w:val="00A20E32"/>
    <w:rsid w:val="00A24DB9"/>
    <w:rsid w:val="00A2510F"/>
    <w:rsid w:val="00A2580B"/>
    <w:rsid w:val="00A27AEB"/>
    <w:rsid w:val="00A30100"/>
    <w:rsid w:val="00A30D11"/>
    <w:rsid w:val="00A328B3"/>
    <w:rsid w:val="00A33CFA"/>
    <w:rsid w:val="00A34F44"/>
    <w:rsid w:val="00A447DF"/>
    <w:rsid w:val="00A50EBA"/>
    <w:rsid w:val="00A50FCF"/>
    <w:rsid w:val="00A52718"/>
    <w:rsid w:val="00A528D1"/>
    <w:rsid w:val="00A54209"/>
    <w:rsid w:val="00A56449"/>
    <w:rsid w:val="00A610CD"/>
    <w:rsid w:val="00A6360A"/>
    <w:rsid w:val="00A70890"/>
    <w:rsid w:val="00A758AA"/>
    <w:rsid w:val="00A77CBB"/>
    <w:rsid w:val="00A82073"/>
    <w:rsid w:val="00AA09A2"/>
    <w:rsid w:val="00AA7996"/>
    <w:rsid w:val="00AB3EDB"/>
    <w:rsid w:val="00AB4520"/>
    <w:rsid w:val="00AC19CB"/>
    <w:rsid w:val="00AD2A8A"/>
    <w:rsid w:val="00AD38B7"/>
    <w:rsid w:val="00AD5BE7"/>
    <w:rsid w:val="00AD7F90"/>
    <w:rsid w:val="00AE00C5"/>
    <w:rsid w:val="00AE09BE"/>
    <w:rsid w:val="00AE4666"/>
    <w:rsid w:val="00AE5411"/>
    <w:rsid w:val="00AE5488"/>
    <w:rsid w:val="00AE6F91"/>
    <w:rsid w:val="00AF1BB9"/>
    <w:rsid w:val="00AF4CF5"/>
    <w:rsid w:val="00AF5571"/>
    <w:rsid w:val="00B04818"/>
    <w:rsid w:val="00B057A4"/>
    <w:rsid w:val="00B07341"/>
    <w:rsid w:val="00B155F3"/>
    <w:rsid w:val="00B176C4"/>
    <w:rsid w:val="00B30252"/>
    <w:rsid w:val="00B30539"/>
    <w:rsid w:val="00B30B8B"/>
    <w:rsid w:val="00B314DB"/>
    <w:rsid w:val="00B361F2"/>
    <w:rsid w:val="00B3718B"/>
    <w:rsid w:val="00B3745F"/>
    <w:rsid w:val="00B4417E"/>
    <w:rsid w:val="00B4632A"/>
    <w:rsid w:val="00B465CF"/>
    <w:rsid w:val="00B530F1"/>
    <w:rsid w:val="00B67293"/>
    <w:rsid w:val="00B75C8B"/>
    <w:rsid w:val="00B84E84"/>
    <w:rsid w:val="00B93D7F"/>
    <w:rsid w:val="00B93D8E"/>
    <w:rsid w:val="00BA276C"/>
    <w:rsid w:val="00BA599A"/>
    <w:rsid w:val="00BB019D"/>
    <w:rsid w:val="00BB2EFC"/>
    <w:rsid w:val="00BB306F"/>
    <w:rsid w:val="00BC01FA"/>
    <w:rsid w:val="00BC05FA"/>
    <w:rsid w:val="00BC0F73"/>
    <w:rsid w:val="00BC3D27"/>
    <w:rsid w:val="00BD0CC0"/>
    <w:rsid w:val="00BD0FF5"/>
    <w:rsid w:val="00BD4B89"/>
    <w:rsid w:val="00BD5922"/>
    <w:rsid w:val="00BF011B"/>
    <w:rsid w:val="00BF02CB"/>
    <w:rsid w:val="00BF6831"/>
    <w:rsid w:val="00BF6DCB"/>
    <w:rsid w:val="00BF6FD8"/>
    <w:rsid w:val="00C03680"/>
    <w:rsid w:val="00C054DF"/>
    <w:rsid w:val="00C07A50"/>
    <w:rsid w:val="00C11D3B"/>
    <w:rsid w:val="00C14D3B"/>
    <w:rsid w:val="00C20880"/>
    <w:rsid w:val="00C21762"/>
    <w:rsid w:val="00C21FEF"/>
    <w:rsid w:val="00C23BA4"/>
    <w:rsid w:val="00C24543"/>
    <w:rsid w:val="00C256A2"/>
    <w:rsid w:val="00C25ADB"/>
    <w:rsid w:val="00C3088B"/>
    <w:rsid w:val="00C34DDE"/>
    <w:rsid w:val="00C41884"/>
    <w:rsid w:val="00C51515"/>
    <w:rsid w:val="00C549DB"/>
    <w:rsid w:val="00C5660B"/>
    <w:rsid w:val="00C66B72"/>
    <w:rsid w:val="00C70C95"/>
    <w:rsid w:val="00C71721"/>
    <w:rsid w:val="00C80759"/>
    <w:rsid w:val="00C81FE7"/>
    <w:rsid w:val="00C85283"/>
    <w:rsid w:val="00C864E9"/>
    <w:rsid w:val="00C87AC4"/>
    <w:rsid w:val="00C9567A"/>
    <w:rsid w:val="00CA0674"/>
    <w:rsid w:val="00CA2121"/>
    <w:rsid w:val="00CB212D"/>
    <w:rsid w:val="00CB2660"/>
    <w:rsid w:val="00CC5E90"/>
    <w:rsid w:val="00CC7F62"/>
    <w:rsid w:val="00CD046C"/>
    <w:rsid w:val="00CD53A5"/>
    <w:rsid w:val="00CE076C"/>
    <w:rsid w:val="00CE35A7"/>
    <w:rsid w:val="00CE5199"/>
    <w:rsid w:val="00CE6617"/>
    <w:rsid w:val="00CE66D5"/>
    <w:rsid w:val="00CE7D7C"/>
    <w:rsid w:val="00CF637A"/>
    <w:rsid w:val="00D0200C"/>
    <w:rsid w:val="00D023FF"/>
    <w:rsid w:val="00D059DE"/>
    <w:rsid w:val="00D05ABD"/>
    <w:rsid w:val="00D11A54"/>
    <w:rsid w:val="00D123A4"/>
    <w:rsid w:val="00D13FCE"/>
    <w:rsid w:val="00D21F74"/>
    <w:rsid w:val="00D2459B"/>
    <w:rsid w:val="00D306D1"/>
    <w:rsid w:val="00D30800"/>
    <w:rsid w:val="00D34786"/>
    <w:rsid w:val="00D3786A"/>
    <w:rsid w:val="00D37BFC"/>
    <w:rsid w:val="00D433DE"/>
    <w:rsid w:val="00D44BEF"/>
    <w:rsid w:val="00D44CE3"/>
    <w:rsid w:val="00D477EC"/>
    <w:rsid w:val="00D47810"/>
    <w:rsid w:val="00D47A8E"/>
    <w:rsid w:val="00D52D14"/>
    <w:rsid w:val="00D53912"/>
    <w:rsid w:val="00D6460A"/>
    <w:rsid w:val="00D712D3"/>
    <w:rsid w:val="00D71422"/>
    <w:rsid w:val="00D7174D"/>
    <w:rsid w:val="00D72DC6"/>
    <w:rsid w:val="00D7473B"/>
    <w:rsid w:val="00D75402"/>
    <w:rsid w:val="00D7558D"/>
    <w:rsid w:val="00D76863"/>
    <w:rsid w:val="00D81D92"/>
    <w:rsid w:val="00D876F9"/>
    <w:rsid w:val="00D93428"/>
    <w:rsid w:val="00D9466F"/>
    <w:rsid w:val="00D946C3"/>
    <w:rsid w:val="00DA2494"/>
    <w:rsid w:val="00DA7B5F"/>
    <w:rsid w:val="00DC11E7"/>
    <w:rsid w:val="00DC24E3"/>
    <w:rsid w:val="00DC5CF7"/>
    <w:rsid w:val="00DC7023"/>
    <w:rsid w:val="00DC769A"/>
    <w:rsid w:val="00DC7FCA"/>
    <w:rsid w:val="00DD2A9D"/>
    <w:rsid w:val="00DD3D86"/>
    <w:rsid w:val="00DD4AD2"/>
    <w:rsid w:val="00DD7EBC"/>
    <w:rsid w:val="00DE2862"/>
    <w:rsid w:val="00DE461B"/>
    <w:rsid w:val="00DE4869"/>
    <w:rsid w:val="00DE5289"/>
    <w:rsid w:val="00DE64B9"/>
    <w:rsid w:val="00DF1EC4"/>
    <w:rsid w:val="00DF3D58"/>
    <w:rsid w:val="00E0340B"/>
    <w:rsid w:val="00E04A90"/>
    <w:rsid w:val="00E0551F"/>
    <w:rsid w:val="00E0683B"/>
    <w:rsid w:val="00E073DF"/>
    <w:rsid w:val="00E15313"/>
    <w:rsid w:val="00E15527"/>
    <w:rsid w:val="00E17741"/>
    <w:rsid w:val="00E20D05"/>
    <w:rsid w:val="00E219C7"/>
    <w:rsid w:val="00E222D1"/>
    <w:rsid w:val="00E22737"/>
    <w:rsid w:val="00E228FB"/>
    <w:rsid w:val="00E2384A"/>
    <w:rsid w:val="00E278C5"/>
    <w:rsid w:val="00E32DF5"/>
    <w:rsid w:val="00E34350"/>
    <w:rsid w:val="00E35E48"/>
    <w:rsid w:val="00E36786"/>
    <w:rsid w:val="00E36E14"/>
    <w:rsid w:val="00E4118C"/>
    <w:rsid w:val="00E43157"/>
    <w:rsid w:val="00E4362D"/>
    <w:rsid w:val="00E461CE"/>
    <w:rsid w:val="00E4730D"/>
    <w:rsid w:val="00E47D17"/>
    <w:rsid w:val="00E5362A"/>
    <w:rsid w:val="00E573E4"/>
    <w:rsid w:val="00E64C3D"/>
    <w:rsid w:val="00E7077F"/>
    <w:rsid w:val="00E720CA"/>
    <w:rsid w:val="00E7247D"/>
    <w:rsid w:val="00E77A00"/>
    <w:rsid w:val="00E82548"/>
    <w:rsid w:val="00E83571"/>
    <w:rsid w:val="00E843A8"/>
    <w:rsid w:val="00E84EB5"/>
    <w:rsid w:val="00E85662"/>
    <w:rsid w:val="00E8789F"/>
    <w:rsid w:val="00E97B71"/>
    <w:rsid w:val="00EA3639"/>
    <w:rsid w:val="00EA3C24"/>
    <w:rsid w:val="00EA3D34"/>
    <w:rsid w:val="00EA5175"/>
    <w:rsid w:val="00EA6CD0"/>
    <w:rsid w:val="00EA7479"/>
    <w:rsid w:val="00EB308A"/>
    <w:rsid w:val="00EB3E1C"/>
    <w:rsid w:val="00EB454D"/>
    <w:rsid w:val="00EB56A6"/>
    <w:rsid w:val="00EC0D57"/>
    <w:rsid w:val="00ED068C"/>
    <w:rsid w:val="00ED0D76"/>
    <w:rsid w:val="00ED549D"/>
    <w:rsid w:val="00ED5E10"/>
    <w:rsid w:val="00ED76BE"/>
    <w:rsid w:val="00EE00E9"/>
    <w:rsid w:val="00EE37CC"/>
    <w:rsid w:val="00EE3EE3"/>
    <w:rsid w:val="00EE7E3A"/>
    <w:rsid w:val="00EF025F"/>
    <w:rsid w:val="00EF0F57"/>
    <w:rsid w:val="00EF1AAA"/>
    <w:rsid w:val="00EF29B5"/>
    <w:rsid w:val="00EF2AFE"/>
    <w:rsid w:val="00EF619B"/>
    <w:rsid w:val="00F00B55"/>
    <w:rsid w:val="00F02AD1"/>
    <w:rsid w:val="00F02E50"/>
    <w:rsid w:val="00F042CA"/>
    <w:rsid w:val="00F1389B"/>
    <w:rsid w:val="00F20039"/>
    <w:rsid w:val="00F24C76"/>
    <w:rsid w:val="00F253CC"/>
    <w:rsid w:val="00F26DFD"/>
    <w:rsid w:val="00F30848"/>
    <w:rsid w:val="00F3222D"/>
    <w:rsid w:val="00F32C0B"/>
    <w:rsid w:val="00F3385B"/>
    <w:rsid w:val="00F37106"/>
    <w:rsid w:val="00F40C50"/>
    <w:rsid w:val="00F44E25"/>
    <w:rsid w:val="00F47D56"/>
    <w:rsid w:val="00F519CF"/>
    <w:rsid w:val="00F55E75"/>
    <w:rsid w:val="00F56BA5"/>
    <w:rsid w:val="00F56ECB"/>
    <w:rsid w:val="00F57D8A"/>
    <w:rsid w:val="00F57EE2"/>
    <w:rsid w:val="00F60E22"/>
    <w:rsid w:val="00F63F46"/>
    <w:rsid w:val="00F652BF"/>
    <w:rsid w:val="00F678B8"/>
    <w:rsid w:val="00F76EDC"/>
    <w:rsid w:val="00F81395"/>
    <w:rsid w:val="00F81BB8"/>
    <w:rsid w:val="00F82978"/>
    <w:rsid w:val="00F90C64"/>
    <w:rsid w:val="00F917D1"/>
    <w:rsid w:val="00F9653B"/>
    <w:rsid w:val="00F96561"/>
    <w:rsid w:val="00FA5638"/>
    <w:rsid w:val="00FB558F"/>
    <w:rsid w:val="00FB62CF"/>
    <w:rsid w:val="00FC2608"/>
    <w:rsid w:val="00FD3C3B"/>
    <w:rsid w:val="00FD79DB"/>
    <w:rsid w:val="00FE07DD"/>
    <w:rsid w:val="00FE1337"/>
    <w:rsid w:val="00FE6A70"/>
    <w:rsid w:val="00FE6B45"/>
    <w:rsid w:val="00FE7C9C"/>
    <w:rsid w:val="00FF55F3"/>
    <w:rsid w:val="00FF5851"/>
    <w:rsid w:val="00FF7B79"/>
    <w:rsid w:val="010F592B"/>
    <w:rsid w:val="011B7258"/>
    <w:rsid w:val="0120E201"/>
    <w:rsid w:val="01411D7B"/>
    <w:rsid w:val="015EBEF6"/>
    <w:rsid w:val="0171CAEF"/>
    <w:rsid w:val="01C1EB29"/>
    <w:rsid w:val="01CA425F"/>
    <w:rsid w:val="02147397"/>
    <w:rsid w:val="025BE66E"/>
    <w:rsid w:val="02765C8F"/>
    <w:rsid w:val="027EBD39"/>
    <w:rsid w:val="028FF363"/>
    <w:rsid w:val="029B172A"/>
    <w:rsid w:val="02DFD00F"/>
    <w:rsid w:val="0311D677"/>
    <w:rsid w:val="031BCAF9"/>
    <w:rsid w:val="034063A7"/>
    <w:rsid w:val="0363C4D7"/>
    <w:rsid w:val="036DDA0C"/>
    <w:rsid w:val="037D4E9B"/>
    <w:rsid w:val="038F4D72"/>
    <w:rsid w:val="03B08403"/>
    <w:rsid w:val="03B13BAE"/>
    <w:rsid w:val="0404203A"/>
    <w:rsid w:val="041CCDE5"/>
    <w:rsid w:val="0467BDDD"/>
    <w:rsid w:val="047991A2"/>
    <w:rsid w:val="0496FE4C"/>
    <w:rsid w:val="049EE300"/>
    <w:rsid w:val="04A40035"/>
    <w:rsid w:val="04F15F89"/>
    <w:rsid w:val="04F3EE00"/>
    <w:rsid w:val="0509E2C2"/>
    <w:rsid w:val="051365D2"/>
    <w:rsid w:val="0569AFE6"/>
    <w:rsid w:val="059A6867"/>
    <w:rsid w:val="05BBF5B1"/>
    <w:rsid w:val="05E200E2"/>
    <w:rsid w:val="05E9D23C"/>
    <w:rsid w:val="05F13F72"/>
    <w:rsid w:val="0605DB2E"/>
    <w:rsid w:val="06341835"/>
    <w:rsid w:val="063EEF7B"/>
    <w:rsid w:val="06535EBA"/>
    <w:rsid w:val="0655B5E4"/>
    <w:rsid w:val="0656F345"/>
    <w:rsid w:val="066B4E4C"/>
    <w:rsid w:val="067BC5B8"/>
    <w:rsid w:val="06AF5B84"/>
    <w:rsid w:val="07052E5D"/>
    <w:rsid w:val="071956B8"/>
    <w:rsid w:val="0719787F"/>
    <w:rsid w:val="073031BE"/>
    <w:rsid w:val="073BFC34"/>
    <w:rsid w:val="0758C439"/>
    <w:rsid w:val="0777F011"/>
    <w:rsid w:val="079D220B"/>
    <w:rsid w:val="07CC0E6B"/>
    <w:rsid w:val="07E456C7"/>
    <w:rsid w:val="07F00B74"/>
    <w:rsid w:val="080A06BA"/>
    <w:rsid w:val="0820A98C"/>
    <w:rsid w:val="0826B1F8"/>
    <w:rsid w:val="082B5D4F"/>
    <w:rsid w:val="0863769E"/>
    <w:rsid w:val="08728506"/>
    <w:rsid w:val="0896973A"/>
    <w:rsid w:val="08B7DA0C"/>
    <w:rsid w:val="08C00BA6"/>
    <w:rsid w:val="08C453FE"/>
    <w:rsid w:val="08DDA174"/>
    <w:rsid w:val="0917E264"/>
    <w:rsid w:val="092DB889"/>
    <w:rsid w:val="09697F41"/>
    <w:rsid w:val="09F5AA00"/>
    <w:rsid w:val="09FC5F4A"/>
    <w:rsid w:val="0A04CA4E"/>
    <w:rsid w:val="0A33B5B5"/>
    <w:rsid w:val="0A4A8293"/>
    <w:rsid w:val="0A4E716F"/>
    <w:rsid w:val="0A512D59"/>
    <w:rsid w:val="0A664A20"/>
    <w:rsid w:val="0AAFF676"/>
    <w:rsid w:val="0AB95F3B"/>
    <w:rsid w:val="0ABDF2AB"/>
    <w:rsid w:val="0AC10B21"/>
    <w:rsid w:val="0AE3A3BA"/>
    <w:rsid w:val="0AE70FBE"/>
    <w:rsid w:val="0AF3AAD8"/>
    <w:rsid w:val="0AFBDF62"/>
    <w:rsid w:val="0AFD7BED"/>
    <w:rsid w:val="0AFF1736"/>
    <w:rsid w:val="0B460990"/>
    <w:rsid w:val="0B49D8A0"/>
    <w:rsid w:val="0B769A93"/>
    <w:rsid w:val="0B887310"/>
    <w:rsid w:val="0B8BA42E"/>
    <w:rsid w:val="0B91DB6D"/>
    <w:rsid w:val="0B954E70"/>
    <w:rsid w:val="0B9FE3B0"/>
    <w:rsid w:val="0BA31FA9"/>
    <w:rsid w:val="0BB83622"/>
    <w:rsid w:val="0C6286B2"/>
    <w:rsid w:val="0C6B20F1"/>
    <w:rsid w:val="0C6C3298"/>
    <w:rsid w:val="0C93DC9D"/>
    <w:rsid w:val="0CF5C38E"/>
    <w:rsid w:val="0D004705"/>
    <w:rsid w:val="0D01D2FE"/>
    <w:rsid w:val="0D01FEE9"/>
    <w:rsid w:val="0D4487D2"/>
    <w:rsid w:val="0D541CB0"/>
    <w:rsid w:val="0D5AFAAB"/>
    <w:rsid w:val="0D7D47CA"/>
    <w:rsid w:val="0DBBEB32"/>
    <w:rsid w:val="0DC316D0"/>
    <w:rsid w:val="0DDA17CA"/>
    <w:rsid w:val="0E33C51C"/>
    <w:rsid w:val="0E3428C8"/>
    <w:rsid w:val="0E687CF8"/>
    <w:rsid w:val="0E797E86"/>
    <w:rsid w:val="0E8660E3"/>
    <w:rsid w:val="0E8B263E"/>
    <w:rsid w:val="0ED677C2"/>
    <w:rsid w:val="0EE6A846"/>
    <w:rsid w:val="0EFE0A0C"/>
    <w:rsid w:val="0F26A87C"/>
    <w:rsid w:val="0F3463D8"/>
    <w:rsid w:val="0F3F67D9"/>
    <w:rsid w:val="0F40FF76"/>
    <w:rsid w:val="0F47266D"/>
    <w:rsid w:val="0F48F24F"/>
    <w:rsid w:val="0F64A99B"/>
    <w:rsid w:val="0F8514DB"/>
    <w:rsid w:val="0FC11404"/>
    <w:rsid w:val="0FCCC237"/>
    <w:rsid w:val="0FD78CB3"/>
    <w:rsid w:val="100E09FF"/>
    <w:rsid w:val="101C5E5C"/>
    <w:rsid w:val="102F2BD0"/>
    <w:rsid w:val="1046DCEF"/>
    <w:rsid w:val="1078F579"/>
    <w:rsid w:val="1084FEE1"/>
    <w:rsid w:val="10A9E857"/>
    <w:rsid w:val="10BE342B"/>
    <w:rsid w:val="10F42FD7"/>
    <w:rsid w:val="1110EAB7"/>
    <w:rsid w:val="1140895D"/>
    <w:rsid w:val="11524899"/>
    <w:rsid w:val="11A32FFE"/>
    <w:rsid w:val="11C7EE14"/>
    <w:rsid w:val="11D594AC"/>
    <w:rsid w:val="11DF8251"/>
    <w:rsid w:val="12169B56"/>
    <w:rsid w:val="12567FFF"/>
    <w:rsid w:val="126D986A"/>
    <w:rsid w:val="12739519"/>
    <w:rsid w:val="127C834B"/>
    <w:rsid w:val="129AB29B"/>
    <w:rsid w:val="12AA5440"/>
    <w:rsid w:val="12C598C3"/>
    <w:rsid w:val="12C86E7D"/>
    <w:rsid w:val="12D975B4"/>
    <w:rsid w:val="12F0E813"/>
    <w:rsid w:val="130E0CD9"/>
    <w:rsid w:val="131B5630"/>
    <w:rsid w:val="13B32A08"/>
    <w:rsid w:val="13C6D9A1"/>
    <w:rsid w:val="13EA8C82"/>
    <w:rsid w:val="1419C7EF"/>
    <w:rsid w:val="14213340"/>
    <w:rsid w:val="14327BBB"/>
    <w:rsid w:val="14448581"/>
    <w:rsid w:val="145AE1FA"/>
    <w:rsid w:val="1472C162"/>
    <w:rsid w:val="148B8448"/>
    <w:rsid w:val="149A1354"/>
    <w:rsid w:val="14B1506F"/>
    <w:rsid w:val="14E8C4B9"/>
    <w:rsid w:val="14E8EE07"/>
    <w:rsid w:val="1508CE3F"/>
    <w:rsid w:val="15248D56"/>
    <w:rsid w:val="15506F40"/>
    <w:rsid w:val="15507B51"/>
    <w:rsid w:val="1553A5EA"/>
    <w:rsid w:val="15754A5B"/>
    <w:rsid w:val="159A7F93"/>
    <w:rsid w:val="15A480CC"/>
    <w:rsid w:val="15AC0208"/>
    <w:rsid w:val="15C31E51"/>
    <w:rsid w:val="15DCE7F6"/>
    <w:rsid w:val="15F48831"/>
    <w:rsid w:val="16184FC1"/>
    <w:rsid w:val="1618E5CF"/>
    <w:rsid w:val="16407DE9"/>
    <w:rsid w:val="167FC45D"/>
    <w:rsid w:val="168A4D43"/>
    <w:rsid w:val="16AB1F68"/>
    <w:rsid w:val="16B6E8F2"/>
    <w:rsid w:val="16CE1E49"/>
    <w:rsid w:val="16E51E10"/>
    <w:rsid w:val="170078AB"/>
    <w:rsid w:val="170C92EB"/>
    <w:rsid w:val="170C9F81"/>
    <w:rsid w:val="171CA4DD"/>
    <w:rsid w:val="17361E13"/>
    <w:rsid w:val="174A7CFF"/>
    <w:rsid w:val="176601C5"/>
    <w:rsid w:val="177C677D"/>
    <w:rsid w:val="1796374C"/>
    <w:rsid w:val="17982867"/>
    <w:rsid w:val="179D428A"/>
    <w:rsid w:val="179E0BFC"/>
    <w:rsid w:val="17AEA56B"/>
    <w:rsid w:val="17B1B458"/>
    <w:rsid w:val="17B57FBE"/>
    <w:rsid w:val="17B9553B"/>
    <w:rsid w:val="17D25623"/>
    <w:rsid w:val="17FBC7DD"/>
    <w:rsid w:val="1859D479"/>
    <w:rsid w:val="188A184E"/>
    <w:rsid w:val="1899FF06"/>
    <w:rsid w:val="18A459DE"/>
    <w:rsid w:val="18C3A2BD"/>
    <w:rsid w:val="18CE4E71"/>
    <w:rsid w:val="190F4050"/>
    <w:rsid w:val="194B2D74"/>
    <w:rsid w:val="199929B9"/>
    <w:rsid w:val="19AB0781"/>
    <w:rsid w:val="19B01445"/>
    <w:rsid w:val="19D9095C"/>
    <w:rsid w:val="19D91C75"/>
    <w:rsid w:val="19E35642"/>
    <w:rsid w:val="19FFE9E2"/>
    <w:rsid w:val="1A15320B"/>
    <w:rsid w:val="1A2BF8A1"/>
    <w:rsid w:val="1A389F93"/>
    <w:rsid w:val="1A407009"/>
    <w:rsid w:val="1A76097A"/>
    <w:rsid w:val="1A846D72"/>
    <w:rsid w:val="1A99ED08"/>
    <w:rsid w:val="1AA87250"/>
    <w:rsid w:val="1AAE079B"/>
    <w:rsid w:val="1B34BC66"/>
    <w:rsid w:val="1B525B2A"/>
    <w:rsid w:val="1B5C7B2E"/>
    <w:rsid w:val="1B5EE193"/>
    <w:rsid w:val="1BAACC81"/>
    <w:rsid w:val="1BEA4928"/>
    <w:rsid w:val="1C04DE39"/>
    <w:rsid w:val="1C0F2303"/>
    <w:rsid w:val="1C122258"/>
    <w:rsid w:val="1C139B65"/>
    <w:rsid w:val="1C217C87"/>
    <w:rsid w:val="1C2763F4"/>
    <w:rsid w:val="1C6FED0E"/>
    <w:rsid w:val="1CA1EA42"/>
    <w:rsid w:val="1CC79998"/>
    <w:rsid w:val="1CE1E8A5"/>
    <w:rsid w:val="1CF80CC0"/>
    <w:rsid w:val="1CFED394"/>
    <w:rsid w:val="1D4F404D"/>
    <w:rsid w:val="1D589B11"/>
    <w:rsid w:val="1D599F10"/>
    <w:rsid w:val="1D9FF31E"/>
    <w:rsid w:val="1DB9C0FB"/>
    <w:rsid w:val="1DBF290B"/>
    <w:rsid w:val="1DC7C2C5"/>
    <w:rsid w:val="1DCC86CF"/>
    <w:rsid w:val="1DCD8EC5"/>
    <w:rsid w:val="1DD9D16D"/>
    <w:rsid w:val="1DDADCCD"/>
    <w:rsid w:val="1DF98E5F"/>
    <w:rsid w:val="1E19E044"/>
    <w:rsid w:val="1E529CC8"/>
    <w:rsid w:val="1E786946"/>
    <w:rsid w:val="1E996A00"/>
    <w:rsid w:val="1E9E9718"/>
    <w:rsid w:val="1EAC2334"/>
    <w:rsid w:val="1ED6F0A3"/>
    <w:rsid w:val="1EE47741"/>
    <w:rsid w:val="1EF57A71"/>
    <w:rsid w:val="1EFFC667"/>
    <w:rsid w:val="1F077E94"/>
    <w:rsid w:val="1F194A56"/>
    <w:rsid w:val="1F4F648B"/>
    <w:rsid w:val="1F79E115"/>
    <w:rsid w:val="1FF0C885"/>
    <w:rsid w:val="1FF39112"/>
    <w:rsid w:val="1FFF6EAB"/>
    <w:rsid w:val="204522FF"/>
    <w:rsid w:val="205781AC"/>
    <w:rsid w:val="2080A0E6"/>
    <w:rsid w:val="20AA6E80"/>
    <w:rsid w:val="20AB519E"/>
    <w:rsid w:val="20ACF83F"/>
    <w:rsid w:val="20CB4B73"/>
    <w:rsid w:val="20D3B99B"/>
    <w:rsid w:val="21062790"/>
    <w:rsid w:val="21361499"/>
    <w:rsid w:val="213E09A8"/>
    <w:rsid w:val="21426779"/>
    <w:rsid w:val="2146F906"/>
    <w:rsid w:val="214EBAF3"/>
    <w:rsid w:val="21617FB6"/>
    <w:rsid w:val="218D2561"/>
    <w:rsid w:val="218D646D"/>
    <w:rsid w:val="219C7B93"/>
    <w:rsid w:val="21B4C501"/>
    <w:rsid w:val="21ECF994"/>
    <w:rsid w:val="21F78C74"/>
    <w:rsid w:val="221C9B6D"/>
    <w:rsid w:val="221EBE74"/>
    <w:rsid w:val="222E2339"/>
    <w:rsid w:val="2237997F"/>
    <w:rsid w:val="22467411"/>
    <w:rsid w:val="224CDCA1"/>
    <w:rsid w:val="225C0FBD"/>
    <w:rsid w:val="2264A244"/>
    <w:rsid w:val="22650479"/>
    <w:rsid w:val="22ADDC8D"/>
    <w:rsid w:val="23034C03"/>
    <w:rsid w:val="232F4B2F"/>
    <w:rsid w:val="235F94B6"/>
    <w:rsid w:val="2377E980"/>
    <w:rsid w:val="2389259C"/>
    <w:rsid w:val="239E5290"/>
    <w:rsid w:val="23ADD228"/>
    <w:rsid w:val="23D1C4B8"/>
    <w:rsid w:val="23D2625D"/>
    <w:rsid w:val="23DC72E6"/>
    <w:rsid w:val="23FB9A3D"/>
    <w:rsid w:val="2412CCE0"/>
    <w:rsid w:val="24335D12"/>
    <w:rsid w:val="243BBA5D"/>
    <w:rsid w:val="244DA1CA"/>
    <w:rsid w:val="24573067"/>
    <w:rsid w:val="24A48795"/>
    <w:rsid w:val="24AD4570"/>
    <w:rsid w:val="24E9D0BD"/>
    <w:rsid w:val="25247B0A"/>
    <w:rsid w:val="258AA6F8"/>
    <w:rsid w:val="25BFAFF3"/>
    <w:rsid w:val="26110943"/>
    <w:rsid w:val="263B0D0F"/>
    <w:rsid w:val="267CE5F6"/>
    <w:rsid w:val="2688D91E"/>
    <w:rsid w:val="26A2C065"/>
    <w:rsid w:val="26ABFB25"/>
    <w:rsid w:val="26D6C62F"/>
    <w:rsid w:val="270E0A7F"/>
    <w:rsid w:val="2716B8C6"/>
    <w:rsid w:val="2727F566"/>
    <w:rsid w:val="273F8614"/>
    <w:rsid w:val="27659773"/>
    <w:rsid w:val="277DC302"/>
    <w:rsid w:val="278A3820"/>
    <w:rsid w:val="2797E559"/>
    <w:rsid w:val="279E469B"/>
    <w:rsid w:val="28120EB2"/>
    <w:rsid w:val="282AF03F"/>
    <w:rsid w:val="2859A072"/>
    <w:rsid w:val="287B4096"/>
    <w:rsid w:val="28BC5994"/>
    <w:rsid w:val="28D0C5FF"/>
    <w:rsid w:val="28DBEAAE"/>
    <w:rsid w:val="28ECAA9B"/>
    <w:rsid w:val="28EF340E"/>
    <w:rsid w:val="28FAEB1F"/>
    <w:rsid w:val="294CBCC9"/>
    <w:rsid w:val="2950C5F3"/>
    <w:rsid w:val="295446A0"/>
    <w:rsid w:val="296191A6"/>
    <w:rsid w:val="296390DD"/>
    <w:rsid w:val="29749B84"/>
    <w:rsid w:val="297EB69E"/>
    <w:rsid w:val="29911E5D"/>
    <w:rsid w:val="29C9AD4C"/>
    <w:rsid w:val="29CD606D"/>
    <w:rsid w:val="29D25986"/>
    <w:rsid w:val="29E15D32"/>
    <w:rsid w:val="29F818C3"/>
    <w:rsid w:val="2A107982"/>
    <w:rsid w:val="2A646FBA"/>
    <w:rsid w:val="2A67F37E"/>
    <w:rsid w:val="2A74E096"/>
    <w:rsid w:val="2AC8EEC6"/>
    <w:rsid w:val="2AF6CF34"/>
    <w:rsid w:val="2B00148E"/>
    <w:rsid w:val="2B4F8320"/>
    <w:rsid w:val="2B50209F"/>
    <w:rsid w:val="2B51C87F"/>
    <w:rsid w:val="2B537E7A"/>
    <w:rsid w:val="2B562741"/>
    <w:rsid w:val="2B5C84E3"/>
    <w:rsid w:val="2B74AAE4"/>
    <w:rsid w:val="2BA85B11"/>
    <w:rsid w:val="2BB54B10"/>
    <w:rsid w:val="2BF885C7"/>
    <w:rsid w:val="2BFBB132"/>
    <w:rsid w:val="2C1319A6"/>
    <w:rsid w:val="2C31FAFE"/>
    <w:rsid w:val="2C5E263F"/>
    <w:rsid w:val="2CB0ED8C"/>
    <w:rsid w:val="2CB3C19F"/>
    <w:rsid w:val="2CED9EF3"/>
    <w:rsid w:val="2D34CBBD"/>
    <w:rsid w:val="2D46BBD8"/>
    <w:rsid w:val="2D730D0A"/>
    <w:rsid w:val="2D86AC11"/>
    <w:rsid w:val="2D93FA97"/>
    <w:rsid w:val="2DA46272"/>
    <w:rsid w:val="2DA6FE4C"/>
    <w:rsid w:val="2DC5F64C"/>
    <w:rsid w:val="2DEB6DE8"/>
    <w:rsid w:val="2DFFF07F"/>
    <w:rsid w:val="2E0DA533"/>
    <w:rsid w:val="2E0FD1C9"/>
    <w:rsid w:val="2E2CDA34"/>
    <w:rsid w:val="2E95D545"/>
    <w:rsid w:val="2EACCFBE"/>
    <w:rsid w:val="2EBFB0B3"/>
    <w:rsid w:val="2EC31577"/>
    <w:rsid w:val="2F0138E8"/>
    <w:rsid w:val="2F245AB9"/>
    <w:rsid w:val="2F2BEC33"/>
    <w:rsid w:val="2F382E4C"/>
    <w:rsid w:val="2F56EE09"/>
    <w:rsid w:val="2F5D6DAB"/>
    <w:rsid w:val="2F65ADE5"/>
    <w:rsid w:val="2FC2BF1E"/>
    <w:rsid w:val="2FFCF0AD"/>
    <w:rsid w:val="300A52E3"/>
    <w:rsid w:val="302B8D9C"/>
    <w:rsid w:val="303E39F9"/>
    <w:rsid w:val="3049657F"/>
    <w:rsid w:val="30510522"/>
    <w:rsid w:val="305F395D"/>
    <w:rsid w:val="30798566"/>
    <w:rsid w:val="3090DDB4"/>
    <w:rsid w:val="30C8DEBF"/>
    <w:rsid w:val="30D6EB39"/>
    <w:rsid w:val="3119C90A"/>
    <w:rsid w:val="311B3C32"/>
    <w:rsid w:val="3153BBF1"/>
    <w:rsid w:val="3166E48C"/>
    <w:rsid w:val="316F7602"/>
    <w:rsid w:val="31716A5A"/>
    <w:rsid w:val="3171E118"/>
    <w:rsid w:val="318CA077"/>
    <w:rsid w:val="3199F032"/>
    <w:rsid w:val="31A2F658"/>
    <w:rsid w:val="31A545AE"/>
    <w:rsid w:val="31ADC7F9"/>
    <w:rsid w:val="31B3AAAB"/>
    <w:rsid w:val="31BBD853"/>
    <w:rsid w:val="31BFF562"/>
    <w:rsid w:val="31C26FA8"/>
    <w:rsid w:val="31ED7F8C"/>
    <w:rsid w:val="31EE78C4"/>
    <w:rsid w:val="31FF05D1"/>
    <w:rsid w:val="320B32AA"/>
    <w:rsid w:val="3219E67E"/>
    <w:rsid w:val="32617C72"/>
    <w:rsid w:val="3290987A"/>
    <w:rsid w:val="32EC654C"/>
    <w:rsid w:val="337641FE"/>
    <w:rsid w:val="337EB576"/>
    <w:rsid w:val="33833B31"/>
    <w:rsid w:val="3389662A"/>
    <w:rsid w:val="338AE2FC"/>
    <w:rsid w:val="339A0DD6"/>
    <w:rsid w:val="339B43D1"/>
    <w:rsid w:val="339D9638"/>
    <w:rsid w:val="33A9BADD"/>
    <w:rsid w:val="33B12362"/>
    <w:rsid w:val="33B91090"/>
    <w:rsid w:val="33CC13B5"/>
    <w:rsid w:val="34206957"/>
    <w:rsid w:val="34290F39"/>
    <w:rsid w:val="343DA950"/>
    <w:rsid w:val="34BCB3CC"/>
    <w:rsid w:val="351BA8A4"/>
    <w:rsid w:val="353FF11F"/>
    <w:rsid w:val="35BF1B5C"/>
    <w:rsid w:val="35C82E89"/>
    <w:rsid w:val="35EFD26F"/>
    <w:rsid w:val="35FE596A"/>
    <w:rsid w:val="36011B61"/>
    <w:rsid w:val="3606003A"/>
    <w:rsid w:val="360AE2B3"/>
    <w:rsid w:val="361400D9"/>
    <w:rsid w:val="362A6998"/>
    <w:rsid w:val="363BE7D0"/>
    <w:rsid w:val="36432277"/>
    <w:rsid w:val="3649AB21"/>
    <w:rsid w:val="365C122B"/>
    <w:rsid w:val="366F6AF2"/>
    <w:rsid w:val="36AA9F8E"/>
    <w:rsid w:val="36AC1DB6"/>
    <w:rsid w:val="36B33E2A"/>
    <w:rsid w:val="36CF9636"/>
    <w:rsid w:val="36DCCC99"/>
    <w:rsid w:val="36E598D2"/>
    <w:rsid w:val="3709353E"/>
    <w:rsid w:val="371EC372"/>
    <w:rsid w:val="372FCC36"/>
    <w:rsid w:val="3741F7B6"/>
    <w:rsid w:val="3742D476"/>
    <w:rsid w:val="376986BF"/>
    <w:rsid w:val="3782CFA2"/>
    <w:rsid w:val="37A2DD10"/>
    <w:rsid w:val="387DC5A4"/>
    <w:rsid w:val="387F398A"/>
    <w:rsid w:val="38E4A146"/>
    <w:rsid w:val="390C8A15"/>
    <w:rsid w:val="394C6853"/>
    <w:rsid w:val="395800EB"/>
    <w:rsid w:val="398CF556"/>
    <w:rsid w:val="3999D1D7"/>
    <w:rsid w:val="399D7925"/>
    <w:rsid w:val="39A0408D"/>
    <w:rsid w:val="39BC6F85"/>
    <w:rsid w:val="39C8EC9B"/>
    <w:rsid w:val="39EB2C5A"/>
    <w:rsid w:val="3A3C64A1"/>
    <w:rsid w:val="3A6CDD4A"/>
    <w:rsid w:val="3A790530"/>
    <w:rsid w:val="3AACB7B7"/>
    <w:rsid w:val="3AB83094"/>
    <w:rsid w:val="3AF148C5"/>
    <w:rsid w:val="3B44C2BF"/>
    <w:rsid w:val="3B93C2FA"/>
    <w:rsid w:val="3BE293EA"/>
    <w:rsid w:val="3C06EF41"/>
    <w:rsid w:val="3C504F2A"/>
    <w:rsid w:val="3C63033F"/>
    <w:rsid w:val="3C6EC5E0"/>
    <w:rsid w:val="3C7955A4"/>
    <w:rsid w:val="3CA082D3"/>
    <w:rsid w:val="3CD89DDD"/>
    <w:rsid w:val="3CE55A27"/>
    <w:rsid w:val="3CEB7F9B"/>
    <w:rsid w:val="3D19E946"/>
    <w:rsid w:val="3D2018D5"/>
    <w:rsid w:val="3D424106"/>
    <w:rsid w:val="3D62177E"/>
    <w:rsid w:val="3DFB6BBA"/>
    <w:rsid w:val="3E3A5143"/>
    <w:rsid w:val="3E500749"/>
    <w:rsid w:val="3E5DF0FB"/>
    <w:rsid w:val="3E850568"/>
    <w:rsid w:val="3E9EB428"/>
    <w:rsid w:val="3EC0AB93"/>
    <w:rsid w:val="3EC137F3"/>
    <w:rsid w:val="3ED5DCD4"/>
    <w:rsid w:val="3EDEF1D1"/>
    <w:rsid w:val="3EE714E7"/>
    <w:rsid w:val="3EF2AB95"/>
    <w:rsid w:val="3F16B79B"/>
    <w:rsid w:val="3F4BF254"/>
    <w:rsid w:val="3F5DB540"/>
    <w:rsid w:val="3F7BCEBB"/>
    <w:rsid w:val="3F7D5067"/>
    <w:rsid w:val="3F8DABBC"/>
    <w:rsid w:val="3F9E7F6F"/>
    <w:rsid w:val="404B1CEF"/>
    <w:rsid w:val="407ACA41"/>
    <w:rsid w:val="4082F8A5"/>
    <w:rsid w:val="40B4D9BD"/>
    <w:rsid w:val="40C5F7B5"/>
    <w:rsid w:val="40E56390"/>
    <w:rsid w:val="40F023CF"/>
    <w:rsid w:val="40F96C19"/>
    <w:rsid w:val="40FC4924"/>
    <w:rsid w:val="411CFF33"/>
    <w:rsid w:val="413EA982"/>
    <w:rsid w:val="41A87C91"/>
    <w:rsid w:val="41AF3B46"/>
    <w:rsid w:val="41CA1ABA"/>
    <w:rsid w:val="41FA16C6"/>
    <w:rsid w:val="41FAA52C"/>
    <w:rsid w:val="420A7A81"/>
    <w:rsid w:val="427DDCB8"/>
    <w:rsid w:val="4296533E"/>
    <w:rsid w:val="42ABBF94"/>
    <w:rsid w:val="42CC64A6"/>
    <w:rsid w:val="42D11ADF"/>
    <w:rsid w:val="43090BA1"/>
    <w:rsid w:val="4321B1F7"/>
    <w:rsid w:val="43677A0F"/>
    <w:rsid w:val="436F8FFF"/>
    <w:rsid w:val="43708E6B"/>
    <w:rsid w:val="43A045F6"/>
    <w:rsid w:val="43B5F84D"/>
    <w:rsid w:val="4435D8FB"/>
    <w:rsid w:val="443BA884"/>
    <w:rsid w:val="447235F1"/>
    <w:rsid w:val="4479510A"/>
    <w:rsid w:val="448BD908"/>
    <w:rsid w:val="44C87D4F"/>
    <w:rsid w:val="44D707ED"/>
    <w:rsid w:val="4523D950"/>
    <w:rsid w:val="4527F1BC"/>
    <w:rsid w:val="4556E3C3"/>
    <w:rsid w:val="4582BEFD"/>
    <w:rsid w:val="459ACF05"/>
    <w:rsid w:val="45E51041"/>
    <w:rsid w:val="45F9DA08"/>
    <w:rsid w:val="4622E61F"/>
    <w:rsid w:val="4644036B"/>
    <w:rsid w:val="464A5899"/>
    <w:rsid w:val="4656DDD6"/>
    <w:rsid w:val="468C1436"/>
    <w:rsid w:val="470025C2"/>
    <w:rsid w:val="4715257A"/>
    <w:rsid w:val="473B9E3D"/>
    <w:rsid w:val="476577C8"/>
    <w:rsid w:val="47803DF1"/>
    <w:rsid w:val="47A21C27"/>
    <w:rsid w:val="47A8D87C"/>
    <w:rsid w:val="47C3AE78"/>
    <w:rsid w:val="47E7EEC2"/>
    <w:rsid w:val="482754BF"/>
    <w:rsid w:val="48463C57"/>
    <w:rsid w:val="485C65FE"/>
    <w:rsid w:val="48625E60"/>
    <w:rsid w:val="4869CD42"/>
    <w:rsid w:val="48818491"/>
    <w:rsid w:val="488C21E9"/>
    <w:rsid w:val="48C18960"/>
    <w:rsid w:val="49154E01"/>
    <w:rsid w:val="4950F935"/>
    <w:rsid w:val="4975FF29"/>
    <w:rsid w:val="49B6E135"/>
    <w:rsid w:val="4A2015CD"/>
    <w:rsid w:val="4A26B770"/>
    <w:rsid w:val="4A2B636C"/>
    <w:rsid w:val="4A43813E"/>
    <w:rsid w:val="4A71E1EB"/>
    <w:rsid w:val="4A7714BD"/>
    <w:rsid w:val="4A7A0BE6"/>
    <w:rsid w:val="4A8813A4"/>
    <w:rsid w:val="4A8EC83B"/>
    <w:rsid w:val="4AD5EA99"/>
    <w:rsid w:val="4B130509"/>
    <w:rsid w:val="4B28834A"/>
    <w:rsid w:val="4B32A7F3"/>
    <w:rsid w:val="4B355F66"/>
    <w:rsid w:val="4B65D763"/>
    <w:rsid w:val="4B7B898E"/>
    <w:rsid w:val="4B9683CC"/>
    <w:rsid w:val="4BB0E98F"/>
    <w:rsid w:val="4BC4D5FE"/>
    <w:rsid w:val="4BC77935"/>
    <w:rsid w:val="4BD1B27D"/>
    <w:rsid w:val="4BFB5618"/>
    <w:rsid w:val="4C0D08E0"/>
    <w:rsid w:val="4C23EA5D"/>
    <w:rsid w:val="4C33B4AD"/>
    <w:rsid w:val="4C35ED1C"/>
    <w:rsid w:val="4C56785C"/>
    <w:rsid w:val="4C6EE319"/>
    <w:rsid w:val="4C72D8F6"/>
    <w:rsid w:val="4CB612C0"/>
    <w:rsid w:val="4CBDB894"/>
    <w:rsid w:val="4CC19CDE"/>
    <w:rsid w:val="4CCC4DCA"/>
    <w:rsid w:val="4CDA030B"/>
    <w:rsid w:val="4D0D4546"/>
    <w:rsid w:val="4D1DE2FC"/>
    <w:rsid w:val="4D232AE5"/>
    <w:rsid w:val="4D3FFE41"/>
    <w:rsid w:val="4D6D05B6"/>
    <w:rsid w:val="4D8EBE27"/>
    <w:rsid w:val="4D974B8F"/>
    <w:rsid w:val="4DB00727"/>
    <w:rsid w:val="4DB90504"/>
    <w:rsid w:val="4DC60746"/>
    <w:rsid w:val="4E28AE81"/>
    <w:rsid w:val="4E5D2A8D"/>
    <w:rsid w:val="4E796686"/>
    <w:rsid w:val="4E848285"/>
    <w:rsid w:val="4E92C56B"/>
    <w:rsid w:val="4EAA6E16"/>
    <w:rsid w:val="4EAD5424"/>
    <w:rsid w:val="4F032CE3"/>
    <w:rsid w:val="4F1EBC0B"/>
    <w:rsid w:val="4F2A183F"/>
    <w:rsid w:val="4F389A72"/>
    <w:rsid w:val="4F461B6C"/>
    <w:rsid w:val="4F4C8C8A"/>
    <w:rsid w:val="4F73CD85"/>
    <w:rsid w:val="4F9CBA73"/>
    <w:rsid w:val="4FE66BB1"/>
    <w:rsid w:val="4FF3AB82"/>
    <w:rsid w:val="5043B4DF"/>
    <w:rsid w:val="5063CB12"/>
    <w:rsid w:val="506425E5"/>
    <w:rsid w:val="50C603CC"/>
    <w:rsid w:val="50D5FFF0"/>
    <w:rsid w:val="5112241D"/>
    <w:rsid w:val="5122E067"/>
    <w:rsid w:val="514D4587"/>
    <w:rsid w:val="515E837A"/>
    <w:rsid w:val="515FEBFE"/>
    <w:rsid w:val="51822D12"/>
    <w:rsid w:val="51B28B38"/>
    <w:rsid w:val="51CA976F"/>
    <w:rsid w:val="51D3405E"/>
    <w:rsid w:val="51DB2B32"/>
    <w:rsid w:val="5205B599"/>
    <w:rsid w:val="521EA9D4"/>
    <w:rsid w:val="52272887"/>
    <w:rsid w:val="52307392"/>
    <w:rsid w:val="52592185"/>
    <w:rsid w:val="525CC67A"/>
    <w:rsid w:val="5281B2DC"/>
    <w:rsid w:val="5283B277"/>
    <w:rsid w:val="528AC52F"/>
    <w:rsid w:val="5321B9F0"/>
    <w:rsid w:val="532F2AFF"/>
    <w:rsid w:val="533BF44A"/>
    <w:rsid w:val="5352F36F"/>
    <w:rsid w:val="53545B11"/>
    <w:rsid w:val="5374A03E"/>
    <w:rsid w:val="53916A62"/>
    <w:rsid w:val="53B506FE"/>
    <w:rsid w:val="540C8419"/>
    <w:rsid w:val="54352E0C"/>
    <w:rsid w:val="5483C123"/>
    <w:rsid w:val="54A121BD"/>
    <w:rsid w:val="54B16C42"/>
    <w:rsid w:val="55169D01"/>
    <w:rsid w:val="555B0384"/>
    <w:rsid w:val="555E67C9"/>
    <w:rsid w:val="55A8423C"/>
    <w:rsid w:val="55BF9F6B"/>
    <w:rsid w:val="55E79AA4"/>
    <w:rsid w:val="5607B7B1"/>
    <w:rsid w:val="5632BC87"/>
    <w:rsid w:val="563CE795"/>
    <w:rsid w:val="56472E08"/>
    <w:rsid w:val="565600AE"/>
    <w:rsid w:val="5657B354"/>
    <w:rsid w:val="567A4EA2"/>
    <w:rsid w:val="5689506B"/>
    <w:rsid w:val="568E958C"/>
    <w:rsid w:val="56A17AFF"/>
    <w:rsid w:val="56AEFF77"/>
    <w:rsid w:val="56BA02D0"/>
    <w:rsid w:val="56F2BE09"/>
    <w:rsid w:val="5705F5CE"/>
    <w:rsid w:val="57110AC4"/>
    <w:rsid w:val="572747D6"/>
    <w:rsid w:val="573D17B6"/>
    <w:rsid w:val="575AA58C"/>
    <w:rsid w:val="57B3E5D1"/>
    <w:rsid w:val="57BD0415"/>
    <w:rsid w:val="57C913C3"/>
    <w:rsid w:val="580453A1"/>
    <w:rsid w:val="582121C6"/>
    <w:rsid w:val="58497F35"/>
    <w:rsid w:val="5877298A"/>
    <w:rsid w:val="58BE7B6B"/>
    <w:rsid w:val="58E172AC"/>
    <w:rsid w:val="58ED53EF"/>
    <w:rsid w:val="59044041"/>
    <w:rsid w:val="59074F96"/>
    <w:rsid w:val="59169756"/>
    <w:rsid w:val="59379082"/>
    <w:rsid w:val="5937FF61"/>
    <w:rsid w:val="595B4EFF"/>
    <w:rsid w:val="59AD24D7"/>
    <w:rsid w:val="59E6E6B3"/>
    <w:rsid w:val="5A07B82C"/>
    <w:rsid w:val="5A0CDB20"/>
    <w:rsid w:val="5A244EBE"/>
    <w:rsid w:val="5A3F34D8"/>
    <w:rsid w:val="5A5E78BD"/>
    <w:rsid w:val="5A8E3BB1"/>
    <w:rsid w:val="5A9F7109"/>
    <w:rsid w:val="5AD11EBB"/>
    <w:rsid w:val="5ADD5557"/>
    <w:rsid w:val="5AF604C9"/>
    <w:rsid w:val="5B63BA3D"/>
    <w:rsid w:val="5B687AA8"/>
    <w:rsid w:val="5B716C88"/>
    <w:rsid w:val="5B72473F"/>
    <w:rsid w:val="5B7698D2"/>
    <w:rsid w:val="5B9BBEE7"/>
    <w:rsid w:val="5BC2FEE3"/>
    <w:rsid w:val="5BF38FF2"/>
    <w:rsid w:val="5C309697"/>
    <w:rsid w:val="5C316EF8"/>
    <w:rsid w:val="5C45E2F4"/>
    <w:rsid w:val="5C56A539"/>
    <w:rsid w:val="5C5BD034"/>
    <w:rsid w:val="5C5BEE67"/>
    <w:rsid w:val="5C5ED0E6"/>
    <w:rsid w:val="5C94980B"/>
    <w:rsid w:val="5CCAA08F"/>
    <w:rsid w:val="5CDDB77D"/>
    <w:rsid w:val="5CE5EBB2"/>
    <w:rsid w:val="5D32E9AD"/>
    <w:rsid w:val="5D360903"/>
    <w:rsid w:val="5D40175C"/>
    <w:rsid w:val="5D4F7257"/>
    <w:rsid w:val="5D872C20"/>
    <w:rsid w:val="5D9CE4DC"/>
    <w:rsid w:val="5DB13A12"/>
    <w:rsid w:val="5DD035FE"/>
    <w:rsid w:val="5DE76F2F"/>
    <w:rsid w:val="5E3650D7"/>
    <w:rsid w:val="5E386074"/>
    <w:rsid w:val="5E4BA2BA"/>
    <w:rsid w:val="5EAEE9EB"/>
    <w:rsid w:val="5EF13DEA"/>
    <w:rsid w:val="5F04E23C"/>
    <w:rsid w:val="5F100A29"/>
    <w:rsid w:val="5F213622"/>
    <w:rsid w:val="5F283690"/>
    <w:rsid w:val="5F2D747F"/>
    <w:rsid w:val="5F3E854F"/>
    <w:rsid w:val="5F43942E"/>
    <w:rsid w:val="5F637B53"/>
    <w:rsid w:val="5F7ED468"/>
    <w:rsid w:val="5F8439B1"/>
    <w:rsid w:val="5F8BD049"/>
    <w:rsid w:val="5FB2BED9"/>
    <w:rsid w:val="6020247E"/>
    <w:rsid w:val="602EE675"/>
    <w:rsid w:val="602F167A"/>
    <w:rsid w:val="603E420E"/>
    <w:rsid w:val="6052C1F3"/>
    <w:rsid w:val="606D9795"/>
    <w:rsid w:val="607136F9"/>
    <w:rsid w:val="6071F72C"/>
    <w:rsid w:val="60956FAB"/>
    <w:rsid w:val="60B88BFC"/>
    <w:rsid w:val="60C79A6F"/>
    <w:rsid w:val="60DACCB7"/>
    <w:rsid w:val="60DFF73D"/>
    <w:rsid w:val="60E19DCC"/>
    <w:rsid w:val="612F8349"/>
    <w:rsid w:val="614A464F"/>
    <w:rsid w:val="617803DB"/>
    <w:rsid w:val="6182F0FB"/>
    <w:rsid w:val="61BA3729"/>
    <w:rsid w:val="61BCD479"/>
    <w:rsid w:val="61C6F65A"/>
    <w:rsid w:val="62263691"/>
    <w:rsid w:val="622AE08F"/>
    <w:rsid w:val="62693CC1"/>
    <w:rsid w:val="627B1716"/>
    <w:rsid w:val="62851196"/>
    <w:rsid w:val="62C7DC9C"/>
    <w:rsid w:val="62C97766"/>
    <w:rsid w:val="62CD71F6"/>
    <w:rsid w:val="62DCF54C"/>
    <w:rsid w:val="62F7EC50"/>
    <w:rsid w:val="630B8166"/>
    <w:rsid w:val="636E29F9"/>
    <w:rsid w:val="63FB7AE4"/>
    <w:rsid w:val="63FF227B"/>
    <w:rsid w:val="640D4ED3"/>
    <w:rsid w:val="64136F9C"/>
    <w:rsid w:val="641B3890"/>
    <w:rsid w:val="64208790"/>
    <w:rsid w:val="645BD257"/>
    <w:rsid w:val="646916ED"/>
    <w:rsid w:val="64734917"/>
    <w:rsid w:val="64891CFF"/>
    <w:rsid w:val="648DD48B"/>
    <w:rsid w:val="64969D8F"/>
    <w:rsid w:val="64CC7C08"/>
    <w:rsid w:val="64E73BAA"/>
    <w:rsid w:val="6505BD2E"/>
    <w:rsid w:val="6558B476"/>
    <w:rsid w:val="656B94A4"/>
    <w:rsid w:val="658A2F1C"/>
    <w:rsid w:val="659CE808"/>
    <w:rsid w:val="65D808C7"/>
    <w:rsid w:val="65EE30C8"/>
    <w:rsid w:val="6616AFCE"/>
    <w:rsid w:val="6617B654"/>
    <w:rsid w:val="667B7689"/>
    <w:rsid w:val="66A6A9CB"/>
    <w:rsid w:val="66B3C3A9"/>
    <w:rsid w:val="66E363E9"/>
    <w:rsid w:val="673FFF25"/>
    <w:rsid w:val="67818FAD"/>
    <w:rsid w:val="678EE370"/>
    <w:rsid w:val="679237E3"/>
    <w:rsid w:val="679E21CF"/>
    <w:rsid w:val="67B51B60"/>
    <w:rsid w:val="680CE49D"/>
    <w:rsid w:val="680F9979"/>
    <w:rsid w:val="6843667D"/>
    <w:rsid w:val="684D08FD"/>
    <w:rsid w:val="689E2D8A"/>
    <w:rsid w:val="68B0C656"/>
    <w:rsid w:val="68B194D6"/>
    <w:rsid w:val="68F3A61D"/>
    <w:rsid w:val="68F82B59"/>
    <w:rsid w:val="692CBFE0"/>
    <w:rsid w:val="69A60B79"/>
    <w:rsid w:val="69B61090"/>
    <w:rsid w:val="69C2810C"/>
    <w:rsid w:val="69C9DB75"/>
    <w:rsid w:val="6A04CC11"/>
    <w:rsid w:val="6A3ED06B"/>
    <w:rsid w:val="6A656CBC"/>
    <w:rsid w:val="6A65C66A"/>
    <w:rsid w:val="6A8543A0"/>
    <w:rsid w:val="6A9BF9A6"/>
    <w:rsid w:val="6ABE37C0"/>
    <w:rsid w:val="6AF0D61F"/>
    <w:rsid w:val="6AF6631F"/>
    <w:rsid w:val="6B107A13"/>
    <w:rsid w:val="6B24C819"/>
    <w:rsid w:val="6B360CD3"/>
    <w:rsid w:val="6B5023CA"/>
    <w:rsid w:val="6B6BE4DA"/>
    <w:rsid w:val="6B6E00EE"/>
    <w:rsid w:val="6B7815F8"/>
    <w:rsid w:val="6BBB5D5C"/>
    <w:rsid w:val="6BC1478B"/>
    <w:rsid w:val="6BC6CBEC"/>
    <w:rsid w:val="6C13D6BC"/>
    <w:rsid w:val="6C1A683E"/>
    <w:rsid w:val="6C2065FB"/>
    <w:rsid w:val="6C4DF488"/>
    <w:rsid w:val="6C4EBB00"/>
    <w:rsid w:val="6C6D1F1D"/>
    <w:rsid w:val="6C8F826B"/>
    <w:rsid w:val="6C9423F6"/>
    <w:rsid w:val="6CDF9F1F"/>
    <w:rsid w:val="6CFAAD9A"/>
    <w:rsid w:val="6D07F44F"/>
    <w:rsid w:val="6D1A8BDB"/>
    <w:rsid w:val="6D444CB5"/>
    <w:rsid w:val="6D449744"/>
    <w:rsid w:val="6D50AE24"/>
    <w:rsid w:val="6D571C47"/>
    <w:rsid w:val="6D797D24"/>
    <w:rsid w:val="6D9AFEA5"/>
    <w:rsid w:val="6DA2CB05"/>
    <w:rsid w:val="6DAD3B63"/>
    <w:rsid w:val="6DAD5F29"/>
    <w:rsid w:val="6DD0217A"/>
    <w:rsid w:val="6DD1B964"/>
    <w:rsid w:val="6DDACD6C"/>
    <w:rsid w:val="6DE936A5"/>
    <w:rsid w:val="6DF15450"/>
    <w:rsid w:val="6E0FD9B7"/>
    <w:rsid w:val="6E54454D"/>
    <w:rsid w:val="6E837211"/>
    <w:rsid w:val="6E95CB9E"/>
    <w:rsid w:val="6EADD7CE"/>
    <w:rsid w:val="6EF12A72"/>
    <w:rsid w:val="6F2DDFFC"/>
    <w:rsid w:val="6F398ECF"/>
    <w:rsid w:val="6F3F284B"/>
    <w:rsid w:val="6F51C503"/>
    <w:rsid w:val="6F568E49"/>
    <w:rsid w:val="6F5ADB9B"/>
    <w:rsid w:val="6F787E17"/>
    <w:rsid w:val="6F81B591"/>
    <w:rsid w:val="6F8953EA"/>
    <w:rsid w:val="6F8D7189"/>
    <w:rsid w:val="6FA54EFB"/>
    <w:rsid w:val="6FAAAE45"/>
    <w:rsid w:val="6FDD7552"/>
    <w:rsid w:val="6FEB6355"/>
    <w:rsid w:val="70233497"/>
    <w:rsid w:val="7035BC89"/>
    <w:rsid w:val="704B7BFB"/>
    <w:rsid w:val="70507C10"/>
    <w:rsid w:val="7063B5D3"/>
    <w:rsid w:val="70727DF4"/>
    <w:rsid w:val="7088F256"/>
    <w:rsid w:val="70B33D5D"/>
    <w:rsid w:val="70C1643D"/>
    <w:rsid w:val="70CF56F4"/>
    <w:rsid w:val="70D944A4"/>
    <w:rsid w:val="71488DAE"/>
    <w:rsid w:val="714E8F75"/>
    <w:rsid w:val="71759E1C"/>
    <w:rsid w:val="7178582F"/>
    <w:rsid w:val="71854DF7"/>
    <w:rsid w:val="7190E174"/>
    <w:rsid w:val="71A12E1C"/>
    <w:rsid w:val="71C12BB8"/>
    <w:rsid w:val="71CF18E8"/>
    <w:rsid w:val="71D81D9B"/>
    <w:rsid w:val="72034677"/>
    <w:rsid w:val="72213DC0"/>
    <w:rsid w:val="72726DE1"/>
    <w:rsid w:val="72768084"/>
    <w:rsid w:val="72813371"/>
    <w:rsid w:val="72821EAA"/>
    <w:rsid w:val="72F0A03E"/>
    <w:rsid w:val="7328287A"/>
    <w:rsid w:val="7341CF68"/>
    <w:rsid w:val="735A8BE7"/>
    <w:rsid w:val="736325CD"/>
    <w:rsid w:val="73755933"/>
    <w:rsid w:val="738A34E6"/>
    <w:rsid w:val="738AFAA6"/>
    <w:rsid w:val="73A5BE55"/>
    <w:rsid w:val="73B85A91"/>
    <w:rsid w:val="73DD5C62"/>
    <w:rsid w:val="740D8442"/>
    <w:rsid w:val="741C9B77"/>
    <w:rsid w:val="74211D41"/>
    <w:rsid w:val="744901E3"/>
    <w:rsid w:val="74579A1F"/>
    <w:rsid w:val="74B8F51E"/>
    <w:rsid w:val="74CAE0A2"/>
    <w:rsid w:val="753AB277"/>
    <w:rsid w:val="7565931B"/>
    <w:rsid w:val="757599AD"/>
    <w:rsid w:val="759E1B21"/>
    <w:rsid w:val="75B26742"/>
    <w:rsid w:val="75BCC5FF"/>
    <w:rsid w:val="75E9D0AA"/>
    <w:rsid w:val="75F8559D"/>
    <w:rsid w:val="760A6A72"/>
    <w:rsid w:val="763D67E5"/>
    <w:rsid w:val="764419FF"/>
    <w:rsid w:val="7653AC07"/>
    <w:rsid w:val="76776676"/>
    <w:rsid w:val="7684CC3B"/>
    <w:rsid w:val="768C8214"/>
    <w:rsid w:val="76A354B2"/>
    <w:rsid w:val="76AAAD56"/>
    <w:rsid w:val="76BA4ADD"/>
    <w:rsid w:val="76BCBC8C"/>
    <w:rsid w:val="76C108E0"/>
    <w:rsid w:val="76D00627"/>
    <w:rsid w:val="76D7077F"/>
    <w:rsid w:val="76D725AC"/>
    <w:rsid w:val="76E19857"/>
    <w:rsid w:val="76E4B43D"/>
    <w:rsid w:val="76E5A279"/>
    <w:rsid w:val="76F01030"/>
    <w:rsid w:val="76F02F22"/>
    <w:rsid w:val="77076997"/>
    <w:rsid w:val="77259EA8"/>
    <w:rsid w:val="772779CB"/>
    <w:rsid w:val="7734903C"/>
    <w:rsid w:val="77821743"/>
    <w:rsid w:val="77871989"/>
    <w:rsid w:val="77A4D124"/>
    <w:rsid w:val="77A997C6"/>
    <w:rsid w:val="77DE81EC"/>
    <w:rsid w:val="77E44871"/>
    <w:rsid w:val="7813F28C"/>
    <w:rsid w:val="784963A0"/>
    <w:rsid w:val="7859E574"/>
    <w:rsid w:val="78608818"/>
    <w:rsid w:val="786C38BD"/>
    <w:rsid w:val="7879652D"/>
    <w:rsid w:val="787D63BE"/>
    <w:rsid w:val="7880152B"/>
    <w:rsid w:val="789250E7"/>
    <w:rsid w:val="78F4090D"/>
    <w:rsid w:val="78FBE1CF"/>
    <w:rsid w:val="793FC0DB"/>
    <w:rsid w:val="79434C90"/>
    <w:rsid w:val="797428A2"/>
    <w:rsid w:val="797E0A4F"/>
    <w:rsid w:val="79820457"/>
    <w:rsid w:val="798365E4"/>
    <w:rsid w:val="798460AF"/>
    <w:rsid w:val="79DCE14E"/>
    <w:rsid w:val="79E416AA"/>
    <w:rsid w:val="7A23F07E"/>
    <w:rsid w:val="7A8783BE"/>
    <w:rsid w:val="7A8B0BBE"/>
    <w:rsid w:val="7AFA417D"/>
    <w:rsid w:val="7B04319E"/>
    <w:rsid w:val="7B26AE84"/>
    <w:rsid w:val="7B750285"/>
    <w:rsid w:val="7BDC1A6F"/>
    <w:rsid w:val="7BF69C9C"/>
    <w:rsid w:val="7C1DD111"/>
    <w:rsid w:val="7C3EB2A4"/>
    <w:rsid w:val="7CA98D87"/>
    <w:rsid w:val="7CBB39E8"/>
    <w:rsid w:val="7CE77925"/>
    <w:rsid w:val="7CF760E2"/>
    <w:rsid w:val="7CF81062"/>
    <w:rsid w:val="7D329417"/>
    <w:rsid w:val="7D3D7229"/>
    <w:rsid w:val="7D4D232E"/>
    <w:rsid w:val="7D79EA8F"/>
    <w:rsid w:val="7D7F2168"/>
    <w:rsid w:val="7DA4FA99"/>
    <w:rsid w:val="7DC22604"/>
    <w:rsid w:val="7DCBEF54"/>
    <w:rsid w:val="7DEBFC6B"/>
    <w:rsid w:val="7DF77D3D"/>
    <w:rsid w:val="7DFA5C51"/>
    <w:rsid w:val="7E24A36A"/>
    <w:rsid w:val="7E2FACCA"/>
    <w:rsid w:val="7E3F5B3A"/>
    <w:rsid w:val="7E4B15B6"/>
    <w:rsid w:val="7E507B8F"/>
    <w:rsid w:val="7E7A2C72"/>
    <w:rsid w:val="7E7F9EEF"/>
    <w:rsid w:val="7EAD021A"/>
    <w:rsid w:val="7EAF3232"/>
    <w:rsid w:val="7EC87584"/>
    <w:rsid w:val="7F0CD118"/>
    <w:rsid w:val="7F3E8202"/>
    <w:rsid w:val="7F538065"/>
    <w:rsid w:val="7F6B2BA8"/>
    <w:rsid w:val="7F7D77E4"/>
    <w:rsid w:val="7F810B39"/>
    <w:rsid w:val="7F86D636"/>
    <w:rsid w:val="7F8AB68B"/>
    <w:rsid w:val="7F95B656"/>
    <w:rsid w:val="7F9A5C76"/>
    <w:rsid w:val="7FC3DA01"/>
    <w:rsid w:val="7FCDC372"/>
    <w:rsid w:val="7FD690C1"/>
    <w:rsid w:val="7FED78F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4"/>
      </w:numPr>
    </w:pPr>
  </w:style>
  <w:style w:type="numbering" w:customStyle="1" w:styleId="Estiloimportado1">
    <w:name w:val="Estilo importado 1"/>
  </w:style>
  <w:style w:type="numbering" w:customStyle="1" w:styleId="List1">
    <w:name w:val="List 1"/>
    <w:basedOn w:val="Estiloimportado2"/>
    <w:pPr>
      <w:numPr>
        <w:numId w:val="4"/>
      </w:numPr>
    </w:pPr>
  </w:style>
  <w:style w:type="numbering" w:customStyle="1" w:styleId="Estiloimportado2">
    <w:name w:val="Estilo importado 2"/>
  </w:style>
  <w:style w:type="numbering" w:customStyle="1" w:styleId="List21">
    <w:name w:val="List 21"/>
    <w:basedOn w:val="Estiloimportado3"/>
    <w:pPr>
      <w:numPr>
        <w:numId w:val="55"/>
      </w:numPr>
    </w:pPr>
  </w:style>
  <w:style w:type="numbering" w:customStyle="1" w:styleId="Estiloimportado3">
    <w:name w:val="Estilo importado 3"/>
  </w:style>
  <w:style w:type="numbering" w:customStyle="1" w:styleId="List31">
    <w:name w:val="List 31"/>
    <w:basedOn w:val="Estiloimportado4"/>
    <w:pPr>
      <w:numPr>
        <w:numId w:val="5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57"/>
      </w:numPr>
    </w:pPr>
  </w:style>
  <w:style w:type="numbering" w:customStyle="1" w:styleId="Estiloimportado6">
    <w:name w:val="Estilo importado 6"/>
  </w:style>
  <w:style w:type="numbering" w:customStyle="1" w:styleId="List6">
    <w:name w:val="List 6"/>
    <w:basedOn w:val="Estiloimportado7"/>
    <w:pPr>
      <w:numPr>
        <w:numId w:val="6"/>
      </w:numPr>
    </w:pPr>
  </w:style>
  <w:style w:type="numbering" w:customStyle="1" w:styleId="Estiloimportado7">
    <w:name w:val="Estilo importado 7"/>
  </w:style>
  <w:style w:type="numbering" w:customStyle="1" w:styleId="List7">
    <w:name w:val="List 7"/>
    <w:basedOn w:val="Estiloimportado8"/>
    <w:pPr>
      <w:numPr>
        <w:numId w:val="7"/>
      </w:numPr>
    </w:pPr>
  </w:style>
  <w:style w:type="numbering" w:customStyle="1" w:styleId="Estiloimportado8">
    <w:name w:val="Estilo importado 8"/>
  </w:style>
  <w:style w:type="numbering" w:customStyle="1" w:styleId="List8">
    <w:name w:val="List 8"/>
    <w:basedOn w:val="Estiloimportado9"/>
    <w:pPr>
      <w:numPr>
        <w:numId w:val="8"/>
      </w:numPr>
    </w:pPr>
  </w:style>
  <w:style w:type="numbering" w:customStyle="1" w:styleId="Estiloimportado9">
    <w:name w:val="Estilo importado 9"/>
  </w:style>
  <w:style w:type="numbering" w:customStyle="1" w:styleId="List9">
    <w:name w:val="List 9"/>
    <w:basedOn w:val="Estiloimportado10"/>
    <w:pPr>
      <w:numPr>
        <w:numId w:val="25"/>
      </w:numPr>
    </w:pPr>
  </w:style>
  <w:style w:type="numbering" w:customStyle="1" w:styleId="Estiloimportado10">
    <w:name w:val="Estilo importado 10"/>
  </w:style>
  <w:style w:type="numbering" w:customStyle="1" w:styleId="List10">
    <w:name w:val="List 10"/>
    <w:basedOn w:val="Estiloimportado11"/>
    <w:pPr>
      <w:numPr>
        <w:numId w:val="9"/>
      </w:numPr>
    </w:pPr>
  </w:style>
  <w:style w:type="numbering" w:customStyle="1" w:styleId="Estiloimportado11">
    <w:name w:val="Estilo importado 11"/>
  </w:style>
  <w:style w:type="numbering" w:customStyle="1" w:styleId="List11">
    <w:name w:val="List 11"/>
    <w:basedOn w:val="Estiloimportado12"/>
    <w:pPr>
      <w:numPr>
        <w:numId w:val="10"/>
      </w:numPr>
    </w:pPr>
  </w:style>
  <w:style w:type="numbering" w:customStyle="1" w:styleId="Estiloimportado12">
    <w:name w:val="Estilo importado 12"/>
  </w:style>
  <w:style w:type="numbering" w:customStyle="1" w:styleId="List12">
    <w:name w:val="List 12"/>
    <w:basedOn w:val="Estiloimportado13"/>
    <w:pPr>
      <w:numPr>
        <w:numId w:val="39"/>
      </w:numPr>
    </w:pPr>
  </w:style>
  <w:style w:type="numbering" w:customStyle="1" w:styleId="Estiloimportado13">
    <w:name w:val="Estilo importado 13"/>
  </w:style>
  <w:style w:type="numbering" w:customStyle="1" w:styleId="List13">
    <w:name w:val="List 13"/>
    <w:basedOn w:val="Estiloimportado14"/>
    <w:pPr>
      <w:numPr>
        <w:numId w:val="45"/>
      </w:numPr>
    </w:pPr>
  </w:style>
  <w:style w:type="numbering" w:customStyle="1" w:styleId="Estiloimportado14">
    <w:name w:val="Estilo importado 14"/>
  </w:style>
  <w:style w:type="numbering" w:customStyle="1" w:styleId="List14">
    <w:name w:val="List 14"/>
    <w:basedOn w:val="Estiloimportado15"/>
    <w:pPr>
      <w:numPr>
        <w:numId w:val="20"/>
      </w:numPr>
    </w:pPr>
  </w:style>
  <w:style w:type="numbering" w:customStyle="1" w:styleId="Estiloimportado15">
    <w:name w:val="Estilo importado 15"/>
  </w:style>
  <w:style w:type="numbering" w:customStyle="1" w:styleId="List15">
    <w:name w:val="List 15"/>
    <w:basedOn w:val="Estiloimportado16"/>
    <w:pPr>
      <w:numPr>
        <w:numId w:val="19"/>
      </w:numPr>
    </w:pPr>
  </w:style>
  <w:style w:type="numbering" w:customStyle="1" w:styleId="Estiloimportado16">
    <w:name w:val="Estilo importado 16"/>
  </w:style>
  <w:style w:type="numbering" w:customStyle="1" w:styleId="List16">
    <w:name w:val="List 16"/>
    <w:basedOn w:val="Estiloimportado16"/>
    <w:pPr>
      <w:numPr>
        <w:numId w:val="13"/>
      </w:numPr>
    </w:pPr>
  </w:style>
  <w:style w:type="numbering" w:customStyle="1" w:styleId="List17">
    <w:name w:val="List 17"/>
    <w:basedOn w:val="Estiloimportado17"/>
    <w:pPr>
      <w:numPr>
        <w:numId w:val="28"/>
      </w:numPr>
    </w:pPr>
  </w:style>
  <w:style w:type="numbering" w:customStyle="1" w:styleId="Estiloimportado17">
    <w:name w:val="Estilo importado 17"/>
  </w:style>
  <w:style w:type="numbering" w:customStyle="1" w:styleId="List18">
    <w:name w:val="List 18"/>
    <w:basedOn w:val="Estiloimportado18"/>
    <w:pPr>
      <w:numPr>
        <w:numId w:val="30"/>
      </w:numPr>
    </w:pPr>
  </w:style>
  <w:style w:type="numbering" w:customStyle="1" w:styleId="Estiloimportado18">
    <w:name w:val="Estilo importado 18"/>
  </w:style>
  <w:style w:type="numbering" w:customStyle="1" w:styleId="List19">
    <w:name w:val="List 19"/>
    <w:basedOn w:val="Estiloimportado10"/>
    <w:pPr>
      <w:numPr>
        <w:numId w:val="22"/>
      </w:numPr>
    </w:pPr>
  </w:style>
  <w:style w:type="numbering" w:customStyle="1" w:styleId="List20">
    <w:name w:val="List 20"/>
    <w:basedOn w:val="Estiloimportado12"/>
    <w:pPr>
      <w:numPr>
        <w:numId w:val="46"/>
      </w:numPr>
    </w:pPr>
  </w:style>
  <w:style w:type="numbering" w:customStyle="1" w:styleId="List210">
    <w:name w:val="List 210"/>
    <w:basedOn w:val="Estiloimportado19"/>
    <w:pPr>
      <w:numPr>
        <w:numId w:val="41"/>
      </w:numPr>
    </w:pPr>
  </w:style>
  <w:style w:type="numbering" w:customStyle="1" w:styleId="Estiloimportado19">
    <w:name w:val="Estilo importado 19"/>
  </w:style>
  <w:style w:type="numbering" w:customStyle="1" w:styleId="List22">
    <w:name w:val="List 22"/>
    <w:basedOn w:val="Estiloimportado19"/>
    <w:pPr>
      <w:numPr>
        <w:numId w:val="31"/>
      </w:numPr>
    </w:pPr>
  </w:style>
  <w:style w:type="numbering" w:customStyle="1" w:styleId="List23">
    <w:name w:val="List 23"/>
    <w:basedOn w:val="Estiloimportado19"/>
    <w:pPr>
      <w:numPr>
        <w:numId w:val="21"/>
      </w:numPr>
    </w:pPr>
  </w:style>
  <w:style w:type="numbering" w:customStyle="1" w:styleId="List24">
    <w:name w:val="List 24"/>
    <w:basedOn w:val="Estiloimportado20"/>
    <w:pPr>
      <w:numPr>
        <w:numId w:val="16"/>
      </w:numPr>
    </w:pPr>
  </w:style>
  <w:style w:type="numbering" w:customStyle="1" w:styleId="Estiloimportado20">
    <w:name w:val="Estilo importado 20"/>
  </w:style>
  <w:style w:type="numbering" w:customStyle="1" w:styleId="List25">
    <w:name w:val="List 25"/>
    <w:basedOn w:val="Estiloimportado21"/>
    <w:pPr>
      <w:numPr>
        <w:numId w:val="18"/>
      </w:numPr>
    </w:pPr>
  </w:style>
  <w:style w:type="numbering" w:customStyle="1" w:styleId="Estiloimportado21">
    <w:name w:val="Estilo importado 21"/>
  </w:style>
  <w:style w:type="numbering" w:customStyle="1" w:styleId="List26">
    <w:name w:val="List 26"/>
    <w:basedOn w:val="Estiloimportado22"/>
    <w:pPr>
      <w:numPr>
        <w:numId w:val="52"/>
      </w:numPr>
    </w:pPr>
  </w:style>
  <w:style w:type="numbering" w:customStyle="1" w:styleId="Estiloimportado22">
    <w:name w:val="Estilo importado 22"/>
  </w:style>
  <w:style w:type="numbering" w:customStyle="1" w:styleId="List27">
    <w:name w:val="List 27"/>
    <w:basedOn w:val="Estiloimportado23"/>
    <w:pPr>
      <w:numPr>
        <w:numId w:val="44"/>
      </w:numPr>
    </w:pPr>
  </w:style>
  <w:style w:type="numbering" w:customStyle="1" w:styleId="Estiloimportado23">
    <w:name w:val="Estilo importado 23"/>
  </w:style>
  <w:style w:type="numbering" w:customStyle="1" w:styleId="List28">
    <w:name w:val="List 28"/>
    <w:basedOn w:val="Estiloimportado24"/>
    <w:pPr>
      <w:numPr>
        <w:numId w:val="33"/>
      </w:numPr>
    </w:pPr>
  </w:style>
  <w:style w:type="numbering" w:customStyle="1" w:styleId="Estiloimportado24">
    <w:name w:val="Estilo importado 24"/>
  </w:style>
  <w:style w:type="numbering" w:customStyle="1" w:styleId="List29">
    <w:name w:val="List 29"/>
    <w:basedOn w:val="Estiloimportado25"/>
    <w:pPr>
      <w:numPr>
        <w:numId w:val="37"/>
      </w:numPr>
    </w:pPr>
  </w:style>
  <w:style w:type="numbering" w:customStyle="1" w:styleId="Estiloimportado25">
    <w:name w:val="Estilo importado 25"/>
  </w:style>
  <w:style w:type="numbering" w:customStyle="1" w:styleId="List30">
    <w:name w:val="List 30"/>
    <w:basedOn w:val="Estiloimportado26"/>
    <w:pPr>
      <w:numPr>
        <w:numId w:val="35"/>
      </w:numPr>
    </w:pPr>
  </w:style>
  <w:style w:type="numbering" w:customStyle="1" w:styleId="Estiloimportado26">
    <w:name w:val="Estilo importado 26"/>
  </w:style>
  <w:style w:type="numbering" w:customStyle="1" w:styleId="List310">
    <w:name w:val="List 310"/>
    <w:basedOn w:val="Estiloimportado27"/>
    <w:pPr>
      <w:numPr>
        <w:numId w:val="48"/>
      </w:numPr>
    </w:pPr>
  </w:style>
  <w:style w:type="numbering" w:customStyle="1" w:styleId="Estiloimportado27">
    <w:name w:val="Estilo importado 27"/>
  </w:style>
  <w:style w:type="numbering" w:customStyle="1" w:styleId="List32">
    <w:name w:val="List 32"/>
    <w:basedOn w:val="Estiloimportado28"/>
    <w:pPr>
      <w:numPr>
        <w:numId w:val="5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9"/>
      </w:numPr>
    </w:pPr>
  </w:style>
  <w:style w:type="numbering" w:customStyle="1" w:styleId="Estiloimportado29">
    <w:name w:val="Estilo importado 29"/>
  </w:style>
  <w:style w:type="numbering" w:customStyle="1" w:styleId="List34">
    <w:name w:val="List 34"/>
    <w:basedOn w:val="Estiloimportado30"/>
    <w:pPr>
      <w:numPr>
        <w:numId w:val="14"/>
      </w:numPr>
    </w:pPr>
  </w:style>
  <w:style w:type="numbering" w:customStyle="1" w:styleId="Estiloimportado30">
    <w:name w:val="Estilo importado 30"/>
  </w:style>
  <w:style w:type="numbering" w:customStyle="1" w:styleId="List35">
    <w:name w:val="List 35"/>
    <w:basedOn w:val="Estiloimportado31"/>
    <w:pPr>
      <w:numPr>
        <w:numId w:val="11"/>
      </w:numPr>
    </w:pPr>
  </w:style>
  <w:style w:type="numbering" w:customStyle="1" w:styleId="Estiloimportado31">
    <w:name w:val="Estilo importado 31"/>
  </w:style>
  <w:style w:type="numbering" w:customStyle="1" w:styleId="List36">
    <w:name w:val="List 36"/>
    <w:basedOn w:val="Estiloimportado32"/>
    <w:pPr>
      <w:numPr>
        <w:numId w:val="17"/>
      </w:numPr>
    </w:pPr>
  </w:style>
  <w:style w:type="numbering" w:customStyle="1" w:styleId="Estiloimportado32">
    <w:name w:val="Estilo importado 32"/>
  </w:style>
  <w:style w:type="numbering" w:customStyle="1" w:styleId="List37">
    <w:name w:val="List 37"/>
    <w:basedOn w:val="Estiloimportado33"/>
    <w:pPr>
      <w:numPr>
        <w:numId w:val="50"/>
      </w:numPr>
    </w:pPr>
  </w:style>
  <w:style w:type="numbering" w:customStyle="1" w:styleId="Estiloimportado33">
    <w:name w:val="Estilo importado 33"/>
  </w:style>
  <w:style w:type="numbering" w:customStyle="1" w:styleId="List38">
    <w:name w:val="List 38"/>
    <w:basedOn w:val="Estiloimportado34"/>
    <w:pPr>
      <w:numPr>
        <w:numId w:val="38"/>
      </w:numPr>
    </w:pPr>
  </w:style>
  <w:style w:type="numbering" w:customStyle="1" w:styleId="Estiloimportado34">
    <w:name w:val="Estilo importado 34"/>
  </w:style>
  <w:style w:type="numbering" w:customStyle="1" w:styleId="List39">
    <w:name w:val="List 39"/>
    <w:basedOn w:val="Estiloimportado35"/>
    <w:pPr>
      <w:numPr>
        <w:numId w:val="49"/>
      </w:numPr>
    </w:pPr>
  </w:style>
  <w:style w:type="numbering" w:customStyle="1" w:styleId="Estiloimportado35">
    <w:name w:val="Estilo importado 35"/>
  </w:style>
  <w:style w:type="numbering" w:customStyle="1" w:styleId="List40">
    <w:name w:val="List 40"/>
    <w:basedOn w:val="Estiloimportado36"/>
    <w:pPr>
      <w:numPr>
        <w:numId w:val="24"/>
      </w:numPr>
    </w:pPr>
  </w:style>
  <w:style w:type="numbering" w:customStyle="1" w:styleId="Estiloimportado36">
    <w:name w:val="Estilo importado 36"/>
  </w:style>
  <w:style w:type="numbering" w:customStyle="1" w:styleId="List410">
    <w:name w:val="List 410"/>
    <w:basedOn w:val="Estiloimportado37"/>
    <w:pPr>
      <w:numPr>
        <w:numId w:val="47"/>
      </w:numPr>
    </w:pPr>
  </w:style>
  <w:style w:type="numbering" w:customStyle="1" w:styleId="Estiloimportado37">
    <w:name w:val="Estilo importado 37"/>
  </w:style>
  <w:style w:type="numbering" w:customStyle="1" w:styleId="List42">
    <w:name w:val="List 42"/>
    <w:basedOn w:val="Estiloimportado12"/>
    <w:pPr>
      <w:numPr>
        <w:numId w:val="15"/>
      </w:numPr>
    </w:pPr>
  </w:style>
  <w:style w:type="numbering" w:customStyle="1" w:styleId="List43">
    <w:name w:val="List 43"/>
    <w:basedOn w:val="Estiloimportado38"/>
    <w:pPr>
      <w:numPr>
        <w:numId w:val="26"/>
      </w:numPr>
    </w:pPr>
  </w:style>
  <w:style w:type="numbering" w:customStyle="1" w:styleId="Estiloimportado38">
    <w:name w:val="Estilo importado 38"/>
  </w:style>
  <w:style w:type="numbering" w:customStyle="1" w:styleId="List44">
    <w:name w:val="List 44"/>
    <w:basedOn w:val="Estiloimportado39"/>
    <w:pPr>
      <w:numPr>
        <w:numId w:val="43"/>
      </w:numPr>
    </w:pPr>
  </w:style>
  <w:style w:type="numbering" w:customStyle="1" w:styleId="Estiloimportado39">
    <w:name w:val="Estilo importado 39"/>
  </w:style>
  <w:style w:type="numbering" w:customStyle="1" w:styleId="List45">
    <w:name w:val="List 45"/>
    <w:basedOn w:val="Estiloimportado40"/>
    <w:pPr>
      <w:numPr>
        <w:numId w:val="23"/>
      </w:numPr>
    </w:pPr>
  </w:style>
  <w:style w:type="numbering" w:customStyle="1" w:styleId="Estiloimportado40">
    <w:name w:val="Estilo importado 40"/>
  </w:style>
  <w:style w:type="numbering" w:customStyle="1" w:styleId="List46">
    <w:name w:val="List 46"/>
    <w:basedOn w:val="Estiloimportado41"/>
    <w:pPr>
      <w:numPr>
        <w:numId w:val="27"/>
      </w:numPr>
    </w:pPr>
  </w:style>
  <w:style w:type="numbering" w:customStyle="1" w:styleId="Estiloimportado41">
    <w:name w:val="Estilo importado 41"/>
  </w:style>
  <w:style w:type="numbering" w:customStyle="1" w:styleId="List47">
    <w:name w:val="List 47"/>
    <w:basedOn w:val="Estiloimportado42"/>
    <w:pPr>
      <w:numPr>
        <w:numId w:val="32"/>
      </w:numPr>
    </w:pPr>
  </w:style>
  <w:style w:type="numbering" w:customStyle="1" w:styleId="Estiloimportado42">
    <w:name w:val="Estilo importado 42"/>
  </w:style>
  <w:style w:type="numbering" w:customStyle="1" w:styleId="List48">
    <w:name w:val="List 48"/>
    <w:basedOn w:val="Estiloimportado43"/>
    <w:pPr>
      <w:numPr>
        <w:numId w:val="53"/>
      </w:numPr>
    </w:pPr>
  </w:style>
  <w:style w:type="numbering" w:customStyle="1" w:styleId="Estiloimportado43">
    <w:name w:val="Estilo importado 43"/>
  </w:style>
  <w:style w:type="numbering" w:customStyle="1" w:styleId="List49">
    <w:name w:val="List 49"/>
    <w:basedOn w:val="Estiloimportado44"/>
    <w:pPr>
      <w:numPr>
        <w:numId w:val="42"/>
      </w:numPr>
    </w:pPr>
  </w:style>
  <w:style w:type="numbering" w:customStyle="1" w:styleId="Estiloimportado44">
    <w:name w:val="Estilo importado 44"/>
  </w:style>
  <w:style w:type="numbering" w:customStyle="1" w:styleId="List50">
    <w:name w:val="List 50"/>
    <w:basedOn w:val="Estiloimportado45"/>
    <w:pPr>
      <w:numPr>
        <w:numId w:val="40"/>
      </w:numPr>
    </w:pPr>
  </w:style>
  <w:style w:type="numbering" w:customStyle="1" w:styleId="Estiloimportado45">
    <w:name w:val="Estilo importado 45"/>
  </w:style>
  <w:style w:type="numbering" w:customStyle="1" w:styleId="List510">
    <w:name w:val="List 510"/>
    <w:basedOn w:val="Estiloimportado46"/>
    <w:pPr>
      <w:numPr>
        <w:numId w:val="36"/>
      </w:numPr>
    </w:pPr>
  </w:style>
  <w:style w:type="numbering" w:customStyle="1" w:styleId="Estiloimportado46">
    <w:name w:val="Estilo importado 46"/>
  </w:style>
  <w:style w:type="numbering" w:customStyle="1" w:styleId="List52">
    <w:name w:val="List 52"/>
    <w:basedOn w:val="Estiloimportado1"/>
    <w:pPr>
      <w:numPr>
        <w:numId w:val="1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CE3"/>
    <w:rPr>
      <w:sz w:val="16"/>
      <w:szCs w:val="16"/>
    </w:rPr>
  </w:style>
  <w:style w:type="paragraph" w:styleId="CommentText">
    <w:name w:val="annotation text"/>
    <w:basedOn w:val="Normal"/>
    <w:link w:val="CommentTextChar"/>
    <w:uiPriority w:val="99"/>
    <w:unhideWhenUsed/>
    <w:rsid w:val="00D44CE3"/>
    <w:rPr>
      <w:sz w:val="20"/>
      <w:szCs w:val="20"/>
    </w:rPr>
  </w:style>
  <w:style w:type="character" w:customStyle="1" w:styleId="CommentTextChar">
    <w:name w:val="Comment Text Char"/>
    <w:basedOn w:val="DefaultParagraphFont"/>
    <w:link w:val="CommentText"/>
    <w:uiPriority w:val="99"/>
    <w:rsid w:val="00D44CE3"/>
    <w:rPr>
      <w:lang w:val="en-US" w:eastAsia="en-US"/>
    </w:rPr>
  </w:style>
  <w:style w:type="paragraph" w:styleId="CommentSubject">
    <w:name w:val="annotation subject"/>
    <w:basedOn w:val="CommentText"/>
    <w:next w:val="CommentText"/>
    <w:link w:val="CommentSubjectChar"/>
    <w:uiPriority w:val="99"/>
    <w:semiHidden/>
    <w:unhideWhenUsed/>
    <w:rsid w:val="00D44CE3"/>
    <w:rPr>
      <w:b/>
      <w:bCs/>
    </w:rPr>
  </w:style>
  <w:style w:type="character" w:customStyle="1" w:styleId="CommentSubjectChar">
    <w:name w:val="Comment Subject Char"/>
    <w:basedOn w:val="CommentTextChar"/>
    <w:link w:val="CommentSubject"/>
    <w:uiPriority w:val="99"/>
    <w:semiHidden/>
    <w:rsid w:val="00D44CE3"/>
    <w:rPr>
      <w:b/>
      <w:bCs/>
      <w:lang w:val="en-US" w:eastAsia="en-US"/>
    </w:rPr>
  </w:style>
  <w:style w:type="character" w:customStyle="1" w:styleId="normaltextrun">
    <w:name w:val="normaltextrun"/>
    <w:basedOn w:val="DefaultParagraphFont"/>
    <w:rsid w:val="004D4D8E"/>
  </w:style>
  <w:style w:type="character" w:customStyle="1" w:styleId="eop">
    <w:name w:val="eop"/>
    <w:basedOn w:val="DefaultParagraphFont"/>
    <w:rsid w:val="004D4D8E"/>
  </w:style>
  <w:style w:type="paragraph" w:styleId="Revision">
    <w:name w:val="Revision"/>
    <w:hidden/>
    <w:uiPriority w:val="99"/>
    <w:semiHidden/>
    <w:rsid w:val="00EA3C2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0B3E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paragraph">
    <w:name w:val="paragraph"/>
    <w:basedOn w:val="Normal"/>
    <w:rsid w:val="00B302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0229109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90281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292A"/>
    <w:rsid w:val="001B70B3"/>
    <w:rsid w:val="00200821"/>
    <w:rsid w:val="00244867"/>
    <w:rsid w:val="0025245B"/>
    <w:rsid w:val="00266104"/>
    <w:rsid w:val="002A3923"/>
    <w:rsid w:val="002C4358"/>
    <w:rsid w:val="00394049"/>
    <w:rsid w:val="003B0C71"/>
    <w:rsid w:val="0043064F"/>
    <w:rsid w:val="004B5BBB"/>
    <w:rsid w:val="004E76F4"/>
    <w:rsid w:val="004F2DF8"/>
    <w:rsid w:val="00517E2A"/>
    <w:rsid w:val="005547BF"/>
    <w:rsid w:val="006D3128"/>
    <w:rsid w:val="006F24A1"/>
    <w:rsid w:val="00703A91"/>
    <w:rsid w:val="0077645F"/>
    <w:rsid w:val="00875B8A"/>
    <w:rsid w:val="008953BC"/>
    <w:rsid w:val="0098203D"/>
    <w:rsid w:val="009A261B"/>
    <w:rsid w:val="009F6778"/>
    <w:rsid w:val="00A2510F"/>
    <w:rsid w:val="00AA2E17"/>
    <w:rsid w:val="00AC15A4"/>
    <w:rsid w:val="00AE53B1"/>
    <w:rsid w:val="00B0336C"/>
    <w:rsid w:val="00C3088B"/>
    <w:rsid w:val="00C52B3D"/>
    <w:rsid w:val="00C614FC"/>
    <w:rsid w:val="00D241E9"/>
    <w:rsid w:val="00D7750D"/>
    <w:rsid w:val="00D777BD"/>
    <w:rsid w:val="00DC7FCA"/>
    <w:rsid w:val="00E843A8"/>
    <w:rsid w:val="00ED0AB4"/>
    <w:rsid w:val="00F00D2F"/>
    <w:rsid w:val="00F128DF"/>
    <w:rsid w:val="00F3222D"/>
    <w:rsid w:val="00F96561"/>
    <w:rsid w:val="00FC7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61B34-D4E4-4F79-A2E9-F610B3B9602F}">
  <ds:schemaRefs>
    <ds:schemaRef ds:uri="http://schemas.openxmlformats.org/officeDocument/2006/bibliography"/>
  </ds:schemaRefs>
</ds:datastoreItem>
</file>

<file path=customXml/itemProps2.xml><?xml version="1.0" encoding="utf-8"?>
<ds:datastoreItem xmlns:ds="http://schemas.openxmlformats.org/officeDocument/2006/customXml" ds:itemID="{C1ED2C42-1205-4C6E-AA6C-B08F74D9F6D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3DA2C152-F934-472B-86B8-AA33C1B799CD}">
  <ds:schemaRefs>
    <ds:schemaRef ds:uri="http://schemas.microsoft.com/sharepoint/v3/contenttype/forms"/>
  </ds:schemaRefs>
</ds:datastoreItem>
</file>

<file path=customXml/itemProps4.xml><?xml version="1.0" encoding="utf-8"?>
<ds:datastoreItem xmlns:ds="http://schemas.openxmlformats.org/officeDocument/2006/customXml" ds:itemID="{17779D5D-17E6-483E-A117-F017FF992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3070</Words>
  <Characters>17503</Characters>
  <Application>Microsoft Office Word</Application>
  <DocSecurity>0</DocSecurity>
  <Lines>145</Lines>
  <Paragraphs>41</Paragraphs>
  <ScaleCrop>false</ScaleCrop>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2025-10-17T15:42:00Z</dcterms:created>
  <dcterms:modified xsi:type="dcterms:W3CDTF">2025-10-17T15:42:00Z</dcterms:modified>
</cp:coreProperties>
</file>