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D7B173">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27767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4B209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6893">
                              <w:rPr>
                                <w:rFonts w:asciiTheme="majorHAnsi" w:hAnsiTheme="majorHAnsi" w:cs="Arial"/>
                                <w:b/>
                                <w:bCs/>
                                <w:color w:val="0D0D0D" w:themeColor="text1" w:themeTint="F2"/>
                                <w:sz w:val="36"/>
                                <w:szCs w:val="22"/>
                                <w:lang w:val="es-ES_tradnl"/>
                              </w:rPr>
                              <w:t>142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22F7C">
                              <w:rPr>
                                <w:rFonts w:asciiTheme="majorHAnsi" w:hAnsiTheme="majorHAnsi" w:cs="Arial"/>
                                <w:b/>
                                <w:bCs/>
                                <w:color w:val="0D0D0D" w:themeColor="text1" w:themeTint="F2"/>
                                <w:sz w:val="36"/>
                                <w:szCs w:val="22"/>
                                <w:lang w:val="es-ES_tradnl"/>
                              </w:rPr>
                              <w:t>5</w:t>
                            </w:r>
                          </w:p>
                          <w:p w14:paraId="45F30ECA" w14:textId="0561AD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30C5">
                              <w:rPr>
                                <w:rFonts w:asciiTheme="majorHAnsi" w:hAnsiTheme="majorHAnsi" w:cs="Arial"/>
                                <w:b/>
                                <w:color w:val="0D0D0D" w:themeColor="text1" w:themeTint="F2"/>
                                <w:sz w:val="36"/>
                                <w:szCs w:val="22"/>
                                <w:lang w:val="es-ES_tradnl"/>
                              </w:rPr>
                              <w:t>1759-15</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75C31332" w:rsidR="00A72E93" w:rsidRDefault="00041B2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ANTONIO PARRAL RADABÁN Y FAMILIARES</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4B209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16893">
                        <w:rPr>
                          <w:rFonts w:asciiTheme="majorHAnsi" w:hAnsiTheme="majorHAnsi" w:cs="Arial"/>
                          <w:b/>
                          <w:bCs/>
                          <w:color w:val="0D0D0D" w:themeColor="text1" w:themeTint="F2"/>
                          <w:sz w:val="36"/>
                          <w:szCs w:val="22"/>
                          <w:lang w:val="es-ES_tradnl"/>
                        </w:rPr>
                        <w:t>142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222F7C">
                        <w:rPr>
                          <w:rFonts w:asciiTheme="majorHAnsi" w:hAnsiTheme="majorHAnsi" w:cs="Arial"/>
                          <w:b/>
                          <w:bCs/>
                          <w:color w:val="0D0D0D" w:themeColor="text1" w:themeTint="F2"/>
                          <w:sz w:val="36"/>
                          <w:szCs w:val="22"/>
                          <w:lang w:val="es-ES_tradnl"/>
                        </w:rPr>
                        <w:t>5</w:t>
                      </w:r>
                    </w:p>
                    <w:p w14:paraId="45F30ECA" w14:textId="0561AD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30C5">
                        <w:rPr>
                          <w:rFonts w:asciiTheme="majorHAnsi" w:hAnsiTheme="majorHAnsi" w:cs="Arial"/>
                          <w:b/>
                          <w:color w:val="0D0D0D" w:themeColor="text1" w:themeTint="F2"/>
                          <w:sz w:val="36"/>
                          <w:szCs w:val="22"/>
                          <w:lang w:val="es-ES_tradnl"/>
                        </w:rPr>
                        <w:t>1759-15</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75C31332" w:rsidR="00A72E93" w:rsidRDefault="00041B26"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ANTONIO PARRAL RADABÁN Y FAMILIARES</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0E8952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915B231" w:rsidR="00627C9F" w:rsidRPr="00EC57AF" w:rsidRDefault="00627C9F" w:rsidP="007A5817">
                            <w:pPr>
                              <w:spacing w:line="276" w:lineRule="auto"/>
                              <w:jc w:val="right"/>
                              <w:rPr>
                                <w:rFonts w:asciiTheme="minorHAnsi" w:hAnsiTheme="minorHAnsi"/>
                                <w:color w:val="FFFFFF" w:themeColor="background1"/>
                                <w:sz w:val="22"/>
                                <w:lang w:val="pt-BR"/>
                              </w:rPr>
                            </w:pPr>
                            <w:r w:rsidRPr="00EC57AF">
                              <w:rPr>
                                <w:rFonts w:asciiTheme="minorHAnsi" w:hAnsiTheme="minorHAnsi"/>
                                <w:color w:val="FFFFFF" w:themeColor="background1"/>
                                <w:sz w:val="22"/>
                                <w:lang w:val="pt-BR"/>
                              </w:rPr>
                              <w:t xml:space="preserve">Doc. </w:t>
                            </w:r>
                            <w:r w:rsidR="00216893" w:rsidRPr="00EC57AF">
                              <w:rPr>
                                <w:rFonts w:asciiTheme="minorHAnsi" w:hAnsiTheme="minorHAnsi"/>
                                <w:color w:val="FFFFFF" w:themeColor="background1"/>
                                <w:sz w:val="22"/>
                                <w:lang w:val="pt-BR"/>
                              </w:rPr>
                              <w:t>153</w:t>
                            </w:r>
                          </w:p>
                          <w:p w14:paraId="4061DBBD" w14:textId="37452CD6" w:rsidR="00627C9F" w:rsidRPr="00EC57AF" w:rsidRDefault="00216893" w:rsidP="007A5817">
                            <w:pPr>
                              <w:spacing w:line="276" w:lineRule="auto"/>
                              <w:jc w:val="right"/>
                              <w:rPr>
                                <w:rFonts w:asciiTheme="minorHAnsi" w:hAnsiTheme="minorHAnsi"/>
                                <w:color w:val="FFFFFF" w:themeColor="background1"/>
                                <w:sz w:val="22"/>
                                <w:lang w:val="pt-BR"/>
                              </w:rPr>
                            </w:pPr>
                            <w:r w:rsidRPr="00EC57AF">
                              <w:rPr>
                                <w:rFonts w:asciiTheme="minorHAnsi" w:hAnsiTheme="minorHAnsi"/>
                                <w:color w:val="FFFFFF" w:themeColor="background1"/>
                                <w:sz w:val="22"/>
                                <w:lang w:val="pt-BR"/>
                              </w:rPr>
                              <w:t>8 agosto</w:t>
                            </w:r>
                            <w:r w:rsidR="00627C9F" w:rsidRPr="00EC57AF">
                              <w:rPr>
                                <w:rFonts w:asciiTheme="minorHAnsi" w:hAnsiTheme="minorHAnsi"/>
                                <w:color w:val="FFFFFF" w:themeColor="background1"/>
                                <w:sz w:val="22"/>
                                <w:lang w:val="pt-BR"/>
                              </w:rPr>
                              <w:t xml:space="preserve"> 20</w:t>
                            </w:r>
                            <w:r w:rsidR="00C23BA4" w:rsidRPr="00EC57AF">
                              <w:rPr>
                                <w:rFonts w:asciiTheme="minorHAnsi" w:hAnsiTheme="minorHAnsi"/>
                                <w:color w:val="FFFFFF" w:themeColor="background1"/>
                                <w:sz w:val="22"/>
                                <w:lang w:val="pt-BR"/>
                              </w:rPr>
                              <w:t>2</w:t>
                            </w:r>
                            <w:r w:rsidR="00222F7C" w:rsidRPr="00EC57AF">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0E8952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915B231" w:rsidR="00627C9F" w:rsidRPr="00EC57AF" w:rsidRDefault="00627C9F" w:rsidP="007A5817">
                      <w:pPr>
                        <w:spacing w:line="276" w:lineRule="auto"/>
                        <w:jc w:val="right"/>
                        <w:rPr>
                          <w:rFonts w:asciiTheme="minorHAnsi" w:hAnsiTheme="minorHAnsi"/>
                          <w:color w:val="FFFFFF" w:themeColor="background1"/>
                          <w:sz w:val="22"/>
                          <w:lang w:val="pt-BR"/>
                        </w:rPr>
                      </w:pPr>
                      <w:r w:rsidRPr="00EC57AF">
                        <w:rPr>
                          <w:rFonts w:asciiTheme="minorHAnsi" w:hAnsiTheme="minorHAnsi"/>
                          <w:color w:val="FFFFFF" w:themeColor="background1"/>
                          <w:sz w:val="22"/>
                          <w:lang w:val="pt-BR"/>
                        </w:rPr>
                        <w:t xml:space="preserve">Doc. </w:t>
                      </w:r>
                      <w:r w:rsidR="00216893" w:rsidRPr="00EC57AF">
                        <w:rPr>
                          <w:rFonts w:asciiTheme="minorHAnsi" w:hAnsiTheme="minorHAnsi"/>
                          <w:color w:val="FFFFFF" w:themeColor="background1"/>
                          <w:sz w:val="22"/>
                          <w:lang w:val="pt-BR"/>
                        </w:rPr>
                        <w:t>153</w:t>
                      </w:r>
                    </w:p>
                    <w:p w14:paraId="4061DBBD" w14:textId="37452CD6" w:rsidR="00627C9F" w:rsidRPr="00EC57AF" w:rsidRDefault="00216893" w:rsidP="007A5817">
                      <w:pPr>
                        <w:spacing w:line="276" w:lineRule="auto"/>
                        <w:jc w:val="right"/>
                        <w:rPr>
                          <w:rFonts w:asciiTheme="minorHAnsi" w:hAnsiTheme="minorHAnsi"/>
                          <w:color w:val="FFFFFF" w:themeColor="background1"/>
                          <w:sz w:val="22"/>
                          <w:lang w:val="pt-BR"/>
                        </w:rPr>
                      </w:pPr>
                      <w:r w:rsidRPr="00EC57AF">
                        <w:rPr>
                          <w:rFonts w:asciiTheme="minorHAnsi" w:hAnsiTheme="minorHAnsi"/>
                          <w:color w:val="FFFFFF" w:themeColor="background1"/>
                          <w:sz w:val="22"/>
                          <w:lang w:val="pt-BR"/>
                        </w:rPr>
                        <w:t>8 agosto</w:t>
                      </w:r>
                      <w:r w:rsidR="00627C9F" w:rsidRPr="00EC57AF">
                        <w:rPr>
                          <w:rFonts w:asciiTheme="minorHAnsi" w:hAnsiTheme="minorHAnsi"/>
                          <w:color w:val="FFFFFF" w:themeColor="background1"/>
                          <w:sz w:val="22"/>
                          <w:lang w:val="pt-BR"/>
                        </w:rPr>
                        <w:t xml:space="preserve"> 20</w:t>
                      </w:r>
                      <w:r w:rsidR="00C23BA4" w:rsidRPr="00EC57AF">
                        <w:rPr>
                          <w:rFonts w:asciiTheme="minorHAnsi" w:hAnsiTheme="minorHAnsi"/>
                          <w:color w:val="FFFFFF" w:themeColor="background1"/>
                          <w:sz w:val="22"/>
                          <w:lang w:val="pt-BR"/>
                        </w:rPr>
                        <w:t>2</w:t>
                      </w:r>
                      <w:r w:rsidR="00222F7C" w:rsidRPr="00EC57AF">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4A452D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C57AF">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C57A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22F7C">
                              <w:rPr>
                                <w:rFonts w:asciiTheme="majorHAnsi" w:hAnsiTheme="majorHAnsi"/>
                                <w:color w:val="0D0D0D" w:themeColor="text1" w:themeTint="F2"/>
                                <w:sz w:val="18"/>
                                <w:szCs w:val="22"/>
                                <w:lang w:val="es-ES"/>
                              </w:rPr>
                              <w:t>5</w:t>
                            </w:r>
                            <w:r w:rsidR="00EC57A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4A452D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C57AF">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EC57A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22F7C">
                        <w:rPr>
                          <w:rFonts w:asciiTheme="majorHAnsi" w:hAnsiTheme="majorHAnsi"/>
                          <w:color w:val="0D0D0D" w:themeColor="text1" w:themeTint="F2"/>
                          <w:sz w:val="18"/>
                          <w:szCs w:val="22"/>
                          <w:lang w:val="es-ES"/>
                        </w:rPr>
                        <w:t>5</w:t>
                      </w:r>
                      <w:r w:rsidR="00EC57A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5681" w14:textId="77777777" w:rsidR="00EC57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57AF" w:rsidRPr="00EC57AF">
                              <w:rPr>
                                <w:rFonts w:asciiTheme="majorHAnsi" w:hAnsiTheme="majorHAnsi"/>
                                <w:color w:val="595959" w:themeColor="text1" w:themeTint="A6"/>
                                <w:sz w:val="18"/>
                                <w:szCs w:val="18"/>
                                <w:lang w:val="pt-BR"/>
                              </w:rPr>
                              <w:t>142</w:t>
                            </w:r>
                            <w:r w:rsidR="007B05C4" w:rsidRPr="00EC57AF">
                              <w:rPr>
                                <w:rFonts w:asciiTheme="majorHAnsi" w:hAnsiTheme="majorHAnsi"/>
                                <w:color w:val="595959" w:themeColor="text1" w:themeTint="A6"/>
                                <w:sz w:val="18"/>
                                <w:szCs w:val="18"/>
                                <w:lang w:val="pt-BR"/>
                              </w:rPr>
                              <w:t>/</w:t>
                            </w:r>
                            <w:r w:rsidR="00EC57AF" w:rsidRPr="00EC57AF">
                              <w:rPr>
                                <w:rFonts w:asciiTheme="majorHAnsi" w:hAnsiTheme="majorHAnsi"/>
                                <w:color w:val="595959" w:themeColor="text1" w:themeTint="A6"/>
                                <w:sz w:val="18"/>
                                <w:szCs w:val="18"/>
                                <w:lang w:val="pt-BR"/>
                              </w:rPr>
                              <w:t>25</w:t>
                            </w:r>
                            <w:r w:rsidRPr="00EC57A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2038">
                              <w:rPr>
                                <w:rFonts w:asciiTheme="majorHAnsi" w:hAnsiTheme="majorHAnsi"/>
                                <w:color w:val="595959" w:themeColor="text1" w:themeTint="A6"/>
                                <w:sz w:val="18"/>
                                <w:szCs w:val="18"/>
                                <w:lang w:val="es-ES"/>
                              </w:rPr>
                              <w:t>1759-15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3EE8DED" w:rsidR="00113F73" w:rsidRPr="007B05C4" w:rsidRDefault="0035203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Antonio Parral Radabán y familiares</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6B5965">
                              <w:rPr>
                                <w:rFonts w:asciiTheme="majorHAnsi" w:hAnsiTheme="majorHAnsi"/>
                                <w:color w:val="595959" w:themeColor="text1" w:themeTint="A6"/>
                                <w:sz w:val="18"/>
                                <w:szCs w:val="18"/>
                                <w:lang w:val="es-ES_tradnl"/>
                              </w:rPr>
                              <w:t>Mexico</w:t>
                            </w:r>
                            <w:r w:rsidR="00113F73" w:rsidRPr="00890650">
                              <w:rPr>
                                <w:rFonts w:asciiTheme="majorHAnsi" w:hAnsiTheme="majorHAnsi"/>
                                <w:color w:val="595959" w:themeColor="text1" w:themeTint="A6"/>
                                <w:sz w:val="18"/>
                                <w:szCs w:val="18"/>
                                <w:lang w:val="es-ES_tradnl"/>
                              </w:rPr>
                              <w:t xml:space="preserve">. </w:t>
                            </w:r>
                            <w:r w:rsidR="00EC57AF">
                              <w:rPr>
                                <w:rFonts w:asciiTheme="majorHAnsi" w:hAnsiTheme="majorHAnsi"/>
                                <w:color w:val="595959" w:themeColor="text1" w:themeTint="A6"/>
                                <w:sz w:val="18"/>
                                <w:szCs w:val="18"/>
                                <w:lang w:val="es-ES"/>
                              </w:rPr>
                              <w:t>8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EA65681" w14:textId="77777777" w:rsidR="00EC57AF"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57AF" w:rsidRPr="00EC57AF">
                        <w:rPr>
                          <w:rFonts w:asciiTheme="majorHAnsi" w:hAnsiTheme="majorHAnsi"/>
                          <w:color w:val="595959" w:themeColor="text1" w:themeTint="A6"/>
                          <w:sz w:val="18"/>
                          <w:szCs w:val="18"/>
                          <w:lang w:val="pt-BR"/>
                        </w:rPr>
                        <w:t>142</w:t>
                      </w:r>
                      <w:r w:rsidR="007B05C4" w:rsidRPr="00EC57AF">
                        <w:rPr>
                          <w:rFonts w:asciiTheme="majorHAnsi" w:hAnsiTheme="majorHAnsi"/>
                          <w:color w:val="595959" w:themeColor="text1" w:themeTint="A6"/>
                          <w:sz w:val="18"/>
                          <w:szCs w:val="18"/>
                          <w:lang w:val="pt-BR"/>
                        </w:rPr>
                        <w:t>/</w:t>
                      </w:r>
                      <w:r w:rsidR="00EC57AF" w:rsidRPr="00EC57AF">
                        <w:rPr>
                          <w:rFonts w:asciiTheme="majorHAnsi" w:hAnsiTheme="majorHAnsi"/>
                          <w:color w:val="595959" w:themeColor="text1" w:themeTint="A6"/>
                          <w:sz w:val="18"/>
                          <w:szCs w:val="18"/>
                          <w:lang w:val="pt-BR"/>
                        </w:rPr>
                        <w:t>25</w:t>
                      </w:r>
                      <w:r w:rsidRPr="00EC57A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52038">
                        <w:rPr>
                          <w:rFonts w:asciiTheme="majorHAnsi" w:hAnsiTheme="majorHAnsi"/>
                          <w:color w:val="595959" w:themeColor="text1" w:themeTint="A6"/>
                          <w:sz w:val="18"/>
                          <w:szCs w:val="18"/>
                          <w:lang w:val="es-ES"/>
                        </w:rPr>
                        <w:t>1759-15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3EE8DED" w:rsidR="00113F73" w:rsidRPr="007B05C4" w:rsidRDefault="0035203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Antonio Parral Radabán y familiares</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6B5965">
                        <w:rPr>
                          <w:rFonts w:asciiTheme="majorHAnsi" w:hAnsiTheme="majorHAnsi"/>
                          <w:color w:val="595959" w:themeColor="text1" w:themeTint="A6"/>
                          <w:sz w:val="18"/>
                          <w:szCs w:val="18"/>
                          <w:lang w:val="es-ES_tradnl"/>
                        </w:rPr>
                        <w:t>Mexico</w:t>
                      </w:r>
                      <w:r w:rsidR="00113F73" w:rsidRPr="00890650">
                        <w:rPr>
                          <w:rFonts w:asciiTheme="majorHAnsi" w:hAnsiTheme="majorHAnsi"/>
                          <w:color w:val="595959" w:themeColor="text1" w:themeTint="A6"/>
                          <w:sz w:val="18"/>
                          <w:szCs w:val="18"/>
                          <w:lang w:val="es-ES_tradnl"/>
                        </w:rPr>
                        <w:t xml:space="preserve">. </w:t>
                      </w:r>
                      <w:r w:rsidR="00EC57AF">
                        <w:rPr>
                          <w:rFonts w:asciiTheme="majorHAnsi" w:hAnsiTheme="majorHAnsi"/>
                          <w:color w:val="595959" w:themeColor="text1" w:themeTint="A6"/>
                          <w:sz w:val="18"/>
                          <w:szCs w:val="18"/>
                          <w:lang w:val="es-ES"/>
                        </w:rPr>
                        <w:t>8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6BFB686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7683D4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6E07DCD" w:rsidR="0070697F" w:rsidRDefault="00864471" w:rsidP="005516A1">
      <w:pPr>
        <w:tabs>
          <w:tab w:val="center" w:pos="5400"/>
        </w:tabs>
        <w:suppressAutoHyphens/>
        <w:jc w:val="center"/>
        <w:rPr>
          <w:rFonts w:asciiTheme="majorHAnsi" w:hAnsiTheme="majorHAnsi"/>
          <w:b/>
          <w:sz w:val="20"/>
          <w:lang w:val="es-ES_tradnl"/>
        </w:rPr>
        <w:sectPr w:rsidR="0070697F" w:rsidSect="00171861">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412B6914">
                <wp:simplePos x="0" y="0"/>
                <wp:positionH relativeFrom="column">
                  <wp:posOffset>1253794</wp:posOffset>
                </wp:positionH>
                <wp:positionV relativeFrom="paragraph">
                  <wp:posOffset>489585</wp:posOffset>
                </wp:positionV>
                <wp:extent cx="4096385" cy="611035"/>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1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6C091C1" w:rsidR="00D72DC6" w:rsidRPr="00D72DC6" w:rsidRDefault="008644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4A47A5E" wp14:editId="2A0C274D">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98.7pt;margin-top:38.55pt;width:322.55pt;height:48.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" fillcolor="white [3201]" stroked="f" strokeweight=".5pt">
                <v:textbox>
                  <w:txbxContent>
                    <w:p w14:paraId="16E85441" w14:textId="46C091C1" w:rsidR="00D72DC6" w:rsidRPr="00D72DC6" w:rsidRDefault="0086447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4A47A5E" wp14:editId="2A0C274D">
                            <wp:extent cx="2073349" cy="567509"/>
                            <wp:effectExtent l="0" t="0" r="3175" b="4445"/>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32059" cy="583579"/>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4E1374"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4E1374">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842F1"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Parte peticionaria:</w:t>
            </w:r>
          </w:p>
        </w:tc>
        <w:tc>
          <w:tcPr>
            <w:tcW w:w="5760" w:type="dxa"/>
            <w:vAlign w:val="center"/>
          </w:tcPr>
          <w:p w14:paraId="07DAAE2E" w14:textId="06485B93" w:rsidR="003239B8" w:rsidRPr="004E1374" w:rsidRDefault="00041B26">
            <w:pPr>
              <w:jc w:val="both"/>
              <w:rPr>
                <w:rFonts w:ascii="Cambria" w:hAnsi="Cambria"/>
                <w:bCs/>
                <w:sz w:val="20"/>
                <w:szCs w:val="20"/>
                <w:lang w:val="es-ES"/>
              </w:rPr>
            </w:pPr>
            <w:r w:rsidRPr="004E1374">
              <w:rPr>
                <w:rFonts w:ascii="Cambria" w:hAnsi="Cambria"/>
                <w:bCs/>
                <w:sz w:val="20"/>
                <w:szCs w:val="20"/>
                <w:lang w:val="es-ES"/>
              </w:rPr>
              <w:t>Jesica Alethia Parral Radab</w:t>
            </w:r>
            <w:r w:rsidR="00820551">
              <w:rPr>
                <w:rFonts w:ascii="Cambria" w:hAnsi="Cambria"/>
                <w:bCs/>
                <w:sz w:val="20"/>
                <w:szCs w:val="20"/>
                <w:lang w:val="es-ES"/>
              </w:rPr>
              <w:t>á</w:t>
            </w:r>
            <w:r w:rsidRPr="004E1374">
              <w:rPr>
                <w:rFonts w:ascii="Cambria" w:hAnsi="Cambria"/>
                <w:bCs/>
                <w:sz w:val="20"/>
                <w:szCs w:val="20"/>
                <w:lang w:val="es-ES"/>
              </w:rPr>
              <w:t xml:space="preserve">n, Jorge Lorenzo Parral Gutiérrez, </w:t>
            </w:r>
            <w:r w:rsidR="009E78E5" w:rsidRPr="004E1374">
              <w:rPr>
                <w:rFonts w:ascii="Cambria" w:hAnsi="Cambria"/>
                <w:bCs/>
                <w:sz w:val="20"/>
                <w:szCs w:val="20"/>
                <w:lang w:val="es-ES"/>
              </w:rPr>
              <w:t xml:space="preserve">y la </w:t>
            </w:r>
            <w:r w:rsidRPr="004E1374">
              <w:rPr>
                <w:rFonts w:ascii="Cambria" w:hAnsi="Cambria"/>
                <w:bCs/>
                <w:sz w:val="20"/>
                <w:szCs w:val="20"/>
                <w:lang w:val="es-ES"/>
              </w:rPr>
              <w:t>Comisión Mexicana de Defensa y Promoción de los Derechos Humanos</w:t>
            </w:r>
          </w:p>
        </w:tc>
      </w:tr>
      <w:tr w:rsidR="003239B8" w:rsidRPr="00D842F1"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4E1374" w:rsidRDefault="00D3044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4E1374">
                  <w:rPr>
                    <w:rFonts w:ascii="Cambria" w:hAnsi="Cambria"/>
                    <w:b/>
                    <w:bCs/>
                    <w:color w:val="FFFFFF" w:themeColor="background1"/>
                    <w:sz w:val="20"/>
                    <w:szCs w:val="20"/>
                    <w:lang w:val="es-ES"/>
                  </w:rPr>
                  <w:t>Presunta víctima</w:t>
                </w:r>
              </w:sdtContent>
            </w:sdt>
            <w:r w:rsidR="003239B8" w:rsidRPr="004E1374">
              <w:rPr>
                <w:rFonts w:ascii="Cambria" w:hAnsi="Cambria"/>
                <w:b/>
                <w:bCs/>
                <w:color w:val="FFFFFF" w:themeColor="background1"/>
                <w:sz w:val="20"/>
                <w:szCs w:val="20"/>
                <w:lang w:val="es-ES"/>
              </w:rPr>
              <w:t>:</w:t>
            </w:r>
          </w:p>
        </w:tc>
        <w:tc>
          <w:tcPr>
            <w:tcW w:w="5760" w:type="dxa"/>
            <w:vAlign w:val="center"/>
          </w:tcPr>
          <w:p w14:paraId="143D44A8" w14:textId="5BD9E041" w:rsidR="00615A60" w:rsidRPr="004E1374" w:rsidRDefault="00041B26" w:rsidP="00615A60">
            <w:pPr>
              <w:jc w:val="both"/>
              <w:rPr>
                <w:rFonts w:ascii="Cambria" w:hAnsi="Cambria"/>
                <w:bCs/>
                <w:sz w:val="20"/>
                <w:szCs w:val="20"/>
                <w:lang w:val="es-ES"/>
              </w:rPr>
            </w:pPr>
            <w:r w:rsidRPr="004E1374">
              <w:rPr>
                <w:rFonts w:ascii="Cambria" w:hAnsi="Cambria"/>
                <w:bCs/>
                <w:sz w:val="20"/>
                <w:szCs w:val="20"/>
                <w:lang w:val="es-ES"/>
              </w:rPr>
              <w:t>Jorge Antonio Parral Radab</w:t>
            </w:r>
            <w:r w:rsidR="00820551">
              <w:rPr>
                <w:rFonts w:ascii="Cambria" w:hAnsi="Cambria"/>
                <w:bCs/>
                <w:sz w:val="20"/>
                <w:szCs w:val="20"/>
                <w:lang w:val="es-ES"/>
              </w:rPr>
              <w:t>á</w:t>
            </w:r>
            <w:r w:rsidRPr="004E1374">
              <w:rPr>
                <w:rFonts w:ascii="Cambria" w:hAnsi="Cambria"/>
                <w:bCs/>
                <w:sz w:val="20"/>
                <w:szCs w:val="20"/>
                <w:lang w:val="es-ES"/>
              </w:rPr>
              <w:t>n</w:t>
            </w:r>
            <w:r w:rsidR="00194EBD" w:rsidRPr="004E1374">
              <w:rPr>
                <w:rFonts w:ascii="Cambria" w:hAnsi="Cambria"/>
                <w:bCs/>
                <w:sz w:val="20"/>
                <w:szCs w:val="20"/>
                <w:lang w:val="es-ES"/>
              </w:rPr>
              <w:t xml:space="preserve"> y familiares</w:t>
            </w:r>
            <w:r w:rsidR="00194EBD" w:rsidRPr="004E1374">
              <w:rPr>
                <w:rFonts w:ascii="Cambria" w:hAnsi="Cambria"/>
                <w:bCs/>
                <w:sz w:val="20"/>
                <w:szCs w:val="20"/>
                <w:vertAlign w:val="superscript"/>
                <w:lang w:val="es-ES"/>
              </w:rPr>
              <w:footnoteReference w:id="2"/>
            </w:r>
          </w:p>
        </w:tc>
      </w:tr>
      <w:tr w:rsidR="003239B8" w:rsidRPr="004E1374"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Estado denunciado:</w:t>
            </w:r>
          </w:p>
        </w:tc>
        <w:tc>
          <w:tcPr>
            <w:tcW w:w="5760" w:type="dxa"/>
            <w:vAlign w:val="center"/>
          </w:tcPr>
          <w:p w14:paraId="5D0EC05D" w14:textId="18DE1AAF" w:rsidR="003239B8" w:rsidRPr="004E1374" w:rsidRDefault="006B5965">
            <w:pPr>
              <w:jc w:val="both"/>
              <w:rPr>
                <w:rFonts w:ascii="Cambria" w:hAnsi="Cambria"/>
                <w:bCs/>
                <w:sz w:val="20"/>
                <w:szCs w:val="20"/>
                <w:lang w:val="es-ES"/>
              </w:rPr>
            </w:pPr>
            <w:r w:rsidRPr="004E1374">
              <w:rPr>
                <w:rFonts w:ascii="Cambria" w:hAnsi="Cambria"/>
                <w:bCs/>
                <w:sz w:val="20"/>
                <w:szCs w:val="20"/>
                <w:lang w:val="es-ES"/>
              </w:rPr>
              <w:t>M</w:t>
            </w:r>
            <w:r w:rsidR="00AA6175" w:rsidRPr="004E1374">
              <w:rPr>
                <w:rFonts w:ascii="Cambria" w:hAnsi="Cambria"/>
                <w:bCs/>
                <w:sz w:val="20"/>
                <w:szCs w:val="20"/>
                <w:lang w:val="es-ES"/>
              </w:rPr>
              <w:t>é</w:t>
            </w:r>
            <w:r w:rsidRPr="004E1374">
              <w:rPr>
                <w:rFonts w:ascii="Cambria" w:hAnsi="Cambria"/>
                <w:bCs/>
                <w:sz w:val="20"/>
                <w:szCs w:val="20"/>
                <w:lang w:val="es-ES"/>
              </w:rPr>
              <w:t>xico</w:t>
            </w:r>
            <w:r w:rsidR="006F24F1" w:rsidRPr="004E1374">
              <w:rPr>
                <w:rFonts w:ascii="Cambria" w:hAnsi="Cambria"/>
                <w:bCs/>
                <w:sz w:val="20"/>
                <w:szCs w:val="20"/>
                <w:vertAlign w:val="superscript"/>
                <w:lang w:val="es-ES"/>
              </w:rPr>
              <w:footnoteReference w:id="3"/>
            </w:r>
          </w:p>
        </w:tc>
      </w:tr>
      <w:tr w:rsidR="00223A29" w:rsidRPr="00D842F1"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1374" w:rsidRDefault="001B3A00" w:rsidP="00E4118C">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 xml:space="preserve">Derechos </w:t>
            </w:r>
            <w:r w:rsidR="00E4118C" w:rsidRPr="004E1374">
              <w:rPr>
                <w:rFonts w:ascii="Cambria" w:hAnsi="Cambria"/>
                <w:b/>
                <w:bCs/>
                <w:color w:val="FFFFFF" w:themeColor="background1"/>
                <w:sz w:val="20"/>
                <w:szCs w:val="20"/>
                <w:lang w:val="es-ES"/>
              </w:rPr>
              <w:t>invocados</w:t>
            </w:r>
            <w:r w:rsidRPr="004E1374">
              <w:rPr>
                <w:rFonts w:ascii="Cambria" w:hAnsi="Cambria"/>
                <w:b/>
                <w:bCs/>
                <w:color w:val="FFFFFF" w:themeColor="background1"/>
                <w:sz w:val="20"/>
                <w:szCs w:val="20"/>
                <w:lang w:val="es-ES"/>
              </w:rPr>
              <w:t>:</w:t>
            </w:r>
          </w:p>
        </w:tc>
        <w:tc>
          <w:tcPr>
            <w:tcW w:w="5760" w:type="dxa"/>
            <w:vAlign w:val="center"/>
          </w:tcPr>
          <w:p w14:paraId="52B28392" w14:textId="27F3EEB5" w:rsidR="00442486" w:rsidRPr="004E1374" w:rsidRDefault="006F24F1" w:rsidP="00C766C2">
            <w:pPr>
              <w:jc w:val="both"/>
              <w:rPr>
                <w:rFonts w:ascii="Cambria" w:hAnsi="Cambria"/>
                <w:sz w:val="20"/>
                <w:szCs w:val="20"/>
                <w:lang w:val="es-ES"/>
              </w:rPr>
            </w:pPr>
            <w:r w:rsidRPr="004E1374">
              <w:rPr>
                <w:rFonts w:ascii="Cambria" w:hAnsi="Cambria"/>
                <w:sz w:val="20"/>
                <w:szCs w:val="20"/>
                <w:lang w:val="es-ES"/>
              </w:rPr>
              <w:t>Artículos 3 (reconocimiento de la personalidad jurídica), 4 (vida), 5 (integridad personal), 7 (libertad personal), 8 (garantías judiciales), 11 (honra y dignidad), 19 (derechos del niño), 21 (propiedad privada), 22 (circulación y residencia), 24 (igualdad ante la ley) y 25 (protección judicial) de la Convención Americana sobre Derechos Humanos</w:t>
            </w:r>
            <w:r w:rsidRPr="004E1374">
              <w:rPr>
                <w:rStyle w:val="FootnoteReference"/>
                <w:rFonts w:asciiTheme="majorHAnsi" w:hAnsiTheme="majorHAnsi"/>
                <w:sz w:val="20"/>
                <w:szCs w:val="20"/>
                <w:lang w:val="es-ES"/>
              </w:rPr>
              <w:footnoteReference w:id="4"/>
            </w:r>
            <w:r w:rsidRPr="004E1374">
              <w:rPr>
                <w:rFonts w:ascii="Cambria" w:hAnsi="Cambria"/>
                <w:sz w:val="20"/>
                <w:szCs w:val="20"/>
                <w:lang w:val="es-ES"/>
              </w:rPr>
              <w:t>, en relación con sus artículos 1.1 (obligación de respetar los derechos) y 2 (deber de adoptar disposiciones de derecho interno); artículo I de la Convención Interamericana sobre Desaparición Forzada de Personas</w:t>
            </w:r>
          </w:p>
        </w:tc>
      </w:tr>
    </w:tbl>
    <w:p w14:paraId="176FB213" w14:textId="267F5957" w:rsidR="003239B8" w:rsidRPr="004E1374" w:rsidRDefault="003239B8" w:rsidP="003239B8">
      <w:pPr>
        <w:spacing w:before="240" w:after="240"/>
        <w:ind w:firstLine="720"/>
        <w:jc w:val="both"/>
        <w:rPr>
          <w:rFonts w:asciiTheme="majorHAnsi" w:hAnsiTheme="majorHAnsi"/>
          <w:b/>
          <w:bCs/>
          <w:sz w:val="20"/>
          <w:szCs w:val="20"/>
          <w:lang w:val="es-ES"/>
        </w:rPr>
      </w:pPr>
      <w:r w:rsidRPr="004E1374">
        <w:rPr>
          <w:rFonts w:asciiTheme="majorHAnsi" w:hAnsiTheme="majorHAnsi"/>
          <w:b/>
          <w:bCs/>
          <w:sz w:val="20"/>
          <w:szCs w:val="20"/>
          <w:lang w:val="es-ES"/>
        </w:rPr>
        <w:t>II.</w:t>
      </w:r>
      <w:r w:rsidRPr="004E1374">
        <w:rPr>
          <w:rFonts w:asciiTheme="majorHAnsi" w:hAnsiTheme="majorHAnsi"/>
          <w:b/>
          <w:bCs/>
          <w:sz w:val="20"/>
          <w:szCs w:val="20"/>
          <w:lang w:val="es-ES"/>
        </w:rPr>
        <w:tab/>
        <w:t>TRÁMITE ANTE LA CIDH</w:t>
      </w:r>
      <w:r w:rsidR="00BF2084" w:rsidRPr="004E1374">
        <w:rPr>
          <w:rStyle w:val="FootnoteReference"/>
          <w:rFonts w:asciiTheme="majorHAnsi" w:hAnsiTheme="majorHAnsi"/>
          <w:b/>
          <w:bCs/>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27DB0" w:rsidRPr="004E137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127DB0" w:rsidRPr="004E1374" w:rsidRDefault="00127DB0" w:rsidP="00127DB0">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Presentación de la petición:</w:t>
            </w:r>
          </w:p>
        </w:tc>
        <w:tc>
          <w:tcPr>
            <w:tcW w:w="5760" w:type="dxa"/>
            <w:vAlign w:val="center"/>
          </w:tcPr>
          <w:p w14:paraId="6883A5F8" w14:textId="306B1F6E" w:rsidR="00127DB0" w:rsidRPr="004E1374" w:rsidRDefault="006F24F1" w:rsidP="00127DB0">
            <w:pPr>
              <w:jc w:val="both"/>
              <w:rPr>
                <w:rFonts w:ascii="Cambria" w:hAnsi="Cambria"/>
                <w:bCs/>
                <w:sz w:val="20"/>
                <w:szCs w:val="20"/>
                <w:lang w:val="es-ES"/>
              </w:rPr>
            </w:pPr>
            <w:r w:rsidRPr="004E1374">
              <w:rPr>
                <w:rFonts w:ascii="Cambria" w:hAnsi="Cambria"/>
                <w:bCs/>
                <w:sz w:val="20"/>
                <w:szCs w:val="20"/>
                <w:lang w:val="es-ES"/>
              </w:rPr>
              <w:t>28 de septiembre de 2015</w:t>
            </w:r>
          </w:p>
        </w:tc>
      </w:tr>
      <w:tr w:rsidR="00127DB0" w:rsidRPr="00D842F1" w14:paraId="169A697E" w14:textId="77777777" w:rsidTr="004A6A54">
        <w:tc>
          <w:tcPr>
            <w:tcW w:w="3600" w:type="dxa"/>
            <w:tcBorders>
              <w:top w:val="single" w:sz="6" w:space="0" w:color="auto"/>
              <w:bottom w:val="single" w:sz="6" w:space="0" w:color="auto"/>
            </w:tcBorders>
            <w:shd w:val="clear" w:color="auto" w:fill="386294"/>
            <w:vAlign w:val="center"/>
          </w:tcPr>
          <w:p w14:paraId="4301EAFB" w14:textId="0F822B4B" w:rsidR="00127DB0" w:rsidRPr="004E1374" w:rsidRDefault="00127DB0" w:rsidP="00127DB0">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Información adicional en etapa de estudio inicial:</w:t>
            </w:r>
          </w:p>
        </w:tc>
        <w:tc>
          <w:tcPr>
            <w:tcW w:w="5760" w:type="dxa"/>
            <w:vAlign w:val="center"/>
          </w:tcPr>
          <w:p w14:paraId="3BA07AF9" w14:textId="6CE65B16" w:rsidR="00127DB0" w:rsidRPr="004E1374" w:rsidRDefault="006F24F1" w:rsidP="00127DB0">
            <w:pPr>
              <w:jc w:val="both"/>
              <w:rPr>
                <w:rFonts w:ascii="Cambria" w:hAnsi="Cambria"/>
                <w:bCs/>
                <w:sz w:val="20"/>
                <w:szCs w:val="20"/>
                <w:lang w:val="es-ES"/>
              </w:rPr>
            </w:pPr>
            <w:r w:rsidRPr="004E1374">
              <w:rPr>
                <w:rFonts w:ascii="Cambria" w:hAnsi="Cambria"/>
                <w:bCs/>
                <w:sz w:val="20"/>
                <w:szCs w:val="20"/>
                <w:lang w:val="es-ES"/>
              </w:rPr>
              <w:t>2 de mayo de 2016, 11 de octubre de 2016</w:t>
            </w:r>
          </w:p>
        </w:tc>
      </w:tr>
      <w:tr w:rsidR="00127DB0" w:rsidRPr="004E1374"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27DB0" w:rsidRPr="004E1374" w:rsidRDefault="00127DB0" w:rsidP="00127DB0">
            <w:pPr>
              <w:jc w:val="center"/>
              <w:rPr>
                <w:rFonts w:ascii="Cambria" w:hAnsi="Cambria"/>
                <w:b/>
                <w:bCs/>
                <w:color w:val="FFFFFF" w:themeColor="background1"/>
                <w:sz w:val="20"/>
                <w:szCs w:val="20"/>
                <w:lang w:val="es-ES"/>
              </w:rPr>
            </w:pPr>
            <w:r w:rsidRPr="004E1374">
              <w:rPr>
                <w:rFonts w:ascii="Cambria" w:hAnsi="Cambria"/>
                <w:b/>
                <w:color w:val="FFFFFF" w:themeColor="background1"/>
                <w:sz w:val="20"/>
                <w:szCs w:val="20"/>
                <w:lang w:val="es-ES"/>
              </w:rPr>
              <w:t>Notificación de la petición al Estado:</w:t>
            </w:r>
          </w:p>
        </w:tc>
        <w:tc>
          <w:tcPr>
            <w:tcW w:w="5760" w:type="dxa"/>
            <w:vAlign w:val="center"/>
          </w:tcPr>
          <w:p w14:paraId="58485921" w14:textId="53F870FD" w:rsidR="00127DB0" w:rsidRPr="004E1374" w:rsidRDefault="006F24F1" w:rsidP="00127DB0">
            <w:pPr>
              <w:jc w:val="both"/>
              <w:rPr>
                <w:rFonts w:ascii="Cambria" w:hAnsi="Cambria"/>
                <w:bCs/>
                <w:sz w:val="20"/>
                <w:szCs w:val="20"/>
                <w:lang w:val="es-ES"/>
              </w:rPr>
            </w:pPr>
            <w:r w:rsidRPr="004E1374">
              <w:rPr>
                <w:rFonts w:ascii="Cambria" w:hAnsi="Cambria"/>
                <w:bCs/>
                <w:sz w:val="20"/>
                <w:szCs w:val="20"/>
                <w:lang w:val="es-ES"/>
              </w:rPr>
              <w:t>9 de agosto de 2017</w:t>
            </w:r>
          </w:p>
        </w:tc>
      </w:tr>
      <w:tr w:rsidR="00127DB0" w:rsidRPr="004E137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27DB0" w:rsidRPr="004E1374" w:rsidRDefault="00127DB0" w:rsidP="00127DB0">
            <w:pPr>
              <w:jc w:val="center"/>
              <w:rPr>
                <w:rFonts w:ascii="Cambria" w:hAnsi="Cambria"/>
                <w:b/>
                <w:bCs/>
                <w:color w:val="FFFFFF" w:themeColor="background1"/>
                <w:sz w:val="20"/>
                <w:szCs w:val="20"/>
                <w:lang w:val="es-ES"/>
              </w:rPr>
            </w:pPr>
            <w:r w:rsidRPr="004E1374">
              <w:rPr>
                <w:rFonts w:ascii="Cambria" w:hAnsi="Cambria"/>
                <w:b/>
                <w:color w:val="FFFFFF" w:themeColor="background1"/>
                <w:sz w:val="20"/>
                <w:szCs w:val="20"/>
                <w:lang w:val="es-ES"/>
              </w:rPr>
              <w:t>Primera respuesta del Estado:</w:t>
            </w:r>
          </w:p>
        </w:tc>
        <w:tc>
          <w:tcPr>
            <w:tcW w:w="5760" w:type="dxa"/>
            <w:vAlign w:val="center"/>
          </w:tcPr>
          <w:p w14:paraId="6B47064C" w14:textId="7A7ED706" w:rsidR="00127DB0" w:rsidRPr="004E1374" w:rsidRDefault="006F24F1" w:rsidP="00127DB0">
            <w:pPr>
              <w:jc w:val="both"/>
              <w:rPr>
                <w:rFonts w:ascii="Cambria" w:hAnsi="Cambria"/>
                <w:bCs/>
                <w:sz w:val="20"/>
                <w:szCs w:val="20"/>
                <w:lang w:val="es-ES"/>
              </w:rPr>
            </w:pPr>
            <w:r w:rsidRPr="004E1374">
              <w:rPr>
                <w:rFonts w:ascii="Cambria" w:hAnsi="Cambria"/>
                <w:bCs/>
                <w:sz w:val="20"/>
                <w:szCs w:val="20"/>
                <w:lang w:val="es-ES"/>
              </w:rPr>
              <w:t>6 de junio de 2019</w:t>
            </w:r>
          </w:p>
        </w:tc>
      </w:tr>
      <w:tr w:rsidR="00127DB0" w:rsidRPr="00D842F1"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127DB0" w:rsidRPr="004E1374" w:rsidRDefault="00127DB0" w:rsidP="00127DB0">
            <w:pPr>
              <w:jc w:val="center"/>
              <w:rPr>
                <w:rFonts w:ascii="Cambria" w:hAnsi="Cambria"/>
                <w:b/>
                <w:color w:val="FFFFFF" w:themeColor="background1"/>
                <w:sz w:val="20"/>
                <w:szCs w:val="20"/>
                <w:lang w:val="es-ES"/>
              </w:rPr>
            </w:pPr>
            <w:r w:rsidRPr="004E1374">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5F640751" w:rsidR="00127DB0" w:rsidRPr="004E1374" w:rsidRDefault="006F24F1" w:rsidP="00127DB0">
            <w:pPr>
              <w:jc w:val="both"/>
              <w:rPr>
                <w:rFonts w:ascii="Cambria" w:hAnsi="Cambria"/>
                <w:bCs/>
                <w:sz w:val="20"/>
                <w:szCs w:val="20"/>
                <w:lang w:val="es-ES"/>
              </w:rPr>
            </w:pPr>
            <w:r w:rsidRPr="004E1374">
              <w:rPr>
                <w:rFonts w:ascii="Cambria" w:hAnsi="Cambria"/>
                <w:bCs/>
                <w:sz w:val="20"/>
                <w:szCs w:val="20"/>
                <w:lang w:val="es-ES"/>
              </w:rPr>
              <w:t>1 de marzo de 2018, 13 de abril de 2018, 11 de junio de 2018, 3 de octubre de 2018, 9 de enero de 2019, 11 de julio de 2019, 10 de junio de 2020, 27 de abril de 2020, 18 de diciembre de 2020, 21 de marzo de 2023</w:t>
            </w:r>
            <w:r w:rsidR="007A5D84" w:rsidRPr="004E1374">
              <w:rPr>
                <w:rFonts w:ascii="Cambria" w:hAnsi="Cambria"/>
                <w:bCs/>
                <w:sz w:val="20"/>
                <w:szCs w:val="20"/>
                <w:lang w:val="es-ES"/>
              </w:rPr>
              <w:t xml:space="preserve"> y</w:t>
            </w:r>
            <w:r w:rsidRPr="004E1374">
              <w:rPr>
                <w:rFonts w:ascii="Cambria" w:hAnsi="Cambria"/>
                <w:bCs/>
                <w:sz w:val="20"/>
                <w:szCs w:val="20"/>
                <w:lang w:val="es-ES"/>
              </w:rPr>
              <w:t xml:space="preserve"> 2 de agosto de 2024</w:t>
            </w:r>
          </w:p>
        </w:tc>
      </w:tr>
    </w:tbl>
    <w:p w14:paraId="0FC6E9E8" w14:textId="77777777" w:rsidR="003239B8" w:rsidRPr="004E1374" w:rsidRDefault="003239B8" w:rsidP="003239B8">
      <w:pPr>
        <w:spacing w:before="240" w:after="240"/>
        <w:ind w:firstLine="720"/>
        <w:jc w:val="both"/>
        <w:rPr>
          <w:rFonts w:asciiTheme="majorHAnsi" w:hAnsiTheme="majorHAnsi"/>
          <w:b/>
          <w:bCs/>
          <w:sz w:val="20"/>
          <w:szCs w:val="20"/>
          <w:lang w:val="es-ES"/>
        </w:rPr>
      </w:pPr>
      <w:r w:rsidRPr="004E1374">
        <w:rPr>
          <w:rFonts w:asciiTheme="majorHAnsi" w:hAnsiTheme="majorHAnsi"/>
          <w:b/>
          <w:bCs/>
          <w:sz w:val="20"/>
          <w:szCs w:val="20"/>
          <w:lang w:val="es-ES"/>
        </w:rPr>
        <w:t xml:space="preserve">III. </w:t>
      </w:r>
      <w:r w:rsidRPr="004E1374">
        <w:rPr>
          <w:rFonts w:asciiTheme="majorHAnsi" w:hAnsiTheme="majorHAnsi"/>
          <w:b/>
          <w:bCs/>
          <w:sz w:val="20"/>
          <w:szCs w:val="20"/>
          <w:lang w:val="es-ES"/>
        </w:rPr>
        <w:tab/>
        <w:t>COMPETENCIA</w:t>
      </w:r>
      <w:r w:rsidR="00EE00E9" w:rsidRPr="004E1374">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4E1374" w14:paraId="7D299FC7" w14:textId="77777777" w:rsidTr="007A5D84">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4E1374" w:rsidRDefault="003239B8">
            <w:pPr>
              <w:jc w:val="center"/>
              <w:rPr>
                <w:rFonts w:ascii="Cambria" w:hAnsi="Cambria"/>
                <w:b/>
                <w:bCs/>
                <w:i/>
                <w:color w:val="FFFFFF" w:themeColor="background1"/>
                <w:sz w:val="20"/>
                <w:szCs w:val="20"/>
                <w:lang w:val="es-ES"/>
              </w:rPr>
            </w:pPr>
            <w:r w:rsidRPr="004E1374">
              <w:rPr>
                <w:rFonts w:ascii="Cambria" w:hAnsi="Cambria"/>
                <w:b/>
                <w:bCs/>
                <w:color w:val="FFFFFF" w:themeColor="background1"/>
                <w:sz w:val="20"/>
                <w:szCs w:val="20"/>
                <w:lang w:val="es-ES"/>
              </w:rPr>
              <w:t>Competencia</w:t>
            </w:r>
            <w:r w:rsidRPr="004E1374">
              <w:rPr>
                <w:rFonts w:ascii="Cambria" w:hAnsi="Cambria"/>
                <w:b/>
                <w:bCs/>
                <w:i/>
                <w:color w:val="FFFFFF" w:themeColor="background1"/>
                <w:sz w:val="20"/>
                <w:szCs w:val="20"/>
                <w:lang w:val="es-ES"/>
              </w:rPr>
              <w:t xml:space="preserve"> Ratione personae:</w:t>
            </w:r>
          </w:p>
        </w:tc>
        <w:tc>
          <w:tcPr>
            <w:tcW w:w="5777" w:type="dxa"/>
            <w:vAlign w:val="center"/>
          </w:tcPr>
          <w:p w14:paraId="1E494D5D" w14:textId="47C0DB82" w:rsidR="003239B8" w:rsidRPr="004E1374" w:rsidRDefault="00A004BB">
            <w:pPr>
              <w:rPr>
                <w:rFonts w:ascii="Cambria" w:hAnsi="Cambria"/>
                <w:bCs/>
                <w:sz w:val="20"/>
                <w:szCs w:val="20"/>
                <w:lang w:val="es-ES"/>
              </w:rPr>
            </w:pPr>
            <w:r w:rsidRPr="004E1374">
              <w:rPr>
                <w:rFonts w:ascii="Cambria" w:hAnsi="Cambria"/>
                <w:bCs/>
                <w:sz w:val="20"/>
                <w:szCs w:val="20"/>
                <w:lang w:val="es-ES"/>
              </w:rPr>
              <w:t>Sí</w:t>
            </w:r>
          </w:p>
        </w:tc>
      </w:tr>
      <w:tr w:rsidR="003239B8" w:rsidRPr="004E1374" w14:paraId="54503A4F" w14:textId="77777777" w:rsidTr="007A5D84">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Competencia</w:t>
            </w:r>
            <w:r w:rsidRPr="004E1374">
              <w:rPr>
                <w:rFonts w:ascii="Cambria" w:hAnsi="Cambria"/>
                <w:b/>
                <w:bCs/>
                <w:i/>
                <w:color w:val="FFFFFF" w:themeColor="background1"/>
                <w:sz w:val="20"/>
                <w:szCs w:val="20"/>
                <w:lang w:val="es-ES"/>
              </w:rPr>
              <w:t xml:space="preserve"> Ratione loci</w:t>
            </w:r>
            <w:r w:rsidRPr="004E1374">
              <w:rPr>
                <w:rFonts w:ascii="Cambria" w:hAnsi="Cambria"/>
                <w:b/>
                <w:bCs/>
                <w:color w:val="FFFFFF" w:themeColor="background1"/>
                <w:sz w:val="20"/>
                <w:szCs w:val="20"/>
                <w:lang w:val="es-ES"/>
              </w:rPr>
              <w:t>:</w:t>
            </w:r>
          </w:p>
        </w:tc>
        <w:tc>
          <w:tcPr>
            <w:tcW w:w="5777" w:type="dxa"/>
            <w:vAlign w:val="center"/>
          </w:tcPr>
          <w:p w14:paraId="77C8256A" w14:textId="5E819D9D" w:rsidR="003239B8" w:rsidRPr="004E1374" w:rsidRDefault="00A004BB">
            <w:pPr>
              <w:rPr>
                <w:rFonts w:ascii="Cambria" w:hAnsi="Cambria"/>
                <w:bCs/>
                <w:sz w:val="20"/>
                <w:szCs w:val="20"/>
                <w:lang w:val="es-ES"/>
              </w:rPr>
            </w:pPr>
            <w:r w:rsidRPr="004E1374">
              <w:rPr>
                <w:rFonts w:ascii="Cambria" w:hAnsi="Cambria"/>
                <w:bCs/>
                <w:sz w:val="20"/>
                <w:szCs w:val="20"/>
                <w:lang w:val="es-ES"/>
              </w:rPr>
              <w:t>Sí</w:t>
            </w:r>
          </w:p>
        </w:tc>
      </w:tr>
      <w:tr w:rsidR="003239B8" w:rsidRPr="004E1374" w14:paraId="6618D96A" w14:textId="77777777" w:rsidTr="007A5D84">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Competencia</w:t>
            </w:r>
            <w:r w:rsidRPr="004E1374">
              <w:rPr>
                <w:rFonts w:ascii="Cambria" w:hAnsi="Cambria"/>
                <w:b/>
                <w:bCs/>
                <w:i/>
                <w:color w:val="FFFFFF" w:themeColor="background1"/>
                <w:sz w:val="20"/>
                <w:szCs w:val="20"/>
                <w:lang w:val="es-ES"/>
              </w:rPr>
              <w:t xml:space="preserve"> Ratione temporis</w:t>
            </w:r>
            <w:r w:rsidRPr="004E1374">
              <w:rPr>
                <w:rFonts w:ascii="Cambria" w:hAnsi="Cambria"/>
                <w:b/>
                <w:bCs/>
                <w:color w:val="FFFFFF" w:themeColor="background1"/>
                <w:sz w:val="20"/>
                <w:szCs w:val="20"/>
                <w:lang w:val="es-ES"/>
              </w:rPr>
              <w:t>:</w:t>
            </w:r>
          </w:p>
        </w:tc>
        <w:tc>
          <w:tcPr>
            <w:tcW w:w="5777" w:type="dxa"/>
            <w:vAlign w:val="center"/>
          </w:tcPr>
          <w:p w14:paraId="523F6BD6" w14:textId="69B6757A" w:rsidR="003239B8" w:rsidRPr="004E1374" w:rsidRDefault="00A004BB">
            <w:pPr>
              <w:rPr>
                <w:rFonts w:ascii="Cambria" w:hAnsi="Cambria"/>
                <w:bCs/>
                <w:sz w:val="20"/>
                <w:szCs w:val="20"/>
                <w:lang w:val="es-ES"/>
              </w:rPr>
            </w:pPr>
            <w:r w:rsidRPr="004E1374">
              <w:rPr>
                <w:rFonts w:ascii="Cambria" w:hAnsi="Cambria"/>
                <w:bCs/>
                <w:sz w:val="20"/>
                <w:szCs w:val="20"/>
                <w:lang w:val="es-ES"/>
              </w:rPr>
              <w:t>Sí</w:t>
            </w:r>
          </w:p>
        </w:tc>
      </w:tr>
      <w:tr w:rsidR="003239B8" w:rsidRPr="00D842F1" w14:paraId="34C2A0A9" w14:textId="77777777" w:rsidTr="007A5D84">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Competencia</w:t>
            </w:r>
            <w:r w:rsidRPr="004E1374">
              <w:rPr>
                <w:rFonts w:ascii="Cambria" w:hAnsi="Cambria"/>
                <w:b/>
                <w:bCs/>
                <w:i/>
                <w:color w:val="FFFFFF" w:themeColor="background1"/>
                <w:sz w:val="20"/>
                <w:szCs w:val="20"/>
                <w:lang w:val="es-ES"/>
              </w:rPr>
              <w:t xml:space="preserve"> Ratione materia</w:t>
            </w:r>
            <w:r w:rsidR="00EE00E9" w:rsidRPr="004E1374">
              <w:rPr>
                <w:rFonts w:ascii="Cambria" w:hAnsi="Cambria"/>
                <w:b/>
                <w:bCs/>
                <w:i/>
                <w:color w:val="FFFFFF" w:themeColor="background1"/>
                <w:sz w:val="20"/>
                <w:szCs w:val="20"/>
                <w:lang w:val="es-ES"/>
              </w:rPr>
              <w:t>e</w:t>
            </w:r>
            <w:r w:rsidRPr="004E1374">
              <w:rPr>
                <w:rFonts w:ascii="Cambria" w:hAnsi="Cambria"/>
                <w:b/>
                <w:bCs/>
                <w:color w:val="FFFFFF" w:themeColor="background1"/>
                <w:sz w:val="20"/>
                <w:szCs w:val="20"/>
                <w:lang w:val="es-ES"/>
              </w:rPr>
              <w:t>:</w:t>
            </w:r>
          </w:p>
        </w:tc>
        <w:tc>
          <w:tcPr>
            <w:tcW w:w="5777" w:type="dxa"/>
            <w:vAlign w:val="center"/>
          </w:tcPr>
          <w:p w14:paraId="257C8337" w14:textId="305919E0" w:rsidR="003239B8" w:rsidRPr="004E1374" w:rsidRDefault="00311D6C">
            <w:pPr>
              <w:jc w:val="both"/>
              <w:rPr>
                <w:rFonts w:ascii="Cambria" w:hAnsi="Cambria"/>
                <w:bCs/>
                <w:sz w:val="20"/>
                <w:szCs w:val="20"/>
                <w:lang w:val="es-ES"/>
              </w:rPr>
            </w:pPr>
            <w:r w:rsidRPr="004E1374">
              <w:rPr>
                <w:rFonts w:ascii="Cambria" w:hAnsi="Cambria"/>
                <w:bCs/>
                <w:sz w:val="20"/>
                <w:szCs w:val="20"/>
                <w:lang w:val="es-ES"/>
              </w:rPr>
              <w:t>Sí, Convención Americana (depósito del instrumento de adhesión realizado el 24 de marzo de 1981); y Convención Interamericana sobre Desaparición Forzada de Personas (depósito del instrumento de ratificación realizado el 9 de abril de 2002)</w:t>
            </w:r>
          </w:p>
        </w:tc>
      </w:tr>
    </w:tbl>
    <w:p w14:paraId="299A3868" w14:textId="763E2446" w:rsidR="003239B8" w:rsidRPr="004E1374" w:rsidRDefault="003239B8" w:rsidP="003239B8">
      <w:pPr>
        <w:spacing w:before="240" w:after="240"/>
        <w:ind w:firstLine="720"/>
        <w:jc w:val="both"/>
        <w:rPr>
          <w:rFonts w:asciiTheme="majorHAnsi" w:hAnsiTheme="majorHAnsi"/>
          <w:b/>
          <w:bCs/>
          <w:sz w:val="20"/>
          <w:szCs w:val="20"/>
          <w:lang w:val="es-ES"/>
        </w:rPr>
      </w:pPr>
      <w:r w:rsidRPr="004E1374">
        <w:rPr>
          <w:rFonts w:asciiTheme="majorHAnsi" w:hAnsiTheme="majorHAnsi"/>
          <w:b/>
          <w:bCs/>
          <w:sz w:val="20"/>
          <w:szCs w:val="20"/>
          <w:lang w:val="es-ES"/>
        </w:rPr>
        <w:t xml:space="preserve">IV. </w:t>
      </w:r>
      <w:r w:rsidRPr="004E1374">
        <w:rPr>
          <w:rFonts w:asciiTheme="majorHAnsi" w:hAnsiTheme="majorHAnsi"/>
          <w:b/>
          <w:bCs/>
          <w:sz w:val="20"/>
          <w:szCs w:val="20"/>
          <w:lang w:val="es-ES"/>
        </w:rPr>
        <w:tab/>
      </w:r>
      <w:r w:rsidR="00EE00E9" w:rsidRPr="004E1374">
        <w:rPr>
          <w:rFonts w:asciiTheme="majorHAnsi" w:hAnsiTheme="majorHAnsi"/>
          <w:b/>
          <w:bCs/>
          <w:sz w:val="20"/>
          <w:szCs w:val="20"/>
          <w:lang w:val="es-ES"/>
        </w:rPr>
        <w:t>DUPLICACIÓN</w:t>
      </w:r>
      <w:r w:rsidR="00EE00E9" w:rsidRPr="004E1374">
        <w:rPr>
          <w:rFonts w:asciiTheme="majorHAnsi" w:hAnsiTheme="majorHAnsi"/>
          <w:b/>
          <w:bCs/>
          <w:color w:val="FFFFFF" w:themeColor="background1"/>
          <w:sz w:val="20"/>
          <w:szCs w:val="20"/>
          <w:lang w:val="es-ES"/>
        </w:rPr>
        <w:t xml:space="preserve"> </w:t>
      </w:r>
      <w:r w:rsidR="00EE00E9" w:rsidRPr="004E1374">
        <w:rPr>
          <w:rFonts w:asciiTheme="majorHAnsi" w:hAnsiTheme="majorHAnsi"/>
          <w:b/>
          <w:bCs/>
          <w:sz w:val="20"/>
          <w:szCs w:val="20"/>
          <w:lang w:val="es-ES"/>
        </w:rPr>
        <w:t>DE PROCEDIMIENTOS Y COSA JUZGADA</w:t>
      </w:r>
      <w:r w:rsidR="00EE00E9" w:rsidRPr="004E1374">
        <w:rPr>
          <w:rFonts w:asciiTheme="majorHAnsi" w:hAnsiTheme="majorHAnsi"/>
          <w:b/>
          <w:bCs/>
          <w:i/>
          <w:sz w:val="20"/>
          <w:szCs w:val="20"/>
          <w:lang w:val="es-ES"/>
        </w:rPr>
        <w:t xml:space="preserve"> </w:t>
      </w:r>
      <w:r w:rsidR="00EE00E9" w:rsidRPr="004E1374">
        <w:rPr>
          <w:rFonts w:asciiTheme="majorHAnsi" w:hAnsiTheme="majorHAnsi"/>
          <w:b/>
          <w:bCs/>
          <w:sz w:val="20"/>
          <w:szCs w:val="20"/>
          <w:lang w:val="es-ES"/>
        </w:rPr>
        <w:t xml:space="preserve">INTERNACIONAL, </w:t>
      </w:r>
      <w:r w:rsidRPr="004E1374">
        <w:rPr>
          <w:rFonts w:asciiTheme="majorHAnsi" w:hAnsiTheme="majorHAnsi"/>
          <w:b/>
          <w:bCs/>
          <w:sz w:val="20"/>
          <w:szCs w:val="20"/>
          <w:lang w:val="es-ES"/>
        </w:rPr>
        <w:t xml:space="preserve">CARACTERIZACIÓN, </w:t>
      </w:r>
      <w:r w:rsidRPr="004E13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E1374"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4E1374" w:rsidRDefault="00EE00E9">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003B40D1" w:rsidR="00EE00E9" w:rsidRPr="004E1374" w:rsidRDefault="00A004BB">
            <w:pPr>
              <w:jc w:val="both"/>
              <w:rPr>
                <w:rFonts w:ascii="Cambria" w:hAnsi="Cambria"/>
                <w:bCs/>
                <w:sz w:val="20"/>
                <w:szCs w:val="20"/>
                <w:lang w:val="es-ES"/>
              </w:rPr>
            </w:pPr>
            <w:r w:rsidRPr="004E1374">
              <w:rPr>
                <w:rFonts w:ascii="Cambria" w:hAnsi="Cambria"/>
                <w:bCs/>
                <w:sz w:val="20"/>
                <w:szCs w:val="20"/>
                <w:lang w:val="es-ES"/>
              </w:rPr>
              <w:t>No</w:t>
            </w:r>
          </w:p>
        </w:tc>
      </w:tr>
      <w:tr w:rsidR="003239B8" w:rsidRPr="00D842F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4E1374" w:rsidRDefault="003239B8">
            <w:pPr>
              <w:jc w:val="center"/>
              <w:rPr>
                <w:rFonts w:ascii="Cambria" w:hAnsi="Cambria"/>
                <w:b/>
                <w:bCs/>
                <w:i/>
                <w:color w:val="FFFFFF" w:themeColor="background1"/>
                <w:sz w:val="20"/>
                <w:szCs w:val="20"/>
                <w:lang w:val="es-ES"/>
              </w:rPr>
            </w:pPr>
            <w:r w:rsidRPr="004E1374">
              <w:rPr>
                <w:rFonts w:ascii="Cambria" w:hAnsi="Cambria"/>
                <w:b/>
                <w:bCs/>
                <w:color w:val="FFFFFF" w:themeColor="background1"/>
                <w:sz w:val="20"/>
                <w:szCs w:val="20"/>
                <w:lang w:val="es-ES"/>
              </w:rPr>
              <w:lastRenderedPageBreak/>
              <w:t>Derechos declarados admisibles</w:t>
            </w:r>
            <w:r w:rsidRPr="004E1374">
              <w:rPr>
                <w:rFonts w:ascii="Cambria" w:hAnsi="Cambria"/>
                <w:b/>
                <w:bCs/>
                <w:i/>
                <w:color w:val="FFFFFF" w:themeColor="background1"/>
                <w:sz w:val="20"/>
                <w:szCs w:val="20"/>
                <w:lang w:val="es-ES"/>
              </w:rPr>
              <w:t>:</w:t>
            </w:r>
          </w:p>
        </w:tc>
        <w:tc>
          <w:tcPr>
            <w:tcW w:w="5760" w:type="dxa"/>
            <w:vAlign w:val="center"/>
          </w:tcPr>
          <w:p w14:paraId="4DAE9D4D" w14:textId="29ED33AF" w:rsidR="003239B8" w:rsidRPr="004E1374" w:rsidRDefault="00311D6C">
            <w:pPr>
              <w:jc w:val="both"/>
              <w:rPr>
                <w:rFonts w:ascii="Cambria" w:hAnsi="Cambria"/>
                <w:bCs/>
                <w:sz w:val="20"/>
                <w:szCs w:val="20"/>
                <w:lang w:val="es-ES" w:bidi="es-ES"/>
              </w:rPr>
            </w:pPr>
            <w:r w:rsidRPr="004E1374">
              <w:rPr>
                <w:rFonts w:ascii="Cambria" w:hAnsi="Cambria"/>
                <w:bCs/>
                <w:sz w:val="20"/>
                <w:szCs w:val="20"/>
                <w:lang w:val="es-ES" w:bidi="es-ES"/>
              </w:rPr>
              <w:t>Artículos 3 (reconocimiento de la personalidad jurídica), 4 (vida), 5 (integridad personal), 7 (libertad personal), 8 (garantías judiciales) y 25 (protección judicial) de la Convención Americana, en relación con su artículo 1.1 (obligación de respetar los derechos); artículo I de la Convención Interamericana sobre Desaparición Forzada de Personas</w:t>
            </w:r>
          </w:p>
        </w:tc>
      </w:tr>
      <w:tr w:rsidR="003239B8" w:rsidRPr="00D842F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Agotamiento de recursos internos</w:t>
            </w:r>
            <w:r w:rsidR="00EE00E9" w:rsidRPr="004E1374">
              <w:rPr>
                <w:rFonts w:ascii="Cambria" w:hAnsi="Cambria"/>
                <w:b/>
                <w:bCs/>
                <w:color w:val="FFFFFF" w:themeColor="background1"/>
                <w:sz w:val="20"/>
                <w:szCs w:val="20"/>
                <w:lang w:val="es-ES"/>
              </w:rPr>
              <w:t xml:space="preserve"> o procedencia de una excepción</w:t>
            </w:r>
            <w:r w:rsidRPr="004E1374">
              <w:rPr>
                <w:rFonts w:ascii="Cambria" w:hAnsi="Cambria"/>
                <w:b/>
                <w:bCs/>
                <w:color w:val="FFFFFF" w:themeColor="background1"/>
                <w:sz w:val="20"/>
                <w:szCs w:val="20"/>
                <w:lang w:val="es-ES"/>
              </w:rPr>
              <w:t>:</w:t>
            </w:r>
          </w:p>
        </w:tc>
        <w:tc>
          <w:tcPr>
            <w:tcW w:w="5760" w:type="dxa"/>
            <w:vAlign w:val="center"/>
          </w:tcPr>
          <w:p w14:paraId="7F7C1A19" w14:textId="126BAE65" w:rsidR="003239B8" w:rsidRPr="004E1374" w:rsidRDefault="00A004BB">
            <w:pPr>
              <w:rPr>
                <w:rFonts w:ascii="Cambria" w:hAnsi="Cambria"/>
                <w:bCs/>
                <w:sz w:val="20"/>
                <w:szCs w:val="20"/>
                <w:lang w:val="es-ES"/>
              </w:rPr>
            </w:pPr>
            <w:r w:rsidRPr="004E1374">
              <w:rPr>
                <w:rFonts w:ascii="Cambria" w:hAnsi="Cambria"/>
                <w:bCs/>
                <w:sz w:val="20"/>
                <w:szCs w:val="20"/>
                <w:lang w:val="es-ES" w:bidi="es-ES"/>
              </w:rPr>
              <w:t xml:space="preserve">Sí, </w:t>
            </w:r>
            <w:r w:rsidR="00D75D54" w:rsidRPr="004E1374">
              <w:rPr>
                <w:rFonts w:ascii="Cambria" w:hAnsi="Cambria"/>
                <w:bCs/>
                <w:sz w:val="20"/>
                <w:szCs w:val="20"/>
                <w:lang w:val="es-ES" w:bidi="es-ES"/>
              </w:rPr>
              <w:t xml:space="preserve">la excepción del artículo 46.2.c) de la Convención, </w:t>
            </w:r>
            <w:r w:rsidR="004407B1" w:rsidRPr="004E1374">
              <w:rPr>
                <w:rFonts w:ascii="Cambria" w:hAnsi="Cambria"/>
                <w:bCs/>
                <w:sz w:val="20"/>
                <w:szCs w:val="20"/>
                <w:lang w:val="es-ES" w:bidi="es-ES"/>
              </w:rPr>
              <w:t>en los términos de la sección VI</w:t>
            </w:r>
          </w:p>
        </w:tc>
      </w:tr>
      <w:tr w:rsidR="003239B8" w:rsidRPr="00D842F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4E1374" w:rsidRDefault="003239B8">
            <w:pPr>
              <w:jc w:val="center"/>
              <w:rPr>
                <w:rFonts w:ascii="Cambria" w:hAnsi="Cambria"/>
                <w:b/>
                <w:bCs/>
                <w:color w:val="FFFFFF" w:themeColor="background1"/>
                <w:sz w:val="20"/>
                <w:szCs w:val="20"/>
                <w:lang w:val="es-ES"/>
              </w:rPr>
            </w:pPr>
            <w:r w:rsidRPr="004E1374">
              <w:rPr>
                <w:rFonts w:ascii="Cambria" w:hAnsi="Cambria"/>
                <w:b/>
                <w:bCs/>
                <w:color w:val="FFFFFF" w:themeColor="background1"/>
                <w:sz w:val="20"/>
                <w:szCs w:val="20"/>
                <w:lang w:val="es-ES"/>
              </w:rPr>
              <w:t>Presentación dentro de plazo:</w:t>
            </w:r>
          </w:p>
        </w:tc>
        <w:tc>
          <w:tcPr>
            <w:tcW w:w="5760" w:type="dxa"/>
            <w:vAlign w:val="center"/>
          </w:tcPr>
          <w:p w14:paraId="2AF0FC69" w14:textId="613F26D8" w:rsidR="003239B8" w:rsidRPr="004E1374" w:rsidRDefault="00A004BB">
            <w:pPr>
              <w:rPr>
                <w:rFonts w:ascii="Cambria" w:hAnsi="Cambria"/>
                <w:bCs/>
                <w:sz w:val="20"/>
                <w:szCs w:val="20"/>
                <w:lang w:val="es-ES"/>
              </w:rPr>
            </w:pPr>
            <w:r w:rsidRPr="004E1374">
              <w:rPr>
                <w:rFonts w:ascii="Cambria" w:hAnsi="Cambria"/>
                <w:bCs/>
                <w:sz w:val="20"/>
                <w:szCs w:val="20"/>
                <w:lang w:val="es-ES" w:bidi="es-ES"/>
              </w:rPr>
              <w:t>Sí, en los términos de la sección VI</w:t>
            </w:r>
          </w:p>
        </w:tc>
      </w:tr>
    </w:tbl>
    <w:p w14:paraId="56FD5D57" w14:textId="2C42D177" w:rsidR="003239B8" w:rsidRPr="004E1374" w:rsidRDefault="00223A29" w:rsidP="003371CF">
      <w:pPr>
        <w:spacing w:before="240" w:after="240"/>
        <w:ind w:firstLine="720"/>
        <w:jc w:val="both"/>
        <w:rPr>
          <w:rFonts w:asciiTheme="majorHAnsi" w:hAnsiTheme="majorHAnsi"/>
          <w:b/>
          <w:sz w:val="20"/>
          <w:szCs w:val="20"/>
          <w:lang w:val="es-ES" w:bidi="ar-YE"/>
        </w:rPr>
      </w:pPr>
      <w:r w:rsidRPr="004E1374">
        <w:rPr>
          <w:rFonts w:asciiTheme="majorHAnsi" w:hAnsiTheme="majorHAnsi"/>
          <w:b/>
          <w:sz w:val="20"/>
          <w:szCs w:val="20"/>
          <w:lang w:val="es-ES" w:bidi="ar-YE"/>
        </w:rPr>
        <w:t xml:space="preserve">V. </w:t>
      </w:r>
      <w:r w:rsidRPr="004E1374">
        <w:rPr>
          <w:rFonts w:asciiTheme="majorHAnsi" w:hAnsiTheme="majorHAnsi"/>
          <w:b/>
          <w:sz w:val="20"/>
          <w:szCs w:val="20"/>
          <w:lang w:val="es-ES" w:bidi="ar-YE"/>
        </w:rPr>
        <w:tab/>
      </w:r>
      <w:r w:rsidR="004241A0" w:rsidRPr="004E1374">
        <w:rPr>
          <w:rFonts w:asciiTheme="majorHAnsi" w:hAnsiTheme="majorHAnsi"/>
          <w:b/>
          <w:sz w:val="20"/>
          <w:szCs w:val="20"/>
          <w:lang w:val="es-ES" w:bidi="ar-YE"/>
        </w:rPr>
        <w:t>POSICIÓN DE LAS PARTES</w:t>
      </w:r>
      <w:r w:rsidR="003239B8" w:rsidRPr="004E1374">
        <w:rPr>
          <w:rFonts w:asciiTheme="majorHAnsi" w:hAnsiTheme="majorHAnsi"/>
          <w:b/>
          <w:sz w:val="20"/>
          <w:szCs w:val="20"/>
          <w:lang w:val="es-ES" w:bidi="ar-YE"/>
        </w:rPr>
        <w:t xml:space="preserve"> </w:t>
      </w:r>
    </w:p>
    <w:p w14:paraId="02ABDF56" w14:textId="537E0894" w:rsidR="002213C3" w:rsidRPr="004E1374" w:rsidRDefault="00E312C8" w:rsidP="003371C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b/>
          <w:bCs/>
          <w:sz w:val="20"/>
          <w:szCs w:val="20"/>
          <w:lang w:val="es-ES" w:bidi="ar-YE"/>
        </w:rPr>
      </w:pPr>
      <w:r w:rsidRPr="004E1374">
        <w:rPr>
          <w:b/>
          <w:bCs/>
          <w:sz w:val="20"/>
          <w:szCs w:val="20"/>
          <w:lang w:val="es-ES" w:bidi="ar-YE"/>
        </w:rPr>
        <w:t>L</w:t>
      </w:r>
      <w:r w:rsidR="00FB1B2C" w:rsidRPr="004E1374">
        <w:rPr>
          <w:b/>
          <w:bCs/>
          <w:sz w:val="20"/>
          <w:szCs w:val="20"/>
          <w:lang w:val="es-ES" w:bidi="ar-YE"/>
        </w:rPr>
        <w:t>a parte peticionaria</w:t>
      </w:r>
    </w:p>
    <w:p w14:paraId="35EE8848" w14:textId="3DD3F036" w:rsidR="00127DB0" w:rsidRPr="004E1374" w:rsidRDefault="00FB1B2C" w:rsidP="003371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bidi="ar-YE"/>
        </w:rPr>
      </w:pPr>
      <w:r w:rsidRPr="004E1374">
        <w:rPr>
          <w:sz w:val="20"/>
          <w:szCs w:val="20"/>
          <w:lang w:val="es-ES" w:bidi="ar-YE"/>
        </w:rPr>
        <w:t>La parte peticionaria denuncia</w:t>
      </w:r>
      <w:r w:rsidR="00127DB0" w:rsidRPr="004E1374">
        <w:rPr>
          <w:sz w:val="20"/>
          <w:szCs w:val="20"/>
          <w:lang w:val="es-ES" w:bidi="ar-YE"/>
        </w:rPr>
        <w:t xml:space="preserve"> </w:t>
      </w:r>
      <w:r w:rsidR="00A41B64" w:rsidRPr="004E1374">
        <w:rPr>
          <w:sz w:val="20"/>
          <w:szCs w:val="20"/>
          <w:lang w:val="es-ES" w:bidi="ar-YE"/>
        </w:rPr>
        <w:t>la desaparición forzada y posterior ejecución extrajudicial de Jorge Antonio Parral Rabadán</w:t>
      </w:r>
      <w:r w:rsidR="00E91CA3" w:rsidRPr="004E1374">
        <w:rPr>
          <w:sz w:val="20"/>
          <w:szCs w:val="20"/>
          <w:lang w:val="es-ES" w:bidi="ar-YE"/>
        </w:rPr>
        <w:t xml:space="preserve"> (en adelante también “el Sr. Parral” o “la presunta víctima”</w:t>
      </w:r>
      <w:r w:rsidR="005A5731" w:rsidRPr="004E1374">
        <w:rPr>
          <w:sz w:val="20"/>
          <w:szCs w:val="20"/>
          <w:lang w:val="es-ES" w:bidi="ar-YE"/>
        </w:rPr>
        <w:t>)</w:t>
      </w:r>
      <w:r w:rsidR="00A41B64" w:rsidRPr="004E1374">
        <w:rPr>
          <w:sz w:val="20"/>
          <w:szCs w:val="20"/>
          <w:lang w:val="es-ES" w:bidi="ar-YE"/>
        </w:rPr>
        <w:t>, así como la falta de investigación diligente y la ausencia de sanción a los responsables.</w:t>
      </w:r>
    </w:p>
    <w:p w14:paraId="41D4917A" w14:textId="2DC9139B" w:rsidR="009D10FC" w:rsidRPr="004E1374" w:rsidRDefault="001C4114" w:rsidP="003371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bidi="ar-YE"/>
        </w:rPr>
      </w:pPr>
      <w:r w:rsidRPr="004E1374">
        <w:rPr>
          <w:sz w:val="20"/>
          <w:szCs w:val="20"/>
          <w:lang w:val="es-ES" w:bidi="ar-YE"/>
        </w:rPr>
        <w:t>Los peticionarios narran que</w:t>
      </w:r>
      <w:r w:rsidR="00FB1B2C" w:rsidRPr="004E1374">
        <w:rPr>
          <w:sz w:val="20"/>
          <w:szCs w:val="20"/>
          <w:lang w:val="es-ES" w:bidi="ar-YE"/>
        </w:rPr>
        <w:t xml:space="preserve"> </w:t>
      </w:r>
      <w:r w:rsidR="00FB1B2C" w:rsidRPr="004E1374">
        <w:rPr>
          <w:rFonts w:ascii="Times New Roman" w:eastAsia="Arial Unicode MS" w:hAnsi="Times New Roman" w:cs="Times New Roman"/>
          <w:color w:val="auto"/>
          <w:sz w:val="20"/>
          <w:szCs w:val="20"/>
          <w:lang w:val="es-ES" w:eastAsia="en-US" w:bidi="ar-YE"/>
        </w:rPr>
        <w:t>e</w:t>
      </w:r>
      <w:r w:rsidR="00FB1B2C" w:rsidRPr="004E1374">
        <w:rPr>
          <w:sz w:val="20"/>
          <w:szCs w:val="20"/>
          <w:lang w:val="es-ES" w:bidi="ar-YE"/>
        </w:rPr>
        <w:t xml:space="preserve">n 2010 Jorge Antonio Parral Rabadán se desempeñaba como Administrador del Puente Internacional de Ciudad Camargo, Tamaulipas, trabajando para Caminos y Puentes Federales, organismo descentralizado de la Secretaría de Comunicaciones y Transportes. </w:t>
      </w:r>
      <w:r w:rsidR="00FB1B2C" w:rsidRPr="004E1374">
        <w:rPr>
          <w:rFonts w:ascii="Times New Roman" w:eastAsia="Arial Unicode MS" w:hAnsi="Times New Roman" w:cs="Times New Roman"/>
          <w:color w:val="auto"/>
          <w:sz w:val="20"/>
          <w:szCs w:val="20"/>
          <w:lang w:val="es-ES" w:eastAsia="en-US" w:bidi="ar-YE"/>
        </w:rPr>
        <w:t>A</w:t>
      </w:r>
      <w:r w:rsidR="00FB1B2C" w:rsidRPr="004E1374">
        <w:rPr>
          <w:sz w:val="20"/>
          <w:szCs w:val="20"/>
          <w:lang w:val="es-ES" w:bidi="ar-YE"/>
        </w:rPr>
        <w:t xml:space="preserve">nte las constantes balaceras y persecuciones entre delincuentes en el municipio de Ciudad Camargo, pidió reiteradamente protección para el personal y las instalaciones. </w:t>
      </w:r>
      <w:r w:rsidR="00A97452" w:rsidRPr="004E1374">
        <w:rPr>
          <w:sz w:val="20"/>
          <w:szCs w:val="20"/>
          <w:lang w:val="es-ES" w:bidi="ar-YE"/>
        </w:rPr>
        <w:t xml:space="preserve">En este contexto, el </w:t>
      </w:r>
      <w:r w:rsidR="00D77476" w:rsidRPr="004E1374">
        <w:rPr>
          <w:sz w:val="20"/>
          <w:szCs w:val="20"/>
          <w:lang w:val="es-ES" w:bidi="ar-YE"/>
        </w:rPr>
        <w:t>24 de abril de 2010 un comando armado secuestró a</w:t>
      </w:r>
      <w:r w:rsidR="003D265A" w:rsidRPr="004E1374">
        <w:rPr>
          <w:sz w:val="20"/>
          <w:szCs w:val="20"/>
          <w:lang w:val="es-ES" w:bidi="ar-YE"/>
        </w:rPr>
        <w:t xml:space="preserve">l Sr. Parral </w:t>
      </w:r>
      <w:r w:rsidR="00D77476" w:rsidRPr="004E1374">
        <w:rPr>
          <w:sz w:val="20"/>
          <w:szCs w:val="20"/>
          <w:lang w:val="es-ES" w:bidi="ar-YE"/>
        </w:rPr>
        <w:t>en su centro de trabajo</w:t>
      </w:r>
      <w:r w:rsidR="00F430AC" w:rsidRPr="004E1374">
        <w:rPr>
          <w:sz w:val="20"/>
          <w:szCs w:val="20"/>
          <w:lang w:val="es-ES" w:bidi="ar-YE"/>
        </w:rPr>
        <w:t>;</w:t>
      </w:r>
      <w:r w:rsidR="00D77476" w:rsidRPr="004E1374">
        <w:rPr>
          <w:sz w:val="20"/>
          <w:szCs w:val="20"/>
          <w:lang w:val="es-ES" w:bidi="ar-YE"/>
        </w:rPr>
        <w:t xml:space="preserve"> </w:t>
      </w:r>
      <w:r w:rsidR="00F430AC" w:rsidRPr="004E1374">
        <w:rPr>
          <w:sz w:val="20"/>
          <w:szCs w:val="20"/>
          <w:lang w:val="es-ES" w:bidi="ar-YE"/>
        </w:rPr>
        <w:t>s</w:t>
      </w:r>
      <w:r w:rsidR="00D77476" w:rsidRPr="004E1374">
        <w:rPr>
          <w:sz w:val="20"/>
          <w:szCs w:val="20"/>
          <w:lang w:val="es-ES" w:bidi="ar-YE"/>
        </w:rPr>
        <w:t xml:space="preserve">in embargo, ni la </w:t>
      </w:r>
      <w:r w:rsidR="00A62339" w:rsidRPr="004E1374">
        <w:rPr>
          <w:sz w:val="20"/>
          <w:szCs w:val="20"/>
          <w:lang w:val="es-ES" w:bidi="ar-YE"/>
        </w:rPr>
        <w:t xml:space="preserve">Secretaría de Comunicaciones y Transportes </w:t>
      </w:r>
      <w:r w:rsidR="00D77476" w:rsidRPr="004E1374">
        <w:rPr>
          <w:sz w:val="20"/>
          <w:szCs w:val="20"/>
          <w:lang w:val="es-ES" w:bidi="ar-YE"/>
        </w:rPr>
        <w:t xml:space="preserve">ni </w:t>
      </w:r>
      <w:r w:rsidR="00A62339" w:rsidRPr="004E1374">
        <w:rPr>
          <w:sz w:val="20"/>
          <w:szCs w:val="20"/>
          <w:lang w:val="es-ES" w:bidi="ar-YE"/>
        </w:rPr>
        <w:t xml:space="preserve">Caminos y Puentes Federales </w:t>
      </w:r>
      <w:r w:rsidR="005726B2" w:rsidRPr="004E1374">
        <w:rPr>
          <w:sz w:val="20"/>
          <w:szCs w:val="20"/>
          <w:lang w:val="es-ES" w:bidi="ar-YE"/>
        </w:rPr>
        <w:t>informa</w:t>
      </w:r>
      <w:r w:rsidR="005A7D51" w:rsidRPr="004E1374">
        <w:rPr>
          <w:sz w:val="20"/>
          <w:szCs w:val="20"/>
          <w:lang w:val="es-ES" w:bidi="ar-YE"/>
        </w:rPr>
        <w:t xml:space="preserve">ron </w:t>
      </w:r>
      <w:r w:rsidR="00D77476" w:rsidRPr="004E1374">
        <w:rPr>
          <w:sz w:val="20"/>
          <w:szCs w:val="20"/>
          <w:lang w:val="es-ES" w:bidi="ar-YE"/>
        </w:rPr>
        <w:t xml:space="preserve">a </w:t>
      </w:r>
      <w:r w:rsidR="005A7D51" w:rsidRPr="004E1374">
        <w:rPr>
          <w:sz w:val="20"/>
          <w:szCs w:val="20"/>
          <w:lang w:val="es-ES" w:bidi="ar-YE"/>
        </w:rPr>
        <w:t>sus</w:t>
      </w:r>
      <w:r w:rsidR="00D77476" w:rsidRPr="004E1374">
        <w:rPr>
          <w:sz w:val="20"/>
          <w:szCs w:val="20"/>
          <w:lang w:val="es-ES" w:bidi="ar-YE"/>
        </w:rPr>
        <w:t xml:space="preserve"> familia</w:t>
      </w:r>
      <w:r w:rsidR="005A7D51" w:rsidRPr="004E1374">
        <w:rPr>
          <w:sz w:val="20"/>
          <w:szCs w:val="20"/>
          <w:lang w:val="es-ES" w:bidi="ar-YE"/>
        </w:rPr>
        <w:t>res</w:t>
      </w:r>
      <w:r w:rsidR="00D77476" w:rsidRPr="004E1374">
        <w:rPr>
          <w:sz w:val="20"/>
          <w:szCs w:val="20"/>
          <w:lang w:val="es-ES" w:bidi="ar-YE"/>
        </w:rPr>
        <w:t>, quien</w:t>
      </w:r>
      <w:r w:rsidR="005A7D51" w:rsidRPr="004E1374">
        <w:rPr>
          <w:sz w:val="20"/>
          <w:szCs w:val="20"/>
          <w:lang w:val="es-ES" w:bidi="ar-YE"/>
        </w:rPr>
        <w:t>es</w:t>
      </w:r>
      <w:r w:rsidR="00D77476" w:rsidRPr="004E1374">
        <w:rPr>
          <w:sz w:val="20"/>
          <w:szCs w:val="20"/>
          <w:lang w:val="es-ES" w:bidi="ar-YE"/>
        </w:rPr>
        <w:t xml:space="preserve"> se enter</w:t>
      </w:r>
      <w:r w:rsidR="005A7D51" w:rsidRPr="004E1374">
        <w:rPr>
          <w:sz w:val="20"/>
          <w:szCs w:val="20"/>
          <w:lang w:val="es-ES" w:bidi="ar-YE"/>
        </w:rPr>
        <w:t>aron</w:t>
      </w:r>
      <w:r w:rsidR="00D77476" w:rsidRPr="004E1374">
        <w:rPr>
          <w:sz w:val="20"/>
          <w:szCs w:val="20"/>
          <w:lang w:val="es-ES" w:bidi="ar-YE"/>
        </w:rPr>
        <w:t xml:space="preserve"> al no poder comunicarse con él.</w:t>
      </w:r>
    </w:p>
    <w:p w14:paraId="0B257486" w14:textId="3EFB6417" w:rsidR="00AD516D" w:rsidRPr="004E1374" w:rsidRDefault="00A41B64" w:rsidP="003371C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 w:bidi="ar-YE"/>
        </w:rPr>
      </w:pPr>
      <w:r w:rsidRPr="004E1374">
        <w:rPr>
          <w:i/>
          <w:iCs/>
          <w:sz w:val="20"/>
          <w:szCs w:val="20"/>
          <w:lang w:val="es-ES" w:bidi="ar-YE"/>
        </w:rPr>
        <w:t>Denuncias e investigaciones</w:t>
      </w:r>
      <w:r w:rsidR="00D77476" w:rsidRPr="004E1374">
        <w:rPr>
          <w:i/>
          <w:iCs/>
          <w:sz w:val="20"/>
          <w:szCs w:val="20"/>
          <w:lang w:val="es-ES" w:bidi="ar-YE"/>
        </w:rPr>
        <w:t xml:space="preserve"> iniciales</w:t>
      </w:r>
    </w:p>
    <w:p w14:paraId="4BBC1C57" w14:textId="3898095D" w:rsidR="00FD31A6" w:rsidRPr="00D842F1" w:rsidRDefault="00D77476" w:rsidP="5BFA54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bidi="ar-YE"/>
        </w:rPr>
      </w:pPr>
      <w:r w:rsidRPr="5BFA54CF">
        <w:rPr>
          <w:sz w:val="20"/>
          <w:szCs w:val="20"/>
          <w:lang w:bidi="ar-YE"/>
        </w:rPr>
        <w:t xml:space="preserve">La parte peticionaria </w:t>
      </w:r>
      <w:r w:rsidR="00FD0284" w:rsidRPr="5BFA54CF">
        <w:rPr>
          <w:sz w:val="20"/>
          <w:szCs w:val="20"/>
          <w:lang w:bidi="ar-YE"/>
        </w:rPr>
        <w:t>cuenta</w:t>
      </w:r>
      <w:r w:rsidRPr="5BFA54CF">
        <w:rPr>
          <w:sz w:val="20"/>
          <w:szCs w:val="20"/>
          <w:lang w:bidi="ar-YE"/>
        </w:rPr>
        <w:t xml:space="preserve"> que los familiares </w:t>
      </w:r>
      <w:r w:rsidR="00FD0284" w:rsidRPr="5BFA54CF">
        <w:rPr>
          <w:sz w:val="20"/>
          <w:szCs w:val="20"/>
          <w:lang w:bidi="ar-YE"/>
        </w:rPr>
        <w:t xml:space="preserve">del Sr. Parral </w:t>
      </w:r>
      <w:r w:rsidRPr="5BFA54CF">
        <w:rPr>
          <w:sz w:val="20"/>
          <w:szCs w:val="20"/>
          <w:lang w:bidi="ar-YE"/>
        </w:rPr>
        <w:t>viajaron de inmediato de Cuernavaca a Reynosa para buscar</w:t>
      </w:r>
      <w:r w:rsidR="00D00AE1" w:rsidRPr="5BFA54CF">
        <w:rPr>
          <w:sz w:val="20"/>
          <w:szCs w:val="20"/>
          <w:lang w:bidi="ar-YE"/>
        </w:rPr>
        <w:t>lo</w:t>
      </w:r>
      <w:r w:rsidR="00F65D69" w:rsidRPr="5BFA54CF">
        <w:rPr>
          <w:sz w:val="20"/>
          <w:szCs w:val="20"/>
          <w:lang w:bidi="ar-YE"/>
        </w:rPr>
        <w:t>. D</w:t>
      </w:r>
      <w:r w:rsidRPr="5BFA54CF">
        <w:rPr>
          <w:sz w:val="20"/>
          <w:szCs w:val="20"/>
          <w:lang w:bidi="ar-YE"/>
        </w:rPr>
        <w:t>os días después</w:t>
      </w:r>
      <w:r w:rsidR="00897809" w:rsidRPr="5BFA54CF">
        <w:rPr>
          <w:sz w:val="20"/>
          <w:szCs w:val="20"/>
          <w:lang w:bidi="ar-YE"/>
        </w:rPr>
        <w:t xml:space="preserve"> de los hechos</w:t>
      </w:r>
      <w:r w:rsidR="00F65D69" w:rsidRPr="5BFA54CF">
        <w:rPr>
          <w:sz w:val="20"/>
          <w:szCs w:val="20"/>
          <w:lang w:bidi="ar-YE"/>
        </w:rPr>
        <w:t>,</w:t>
      </w:r>
      <w:r w:rsidR="00897809" w:rsidRPr="5BFA54CF">
        <w:rPr>
          <w:sz w:val="20"/>
          <w:szCs w:val="20"/>
          <w:lang w:bidi="ar-YE"/>
        </w:rPr>
        <w:t xml:space="preserve"> y</w:t>
      </w:r>
      <w:r w:rsidRPr="5BFA54CF">
        <w:rPr>
          <w:sz w:val="20"/>
          <w:szCs w:val="20"/>
          <w:lang w:bidi="ar-YE"/>
        </w:rPr>
        <w:t xml:space="preserve"> a insistencia de la familia, </w:t>
      </w:r>
      <w:r w:rsidR="00897809" w:rsidRPr="5BFA54CF">
        <w:rPr>
          <w:sz w:val="20"/>
          <w:szCs w:val="20"/>
          <w:lang w:bidi="ar-YE"/>
        </w:rPr>
        <w:t xml:space="preserve">Caminos y Puentes Federales </w:t>
      </w:r>
      <w:r w:rsidRPr="5BFA54CF">
        <w:rPr>
          <w:sz w:val="20"/>
          <w:szCs w:val="20"/>
          <w:lang w:bidi="ar-YE"/>
        </w:rPr>
        <w:t xml:space="preserve">presentó una denuncia. Sin embargo, la </w:t>
      </w:r>
      <w:r w:rsidR="00F65D69" w:rsidRPr="5BFA54CF">
        <w:rPr>
          <w:sz w:val="20"/>
          <w:szCs w:val="20"/>
          <w:lang w:bidi="ar-YE"/>
        </w:rPr>
        <w:t xml:space="preserve">Delegación de Reynosa de la </w:t>
      </w:r>
      <w:r w:rsidRPr="5BFA54CF">
        <w:rPr>
          <w:sz w:val="20"/>
          <w:szCs w:val="20"/>
          <w:lang w:bidi="ar-YE"/>
        </w:rPr>
        <w:t>Procuraduría General de la República (PGR) se habría negado a investigar con prontitud</w:t>
      </w:r>
      <w:r w:rsidR="00550713" w:rsidRPr="5BFA54CF">
        <w:rPr>
          <w:sz w:val="20"/>
          <w:szCs w:val="20"/>
          <w:lang w:bidi="ar-YE"/>
        </w:rPr>
        <w:t>,</w:t>
      </w:r>
      <w:r w:rsidRPr="5BFA54CF">
        <w:rPr>
          <w:sz w:val="20"/>
          <w:szCs w:val="20"/>
          <w:lang w:bidi="ar-YE"/>
        </w:rPr>
        <w:t xml:space="preserve"> argumentando que estaban “</w:t>
      </w:r>
      <w:r w:rsidRPr="5BFA54CF">
        <w:rPr>
          <w:i/>
          <w:iCs/>
          <w:sz w:val="20"/>
          <w:szCs w:val="20"/>
          <w:lang w:bidi="ar-YE"/>
        </w:rPr>
        <w:t>rebasados por la delincuencia organizada</w:t>
      </w:r>
      <w:r w:rsidRPr="5BFA54CF">
        <w:rPr>
          <w:sz w:val="20"/>
          <w:szCs w:val="20"/>
          <w:lang w:bidi="ar-YE"/>
        </w:rPr>
        <w:t>”.</w:t>
      </w:r>
      <w:r w:rsidR="00592961" w:rsidRPr="5BFA54CF">
        <w:rPr>
          <w:sz w:val="20"/>
          <w:szCs w:val="20"/>
          <w:lang w:bidi="ar-YE"/>
        </w:rPr>
        <w:t xml:space="preserve"> </w:t>
      </w:r>
    </w:p>
    <w:p w14:paraId="7352FFD4" w14:textId="042B4911" w:rsidR="00D77476" w:rsidRPr="004E1374" w:rsidRDefault="00D77476" w:rsidP="003371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bidi="ar-YE"/>
        </w:rPr>
      </w:pPr>
      <w:r w:rsidRPr="004E1374">
        <w:rPr>
          <w:sz w:val="20"/>
          <w:szCs w:val="20"/>
          <w:lang w:val="es-ES" w:bidi="ar-YE"/>
        </w:rPr>
        <w:t xml:space="preserve">La parte peticionaria señala que la familia </w:t>
      </w:r>
      <w:r w:rsidR="003D5219" w:rsidRPr="004E1374">
        <w:rPr>
          <w:sz w:val="20"/>
          <w:szCs w:val="20"/>
          <w:lang w:val="es-ES" w:bidi="ar-YE"/>
        </w:rPr>
        <w:t xml:space="preserve">también </w:t>
      </w:r>
      <w:r w:rsidRPr="004E1374">
        <w:rPr>
          <w:sz w:val="20"/>
          <w:szCs w:val="20"/>
          <w:lang w:val="es-ES" w:bidi="ar-YE"/>
        </w:rPr>
        <w:t xml:space="preserve">acudió a distintas instancias federales, incluida la Oficina de la Red Federal de Atención Ciudadana de la Presidencia de la República, sin obtener resultados </w:t>
      </w:r>
      <w:r w:rsidR="00503536" w:rsidRPr="004E1374">
        <w:rPr>
          <w:sz w:val="20"/>
          <w:szCs w:val="20"/>
          <w:lang w:val="es-ES" w:bidi="ar-YE"/>
        </w:rPr>
        <w:t>concretos</w:t>
      </w:r>
      <w:r w:rsidRPr="004E1374">
        <w:rPr>
          <w:sz w:val="20"/>
          <w:szCs w:val="20"/>
          <w:lang w:val="es-ES" w:bidi="ar-YE"/>
        </w:rPr>
        <w:t>. En junio de 2010</w:t>
      </w:r>
      <w:r w:rsidR="00550713">
        <w:rPr>
          <w:sz w:val="20"/>
          <w:szCs w:val="20"/>
          <w:lang w:val="es-ES" w:bidi="ar-YE"/>
        </w:rPr>
        <w:t>,</w:t>
      </w:r>
      <w:r w:rsidRPr="004E1374">
        <w:rPr>
          <w:sz w:val="20"/>
          <w:szCs w:val="20"/>
          <w:lang w:val="es-ES" w:bidi="ar-YE"/>
        </w:rPr>
        <w:t xml:space="preserve"> la Subprocuraduría Especializada en Investigación de Delincuencia Organizada (SEIDO) atrajo el caso, y en septiembre de ese año la Unidad Especializada en Secuestros tomó muestras de ADN del padre </w:t>
      </w:r>
      <w:r w:rsidR="00181C7B" w:rsidRPr="004E1374">
        <w:rPr>
          <w:sz w:val="20"/>
          <w:szCs w:val="20"/>
          <w:lang w:val="es-ES" w:bidi="ar-YE"/>
        </w:rPr>
        <w:t>de la presunta víctima</w:t>
      </w:r>
      <w:r w:rsidRPr="004E1374">
        <w:rPr>
          <w:sz w:val="20"/>
          <w:szCs w:val="20"/>
          <w:lang w:val="es-ES" w:bidi="ar-YE"/>
        </w:rPr>
        <w:t>.</w:t>
      </w:r>
    </w:p>
    <w:p w14:paraId="33DE7443" w14:textId="4F729E90" w:rsidR="00D77476" w:rsidRDefault="00D77476"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 xml:space="preserve">Según la parte peticionaria, en diciembre de 2010 los familiares solicitaron a la Oficina de la Red de Atención Ciudadana de la Presidencia que indagara si el vehículo </w:t>
      </w:r>
      <w:r w:rsidR="002F2469" w:rsidRPr="004E1374">
        <w:rPr>
          <w:sz w:val="20"/>
          <w:szCs w:val="20"/>
          <w:lang w:val="es-ES" w:bidi="ar-YE"/>
        </w:rPr>
        <w:t>del Sr. Parral</w:t>
      </w:r>
      <w:r w:rsidRPr="004E1374">
        <w:rPr>
          <w:sz w:val="20"/>
          <w:szCs w:val="20"/>
          <w:lang w:val="es-ES" w:bidi="ar-YE"/>
        </w:rPr>
        <w:t xml:space="preserve"> se encontraba en poder de alguna autoridad. El 26 de enero de 2011 la Secretaría de la Defensa Nacional respondió que había incautado un vehículo de las mismas características durante un enfrentamiento en el rancho “El Puerto”, </w:t>
      </w:r>
      <w:r w:rsidR="0036410B" w:rsidRPr="004E1374">
        <w:rPr>
          <w:sz w:val="20"/>
          <w:szCs w:val="20"/>
          <w:lang w:val="es-ES" w:bidi="ar-YE"/>
        </w:rPr>
        <w:t xml:space="preserve">en </w:t>
      </w:r>
      <w:r w:rsidRPr="004E1374">
        <w:rPr>
          <w:sz w:val="20"/>
          <w:szCs w:val="20"/>
          <w:lang w:val="es-ES" w:bidi="ar-YE"/>
        </w:rPr>
        <w:t xml:space="preserve">Nuevo León. Sin embargo, se habría afirmado desconocer el paradero </w:t>
      </w:r>
      <w:r w:rsidR="00B101EF" w:rsidRPr="004E1374">
        <w:rPr>
          <w:sz w:val="20"/>
          <w:szCs w:val="20"/>
          <w:lang w:val="es-ES" w:bidi="ar-YE"/>
        </w:rPr>
        <w:t>del Sr. Parral</w:t>
      </w:r>
      <w:r w:rsidRPr="004E1374">
        <w:rPr>
          <w:sz w:val="20"/>
          <w:szCs w:val="20"/>
          <w:lang w:val="es-ES" w:bidi="ar-YE"/>
        </w:rPr>
        <w:t xml:space="preserve"> y se omitió </w:t>
      </w:r>
      <w:r w:rsidR="009631F6">
        <w:rPr>
          <w:sz w:val="20"/>
          <w:szCs w:val="20"/>
          <w:lang w:val="es-ES" w:bidi="ar-YE"/>
        </w:rPr>
        <w:t>mencionar</w:t>
      </w:r>
      <w:r w:rsidR="009631F6" w:rsidRPr="004E1374">
        <w:rPr>
          <w:sz w:val="20"/>
          <w:szCs w:val="20"/>
          <w:lang w:val="es-ES" w:bidi="ar-YE"/>
        </w:rPr>
        <w:t xml:space="preserve"> </w:t>
      </w:r>
      <w:r w:rsidRPr="004E1374">
        <w:rPr>
          <w:sz w:val="20"/>
          <w:szCs w:val="20"/>
          <w:lang w:val="es-ES" w:bidi="ar-YE"/>
        </w:rPr>
        <w:t xml:space="preserve">que en el mismo lugar se </w:t>
      </w:r>
      <w:r w:rsidR="009631F6">
        <w:rPr>
          <w:sz w:val="20"/>
          <w:szCs w:val="20"/>
          <w:lang w:val="es-ES" w:bidi="ar-YE"/>
        </w:rPr>
        <w:t>había encontrado</w:t>
      </w:r>
      <w:r w:rsidRPr="004E1374">
        <w:rPr>
          <w:sz w:val="20"/>
          <w:szCs w:val="20"/>
          <w:lang w:val="es-ES" w:bidi="ar-YE"/>
        </w:rPr>
        <w:t xml:space="preserve"> una credencial con la fotografía e información personal </w:t>
      </w:r>
      <w:r w:rsidR="00B101EF" w:rsidRPr="004E1374">
        <w:rPr>
          <w:sz w:val="20"/>
          <w:szCs w:val="20"/>
          <w:lang w:val="es-ES" w:bidi="ar-YE"/>
        </w:rPr>
        <w:t>de este</w:t>
      </w:r>
      <w:r w:rsidRPr="004E1374">
        <w:rPr>
          <w:sz w:val="20"/>
          <w:szCs w:val="20"/>
          <w:lang w:val="es-ES" w:bidi="ar-YE"/>
        </w:rPr>
        <w:t>.</w:t>
      </w:r>
      <w:r w:rsidR="00592961" w:rsidRPr="004E1374">
        <w:rPr>
          <w:sz w:val="20"/>
          <w:szCs w:val="20"/>
          <w:lang w:val="es-ES" w:bidi="ar-YE"/>
        </w:rPr>
        <w:t xml:space="preserve"> </w:t>
      </w:r>
      <w:r w:rsidRPr="004E1374">
        <w:rPr>
          <w:sz w:val="20"/>
          <w:szCs w:val="20"/>
          <w:lang w:val="es-ES" w:bidi="ar-YE"/>
        </w:rPr>
        <w:t xml:space="preserve">La parte peticionaria </w:t>
      </w:r>
      <w:r w:rsidR="00592961" w:rsidRPr="004E1374">
        <w:rPr>
          <w:sz w:val="20"/>
          <w:szCs w:val="20"/>
          <w:lang w:val="es-ES" w:bidi="ar-YE"/>
        </w:rPr>
        <w:t>informa</w:t>
      </w:r>
      <w:r w:rsidRPr="004E1374">
        <w:rPr>
          <w:sz w:val="20"/>
          <w:szCs w:val="20"/>
          <w:lang w:val="es-ES" w:bidi="ar-YE"/>
        </w:rPr>
        <w:t xml:space="preserve"> que pocos días después de esta respuesta, la Dirección General de Derechos Humanos de la </w:t>
      </w:r>
      <w:r w:rsidR="00FC6F0F" w:rsidRPr="004E1374">
        <w:rPr>
          <w:sz w:val="20"/>
          <w:szCs w:val="20"/>
          <w:lang w:val="es-ES" w:bidi="ar-YE"/>
        </w:rPr>
        <w:t xml:space="preserve">propia Secretaría de </w:t>
      </w:r>
      <w:r w:rsidR="00820551">
        <w:rPr>
          <w:sz w:val="20"/>
          <w:szCs w:val="20"/>
          <w:lang w:val="es-ES" w:bidi="ar-YE"/>
        </w:rPr>
        <w:t xml:space="preserve">la </w:t>
      </w:r>
      <w:r w:rsidR="00FC6F0F" w:rsidRPr="004E1374">
        <w:rPr>
          <w:sz w:val="20"/>
          <w:szCs w:val="20"/>
          <w:lang w:val="es-ES" w:bidi="ar-YE"/>
        </w:rPr>
        <w:t>Defensa Nacional</w:t>
      </w:r>
      <w:r w:rsidRPr="004E1374">
        <w:rPr>
          <w:sz w:val="20"/>
          <w:szCs w:val="20"/>
          <w:lang w:val="es-ES" w:bidi="ar-YE"/>
        </w:rPr>
        <w:t xml:space="preserve"> presentó a l</w:t>
      </w:r>
      <w:r w:rsidR="00FC6F0F" w:rsidRPr="004E1374">
        <w:rPr>
          <w:sz w:val="20"/>
          <w:szCs w:val="20"/>
          <w:lang w:val="es-ES" w:bidi="ar-YE"/>
        </w:rPr>
        <w:t>os</w:t>
      </w:r>
      <w:r w:rsidRPr="004E1374">
        <w:rPr>
          <w:sz w:val="20"/>
          <w:szCs w:val="20"/>
          <w:lang w:val="es-ES" w:bidi="ar-YE"/>
        </w:rPr>
        <w:t xml:space="preserve"> familia</w:t>
      </w:r>
      <w:r w:rsidR="00FC6F0F" w:rsidRPr="004E1374">
        <w:rPr>
          <w:sz w:val="20"/>
          <w:szCs w:val="20"/>
          <w:lang w:val="es-ES" w:bidi="ar-YE"/>
        </w:rPr>
        <w:t>res</w:t>
      </w:r>
      <w:r w:rsidRPr="004E1374">
        <w:rPr>
          <w:sz w:val="20"/>
          <w:szCs w:val="20"/>
          <w:lang w:val="es-ES" w:bidi="ar-YE"/>
        </w:rPr>
        <w:t xml:space="preserve"> un cheque de compensación, condicionándolo a la firma de un documento mediante el cual </w:t>
      </w:r>
      <w:r w:rsidR="00FC6F0F" w:rsidRPr="004E1374">
        <w:rPr>
          <w:sz w:val="20"/>
          <w:szCs w:val="20"/>
          <w:lang w:val="es-ES" w:bidi="ar-YE"/>
        </w:rPr>
        <w:t>estos</w:t>
      </w:r>
      <w:r w:rsidRPr="004E1374">
        <w:rPr>
          <w:sz w:val="20"/>
          <w:szCs w:val="20"/>
          <w:lang w:val="es-ES" w:bidi="ar-YE"/>
        </w:rPr>
        <w:t xml:space="preserve"> renunciaba</w:t>
      </w:r>
      <w:r w:rsidR="00FC6F0F" w:rsidRPr="004E1374">
        <w:rPr>
          <w:sz w:val="20"/>
          <w:szCs w:val="20"/>
          <w:lang w:val="es-ES" w:bidi="ar-YE"/>
        </w:rPr>
        <w:t>n</w:t>
      </w:r>
      <w:r w:rsidRPr="004E1374">
        <w:rPr>
          <w:sz w:val="20"/>
          <w:szCs w:val="20"/>
          <w:lang w:val="es-ES" w:bidi="ar-YE"/>
        </w:rPr>
        <w:t xml:space="preserve"> a cualquier acción legal futura contra el gobierno, incluido el entonces presidente Felipe Calderón. La familia se negó a firmar y </w:t>
      </w:r>
      <w:r w:rsidR="00043385" w:rsidRPr="004E1374">
        <w:rPr>
          <w:sz w:val="20"/>
          <w:szCs w:val="20"/>
          <w:lang w:val="es-ES" w:bidi="ar-YE"/>
        </w:rPr>
        <w:t xml:space="preserve">a </w:t>
      </w:r>
      <w:r w:rsidRPr="004E1374">
        <w:rPr>
          <w:sz w:val="20"/>
          <w:szCs w:val="20"/>
          <w:lang w:val="es-ES" w:bidi="ar-YE"/>
        </w:rPr>
        <w:t xml:space="preserve">recibir </w:t>
      </w:r>
      <w:r w:rsidR="00043385" w:rsidRPr="004E1374">
        <w:rPr>
          <w:sz w:val="20"/>
          <w:szCs w:val="20"/>
          <w:lang w:val="es-ES" w:bidi="ar-YE"/>
        </w:rPr>
        <w:t>ese</w:t>
      </w:r>
      <w:r w:rsidRPr="004E1374">
        <w:rPr>
          <w:sz w:val="20"/>
          <w:szCs w:val="20"/>
          <w:lang w:val="es-ES" w:bidi="ar-YE"/>
        </w:rPr>
        <w:t xml:space="preserve"> cheque.</w:t>
      </w:r>
    </w:p>
    <w:p w14:paraId="512853E1" w14:textId="77777777" w:rsidR="000D47C4" w:rsidRPr="004E1374" w:rsidRDefault="000D47C4" w:rsidP="000D47C4">
      <w:pPr>
        <w:pStyle w:val="ListParagraph"/>
        <w:widowControl w:val="0"/>
        <w:autoSpaceDE w:val="0"/>
        <w:autoSpaceDN w:val="0"/>
        <w:spacing w:before="240" w:after="240"/>
        <w:jc w:val="both"/>
        <w:rPr>
          <w:sz w:val="20"/>
          <w:szCs w:val="20"/>
          <w:lang w:val="es-ES" w:bidi="ar-YE"/>
        </w:rPr>
      </w:pPr>
    </w:p>
    <w:p w14:paraId="781F0867" w14:textId="6563D4AD" w:rsidR="00D77476" w:rsidRPr="004E1374" w:rsidRDefault="00D77476"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lastRenderedPageBreak/>
        <w:t>La parte peticionaria indica que en febrero de 2011</w:t>
      </w:r>
      <w:r w:rsidR="00BD7C58">
        <w:rPr>
          <w:sz w:val="20"/>
          <w:szCs w:val="20"/>
          <w:lang w:val="es-ES" w:bidi="ar-YE"/>
        </w:rPr>
        <w:t xml:space="preserve"> —</w:t>
      </w:r>
      <w:r w:rsidRPr="004E1374">
        <w:rPr>
          <w:sz w:val="20"/>
          <w:szCs w:val="20"/>
          <w:lang w:val="es-ES" w:bidi="ar-YE"/>
        </w:rPr>
        <w:t>once meses después del secuestr</w:t>
      </w:r>
      <w:r w:rsidR="00BD7C58">
        <w:rPr>
          <w:sz w:val="20"/>
          <w:szCs w:val="20"/>
          <w:lang w:val="es-ES" w:bidi="ar-YE"/>
        </w:rPr>
        <w:t>o—</w:t>
      </w:r>
      <w:r w:rsidRPr="004E1374">
        <w:rPr>
          <w:sz w:val="20"/>
          <w:szCs w:val="20"/>
          <w:lang w:val="es-ES" w:bidi="ar-YE"/>
        </w:rPr>
        <w:t xml:space="preserve"> la familia encontró en medios periodísticos notas del 26 de abril de 2010 que describían un enfrentamiento en el rancho “El Puerto”, con cuatro detenidos, siete personas liberadas y tres presuntos “sicarios” abatidos. Entre las notas figuraban nombres y fotografías de los detenidos en el penal de Apodaca, N</w:t>
      </w:r>
      <w:r w:rsidR="00CC7F93" w:rsidRPr="004E1374">
        <w:rPr>
          <w:sz w:val="20"/>
          <w:szCs w:val="20"/>
          <w:lang w:val="es-ES" w:bidi="ar-YE"/>
        </w:rPr>
        <w:t>uevo León</w:t>
      </w:r>
      <w:r w:rsidRPr="004E1374">
        <w:rPr>
          <w:sz w:val="20"/>
          <w:szCs w:val="20"/>
          <w:lang w:val="es-ES" w:bidi="ar-YE"/>
        </w:rPr>
        <w:t xml:space="preserve">, datos que fueron entregados a la SEIDO. A raíz de ello, la SEIDO verificó que uno de los cuerpos reportados como “sicarios” era el </w:t>
      </w:r>
      <w:r w:rsidR="007A15D1" w:rsidRPr="004E1374">
        <w:rPr>
          <w:sz w:val="20"/>
          <w:szCs w:val="20"/>
          <w:lang w:val="es-ES" w:bidi="ar-YE"/>
        </w:rPr>
        <w:t>del Sr. Parral</w:t>
      </w:r>
      <w:r w:rsidRPr="004E1374">
        <w:rPr>
          <w:sz w:val="20"/>
          <w:szCs w:val="20"/>
          <w:lang w:val="es-ES" w:bidi="ar-YE"/>
        </w:rPr>
        <w:t>, confirmado mediante la prueba de ADN de su padre.</w:t>
      </w:r>
    </w:p>
    <w:p w14:paraId="59923DFE" w14:textId="41E2CECF" w:rsidR="00D77476" w:rsidRPr="004E1374" w:rsidRDefault="00D77476"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 xml:space="preserve">La parte peticionaria </w:t>
      </w:r>
      <w:r w:rsidR="006D7482" w:rsidRPr="004E1374">
        <w:rPr>
          <w:sz w:val="20"/>
          <w:szCs w:val="20"/>
          <w:lang w:val="es-ES" w:bidi="ar-YE"/>
        </w:rPr>
        <w:t>considera</w:t>
      </w:r>
      <w:r w:rsidRPr="004E1374">
        <w:rPr>
          <w:sz w:val="20"/>
          <w:szCs w:val="20"/>
          <w:lang w:val="es-ES" w:bidi="ar-YE"/>
        </w:rPr>
        <w:t xml:space="preserve"> que Jorge</w:t>
      </w:r>
      <w:r w:rsidR="009336F9" w:rsidRPr="004E1374">
        <w:rPr>
          <w:sz w:val="20"/>
          <w:szCs w:val="20"/>
          <w:lang w:val="es-ES" w:bidi="ar-YE"/>
        </w:rPr>
        <w:t xml:space="preserve"> Antonio Parral Radabán</w:t>
      </w:r>
      <w:r w:rsidRPr="004E1374">
        <w:rPr>
          <w:sz w:val="20"/>
          <w:szCs w:val="20"/>
          <w:lang w:val="es-ES" w:bidi="ar-YE"/>
        </w:rPr>
        <w:t xml:space="preserve"> fue ejecutado por elementos del </w:t>
      </w:r>
      <w:r w:rsidR="00140CEF">
        <w:rPr>
          <w:sz w:val="20"/>
          <w:szCs w:val="20"/>
          <w:lang w:val="es-ES" w:bidi="ar-YE"/>
        </w:rPr>
        <w:t>E</w:t>
      </w:r>
      <w:r w:rsidRPr="004E1374">
        <w:rPr>
          <w:sz w:val="20"/>
          <w:szCs w:val="20"/>
          <w:lang w:val="es-ES" w:bidi="ar-YE"/>
        </w:rPr>
        <w:t xml:space="preserve">jército el 26 de abril de 2010, apenas dos días después de su secuestro, y entregado a las autoridades ministeriales en calidad de “desconocido” y etiquetado como “sicario”. Afirma que durante once meses la PGR de Nuevo León ocultó información sobre el hallazgo del vehículo y de la credencial de </w:t>
      </w:r>
      <w:r w:rsidR="00AC035E" w:rsidRPr="004E1374">
        <w:rPr>
          <w:sz w:val="20"/>
          <w:szCs w:val="20"/>
          <w:lang w:val="es-ES" w:bidi="ar-YE"/>
        </w:rPr>
        <w:t>Caminos y Puentes Federales</w:t>
      </w:r>
      <w:r w:rsidRPr="004E1374">
        <w:rPr>
          <w:sz w:val="20"/>
          <w:szCs w:val="20"/>
          <w:lang w:val="es-ES" w:bidi="ar-YE"/>
        </w:rPr>
        <w:t xml:space="preserve">. Alega que el Servicio Médico Forense de Nuevo León omitió señas particulares y modificó detalles de la indumentaria, lo que habría dificultado la identificación de la presunta víctima. </w:t>
      </w:r>
      <w:r w:rsidR="000E7F04" w:rsidRPr="004E1374">
        <w:rPr>
          <w:sz w:val="20"/>
          <w:szCs w:val="20"/>
          <w:lang w:val="es-ES" w:bidi="ar-YE"/>
        </w:rPr>
        <w:t>Su</w:t>
      </w:r>
      <w:r w:rsidRPr="004E1374">
        <w:rPr>
          <w:sz w:val="20"/>
          <w:szCs w:val="20"/>
          <w:lang w:val="es-ES" w:bidi="ar-YE"/>
        </w:rPr>
        <w:t xml:space="preserve"> cuerpo fue inhumado en una fosa común en Monterrey, a pesar de haber datos suficientes para notificar a la familia.</w:t>
      </w:r>
    </w:p>
    <w:p w14:paraId="33A30421" w14:textId="729E7C39" w:rsidR="006D7482" w:rsidRPr="004E1374" w:rsidRDefault="006D748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La parte peticionaria también informa que en abril de 2011 los familiares presentaron una queja ante la Comisión Nacional de los Derechos Humanos (CNDH). Tres años después, la CNDH emitió la Recomendación 57/2013, que reconoce la ejecución y desaparición de</w:t>
      </w:r>
      <w:r w:rsidR="0010512E" w:rsidRPr="004E1374">
        <w:rPr>
          <w:sz w:val="20"/>
          <w:szCs w:val="20"/>
          <w:lang w:val="es-ES" w:bidi="ar-YE"/>
        </w:rPr>
        <w:t xml:space="preserve">l Sr. Parral </w:t>
      </w:r>
      <w:r w:rsidRPr="004E1374">
        <w:rPr>
          <w:sz w:val="20"/>
          <w:szCs w:val="20"/>
          <w:lang w:val="es-ES" w:bidi="ar-YE"/>
        </w:rPr>
        <w:t xml:space="preserve">a manos de elementos militares, concluyendo que recibió disparos a muy corta distancia mientras se encontraba secuestrado e indefenso. No obstante, la parte peticionaria </w:t>
      </w:r>
      <w:r w:rsidR="00DA2A82" w:rsidRPr="004E1374">
        <w:rPr>
          <w:sz w:val="20"/>
          <w:szCs w:val="20"/>
          <w:lang w:val="es-ES" w:bidi="ar-YE"/>
        </w:rPr>
        <w:t>cuestiona</w:t>
      </w:r>
      <w:r w:rsidRPr="004E1374">
        <w:rPr>
          <w:sz w:val="20"/>
          <w:szCs w:val="20"/>
          <w:lang w:val="es-ES" w:bidi="ar-YE"/>
        </w:rPr>
        <w:t xml:space="preserve"> que la CNDH no profundiz</w:t>
      </w:r>
      <w:r w:rsidR="00DA2A82" w:rsidRPr="004E1374">
        <w:rPr>
          <w:sz w:val="20"/>
          <w:szCs w:val="20"/>
          <w:lang w:val="es-ES" w:bidi="ar-YE"/>
        </w:rPr>
        <w:t>ó</w:t>
      </w:r>
      <w:r w:rsidRPr="004E1374">
        <w:rPr>
          <w:sz w:val="20"/>
          <w:szCs w:val="20"/>
          <w:lang w:val="es-ES" w:bidi="ar-YE"/>
        </w:rPr>
        <w:t xml:space="preserve"> en la responsabilidad de </w:t>
      </w:r>
      <w:r w:rsidR="00D54CC8" w:rsidRPr="004E1374">
        <w:rPr>
          <w:sz w:val="20"/>
          <w:szCs w:val="20"/>
          <w:lang w:val="es-ES" w:bidi="ar-YE"/>
        </w:rPr>
        <w:t>Caminos y</w:t>
      </w:r>
      <w:r w:rsidR="00350181" w:rsidRPr="004E1374">
        <w:rPr>
          <w:sz w:val="20"/>
          <w:szCs w:val="20"/>
          <w:lang w:val="es-ES" w:bidi="ar-YE"/>
        </w:rPr>
        <w:t xml:space="preserve"> Puentes Federales</w:t>
      </w:r>
      <w:r w:rsidRPr="004E1374">
        <w:rPr>
          <w:sz w:val="20"/>
          <w:szCs w:val="20"/>
          <w:lang w:val="es-ES" w:bidi="ar-YE"/>
        </w:rPr>
        <w:t xml:space="preserve"> y la </w:t>
      </w:r>
      <w:r w:rsidR="00BE583E" w:rsidRPr="004E1374">
        <w:rPr>
          <w:sz w:val="20"/>
          <w:szCs w:val="20"/>
          <w:lang w:val="es-ES" w:bidi="ar-YE"/>
        </w:rPr>
        <w:t>Secretaría de Comunicaciones y Transporte</w:t>
      </w:r>
      <w:r w:rsidRPr="004E1374">
        <w:rPr>
          <w:sz w:val="20"/>
          <w:szCs w:val="20"/>
          <w:lang w:val="es-ES" w:bidi="ar-YE"/>
        </w:rPr>
        <w:t xml:space="preserve"> por no brindarle un lugar de trabajo seguro ni avisar a la familia, y por haberle suspendido derechos laborales. También considera que las recomendaciones hacia la </w:t>
      </w:r>
      <w:r w:rsidR="008D69F4" w:rsidRPr="004E1374">
        <w:rPr>
          <w:sz w:val="20"/>
          <w:szCs w:val="20"/>
          <w:lang w:val="es-ES" w:bidi="ar-YE"/>
        </w:rPr>
        <w:t>Secretaría de Defensa Nacional</w:t>
      </w:r>
      <w:r w:rsidRPr="004E1374">
        <w:rPr>
          <w:sz w:val="20"/>
          <w:szCs w:val="20"/>
          <w:lang w:val="es-ES" w:bidi="ar-YE"/>
        </w:rPr>
        <w:t xml:space="preserve"> fueron parciales e insuficientes. Ante dichas omisiones, la familia presentó una inconformidad que motivó la apertura de la queja CNDH/1/2014/3397/Q</w:t>
      </w:r>
      <w:r w:rsidR="0079089F" w:rsidRPr="004E1374">
        <w:rPr>
          <w:sz w:val="20"/>
          <w:szCs w:val="20"/>
          <w:lang w:val="es-ES" w:bidi="ar-YE"/>
        </w:rPr>
        <w:t>.</w:t>
      </w:r>
      <w:r w:rsidRPr="004E1374">
        <w:rPr>
          <w:sz w:val="20"/>
          <w:szCs w:val="20"/>
          <w:lang w:val="es-ES" w:bidi="ar-YE"/>
        </w:rPr>
        <w:t xml:space="preserve"> En mayo de 2015</w:t>
      </w:r>
      <w:r w:rsidR="0001210E" w:rsidRPr="004E1374">
        <w:rPr>
          <w:sz w:val="20"/>
          <w:szCs w:val="20"/>
          <w:lang w:val="es-ES" w:bidi="ar-YE"/>
        </w:rPr>
        <w:t xml:space="preserve"> los peticionarios solicitaron</w:t>
      </w:r>
      <w:r w:rsidRPr="004E1374">
        <w:rPr>
          <w:sz w:val="20"/>
          <w:szCs w:val="20"/>
          <w:lang w:val="es-ES" w:bidi="ar-YE"/>
        </w:rPr>
        <w:t xml:space="preserve"> a la CNDH reclasificar los hechos como violaciones graves de derechos humanos y así acceder a información clave de la </w:t>
      </w:r>
      <w:r w:rsidR="007C4257" w:rsidRPr="004E1374">
        <w:rPr>
          <w:sz w:val="20"/>
          <w:szCs w:val="20"/>
          <w:lang w:val="es-ES" w:bidi="ar-YE"/>
        </w:rPr>
        <w:t>Secretaría de Defensa Nacional</w:t>
      </w:r>
      <w:r w:rsidRPr="004E1374">
        <w:rPr>
          <w:sz w:val="20"/>
          <w:szCs w:val="20"/>
          <w:lang w:val="es-ES" w:bidi="ar-YE"/>
        </w:rPr>
        <w:t xml:space="preserve">. Sin embargo, </w:t>
      </w:r>
      <w:r w:rsidR="00416728" w:rsidRPr="004E1374">
        <w:rPr>
          <w:sz w:val="20"/>
          <w:szCs w:val="20"/>
          <w:lang w:val="es-ES" w:bidi="ar-YE"/>
        </w:rPr>
        <w:t>a la fecha</w:t>
      </w:r>
      <w:r w:rsidR="009F487C">
        <w:rPr>
          <w:sz w:val="20"/>
          <w:szCs w:val="20"/>
          <w:lang w:val="es-ES" w:bidi="ar-YE"/>
        </w:rPr>
        <w:t>,</w:t>
      </w:r>
      <w:r w:rsidRPr="004E1374">
        <w:rPr>
          <w:sz w:val="20"/>
          <w:szCs w:val="20"/>
          <w:lang w:val="es-ES" w:bidi="ar-YE"/>
        </w:rPr>
        <w:t xml:space="preserve"> no habría una respuesta satisfactoria.</w:t>
      </w:r>
    </w:p>
    <w:p w14:paraId="0FE23112" w14:textId="3524AC7F" w:rsidR="006D7482" w:rsidRPr="004E1374" w:rsidRDefault="006D748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La parte peticionaria también menciona que en enero de 2013 la madre de</w:t>
      </w:r>
      <w:r w:rsidR="00D15317" w:rsidRPr="004E1374">
        <w:rPr>
          <w:sz w:val="20"/>
          <w:szCs w:val="20"/>
          <w:lang w:val="es-ES" w:bidi="ar-YE"/>
        </w:rPr>
        <w:t xml:space="preserve">l Sr. Parral </w:t>
      </w:r>
      <w:r w:rsidRPr="004E1374">
        <w:rPr>
          <w:sz w:val="20"/>
          <w:szCs w:val="20"/>
          <w:lang w:val="es-ES" w:bidi="ar-YE"/>
        </w:rPr>
        <w:t xml:space="preserve">entregó personalmente un cuadernillo al entonces </w:t>
      </w:r>
      <w:r w:rsidR="0089354F">
        <w:rPr>
          <w:sz w:val="20"/>
          <w:szCs w:val="20"/>
          <w:lang w:val="es-ES" w:bidi="ar-YE"/>
        </w:rPr>
        <w:t>P</w:t>
      </w:r>
      <w:r w:rsidRPr="004E1374">
        <w:rPr>
          <w:sz w:val="20"/>
          <w:szCs w:val="20"/>
          <w:lang w:val="es-ES" w:bidi="ar-YE"/>
        </w:rPr>
        <w:t>residente Enrique Peña Nieto, durante la promulgación de la Ley de Víctimas, recibiendo la promesa de atención directa. Afirman que hasta la fecha no ha habido ninguna comunicación oficial al respecto.</w:t>
      </w:r>
    </w:p>
    <w:p w14:paraId="697862CB" w14:textId="5269EC30" w:rsidR="006D7482" w:rsidRPr="004E1374" w:rsidRDefault="006D748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 xml:space="preserve">La parte peticionaria </w:t>
      </w:r>
      <w:r w:rsidR="00043B04" w:rsidRPr="004E1374">
        <w:rPr>
          <w:sz w:val="20"/>
          <w:szCs w:val="20"/>
          <w:lang w:val="es-ES" w:bidi="ar-YE"/>
        </w:rPr>
        <w:t>sostiene</w:t>
      </w:r>
      <w:r w:rsidRPr="004E1374">
        <w:rPr>
          <w:sz w:val="20"/>
          <w:szCs w:val="20"/>
          <w:lang w:val="es-ES" w:bidi="ar-YE"/>
        </w:rPr>
        <w:t xml:space="preserve"> que la SEIDO </w:t>
      </w:r>
      <w:r w:rsidR="00043B04" w:rsidRPr="004E1374">
        <w:rPr>
          <w:sz w:val="20"/>
          <w:szCs w:val="20"/>
          <w:lang w:val="es-ES" w:bidi="ar-YE"/>
        </w:rPr>
        <w:t>abrió un expediente a</w:t>
      </w:r>
      <w:r w:rsidRPr="004E1374">
        <w:rPr>
          <w:sz w:val="20"/>
          <w:szCs w:val="20"/>
          <w:lang w:val="es-ES" w:bidi="ar-YE"/>
        </w:rPr>
        <w:t xml:space="preserve"> un militar que presuntamente disparó contra </w:t>
      </w:r>
      <w:r w:rsidR="00043B04" w:rsidRPr="004E1374">
        <w:rPr>
          <w:sz w:val="20"/>
          <w:szCs w:val="20"/>
          <w:lang w:val="es-ES" w:bidi="ar-YE"/>
        </w:rPr>
        <w:t>la presunta víctima</w:t>
      </w:r>
      <w:r w:rsidRPr="004E1374">
        <w:rPr>
          <w:sz w:val="20"/>
          <w:szCs w:val="20"/>
          <w:lang w:val="es-ES" w:bidi="ar-YE"/>
        </w:rPr>
        <w:t xml:space="preserve">, pero no existen avances en la investigación de la cadena de mando ni de otros elementos involucrados en la ejecución. </w:t>
      </w:r>
      <w:r w:rsidR="008777D8" w:rsidRPr="004E1374">
        <w:rPr>
          <w:sz w:val="20"/>
          <w:szCs w:val="20"/>
          <w:lang w:val="es-ES" w:bidi="ar-YE"/>
        </w:rPr>
        <w:t>Además,</w:t>
      </w:r>
      <w:r w:rsidRPr="004E1374">
        <w:rPr>
          <w:sz w:val="20"/>
          <w:szCs w:val="20"/>
          <w:lang w:val="es-ES" w:bidi="ar-YE"/>
        </w:rPr>
        <w:t xml:space="preserve"> por el secuestro </w:t>
      </w:r>
      <w:r w:rsidR="00D60C4D" w:rsidRPr="004E1374">
        <w:rPr>
          <w:sz w:val="20"/>
          <w:szCs w:val="20"/>
          <w:lang w:val="es-ES" w:bidi="ar-YE"/>
        </w:rPr>
        <w:t xml:space="preserve">del Sr. Parral se </w:t>
      </w:r>
      <w:r w:rsidR="008777D8" w:rsidRPr="004E1374">
        <w:rPr>
          <w:sz w:val="20"/>
          <w:szCs w:val="20"/>
          <w:lang w:val="es-ES" w:bidi="ar-YE"/>
        </w:rPr>
        <w:t>inició</w:t>
      </w:r>
      <w:r w:rsidR="007616C9">
        <w:rPr>
          <w:sz w:val="20"/>
          <w:szCs w:val="20"/>
          <w:lang w:val="es-ES" w:bidi="ar-YE"/>
        </w:rPr>
        <w:t xml:space="preserve"> una</w:t>
      </w:r>
      <w:r w:rsidR="00D60C4D" w:rsidRPr="004E1374">
        <w:rPr>
          <w:sz w:val="20"/>
          <w:szCs w:val="20"/>
          <w:lang w:val="es-ES" w:bidi="ar-YE"/>
        </w:rPr>
        <w:t xml:space="preserve"> investigación</w:t>
      </w:r>
      <w:r w:rsidRPr="004E1374">
        <w:rPr>
          <w:sz w:val="20"/>
          <w:szCs w:val="20"/>
          <w:lang w:val="es-ES" w:bidi="ar-YE"/>
        </w:rPr>
        <w:t xml:space="preserve"> a cuatro personas detenidas en el rancho, pero no se han agotado las demás líneas de investigación que permitan esclarecer el hecho ocurrido en el Puente Internacional de Ciudad Camargo</w:t>
      </w:r>
      <w:r w:rsidR="005C014B" w:rsidRPr="004E1374">
        <w:rPr>
          <w:sz w:val="20"/>
          <w:szCs w:val="20"/>
          <w:lang w:val="es-ES" w:bidi="ar-YE"/>
        </w:rPr>
        <w:t>.</w:t>
      </w:r>
      <w:r w:rsidRPr="004E1374">
        <w:rPr>
          <w:sz w:val="20"/>
          <w:szCs w:val="20"/>
          <w:lang w:val="es-ES" w:bidi="ar-YE"/>
        </w:rPr>
        <w:t xml:space="preserve"> Asimismo, informa que la Procuraduría de Justicia Militar inició la averiguación previa 7ZM/48/2010-II, pero la familia considera que se manipuló para sostener la tesis del “enfrentamiento” y encubrir la ejecución. </w:t>
      </w:r>
      <w:r w:rsidR="007616C9">
        <w:rPr>
          <w:sz w:val="20"/>
          <w:szCs w:val="20"/>
          <w:lang w:val="es-ES" w:bidi="ar-YE"/>
        </w:rPr>
        <w:t xml:space="preserve">La petición </w:t>
      </w:r>
      <w:r w:rsidR="00481B86">
        <w:rPr>
          <w:sz w:val="20"/>
          <w:szCs w:val="20"/>
          <w:lang w:val="es-ES" w:bidi="ar-YE"/>
        </w:rPr>
        <w:t>expone</w:t>
      </w:r>
      <w:r w:rsidR="007616C9" w:rsidRPr="004E1374">
        <w:rPr>
          <w:sz w:val="20"/>
          <w:szCs w:val="20"/>
          <w:lang w:val="es-ES" w:bidi="ar-YE"/>
        </w:rPr>
        <w:t xml:space="preserve"> </w:t>
      </w:r>
      <w:r w:rsidRPr="004E1374">
        <w:rPr>
          <w:sz w:val="20"/>
          <w:szCs w:val="20"/>
          <w:lang w:val="es-ES" w:bidi="ar-YE"/>
        </w:rPr>
        <w:t xml:space="preserve">que la SEIDO solicitó detalles sobre las armas y el personal militar que participó en el operativo, y que la </w:t>
      </w:r>
      <w:r w:rsidR="00DB634B" w:rsidRPr="004E1374">
        <w:rPr>
          <w:sz w:val="20"/>
          <w:szCs w:val="20"/>
          <w:lang w:val="es-ES" w:bidi="ar-YE"/>
        </w:rPr>
        <w:t>Secretaría de Defensa Nacional</w:t>
      </w:r>
      <w:r w:rsidRPr="004E1374">
        <w:rPr>
          <w:sz w:val="20"/>
          <w:szCs w:val="20"/>
          <w:lang w:val="es-ES" w:bidi="ar-YE"/>
        </w:rPr>
        <w:t xml:space="preserve"> habría entregado información falsa para encubrir a los responsables. </w:t>
      </w:r>
      <w:r w:rsidR="00D3284E" w:rsidRPr="004E1374">
        <w:rPr>
          <w:sz w:val="20"/>
          <w:szCs w:val="20"/>
          <w:lang w:val="es-ES" w:bidi="ar-YE"/>
        </w:rPr>
        <w:t xml:space="preserve">Los peticionarios </w:t>
      </w:r>
      <w:r w:rsidR="00F10FE2" w:rsidRPr="004E1374">
        <w:rPr>
          <w:sz w:val="20"/>
          <w:szCs w:val="20"/>
          <w:lang w:val="es-ES" w:bidi="ar-YE"/>
        </w:rPr>
        <w:t>indican que presentaron</w:t>
      </w:r>
      <w:r w:rsidRPr="004E1374">
        <w:rPr>
          <w:sz w:val="20"/>
          <w:szCs w:val="20"/>
          <w:lang w:val="es-ES" w:bidi="ar-YE"/>
        </w:rPr>
        <w:t xml:space="preserve"> un amparo para lograr que la jurisdicción militar declinara competencia en favor de la civil, pero no se han obtenido resultados contundentes.</w:t>
      </w:r>
    </w:p>
    <w:p w14:paraId="6EF3A585" w14:textId="4496DDAE" w:rsidR="006D7482" w:rsidRPr="004E1374" w:rsidRDefault="006D748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 xml:space="preserve">La parte peticionaria también </w:t>
      </w:r>
      <w:r w:rsidR="0023273F" w:rsidRPr="004E1374">
        <w:rPr>
          <w:sz w:val="20"/>
          <w:szCs w:val="20"/>
          <w:lang w:val="es-ES" w:bidi="ar-YE"/>
        </w:rPr>
        <w:t>aduce</w:t>
      </w:r>
      <w:r w:rsidRPr="004E1374">
        <w:rPr>
          <w:sz w:val="20"/>
          <w:szCs w:val="20"/>
          <w:lang w:val="es-ES" w:bidi="ar-YE"/>
        </w:rPr>
        <w:t xml:space="preserve"> que la PGR ha incurrido en múltiples omisiones y dilaciones. Denuncia que no se han profundizado las líneas de investigación sobre el secuestro</w:t>
      </w:r>
      <w:r w:rsidR="00A1737A">
        <w:rPr>
          <w:sz w:val="20"/>
          <w:szCs w:val="20"/>
          <w:lang w:val="es-ES" w:bidi="ar-YE"/>
        </w:rPr>
        <w:t>;</w:t>
      </w:r>
      <w:r w:rsidRPr="004E1374">
        <w:rPr>
          <w:sz w:val="20"/>
          <w:szCs w:val="20"/>
          <w:lang w:val="es-ES" w:bidi="ar-YE"/>
        </w:rPr>
        <w:t xml:space="preserve"> y pese a que se ejerció </w:t>
      </w:r>
      <w:r w:rsidR="00C33065" w:rsidRPr="004E1374">
        <w:rPr>
          <w:sz w:val="20"/>
          <w:szCs w:val="20"/>
          <w:lang w:val="es-ES" w:bidi="ar-YE"/>
        </w:rPr>
        <w:t xml:space="preserve">la </w:t>
      </w:r>
      <w:r w:rsidRPr="004E1374">
        <w:rPr>
          <w:sz w:val="20"/>
          <w:szCs w:val="20"/>
          <w:lang w:val="es-ES" w:bidi="ar-YE"/>
        </w:rPr>
        <w:t xml:space="preserve">acción penal contra cuatro presuntos responsables, no hay claridad sobre si estas personas </w:t>
      </w:r>
      <w:r w:rsidR="00C33065" w:rsidRPr="004E1374">
        <w:rPr>
          <w:sz w:val="20"/>
          <w:szCs w:val="20"/>
          <w:lang w:val="es-ES" w:bidi="ar-YE"/>
        </w:rPr>
        <w:t xml:space="preserve">realmente </w:t>
      </w:r>
      <w:r w:rsidRPr="004E1374">
        <w:rPr>
          <w:sz w:val="20"/>
          <w:szCs w:val="20"/>
          <w:lang w:val="es-ES" w:bidi="ar-YE"/>
        </w:rPr>
        <w:t xml:space="preserve">participaron </w:t>
      </w:r>
      <w:r w:rsidR="00C33065" w:rsidRPr="004E1374">
        <w:rPr>
          <w:sz w:val="20"/>
          <w:szCs w:val="20"/>
          <w:lang w:val="es-ES" w:bidi="ar-YE"/>
        </w:rPr>
        <w:t>en los hechos</w:t>
      </w:r>
      <w:r w:rsidRPr="004E1374">
        <w:rPr>
          <w:sz w:val="20"/>
          <w:szCs w:val="20"/>
          <w:lang w:val="es-ES" w:bidi="ar-YE"/>
        </w:rPr>
        <w:t xml:space="preserve">. Indica que no se han investigado a otros posibles involucrados ni se han realizado </w:t>
      </w:r>
      <w:r w:rsidR="00265334" w:rsidRPr="004E1374">
        <w:rPr>
          <w:sz w:val="20"/>
          <w:szCs w:val="20"/>
          <w:lang w:val="es-ES" w:bidi="ar-YE"/>
        </w:rPr>
        <w:t xml:space="preserve">las </w:t>
      </w:r>
      <w:r w:rsidRPr="004E1374">
        <w:rPr>
          <w:sz w:val="20"/>
          <w:szCs w:val="20"/>
          <w:lang w:val="es-ES" w:bidi="ar-YE"/>
        </w:rPr>
        <w:t>diligencias propuestas por la familia (como testimonios de personal de Aduanas</w:t>
      </w:r>
      <w:r w:rsidR="001048C1">
        <w:rPr>
          <w:sz w:val="20"/>
          <w:szCs w:val="20"/>
          <w:lang w:val="es-ES" w:bidi="ar-YE"/>
        </w:rPr>
        <w:t>,</w:t>
      </w:r>
      <w:r w:rsidRPr="004E1374">
        <w:rPr>
          <w:sz w:val="20"/>
          <w:szCs w:val="20"/>
          <w:lang w:val="es-ES" w:bidi="ar-YE"/>
        </w:rPr>
        <w:t xml:space="preserve"> y </w:t>
      </w:r>
      <w:r w:rsidR="00265334" w:rsidRPr="004E1374">
        <w:rPr>
          <w:sz w:val="20"/>
          <w:szCs w:val="20"/>
          <w:lang w:val="es-ES" w:bidi="ar-YE"/>
        </w:rPr>
        <w:t>Caminos y Puentes Federale</w:t>
      </w:r>
      <w:r w:rsidR="001048C1">
        <w:rPr>
          <w:sz w:val="20"/>
          <w:szCs w:val="20"/>
          <w:lang w:val="es-ES" w:bidi="ar-YE"/>
        </w:rPr>
        <w:t>s</w:t>
      </w:r>
      <w:r w:rsidRPr="004E1374">
        <w:rPr>
          <w:sz w:val="20"/>
          <w:szCs w:val="20"/>
          <w:lang w:val="es-ES" w:bidi="ar-YE"/>
        </w:rPr>
        <w:t xml:space="preserve">). Sostiene que hubo pérdida de evidencia importante cuando el vehículo Chevrolet Silverado localizado en el rancho “El Puerto” desapareció del lote de resguardo oficial “Garages y Talleres”, sin que la PGR detectara dicha ausencia sino hasta más de un año después. Esto imposibilitó la realización de ciertas pericias en balística y alteró la recolección de pruebas. </w:t>
      </w:r>
    </w:p>
    <w:p w14:paraId="6E66F2A7" w14:textId="61CD0BED" w:rsidR="006D7482" w:rsidRPr="004E1374" w:rsidRDefault="006D748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lastRenderedPageBreak/>
        <w:t xml:space="preserve">Asimismo, </w:t>
      </w:r>
      <w:r w:rsidR="0013183A" w:rsidRPr="004E1374">
        <w:rPr>
          <w:sz w:val="20"/>
          <w:szCs w:val="20"/>
          <w:lang w:val="es-ES" w:bidi="ar-YE"/>
        </w:rPr>
        <w:t xml:space="preserve">la parte peticionaria </w:t>
      </w:r>
      <w:r w:rsidRPr="004E1374">
        <w:rPr>
          <w:sz w:val="20"/>
          <w:szCs w:val="20"/>
          <w:lang w:val="es-ES" w:bidi="ar-YE"/>
        </w:rPr>
        <w:t>destaca que una pericial de criminalística de campo de febrero de 2018 confirmó que la escena del crimen fue alterada y que la posición original de los cadáveres no se correspondía con la documentada oficialmente, lo que reforzaría su acusación de que los militares plantaron pruebas o modificaron la escena para incriminar a las víctimas como supuestos sicarios.</w:t>
      </w:r>
      <w:r w:rsidR="009336F9" w:rsidRPr="004E1374">
        <w:rPr>
          <w:sz w:val="20"/>
          <w:szCs w:val="20"/>
          <w:lang w:val="es-ES" w:bidi="ar-YE"/>
        </w:rPr>
        <w:t xml:space="preserve"> </w:t>
      </w:r>
      <w:r w:rsidRPr="004E1374">
        <w:rPr>
          <w:sz w:val="20"/>
          <w:szCs w:val="20"/>
          <w:lang w:val="es-ES" w:bidi="ar-YE"/>
        </w:rPr>
        <w:t>Añade que la PGR ha intentado en al menos dos ocasiones (2014 y 2018) consignar la investigación por el homicidio ante el Poder Judicial Federal, pidiendo orden de aprehensión contra un elemento militar. En ambas ocasiones, la consignación fue rechazada por supuestas deficiencias en la integración del expediente</w:t>
      </w:r>
      <w:r w:rsidR="00067DE2" w:rsidRPr="004E1374">
        <w:rPr>
          <w:sz w:val="20"/>
          <w:szCs w:val="20"/>
          <w:lang w:val="es-ES" w:bidi="ar-YE"/>
        </w:rPr>
        <w:t xml:space="preserve">, incluso pese </w:t>
      </w:r>
      <w:r w:rsidR="00F26872" w:rsidRPr="004E1374">
        <w:rPr>
          <w:sz w:val="20"/>
          <w:szCs w:val="20"/>
          <w:lang w:val="es-ES" w:bidi="ar-YE"/>
        </w:rPr>
        <w:t xml:space="preserve">a las sugerencias de los propios peticionarios. </w:t>
      </w:r>
    </w:p>
    <w:p w14:paraId="6273EC95" w14:textId="34243E0F" w:rsidR="006D7482" w:rsidRPr="004E1374" w:rsidRDefault="006D7482" w:rsidP="003371CF">
      <w:pPr>
        <w:pStyle w:val="ListParagraph"/>
        <w:widowControl w:val="0"/>
        <w:autoSpaceDE w:val="0"/>
        <w:autoSpaceDN w:val="0"/>
        <w:spacing w:before="240" w:after="240"/>
        <w:jc w:val="both"/>
        <w:rPr>
          <w:i/>
          <w:iCs/>
          <w:sz w:val="20"/>
          <w:szCs w:val="20"/>
          <w:lang w:val="es-ES" w:bidi="ar-YE"/>
        </w:rPr>
      </w:pPr>
      <w:r w:rsidRPr="004E1374">
        <w:rPr>
          <w:i/>
          <w:iCs/>
          <w:sz w:val="20"/>
          <w:szCs w:val="20"/>
          <w:lang w:val="es-ES" w:bidi="ar-YE"/>
        </w:rPr>
        <w:t>Conclusiones de la parte peticionaria</w:t>
      </w:r>
    </w:p>
    <w:p w14:paraId="6A899282" w14:textId="6AC339CB" w:rsidR="006F24F1" w:rsidRPr="004E1374" w:rsidRDefault="00332EA2" w:rsidP="003371CF">
      <w:pPr>
        <w:pStyle w:val="ListParagraph"/>
        <w:widowControl w:val="0"/>
        <w:numPr>
          <w:ilvl w:val="0"/>
          <w:numId w:val="55"/>
        </w:numPr>
        <w:autoSpaceDE w:val="0"/>
        <w:autoSpaceDN w:val="0"/>
        <w:spacing w:before="240" w:after="240"/>
        <w:ind w:left="0" w:firstLine="720"/>
        <w:jc w:val="both"/>
        <w:rPr>
          <w:sz w:val="20"/>
          <w:szCs w:val="20"/>
          <w:lang w:val="es-ES" w:bidi="ar-YE"/>
        </w:rPr>
      </w:pPr>
      <w:r w:rsidRPr="004E1374">
        <w:rPr>
          <w:sz w:val="20"/>
          <w:szCs w:val="20"/>
          <w:lang w:val="es-ES" w:bidi="ar-YE"/>
        </w:rPr>
        <w:t>Los peticionarios subrayan</w:t>
      </w:r>
      <w:r w:rsidR="006D7482" w:rsidRPr="004E1374">
        <w:rPr>
          <w:sz w:val="20"/>
          <w:szCs w:val="20"/>
          <w:lang w:val="es-ES" w:bidi="ar-YE"/>
        </w:rPr>
        <w:t xml:space="preserve"> que han interpuesto numerosos recursos internos</w:t>
      </w:r>
      <w:r w:rsidR="00B309FF">
        <w:rPr>
          <w:sz w:val="20"/>
          <w:szCs w:val="20"/>
          <w:lang w:val="es-ES" w:bidi="ar-YE"/>
        </w:rPr>
        <w:t>,</w:t>
      </w:r>
      <w:r w:rsidR="006D7482" w:rsidRPr="004E1374">
        <w:rPr>
          <w:sz w:val="20"/>
          <w:szCs w:val="20"/>
          <w:lang w:val="es-ES" w:bidi="ar-YE"/>
        </w:rPr>
        <w:t xml:space="preserve"> sin que hasta la fecha se haya esclarecido plenamente la verdad histórica ni se haya </w:t>
      </w:r>
      <w:r w:rsidR="002970AF" w:rsidRPr="004E1374">
        <w:rPr>
          <w:sz w:val="20"/>
          <w:szCs w:val="20"/>
          <w:lang w:val="es-ES" w:bidi="ar-YE"/>
        </w:rPr>
        <w:t>investigado</w:t>
      </w:r>
      <w:r w:rsidR="006D7482" w:rsidRPr="004E1374">
        <w:rPr>
          <w:sz w:val="20"/>
          <w:szCs w:val="20"/>
          <w:lang w:val="es-ES" w:bidi="ar-YE"/>
        </w:rPr>
        <w:t xml:space="preserve"> y sancionado a los elementos militares que presuntamente ejecutaron a Jorge Antonio Parral Radabán.</w:t>
      </w:r>
      <w:r w:rsidR="00A90D7D" w:rsidRPr="004E1374">
        <w:rPr>
          <w:sz w:val="20"/>
          <w:szCs w:val="20"/>
          <w:lang w:val="es-ES" w:bidi="ar-YE"/>
        </w:rPr>
        <w:t xml:space="preserve"> I</w:t>
      </w:r>
      <w:r w:rsidR="006D7482" w:rsidRPr="004E1374">
        <w:rPr>
          <w:sz w:val="20"/>
          <w:szCs w:val="20"/>
          <w:lang w:val="es-ES" w:bidi="ar-YE"/>
        </w:rPr>
        <w:t>nsiste</w:t>
      </w:r>
      <w:r w:rsidR="00F7533D">
        <w:rPr>
          <w:sz w:val="20"/>
          <w:szCs w:val="20"/>
          <w:lang w:val="es-ES" w:bidi="ar-YE"/>
        </w:rPr>
        <w:t>n</w:t>
      </w:r>
      <w:r w:rsidR="006D7482" w:rsidRPr="004E1374">
        <w:rPr>
          <w:sz w:val="20"/>
          <w:szCs w:val="20"/>
          <w:lang w:val="es-ES" w:bidi="ar-YE"/>
        </w:rPr>
        <w:t xml:space="preserve"> en que se investigue la posible alteración de la escena, la pérdida de evidencia y los encubrimientos que involucran tanto a la </w:t>
      </w:r>
      <w:r w:rsidR="00844315" w:rsidRPr="004E1374">
        <w:rPr>
          <w:sz w:val="20"/>
          <w:szCs w:val="20"/>
          <w:lang w:val="es-ES" w:bidi="ar-YE"/>
        </w:rPr>
        <w:t>Secretaría de Defensa Nacional</w:t>
      </w:r>
      <w:r w:rsidR="006D7482" w:rsidRPr="004E1374">
        <w:rPr>
          <w:sz w:val="20"/>
          <w:szCs w:val="20"/>
          <w:lang w:val="es-ES" w:bidi="ar-YE"/>
        </w:rPr>
        <w:t xml:space="preserve"> como a las autoridades civiles. </w:t>
      </w:r>
      <w:r w:rsidR="00904E0B" w:rsidRPr="004E1374">
        <w:rPr>
          <w:sz w:val="20"/>
          <w:szCs w:val="20"/>
          <w:lang w:val="es-ES" w:bidi="ar-YE"/>
        </w:rPr>
        <w:t>Considera</w:t>
      </w:r>
      <w:r w:rsidR="00F7533D">
        <w:rPr>
          <w:sz w:val="20"/>
          <w:szCs w:val="20"/>
          <w:lang w:val="es-ES" w:bidi="ar-YE"/>
        </w:rPr>
        <w:t>n</w:t>
      </w:r>
      <w:r w:rsidR="006D7482" w:rsidRPr="004E1374">
        <w:rPr>
          <w:sz w:val="20"/>
          <w:szCs w:val="20"/>
          <w:lang w:val="es-ES" w:bidi="ar-YE"/>
        </w:rPr>
        <w:t xml:space="preserve"> que la teoría del “enfrentamiento” entre militares y delincuentes no se sostiene ante las periciales que confirman que </w:t>
      </w:r>
      <w:r w:rsidR="00A90D7D" w:rsidRPr="004E1374">
        <w:rPr>
          <w:sz w:val="20"/>
          <w:szCs w:val="20"/>
          <w:lang w:val="es-ES" w:bidi="ar-YE"/>
        </w:rPr>
        <w:t>la presunta víctima</w:t>
      </w:r>
      <w:r w:rsidR="006D7482" w:rsidRPr="004E1374">
        <w:rPr>
          <w:sz w:val="20"/>
          <w:szCs w:val="20"/>
          <w:lang w:val="es-ES" w:bidi="ar-YE"/>
        </w:rPr>
        <w:t xml:space="preserve"> recibió disparos a corta distancia mientras se encontraba privado de su libertad, sin capacidad de defenderse.</w:t>
      </w:r>
      <w:r w:rsidR="009336F9" w:rsidRPr="004E1374">
        <w:rPr>
          <w:sz w:val="20"/>
          <w:szCs w:val="20"/>
          <w:lang w:val="es-ES" w:bidi="ar-YE"/>
        </w:rPr>
        <w:t xml:space="preserve"> </w:t>
      </w:r>
    </w:p>
    <w:p w14:paraId="41BFE62A" w14:textId="187F04A5" w:rsidR="008C7A17" w:rsidRPr="004E1374" w:rsidRDefault="00645E03" w:rsidP="003371CF">
      <w:pPr>
        <w:pStyle w:val="ListParagraph"/>
        <w:widowControl w:val="0"/>
        <w:autoSpaceDE w:val="0"/>
        <w:autoSpaceDN w:val="0"/>
        <w:spacing w:before="240" w:after="240"/>
        <w:jc w:val="both"/>
        <w:rPr>
          <w:b/>
          <w:bCs/>
          <w:sz w:val="20"/>
          <w:szCs w:val="20"/>
          <w:lang w:val="es-ES" w:bidi="ar-YE"/>
        </w:rPr>
      </w:pPr>
      <w:r w:rsidRPr="004E1374">
        <w:rPr>
          <w:b/>
          <w:bCs/>
          <w:sz w:val="20"/>
          <w:szCs w:val="20"/>
          <w:lang w:val="es-ES" w:bidi="ar-YE"/>
        </w:rPr>
        <w:t>E</w:t>
      </w:r>
      <w:r w:rsidR="008C7A17" w:rsidRPr="004E1374">
        <w:rPr>
          <w:b/>
          <w:bCs/>
          <w:sz w:val="20"/>
          <w:szCs w:val="20"/>
          <w:lang w:val="es-ES" w:bidi="ar-YE"/>
        </w:rPr>
        <w:t>l Estado</w:t>
      </w:r>
      <w:r w:rsidR="00CE54AB" w:rsidRPr="004E1374">
        <w:rPr>
          <w:b/>
          <w:bCs/>
          <w:sz w:val="20"/>
          <w:szCs w:val="20"/>
          <w:lang w:val="es-ES" w:bidi="ar-YE"/>
        </w:rPr>
        <w:t xml:space="preserve"> mexicano</w:t>
      </w:r>
    </w:p>
    <w:p w14:paraId="7953C036" w14:textId="16F7B43B" w:rsidR="006F21E7" w:rsidRPr="004E1374" w:rsidRDefault="006F21E7" w:rsidP="003371CF">
      <w:pPr>
        <w:pStyle w:val="ListParagraph"/>
        <w:widowControl w:val="0"/>
        <w:autoSpaceDE w:val="0"/>
        <w:autoSpaceDN w:val="0"/>
        <w:spacing w:before="240" w:after="240"/>
        <w:jc w:val="both"/>
        <w:rPr>
          <w:rFonts w:asciiTheme="majorHAnsi" w:hAnsiTheme="majorHAnsi"/>
          <w:i/>
          <w:iCs/>
          <w:sz w:val="20"/>
          <w:szCs w:val="20"/>
          <w:lang w:val="es-ES" w:bidi="ar-YE"/>
        </w:rPr>
      </w:pPr>
      <w:r w:rsidRPr="004E1374">
        <w:rPr>
          <w:rFonts w:asciiTheme="majorHAnsi" w:hAnsiTheme="majorHAnsi"/>
          <w:i/>
          <w:iCs/>
          <w:sz w:val="20"/>
          <w:szCs w:val="20"/>
          <w:lang w:val="es-ES" w:bidi="ar-YE"/>
        </w:rPr>
        <w:t xml:space="preserve">Investigaciones sobre el homicidio del señor Parral </w:t>
      </w:r>
    </w:p>
    <w:p w14:paraId="04193F59" w14:textId="1FFCBAC3"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 xml:space="preserve">El Estado indica que la Fiscalía General de la República (FGR), anterior Procuraduría General de la República (PGR), inició la averiguación previa AP/PGR/NL/ESC-III/327/D/2016 el 9 de marzo de 2016 para indagar el homicidio de Jorge Antonio Parral Rabadán y otra persona. </w:t>
      </w:r>
      <w:r w:rsidR="00281061" w:rsidRPr="004E1374">
        <w:rPr>
          <w:rFonts w:asciiTheme="majorHAnsi" w:hAnsiTheme="majorHAnsi"/>
          <w:sz w:val="20"/>
          <w:szCs w:val="20"/>
          <w:lang w:val="es-ES" w:bidi="ar-YE"/>
        </w:rPr>
        <w:t>Esta entidad</w:t>
      </w:r>
      <w:r w:rsidRPr="004E1374">
        <w:rPr>
          <w:rFonts w:asciiTheme="majorHAnsi" w:hAnsiTheme="majorHAnsi"/>
          <w:sz w:val="20"/>
          <w:szCs w:val="20"/>
          <w:lang w:val="es-ES" w:bidi="ar-YE"/>
        </w:rPr>
        <w:t xml:space="preserve"> el 18 de abril de 2016 pidió a la Policía Federal Ministerial</w:t>
      </w:r>
      <w:r w:rsidR="00537254">
        <w:rPr>
          <w:rFonts w:asciiTheme="majorHAnsi" w:hAnsiTheme="majorHAnsi"/>
          <w:sz w:val="20"/>
          <w:szCs w:val="20"/>
          <w:lang w:val="es-ES" w:bidi="ar-YE"/>
        </w:rPr>
        <w:t xml:space="preserve"> —</w:t>
      </w:r>
      <w:r w:rsidRPr="004E1374">
        <w:rPr>
          <w:rFonts w:asciiTheme="majorHAnsi" w:hAnsiTheme="majorHAnsi"/>
          <w:sz w:val="20"/>
          <w:szCs w:val="20"/>
          <w:lang w:val="es-ES" w:bidi="ar-YE"/>
        </w:rPr>
        <w:t>antes Policía Federal Ministerial de la PG</w:t>
      </w:r>
      <w:r w:rsidR="00537254">
        <w:rPr>
          <w:rFonts w:asciiTheme="majorHAnsi" w:hAnsiTheme="majorHAnsi"/>
          <w:sz w:val="20"/>
          <w:szCs w:val="20"/>
          <w:lang w:val="es-ES" w:bidi="ar-YE"/>
        </w:rPr>
        <w:t>R—</w:t>
      </w:r>
      <w:r w:rsidRPr="004E1374">
        <w:rPr>
          <w:rFonts w:asciiTheme="majorHAnsi" w:hAnsiTheme="majorHAnsi"/>
          <w:sz w:val="20"/>
          <w:szCs w:val="20"/>
          <w:lang w:val="es-ES" w:bidi="ar-YE"/>
        </w:rPr>
        <w:t xml:space="preserve"> asignar elementos para investigar</w:t>
      </w:r>
      <w:r w:rsidR="005D0E18" w:rsidRPr="004E1374">
        <w:rPr>
          <w:rFonts w:asciiTheme="majorHAnsi" w:hAnsiTheme="majorHAnsi"/>
          <w:sz w:val="20"/>
          <w:szCs w:val="20"/>
          <w:lang w:val="es-ES" w:bidi="ar-YE"/>
        </w:rPr>
        <w:t>; y</w:t>
      </w:r>
      <w:r w:rsidRPr="004E1374">
        <w:rPr>
          <w:rFonts w:asciiTheme="majorHAnsi" w:hAnsiTheme="majorHAnsi"/>
          <w:sz w:val="20"/>
          <w:szCs w:val="20"/>
          <w:lang w:val="es-ES" w:bidi="ar-YE"/>
        </w:rPr>
        <w:t xml:space="preserve"> </w:t>
      </w:r>
      <w:r w:rsidR="005D0E18" w:rsidRPr="004E1374">
        <w:rPr>
          <w:rFonts w:asciiTheme="majorHAnsi" w:hAnsiTheme="majorHAnsi"/>
          <w:sz w:val="20"/>
          <w:szCs w:val="20"/>
          <w:lang w:val="es-ES" w:bidi="ar-YE"/>
        </w:rPr>
        <w:t>e</w:t>
      </w:r>
      <w:r w:rsidRPr="004E1374">
        <w:rPr>
          <w:rFonts w:asciiTheme="majorHAnsi" w:hAnsiTheme="majorHAnsi"/>
          <w:sz w:val="20"/>
          <w:szCs w:val="20"/>
          <w:lang w:val="es-ES" w:bidi="ar-YE"/>
        </w:rPr>
        <w:t xml:space="preserve">l 13 de mayo de 2016 solicitó la localización y presentación de varios testigos. El 15 de septiembre de 2017 recibió un dictamen de criminalística forense que determinó la mecánica de hechos y la distancia de disparo que causó las heridas a la </w:t>
      </w:r>
      <w:r w:rsidR="008442C8" w:rsidRPr="004E1374">
        <w:rPr>
          <w:rFonts w:asciiTheme="majorHAnsi" w:hAnsiTheme="majorHAnsi"/>
          <w:sz w:val="20"/>
          <w:szCs w:val="20"/>
          <w:lang w:val="es-ES" w:bidi="ar-YE"/>
        </w:rPr>
        <w:t xml:space="preserve">presunta </w:t>
      </w:r>
      <w:r w:rsidRPr="004E1374">
        <w:rPr>
          <w:rFonts w:asciiTheme="majorHAnsi" w:hAnsiTheme="majorHAnsi"/>
          <w:sz w:val="20"/>
          <w:szCs w:val="20"/>
          <w:lang w:val="es-ES" w:bidi="ar-YE"/>
        </w:rPr>
        <w:t xml:space="preserve">víctima. </w:t>
      </w:r>
    </w:p>
    <w:p w14:paraId="579FE444" w14:textId="44FCE8D6" w:rsidR="006F21E7" w:rsidRPr="004E1374" w:rsidRDefault="00C22010"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E</w:t>
      </w:r>
      <w:r w:rsidR="006F21E7" w:rsidRPr="004E1374">
        <w:rPr>
          <w:rFonts w:asciiTheme="majorHAnsi" w:hAnsiTheme="majorHAnsi"/>
          <w:sz w:val="20"/>
          <w:szCs w:val="20"/>
          <w:lang w:val="es-ES" w:bidi="ar-YE"/>
        </w:rPr>
        <w:t>l 2 de octubre de 2017</w:t>
      </w:r>
      <w:r w:rsidR="00537254">
        <w:rPr>
          <w:rFonts w:asciiTheme="majorHAnsi" w:hAnsiTheme="majorHAnsi"/>
          <w:sz w:val="20"/>
          <w:szCs w:val="20"/>
          <w:lang w:val="es-ES" w:bidi="ar-YE"/>
        </w:rPr>
        <w:t>,</w:t>
      </w:r>
      <w:r w:rsidR="006F21E7" w:rsidRPr="004E1374">
        <w:rPr>
          <w:rFonts w:asciiTheme="majorHAnsi" w:hAnsiTheme="majorHAnsi"/>
          <w:sz w:val="20"/>
          <w:szCs w:val="20"/>
          <w:lang w:val="es-ES" w:bidi="ar-YE"/>
        </w:rPr>
        <w:t xml:space="preserve"> tras analizar los medios de prueba, </w:t>
      </w:r>
      <w:r w:rsidR="001F2012" w:rsidRPr="004E1374">
        <w:rPr>
          <w:rFonts w:asciiTheme="majorHAnsi" w:hAnsiTheme="majorHAnsi"/>
          <w:sz w:val="20"/>
          <w:szCs w:val="20"/>
          <w:lang w:val="es-ES" w:bidi="ar-YE"/>
        </w:rPr>
        <w:t xml:space="preserve">la FGR </w:t>
      </w:r>
      <w:r w:rsidR="006F21E7" w:rsidRPr="004E1374">
        <w:rPr>
          <w:rFonts w:asciiTheme="majorHAnsi" w:hAnsiTheme="majorHAnsi"/>
          <w:sz w:val="20"/>
          <w:szCs w:val="20"/>
          <w:lang w:val="es-ES" w:bidi="ar-YE"/>
        </w:rPr>
        <w:t xml:space="preserve">cambió la situación jurídica de varios elementos militares a la calidad de inculpados. </w:t>
      </w:r>
      <w:r w:rsidR="007B1465" w:rsidRPr="004E1374">
        <w:rPr>
          <w:rFonts w:asciiTheme="majorHAnsi" w:hAnsiTheme="majorHAnsi"/>
          <w:sz w:val="20"/>
          <w:szCs w:val="20"/>
          <w:lang w:val="es-ES" w:bidi="ar-YE"/>
        </w:rPr>
        <w:t>Así, c</w:t>
      </w:r>
      <w:r w:rsidR="006F21E7" w:rsidRPr="004E1374">
        <w:rPr>
          <w:rFonts w:asciiTheme="majorHAnsi" w:hAnsiTheme="majorHAnsi"/>
          <w:sz w:val="20"/>
          <w:szCs w:val="20"/>
          <w:lang w:val="es-ES" w:bidi="ar-YE"/>
        </w:rPr>
        <w:t xml:space="preserve">itó a comparecer a los señores Luis Cruz Ávila, Hairo David Torres Martínez y Fidel Hernández Hernández, a través de oficios dirigidos al Procurador General de Justicia Militar y al Jefe de la Unidad de Asuntos Jurídicos de la </w:t>
      </w:r>
      <w:r w:rsidR="00C641F3" w:rsidRPr="004E1374">
        <w:rPr>
          <w:rFonts w:asciiTheme="majorHAnsi" w:hAnsiTheme="majorHAnsi"/>
          <w:sz w:val="20"/>
          <w:szCs w:val="20"/>
          <w:lang w:val="es-ES" w:bidi="ar-YE"/>
        </w:rPr>
        <w:t xml:space="preserve">Secretaría </w:t>
      </w:r>
      <w:r w:rsidR="00BB3584" w:rsidRPr="004E1374">
        <w:rPr>
          <w:rFonts w:asciiTheme="majorHAnsi" w:hAnsiTheme="majorHAnsi"/>
          <w:sz w:val="20"/>
          <w:szCs w:val="20"/>
          <w:lang w:val="es-ES" w:bidi="ar-YE"/>
        </w:rPr>
        <w:t>de Defensa Nacional</w:t>
      </w:r>
      <w:r w:rsidR="006F21E7" w:rsidRPr="004E1374">
        <w:rPr>
          <w:rFonts w:asciiTheme="majorHAnsi" w:hAnsiTheme="majorHAnsi"/>
          <w:sz w:val="20"/>
          <w:szCs w:val="20"/>
          <w:lang w:val="es-ES" w:bidi="ar-YE"/>
        </w:rPr>
        <w:t xml:space="preserve">. </w:t>
      </w:r>
    </w:p>
    <w:p w14:paraId="2C04E19E" w14:textId="2DF22811"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El 6 de marzo de 2018</w:t>
      </w:r>
      <w:r w:rsidR="00346245">
        <w:rPr>
          <w:rFonts w:asciiTheme="majorHAnsi" w:hAnsiTheme="majorHAnsi"/>
          <w:sz w:val="20"/>
          <w:szCs w:val="20"/>
          <w:lang w:val="es-ES" w:bidi="ar-YE"/>
        </w:rPr>
        <w:t>,</w:t>
      </w:r>
      <w:r w:rsidRPr="004E1374">
        <w:rPr>
          <w:rFonts w:asciiTheme="majorHAnsi" w:hAnsiTheme="majorHAnsi"/>
          <w:sz w:val="20"/>
          <w:szCs w:val="20"/>
          <w:lang w:val="es-ES" w:bidi="ar-YE"/>
        </w:rPr>
        <w:t xml:space="preserve"> peritos en criminalística confirmaron que el cuerpo del señor Parral Rabadán fue movido de su posición original, por lo que la escena del crimen presentaba alteraciones. El 6 de septiembre de 2018, la FGR consignó la averiguación previa y solicitó orden de aprehensión contra cuatro militares por homicidio calificado y alteración del lugar de los hechos. </w:t>
      </w:r>
      <w:r w:rsidR="00824EE2" w:rsidRPr="004E1374">
        <w:rPr>
          <w:rFonts w:asciiTheme="majorHAnsi" w:hAnsiTheme="majorHAnsi"/>
          <w:sz w:val="20"/>
          <w:szCs w:val="20"/>
          <w:lang w:val="es-ES" w:bidi="ar-YE"/>
        </w:rPr>
        <w:t>Sin embargo, e</w:t>
      </w:r>
      <w:r w:rsidRPr="004E1374">
        <w:rPr>
          <w:rFonts w:asciiTheme="majorHAnsi" w:hAnsiTheme="majorHAnsi"/>
          <w:sz w:val="20"/>
          <w:szCs w:val="20"/>
          <w:lang w:val="es-ES" w:bidi="ar-YE"/>
        </w:rPr>
        <w:t>l 7 de septiembre de 2018</w:t>
      </w:r>
      <w:r w:rsidR="00824EE2" w:rsidRPr="004E1374">
        <w:rPr>
          <w:rFonts w:asciiTheme="majorHAnsi" w:hAnsiTheme="majorHAnsi"/>
          <w:sz w:val="20"/>
          <w:szCs w:val="20"/>
          <w:lang w:val="es-ES" w:bidi="ar-YE"/>
        </w:rPr>
        <w:t xml:space="preserve"> </w:t>
      </w:r>
      <w:r w:rsidRPr="004E1374">
        <w:rPr>
          <w:rFonts w:asciiTheme="majorHAnsi" w:hAnsiTheme="majorHAnsi"/>
          <w:sz w:val="20"/>
          <w:szCs w:val="20"/>
          <w:lang w:val="es-ES" w:bidi="ar-YE"/>
        </w:rPr>
        <w:t>el Juzgado Sexto de Distrito en Materia Penal de Nuevo León negó la orden. La FGR apeló, pero el Cuarto Tribunal Unitario del Cuarto Circuito confirmó la negativa el 11 de enero de 2019.</w:t>
      </w:r>
    </w:p>
    <w:p w14:paraId="67EFDC87" w14:textId="2338F0C3"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El Estado asegura que ha mantenido informada a la familia del señor Parral mediante reuniones en la Ciudad de México con la Subprocuraduría de Derechos Humanos y el Ministerio Público responsable. El Estado considera que esta estrategia no dificulta el derecho de coadyuvancia, a pesar de que la investigación se radique en Nuevo León.</w:t>
      </w:r>
    </w:p>
    <w:p w14:paraId="5313CF8D" w14:textId="7F4FFB92" w:rsidR="006F21E7" w:rsidRPr="004E1374" w:rsidRDefault="006F21E7" w:rsidP="003371CF">
      <w:pPr>
        <w:pStyle w:val="ListParagraph"/>
        <w:widowControl w:val="0"/>
        <w:autoSpaceDE w:val="0"/>
        <w:autoSpaceDN w:val="0"/>
        <w:spacing w:before="240" w:after="240"/>
        <w:jc w:val="both"/>
        <w:rPr>
          <w:rFonts w:asciiTheme="majorHAnsi" w:hAnsiTheme="majorHAnsi"/>
          <w:i/>
          <w:iCs/>
          <w:sz w:val="20"/>
          <w:szCs w:val="20"/>
          <w:lang w:val="es-ES" w:bidi="ar-YE"/>
        </w:rPr>
      </w:pPr>
      <w:r w:rsidRPr="004E1374">
        <w:rPr>
          <w:rFonts w:asciiTheme="majorHAnsi" w:hAnsiTheme="majorHAnsi"/>
          <w:i/>
          <w:iCs/>
          <w:sz w:val="20"/>
          <w:szCs w:val="20"/>
          <w:lang w:val="es-ES" w:bidi="ar-YE"/>
        </w:rPr>
        <w:t>Investigaciones en relación con el secuestro del señor Parral Rabadán</w:t>
      </w:r>
    </w:p>
    <w:p w14:paraId="4F827BCB" w14:textId="2005680C"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El Estado sostiene que la Unidad Especializada en Investigación de Delitos en materia de Secuestro de la SEIDO conserva abierta la averiguación previa PGR/SIEDO/UEIS/206/2010, la cual profundiza en la participación de miembros de la delincuencia organizada en el secuestro de la víctima. El Estado aclara que hasta el momento no encontró elementos para acusar a otras personas además de los ya procesados.</w:t>
      </w:r>
      <w:r w:rsidR="00D232F8" w:rsidRPr="004E1374">
        <w:rPr>
          <w:rFonts w:asciiTheme="majorHAnsi" w:hAnsiTheme="majorHAnsi"/>
          <w:sz w:val="20"/>
          <w:szCs w:val="20"/>
          <w:lang w:val="es-ES" w:bidi="ar-YE"/>
        </w:rPr>
        <w:t xml:space="preserve"> </w:t>
      </w:r>
      <w:r w:rsidRPr="004E1374">
        <w:rPr>
          <w:rFonts w:asciiTheme="majorHAnsi" w:hAnsiTheme="majorHAnsi"/>
          <w:sz w:val="20"/>
          <w:szCs w:val="20"/>
          <w:lang w:val="es-ES" w:bidi="ar-YE"/>
        </w:rPr>
        <w:t xml:space="preserve">El Estado destaca que la FGR logró sentencia condenatoria contra cuatro personas por el secuestro del señor </w:t>
      </w:r>
      <w:r w:rsidRPr="004E1374">
        <w:rPr>
          <w:rFonts w:asciiTheme="majorHAnsi" w:hAnsiTheme="majorHAnsi"/>
          <w:sz w:val="20"/>
          <w:szCs w:val="20"/>
          <w:lang w:val="es-ES" w:bidi="ar-YE"/>
        </w:rPr>
        <w:lastRenderedPageBreak/>
        <w:t>Parral Rabadán. Según su posición, ese logro acredita que las investigaciones sí reunieron pruebas sólidas, en contraposición a la acusación de los peticionarios sobre falta de rigor.</w:t>
      </w:r>
    </w:p>
    <w:p w14:paraId="6BDCA15D" w14:textId="302C567D" w:rsidR="006F21E7" w:rsidRPr="004E1374" w:rsidRDefault="006F21E7" w:rsidP="003371CF">
      <w:pPr>
        <w:pStyle w:val="ListParagraph"/>
        <w:widowControl w:val="0"/>
        <w:autoSpaceDE w:val="0"/>
        <w:autoSpaceDN w:val="0"/>
        <w:spacing w:before="240" w:after="240"/>
        <w:jc w:val="both"/>
        <w:rPr>
          <w:rFonts w:asciiTheme="majorHAnsi" w:hAnsiTheme="majorHAnsi"/>
          <w:i/>
          <w:iCs/>
          <w:sz w:val="20"/>
          <w:szCs w:val="20"/>
          <w:lang w:val="es-ES" w:bidi="ar-YE"/>
        </w:rPr>
      </w:pPr>
      <w:r w:rsidRPr="004E1374">
        <w:rPr>
          <w:rFonts w:asciiTheme="majorHAnsi" w:hAnsiTheme="majorHAnsi"/>
          <w:i/>
          <w:iCs/>
          <w:sz w:val="20"/>
          <w:szCs w:val="20"/>
          <w:lang w:val="es-ES" w:bidi="ar-YE"/>
        </w:rPr>
        <w:t>Investigaciones por delitos contra la administración de justicia</w:t>
      </w:r>
    </w:p>
    <w:p w14:paraId="21628790" w14:textId="619DA7CF"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 xml:space="preserve">El Estado </w:t>
      </w:r>
      <w:r w:rsidR="007342FE" w:rsidRPr="004E1374">
        <w:rPr>
          <w:rFonts w:asciiTheme="majorHAnsi" w:hAnsiTheme="majorHAnsi"/>
          <w:sz w:val="20"/>
          <w:szCs w:val="20"/>
          <w:lang w:val="es-ES" w:bidi="ar-YE"/>
        </w:rPr>
        <w:t>también informa</w:t>
      </w:r>
      <w:r w:rsidRPr="004E1374">
        <w:rPr>
          <w:rFonts w:asciiTheme="majorHAnsi" w:hAnsiTheme="majorHAnsi"/>
          <w:sz w:val="20"/>
          <w:szCs w:val="20"/>
          <w:lang w:val="es-ES" w:bidi="ar-YE"/>
        </w:rPr>
        <w:t xml:space="preserve"> que la carpeta FED/SDHPDSC/UNAI-TAMP/0000121/2017 se encuentra en trámite. Esta investigación comenzó el 27 de enero de 2017 tras la denuncia de la CNDH, la cual acusa a varios servidores públicos de retardar o entorpecer maliciosamente la administración de justicia. El Ministerio Público ha practicado inspecciones en nueve expedientes y realiza un análisis técnico-jurídico para determinar conductas presuntamente irregulares.</w:t>
      </w:r>
      <w:r w:rsidR="00FD31A6" w:rsidRPr="004E1374">
        <w:rPr>
          <w:rFonts w:asciiTheme="majorHAnsi" w:hAnsiTheme="majorHAnsi"/>
          <w:sz w:val="20"/>
          <w:szCs w:val="20"/>
          <w:lang w:val="es-ES" w:bidi="ar-YE"/>
        </w:rPr>
        <w:t xml:space="preserve"> </w:t>
      </w:r>
      <w:r w:rsidRPr="004E1374">
        <w:rPr>
          <w:rFonts w:asciiTheme="majorHAnsi" w:hAnsiTheme="majorHAnsi"/>
          <w:sz w:val="20"/>
          <w:szCs w:val="20"/>
          <w:lang w:val="es-ES" w:bidi="ar-YE"/>
        </w:rPr>
        <w:t xml:space="preserve">El Estado </w:t>
      </w:r>
      <w:r w:rsidR="009336F9" w:rsidRPr="004E1374">
        <w:rPr>
          <w:rFonts w:asciiTheme="majorHAnsi" w:hAnsiTheme="majorHAnsi"/>
          <w:sz w:val="20"/>
          <w:szCs w:val="20"/>
          <w:lang w:val="es-ES" w:bidi="ar-YE"/>
        </w:rPr>
        <w:t xml:space="preserve">también </w:t>
      </w:r>
      <w:r w:rsidRPr="004E1374">
        <w:rPr>
          <w:rFonts w:asciiTheme="majorHAnsi" w:hAnsiTheme="majorHAnsi"/>
          <w:sz w:val="20"/>
          <w:szCs w:val="20"/>
          <w:lang w:val="es-ES" w:bidi="ar-YE"/>
        </w:rPr>
        <w:t>subraya que la Recomendación 67/2016 de la CNDH instruyó remitir la averiguación AP/PGR/NL/ESC-III/327/D/2016 a la Ciudad de México para garantizar los derechos de las víctimas, pero la FGR mantiene la radicación en la Subprocuraduría de Control Regional, Procedimientos Penales y Amparo, conforme a su marco normativo.</w:t>
      </w:r>
    </w:p>
    <w:p w14:paraId="3F06C951" w14:textId="60EFC585" w:rsidR="006F21E7" w:rsidRPr="004E1374" w:rsidRDefault="006F21E7" w:rsidP="003371CF">
      <w:pPr>
        <w:pStyle w:val="ListParagraph"/>
        <w:widowControl w:val="0"/>
        <w:autoSpaceDE w:val="0"/>
        <w:autoSpaceDN w:val="0"/>
        <w:spacing w:before="240" w:after="240"/>
        <w:jc w:val="both"/>
        <w:rPr>
          <w:rFonts w:asciiTheme="majorHAnsi" w:hAnsiTheme="majorHAnsi"/>
          <w:i/>
          <w:iCs/>
          <w:sz w:val="20"/>
          <w:szCs w:val="20"/>
          <w:lang w:val="es-ES" w:bidi="ar-YE"/>
        </w:rPr>
      </w:pPr>
      <w:r w:rsidRPr="004E1374">
        <w:rPr>
          <w:rFonts w:asciiTheme="majorHAnsi" w:hAnsiTheme="majorHAnsi"/>
          <w:i/>
          <w:iCs/>
          <w:sz w:val="20"/>
          <w:szCs w:val="20"/>
          <w:lang w:val="es-ES" w:bidi="ar-YE"/>
        </w:rPr>
        <w:t>Recomendación 57/2013 de la Comisión Nacional de los Derechos Humanos (CNDH)</w:t>
      </w:r>
    </w:p>
    <w:p w14:paraId="0265F65B" w14:textId="04A51A16"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 xml:space="preserve">El Estado explica que, luego de la queja presentada por el padre de la víctima en 2011, la CNDH emitió la Recomendación 57/2013 el 21 de noviembre de 2013. Dicha recomendación se dirigió a la </w:t>
      </w:r>
      <w:r w:rsidR="00221D4C" w:rsidRPr="004E1374">
        <w:rPr>
          <w:rFonts w:asciiTheme="majorHAnsi" w:hAnsiTheme="majorHAnsi"/>
          <w:sz w:val="20"/>
          <w:szCs w:val="20"/>
          <w:lang w:val="es-ES" w:bidi="ar-YE"/>
        </w:rPr>
        <w:t>Secretaría de Defensa Nacional</w:t>
      </w:r>
      <w:r w:rsidRPr="004E1374">
        <w:rPr>
          <w:rFonts w:asciiTheme="majorHAnsi" w:hAnsiTheme="majorHAnsi"/>
          <w:sz w:val="20"/>
          <w:szCs w:val="20"/>
          <w:lang w:val="es-ES" w:bidi="ar-YE"/>
        </w:rPr>
        <w:t xml:space="preserve"> y al Gobierno de Nuevo León por considerar que sus servidores públicos incurrieron en irregularidades al investigar la muerte del señor Parral Rabadán. El Estado </w:t>
      </w:r>
      <w:r w:rsidR="009337CB" w:rsidRPr="004E1374">
        <w:rPr>
          <w:rFonts w:asciiTheme="majorHAnsi" w:hAnsiTheme="majorHAnsi"/>
          <w:sz w:val="20"/>
          <w:szCs w:val="20"/>
          <w:lang w:val="es-ES" w:bidi="ar-YE"/>
        </w:rPr>
        <w:t>informa</w:t>
      </w:r>
      <w:r w:rsidRPr="004E1374">
        <w:rPr>
          <w:rFonts w:asciiTheme="majorHAnsi" w:hAnsiTheme="majorHAnsi"/>
          <w:sz w:val="20"/>
          <w:szCs w:val="20"/>
          <w:lang w:val="es-ES" w:bidi="ar-YE"/>
        </w:rPr>
        <w:t xml:space="preserve"> los puntos recomendatorio</w:t>
      </w:r>
      <w:r w:rsidR="000453EE" w:rsidRPr="004E1374">
        <w:rPr>
          <w:rFonts w:asciiTheme="majorHAnsi" w:hAnsiTheme="majorHAnsi"/>
          <w:sz w:val="20"/>
          <w:szCs w:val="20"/>
          <w:lang w:val="es-ES" w:bidi="ar-YE"/>
        </w:rPr>
        <w:t>s</w:t>
      </w:r>
      <w:r w:rsidRPr="004E1374">
        <w:rPr>
          <w:rFonts w:asciiTheme="majorHAnsi" w:hAnsiTheme="majorHAnsi"/>
          <w:sz w:val="20"/>
          <w:szCs w:val="20"/>
          <w:lang w:val="es-ES" w:bidi="ar-YE"/>
        </w:rPr>
        <w:t xml:space="preserve"> y su grado de cumplimiento: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1"/>
        <w:gridCol w:w="2409"/>
      </w:tblGrid>
      <w:tr w:rsidR="000453EE" w:rsidRPr="004E1374" w14:paraId="0E9DCFE2" w14:textId="77777777" w:rsidTr="0085359E">
        <w:trPr>
          <w:jc w:val="center"/>
        </w:trPr>
        <w:tc>
          <w:tcPr>
            <w:tcW w:w="8630" w:type="dxa"/>
            <w:gridSpan w:val="2"/>
            <w:tcBorders>
              <w:bottom w:val="single" w:sz="12" w:space="0" w:color="auto"/>
            </w:tcBorders>
          </w:tcPr>
          <w:p w14:paraId="3BE9ACFA" w14:textId="691494F6" w:rsidR="000453EE" w:rsidRPr="004E1374" w:rsidRDefault="007E406A" w:rsidP="006622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0"/>
              <w:jc w:val="center"/>
              <w:rPr>
                <w:rFonts w:asciiTheme="majorHAnsi" w:hAnsiTheme="majorHAnsi"/>
                <w:b/>
                <w:bCs/>
                <w:sz w:val="17"/>
                <w:szCs w:val="17"/>
                <w:lang w:val="es-ES" w:bidi="ar-YE"/>
              </w:rPr>
            </w:pPr>
            <w:r w:rsidRPr="004E1374">
              <w:rPr>
                <w:rFonts w:asciiTheme="majorHAnsi" w:hAnsiTheme="majorHAnsi"/>
                <w:b/>
                <w:bCs/>
                <w:sz w:val="17"/>
                <w:szCs w:val="17"/>
                <w:lang w:val="es-ES" w:bidi="ar-YE"/>
              </w:rPr>
              <w:t>RECOMENDACIONES A LA SEDENA</w:t>
            </w:r>
          </w:p>
        </w:tc>
      </w:tr>
      <w:tr w:rsidR="000453EE" w:rsidRPr="004E1374" w14:paraId="1042BBA0" w14:textId="77777777" w:rsidTr="0085359E">
        <w:trPr>
          <w:jc w:val="center"/>
        </w:trPr>
        <w:tc>
          <w:tcPr>
            <w:tcW w:w="6221" w:type="dxa"/>
            <w:tcBorders>
              <w:top w:val="single" w:sz="12" w:space="0" w:color="auto"/>
              <w:left w:val="single" w:sz="12" w:space="0" w:color="auto"/>
            </w:tcBorders>
            <w:shd w:val="clear" w:color="auto" w:fill="000000" w:themeFill="text1"/>
          </w:tcPr>
          <w:p w14:paraId="573CDB81" w14:textId="15622C97" w:rsidR="000453EE" w:rsidRPr="004E1374" w:rsidRDefault="000453EE"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jc w:val="center"/>
              <w:rPr>
                <w:rFonts w:asciiTheme="majorHAnsi" w:hAnsiTheme="majorHAnsi"/>
                <w:b/>
                <w:bCs/>
                <w:color w:val="FFFFFF" w:themeColor="background1"/>
                <w:sz w:val="17"/>
                <w:szCs w:val="17"/>
                <w:lang w:val="es-ES" w:bidi="ar-YE"/>
              </w:rPr>
            </w:pPr>
            <w:r w:rsidRPr="004E1374">
              <w:rPr>
                <w:rFonts w:asciiTheme="majorHAnsi" w:hAnsiTheme="majorHAnsi"/>
                <w:b/>
                <w:bCs/>
                <w:color w:val="FFFFFF" w:themeColor="background1"/>
                <w:sz w:val="17"/>
                <w:szCs w:val="17"/>
                <w:lang w:val="es-ES" w:bidi="ar-YE"/>
              </w:rPr>
              <w:t>Recomendación</w:t>
            </w:r>
          </w:p>
        </w:tc>
        <w:tc>
          <w:tcPr>
            <w:tcW w:w="2409" w:type="dxa"/>
            <w:tcBorders>
              <w:top w:val="single" w:sz="12" w:space="0" w:color="auto"/>
              <w:right w:val="single" w:sz="12" w:space="0" w:color="auto"/>
            </w:tcBorders>
            <w:shd w:val="clear" w:color="auto" w:fill="000000" w:themeFill="text1"/>
          </w:tcPr>
          <w:p w14:paraId="54BDCBDD" w14:textId="1EFADD96" w:rsidR="000453EE" w:rsidRPr="004E1374" w:rsidRDefault="000453EE"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jc w:val="both"/>
              <w:rPr>
                <w:rFonts w:asciiTheme="majorHAnsi" w:hAnsiTheme="majorHAnsi"/>
                <w:b/>
                <w:bCs/>
                <w:color w:val="FFFFFF" w:themeColor="background1"/>
                <w:sz w:val="17"/>
                <w:szCs w:val="17"/>
                <w:lang w:val="es-ES" w:bidi="ar-YE"/>
              </w:rPr>
            </w:pPr>
            <w:r w:rsidRPr="004E1374">
              <w:rPr>
                <w:rFonts w:asciiTheme="majorHAnsi" w:hAnsiTheme="majorHAnsi"/>
                <w:b/>
                <w:bCs/>
                <w:color w:val="FFFFFF" w:themeColor="background1"/>
                <w:sz w:val="17"/>
                <w:szCs w:val="17"/>
                <w:lang w:val="es-ES" w:bidi="ar-YE"/>
              </w:rPr>
              <w:t>Estado de cumplimiento</w:t>
            </w:r>
          </w:p>
        </w:tc>
      </w:tr>
      <w:tr w:rsidR="000453EE" w:rsidRPr="004E1374" w14:paraId="7BCE9B76" w14:textId="77777777" w:rsidTr="0085359E">
        <w:trPr>
          <w:jc w:val="center"/>
        </w:trPr>
        <w:tc>
          <w:tcPr>
            <w:tcW w:w="6221" w:type="dxa"/>
            <w:tcBorders>
              <w:left w:val="single" w:sz="12" w:space="0" w:color="auto"/>
            </w:tcBorders>
          </w:tcPr>
          <w:p w14:paraId="6B249089" w14:textId="79F04F9D" w:rsidR="000453EE" w:rsidRPr="004E1374" w:rsidRDefault="000453EE"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 a efecto de que se tomen las medidas para reparar los daños a los familiares, con motivo de la responsabilidad en que incurrieron los servidores públicos de la SEDENA, y que además se les otorgue la atención médica y psicológica para restablecer su estado de salud física y emocional</w:t>
            </w:r>
          </w:p>
        </w:tc>
        <w:tc>
          <w:tcPr>
            <w:tcW w:w="2409" w:type="dxa"/>
            <w:tcBorders>
              <w:right w:val="single" w:sz="12" w:space="0" w:color="auto"/>
            </w:tcBorders>
          </w:tcPr>
          <w:p w14:paraId="75C12AF9"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59865FE6"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74C9C670" w14:textId="0E9A88FF"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parcial</w:t>
            </w:r>
          </w:p>
        </w:tc>
      </w:tr>
      <w:tr w:rsidR="000453EE" w:rsidRPr="004E1374" w14:paraId="65338D9A" w14:textId="77777777" w:rsidTr="0085359E">
        <w:trPr>
          <w:jc w:val="center"/>
        </w:trPr>
        <w:tc>
          <w:tcPr>
            <w:tcW w:w="6221" w:type="dxa"/>
            <w:tcBorders>
              <w:left w:val="single" w:sz="12" w:space="0" w:color="auto"/>
            </w:tcBorders>
            <w:shd w:val="clear" w:color="auto" w:fill="D9D9D9" w:themeFill="background1" w:themeFillShade="D9"/>
          </w:tcPr>
          <w:p w14:paraId="402F09E9" w14:textId="54B9187E" w:rsidR="000453EE"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w:t>
            </w:r>
            <w:r w:rsidR="00BF313D" w:rsidRPr="004E1374">
              <w:rPr>
                <w:rFonts w:asciiTheme="majorHAnsi" w:hAnsiTheme="majorHAnsi"/>
                <w:b/>
                <w:bCs/>
                <w:sz w:val="16"/>
                <w:szCs w:val="16"/>
                <w:lang w:val="es-ES" w:bidi="ar-YE"/>
              </w:rPr>
              <w:t xml:space="preserve">, para que se intensifique el programa de capacitación y formación en derechos humanos, y que el mismo se dirija tanto a los mandos medios y superiores como a los elementos de tropa, y se generen indicadores de gestión para evaluar el impacto efectivo de la capacitación </w:t>
            </w:r>
          </w:p>
        </w:tc>
        <w:tc>
          <w:tcPr>
            <w:tcW w:w="2409" w:type="dxa"/>
            <w:tcBorders>
              <w:right w:val="single" w:sz="12" w:space="0" w:color="auto"/>
            </w:tcBorders>
            <w:shd w:val="clear" w:color="auto" w:fill="D9D9D9" w:themeFill="background1" w:themeFillShade="D9"/>
          </w:tcPr>
          <w:p w14:paraId="62298A86"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679BF5DA" w14:textId="19395CB7"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total</w:t>
            </w:r>
          </w:p>
        </w:tc>
      </w:tr>
      <w:tr w:rsidR="000453EE" w:rsidRPr="004E1374" w14:paraId="436C8641" w14:textId="77777777" w:rsidTr="0085359E">
        <w:trPr>
          <w:jc w:val="center"/>
        </w:trPr>
        <w:tc>
          <w:tcPr>
            <w:tcW w:w="6221" w:type="dxa"/>
            <w:tcBorders>
              <w:left w:val="single" w:sz="12" w:space="0" w:color="auto"/>
            </w:tcBorders>
          </w:tcPr>
          <w:p w14:paraId="05CC2BE2" w14:textId="1A30C7E3" w:rsidR="000453EE"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w:t>
            </w:r>
            <w:r w:rsidR="00BF313D" w:rsidRPr="004E1374">
              <w:rPr>
                <w:rFonts w:asciiTheme="majorHAnsi" w:hAnsiTheme="majorHAnsi"/>
                <w:b/>
                <w:bCs/>
                <w:sz w:val="16"/>
                <w:szCs w:val="16"/>
                <w:lang w:val="es-ES" w:bidi="ar-YE"/>
              </w:rPr>
              <w:t>, a fin de que en cumplimiento al artículo Decimotercero de la Directiva que regula el uso legítimo de la fuerza por parte del personal del Ejército y Fuerza Aérea Mexicanos, en cumplimiento del ejercicio de Armas de Fuego y Explosivos, se elaboren los protocolos y manuales de actuación específicos para el Ejército Mexicano</w:t>
            </w:r>
          </w:p>
        </w:tc>
        <w:tc>
          <w:tcPr>
            <w:tcW w:w="2409" w:type="dxa"/>
            <w:tcBorders>
              <w:right w:val="single" w:sz="12" w:space="0" w:color="auto"/>
            </w:tcBorders>
          </w:tcPr>
          <w:p w14:paraId="25F35BAB"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0632BBC5"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04BC35E7" w14:textId="041073AF"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total</w:t>
            </w:r>
          </w:p>
        </w:tc>
      </w:tr>
      <w:tr w:rsidR="000453EE" w:rsidRPr="004E1374" w14:paraId="489F3EB9" w14:textId="77777777" w:rsidTr="0085359E">
        <w:trPr>
          <w:jc w:val="center"/>
        </w:trPr>
        <w:tc>
          <w:tcPr>
            <w:tcW w:w="6221" w:type="dxa"/>
            <w:tcBorders>
              <w:left w:val="single" w:sz="12" w:space="0" w:color="auto"/>
            </w:tcBorders>
            <w:shd w:val="clear" w:color="auto" w:fill="D9D9D9" w:themeFill="background1" w:themeFillShade="D9"/>
          </w:tcPr>
          <w:p w14:paraId="35675351" w14:textId="19778B89" w:rsidR="000453EE"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 para que se diseñen e impartan programas integrales de capacitación y formación a fin de promover la actualización y especialización de los agentes del Ministerio Público, específicamente en materia de atención victimológica, así como del fortalecimiento de valores éticos y morales, en los que se les induzca a ajustar su actuación a los principios que rigen en el servicio público, de conformidad con lo señalado en el Convenio de Colaboración que celebraron la FGR y la PGJM</w:t>
            </w:r>
          </w:p>
        </w:tc>
        <w:tc>
          <w:tcPr>
            <w:tcW w:w="2409" w:type="dxa"/>
            <w:tcBorders>
              <w:right w:val="single" w:sz="12" w:space="0" w:color="auto"/>
            </w:tcBorders>
            <w:shd w:val="clear" w:color="auto" w:fill="D9D9D9" w:themeFill="background1" w:themeFillShade="D9"/>
          </w:tcPr>
          <w:p w14:paraId="17991ED2"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01012F52"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57F40CE3" w14:textId="25811C68"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total</w:t>
            </w:r>
          </w:p>
        </w:tc>
      </w:tr>
      <w:tr w:rsidR="000453EE" w:rsidRPr="004E1374" w14:paraId="5E6FAE6C" w14:textId="77777777" w:rsidTr="0085359E">
        <w:trPr>
          <w:jc w:val="center"/>
        </w:trPr>
        <w:tc>
          <w:tcPr>
            <w:tcW w:w="6221" w:type="dxa"/>
            <w:tcBorders>
              <w:left w:val="single" w:sz="12" w:space="0" w:color="auto"/>
            </w:tcBorders>
          </w:tcPr>
          <w:p w14:paraId="12046B0E" w14:textId="404B07D0" w:rsidR="000453EE"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Colaborar</w:t>
            </w:r>
            <w:r w:rsidR="00BF313D" w:rsidRPr="004E1374">
              <w:rPr>
                <w:rFonts w:asciiTheme="majorHAnsi" w:hAnsiTheme="majorHAnsi"/>
                <w:b/>
                <w:bCs/>
                <w:sz w:val="16"/>
                <w:szCs w:val="16"/>
                <w:lang w:val="es-ES" w:bidi="ar-YE"/>
              </w:rPr>
              <w:t xml:space="preserve"> con la CNDH en el trámite de la queja que promueva ante la Unidad de Inspección y Contraloría General del Ejército y Fuerza Aérea Mexicana, en contra de los militares que intervinieron en los hechos</w:t>
            </w:r>
          </w:p>
        </w:tc>
        <w:tc>
          <w:tcPr>
            <w:tcW w:w="2409" w:type="dxa"/>
            <w:tcBorders>
              <w:right w:val="single" w:sz="12" w:space="0" w:color="auto"/>
            </w:tcBorders>
          </w:tcPr>
          <w:p w14:paraId="1677A9F7"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4E8BA617" w14:textId="5077940D"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parcial</w:t>
            </w:r>
          </w:p>
        </w:tc>
      </w:tr>
      <w:tr w:rsidR="000453EE" w:rsidRPr="004E1374" w14:paraId="0A0767ED" w14:textId="77777777" w:rsidTr="0085359E">
        <w:trPr>
          <w:jc w:val="center"/>
        </w:trPr>
        <w:tc>
          <w:tcPr>
            <w:tcW w:w="6221" w:type="dxa"/>
            <w:tcBorders>
              <w:left w:val="single" w:sz="12" w:space="0" w:color="auto"/>
              <w:bottom w:val="single" w:sz="12" w:space="0" w:color="auto"/>
            </w:tcBorders>
            <w:shd w:val="clear" w:color="auto" w:fill="D9D9D9" w:themeFill="background1" w:themeFillShade="D9"/>
          </w:tcPr>
          <w:p w14:paraId="4884E566" w14:textId="00405D61" w:rsidR="000453EE"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Colaborar</w:t>
            </w:r>
            <w:r w:rsidR="00BF313D" w:rsidRPr="004E1374">
              <w:rPr>
                <w:rFonts w:asciiTheme="majorHAnsi" w:hAnsiTheme="majorHAnsi"/>
                <w:b/>
                <w:bCs/>
                <w:sz w:val="16"/>
                <w:szCs w:val="16"/>
                <w:lang w:val="es-ES" w:bidi="ar-YE"/>
              </w:rPr>
              <w:t xml:space="preserve"> con la CNDH, en la presentación y seguimiento de la denuncia de hechos que formule ante la FGR para que se inicie la averiguación previa que en derecho corresponda, por tratarse de servidores públicos federales los involucrados</w:t>
            </w:r>
          </w:p>
        </w:tc>
        <w:tc>
          <w:tcPr>
            <w:tcW w:w="2409" w:type="dxa"/>
            <w:tcBorders>
              <w:bottom w:val="single" w:sz="12" w:space="0" w:color="auto"/>
              <w:right w:val="single" w:sz="12" w:space="0" w:color="auto"/>
            </w:tcBorders>
            <w:shd w:val="clear" w:color="auto" w:fill="D9D9D9" w:themeFill="background1" w:themeFillShade="D9"/>
          </w:tcPr>
          <w:p w14:paraId="721D96DE" w14:textId="77777777" w:rsidR="00BF313D" w:rsidRPr="004E1374" w:rsidRDefault="00BF313D"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2D615505" w14:textId="07C02A26" w:rsidR="000453EE" w:rsidRPr="004E1374" w:rsidRDefault="000453EE" w:rsidP="000453E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parcial</w:t>
            </w:r>
          </w:p>
        </w:tc>
      </w:tr>
    </w:tbl>
    <w:p w14:paraId="02B81639" w14:textId="77777777" w:rsidR="000453EE" w:rsidRPr="004E1374" w:rsidRDefault="000453EE" w:rsidP="000453EE">
      <w:pPr>
        <w:pStyle w:val="ListParagraph"/>
        <w:widowControl w:val="0"/>
        <w:autoSpaceDE w:val="0"/>
        <w:autoSpaceDN w:val="0"/>
        <w:jc w:val="both"/>
        <w:rPr>
          <w:rFonts w:asciiTheme="majorHAnsi" w:hAnsiTheme="majorHAnsi"/>
          <w:sz w:val="10"/>
          <w:szCs w:val="10"/>
          <w:lang w:val="es-ES" w:bidi="ar-YE"/>
        </w:rPr>
      </w:pPr>
    </w:p>
    <w:p w14:paraId="719129A6" w14:textId="77777777" w:rsidR="001F5309" w:rsidRDefault="001F5309">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1"/>
        <w:gridCol w:w="2409"/>
      </w:tblGrid>
      <w:tr w:rsidR="00BF313D" w:rsidRPr="00D842F1" w14:paraId="75879817" w14:textId="77777777" w:rsidTr="0085359E">
        <w:trPr>
          <w:jc w:val="center"/>
        </w:trPr>
        <w:tc>
          <w:tcPr>
            <w:tcW w:w="8630" w:type="dxa"/>
            <w:gridSpan w:val="2"/>
            <w:tcBorders>
              <w:bottom w:val="single" w:sz="12" w:space="0" w:color="auto"/>
            </w:tcBorders>
          </w:tcPr>
          <w:p w14:paraId="6E70B974" w14:textId="227B5C50" w:rsidR="00BF313D" w:rsidRPr="004E1374" w:rsidRDefault="007E406A" w:rsidP="00AF221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120"/>
              <w:ind w:left="0"/>
              <w:jc w:val="center"/>
              <w:rPr>
                <w:rFonts w:asciiTheme="majorHAnsi" w:hAnsiTheme="majorHAnsi"/>
                <w:b/>
                <w:bCs/>
                <w:sz w:val="17"/>
                <w:szCs w:val="17"/>
                <w:lang w:val="es-ES" w:bidi="ar-YE"/>
              </w:rPr>
            </w:pPr>
            <w:r w:rsidRPr="004E1374">
              <w:rPr>
                <w:rFonts w:asciiTheme="majorHAnsi" w:hAnsiTheme="majorHAnsi"/>
                <w:b/>
                <w:bCs/>
                <w:sz w:val="17"/>
                <w:szCs w:val="17"/>
                <w:lang w:val="es-ES" w:bidi="ar-YE"/>
              </w:rPr>
              <w:lastRenderedPageBreak/>
              <w:t xml:space="preserve">RECOMENDACIONES AL GOBIERNO </w:t>
            </w:r>
            <w:r w:rsidR="00820551">
              <w:rPr>
                <w:rFonts w:asciiTheme="majorHAnsi" w:hAnsiTheme="majorHAnsi"/>
                <w:b/>
                <w:bCs/>
                <w:sz w:val="17"/>
                <w:szCs w:val="17"/>
                <w:lang w:val="es-ES" w:bidi="ar-YE"/>
              </w:rPr>
              <w:t>DEL ESTADO</w:t>
            </w:r>
            <w:r w:rsidRPr="004E1374">
              <w:rPr>
                <w:rFonts w:asciiTheme="majorHAnsi" w:hAnsiTheme="majorHAnsi"/>
                <w:b/>
                <w:bCs/>
                <w:sz w:val="17"/>
                <w:szCs w:val="17"/>
                <w:lang w:val="es-ES" w:bidi="ar-YE"/>
              </w:rPr>
              <w:t xml:space="preserve"> DE NUEVO LEÓN</w:t>
            </w:r>
          </w:p>
        </w:tc>
      </w:tr>
      <w:tr w:rsidR="00BF313D" w:rsidRPr="004E1374" w14:paraId="7CDC5C2E" w14:textId="77777777" w:rsidTr="0085359E">
        <w:trPr>
          <w:jc w:val="center"/>
        </w:trPr>
        <w:tc>
          <w:tcPr>
            <w:tcW w:w="6221" w:type="dxa"/>
            <w:tcBorders>
              <w:top w:val="single" w:sz="12" w:space="0" w:color="auto"/>
              <w:left w:val="single" w:sz="12" w:space="0" w:color="auto"/>
            </w:tcBorders>
            <w:shd w:val="clear" w:color="auto" w:fill="000000" w:themeFill="text1"/>
          </w:tcPr>
          <w:p w14:paraId="6DE29B6B" w14:textId="73C6978D"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jc w:val="center"/>
              <w:rPr>
                <w:rFonts w:asciiTheme="majorHAnsi" w:hAnsiTheme="majorHAnsi"/>
                <w:color w:val="FFFFFF" w:themeColor="background1"/>
                <w:sz w:val="17"/>
                <w:szCs w:val="17"/>
                <w:lang w:val="es-ES" w:bidi="ar-YE"/>
              </w:rPr>
            </w:pPr>
            <w:r w:rsidRPr="004E1374">
              <w:rPr>
                <w:rFonts w:asciiTheme="majorHAnsi" w:hAnsiTheme="majorHAnsi"/>
                <w:b/>
                <w:bCs/>
                <w:color w:val="FFFFFF" w:themeColor="background1"/>
                <w:sz w:val="17"/>
                <w:szCs w:val="17"/>
                <w:lang w:val="es-ES" w:bidi="ar-YE"/>
              </w:rPr>
              <w:t>Recomendación</w:t>
            </w:r>
          </w:p>
        </w:tc>
        <w:tc>
          <w:tcPr>
            <w:tcW w:w="2409" w:type="dxa"/>
            <w:tcBorders>
              <w:top w:val="single" w:sz="12" w:space="0" w:color="auto"/>
              <w:right w:val="single" w:sz="12" w:space="0" w:color="auto"/>
            </w:tcBorders>
            <w:shd w:val="clear" w:color="auto" w:fill="000000" w:themeFill="text1"/>
          </w:tcPr>
          <w:p w14:paraId="29715BD2" w14:textId="24B0E1E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jc w:val="center"/>
              <w:rPr>
                <w:rFonts w:asciiTheme="majorHAnsi" w:hAnsiTheme="majorHAnsi"/>
                <w:color w:val="FFFFFF" w:themeColor="background1"/>
                <w:sz w:val="17"/>
                <w:szCs w:val="17"/>
                <w:lang w:val="es-ES" w:bidi="ar-YE"/>
              </w:rPr>
            </w:pPr>
            <w:r w:rsidRPr="004E1374">
              <w:rPr>
                <w:rFonts w:asciiTheme="majorHAnsi" w:hAnsiTheme="majorHAnsi"/>
                <w:b/>
                <w:bCs/>
                <w:color w:val="FFFFFF" w:themeColor="background1"/>
                <w:sz w:val="17"/>
                <w:szCs w:val="17"/>
                <w:lang w:val="es-ES" w:bidi="ar-YE"/>
              </w:rPr>
              <w:t>Estado de cumplimiento</w:t>
            </w:r>
          </w:p>
        </w:tc>
      </w:tr>
      <w:tr w:rsidR="00BF313D" w:rsidRPr="004E1374" w14:paraId="32E33BDD" w14:textId="77777777" w:rsidTr="0085359E">
        <w:trPr>
          <w:jc w:val="center"/>
        </w:trPr>
        <w:tc>
          <w:tcPr>
            <w:tcW w:w="6221" w:type="dxa"/>
            <w:tcBorders>
              <w:left w:val="single" w:sz="12" w:space="0" w:color="auto"/>
            </w:tcBorders>
          </w:tcPr>
          <w:p w14:paraId="2CC94932" w14:textId="10902C95"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 a efecto de que se brinde atención psicológica y médica a los familiares para restablecer su estado de salud física y emocional</w:t>
            </w:r>
          </w:p>
        </w:tc>
        <w:tc>
          <w:tcPr>
            <w:tcW w:w="2409" w:type="dxa"/>
            <w:tcBorders>
              <w:right w:val="single" w:sz="12" w:space="0" w:color="auto"/>
            </w:tcBorders>
          </w:tcPr>
          <w:p w14:paraId="4109E000" w14:textId="7C58EB0A" w:rsidR="00BF313D" w:rsidRPr="004E1374" w:rsidRDefault="00BF313D" w:rsidP="00AF221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ind w:left="0"/>
              <w:jc w:val="center"/>
              <w:rPr>
                <w:rFonts w:asciiTheme="majorHAnsi" w:hAnsiTheme="majorHAnsi"/>
                <w:b/>
                <w:bCs/>
                <w:sz w:val="16"/>
                <w:szCs w:val="16"/>
                <w:lang w:val="es-ES" w:bidi="ar-YE"/>
              </w:rPr>
            </w:pPr>
            <w:r w:rsidRPr="004E1374">
              <w:rPr>
                <w:rFonts w:asciiTheme="majorHAnsi" w:hAnsiTheme="majorHAnsi"/>
                <w:b/>
                <w:bCs/>
                <w:sz w:val="16"/>
                <w:szCs w:val="16"/>
                <w:lang w:val="es-ES" w:bidi="ar-YE"/>
              </w:rPr>
              <w:t>Cumplimiento con características particulares</w:t>
            </w:r>
          </w:p>
        </w:tc>
      </w:tr>
      <w:tr w:rsidR="00BF313D" w:rsidRPr="004E1374" w14:paraId="730ECA45" w14:textId="77777777" w:rsidTr="0085359E">
        <w:trPr>
          <w:jc w:val="center"/>
        </w:trPr>
        <w:tc>
          <w:tcPr>
            <w:tcW w:w="6221" w:type="dxa"/>
            <w:tcBorders>
              <w:left w:val="single" w:sz="12" w:space="0" w:color="auto"/>
            </w:tcBorders>
            <w:shd w:val="clear" w:color="auto" w:fill="D9D9D9" w:themeFill="background1" w:themeFillShade="D9"/>
          </w:tcPr>
          <w:p w14:paraId="527C5B49" w14:textId="060B155E"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 xml:space="preserve">Instruir a quien corresponda, a fin de que se realicen todas las acciones necesarias para la debida integración y determinación de la averiguación previa </w:t>
            </w:r>
          </w:p>
        </w:tc>
        <w:tc>
          <w:tcPr>
            <w:tcW w:w="2409" w:type="dxa"/>
            <w:tcBorders>
              <w:right w:val="single" w:sz="12" w:space="0" w:color="auto"/>
            </w:tcBorders>
            <w:shd w:val="clear" w:color="auto" w:fill="D9D9D9" w:themeFill="background1" w:themeFillShade="D9"/>
          </w:tcPr>
          <w:p w14:paraId="07C6DCBC" w14:textId="3263EBDF" w:rsidR="00BF313D" w:rsidRPr="004E1374" w:rsidRDefault="00BF313D" w:rsidP="00AF221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r w:rsidR="00BF313D" w:rsidRPr="004E1374" w14:paraId="1EEB6228" w14:textId="77777777" w:rsidTr="0085359E">
        <w:trPr>
          <w:jc w:val="center"/>
        </w:trPr>
        <w:tc>
          <w:tcPr>
            <w:tcW w:w="6221" w:type="dxa"/>
            <w:tcBorders>
              <w:left w:val="single" w:sz="12" w:space="0" w:color="auto"/>
            </w:tcBorders>
          </w:tcPr>
          <w:p w14:paraId="1972BF31" w14:textId="763D67DD" w:rsidR="00BF313D"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w:t>
            </w:r>
            <w:r w:rsidR="00BF313D" w:rsidRPr="004E1374">
              <w:rPr>
                <w:rFonts w:asciiTheme="majorHAnsi" w:hAnsiTheme="majorHAnsi"/>
                <w:b/>
                <w:bCs/>
                <w:sz w:val="16"/>
                <w:szCs w:val="16"/>
                <w:lang w:val="es-ES" w:bidi="ar-YE"/>
              </w:rPr>
              <w:t xml:space="preserve">, para que los agentes del Ministerio </w:t>
            </w:r>
            <w:r w:rsidRPr="004E1374">
              <w:rPr>
                <w:rFonts w:asciiTheme="majorHAnsi" w:hAnsiTheme="majorHAnsi"/>
                <w:b/>
                <w:bCs/>
                <w:sz w:val="16"/>
                <w:szCs w:val="16"/>
                <w:lang w:val="es-ES" w:bidi="ar-YE"/>
              </w:rPr>
              <w:t>P</w:t>
            </w:r>
            <w:r w:rsidR="00BF313D" w:rsidRPr="004E1374">
              <w:rPr>
                <w:rFonts w:asciiTheme="majorHAnsi" w:hAnsiTheme="majorHAnsi"/>
                <w:b/>
                <w:bCs/>
                <w:sz w:val="16"/>
                <w:szCs w:val="16"/>
                <w:lang w:val="es-ES" w:bidi="ar-YE"/>
              </w:rPr>
              <w:t>úblico de la PGJENL, en casos en los que se encuentren cadáveres sin identificar, realicen todas aquellas diligencias necesarias que permitan su reconocimiento, para evitar situaciones como la ocurrida en el presente caso</w:t>
            </w:r>
          </w:p>
        </w:tc>
        <w:tc>
          <w:tcPr>
            <w:tcW w:w="2409" w:type="dxa"/>
            <w:tcBorders>
              <w:right w:val="single" w:sz="12" w:space="0" w:color="auto"/>
            </w:tcBorders>
          </w:tcPr>
          <w:p w14:paraId="1795C34B"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621D73AB" w14:textId="0334B1CD"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r w:rsidR="00BF313D" w:rsidRPr="004E1374" w14:paraId="03567A3C" w14:textId="77777777" w:rsidTr="0085359E">
        <w:trPr>
          <w:jc w:val="center"/>
        </w:trPr>
        <w:tc>
          <w:tcPr>
            <w:tcW w:w="6221" w:type="dxa"/>
            <w:tcBorders>
              <w:left w:val="single" w:sz="12" w:space="0" w:color="auto"/>
            </w:tcBorders>
            <w:shd w:val="clear" w:color="auto" w:fill="D9D9D9" w:themeFill="background1" w:themeFillShade="D9"/>
          </w:tcPr>
          <w:p w14:paraId="472155BF" w14:textId="2CC66D64"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Instruir a quien corresponda, para que se diseñen e impartan programas integrales de capacitación y formación a fin de promover la actualización y especialización de los agentes del Ministerio Público, específicamente en materia de atención victimológica, así como del fortalecimiento de valores éticos y morales, en los que se les induzca a ajustar su actuación a los principios que rigen en el servicio público</w:t>
            </w:r>
          </w:p>
        </w:tc>
        <w:tc>
          <w:tcPr>
            <w:tcW w:w="2409" w:type="dxa"/>
            <w:tcBorders>
              <w:right w:val="single" w:sz="12" w:space="0" w:color="auto"/>
            </w:tcBorders>
            <w:shd w:val="clear" w:color="auto" w:fill="D9D9D9" w:themeFill="background1" w:themeFillShade="D9"/>
          </w:tcPr>
          <w:p w14:paraId="12305696"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4FFF2770"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64E36996" w14:textId="637664A0"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r w:rsidR="00BF313D" w:rsidRPr="004E1374" w14:paraId="1A4AC4B2" w14:textId="77777777" w:rsidTr="0085359E">
        <w:trPr>
          <w:jc w:val="center"/>
        </w:trPr>
        <w:tc>
          <w:tcPr>
            <w:tcW w:w="6221" w:type="dxa"/>
            <w:tcBorders>
              <w:left w:val="single" w:sz="12" w:space="0" w:color="auto"/>
            </w:tcBorders>
          </w:tcPr>
          <w:p w14:paraId="279C0200" w14:textId="535F6294" w:rsidR="00BF313D"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Adoptar</w:t>
            </w:r>
            <w:r w:rsidR="00BF313D" w:rsidRPr="004E1374">
              <w:rPr>
                <w:rFonts w:asciiTheme="majorHAnsi" w:hAnsiTheme="majorHAnsi"/>
                <w:b/>
                <w:bCs/>
                <w:sz w:val="16"/>
                <w:szCs w:val="16"/>
                <w:lang w:val="es-ES" w:bidi="ar-YE"/>
              </w:rPr>
              <w:t xml:space="preserve"> las medidas necesarias para que se diseñen e impartan a la totalidad de servidores públicos de la PGJENL, un Programa Integral de Educación, Formación y Capacitación en materia de Derechos Humanos</w:t>
            </w:r>
          </w:p>
        </w:tc>
        <w:tc>
          <w:tcPr>
            <w:tcW w:w="2409" w:type="dxa"/>
            <w:tcBorders>
              <w:right w:val="single" w:sz="12" w:space="0" w:color="auto"/>
            </w:tcBorders>
          </w:tcPr>
          <w:p w14:paraId="26086393"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2705884D" w14:textId="0A98E150"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r w:rsidR="00BF313D" w:rsidRPr="004E1374" w14:paraId="4BFBF366" w14:textId="77777777" w:rsidTr="0085359E">
        <w:trPr>
          <w:jc w:val="center"/>
        </w:trPr>
        <w:tc>
          <w:tcPr>
            <w:tcW w:w="6221" w:type="dxa"/>
            <w:tcBorders>
              <w:left w:val="single" w:sz="12" w:space="0" w:color="auto"/>
            </w:tcBorders>
            <w:shd w:val="clear" w:color="auto" w:fill="D9D9D9" w:themeFill="background1" w:themeFillShade="D9"/>
          </w:tcPr>
          <w:p w14:paraId="4168A885" w14:textId="0D55AC06" w:rsidR="00BF313D"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Colaborar</w:t>
            </w:r>
            <w:r w:rsidR="00BF313D" w:rsidRPr="004E1374">
              <w:rPr>
                <w:rFonts w:asciiTheme="majorHAnsi" w:hAnsiTheme="majorHAnsi"/>
                <w:b/>
                <w:bCs/>
                <w:sz w:val="16"/>
                <w:szCs w:val="16"/>
                <w:lang w:val="es-ES" w:bidi="ar-YE"/>
              </w:rPr>
              <w:t xml:space="preserve"> con la CNDH en el trámite de la queja que se promueva ante la Visitaduría General de la PGJENL, en contra de los servidores públicos involucrados en los hechos</w:t>
            </w:r>
          </w:p>
        </w:tc>
        <w:tc>
          <w:tcPr>
            <w:tcW w:w="2409" w:type="dxa"/>
            <w:tcBorders>
              <w:right w:val="single" w:sz="12" w:space="0" w:color="auto"/>
            </w:tcBorders>
            <w:shd w:val="clear" w:color="auto" w:fill="D9D9D9" w:themeFill="background1" w:themeFillShade="D9"/>
          </w:tcPr>
          <w:p w14:paraId="0CB26CC5"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6715D792" w14:textId="2AE0CA02"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r w:rsidR="00BF313D" w:rsidRPr="004E1374" w14:paraId="13E32B85" w14:textId="77777777" w:rsidTr="0085359E">
        <w:trPr>
          <w:jc w:val="center"/>
        </w:trPr>
        <w:tc>
          <w:tcPr>
            <w:tcW w:w="6221" w:type="dxa"/>
            <w:tcBorders>
              <w:left w:val="single" w:sz="12" w:space="0" w:color="auto"/>
              <w:bottom w:val="single" w:sz="12" w:space="0" w:color="auto"/>
            </w:tcBorders>
          </w:tcPr>
          <w:p w14:paraId="7916A0E2" w14:textId="2AB51701" w:rsidR="00BF313D" w:rsidRPr="004E1374" w:rsidRDefault="00AF221C"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0"/>
              <w:rPr>
                <w:rFonts w:asciiTheme="majorHAnsi" w:hAnsiTheme="majorHAnsi"/>
                <w:b/>
                <w:bCs/>
                <w:sz w:val="16"/>
                <w:szCs w:val="16"/>
                <w:lang w:val="es-ES" w:bidi="ar-YE"/>
              </w:rPr>
            </w:pPr>
            <w:r w:rsidRPr="004E1374">
              <w:rPr>
                <w:rFonts w:asciiTheme="majorHAnsi" w:hAnsiTheme="majorHAnsi"/>
                <w:b/>
                <w:bCs/>
                <w:sz w:val="16"/>
                <w:szCs w:val="16"/>
                <w:lang w:val="es-ES" w:bidi="ar-YE"/>
              </w:rPr>
              <w:t>Colaborar</w:t>
            </w:r>
            <w:r w:rsidR="00BF313D" w:rsidRPr="004E1374">
              <w:rPr>
                <w:rFonts w:asciiTheme="majorHAnsi" w:hAnsiTheme="majorHAnsi"/>
                <w:b/>
                <w:bCs/>
                <w:sz w:val="16"/>
                <w:szCs w:val="16"/>
                <w:lang w:val="es-ES" w:bidi="ar-YE"/>
              </w:rPr>
              <w:t xml:space="preserve"> en la presentación y seguimiento de la denuncia de hechos que la CNDH formule ante la FGR, a fin de que, en el ámbito de su competencia</w:t>
            </w:r>
            <w:r w:rsidRPr="004E1374">
              <w:rPr>
                <w:rFonts w:asciiTheme="majorHAnsi" w:hAnsiTheme="majorHAnsi"/>
                <w:b/>
                <w:bCs/>
                <w:sz w:val="16"/>
                <w:szCs w:val="16"/>
                <w:lang w:val="es-ES" w:bidi="ar-YE"/>
              </w:rPr>
              <w:t xml:space="preserve"> se </w:t>
            </w:r>
            <w:r w:rsidR="00BF313D" w:rsidRPr="004E1374">
              <w:rPr>
                <w:rFonts w:asciiTheme="majorHAnsi" w:hAnsiTheme="majorHAnsi"/>
                <w:b/>
                <w:bCs/>
                <w:sz w:val="16"/>
                <w:szCs w:val="16"/>
                <w:lang w:val="es-ES" w:bidi="ar-YE"/>
              </w:rPr>
              <w:t>inicie la averiguación previa correspondiente en contra de los servidores públicos que participaron en los hechos, por tratarse de servidores públicos locales</w:t>
            </w:r>
          </w:p>
        </w:tc>
        <w:tc>
          <w:tcPr>
            <w:tcW w:w="2409" w:type="dxa"/>
            <w:tcBorders>
              <w:bottom w:val="single" w:sz="12" w:space="0" w:color="auto"/>
              <w:right w:val="single" w:sz="12" w:space="0" w:color="auto"/>
            </w:tcBorders>
          </w:tcPr>
          <w:p w14:paraId="05F85E4A" w14:textId="77777777"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b/>
                <w:bCs/>
                <w:sz w:val="16"/>
                <w:szCs w:val="16"/>
                <w:lang w:val="es-ES" w:bidi="ar-YE"/>
              </w:rPr>
            </w:pPr>
          </w:p>
          <w:p w14:paraId="7426E9C5" w14:textId="2445F335" w:rsidR="00BF313D" w:rsidRPr="004E1374" w:rsidRDefault="00BF313D" w:rsidP="00BF313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jc w:val="center"/>
              <w:rPr>
                <w:rFonts w:asciiTheme="majorHAnsi" w:hAnsiTheme="majorHAnsi"/>
                <w:sz w:val="16"/>
                <w:szCs w:val="16"/>
                <w:lang w:val="es-ES" w:bidi="ar-YE"/>
              </w:rPr>
            </w:pPr>
            <w:r w:rsidRPr="004E1374">
              <w:rPr>
                <w:rFonts w:asciiTheme="majorHAnsi" w:hAnsiTheme="majorHAnsi"/>
                <w:b/>
                <w:bCs/>
                <w:sz w:val="16"/>
                <w:szCs w:val="16"/>
                <w:lang w:val="es-ES" w:bidi="ar-YE"/>
              </w:rPr>
              <w:t>Cumplimiento parcial</w:t>
            </w:r>
          </w:p>
        </w:tc>
      </w:tr>
    </w:tbl>
    <w:p w14:paraId="25DCD391" w14:textId="4ED79EBE" w:rsidR="006F21E7" w:rsidRPr="004E1374" w:rsidRDefault="006F21E7"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El Estado detalla que</w:t>
      </w:r>
      <w:r w:rsidR="00213C44">
        <w:rPr>
          <w:rFonts w:asciiTheme="majorHAnsi" w:hAnsiTheme="majorHAnsi"/>
          <w:sz w:val="20"/>
          <w:szCs w:val="20"/>
          <w:lang w:val="es-ES" w:bidi="ar-YE"/>
        </w:rPr>
        <w:t>,</w:t>
      </w:r>
      <w:r w:rsidRPr="004E1374">
        <w:rPr>
          <w:rFonts w:asciiTheme="majorHAnsi" w:hAnsiTheme="majorHAnsi"/>
          <w:sz w:val="20"/>
          <w:szCs w:val="20"/>
          <w:lang w:val="es-ES" w:bidi="ar-YE"/>
        </w:rPr>
        <w:t xml:space="preserve"> derivado de la Recomendación 57/2013, la CNDH también presentó dos denuncias:</w:t>
      </w:r>
      <w:r w:rsidR="007342FE" w:rsidRPr="004E1374">
        <w:rPr>
          <w:rFonts w:asciiTheme="majorHAnsi" w:hAnsiTheme="majorHAnsi"/>
          <w:sz w:val="20"/>
          <w:szCs w:val="20"/>
          <w:lang w:val="es-ES" w:bidi="ar-YE"/>
        </w:rPr>
        <w:t xml:space="preserve"> u</w:t>
      </w:r>
      <w:r w:rsidRPr="004E1374">
        <w:rPr>
          <w:rFonts w:asciiTheme="majorHAnsi" w:hAnsiTheme="majorHAnsi"/>
          <w:sz w:val="20"/>
          <w:szCs w:val="20"/>
          <w:lang w:val="es-ES" w:bidi="ar-YE"/>
        </w:rPr>
        <w:t>na el 13 de febrero de 2014 ante la FGR</w:t>
      </w:r>
      <w:r w:rsidR="007342FE" w:rsidRPr="004E1374">
        <w:rPr>
          <w:rFonts w:asciiTheme="majorHAnsi" w:hAnsiTheme="majorHAnsi"/>
          <w:sz w:val="20"/>
          <w:szCs w:val="20"/>
          <w:lang w:val="es-ES" w:bidi="ar-YE"/>
        </w:rPr>
        <w:t>; o</w:t>
      </w:r>
      <w:r w:rsidRPr="004E1374">
        <w:rPr>
          <w:rFonts w:asciiTheme="majorHAnsi" w:hAnsiTheme="majorHAnsi"/>
          <w:sz w:val="20"/>
          <w:szCs w:val="20"/>
          <w:lang w:val="es-ES" w:bidi="ar-YE"/>
        </w:rPr>
        <w:t>tra el 12 de diciembre de 2013 ante la entonces Procuraduría General de Justicia de Nuevo León.</w:t>
      </w:r>
      <w:r w:rsidR="008442C8" w:rsidRPr="004E1374">
        <w:rPr>
          <w:rFonts w:asciiTheme="majorHAnsi" w:hAnsiTheme="majorHAnsi"/>
          <w:sz w:val="20"/>
          <w:szCs w:val="20"/>
          <w:lang w:val="es-ES" w:bidi="ar-YE"/>
        </w:rPr>
        <w:t xml:space="preserve"> </w:t>
      </w:r>
      <w:r w:rsidRPr="004E1374">
        <w:rPr>
          <w:rFonts w:asciiTheme="majorHAnsi" w:hAnsiTheme="majorHAnsi"/>
          <w:sz w:val="20"/>
          <w:szCs w:val="20"/>
          <w:lang w:val="es-ES" w:bidi="ar-YE"/>
        </w:rPr>
        <w:t xml:space="preserve">Ambas denuncias siguen en trámite. </w:t>
      </w:r>
    </w:p>
    <w:p w14:paraId="38C2192D" w14:textId="568966AF" w:rsidR="007342FE" w:rsidRPr="004E1374" w:rsidRDefault="007342FE" w:rsidP="003371CF">
      <w:pPr>
        <w:pStyle w:val="ListParagraph"/>
        <w:widowControl w:val="0"/>
        <w:autoSpaceDE w:val="0"/>
        <w:autoSpaceDN w:val="0"/>
        <w:spacing w:before="240" w:after="240"/>
        <w:jc w:val="both"/>
        <w:rPr>
          <w:rFonts w:asciiTheme="majorHAnsi" w:hAnsiTheme="majorHAnsi"/>
          <w:i/>
          <w:iCs/>
          <w:sz w:val="20"/>
          <w:szCs w:val="20"/>
          <w:lang w:val="es-ES" w:bidi="ar-YE"/>
        </w:rPr>
      </w:pPr>
      <w:r w:rsidRPr="004E1374">
        <w:rPr>
          <w:rFonts w:asciiTheme="majorHAnsi" w:hAnsiTheme="majorHAnsi"/>
          <w:i/>
          <w:iCs/>
          <w:sz w:val="20"/>
          <w:szCs w:val="20"/>
          <w:lang w:val="es-ES" w:bidi="ar-YE"/>
        </w:rPr>
        <w:t>Conclusiones del Estado</w:t>
      </w:r>
    </w:p>
    <w:p w14:paraId="64154420" w14:textId="79609AF6" w:rsidR="006F21E7" w:rsidRPr="004E1374" w:rsidRDefault="00654ADA" w:rsidP="003371CF">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4E1374">
        <w:rPr>
          <w:rFonts w:asciiTheme="majorHAnsi" w:hAnsiTheme="majorHAnsi"/>
          <w:sz w:val="20"/>
          <w:szCs w:val="20"/>
          <w:lang w:val="es-ES" w:bidi="ar-YE"/>
        </w:rPr>
        <w:t>México</w:t>
      </w:r>
      <w:r w:rsidR="006F21E7" w:rsidRPr="004E1374">
        <w:rPr>
          <w:rFonts w:asciiTheme="majorHAnsi" w:hAnsiTheme="majorHAnsi"/>
          <w:sz w:val="20"/>
          <w:szCs w:val="20"/>
          <w:lang w:val="es-ES" w:bidi="ar-YE"/>
        </w:rPr>
        <w:t xml:space="preserve"> afirma que realizó múltiples diligencias para esclarecer el secuestro y homicidio, y que obtuvo sentencias condenatorias contra algunos responsables.</w:t>
      </w:r>
      <w:r w:rsidR="000453EE" w:rsidRPr="004E1374">
        <w:rPr>
          <w:rFonts w:asciiTheme="majorHAnsi" w:hAnsiTheme="majorHAnsi"/>
          <w:sz w:val="20"/>
          <w:szCs w:val="20"/>
          <w:lang w:val="es-ES" w:bidi="ar-YE"/>
        </w:rPr>
        <w:t xml:space="preserve"> I</w:t>
      </w:r>
      <w:r w:rsidR="006F21E7" w:rsidRPr="004E1374">
        <w:rPr>
          <w:rFonts w:asciiTheme="majorHAnsi" w:hAnsiTheme="majorHAnsi"/>
          <w:sz w:val="20"/>
          <w:szCs w:val="20"/>
          <w:lang w:val="es-ES" w:bidi="ar-YE"/>
        </w:rPr>
        <w:t>nsiste en que las autoridades practicaron peritajes, recabaron testimonios y consignaron la investigación, aunque los jueces negaron algunas órdenes de captura.</w:t>
      </w:r>
      <w:r w:rsidR="000453EE" w:rsidRPr="004E1374">
        <w:rPr>
          <w:rFonts w:asciiTheme="majorHAnsi" w:hAnsiTheme="majorHAnsi"/>
          <w:sz w:val="20"/>
          <w:szCs w:val="20"/>
          <w:lang w:val="es-ES" w:bidi="ar-YE"/>
        </w:rPr>
        <w:t xml:space="preserve"> S</w:t>
      </w:r>
      <w:r w:rsidR="006F21E7" w:rsidRPr="004E1374">
        <w:rPr>
          <w:rFonts w:asciiTheme="majorHAnsi" w:hAnsiTheme="majorHAnsi"/>
          <w:sz w:val="20"/>
          <w:szCs w:val="20"/>
          <w:lang w:val="es-ES" w:bidi="ar-YE"/>
        </w:rPr>
        <w:t>ubraya que cumple con la Recomendación 57/2013 de la CNDH</w:t>
      </w:r>
      <w:r w:rsidR="00D566DE" w:rsidRPr="004E1374">
        <w:rPr>
          <w:rFonts w:asciiTheme="majorHAnsi" w:hAnsiTheme="majorHAnsi"/>
          <w:sz w:val="20"/>
          <w:szCs w:val="20"/>
          <w:lang w:val="es-ES" w:bidi="ar-YE"/>
        </w:rPr>
        <w:t>,</w:t>
      </w:r>
      <w:r w:rsidR="006F21E7" w:rsidRPr="004E1374">
        <w:rPr>
          <w:rFonts w:asciiTheme="majorHAnsi" w:hAnsiTheme="majorHAnsi"/>
          <w:sz w:val="20"/>
          <w:szCs w:val="20"/>
          <w:lang w:val="es-ES" w:bidi="ar-YE"/>
        </w:rPr>
        <w:t xml:space="preserve"> y que todavía investiga posibles conductas irregulares de servidores públicos.</w:t>
      </w:r>
      <w:r w:rsidR="000453EE" w:rsidRPr="004E1374">
        <w:rPr>
          <w:rFonts w:asciiTheme="majorHAnsi" w:hAnsiTheme="majorHAnsi"/>
          <w:sz w:val="20"/>
          <w:szCs w:val="20"/>
          <w:lang w:val="es-ES" w:bidi="ar-YE"/>
        </w:rPr>
        <w:t xml:space="preserve"> A</w:t>
      </w:r>
      <w:r w:rsidR="006F21E7" w:rsidRPr="004E1374">
        <w:rPr>
          <w:rFonts w:asciiTheme="majorHAnsi" w:hAnsiTheme="majorHAnsi"/>
          <w:sz w:val="20"/>
          <w:szCs w:val="20"/>
          <w:lang w:val="es-ES" w:bidi="ar-YE"/>
        </w:rPr>
        <w:t>rgumenta que</w:t>
      </w:r>
      <w:r w:rsidR="00853528">
        <w:rPr>
          <w:rFonts w:asciiTheme="majorHAnsi" w:hAnsiTheme="majorHAnsi"/>
          <w:sz w:val="20"/>
          <w:szCs w:val="20"/>
          <w:lang w:val="es-ES" w:bidi="ar-YE"/>
        </w:rPr>
        <w:t>,</w:t>
      </w:r>
      <w:r w:rsidR="006F21E7" w:rsidRPr="004E1374">
        <w:rPr>
          <w:rFonts w:asciiTheme="majorHAnsi" w:hAnsiTheme="majorHAnsi"/>
          <w:sz w:val="20"/>
          <w:szCs w:val="20"/>
          <w:lang w:val="es-ES" w:bidi="ar-YE"/>
        </w:rPr>
        <w:t xml:space="preserve"> pese a la radicación de la averiguación previa en Nuevo León, ha garantizado el derecho de coadyuvancia a la familia de la víctima y preservado </w:t>
      </w:r>
      <w:r w:rsidR="008442C8" w:rsidRPr="004E1374">
        <w:rPr>
          <w:rFonts w:asciiTheme="majorHAnsi" w:hAnsiTheme="majorHAnsi"/>
          <w:sz w:val="20"/>
          <w:szCs w:val="20"/>
          <w:lang w:val="es-ES" w:bidi="ar-YE"/>
        </w:rPr>
        <w:t xml:space="preserve">los </w:t>
      </w:r>
      <w:r w:rsidR="006F21E7" w:rsidRPr="004E1374">
        <w:rPr>
          <w:rFonts w:asciiTheme="majorHAnsi" w:hAnsiTheme="majorHAnsi"/>
          <w:sz w:val="20"/>
          <w:szCs w:val="20"/>
          <w:lang w:val="es-ES" w:bidi="ar-YE"/>
        </w:rPr>
        <w:t>medios de prueba de manera diligent</w:t>
      </w:r>
      <w:r w:rsidR="00354069" w:rsidRPr="004E1374">
        <w:rPr>
          <w:rFonts w:asciiTheme="majorHAnsi" w:hAnsiTheme="majorHAnsi"/>
          <w:sz w:val="20"/>
          <w:szCs w:val="20"/>
          <w:lang w:val="es-ES" w:bidi="ar-YE"/>
        </w:rPr>
        <w:t>e.</w:t>
      </w:r>
    </w:p>
    <w:p w14:paraId="6B466593" w14:textId="23EAD031" w:rsidR="00B83158" w:rsidRPr="004E1374" w:rsidRDefault="00B83158" w:rsidP="003371CF">
      <w:pPr>
        <w:spacing w:before="240" w:after="240"/>
        <w:ind w:firstLine="720"/>
        <w:jc w:val="both"/>
        <w:rPr>
          <w:rFonts w:ascii="Cambria" w:hAnsi="Cambria"/>
          <w:sz w:val="20"/>
          <w:szCs w:val="20"/>
          <w:lang w:val="es-ES" w:bidi="ar-YE"/>
        </w:rPr>
      </w:pPr>
      <w:r w:rsidRPr="004E1374">
        <w:rPr>
          <w:rFonts w:asciiTheme="majorHAnsi" w:hAnsiTheme="majorHAnsi"/>
          <w:b/>
          <w:sz w:val="20"/>
          <w:szCs w:val="20"/>
          <w:lang w:val="es-ES" w:bidi="ar-YE"/>
        </w:rPr>
        <w:t xml:space="preserve">VI. </w:t>
      </w:r>
      <w:r w:rsidRPr="004E1374">
        <w:rPr>
          <w:rFonts w:asciiTheme="majorHAnsi" w:hAnsiTheme="majorHAnsi"/>
          <w:b/>
          <w:sz w:val="20"/>
          <w:szCs w:val="20"/>
          <w:lang w:val="es-ES" w:bidi="ar-YE"/>
        </w:rPr>
        <w:tab/>
      </w:r>
      <w:r w:rsidRPr="004E1374">
        <w:rPr>
          <w:rFonts w:asciiTheme="majorHAnsi" w:hAnsiTheme="majorHAnsi"/>
          <w:b/>
          <w:bCs/>
          <w:sz w:val="20"/>
          <w:szCs w:val="20"/>
          <w:lang w:val="es-ES" w:bidi="ar-YE"/>
        </w:rPr>
        <w:t xml:space="preserve">ANÁLISIS DE </w:t>
      </w:r>
      <w:r w:rsidRPr="004E1374">
        <w:rPr>
          <w:rFonts w:asciiTheme="majorHAnsi" w:hAnsiTheme="majorHAnsi"/>
          <w:b/>
          <w:sz w:val="20"/>
          <w:szCs w:val="20"/>
          <w:lang w:val="es-ES" w:bidi="ar-YE"/>
        </w:rPr>
        <w:t>AGOTAMIENTO DE LOS RECURSOS INTERNOS Y PLAZO DE PRESENTACIÓN</w:t>
      </w:r>
      <w:r w:rsidRPr="004E1374">
        <w:rPr>
          <w:rFonts w:asciiTheme="majorHAnsi" w:eastAsia="Cambria" w:hAnsiTheme="majorHAnsi" w:cs="Cambria"/>
          <w:b/>
          <w:bCs/>
          <w:color w:val="000000"/>
          <w:sz w:val="20"/>
          <w:szCs w:val="20"/>
          <w:u w:color="000000"/>
          <w:lang w:val="es-ES" w:eastAsia="es-ES" w:bidi="ar-YE"/>
        </w:rPr>
        <w:t xml:space="preserve"> </w:t>
      </w:r>
    </w:p>
    <w:p w14:paraId="03254883" w14:textId="0FD68FF2" w:rsidR="005716C3" w:rsidRPr="004E1374" w:rsidRDefault="005716C3"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t>El objeto de la presente petición se refiere</w:t>
      </w:r>
      <w:r w:rsidR="00157E84" w:rsidRPr="004E1374">
        <w:rPr>
          <w:sz w:val="20"/>
          <w:szCs w:val="20"/>
          <w:lang w:val="es-ES" w:bidi="ar-YE"/>
        </w:rPr>
        <w:t xml:space="preserve"> fundamentalmente</w:t>
      </w:r>
      <w:r w:rsidRPr="004E1374">
        <w:rPr>
          <w:sz w:val="20"/>
          <w:szCs w:val="20"/>
          <w:lang w:val="es-ES" w:bidi="ar-YE"/>
        </w:rPr>
        <w:t xml:space="preserve"> a la desaparición forzada y posterior ejecución extrajudicial de</w:t>
      </w:r>
      <w:r w:rsidR="00DA78A9" w:rsidRPr="004E1374">
        <w:rPr>
          <w:sz w:val="20"/>
          <w:szCs w:val="20"/>
          <w:lang w:val="es-ES" w:bidi="ar-YE"/>
        </w:rPr>
        <w:t>l Sr.</w:t>
      </w:r>
      <w:r w:rsidRPr="004E1374">
        <w:rPr>
          <w:sz w:val="20"/>
          <w:szCs w:val="20"/>
          <w:lang w:val="es-ES" w:bidi="ar-YE"/>
        </w:rPr>
        <w:t xml:space="preserve"> Jorge Antonio Parral Rabadán, así como</w:t>
      </w:r>
      <w:r w:rsidR="00DA78A9" w:rsidRPr="004E1374">
        <w:rPr>
          <w:sz w:val="20"/>
          <w:szCs w:val="20"/>
          <w:lang w:val="es-ES" w:bidi="ar-YE"/>
        </w:rPr>
        <w:t xml:space="preserve"> a</w:t>
      </w:r>
      <w:r w:rsidRPr="004E1374">
        <w:rPr>
          <w:sz w:val="20"/>
          <w:szCs w:val="20"/>
          <w:lang w:val="es-ES" w:bidi="ar-YE"/>
        </w:rPr>
        <w:t xml:space="preserve"> la falta de investigación diligente y la ausencia de sanción a los responsables de estos hechos.</w:t>
      </w:r>
    </w:p>
    <w:p w14:paraId="7A9ABCA1" w14:textId="2F9C673D" w:rsidR="00BD6DB6" w:rsidRPr="004E1374" w:rsidRDefault="00E12850" w:rsidP="003371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4E1374">
        <w:rPr>
          <w:color w:val="auto"/>
          <w:sz w:val="20"/>
          <w:szCs w:val="20"/>
          <w:lang w:val="es-ES"/>
        </w:rPr>
        <w:t>En consecuencia</w:t>
      </w:r>
      <w:r w:rsidR="00BD6DB6" w:rsidRPr="004E1374">
        <w:rPr>
          <w:color w:val="auto"/>
          <w:sz w:val="20"/>
          <w:szCs w:val="20"/>
          <w:lang w:val="es-ES"/>
        </w:rPr>
        <w:t xml:space="preserve">, </w:t>
      </w:r>
      <w:r w:rsidR="00BD6DB6" w:rsidRPr="004E1374">
        <w:rPr>
          <w:sz w:val="20"/>
          <w:szCs w:val="20"/>
          <w:lang w:val="es-ES"/>
        </w:rPr>
        <w:t>el recurso idóneo que se debe agotar a nivel doméstico es la vía penal, mediante la realización oficiosa y diligente de investigaciones que determinen los responsables de la violación del derecho a la vida y las sometan a juzgamiento y sanción de conformidad con la Convención Americana</w:t>
      </w:r>
      <w:r w:rsidR="00BD6DB6" w:rsidRPr="004E1374">
        <w:rPr>
          <w:bCs/>
          <w:sz w:val="20"/>
          <w:szCs w:val="20"/>
          <w:vertAlign w:val="superscript"/>
          <w:lang w:val="es-ES"/>
        </w:rPr>
        <w:footnoteReference w:id="6"/>
      </w:r>
      <w:r w:rsidR="00BD6DB6" w:rsidRPr="004E1374">
        <w:rPr>
          <w:sz w:val="20"/>
          <w:szCs w:val="20"/>
          <w:lang w:val="es-ES"/>
        </w:rPr>
        <w:t xml:space="preserve">; esta carga debe ser asumida por el Estado como un deber jurídico propio, y no como una gestión de intereses </w:t>
      </w:r>
      <w:r w:rsidR="00BD6DB6" w:rsidRPr="004E1374">
        <w:rPr>
          <w:sz w:val="20"/>
          <w:szCs w:val="20"/>
          <w:lang w:val="es-ES"/>
        </w:rPr>
        <w:lastRenderedPageBreak/>
        <w:t>de particulares o que dependa de la iniciativa de éstos ni de la aportación de pruebas</w:t>
      </w:r>
      <w:r w:rsidR="00B25892">
        <w:rPr>
          <w:sz w:val="20"/>
          <w:szCs w:val="20"/>
          <w:lang w:val="es-ES"/>
        </w:rPr>
        <w:t xml:space="preserve"> de su</w:t>
      </w:r>
      <w:r w:rsidR="00BD6DB6" w:rsidRPr="004E1374">
        <w:rPr>
          <w:sz w:val="20"/>
          <w:szCs w:val="20"/>
          <w:lang w:val="es-ES"/>
        </w:rPr>
        <w:t xml:space="preserve"> parte</w:t>
      </w:r>
      <w:r w:rsidR="00BD6DB6" w:rsidRPr="004E1374">
        <w:rPr>
          <w:bCs/>
          <w:sz w:val="20"/>
          <w:szCs w:val="20"/>
          <w:vertAlign w:val="superscript"/>
          <w:lang w:val="es-ES"/>
        </w:rPr>
        <w:footnoteReference w:id="7"/>
      </w:r>
      <w:r w:rsidR="00BD6DB6" w:rsidRPr="004E1374">
        <w:rPr>
          <w:sz w:val="20"/>
          <w:szCs w:val="20"/>
          <w:lang w:val="es-ES"/>
        </w:rPr>
        <w:t xml:space="preserve">. </w:t>
      </w:r>
    </w:p>
    <w:p w14:paraId="27C80154" w14:textId="1E3165A1" w:rsidR="009337CB" w:rsidRPr="004E1374" w:rsidRDefault="005716C3"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t xml:space="preserve">En el presente caso, </w:t>
      </w:r>
      <w:r w:rsidR="00BD6DB6" w:rsidRPr="004E1374">
        <w:rPr>
          <w:sz w:val="20"/>
          <w:szCs w:val="20"/>
          <w:lang w:val="es-ES" w:bidi="ar-YE"/>
        </w:rPr>
        <w:t xml:space="preserve">de acuerdo con la información proporcionada por la parte peticionaria y el Estado, </w:t>
      </w:r>
      <w:r w:rsidR="009337CB" w:rsidRPr="004E1374">
        <w:rPr>
          <w:sz w:val="20"/>
          <w:szCs w:val="20"/>
          <w:lang w:val="es-ES" w:bidi="ar-YE"/>
        </w:rPr>
        <w:t xml:space="preserve">tras la desaparición de </w:t>
      </w:r>
      <w:r w:rsidR="00DD1A5D" w:rsidRPr="004E1374">
        <w:rPr>
          <w:sz w:val="20"/>
          <w:szCs w:val="20"/>
          <w:lang w:val="es-ES" w:bidi="ar-YE"/>
        </w:rPr>
        <w:t>la presunta víctima</w:t>
      </w:r>
      <w:r w:rsidR="009337CB" w:rsidRPr="004E1374">
        <w:rPr>
          <w:sz w:val="20"/>
          <w:szCs w:val="20"/>
          <w:lang w:val="es-ES" w:bidi="ar-YE"/>
        </w:rPr>
        <w:t xml:space="preserve"> el 24 de abril de 2010, la investigación penal por homicidio inició el 9 de marzo de 2016. </w:t>
      </w:r>
      <w:r w:rsidR="00625B04" w:rsidRPr="004E1374">
        <w:rPr>
          <w:sz w:val="20"/>
          <w:szCs w:val="20"/>
          <w:lang w:val="es-ES" w:bidi="ar-YE"/>
        </w:rPr>
        <w:t>E</w:t>
      </w:r>
      <w:r w:rsidRPr="004E1374">
        <w:rPr>
          <w:sz w:val="20"/>
          <w:szCs w:val="20"/>
          <w:lang w:val="es-ES" w:bidi="ar-YE"/>
        </w:rPr>
        <w:t xml:space="preserve">l 6 de septiembre de 2018 </w:t>
      </w:r>
      <w:r w:rsidR="009337CB" w:rsidRPr="004E1374">
        <w:rPr>
          <w:sz w:val="20"/>
          <w:szCs w:val="20"/>
          <w:lang w:val="es-ES" w:bidi="ar-YE"/>
        </w:rPr>
        <w:t xml:space="preserve">la Fiscalía </w:t>
      </w:r>
      <w:r w:rsidRPr="004E1374">
        <w:rPr>
          <w:sz w:val="20"/>
          <w:szCs w:val="20"/>
          <w:lang w:val="es-ES" w:bidi="ar-YE"/>
        </w:rPr>
        <w:t>consignó la averiguación previa y solicitó órdenes de aprehensión contra cuatro militares por homicidio calificado y alteración del lugar de los hechos</w:t>
      </w:r>
      <w:r w:rsidR="00F243DC" w:rsidRPr="004E1374">
        <w:rPr>
          <w:sz w:val="20"/>
          <w:szCs w:val="20"/>
          <w:lang w:val="es-ES" w:bidi="ar-YE"/>
        </w:rPr>
        <w:t>.</w:t>
      </w:r>
      <w:r w:rsidRPr="004E1374">
        <w:rPr>
          <w:sz w:val="20"/>
          <w:szCs w:val="20"/>
          <w:lang w:val="es-ES" w:bidi="ar-YE"/>
        </w:rPr>
        <w:t xml:space="preserve"> </w:t>
      </w:r>
      <w:r w:rsidR="00F243DC" w:rsidRPr="004E1374">
        <w:rPr>
          <w:sz w:val="20"/>
          <w:szCs w:val="20"/>
          <w:lang w:val="es-ES" w:bidi="ar-YE"/>
        </w:rPr>
        <w:t>Las órdenes</w:t>
      </w:r>
      <w:r w:rsidRPr="004E1374">
        <w:rPr>
          <w:sz w:val="20"/>
          <w:szCs w:val="20"/>
          <w:lang w:val="es-ES" w:bidi="ar-YE"/>
        </w:rPr>
        <w:t xml:space="preserve"> fueron negadas por el Juzgado Sexto de Distrito en Materia Penal de Nuevo León el 7 de septiembre de 2018</w:t>
      </w:r>
      <w:r w:rsidR="00EB1C6E" w:rsidRPr="004E1374">
        <w:rPr>
          <w:sz w:val="20"/>
          <w:szCs w:val="20"/>
          <w:lang w:val="es-ES" w:bidi="ar-YE"/>
        </w:rPr>
        <w:t>,</w:t>
      </w:r>
      <w:r w:rsidRPr="004E1374">
        <w:rPr>
          <w:sz w:val="20"/>
          <w:szCs w:val="20"/>
          <w:lang w:val="es-ES" w:bidi="ar-YE"/>
        </w:rPr>
        <w:t xml:space="preserve"> y esta negativa fue confirmada en apelación el 11 de enero de 2019. </w:t>
      </w:r>
      <w:r w:rsidR="009337CB" w:rsidRPr="004E1374">
        <w:rPr>
          <w:sz w:val="20"/>
          <w:szCs w:val="20"/>
          <w:lang w:val="es-ES" w:bidi="ar-YE"/>
        </w:rPr>
        <w:t xml:space="preserve">La información más reciente es que el proceso sigue en trámite. Adicionalmente, la SEIDO adelantó una investigación por el secuestro de Jorge Antonio Parral Radabán; la FGR obtuvo sentencia condenatoria en el ámbito del secuestro; sin embargo, la investigación sigue abierta para profundizar en otros posibles involucrados. Finalmente, en enero de 2017 se inició la investigación por delitos contra la administración de justicia con el objeto de </w:t>
      </w:r>
      <w:r w:rsidR="005D57E5">
        <w:rPr>
          <w:sz w:val="20"/>
          <w:szCs w:val="20"/>
          <w:lang w:val="es-ES" w:bidi="ar-YE"/>
        </w:rPr>
        <w:t>i</w:t>
      </w:r>
      <w:r w:rsidR="009337CB" w:rsidRPr="004E1374">
        <w:rPr>
          <w:sz w:val="20"/>
          <w:szCs w:val="20"/>
          <w:lang w:val="es-ES" w:bidi="ar-YE"/>
        </w:rPr>
        <w:t>nvestigar denuncias por presuntas obstrucciones, dilaciones y actuación irregular de servidores públicos en el curso de la investigación penal; esta investigación sigue igualmente abierta.</w:t>
      </w:r>
    </w:p>
    <w:p w14:paraId="2DEB5515" w14:textId="68149C7D" w:rsidR="00D75D54" w:rsidRPr="004E1374" w:rsidRDefault="00D75D54" w:rsidP="003371CF">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4E1374">
        <w:rPr>
          <w:sz w:val="20"/>
          <w:szCs w:val="20"/>
          <w:lang w:val="es-ES"/>
        </w:rPr>
        <w:t xml:space="preserve">La Comisión Interamericana observa que han transcurrido más de </w:t>
      </w:r>
      <w:r w:rsidR="0031585C">
        <w:rPr>
          <w:sz w:val="20"/>
          <w:szCs w:val="20"/>
          <w:lang w:val="es-ES"/>
        </w:rPr>
        <w:t>15</w:t>
      </w:r>
      <w:r w:rsidR="0031585C" w:rsidRPr="004E1374">
        <w:rPr>
          <w:sz w:val="20"/>
          <w:szCs w:val="20"/>
          <w:lang w:val="es-ES"/>
        </w:rPr>
        <w:t xml:space="preserve"> </w:t>
      </w:r>
      <w:r w:rsidRPr="004E1374">
        <w:rPr>
          <w:sz w:val="20"/>
          <w:szCs w:val="20"/>
          <w:lang w:val="es-ES"/>
        </w:rPr>
        <w:t xml:space="preserve">años desde </w:t>
      </w:r>
      <w:r w:rsidRPr="004E1374">
        <w:rPr>
          <w:sz w:val="20"/>
          <w:szCs w:val="20"/>
          <w:lang w:val="es-ES" w:bidi="ar-YE"/>
        </w:rPr>
        <w:t>la desaparición y muerte de Jorge Antonio Parral Rabadán</w:t>
      </w:r>
      <w:r w:rsidRPr="004E1374">
        <w:rPr>
          <w:sz w:val="20"/>
          <w:szCs w:val="20"/>
          <w:lang w:val="es-ES"/>
        </w:rPr>
        <w:t xml:space="preserve">, ocurrida en abril de 2010, y hasta la fecha no se ha realizado una investigación penal conclusiva que establezca las circunstancias y los responsables de su muerte. </w:t>
      </w:r>
      <w:r w:rsidR="008F41C6" w:rsidRPr="004E1374">
        <w:rPr>
          <w:sz w:val="20"/>
          <w:szCs w:val="20"/>
          <w:lang w:val="es-ES"/>
        </w:rPr>
        <w:t>Todo esto en un contexto</w:t>
      </w:r>
      <w:r w:rsidR="00F100A6" w:rsidRPr="004E1374">
        <w:rPr>
          <w:sz w:val="20"/>
          <w:szCs w:val="20"/>
          <w:lang w:val="es-ES"/>
        </w:rPr>
        <w:t xml:space="preserve"> </w:t>
      </w:r>
      <w:r w:rsidR="00820551">
        <w:rPr>
          <w:sz w:val="20"/>
          <w:szCs w:val="20"/>
          <w:lang w:val="es-ES"/>
        </w:rPr>
        <w:t xml:space="preserve">de </w:t>
      </w:r>
      <w:r w:rsidR="00F100A6" w:rsidRPr="004E1374">
        <w:rPr>
          <w:sz w:val="20"/>
          <w:szCs w:val="20"/>
          <w:lang w:val="es-ES"/>
        </w:rPr>
        <w:t xml:space="preserve">violencia generada a gran escala por grupos del crimen organizado, en condiciones como las descritas en el presente informe en las cuales se habrían producido </w:t>
      </w:r>
      <w:r w:rsidR="00C40AA7" w:rsidRPr="004E1374">
        <w:rPr>
          <w:sz w:val="20"/>
          <w:szCs w:val="20"/>
          <w:lang w:val="es-ES"/>
        </w:rPr>
        <w:t xml:space="preserve">alteraciones en la escena del crimen del homicidio de la presunta víctima, y otras alegadas irregularidades en las investigaciones. </w:t>
      </w:r>
      <w:r w:rsidR="00AB1144" w:rsidRPr="004E1374">
        <w:rPr>
          <w:rFonts w:asciiTheme="majorHAnsi" w:hAnsiTheme="majorHAnsi"/>
          <w:sz w:val="20"/>
          <w:szCs w:val="20"/>
          <w:lang w:val="es-ES"/>
        </w:rPr>
        <w:t>Tomando en cuenta este conjunto de circunstancias</w:t>
      </w:r>
      <w:r w:rsidRPr="004E1374">
        <w:rPr>
          <w:rFonts w:asciiTheme="majorHAnsi" w:hAnsiTheme="majorHAnsi"/>
          <w:sz w:val="20"/>
          <w:szCs w:val="20"/>
          <w:lang w:val="es-ES"/>
        </w:rPr>
        <w:t>, la CIDH concluye que existe un retardo injustificado en la adopción de una decisión final a nivel interno, por lo que resulta aplicable la excepción</w:t>
      </w:r>
      <w:r w:rsidR="00AA08CB">
        <w:rPr>
          <w:rFonts w:asciiTheme="majorHAnsi" w:hAnsiTheme="majorHAnsi"/>
          <w:sz w:val="20"/>
          <w:szCs w:val="20"/>
          <w:lang w:val="es-ES"/>
        </w:rPr>
        <w:t xml:space="preserve"> de</w:t>
      </w:r>
      <w:r w:rsidR="00AB1144" w:rsidRPr="004E1374">
        <w:rPr>
          <w:rFonts w:asciiTheme="majorHAnsi" w:hAnsiTheme="majorHAnsi"/>
          <w:sz w:val="20"/>
          <w:szCs w:val="20"/>
          <w:lang w:val="es-ES"/>
        </w:rPr>
        <w:t xml:space="preserve"> retardo injustificado en el agotamiento de los recursos internos</w:t>
      </w:r>
      <w:r w:rsidRPr="004E1374">
        <w:rPr>
          <w:rFonts w:asciiTheme="majorHAnsi" w:hAnsiTheme="majorHAnsi"/>
          <w:sz w:val="20"/>
          <w:szCs w:val="20"/>
          <w:lang w:val="es-ES"/>
        </w:rPr>
        <w:t xml:space="preserve"> prevista en el artículo 46.2.c) de la Convención Americana. </w:t>
      </w:r>
    </w:p>
    <w:p w14:paraId="4B95A1C1" w14:textId="2BD029DC" w:rsidR="00D75D54" w:rsidRPr="004E1374" w:rsidRDefault="00D75D54" w:rsidP="003371CF">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4E1374">
        <w:rPr>
          <w:rFonts w:asciiTheme="majorHAnsi" w:hAnsiTheme="majorHAnsi"/>
          <w:sz w:val="20"/>
          <w:szCs w:val="20"/>
          <w:lang w:val="es-ES"/>
        </w:rPr>
        <w:t xml:space="preserve">Acerca de la razonabilidad del plazo en el cual fue presentada la presente petición, conforme al artículo 32.2 de su Reglamento Interno, la CIDH concluye que ésta cumple con dicho requisito, ya que los hechos iniciales ocurrieron en 2010; la petición fue presentada en 2015; y los efectos de las alegadas violaciones en términos de la alegada impunidad permanecerían hasta el presente. </w:t>
      </w:r>
    </w:p>
    <w:p w14:paraId="2C613E54" w14:textId="77777777" w:rsidR="00C9124E" w:rsidRPr="004E1374" w:rsidRDefault="00C9124E" w:rsidP="003371CF">
      <w:pPr>
        <w:pStyle w:val="ListParagraph"/>
        <w:spacing w:before="240" w:after="240"/>
        <w:ind w:left="758"/>
        <w:jc w:val="both"/>
        <w:rPr>
          <w:rFonts w:asciiTheme="majorHAnsi" w:hAnsiTheme="majorHAnsi"/>
          <w:b/>
          <w:sz w:val="20"/>
          <w:szCs w:val="20"/>
          <w:lang w:val="es-ES" w:bidi="ar-YE"/>
        </w:rPr>
      </w:pPr>
      <w:r w:rsidRPr="004E1374">
        <w:rPr>
          <w:rFonts w:asciiTheme="majorHAnsi" w:hAnsiTheme="majorHAnsi"/>
          <w:b/>
          <w:sz w:val="20"/>
          <w:szCs w:val="20"/>
          <w:lang w:val="es-ES" w:bidi="ar-YE"/>
        </w:rPr>
        <w:t xml:space="preserve">VII. </w:t>
      </w:r>
      <w:r w:rsidRPr="004E1374">
        <w:rPr>
          <w:rFonts w:asciiTheme="majorHAnsi" w:hAnsiTheme="majorHAnsi"/>
          <w:b/>
          <w:sz w:val="20"/>
          <w:szCs w:val="20"/>
          <w:lang w:val="es-ES" w:bidi="ar-YE"/>
        </w:rPr>
        <w:tab/>
      </w:r>
      <w:r w:rsidRPr="004E1374">
        <w:rPr>
          <w:rFonts w:asciiTheme="majorHAnsi" w:hAnsiTheme="majorHAnsi"/>
          <w:b/>
          <w:bCs/>
          <w:sz w:val="20"/>
          <w:szCs w:val="20"/>
          <w:lang w:val="es-ES" w:bidi="ar-YE"/>
        </w:rPr>
        <w:t>ANÁLISIS DE CARACTERIZACIÓN DE LOS HECHOS ALEGADOS</w:t>
      </w:r>
    </w:p>
    <w:p w14:paraId="41C33E92" w14:textId="5D2C4D98" w:rsidR="00280318" w:rsidRPr="004E1374" w:rsidRDefault="0025427E"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t>Como ya se ha establecido, l</w:t>
      </w:r>
      <w:r w:rsidR="00D75D54" w:rsidRPr="004E1374">
        <w:rPr>
          <w:sz w:val="20"/>
          <w:szCs w:val="20"/>
          <w:lang w:val="es-ES" w:bidi="ar-YE"/>
        </w:rPr>
        <w:t xml:space="preserve">a parte peticionaria denuncia la desaparición forzada y posterior ejecución extrajudicial de Jorge Antonio Parral Rabadán, así como la falta de investigación diligente y la ausencia de sanción a los responsables. </w:t>
      </w:r>
    </w:p>
    <w:p w14:paraId="6753169A" w14:textId="04DE0CC4" w:rsidR="00D75D54" w:rsidRDefault="00D75D54"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t xml:space="preserve">En particular, la petición </w:t>
      </w:r>
      <w:r w:rsidR="00811097" w:rsidRPr="004E1374">
        <w:rPr>
          <w:sz w:val="20"/>
          <w:szCs w:val="20"/>
          <w:lang w:val="es-ES" w:bidi="ar-YE"/>
        </w:rPr>
        <w:t>plantea</w:t>
      </w:r>
      <w:r w:rsidR="00280318" w:rsidRPr="004E1374">
        <w:rPr>
          <w:sz w:val="20"/>
          <w:szCs w:val="20"/>
          <w:lang w:val="es-ES" w:bidi="ar-YE"/>
        </w:rPr>
        <w:t xml:space="preserve">, </w:t>
      </w:r>
      <w:r w:rsidR="00280318" w:rsidRPr="004E1374">
        <w:rPr>
          <w:i/>
          <w:iCs/>
          <w:sz w:val="20"/>
          <w:szCs w:val="20"/>
          <w:lang w:val="es-ES" w:bidi="ar-YE"/>
        </w:rPr>
        <w:t>inter alia</w:t>
      </w:r>
      <w:r w:rsidRPr="004E1374">
        <w:rPr>
          <w:sz w:val="20"/>
          <w:szCs w:val="20"/>
          <w:lang w:val="es-ES" w:bidi="ar-YE"/>
        </w:rPr>
        <w:t xml:space="preserve">: i) la desaparición forzada de Jorge Antonio Parral Rabadán; ii) su posterior ejecución extrajudicial a manos de agentes estatales; iii) la falta de notificación a la familia y el ocultamiento de información relevante durante once meses, incluyendo el hallazgo del vehículo y una credencial de la </w:t>
      </w:r>
      <w:r w:rsidR="00280318" w:rsidRPr="004E1374">
        <w:rPr>
          <w:sz w:val="20"/>
          <w:szCs w:val="20"/>
          <w:lang w:val="es-ES" w:bidi="ar-YE"/>
        </w:rPr>
        <w:t xml:space="preserve">presunta </w:t>
      </w:r>
      <w:r w:rsidRPr="004E1374">
        <w:rPr>
          <w:sz w:val="20"/>
          <w:szCs w:val="20"/>
          <w:lang w:val="es-ES" w:bidi="ar-YE"/>
        </w:rPr>
        <w:t xml:space="preserve">víctima; iv) la alteración de la escena del crimen y la manipulación de evidencia para presentar la ejecución como un enfrentamiento y a la víctima como un “sicario”; v) la inhumación del cuerpo en una fosa común sin la debida identificación y notificación a los familiares; vi) la falta de una investigación pronta, exhaustiva y efectiva de los hechos, incluyendo la cadena de mando y todos los responsables, así como las denunciadas omisiones y negligencias por parte de diversas autoridades en la investigación y resguardo de pruebas; </w:t>
      </w:r>
      <w:r w:rsidR="00D548DC" w:rsidRPr="004E1374">
        <w:rPr>
          <w:sz w:val="20"/>
          <w:szCs w:val="20"/>
          <w:lang w:val="es-ES" w:bidi="ar-YE"/>
        </w:rPr>
        <w:t>vii</w:t>
      </w:r>
      <w:r w:rsidRPr="004E1374">
        <w:rPr>
          <w:sz w:val="20"/>
          <w:szCs w:val="20"/>
          <w:lang w:val="es-ES" w:bidi="ar-YE"/>
        </w:rPr>
        <w:t xml:space="preserve">) la falta de sanción a los responsables materiales e intelectuales de la desaparición forzada y ejecución extrajudicial, así como de los actos de encubrimiento y obstrucción de la justicia; y </w:t>
      </w:r>
      <w:r w:rsidR="00D548DC" w:rsidRPr="004E1374">
        <w:rPr>
          <w:sz w:val="20"/>
          <w:szCs w:val="20"/>
          <w:lang w:val="es-ES" w:bidi="ar-YE"/>
        </w:rPr>
        <w:t>viii</w:t>
      </w:r>
      <w:r w:rsidRPr="004E1374">
        <w:rPr>
          <w:sz w:val="20"/>
          <w:szCs w:val="20"/>
          <w:lang w:val="es-ES" w:bidi="ar-YE"/>
        </w:rPr>
        <w:t xml:space="preserve">) la prolongada impunidad a más de una década de los hechos, a pesar de la </w:t>
      </w:r>
      <w:r w:rsidR="00D548DC" w:rsidRPr="004E1374">
        <w:rPr>
          <w:sz w:val="20"/>
          <w:szCs w:val="20"/>
          <w:lang w:val="es-ES" w:bidi="ar-YE"/>
        </w:rPr>
        <w:t>r</w:t>
      </w:r>
      <w:r w:rsidRPr="004E1374">
        <w:rPr>
          <w:sz w:val="20"/>
          <w:szCs w:val="20"/>
          <w:lang w:val="es-ES" w:bidi="ar-YE"/>
        </w:rPr>
        <w:t>ecomendación de la CNDH y las investigaciones iniciadas.</w:t>
      </w:r>
    </w:p>
    <w:p w14:paraId="019FD55B" w14:textId="77777777" w:rsidR="002C4256" w:rsidRPr="004E1374" w:rsidRDefault="002C4256" w:rsidP="002C4256">
      <w:pPr>
        <w:pStyle w:val="ListParagraph"/>
        <w:widowControl w:val="0"/>
        <w:spacing w:before="240" w:after="240"/>
        <w:jc w:val="both"/>
        <w:rPr>
          <w:sz w:val="20"/>
          <w:szCs w:val="20"/>
          <w:lang w:val="es-ES" w:bidi="ar-YE"/>
        </w:rPr>
      </w:pPr>
    </w:p>
    <w:p w14:paraId="79971178" w14:textId="79C460CA" w:rsidR="00D75D54" w:rsidRPr="004E1374" w:rsidRDefault="00D75D54"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lastRenderedPageBreak/>
        <w:t>De esta forma, y de manera conclusiva, tras examinar los elementos de hecho y de derecho expuestos por las partes, la Comisión Interamericana estima que los alegatos de</w:t>
      </w:r>
      <w:r w:rsidR="00820551">
        <w:rPr>
          <w:sz w:val="20"/>
          <w:szCs w:val="20"/>
          <w:lang w:val="es-ES" w:bidi="ar-YE"/>
        </w:rPr>
        <w:t xml:space="preserve"> </w:t>
      </w:r>
      <w:r w:rsidRPr="004E1374">
        <w:rPr>
          <w:sz w:val="20"/>
          <w:szCs w:val="20"/>
          <w:lang w:val="es-ES" w:bidi="ar-YE"/>
        </w:rPr>
        <w:t>l</w:t>
      </w:r>
      <w:r w:rsidR="00820551">
        <w:rPr>
          <w:sz w:val="20"/>
          <w:szCs w:val="20"/>
          <w:lang w:val="es-ES" w:bidi="ar-YE"/>
        </w:rPr>
        <w:t>os</w:t>
      </w:r>
      <w:r w:rsidRPr="004E1374">
        <w:rPr>
          <w:sz w:val="20"/>
          <w:szCs w:val="20"/>
          <w:lang w:val="es-ES" w:bidi="ar-YE"/>
        </w:rPr>
        <w:t xml:space="preserve"> peticionario</w:t>
      </w:r>
      <w:r w:rsidR="00820551">
        <w:rPr>
          <w:sz w:val="20"/>
          <w:szCs w:val="20"/>
          <w:lang w:val="es-ES" w:bidi="ar-YE"/>
        </w:rPr>
        <w:t>s</w:t>
      </w:r>
      <w:r w:rsidRPr="004E1374">
        <w:rPr>
          <w:sz w:val="20"/>
          <w:szCs w:val="20"/>
          <w:lang w:val="es-ES" w:bidi="ar-YE"/>
        </w:rPr>
        <w:t xml:space="preserve"> no resultan manifiestamente infundados y requieren un estudio de fondo, pues los hechos </w:t>
      </w:r>
      <w:r w:rsidR="00A77077">
        <w:rPr>
          <w:sz w:val="20"/>
          <w:szCs w:val="20"/>
          <w:lang w:val="es-ES" w:bidi="ar-YE"/>
        </w:rPr>
        <w:t>denunciados</w:t>
      </w:r>
      <w:r w:rsidRPr="004E1374">
        <w:rPr>
          <w:sz w:val="20"/>
          <w:szCs w:val="20"/>
          <w:lang w:val="es-ES" w:bidi="ar-YE"/>
        </w:rPr>
        <w:t>, de corroborarse como ciertos, podrían constituir violaciones de los derechos reconocidos en los artículos</w:t>
      </w:r>
      <w:r w:rsidR="00280318" w:rsidRPr="004E1374">
        <w:rPr>
          <w:sz w:val="20"/>
          <w:szCs w:val="20"/>
          <w:lang w:val="es-ES" w:bidi="ar-YE"/>
        </w:rPr>
        <w:t xml:space="preserve"> 3 (personalidad jurídica),</w:t>
      </w:r>
      <w:r w:rsidRPr="004E1374">
        <w:rPr>
          <w:sz w:val="20"/>
          <w:szCs w:val="20"/>
          <w:lang w:val="es-ES" w:bidi="ar-YE"/>
        </w:rPr>
        <w:t xml:space="preserve"> 4 (derecho a la vida), 5 (integridad personal), 7 (libertad personal), 8 (garantías judiciales) y 25 (protección judicial) de la Convención Americana, en relación con su artículo 1.1 (obligación de respetar los derechos), así como </w:t>
      </w:r>
      <w:r w:rsidR="00280318" w:rsidRPr="004E1374">
        <w:rPr>
          <w:sz w:val="20"/>
          <w:szCs w:val="20"/>
          <w:lang w:val="es-ES" w:bidi="ar-YE"/>
        </w:rPr>
        <w:t>del</w:t>
      </w:r>
      <w:r w:rsidRPr="004E1374">
        <w:rPr>
          <w:sz w:val="20"/>
          <w:szCs w:val="20"/>
          <w:lang w:val="es-ES" w:bidi="ar-YE"/>
        </w:rPr>
        <w:t xml:space="preserve"> artículo I de la Convención Interamericana sobre Desaparición Forzada de Personas</w:t>
      </w:r>
      <w:r w:rsidR="00D548DC" w:rsidRPr="004E1374">
        <w:rPr>
          <w:sz w:val="20"/>
          <w:szCs w:val="20"/>
          <w:lang w:val="es-ES" w:bidi="ar-YE"/>
        </w:rPr>
        <w:t xml:space="preserve"> respecto de la obligación de investigar</w:t>
      </w:r>
      <w:r w:rsidR="00280318" w:rsidRPr="004E1374">
        <w:rPr>
          <w:bCs/>
          <w:sz w:val="20"/>
          <w:szCs w:val="20"/>
          <w:vertAlign w:val="superscript"/>
          <w:lang w:val="es-ES" w:bidi="ar-YE"/>
        </w:rPr>
        <w:footnoteReference w:id="8"/>
      </w:r>
      <w:r w:rsidR="00280318" w:rsidRPr="004E1374">
        <w:rPr>
          <w:sz w:val="20"/>
          <w:szCs w:val="20"/>
          <w:lang w:val="es-ES" w:bidi="ar-YE"/>
        </w:rPr>
        <w:t>, en perjuicio de Jorge Antonio Parral Radabán y sus familiares, en los términos del presente informe.</w:t>
      </w:r>
    </w:p>
    <w:p w14:paraId="078EE113" w14:textId="0E87DACB" w:rsidR="00753826" w:rsidRPr="004E1374" w:rsidRDefault="00503322" w:rsidP="003371CF">
      <w:pPr>
        <w:pStyle w:val="ListParagraph"/>
        <w:widowControl w:val="0"/>
        <w:numPr>
          <w:ilvl w:val="0"/>
          <w:numId w:val="55"/>
        </w:numPr>
        <w:spacing w:before="240" w:after="240"/>
        <w:ind w:left="0" w:firstLine="720"/>
        <w:jc w:val="both"/>
        <w:rPr>
          <w:sz w:val="20"/>
          <w:szCs w:val="20"/>
          <w:lang w:val="es-ES" w:bidi="ar-YE"/>
        </w:rPr>
      </w:pPr>
      <w:r w:rsidRPr="004E1374">
        <w:rPr>
          <w:sz w:val="20"/>
          <w:szCs w:val="20"/>
          <w:lang w:val="es-ES" w:bidi="ar-YE"/>
        </w:rPr>
        <w:t>Finalmente, en cuan</w:t>
      </w:r>
      <w:r w:rsidR="00820551">
        <w:rPr>
          <w:sz w:val="20"/>
          <w:szCs w:val="20"/>
          <w:lang w:val="es-ES" w:bidi="ar-YE"/>
        </w:rPr>
        <w:t>t</w:t>
      </w:r>
      <w:r w:rsidRPr="004E1374">
        <w:rPr>
          <w:sz w:val="20"/>
          <w:szCs w:val="20"/>
          <w:lang w:val="es-ES" w:bidi="ar-YE"/>
        </w:rPr>
        <w:t xml:space="preserve">o a los </w:t>
      </w:r>
      <w:r w:rsidR="00A125A3" w:rsidRPr="004E1374">
        <w:rPr>
          <w:sz w:val="20"/>
          <w:szCs w:val="20"/>
          <w:lang w:val="es-ES" w:bidi="ar-YE"/>
        </w:rPr>
        <w:t>artículos: 11</w:t>
      </w:r>
      <w:r w:rsidRPr="004E1374">
        <w:rPr>
          <w:sz w:val="20"/>
          <w:szCs w:val="20"/>
          <w:lang w:val="es-ES" w:bidi="ar-YE"/>
        </w:rPr>
        <w:t xml:space="preserve"> (honra y dignidad), 19 (derechos del niño), 21 (propiedad privada), 22 (circulación y residencia), 24 (igualdad ante la ley)</w:t>
      </w:r>
      <w:r w:rsidR="00A125A3" w:rsidRPr="004E1374">
        <w:rPr>
          <w:sz w:val="20"/>
          <w:szCs w:val="20"/>
          <w:lang w:val="es-ES" w:bidi="ar-YE"/>
        </w:rPr>
        <w:t xml:space="preserve"> de la Convención Americana, invocados por la parte peticionaria, la Comisión considera que no se han aportado elementos suficientes para fundamentar, al menos </w:t>
      </w:r>
      <w:r w:rsidR="00A125A3" w:rsidRPr="004E1374">
        <w:rPr>
          <w:i/>
          <w:iCs/>
          <w:sz w:val="20"/>
          <w:szCs w:val="20"/>
          <w:lang w:val="es-ES" w:bidi="ar-YE"/>
        </w:rPr>
        <w:t>prima facie</w:t>
      </w:r>
      <w:r w:rsidR="00A125A3" w:rsidRPr="004E1374">
        <w:rPr>
          <w:sz w:val="20"/>
          <w:szCs w:val="20"/>
          <w:lang w:val="es-ES" w:bidi="ar-YE"/>
        </w:rPr>
        <w:t>, su eventual vulneración.</w:t>
      </w:r>
    </w:p>
    <w:p w14:paraId="40DABB4D" w14:textId="7F69AE0C" w:rsidR="006E3BAD" w:rsidRPr="004E1374" w:rsidRDefault="006E3BAD" w:rsidP="003371CF">
      <w:pPr>
        <w:pStyle w:val="ListParagraph"/>
        <w:spacing w:before="240" w:after="240"/>
        <w:ind w:left="0" w:firstLine="709"/>
        <w:jc w:val="both"/>
        <w:rPr>
          <w:rFonts w:asciiTheme="majorHAnsi" w:hAnsiTheme="majorHAnsi"/>
          <w:b/>
          <w:sz w:val="20"/>
          <w:szCs w:val="20"/>
          <w:lang w:val="es-ES" w:bidi="ar-YE"/>
        </w:rPr>
      </w:pPr>
      <w:r w:rsidRPr="004E1374">
        <w:rPr>
          <w:rFonts w:asciiTheme="majorHAnsi" w:hAnsiTheme="majorHAnsi"/>
          <w:b/>
          <w:sz w:val="20"/>
          <w:szCs w:val="20"/>
          <w:lang w:val="es-ES" w:bidi="ar-YE"/>
        </w:rPr>
        <w:t xml:space="preserve">VIII. </w:t>
      </w:r>
      <w:r w:rsidRPr="004E1374">
        <w:rPr>
          <w:rFonts w:asciiTheme="majorHAnsi" w:hAnsiTheme="majorHAnsi"/>
          <w:b/>
          <w:sz w:val="20"/>
          <w:szCs w:val="20"/>
          <w:lang w:val="es-ES" w:bidi="ar-YE"/>
        </w:rPr>
        <w:tab/>
      </w:r>
      <w:r w:rsidRPr="004E1374">
        <w:rPr>
          <w:rFonts w:asciiTheme="majorHAnsi" w:hAnsiTheme="majorHAnsi"/>
          <w:b/>
          <w:bCs/>
          <w:sz w:val="20"/>
          <w:szCs w:val="20"/>
          <w:lang w:val="es-ES" w:bidi="ar-YE"/>
        </w:rPr>
        <w:t>DECISIÓN</w:t>
      </w:r>
    </w:p>
    <w:p w14:paraId="776C2EB8" w14:textId="0A6D0D57" w:rsidR="006E3BAD" w:rsidRPr="004E1374" w:rsidRDefault="006E3BAD" w:rsidP="003371CF">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bidi="ar-YE"/>
        </w:rPr>
      </w:pPr>
      <w:r w:rsidRPr="004E1374">
        <w:rPr>
          <w:sz w:val="20"/>
          <w:szCs w:val="20"/>
          <w:lang w:val="es-ES" w:bidi="ar-YE"/>
        </w:rPr>
        <w:t xml:space="preserve">Declarar admisible la presente petición en relación con artículos </w:t>
      </w:r>
      <w:r w:rsidR="00280318" w:rsidRPr="004E1374">
        <w:rPr>
          <w:sz w:val="20"/>
          <w:szCs w:val="20"/>
          <w:lang w:val="es-ES" w:bidi="ar-YE"/>
        </w:rPr>
        <w:t xml:space="preserve">3, 4, </w:t>
      </w:r>
      <w:r w:rsidR="00031A1C" w:rsidRPr="004E1374">
        <w:rPr>
          <w:sz w:val="20"/>
          <w:szCs w:val="20"/>
          <w:lang w:val="es-ES" w:bidi="ar-YE"/>
        </w:rPr>
        <w:t xml:space="preserve">5, 7, 8 y 25 de la Convención Americana, en concordancia con su artículo 1.1; y con </w:t>
      </w:r>
      <w:r w:rsidR="00280318" w:rsidRPr="004E1374">
        <w:rPr>
          <w:sz w:val="20"/>
          <w:szCs w:val="20"/>
          <w:lang w:val="es-ES" w:bidi="ar-YE"/>
        </w:rPr>
        <w:t>el artículo I de la Convención Interamericana sobre Desaparición Forzada de Personas</w:t>
      </w:r>
      <w:r w:rsidR="00B93279">
        <w:rPr>
          <w:sz w:val="20"/>
          <w:szCs w:val="20"/>
          <w:lang w:val="es-ES" w:bidi="ar-YE"/>
        </w:rPr>
        <w:t>;</w:t>
      </w:r>
    </w:p>
    <w:p w14:paraId="3171CCA9" w14:textId="46881BE3" w:rsidR="00A82D7C" w:rsidRPr="004E1374" w:rsidRDefault="00A82D7C" w:rsidP="003371CF">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bidi="ar-YE"/>
        </w:rPr>
      </w:pPr>
      <w:r w:rsidRPr="004E1374">
        <w:rPr>
          <w:sz w:val="20"/>
          <w:szCs w:val="20"/>
          <w:lang w:val="es-ES" w:bidi="ar-YE"/>
        </w:rPr>
        <w:t>Declarar inadmisibles los derechos establecidos en los artículos 11, 19, 21, 22 y 24 de la Convención Americana</w:t>
      </w:r>
      <w:r w:rsidR="00B93279">
        <w:rPr>
          <w:sz w:val="20"/>
          <w:szCs w:val="20"/>
          <w:lang w:val="es-ES" w:bidi="ar-YE"/>
        </w:rPr>
        <w:t>, y;</w:t>
      </w:r>
    </w:p>
    <w:p w14:paraId="245C05A6" w14:textId="63BBAD87" w:rsidR="006E3BAD" w:rsidRDefault="006E3BAD" w:rsidP="003371CF">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 w:bidi="ar-YE"/>
        </w:rPr>
      </w:pPr>
      <w:r w:rsidRPr="004E1374">
        <w:rPr>
          <w:sz w:val="20"/>
          <w:szCs w:val="20"/>
          <w:lang w:val="es-ES" w:bidi="ar-YE"/>
        </w:rPr>
        <w:t>Notificar a las partes la presente decisión; continuar con el análisis del fondo de la cuestión; y publicar esta decisión e incluirla en su Informe Anual a la Asamblea General de la Organización de los Estados Americanos.</w:t>
      </w:r>
    </w:p>
    <w:p w14:paraId="7407422D" w14:textId="5FE0FD6C" w:rsidR="00B93279" w:rsidRPr="00092FC0" w:rsidRDefault="00E01B20" w:rsidP="00092FC0">
      <w:pPr>
        <w:suppressAutoHyphens/>
        <w:ind w:firstLine="709"/>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w:t>
      </w:r>
      <w:r w:rsidRPr="00800583">
        <w:rPr>
          <w:rStyle w:val="normaltextrun"/>
          <w:rFonts w:ascii="Cambria" w:hAnsi="Cambria" w:cs="Segoe UI"/>
          <w:color w:val="000000" w:themeColor="text1"/>
          <w:sz w:val="20"/>
          <w:szCs w:val="20"/>
          <w:lang w:val="es-CL"/>
        </w:rPr>
        <w:t xml:space="preserve"> Derechos Humanos a los </w:t>
      </w:r>
      <w:r w:rsidR="00A6400D" w:rsidRPr="00800583">
        <w:rPr>
          <w:rStyle w:val="normaltextrun"/>
          <w:rFonts w:ascii="Cambria" w:hAnsi="Cambria" w:cs="Segoe UI"/>
          <w:color w:val="000000" w:themeColor="text1"/>
          <w:sz w:val="20"/>
          <w:szCs w:val="20"/>
          <w:lang w:val="es-CL"/>
        </w:rPr>
        <w:t>8</w:t>
      </w:r>
      <w:r w:rsidRPr="00800583">
        <w:rPr>
          <w:rStyle w:val="normaltextrun"/>
          <w:rFonts w:ascii="Cambria" w:hAnsi="Cambria" w:cs="Segoe UI"/>
          <w:color w:val="000000" w:themeColor="text1"/>
          <w:sz w:val="20"/>
          <w:szCs w:val="20"/>
          <w:lang w:val="es-CL"/>
        </w:rPr>
        <w:t xml:space="preserve"> días del mes de </w:t>
      </w:r>
      <w:r w:rsidR="00A6400D" w:rsidRPr="00800583">
        <w:rPr>
          <w:rStyle w:val="normaltextrun"/>
          <w:rFonts w:ascii="Cambria" w:hAnsi="Cambria" w:cs="Segoe UI"/>
          <w:color w:val="000000" w:themeColor="text1"/>
          <w:sz w:val="20"/>
          <w:szCs w:val="20"/>
          <w:lang w:val="es-CL"/>
        </w:rPr>
        <w:t>agosto</w:t>
      </w:r>
      <w:r w:rsidRPr="00800583">
        <w:rPr>
          <w:rStyle w:val="normaltextrun"/>
          <w:rFonts w:ascii="Cambria" w:hAnsi="Cambria" w:cs="Segoe UI"/>
          <w:color w:val="000000" w:themeColor="text1"/>
          <w:sz w:val="20"/>
          <w:szCs w:val="20"/>
          <w:lang w:val="es-CL"/>
        </w:rPr>
        <w:t xml:space="preserve"> de 20</w:t>
      </w:r>
      <w:r w:rsidR="00A6400D" w:rsidRPr="00800583">
        <w:rPr>
          <w:rStyle w:val="normaltextrun"/>
          <w:rFonts w:ascii="Cambria" w:hAnsi="Cambria" w:cs="Segoe UI"/>
          <w:color w:val="000000" w:themeColor="text1"/>
          <w:sz w:val="20"/>
          <w:szCs w:val="20"/>
          <w:lang w:val="es-CL"/>
        </w:rPr>
        <w:t>25</w:t>
      </w:r>
      <w:r w:rsidRPr="00800583">
        <w:rPr>
          <w:rStyle w:val="normaltextrun"/>
          <w:rFonts w:ascii="Cambria" w:hAnsi="Cambria" w:cs="Segoe UI"/>
          <w:color w:val="000000" w:themeColor="text1"/>
          <w:sz w:val="20"/>
          <w:szCs w:val="20"/>
          <w:lang w:val="es-CL"/>
        </w:rPr>
        <w:t xml:space="preserve">.  (Firmado): Andrea Pochak, Primera Vicepresidenta; Arif Bulkan, Segundo Vicepresidente; Roberta Clarke y Gloria Monique de Mees, </w:t>
      </w:r>
      <w:r w:rsidR="00092FC0">
        <w:rPr>
          <w:rStyle w:val="normaltextrun"/>
          <w:rFonts w:ascii="Cambria" w:hAnsi="Cambria" w:cs="Segoe UI"/>
          <w:color w:val="000000" w:themeColor="text1"/>
          <w:sz w:val="20"/>
          <w:szCs w:val="20"/>
          <w:lang w:val="es-CL"/>
        </w:rPr>
        <w:t>m</w:t>
      </w:r>
      <w:r w:rsidRPr="00800583">
        <w:rPr>
          <w:rStyle w:val="normaltextrun"/>
          <w:rFonts w:ascii="Cambria" w:hAnsi="Cambria" w:cs="Segoe UI"/>
          <w:color w:val="000000" w:themeColor="text1"/>
          <w:sz w:val="20"/>
          <w:szCs w:val="20"/>
          <w:lang w:val="es-CL"/>
        </w:rPr>
        <w:t>iembros de la Comisión.</w:t>
      </w:r>
    </w:p>
    <w:sectPr w:rsidR="00B93279" w:rsidRPr="00092FC0" w:rsidSect="0017186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A0DE" w14:textId="77777777" w:rsidR="006F05C1" w:rsidRDefault="006F05C1">
      <w:r>
        <w:separator/>
      </w:r>
    </w:p>
  </w:endnote>
  <w:endnote w:type="continuationSeparator" w:id="0">
    <w:p w14:paraId="490827A9" w14:textId="77777777" w:rsidR="006F05C1" w:rsidRDefault="006F05C1">
      <w:r>
        <w:continuationSeparator/>
      </w:r>
    </w:p>
  </w:endnote>
  <w:endnote w:type="continuationNotice" w:id="1">
    <w:p w14:paraId="1938376F" w14:textId="77777777" w:rsidR="006F05C1" w:rsidRDefault="006F0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C607" w14:textId="77777777" w:rsidR="006F05C1" w:rsidRPr="000F35ED" w:rsidRDefault="006F05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8426C80" w14:textId="77777777" w:rsidR="006F05C1" w:rsidRPr="000F35ED" w:rsidRDefault="006F05C1" w:rsidP="000F35ED">
      <w:pPr>
        <w:rPr>
          <w:rFonts w:asciiTheme="majorHAnsi" w:hAnsiTheme="majorHAnsi"/>
          <w:sz w:val="16"/>
          <w:szCs w:val="16"/>
        </w:rPr>
      </w:pPr>
      <w:r w:rsidRPr="000F35ED">
        <w:rPr>
          <w:rFonts w:asciiTheme="majorHAnsi" w:hAnsiTheme="majorHAnsi"/>
          <w:sz w:val="16"/>
          <w:szCs w:val="16"/>
        </w:rPr>
        <w:separator/>
      </w:r>
    </w:p>
    <w:p w14:paraId="67493DE5" w14:textId="77777777" w:rsidR="006F05C1" w:rsidRPr="000F35ED" w:rsidRDefault="006F05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10DD96" w14:textId="77777777" w:rsidR="006F05C1" w:rsidRPr="000F35ED" w:rsidRDefault="006F05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372397" w14:textId="50EDCF6C" w:rsidR="00194EBD" w:rsidRPr="00A64EB1" w:rsidRDefault="00194EBD" w:rsidP="00DB2134">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Pr="00194EBD">
        <w:rPr>
          <w:rFonts w:asciiTheme="majorHAnsi" w:hAnsiTheme="majorHAnsi"/>
          <w:sz w:val="16"/>
          <w:szCs w:val="16"/>
          <w:lang w:val="es-ES"/>
        </w:rPr>
        <w:t>Jorge Lorenzo Parral</w:t>
      </w:r>
      <w:r w:rsidR="00E05C2E">
        <w:rPr>
          <w:rFonts w:asciiTheme="majorHAnsi" w:hAnsiTheme="majorHAnsi"/>
          <w:sz w:val="16"/>
          <w:szCs w:val="16"/>
          <w:lang w:val="es-ES"/>
        </w:rPr>
        <w:t xml:space="preserve"> Gutiérrez</w:t>
      </w:r>
      <w:r>
        <w:rPr>
          <w:rFonts w:asciiTheme="majorHAnsi" w:hAnsiTheme="majorHAnsi"/>
          <w:sz w:val="16"/>
          <w:szCs w:val="16"/>
          <w:lang w:val="es-ES"/>
        </w:rPr>
        <w:t xml:space="preserve"> (padre),</w:t>
      </w:r>
      <w:r w:rsidRPr="00194EBD">
        <w:rPr>
          <w:rFonts w:asciiTheme="majorHAnsi" w:hAnsiTheme="majorHAnsi"/>
          <w:sz w:val="16"/>
          <w:szCs w:val="16"/>
          <w:lang w:val="es-ES"/>
        </w:rPr>
        <w:t xml:space="preserve"> Alicia Rabadán</w:t>
      </w:r>
      <w:r>
        <w:rPr>
          <w:rFonts w:asciiTheme="majorHAnsi" w:hAnsiTheme="majorHAnsi"/>
          <w:sz w:val="16"/>
          <w:szCs w:val="16"/>
          <w:lang w:val="es-ES"/>
        </w:rPr>
        <w:t xml:space="preserve"> (madre).</w:t>
      </w:r>
    </w:p>
  </w:footnote>
  <w:footnote w:id="3">
    <w:p w14:paraId="1BB27B4E" w14:textId="4675D9AF" w:rsidR="006F24F1" w:rsidRPr="00A64EB1" w:rsidRDefault="006F24F1" w:rsidP="00DB2134">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Pr="006F24F1">
        <w:rPr>
          <w:rFonts w:asciiTheme="majorHAnsi" w:hAnsiTheme="majorHAnsi"/>
          <w:sz w:val="16"/>
          <w:szCs w:val="16"/>
          <w:lang w:val="es-ES"/>
        </w:rPr>
        <w:t>Conforme a lo dispuesto en el artículo 17.2.a del Reglamento de la Comisión, el Comisionado José Luis Caballero Ochoa, de nacionalidad mexicana, no participó en el debate ni en la decisión del presente asunto.</w:t>
      </w:r>
    </w:p>
  </w:footnote>
  <w:footnote w:id="4">
    <w:p w14:paraId="3A732448" w14:textId="77777777" w:rsidR="006F24F1" w:rsidRPr="00A64EB1" w:rsidRDefault="006F24F1" w:rsidP="00DB2134">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Las observaciones de cada parte fueron debidamente trasladadas a la parte contraria. </w:t>
      </w:r>
    </w:p>
  </w:footnote>
  <w:footnote w:id="5">
    <w:p w14:paraId="08905E72" w14:textId="50AF78C3" w:rsidR="00BF2084" w:rsidRPr="00A64EB1" w:rsidRDefault="00BF2084" w:rsidP="00DB2134">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006F24F1">
        <w:rPr>
          <w:rFonts w:asciiTheme="majorHAnsi" w:hAnsiTheme="majorHAnsi"/>
          <w:sz w:val="16"/>
          <w:szCs w:val="16"/>
          <w:lang w:val="es-ES"/>
        </w:rPr>
        <w:t>En adelante, “la Convención Americana” o “la Convención”.</w:t>
      </w:r>
      <w:r w:rsidR="00876EF5" w:rsidRPr="00A64EB1">
        <w:rPr>
          <w:rFonts w:asciiTheme="majorHAnsi" w:hAnsiTheme="majorHAnsi"/>
          <w:sz w:val="16"/>
          <w:szCs w:val="16"/>
          <w:lang w:val="es-ES"/>
        </w:rPr>
        <w:t xml:space="preserve"> </w:t>
      </w:r>
    </w:p>
  </w:footnote>
  <w:footnote w:id="6">
    <w:p w14:paraId="1D4362F4" w14:textId="7DC22F79" w:rsidR="00BD6DB6" w:rsidRPr="00982364" w:rsidRDefault="00BD6DB6" w:rsidP="00DB213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1A5287">
        <w:rPr>
          <w:rFonts w:asciiTheme="majorHAnsi" w:hAnsiTheme="majorHAnsi"/>
          <w:sz w:val="16"/>
          <w:szCs w:val="16"/>
          <w:lang w:val="es-ES"/>
        </w:rPr>
        <w:t xml:space="preserve"> CIDH, Informe No. 13/22</w:t>
      </w:r>
      <w:r w:rsidR="00A2266F">
        <w:rPr>
          <w:rFonts w:asciiTheme="majorHAnsi" w:hAnsiTheme="majorHAnsi"/>
          <w:sz w:val="16"/>
          <w:szCs w:val="16"/>
          <w:lang w:val="es-ES"/>
        </w:rPr>
        <w:t>,</w:t>
      </w:r>
      <w:r w:rsidRPr="001A5287">
        <w:rPr>
          <w:rFonts w:asciiTheme="majorHAnsi" w:hAnsiTheme="majorHAnsi"/>
          <w:sz w:val="16"/>
          <w:szCs w:val="16"/>
          <w:lang w:val="es-ES"/>
        </w:rPr>
        <w:t xml:space="preserve"> </w:t>
      </w:r>
      <w:r w:rsidRPr="002E516C">
        <w:rPr>
          <w:rFonts w:asciiTheme="majorHAnsi" w:hAnsiTheme="majorHAnsi"/>
          <w:sz w:val="16"/>
          <w:szCs w:val="16"/>
          <w:lang w:val="es-ES"/>
        </w:rPr>
        <w:t>Petición 1332-11</w:t>
      </w:r>
      <w:r w:rsidR="00A2266F">
        <w:rPr>
          <w:rFonts w:asciiTheme="majorHAnsi" w:hAnsiTheme="majorHAnsi"/>
          <w:sz w:val="16"/>
          <w:szCs w:val="16"/>
          <w:lang w:val="es-ES"/>
        </w:rPr>
        <w:t>,</w:t>
      </w:r>
      <w:r w:rsidRPr="002E516C">
        <w:rPr>
          <w:rFonts w:asciiTheme="majorHAnsi" w:hAnsiTheme="majorHAnsi"/>
          <w:sz w:val="16"/>
          <w:szCs w:val="16"/>
          <w:lang w:val="es-ES"/>
        </w:rPr>
        <w:t xml:space="preserve"> </w:t>
      </w:r>
      <w:r w:rsidRPr="006A2CE3">
        <w:rPr>
          <w:rFonts w:asciiTheme="majorHAnsi" w:hAnsiTheme="majorHAnsi"/>
          <w:sz w:val="16"/>
          <w:szCs w:val="16"/>
          <w:lang w:val="es-ES"/>
        </w:rPr>
        <w:t>Admisibilidad</w:t>
      </w:r>
      <w:r w:rsidR="00A2266F">
        <w:rPr>
          <w:rFonts w:asciiTheme="majorHAnsi" w:hAnsiTheme="majorHAnsi"/>
          <w:sz w:val="16"/>
          <w:szCs w:val="16"/>
          <w:lang w:val="es-ES"/>
        </w:rPr>
        <w:t>,</w:t>
      </w:r>
      <w:r w:rsidRPr="006A2CE3">
        <w:rPr>
          <w:rFonts w:asciiTheme="majorHAnsi" w:hAnsiTheme="majorHAnsi"/>
          <w:sz w:val="16"/>
          <w:szCs w:val="16"/>
          <w:lang w:val="es-ES"/>
        </w:rPr>
        <w:t xml:space="preserve"> Orlando Hernández Ramírez y familiares</w:t>
      </w:r>
      <w:r w:rsidR="00A2266F">
        <w:rPr>
          <w:rFonts w:asciiTheme="majorHAnsi" w:hAnsiTheme="majorHAnsi"/>
          <w:sz w:val="16"/>
          <w:szCs w:val="16"/>
          <w:lang w:val="es-ES"/>
        </w:rPr>
        <w:t>,</w:t>
      </w:r>
      <w:r w:rsidRPr="006A2CE3">
        <w:rPr>
          <w:rFonts w:asciiTheme="majorHAnsi" w:hAnsiTheme="majorHAnsi"/>
          <w:sz w:val="16"/>
          <w:szCs w:val="16"/>
          <w:lang w:val="es-ES"/>
        </w:rPr>
        <w:t xml:space="preserve"> Colombia</w:t>
      </w:r>
      <w:r w:rsidR="00A2266F">
        <w:rPr>
          <w:rFonts w:asciiTheme="majorHAnsi" w:hAnsiTheme="majorHAnsi"/>
          <w:sz w:val="16"/>
          <w:szCs w:val="16"/>
          <w:lang w:val="es-ES"/>
        </w:rPr>
        <w:t>,</w:t>
      </w:r>
      <w:r w:rsidRPr="006A2CE3">
        <w:rPr>
          <w:rFonts w:asciiTheme="majorHAnsi" w:hAnsiTheme="majorHAnsi"/>
          <w:sz w:val="16"/>
          <w:szCs w:val="16"/>
          <w:lang w:val="es-ES"/>
        </w:rPr>
        <w:t xml:space="preserve">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00DA78A9">
        <w:rPr>
          <w:rFonts w:asciiTheme="majorHAnsi" w:hAnsiTheme="majorHAnsi"/>
          <w:sz w:val="16"/>
          <w:szCs w:val="16"/>
          <w:lang w:val="es-ES"/>
        </w:rPr>
        <w:t>e</w:t>
      </w:r>
      <w:r w:rsidRPr="006A2CE3">
        <w:rPr>
          <w:rFonts w:asciiTheme="majorHAnsi" w:hAnsiTheme="majorHAnsi"/>
          <w:sz w:val="16"/>
          <w:szCs w:val="16"/>
          <w:lang w:val="es-ES"/>
        </w:rPr>
        <w:t xml:space="preserve"> Informe No. 72/18, Petición 1131-08</w:t>
      </w:r>
      <w:r w:rsidR="00A2266F">
        <w:rPr>
          <w:rFonts w:asciiTheme="majorHAnsi" w:hAnsiTheme="majorHAnsi"/>
          <w:sz w:val="16"/>
          <w:szCs w:val="16"/>
          <w:lang w:val="es-ES"/>
        </w:rPr>
        <w:t>,</w:t>
      </w:r>
      <w:r w:rsidRPr="006A2CE3">
        <w:rPr>
          <w:rFonts w:asciiTheme="majorHAnsi" w:hAnsiTheme="majorHAnsi"/>
          <w:sz w:val="16"/>
          <w:szCs w:val="16"/>
          <w:lang w:val="es-ES"/>
        </w:rPr>
        <w:t xml:space="preserve"> Admisibilidad</w:t>
      </w:r>
      <w:r w:rsidR="00A2266F">
        <w:rPr>
          <w:rFonts w:asciiTheme="majorHAnsi" w:hAnsiTheme="majorHAnsi"/>
          <w:sz w:val="16"/>
          <w:szCs w:val="16"/>
          <w:lang w:val="es-ES"/>
        </w:rPr>
        <w:t>,</w:t>
      </w:r>
      <w:r w:rsidRPr="006A2CE3">
        <w:rPr>
          <w:rFonts w:asciiTheme="majorHAnsi" w:hAnsiTheme="majorHAnsi"/>
          <w:sz w:val="16"/>
          <w:szCs w:val="16"/>
          <w:lang w:val="es-ES"/>
        </w:rPr>
        <w:t xml:space="preserve"> Moisés de Jesús Hernández Pinto y familia</w:t>
      </w:r>
      <w:r w:rsidR="007701CB">
        <w:rPr>
          <w:rFonts w:asciiTheme="majorHAnsi" w:hAnsiTheme="majorHAnsi"/>
          <w:sz w:val="16"/>
          <w:szCs w:val="16"/>
          <w:lang w:val="es-ES"/>
        </w:rPr>
        <w:t>,</w:t>
      </w:r>
      <w:r w:rsidRPr="006A2CE3">
        <w:rPr>
          <w:rFonts w:asciiTheme="majorHAnsi" w:hAnsiTheme="majorHAnsi"/>
          <w:sz w:val="16"/>
          <w:szCs w:val="16"/>
          <w:lang w:val="es-ES"/>
        </w:rPr>
        <w:t xml:space="preserve"> Guatemala</w:t>
      </w:r>
      <w:r w:rsidR="00A2266F">
        <w:rPr>
          <w:rFonts w:asciiTheme="majorHAnsi" w:hAnsiTheme="majorHAnsi"/>
          <w:sz w:val="16"/>
          <w:szCs w:val="16"/>
          <w:lang w:val="es-ES"/>
        </w:rPr>
        <w:t>,</w:t>
      </w:r>
      <w:r w:rsidRPr="006A2CE3">
        <w:rPr>
          <w:rFonts w:asciiTheme="majorHAnsi" w:hAnsiTheme="majorHAnsi"/>
          <w:sz w:val="16"/>
          <w:szCs w:val="16"/>
          <w:lang w:val="es-ES"/>
        </w:rPr>
        <w:t xml:space="preserve">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sidR="00707644">
        <w:rPr>
          <w:rFonts w:asciiTheme="majorHAnsi" w:hAnsiTheme="majorHAnsi"/>
          <w:sz w:val="16"/>
          <w:szCs w:val="16"/>
          <w:lang w:val="es-ES"/>
        </w:rPr>
        <w:t>.</w:t>
      </w:r>
    </w:p>
  </w:footnote>
  <w:footnote w:id="7">
    <w:p w14:paraId="3D37E4DC" w14:textId="5FF94D6E" w:rsidR="00BD6DB6" w:rsidRPr="00982364" w:rsidRDefault="00BD6DB6" w:rsidP="00DB2134">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CIDH, Informe No. 13/22</w:t>
      </w:r>
      <w:r w:rsidR="00A2266F">
        <w:rPr>
          <w:rFonts w:asciiTheme="majorHAnsi" w:hAnsiTheme="majorHAnsi"/>
          <w:sz w:val="16"/>
          <w:szCs w:val="16"/>
          <w:lang w:val="es-ES"/>
        </w:rPr>
        <w:t>,</w:t>
      </w:r>
      <w:r w:rsidRPr="006A2CE3">
        <w:rPr>
          <w:rFonts w:asciiTheme="majorHAnsi" w:hAnsiTheme="majorHAnsi"/>
          <w:sz w:val="16"/>
          <w:szCs w:val="16"/>
          <w:lang w:val="es-ES"/>
        </w:rPr>
        <w:t xml:space="preserve"> Petición 1332-11</w:t>
      </w:r>
      <w:r w:rsidR="00A2266F">
        <w:rPr>
          <w:rFonts w:asciiTheme="majorHAnsi" w:hAnsiTheme="majorHAnsi"/>
          <w:sz w:val="16"/>
          <w:szCs w:val="16"/>
          <w:lang w:val="es-ES"/>
        </w:rPr>
        <w:t>,</w:t>
      </w:r>
      <w:r w:rsidRPr="006A2CE3">
        <w:rPr>
          <w:rFonts w:asciiTheme="majorHAnsi" w:hAnsiTheme="majorHAnsi"/>
          <w:sz w:val="16"/>
          <w:szCs w:val="16"/>
          <w:lang w:val="es-ES"/>
        </w:rPr>
        <w:t xml:space="preserve"> Admisibilidad</w:t>
      </w:r>
      <w:r w:rsidR="00A2266F">
        <w:rPr>
          <w:rFonts w:asciiTheme="majorHAnsi" w:hAnsiTheme="majorHAnsi"/>
          <w:sz w:val="16"/>
          <w:szCs w:val="16"/>
          <w:lang w:val="es-ES"/>
        </w:rPr>
        <w:t>,</w:t>
      </w:r>
      <w:r w:rsidRPr="006A2CE3">
        <w:rPr>
          <w:rFonts w:asciiTheme="majorHAnsi" w:hAnsiTheme="majorHAnsi"/>
          <w:sz w:val="16"/>
          <w:szCs w:val="16"/>
          <w:lang w:val="es-ES"/>
        </w:rPr>
        <w:t xml:space="preserve"> Orlando Hernández Ramírez y familiares</w:t>
      </w:r>
      <w:r w:rsidR="00A2266F">
        <w:rPr>
          <w:rFonts w:asciiTheme="majorHAnsi" w:hAnsiTheme="majorHAnsi"/>
          <w:sz w:val="16"/>
          <w:szCs w:val="16"/>
          <w:lang w:val="es-ES"/>
        </w:rPr>
        <w:t>,</w:t>
      </w:r>
      <w:r w:rsidRPr="006A2CE3">
        <w:rPr>
          <w:rFonts w:asciiTheme="majorHAnsi" w:hAnsiTheme="majorHAnsi"/>
          <w:sz w:val="16"/>
          <w:szCs w:val="16"/>
          <w:lang w:val="es-ES"/>
        </w:rPr>
        <w:t xml:space="preserve"> Colombia</w:t>
      </w:r>
      <w:r w:rsidR="00A2266F">
        <w:rPr>
          <w:rFonts w:asciiTheme="majorHAnsi" w:hAnsiTheme="majorHAnsi"/>
          <w:sz w:val="16"/>
          <w:szCs w:val="16"/>
          <w:lang w:val="es-ES"/>
        </w:rPr>
        <w:t>,</w:t>
      </w:r>
      <w:r w:rsidRPr="006A2CE3">
        <w:rPr>
          <w:rFonts w:asciiTheme="majorHAnsi" w:hAnsiTheme="majorHAnsi"/>
          <w:sz w:val="16"/>
          <w:szCs w:val="16"/>
          <w:lang w:val="es-ES"/>
        </w:rPr>
        <w:t xml:space="preserve">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7;</w:t>
      </w:r>
      <w:r w:rsidR="00392927">
        <w:rPr>
          <w:rFonts w:asciiTheme="majorHAnsi" w:hAnsiTheme="majorHAnsi"/>
          <w:sz w:val="16"/>
          <w:szCs w:val="16"/>
          <w:lang w:val="es-ES"/>
        </w:rPr>
        <w:t xml:space="preserve"> e</w:t>
      </w:r>
      <w:r>
        <w:rPr>
          <w:rFonts w:asciiTheme="majorHAnsi" w:hAnsiTheme="majorHAnsi"/>
          <w:sz w:val="16"/>
          <w:szCs w:val="16"/>
          <w:lang w:val="es-ES"/>
        </w:rPr>
        <w:t xml:space="preserve"> </w:t>
      </w:r>
      <w:r w:rsidRPr="00274B08">
        <w:rPr>
          <w:rFonts w:asciiTheme="majorHAnsi" w:hAnsiTheme="majorHAnsi"/>
          <w:sz w:val="16"/>
          <w:szCs w:val="16"/>
          <w:lang w:val="es-ES"/>
        </w:rPr>
        <w:t>Informe No. 159/17, Petición 712-08</w:t>
      </w:r>
      <w:r w:rsidR="00A2266F">
        <w:rPr>
          <w:rFonts w:asciiTheme="majorHAnsi" w:hAnsiTheme="majorHAnsi"/>
          <w:sz w:val="16"/>
          <w:szCs w:val="16"/>
          <w:lang w:val="es-ES"/>
        </w:rPr>
        <w:t>,</w:t>
      </w:r>
      <w:r w:rsidRPr="00274B08">
        <w:rPr>
          <w:rFonts w:asciiTheme="majorHAnsi" w:hAnsiTheme="majorHAnsi"/>
          <w:sz w:val="16"/>
          <w:szCs w:val="16"/>
          <w:lang w:val="es-ES"/>
        </w:rPr>
        <w:t xml:space="preserve"> Admisibilidad</w:t>
      </w:r>
      <w:r w:rsidR="00A2266F">
        <w:rPr>
          <w:rFonts w:asciiTheme="majorHAnsi" w:hAnsiTheme="majorHAnsi"/>
          <w:sz w:val="16"/>
          <w:szCs w:val="16"/>
          <w:lang w:val="es-ES"/>
        </w:rPr>
        <w:t>,</w:t>
      </w:r>
      <w:r w:rsidRPr="00274B08">
        <w:rPr>
          <w:rFonts w:asciiTheme="majorHAnsi" w:hAnsiTheme="majorHAnsi"/>
          <w:sz w:val="16"/>
          <w:szCs w:val="16"/>
          <w:lang w:val="es-ES"/>
        </w:rPr>
        <w:t xml:space="preserve"> Sebastián Larroza Velázquez y familia</w:t>
      </w:r>
      <w:r w:rsidR="00A2266F">
        <w:rPr>
          <w:rFonts w:asciiTheme="majorHAnsi" w:hAnsiTheme="majorHAnsi"/>
          <w:sz w:val="16"/>
          <w:szCs w:val="16"/>
          <w:lang w:val="es-ES"/>
        </w:rPr>
        <w:t>,</w:t>
      </w:r>
      <w:r w:rsidRPr="00274B08">
        <w:rPr>
          <w:rFonts w:asciiTheme="majorHAnsi" w:hAnsiTheme="majorHAnsi"/>
          <w:sz w:val="16"/>
          <w:szCs w:val="16"/>
          <w:lang w:val="es-ES"/>
        </w:rPr>
        <w:t xml:space="preserve"> </w:t>
      </w:r>
      <w:r w:rsidRPr="00B9716F">
        <w:rPr>
          <w:rFonts w:asciiTheme="majorHAnsi" w:hAnsiTheme="majorHAnsi"/>
          <w:sz w:val="16"/>
          <w:szCs w:val="16"/>
          <w:lang w:val="es-ES"/>
        </w:rPr>
        <w:t>Paraguay</w:t>
      </w:r>
      <w:r w:rsidR="00A2266F">
        <w:rPr>
          <w:rFonts w:asciiTheme="majorHAnsi" w:hAnsiTheme="majorHAnsi"/>
          <w:sz w:val="16"/>
          <w:szCs w:val="16"/>
          <w:lang w:val="es-ES"/>
        </w:rPr>
        <w:t>,</w:t>
      </w:r>
      <w:r w:rsidRPr="00B9716F">
        <w:rPr>
          <w:rFonts w:asciiTheme="majorHAnsi" w:hAnsiTheme="majorHAnsi"/>
          <w:sz w:val="16"/>
          <w:szCs w:val="16"/>
          <w:lang w:val="es-ES"/>
        </w:rPr>
        <w:t xml:space="preserve"> 30 de noviembre de 2017, párrafo 14.</w:t>
      </w:r>
    </w:p>
  </w:footnote>
  <w:footnote w:id="8">
    <w:p w14:paraId="4046F9CD" w14:textId="3255F040" w:rsidR="00280318" w:rsidRPr="00A64EB1" w:rsidRDefault="00280318" w:rsidP="00DB2134">
      <w:pPr>
        <w:pStyle w:val="FootnoteText"/>
        <w:ind w:firstLine="720"/>
        <w:jc w:val="both"/>
        <w:rPr>
          <w:rFonts w:asciiTheme="majorHAnsi" w:hAnsiTheme="majorHAnsi"/>
          <w:sz w:val="16"/>
          <w:szCs w:val="16"/>
          <w:lang w:val="es-ES"/>
        </w:rPr>
      </w:pPr>
      <w:r w:rsidRPr="00280318">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280318">
        <w:rPr>
          <w:rFonts w:asciiTheme="majorHAnsi" w:hAnsiTheme="majorHAnsi"/>
          <w:sz w:val="16"/>
          <w:szCs w:val="16"/>
          <w:lang w:val="es-ES"/>
        </w:rPr>
        <w:t>CIDH, Informe No. 264/20. Petición 1594-10</w:t>
      </w:r>
      <w:r w:rsidR="00A2266F">
        <w:rPr>
          <w:rFonts w:asciiTheme="majorHAnsi" w:hAnsiTheme="majorHAnsi"/>
          <w:sz w:val="16"/>
          <w:szCs w:val="16"/>
          <w:lang w:val="es-ES"/>
        </w:rPr>
        <w:t>,</w:t>
      </w:r>
      <w:r w:rsidRPr="00280318">
        <w:rPr>
          <w:rFonts w:asciiTheme="majorHAnsi" w:hAnsiTheme="majorHAnsi"/>
          <w:sz w:val="16"/>
          <w:szCs w:val="16"/>
          <w:lang w:val="es-ES"/>
        </w:rPr>
        <w:t xml:space="preserve"> Admisibilidad</w:t>
      </w:r>
      <w:r w:rsidR="00A2266F">
        <w:rPr>
          <w:rFonts w:asciiTheme="majorHAnsi" w:hAnsiTheme="majorHAnsi"/>
          <w:sz w:val="16"/>
          <w:szCs w:val="16"/>
          <w:lang w:val="es-ES"/>
        </w:rPr>
        <w:t>,</w:t>
      </w:r>
      <w:r w:rsidRPr="00280318">
        <w:rPr>
          <w:rFonts w:asciiTheme="majorHAnsi" w:hAnsiTheme="majorHAnsi"/>
          <w:sz w:val="16"/>
          <w:szCs w:val="16"/>
          <w:lang w:val="es-ES"/>
        </w:rPr>
        <w:t xml:space="preserve"> Pedro Núñez Pérez y otros. México</w:t>
      </w:r>
      <w:r w:rsidR="00A2266F">
        <w:rPr>
          <w:rFonts w:asciiTheme="majorHAnsi" w:hAnsiTheme="majorHAnsi"/>
          <w:sz w:val="16"/>
          <w:szCs w:val="16"/>
          <w:lang w:val="es-ES"/>
        </w:rPr>
        <w:t>,</w:t>
      </w:r>
      <w:r w:rsidRPr="00280318">
        <w:rPr>
          <w:rFonts w:asciiTheme="majorHAnsi" w:hAnsiTheme="majorHAnsi"/>
          <w:sz w:val="16"/>
          <w:szCs w:val="16"/>
          <w:lang w:val="es-ES"/>
        </w:rPr>
        <w:t xml:space="preserve"> 25 de septiembre de 2020</w:t>
      </w:r>
      <w:r w:rsidR="00D548DC">
        <w:rPr>
          <w:rFonts w:asciiTheme="majorHAnsi" w:hAnsiTheme="majorHAnsi"/>
          <w:sz w:val="16"/>
          <w:szCs w:val="16"/>
          <w:lang w:val="es-ES"/>
        </w:rPr>
        <w:t xml:space="preserve">; </w:t>
      </w:r>
      <w:r w:rsidR="00D548DC" w:rsidRPr="00D548DC">
        <w:rPr>
          <w:rFonts w:asciiTheme="majorHAnsi" w:hAnsiTheme="majorHAnsi"/>
          <w:sz w:val="16"/>
          <w:szCs w:val="16"/>
          <w:lang w:val="es-ES"/>
        </w:rPr>
        <w:t>CIDH, Informe No. 166/18, Petición 1315-12</w:t>
      </w:r>
      <w:r w:rsidR="00A2266F">
        <w:rPr>
          <w:rFonts w:asciiTheme="majorHAnsi" w:hAnsiTheme="majorHAnsi"/>
          <w:sz w:val="16"/>
          <w:szCs w:val="16"/>
          <w:lang w:val="es-ES"/>
        </w:rPr>
        <w:t>,</w:t>
      </w:r>
      <w:r w:rsidR="00D548DC" w:rsidRPr="00D548DC">
        <w:rPr>
          <w:rFonts w:asciiTheme="majorHAnsi" w:hAnsiTheme="majorHAnsi"/>
          <w:sz w:val="16"/>
          <w:szCs w:val="16"/>
          <w:lang w:val="es-ES"/>
        </w:rPr>
        <w:t xml:space="preserve"> Admisibilidad</w:t>
      </w:r>
      <w:r w:rsidR="00A2266F">
        <w:rPr>
          <w:rFonts w:asciiTheme="majorHAnsi" w:hAnsiTheme="majorHAnsi"/>
          <w:sz w:val="16"/>
          <w:szCs w:val="16"/>
          <w:lang w:val="es-ES"/>
        </w:rPr>
        <w:t>,</w:t>
      </w:r>
      <w:r w:rsidR="00D548DC" w:rsidRPr="00D548DC">
        <w:rPr>
          <w:rFonts w:asciiTheme="majorHAnsi" w:hAnsiTheme="majorHAnsi"/>
          <w:sz w:val="16"/>
          <w:szCs w:val="16"/>
          <w:lang w:val="es-ES"/>
        </w:rPr>
        <w:t xml:space="preserve"> Efrén Cortes Chávez y otros (Masacre del Charco)</w:t>
      </w:r>
      <w:r w:rsidR="00A2266F">
        <w:rPr>
          <w:rFonts w:asciiTheme="majorHAnsi" w:hAnsiTheme="majorHAnsi"/>
          <w:sz w:val="16"/>
          <w:szCs w:val="16"/>
          <w:lang w:val="es-ES"/>
        </w:rPr>
        <w:t>,</w:t>
      </w:r>
      <w:r w:rsidR="00D548DC" w:rsidRPr="00D548DC">
        <w:rPr>
          <w:rFonts w:asciiTheme="majorHAnsi" w:hAnsiTheme="majorHAnsi"/>
          <w:sz w:val="16"/>
          <w:szCs w:val="16"/>
          <w:lang w:val="es-ES"/>
        </w:rPr>
        <w:t xml:space="preserve"> </w:t>
      </w:r>
      <w:r w:rsidR="00D548DC" w:rsidRPr="00A2266F">
        <w:rPr>
          <w:rFonts w:asciiTheme="majorHAnsi" w:hAnsiTheme="majorHAnsi"/>
          <w:sz w:val="16"/>
          <w:szCs w:val="16"/>
          <w:lang w:val="es-ES"/>
        </w:rPr>
        <w:t>México</w:t>
      </w:r>
      <w:r w:rsidR="00A2266F">
        <w:rPr>
          <w:rFonts w:asciiTheme="majorHAnsi" w:hAnsiTheme="majorHAnsi"/>
          <w:sz w:val="16"/>
          <w:szCs w:val="16"/>
          <w:lang w:val="es-ES"/>
        </w:rPr>
        <w:t>,</w:t>
      </w:r>
      <w:r w:rsidR="00D548DC" w:rsidRPr="00A2266F">
        <w:rPr>
          <w:rFonts w:asciiTheme="majorHAnsi" w:hAnsiTheme="majorHAnsi"/>
          <w:sz w:val="16"/>
          <w:szCs w:val="16"/>
          <w:lang w:val="es-ES"/>
        </w:rPr>
        <w:t xml:space="preserve"> 14 de diciembre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30440" w:rsidP="00A50FCF">
    <w:pPr>
      <w:pStyle w:val="Header"/>
      <w:tabs>
        <w:tab w:val="clear" w:pos="4320"/>
        <w:tab w:val="clear" w:pos="8640"/>
      </w:tabs>
      <w:jc w:val="center"/>
      <w:rPr>
        <w:sz w:val="22"/>
        <w:szCs w:val="22"/>
      </w:rPr>
    </w:pPr>
    <w:r>
      <w:rPr>
        <w:noProof/>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E001150"/>
    <w:multiLevelType w:val="hybridMultilevel"/>
    <w:tmpl w:val="60C01BA4"/>
    <w:lvl w:ilvl="0" w:tplc="DEEE0F2C">
      <w:start w:val="1"/>
      <w:numFmt w:val="decimal"/>
      <w:lvlText w:val="%1."/>
      <w:lvlJc w:val="left"/>
      <w:pPr>
        <w:ind w:left="758" w:hanging="720"/>
      </w:pPr>
      <w:rPr>
        <w:rFonts w:ascii="Cambria" w:eastAsia="Cambria" w:hAnsi="Cambria" w:cs="Cambria" w:hint="default"/>
        <w:b w:val="0"/>
        <w:bCs w:val="0"/>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49"/>
  </w:num>
  <w:num w:numId="4" w16cid:durableId="82342866">
    <w:abstractNumId w:val="19"/>
  </w:num>
  <w:num w:numId="5" w16cid:durableId="1599026591">
    <w:abstractNumId w:val="42"/>
  </w:num>
  <w:num w:numId="6" w16cid:durableId="1795514418">
    <w:abstractNumId w:val="24"/>
  </w:num>
  <w:num w:numId="7" w16cid:durableId="396254">
    <w:abstractNumId w:val="5"/>
  </w:num>
  <w:num w:numId="8" w16cid:durableId="1302268258">
    <w:abstractNumId w:val="15"/>
  </w:num>
  <w:num w:numId="9" w16cid:durableId="669480169">
    <w:abstractNumId w:val="38"/>
  </w:num>
  <w:num w:numId="10" w16cid:durableId="275260533">
    <w:abstractNumId w:val="0"/>
  </w:num>
  <w:num w:numId="11" w16cid:durableId="866258526">
    <w:abstractNumId w:val="33"/>
  </w:num>
  <w:num w:numId="12" w16cid:durableId="171335598">
    <w:abstractNumId w:val="34"/>
  </w:num>
  <w:num w:numId="13" w16cid:durableId="752550714">
    <w:abstractNumId w:val="39"/>
  </w:num>
  <w:num w:numId="14" w16cid:durableId="728965123">
    <w:abstractNumId w:val="1"/>
  </w:num>
  <w:num w:numId="15" w16cid:durableId="1621453753">
    <w:abstractNumId w:val="2"/>
  </w:num>
  <w:num w:numId="16" w16cid:durableId="83038602">
    <w:abstractNumId w:val="6"/>
  </w:num>
  <w:num w:numId="17" w16cid:durableId="1303999826">
    <w:abstractNumId w:val="7"/>
  </w:num>
  <w:num w:numId="18" w16cid:durableId="821040696">
    <w:abstractNumId w:val="8"/>
  </w:num>
  <w:num w:numId="19" w16cid:durableId="1169177920">
    <w:abstractNumId w:val="9"/>
  </w:num>
  <w:num w:numId="20" w16cid:durableId="1324315618">
    <w:abstractNumId w:val="10"/>
  </w:num>
  <w:num w:numId="21" w16cid:durableId="91245775">
    <w:abstractNumId w:val="11"/>
  </w:num>
  <w:num w:numId="22" w16cid:durableId="25645375">
    <w:abstractNumId w:val="12"/>
  </w:num>
  <w:num w:numId="23" w16cid:durableId="247152260">
    <w:abstractNumId w:val="13"/>
  </w:num>
  <w:num w:numId="24" w16cid:durableId="1871214995">
    <w:abstractNumId w:val="14"/>
  </w:num>
  <w:num w:numId="25" w16cid:durableId="1109817556">
    <w:abstractNumId w:val="16"/>
  </w:num>
  <w:num w:numId="26" w16cid:durableId="660161155">
    <w:abstractNumId w:val="17"/>
  </w:num>
  <w:num w:numId="27" w16cid:durableId="2016032229">
    <w:abstractNumId w:val="20"/>
  </w:num>
  <w:num w:numId="28" w16cid:durableId="1169757202">
    <w:abstractNumId w:val="21"/>
  </w:num>
  <w:num w:numId="29" w16cid:durableId="1713113596">
    <w:abstractNumId w:val="22"/>
  </w:num>
  <w:num w:numId="30" w16cid:durableId="217321478">
    <w:abstractNumId w:val="23"/>
  </w:num>
  <w:num w:numId="31" w16cid:durableId="2001157105">
    <w:abstractNumId w:val="25"/>
  </w:num>
  <w:num w:numId="32" w16cid:durableId="1680884154">
    <w:abstractNumId w:val="26"/>
  </w:num>
  <w:num w:numId="33" w16cid:durableId="1152284582">
    <w:abstractNumId w:val="27"/>
  </w:num>
  <w:num w:numId="34" w16cid:durableId="676424681">
    <w:abstractNumId w:val="28"/>
  </w:num>
  <w:num w:numId="35" w16cid:durableId="894270057">
    <w:abstractNumId w:val="29"/>
  </w:num>
  <w:num w:numId="36" w16cid:durableId="988172318">
    <w:abstractNumId w:val="30"/>
  </w:num>
  <w:num w:numId="37" w16cid:durableId="550464103">
    <w:abstractNumId w:val="31"/>
  </w:num>
  <w:num w:numId="38" w16cid:durableId="923027620">
    <w:abstractNumId w:val="32"/>
  </w:num>
  <w:num w:numId="39" w16cid:durableId="257376164">
    <w:abstractNumId w:val="35"/>
  </w:num>
  <w:num w:numId="40" w16cid:durableId="1595551088">
    <w:abstractNumId w:val="36"/>
  </w:num>
  <w:num w:numId="41" w16cid:durableId="1901792458">
    <w:abstractNumId w:val="41"/>
  </w:num>
  <w:num w:numId="42" w16cid:durableId="2066679574">
    <w:abstractNumId w:val="43"/>
  </w:num>
  <w:num w:numId="43" w16cid:durableId="1855076713">
    <w:abstractNumId w:val="45"/>
  </w:num>
  <w:num w:numId="44" w16cid:durableId="101000019">
    <w:abstractNumId w:val="47"/>
  </w:num>
  <w:num w:numId="45" w16cid:durableId="1260337889">
    <w:abstractNumId w:val="48"/>
  </w:num>
  <w:num w:numId="46" w16cid:durableId="1866938194">
    <w:abstractNumId w:val="50"/>
  </w:num>
  <w:num w:numId="47" w16cid:durableId="1627587656">
    <w:abstractNumId w:val="51"/>
  </w:num>
  <w:num w:numId="48" w16cid:durableId="43716973">
    <w:abstractNumId w:val="52"/>
  </w:num>
  <w:num w:numId="49" w16cid:durableId="795217068">
    <w:abstractNumId w:val="54"/>
  </w:num>
  <w:num w:numId="50" w16cid:durableId="1981417420">
    <w:abstractNumId w:val="55"/>
  </w:num>
  <w:num w:numId="51" w16cid:durableId="1472405985">
    <w:abstractNumId w:val="18"/>
  </w:num>
  <w:num w:numId="52" w16cid:durableId="1310091464">
    <w:abstractNumId w:val="37"/>
  </w:num>
  <w:num w:numId="53" w16cid:durableId="88084230">
    <w:abstractNumId w:val="46"/>
  </w:num>
  <w:num w:numId="54" w16cid:durableId="1659263601">
    <w:abstractNumId w:val="40"/>
  </w:num>
  <w:num w:numId="55" w16cid:durableId="665792024">
    <w:abstractNumId w:val="53"/>
  </w:num>
  <w:num w:numId="56" w16cid:durableId="184073013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B9A"/>
    <w:rsid w:val="00000CDA"/>
    <w:rsid w:val="00003A6D"/>
    <w:rsid w:val="00006E1F"/>
    <w:rsid w:val="000070D7"/>
    <w:rsid w:val="00007E23"/>
    <w:rsid w:val="0001210E"/>
    <w:rsid w:val="0001441D"/>
    <w:rsid w:val="0001648F"/>
    <w:rsid w:val="0001788C"/>
    <w:rsid w:val="00026D76"/>
    <w:rsid w:val="00031A1C"/>
    <w:rsid w:val="000337EF"/>
    <w:rsid w:val="000352F4"/>
    <w:rsid w:val="00040C3A"/>
    <w:rsid w:val="000419AD"/>
    <w:rsid w:val="00041B26"/>
    <w:rsid w:val="000431A9"/>
    <w:rsid w:val="00043385"/>
    <w:rsid w:val="000433C9"/>
    <w:rsid w:val="00043B04"/>
    <w:rsid w:val="000444E7"/>
    <w:rsid w:val="000453EE"/>
    <w:rsid w:val="00057CA0"/>
    <w:rsid w:val="0006305D"/>
    <w:rsid w:val="00067DE2"/>
    <w:rsid w:val="00071174"/>
    <w:rsid w:val="000716C5"/>
    <w:rsid w:val="00075E23"/>
    <w:rsid w:val="0008121A"/>
    <w:rsid w:val="00082AB6"/>
    <w:rsid w:val="00085C28"/>
    <w:rsid w:val="000904E2"/>
    <w:rsid w:val="00092793"/>
    <w:rsid w:val="00092FC0"/>
    <w:rsid w:val="0009344A"/>
    <w:rsid w:val="000970F4"/>
    <w:rsid w:val="000A1783"/>
    <w:rsid w:val="000A1F10"/>
    <w:rsid w:val="000A336D"/>
    <w:rsid w:val="000A392E"/>
    <w:rsid w:val="000A459A"/>
    <w:rsid w:val="000A575F"/>
    <w:rsid w:val="000B5E9B"/>
    <w:rsid w:val="000B66F4"/>
    <w:rsid w:val="000B7730"/>
    <w:rsid w:val="000D05CB"/>
    <w:rsid w:val="000D10DB"/>
    <w:rsid w:val="000D47C4"/>
    <w:rsid w:val="000D5B47"/>
    <w:rsid w:val="000E0735"/>
    <w:rsid w:val="000E53E6"/>
    <w:rsid w:val="000E5EB5"/>
    <w:rsid w:val="000E7F04"/>
    <w:rsid w:val="000F260A"/>
    <w:rsid w:val="000F3361"/>
    <w:rsid w:val="000F35ED"/>
    <w:rsid w:val="000F3CD5"/>
    <w:rsid w:val="000F5A90"/>
    <w:rsid w:val="000F5E60"/>
    <w:rsid w:val="0010003C"/>
    <w:rsid w:val="00103A38"/>
    <w:rsid w:val="00103E7D"/>
    <w:rsid w:val="001048C1"/>
    <w:rsid w:val="0010512E"/>
    <w:rsid w:val="0010550C"/>
    <w:rsid w:val="00106063"/>
    <w:rsid w:val="00107131"/>
    <w:rsid w:val="0010736F"/>
    <w:rsid w:val="00113F73"/>
    <w:rsid w:val="00117739"/>
    <w:rsid w:val="00117F04"/>
    <w:rsid w:val="00120FB0"/>
    <w:rsid w:val="00121CC2"/>
    <w:rsid w:val="00122086"/>
    <w:rsid w:val="00123A8D"/>
    <w:rsid w:val="00124156"/>
    <w:rsid w:val="001253BC"/>
    <w:rsid w:val="00127A8E"/>
    <w:rsid w:val="00127DB0"/>
    <w:rsid w:val="00131425"/>
    <w:rsid w:val="0013183A"/>
    <w:rsid w:val="00132A5F"/>
    <w:rsid w:val="00133246"/>
    <w:rsid w:val="00133CC6"/>
    <w:rsid w:val="00133EE5"/>
    <w:rsid w:val="0013676D"/>
    <w:rsid w:val="00136BFC"/>
    <w:rsid w:val="00140CEF"/>
    <w:rsid w:val="00152E8F"/>
    <w:rsid w:val="00154040"/>
    <w:rsid w:val="00157E84"/>
    <w:rsid w:val="00162E0D"/>
    <w:rsid w:val="00163827"/>
    <w:rsid w:val="00163853"/>
    <w:rsid w:val="00163F99"/>
    <w:rsid w:val="00165562"/>
    <w:rsid w:val="001656F0"/>
    <w:rsid w:val="00167A34"/>
    <w:rsid w:val="00171861"/>
    <w:rsid w:val="00173713"/>
    <w:rsid w:val="00173782"/>
    <w:rsid w:val="001808C4"/>
    <w:rsid w:val="00180DE8"/>
    <w:rsid w:val="00181C7B"/>
    <w:rsid w:val="00185A8B"/>
    <w:rsid w:val="00186265"/>
    <w:rsid w:val="00190F89"/>
    <w:rsid w:val="00194EBD"/>
    <w:rsid w:val="001A3BEE"/>
    <w:rsid w:val="001A520D"/>
    <w:rsid w:val="001A7273"/>
    <w:rsid w:val="001A7870"/>
    <w:rsid w:val="001A7D7B"/>
    <w:rsid w:val="001B3A00"/>
    <w:rsid w:val="001C1B41"/>
    <w:rsid w:val="001C4114"/>
    <w:rsid w:val="001C689E"/>
    <w:rsid w:val="001C6A59"/>
    <w:rsid w:val="001D21C7"/>
    <w:rsid w:val="001D65EF"/>
    <w:rsid w:val="001E142D"/>
    <w:rsid w:val="001E15E7"/>
    <w:rsid w:val="001E2362"/>
    <w:rsid w:val="001E49E7"/>
    <w:rsid w:val="001F2012"/>
    <w:rsid w:val="001F3727"/>
    <w:rsid w:val="001F5309"/>
    <w:rsid w:val="001F68E6"/>
    <w:rsid w:val="001F7201"/>
    <w:rsid w:val="0020080E"/>
    <w:rsid w:val="00211F39"/>
    <w:rsid w:val="002120AC"/>
    <w:rsid w:val="00212418"/>
    <w:rsid w:val="00213C44"/>
    <w:rsid w:val="002148ED"/>
    <w:rsid w:val="00216893"/>
    <w:rsid w:val="002213C3"/>
    <w:rsid w:val="00221D4C"/>
    <w:rsid w:val="00222F7C"/>
    <w:rsid w:val="00223A29"/>
    <w:rsid w:val="002250A3"/>
    <w:rsid w:val="0023273F"/>
    <w:rsid w:val="00234F71"/>
    <w:rsid w:val="00235217"/>
    <w:rsid w:val="00237C68"/>
    <w:rsid w:val="00246D1F"/>
    <w:rsid w:val="00247403"/>
    <w:rsid w:val="00247542"/>
    <w:rsid w:val="0025427E"/>
    <w:rsid w:val="00260AF3"/>
    <w:rsid w:val="00261F8C"/>
    <w:rsid w:val="00265334"/>
    <w:rsid w:val="00266B61"/>
    <w:rsid w:val="0026712A"/>
    <w:rsid w:val="002704DB"/>
    <w:rsid w:val="00271294"/>
    <w:rsid w:val="00275E67"/>
    <w:rsid w:val="00280318"/>
    <w:rsid w:val="00280B37"/>
    <w:rsid w:val="00281061"/>
    <w:rsid w:val="002840C1"/>
    <w:rsid w:val="0028796F"/>
    <w:rsid w:val="002970AF"/>
    <w:rsid w:val="002A0AAE"/>
    <w:rsid w:val="002A5820"/>
    <w:rsid w:val="002B1533"/>
    <w:rsid w:val="002B1C4E"/>
    <w:rsid w:val="002B2265"/>
    <w:rsid w:val="002B3F52"/>
    <w:rsid w:val="002C4256"/>
    <w:rsid w:val="002D2B26"/>
    <w:rsid w:val="002D6D7A"/>
    <w:rsid w:val="002D7EA2"/>
    <w:rsid w:val="002E187C"/>
    <w:rsid w:val="002E3527"/>
    <w:rsid w:val="002F2183"/>
    <w:rsid w:val="002F2469"/>
    <w:rsid w:val="002F3F8C"/>
    <w:rsid w:val="003009E4"/>
    <w:rsid w:val="00302733"/>
    <w:rsid w:val="00305835"/>
    <w:rsid w:val="00306F33"/>
    <w:rsid w:val="00307E39"/>
    <w:rsid w:val="00310BA5"/>
    <w:rsid w:val="00311D6C"/>
    <w:rsid w:val="00314078"/>
    <w:rsid w:val="003147FA"/>
    <w:rsid w:val="0031491D"/>
    <w:rsid w:val="0031535D"/>
    <w:rsid w:val="0031585C"/>
    <w:rsid w:val="00315C1D"/>
    <w:rsid w:val="00315DC8"/>
    <w:rsid w:val="00322DC8"/>
    <w:rsid w:val="003239B8"/>
    <w:rsid w:val="00325AF5"/>
    <w:rsid w:val="00330F69"/>
    <w:rsid w:val="003315AB"/>
    <w:rsid w:val="0033169F"/>
    <w:rsid w:val="00332EA2"/>
    <w:rsid w:val="00333DB4"/>
    <w:rsid w:val="003341D3"/>
    <w:rsid w:val="003371CF"/>
    <w:rsid w:val="00342791"/>
    <w:rsid w:val="003447F5"/>
    <w:rsid w:val="00344977"/>
    <w:rsid w:val="003459D0"/>
    <w:rsid w:val="00346245"/>
    <w:rsid w:val="003468F4"/>
    <w:rsid w:val="00346C95"/>
    <w:rsid w:val="00347F0D"/>
    <w:rsid w:val="00350181"/>
    <w:rsid w:val="00352038"/>
    <w:rsid w:val="003532B1"/>
    <w:rsid w:val="00354069"/>
    <w:rsid w:val="003553EB"/>
    <w:rsid w:val="00356185"/>
    <w:rsid w:val="00357B34"/>
    <w:rsid w:val="00360214"/>
    <w:rsid w:val="00360380"/>
    <w:rsid w:val="0036410B"/>
    <w:rsid w:val="00364723"/>
    <w:rsid w:val="0037519E"/>
    <w:rsid w:val="0037552B"/>
    <w:rsid w:val="00380295"/>
    <w:rsid w:val="00380AC4"/>
    <w:rsid w:val="00385F1D"/>
    <w:rsid w:val="00386CF0"/>
    <w:rsid w:val="00392927"/>
    <w:rsid w:val="00394049"/>
    <w:rsid w:val="003A26DA"/>
    <w:rsid w:val="003A5311"/>
    <w:rsid w:val="003A6AFA"/>
    <w:rsid w:val="003B0B21"/>
    <w:rsid w:val="003B4D49"/>
    <w:rsid w:val="003B70FB"/>
    <w:rsid w:val="003B72D3"/>
    <w:rsid w:val="003C242C"/>
    <w:rsid w:val="003C676B"/>
    <w:rsid w:val="003D257F"/>
    <w:rsid w:val="003D265A"/>
    <w:rsid w:val="003D3BC2"/>
    <w:rsid w:val="003D5219"/>
    <w:rsid w:val="003D67A9"/>
    <w:rsid w:val="003D6CF8"/>
    <w:rsid w:val="003E1C67"/>
    <w:rsid w:val="003E3F2E"/>
    <w:rsid w:val="003E51E9"/>
    <w:rsid w:val="003E6CA1"/>
    <w:rsid w:val="003F0BE6"/>
    <w:rsid w:val="003F1759"/>
    <w:rsid w:val="003F5154"/>
    <w:rsid w:val="003F6767"/>
    <w:rsid w:val="00403591"/>
    <w:rsid w:val="00405184"/>
    <w:rsid w:val="0040579B"/>
    <w:rsid w:val="00405F9C"/>
    <w:rsid w:val="004065A8"/>
    <w:rsid w:val="00412E6F"/>
    <w:rsid w:val="004165C2"/>
    <w:rsid w:val="00416728"/>
    <w:rsid w:val="004205D0"/>
    <w:rsid w:val="00422E41"/>
    <w:rsid w:val="004236AD"/>
    <w:rsid w:val="0042415C"/>
    <w:rsid w:val="004241A0"/>
    <w:rsid w:val="00424FB5"/>
    <w:rsid w:val="00427301"/>
    <w:rsid w:val="00427B38"/>
    <w:rsid w:val="00430702"/>
    <w:rsid w:val="004407B1"/>
    <w:rsid w:val="00441ECB"/>
    <w:rsid w:val="00442486"/>
    <w:rsid w:val="004440D8"/>
    <w:rsid w:val="00445193"/>
    <w:rsid w:val="004528E6"/>
    <w:rsid w:val="00454A25"/>
    <w:rsid w:val="00457D49"/>
    <w:rsid w:val="0046139B"/>
    <w:rsid w:val="00462C1B"/>
    <w:rsid w:val="00463A22"/>
    <w:rsid w:val="00467B7E"/>
    <w:rsid w:val="0047126E"/>
    <w:rsid w:val="00473BB4"/>
    <w:rsid w:val="00473DE9"/>
    <w:rsid w:val="00477592"/>
    <w:rsid w:val="00481B86"/>
    <w:rsid w:val="00482C24"/>
    <w:rsid w:val="00485BAB"/>
    <w:rsid w:val="0048640F"/>
    <w:rsid w:val="00486F1C"/>
    <w:rsid w:val="00491C73"/>
    <w:rsid w:val="0049419D"/>
    <w:rsid w:val="004A057B"/>
    <w:rsid w:val="004A2EE9"/>
    <w:rsid w:val="004A3B2A"/>
    <w:rsid w:val="004A3D80"/>
    <w:rsid w:val="004A52C5"/>
    <w:rsid w:val="004A6A54"/>
    <w:rsid w:val="004A7163"/>
    <w:rsid w:val="004A7463"/>
    <w:rsid w:val="004B13BA"/>
    <w:rsid w:val="004B28A9"/>
    <w:rsid w:val="004B421C"/>
    <w:rsid w:val="004C20D2"/>
    <w:rsid w:val="004C2312"/>
    <w:rsid w:val="004C48D2"/>
    <w:rsid w:val="004C4B62"/>
    <w:rsid w:val="004C4FCC"/>
    <w:rsid w:val="004C54C9"/>
    <w:rsid w:val="004C7E95"/>
    <w:rsid w:val="004D109B"/>
    <w:rsid w:val="004D4ABA"/>
    <w:rsid w:val="004D6025"/>
    <w:rsid w:val="004E013A"/>
    <w:rsid w:val="004E1374"/>
    <w:rsid w:val="004E2197"/>
    <w:rsid w:val="004E2649"/>
    <w:rsid w:val="004E2890"/>
    <w:rsid w:val="004E3A90"/>
    <w:rsid w:val="004E4C72"/>
    <w:rsid w:val="004E7D52"/>
    <w:rsid w:val="004F1395"/>
    <w:rsid w:val="004F1450"/>
    <w:rsid w:val="004F1840"/>
    <w:rsid w:val="004F1B17"/>
    <w:rsid w:val="004F427E"/>
    <w:rsid w:val="004F626F"/>
    <w:rsid w:val="00501399"/>
    <w:rsid w:val="00502318"/>
    <w:rsid w:val="00503322"/>
    <w:rsid w:val="00503443"/>
    <w:rsid w:val="00503536"/>
    <w:rsid w:val="005047ED"/>
    <w:rsid w:val="0050633D"/>
    <w:rsid w:val="0050662A"/>
    <w:rsid w:val="00507BC4"/>
    <w:rsid w:val="00510FC5"/>
    <w:rsid w:val="005128E4"/>
    <w:rsid w:val="005133DB"/>
    <w:rsid w:val="00514504"/>
    <w:rsid w:val="005165F1"/>
    <w:rsid w:val="00521AE2"/>
    <w:rsid w:val="00521E1F"/>
    <w:rsid w:val="00522E0C"/>
    <w:rsid w:val="00525560"/>
    <w:rsid w:val="0053302E"/>
    <w:rsid w:val="00533C47"/>
    <w:rsid w:val="00534537"/>
    <w:rsid w:val="00537254"/>
    <w:rsid w:val="00540BC6"/>
    <w:rsid w:val="00544C49"/>
    <w:rsid w:val="00550713"/>
    <w:rsid w:val="005516A1"/>
    <w:rsid w:val="00554E2E"/>
    <w:rsid w:val="005559EF"/>
    <w:rsid w:val="005627DD"/>
    <w:rsid w:val="00563557"/>
    <w:rsid w:val="00566526"/>
    <w:rsid w:val="00571271"/>
    <w:rsid w:val="005716C3"/>
    <w:rsid w:val="005726B2"/>
    <w:rsid w:val="0057402A"/>
    <w:rsid w:val="005771D0"/>
    <w:rsid w:val="0059089B"/>
    <w:rsid w:val="0059126F"/>
    <w:rsid w:val="0059191A"/>
    <w:rsid w:val="005921FF"/>
    <w:rsid w:val="00592961"/>
    <w:rsid w:val="005A24ED"/>
    <w:rsid w:val="005A30C5"/>
    <w:rsid w:val="005A5731"/>
    <w:rsid w:val="005A6D0E"/>
    <w:rsid w:val="005A7A45"/>
    <w:rsid w:val="005A7D51"/>
    <w:rsid w:val="005B039F"/>
    <w:rsid w:val="005B3279"/>
    <w:rsid w:val="005B52B0"/>
    <w:rsid w:val="005B6806"/>
    <w:rsid w:val="005C014B"/>
    <w:rsid w:val="005C4225"/>
    <w:rsid w:val="005C53EC"/>
    <w:rsid w:val="005C5C59"/>
    <w:rsid w:val="005D0E18"/>
    <w:rsid w:val="005D18A1"/>
    <w:rsid w:val="005D2099"/>
    <w:rsid w:val="005D57E5"/>
    <w:rsid w:val="005D70F7"/>
    <w:rsid w:val="005E0DDB"/>
    <w:rsid w:val="005E3B85"/>
    <w:rsid w:val="005E7173"/>
    <w:rsid w:val="005F0DAD"/>
    <w:rsid w:val="005F0F33"/>
    <w:rsid w:val="00600735"/>
    <w:rsid w:val="00600DEB"/>
    <w:rsid w:val="00614A9D"/>
    <w:rsid w:val="00614FD6"/>
    <w:rsid w:val="00615A60"/>
    <w:rsid w:val="006175F5"/>
    <w:rsid w:val="00621CA4"/>
    <w:rsid w:val="00625B04"/>
    <w:rsid w:val="00627562"/>
    <w:rsid w:val="00627C9F"/>
    <w:rsid w:val="006311E9"/>
    <w:rsid w:val="00632354"/>
    <w:rsid w:val="00632CEF"/>
    <w:rsid w:val="00634026"/>
    <w:rsid w:val="00635421"/>
    <w:rsid w:val="00635B94"/>
    <w:rsid w:val="0063649F"/>
    <w:rsid w:val="00642810"/>
    <w:rsid w:val="00644D98"/>
    <w:rsid w:val="00645E03"/>
    <w:rsid w:val="00652333"/>
    <w:rsid w:val="00654ADA"/>
    <w:rsid w:val="00662220"/>
    <w:rsid w:val="00663CC3"/>
    <w:rsid w:val="00666CA0"/>
    <w:rsid w:val="006679B6"/>
    <w:rsid w:val="006746F8"/>
    <w:rsid w:val="0068009E"/>
    <w:rsid w:val="006842D4"/>
    <w:rsid w:val="00686EAF"/>
    <w:rsid w:val="00692219"/>
    <w:rsid w:val="0069360A"/>
    <w:rsid w:val="00693EB9"/>
    <w:rsid w:val="006A0711"/>
    <w:rsid w:val="006A14BF"/>
    <w:rsid w:val="006A17D2"/>
    <w:rsid w:val="006A27CA"/>
    <w:rsid w:val="006A31EA"/>
    <w:rsid w:val="006A60A5"/>
    <w:rsid w:val="006A73E6"/>
    <w:rsid w:val="006B2D5C"/>
    <w:rsid w:val="006B450C"/>
    <w:rsid w:val="006B5965"/>
    <w:rsid w:val="006B6BCD"/>
    <w:rsid w:val="006C094D"/>
    <w:rsid w:val="006C0ECF"/>
    <w:rsid w:val="006C4EB1"/>
    <w:rsid w:val="006D1684"/>
    <w:rsid w:val="006D2352"/>
    <w:rsid w:val="006D4202"/>
    <w:rsid w:val="006D7482"/>
    <w:rsid w:val="006E0166"/>
    <w:rsid w:val="006E036A"/>
    <w:rsid w:val="006E2FFB"/>
    <w:rsid w:val="006E3BAD"/>
    <w:rsid w:val="006E7B34"/>
    <w:rsid w:val="006F05C1"/>
    <w:rsid w:val="006F21E7"/>
    <w:rsid w:val="006F24F1"/>
    <w:rsid w:val="00704306"/>
    <w:rsid w:val="0070697F"/>
    <w:rsid w:val="00707644"/>
    <w:rsid w:val="007103C4"/>
    <w:rsid w:val="00720B90"/>
    <w:rsid w:val="007218EF"/>
    <w:rsid w:val="0072199C"/>
    <w:rsid w:val="00722C9F"/>
    <w:rsid w:val="00723817"/>
    <w:rsid w:val="007253B8"/>
    <w:rsid w:val="00731559"/>
    <w:rsid w:val="007342FE"/>
    <w:rsid w:val="0073501A"/>
    <w:rsid w:val="0073741F"/>
    <w:rsid w:val="00751E29"/>
    <w:rsid w:val="007533C7"/>
    <w:rsid w:val="00753826"/>
    <w:rsid w:val="00755E06"/>
    <w:rsid w:val="00756916"/>
    <w:rsid w:val="007616C9"/>
    <w:rsid w:val="007653D8"/>
    <w:rsid w:val="0076643F"/>
    <w:rsid w:val="007701CB"/>
    <w:rsid w:val="00772525"/>
    <w:rsid w:val="007773E3"/>
    <w:rsid w:val="00777F63"/>
    <w:rsid w:val="00784185"/>
    <w:rsid w:val="0079089F"/>
    <w:rsid w:val="00792D0D"/>
    <w:rsid w:val="00793F1C"/>
    <w:rsid w:val="00794F46"/>
    <w:rsid w:val="0079515B"/>
    <w:rsid w:val="007960F8"/>
    <w:rsid w:val="007A15D1"/>
    <w:rsid w:val="007A24C7"/>
    <w:rsid w:val="007A5817"/>
    <w:rsid w:val="007A5D84"/>
    <w:rsid w:val="007B05C4"/>
    <w:rsid w:val="007B1465"/>
    <w:rsid w:val="007B1823"/>
    <w:rsid w:val="007B3BEB"/>
    <w:rsid w:val="007B51B9"/>
    <w:rsid w:val="007B60E9"/>
    <w:rsid w:val="007B6595"/>
    <w:rsid w:val="007B6CC3"/>
    <w:rsid w:val="007B76D3"/>
    <w:rsid w:val="007C282B"/>
    <w:rsid w:val="007C30FB"/>
    <w:rsid w:val="007C3334"/>
    <w:rsid w:val="007C4257"/>
    <w:rsid w:val="007C74F0"/>
    <w:rsid w:val="007D2B98"/>
    <w:rsid w:val="007E2175"/>
    <w:rsid w:val="007E21BC"/>
    <w:rsid w:val="007E406A"/>
    <w:rsid w:val="007E5C97"/>
    <w:rsid w:val="007E6888"/>
    <w:rsid w:val="007E7C82"/>
    <w:rsid w:val="007F2AA1"/>
    <w:rsid w:val="007F588D"/>
    <w:rsid w:val="00800583"/>
    <w:rsid w:val="00803F1C"/>
    <w:rsid w:val="00805D5C"/>
    <w:rsid w:val="0080600E"/>
    <w:rsid w:val="0080664D"/>
    <w:rsid w:val="0080671D"/>
    <w:rsid w:val="00811097"/>
    <w:rsid w:val="00814688"/>
    <w:rsid w:val="00817612"/>
    <w:rsid w:val="00820551"/>
    <w:rsid w:val="00824EE2"/>
    <w:rsid w:val="008338A4"/>
    <w:rsid w:val="00834D49"/>
    <w:rsid w:val="00837C45"/>
    <w:rsid w:val="00841CD0"/>
    <w:rsid w:val="008442C8"/>
    <w:rsid w:val="00844315"/>
    <w:rsid w:val="0084460D"/>
    <w:rsid w:val="00844730"/>
    <w:rsid w:val="00845182"/>
    <w:rsid w:val="008452B2"/>
    <w:rsid w:val="008457C2"/>
    <w:rsid w:val="00852037"/>
    <w:rsid w:val="00853528"/>
    <w:rsid w:val="0085359E"/>
    <w:rsid w:val="00857A82"/>
    <w:rsid w:val="00864471"/>
    <w:rsid w:val="00872CBE"/>
    <w:rsid w:val="00873836"/>
    <w:rsid w:val="00876EF5"/>
    <w:rsid w:val="0087730A"/>
    <w:rsid w:val="008777D8"/>
    <w:rsid w:val="008839F4"/>
    <w:rsid w:val="008850AB"/>
    <w:rsid w:val="00885737"/>
    <w:rsid w:val="00886785"/>
    <w:rsid w:val="00890195"/>
    <w:rsid w:val="00890650"/>
    <w:rsid w:val="0089354F"/>
    <w:rsid w:val="008944DC"/>
    <w:rsid w:val="00895F48"/>
    <w:rsid w:val="00897809"/>
    <w:rsid w:val="00897E12"/>
    <w:rsid w:val="008A7E0F"/>
    <w:rsid w:val="008B12F5"/>
    <w:rsid w:val="008C42B4"/>
    <w:rsid w:val="008C5E2D"/>
    <w:rsid w:val="008C7A17"/>
    <w:rsid w:val="008D2AFC"/>
    <w:rsid w:val="008D457C"/>
    <w:rsid w:val="008D593D"/>
    <w:rsid w:val="008D69F4"/>
    <w:rsid w:val="008D768D"/>
    <w:rsid w:val="008E0610"/>
    <w:rsid w:val="008E171E"/>
    <w:rsid w:val="008E2546"/>
    <w:rsid w:val="008E3759"/>
    <w:rsid w:val="008E3BFE"/>
    <w:rsid w:val="008E4E56"/>
    <w:rsid w:val="008E7B3D"/>
    <w:rsid w:val="008F1912"/>
    <w:rsid w:val="008F1DB0"/>
    <w:rsid w:val="008F288F"/>
    <w:rsid w:val="008F41C6"/>
    <w:rsid w:val="0090243F"/>
    <w:rsid w:val="0090270B"/>
    <w:rsid w:val="009041DC"/>
    <w:rsid w:val="00904E0B"/>
    <w:rsid w:val="0091191E"/>
    <w:rsid w:val="00913764"/>
    <w:rsid w:val="00913FB9"/>
    <w:rsid w:val="00915331"/>
    <w:rsid w:val="00916193"/>
    <w:rsid w:val="00917B5A"/>
    <w:rsid w:val="00920A58"/>
    <w:rsid w:val="00920A8C"/>
    <w:rsid w:val="00927786"/>
    <w:rsid w:val="009336F9"/>
    <w:rsid w:val="009337CB"/>
    <w:rsid w:val="00933E4F"/>
    <w:rsid w:val="00934A2C"/>
    <w:rsid w:val="00936EC0"/>
    <w:rsid w:val="00944C3A"/>
    <w:rsid w:val="00952371"/>
    <w:rsid w:val="00957C0E"/>
    <w:rsid w:val="00962ACD"/>
    <w:rsid w:val="009631F6"/>
    <w:rsid w:val="00963348"/>
    <w:rsid w:val="0096706E"/>
    <w:rsid w:val="00971AB0"/>
    <w:rsid w:val="00974312"/>
    <w:rsid w:val="00974491"/>
    <w:rsid w:val="00974F8E"/>
    <w:rsid w:val="00975C4E"/>
    <w:rsid w:val="00980B65"/>
    <w:rsid w:val="00981FBA"/>
    <w:rsid w:val="00982364"/>
    <w:rsid w:val="009832B6"/>
    <w:rsid w:val="0098518F"/>
    <w:rsid w:val="00997BC5"/>
    <w:rsid w:val="009A4F41"/>
    <w:rsid w:val="009B03E1"/>
    <w:rsid w:val="009B1678"/>
    <w:rsid w:val="009B381B"/>
    <w:rsid w:val="009B5220"/>
    <w:rsid w:val="009B6AA0"/>
    <w:rsid w:val="009C52FB"/>
    <w:rsid w:val="009D10FC"/>
    <w:rsid w:val="009D1753"/>
    <w:rsid w:val="009D2A32"/>
    <w:rsid w:val="009D2D7C"/>
    <w:rsid w:val="009D7611"/>
    <w:rsid w:val="009E0B61"/>
    <w:rsid w:val="009E222E"/>
    <w:rsid w:val="009E481A"/>
    <w:rsid w:val="009E53DE"/>
    <w:rsid w:val="009E6A26"/>
    <w:rsid w:val="009E78E5"/>
    <w:rsid w:val="009E7F46"/>
    <w:rsid w:val="009F487C"/>
    <w:rsid w:val="00A004BB"/>
    <w:rsid w:val="00A05B01"/>
    <w:rsid w:val="00A11212"/>
    <w:rsid w:val="00A11E44"/>
    <w:rsid w:val="00A125A3"/>
    <w:rsid w:val="00A1737A"/>
    <w:rsid w:val="00A2266F"/>
    <w:rsid w:val="00A22C5C"/>
    <w:rsid w:val="00A2438F"/>
    <w:rsid w:val="00A24F3B"/>
    <w:rsid w:val="00A30100"/>
    <w:rsid w:val="00A328B3"/>
    <w:rsid w:val="00A34797"/>
    <w:rsid w:val="00A366D5"/>
    <w:rsid w:val="00A37A94"/>
    <w:rsid w:val="00A41B64"/>
    <w:rsid w:val="00A41F33"/>
    <w:rsid w:val="00A43ACF"/>
    <w:rsid w:val="00A46F4C"/>
    <w:rsid w:val="00A47319"/>
    <w:rsid w:val="00A508EC"/>
    <w:rsid w:val="00A50BB2"/>
    <w:rsid w:val="00A50FCF"/>
    <w:rsid w:val="00A523BE"/>
    <w:rsid w:val="00A528D1"/>
    <w:rsid w:val="00A610CD"/>
    <w:rsid w:val="00A62339"/>
    <w:rsid w:val="00A638E8"/>
    <w:rsid w:val="00A6400D"/>
    <w:rsid w:val="00A64EB1"/>
    <w:rsid w:val="00A678DC"/>
    <w:rsid w:val="00A702D7"/>
    <w:rsid w:val="00A7234A"/>
    <w:rsid w:val="00A72E93"/>
    <w:rsid w:val="00A758AA"/>
    <w:rsid w:val="00A77077"/>
    <w:rsid w:val="00A82D7C"/>
    <w:rsid w:val="00A83B60"/>
    <w:rsid w:val="00A879E9"/>
    <w:rsid w:val="00A9016C"/>
    <w:rsid w:val="00A906EB"/>
    <w:rsid w:val="00A90D7D"/>
    <w:rsid w:val="00A934E3"/>
    <w:rsid w:val="00A97452"/>
    <w:rsid w:val="00AA08CB"/>
    <w:rsid w:val="00AA09A2"/>
    <w:rsid w:val="00AA2D5C"/>
    <w:rsid w:val="00AA3CE5"/>
    <w:rsid w:val="00AA6175"/>
    <w:rsid w:val="00AA7996"/>
    <w:rsid w:val="00AB1144"/>
    <w:rsid w:val="00AB3141"/>
    <w:rsid w:val="00AB62F3"/>
    <w:rsid w:val="00AB636C"/>
    <w:rsid w:val="00AB7885"/>
    <w:rsid w:val="00AC035E"/>
    <w:rsid w:val="00AC18B1"/>
    <w:rsid w:val="00AC19CB"/>
    <w:rsid w:val="00AC4711"/>
    <w:rsid w:val="00AD1DEB"/>
    <w:rsid w:val="00AD23B6"/>
    <w:rsid w:val="00AD2609"/>
    <w:rsid w:val="00AD516D"/>
    <w:rsid w:val="00AE49FD"/>
    <w:rsid w:val="00AE5488"/>
    <w:rsid w:val="00AE6F91"/>
    <w:rsid w:val="00AF1AF9"/>
    <w:rsid w:val="00AF221C"/>
    <w:rsid w:val="00AF2C1E"/>
    <w:rsid w:val="00AF5571"/>
    <w:rsid w:val="00AF565C"/>
    <w:rsid w:val="00AF7601"/>
    <w:rsid w:val="00B007C8"/>
    <w:rsid w:val="00B0247A"/>
    <w:rsid w:val="00B02FDF"/>
    <w:rsid w:val="00B04F03"/>
    <w:rsid w:val="00B06277"/>
    <w:rsid w:val="00B07341"/>
    <w:rsid w:val="00B079D3"/>
    <w:rsid w:val="00B101EF"/>
    <w:rsid w:val="00B21119"/>
    <w:rsid w:val="00B2269E"/>
    <w:rsid w:val="00B24997"/>
    <w:rsid w:val="00B25892"/>
    <w:rsid w:val="00B25990"/>
    <w:rsid w:val="00B2615C"/>
    <w:rsid w:val="00B27441"/>
    <w:rsid w:val="00B30539"/>
    <w:rsid w:val="00B309FF"/>
    <w:rsid w:val="00B3104B"/>
    <w:rsid w:val="00B314DB"/>
    <w:rsid w:val="00B32801"/>
    <w:rsid w:val="00B33782"/>
    <w:rsid w:val="00B35BFA"/>
    <w:rsid w:val="00B361F2"/>
    <w:rsid w:val="00B3718B"/>
    <w:rsid w:val="00B3745F"/>
    <w:rsid w:val="00B40C61"/>
    <w:rsid w:val="00B4632A"/>
    <w:rsid w:val="00B46D4F"/>
    <w:rsid w:val="00B52AB8"/>
    <w:rsid w:val="00B530F1"/>
    <w:rsid w:val="00B53EAF"/>
    <w:rsid w:val="00B55A6C"/>
    <w:rsid w:val="00B56EE1"/>
    <w:rsid w:val="00B653DB"/>
    <w:rsid w:val="00B70730"/>
    <w:rsid w:val="00B7711D"/>
    <w:rsid w:val="00B83158"/>
    <w:rsid w:val="00B8604B"/>
    <w:rsid w:val="00B90063"/>
    <w:rsid w:val="00B906CE"/>
    <w:rsid w:val="00B93279"/>
    <w:rsid w:val="00B9339E"/>
    <w:rsid w:val="00B93D7F"/>
    <w:rsid w:val="00BA2401"/>
    <w:rsid w:val="00BA276C"/>
    <w:rsid w:val="00BA27E4"/>
    <w:rsid w:val="00BB019D"/>
    <w:rsid w:val="00BB1331"/>
    <w:rsid w:val="00BB306F"/>
    <w:rsid w:val="00BB3584"/>
    <w:rsid w:val="00BB395B"/>
    <w:rsid w:val="00BB5BC3"/>
    <w:rsid w:val="00BB6B26"/>
    <w:rsid w:val="00BB79F8"/>
    <w:rsid w:val="00BC2F6D"/>
    <w:rsid w:val="00BC66DA"/>
    <w:rsid w:val="00BD0FF5"/>
    <w:rsid w:val="00BD4B89"/>
    <w:rsid w:val="00BD5922"/>
    <w:rsid w:val="00BD6DB6"/>
    <w:rsid w:val="00BD7C58"/>
    <w:rsid w:val="00BE583E"/>
    <w:rsid w:val="00BF02CB"/>
    <w:rsid w:val="00BF12CB"/>
    <w:rsid w:val="00BF2084"/>
    <w:rsid w:val="00BF313D"/>
    <w:rsid w:val="00BF367E"/>
    <w:rsid w:val="00BF6FD8"/>
    <w:rsid w:val="00C03680"/>
    <w:rsid w:val="00C054DF"/>
    <w:rsid w:val="00C05B33"/>
    <w:rsid w:val="00C1039B"/>
    <w:rsid w:val="00C21762"/>
    <w:rsid w:val="00C21FEF"/>
    <w:rsid w:val="00C22010"/>
    <w:rsid w:val="00C23BA4"/>
    <w:rsid w:val="00C24543"/>
    <w:rsid w:val="00C256A2"/>
    <w:rsid w:val="00C25ADB"/>
    <w:rsid w:val="00C327DE"/>
    <w:rsid w:val="00C33065"/>
    <w:rsid w:val="00C4033E"/>
    <w:rsid w:val="00C40AA7"/>
    <w:rsid w:val="00C4101F"/>
    <w:rsid w:val="00C4173B"/>
    <w:rsid w:val="00C44574"/>
    <w:rsid w:val="00C51515"/>
    <w:rsid w:val="00C5660B"/>
    <w:rsid w:val="00C56831"/>
    <w:rsid w:val="00C641F3"/>
    <w:rsid w:val="00C64E07"/>
    <w:rsid w:val="00C66B72"/>
    <w:rsid w:val="00C71804"/>
    <w:rsid w:val="00C721DB"/>
    <w:rsid w:val="00C72314"/>
    <w:rsid w:val="00C761A8"/>
    <w:rsid w:val="00C766C2"/>
    <w:rsid w:val="00C775D5"/>
    <w:rsid w:val="00C8360D"/>
    <w:rsid w:val="00C84845"/>
    <w:rsid w:val="00C85DFF"/>
    <w:rsid w:val="00C87AC4"/>
    <w:rsid w:val="00C9124E"/>
    <w:rsid w:val="00C92A2D"/>
    <w:rsid w:val="00C93104"/>
    <w:rsid w:val="00C9567A"/>
    <w:rsid w:val="00C96F72"/>
    <w:rsid w:val="00CA39F2"/>
    <w:rsid w:val="00CA43D7"/>
    <w:rsid w:val="00CA5205"/>
    <w:rsid w:val="00CA5848"/>
    <w:rsid w:val="00CA703A"/>
    <w:rsid w:val="00CA7435"/>
    <w:rsid w:val="00CB212D"/>
    <w:rsid w:val="00CB22F6"/>
    <w:rsid w:val="00CB2660"/>
    <w:rsid w:val="00CC0D8D"/>
    <w:rsid w:val="00CC5E90"/>
    <w:rsid w:val="00CC7AE4"/>
    <w:rsid w:val="00CC7F93"/>
    <w:rsid w:val="00CD046C"/>
    <w:rsid w:val="00CD2E6A"/>
    <w:rsid w:val="00CD324F"/>
    <w:rsid w:val="00CD3896"/>
    <w:rsid w:val="00CE076C"/>
    <w:rsid w:val="00CE5199"/>
    <w:rsid w:val="00CE54AB"/>
    <w:rsid w:val="00CE65E9"/>
    <w:rsid w:val="00CE66D5"/>
    <w:rsid w:val="00CF28F3"/>
    <w:rsid w:val="00CF313D"/>
    <w:rsid w:val="00CF637A"/>
    <w:rsid w:val="00D00AE1"/>
    <w:rsid w:val="00D01BFA"/>
    <w:rsid w:val="00D0242E"/>
    <w:rsid w:val="00D059DE"/>
    <w:rsid w:val="00D05ABD"/>
    <w:rsid w:val="00D1064A"/>
    <w:rsid w:val="00D10D79"/>
    <w:rsid w:val="00D13B90"/>
    <w:rsid w:val="00D13FCE"/>
    <w:rsid w:val="00D15317"/>
    <w:rsid w:val="00D22B74"/>
    <w:rsid w:val="00D232F8"/>
    <w:rsid w:val="00D2719D"/>
    <w:rsid w:val="00D276C0"/>
    <w:rsid w:val="00D30191"/>
    <w:rsid w:val="00D30440"/>
    <w:rsid w:val="00D306D1"/>
    <w:rsid w:val="00D30800"/>
    <w:rsid w:val="00D316C2"/>
    <w:rsid w:val="00D3284E"/>
    <w:rsid w:val="00D32A7A"/>
    <w:rsid w:val="00D33B84"/>
    <w:rsid w:val="00D34786"/>
    <w:rsid w:val="00D37BFC"/>
    <w:rsid w:val="00D46FE5"/>
    <w:rsid w:val="00D471A2"/>
    <w:rsid w:val="00D47A8E"/>
    <w:rsid w:val="00D52D14"/>
    <w:rsid w:val="00D548DC"/>
    <w:rsid w:val="00D54CC8"/>
    <w:rsid w:val="00D566DE"/>
    <w:rsid w:val="00D60C4D"/>
    <w:rsid w:val="00D619D8"/>
    <w:rsid w:val="00D712D3"/>
    <w:rsid w:val="00D71422"/>
    <w:rsid w:val="00D72DC6"/>
    <w:rsid w:val="00D75503"/>
    <w:rsid w:val="00D7558D"/>
    <w:rsid w:val="00D75D54"/>
    <w:rsid w:val="00D77476"/>
    <w:rsid w:val="00D77FF7"/>
    <w:rsid w:val="00D81D92"/>
    <w:rsid w:val="00D842F1"/>
    <w:rsid w:val="00D876F9"/>
    <w:rsid w:val="00D9179C"/>
    <w:rsid w:val="00D92F63"/>
    <w:rsid w:val="00D96C9B"/>
    <w:rsid w:val="00DA2A82"/>
    <w:rsid w:val="00DA4679"/>
    <w:rsid w:val="00DA694A"/>
    <w:rsid w:val="00DA7598"/>
    <w:rsid w:val="00DA78A9"/>
    <w:rsid w:val="00DA7B5F"/>
    <w:rsid w:val="00DB2134"/>
    <w:rsid w:val="00DB61B8"/>
    <w:rsid w:val="00DB634B"/>
    <w:rsid w:val="00DC11E7"/>
    <w:rsid w:val="00DC24E3"/>
    <w:rsid w:val="00DC54ED"/>
    <w:rsid w:val="00DC7023"/>
    <w:rsid w:val="00DC769A"/>
    <w:rsid w:val="00DD1A5D"/>
    <w:rsid w:val="00DD3D85"/>
    <w:rsid w:val="00DD3D86"/>
    <w:rsid w:val="00DD4AD2"/>
    <w:rsid w:val="00DE0A58"/>
    <w:rsid w:val="00DE2862"/>
    <w:rsid w:val="00DE3C6A"/>
    <w:rsid w:val="00DE3F29"/>
    <w:rsid w:val="00DE42AC"/>
    <w:rsid w:val="00DE71D5"/>
    <w:rsid w:val="00DF0D80"/>
    <w:rsid w:val="00DF1EC4"/>
    <w:rsid w:val="00E00D22"/>
    <w:rsid w:val="00E01B20"/>
    <w:rsid w:val="00E021FA"/>
    <w:rsid w:val="00E0340B"/>
    <w:rsid w:val="00E04A90"/>
    <w:rsid w:val="00E0551F"/>
    <w:rsid w:val="00E05C2E"/>
    <w:rsid w:val="00E12850"/>
    <w:rsid w:val="00E12E1B"/>
    <w:rsid w:val="00E12F9D"/>
    <w:rsid w:val="00E133F4"/>
    <w:rsid w:val="00E13C82"/>
    <w:rsid w:val="00E219C7"/>
    <w:rsid w:val="00E2321A"/>
    <w:rsid w:val="00E234EC"/>
    <w:rsid w:val="00E2479A"/>
    <w:rsid w:val="00E27AFD"/>
    <w:rsid w:val="00E312C8"/>
    <w:rsid w:val="00E32ED4"/>
    <w:rsid w:val="00E334F2"/>
    <w:rsid w:val="00E40E47"/>
    <w:rsid w:val="00E4118C"/>
    <w:rsid w:val="00E423A3"/>
    <w:rsid w:val="00E43157"/>
    <w:rsid w:val="00E461CE"/>
    <w:rsid w:val="00E46B7B"/>
    <w:rsid w:val="00E55D35"/>
    <w:rsid w:val="00E573E4"/>
    <w:rsid w:val="00E577C6"/>
    <w:rsid w:val="00E64C3D"/>
    <w:rsid w:val="00E65768"/>
    <w:rsid w:val="00E66134"/>
    <w:rsid w:val="00E720CA"/>
    <w:rsid w:val="00E77652"/>
    <w:rsid w:val="00E836B4"/>
    <w:rsid w:val="00E84EB5"/>
    <w:rsid w:val="00E85662"/>
    <w:rsid w:val="00E8789F"/>
    <w:rsid w:val="00E91CA3"/>
    <w:rsid w:val="00E97B71"/>
    <w:rsid w:val="00EA0114"/>
    <w:rsid w:val="00EA3551"/>
    <w:rsid w:val="00EA3D34"/>
    <w:rsid w:val="00EA567B"/>
    <w:rsid w:val="00EA7275"/>
    <w:rsid w:val="00EB1C6E"/>
    <w:rsid w:val="00EB2F6B"/>
    <w:rsid w:val="00EB454D"/>
    <w:rsid w:val="00EB77C7"/>
    <w:rsid w:val="00EC0975"/>
    <w:rsid w:val="00EC0B52"/>
    <w:rsid w:val="00EC57AF"/>
    <w:rsid w:val="00ED1F64"/>
    <w:rsid w:val="00ED549D"/>
    <w:rsid w:val="00ED5E10"/>
    <w:rsid w:val="00ED76BE"/>
    <w:rsid w:val="00EE00E9"/>
    <w:rsid w:val="00EE3676"/>
    <w:rsid w:val="00EE36C0"/>
    <w:rsid w:val="00EF1AAA"/>
    <w:rsid w:val="00EF619B"/>
    <w:rsid w:val="00F00B55"/>
    <w:rsid w:val="00F02AD1"/>
    <w:rsid w:val="00F02C09"/>
    <w:rsid w:val="00F067DA"/>
    <w:rsid w:val="00F07696"/>
    <w:rsid w:val="00F100A6"/>
    <w:rsid w:val="00F10FE2"/>
    <w:rsid w:val="00F17870"/>
    <w:rsid w:val="00F1787E"/>
    <w:rsid w:val="00F21B2A"/>
    <w:rsid w:val="00F243DC"/>
    <w:rsid w:val="00F253CC"/>
    <w:rsid w:val="00F2549D"/>
    <w:rsid w:val="00F26872"/>
    <w:rsid w:val="00F318DD"/>
    <w:rsid w:val="00F3623C"/>
    <w:rsid w:val="00F37106"/>
    <w:rsid w:val="00F40B35"/>
    <w:rsid w:val="00F430AC"/>
    <w:rsid w:val="00F44E25"/>
    <w:rsid w:val="00F46E15"/>
    <w:rsid w:val="00F4793E"/>
    <w:rsid w:val="00F50D65"/>
    <w:rsid w:val="00F519CF"/>
    <w:rsid w:val="00F5366B"/>
    <w:rsid w:val="00F561D3"/>
    <w:rsid w:val="00F56BA5"/>
    <w:rsid w:val="00F60C89"/>
    <w:rsid w:val="00F60E22"/>
    <w:rsid w:val="00F64C86"/>
    <w:rsid w:val="00F65D69"/>
    <w:rsid w:val="00F67E3B"/>
    <w:rsid w:val="00F73D6F"/>
    <w:rsid w:val="00F7531D"/>
    <w:rsid w:val="00F7533D"/>
    <w:rsid w:val="00F80D59"/>
    <w:rsid w:val="00F80D60"/>
    <w:rsid w:val="00F81395"/>
    <w:rsid w:val="00F81BB8"/>
    <w:rsid w:val="00F8227D"/>
    <w:rsid w:val="00F860FD"/>
    <w:rsid w:val="00F90C64"/>
    <w:rsid w:val="00F9175F"/>
    <w:rsid w:val="00F917D1"/>
    <w:rsid w:val="00F9653B"/>
    <w:rsid w:val="00F9653D"/>
    <w:rsid w:val="00FA4230"/>
    <w:rsid w:val="00FB0DB7"/>
    <w:rsid w:val="00FB1B2C"/>
    <w:rsid w:val="00FB62CF"/>
    <w:rsid w:val="00FC00C0"/>
    <w:rsid w:val="00FC1338"/>
    <w:rsid w:val="00FC189A"/>
    <w:rsid w:val="00FC6219"/>
    <w:rsid w:val="00FC67EE"/>
    <w:rsid w:val="00FC6F0F"/>
    <w:rsid w:val="00FD0284"/>
    <w:rsid w:val="00FD2251"/>
    <w:rsid w:val="00FD31A6"/>
    <w:rsid w:val="00FD3C3B"/>
    <w:rsid w:val="00FD4A9D"/>
    <w:rsid w:val="00FE07DD"/>
    <w:rsid w:val="00FE6B45"/>
    <w:rsid w:val="00FF2DBF"/>
    <w:rsid w:val="00FF55F3"/>
    <w:rsid w:val="00FF5851"/>
    <w:rsid w:val="00FF5CB7"/>
    <w:rsid w:val="00FF7B79"/>
    <w:rsid w:val="00FF7CA6"/>
    <w:rsid w:val="21685BFF"/>
    <w:rsid w:val="2F9BDC6F"/>
    <w:rsid w:val="5BFA54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261F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33782"/>
    <w:rPr>
      <w:sz w:val="16"/>
      <w:szCs w:val="16"/>
    </w:rPr>
  </w:style>
  <w:style w:type="paragraph" w:styleId="CommentText">
    <w:name w:val="annotation text"/>
    <w:basedOn w:val="Normal"/>
    <w:link w:val="CommentTextChar"/>
    <w:uiPriority w:val="99"/>
    <w:semiHidden/>
    <w:unhideWhenUsed/>
    <w:rsid w:val="00B33782"/>
    <w:rPr>
      <w:sz w:val="20"/>
      <w:szCs w:val="20"/>
    </w:rPr>
  </w:style>
  <w:style w:type="character" w:customStyle="1" w:styleId="CommentTextChar">
    <w:name w:val="Comment Text Char"/>
    <w:basedOn w:val="DefaultParagraphFont"/>
    <w:link w:val="CommentText"/>
    <w:uiPriority w:val="99"/>
    <w:semiHidden/>
    <w:rsid w:val="00B33782"/>
    <w:rPr>
      <w:lang w:val="en-US" w:eastAsia="en-US"/>
    </w:rPr>
  </w:style>
  <w:style w:type="paragraph" w:styleId="CommentSubject">
    <w:name w:val="annotation subject"/>
    <w:basedOn w:val="CommentText"/>
    <w:next w:val="CommentText"/>
    <w:link w:val="CommentSubjectChar"/>
    <w:uiPriority w:val="99"/>
    <w:semiHidden/>
    <w:unhideWhenUsed/>
    <w:rsid w:val="00B33782"/>
    <w:rPr>
      <w:b/>
      <w:bCs/>
    </w:rPr>
  </w:style>
  <w:style w:type="character" w:customStyle="1" w:styleId="CommentSubjectChar">
    <w:name w:val="Comment Subject Char"/>
    <w:basedOn w:val="CommentTextChar"/>
    <w:link w:val="CommentSubject"/>
    <w:uiPriority w:val="99"/>
    <w:semiHidden/>
    <w:rsid w:val="00B33782"/>
    <w:rPr>
      <w:b/>
      <w:bCs/>
      <w:lang w:val="en-US" w:eastAsia="en-US"/>
    </w:rPr>
  </w:style>
  <w:style w:type="paragraph" w:styleId="Revision">
    <w:name w:val="Revision"/>
    <w:hidden/>
    <w:uiPriority w:val="99"/>
    <w:semiHidden/>
    <w:rsid w:val="007533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semiHidden/>
    <w:rsid w:val="00261F8C"/>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semiHidden/>
    <w:unhideWhenUsed/>
    <w:rsid w:val="006F21E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D6DB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E01B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01B20"/>
  </w:style>
  <w:style w:type="character" w:customStyle="1" w:styleId="eop">
    <w:name w:val="eop"/>
    <w:basedOn w:val="DefaultParagraphFont"/>
    <w:rsid w:val="00E0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3477">
      <w:bodyDiv w:val="1"/>
      <w:marLeft w:val="0"/>
      <w:marRight w:val="0"/>
      <w:marTop w:val="0"/>
      <w:marBottom w:val="0"/>
      <w:divBdr>
        <w:top w:val="none" w:sz="0" w:space="0" w:color="auto"/>
        <w:left w:val="none" w:sz="0" w:space="0" w:color="auto"/>
        <w:bottom w:val="none" w:sz="0" w:space="0" w:color="auto"/>
        <w:right w:val="none" w:sz="0" w:space="0" w:color="auto"/>
      </w:divBdr>
    </w:div>
    <w:div w:id="221521403">
      <w:bodyDiv w:val="1"/>
      <w:marLeft w:val="0"/>
      <w:marRight w:val="0"/>
      <w:marTop w:val="0"/>
      <w:marBottom w:val="0"/>
      <w:divBdr>
        <w:top w:val="none" w:sz="0" w:space="0" w:color="auto"/>
        <w:left w:val="none" w:sz="0" w:space="0" w:color="auto"/>
        <w:bottom w:val="none" w:sz="0" w:space="0" w:color="auto"/>
        <w:right w:val="none" w:sz="0" w:space="0" w:color="auto"/>
      </w:divBdr>
    </w:div>
    <w:div w:id="248075927">
      <w:bodyDiv w:val="1"/>
      <w:marLeft w:val="0"/>
      <w:marRight w:val="0"/>
      <w:marTop w:val="0"/>
      <w:marBottom w:val="0"/>
      <w:divBdr>
        <w:top w:val="none" w:sz="0" w:space="0" w:color="auto"/>
        <w:left w:val="none" w:sz="0" w:space="0" w:color="auto"/>
        <w:bottom w:val="none" w:sz="0" w:space="0" w:color="auto"/>
        <w:right w:val="none" w:sz="0" w:space="0" w:color="auto"/>
      </w:divBdr>
    </w:div>
    <w:div w:id="346374423">
      <w:bodyDiv w:val="1"/>
      <w:marLeft w:val="0"/>
      <w:marRight w:val="0"/>
      <w:marTop w:val="0"/>
      <w:marBottom w:val="0"/>
      <w:divBdr>
        <w:top w:val="none" w:sz="0" w:space="0" w:color="auto"/>
        <w:left w:val="none" w:sz="0" w:space="0" w:color="auto"/>
        <w:bottom w:val="none" w:sz="0" w:space="0" w:color="auto"/>
        <w:right w:val="none" w:sz="0" w:space="0" w:color="auto"/>
      </w:divBdr>
    </w:div>
    <w:div w:id="424885405">
      <w:bodyDiv w:val="1"/>
      <w:marLeft w:val="0"/>
      <w:marRight w:val="0"/>
      <w:marTop w:val="0"/>
      <w:marBottom w:val="0"/>
      <w:divBdr>
        <w:top w:val="none" w:sz="0" w:space="0" w:color="auto"/>
        <w:left w:val="none" w:sz="0" w:space="0" w:color="auto"/>
        <w:bottom w:val="none" w:sz="0" w:space="0" w:color="auto"/>
        <w:right w:val="none" w:sz="0" w:space="0" w:color="auto"/>
      </w:divBdr>
    </w:div>
    <w:div w:id="442921678">
      <w:bodyDiv w:val="1"/>
      <w:marLeft w:val="0"/>
      <w:marRight w:val="0"/>
      <w:marTop w:val="0"/>
      <w:marBottom w:val="0"/>
      <w:divBdr>
        <w:top w:val="none" w:sz="0" w:space="0" w:color="auto"/>
        <w:left w:val="none" w:sz="0" w:space="0" w:color="auto"/>
        <w:bottom w:val="none" w:sz="0" w:space="0" w:color="auto"/>
        <w:right w:val="none" w:sz="0" w:space="0" w:color="auto"/>
      </w:divBdr>
    </w:div>
    <w:div w:id="452015605">
      <w:bodyDiv w:val="1"/>
      <w:marLeft w:val="0"/>
      <w:marRight w:val="0"/>
      <w:marTop w:val="0"/>
      <w:marBottom w:val="0"/>
      <w:divBdr>
        <w:top w:val="none" w:sz="0" w:space="0" w:color="auto"/>
        <w:left w:val="none" w:sz="0" w:space="0" w:color="auto"/>
        <w:bottom w:val="none" w:sz="0" w:space="0" w:color="auto"/>
        <w:right w:val="none" w:sz="0" w:space="0" w:color="auto"/>
      </w:divBdr>
    </w:div>
    <w:div w:id="517546976">
      <w:bodyDiv w:val="1"/>
      <w:marLeft w:val="0"/>
      <w:marRight w:val="0"/>
      <w:marTop w:val="0"/>
      <w:marBottom w:val="0"/>
      <w:divBdr>
        <w:top w:val="none" w:sz="0" w:space="0" w:color="auto"/>
        <w:left w:val="none" w:sz="0" w:space="0" w:color="auto"/>
        <w:bottom w:val="none" w:sz="0" w:space="0" w:color="auto"/>
        <w:right w:val="none" w:sz="0" w:space="0" w:color="auto"/>
      </w:divBdr>
    </w:div>
    <w:div w:id="583808014">
      <w:bodyDiv w:val="1"/>
      <w:marLeft w:val="0"/>
      <w:marRight w:val="0"/>
      <w:marTop w:val="0"/>
      <w:marBottom w:val="0"/>
      <w:divBdr>
        <w:top w:val="none" w:sz="0" w:space="0" w:color="auto"/>
        <w:left w:val="none" w:sz="0" w:space="0" w:color="auto"/>
        <w:bottom w:val="none" w:sz="0" w:space="0" w:color="auto"/>
        <w:right w:val="none" w:sz="0" w:space="0" w:color="auto"/>
      </w:divBdr>
    </w:div>
    <w:div w:id="733165497">
      <w:bodyDiv w:val="1"/>
      <w:marLeft w:val="0"/>
      <w:marRight w:val="0"/>
      <w:marTop w:val="0"/>
      <w:marBottom w:val="0"/>
      <w:divBdr>
        <w:top w:val="none" w:sz="0" w:space="0" w:color="auto"/>
        <w:left w:val="none" w:sz="0" w:space="0" w:color="auto"/>
        <w:bottom w:val="none" w:sz="0" w:space="0" w:color="auto"/>
        <w:right w:val="none" w:sz="0" w:space="0" w:color="auto"/>
      </w:divBdr>
    </w:div>
    <w:div w:id="798693436">
      <w:bodyDiv w:val="1"/>
      <w:marLeft w:val="0"/>
      <w:marRight w:val="0"/>
      <w:marTop w:val="0"/>
      <w:marBottom w:val="0"/>
      <w:divBdr>
        <w:top w:val="none" w:sz="0" w:space="0" w:color="auto"/>
        <w:left w:val="none" w:sz="0" w:space="0" w:color="auto"/>
        <w:bottom w:val="none" w:sz="0" w:space="0" w:color="auto"/>
        <w:right w:val="none" w:sz="0" w:space="0" w:color="auto"/>
      </w:divBdr>
    </w:div>
    <w:div w:id="999894450">
      <w:bodyDiv w:val="1"/>
      <w:marLeft w:val="0"/>
      <w:marRight w:val="0"/>
      <w:marTop w:val="0"/>
      <w:marBottom w:val="0"/>
      <w:divBdr>
        <w:top w:val="none" w:sz="0" w:space="0" w:color="auto"/>
        <w:left w:val="none" w:sz="0" w:space="0" w:color="auto"/>
        <w:bottom w:val="none" w:sz="0" w:space="0" w:color="auto"/>
        <w:right w:val="none" w:sz="0" w:space="0" w:color="auto"/>
      </w:divBdr>
    </w:div>
    <w:div w:id="1003817521">
      <w:bodyDiv w:val="1"/>
      <w:marLeft w:val="0"/>
      <w:marRight w:val="0"/>
      <w:marTop w:val="0"/>
      <w:marBottom w:val="0"/>
      <w:divBdr>
        <w:top w:val="none" w:sz="0" w:space="0" w:color="auto"/>
        <w:left w:val="none" w:sz="0" w:space="0" w:color="auto"/>
        <w:bottom w:val="none" w:sz="0" w:space="0" w:color="auto"/>
        <w:right w:val="none" w:sz="0" w:space="0" w:color="auto"/>
      </w:divBdr>
    </w:div>
    <w:div w:id="1004943358">
      <w:bodyDiv w:val="1"/>
      <w:marLeft w:val="0"/>
      <w:marRight w:val="0"/>
      <w:marTop w:val="0"/>
      <w:marBottom w:val="0"/>
      <w:divBdr>
        <w:top w:val="none" w:sz="0" w:space="0" w:color="auto"/>
        <w:left w:val="none" w:sz="0" w:space="0" w:color="auto"/>
        <w:bottom w:val="none" w:sz="0" w:space="0" w:color="auto"/>
        <w:right w:val="none" w:sz="0" w:space="0" w:color="auto"/>
      </w:divBdr>
    </w:div>
    <w:div w:id="1038701583">
      <w:bodyDiv w:val="1"/>
      <w:marLeft w:val="0"/>
      <w:marRight w:val="0"/>
      <w:marTop w:val="0"/>
      <w:marBottom w:val="0"/>
      <w:divBdr>
        <w:top w:val="none" w:sz="0" w:space="0" w:color="auto"/>
        <w:left w:val="none" w:sz="0" w:space="0" w:color="auto"/>
        <w:bottom w:val="none" w:sz="0" w:space="0" w:color="auto"/>
        <w:right w:val="none" w:sz="0" w:space="0" w:color="auto"/>
      </w:divBdr>
    </w:div>
    <w:div w:id="1146582434">
      <w:bodyDiv w:val="1"/>
      <w:marLeft w:val="0"/>
      <w:marRight w:val="0"/>
      <w:marTop w:val="0"/>
      <w:marBottom w:val="0"/>
      <w:divBdr>
        <w:top w:val="none" w:sz="0" w:space="0" w:color="auto"/>
        <w:left w:val="none" w:sz="0" w:space="0" w:color="auto"/>
        <w:bottom w:val="none" w:sz="0" w:space="0" w:color="auto"/>
        <w:right w:val="none" w:sz="0" w:space="0" w:color="auto"/>
      </w:divBdr>
    </w:div>
    <w:div w:id="121589183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9717226">
      <w:bodyDiv w:val="1"/>
      <w:marLeft w:val="0"/>
      <w:marRight w:val="0"/>
      <w:marTop w:val="0"/>
      <w:marBottom w:val="0"/>
      <w:divBdr>
        <w:top w:val="none" w:sz="0" w:space="0" w:color="auto"/>
        <w:left w:val="none" w:sz="0" w:space="0" w:color="auto"/>
        <w:bottom w:val="none" w:sz="0" w:space="0" w:color="auto"/>
        <w:right w:val="none" w:sz="0" w:space="0" w:color="auto"/>
      </w:divBdr>
    </w:div>
    <w:div w:id="17705402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7742131">
      <w:bodyDiv w:val="1"/>
      <w:marLeft w:val="0"/>
      <w:marRight w:val="0"/>
      <w:marTop w:val="0"/>
      <w:marBottom w:val="0"/>
      <w:divBdr>
        <w:top w:val="none" w:sz="0" w:space="0" w:color="auto"/>
        <w:left w:val="none" w:sz="0" w:space="0" w:color="auto"/>
        <w:bottom w:val="none" w:sz="0" w:space="0" w:color="auto"/>
        <w:right w:val="none" w:sz="0" w:space="0" w:color="auto"/>
      </w:divBdr>
    </w:div>
    <w:div w:id="1857233428">
      <w:bodyDiv w:val="1"/>
      <w:marLeft w:val="0"/>
      <w:marRight w:val="0"/>
      <w:marTop w:val="0"/>
      <w:marBottom w:val="0"/>
      <w:divBdr>
        <w:top w:val="none" w:sz="0" w:space="0" w:color="auto"/>
        <w:left w:val="none" w:sz="0" w:space="0" w:color="auto"/>
        <w:bottom w:val="none" w:sz="0" w:space="0" w:color="auto"/>
        <w:right w:val="none" w:sz="0" w:space="0" w:color="auto"/>
      </w:divBdr>
      <w:divsChild>
        <w:div w:id="481434541">
          <w:marLeft w:val="0"/>
          <w:marRight w:val="0"/>
          <w:marTop w:val="0"/>
          <w:marBottom w:val="0"/>
          <w:divBdr>
            <w:top w:val="none" w:sz="0" w:space="0" w:color="auto"/>
            <w:left w:val="none" w:sz="0" w:space="0" w:color="auto"/>
            <w:bottom w:val="none" w:sz="0" w:space="0" w:color="auto"/>
            <w:right w:val="none" w:sz="0" w:space="0" w:color="auto"/>
          </w:divBdr>
        </w:div>
        <w:div w:id="1178888372">
          <w:marLeft w:val="0"/>
          <w:marRight w:val="0"/>
          <w:marTop w:val="0"/>
          <w:marBottom w:val="0"/>
          <w:divBdr>
            <w:top w:val="none" w:sz="0" w:space="0" w:color="auto"/>
            <w:left w:val="none" w:sz="0" w:space="0" w:color="auto"/>
            <w:bottom w:val="none" w:sz="0" w:space="0" w:color="auto"/>
            <w:right w:val="none" w:sz="0" w:space="0" w:color="auto"/>
          </w:divBdr>
        </w:div>
        <w:div w:id="1376387493">
          <w:marLeft w:val="0"/>
          <w:marRight w:val="0"/>
          <w:marTop w:val="0"/>
          <w:marBottom w:val="0"/>
          <w:divBdr>
            <w:top w:val="none" w:sz="0" w:space="0" w:color="auto"/>
            <w:left w:val="none" w:sz="0" w:space="0" w:color="auto"/>
            <w:bottom w:val="none" w:sz="0" w:space="0" w:color="auto"/>
            <w:right w:val="none" w:sz="0" w:space="0" w:color="auto"/>
          </w:divBdr>
        </w:div>
        <w:div w:id="2035380261">
          <w:marLeft w:val="0"/>
          <w:marRight w:val="0"/>
          <w:marTop w:val="0"/>
          <w:marBottom w:val="0"/>
          <w:divBdr>
            <w:top w:val="none" w:sz="0" w:space="0" w:color="auto"/>
            <w:left w:val="none" w:sz="0" w:space="0" w:color="auto"/>
            <w:bottom w:val="none" w:sz="0" w:space="0" w:color="auto"/>
            <w:right w:val="none" w:sz="0" w:space="0" w:color="auto"/>
          </w:divBdr>
        </w:div>
      </w:divsChild>
    </w:div>
    <w:div w:id="1940671876">
      <w:bodyDiv w:val="1"/>
      <w:marLeft w:val="0"/>
      <w:marRight w:val="0"/>
      <w:marTop w:val="0"/>
      <w:marBottom w:val="0"/>
      <w:divBdr>
        <w:top w:val="none" w:sz="0" w:space="0" w:color="auto"/>
        <w:left w:val="none" w:sz="0" w:space="0" w:color="auto"/>
        <w:bottom w:val="none" w:sz="0" w:space="0" w:color="auto"/>
        <w:right w:val="none" w:sz="0" w:space="0" w:color="auto"/>
      </w:divBdr>
      <w:divsChild>
        <w:div w:id="425853778">
          <w:marLeft w:val="0"/>
          <w:marRight w:val="0"/>
          <w:marTop w:val="0"/>
          <w:marBottom w:val="0"/>
          <w:divBdr>
            <w:top w:val="none" w:sz="0" w:space="0" w:color="auto"/>
            <w:left w:val="none" w:sz="0" w:space="0" w:color="auto"/>
            <w:bottom w:val="none" w:sz="0" w:space="0" w:color="auto"/>
            <w:right w:val="none" w:sz="0" w:space="0" w:color="auto"/>
          </w:divBdr>
        </w:div>
        <w:div w:id="1130324384">
          <w:marLeft w:val="0"/>
          <w:marRight w:val="0"/>
          <w:marTop w:val="0"/>
          <w:marBottom w:val="0"/>
          <w:divBdr>
            <w:top w:val="none" w:sz="0" w:space="0" w:color="auto"/>
            <w:left w:val="none" w:sz="0" w:space="0" w:color="auto"/>
            <w:bottom w:val="none" w:sz="0" w:space="0" w:color="auto"/>
            <w:right w:val="none" w:sz="0" w:space="0" w:color="auto"/>
          </w:divBdr>
        </w:div>
        <w:div w:id="1483237346">
          <w:marLeft w:val="0"/>
          <w:marRight w:val="0"/>
          <w:marTop w:val="0"/>
          <w:marBottom w:val="0"/>
          <w:divBdr>
            <w:top w:val="none" w:sz="0" w:space="0" w:color="auto"/>
            <w:left w:val="none" w:sz="0" w:space="0" w:color="auto"/>
            <w:bottom w:val="none" w:sz="0" w:space="0" w:color="auto"/>
            <w:right w:val="none" w:sz="0" w:space="0" w:color="auto"/>
          </w:divBdr>
        </w:div>
        <w:div w:id="1743486368">
          <w:marLeft w:val="0"/>
          <w:marRight w:val="0"/>
          <w:marTop w:val="0"/>
          <w:marBottom w:val="0"/>
          <w:divBdr>
            <w:top w:val="none" w:sz="0" w:space="0" w:color="auto"/>
            <w:left w:val="none" w:sz="0" w:space="0" w:color="auto"/>
            <w:bottom w:val="none" w:sz="0" w:space="0" w:color="auto"/>
            <w:right w:val="none" w:sz="0" w:space="0" w:color="auto"/>
          </w:divBdr>
        </w:div>
      </w:divsChild>
    </w:div>
    <w:div w:id="2017490359">
      <w:bodyDiv w:val="1"/>
      <w:marLeft w:val="0"/>
      <w:marRight w:val="0"/>
      <w:marTop w:val="0"/>
      <w:marBottom w:val="0"/>
      <w:divBdr>
        <w:top w:val="none" w:sz="0" w:space="0" w:color="auto"/>
        <w:left w:val="none" w:sz="0" w:space="0" w:color="auto"/>
        <w:bottom w:val="none" w:sz="0" w:space="0" w:color="auto"/>
        <w:right w:val="none" w:sz="0" w:space="0" w:color="auto"/>
      </w:divBdr>
    </w:div>
    <w:div w:id="204027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259AC"/>
    <w:rsid w:val="00065DA8"/>
    <w:rsid w:val="0008633E"/>
    <w:rsid w:val="00091CEA"/>
    <w:rsid w:val="000B4C21"/>
    <w:rsid w:val="000E6E35"/>
    <w:rsid w:val="00173782"/>
    <w:rsid w:val="00200821"/>
    <w:rsid w:val="0024346A"/>
    <w:rsid w:val="0025245B"/>
    <w:rsid w:val="002A3923"/>
    <w:rsid w:val="002A4C6B"/>
    <w:rsid w:val="002E5504"/>
    <w:rsid w:val="00375E49"/>
    <w:rsid w:val="00394049"/>
    <w:rsid w:val="003B0C71"/>
    <w:rsid w:val="003F1759"/>
    <w:rsid w:val="004A52C5"/>
    <w:rsid w:val="004B5BBB"/>
    <w:rsid w:val="004E5107"/>
    <w:rsid w:val="004F2DF8"/>
    <w:rsid w:val="0050257A"/>
    <w:rsid w:val="00517E2A"/>
    <w:rsid w:val="005E3B85"/>
    <w:rsid w:val="006D12AA"/>
    <w:rsid w:val="006F24A1"/>
    <w:rsid w:val="006F430D"/>
    <w:rsid w:val="00703455"/>
    <w:rsid w:val="0078116D"/>
    <w:rsid w:val="00872821"/>
    <w:rsid w:val="00875B8A"/>
    <w:rsid w:val="00885EBA"/>
    <w:rsid w:val="008D0AF8"/>
    <w:rsid w:val="00916193"/>
    <w:rsid w:val="009A261B"/>
    <w:rsid w:val="00A46F4C"/>
    <w:rsid w:val="00A76F35"/>
    <w:rsid w:val="00AA2E17"/>
    <w:rsid w:val="00AC15A4"/>
    <w:rsid w:val="00B0336C"/>
    <w:rsid w:val="00B04F57"/>
    <w:rsid w:val="00B438FA"/>
    <w:rsid w:val="00B906CE"/>
    <w:rsid w:val="00BB38BA"/>
    <w:rsid w:val="00C974DE"/>
    <w:rsid w:val="00CA4B5F"/>
    <w:rsid w:val="00CA767D"/>
    <w:rsid w:val="00CB27C1"/>
    <w:rsid w:val="00CF5449"/>
    <w:rsid w:val="00D241E9"/>
    <w:rsid w:val="00D6416B"/>
    <w:rsid w:val="00D7750D"/>
    <w:rsid w:val="00DC67A1"/>
    <w:rsid w:val="00DE3F29"/>
    <w:rsid w:val="00E4074A"/>
    <w:rsid w:val="00EA3551"/>
    <w:rsid w:val="00EF31C6"/>
    <w:rsid w:val="00F00D2F"/>
    <w:rsid w:val="00F128DF"/>
    <w:rsid w:val="00F1787E"/>
    <w:rsid w:val="00F860FD"/>
    <w:rsid w:val="00FE2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C425CDEF-64E5-48BD-926E-5775A2F3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F6FA4-3168-485D-AC52-0676DBED59EF}">
  <ds:schemaRefs>
    <ds:schemaRef ds:uri="http://schemas.microsoft.com/sharepoint/v3/contenttype/forms"/>
  </ds:schemaRefs>
</ds:datastoreItem>
</file>

<file path=customXml/itemProps4.xml><?xml version="1.0" encoding="utf-8"?>
<ds:datastoreItem xmlns:ds="http://schemas.openxmlformats.org/officeDocument/2006/customXml" ds:itemID="{F90B924C-233D-414E-85FA-97098F73390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4267</Words>
  <Characters>24326</Characters>
  <Application>Microsoft Office Word</Application>
  <DocSecurity>0</DocSecurity>
  <Lines>202</Lines>
  <Paragraphs>57</Paragraphs>
  <ScaleCrop>false</ScaleCrop>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2025-10-17T15:42:00Z</dcterms:created>
  <dcterms:modified xsi:type="dcterms:W3CDTF">2025-10-17T15:42:00Z</dcterms:modified>
</cp:coreProperties>
</file>