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A221" w14:textId="77777777" w:rsidR="000C22D9" w:rsidRPr="003459A4" w:rsidRDefault="000C22D9" w:rsidP="000C22D9">
      <w:pPr>
        <w:spacing w:after="0" w:line="240" w:lineRule="auto"/>
        <w:jc w:val="both"/>
        <w:rPr>
          <w:rFonts w:ascii="Cambria" w:hAnsi="Cambria" w:cs="Calibri"/>
          <w:b/>
          <w:color w:val="000000"/>
          <w:sz w:val="20"/>
          <w:szCs w:val="20"/>
          <w:lang w:val="es-CO"/>
        </w:rPr>
      </w:pPr>
    </w:p>
    <w:p w14:paraId="0AAEA36F" w14:textId="1F58B8D4" w:rsidR="000C22D9" w:rsidRPr="003459A4" w:rsidRDefault="000C22D9" w:rsidP="000C22D9">
      <w:pPr>
        <w:spacing w:after="0" w:line="240" w:lineRule="auto"/>
        <w:jc w:val="right"/>
        <w:rPr>
          <w:rFonts w:ascii="Cambria" w:hAnsi="Cambria" w:cs="Calibri"/>
          <w:b/>
          <w:color w:val="000000"/>
          <w:sz w:val="20"/>
          <w:szCs w:val="20"/>
          <w:lang w:val="es-CO"/>
        </w:rPr>
      </w:pPr>
      <w:r w:rsidRPr="003459A4">
        <w:rPr>
          <w:rFonts w:ascii="Cambria" w:hAnsi="Cambria" w:cs="Calibri"/>
          <w:color w:val="000000"/>
          <w:sz w:val="20"/>
          <w:szCs w:val="20"/>
          <w:lang w:val="es-CO"/>
        </w:rPr>
        <w:t>28 de marzo de 2024</w:t>
      </w:r>
    </w:p>
    <w:p w14:paraId="68C08BD3" w14:textId="1789218E" w:rsidR="000C22D9" w:rsidRPr="003459A4" w:rsidRDefault="000C22D9" w:rsidP="000C22D9">
      <w:pPr>
        <w:spacing w:after="0" w:line="240" w:lineRule="auto"/>
        <w:jc w:val="both"/>
        <w:rPr>
          <w:rFonts w:ascii="Cambria" w:hAnsi="Cambria" w:cs="Calibri"/>
          <w:b/>
          <w:color w:val="000000"/>
          <w:sz w:val="20"/>
          <w:szCs w:val="20"/>
          <w:lang w:val="es-CO"/>
        </w:rPr>
      </w:pPr>
      <w:r w:rsidRPr="003459A4">
        <w:rPr>
          <w:rFonts w:ascii="Cambria" w:hAnsi="Cambria" w:cs="Calibri"/>
          <w:b/>
          <w:color w:val="000000"/>
          <w:sz w:val="20"/>
          <w:szCs w:val="20"/>
          <w:lang w:val="es-CO"/>
        </w:rPr>
        <w:t>REF.:</w:t>
      </w:r>
      <w:bookmarkStart w:id="0" w:name="Peticion_n"/>
      <w:bookmarkEnd w:id="0"/>
      <w:r w:rsidRPr="003459A4">
        <w:rPr>
          <w:rFonts w:ascii="Cambria" w:hAnsi="Cambria" w:cs="Calibri"/>
          <w:b/>
          <w:color w:val="000000"/>
          <w:sz w:val="20"/>
          <w:szCs w:val="20"/>
          <w:lang w:val="es-CO"/>
        </w:rPr>
        <w:tab/>
        <w:t>Caso Nº 13.506</w:t>
      </w:r>
    </w:p>
    <w:p w14:paraId="3DC107D4" w14:textId="00F89DFA" w:rsidR="000C22D9" w:rsidRPr="003459A4" w:rsidRDefault="000C22D9" w:rsidP="000C22D9">
      <w:pPr>
        <w:spacing w:after="0" w:line="240" w:lineRule="auto"/>
        <w:ind w:left="720"/>
        <w:jc w:val="both"/>
        <w:rPr>
          <w:rFonts w:ascii="Cambria" w:hAnsi="Cambria" w:cs="Calibri"/>
          <w:b/>
          <w:color w:val="000000"/>
          <w:sz w:val="20"/>
          <w:szCs w:val="20"/>
          <w:lang w:val="es-CO"/>
        </w:rPr>
      </w:pPr>
      <w:r w:rsidRPr="003459A4">
        <w:rPr>
          <w:rFonts w:ascii="Cambria" w:hAnsi="Cambria" w:cs="Calibri"/>
          <w:b/>
          <w:color w:val="000000"/>
          <w:sz w:val="20"/>
          <w:szCs w:val="20"/>
          <w:lang w:val="es-CO"/>
        </w:rPr>
        <w:t>Marcela Brenda Iglesias y otros</w:t>
      </w:r>
    </w:p>
    <w:p w14:paraId="31561241" w14:textId="77777777" w:rsidR="000C22D9" w:rsidRPr="003459A4" w:rsidRDefault="000C22D9" w:rsidP="000C22D9">
      <w:pPr>
        <w:spacing w:after="0" w:line="240" w:lineRule="auto"/>
        <w:ind w:left="720"/>
        <w:jc w:val="both"/>
        <w:rPr>
          <w:rFonts w:ascii="Cambria" w:hAnsi="Cambria" w:cs="Calibri"/>
          <w:b/>
          <w:color w:val="000000"/>
          <w:sz w:val="20"/>
          <w:szCs w:val="20"/>
          <w:lang w:val="es-CO"/>
        </w:rPr>
      </w:pPr>
      <w:r w:rsidRPr="003459A4">
        <w:rPr>
          <w:rFonts w:ascii="Cambria" w:hAnsi="Cambria" w:cs="Calibri"/>
          <w:b/>
          <w:color w:val="000000"/>
          <w:sz w:val="20"/>
          <w:szCs w:val="20"/>
          <w:lang w:val="es-CO"/>
        </w:rPr>
        <w:t>Argentina</w:t>
      </w:r>
    </w:p>
    <w:p w14:paraId="4E0710F8" w14:textId="77777777" w:rsidR="000C22D9" w:rsidRPr="003459A4" w:rsidRDefault="000C22D9" w:rsidP="000C22D9">
      <w:pPr>
        <w:spacing w:after="0" w:line="240" w:lineRule="auto"/>
        <w:jc w:val="both"/>
        <w:rPr>
          <w:rFonts w:ascii="Cambria" w:hAnsi="Cambria" w:cs="Calibri"/>
          <w:b/>
          <w:color w:val="000000"/>
          <w:sz w:val="20"/>
          <w:szCs w:val="20"/>
          <w:lang w:val="es-CO"/>
        </w:rPr>
      </w:pPr>
    </w:p>
    <w:p w14:paraId="0022CD45" w14:textId="77777777" w:rsidR="000C22D9" w:rsidRPr="003459A4" w:rsidRDefault="000C22D9" w:rsidP="000C22D9">
      <w:pPr>
        <w:spacing w:after="0" w:line="240" w:lineRule="auto"/>
        <w:jc w:val="both"/>
        <w:rPr>
          <w:rFonts w:ascii="Cambria" w:hAnsi="Cambria" w:cs="Calibri"/>
          <w:color w:val="000000"/>
          <w:sz w:val="20"/>
          <w:szCs w:val="20"/>
          <w:lang w:val="es-CO"/>
        </w:rPr>
      </w:pPr>
      <w:r w:rsidRPr="003459A4">
        <w:rPr>
          <w:rFonts w:ascii="Cambria" w:hAnsi="Cambria" w:cs="Calibri"/>
          <w:color w:val="000000"/>
          <w:sz w:val="20"/>
          <w:szCs w:val="20"/>
          <w:lang w:val="es-CO"/>
        </w:rPr>
        <w:t>Señor Secretario:</w:t>
      </w:r>
    </w:p>
    <w:p w14:paraId="52297501" w14:textId="77777777" w:rsidR="000C22D9" w:rsidRPr="003459A4" w:rsidRDefault="000C22D9" w:rsidP="000C22D9">
      <w:pPr>
        <w:spacing w:after="0" w:line="240" w:lineRule="auto"/>
        <w:jc w:val="both"/>
        <w:rPr>
          <w:rFonts w:ascii="Cambria" w:hAnsi="Cambria" w:cs="Calibri"/>
          <w:color w:val="000000"/>
          <w:sz w:val="20"/>
          <w:szCs w:val="20"/>
          <w:lang w:val="es-CO"/>
        </w:rPr>
      </w:pPr>
    </w:p>
    <w:p w14:paraId="1B7A9643" w14:textId="587632FB" w:rsidR="000C22D9" w:rsidRPr="003459A4" w:rsidRDefault="00104763" w:rsidP="00104763">
      <w:pPr>
        <w:pStyle w:val="xmsolistparagraph"/>
        <w:tabs>
          <w:tab w:val="left" w:pos="360"/>
        </w:tabs>
        <w:spacing w:before="0" w:beforeAutospacing="0" w:after="0" w:afterAutospacing="0"/>
        <w:jc w:val="both"/>
        <w:rPr>
          <w:rFonts w:ascii="Cambria" w:hAnsi="Cambria" w:cs="Calibri"/>
          <w:color w:val="000000"/>
          <w:sz w:val="20"/>
          <w:szCs w:val="20"/>
        </w:rPr>
      </w:pPr>
      <w:r w:rsidRPr="003459A4">
        <w:rPr>
          <w:rFonts w:ascii="Cambria" w:hAnsi="Cambria" w:cs="Calibri"/>
          <w:color w:val="000000"/>
          <w:sz w:val="20"/>
          <w:szCs w:val="20"/>
        </w:rPr>
        <w:tab/>
      </w:r>
      <w:r w:rsidR="000C22D9" w:rsidRPr="003459A4">
        <w:rPr>
          <w:rFonts w:ascii="Cambria" w:hAnsi="Cambria" w:cs="Calibri"/>
          <w:color w:val="000000"/>
          <w:sz w:val="20"/>
          <w:szCs w:val="20"/>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0C22D9" w:rsidRPr="003459A4">
        <w:rPr>
          <w:rFonts w:ascii="Cambria" w:hAnsi="Cambria" w:cs="Calibri"/>
          <w:color w:val="000000"/>
          <w:sz w:val="20"/>
          <w:szCs w:val="20"/>
        </w:rPr>
        <w:t>13.506 –</w:t>
      </w:r>
      <w:r w:rsidR="000C22D9" w:rsidRPr="003459A4">
        <w:rPr>
          <w:rFonts w:ascii="Cambria" w:eastAsia="Arial Unicode MS" w:hAnsi="Cambria"/>
          <w:color w:val="000000"/>
          <w:sz w:val="20"/>
          <w:szCs w:val="20"/>
          <w:bdr w:val="nil"/>
        </w:rPr>
        <w:t xml:space="preserve"> Marcela Brenda Iglesias y otros </w:t>
      </w:r>
      <w:r w:rsidR="000C22D9" w:rsidRPr="003459A4">
        <w:rPr>
          <w:rFonts w:ascii="Cambria" w:hAnsi="Cambria" w:cs="Calibri"/>
          <w:color w:val="000000"/>
          <w:sz w:val="20"/>
          <w:szCs w:val="20"/>
        </w:rPr>
        <w:t xml:space="preserve">de la República Argentina (en adelante “el Estado”, “el Estado argentino” o “Argentina”). </w:t>
      </w:r>
    </w:p>
    <w:p w14:paraId="48E3439C" w14:textId="77777777" w:rsidR="000C22D9" w:rsidRPr="003459A4" w:rsidRDefault="000C22D9" w:rsidP="000C22D9">
      <w:pPr>
        <w:pStyle w:val="xmsolistparagraph"/>
        <w:spacing w:before="0" w:beforeAutospacing="0" w:after="0" w:afterAutospacing="0"/>
        <w:ind w:firstLine="720"/>
        <w:jc w:val="both"/>
        <w:rPr>
          <w:rFonts w:ascii="Cambria" w:hAnsi="Cambria" w:cs="Calibri"/>
          <w:color w:val="000000"/>
          <w:sz w:val="20"/>
          <w:szCs w:val="20"/>
        </w:rPr>
      </w:pPr>
    </w:p>
    <w:p w14:paraId="51A58526" w14:textId="4F83F824" w:rsidR="000C22D9" w:rsidRPr="003459A4" w:rsidRDefault="000C22D9" w:rsidP="00104763">
      <w:pPr>
        <w:tabs>
          <w:tab w:val="left" w:pos="360"/>
        </w:tabs>
        <w:spacing w:after="0" w:line="240" w:lineRule="auto"/>
        <w:jc w:val="both"/>
        <w:rPr>
          <w:rFonts w:ascii="Cambria" w:hAnsi="Cambria"/>
          <w:sz w:val="20"/>
          <w:szCs w:val="20"/>
          <w:lang w:val="es-CO"/>
        </w:rPr>
      </w:pPr>
      <w:r w:rsidRPr="003459A4">
        <w:rPr>
          <w:rFonts w:ascii="Cambria" w:hAnsi="Cambria" w:cs="Calibri"/>
          <w:color w:val="000000"/>
          <w:sz w:val="20"/>
          <w:szCs w:val="20"/>
          <w:lang w:val="es-CO"/>
        </w:rPr>
        <w:tab/>
        <w:t xml:space="preserve">El presente caso se refiere a la responsabilidad internacional del Estado argentino </w:t>
      </w:r>
      <w:r w:rsidRPr="003459A4">
        <w:rPr>
          <w:rFonts w:ascii="Cambria" w:hAnsi="Cambria"/>
          <w:sz w:val="20"/>
          <w:szCs w:val="20"/>
          <w:lang w:val="es-CO"/>
        </w:rPr>
        <w:t>por la violación de los derechos a la vida, a la integridad</w:t>
      </w:r>
      <w:r w:rsidR="00453A36">
        <w:rPr>
          <w:rFonts w:ascii="Cambria" w:hAnsi="Cambria"/>
          <w:sz w:val="20"/>
          <w:szCs w:val="20"/>
          <w:lang w:val="es-CO"/>
        </w:rPr>
        <w:t xml:space="preserve"> personal,</w:t>
      </w:r>
      <w:r w:rsidR="003F52D7" w:rsidRPr="003459A4">
        <w:rPr>
          <w:rFonts w:ascii="Cambria" w:hAnsi="Cambria"/>
          <w:sz w:val="20"/>
          <w:szCs w:val="20"/>
          <w:lang w:val="es-CO"/>
        </w:rPr>
        <w:t xml:space="preserve"> </w:t>
      </w:r>
      <w:r w:rsidR="006B5FC8" w:rsidRPr="003459A4">
        <w:rPr>
          <w:rFonts w:ascii="Cambria" w:hAnsi="Cambria"/>
          <w:sz w:val="20"/>
          <w:szCs w:val="20"/>
          <w:lang w:val="es-CO"/>
        </w:rPr>
        <w:t xml:space="preserve">a la </w:t>
      </w:r>
      <w:r w:rsidR="003F52D7" w:rsidRPr="003459A4">
        <w:rPr>
          <w:rFonts w:ascii="Cambria" w:hAnsi="Cambria"/>
          <w:sz w:val="20"/>
          <w:szCs w:val="20"/>
          <w:lang w:val="es-CO"/>
        </w:rPr>
        <w:t>protección</w:t>
      </w:r>
      <w:r w:rsidR="006B5FC8" w:rsidRPr="003459A4">
        <w:rPr>
          <w:rFonts w:ascii="Cambria" w:hAnsi="Cambria"/>
          <w:sz w:val="20"/>
          <w:szCs w:val="20"/>
          <w:lang w:val="es-CO"/>
        </w:rPr>
        <w:t xml:space="preserve"> de</w:t>
      </w:r>
      <w:r w:rsidR="003F52D7" w:rsidRPr="003459A4">
        <w:rPr>
          <w:rFonts w:ascii="Cambria" w:hAnsi="Cambria"/>
          <w:sz w:val="20"/>
          <w:szCs w:val="20"/>
          <w:lang w:val="es-CO"/>
        </w:rPr>
        <w:t xml:space="preserve"> la niñez</w:t>
      </w:r>
      <w:r w:rsidR="002335F3">
        <w:rPr>
          <w:rFonts w:ascii="Cambria" w:hAnsi="Cambria"/>
          <w:sz w:val="20"/>
          <w:szCs w:val="20"/>
          <w:lang w:val="es-CO"/>
        </w:rPr>
        <w:t xml:space="preserve">, </w:t>
      </w:r>
      <w:r w:rsidR="00160F45">
        <w:rPr>
          <w:rFonts w:ascii="Cambria" w:hAnsi="Cambria"/>
          <w:sz w:val="20"/>
          <w:szCs w:val="20"/>
          <w:lang w:val="es-CO"/>
        </w:rPr>
        <w:t>a las garantías</w:t>
      </w:r>
      <w:r w:rsidR="00160F45">
        <w:rPr>
          <w:rFonts w:ascii="Cambria" w:hAnsi="Cambria"/>
          <w:sz w:val="20"/>
          <w:szCs w:val="20"/>
          <w:lang w:val="es-US"/>
        </w:rPr>
        <w:t xml:space="preserve"> judiciales </w:t>
      </w:r>
      <w:r w:rsidRPr="003459A4">
        <w:rPr>
          <w:rFonts w:ascii="Cambria" w:hAnsi="Cambria"/>
          <w:sz w:val="20"/>
          <w:szCs w:val="20"/>
          <w:lang w:val="es-CO"/>
        </w:rPr>
        <w:t>y a la protección judicial</w:t>
      </w:r>
      <w:r w:rsidR="00737BE2" w:rsidRPr="003459A4">
        <w:rPr>
          <w:rFonts w:ascii="Cambria" w:hAnsi="Cambria"/>
          <w:sz w:val="20"/>
          <w:szCs w:val="20"/>
          <w:lang w:val="es-CO"/>
        </w:rPr>
        <w:t xml:space="preserve"> por el fallecimiento de </w:t>
      </w:r>
      <w:r w:rsidRPr="003459A4">
        <w:rPr>
          <w:rFonts w:ascii="Cambria" w:hAnsi="Cambria"/>
          <w:sz w:val="20"/>
          <w:szCs w:val="20"/>
          <w:lang w:val="es-CO"/>
        </w:rPr>
        <w:t>Marcela Brenda Iglesias</w:t>
      </w:r>
      <w:r w:rsidR="0015089B">
        <w:rPr>
          <w:rFonts w:ascii="Cambria" w:hAnsi="Cambria"/>
          <w:sz w:val="20"/>
          <w:szCs w:val="20"/>
          <w:lang w:val="es-CO"/>
        </w:rPr>
        <w:t xml:space="preserve"> Ribaudo</w:t>
      </w:r>
      <w:r w:rsidR="00737BE2" w:rsidRPr="003459A4">
        <w:rPr>
          <w:rFonts w:ascii="Cambria" w:hAnsi="Cambria"/>
          <w:sz w:val="20"/>
          <w:szCs w:val="20"/>
          <w:lang w:val="es-CO"/>
        </w:rPr>
        <w:t xml:space="preserve"> </w:t>
      </w:r>
      <w:r w:rsidRPr="003459A4">
        <w:rPr>
          <w:rFonts w:ascii="Cambria" w:hAnsi="Cambria"/>
          <w:sz w:val="20"/>
          <w:szCs w:val="20"/>
          <w:lang w:val="es-CO"/>
        </w:rPr>
        <w:t xml:space="preserve">y </w:t>
      </w:r>
      <w:r w:rsidR="006B5FC8" w:rsidRPr="003459A4">
        <w:rPr>
          <w:rFonts w:ascii="Cambria" w:hAnsi="Cambria"/>
          <w:sz w:val="20"/>
          <w:szCs w:val="20"/>
          <w:lang w:val="es-CO"/>
        </w:rPr>
        <w:t>por la</w:t>
      </w:r>
      <w:r w:rsidRPr="003459A4">
        <w:rPr>
          <w:rFonts w:ascii="Cambria" w:hAnsi="Cambria"/>
          <w:sz w:val="20"/>
          <w:szCs w:val="20"/>
          <w:lang w:val="es-CO"/>
        </w:rPr>
        <w:t xml:space="preserve"> impunidad en la investigación</w:t>
      </w:r>
      <w:r w:rsidR="000374EA" w:rsidRPr="003459A4">
        <w:rPr>
          <w:rFonts w:ascii="Cambria" w:hAnsi="Cambria"/>
          <w:sz w:val="20"/>
          <w:szCs w:val="20"/>
          <w:lang w:val="es-CO"/>
        </w:rPr>
        <w:t xml:space="preserve"> de los hechos</w:t>
      </w:r>
      <w:r w:rsidRPr="003459A4">
        <w:rPr>
          <w:rFonts w:ascii="Cambria" w:hAnsi="Cambria"/>
          <w:sz w:val="20"/>
          <w:szCs w:val="20"/>
          <w:lang w:val="es-CO"/>
        </w:rPr>
        <w:t>.</w:t>
      </w:r>
    </w:p>
    <w:p w14:paraId="55F1D599" w14:textId="77777777" w:rsidR="000C22D9" w:rsidRPr="003459A4" w:rsidRDefault="000C22D9" w:rsidP="000C22D9">
      <w:pPr>
        <w:spacing w:after="0" w:line="240" w:lineRule="auto"/>
        <w:jc w:val="both"/>
        <w:rPr>
          <w:rFonts w:ascii="Cambria" w:hAnsi="Cambria"/>
          <w:sz w:val="20"/>
          <w:szCs w:val="20"/>
          <w:lang w:val="es-CO"/>
        </w:rPr>
      </w:pPr>
    </w:p>
    <w:p w14:paraId="3E5BD930" w14:textId="0135A276" w:rsidR="00F67576" w:rsidRPr="003459A4" w:rsidRDefault="00F67576" w:rsidP="00F67576">
      <w:pPr>
        <w:pStyle w:val="Default"/>
        <w:tabs>
          <w:tab w:val="left" w:pos="360"/>
        </w:tabs>
        <w:jc w:val="both"/>
        <w:rPr>
          <w:sz w:val="20"/>
          <w:szCs w:val="20"/>
          <w:lang w:val="es-CO"/>
        </w:rPr>
      </w:pPr>
      <w:r w:rsidRPr="003459A4">
        <w:rPr>
          <w:sz w:val="20"/>
          <w:szCs w:val="20"/>
          <w:lang w:val="es-CO"/>
        </w:rPr>
        <w:tab/>
        <w:t xml:space="preserve">La niña Iglesias Ribaudo nació el 19 de octubre de 1989 y en la época de los hechos, tenía 6 años.  El 15 de febrero de 1999, Marcela Brenda participó en una actividad para los hijos e hijas del Banco Hipotecario Nacional que consistía en dar un paseo al complejo recreativo “Paseo de la Infanta”. La mayoría de los niños y las niñas se encontraban jugando en el sector designado para el tránsito peatonal y en este mismo espacio se encontraba ubicada una escultura de hierro de 250 kilos llamada “Elementos” creada por el artista Danilo Dazinger. De repente, la escultura mencionada se desplomó causando la muerte inmediata a Marcela Iglesias. </w:t>
      </w:r>
    </w:p>
    <w:p w14:paraId="64A7DA35" w14:textId="77777777" w:rsidR="00F67576" w:rsidRPr="003459A4" w:rsidRDefault="00F67576" w:rsidP="00F67576">
      <w:pPr>
        <w:pStyle w:val="Default"/>
        <w:jc w:val="both"/>
        <w:rPr>
          <w:sz w:val="20"/>
          <w:szCs w:val="20"/>
          <w:lang w:val="es-CO"/>
        </w:rPr>
      </w:pPr>
    </w:p>
    <w:p w14:paraId="5432CA39" w14:textId="34F6F50C" w:rsidR="00A961D0" w:rsidRPr="003459A4" w:rsidRDefault="006E211B" w:rsidP="006E211B">
      <w:pPr>
        <w:pStyle w:val="Default"/>
        <w:tabs>
          <w:tab w:val="left" w:pos="360"/>
        </w:tabs>
        <w:jc w:val="both"/>
        <w:rPr>
          <w:sz w:val="20"/>
          <w:szCs w:val="20"/>
          <w:lang w:val="es-CO"/>
        </w:rPr>
      </w:pPr>
      <w:r w:rsidRPr="003459A4">
        <w:rPr>
          <w:sz w:val="20"/>
          <w:szCs w:val="20"/>
          <w:lang w:val="es-CO"/>
        </w:rPr>
        <w:tab/>
      </w:r>
      <w:r w:rsidR="00F67576" w:rsidRPr="003459A4">
        <w:rPr>
          <w:sz w:val="20"/>
          <w:szCs w:val="20"/>
          <w:lang w:val="es-CO"/>
        </w:rPr>
        <w:t>Con ocasión de la muerte de Marcela Brenda, el Juzgado Nacional de Primera Instancia en lo Correccional N° 11 intervino en la instrucción del proceso penal en el que fueron imputad</w:t>
      </w:r>
      <w:r w:rsidR="00AF7E35" w:rsidRPr="003459A4">
        <w:rPr>
          <w:sz w:val="20"/>
          <w:szCs w:val="20"/>
          <w:lang w:val="es-CO"/>
        </w:rPr>
        <w:t xml:space="preserve">os el </w:t>
      </w:r>
      <w:r w:rsidR="00F67576" w:rsidRPr="003459A4">
        <w:rPr>
          <w:sz w:val="20"/>
          <w:szCs w:val="20"/>
          <w:lang w:val="es-CO"/>
        </w:rPr>
        <w:t>escultor de la obra</w:t>
      </w:r>
      <w:r w:rsidR="00AF7E35" w:rsidRPr="003459A4">
        <w:rPr>
          <w:sz w:val="20"/>
          <w:szCs w:val="20"/>
          <w:lang w:val="es-CO"/>
        </w:rPr>
        <w:t xml:space="preserve">, la </w:t>
      </w:r>
      <w:r w:rsidR="00F67576" w:rsidRPr="003459A4">
        <w:rPr>
          <w:sz w:val="20"/>
          <w:szCs w:val="20"/>
          <w:lang w:val="es-CO"/>
        </w:rPr>
        <w:t>responsable de la galería de arte “Der Brucke” quien tenía la guarda y el cuidado de la obra</w:t>
      </w:r>
      <w:r w:rsidR="00A961D0" w:rsidRPr="003459A4">
        <w:rPr>
          <w:sz w:val="20"/>
          <w:szCs w:val="20"/>
          <w:lang w:val="es-CO"/>
        </w:rPr>
        <w:t xml:space="preserve">, el </w:t>
      </w:r>
      <w:r w:rsidR="00F67576" w:rsidRPr="003459A4">
        <w:rPr>
          <w:sz w:val="20"/>
          <w:szCs w:val="20"/>
          <w:lang w:val="es-CO"/>
        </w:rPr>
        <w:t>Director General de la Policía Nacional</w:t>
      </w:r>
      <w:r w:rsidR="00A961D0" w:rsidRPr="003459A4">
        <w:rPr>
          <w:sz w:val="20"/>
          <w:szCs w:val="20"/>
          <w:lang w:val="es-CO"/>
        </w:rPr>
        <w:t xml:space="preserve">, el </w:t>
      </w:r>
      <w:r w:rsidR="00F67576" w:rsidRPr="003459A4">
        <w:rPr>
          <w:sz w:val="20"/>
          <w:szCs w:val="20"/>
          <w:lang w:val="es-CO"/>
        </w:rPr>
        <w:t>Director de Inspecciones de Rutina de la Municipalidad de Buenos Aires</w:t>
      </w:r>
      <w:r w:rsidR="00A961D0" w:rsidRPr="003459A4">
        <w:rPr>
          <w:sz w:val="20"/>
          <w:szCs w:val="20"/>
          <w:lang w:val="es-CO"/>
        </w:rPr>
        <w:t xml:space="preserve">, el </w:t>
      </w:r>
      <w:r w:rsidR="00F67576" w:rsidRPr="003459A4">
        <w:rPr>
          <w:sz w:val="20"/>
          <w:szCs w:val="20"/>
          <w:lang w:val="es-CO"/>
        </w:rPr>
        <w:t>Jefe de Departamento de la Zona III de la Policía Municipal</w:t>
      </w:r>
      <w:r w:rsidR="00A961D0" w:rsidRPr="003459A4">
        <w:rPr>
          <w:sz w:val="20"/>
          <w:szCs w:val="20"/>
          <w:lang w:val="es-CO"/>
        </w:rPr>
        <w:t xml:space="preserve"> </w:t>
      </w:r>
      <w:r w:rsidR="00F67576" w:rsidRPr="003459A4">
        <w:rPr>
          <w:sz w:val="20"/>
          <w:szCs w:val="20"/>
          <w:lang w:val="es-CO"/>
        </w:rPr>
        <w:t xml:space="preserve">y </w:t>
      </w:r>
      <w:r w:rsidR="00A961D0" w:rsidRPr="003459A4">
        <w:rPr>
          <w:sz w:val="20"/>
          <w:szCs w:val="20"/>
          <w:lang w:val="es-CO"/>
        </w:rPr>
        <w:t xml:space="preserve">el funcionario que </w:t>
      </w:r>
      <w:r w:rsidR="00F67576" w:rsidRPr="003459A4">
        <w:rPr>
          <w:sz w:val="20"/>
          <w:szCs w:val="20"/>
          <w:lang w:val="es-CO"/>
        </w:rPr>
        <w:t xml:space="preserve">suscribió la resolución que permitió las actividades comerciales en el predio. </w:t>
      </w:r>
    </w:p>
    <w:p w14:paraId="709F1092" w14:textId="77777777" w:rsidR="00A961D0" w:rsidRPr="003459A4" w:rsidRDefault="00A961D0" w:rsidP="00F67576">
      <w:pPr>
        <w:pStyle w:val="Default"/>
        <w:jc w:val="both"/>
        <w:rPr>
          <w:sz w:val="20"/>
          <w:szCs w:val="20"/>
          <w:lang w:val="es-CO"/>
        </w:rPr>
      </w:pPr>
    </w:p>
    <w:p w14:paraId="180BB491" w14:textId="60DEEF0B" w:rsidR="00F67576" w:rsidRPr="003459A4" w:rsidRDefault="009A1C11" w:rsidP="009A1C11">
      <w:pPr>
        <w:pStyle w:val="Default"/>
        <w:tabs>
          <w:tab w:val="left" w:pos="360"/>
        </w:tabs>
        <w:jc w:val="both"/>
        <w:rPr>
          <w:sz w:val="20"/>
          <w:szCs w:val="20"/>
          <w:lang w:val="es-CO"/>
        </w:rPr>
      </w:pPr>
      <w:r>
        <w:rPr>
          <w:sz w:val="20"/>
          <w:szCs w:val="20"/>
          <w:lang w:val="es-CO"/>
        </w:rPr>
        <w:tab/>
      </w:r>
      <w:r w:rsidR="00F67576" w:rsidRPr="003459A4">
        <w:rPr>
          <w:sz w:val="20"/>
          <w:szCs w:val="20"/>
          <w:lang w:val="es-CO"/>
        </w:rPr>
        <w:t xml:space="preserve">El proceso se desarrolló por los delitos de homicidio culposo, lesiones culposas, y omisión del deber de cuidado de los funcionarios públicos. Durante la investigación se acreditó que la “estructura metálica estaba en evidente estado de oxidación y corrosión; que, a pesar de su gran parte y peso, se encontraba sujeta solo de dos extremos con un único punto de soldadura; y que nunca había sido asegurada debidamente, teniendo en cuenta su peso y proporción”. </w:t>
      </w:r>
    </w:p>
    <w:p w14:paraId="141AD4C7" w14:textId="77777777" w:rsidR="00F67576" w:rsidRPr="003459A4" w:rsidRDefault="00F67576" w:rsidP="00F67576">
      <w:pPr>
        <w:pStyle w:val="Default"/>
        <w:jc w:val="both"/>
        <w:rPr>
          <w:sz w:val="16"/>
          <w:szCs w:val="16"/>
          <w:lang w:val="es-CO"/>
        </w:rPr>
      </w:pPr>
    </w:p>
    <w:p w14:paraId="0DC3D2AC" w14:textId="401B6E7F" w:rsidR="00F67576" w:rsidRPr="003459A4" w:rsidRDefault="00DC63B7" w:rsidP="00DC63B7">
      <w:pPr>
        <w:pStyle w:val="Default"/>
        <w:tabs>
          <w:tab w:val="left" w:pos="360"/>
        </w:tabs>
        <w:jc w:val="both"/>
        <w:rPr>
          <w:sz w:val="20"/>
          <w:szCs w:val="20"/>
          <w:lang w:val="es-CO"/>
        </w:rPr>
      </w:pPr>
      <w:r>
        <w:rPr>
          <w:sz w:val="20"/>
          <w:szCs w:val="20"/>
          <w:lang w:val="es-CO"/>
        </w:rPr>
        <w:tab/>
      </w:r>
      <w:r w:rsidR="00F67576" w:rsidRPr="003459A4">
        <w:rPr>
          <w:sz w:val="20"/>
          <w:szCs w:val="20"/>
          <w:lang w:val="es-CO"/>
        </w:rPr>
        <w:t xml:space="preserve">El 1 de marzo de 1999, el Fiscal solicitó la elevación a juicio </w:t>
      </w:r>
      <w:r w:rsidR="00594218" w:rsidRPr="003459A4">
        <w:rPr>
          <w:sz w:val="20"/>
          <w:szCs w:val="20"/>
          <w:lang w:val="es-CO"/>
        </w:rPr>
        <w:t>y e</w:t>
      </w:r>
      <w:r w:rsidR="00F67576" w:rsidRPr="003459A4">
        <w:rPr>
          <w:sz w:val="20"/>
          <w:szCs w:val="20"/>
          <w:lang w:val="es-CO"/>
        </w:rPr>
        <w:t>l 19 de noviembre de 1999 la causa fue elevada a juicio oral ante el Juzgado Nacional en lo Correccional N° 3. Durante esta etapa, la parte peticionaria relat</w:t>
      </w:r>
      <w:r w:rsidR="005F7E75" w:rsidRPr="003459A4">
        <w:rPr>
          <w:sz w:val="20"/>
          <w:szCs w:val="20"/>
          <w:lang w:val="es-CO"/>
        </w:rPr>
        <w:t>ó</w:t>
      </w:r>
      <w:r w:rsidR="00F67576" w:rsidRPr="003459A4">
        <w:rPr>
          <w:sz w:val="20"/>
          <w:szCs w:val="20"/>
          <w:lang w:val="es-CO"/>
        </w:rPr>
        <w:t xml:space="preserve"> que los imputados interpusieron “múltiples planteos de nulidad, pedidos de prórrogas, recusaciones y excepciones de competencia, con el propósito de dilatar la continuación del proceso y consecuentemente frenar la realización del juicio oral</w:t>
      </w:r>
      <w:r w:rsidR="005F7E75" w:rsidRPr="003459A4">
        <w:rPr>
          <w:sz w:val="20"/>
          <w:szCs w:val="20"/>
          <w:lang w:val="es-CO"/>
        </w:rPr>
        <w:t>”</w:t>
      </w:r>
      <w:r w:rsidR="00F67576" w:rsidRPr="003459A4">
        <w:rPr>
          <w:sz w:val="20"/>
          <w:szCs w:val="20"/>
          <w:lang w:val="es-CO"/>
        </w:rPr>
        <w:t>.</w:t>
      </w:r>
    </w:p>
    <w:p w14:paraId="763EA720" w14:textId="77777777" w:rsidR="00A961D0" w:rsidRPr="003459A4" w:rsidRDefault="00A961D0" w:rsidP="00F67576">
      <w:pPr>
        <w:spacing w:after="0" w:line="240" w:lineRule="auto"/>
        <w:jc w:val="both"/>
        <w:rPr>
          <w:rFonts w:ascii="Cambria" w:hAnsi="Cambria" w:cs="Calibri"/>
          <w:color w:val="000000"/>
          <w:sz w:val="20"/>
          <w:szCs w:val="20"/>
          <w:lang w:val="es-CO"/>
        </w:rPr>
      </w:pPr>
    </w:p>
    <w:p w14:paraId="4600D627" w14:textId="54D6FB4D" w:rsidR="005F7E75" w:rsidRPr="003459A4" w:rsidRDefault="00201582" w:rsidP="00201582">
      <w:pPr>
        <w:pStyle w:val="Default"/>
        <w:tabs>
          <w:tab w:val="left" w:pos="360"/>
        </w:tabs>
        <w:jc w:val="both"/>
        <w:rPr>
          <w:sz w:val="20"/>
          <w:szCs w:val="20"/>
          <w:lang w:val="es-CO"/>
        </w:rPr>
      </w:pPr>
      <w:r>
        <w:rPr>
          <w:sz w:val="20"/>
          <w:szCs w:val="20"/>
          <w:lang w:val="es-CO"/>
        </w:rPr>
        <w:tab/>
      </w:r>
      <w:r w:rsidR="005F7E75" w:rsidRPr="003459A4">
        <w:rPr>
          <w:sz w:val="20"/>
          <w:szCs w:val="20"/>
          <w:lang w:val="es-CO"/>
        </w:rPr>
        <w:t>El 10 de marzo de 2003, el magistrado a cargo del Juzgado en lo Correccional N°3 declaró extinguida la acción penal por el delito de incumplimiento de los deberes de funcionario público respecto de</w:t>
      </w:r>
      <w:r w:rsidR="00DE6A9C" w:rsidRPr="003459A4">
        <w:rPr>
          <w:sz w:val="20"/>
          <w:szCs w:val="20"/>
          <w:lang w:val="es-CO"/>
        </w:rPr>
        <w:t xml:space="preserve"> uno de los imputados</w:t>
      </w:r>
      <w:r w:rsidR="005F7E75" w:rsidRPr="003459A4">
        <w:rPr>
          <w:sz w:val="20"/>
          <w:szCs w:val="20"/>
          <w:lang w:val="es-CO"/>
        </w:rPr>
        <w:t>. Posteriormente, según lo expuesto por la parte peticionaria, las defensas de los demás procesados presentaron nulidad y prescripción de la acción penal y recursos de casación, que fueron rechazados y, a la vez, en una ocasión se fijó fecha para juicio.</w:t>
      </w:r>
    </w:p>
    <w:p w14:paraId="50E39610" w14:textId="77777777" w:rsidR="005F7E75" w:rsidRDefault="005F7E75" w:rsidP="00F67576">
      <w:pPr>
        <w:spacing w:after="0" w:line="240" w:lineRule="auto"/>
        <w:jc w:val="both"/>
        <w:rPr>
          <w:rFonts w:ascii="Cambria" w:hAnsi="Cambria" w:cs="Calibri"/>
          <w:color w:val="000000"/>
          <w:sz w:val="20"/>
          <w:szCs w:val="20"/>
          <w:lang w:val="es-CO"/>
        </w:rPr>
      </w:pPr>
    </w:p>
    <w:p w14:paraId="36288815" w14:textId="77777777" w:rsidR="001D64C6" w:rsidRPr="003459A4" w:rsidRDefault="001D64C6" w:rsidP="00F67576">
      <w:pPr>
        <w:spacing w:after="0" w:line="240" w:lineRule="auto"/>
        <w:jc w:val="both"/>
        <w:rPr>
          <w:rFonts w:ascii="Cambria" w:hAnsi="Cambria" w:cs="Calibri"/>
          <w:color w:val="000000"/>
          <w:sz w:val="20"/>
          <w:szCs w:val="20"/>
          <w:lang w:val="es-CO"/>
        </w:rPr>
      </w:pPr>
    </w:p>
    <w:p w14:paraId="3D6C0479" w14:textId="5C9E6212" w:rsidR="00F67576" w:rsidRPr="003459A4" w:rsidRDefault="00F67576" w:rsidP="00F67576">
      <w:pPr>
        <w:spacing w:after="0" w:line="240" w:lineRule="auto"/>
        <w:jc w:val="both"/>
        <w:rPr>
          <w:rFonts w:ascii="Cambria" w:hAnsi="Cambria" w:cs="Calibri"/>
          <w:color w:val="000000"/>
          <w:sz w:val="20"/>
          <w:szCs w:val="20"/>
          <w:lang w:val="es-CO"/>
        </w:rPr>
      </w:pPr>
      <w:r w:rsidRPr="003459A4">
        <w:rPr>
          <w:rFonts w:ascii="Cambria" w:hAnsi="Cambria" w:cs="Calibri"/>
          <w:color w:val="000000"/>
          <w:sz w:val="20"/>
          <w:szCs w:val="20"/>
          <w:lang w:val="es-CO"/>
        </w:rPr>
        <w:t>Señor</w:t>
      </w:r>
    </w:p>
    <w:p w14:paraId="73F462FB" w14:textId="77777777" w:rsidR="00F67576" w:rsidRPr="003459A4" w:rsidRDefault="00F67576" w:rsidP="00F67576">
      <w:pPr>
        <w:spacing w:after="0" w:line="240" w:lineRule="auto"/>
        <w:jc w:val="both"/>
        <w:rPr>
          <w:rFonts w:ascii="Cambria" w:hAnsi="Cambria" w:cs="Calibri"/>
          <w:color w:val="000000"/>
          <w:sz w:val="20"/>
          <w:szCs w:val="20"/>
          <w:lang w:val="es-CO"/>
        </w:rPr>
      </w:pPr>
      <w:r w:rsidRPr="003459A4">
        <w:rPr>
          <w:rFonts w:ascii="Cambria" w:hAnsi="Cambria" w:cs="Calibri"/>
          <w:color w:val="000000"/>
          <w:sz w:val="20"/>
          <w:szCs w:val="20"/>
          <w:lang w:val="es-CO"/>
        </w:rPr>
        <w:t>Pablo Saavedra Alessandri</w:t>
      </w:r>
    </w:p>
    <w:p w14:paraId="01862CE6" w14:textId="77777777" w:rsidR="00F67576" w:rsidRPr="003459A4" w:rsidRDefault="00F67576" w:rsidP="00F67576">
      <w:pPr>
        <w:spacing w:after="0" w:line="240" w:lineRule="auto"/>
        <w:jc w:val="both"/>
        <w:rPr>
          <w:rFonts w:ascii="Cambria" w:hAnsi="Cambria" w:cs="Calibri"/>
          <w:color w:val="000000"/>
          <w:sz w:val="20"/>
          <w:szCs w:val="20"/>
          <w:lang w:val="es-CO"/>
        </w:rPr>
      </w:pPr>
      <w:r w:rsidRPr="003459A4">
        <w:rPr>
          <w:rFonts w:ascii="Cambria" w:hAnsi="Cambria" w:cs="Calibri"/>
          <w:color w:val="000000"/>
          <w:sz w:val="20"/>
          <w:szCs w:val="20"/>
          <w:lang w:val="es-CO"/>
        </w:rPr>
        <w:t>Secretario</w:t>
      </w:r>
    </w:p>
    <w:p w14:paraId="137534D2" w14:textId="77777777" w:rsidR="00F67576" w:rsidRPr="003459A4" w:rsidRDefault="00F67576" w:rsidP="00F67576">
      <w:pPr>
        <w:spacing w:after="0" w:line="240" w:lineRule="auto"/>
        <w:jc w:val="both"/>
        <w:rPr>
          <w:rFonts w:ascii="Cambria" w:hAnsi="Cambria" w:cs="Calibri"/>
          <w:color w:val="000000"/>
          <w:sz w:val="20"/>
          <w:szCs w:val="20"/>
          <w:lang w:val="es-CO"/>
        </w:rPr>
      </w:pPr>
      <w:r w:rsidRPr="003459A4">
        <w:rPr>
          <w:rFonts w:ascii="Cambria" w:hAnsi="Cambria" w:cs="Calibri"/>
          <w:color w:val="000000"/>
          <w:sz w:val="20"/>
          <w:szCs w:val="20"/>
          <w:lang w:val="es-CO"/>
        </w:rPr>
        <w:t>Corte Interamericana de Derechos Humanos</w:t>
      </w:r>
    </w:p>
    <w:p w14:paraId="127817C9" w14:textId="77777777" w:rsidR="00F67576" w:rsidRPr="003459A4" w:rsidRDefault="00F67576" w:rsidP="00F67576">
      <w:pPr>
        <w:spacing w:after="0" w:line="240" w:lineRule="auto"/>
        <w:jc w:val="both"/>
        <w:rPr>
          <w:rFonts w:ascii="Cambria" w:hAnsi="Cambria" w:cs="Calibri"/>
          <w:color w:val="000000"/>
          <w:sz w:val="20"/>
          <w:szCs w:val="20"/>
          <w:lang w:val="es-CO"/>
        </w:rPr>
      </w:pPr>
      <w:r w:rsidRPr="003459A4">
        <w:rPr>
          <w:rFonts w:ascii="Cambria" w:hAnsi="Cambria" w:cs="Calibri"/>
          <w:color w:val="000000"/>
          <w:sz w:val="20"/>
          <w:szCs w:val="20"/>
          <w:lang w:val="es-CO"/>
        </w:rPr>
        <w:t>San José, Costa Rica</w:t>
      </w:r>
    </w:p>
    <w:p w14:paraId="3D250374" w14:textId="77777777" w:rsidR="00F67576" w:rsidRPr="003459A4" w:rsidRDefault="00F67576" w:rsidP="00F67576">
      <w:pPr>
        <w:pStyle w:val="Default"/>
        <w:jc w:val="both"/>
        <w:rPr>
          <w:sz w:val="20"/>
          <w:szCs w:val="20"/>
          <w:lang w:val="es-CO"/>
        </w:rPr>
      </w:pPr>
    </w:p>
    <w:p w14:paraId="71707340" w14:textId="2F56E1EB" w:rsidR="00C03F77" w:rsidRPr="003459A4" w:rsidRDefault="00201582" w:rsidP="00201582">
      <w:pPr>
        <w:pStyle w:val="Default"/>
        <w:tabs>
          <w:tab w:val="left" w:pos="360"/>
        </w:tabs>
        <w:jc w:val="both"/>
        <w:rPr>
          <w:sz w:val="20"/>
          <w:szCs w:val="20"/>
          <w:lang w:val="es-CO"/>
        </w:rPr>
      </w:pPr>
      <w:r>
        <w:rPr>
          <w:sz w:val="20"/>
          <w:szCs w:val="20"/>
          <w:lang w:val="es-CO"/>
        </w:rPr>
        <w:lastRenderedPageBreak/>
        <w:tab/>
      </w:r>
      <w:r w:rsidR="00C03F77" w:rsidRPr="003459A4">
        <w:rPr>
          <w:sz w:val="20"/>
          <w:szCs w:val="20"/>
          <w:lang w:val="es-CO"/>
        </w:rPr>
        <w:t xml:space="preserve">El 15 de marzo de 2005, la Cámara Federal de Casación Penal decretó la extinción de la acción penal por prescripción y sobreseyó al resto de las personas acusadas. De acuerdo con lo </w:t>
      </w:r>
      <w:r w:rsidR="00084B78">
        <w:rPr>
          <w:sz w:val="20"/>
          <w:szCs w:val="20"/>
          <w:lang w:val="es-CO"/>
        </w:rPr>
        <w:t>informado</w:t>
      </w:r>
      <w:r w:rsidR="00C03F77" w:rsidRPr="003459A4">
        <w:rPr>
          <w:sz w:val="20"/>
          <w:szCs w:val="20"/>
          <w:lang w:val="es-CO"/>
        </w:rPr>
        <w:t xml:space="preserve"> por la parte peticionaria y la información pública sobre la razón de la decisión, la autoridad judicial aplicó retroactivamente una nueva normativa que establecía otra forma de contar la prescripción, que resultaba más favorable para los procesados. El 14 de diciembre de 2005, la Sala IV de la Cámara de Casación rechazó el recurso de casación presentado por el querellante. </w:t>
      </w:r>
    </w:p>
    <w:p w14:paraId="6F5D82D1" w14:textId="77777777" w:rsidR="00C03F77" w:rsidRPr="003459A4" w:rsidRDefault="00C03F77" w:rsidP="00F67576">
      <w:pPr>
        <w:pStyle w:val="Default"/>
        <w:jc w:val="both"/>
        <w:rPr>
          <w:sz w:val="20"/>
          <w:szCs w:val="20"/>
          <w:lang w:val="es-CO"/>
        </w:rPr>
      </w:pPr>
    </w:p>
    <w:p w14:paraId="5CA217EA" w14:textId="3325C273" w:rsidR="00F67576" w:rsidRPr="003459A4" w:rsidRDefault="00084B78" w:rsidP="00084B78">
      <w:pPr>
        <w:pStyle w:val="Default"/>
        <w:tabs>
          <w:tab w:val="left" w:pos="360"/>
        </w:tabs>
        <w:jc w:val="both"/>
        <w:rPr>
          <w:sz w:val="20"/>
          <w:szCs w:val="20"/>
          <w:lang w:val="es-CO"/>
        </w:rPr>
      </w:pPr>
      <w:r>
        <w:rPr>
          <w:sz w:val="20"/>
          <w:szCs w:val="20"/>
          <w:lang w:val="es-CO"/>
        </w:rPr>
        <w:tab/>
      </w:r>
      <w:r w:rsidR="00F67576" w:rsidRPr="003459A4">
        <w:rPr>
          <w:sz w:val="20"/>
          <w:szCs w:val="20"/>
          <w:lang w:val="es-CO"/>
        </w:rPr>
        <w:t xml:space="preserve">El 8 de noviembre de 2006, el procurador Esteban Righi presentó ante la Corte Suprema un dictamen para que se reabriera la causa. Al respecto, solicitó que se declararan fundados los recursos extraordinarios presentados por la parte peticionaria y que se dejara sin efecto la declaración de extinción de la acción penal por prescripción. El 11 de diciembre de 2007, la Corte Suprema de Justicia de la Nación declaró inadmisible el recurso extraordinario federal manteniendo la prescripción de la acción penal por el homicidio culposo de Marcela Iglesias. </w:t>
      </w:r>
    </w:p>
    <w:p w14:paraId="517C41E1" w14:textId="77777777" w:rsidR="00F67576" w:rsidRPr="003459A4" w:rsidRDefault="00F67576" w:rsidP="00F67576">
      <w:pPr>
        <w:pStyle w:val="Default"/>
        <w:jc w:val="both"/>
        <w:rPr>
          <w:sz w:val="20"/>
          <w:szCs w:val="20"/>
          <w:lang w:val="es-CO"/>
        </w:rPr>
      </w:pPr>
    </w:p>
    <w:p w14:paraId="26F8255D" w14:textId="4361B298" w:rsidR="00F67576" w:rsidRPr="003459A4" w:rsidRDefault="00E4189C" w:rsidP="00E4189C">
      <w:pPr>
        <w:pStyle w:val="Default"/>
        <w:tabs>
          <w:tab w:val="left" w:pos="360"/>
        </w:tabs>
        <w:jc w:val="both"/>
        <w:rPr>
          <w:sz w:val="20"/>
          <w:szCs w:val="20"/>
          <w:lang w:val="es-CO"/>
        </w:rPr>
      </w:pPr>
      <w:r>
        <w:rPr>
          <w:sz w:val="20"/>
          <w:szCs w:val="20"/>
          <w:lang w:val="es-CO"/>
        </w:rPr>
        <w:tab/>
      </w:r>
      <w:r w:rsidR="00F67576" w:rsidRPr="003459A4">
        <w:rPr>
          <w:sz w:val="20"/>
          <w:szCs w:val="20"/>
          <w:lang w:val="es-CO"/>
        </w:rPr>
        <w:t>En su Informe de Fondo No. 266/22, la Comisión consideró que el Estado no adoptó medidas frente a la acción de terceros y que su omisión fue de tal magnitud que no intentó prevenir el daño de actividades riesgosas, a pesar de que en el lugar transitaban personas de especial protección, como son niños y niñas que acudían al Paseo con fines recreativos. La Comisión señaló que</w:t>
      </w:r>
      <w:r w:rsidR="001D0B0E" w:rsidRPr="003459A4">
        <w:rPr>
          <w:sz w:val="20"/>
          <w:szCs w:val="20"/>
          <w:lang w:val="es-CO"/>
        </w:rPr>
        <w:t xml:space="preserve"> el Estado </w:t>
      </w:r>
      <w:r w:rsidR="00F67576" w:rsidRPr="003459A4">
        <w:rPr>
          <w:sz w:val="20"/>
          <w:szCs w:val="20"/>
          <w:lang w:val="es-CO"/>
        </w:rPr>
        <w:t>debía conocer la situación lógica de riesgo que implica la exposición de estructuras de peso de alta dimensión en un espacio público</w:t>
      </w:r>
      <w:r w:rsidR="001D0B0E" w:rsidRPr="003459A4">
        <w:rPr>
          <w:sz w:val="20"/>
          <w:szCs w:val="20"/>
          <w:lang w:val="es-CO"/>
        </w:rPr>
        <w:t xml:space="preserve"> y que sin embargo </w:t>
      </w:r>
      <w:r w:rsidR="00412616" w:rsidRPr="003459A4">
        <w:rPr>
          <w:sz w:val="20"/>
          <w:szCs w:val="20"/>
          <w:lang w:val="es-CO"/>
        </w:rPr>
        <w:t xml:space="preserve">no adoptó </w:t>
      </w:r>
      <w:r w:rsidR="00054AFC" w:rsidRPr="003459A4">
        <w:rPr>
          <w:sz w:val="20"/>
          <w:szCs w:val="20"/>
          <w:lang w:val="es-CO"/>
        </w:rPr>
        <w:t xml:space="preserve">ninguna </w:t>
      </w:r>
      <w:r w:rsidR="00F67576" w:rsidRPr="003459A4">
        <w:rPr>
          <w:sz w:val="20"/>
          <w:szCs w:val="20"/>
          <w:lang w:val="es-CO"/>
        </w:rPr>
        <w:t>medida razonable para evitar la configuración de dicho riesgo.</w:t>
      </w:r>
    </w:p>
    <w:p w14:paraId="18BE2559" w14:textId="77777777" w:rsidR="00F67576" w:rsidRPr="003459A4" w:rsidRDefault="00F67576" w:rsidP="00F67576">
      <w:pPr>
        <w:pStyle w:val="Default"/>
        <w:jc w:val="both"/>
        <w:rPr>
          <w:sz w:val="20"/>
          <w:szCs w:val="20"/>
          <w:lang w:val="es-CO"/>
        </w:rPr>
      </w:pPr>
    </w:p>
    <w:p w14:paraId="51AB8286" w14:textId="467B8B21" w:rsidR="00F67576" w:rsidRPr="003459A4" w:rsidRDefault="008620B8" w:rsidP="008620B8">
      <w:pPr>
        <w:pStyle w:val="Default"/>
        <w:tabs>
          <w:tab w:val="left" w:pos="360"/>
        </w:tabs>
        <w:jc w:val="both"/>
        <w:rPr>
          <w:sz w:val="20"/>
          <w:szCs w:val="20"/>
          <w:lang w:val="es-CO"/>
        </w:rPr>
      </w:pPr>
      <w:r>
        <w:rPr>
          <w:sz w:val="20"/>
          <w:szCs w:val="20"/>
          <w:lang w:val="es-CO"/>
        </w:rPr>
        <w:tab/>
      </w:r>
      <w:r w:rsidR="00F67576" w:rsidRPr="003459A4">
        <w:rPr>
          <w:sz w:val="20"/>
          <w:szCs w:val="20"/>
          <w:lang w:val="es-CO"/>
        </w:rPr>
        <w:t xml:space="preserve">En </w:t>
      </w:r>
      <w:r>
        <w:rPr>
          <w:sz w:val="20"/>
          <w:szCs w:val="20"/>
          <w:lang w:val="es-CO"/>
        </w:rPr>
        <w:t>particular</w:t>
      </w:r>
      <w:r w:rsidR="00F67576" w:rsidRPr="003459A4">
        <w:rPr>
          <w:sz w:val="20"/>
          <w:szCs w:val="20"/>
          <w:lang w:val="es-CO"/>
        </w:rPr>
        <w:t>, la Comisión consideró que el Estado argentino no adoptó medidas de supervisión y fiscalización a las empresas que desarrollaban su Galería de Arte en un espacio público con tránsito de personas, incluidas niños y niñas, lo cual hubiera logrado identificar medidas efectivas para prevenir los riesgos de la estructura “Elementos” mal asegurada y soldada, cuya caída causó la muerte de Marcela Brenda Iglesias. Por esa razón, la Comisión consideró que se configur</w:t>
      </w:r>
      <w:r w:rsidR="00DD3D8E">
        <w:rPr>
          <w:sz w:val="20"/>
          <w:szCs w:val="20"/>
          <w:lang w:val="es-CO"/>
        </w:rPr>
        <w:t>ó</w:t>
      </w:r>
      <w:r w:rsidR="00F67576" w:rsidRPr="003459A4">
        <w:rPr>
          <w:sz w:val="20"/>
          <w:szCs w:val="20"/>
          <w:lang w:val="es-CO"/>
        </w:rPr>
        <w:t xml:space="preserve"> su responsabilidad por la violación del derecho a la vida e integridad</w:t>
      </w:r>
      <w:r w:rsidR="002C0D21">
        <w:rPr>
          <w:sz w:val="20"/>
          <w:szCs w:val="20"/>
          <w:lang w:val="es-CO"/>
        </w:rPr>
        <w:t xml:space="preserve"> personal</w:t>
      </w:r>
      <w:r w:rsidR="00F67576" w:rsidRPr="003459A4">
        <w:rPr>
          <w:sz w:val="20"/>
          <w:szCs w:val="20"/>
          <w:lang w:val="es-CO"/>
        </w:rPr>
        <w:t xml:space="preserve"> y protección a la niñez. </w:t>
      </w:r>
    </w:p>
    <w:p w14:paraId="3BBB3B8D" w14:textId="77777777" w:rsidR="00F67576" w:rsidRPr="00CC231D" w:rsidRDefault="00F67576" w:rsidP="00F67576">
      <w:pPr>
        <w:pStyle w:val="Default"/>
        <w:jc w:val="both"/>
        <w:rPr>
          <w:sz w:val="16"/>
          <w:szCs w:val="16"/>
          <w:lang w:val="es-CO"/>
        </w:rPr>
      </w:pPr>
    </w:p>
    <w:p w14:paraId="18E86724" w14:textId="7978C686" w:rsidR="00F67576" w:rsidRPr="003459A4" w:rsidRDefault="00DD3D8E" w:rsidP="00DD3D8E">
      <w:pPr>
        <w:pStyle w:val="Default"/>
        <w:tabs>
          <w:tab w:val="left" w:pos="360"/>
        </w:tabs>
        <w:jc w:val="both"/>
        <w:rPr>
          <w:sz w:val="20"/>
          <w:szCs w:val="20"/>
          <w:lang w:val="es-CO"/>
        </w:rPr>
      </w:pPr>
      <w:r>
        <w:rPr>
          <w:sz w:val="20"/>
          <w:szCs w:val="20"/>
          <w:lang w:val="es-CO"/>
        </w:rPr>
        <w:tab/>
      </w:r>
      <w:r w:rsidR="00F67576" w:rsidRPr="003459A4">
        <w:rPr>
          <w:sz w:val="20"/>
          <w:szCs w:val="20"/>
          <w:lang w:val="es-CO"/>
        </w:rPr>
        <w:t xml:space="preserve">Asimismo, la Comisión observó que después de la muerte de la niña Brenda Iglesias se inició una investigación penal que avanzó hasta la citación a juicio de particulares y funcionarios del Estado el 13 de diciembre de 1999; sin embargo, años después las autoridades judiciales declararon la prescripción de la acción penal al aplicar una nueva normativa sobre la contabilización de los plazos de prescripción. Al respecto, la Comisión analizó si la conducción del proceso se produjo con respeto de los estándares interamericanos sobre debida diligencia en la investigación. </w:t>
      </w:r>
    </w:p>
    <w:p w14:paraId="26C99E88" w14:textId="77777777" w:rsidR="00F67576" w:rsidRPr="00CC231D" w:rsidRDefault="00F67576" w:rsidP="00F67576">
      <w:pPr>
        <w:pStyle w:val="Default"/>
        <w:jc w:val="both"/>
        <w:rPr>
          <w:sz w:val="16"/>
          <w:szCs w:val="16"/>
          <w:lang w:val="es-CO"/>
        </w:rPr>
      </w:pPr>
    </w:p>
    <w:p w14:paraId="1FD381B4" w14:textId="006CA89A" w:rsidR="00F67576" w:rsidRPr="003459A4" w:rsidRDefault="00EC1063" w:rsidP="00EC1063">
      <w:pPr>
        <w:pStyle w:val="Default"/>
        <w:tabs>
          <w:tab w:val="left" w:pos="360"/>
        </w:tabs>
        <w:jc w:val="both"/>
        <w:rPr>
          <w:sz w:val="20"/>
          <w:szCs w:val="20"/>
          <w:lang w:val="es-CO"/>
        </w:rPr>
      </w:pPr>
      <w:r>
        <w:rPr>
          <w:sz w:val="20"/>
          <w:szCs w:val="20"/>
          <w:lang w:val="es-CO"/>
        </w:rPr>
        <w:tab/>
      </w:r>
      <w:r w:rsidR="00F221FF" w:rsidRPr="003459A4">
        <w:rPr>
          <w:sz w:val="20"/>
          <w:szCs w:val="20"/>
          <w:lang w:val="es-CO"/>
        </w:rPr>
        <w:t>L</w:t>
      </w:r>
      <w:r w:rsidR="00F67576" w:rsidRPr="003459A4">
        <w:rPr>
          <w:sz w:val="20"/>
          <w:szCs w:val="20"/>
          <w:lang w:val="es-CO"/>
        </w:rPr>
        <w:t xml:space="preserve">a Comisión señaló que la parte peticionaria expuso una serie de actuaciones en el proceso que demuestran que en el mismo se presentaron múltiples recursos y recusaciones por parte de las defensas de los imputados. Algunos de </w:t>
      </w:r>
      <w:r w:rsidR="00945225" w:rsidRPr="003459A4">
        <w:rPr>
          <w:sz w:val="20"/>
          <w:szCs w:val="20"/>
          <w:lang w:val="es-CO"/>
        </w:rPr>
        <w:t>estos recursos fueron</w:t>
      </w:r>
      <w:r w:rsidR="00F67576" w:rsidRPr="003459A4">
        <w:rPr>
          <w:sz w:val="20"/>
          <w:szCs w:val="20"/>
          <w:lang w:val="es-CO"/>
        </w:rPr>
        <w:t xml:space="preserve"> resueltos por el Juzgado de conocimiento y otros tramitados ante la Cámara de Casación. La Comisión observó también </w:t>
      </w:r>
      <w:r w:rsidR="006F3079">
        <w:rPr>
          <w:sz w:val="20"/>
          <w:szCs w:val="20"/>
          <w:lang w:val="es-CO"/>
        </w:rPr>
        <w:t xml:space="preserve">que se dio un </w:t>
      </w:r>
      <w:r w:rsidR="00F67576" w:rsidRPr="003459A4">
        <w:rPr>
          <w:sz w:val="20"/>
          <w:szCs w:val="20"/>
          <w:lang w:val="es-CO"/>
        </w:rPr>
        <w:t>cambi</w:t>
      </w:r>
      <w:r w:rsidR="006F3079">
        <w:rPr>
          <w:sz w:val="20"/>
          <w:szCs w:val="20"/>
          <w:lang w:val="es-CO"/>
        </w:rPr>
        <w:t>o</w:t>
      </w:r>
      <w:r w:rsidR="00F67576" w:rsidRPr="003459A4">
        <w:rPr>
          <w:sz w:val="20"/>
          <w:szCs w:val="20"/>
          <w:lang w:val="es-CO"/>
        </w:rPr>
        <w:t xml:space="preserve"> de autoridad judicial, pues en </w:t>
      </w:r>
      <w:r w:rsidR="00696199">
        <w:rPr>
          <w:sz w:val="20"/>
          <w:szCs w:val="20"/>
          <w:lang w:val="es-CO"/>
        </w:rPr>
        <w:t xml:space="preserve">el </w:t>
      </w:r>
      <w:r w:rsidR="00F67576" w:rsidRPr="003459A4">
        <w:rPr>
          <w:sz w:val="20"/>
          <w:szCs w:val="20"/>
          <w:lang w:val="es-CO"/>
        </w:rPr>
        <w:t xml:space="preserve">2000 una nueva Jueza asumió el conocimiento del asunto. </w:t>
      </w:r>
      <w:r w:rsidR="004C4C32" w:rsidRPr="003459A4">
        <w:rPr>
          <w:sz w:val="20"/>
          <w:szCs w:val="20"/>
          <w:lang w:val="es-CO"/>
        </w:rPr>
        <w:t>La Comisión</w:t>
      </w:r>
      <w:r w:rsidR="000E7746" w:rsidRPr="003459A4">
        <w:rPr>
          <w:sz w:val="20"/>
          <w:szCs w:val="20"/>
          <w:lang w:val="es-CO"/>
        </w:rPr>
        <w:t xml:space="preserve"> notó que</w:t>
      </w:r>
      <w:r w:rsidR="00F67576" w:rsidRPr="003459A4">
        <w:rPr>
          <w:sz w:val="20"/>
          <w:szCs w:val="20"/>
          <w:lang w:val="es-CO"/>
        </w:rPr>
        <w:t xml:space="preserve"> los pedidos de prescripción por parte de las defensas fueron frecuentes, recurridos e impidieron llevar a cabo el juicio</w:t>
      </w:r>
      <w:r w:rsidR="00CC231D">
        <w:rPr>
          <w:sz w:val="20"/>
          <w:szCs w:val="20"/>
          <w:lang w:val="es-CO"/>
        </w:rPr>
        <w:t xml:space="preserve">, </w:t>
      </w:r>
      <w:r w:rsidR="000E7746" w:rsidRPr="003459A4">
        <w:rPr>
          <w:sz w:val="20"/>
          <w:szCs w:val="20"/>
          <w:lang w:val="es-CO"/>
        </w:rPr>
        <w:t xml:space="preserve">lo cual terminó </w:t>
      </w:r>
      <w:r w:rsidR="0011288D" w:rsidRPr="003459A4">
        <w:rPr>
          <w:sz w:val="20"/>
          <w:szCs w:val="20"/>
          <w:lang w:val="es-CO"/>
        </w:rPr>
        <w:t xml:space="preserve">con la aplicación de la prescripción </w:t>
      </w:r>
      <w:r w:rsidR="00F67576" w:rsidRPr="003459A4">
        <w:rPr>
          <w:sz w:val="20"/>
          <w:szCs w:val="20"/>
          <w:lang w:val="es-CO"/>
        </w:rPr>
        <w:t xml:space="preserve">por el paso del tiempo. </w:t>
      </w:r>
    </w:p>
    <w:p w14:paraId="10239602" w14:textId="77777777" w:rsidR="00F67576" w:rsidRPr="00CC231D" w:rsidRDefault="00F67576" w:rsidP="00F67576">
      <w:pPr>
        <w:pStyle w:val="Default"/>
        <w:jc w:val="both"/>
        <w:rPr>
          <w:sz w:val="16"/>
          <w:szCs w:val="16"/>
          <w:lang w:val="es-CO"/>
        </w:rPr>
      </w:pPr>
    </w:p>
    <w:p w14:paraId="3AD7D7AB" w14:textId="77777777" w:rsidR="00E25C4D" w:rsidRDefault="00B744B2" w:rsidP="00B744B2">
      <w:pPr>
        <w:pStyle w:val="Default"/>
        <w:tabs>
          <w:tab w:val="left" w:pos="360"/>
        </w:tabs>
        <w:jc w:val="both"/>
        <w:rPr>
          <w:sz w:val="20"/>
          <w:szCs w:val="20"/>
          <w:lang w:val="es-CO"/>
        </w:rPr>
      </w:pPr>
      <w:r>
        <w:rPr>
          <w:sz w:val="20"/>
          <w:szCs w:val="20"/>
          <w:lang w:val="es-CO"/>
        </w:rPr>
        <w:tab/>
      </w:r>
      <w:r w:rsidR="0011288D" w:rsidRPr="003459A4">
        <w:rPr>
          <w:sz w:val="20"/>
          <w:szCs w:val="20"/>
          <w:lang w:val="es-CO"/>
        </w:rPr>
        <w:t>La Comisión consideró que</w:t>
      </w:r>
      <w:r w:rsidR="00F67576" w:rsidRPr="003459A4">
        <w:rPr>
          <w:sz w:val="20"/>
          <w:szCs w:val="20"/>
          <w:lang w:val="es-CO"/>
        </w:rPr>
        <w:t xml:space="preserve">, aunque la investigación no se trataba de un asunto complejo la multiplicidad de procesados y las diferentes peticiones que hicieron a la administración de justicia tuvieron un impacto indudable en que pasara el tiempo sin que se lograra hacer el juicio penal por la muerte de Marcela Brenda Iglesias. La Comisión no observó que las autoridades judiciales hayan adoptado medidas para evitar que la diversidad de recursos no llevara a una dilación del proceso que culminara en su prescripción por el paso del tiempo. </w:t>
      </w:r>
    </w:p>
    <w:p w14:paraId="2171B447" w14:textId="77777777" w:rsidR="00E25C4D" w:rsidRDefault="00E25C4D" w:rsidP="00B744B2">
      <w:pPr>
        <w:pStyle w:val="Default"/>
        <w:tabs>
          <w:tab w:val="left" w:pos="360"/>
        </w:tabs>
        <w:jc w:val="both"/>
        <w:rPr>
          <w:sz w:val="20"/>
          <w:szCs w:val="20"/>
          <w:lang w:val="es-CO"/>
        </w:rPr>
      </w:pPr>
    </w:p>
    <w:p w14:paraId="403E865F" w14:textId="2A8475F0" w:rsidR="00F67576" w:rsidRPr="003459A4" w:rsidRDefault="00E25C4D" w:rsidP="00B744B2">
      <w:pPr>
        <w:pStyle w:val="Default"/>
        <w:tabs>
          <w:tab w:val="left" w:pos="360"/>
        </w:tabs>
        <w:jc w:val="both"/>
        <w:rPr>
          <w:sz w:val="20"/>
          <w:szCs w:val="20"/>
          <w:lang w:val="es-CO"/>
        </w:rPr>
      </w:pPr>
      <w:r>
        <w:rPr>
          <w:sz w:val="20"/>
          <w:szCs w:val="20"/>
          <w:lang w:val="es-CO"/>
        </w:rPr>
        <w:tab/>
        <w:t>Asimismo, l</w:t>
      </w:r>
      <w:r w:rsidR="00F67576" w:rsidRPr="003459A4">
        <w:rPr>
          <w:sz w:val="20"/>
          <w:szCs w:val="20"/>
          <w:lang w:val="es-CO"/>
        </w:rPr>
        <w:t>a Comisión encontró que los recursos interpuestos en varios niveles por los imputados de forma sucesiva, así como el tiempo en que se tomaba la administración de justicia en resolverlos y devolver la causa impidieron la realización del juicio citado en varias ocasiones. Por lo tanto, la Comisión consideró que esta ausencia de conducción del proceso para llevarlo a término con decisión en juicio implicó una violación a las garantías procesales y protección judicial de la familia Iglesias Ribaudo. En este sentido, determinó que el Estado es responsable por la violación de los derechos a las garantías procesales y la protección judicial.</w:t>
      </w:r>
    </w:p>
    <w:p w14:paraId="4685CA11" w14:textId="36AD4B22" w:rsidR="006B10C5" w:rsidRDefault="006B10C5" w:rsidP="0034617D">
      <w:pPr>
        <w:pStyle w:val="Default"/>
        <w:tabs>
          <w:tab w:val="left" w:pos="360"/>
        </w:tabs>
        <w:jc w:val="both"/>
        <w:rPr>
          <w:sz w:val="20"/>
          <w:szCs w:val="20"/>
          <w:lang w:val="es-CO"/>
        </w:rPr>
      </w:pPr>
    </w:p>
    <w:p w14:paraId="0AD91DCA" w14:textId="15A5D0B6" w:rsidR="00F67576" w:rsidRPr="003459A4" w:rsidRDefault="006B10C5" w:rsidP="0034617D">
      <w:pPr>
        <w:pStyle w:val="Default"/>
        <w:tabs>
          <w:tab w:val="left" w:pos="360"/>
        </w:tabs>
        <w:jc w:val="both"/>
        <w:rPr>
          <w:sz w:val="20"/>
          <w:szCs w:val="20"/>
          <w:lang w:val="es-CO"/>
        </w:rPr>
      </w:pPr>
      <w:r>
        <w:rPr>
          <w:sz w:val="20"/>
          <w:szCs w:val="20"/>
          <w:lang w:val="es-CO"/>
        </w:rPr>
        <w:lastRenderedPageBreak/>
        <w:tab/>
      </w:r>
      <w:r w:rsidR="00F67576" w:rsidRPr="003459A4">
        <w:rPr>
          <w:sz w:val="20"/>
          <w:szCs w:val="20"/>
          <w:lang w:val="es-CO"/>
        </w:rPr>
        <w:t xml:space="preserve">Con base en las determinaciones de hecho y de derecho, la Comisión Interamericana concluyó que el Estado de Argentina es responsable por la violación de los derechos a la vida, a la integridad personal y protección a la niñez establecidos en los artículos a 4, 5 y 19 de la Convención Americana en relación con el artículo 1.1 del mismo instrumento, en perjuicio de Marcela Brenda Iglesias. Asimismo, </w:t>
      </w:r>
      <w:r w:rsidR="003A0FA4">
        <w:rPr>
          <w:sz w:val="20"/>
          <w:szCs w:val="20"/>
          <w:lang w:val="es-CO"/>
        </w:rPr>
        <w:t xml:space="preserve">que </w:t>
      </w:r>
      <w:r w:rsidR="00F67576" w:rsidRPr="003459A4">
        <w:rPr>
          <w:sz w:val="20"/>
          <w:szCs w:val="20"/>
          <w:lang w:val="es-CO"/>
        </w:rPr>
        <w:t xml:space="preserve">el Estado de Argentina es responsable por la violación a los derechos a las garantías procesales y protección judicial dispuestos en los artículos 8 y 25 de la Convención Americana, en relación con el artículo 1.1 del mismo instrumento, en perjuicio de Eduardo Iglesias y Nora Esther Ribaudo. </w:t>
      </w:r>
    </w:p>
    <w:p w14:paraId="4E28D673" w14:textId="77777777" w:rsidR="000C22D9" w:rsidRPr="003459A4" w:rsidRDefault="000C22D9" w:rsidP="000C22D9">
      <w:pPr>
        <w:spacing w:after="0" w:line="240" w:lineRule="auto"/>
        <w:jc w:val="both"/>
        <w:rPr>
          <w:rFonts w:ascii="Cambria" w:hAnsi="Cambria"/>
          <w:sz w:val="20"/>
          <w:szCs w:val="20"/>
          <w:lang w:val="es-CO"/>
        </w:rPr>
      </w:pPr>
    </w:p>
    <w:p w14:paraId="0FB7E8D3" w14:textId="77777777" w:rsidR="000C22D9" w:rsidRPr="003459A4" w:rsidRDefault="000C22D9" w:rsidP="000C22D9">
      <w:pPr>
        <w:tabs>
          <w:tab w:val="left" w:pos="360"/>
          <w:tab w:val="left" w:pos="720"/>
        </w:tabs>
        <w:spacing w:after="0" w:line="240" w:lineRule="auto"/>
        <w:jc w:val="both"/>
        <w:rPr>
          <w:rFonts w:ascii="Cambria" w:hAnsi="Cambria"/>
          <w:sz w:val="20"/>
          <w:szCs w:val="20"/>
          <w:lang w:val="es-CO"/>
        </w:rPr>
      </w:pPr>
      <w:r w:rsidRPr="003459A4">
        <w:rPr>
          <w:rFonts w:ascii="Cambria" w:hAnsi="Cambria"/>
          <w:sz w:val="20"/>
          <w:szCs w:val="20"/>
          <w:lang w:val="es-CO"/>
        </w:rPr>
        <w:tab/>
        <w:t>El Estado argentino depositó el instrumento de ratificación de la Convención Americana sobre Derechos Humanos y aceptó la competencia contenciosa de la Corte Interamericana el 5 de septiembre de 1984.</w:t>
      </w:r>
    </w:p>
    <w:p w14:paraId="1D6BA179" w14:textId="77777777" w:rsidR="000C22D9" w:rsidRPr="003459A4" w:rsidRDefault="000C22D9" w:rsidP="000C22D9">
      <w:pPr>
        <w:pStyle w:val="parrafos"/>
        <w:tabs>
          <w:tab w:val="left" w:pos="360"/>
        </w:tabs>
        <w:rPr>
          <w:rFonts w:cs="Calibri"/>
          <w:lang w:val="es-CO"/>
        </w:rPr>
      </w:pPr>
      <w:r w:rsidRPr="003459A4">
        <w:rPr>
          <w:rFonts w:cs="Calibri"/>
          <w:lang w:val="es-CO"/>
        </w:rPr>
        <w:tab/>
      </w:r>
    </w:p>
    <w:p w14:paraId="451E68FC" w14:textId="2AC71AF3" w:rsidR="000C22D9" w:rsidRPr="003459A4" w:rsidRDefault="000C22D9" w:rsidP="000C22D9">
      <w:pPr>
        <w:pStyle w:val="parrafos"/>
        <w:tabs>
          <w:tab w:val="left" w:pos="360"/>
        </w:tabs>
        <w:rPr>
          <w:lang w:val="es-CO"/>
        </w:rPr>
      </w:pPr>
      <w:r w:rsidRPr="003459A4">
        <w:rPr>
          <w:rFonts w:cs="Calibri"/>
          <w:lang w:val="es-CO"/>
        </w:rPr>
        <w:tab/>
        <w:t xml:space="preserve">La Comisión ha designado al Comisionado Stuardo Ralón </w:t>
      </w:r>
      <w:r w:rsidRPr="003459A4">
        <w:rPr>
          <w:lang w:val="es-CO"/>
        </w:rPr>
        <w:t>y a la Secretaria Ejecutiva, Tania Reneaum Panszi, como su delegado y delegada. Asimismo, Jorge Meza, Secretario Ejecutivo Adjunto</w:t>
      </w:r>
      <w:r w:rsidR="00641E10" w:rsidRPr="003459A4">
        <w:rPr>
          <w:lang w:val="es-CO"/>
        </w:rPr>
        <w:t xml:space="preserve"> y Paula Rangel</w:t>
      </w:r>
      <w:r w:rsidRPr="003459A4">
        <w:rPr>
          <w:lang w:val="es-CO"/>
        </w:rPr>
        <w:t>, especialista de la Secretaría Ejecutiva de la CIDH, actuarán como asesores legales.</w:t>
      </w:r>
    </w:p>
    <w:p w14:paraId="3AAE7712" w14:textId="77777777" w:rsidR="000C22D9" w:rsidRPr="003459A4" w:rsidRDefault="000C22D9" w:rsidP="000C22D9">
      <w:pPr>
        <w:spacing w:after="0" w:line="240" w:lineRule="auto"/>
        <w:jc w:val="both"/>
        <w:rPr>
          <w:rFonts w:ascii="Cambria" w:hAnsi="Cambria" w:cs="Calibri"/>
          <w:color w:val="000000"/>
          <w:sz w:val="20"/>
          <w:szCs w:val="20"/>
          <w:lang w:val="es-CO"/>
        </w:rPr>
      </w:pPr>
    </w:p>
    <w:p w14:paraId="521ABA1D" w14:textId="7806CA21" w:rsidR="000C22D9" w:rsidRPr="003459A4" w:rsidRDefault="000C22D9" w:rsidP="000C22D9">
      <w:pPr>
        <w:tabs>
          <w:tab w:val="left" w:pos="360"/>
        </w:tabs>
        <w:spacing w:after="0" w:line="240" w:lineRule="auto"/>
        <w:jc w:val="both"/>
        <w:rPr>
          <w:rFonts w:ascii="Cambria" w:hAnsi="Cambria" w:cs="Calibri"/>
          <w:color w:val="000000"/>
          <w:sz w:val="20"/>
          <w:szCs w:val="20"/>
          <w:lang w:val="es-CO"/>
        </w:rPr>
      </w:pPr>
      <w:r w:rsidRPr="003459A4">
        <w:rPr>
          <w:rFonts w:ascii="Cambria" w:hAnsi="Cambria" w:cs="Calibri"/>
          <w:color w:val="000000"/>
          <w:sz w:val="20"/>
          <w:szCs w:val="20"/>
          <w:lang w:val="es-CO"/>
        </w:rPr>
        <w:tab/>
        <w:t>De conformidad con el artículo 35 del Reglamento de la Corte Interamericana, la Comisión adjunta copia del Informe de Fondo No. 2</w:t>
      </w:r>
      <w:r w:rsidR="00641E10" w:rsidRPr="003459A4">
        <w:rPr>
          <w:rFonts w:ascii="Cambria" w:hAnsi="Cambria" w:cs="Calibri"/>
          <w:color w:val="000000"/>
          <w:sz w:val="20"/>
          <w:szCs w:val="20"/>
          <w:lang w:val="es-CO"/>
        </w:rPr>
        <w:t>66</w:t>
      </w:r>
      <w:r w:rsidRPr="003459A4">
        <w:rPr>
          <w:rFonts w:ascii="Cambria" w:hAnsi="Cambria" w:cs="Calibri"/>
          <w:color w:val="000000"/>
          <w:sz w:val="20"/>
          <w:szCs w:val="20"/>
          <w:lang w:val="es-CO"/>
        </w:rPr>
        <w:t>/2</w:t>
      </w:r>
      <w:r w:rsidR="00641E10" w:rsidRPr="003459A4">
        <w:rPr>
          <w:rFonts w:ascii="Cambria" w:hAnsi="Cambria" w:cs="Calibri"/>
          <w:color w:val="000000"/>
          <w:sz w:val="20"/>
          <w:szCs w:val="20"/>
          <w:lang w:val="es-CO"/>
        </w:rPr>
        <w:t>2</w:t>
      </w:r>
      <w:r w:rsidRPr="003459A4">
        <w:rPr>
          <w:rFonts w:ascii="Cambria" w:hAnsi="Cambria" w:cs="Calibri"/>
          <w:color w:val="000000"/>
          <w:sz w:val="20"/>
          <w:szCs w:val="20"/>
          <w:lang w:val="es-CO"/>
        </w:rPr>
        <w:t xml:space="preserve"> elaborado en observancia del artículo 50 de la Convención, así como copia de la totalidad del expediente ante la Comisión Interamericana (Apéndice I) y los anexos utilizados en la elaboración del Informe No. 2</w:t>
      </w:r>
      <w:r w:rsidR="00641E10" w:rsidRPr="003459A4">
        <w:rPr>
          <w:rFonts w:ascii="Cambria" w:hAnsi="Cambria" w:cs="Calibri"/>
          <w:color w:val="000000"/>
          <w:sz w:val="20"/>
          <w:szCs w:val="20"/>
          <w:lang w:val="es-CO"/>
        </w:rPr>
        <w:t>66</w:t>
      </w:r>
      <w:r w:rsidRPr="003459A4">
        <w:rPr>
          <w:rFonts w:ascii="Cambria" w:hAnsi="Cambria" w:cs="Calibri"/>
          <w:color w:val="000000"/>
          <w:sz w:val="20"/>
          <w:szCs w:val="20"/>
          <w:lang w:val="es-CO"/>
        </w:rPr>
        <w:t>/2</w:t>
      </w:r>
      <w:r w:rsidR="00641E10" w:rsidRPr="003459A4">
        <w:rPr>
          <w:rFonts w:ascii="Cambria" w:hAnsi="Cambria" w:cs="Calibri"/>
          <w:color w:val="000000"/>
          <w:sz w:val="20"/>
          <w:szCs w:val="20"/>
          <w:lang w:val="es-CO"/>
        </w:rPr>
        <w:t>2</w:t>
      </w:r>
      <w:r w:rsidRPr="003459A4">
        <w:rPr>
          <w:rFonts w:ascii="Cambria" w:hAnsi="Cambria" w:cs="Calibri"/>
          <w:color w:val="000000"/>
          <w:sz w:val="20"/>
          <w:szCs w:val="20"/>
          <w:lang w:val="es-CO"/>
        </w:rPr>
        <w:t xml:space="preserve"> (Anexos). </w:t>
      </w:r>
    </w:p>
    <w:p w14:paraId="6662DCCC" w14:textId="77777777" w:rsidR="000C22D9" w:rsidRPr="003459A4" w:rsidRDefault="000C22D9" w:rsidP="000C22D9">
      <w:pPr>
        <w:spacing w:after="0" w:line="240" w:lineRule="auto"/>
        <w:ind w:firstLine="720"/>
        <w:jc w:val="both"/>
        <w:rPr>
          <w:rFonts w:ascii="Cambria" w:hAnsi="Cambria" w:cs="Calibri"/>
          <w:color w:val="000000"/>
          <w:sz w:val="20"/>
          <w:szCs w:val="20"/>
          <w:lang w:val="es-CO"/>
        </w:rPr>
      </w:pPr>
    </w:p>
    <w:p w14:paraId="79BD7E62" w14:textId="05EF6773" w:rsidR="000C22D9" w:rsidRPr="003459A4" w:rsidRDefault="000C22D9" w:rsidP="000C22D9">
      <w:pPr>
        <w:tabs>
          <w:tab w:val="left" w:pos="360"/>
        </w:tabs>
        <w:autoSpaceDE w:val="0"/>
        <w:autoSpaceDN w:val="0"/>
        <w:adjustRightInd w:val="0"/>
        <w:spacing w:after="0" w:line="240" w:lineRule="auto"/>
        <w:jc w:val="both"/>
        <w:rPr>
          <w:rFonts w:ascii="Cambria" w:hAnsi="Cambria" w:cs="Calibri"/>
          <w:color w:val="000000"/>
          <w:sz w:val="20"/>
          <w:szCs w:val="20"/>
          <w:lang w:val="es-CO"/>
        </w:rPr>
      </w:pPr>
      <w:r w:rsidRPr="003459A4">
        <w:rPr>
          <w:rFonts w:ascii="Cambria" w:hAnsi="Cambria"/>
          <w:sz w:val="20"/>
          <w:szCs w:val="20"/>
          <w:lang w:val="es-CO"/>
        </w:rPr>
        <w:tab/>
        <w:t>Dicho Informe de Fondo fue notificado al Estado el 2</w:t>
      </w:r>
      <w:r w:rsidR="009F678D" w:rsidRPr="003459A4">
        <w:rPr>
          <w:rFonts w:ascii="Cambria" w:hAnsi="Cambria"/>
          <w:sz w:val="20"/>
          <w:szCs w:val="20"/>
          <w:lang w:val="es-CO"/>
        </w:rPr>
        <w:t>8</w:t>
      </w:r>
      <w:r w:rsidRPr="003459A4">
        <w:rPr>
          <w:rFonts w:ascii="Cambria" w:hAnsi="Cambria"/>
          <w:sz w:val="20"/>
          <w:szCs w:val="20"/>
          <w:lang w:val="es-CO"/>
        </w:rPr>
        <w:t xml:space="preserve"> de ju</w:t>
      </w:r>
      <w:r w:rsidR="009F678D" w:rsidRPr="003459A4">
        <w:rPr>
          <w:rFonts w:ascii="Cambria" w:hAnsi="Cambria"/>
          <w:sz w:val="20"/>
          <w:szCs w:val="20"/>
          <w:lang w:val="es-CO"/>
        </w:rPr>
        <w:t>n</w:t>
      </w:r>
      <w:r w:rsidRPr="003459A4">
        <w:rPr>
          <w:rFonts w:ascii="Cambria" w:hAnsi="Cambria"/>
          <w:sz w:val="20"/>
          <w:szCs w:val="20"/>
          <w:lang w:val="es-CO"/>
        </w:rPr>
        <w:t>io de 202</w:t>
      </w:r>
      <w:r w:rsidR="009F678D" w:rsidRPr="003459A4">
        <w:rPr>
          <w:rFonts w:ascii="Cambria" w:hAnsi="Cambria"/>
          <w:sz w:val="20"/>
          <w:szCs w:val="20"/>
          <w:lang w:val="es-CO"/>
        </w:rPr>
        <w:t>3</w:t>
      </w:r>
      <w:r w:rsidRPr="003459A4">
        <w:rPr>
          <w:rFonts w:ascii="Cambria" w:hAnsi="Cambria"/>
          <w:sz w:val="20"/>
          <w:szCs w:val="20"/>
          <w:lang w:val="es-CO"/>
        </w:rPr>
        <w:t xml:space="preserve">, otorgándole un plazo de dos meses para informar sobre el cumplimiento de la recomendación realizada por la Comisión. </w:t>
      </w:r>
      <w:r w:rsidRPr="003459A4">
        <w:rPr>
          <w:rFonts w:ascii="Cambria" w:hAnsi="Cambria" w:cs="Calibri"/>
          <w:color w:val="000000"/>
          <w:sz w:val="20"/>
          <w:szCs w:val="20"/>
          <w:lang w:val="es-CO"/>
        </w:rPr>
        <w:t xml:space="preserve">Tras el otorgamiento por parte de la CIDH de </w:t>
      </w:r>
      <w:r w:rsidR="00F37A72" w:rsidRPr="003459A4">
        <w:rPr>
          <w:rFonts w:ascii="Cambria" w:hAnsi="Cambria" w:cs="Calibri"/>
          <w:color w:val="000000"/>
          <w:sz w:val="20"/>
          <w:szCs w:val="20"/>
          <w:lang w:val="es-CO"/>
        </w:rPr>
        <w:t>dos</w:t>
      </w:r>
      <w:r w:rsidRPr="003459A4">
        <w:rPr>
          <w:rFonts w:ascii="Cambria" w:hAnsi="Cambria" w:cs="Calibri"/>
          <w:color w:val="000000"/>
          <w:sz w:val="20"/>
          <w:szCs w:val="20"/>
          <w:lang w:val="es-CO"/>
        </w:rPr>
        <w:t xml:space="preserve"> prórrogas para que el Estado cumpla con dicha recomendación, el </w:t>
      </w:r>
      <w:r w:rsidR="00840A70" w:rsidRPr="003459A4">
        <w:rPr>
          <w:rFonts w:ascii="Cambria" w:hAnsi="Cambria" w:cs="Calibri"/>
          <w:color w:val="000000"/>
          <w:sz w:val="20"/>
          <w:szCs w:val="20"/>
          <w:lang w:val="es-CO"/>
        </w:rPr>
        <w:t>14</w:t>
      </w:r>
      <w:r w:rsidRPr="003459A4">
        <w:rPr>
          <w:rFonts w:ascii="Cambria" w:hAnsi="Cambria" w:cs="Calibri"/>
          <w:color w:val="000000"/>
          <w:sz w:val="20"/>
          <w:szCs w:val="20"/>
          <w:lang w:val="es-CO"/>
        </w:rPr>
        <w:t xml:space="preserve"> de </w:t>
      </w:r>
      <w:r w:rsidR="00840A70" w:rsidRPr="003459A4">
        <w:rPr>
          <w:rFonts w:ascii="Cambria" w:hAnsi="Cambria" w:cs="Calibri"/>
          <w:color w:val="000000"/>
          <w:sz w:val="20"/>
          <w:szCs w:val="20"/>
          <w:lang w:val="es-CO"/>
        </w:rPr>
        <w:t>marzo</w:t>
      </w:r>
      <w:r w:rsidRPr="003459A4">
        <w:rPr>
          <w:rFonts w:ascii="Cambria" w:hAnsi="Cambria" w:cs="Calibri"/>
          <w:color w:val="000000"/>
          <w:sz w:val="20"/>
          <w:szCs w:val="20"/>
          <w:lang w:val="es-CO"/>
        </w:rPr>
        <w:t xml:space="preserve"> de 2024 el Estado solicitó una </w:t>
      </w:r>
      <w:r w:rsidR="00840A70" w:rsidRPr="003459A4">
        <w:rPr>
          <w:rFonts w:ascii="Cambria" w:hAnsi="Cambria" w:cs="Calibri"/>
          <w:color w:val="000000"/>
          <w:sz w:val="20"/>
          <w:szCs w:val="20"/>
          <w:lang w:val="es-CO"/>
        </w:rPr>
        <w:t xml:space="preserve">tercera </w:t>
      </w:r>
      <w:r w:rsidRPr="003459A4">
        <w:rPr>
          <w:rFonts w:ascii="Cambria" w:hAnsi="Cambria" w:cs="Calibri"/>
          <w:color w:val="000000"/>
          <w:sz w:val="20"/>
          <w:szCs w:val="20"/>
          <w:lang w:val="es-CO"/>
        </w:rPr>
        <w:t xml:space="preserve">prórroga. Al momento de evaluar la solicitud, si bien la Comisión valoró que el Estado ha manifestado su voluntad de cumplir, notó que luego de </w:t>
      </w:r>
      <w:r w:rsidR="00CE5FD3" w:rsidRPr="003459A4">
        <w:rPr>
          <w:rFonts w:ascii="Cambria" w:hAnsi="Cambria" w:cs="Calibri"/>
          <w:color w:val="000000"/>
          <w:sz w:val="20"/>
          <w:szCs w:val="20"/>
          <w:lang w:val="es-CO"/>
        </w:rPr>
        <w:t xml:space="preserve">nueve meses </w:t>
      </w:r>
      <w:r w:rsidRPr="003459A4">
        <w:rPr>
          <w:rFonts w:ascii="Cambria" w:hAnsi="Cambria" w:cs="Calibri"/>
          <w:color w:val="000000"/>
          <w:sz w:val="20"/>
          <w:szCs w:val="20"/>
          <w:lang w:val="es-CO"/>
        </w:rPr>
        <w:t>de la notificación del informe</w:t>
      </w:r>
      <w:r w:rsidR="00F76DF8">
        <w:rPr>
          <w:rFonts w:ascii="Cambria" w:hAnsi="Cambria" w:cs="Calibri"/>
          <w:color w:val="000000"/>
          <w:sz w:val="20"/>
          <w:szCs w:val="20"/>
          <w:lang w:val="es-CO"/>
        </w:rPr>
        <w:t xml:space="preserve"> el Estado no brindó información sobre avances sustantivos en el cumplimiento de las recomendaciones y</w:t>
      </w:r>
      <w:r w:rsidR="002E2B0A">
        <w:rPr>
          <w:rFonts w:ascii="Cambria" w:hAnsi="Cambria" w:cs="Calibri"/>
          <w:color w:val="000000"/>
          <w:sz w:val="20"/>
          <w:szCs w:val="20"/>
          <w:lang w:val="es-CO"/>
        </w:rPr>
        <w:t xml:space="preserve"> que</w:t>
      </w:r>
      <w:r w:rsidRPr="003459A4">
        <w:rPr>
          <w:rFonts w:ascii="Cambria" w:hAnsi="Cambria" w:cs="Calibri"/>
          <w:color w:val="000000"/>
          <w:sz w:val="20"/>
          <w:szCs w:val="20"/>
          <w:lang w:val="es-CO"/>
        </w:rPr>
        <w:t xml:space="preserve"> las partes no han llegado a un acuerdo de cumplimiento de tal forma que las víctimas no han recibido una reparación. Asimismo, la Comisión observó que los peticionarios solicitaron el envío del caso a la Corte. En consecuencia, ante la necesidad de justicia y reparación integral, la Comisión decidió enviar el caso a la jurisdicción de la Corte Interamericana. </w:t>
      </w:r>
    </w:p>
    <w:p w14:paraId="75A6749A" w14:textId="77777777" w:rsidR="000C22D9" w:rsidRPr="003459A4" w:rsidRDefault="000C22D9" w:rsidP="000C22D9">
      <w:pPr>
        <w:autoSpaceDE w:val="0"/>
        <w:autoSpaceDN w:val="0"/>
        <w:adjustRightInd w:val="0"/>
        <w:spacing w:after="0" w:line="240" w:lineRule="auto"/>
        <w:jc w:val="both"/>
        <w:rPr>
          <w:rFonts w:ascii="Cambria" w:eastAsiaTheme="minorHAnsi" w:hAnsi="Cambria"/>
          <w:sz w:val="20"/>
          <w:szCs w:val="20"/>
          <w:lang w:val="es-CO"/>
        </w:rPr>
      </w:pPr>
    </w:p>
    <w:p w14:paraId="0DD433A8" w14:textId="26B018CF" w:rsidR="000C22D9" w:rsidRPr="003459A4" w:rsidRDefault="000C22D9" w:rsidP="000C22D9">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3459A4">
        <w:rPr>
          <w:rFonts w:ascii="Cambria" w:eastAsiaTheme="minorHAnsi" w:hAnsi="Cambria"/>
          <w:sz w:val="20"/>
          <w:szCs w:val="20"/>
          <w:lang w:val="es-CO"/>
        </w:rPr>
        <w:tab/>
        <w:t xml:space="preserve">En ese sentido, la Comisión solicita a la Honorable Corte que concluya y declare que </w:t>
      </w:r>
      <w:r w:rsidR="00641E10" w:rsidRPr="003459A4">
        <w:rPr>
          <w:rFonts w:ascii="Cambria" w:eastAsiaTheme="minorHAnsi" w:hAnsi="Cambria"/>
          <w:sz w:val="20"/>
          <w:szCs w:val="20"/>
          <w:lang w:val="es-CO"/>
        </w:rPr>
        <w:t xml:space="preserve">el Estado de Argentina es responsable por la violación de los derechos a la vida, a la integridad personal y protección a la niñez establecidos en los artículos a 4, 5 y 19 de la Convención Americana en relación con el artículo 1.1 del mismo instrumento, en perjuicio de Marcela Brenda Iglesias. Asimismo, </w:t>
      </w:r>
      <w:r w:rsidR="003F6F40" w:rsidRPr="003459A4">
        <w:rPr>
          <w:rFonts w:ascii="Cambria" w:eastAsiaTheme="minorHAnsi" w:hAnsi="Cambria"/>
          <w:sz w:val="20"/>
          <w:szCs w:val="20"/>
          <w:lang w:val="es-CO"/>
        </w:rPr>
        <w:t xml:space="preserve">que </w:t>
      </w:r>
      <w:r w:rsidR="00641E10" w:rsidRPr="003459A4">
        <w:rPr>
          <w:rFonts w:ascii="Cambria" w:eastAsiaTheme="minorHAnsi" w:hAnsi="Cambria"/>
          <w:sz w:val="20"/>
          <w:szCs w:val="20"/>
          <w:lang w:val="es-CO"/>
        </w:rPr>
        <w:t>el Estado de Argentina es responsable por la violación a los derechos a las garantías procesales y protección judicial dispuestos en los artículos 8 y 25 de la Convención Americana, en relación con el artículo 1.1 del mismo instrumento, en perjuicio de Eduardo Iglesias y Nora Esther Ribaudo</w:t>
      </w:r>
      <w:r w:rsidRPr="003459A4">
        <w:rPr>
          <w:rFonts w:ascii="Cambria" w:eastAsiaTheme="minorHAnsi" w:hAnsi="Cambria"/>
          <w:sz w:val="20"/>
          <w:szCs w:val="20"/>
          <w:lang w:val="es-CO"/>
        </w:rPr>
        <w:t>.</w:t>
      </w:r>
    </w:p>
    <w:p w14:paraId="20CE6350" w14:textId="77777777" w:rsidR="000C22D9" w:rsidRPr="003459A4" w:rsidRDefault="000C22D9" w:rsidP="000C22D9">
      <w:pPr>
        <w:autoSpaceDE w:val="0"/>
        <w:autoSpaceDN w:val="0"/>
        <w:adjustRightInd w:val="0"/>
        <w:spacing w:after="0" w:line="240" w:lineRule="auto"/>
        <w:ind w:firstLine="567"/>
        <w:jc w:val="both"/>
        <w:rPr>
          <w:rFonts w:ascii="Cambria" w:eastAsiaTheme="minorHAnsi" w:hAnsi="Cambria"/>
          <w:sz w:val="20"/>
          <w:szCs w:val="20"/>
          <w:lang w:val="es-CO"/>
        </w:rPr>
      </w:pPr>
    </w:p>
    <w:p w14:paraId="1EE5A212" w14:textId="2C9B3E5A" w:rsidR="000C22D9" w:rsidRPr="003459A4" w:rsidRDefault="000C22D9" w:rsidP="003F6F40">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3459A4">
        <w:rPr>
          <w:rFonts w:ascii="Cambria" w:eastAsiaTheme="minorHAnsi" w:hAnsi="Cambria"/>
          <w:sz w:val="20"/>
          <w:szCs w:val="20"/>
          <w:lang w:val="es-CO"/>
        </w:rPr>
        <w:tab/>
        <w:t>En consecuencia, la Comisión solicita a la Corte Interamericana que establezca la</w:t>
      </w:r>
      <w:r w:rsidR="006B10C5">
        <w:rPr>
          <w:rFonts w:ascii="Cambria" w:eastAsiaTheme="minorHAnsi" w:hAnsi="Cambria"/>
          <w:sz w:val="20"/>
          <w:szCs w:val="20"/>
          <w:lang w:val="es-CO"/>
        </w:rPr>
        <w:t>s</w:t>
      </w:r>
      <w:r w:rsidRPr="003459A4">
        <w:rPr>
          <w:rFonts w:ascii="Cambria" w:eastAsiaTheme="minorHAnsi" w:hAnsi="Cambria"/>
          <w:sz w:val="20"/>
          <w:szCs w:val="20"/>
          <w:lang w:val="es-CO"/>
        </w:rPr>
        <w:t xml:space="preserve"> siguiente</w:t>
      </w:r>
      <w:r w:rsidR="006B10C5">
        <w:rPr>
          <w:rFonts w:ascii="Cambria" w:eastAsiaTheme="minorHAnsi" w:hAnsi="Cambria"/>
          <w:sz w:val="20"/>
          <w:szCs w:val="20"/>
          <w:lang w:val="es-CO"/>
        </w:rPr>
        <w:t>s</w:t>
      </w:r>
      <w:r w:rsidRPr="003459A4">
        <w:rPr>
          <w:rFonts w:ascii="Cambria" w:eastAsiaTheme="minorHAnsi" w:hAnsi="Cambria"/>
          <w:sz w:val="20"/>
          <w:szCs w:val="20"/>
          <w:lang w:val="es-CO"/>
        </w:rPr>
        <w:t xml:space="preserve"> medida</w:t>
      </w:r>
      <w:r w:rsidR="006B10C5">
        <w:rPr>
          <w:rFonts w:ascii="Cambria" w:eastAsiaTheme="minorHAnsi" w:hAnsi="Cambria"/>
          <w:sz w:val="20"/>
          <w:szCs w:val="20"/>
          <w:lang w:val="es-CO"/>
        </w:rPr>
        <w:t>s</w:t>
      </w:r>
      <w:r w:rsidRPr="003459A4">
        <w:rPr>
          <w:rFonts w:ascii="Cambria" w:eastAsiaTheme="minorHAnsi" w:hAnsi="Cambria"/>
          <w:sz w:val="20"/>
          <w:szCs w:val="20"/>
          <w:lang w:val="es-CO"/>
        </w:rPr>
        <w:t xml:space="preserve"> de reparación:</w:t>
      </w:r>
    </w:p>
    <w:p w14:paraId="41A9AAA4" w14:textId="77777777" w:rsidR="003F6F40" w:rsidRPr="003459A4" w:rsidRDefault="003F6F40" w:rsidP="003F6F40">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00528FB7" w14:textId="77777777" w:rsidR="00641E10" w:rsidRPr="003459A4" w:rsidRDefault="00641E10" w:rsidP="003F6F40">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3459A4">
        <w:rPr>
          <w:rFonts w:ascii="Cambria" w:hAnsi="Cambria"/>
          <w:sz w:val="20"/>
          <w:szCs w:val="20"/>
          <w:lang w:val="es-CO"/>
        </w:rPr>
        <w:t xml:space="preserve">Reparar integralmente las violaciones de derechos humanos declaradas en el presente informe tanto en el aspecto material como inmaterial. El Estado deberá adoptar las medidas de compensación económica y satisfacción. </w:t>
      </w:r>
    </w:p>
    <w:p w14:paraId="7A602191" w14:textId="77777777" w:rsidR="00641E10" w:rsidRPr="003459A4" w:rsidRDefault="00641E10" w:rsidP="003F6F40">
      <w:pPr>
        <w:pStyle w:val="ListParagraph"/>
        <w:spacing w:after="0" w:line="240" w:lineRule="auto"/>
        <w:ind w:right="20"/>
        <w:contextualSpacing w:val="0"/>
        <w:rPr>
          <w:rFonts w:ascii="Cambria" w:hAnsi="Cambria"/>
          <w:b/>
          <w:sz w:val="20"/>
          <w:szCs w:val="20"/>
          <w:lang w:val="es-CO"/>
        </w:rPr>
      </w:pPr>
    </w:p>
    <w:p w14:paraId="54F4A4F5" w14:textId="77777777" w:rsidR="00641E10" w:rsidRPr="003459A4" w:rsidRDefault="00641E10" w:rsidP="003F6F40">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3459A4">
        <w:rPr>
          <w:rFonts w:ascii="Cambria" w:hAnsi="Cambria"/>
          <w:sz w:val="20"/>
          <w:szCs w:val="20"/>
          <w:lang w:val="es-CO"/>
        </w:rPr>
        <w:t>Disponer las medidas de atención en salud física y mental necesarias para la rehabilitación de familiares de Marcela Brenda Iglesias, de ser su voluntad y de manera concertada.</w:t>
      </w:r>
    </w:p>
    <w:p w14:paraId="486920F2" w14:textId="77777777" w:rsidR="00641E10" w:rsidRPr="003459A4" w:rsidRDefault="00641E10" w:rsidP="003F6F40">
      <w:pPr>
        <w:pStyle w:val="ListParagraph"/>
        <w:spacing w:after="0" w:line="240" w:lineRule="auto"/>
        <w:ind w:right="20"/>
        <w:contextualSpacing w:val="0"/>
        <w:rPr>
          <w:rFonts w:ascii="Cambria" w:hAnsi="Cambria"/>
          <w:b/>
          <w:sz w:val="20"/>
          <w:szCs w:val="20"/>
          <w:lang w:val="es-CO"/>
        </w:rPr>
      </w:pPr>
    </w:p>
    <w:p w14:paraId="1F707028" w14:textId="4B2CF5F6" w:rsidR="00641E10" w:rsidRPr="00E15987" w:rsidRDefault="00641E10" w:rsidP="00E15987">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3459A4">
        <w:rPr>
          <w:rFonts w:ascii="Cambria" w:hAnsi="Cambria"/>
          <w:sz w:val="20"/>
          <w:szCs w:val="20"/>
          <w:lang w:val="es-CO"/>
        </w:rPr>
        <w:t>Adoptar alguna medida para para ofrecer verdad judicial a los padres de Marcela Brenda Iglesias por los hechos relacionados con su muerte.</w:t>
      </w:r>
    </w:p>
    <w:p w14:paraId="770B1327" w14:textId="77777777" w:rsidR="001620A0" w:rsidRDefault="001620A0" w:rsidP="003F6F40">
      <w:pPr>
        <w:pStyle w:val="ListParagraph"/>
        <w:spacing w:after="0" w:line="240" w:lineRule="auto"/>
        <w:ind w:right="20"/>
        <w:contextualSpacing w:val="0"/>
        <w:rPr>
          <w:rFonts w:ascii="Cambria" w:hAnsi="Cambria"/>
          <w:sz w:val="20"/>
          <w:szCs w:val="20"/>
          <w:lang w:val="es-CO"/>
        </w:rPr>
      </w:pPr>
    </w:p>
    <w:p w14:paraId="378B6947" w14:textId="77777777" w:rsidR="00641E10" w:rsidRPr="003459A4" w:rsidRDefault="00641E10" w:rsidP="003F6F40">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sz w:val="20"/>
          <w:szCs w:val="20"/>
          <w:lang w:val="es-CO"/>
        </w:rPr>
      </w:pPr>
      <w:r w:rsidRPr="003459A4">
        <w:rPr>
          <w:rFonts w:ascii="Cambria" w:hAnsi="Cambria"/>
          <w:sz w:val="20"/>
          <w:szCs w:val="20"/>
          <w:lang w:val="es-CO"/>
        </w:rPr>
        <w:t xml:space="preserve">Adoptar medidas de carácter legislativo, administrativo o de cualquier otra índole para la </w:t>
      </w:r>
      <w:r w:rsidRPr="003459A4">
        <w:rPr>
          <w:rFonts w:ascii="Cambria" w:eastAsia="Times New Roman" w:hAnsi="Cambria"/>
          <w:sz w:val="20"/>
          <w:szCs w:val="20"/>
          <w:lang w:val="es-CO"/>
        </w:rPr>
        <w:t xml:space="preserve">supervisión y fiscalización de las actividades culturales, así como el mantenimiento de espacios escultóricos administrados por terceros donde transitan usualmente niños y niñas. </w:t>
      </w:r>
    </w:p>
    <w:p w14:paraId="65B1A0B3" w14:textId="5AB3CE39" w:rsidR="003F6F40" w:rsidRPr="003459A4" w:rsidRDefault="003F6F40" w:rsidP="003F6F40">
      <w:pPr>
        <w:pStyle w:val="ListParagraph"/>
        <w:tabs>
          <w:tab w:val="left" w:pos="540"/>
        </w:tabs>
        <w:spacing w:after="0" w:line="240" w:lineRule="auto"/>
        <w:ind w:left="0"/>
        <w:contextualSpacing w:val="0"/>
        <w:jc w:val="both"/>
        <w:rPr>
          <w:rFonts w:ascii="Cambria" w:eastAsiaTheme="minorHAnsi" w:hAnsi="Cambria"/>
          <w:sz w:val="20"/>
          <w:szCs w:val="20"/>
          <w:lang w:val="es-CO"/>
        </w:rPr>
      </w:pPr>
    </w:p>
    <w:p w14:paraId="1D0F4882" w14:textId="11F5CC3E" w:rsidR="000C22D9" w:rsidRPr="003459A4" w:rsidRDefault="006B10C5" w:rsidP="006B10C5">
      <w:pPr>
        <w:pStyle w:val="ListParagraph"/>
        <w:tabs>
          <w:tab w:val="left" w:pos="360"/>
          <w:tab w:val="left" w:pos="540"/>
        </w:tabs>
        <w:spacing w:after="0" w:line="240" w:lineRule="auto"/>
        <w:ind w:left="0"/>
        <w:contextualSpacing w:val="0"/>
        <w:jc w:val="both"/>
        <w:rPr>
          <w:rFonts w:ascii="Cambria" w:hAnsi="Cambria"/>
          <w:sz w:val="20"/>
          <w:szCs w:val="20"/>
          <w:lang w:val="es-CO"/>
        </w:rPr>
      </w:pPr>
      <w:r>
        <w:rPr>
          <w:rFonts w:ascii="Cambria" w:eastAsiaTheme="minorHAnsi" w:hAnsi="Cambria"/>
          <w:sz w:val="20"/>
          <w:szCs w:val="20"/>
          <w:lang w:val="es-CO"/>
        </w:rPr>
        <w:lastRenderedPageBreak/>
        <w:tab/>
      </w:r>
      <w:r w:rsidR="000C22D9" w:rsidRPr="003459A4">
        <w:rPr>
          <w:rFonts w:ascii="Cambria" w:eastAsiaTheme="minorHAnsi" w:hAnsi="Cambria"/>
          <w:sz w:val="20"/>
          <w:szCs w:val="20"/>
          <w:lang w:val="es-CO"/>
        </w:rPr>
        <w:t xml:space="preserve">Además de la necesidad de obtención de justicia y reparación integral, la Comisión considera que el caso presenta cuestiones de orden público interamericano. El mismo </w:t>
      </w:r>
      <w:r w:rsidR="000C22D9" w:rsidRPr="003459A4">
        <w:rPr>
          <w:rFonts w:ascii="Cambria" w:hAnsi="Cambria"/>
          <w:sz w:val="20"/>
          <w:szCs w:val="20"/>
          <w:lang w:val="es-CO"/>
        </w:rPr>
        <w:t xml:space="preserve">permitirá a la </w:t>
      </w:r>
      <w:r w:rsidR="001100BD" w:rsidRPr="003459A4">
        <w:rPr>
          <w:rFonts w:ascii="Cambria" w:hAnsi="Cambria"/>
          <w:sz w:val="20"/>
          <w:szCs w:val="20"/>
          <w:lang w:val="es-CO"/>
        </w:rPr>
        <w:t xml:space="preserve">Honorable </w:t>
      </w:r>
      <w:r w:rsidR="000C22D9" w:rsidRPr="003459A4">
        <w:rPr>
          <w:rFonts w:ascii="Cambria" w:hAnsi="Cambria"/>
          <w:sz w:val="20"/>
          <w:szCs w:val="20"/>
          <w:lang w:val="es-CO"/>
        </w:rPr>
        <w:t xml:space="preserve">Corte continuar profundizando su jurisprudencia sobre los estándares interamericanos en materia de </w:t>
      </w:r>
      <w:r w:rsidR="009741AB" w:rsidRPr="003459A4">
        <w:rPr>
          <w:rFonts w:ascii="Cambria" w:hAnsi="Cambria" w:cs="Cambria"/>
          <w:sz w:val="20"/>
          <w:szCs w:val="20"/>
          <w:lang w:val="es-CO"/>
        </w:rPr>
        <w:t xml:space="preserve">la responsabilidad estatal por el incumplimiento del deber de prevención </w:t>
      </w:r>
      <w:r w:rsidR="00114BD7" w:rsidRPr="003459A4">
        <w:rPr>
          <w:rFonts w:ascii="Cambria" w:hAnsi="Cambria" w:cs="Cambria"/>
          <w:sz w:val="20"/>
          <w:szCs w:val="20"/>
          <w:lang w:val="es-CO"/>
        </w:rPr>
        <w:t>de</w:t>
      </w:r>
      <w:r w:rsidR="009741AB" w:rsidRPr="003459A4">
        <w:rPr>
          <w:rFonts w:ascii="Cambria" w:hAnsi="Cambria" w:cs="Cambria"/>
          <w:sz w:val="20"/>
          <w:szCs w:val="20"/>
          <w:lang w:val="es-CO"/>
        </w:rPr>
        <w:t xml:space="preserve"> violaciones al derecho a la vida</w:t>
      </w:r>
      <w:r w:rsidR="006D73AC" w:rsidRPr="003459A4">
        <w:rPr>
          <w:rFonts w:ascii="Cambria" w:hAnsi="Cambria" w:cs="Cambria"/>
          <w:sz w:val="20"/>
          <w:szCs w:val="20"/>
          <w:lang w:val="es-CO"/>
        </w:rPr>
        <w:t xml:space="preserve"> y a la integridad personal</w:t>
      </w:r>
      <w:r w:rsidR="009741AB" w:rsidRPr="003459A4">
        <w:rPr>
          <w:rFonts w:ascii="Cambria" w:hAnsi="Cambria" w:cs="Cambria"/>
          <w:sz w:val="20"/>
          <w:szCs w:val="20"/>
          <w:lang w:val="es-CO"/>
        </w:rPr>
        <w:t>. En particular, la Corte podrá referirse a las medidas que deben adoptar los Estados para cumplir con sus obligaciones de supervisión y fiscalización de las actividades culturales</w:t>
      </w:r>
      <w:r w:rsidR="00970EEF" w:rsidRPr="003459A4">
        <w:rPr>
          <w:rFonts w:ascii="Cambria" w:hAnsi="Cambria" w:cs="Cambria"/>
          <w:sz w:val="20"/>
          <w:szCs w:val="20"/>
          <w:lang w:val="es-CO"/>
        </w:rPr>
        <w:t xml:space="preserve"> realizadas por particulares</w:t>
      </w:r>
      <w:r w:rsidR="009A5794" w:rsidRPr="003459A4">
        <w:rPr>
          <w:rFonts w:ascii="Cambria" w:hAnsi="Cambria" w:cs="Cambria"/>
          <w:sz w:val="20"/>
          <w:szCs w:val="20"/>
          <w:lang w:val="es-CO"/>
        </w:rPr>
        <w:t xml:space="preserve"> en espacios </w:t>
      </w:r>
      <w:r w:rsidR="000B0652" w:rsidRPr="003459A4">
        <w:rPr>
          <w:rFonts w:ascii="Cambria" w:hAnsi="Cambria" w:cs="Cambria"/>
          <w:sz w:val="20"/>
          <w:szCs w:val="20"/>
          <w:lang w:val="es-CO"/>
        </w:rPr>
        <w:t>públicos</w:t>
      </w:r>
      <w:r w:rsidR="009741AB" w:rsidRPr="003459A4">
        <w:rPr>
          <w:rFonts w:ascii="Cambria" w:hAnsi="Cambria" w:cs="Cambria"/>
          <w:sz w:val="20"/>
          <w:szCs w:val="20"/>
          <w:lang w:val="es-CO"/>
        </w:rPr>
        <w:t xml:space="preserve">, </w:t>
      </w:r>
      <w:r w:rsidR="00E96548" w:rsidRPr="003459A4">
        <w:rPr>
          <w:rFonts w:ascii="Cambria" w:hAnsi="Cambria" w:cs="Cambria"/>
          <w:sz w:val="20"/>
          <w:szCs w:val="20"/>
          <w:lang w:val="es-CO"/>
        </w:rPr>
        <w:t xml:space="preserve">en especial aquellos que puedan ser considerados como espacios de riesgo y aquellos donde </w:t>
      </w:r>
      <w:r w:rsidR="009741AB" w:rsidRPr="003459A4">
        <w:rPr>
          <w:rFonts w:ascii="Cambria" w:hAnsi="Cambria" w:cs="Cambria"/>
          <w:sz w:val="20"/>
          <w:szCs w:val="20"/>
          <w:lang w:val="es-CO"/>
        </w:rPr>
        <w:t>transit</w:t>
      </w:r>
      <w:r w:rsidR="00CB0951" w:rsidRPr="003459A4">
        <w:rPr>
          <w:rFonts w:ascii="Cambria" w:hAnsi="Cambria" w:cs="Cambria"/>
          <w:sz w:val="20"/>
          <w:szCs w:val="20"/>
          <w:lang w:val="es-CO"/>
        </w:rPr>
        <w:t>en personas</w:t>
      </w:r>
      <w:r w:rsidR="00922AF5" w:rsidRPr="003459A4">
        <w:rPr>
          <w:rFonts w:ascii="Cambria" w:hAnsi="Cambria" w:cs="Cambria"/>
          <w:sz w:val="20"/>
          <w:szCs w:val="20"/>
          <w:lang w:val="es-CO"/>
        </w:rPr>
        <w:t>, incluyendo n</w:t>
      </w:r>
      <w:r w:rsidR="009741AB" w:rsidRPr="003459A4">
        <w:rPr>
          <w:rFonts w:ascii="Cambria" w:hAnsi="Cambria" w:cs="Cambria"/>
          <w:sz w:val="20"/>
          <w:szCs w:val="20"/>
          <w:lang w:val="es-CO"/>
        </w:rPr>
        <w:t>iños y niñas.</w:t>
      </w:r>
      <w:r w:rsidR="009B5B76" w:rsidRPr="003459A4">
        <w:rPr>
          <w:rFonts w:ascii="Cambria" w:hAnsi="Cambria" w:cs="Cambria"/>
          <w:sz w:val="20"/>
          <w:szCs w:val="20"/>
          <w:lang w:val="es-CO"/>
        </w:rPr>
        <w:t xml:space="preserve"> Adicionalmente, la Corte podrá</w:t>
      </w:r>
      <w:r w:rsidR="00FF5D5B" w:rsidRPr="003459A4">
        <w:rPr>
          <w:rFonts w:ascii="Cambria" w:hAnsi="Cambria" w:cs="Cambria"/>
          <w:sz w:val="20"/>
          <w:szCs w:val="20"/>
          <w:lang w:val="es-CO"/>
        </w:rPr>
        <w:t xml:space="preserve"> pronunciarse </w:t>
      </w:r>
      <w:r w:rsidR="00580393" w:rsidRPr="003459A4">
        <w:rPr>
          <w:rFonts w:ascii="Cambria" w:hAnsi="Cambria" w:cs="Cambria"/>
          <w:sz w:val="20"/>
          <w:szCs w:val="20"/>
          <w:lang w:val="es-CO"/>
        </w:rPr>
        <w:t>sobre</w:t>
      </w:r>
      <w:r w:rsidR="00FF5D5B" w:rsidRPr="003459A4">
        <w:rPr>
          <w:rFonts w:ascii="Cambria" w:hAnsi="Cambria" w:cs="Cambria"/>
          <w:sz w:val="20"/>
          <w:szCs w:val="20"/>
          <w:lang w:val="es-CO"/>
        </w:rPr>
        <w:t xml:space="preserve"> los estándares interamericanos aplicables a la figura de la prescripción </w:t>
      </w:r>
      <w:r w:rsidR="000B0652" w:rsidRPr="003459A4">
        <w:rPr>
          <w:rFonts w:ascii="Cambria" w:hAnsi="Cambria" w:cs="Cambria"/>
          <w:sz w:val="20"/>
          <w:szCs w:val="20"/>
          <w:lang w:val="es-CO"/>
        </w:rPr>
        <w:t xml:space="preserve">en investigaciones de violaciones de derechos humanos y al impacto que ésta tiene en el acceso a la justicia de las víctimas. </w:t>
      </w:r>
      <w:r w:rsidR="000C22D9" w:rsidRPr="003459A4">
        <w:rPr>
          <w:rFonts w:ascii="Cambria" w:hAnsi="Cambria"/>
          <w:sz w:val="20"/>
          <w:szCs w:val="20"/>
          <w:lang w:val="es-CO"/>
        </w:rPr>
        <w:t xml:space="preserve"> </w:t>
      </w:r>
    </w:p>
    <w:p w14:paraId="29759D42" w14:textId="77777777" w:rsidR="00636B2E" w:rsidRPr="003459A4" w:rsidRDefault="00636B2E" w:rsidP="003F6F40">
      <w:pPr>
        <w:pStyle w:val="ListParagraph"/>
        <w:tabs>
          <w:tab w:val="left" w:pos="540"/>
        </w:tabs>
        <w:spacing w:after="0" w:line="240" w:lineRule="auto"/>
        <w:ind w:left="0"/>
        <w:contextualSpacing w:val="0"/>
        <w:jc w:val="both"/>
        <w:rPr>
          <w:rFonts w:ascii="Cambria" w:hAnsi="Cambria"/>
          <w:sz w:val="20"/>
          <w:szCs w:val="20"/>
          <w:lang w:val="es-CO"/>
        </w:rPr>
      </w:pPr>
    </w:p>
    <w:p w14:paraId="577A5775" w14:textId="201EAF11" w:rsidR="008A6A52" w:rsidRPr="003459A4" w:rsidRDefault="00636B2E" w:rsidP="006B10C5">
      <w:pPr>
        <w:tabs>
          <w:tab w:val="left" w:pos="360"/>
        </w:tabs>
        <w:spacing w:after="0" w:line="240" w:lineRule="auto"/>
        <w:jc w:val="both"/>
        <w:rPr>
          <w:rFonts w:ascii="Cambria" w:hAnsi="Cambria"/>
          <w:sz w:val="20"/>
          <w:szCs w:val="20"/>
          <w:lang w:val="es-CO"/>
        </w:rPr>
      </w:pPr>
      <w:r w:rsidRPr="003459A4">
        <w:rPr>
          <w:rFonts w:ascii="Cambria" w:hAnsi="Cambria"/>
          <w:sz w:val="20"/>
          <w:szCs w:val="20"/>
          <w:lang w:val="es-CO"/>
        </w:rPr>
        <w:tab/>
      </w:r>
      <w:r w:rsidR="008A6A52" w:rsidRPr="003459A4">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0B79FEEC" w14:textId="77777777" w:rsidR="008A6A52" w:rsidRPr="003459A4" w:rsidRDefault="008A6A52" w:rsidP="003F6F40">
      <w:pPr>
        <w:tabs>
          <w:tab w:val="left" w:pos="360"/>
          <w:tab w:val="left" w:pos="2880"/>
        </w:tabs>
        <w:spacing w:after="0" w:line="240" w:lineRule="auto"/>
        <w:jc w:val="both"/>
        <w:rPr>
          <w:rFonts w:ascii="Cambria" w:hAnsi="Cambria"/>
          <w:sz w:val="20"/>
          <w:szCs w:val="20"/>
          <w:highlight w:val="yellow"/>
          <w:lang w:val="es-CO"/>
        </w:rPr>
      </w:pPr>
    </w:p>
    <w:p w14:paraId="623547EC" w14:textId="46621695" w:rsidR="008A6A52" w:rsidRPr="003459A4" w:rsidRDefault="00C407C1" w:rsidP="006B10C5">
      <w:pPr>
        <w:tabs>
          <w:tab w:val="left" w:pos="360"/>
        </w:tabs>
        <w:autoSpaceDE w:val="0"/>
        <w:autoSpaceDN w:val="0"/>
        <w:adjustRightInd w:val="0"/>
        <w:spacing w:after="0" w:line="240" w:lineRule="auto"/>
        <w:jc w:val="both"/>
        <w:rPr>
          <w:rFonts w:ascii="Cambria" w:eastAsia="Times New Roman" w:hAnsi="Cambria" w:cs="Calibri"/>
          <w:sz w:val="20"/>
          <w:szCs w:val="20"/>
          <w:lang w:val="es-CO"/>
        </w:rPr>
      </w:pPr>
      <w:r w:rsidRPr="003459A4">
        <w:rPr>
          <w:rFonts w:ascii="Cambria" w:hAnsi="Cambria"/>
          <w:b/>
          <w:bCs/>
          <w:sz w:val="20"/>
          <w:szCs w:val="20"/>
          <w:lang w:val="es-CO"/>
        </w:rPr>
        <w:tab/>
      </w:r>
      <w:r w:rsidR="008A6A52" w:rsidRPr="003459A4">
        <w:rPr>
          <w:rFonts w:ascii="Cambria" w:hAnsi="Cambria"/>
          <w:b/>
          <w:bCs/>
          <w:sz w:val="20"/>
          <w:szCs w:val="20"/>
          <w:lang w:val="es-CO"/>
        </w:rPr>
        <w:t>Perito/a, cuyo nombre será informado a la brevedad</w:t>
      </w:r>
      <w:r w:rsidR="008A6A52" w:rsidRPr="003459A4">
        <w:rPr>
          <w:rFonts w:ascii="Cambria" w:hAnsi="Cambria"/>
          <w:sz w:val="20"/>
          <w:szCs w:val="20"/>
          <w:lang w:val="es-CO"/>
        </w:rPr>
        <w:t xml:space="preserve">, quien declarará </w:t>
      </w:r>
      <w:r w:rsidR="008A6A52" w:rsidRPr="003459A4">
        <w:rPr>
          <w:rFonts w:ascii="Cambria" w:eastAsia="Times New Roman" w:hAnsi="Cambria" w:cs="Calibri"/>
          <w:sz w:val="20"/>
          <w:szCs w:val="20"/>
          <w:lang w:val="es-CO"/>
        </w:rPr>
        <w:t xml:space="preserve">sobre la obligación que tienen los Estado de </w:t>
      </w:r>
      <w:r w:rsidR="008F2EB8" w:rsidRPr="003459A4">
        <w:rPr>
          <w:rFonts w:ascii="Cambria" w:eastAsia="Times New Roman" w:hAnsi="Cambria" w:cs="Calibri"/>
          <w:sz w:val="20"/>
          <w:szCs w:val="20"/>
          <w:lang w:val="es-CO"/>
        </w:rPr>
        <w:t>pre</w:t>
      </w:r>
      <w:r w:rsidR="008A1984" w:rsidRPr="003459A4">
        <w:rPr>
          <w:rFonts w:ascii="Cambria" w:eastAsia="Times New Roman" w:hAnsi="Cambria" w:cs="Calibri"/>
          <w:sz w:val="20"/>
          <w:szCs w:val="20"/>
          <w:lang w:val="es-CO"/>
        </w:rPr>
        <w:t>venir</w:t>
      </w:r>
      <w:r w:rsidR="008F2EB8" w:rsidRPr="003459A4">
        <w:rPr>
          <w:rFonts w:ascii="Cambria" w:eastAsia="Times New Roman" w:hAnsi="Cambria" w:cs="Calibri"/>
          <w:sz w:val="20"/>
          <w:szCs w:val="20"/>
          <w:lang w:val="es-CO"/>
        </w:rPr>
        <w:t xml:space="preserve"> violaciones al derecho a la vida </w:t>
      </w:r>
      <w:r w:rsidRPr="003459A4">
        <w:rPr>
          <w:rFonts w:ascii="Cambria" w:eastAsia="Times New Roman" w:hAnsi="Cambria" w:cs="Calibri"/>
          <w:sz w:val="20"/>
          <w:szCs w:val="20"/>
          <w:lang w:val="es-CO"/>
        </w:rPr>
        <w:t>y a la integridad personal</w:t>
      </w:r>
      <w:r w:rsidR="008A6A52" w:rsidRPr="003459A4">
        <w:rPr>
          <w:rFonts w:ascii="Cambria" w:eastAsia="Times New Roman" w:hAnsi="Cambria" w:cs="Calibri"/>
          <w:sz w:val="20"/>
          <w:szCs w:val="20"/>
          <w:lang w:val="es-CO"/>
        </w:rPr>
        <w:t>. Asimismo, el/la perito/a se referirá a las medidas concretas</w:t>
      </w:r>
      <w:r w:rsidR="009718C6" w:rsidRPr="003459A4">
        <w:rPr>
          <w:rFonts w:ascii="Cambria" w:eastAsia="Times New Roman" w:hAnsi="Cambria" w:cs="Calibri"/>
          <w:sz w:val="20"/>
          <w:szCs w:val="20"/>
          <w:lang w:val="es-CO"/>
        </w:rPr>
        <w:t xml:space="preserve"> </w:t>
      </w:r>
      <w:r w:rsidR="008A6A52" w:rsidRPr="003459A4">
        <w:rPr>
          <w:rFonts w:ascii="Cambria" w:eastAsia="Times New Roman" w:hAnsi="Cambria" w:cs="Calibri"/>
          <w:sz w:val="20"/>
          <w:szCs w:val="20"/>
          <w:lang w:val="es-CO"/>
        </w:rPr>
        <w:t xml:space="preserve">que deben tomar los Estados para </w:t>
      </w:r>
      <w:r w:rsidR="008A1984" w:rsidRPr="003459A4">
        <w:rPr>
          <w:rFonts w:ascii="Cambria" w:eastAsia="Times New Roman" w:hAnsi="Cambria" w:cs="Calibri"/>
          <w:sz w:val="20"/>
          <w:szCs w:val="20"/>
          <w:lang w:val="es-CO"/>
        </w:rPr>
        <w:t>supervis</w:t>
      </w:r>
      <w:r w:rsidR="00025D7C" w:rsidRPr="003459A4">
        <w:rPr>
          <w:rFonts w:ascii="Cambria" w:eastAsia="Times New Roman" w:hAnsi="Cambria" w:cs="Calibri"/>
          <w:sz w:val="20"/>
          <w:szCs w:val="20"/>
          <w:lang w:val="es-CO"/>
        </w:rPr>
        <w:t>ar</w:t>
      </w:r>
      <w:r w:rsidR="008A1984" w:rsidRPr="003459A4">
        <w:rPr>
          <w:rFonts w:ascii="Cambria" w:eastAsia="Times New Roman" w:hAnsi="Cambria" w:cs="Calibri"/>
          <w:sz w:val="20"/>
          <w:szCs w:val="20"/>
          <w:lang w:val="es-CO"/>
        </w:rPr>
        <w:t xml:space="preserve"> y fiscaliza</w:t>
      </w:r>
      <w:r w:rsidR="00025D7C" w:rsidRPr="003459A4">
        <w:rPr>
          <w:rFonts w:ascii="Cambria" w:eastAsia="Times New Roman" w:hAnsi="Cambria" w:cs="Calibri"/>
          <w:sz w:val="20"/>
          <w:szCs w:val="20"/>
          <w:lang w:val="es-CO"/>
        </w:rPr>
        <w:t>r</w:t>
      </w:r>
      <w:r w:rsidR="008A1984" w:rsidRPr="003459A4">
        <w:rPr>
          <w:rFonts w:ascii="Cambria" w:eastAsia="Times New Roman" w:hAnsi="Cambria" w:cs="Calibri"/>
          <w:sz w:val="20"/>
          <w:szCs w:val="20"/>
          <w:lang w:val="es-CO"/>
        </w:rPr>
        <w:t xml:space="preserve"> las actividades culturales realizadas por particulares en espacios públicos, en especial aquellos que puedan ser considerados como espacios de riesgo y aquellos donde transiten personas, incluyendo niños y niñas.</w:t>
      </w:r>
      <w:r w:rsidR="008A6A52" w:rsidRPr="003459A4">
        <w:rPr>
          <w:rFonts w:ascii="Cambria" w:eastAsia="Times New Roman" w:hAnsi="Cambria" w:cs="Calibri"/>
          <w:sz w:val="20"/>
          <w:szCs w:val="20"/>
          <w:lang w:val="es-CO"/>
        </w:rPr>
        <w:t xml:space="preserve"> </w:t>
      </w:r>
      <w:r w:rsidR="008A6A52" w:rsidRPr="003459A4">
        <w:rPr>
          <w:rFonts w:ascii="Cambria" w:hAnsi="Cambria"/>
          <w:sz w:val="20"/>
          <w:szCs w:val="20"/>
          <w:lang w:val="es-CO"/>
        </w:rPr>
        <w:t>En la medida de lo pertinente, se referirá a otros sistemas internacionales de protección de derechos humanos y al derecho comparado. Para ejemplificar el desarrollo de su peritaje, el/la perito/a podrá referirse a los hechos del caso.</w:t>
      </w:r>
    </w:p>
    <w:p w14:paraId="31151EAC" w14:textId="77777777" w:rsidR="008A6A52" w:rsidRPr="003459A4" w:rsidRDefault="008A6A52" w:rsidP="008A6A52">
      <w:pPr>
        <w:tabs>
          <w:tab w:val="left" w:pos="720"/>
          <w:tab w:val="left" w:pos="2880"/>
        </w:tabs>
        <w:spacing w:after="0" w:line="240" w:lineRule="auto"/>
        <w:jc w:val="both"/>
        <w:rPr>
          <w:rFonts w:ascii="Cambria" w:hAnsi="Cambria"/>
          <w:sz w:val="20"/>
          <w:szCs w:val="20"/>
          <w:lang w:val="es-CO"/>
        </w:rPr>
      </w:pPr>
    </w:p>
    <w:p w14:paraId="12468295" w14:textId="13317F0D" w:rsidR="008A6A52" w:rsidRPr="003459A4" w:rsidRDefault="00236BCB" w:rsidP="006B10C5">
      <w:pPr>
        <w:tabs>
          <w:tab w:val="left" w:pos="360"/>
          <w:tab w:val="left" w:pos="2880"/>
        </w:tabs>
        <w:spacing w:after="0" w:line="240" w:lineRule="auto"/>
        <w:jc w:val="both"/>
        <w:rPr>
          <w:rFonts w:ascii="Cambria" w:hAnsi="Cambria"/>
          <w:sz w:val="20"/>
          <w:szCs w:val="20"/>
          <w:lang w:val="es-CO"/>
        </w:rPr>
      </w:pPr>
      <w:r w:rsidRPr="003459A4">
        <w:rPr>
          <w:rFonts w:ascii="Cambria" w:hAnsi="Cambria"/>
          <w:sz w:val="20"/>
          <w:szCs w:val="20"/>
          <w:lang w:val="es-CO"/>
        </w:rPr>
        <w:tab/>
      </w:r>
      <w:r w:rsidR="008A6A52" w:rsidRPr="003459A4">
        <w:rPr>
          <w:rFonts w:ascii="Cambria" w:hAnsi="Cambria"/>
          <w:sz w:val="20"/>
          <w:szCs w:val="20"/>
          <w:lang w:val="es-CO"/>
        </w:rPr>
        <w:t xml:space="preserve">El CV del/la perito/a propuesto/a será incluido en los anexos al Informe de Fondo </w:t>
      </w:r>
      <w:r w:rsidR="008A6A52" w:rsidRPr="003459A4">
        <w:rPr>
          <w:rFonts w:ascii="Cambria" w:hAnsi="Cambria" w:cs="Calibri"/>
          <w:color w:val="000000"/>
          <w:sz w:val="20"/>
          <w:szCs w:val="20"/>
          <w:lang w:val="es-CO"/>
        </w:rPr>
        <w:t>No. 266/22</w:t>
      </w:r>
      <w:r w:rsidR="008A6A52" w:rsidRPr="003459A4">
        <w:rPr>
          <w:rFonts w:ascii="Cambria" w:hAnsi="Cambria"/>
          <w:sz w:val="20"/>
          <w:szCs w:val="20"/>
          <w:lang w:val="es-CO"/>
        </w:rPr>
        <w:t>.</w:t>
      </w:r>
    </w:p>
    <w:p w14:paraId="6E5D5487" w14:textId="77777777" w:rsidR="000C22D9" w:rsidRPr="001D64C6" w:rsidRDefault="000C22D9" w:rsidP="000C22D9">
      <w:pPr>
        <w:autoSpaceDE w:val="0"/>
        <w:autoSpaceDN w:val="0"/>
        <w:adjustRightInd w:val="0"/>
        <w:spacing w:after="0" w:line="240" w:lineRule="auto"/>
        <w:jc w:val="both"/>
        <w:rPr>
          <w:rFonts w:ascii="Cambria" w:eastAsiaTheme="minorHAnsi" w:hAnsi="Cambria"/>
          <w:sz w:val="20"/>
          <w:szCs w:val="20"/>
          <w:lang w:val="es-CO"/>
        </w:rPr>
      </w:pPr>
    </w:p>
    <w:p w14:paraId="0D80ACD1" w14:textId="20FF2770" w:rsidR="000C22D9" w:rsidRDefault="006B10C5" w:rsidP="006B10C5">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1D64C6">
        <w:rPr>
          <w:rFonts w:ascii="Cambria" w:eastAsiaTheme="minorHAnsi" w:hAnsi="Cambria"/>
          <w:sz w:val="20"/>
          <w:szCs w:val="20"/>
          <w:lang w:val="es-CO"/>
        </w:rPr>
        <w:tab/>
      </w:r>
      <w:r w:rsidR="000C22D9" w:rsidRPr="001D64C6">
        <w:rPr>
          <w:rFonts w:ascii="Cambria" w:eastAsiaTheme="minorHAnsi" w:hAnsi="Cambria"/>
          <w:sz w:val="20"/>
          <w:szCs w:val="20"/>
          <w:lang w:val="es-CO"/>
        </w:rPr>
        <w:t>La Comisión pone en conocimiento de la Honorable Corte la siguiente información de quien</w:t>
      </w:r>
      <w:r w:rsidR="001D64C6" w:rsidRPr="001D64C6">
        <w:rPr>
          <w:rFonts w:ascii="Cambria" w:eastAsiaTheme="minorHAnsi" w:hAnsi="Cambria"/>
          <w:sz w:val="20"/>
          <w:szCs w:val="20"/>
          <w:lang w:val="es-CO"/>
        </w:rPr>
        <w:t>es</w:t>
      </w:r>
      <w:r w:rsidR="000C22D9" w:rsidRPr="001D64C6">
        <w:rPr>
          <w:rFonts w:ascii="Cambria" w:eastAsiaTheme="minorHAnsi" w:hAnsi="Cambria"/>
          <w:sz w:val="20"/>
          <w:szCs w:val="20"/>
          <w:lang w:val="es-CO"/>
        </w:rPr>
        <w:t xml:space="preserve"> actúa</w:t>
      </w:r>
      <w:r w:rsidR="001D64C6" w:rsidRPr="001D64C6">
        <w:rPr>
          <w:rFonts w:ascii="Cambria" w:eastAsiaTheme="minorHAnsi" w:hAnsi="Cambria"/>
          <w:sz w:val="20"/>
          <w:szCs w:val="20"/>
          <w:lang w:val="es-CO"/>
        </w:rPr>
        <w:t>n</w:t>
      </w:r>
      <w:r w:rsidR="000C22D9" w:rsidRPr="001D64C6">
        <w:rPr>
          <w:rFonts w:ascii="Cambria" w:eastAsiaTheme="minorHAnsi" w:hAnsi="Cambria"/>
          <w:sz w:val="20"/>
          <w:szCs w:val="20"/>
          <w:lang w:val="es-CO"/>
        </w:rPr>
        <w:t xml:space="preserve"> como parte peticionaria en el trámite ante la CIDH conforme a la información más reciente:</w:t>
      </w:r>
    </w:p>
    <w:p w14:paraId="6BC5638C" w14:textId="77777777" w:rsidR="001D64C6" w:rsidRPr="001D64C6" w:rsidRDefault="001D64C6" w:rsidP="006B10C5">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418783DE" w14:textId="77777777" w:rsidR="001D64C6" w:rsidRPr="00F600ED" w:rsidRDefault="001D64C6" w:rsidP="001D64C6">
      <w:pPr>
        <w:suppressAutoHyphens/>
        <w:spacing w:after="0" w:line="240" w:lineRule="auto"/>
        <w:jc w:val="center"/>
        <w:rPr>
          <w:rFonts w:ascii="Cambria" w:hAnsi="Cambria" w:cs="Calibri"/>
          <w:sz w:val="20"/>
          <w:szCs w:val="20"/>
          <w:shd w:val="clear" w:color="auto" w:fill="FFFFFF"/>
          <w:lang w:val="es-MX"/>
        </w:rPr>
      </w:pPr>
      <w:r w:rsidRPr="00F600ED">
        <w:rPr>
          <w:rFonts w:ascii="Cambria" w:hAnsi="Cambria" w:cs="Calibri"/>
          <w:sz w:val="20"/>
          <w:szCs w:val="20"/>
          <w:shd w:val="clear" w:color="auto" w:fill="FFFFFF"/>
          <w:lang w:val="es-MX"/>
        </w:rPr>
        <w:t>Nora Ester Ribaudo y Eduardo Rubén Iglesias</w:t>
      </w:r>
    </w:p>
    <w:p w14:paraId="06DAC3F4" w14:textId="3BD7909F" w:rsidR="001D64C6" w:rsidRPr="00D45EA3" w:rsidRDefault="00D45EA3" w:rsidP="001D64C6">
      <w:pPr>
        <w:spacing w:after="0" w:line="240" w:lineRule="auto"/>
        <w:jc w:val="center"/>
        <w:rPr>
          <w:rFonts w:ascii="Cambria" w:hAnsi="Cambria" w:cs="Calibri"/>
          <w:sz w:val="20"/>
          <w:szCs w:val="20"/>
          <w:highlight w:val="black"/>
          <w:lang w:val="es-US"/>
        </w:rPr>
      </w:pPr>
      <w:r w:rsidRPr="00D45EA3">
        <w:rPr>
          <w:rFonts w:ascii="Cambria" w:hAnsi="Cambria" w:cs="Calibri"/>
          <w:sz w:val="20"/>
          <w:szCs w:val="20"/>
          <w:highlight w:val="black"/>
          <w:lang w:val="es-US"/>
        </w:rPr>
        <w:t>XXXXXXXXXXXXXXXXXXXXXXXXXXXX</w:t>
      </w:r>
    </w:p>
    <w:p w14:paraId="08A5DCD2" w14:textId="77777777" w:rsidR="001D64C6" w:rsidRPr="001D64C6" w:rsidRDefault="001D64C6" w:rsidP="000C22D9">
      <w:pPr>
        <w:autoSpaceDE w:val="0"/>
        <w:autoSpaceDN w:val="0"/>
        <w:adjustRightInd w:val="0"/>
        <w:spacing w:after="0" w:line="240" w:lineRule="auto"/>
        <w:ind w:firstLine="567"/>
        <w:jc w:val="both"/>
        <w:rPr>
          <w:rFonts w:ascii="Cambria" w:eastAsiaTheme="minorHAnsi" w:hAnsi="Cambria"/>
          <w:sz w:val="20"/>
          <w:szCs w:val="20"/>
          <w:lang w:val="es-CO"/>
        </w:rPr>
      </w:pPr>
    </w:p>
    <w:p w14:paraId="193FEC34" w14:textId="06C54217" w:rsidR="000C22D9" w:rsidRPr="001D64C6" w:rsidRDefault="006B10C5" w:rsidP="006B10C5">
      <w:pPr>
        <w:tabs>
          <w:tab w:val="left" w:pos="360"/>
        </w:tabs>
        <w:autoSpaceDE w:val="0"/>
        <w:autoSpaceDN w:val="0"/>
        <w:adjustRightInd w:val="0"/>
        <w:spacing w:after="0" w:line="240" w:lineRule="auto"/>
        <w:rPr>
          <w:rFonts w:ascii="Cambria" w:eastAsiaTheme="minorHAnsi" w:hAnsi="Cambria"/>
          <w:sz w:val="20"/>
          <w:szCs w:val="20"/>
          <w:lang w:val="es-CO"/>
        </w:rPr>
      </w:pPr>
      <w:r w:rsidRPr="001D64C6">
        <w:rPr>
          <w:rFonts w:ascii="Cambria" w:eastAsiaTheme="minorHAnsi" w:hAnsi="Cambria"/>
          <w:sz w:val="20"/>
          <w:szCs w:val="20"/>
          <w:lang w:val="es-CO"/>
        </w:rPr>
        <w:tab/>
      </w:r>
      <w:r w:rsidR="000C22D9" w:rsidRPr="001D64C6">
        <w:rPr>
          <w:rFonts w:ascii="Cambria" w:eastAsiaTheme="minorHAnsi" w:hAnsi="Cambria"/>
          <w:sz w:val="20"/>
          <w:szCs w:val="20"/>
          <w:lang w:val="es-CO"/>
        </w:rPr>
        <w:t>Aprovecho la oportunidad para saludar a usted muy atentamente,</w:t>
      </w:r>
    </w:p>
    <w:p w14:paraId="77755A7C" w14:textId="3E99B0D0" w:rsidR="001D64C6" w:rsidRPr="001D64C6" w:rsidRDefault="001D64C6" w:rsidP="001D64C6">
      <w:pPr>
        <w:tabs>
          <w:tab w:val="left" w:pos="3926"/>
        </w:tabs>
        <w:spacing w:after="0" w:line="240" w:lineRule="auto"/>
        <w:rPr>
          <w:rFonts w:ascii="Cambria" w:hAnsi="Cambria"/>
          <w:sz w:val="20"/>
          <w:szCs w:val="20"/>
          <w:lang w:val="es-MX"/>
        </w:rPr>
      </w:pPr>
      <w:bookmarkStart w:id="2" w:name="_Hlk128731904"/>
      <w:bookmarkStart w:id="3" w:name="_Hlk129855594"/>
      <w:bookmarkStart w:id="4" w:name="_Hlk129970904"/>
      <w:bookmarkStart w:id="5" w:name="_Hlk122115986"/>
      <w:bookmarkStart w:id="6" w:name="_Hlk118969572"/>
      <w:bookmarkStart w:id="7" w:name="_Hlk120781836"/>
      <w:bookmarkStart w:id="8" w:name="_Hlk130997932"/>
      <w:bookmarkStart w:id="9" w:name="_Hlk119577459"/>
      <w:bookmarkStart w:id="10" w:name="_Hlk131167805"/>
      <w:bookmarkStart w:id="11" w:name="_Hlk129896549"/>
    </w:p>
    <w:p w14:paraId="6C1D4C91" w14:textId="77777777" w:rsidR="001D64C6" w:rsidRPr="001D64C6" w:rsidRDefault="001D64C6" w:rsidP="001D64C6">
      <w:pPr>
        <w:spacing w:after="0" w:line="240" w:lineRule="auto"/>
        <w:jc w:val="center"/>
        <w:rPr>
          <w:rFonts w:ascii="Cambria" w:hAnsi="Cambria"/>
          <w:sz w:val="20"/>
          <w:szCs w:val="20"/>
          <w:lang w:val="es-MX"/>
        </w:rPr>
      </w:pPr>
    </w:p>
    <w:p w14:paraId="3B0F4AE4" w14:textId="77777777" w:rsidR="001D64C6" w:rsidRPr="001D64C6" w:rsidRDefault="001D64C6" w:rsidP="001D64C6">
      <w:pPr>
        <w:spacing w:after="0" w:line="240" w:lineRule="auto"/>
        <w:rPr>
          <w:rFonts w:ascii="Cambria" w:hAnsi="Cambria"/>
          <w:sz w:val="20"/>
          <w:szCs w:val="20"/>
          <w:lang w:val="es-MX"/>
        </w:rPr>
      </w:pPr>
    </w:p>
    <w:p w14:paraId="54B8DC2D" w14:textId="77777777" w:rsidR="001D64C6" w:rsidRPr="001D64C6" w:rsidRDefault="001D64C6" w:rsidP="001D64C6">
      <w:pPr>
        <w:tabs>
          <w:tab w:val="center" w:pos="5040"/>
        </w:tabs>
        <w:spacing w:after="0" w:line="240" w:lineRule="auto"/>
        <w:jc w:val="center"/>
        <w:rPr>
          <w:rFonts w:ascii="Cambria" w:hAnsi="Cambria"/>
          <w:sz w:val="20"/>
          <w:szCs w:val="20"/>
          <w:lang w:val="es-MX"/>
        </w:rPr>
      </w:pPr>
    </w:p>
    <w:p w14:paraId="52E391E6" w14:textId="77777777" w:rsidR="001D64C6" w:rsidRPr="001D64C6" w:rsidRDefault="001D64C6" w:rsidP="001D64C6">
      <w:pPr>
        <w:spacing w:after="0" w:line="240" w:lineRule="auto"/>
        <w:jc w:val="center"/>
        <w:rPr>
          <w:rFonts w:ascii="Cambria" w:hAnsi="Cambria" w:cs="Calibri"/>
          <w:sz w:val="20"/>
          <w:szCs w:val="20"/>
          <w:lang w:val="pt-BR"/>
        </w:rPr>
      </w:pPr>
      <w:r w:rsidRPr="001D64C6">
        <w:rPr>
          <w:rFonts w:ascii="Cambria" w:hAnsi="Cambria" w:cs="Calibri"/>
          <w:sz w:val="20"/>
          <w:szCs w:val="20"/>
          <w:lang w:val="pt-BR"/>
        </w:rPr>
        <w:t>Jorge Meza Flores</w:t>
      </w:r>
    </w:p>
    <w:p w14:paraId="7F60FF70" w14:textId="77777777" w:rsidR="001D64C6" w:rsidRPr="001D64C6" w:rsidRDefault="001D64C6" w:rsidP="001D64C6">
      <w:pPr>
        <w:spacing w:after="0" w:line="240" w:lineRule="auto"/>
        <w:jc w:val="center"/>
        <w:rPr>
          <w:rFonts w:ascii="Cambria" w:hAnsi="Cambria" w:cs="Calibri"/>
          <w:sz w:val="20"/>
          <w:szCs w:val="20"/>
          <w:lang w:val="pt-BR"/>
        </w:rPr>
      </w:pPr>
      <w:r w:rsidRPr="001D64C6">
        <w:rPr>
          <w:rFonts w:ascii="Cambria" w:hAnsi="Cambria" w:cs="Calibri"/>
          <w:sz w:val="20"/>
          <w:szCs w:val="20"/>
          <w:lang w:val="pt-BR"/>
        </w:rPr>
        <w:t>Secretario Ejecutivo Adjunto</w:t>
      </w:r>
    </w:p>
    <w:p w14:paraId="4734788D" w14:textId="77777777" w:rsidR="001D64C6" w:rsidRPr="001D64C6" w:rsidRDefault="001D64C6" w:rsidP="001D64C6">
      <w:pPr>
        <w:tabs>
          <w:tab w:val="left" w:pos="-720"/>
        </w:tabs>
        <w:suppressAutoHyphens/>
        <w:spacing w:after="0" w:line="240" w:lineRule="auto"/>
        <w:jc w:val="both"/>
        <w:rPr>
          <w:rFonts w:ascii="Cambria" w:hAnsi="Cambria"/>
          <w:sz w:val="20"/>
          <w:szCs w:val="20"/>
          <w:lang w:val="pt-BR"/>
        </w:rPr>
      </w:pPr>
    </w:p>
    <w:p w14:paraId="35FFB135" w14:textId="77777777" w:rsidR="000C22D9" w:rsidRPr="001D64C6" w:rsidRDefault="000C22D9" w:rsidP="000C22D9">
      <w:pPr>
        <w:spacing w:after="0" w:line="240" w:lineRule="auto"/>
        <w:jc w:val="both"/>
        <w:rPr>
          <w:rFonts w:ascii="Cambria" w:hAnsi="Cambria" w:cs="Calibri"/>
          <w:sz w:val="20"/>
          <w:szCs w:val="20"/>
          <w:lang w:val="es-CO"/>
        </w:rPr>
      </w:pPr>
    </w:p>
    <w:p w14:paraId="031C2154" w14:textId="15C06BCE" w:rsidR="007E7905" w:rsidRPr="001D64C6" w:rsidRDefault="000C22D9" w:rsidP="001D64C6">
      <w:pPr>
        <w:spacing w:after="0" w:line="240" w:lineRule="auto"/>
        <w:jc w:val="both"/>
        <w:rPr>
          <w:rFonts w:ascii="Cambria" w:hAnsi="Cambria"/>
          <w:sz w:val="20"/>
          <w:szCs w:val="20"/>
          <w:lang w:val="es-CO"/>
        </w:rPr>
      </w:pPr>
      <w:r w:rsidRPr="001D64C6">
        <w:rPr>
          <w:rFonts w:ascii="Cambria" w:hAnsi="Cambria" w:cs="Calibri"/>
          <w:sz w:val="20"/>
          <w:szCs w:val="20"/>
          <w:lang w:val="es-CO"/>
        </w:rPr>
        <w:t>Anexo</w:t>
      </w:r>
      <w:bookmarkEnd w:id="2"/>
      <w:bookmarkEnd w:id="3"/>
      <w:bookmarkEnd w:id="4"/>
      <w:bookmarkEnd w:id="5"/>
      <w:bookmarkEnd w:id="6"/>
      <w:bookmarkEnd w:id="7"/>
      <w:bookmarkEnd w:id="8"/>
      <w:bookmarkEnd w:id="9"/>
      <w:bookmarkEnd w:id="10"/>
      <w:bookmarkEnd w:id="11"/>
    </w:p>
    <w:sectPr w:rsidR="007E7905" w:rsidRPr="001D64C6" w:rsidSect="00E15987">
      <w:headerReference w:type="default" r:id="rId8"/>
      <w:footerReference w:type="even" r:id="rId9"/>
      <w:footerReference w:type="default" r:id="rId10"/>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D8C4" w14:textId="77777777" w:rsidR="001809E1" w:rsidRDefault="001809E1">
      <w:pPr>
        <w:spacing w:after="0" w:line="240" w:lineRule="auto"/>
      </w:pPr>
      <w:r>
        <w:separator/>
      </w:r>
    </w:p>
  </w:endnote>
  <w:endnote w:type="continuationSeparator" w:id="0">
    <w:p w14:paraId="5467C49C" w14:textId="77777777" w:rsidR="001809E1" w:rsidRDefault="0018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069D3FB0" w14:textId="77777777" w:rsidR="00561391" w:rsidRDefault="00E15987"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0F237" w14:textId="77777777" w:rsidR="00561391" w:rsidRDefault="0056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65748286" w14:textId="5E2EBB44" w:rsidR="00E15987" w:rsidRPr="00E15987" w:rsidRDefault="00E15987">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0EF30494" w14:textId="4E0308C6" w:rsidR="00561391" w:rsidRDefault="00561391"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676C" w14:textId="77777777" w:rsidR="001809E1" w:rsidRDefault="001809E1">
      <w:pPr>
        <w:spacing w:after="0" w:line="240" w:lineRule="auto"/>
      </w:pPr>
      <w:r>
        <w:separator/>
      </w:r>
    </w:p>
  </w:footnote>
  <w:footnote w:type="continuationSeparator" w:id="0">
    <w:p w14:paraId="7DA83845" w14:textId="77777777" w:rsidR="001809E1" w:rsidRDefault="0018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63E" w14:textId="77777777" w:rsidR="00561391" w:rsidRDefault="00E15987" w:rsidP="005122C2">
    <w:pPr>
      <w:pStyle w:val="Header"/>
    </w:pPr>
    <w:r w:rsidRPr="008A5CB5">
      <w:rPr>
        <w:noProof/>
      </w:rPr>
      <w:drawing>
        <wp:inline distT="0" distB="0" distL="0" distR="0" wp14:anchorId="45492FF3" wp14:editId="23C14669">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48B6E869" wp14:editId="2BFEDBD0">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0B980E7" w14:textId="77777777" w:rsidR="00561391" w:rsidRDefault="00E15987">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52C"/>
    <w:multiLevelType w:val="hybridMultilevel"/>
    <w:tmpl w:val="8B3C1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599807">
    <w:abstractNumId w:val="0"/>
  </w:num>
  <w:num w:numId="2" w16cid:durableId="28678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D9"/>
    <w:rsid w:val="00025D7C"/>
    <w:rsid w:val="000374EA"/>
    <w:rsid w:val="00054AFC"/>
    <w:rsid w:val="00084B78"/>
    <w:rsid w:val="000B0652"/>
    <w:rsid w:val="000C22D9"/>
    <w:rsid w:val="000E7746"/>
    <w:rsid w:val="00104763"/>
    <w:rsid w:val="001100BD"/>
    <w:rsid w:val="0011288D"/>
    <w:rsid w:val="00114BD7"/>
    <w:rsid w:val="0015089B"/>
    <w:rsid w:val="001516AE"/>
    <w:rsid w:val="00160F45"/>
    <w:rsid w:val="001620A0"/>
    <w:rsid w:val="001809E1"/>
    <w:rsid w:val="001D0B0E"/>
    <w:rsid w:val="001D64C6"/>
    <w:rsid w:val="00201582"/>
    <w:rsid w:val="002030D2"/>
    <w:rsid w:val="002335F3"/>
    <w:rsid w:val="00236718"/>
    <w:rsid w:val="00236BCB"/>
    <w:rsid w:val="002C0D21"/>
    <w:rsid w:val="002D042C"/>
    <w:rsid w:val="002E2B0A"/>
    <w:rsid w:val="003459A4"/>
    <w:rsid w:val="0034617D"/>
    <w:rsid w:val="00374D35"/>
    <w:rsid w:val="003806AE"/>
    <w:rsid w:val="003A0FA4"/>
    <w:rsid w:val="003A5030"/>
    <w:rsid w:val="003F52D7"/>
    <w:rsid w:val="003F6F40"/>
    <w:rsid w:val="00412616"/>
    <w:rsid w:val="00453A36"/>
    <w:rsid w:val="00491260"/>
    <w:rsid w:val="004C4C32"/>
    <w:rsid w:val="00532F7D"/>
    <w:rsid w:val="00561391"/>
    <w:rsid w:val="00580393"/>
    <w:rsid w:val="00594218"/>
    <w:rsid w:val="005F7E75"/>
    <w:rsid w:val="00636B2E"/>
    <w:rsid w:val="00641E10"/>
    <w:rsid w:val="00696199"/>
    <w:rsid w:val="006B10C5"/>
    <w:rsid w:val="006B2F85"/>
    <w:rsid w:val="006B5FC8"/>
    <w:rsid w:val="006D73AC"/>
    <w:rsid w:val="006E211B"/>
    <w:rsid w:val="006F3079"/>
    <w:rsid w:val="00715EF7"/>
    <w:rsid w:val="007367D6"/>
    <w:rsid w:val="00737BE2"/>
    <w:rsid w:val="007E7905"/>
    <w:rsid w:val="00840A70"/>
    <w:rsid w:val="008620B8"/>
    <w:rsid w:val="008A1984"/>
    <w:rsid w:val="008A6A52"/>
    <w:rsid w:val="008F2EB8"/>
    <w:rsid w:val="00922AF5"/>
    <w:rsid w:val="00945225"/>
    <w:rsid w:val="00970EEF"/>
    <w:rsid w:val="009718C6"/>
    <w:rsid w:val="00971CCF"/>
    <w:rsid w:val="009741AB"/>
    <w:rsid w:val="009A1C11"/>
    <w:rsid w:val="009A41CA"/>
    <w:rsid w:val="009A5794"/>
    <w:rsid w:val="009B5B76"/>
    <w:rsid w:val="009F678D"/>
    <w:rsid w:val="00A961D0"/>
    <w:rsid w:val="00AF7E35"/>
    <w:rsid w:val="00B744B2"/>
    <w:rsid w:val="00C03F77"/>
    <w:rsid w:val="00C407C1"/>
    <w:rsid w:val="00CB0951"/>
    <w:rsid w:val="00CC231D"/>
    <w:rsid w:val="00CE5FD3"/>
    <w:rsid w:val="00D45EA3"/>
    <w:rsid w:val="00D86317"/>
    <w:rsid w:val="00D93FD8"/>
    <w:rsid w:val="00DC63B7"/>
    <w:rsid w:val="00DD3D8E"/>
    <w:rsid w:val="00DE6A9C"/>
    <w:rsid w:val="00DF6C44"/>
    <w:rsid w:val="00E15987"/>
    <w:rsid w:val="00E25C4D"/>
    <w:rsid w:val="00E4189C"/>
    <w:rsid w:val="00E96548"/>
    <w:rsid w:val="00EA3C62"/>
    <w:rsid w:val="00EB3830"/>
    <w:rsid w:val="00EC1063"/>
    <w:rsid w:val="00EE2061"/>
    <w:rsid w:val="00F221FF"/>
    <w:rsid w:val="00F37A72"/>
    <w:rsid w:val="00F408D3"/>
    <w:rsid w:val="00F600ED"/>
    <w:rsid w:val="00F67576"/>
    <w:rsid w:val="00F76DF8"/>
    <w:rsid w:val="00FF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6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2D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0C22D9"/>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0C22D9"/>
    <w:rPr>
      <w:kern w:val="0"/>
      <w:sz w:val="24"/>
      <w:szCs w:val="24"/>
      <w14:ligatures w14:val="none"/>
    </w:rPr>
  </w:style>
  <w:style w:type="paragraph" w:styleId="Footer">
    <w:name w:val="footer"/>
    <w:basedOn w:val="Normal"/>
    <w:link w:val="FooterChar"/>
    <w:uiPriority w:val="99"/>
    <w:unhideWhenUsed/>
    <w:rsid w:val="000C22D9"/>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0C22D9"/>
    <w:rPr>
      <w:kern w:val="0"/>
      <w:sz w:val="24"/>
      <w:szCs w:val="24"/>
      <w14:ligatures w14:val="none"/>
    </w:rPr>
  </w:style>
  <w:style w:type="paragraph" w:customStyle="1" w:styleId="xmsolistparagraph">
    <w:name w:val="x_msolistparagraph"/>
    <w:basedOn w:val="Normal"/>
    <w:rsid w:val="000C22D9"/>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0C22D9"/>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0C22D9"/>
    <w:rPr>
      <w:rFonts w:ascii="Calibri" w:eastAsia="Calibri" w:hAnsi="Calibri" w:cs="Times New Roman"/>
      <w:kern w:val="0"/>
      <w14:ligatures w14:val="none"/>
    </w:rPr>
  </w:style>
  <w:style w:type="paragraph" w:customStyle="1" w:styleId="parrafos">
    <w:name w:val="parrafos"/>
    <w:basedOn w:val="Normal"/>
    <w:link w:val="parrafosChar"/>
    <w:qFormat/>
    <w:rsid w:val="000C22D9"/>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C22D9"/>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0C22D9"/>
  </w:style>
  <w:style w:type="character" w:styleId="Hyperlink">
    <w:name w:val="Hyperlink"/>
    <w:uiPriority w:val="99"/>
    <w:unhideWhenUsed/>
    <w:rsid w:val="000C22D9"/>
    <w:rPr>
      <w:color w:val="0563C1"/>
      <w:u w:val="single"/>
    </w:rPr>
  </w:style>
  <w:style w:type="paragraph" w:customStyle="1" w:styleId="Default">
    <w:name w:val="Default"/>
    <w:rsid w:val="00F67576"/>
    <w:pPr>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804B-3D42-4F7E-B169-ABF6CEAF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