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E2C" w14:textId="77777777" w:rsidR="00C675FF" w:rsidRPr="00997A8F" w:rsidRDefault="00C675FF" w:rsidP="00C675FF">
      <w:pPr>
        <w:spacing w:after="0" w:line="240" w:lineRule="auto"/>
        <w:rPr>
          <w:rFonts w:ascii="Cambria" w:hAnsi="Cambria" w:cs="Calibri"/>
          <w:sz w:val="20"/>
          <w:szCs w:val="20"/>
          <w:lang w:val="es-CO"/>
        </w:rPr>
      </w:pPr>
    </w:p>
    <w:p w14:paraId="02F674E0" w14:textId="77777777" w:rsidR="00C675FF" w:rsidRPr="00997A8F" w:rsidRDefault="00C675FF" w:rsidP="00C675FF">
      <w:pPr>
        <w:spacing w:after="0" w:line="240" w:lineRule="auto"/>
        <w:ind w:left="6480" w:firstLine="720"/>
        <w:jc w:val="right"/>
        <w:rPr>
          <w:rFonts w:ascii="Cambria" w:hAnsi="Cambria" w:cs="Calibri"/>
          <w:sz w:val="20"/>
          <w:szCs w:val="20"/>
          <w:lang w:val="es-CO"/>
        </w:rPr>
      </w:pPr>
    </w:p>
    <w:p w14:paraId="43EE7344" w14:textId="77777777" w:rsidR="00C675FF" w:rsidRPr="00997A8F" w:rsidRDefault="00C675FF" w:rsidP="00C675FF">
      <w:pPr>
        <w:spacing w:after="0" w:line="240" w:lineRule="auto"/>
        <w:ind w:left="6480" w:firstLine="720"/>
        <w:jc w:val="right"/>
        <w:rPr>
          <w:rFonts w:ascii="Cambria" w:hAnsi="Cambria" w:cs="Calibri"/>
          <w:sz w:val="20"/>
          <w:szCs w:val="20"/>
          <w:lang w:val="es-CO"/>
        </w:rPr>
      </w:pPr>
    </w:p>
    <w:p w14:paraId="273BC11E" w14:textId="77777777" w:rsidR="00806D1E" w:rsidRPr="00997A8F" w:rsidRDefault="00806D1E" w:rsidP="00C675FF">
      <w:pPr>
        <w:spacing w:after="0" w:line="240" w:lineRule="auto"/>
        <w:ind w:left="6480" w:firstLine="720"/>
        <w:jc w:val="center"/>
        <w:rPr>
          <w:rFonts w:ascii="Cambria" w:hAnsi="Cambria" w:cs="Calibri"/>
          <w:sz w:val="20"/>
          <w:szCs w:val="20"/>
          <w:lang w:val="pt-BR"/>
        </w:rPr>
      </w:pPr>
    </w:p>
    <w:p w14:paraId="2DC8D2E5" w14:textId="0D6CEFE4" w:rsidR="00C675FF" w:rsidRPr="00997A8F" w:rsidRDefault="00C675FF" w:rsidP="00C675FF">
      <w:pPr>
        <w:spacing w:after="0" w:line="240" w:lineRule="auto"/>
        <w:ind w:left="6480" w:firstLine="720"/>
        <w:jc w:val="center"/>
        <w:rPr>
          <w:rFonts w:ascii="Cambria" w:hAnsi="Cambria" w:cs="Calibri"/>
          <w:sz w:val="20"/>
          <w:szCs w:val="20"/>
          <w:lang w:val="pt-BR"/>
        </w:rPr>
      </w:pPr>
      <w:r w:rsidRPr="00997A8F">
        <w:rPr>
          <w:rFonts w:ascii="Cambria" w:hAnsi="Cambria" w:cs="Calibri"/>
          <w:sz w:val="20"/>
          <w:szCs w:val="20"/>
          <w:lang w:val="pt-BR"/>
        </w:rPr>
        <w:t>28 de julio de 2024</w:t>
      </w:r>
    </w:p>
    <w:p w14:paraId="0C4F67D9" w14:textId="77777777" w:rsidR="00C675FF" w:rsidRPr="00997A8F" w:rsidRDefault="00C675FF" w:rsidP="00C675FF">
      <w:pPr>
        <w:spacing w:after="0" w:line="240" w:lineRule="auto"/>
        <w:jc w:val="right"/>
        <w:rPr>
          <w:rFonts w:ascii="Cambria" w:hAnsi="Cambria" w:cs="Calibri"/>
          <w:sz w:val="20"/>
          <w:szCs w:val="20"/>
          <w:lang w:val="pt-BR"/>
        </w:rPr>
      </w:pPr>
    </w:p>
    <w:p w14:paraId="5D4F9C57" w14:textId="00A86DD5" w:rsidR="00C675FF" w:rsidRPr="00997A8F" w:rsidRDefault="00C675FF" w:rsidP="00C675FF">
      <w:pPr>
        <w:spacing w:after="0" w:line="240" w:lineRule="auto"/>
        <w:jc w:val="both"/>
        <w:rPr>
          <w:rFonts w:ascii="Cambria" w:hAnsi="Cambria" w:cs="Calibri"/>
          <w:b/>
          <w:sz w:val="20"/>
          <w:szCs w:val="20"/>
          <w:lang w:val="pt-BR"/>
        </w:rPr>
      </w:pPr>
      <w:r w:rsidRPr="00997A8F">
        <w:rPr>
          <w:rFonts w:ascii="Cambria" w:hAnsi="Cambria" w:cs="Calibri"/>
          <w:b/>
          <w:sz w:val="20"/>
          <w:szCs w:val="20"/>
          <w:lang w:val="pt-BR"/>
        </w:rPr>
        <w:t>REF.:</w:t>
      </w:r>
      <w:bookmarkStart w:id="0" w:name="Peticion_n"/>
      <w:bookmarkEnd w:id="0"/>
      <w:r w:rsidRPr="00997A8F">
        <w:rPr>
          <w:rFonts w:ascii="Cambria" w:hAnsi="Cambria" w:cs="Calibri"/>
          <w:b/>
          <w:sz w:val="20"/>
          <w:szCs w:val="20"/>
          <w:lang w:val="pt-BR"/>
        </w:rPr>
        <w:tab/>
        <w:t>Caso Nº 12.434</w:t>
      </w:r>
    </w:p>
    <w:p w14:paraId="24CA0810" w14:textId="77777777" w:rsidR="00C675FF" w:rsidRPr="00997A8F" w:rsidRDefault="00C675FF" w:rsidP="00C675FF">
      <w:pPr>
        <w:tabs>
          <w:tab w:val="left" w:pos="7165"/>
        </w:tabs>
        <w:spacing w:after="0" w:line="240" w:lineRule="auto"/>
        <w:ind w:firstLine="720"/>
        <w:jc w:val="both"/>
        <w:rPr>
          <w:rFonts w:ascii="Cambria" w:hAnsi="Cambria"/>
          <w:b/>
          <w:sz w:val="20"/>
          <w:szCs w:val="20"/>
          <w:lang w:val="es-CO"/>
        </w:rPr>
      </w:pPr>
      <w:r w:rsidRPr="00997A8F">
        <w:rPr>
          <w:rFonts w:ascii="Cambria" w:hAnsi="Cambria"/>
          <w:b/>
          <w:sz w:val="20"/>
          <w:szCs w:val="20"/>
          <w:lang w:val="es-CO"/>
        </w:rPr>
        <w:t>José Milton Cañas y otros</w:t>
      </w:r>
    </w:p>
    <w:p w14:paraId="3849A112" w14:textId="32D8087A" w:rsidR="00C675FF" w:rsidRPr="00997A8F" w:rsidRDefault="00C675FF" w:rsidP="00C675FF">
      <w:pPr>
        <w:tabs>
          <w:tab w:val="left" w:pos="7165"/>
        </w:tabs>
        <w:spacing w:after="0" w:line="240" w:lineRule="auto"/>
        <w:ind w:firstLine="720"/>
        <w:jc w:val="both"/>
        <w:rPr>
          <w:rFonts w:ascii="Cambria" w:hAnsi="Cambria" w:cs="Calibri"/>
          <w:b/>
          <w:sz w:val="20"/>
          <w:szCs w:val="20"/>
          <w:lang w:val="es-CO"/>
        </w:rPr>
      </w:pPr>
      <w:r w:rsidRPr="00997A8F">
        <w:rPr>
          <w:rFonts w:ascii="Cambria" w:hAnsi="Cambria" w:cs="Calibri"/>
          <w:b/>
          <w:sz w:val="20"/>
          <w:szCs w:val="20"/>
          <w:lang w:val="es-CO"/>
        </w:rPr>
        <w:t>Colombia</w:t>
      </w:r>
    </w:p>
    <w:p w14:paraId="69FF2DE0" w14:textId="77777777" w:rsidR="00C675FF" w:rsidRPr="00997A8F" w:rsidRDefault="00C675FF" w:rsidP="002F54C3">
      <w:pPr>
        <w:tabs>
          <w:tab w:val="left" w:pos="7165"/>
        </w:tabs>
        <w:spacing w:after="0" w:line="240" w:lineRule="auto"/>
        <w:jc w:val="both"/>
        <w:rPr>
          <w:rFonts w:ascii="Cambria" w:hAnsi="Cambria" w:cs="Calibri"/>
          <w:b/>
          <w:sz w:val="20"/>
          <w:szCs w:val="20"/>
          <w:lang w:val="es-CO"/>
        </w:rPr>
      </w:pPr>
    </w:p>
    <w:p w14:paraId="68D4A00B" w14:textId="77777777" w:rsidR="00806D1E" w:rsidRPr="00997A8F" w:rsidRDefault="00806D1E" w:rsidP="002F54C3">
      <w:pPr>
        <w:tabs>
          <w:tab w:val="left" w:pos="7165"/>
        </w:tabs>
        <w:spacing w:after="0" w:line="240" w:lineRule="auto"/>
        <w:jc w:val="both"/>
        <w:rPr>
          <w:rFonts w:ascii="Cambria" w:hAnsi="Cambria" w:cs="Calibri"/>
          <w:b/>
          <w:sz w:val="20"/>
          <w:szCs w:val="20"/>
          <w:lang w:val="es-CO"/>
        </w:rPr>
      </w:pPr>
    </w:p>
    <w:p w14:paraId="7D8FDAFD" w14:textId="77777777" w:rsidR="00C675FF" w:rsidRPr="00997A8F" w:rsidRDefault="00C675FF" w:rsidP="00C675FF">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Señor Secretario:</w:t>
      </w:r>
    </w:p>
    <w:p w14:paraId="12D11C57" w14:textId="77777777" w:rsidR="00C675FF" w:rsidRPr="00997A8F" w:rsidRDefault="00C675FF" w:rsidP="00C675FF">
      <w:pPr>
        <w:spacing w:after="0" w:line="240" w:lineRule="auto"/>
        <w:jc w:val="both"/>
        <w:rPr>
          <w:rFonts w:ascii="Cambria" w:hAnsi="Cambria" w:cs="Calibri"/>
          <w:sz w:val="16"/>
          <w:szCs w:val="16"/>
          <w:lang w:val="es-CO"/>
        </w:rPr>
      </w:pPr>
    </w:p>
    <w:p w14:paraId="2D7941FB" w14:textId="77777777" w:rsidR="00730714" w:rsidRPr="00997A8F" w:rsidRDefault="00730714" w:rsidP="00C675FF">
      <w:pPr>
        <w:spacing w:after="0" w:line="240" w:lineRule="auto"/>
        <w:jc w:val="both"/>
        <w:rPr>
          <w:rFonts w:ascii="Cambria" w:hAnsi="Cambria" w:cs="Calibri"/>
          <w:sz w:val="16"/>
          <w:szCs w:val="16"/>
          <w:lang w:val="es-CO"/>
        </w:rPr>
      </w:pPr>
    </w:p>
    <w:p w14:paraId="6148F429" w14:textId="0D1E9AE2" w:rsidR="0096467E" w:rsidRPr="00997A8F" w:rsidRDefault="00215B1B" w:rsidP="001C624A">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C675FF" w:rsidRPr="00997A8F">
        <w:rPr>
          <w:rFonts w:ascii="Cambria" w:hAnsi="Cambria" w:cs="Calibri"/>
          <w:sz w:val="20"/>
          <w:szCs w:val="20"/>
          <w:lang w:val="es-CO"/>
        </w:rPr>
        <w:t xml:space="preserve">12.434 – José Milton Cañas y otros de la República de Colombia (en adelante “el Estado de Colombia”, “Estado colombiano” o “Colombia”). </w:t>
      </w:r>
      <w:r w:rsidR="0096467E" w:rsidRPr="00997A8F">
        <w:rPr>
          <w:rFonts w:ascii="Cambria" w:eastAsia="Arial Unicode MS" w:hAnsi="Cambria"/>
          <w:sz w:val="20"/>
          <w:szCs w:val="20"/>
          <w:bdr w:val="nil"/>
          <w:lang w:val="es-CO"/>
        </w:rPr>
        <w:t>El caso se refiere a la responsabilidad internacional del Estado colombiano por la muerte de s</w:t>
      </w:r>
      <w:r w:rsidR="00E11F63" w:rsidRPr="00997A8F">
        <w:rPr>
          <w:rFonts w:ascii="Cambria" w:eastAsia="Arial Unicode MS" w:hAnsi="Cambria"/>
          <w:sz w:val="20"/>
          <w:szCs w:val="20"/>
          <w:bdr w:val="nil"/>
          <w:lang w:val="es-CO"/>
        </w:rPr>
        <w:t>iete</w:t>
      </w:r>
      <w:r w:rsidR="0096467E" w:rsidRPr="00997A8F">
        <w:rPr>
          <w:rFonts w:ascii="Cambria" w:eastAsia="Arial Unicode MS" w:hAnsi="Cambria"/>
          <w:sz w:val="20"/>
          <w:szCs w:val="20"/>
          <w:bdr w:val="nil"/>
          <w:lang w:val="es-CO"/>
        </w:rPr>
        <w:t xml:space="preserve"> personas y la desaparición forzada de </w:t>
      </w:r>
      <w:r w:rsidR="00E11F63" w:rsidRPr="00997A8F">
        <w:rPr>
          <w:rFonts w:ascii="Cambria" w:eastAsia="Arial Unicode MS" w:hAnsi="Cambria"/>
          <w:sz w:val="20"/>
          <w:szCs w:val="20"/>
          <w:bdr w:val="nil"/>
          <w:lang w:val="es-CO"/>
        </w:rPr>
        <w:t>veinticinco</w:t>
      </w:r>
      <w:r w:rsidR="0096467E" w:rsidRPr="00997A8F">
        <w:rPr>
          <w:rFonts w:ascii="Cambria" w:eastAsia="Arial Unicode MS" w:hAnsi="Cambria"/>
          <w:sz w:val="20"/>
          <w:szCs w:val="20"/>
          <w:bdr w:val="nil"/>
          <w:lang w:val="es-CO"/>
        </w:rPr>
        <w:t xml:space="preserve"> personas por parte de paramilitares en 1998 en Barrancabermeja en el marco del conflicto armado interno.</w:t>
      </w:r>
    </w:p>
    <w:p w14:paraId="6854BDB4" w14:textId="77777777" w:rsidR="002D3637" w:rsidRPr="00997A8F" w:rsidRDefault="002D3637" w:rsidP="001C624A">
      <w:pPr>
        <w:tabs>
          <w:tab w:val="left" w:pos="360"/>
          <w:tab w:val="left" w:pos="1440"/>
        </w:tabs>
        <w:spacing w:after="0" w:line="240" w:lineRule="auto"/>
        <w:jc w:val="both"/>
        <w:rPr>
          <w:rFonts w:ascii="Cambria" w:eastAsia="Arial Unicode MS" w:hAnsi="Cambria"/>
          <w:sz w:val="20"/>
          <w:szCs w:val="20"/>
          <w:bdr w:val="nil"/>
          <w:lang w:val="es-CO"/>
        </w:rPr>
      </w:pPr>
    </w:p>
    <w:p w14:paraId="1025B5D4" w14:textId="527A714E" w:rsidR="0096467E"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853709" w:rsidRPr="00997A8F">
        <w:rPr>
          <w:rFonts w:ascii="Cambria" w:eastAsiaTheme="minorHAnsi" w:hAnsi="Cambria" w:cs="Cambria"/>
          <w:sz w:val="20"/>
          <w:szCs w:val="20"/>
          <w:lang w:val="es-CO"/>
          <w14:ligatures w14:val="standardContextual"/>
        </w:rPr>
        <w:t>Barrancabermeja es un municipio de Colombia, ubicado en el departamento de Santander</w:t>
      </w:r>
      <w:r w:rsidR="00617CBC" w:rsidRPr="00997A8F">
        <w:rPr>
          <w:rFonts w:ascii="Cambria" w:eastAsiaTheme="minorHAnsi" w:hAnsi="Cambria" w:cs="Cambria"/>
          <w:sz w:val="20"/>
          <w:szCs w:val="20"/>
          <w:lang w:val="es-CO"/>
          <w14:ligatures w14:val="standardContextual"/>
        </w:rPr>
        <w:t xml:space="preserve">, </w:t>
      </w:r>
      <w:r w:rsidR="00853709" w:rsidRPr="00997A8F">
        <w:rPr>
          <w:rFonts w:ascii="Cambria" w:eastAsiaTheme="minorHAnsi" w:hAnsi="Cambria" w:cs="Cambria"/>
          <w:sz w:val="20"/>
          <w:szCs w:val="20"/>
          <w:lang w:val="es-CO"/>
          <w14:ligatures w14:val="standardContextual"/>
        </w:rPr>
        <w:t>en la región del Magdalena Medio</w:t>
      </w:r>
      <w:r w:rsidR="00D74483" w:rsidRPr="00997A8F">
        <w:rPr>
          <w:rFonts w:ascii="Cambria" w:eastAsiaTheme="minorHAnsi" w:hAnsi="Cambria" w:cs="Cambria"/>
          <w:sz w:val="20"/>
          <w:szCs w:val="20"/>
          <w:lang w:val="es-CO"/>
          <w14:ligatures w14:val="standardContextual"/>
        </w:rPr>
        <w:t>.</w:t>
      </w:r>
      <w:r w:rsidR="00D75E05" w:rsidRPr="00997A8F">
        <w:rPr>
          <w:rFonts w:ascii="Cambria" w:eastAsiaTheme="minorHAnsi" w:hAnsi="Cambria" w:cs="Cambria"/>
          <w:sz w:val="20"/>
          <w:szCs w:val="20"/>
          <w:lang w:val="es-CO"/>
          <w14:ligatures w14:val="standardContextual"/>
        </w:rPr>
        <w:t xml:space="preserve"> </w:t>
      </w:r>
      <w:r w:rsidR="0096467E" w:rsidRPr="00997A8F">
        <w:rPr>
          <w:rFonts w:ascii="Cambria" w:eastAsia="Arial Unicode MS" w:hAnsi="Cambria"/>
          <w:sz w:val="20"/>
          <w:szCs w:val="20"/>
          <w:bdr w:val="nil"/>
          <w:lang w:val="es-CO"/>
        </w:rPr>
        <w:t>De acuerdo con lo sostenido por los órganos del sistema interamericano en diversos casos, a mediados de la década de 1980 en la región del Magdalena Medio existía una intensa actividad de lucha del Ejército y las autodefensas</w:t>
      </w:r>
      <w:r w:rsidR="00215B1B"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contra la guerrilla, en la cual los altos mandos militares de la zona apoyaban a los grupos de autodefensas.</w:t>
      </w:r>
      <w:r w:rsidR="00215B1B"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 xml:space="preserve">Muchos de </w:t>
      </w:r>
      <w:r w:rsidR="00215B1B" w:rsidRPr="00997A8F">
        <w:rPr>
          <w:rFonts w:ascii="Cambria" w:eastAsia="Arial Unicode MS" w:hAnsi="Cambria"/>
          <w:sz w:val="20"/>
          <w:szCs w:val="20"/>
          <w:bdr w:val="nil"/>
          <w:lang w:val="es-CO"/>
        </w:rPr>
        <w:t>e</w:t>
      </w:r>
      <w:r w:rsidR="0096467E" w:rsidRPr="00997A8F">
        <w:rPr>
          <w:rFonts w:ascii="Cambria" w:eastAsia="Arial Unicode MS" w:hAnsi="Cambria"/>
          <w:sz w:val="20"/>
          <w:szCs w:val="20"/>
          <w:bdr w:val="nil"/>
          <w:lang w:val="es-CO"/>
        </w:rPr>
        <w:t xml:space="preserve">stos se convirtieron en grupos de delincuencia comúnmente llamados “paramilitares”, los cuales se fueron extendiendo a otras regiones del país. </w:t>
      </w:r>
      <w:r w:rsidR="00261FAF" w:rsidRPr="00997A8F">
        <w:rPr>
          <w:rFonts w:ascii="Cambria" w:eastAsia="Arial Unicode MS" w:hAnsi="Cambria"/>
          <w:sz w:val="20"/>
          <w:szCs w:val="20"/>
          <w:bdr w:val="nil"/>
          <w:lang w:val="es-CO"/>
        </w:rPr>
        <w:t>Según un informe de la Vicepresidencia de Colombia a inicios de la década de 1990, en los departamentos del Norte de Santander, Santander y Cesar, grupos de autodefensa se asentaron en la zona</w:t>
      </w:r>
      <w:r w:rsidR="009142BC" w:rsidRPr="00997A8F">
        <w:rPr>
          <w:rFonts w:ascii="Cambria" w:eastAsia="Arial Unicode MS" w:hAnsi="Cambria"/>
          <w:sz w:val="20"/>
          <w:szCs w:val="20"/>
          <w:bdr w:val="nil"/>
          <w:lang w:val="es-CO"/>
        </w:rPr>
        <w:t xml:space="preserve"> </w:t>
      </w:r>
      <w:r w:rsidR="00261FAF" w:rsidRPr="00997A8F">
        <w:rPr>
          <w:rFonts w:ascii="Cambria" w:eastAsia="Arial Unicode MS" w:hAnsi="Cambria"/>
          <w:sz w:val="20"/>
          <w:szCs w:val="20"/>
          <w:bdr w:val="nil"/>
          <w:lang w:val="es-CO"/>
        </w:rPr>
        <w:t>con el objetivo de replegar las actividades de la guerrilla, en particular por la existencia de cultivos ilícitos y de corredores</w:t>
      </w:r>
      <w:r w:rsidR="007068C8" w:rsidRPr="00997A8F">
        <w:rPr>
          <w:rFonts w:ascii="Cambria" w:eastAsia="Arial Unicode MS" w:hAnsi="Cambria"/>
          <w:sz w:val="20"/>
          <w:szCs w:val="20"/>
          <w:bdr w:val="nil"/>
          <w:lang w:val="es-CO"/>
        </w:rPr>
        <w:t xml:space="preserve"> </w:t>
      </w:r>
      <w:r w:rsidR="00261FAF" w:rsidRPr="00997A8F">
        <w:rPr>
          <w:rFonts w:ascii="Cambria" w:eastAsia="Arial Unicode MS" w:hAnsi="Cambria"/>
          <w:sz w:val="20"/>
          <w:szCs w:val="20"/>
          <w:bdr w:val="nil"/>
          <w:lang w:val="es-CO"/>
        </w:rPr>
        <w:t>estratégicos</w:t>
      </w:r>
      <w:r w:rsidR="0080468D" w:rsidRPr="00997A8F">
        <w:rPr>
          <w:rFonts w:ascii="Cambria" w:eastAsia="Arial Unicode MS" w:hAnsi="Cambria"/>
          <w:sz w:val="20"/>
          <w:szCs w:val="20"/>
          <w:bdr w:val="nil"/>
          <w:lang w:val="es-CO"/>
        </w:rPr>
        <w:t xml:space="preserve">. En este contexto </w:t>
      </w:r>
      <w:r w:rsidR="00CC7C85" w:rsidRPr="00997A8F">
        <w:rPr>
          <w:rFonts w:ascii="Cambria" w:eastAsia="Arial Unicode MS" w:hAnsi="Cambria"/>
          <w:sz w:val="20"/>
          <w:szCs w:val="20"/>
          <w:bdr w:val="nil"/>
          <w:lang w:val="es-CO"/>
        </w:rPr>
        <w:t>se fundó</w:t>
      </w:r>
      <w:r w:rsidR="0080468D" w:rsidRPr="00997A8F">
        <w:rPr>
          <w:rFonts w:ascii="Cambria" w:eastAsia="Arial Unicode MS" w:hAnsi="Cambria"/>
          <w:sz w:val="20"/>
          <w:szCs w:val="20"/>
          <w:bdr w:val="nil"/>
          <w:lang w:val="es-CO"/>
        </w:rPr>
        <w:t>,</w:t>
      </w:r>
      <w:r w:rsidR="007068C8" w:rsidRPr="00997A8F">
        <w:rPr>
          <w:rFonts w:ascii="Cambria" w:eastAsia="Arial Unicode MS" w:hAnsi="Cambria"/>
          <w:sz w:val="20"/>
          <w:szCs w:val="20"/>
          <w:bdr w:val="nil"/>
          <w:lang w:val="es-CO"/>
        </w:rPr>
        <w:t xml:space="preserve"> entre otras, las Autodefensas</w:t>
      </w:r>
      <w:r w:rsidR="0080468D" w:rsidRPr="00997A8F">
        <w:rPr>
          <w:rFonts w:ascii="Cambria" w:eastAsia="Arial Unicode MS" w:hAnsi="Cambria"/>
          <w:sz w:val="20"/>
          <w:szCs w:val="20"/>
          <w:bdr w:val="nil"/>
          <w:lang w:val="es-CO"/>
        </w:rPr>
        <w:t xml:space="preserve"> </w:t>
      </w:r>
      <w:r w:rsidR="007068C8" w:rsidRPr="00997A8F">
        <w:rPr>
          <w:rFonts w:ascii="Cambria" w:eastAsia="Arial Unicode MS" w:hAnsi="Cambria"/>
          <w:sz w:val="20"/>
          <w:szCs w:val="20"/>
          <w:bdr w:val="nil"/>
          <w:lang w:val="es-CO"/>
        </w:rPr>
        <w:t>Unidas de Santander y Sur del Cesar (AUSAC).</w:t>
      </w:r>
    </w:p>
    <w:p w14:paraId="3C0824DA" w14:textId="77777777" w:rsidR="00F071FB" w:rsidRPr="00997A8F" w:rsidRDefault="00F071FB" w:rsidP="001C624A">
      <w:pPr>
        <w:tabs>
          <w:tab w:val="left" w:pos="360"/>
          <w:tab w:val="left" w:pos="1440"/>
        </w:tabs>
        <w:spacing w:after="0" w:line="240" w:lineRule="auto"/>
        <w:jc w:val="both"/>
        <w:rPr>
          <w:rFonts w:ascii="Cambria" w:eastAsia="Arial Unicode MS" w:hAnsi="Cambria"/>
          <w:sz w:val="20"/>
          <w:szCs w:val="20"/>
          <w:bdr w:val="nil"/>
          <w:lang w:val="es-CO"/>
        </w:rPr>
      </w:pPr>
    </w:p>
    <w:p w14:paraId="4D7CA638" w14:textId="3E59B047" w:rsidR="00E81990"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213766" w:rsidRPr="00997A8F">
        <w:rPr>
          <w:rFonts w:ascii="Cambria" w:eastAsiaTheme="minorHAnsi" w:hAnsi="Cambria" w:cs="Cambria"/>
          <w:sz w:val="20"/>
          <w:szCs w:val="20"/>
          <w:lang w:val="es-CO"/>
          <w14:ligatures w14:val="standardContextual"/>
        </w:rPr>
        <w:t>El 16 de mayo de 1998, e</w:t>
      </w:r>
      <w:r w:rsidR="00E81990" w:rsidRPr="00997A8F">
        <w:rPr>
          <w:rFonts w:ascii="Cambria" w:eastAsiaTheme="minorHAnsi" w:hAnsi="Cambria" w:cs="Cambria"/>
          <w:sz w:val="20"/>
          <w:szCs w:val="20"/>
          <w:lang w:val="es-CO"/>
          <w14:ligatures w14:val="standardContextual"/>
        </w:rPr>
        <w:t xml:space="preserve">ntre las 8:30 y 9:00 p.m., un grupo de 20 a 50 hombres </w:t>
      </w:r>
      <w:r w:rsidR="001124AD" w:rsidRPr="00997A8F">
        <w:rPr>
          <w:rFonts w:ascii="Cambria" w:eastAsiaTheme="minorHAnsi" w:hAnsi="Cambria" w:cs="Cambria"/>
          <w:sz w:val="20"/>
          <w:szCs w:val="20"/>
          <w:lang w:val="es-CO"/>
          <w14:ligatures w14:val="standardContextual"/>
        </w:rPr>
        <w:t xml:space="preserve">de las AUSAC </w:t>
      </w:r>
      <w:r w:rsidR="00E81990" w:rsidRPr="00997A8F">
        <w:rPr>
          <w:rFonts w:ascii="Cambria" w:eastAsiaTheme="minorHAnsi" w:hAnsi="Cambria" w:cs="Cambria"/>
          <w:sz w:val="20"/>
          <w:szCs w:val="20"/>
          <w:lang w:val="es-CO"/>
          <w14:ligatures w14:val="standardContextual"/>
        </w:rPr>
        <w:t>ingresaron a la zona sur oeste de Barrancabermeja</w:t>
      </w:r>
      <w:r w:rsidR="0021376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en cinco vehículos.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Dichos hombres vestían ropa civil, estaban encapuchados y llevaban chalecos antibalas. Asimismo,</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llevaban machetes, armas blancas, y armas de corto y largo alcance.</w:t>
      </w:r>
      <w:r w:rsidR="001124AD" w:rsidRPr="00997A8F">
        <w:rPr>
          <w:rFonts w:ascii="Cambria" w:eastAsiaTheme="minorHAnsi" w:hAnsi="Cambria" w:cs="Cambria"/>
          <w:sz w:val="20"/>
          <w:szCs w:val="20"/>
          <w:lang w:val="es-CO"/>
          <w14:ligatures w14:val="standardContextual"/>
        </w:rPr>
        <w:t xml:space="preserve"> </w:t>
      </w:r>
      <w:r w:rsidR="006547D6" w:rsidRPr="00997A8F">
        <w:rPr>
          <w:rFonts w:ascii="Cambria" w:eastAsiaTheme="minorHAnsi" w:hAnsi="Cambria" w:cs="Cambria"/>
          <w:sz w:val="20"/>
          <w:szCs w:val="20"/>
          <w:lang w:val="es-CO"/>
          <w14:ligatures w14:val="standardContextual"/>
        </w:rPr>
        <w:t xml:space="preserve">Según con lo reportado por </w:t>
      </w:r>
      <w:r w:rsidR="00E81990" w:rsidRPr="00997A8F">
        <w:rPr>
          <w:rFonts w:ascii="Cambria" w:eastAsiaTheme="minorHAnsi" w:hAnsi="Cambria" w:cs="Cambria"/>
          <w:sz w:val="20"/>
          <w:szCs w:val="20"/>
          <w:lang w:val="es-CO"/>
          <w14:ligatures w14:val="standardContextual"/>
        </w:rPr>
        <w:t>Amnistía internacional</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algunos de los chalecos vestidos por estas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personas parecían llevar la insignia del DAS. Asimismo, dos testigos manifestaron que algunos llevaban unos</w:t>
      </w:r>
      <w:r w:rsidR="006547D6" w:rsidRPr="00997A8F">
        <w:rPr>
          <w:rFonts w:ascii="Cambria" w:eastAsiaTheme="minorHAnsi" w:hAnsi="Cambria" w:cs="Cambria"/>
          <w:sz w:val="20"/>
          <w:szCs w:val="20"/>
          <w:lang w:val="es-CO"/>
          <w14:ligatures w14:val="standardContextual"/>
        </w:rPr>
        <w:t xml:space="preserve"> </w:t>
      </w:r>
      <w:r w:rsidR="00E81990" w:rsidRPr="00997A8F">
        <w:rPr>
          <w:rFonts w:ascii="Cambria" w:eastAsiaTheme="minorHAnsi" w:hAnsi="Cambria" w:cs="Cambria"/>
          <w:sz w:val="20"/>
          <w:szCs w:val="20"/>
          <w:lang w:val="es-CO"/>
          <w14:ligatures w14:val="standardContextual"/>
        </w:rPr>
        <w:t>chalecos verdes como los que utiliza el ejército.</w:t>
      </w:r>
    </w:p>
    <w:p w14:paraId="29E2BB79" w14:textId="77777777" w:rsidR="001124AD" w:rsidRPr="00997A8F" w:rsidRDefault="001124AD"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2B166CB" w14:textId="11CC5FB3" w:rsidR="003F3270" w:rsidRPr="00997A8F" w:rsidRDefault="00806D1E" w:rsidP="00806D1E">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CC1BCF" w:rsidRPr="00997A8F">
        <w:rPr>
          <w:rFonts w:ascii="Cambria" w:eastAsiaTheme="minorHAnsi" w:hAnsi="Cambria" w:cs="Cambria"/>
          <w:sz w:val="20"/>
          <w:szCs w:val="20"/>
          <w:lang w:val="es-CO"/>
          <w14:ligatures w14:val="standardContextual"/>
        </w:rPr>
        <w:t>Las AUSAC se detuvieron primeramente en el bar “La Tora’’</w:t>
      </w:r>
      <w:r w:rsidR="00765670" w:rsidRPr="00997A8F">
        <w:rPr>
          <w:rFonts w:ascii="Cambria" w:eastAsiaTheme="minorHAnsi" w:hAnsi="Cambria" w:cs="Cambria"/>
          <w:sz w:val="20"/>
          <w:szCs w:val="20"/>
          <w:lang w:val="es-CO"/>
          <w14:ligatures w14:val="standardContextual"/>
        </w:rPr>
        <w:t xml:space="preserve"> y </w:t>
      </w:r>
      <w:r w:rsidR="00CC1BCF" w:rsidRPr="00997A8F">
        <w:rPr>
          <w:rFonts w:ascii="Cambria" w:eastAsiaTheme="minorHAnsi" w:hAnsi="Cambria" w:cs="Cambria"/>
          <w:sz w:val="20"/>
          <w:szCs w:val="20"/>
          <w:lang w:val="es-CO"/>
          <w14:ligatures w14:val="standardContextual"/>
        </w:rPr>
        <w:t>procedieron a retener a Juan de Jesús Valdivieso y a Pedro Julio Rondón</w:t>
      </w:r>
      <w:r w:rsidR="00765670"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Hernández, a los que maltrataron y obligaron a subirse a uno de los vehículos en que se</w:t>
      </w:r>
      <w:r w:rsidR="00765670"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movilizaban.</w:t>
      </w:r>
      <w:r w:rsidR="00096856" w:rsidRPr="00997A8F">
        <w:rPr>
          <w:rFonts w:ascii="Cambria" w:eastAsiaTheme="minorHAnsi" w:hAnsi="Cambria" w:cs="Cambria"/>
          <w:sz w:val="20"/>
          <w:szCs w:val="20"/>
          <w:lang w:val="es-CO"/>
          <w14:ligatures w14:val="standardContextual"/>
        </w:rPr>
        <w:t xml:space="preserve"> </w:t>
      </w:r>
      <w:r w:rsidR="00CC1BCF" w:rsidRPr="00997A8F">
        <w:rPr>
          <w:rFonts w:ascii="Cambria" w:eastAsiaTheme="minorHAnsi" w:hAnsi="Cambria" w:cs="Cambria"/>
          <w:sz w:val="20"/>
          <w:szCs w:val="20"/>
          <w:lang w:val="es-CO"/>
          <w14:ligatures w14:val="standardContextual"/>
        </w:rPr>
        <w:t>Pedro Julio Rondón Hernández fue ejecutado posteriormente en la cancha de fútbol</w:t>
      </w:r>
      <w:r w:rsidR="003F3270" w:rsidRPr="00997A8F">
        <w:rPr>
          <w:rFonts w:ascii="Cambria" w:eastAsiaTheme="minorHAnsi" w:hAnsi="Cambria" w:cs="Cambria"/>
          <w:sz w:val="20"/>
          <w:szCs w:val="20"/>
          <w:lang w:val="es-CO"/>
          <w14:ligatures w14:val="standardContextual"/>
        </w:rPr>
        <w:t xml:space="preserve">. </w:t>
      </w:r>
      <w:r w:rsidR="00AC200C" w:rsidRPr="00997A8F">
        <w:rPr>
          <w:rFonts w:ascii="Cambria" w:eastAsiaTheme="minorHAnsi" w:hAnsi="Cambria" w:cs="Cambria"/>
          <w:sz w:val="20"/>
          <w:szCs w:val="20"/>
          <w:lang w:val="es-CO"/>
          <w14:ligatures w14:val="standardContextual"/>
        </w:rPr>
        <w:t>Luego</w:t>
      </w:r>
      <w:r w:rsidR="00096856" w:rsidRPr="00997A8F">
        <w:rPr>
          <w:rFonts w:ascii="Cambria" w:eastAsiaTheme="minorHAnsi" w:hAnsi="Cambria" w:cs="Cambria"/>
          <w:sz w:val="20"/>
          <w:szCs w:val="20"/>
          <w:lang w:val="es-CO"/>
          <w14:ligatures w14:val="standardContextual"/>
        </w:rPr>
        <w:t>, l</w:t>
      </w:r>
      <w:r w:rsidR="003F3270" w:rsidRPr="00997A8F">
        <w:rPr>
          <w:rFonts w:ascii="Cambria" w:eastAsiaTheme="minorHAnsi" w:hAnsi="Cambria" w:cs="Cambria"/>
          <w:sz w:val="20"/>
          <w:szCs w:val="20"/>
          <w:lang w:val="es-CO"/>
          <w14:ligatures w14:val="standardContextual"/>
        </w:rPr>
        <w:t>as AUSAC se dirigieron al barrio Campestre, a la vivienda de José Libardo Londoño Avendaño,</w:t>
      </w:r>
      <w:r w:rsidR="007A1742" w:rsidRPr="00997A8F">
        <w:rPr>
          <w:rFonts w:ascii="Cambria" w:eastAsiaTheme="minorHAnsi" w:hAnsi="Cambria" w:cs="Cambria"/>
          <w:sz w:val="20"/>
          <w:szCs w:val="20"/>
          <w:lang w:val="es-CO"/>
          <w14:ligatures w14:val="standardContextual"/>
        </w:rPr>
        <w:t xml:space="preserve"> </w:t>
      </w:r>
      <w:r w:rsidR="003F3270" w:rsidRPr="00997A8F">
        <w:rPr>
          <w:rFonts w:ascii="Cambria" w:eastAsiaTheme="minorHAnsi" w:hAnsi="Cambria" w:cs="Cambria"/>
          <w:sz w:val="20"/>
          <w:szCs w:val="20"/>
          <w:lang w:val="es-CO"/>
          <w14:ligatures w14:val="standardContextual"/>
        </w:rPr>
        <w:t xml:space="preserve">carpintero de </w:t>
      </w:r>
      <w:r w:rsidR="007A1742" w:rsidRPr="00997A8F">
        <w:rPr>
          <w:rFonts w:ascii="Cambria" w:eastAsiaTheme="minorHAnsi" w:hAnsi="Cambria" w:cs="Cambria"/>
          <w:sz w:val="20"/>
          <w:szCs w:val="20"/>
          <w:lang w:val="es-CO"/>
          <w14:ligatures w14:val="standardContextual"/>
        </w:rPr>
        <w:t>75 años</w:t>
      </w:r>
      <w:r w:rsidR="003F3270" w:rsidRPr="00997A8F">
        <w:rPr>
          <w:rFonts w:ascii="Cambria" w:eastAsiaTheme="minorHAnsi" w:hAnsi="Cambria" w:cs="Cambria"/>
          <w:sz w:val="20"/>
          <w:szCs w:val="20"/>
          <w:lang w:val="es-CO"/>
          <w14:ligatures w14:val="standardContextual"/>
        </w:rPr>
        <w:t>, y lo obligaron a subirse a uno de los vehículos en que se movilizaban</w:t>
      </w:r>
      <w:r w:rsidR="00BC7394" w:rsidRPr="00997A8F">
        <w:rPr>
          <w:rFonts w:ascii="Cambria" w:eastAsiaTheme="minorHAnsi" w:hAnsi="Cambria" w:cs="Cambria"/>
          <w:sz w:val="20"/>
          <w:szCs w:val="20"/>
          <w:lang w:val="es-CO"/>
          <w14:ligatures w14:val="standardContextual"/>
        </w:rPr>
        <w:t xml:space="preserve">. </w:t>
      </w:r>
    </w:p>
    <w:p w14:paraId="18215062" w14:textId="77777777" w:rsidR="00926638" w:rsidRPr="00997A8F" w:rsidRDefault="00926638"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CB98352" w14:textId="77777777" w:rsidR="00806D1E" w:rsidRPr="00997A8F" w:rsidRDefault="00806D1E"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11C6A36E" w14:textId="77777777" w:rsidR="00997A8F" w:rsidRPr="00997A8F" w:rsidRDefault="00997A8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1F6A036" w14:textId="77777777" w:rsidR="00806D1E" w:rsidRPr="00997A8F" w:rsidRDefault="00806D1E"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7C17B447"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Señor</w:t>
      </w:r>
    </w:p>
    <w:p w14:paraId="346BEF6B"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Pablo Saavedra Alessandri</w:t>
      </w:r>
    </w:p>
    <w:p w14:paraId="2BCCBDCE"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Secretario</w:t>
      </w:r>
    </w:p>
    <w:p w14:paraId="689A4AD2" w14:textId="77777777" w:rsidR="004D4296" w:rsidRPr="00997A8F" w:rsidRDefault="004D4296" w:rsidP="004D4296">
      <w:pPr>
        <w:spacing w:after="0" w:line="240" w:lineRule="auto"/>
        <w:jc w:val="both"/>
        <w:rPr>
          <w:rFonts w:ascii="Cambria" w:hAnsi="Cambria" w:cs="Calibri"/>
          <w:sz w:val="20"/>
          <w:szCs w:val="20"/>
          <w:lang w:val="es-CO"/>
        </w:rPr>
      </w:pPr>
      <w:r w:rsidRPr="00997A8F">
        <w:rPr>
          <w:rFonts w:ascii="Cambria" w:hAnsi="Cambria" w:cs="Calibri"/>
          <w:sz w:val="20"/>
          <w:szCs w:val="20"/>
          <w:lang w:val="es-CO"/>
        </w:rPr>
        <w:t>Corte Interamericana de Derechos Humanos</w:t>
      </w:r>
    </w:p>
    <w:p w14:paraId="023542F8" w14:textId="77777777" w:rsidR="004D4296" w:rsidRPr="00997A8F" w:rsidRDefault="004D4296" w:rsidP="004D4296">
      <w:pPr>
        <w:spacing w:after="0" w:line="240" w:lineRule="auto"/>
        <w:jc w:val="both"/>
        <w:rPr>
          <w:rFonts w:ascii="Cambria" w:hAnsi="Cambria"/>
          <w:b/>
          <w:bCs/>
          <w:sz w:val="20"/>
          <w:szCs w:val="20"/>
          <w:lang w:val="es-CO"/>
        </w:rPr>
      </w:pPr>
      <w:r w:rsidRPr="00997A8F">
        <w:rPr>
          <w:rFonts w:ascii="Cambria" w:hAnsi="Cambria" w:cs="Calibri"/>
          <w:sz w:val="20"/>
          <w:szCs w:val="20"/>
          <w:lang w:val="es-CO"/>
        </w:rPr>
        <w:t>San José, Costa Rica</w:t>
      </w:r>
    </w:p>
    <w:p w14:paraId="759919D6" w14:textId="77777777" w:rsidR="004D4296" w:rsidRPr="00997A8F" w:rsidRDefault="004D4296"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4DE105F" w14:textId="011FCAE8" w:rsidR="00232D6B" w:rsidRPr="00997A8F" w:rsidRDefault="00BC7394" w:rsidP="00BC739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lastRenderedPageBreak/>
        <w:tab/>
      </w:r>
      <w:r w:rsidR="00AC200C" w:rsidRPr="00997A8F">
        <w:rPr>
          <w:rFonts w:ascii="Cambria" w:eastAsiaTheme="minorHAnsi" w:hAnsi="Cambria" w:cs="Cambria"/>
          <w:sz w:val="20"/>
          <w:szCs w:val="20"/>
          <w:lang w:val="es-CO"/>
          <w14:ligatures w14:val="standardContextual"/>
        </w:rPr>
        <w:t>Posteriormente las AUSAC ingresaron a una fiesta</w:t>
      </w:r>
      <w:r w:rsidR="00EF2BEF" w:rsidRPr="00997A8F">
        <w:rPr>
          <w:rFonts w:ascii="Cambria" w:eastAsiaTheme="minorHAnsi" w:hAnsi="Cambria" w:cs="Cambria"/>
          <w:sz w:val="20"/>
          <w:szCs w:val="20"/>
          <w:lang w:val="es-CO"/>
          <w14:ligatures w14:val="standardContextual"/>
        </w:rPr>
        <w:t xml:space="preserve"> en la cancha de fútbol </w:t>
      </w:r>
      <w:r w:rsidR="00855328" w:rsidRPr="00997A8F">
        <w:rPr>
          <w:rFonts w:ascii="Cambria" w:eastAsiaTheme="minorHAnsi" w:hAnsi="Cambria" w:cs="Cambria"/>
          <w:sz w:val="20"/>
          <w:szCs w:val="20"/>
          <w:lang w:val="es-CO"/>
          <w14:ligatures w14:val="standardContextual"/>
        </w:rPr>
        <w:t xml:space="preserve">en la cual se encontraban </w:t>
      </w:r>
      <w:r w:rsidR="00EF2BEF" w:rsidRPr="00997A8F">
        <w:rPr>
          <w:rFonts w:ascii="Cambria" w:eastAsiaTheme="minorHAnsi" w:hAnsi="Cambria" w:cs="Cambria"/>
          <w:sz w:val="20"/>
          <w:szCs w:val="20"/>
          <w:lang w:val="es-CO"/>
          <w14:ligatures w14:val="standardContextual"/>
        </w:rPr>
        <w:t>c</w:t>
      </w:r>
      <w:r w:rsidR="00AB5993" w:rsidRPr="00997A8F">
        <w:rPr>
          <w:rFonts w:ascii="Cambria" w:eastAsiaTheme="minorHAnsi" w:hAnsi="Cambria" w:cs="Cambria"/>
          <w:sz w:val="20"/>
          <w:szCs w:val="20"/>
          <w:lang w:val="es-CO"/>
          <w14:ligatures w14:val="standardContextual"/>
        </w:rPr>
        <w:t>ientos de personas</w:t>
      </w:r>
      <w:r w:rsidR="00AB5993" w:rsidRPr="00997A8F">
        <w:rPr>
          <w:rFonts w:ascii="SymbolMT" w:eastAsiaTheme="minorHAnsi" w:hAnsi="SymbolMT" w:cs="SymbolMT"/>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y empezaron a gritarles.</w:t>
      </w:r>
      <w:r w:rsidR="00855328"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Algunas de las personas presentes en la fiesta fueron golpeadas con las culatas de los rifles.</w:t>
      </w:r>
      <w:r w:rsidR="00855328"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 xml:space="preserve">Las AUSAC obligaron a subirse a uno de los vehículos </w:t>
      </w:r>
      <w:r w:rsidR="00855328" w:rsidRPr="00997A8F">
        <w:rPr>
          <w:rFonts w:ascii="Cambria" w:eastAsiaTheme="minorHAnsi" w:hAnsi="Cambria" w:cs="Cambria"/>
          <w:sz w:val="20"/>
          <w:szCs w:val="20"/>
          <w:lang w:val="es-CO"/>
          <w14:ligatures w14:val="standardContextual"/>
        </w:rPr>
        <w:t xml:space="preserve">a </w:t>
      </w:r>
      <w:r w:rsidR="00AB5993" w:rsidRPr="00997A8F">
        <w:rPr>
          <w:rFonts w:ascii="Cambria" w:eastAsiaTheme="minorHAnsi" w:hAnsi="Cambria" w:cs="Cambria"/>
          <w:sz w:val="20"/>
          <w:szCs w:val="20"/>
          <w:lang w:val="es-CO"/>
          <w14:ligatures w14:val="standardContextual"/>
        </w:rPr>
        <w:t>José Octavio Osorio</w:t>
      </w:r>
      <w:r w:rsidR="00855328"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Orlando Martinez Castillo</w:t>
      </w:r>
      <w:r w:rsidR="00855328"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José Milton Cañas Cano</w:t>
      </w:r>
      <w:r w:rsidR="00855328" w:rsidRPr="00997A8F">
        <w:rPr>
          <w:rFonts w:ascii="Cambria" w:eastAsiaTheme="minorHAnsi" w:hAnsi="Cambria" w:cs="Cambria"/>
          <w:sz w:val="20"/>
          <w:szCs w:val="20"/>
          <w:lang w:val="es-CO"/>
          <w14:ligatures w14:val="standardContextual"/>
        </w:rPr>
        <w:t>,</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Diego Fernando Ochoa Lopez</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Alejandra María Ochoa Lopez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Giovanny</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Herrera Cañas</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Oswaldo Enrique Vázquez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Ender González Baena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José Reinel Campo Arévalo</w:t>
      </w:r>
      <w:r w:rsidR="00292800" w:rsidRPr="00997A8F">
        <w:rPr>
          <w:rFonts w:ascii="Cambria" w:eastAsiaTheme="minorHAnsi" w:hAnsi="Cambria" w:cs="Cambria"/>
          <w:sz w:val="20"/>
          <w:szCs w:val="20"/>
          <w:lang w:val="es-CO"/>
          <w14:ligatures w14:val="standardContextual"/>
        </w:rPr>
        <w:t>,</w:t>
      </w:r>
      <w:r w:rsidR="00AB5993" w:rsidRPr="00997A8F">
        <w:rPr>
          <w:rFonts w:ascii="Cambria" w:eastAsiaTheme="minorHAnsi" w:hAnsi="Cambria" w:cs="Cambria"/>
          <w:sz w:val="20"/>
          <w:szCs w:val="20"/>
          <w:lang w:val="es-CO"/>
          <w14:ligatures w14:val="standardContextual"/>
        </w:rPr>
        <w:t xml:space="preserve"> Fernando Ardila Landinez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Oscar Leonel Barrera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Santa</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Luis Fernando Suárez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Suárez</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Robert Wells Gordillo Solano</w:t>
      </w:r>
      <w:r w:rsidR="00292800" w:rsidRPr="00997A8F">
        <w:rPr>
          <w:rFonts w:ascii="Cambria" w:eastAsiaTheme="minorHAnsi" w:hAnsi="Cambria" w:cs="Cambria"/>
          <w:sz w:val="20"/>
          <w:szCs w:val="20"/>
          <w:lang w:val="es-CO"/>
          <w14:ligatures w14:val="standardContextual"/>
        </w:rPr>
        <w:t xml:space="preserve"> </w:t>
      </w:r>
      <w:r w:rsidR="00AB5993" w:rsidRPr="00997A8F">
        <w:rPr>
          <w:rFonts w:ascii="Cambria" w:eastAsiaTheme="minorHAnsi" w:hAnsi="Cambria" w:cs="Cambria"/>
          <w:sz w:val="20"/>
          <w:szCs w:val="20"/>
          <w:lang w:val="es-CO"/>
          <w14:ligatures w14:val="standardContextual"/>
        </w:rPr>
        <w:t>y José Javier Jaramillo Díaz</w:t>
      </w:r>
      <w:r w:rsidR="00926638" w:rsidRPr="00997A8F">
        <w:rPr>
          <w:rFonts w:ascii="Cambria" w:eastAsiaTheme="minorHAnsi" w:hAnsi="Cambria" w:cs="Cambria"/>
          <w:sz w:val="20"/>
          <w:szCs w:val="20"/>
          <w:lang w:val="es-CO"/>
          <w14:ligatures w14:val="standardContextual"/>
        </w:rPr>
        <w:t xml:space="preserve">, este </w:t>
      </w:r>
      <w:r w:rsidR="00926638" w:rsidRPr="00997A8F">
        <w:rPr>
          <w:rFonts w:ascii="Cambria" w:eastAsiaTheme="minorHAnsi" w:hAnsi="Cambria" w:cs="Cambria"/>
          <w:sz w:val="20"/>
          <w:szCs w:val="20"/>
          <w:lang w:val="es-US"/>
          <w14:ligatures w14:val="standardContextual"/>
        </w:rPr>
        <w:t>último</w:t>
      </w:r>
      <w:r w:rsidR="00AB5993" w:rsidRPr="00997A8F">
        <w:rPr>
          <w:rFonts w:ascii="Cambria" w:eastAsiaTheme="minorHAnsi" w:hAnsi="Cambria" w:cs="Cambria"/>
          <w:sz w:val="20"/>
          <w:szCs w:val="20"/>
          <w:lang w:val="es-CO"/>
          <w14:ligatures w14:val="standardContextual"/>
        </w:rPr>
        <w:t xml:space="preserve"> </w:t>
      </w:r>
      <w:r w:rsidR="00A93D37" w:rsidRPr="00997A8F">
        <w:rPr>
          <w:rFonts w:ascii="Cambria" w:eastAsiaTheme="minorHAnsi" w:hAnsi="Cambria" w:cs="Cambria"/>
          <w:sz w:val="20"/>
          <w:szCs w:val="20"/>
          <w:lang w:val="es-CO"/>
          <w14:ligatures w14:val="standardContextual"/>
        </w:rPr>
        <w:t>de 17 años</w:t>
      </w:r>
      <w:r w:rsidR="00AB5993" w:rsidRPr="00997A8F">
        <w:rPr>
          <w:rFonts w:ascii="Cambria" w:eastAsiaTheme="minorHAnsi" w:hAnsi="Cambria" w:cs="Cambria"/>
          <w:sz w:val="20"/>
          <w:szCs w:val="20"/>
          <w:lang w:val="es-CO"/>
          <w14:ligatures w14:val="standardContextual"/>
        </w:rPr>
        <w:t>.</w:t>
      </w:r>
      <w:r w:rsidR="00232D6B" w:rsidRPr="00997A8F">
        <w:rPr>
          <w:rFonts w:ascii="Cambria" w:eastAsiaTheme="minorHAnsi" w:hAnsi="Cambria" w:cs="Cambria"/>
          <w:sz w:val="20"/>
          <w:szCs w:val="20"/>
          <w:lang w:val="es-CO"/>
          <w14:ligatures w14:val="standardContextual"/>
        </w:rPr>
        <w:t xml:space="preserve"> </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Pedro Julio Rondón Hernández, quien fue retenido en el bar “La Tora”, intentó escapar y los paramilitares</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procedieron a degollarlo</w:t>
      </w:r>
      <w:r w:rsidR="00A93D37"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José Javier Jaramillo Díaz, quien fue retenido en la fiesta, fue encontrado muerto al día siguiente en la vía</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que conduce de Barrancabermeja a Bucaramanga.</w:t>
      </w:r>
    </w:p>
    <w:p w14:paraId="77C8E732" w14:textId="77777777" w:rsidR="003B4FE9" w:rsidRPr="00997A8F" w:rsidRDefault="003B4FE9"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3DD15FE0" w14:textId="1B3D31C2" w:rsidR="00D10DD3"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3B4FE9" w:rsidRPr="00997A8F">
        <w:rPr>
          <w:rFonts w:ascii="Cambria" w:eastAsiaTheme="minorHAnsi" w:hAnsi="Cambria" w:cs="Cambria"/>
          <w:sz w:val="20"/>
          <w:szCs w:val="20"/>
          <w:lang w:val="es-CO"/>
          <w14:ligatures w14:val="standardContextual"/>
        </w:rPr>
        <w:t>Asimismo, l</w:t>
      </w:r>
      <w:r w:rsidR="00232D6B" w:rsidRPr="00997A8F">
        <w:rPr>
          <w:rFonts w:ascii="Cambria" w:eastAsiaTheme="minorHAnsi" w:hAnsi="Cambria" w:cs="Cambria"/>
          <w:sz w:val="20"/>
          <w:szCs w:val="20"/>
          <w:lang w:val="es-CO"/>
          <w14:ligatures w14:val="standardContextual"/>
        </w:rPr>
        <w:t>as AUSAC ingresaron al corredor de un establecimiento de billar adyacente a la cancha de fútbol.</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Wilfredo Pérez Serna, administrador de dicho establecimiento, fue insultado y golpeado por los</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paramilitares, quienes lo subieron a uno de sus vehículos.</w:t>
      </w:r>
      <w:r w:rsidR="003B4FE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 xml:space="preserve">Las AUSAC </w:t>
      </w:r>
      <w:r w:rsidR="003B4FE9" w:rsidRPr="00997A8F">
        <w:rPr>
          <w:rFonts w:ascii="Cambria" w:eastAsiaTheme="minorHAnsi" w:hAnsi="Cambria" w:cs="Cambria"/>
          <w:sz w:val="20"/>
          <w:szCs w:val="20"/>
          <w:lang w:val="es-CO"/>
          <w14:ligatures w14:val="standardContextual"/>
        </w:rPr>
        <w:t xml:space="preserve">también </w:t>
      </w:r>
      <w:r w:rsidR="00232D6B" w:rsidRPr="00997A8F">
        <w:rPr>
          <w:rFonts w:ascii="Cambria" w:eastAsiaTheme="minorHAnsi" w:hAnsi="Cambria" w:cs="Cambria"/>
          <w:sz w:val="20"/>
          <w:szCs w:val="20"/>
          <w:lang w:val="es-CO"/>
          <w14:ligatures w14:val="standardContextual"/>
        </w:rPr>
        <w:t xml:space="preserve">retuvieron a Jaime Yesid Peña </w:t>
      </w:r>
      <w:r w:rsidR="003B4FE9" w:rsidRPr="00997A8F">
        <w:rPr>
          <w:rFonts w:ascii="Cambria" w:eastAsiaTheme="minorHAnsi" w:hAnsi="Cambria" w:cs="Cambria"/>
          <w:sz w:val="20"/>
          <w:szCs w:val="20"/>
          <w:lang w:val="es-CO"/>
          <w14:ligatures w14:val="standardContextual"/>
        </w:rPr>
        <w:t>Rodríguez</w:t>
      </w:r>
      <w:r w:rsidR="00946DB9" w:rsidRPr="00997A8F">
        <w:rPr>
          <w:rFonts w:ascii="Cambria" w:eastAsiaTheme="minorHAnsi" w:hAnsi="Cambria" w:cs="Cambria"/>
          <w:sz w:val="20"/>
          <w:szCs w:val="20"/>
          <w:lang w:val="es-CO"/>
          <w14:ligatures w14:val="standardContextual"/>
        </w:rPr>
        <w:t xml:space="preserve">, </w:t>
      </w:r>
      <w:r w:rsidR="003B4FE9" w:rsidRPr="00997A8F">
        <w:rPr>
          <w:rFonts w:ascii="Cambria" w:eastAsiaTheme="minorHAnsi" w:hAnsi="Cambria" w:cs="Cambria"/>
          <w:sz w:val="20"/>
          <w:szCs w:val="20"/>
          <w:lang w:val="es-CO"/>
          <w14:ligatures w14:val="standardContextual"/>
        </w:rPr>
        <w:t>de</w:t>
      </w:r>
      <w:r w:rsidR="00232D6B" w:rsidRPr="00997A8F">
        <w:rPr>
          <w:rFonts w:ascii="Cambria" w:eastAsiaTheme="minorHAnsi" w:hAnsi="Cambria" w:cs="Cambria"/>
          <w:sz w:val="20"/>
          <w:szCs w:val="20"/>
          <w:lang w:val="es-CO"/>
          <w14:ligatures w14:val="standardContextual"/>
        </w:rPr>
        <w:t>16 años</w:t>
      </w:r>
      <w:r w:rsidR="00946DB9" w:rsidRPr="00997A8F">
        <w:rPr>
          <w:rFonts w:ascii="Cambria" w:eastAsiaTheme="minorHAnsi" w:hAnsi="Cambria" w:cs="Cambria"/>
          <w:sz w:val="20"/>
          <w:szCs w:val="20"/>
          <w:lang w:val="es-CO"/>
          <w14:ligatures w14:val="standardContextual"/>
        </w:rPr>
        <w:t xml:space="preserve">, </w:t>
      </w:r>
      <w:r w:rsidR="00232D6B" w:rsidRPr="00997A8F">
        <w:rPr>
          <w:rFonts w:ascii="Cambria" w:eastAsiaTheme="minorHAnsi" w:hAnsi="Cambria" w:cs="Cambria"/>
          <w:sz w:val="20"/>
          <w:szCs w:val="20"/>
          <w:lang w:val="es-CO"/>
          <w14:ligatures w14:val="standardContextual"/>
        </w:rPr>
        <w:t>quien se encontraba fuera de su casa</w:t>
      </w:r>
      <w:r w:rsidR="00D10DD3" w:rsidRPr="00997A8F">
        <w:rPr>
          <w:rFonts w:ascii="Cambria" w:eastAsiaTheme="minorHAnsi" w:hAnsi="Cambria" w:cs="Cambria"/>
          <w:sz w:val="20"/>
          <w:szCs w:val="20"/>
          <w:lang w:val="es-CO"/>
          <w14:ligatures w14:val="standardContextual"/>
        </w:rPr>
        <w:t xml:space="preserve">. </w:t>
      </w:r>
    </w:p>
    <w:p w14:paraId="5A271F00" w14:textId="77777777" w:rsidR="00D10DD3" w:rsidRPr="00997A8F" w:rsidRDefault="00D10DD3"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5956D396" w14:textId="15AAA3E4" w:rsidR="00124924"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D10DD3" w:rsidRPr="00997A8F">
        <w:rPr>
          <w:rFonts w:ascii="Cambria" w:eastAsiaTheme="minorHAnsi" w:hAnsi="Cambria" w:cs="Cambria"/>
          <w:sz w:val="20"/>
          <w:szCs w:val="20"/>
          <w:lang w:val="es-CO"/>
          <w14:ligatures w14:val="standardContextual"/>
        </w:rPr>
        <w:t>Seguidamente, l</w:t>
      </w:r>
      <w:r w:rsidR="00124924" w:rsidRPr="00997A8F">
        <w:rPr>
          <w:rFonts w:ascii="Cambria" w:eastAsiaTheme="minorHAnsi" w:hAnsi="Cambria" w:cs="Cambria"/>
          <w:sz w:val="20"/>
          <w:szCs w:val="20"/>
          <w:lang w:val="es-CO"/>
          <w14:ligatures w14:val="standardContextual"/>
        </w:rPr>
        <w:t>as AUSAC se dirigieron al barrio 9 de abril y se dividieron para ir a una cancha de mini-tejo y una sala de</w:t>
      </w:r>
      <w:r w:rsidR="006F50FF" w:rsidRPr="00997A8F">
        <w:rPr>
          <w:rFonts w:ascii="Cambria" w:eastAsiaTheme="minorHAnsi" w:hAnsi="Cambria" w:cs="Cambria"/>
          <w:sz w:val="20"/>
          <w:szCs w:val="20"/>
          <w:lang w:val="es-CO"/>
          <w14:ligatures w14:val="standardContextual"/>
        </w:rPr>
        <w:t xml:space="preserve"> </w:t>
      </w:r>
      <w:r w:rsidR="00D10DD3" w:rsidRPr="00997A8F">
        <w:rPr>
          <w:rFonts w:ascii="Cambria" w:eastAsiaTheme="minorHAnsi" w:hAnsi="Cambria" w:cs="Cambria"/>
          <w:sz w:val="20"/>
          <w:szCs w:val="20"/>
          <w:lang w:val="es-CO"/>
          <w14:ligatures w14:val="standardContextual"/>
        </w:rPr>
        <w:t>B</w:t>
      </w:r>
      <w:r w:rsidR="00124924" w:rsidRPr="00997A8F">
        <w:rPr>
          <w:rFonts w:ascii="Cambria" w:eastAsiaTheme="minorHAnsi" w:hAnsi="Cambria" w:cs="Cambria"/>
          <w:sz w:val="20"/>
          <w:szCs w:val="20"/>
          <w:lang w:val="es-CO"/>
          <w14:ligatures w14:val="standardContextual"/>
        </w:rPr>
        <w:t>illar</w:t>
      </w:r>
      <w:r w:rsidR="00D10DD3" w:rsidRPr="00997A8F">
        <w:rPr>
          <w:rFonts w:ascii="Cambria" w:eastAsiaTheme="minorHAnsi" w:hAnsi="Cambria" w:cs="Cambria"/>
          <w:sz w:val="20"/>
          <w:szCs w:val="20"/>
          <w:lang w:val="es-CO"/>
          <w14:ligatures w14:val="standardContextual"/>
        </w:rPr>
        <w:t>.</w:t>
      </w:r>
      <w:r w:rsidR="00124924" w:rsidRPr="00997A8F">
        <w:rPr>
          <w:rFonts w:ascii="SymbolMT" w:eastAsiaTheme="minorHAnsi" w:hAnsi="SymbolMT" w:cs="SymbolMT"/>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En la cancha de mini-tejo, Germán León Quintero intentó huir y fue disparado en la pierna por</w:t>
      </w:r>
      <w:r w:rsidR="00D10DD3" w:rsidRPr="00997A8F">
        <w:rPr>
          <w:rFonts w:ascii="Cambria" w:eastAsiaTheme="minorHAnsi" w:hAnsi="Cambria" w:cs="Cambria"/>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uno de los paramilitares, y posteriormente acribillado y asesinado. Asimismo, los paramilitares obligaron</w:t>
      </w:r>
      <w:r w:rsidR="00D10DD3" w:rsidRPr="00997A8F">
        <w:rPr>
          <w:rFonts w:ascii="Cambria" w:eastAsiaTheme="minorHAnsi" w:hAnsi="Cambria" w:cs="Cambria"/>
          <w:sz w:val="20"/>
          <w:szCs w:val="20"/>
          <w:lang w:val="es-CO"/>
          <w14:ligatures w14:val="standardContextual"/>
        </w:rPr>
        <w:t xml:space="preserve"> </w:t>
      </w:r>
      <w:r w:rsidR="00124924" w:rsidRPr="00997A8F">
        <w:rPr>
          <w:rFonts w:ascii="Cambria" w:eastAsiaTheme="minorHAnsi" w:hAnsi="Cambria" w:cs="Cambria"/>
          <w:sz w:val="20"/>
          <w:szCs w:val="20"/>
          <w:lang w:val="es-CO"/>
          <w14:ligatures w14:val="standardContextual"/>
        </w:rPr>
        <w:t>a subirse a uno de los vehículos en que se movilizaban</w:t>
      </w:r>
      <w:r w:rsidR="00D10DD3" w:rsidRPr="00997A8F">
        <w:rPr>
          <w:rFonts w:ascii="Cambria" w:eastAsiaTheme="minorHAnsi" w:hAnsi="Cambria" w:cs="Cambria"/>
          <w:sz w:val="20"/>
          <w:szCs w:val="20"/>
          <w:lang w:val="es-CO"/>
          <w14:ligatures w14:val="standardContextual"/>
        </w:rPr>
        <w:t xml:space="preserve"> </w:t>
      </w:r>
      <w:r w:rsidR="00136E0E" w:rsidRPr="00997A8F">
        <w:rPr>
          <w:rFonts w:ascii="Cambria" w:eastAsiaTheme="minorHAnsi" w:hAnsi="Cambria" w:cs="Cambria"/>
          <w:sz w:val="20"/>
          <w:szCs w:val="20"/>
          <w:lang w:val="es-CO"/>
          <w14:ligatures w14:val="standardContextual"/>
        </w:rPr>
        <w:t xml:space="preserve">a </w:t>
      </w:r>
      <w:r w:rsidR="00124924" w:rsidRPr="00997A8F">
        <w:rPr>
          <w:rFonts w:ascii="Cambria" w:eastAsiaTheme="minorHAnsi" w:hAnsi="Cambria" w:cs="Cambria"/>
          <w:sz w:val="20"/>
          <w:szCs w:val="20"/>
          <w:lang w:val="es-CO"/>
          <w14:ligatures w14:val="standardContextual"/>
        </w:rPr>
        <w:t>Melquisedec Salamanca</w:t>
      </w:r>
      <w:r w:rsidR="00E142C4" w:rsidRPr="00997A8F">
        <w:rPr>
          <w:rFonts w:ascii="Cambria" w:eastAsiaTheme="minorHAnsi" w:hAnsi="Cambria" w:cs="Cambria"/>
          <w:sz w:val="20"/>
          <w:szCs w:val="20"/>
          <w:lang w:val="es-CO"/>
          <w14:ligatures w14:val="standardContextual"/>
        </w:rPr>
        <w:t xml:space="preserve"> Quintero</w:t>
      </w:r>
      <w:r w:rsidR="00D10DD3"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Carlos Arturo Alaixt Prada y Carlos Enrique Escobar Jiménez</w:t>
      </w:r>
      <w:r w:rsidR="00D10DD3" w:rsidRPr="00997A8F">
        <w:rPr>
          <w:rFonts w:ascii="Cambria" w:eastAsiaTheme="minorHAnsi" w:hAnsi="Cambria" w:cs="Cambria"/>
          <w:sz w:val="20"/>
          <w:szCs w:val="20"/>
          <w:lang w:val="es-CO"/>
          <w14:ligatures w14:val="standardContextual"/>
        </w:rPr>
        <w:t xml:space="preserve">, éste último de </w:t>
      </w:r>
      <w:r w:rsidR="00E142C4" w:rsidRPr="00997A8F">
        <w:rPr>
          <w:rFonts w:ascii="Cambria" w:eastAsiaTheme="minorHAnsi" w:hAnsi="Cambria" w:cs="Cambria"/>
          <w:sz w:val="20"/>
          <w:szCs w:val="20"/>
          <w:lang w:val="es-CO"/>
          <w14:ligatures w14:val="standardContextual"/>
        </w:rPr>
        <w:t>17</w:t>
      </w:r>
      <w:r w:rsidR="00D10DD3"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años.</w:t>
      </w:r>
      <w:r w:rsidR="00E142C4" w:rsidRPr="00997A8F">
        <w:rPr>
          <w:rFonts w:ascii="SymbolMT" w:eastAsiaTheme="minorHAnsi" w:hAnsi="SymbolMT" w:cs="SymbolMT"/>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En el salón de billar, los paramilitares obligaron a subirse a uno de los vehículos en que se movilizaban a</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las siguientes personas</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Daniel Campos Pérez</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Juan Carlos Rodríguez Arenas</w:t>
      </w:r>
      <w:r w:rsidR="00216D3E" w:rsidRPr="00997A8F">
        <w:rPr>
          <w:rFonts w:ascii="Cambria" w:eastAsiaTheme="minorHAnsi" w:hAnsi="Cambria" w:cs="Cambria"/>
          <w:sz w:val="20"/>
          <w:szCs w:val="20"/>
          <w:lang w:val="es-CO"/>
          <w14:ligatures w14:val="standardContextual"/>
        </w:rPr>
        <w:t xml:space="preserve">, </w:t>
      </w:r>
      <w:r w:rsidR="00E142C4" w:rsidRPr="00997A8F">
        <w:rPr>
          <w:rFonts w:ascii="Cambria" w:eastAsiaTheme="minorHAnsi" w:hAnsi="Cambria" w:cs="Cambria"/>
          <w:sz w:val="20"/>
          <w:szCs w:val="20"/>
          <w:lang w:val="es-CO"/>
          <w14:ligatures w14:val="standardContextual"/>
        </w:rPr>
        <w:t>Luis Jesús Arguello Solano y Diomidio Hernández Pérez.</w:t>
      </w:r>
    </w:p>
    <w:p w14:paraId="6A0159F8" w14:textId="77777777" w:rsidR="00216D3E" w:rsidRPr="00997A8F" w:rsidRDefault="00216D3E" w:rsidP="001C624A">
      <w:pPr>
        <w:autoSpaceDE w:val="0"/>
        <w:autoSpaceDN w:val="0"/>
        <w:adjustRightInd w:val="0"/>
        <w:spacing w:after="0" w:line="240" w:lineRule="auto"/>
        <w:jc w:val="both"/>
        <w:rPr>
          <w:rFonts w:ascii="SymbolMT" w:eastAsiaTheme="minorHAnsi" w:hAnsi="SymbolMT" w:cs="SymbolMT"/>
          <w:sz w:val="20"/>
          <w:szCs w:val="20"/>
          <w:lang w:val="es-CO"/>
          <w14:ligatures w14:val="standardContextual"/>
        </w:rPr>
      </w:pPr>
    </w:p>
    <w:p w14:paraId="1FD6DE06" w14:textId="4E5E0F16" w:rsidR="00636228"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636228" w:rsidRPr="00997A8F">
        <w:rPr>
          <w:rFonts w:ascii="Cambria" w:eastAsiaTheme="minorHAnsi" w:hAnsi="Cambria" w:cs="Cambria"/>
          <w:sz w:val="20"/>
          <w:szCs w:val="20"/>
          <w:lang w:val="es-CO"/>
          <w14:ligatures w14:val="standardContextual"/>
        </w:rPr>
        <w:t xml:space="preserve">Las AUSAC se dirigieron </w:t>
      </w:r>
      <w:r w:rsidR="00216D3E" w:rsidRPr="00997A8F">
        <w:rPr>
          <w:rFonts w:ascii="Cambria" w:eastAsiaTheme="minorHAnsi" w:hAnsi="Cambria" w:cs="Cambria"/>
          <w:sz w:val="20"/>
          <w:szCs w:val="20"/>
          <w:lang w:val="es-CO"/>
          <w14:ligatures w14:val="standardContextual"/>
        </w:rPr>
        <w:t xml:space="preserve">posteriormente </w:t>
      </w:r>
      <w:r w:rsidR="00636228" w:rsidRPr="00997A8F">
        <w:rPr>
          <w:rFonts w:ascii="Cambria" w:eastAsiaTheme="minorHAnsi" w:hAnsi="Cambria" w:cs="Cambria"/>
          <w:sz w:val="20"/>
          <w:szCs w:val="20"/>
          <w:lang w:val="es-CO"/>
          <w14:ligatures w14:val="standardContextual"/>
        </w:rPr>
        <w:t>al barrio La Esperanza y obligaron a subirse a uno de los vehículos en que se</w:t>
      </w:r>
      <w:r w:rsidR="006F50FF"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movilizaban a Eliécer Quintero Orozco, Nehir Enrique Guzmán Lázaro y Luis Fernando</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Suárez Suárez. Asimismo, obligaron a Ricky Nelson García y Wilson Pacheco Quiroz</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a bajarse de sus motocicletas y también fueron ingresados a uno de sus vehículos.</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Una vez que llegaron al barrio La Esperanza los paramilitares asesinaron a Nehir Enrique Guzmán Lázaro</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Luego de una hora y media desde su ingreso a Barrancabermeja, las AUSAC regresaron por la entrada</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donde debía encontrarse la base El Retén.</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Los paramilitares se acercaron a un restaurante donde retuvieron y obligaron a subir a sus vehículos a</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Gary Pinedo Rangel.</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Los paramilitares asesinaron a Luis Jesús Arguello Solano, Diomidio Hernández Pérez, Eliecer Javier</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Quintero Orozco y José Javier Jaramillo Díaz, quienes fueron retenidos previamente. Los</w:t>
      </w:r>
      <w:r w:rsidR="00216D3E" w:rsidRPr="00997A8F">
        <w:rPr>
          <w:rFonts w:ascii="Cambria" w:eastAsiaTheme="minorHAnsi" w:hAnsi="Cambria" w:cs="Cambria"/>
          <w:sz w:val="20"/>
          <w:szCs w:val="20"/>
          <w:lang w:val="es-CO"/>
          <w14:ligatures w14:val="standardContextual"/>
        </w:rPr>
        <w:t xml:space="preserve"> </w:t>
      </w:r>
      <w:r w:rsidR="00636228" w:rsidRPr="00997A8F">
        <w:rPr>
          <w:rFonts w:ascii="Cambria" w:eastAsiaTheme="minorHAnsi" w:hAnsi="Cambria" w:cs="Cambria"/>
          <w:sz w:val="20"/>
          <w:szCs w:val="20"/>
          <w:lang w:val="es-CO"/>
          <w14:ligatures w14:val="standardContextual"/>
        </w:rPr>
        <w:t>cuerpos de estas personas fueron encontrados al día siguiente.</w:t>
      </w:r>
      <w:r w:rsidR="00083E7F" w:rsidRPr="00997A8F">
        <w:rPr>
          <w:rFonts w:ascii="Cambria" w:eastAsiaTheme="minorHAnsi" w:hAnsi="Cambria" w:cs="Cambria"/>
          <w:sz w:val="20"/>
          <w:szCs w:val="20"/>
          <w:lang w:val="es-CO"/>
          <w14:ligatures w14:val="standardContextual"/>
        </w:rPr>
        <w:t xml:space="preserve"> Finalmente, l</w:t>
      </w:r>
      <w:r w:rsidR="00636228" w:rsidRPr="00997A8F">
        <w:rPr>
          <w:rFonts w:ascii="Cambria" w:eastAsiaTheme="minorHAnsi" w:hAnsi="Cambria" w:cs="Cambria"/>
          <w:sz w:val="20"/>
          <w:szCs w:val="20"/>
          <w:lang w:val="es-CO"/>
          <w14:ligatures w14:val="standardContextual"/>
        </w:rPr>
        <w:t>as AUSAC se dirigieron rumbo a la ciudad de Bucaramanga.</w:t>
      </w:r>
    </w:p>
    <w:p w14:paraId="02F00256" w14:textId="77777777" w:rsidR="00792A4D" w:rsidRPr="00997A8F" w:rsidRDefault="00792A4D" w:rsidP="001C624A">
      <w:pPr>
        <w:tabs>
          <w:tab w:val="left" w:pos="360"/>
          <w:tab w:val="left" w:pos="1440"/>
        </w:tabs>
        <w:spacing w:after="0" w:line="240" w:lineRule="auto"/>
        <w:jc w:val="both"/>
        <w:rPr>
          <w:rFonts w:ascii="Cambria" w:eastAsia="Arial Unicode MS" w:hAnsi="Cambria"/>
          <w:sz w:val="20"/>
          <w:szCs w:val="20"/>
          <w:bdr w:val="nil"/>
          <w:lang w:val="es-CO"/>
        </w:rPr>
      </w:pPr>
    </w:p>
    <w:p w14:paraId="05885B48" w14:textId="09758DBF" w:rsidR="006F50FF" w:rsidRPr="00997A8F" w:rsidRDefault="00730714" w:rsidP="001C624A">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6F50FF" w:rsidRPr="00997A8F">
        <w:rPr>
          <w:rFonts w:ascii="Cambria" w:eastAsia="Arial Unicode MS" w:hAnsi="Cambria"/>
          <w:sz w:val="20"/>
          <w:szCs w:val="20"/>
          <w:bdr w:val="nil"/>
          <w:lang w:val="es-CO"/>
        </w:rPr>
        <w:t>Diversas declaraciones hicieron referencia al vínculo entre las AUSAC y la Fuerza Pública de Barrancabermeja para cometer los actos ocurridos el 16 de mayo de 1998.</w:t>
      </w:r>
    </w:p>
    <w:p w14:paraId="2B59B7CB" w14:textId="77777777" w:rsidR="00083E7F" w:rsidRPr="00997A8F" w:rsidRDefault="00083E7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4F9D7626" w14:textId="7DCB8830" w:rsidR="0006783F"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083E7F" w:rsidRPr="00997A8F">
        <w:rPr>
          <w:rFonts w:ascii="Cambria" w:eastAsiaTheme="minorHAnsi" w:hAnsi="Cambria" w:cs="Cambria"/>
          <w:sz w:val="20"/>
          <w:szCs w:val="20"/>
          <w:lang w:val="es-CO"/>
          <w14:ligatures w14:val="standardContextual"/>
        </w:rPr>
        <w:t>D</w:t>
      </w:r>
      <w:r w:rsidR="0006783F" w:rsidRPr="00997A8F">
        <w:rPr>
          <w:rFonts w:ascii="Cambria" w:eastAsiaTheme="minorHAnsi" w:hAnsi="Cambria" w:cs="Cambria"/>
          <w:sz w:val="20"/>
          <w:szCs w:val="20"/>
          <w:lang w:val="es-CO"/>
          <w14:ligatures w14:val="standardContextual"/>
        </w:rPr>
        <w:t>urante la</w:t>
      </w:r>
      <w:r w:rsidR="00083E7F" w:rsidRPr="00997A8F">
        <w:rPr>
          <w:rFonts w:ascii="Cambria" w:eastAsiaTheme="minorHAnsi" w:hAnsi="Cambria" w:cs="Cambria"/>
          <w:sz w:val="20"/>
          <w:szCs w:val="20"/>
          <w:lang w:val="es-CO"/>
          <w14:ligatures w14:val="standardContextual"/>
        </w:rPr>
        <w:t xml:space="preserve"> </w:t>
      </w:r>
      <w:r w:rsidR="0006783F" w:rsidRPr="00997A8F">
        <w:rPr>
          <w:rFonts w:ascii="Cambria" w:eastAsiaTheme="minorHAnsi" w:hAnsi="Cambria" w:cs="Cambria"/>
          <w:sz w:val="20"/>
          <w:szCs w:val="20"/>
          <w:lang w:val="es-CO"/>
          <w14:ligatures w14:val="standardContextual"/>
        </w:rPr>
        <w:t>incursión de las AUSAC, los familiares de las personas retenidas denunciaron lo sucedido ante autoridades</w:t>
      </w:r>
      <w:r w:rsidR="00083E7F" w:rsidRPr="00997A8F">
        <w:rPr>
          <w:rFonts w:ascii="Cambria" w:eastAsiaTheme="minorHAnsi" w:hAnsi="Cambria" w:cs="Cambria"/>
          <w:sz w:val="20"/>
          <w:szCs w:val="20"/>
          <w:lang w:val="es-CO"/>
          <w14:ligatures w14:val="standardContextual"/>
        </w:rPr>
        <w:t xml:space="preserve"> </w:t>
      </w:r>
      <w:r w:rsidR="0006783F" w:rsidRPr="00997A8F">
        <w:rPr>
          <w:rFonts w:ascii="Cambria" w:eastAsiaTheme="minorHAnsi" w:hAnsi="Cambria" w:cs="Cambria"/>
          <w:sz w:val="20"/>
          <w:szCs w:val="20"/>
          <w:lang w:val="es-CO"/>
          <w14:ligatures w14:val="standardContextual"/>
        </w:rPr>
        <w:t>policiales, el DAS y el ejército colombiano</w:t>
      </w:r>
      <w:r w:rsidR="00083E7F" w:rsidRPr="00997A8F">
        <w:rPr>
          <w:rFonts w:ascii="Cambria" w:eastAsiaTheme="minorHAnsi" w:hAnsi="Cambria" w:cs="Cambria"/>
          <w:sz w:val="20"/>
          <w:szCs w:val="20"/>
          <w:lang w:val="es-CO"/>
          <w14:ligatures w14:val="standardContextual"/>
        </w:rPr>
        <w:t>. D</w:t>
      </w:r>
      <w:r w:rsidR="00A11040" w:rsidRPr="00997A8F">
        <w:rPr>
          <w:rFonts w:ascii="Cambria" w:eastAsiaTheme="minorHAnsi" w:hAnsi="Cambria" w:cs="Cambria"/>
          <w:sz w:val="20"/>
          <w:szCs w:val="20"/>
          <w:lang w:val="es-CO"/>
          <w14:ligatures w14:val="standardContextual"/>
        </w:rPr>
        <w:t>e acuerdo a declaraciones de testigos los agentes policiales “no realizaron ningún</w:t>
      </w:r>
      <w:r w:rsidR="00083E7F" w:rsidRPr="00997A8F">
        <w:rPr>
          <w:rFonts w:ascii="Cambria" w:eastAsiaTheme="minorHAnsi" w:hAnsi="Cambria" w:cs="Cambria"/>
          <w:sz w:val="20"/>
          <w:szCs w:val="20"/>
          <w:lang w:val="es-CO"/>
          <w14:ligatures w14:val="standardContextual"/>
        </w:rPr>
        <w:t xml:space="preserve"> </w:t>
      </w:r>
      <w:r w:rsidR="00A11040" w:rsidRPr="00997A8F">
        <w:rPr>
          <w:rFonts w:ascii="Cambria" w:eastAsiaTheme="minorHAnsi" w:hAnsi="Cambria" w:cs="Cambria"/>
          <w:sz w:val="20"/>
          <w:szCs w:val="20"/>
          <w:lang w:val="es-CO"/>
          <w14:ligatures w14:val="standardContextual"/>
        </w:rPr>
        <w:t>operativo tendiente a capturar a los responsables y rescatar a los</w:t>
      </w:r>
      <w:r w:rsidR="00083E7F" w:rsidRPr="00997A8F">
        <w:rPr>
          <w:rFonts w:ascii="Cambria" w:eastAsiaTheme="minorHAnsi" w:hAnsi="Cambria" w:cs="Cambria"/>
          <w:sz w:val="20"/>
          <w:szCs w:val="20"/>
          <w:lang w:val="es-CO"/>
          <w14:ligatures w14:val="standardContextual"/>
        </w:rPr>
        <w:t xml:space="preserve"> </w:t>
      </w:r>
      <w:r w:rsidR="00A11040" w:rsidRPr="00997A8F">
        <w:rPr>
          <w:rFonts w:ascii="Cambria" w:eastAsiaTheme="minorHAnsi" w:hAnsi="Cambria" w:cs="Cambria"/>
          <w:sz w:val="20"/>
          <w:szCs w:val="20"/>
          <w:lang w:val="es-CO"/>
          <w14:ligatures w14:val="standardContextual"/>
        </w:rPr>
        <w:t>secuestrados”</w:t>
      </w:r>
      <w:r w:rsidR="001E4C58" w:rsidRPr="00997A8F">
        <w:rPr>
          <w:rFonts w:ascii="Cambria" w:eastAsiaTheme="minorHAnsi" w:hAnsi="Cambria" w:cs="Cambria"/>
          <w:sz w:val="20"/>
          <w:szCs w:val="20"/>
          <w:lang w:val="es-CO"/>
          <w14:ligatures w14:val="standardContextual"/>
        </w:rPr>
        <w:t>.</w:t>
      </w:r>
    </w:p>
    <w:p w14:paraId="21308CAF" w14:textId="77777777" w:rsidR="00083E7F" w:rsidRPr="00997A8F" w:rsidRDefault="00083E7F"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3DB11913" w14:textId="0434954C" w:rsidR="0050640D"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tab/>
      </w:r>
      <w:r w:rsidR="00083E7F" w:rsidRPr="00997A8F">
        <w:rPr>
          <w:rFonts w:ascii="Cambria" w:eastAsiaTheme="minorHAnsi" w:hAnsi="Cambria" w:cs="Cambria"/>
          <w:sz w:val="20"/>
          <w:szCs w:val="20"/>
          <w:lang w:val="es-CO"/>
          <w14:ligatures w14:val="standardContextual"/>
        </w:rPr>
        <w:t>E</w:t>
      </w:r>
      <w:r w:rsidR="009B56E6" w:rsidRPr="00997A8F">
        <w:rPr>
          <w:rFonts w:ascii="Cambria" w:eastAsiaTheme="minorHAnsi" w:hAnsi="Cambria" w:cs="Cambria"/>
          <w:sz w:val="20"/>
          <w:szCs w:val="20"/>
          <w:lang w:val="es-CO"/>
          <w14:ligatures w14:val="standardContextual"/>
        </w:rPr>
        <w:t>l 18 de mayo de 1998 la Unidad Nacional de Derechos Humanos de la Fiscalía</w:t>
      </w:r>
      <w:r w:rsidR="00083E7F" w:rsidRPr="00997A8F">
        <w:rPr>
          <w:rFonts w:ascii="Cambria" w:eastAsiaTheme="minorHAnsi" w:hAnsi="Cambria" w:cs="Cambria"/>
          <w:sz w:val="20"/>
          <w:szCs w:val="20"/>
          <w:lang w:val="es-CO"/>
          <w14:ligatures w14:val="standardContextual"/>
        </w:rPr>
        <w:t xml:space="preserve"> </w:t>
      </w:r>
      <w:r w:rsidR="009B56E6" w:rsidRPr="00997A8F">
        <w:rPr>
          <w:rFonts w:ascii="Cambria" w:eastAsiaTheme="minorHAnsi" w:hAnsi="Cambria" w:cs="Cambria"/>
          <w:sz w:val="20"/>
          <w:szCs w:val="20"/>
          <w:lang w:val="es-CO"/>
          <w14:ligatures w14:val="standardContextual"/>
        </w:rPr>
        <w:t>General de la Nación inició una investigación por los hechos ocurridos</w:t>
      </w:r>
      <w:r w:rsidR="00083E7F" w:rsidRPr="00997A8F">
        <w:rPr>
          <w:rFonts w:ascii="Cambria" w:eastAsiaTheme="minorHAnsi" w:hAnsi="Cambria" w:cs="Cambria"/>
          <w:sz w:val="20"/>
          <w:szCs w:val="20"/>
          <w:lang w:val="es-CO"/>
          <w14:ligatures w14:val="standardContextual"/>
        </w:rPr>
        <w:t>.</w:t>
      </w:r>
      <w:r w:rsidR="009B56E6" w:rsidRPr="00997A8F">
        <w:rPr>
          <w:rFonts w:ascii="Cambria" w:eastAsiaTheme="minorHAnsi" w:hAnsi="Cambria" w:cs="Cambria"/>
          <w:sz w:val="20"/>
          <w:szCs w:val="20"/>
          <w:lang w:val="es-CO"/>
          <w14:ligatures w14:val="standardContextual"/>
        </w:rPr>
        <w:t xml:space="preserve"> El 29 de julio la Unidad emitió una resolución en donde abrió el sumario</w:t>
      </w:r>
      <w:r w:rsidR="00D41257" w:rsidRPr="00997A8F">
        <w:rPr>
          <w:rFonts w:ascii="Cambria" w:eastAsiaTheme="minorHAnsi" w:hAnsi="Cambria" w:cs="Cambria"/>
          <w:sz w:val="20"/>
          <w:szCs w:val="20"/>
          <w:lang w:val="es-CO"/>
          <w14:ligatures w14:val="standardContextual"/>
        </w:rPr>
        <w:t xml:space="preserve"> y </w:t>
      </w:r>
      <w:r w:rsidR="0050640D" w:rsidRPr="00997A8F">
        <w:rPr>
          <w:rFonts w:ascii="Cambria" w:eastAsiaTheme="minorHAnsi" w:hAnsi="Cambria" w:cs="Cambria"/>
          <w:sz w:val="20"/>
          <w:szCs w:val="20"/>
          <w:lang w:val="es-CO"/>
          <w14:ligatures w14:val="standardContextual"/>
        </w:rPr>
        <w:t>dispuso la</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vinculación al proceso del Cabo Segundo del Ejército Nacional Rodrigo Pérez Pérez, miembro del Batallón de</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 xml:space="preserve">Artillería y Defensa Antiaérea No. 2 de Nueva Granada, </w:t>
      </w:r>
      <w:r w:rsidR="000060F4" w:rsidRPr="00997A8F">
        <w:rPr>
          <w:rFonts w:ascii="Cambria" w:eastAsiaTheme="minorHAnsi" w:hAnsi="Cambria" w:cs="Cambria"/>
          <w:sz w:val="20"/>
          <w:szCs w:val="20"/>
          <w:lang w:val="es-CO"/>
          <w14:ligatures w14:val="standardContextual"/>
        </w:rPr>
        <w:t xml:space="preserve">quien </w:t>
      </w:r>
      <w:r w:rsidR="0032334B" w:rsidRPr="00997A8F">
        <w:rPr>
          <w:rFonts w:ascii="Cambria" w:eastAsiaTheme="minorHAnsi" w:hAnsi="Cambria" w:cs="Cambria"/>
          <w:sz w:val="20"/>
          <w:szCs w:val="20"/>
          <w:lang w:val="es-CO"/>
          <w14:ligatures w14:val="standardContextual"/>
        </w:rPr>
        <w:t xml:space="preserve">según declaraciones de testigos, fue una de las personas que participó en los hechos juntos con la AUSAC, </w:t>
      </w:r>
      <w:r w:rsidR="0050640D" w:rsidRPr="00997A8F">
        <w:rPr>
          <w:rFonts w:ascii="Cambria" w:eastAsiaTheme="minorHAnsi" w:hAnsi="Cambria" w:cs="Cambria"/>
          <w:sz w:val="20"/>
          <w:szCs w:val="20"/>
          <w:lang w:val="es-CO"/>
          <w14:ligatures w14:val="standardContextual"/>
        </w:rPr>
        <w:t>por los delitos de homicidio múltiple agravado y</w:t>
      </w:r>
      <w:r w:rsidR="00D41257" w:rsidRPr="00997A8F">
        <w:rPr>
          <w:rFonts w:ascii="Cambria" w:eastAsiaTheme="minorHAnsi" w:hAnsi="Cambria" w:cs="Cambria"/>
          <w:sz w:val="20"/>
          <w:szCs w:val="20"/>
          <w:lang w:val="es-CO"/>
          <w14:ligatures w14:val="standardContextual"/>
        </w:rPr>
        <w:t xml:space="preserve"> </w:t>
      </w:r>
      <w:r w:rsidR="0050640D" w:rsidRPr="00997A8F">
        <w:rPr>
          <w:rFonts w:ascii="Cambria" w:eastAsiaTheme="minorHAnsi" w:hAnsi="Cambria" w:cs="Cambria"/>
          <w:sz w:val="20"/>
          <w:szCs w:val="20"/>
          <w:lang w:val="es-CO"/>
          <w14:ligatures w14:val="standardContextual"/>
        </w:rPr>
        <w:t xml:space="preserve">secuestro extorsivo. </w:t>
      </w:r>
      <w:r w:rsidR="00510825" w:rsidRPr="00997A8F">
        <w:rPr>
          <w:rFonts w:ascii="Cambria" w:eastAsiaTheme="minorHAnsi" w:hAnsi="Cambria" w:cs="Cambria"/>
          <w:sz w:val="20"/>
          <w:szCs w:val="20"/>
          <w:lang w:val="es-CO"/>
          <w14:ligatures w14:val="standardContextual"/>
        </w:rPr>
        <w:t xml:space="preserve">Sin embargo, el 29 de noviembre de 2001 la Unidad Nacional de Derechos Humanos emitió una resolución de preclusión de la investigación en contra del señor Pérez. </w:t>
      </w:r>
    </w:p>
    <w:p w14:paraId="65E0CDCD" w14:textId="77777777" w:rsidR="00F97463" w:rsidRPr="00997A8F" w:rsidRDefault="00F97463" w:rsidP="001C624A">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196818E6" w14:textId="705041D3" w:rsidR="00DB5EF8"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Theme="minorHAnsi" w:hAnsi="Cambria" w:cs="Cambria"/>
          <w:sz w:val="20"/>
          <w:szCs w:val="20"/>
          <w:lang w:val="es-CO"/>
          <w14:ligatures w14:val="standardContextual"/>
        </w:rPr>
        <w:lastRenderedPageBreak/>
        <w:tab/>
      </w:r>
      <w:r w:rsidR="00F97463" w:rsidRPr="00997A8F">
        <w:rPr>
          <w:rFonts w:ascii="Cambria" w:eastAsiaTheme="minorHAnsi" w:hAnsi="Cambria" w:cs="Cambria"/>
          <w:sz w:val="20"/>
          <w:szCs w:val="20"/>
          <w:lang w:val="es-CO"/>
          <w14:ligatures w14:val="standardContextual"/>
        </w:rPr>
        <w:t>Por su parte la Unidad se negó a vincular oportunamente al proceso penal a diversos agentes militares que habrían participado del levantamiento de la base “El Retén” el día de los hechos. La Unidad se limitó a señalar que no existían indicios</w:t>
      </w:r>
      <w:r w:rsidR="00F0435D" w:rsidRPr="00997A8F">
        <w:rPr>
          <w:rFonts w:ascii="Cambria" w:eastAsiaTheme="minorHAnsi" w:hAnsi="Cambria" w:cs="Cambria"/>
          <w:sz w:val="20"/>
          <w:szCs w:val="20"/>
          <w:lang w:val="es-CO"/>
          <w14:ligatures w14:val="standardContextual"/>
        </w:rPr>
        <w:t xml:space="preserve"> </w:t>
      </w:r>
      <w:r w:rsidR="00F97463" w:rsidRPr="00997A8F">
        <w:rPr>
          <w:rFonts w:ascii="Cambria" w:eastAsiaTheme="minorHAnsi" w:hAnsi="Cambria" w:cs="Cambria"/>
          <w:sz w:val="20"/>
          <w:szCs w:val="20"/>
          <w:lang w:val="es-CO"/>
          <w14:ligatures w14:val="standardContextual"/>
        </w:rPr>
        <w:t>para demostrar que sabían lo que iba a ocurrir.</w:t>
      </w:r>
      <w:r w:rsidR="00DB5EF8" w:rsidRPr="00997A8F">
        <w:rPr>
          <w:rFonts w:ascii="Cambria" w:eastAsiaTheme="minorHAnsi" w:hAnsi="Cambria" w:cs="Cambria"/>
          <w:sz w:val="20"/>
          <w:szCs w:val="20"/>
          <w:lang w:val="es-CO"/>
          <w14:ligatures w14:val="standardContextual"/>
        </w:rPr>
        <w:t xml:space="preserve"> </w:t>
      </w:r>
    </w:p>
    <w:p w14:paraId="5EADA4DF" w14:textId="77777777" w:rsidR="00770204" w:rsidRPr="00997A8F" w:rsidRDefault="00770204" w:rsidP="009D233C">
      <w:pPr>
        <w:autoSpaceDE w:val="0"/>
        <w:autoSpaceDN w:val="0"/>
        <w:adjustRightInd w:val="0"/>
        <w:spacing w:after="0" w:line="240" w:lineRule="auto"/>
        <w:jc w:val="both"/>
        <w:rPr>
          <w:rFonts w:ascii="Cambria" w:hAnsi="Cambria" w:cs="Cambria"/>
          <w:sz w:val="20"/>
          <w:szCs w:val="20"/>
          <w:lang w:val="es-CO"/>
        </w:rPr>
      </w:pPr>
    </w:p>
    <w:p w14:paraId="1F6C5945" w14:textId="51FA24DA" w:rsidR="00DB5EF8"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286461" w:rsidRPr="00997A8F">
        <w:rPr>
          <w:rFonts w:ascii="Cambria" w:hAnsi="Cambria" w:cs="Cambria"/>
          <w:sz w:val="20"/>
          <w:szCs w:val="20"/>
          <w:lang w:val="es-CO"/>
        </w:rPr>
        <w:t>E</w:t>
      </w:r>
      <w:r w:rsidR="005705A6" w:rsidRPr="00997A8F">
        <w:rPr>
          <w:rFonts w:ascii="Cambria" w:hAnsi="Cambria" w:cs="Cambria"/>
          <w:sz w:val="20"/>
          <w:szCs w:val="20"/>
          <w:lang w:val="es-CO"/>
        </w:rPr>
        <w:t>l 30 de marzo de 2006 la Fiscalía</w:t>
      </w:r>
      <w:r w:rsidR="00286461" w:rsidRPr="00997A8F">
        <w:rPr>
          <w:rFonts w:ascii="Cambria" w:hAnsi="Cambria" w:cs="Cambria"/>
          <w:sz w:val="20"/>
          <w:szCs w:val="20"/>
          <w:lang w:val="es-CO"/>
        </w:rPr>
        <w:t xml:space="preserve"> </w:t>
      </w:r>
      <w:r w:rsidR="005705A6" w:rsidRPr="00997A8F">
        <w:rPr>
          <w:rFonts w:ascii="Cambria" w:hAnsi="Cambria" w:cs="Cambria"/>
          <w:sz w:val="20"/>
          <w:szCs w:val="20"/>
          <w:lang w:val="es-CO"/>
        </w:rPr>
        <w:t xml:space="preserve">Delegada ante el Tribunal ordenó vincular a </w:t>
      </w:r>
      <w:r w:rsidR="00DB5EF8" w:rsidRPr="00997A8F">
        <w:rPr>
          <w:rFonts w:ascii="Cambria" w:hAnsi="Cambria" w:cs="Cambria"/>
          <w:sz w:val="20"/>
          <w:szCs w:val="20"/>
          <w:lang w:val="es-CO"/>
        </w:rPr>
        <w:t>seis agentes militares y dos agentes del DAS al proceso</w:t>
      </w:r>
      <w:r w:rsidR="00DD404E" w:rsidRPr="00997A8F">
        <w:rPr>
          <w:rFonts w:ascii="Cambria" w:hAnsi="Cambria" w:cs="Cambria"/>
          <w:sz w:val="20"/>
          <w:szCs w:val="20"/>
          <w:lang w:val="es-CO"/>
        </w:rPr>
        <w:t xml:space="preserve">. El 29 de noviembre de 2013 la Fiscalía Especializada en Derechos Humanos y Derechos Internacional Humanitario resolvió la situación jurídica de los ocho integrantes de la Fuerza Pública que habían sido vinculados a la investigación. La Fiscalía resolvió imponer la detención preventiva en contra de </w:t>
      </w:r>
      <w:r w:rsidR="009D233C" w:rsidRPr="00997A8F">
        <w:rPr>
          <w:rFonts w:ascii="Cambria" w:hAnsi="Cambria" w:cs="Cambria"/>
          <w:sz w:val="20"/>
          <w:szCs w:val="20"/>
          <w:lang w:val="es-CO"/>
        </w:rPr>
        <w:t xml:space="preserve">los seis agentes militares </w:t>
      </w:r>
      <w:r w:rsidR="00DD404E" w:rsidRPr="00997A8F">
        <w:rPr>
          <w:rFonts w:ascii="Cambria" w:hAnsi="Cambria" w:cs="Cambria"/>
          <w:sz w:val="20"/>
          <w:szCs w:val="20"/>
          <w:lang w:val="es-CO"/>
        </w:rPr>
        <w:t>por la coautoría de los delitos de homicidio agravado y</w:t>
      </w:r>
      <w:r w:rsidR="009D233C" w:rsidRPr="00997A8F">
        <w:rPr>
          <w:rFonts w:ascii="Cambria" w:hAnsi="Cambria" w:cs="Cambria"/>
          <w:sz w:val="20"/>
          <w:szCs w:val="20"/>
          <w:lang w:val="es-CO"/>
        </w:rPr>
        <w:t xml:space="preserve"> </w:t>
      </w:r>
      <w:r w:rsidR="00DD404E" w:rsidRPr="00997A8F">
        <w:rPr>
          <w:rFonts w:ascii="Cambria" w:hAnsi="Cambria" w:cs="Cambria"/>
          <w:sz w:val="20"/>
          <w:szCs w:val="20"/>
          <w:lang w:val="es-CO"/>
        </w:rPr>
        <w:t>desaparición forzada y se abstuvo de imponer medida de aseguramiento contra los agentes del DAS</w:t>
      </w:r>
      <w:r w:rsidR="009D233C" w:rsidRPr="00997A8F">
        <w:rPr>
          <w:rFonts w:ascii="Cambria" w:hAnsi="Cambria" w:cs="Cambria"/>
          <w:sz w:val="20"/>
          <w:szCs w:val="20"/>
          <w:lang w:val="es-CO"/>
        </w:rPr>
        <w:t xml:space="preserve">. </w:t>
      </w:r>
    </w:p>
    <w:p w14:paraId="0B5F2FB1" w14:textId="77777777" w:rsidR="00945B1D" w:rsidRPr="00997A8F" w:rsidRDefault="00945B1D" w:rsidP="005F5F74">
      <w:pPr>
        <w:autoSpaceDE w:val="0"/>
        <w:autoSpaceDN w:val="0"/>
        <w:adjustRightInd w:val="0"/>
        <w:spacing w:after="0" w:line="240" w:lineRule="auto"/>
        <w:jc w:val="both"/>
        <w:rPr>
          <w:rFonts w:ascii="Cambria" w:hAnsi="Cambria" w:cs="Cambria"/>
          <w:sz w:val="20"/>
          <w:szCs w:val="20"/>
          <w:lang w:val="es-CO"/>
        </w:rPr>
      </w:pPr>
    </w:p>
    <w:p w14:paraId="09216A3F" w14:textId="046499F0" w:rsidR="009D233C"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945B1D" w:rsidRPr="00997A8F">
        <w:rPr>
          <w:rFonts w:ascii="Cambria" w:hAnsi="Cambria" w:cs="Cambria"/>
          <w:sz w:val="20"/>
          <w:szCs w:val="20"/>
          <w:lang w:val="es-CO"/>
        </w:rPr>
        <w:t>L</w:t>
      </w:r>
      <w:r w:rsidR="005F5F74" w:rsidRPr="00997A8F">
        <w:rPr>
          <w:rFonts w:ascii="Cambria" w:hAnsi="Cambria" w:cs="Cambria"/>
          <w:sz w:val="20"/>
          <w:szCs w:val="20"/>
          <w:lang w:val="es-CO"/>
        </w:rPr>
        <w:t xml:space="preserve">a parte peticionaria sostuvo que, si bien la mayoría de </w:t>
      </w:r>
      <w:r w:rsidR="00AA3A68" w:rsidRPr="00997A8F">
        <w:rPr>
          <w:rFonts w:ascii="Cambria" w:hAnsi="Cambria" w:cs="Cambria"/>
          <w:sz w:val="20"/>
          <w:szCs w:val="20"/>
          <w:lang w:val="es-CO"/>
        </w:rPr>
        <w:t>los oficiales</w:t>
      </w:r>
      <w:r w:rsidR="005F5F74" w:rsidRPr="00997A8F">
        <w:rPr>
          <w:rFonts w:ascii="Cambria" w:hAnsi="Cambria" w:cs="Cambria"/>
          <w:sz w:val="20"/>
          <w:szCs w:val="20"/>
          <w:lang w:val="es-CO"/>
        </w:rPr>
        <w:t xml:space="preserve"> del Ejército</w:t>
      </w:r>
      <w:r w:rsidR="00945B1D" w:rsidRPr="00997A8F">
        <w:rPr>
          <w:rFonts w:ascii="Cambria" w:hAnsi="Cambria" w:cs="Cambria"/>
          <w:sz w:val="20"/>
          <w:szCs w:val="20"/>
          <w:lang w:val="es-CO"/>
        </w:rPr>
        <w:t xml:space="preserve"> </w:t>
      </w:r>
      <w:r w:rsidR="005F5F74" w:rsidRPr="00997A8F">
        <w:rPr>
          <w:rFonts w:ascii="Cambria" w:hAnsi="Cambria" w:cs="Cambria"/>
          <w:sz w:val="20"/>
          <w:szCs w:val="20"/>
          <w:lang w:val="es-CO"/>
        </w:rPr>
        <w:t>y Policía acusados por estos hechos se encuentran privados de la libertad, éste no es el caso del Coronel Joaquín</w:t>
      </w:r>
      <w:r w:rsidR="00945B1D" w:rsidRPr="00997A8F">
        <w:rPr>
          <w:rFonts w:ascii="Cambria" w:hAnsi="Cambria" w:cs="Cambria"/>
          <w:sz w:val="20"/>
          <w:szCs w:val="20"/>
          <w:lang w:val="es-CO"/>
        </w:rPr>
        <w:t xml:space="preserve"> </w:t>
      </w:r>
      <w:r w:rsidR="005F5F74" w:rsidRPr="00997A8F">
        <w:rPr>
          <w:rFonts w:ascii="Cambria" w:hAnsi="Cambria" w:cs="Cambria"/>
          <w:sz w:val="20"/>
          <w:szCs w:val="20"/>
          <w:lang w:val="es-CO"/>
        </w:rPr>
        <w:t>Correa Lopez</w:t>
      </w:r>
      <w:r w:rsidR="00945B1D" w:rsidRPr="00997A8F">
        <w:rPr>
          <w:rFonts w:ascii="Cambria" w:hAnsi="Cambria" w:cs="Cambria"/>
          <w:sz w:val="20"/>
          <w:szCs w:val="20"/>
          <w:lang w:val="es-CO"/>
        </w:rPr>
        <w:t xml:space="preserve">, con respecto al cual no se habrían tomado las </w:t>
      </w:r>
      <w:r w:rsidR="005F5F74" w:rsidRPr="00997A8F">
        <w:rPr>
          <w:rFonts w:ascii="Cambria" w:hAnsi="Cambria" w:cs="Cambria"/>
          <w:sz w:val="20"/>
          <w:szCs w:val="20"/>
          <w:lang w:val="es-CO"/>
        </w:rPr>
        <w:t>acciones necesarias para procurar su captura</w:t>
      </w:r>
      <w:r w:rsidR="00945B1D" w:rsidRPr="00997A8F">
        <w:rPr>
          <w:rFonts w:ascii="Cambria" w:hAnsi="Cambria" w:cs="Cambria"/>
          <w:sz w:val="20"/>
          <w:szCs w:val="20"/>
          <w:lang w:val="es-CO"/>
        </w:rPr>
        <w:t xml:space="preserve">. </w:t>
      </w:r>
    </w:p>
    <w:p w14:paraId="5D21C698" w14:textId="77777777" w:rsidR="00945B1D" w:rsidRPr="00997A8F" w:rsidRDefault="00945B1D" w:rsidP="005F5F74">
      <w:pPr>
        <w:autoSpaceDE w:val="0"/>
        <w:autoSpaceDN w:val="0"/>
        <w:adjustRightInd w:val="0"/>
        <w:spacing w:after="0" w:line="240" w:lineRule="auto"/>
        <w:jc w:val="both"/>
        <w:rPr>
          <w:rFonts w:ascii="Cambria" w:hAnsi="Cambria" w:cs="Cambria"/>
          <w:sz w:val="20"/>
          <w:szCs w:val="20"/>
          <w:lang w:val="es-CO"/>
        </w:rPr>
      </w:pPr>
    </w:p>
    <w:p w14:paraId="53D7A6FA" w14:textId="22723E64" w:rsidR="00DB5EF8"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945B1D" w:rsidRPr="00997A8F">
        <w:rPr>
          <w:rFonts w:ascii="Cambria" w:hAnsi="Cambria" w:cs="Cambria"/>
          <w:sz w:val="20"/>
          <w:szCs w:val="20"/>
          <w:lang w:val="es-CO"/>
        </w:rPr>
        <w:t xml:space="preserve">Por otra parte, </w:t>
      </w:r>
      <w:r w:rsidR="00BA10F2" w:rsidRPr="00997A8F">
        <w:rPr>
          <w:rFonts w:ascii="Cambria" w:hAnsi="Cambria" w:cs="Cambria"/>
          <w:sz w:val="20"/>
          <w:szCs w:val="20"/>
          <w:lang w:val="es-CO"/>
        </w:rPr>
        <w:t>entre junio de 1999 y enero de 2001 la Unidad Nacional de Derechos Humanos de la Fiscalía General de la Nación dictó resoluciones de detención preventiva por los delitos de homicidio múltiple, secuestro extorsivo y paramilitarismo en contra de 4 miembros de las AUSAC. D</w:t>
      </w:r>
      <w:r w:rsidR="00DB5EF8" w:rsidRPr="00997A8F">
        <w:rPr>
          <w:rFonts w:ascii="Cambria" w:hAnsi="Cambria" w:cs="Cambria"/>
          <w:sz w:val="20"/>
          <w:szCs w:val="20"/>
          <w:lang w:val="es-CO"/>
        </w:rPr>
        <w:t xml:space="preserve">e acuerdo con lo informado por el Estado un grupo de paramilitares fueron procesados en el marco de la Ley No. 975 de Justicia y Paz, y se emitieron diversas sentencias anticipadas en su contra. Asimismo, la CIDH </w:t>
      </w:r>
      <w:r w:rsidR="001C624A" w:rsidRPr="00997A8F">
        <w:rPr>
          <w:rFonts w:ascii="Cambria" w:hAnsi="Cambria" w:cs="Cambria"/>
          <w:sz w:val="20"/>
          <w:szCs w:val="20"/>
          <w:lang w:val="es-CO"/>
        </w:rPr>
        <w:t>notó</w:t>
      </w:r>
      <w:r w:rsidR="00DB5EF8" w:rsidRPr="00997A8F">
        <w:rPr>
          <w:rFonts w:ascii="Cambria" w:hAnsi="Cambria" w:cs="Cambria"/>
          <w:sz w:val="20"/>
          <w:szCs w:val="20"/>
          <w:lang w:val="es-CO"/>
        </w:rPr>
        <w:t xml:space="preserve"> que a la fecha continúa el proceso seguido a otros paramilitares, el</w:t>
      </w:r>
      <w:r w:rsidR="001C624A" w:rsidRPr="00997A8F">
        <w:rPr>
          <w:rFonts w:ascii="Cambria" w:hAnsi="Cambria" w:cs="Cambria"/>
          <w:sz w:val="20"/>
          <w:szCs w:val="20"/>
          <w:lang w:val="es-CO"/>
        </w:rPr>
        <w:t xml:space="preserve"> </w:t>
      </w:r>
      <w:r w:rsidR="00DB5EF8" w:rsidRPr="00997A8F">
        <w:rPr>
          <w:rFonts w:ascii="Cambria" w:hAnsi="Cambria" w:cs="Cambria"/>
          <w:sz w:val="20"/>
          <w:szCs w:val="20"/>
          <w:lang w:val="es-CO"/>
        </w:rPr>
        <w:t>cual se encontraría en etapa investigativa.</w:t>
      </w:r>
    </w:p>
    <w:p w14:paraId="3C06BC42" w14:textId="77777777" w:rsidR="008A47B4" w:rsidRPr="00997A8F" w:rsidRDefault="008A47B4" w:rsidP="008A47B4">
      <w:pPr>
        <w:autoSpaceDE w:val="0"/>
        <w:autoSpaceDN w:val="0"/>
        <w:adjustRightInd w:val="0"/>
        <w:spacing w:after="0" w:line="240" w:lineRule="auto"/>
        <w:rPr>
          <w:rFonts w:ascii="Cambria" w:eastAsiaTheme="minorHAnsi" w:hAnsi="Cambria" w:cs="Cambria"/>
          <w:sz w:val="20"/>
          <w:szCs w:val="20"/>
          <w:lang w:val="es-CO"/>
          <w14:ligatures w14:val="standardContextual"/>
        </w:rPr>
      </w:pPr>
    </w:p>
    <w:p w14:paraId="74A0AC59" w14:textId="48A34C21" w:rsidR="0096467E" w:rsidRPr="00997A8F" w:rsidRDefault="00730714" w:rsidP="00730714">
      <w:pPr>
        <w:tabs>
          <w:tab w:val="left" w:pos="360"/>
          <w:tab w:val="left" w:pos="1440"/>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En su Informe de Fondo</w:t>
      </w:r>
      <w:r w:rsidR="00A50A3F" w:rsidRPr="00997A8F">
        <w:rPr>
          <w:rFonts w:ascii="Cambria" w:eastAsia="Arial Unicode MS" w:hAnsi="Cambria"/>
          <w:sz w:val="20"/>
          <w:szCs w:val="20"/>
          <w:bdr w:val="nil"/>
          <w:lang w:val="es-CO"/>
        </w:rPr>
        <w:t xml:space="preserve"> No. 141/21, </w:t>
      </w:r>
      <w:r w:rsidR="0096467E" w:rsidRPr="00997A8F">
        <w:rPr>
          <w:rFonts w:ascii="Cambria" w:eastAsia="Arial Unicode MS" w:hAnsi="Cambria"/>
          <w:sz w:val="20"/>
          <w:szCs w:val="20"/>
          <w:bdr w:val="nil"/>
          <w:lang w:val="es-CO"/>
        </w:rPr>
        <w:t>la CIDH tomó nota de que</w:t>
      </w:r>
      <w:r w:rsidR="00C37FA4"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existen diversos elementos probatorios de que las AUSAC llevaron a cabo coordinaciones con agentes militares para los hechos ocurridos el 16 de mayo de 1998</w:t>
      </w:r>
      <w:r w:rsidR="00C37FA4" w:rsidRPr="00997A8F">
        <w:rPr>
          <w:rFonts w:ascii="Cambria" w:eastAsia="Arial Unicode MS" w:hAnsi="Cambria"/>
          <w:sz w:val="20"/>
          <w:szCs w:val="20"/>
          <w:bdr w:val="nil"/>
          <w:lang w:val="es-CO"/>
        </w:rPr>
        <w:t>, incluyendo el contexto declarado por órganos interamericanos, declaraciones de testigos y paramilitares, informes estatales, informes de organizaciones de la sociedad civil, informes de organizaciones internacionales, entre otros</w:t>
      </w:r>
      <w:r w:rsidR="0096467E" w:rsidRPr="00997A8F">
        <w:rPr>
          <w:rFonts w:ascii="Cambria" w:eastAsia="Arial Unicode MS" w:hAnsi="Cambria"/>
          <w:sz w:val="20"/>
          <w:szCs w:val="20"/>
          <w:bdr w:val="nil"/>
          <w:lang w:val="es-CO"/>
        </w:rPr>
        <w:t xml:space="preserve">. </w:t>
      </w:r>
      <w:r w:rsidR="00DC2360" w:rsidRPr="00997A8F">
        <w:rPr>
          <w:rFonts w:ascii="Cambria" w:eastAsia="Arial Unicode MS" w:hAnsi="Cambria"/>
          <w:sz w:val="20"/>
          <w:szCs w:val="20"/>
          <w:bdr w:val="nil"/>
          <w:lang w:val="es-CO"/>
        </w:rPr>
        <w:t>La Comisión o</w:t>
      </w:r>
      <w:r w:rsidR="0096467E" w:rsidRPr="00997A8F">
        <w:rPr>
          <w:rFonts w:ascii="Cambria" w:eastAsia="Arial Unicode MS" w:hAnsi="Cambria"/>
          <w:sz w:val="20"/>
          <w:szCs w:val="20"/>
          <w:bdr w:val="nil"/>
          <w:lang w:val="es-CO"/>
        </w:rPr>
        <w:t>bservó además que entre los paramilitares había personas usando el uniforme del ejército y del Departamento Administrativo de Seguridad (DAS), y que incluso algunas de las personas que participaron del operativo habrían sido agentes estatales.</w:t>
      </w:r>
    </w:p>
    <w:p w14:paraId="043D6ED6" w14:textId="77777777" w:rsidR="00F7115F" w:rsidRPr="00997A8F" w:rsidRDefault="00F7115F" w:rsidP="0096467E">
      <w:pPr>
        <w:tabs>
          <w:tab w:val="left" w:pos="426"/>
          <w:tab w:val="left" w:pos="1440"/>
        </w:tabs>
        <w:spacing w:after="0" w:line="240" w:lineRule="auto"/>
        <w:jc w:val="both"/>
        <w:rPr>
          <w:rFonts w:ascii="Cambria" w:eastAsia="Arial Unicode MS" w:hAnsi="Cambria"/>
          <w:sz w:val="20"/>
          <w:szCs w:val="20"/>
          <w:bdr w:val="nil"/>
          <w:lang w:val="es-CO"/>
        </w:rPr>
      </w:pPr>
    </w:p>
    <w:p w14:paraId="1215305B" w14:textId="3BAC5CF7" w:rsidR="00A244CD"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eastAsia="Arial Unicode MS" w:hAnsi="Cambria"/>
          <w:sz w:val="20"/>
          <w:szCs w:val="20"/>
          <w:bdr w:val="nil"/>
          <w:lang w:val="es-CO"/>
        </w:rPr>
        <w:tab/>
      </w:r>
      <w:r w:rsidR="00A244CD" w:rsidRPr="00997A8F">
        <w:rPr>
          <w:rFonts w:ascii="Cambria" w:eastAsia="Arial Unicode MS" w:hAnsi="Cambria"/>
          <w:sz w:val="20"/>
          <w:szCs w:val="20"/>
          <w:bdr w:val="nil"/>
          <w:lang w:val="es-CO"/>
        </w:rPr>
        <w:t xml:space="preserve">En consecuencia, por lo hechos ocurridos el 16 de mayo de 1998, la Comisión concluyó que el Estado es responsable por la violación del </w:t>
      </w:r>
      <w:r w:rsidR="00A244CD" w:rsidRPr="00997A8F">
        <w:rPr>
          <w:rFonts w:ascii="Cambria" w:hAnsi="Cambria" w:cs="Cambria"/>
          <w:sz w:val="20"/>
          <w:szCs w:val="20"/>
          <w:lang w:val="es-CO"/>
        </w:rPr>
        <w:t>derecho a la vida, en perjuicio de Julio Rondón Hernández, José Javier Jaramillo Díaz, Germán León Quintero, Diomidio Hernández Pérez, Luis Jesús Arguello Solano, Nehir Enrique Guzmán Lázaro y Eliécer Quintero Orozco. Asimismo, la Comisión consideró que el Estado resulta responsable por la violación a los derechos a la libertad personal, integridad personal, vida y reconocimiento de la personalidad jurídica en perjuicio de Juan de Jesús Valdivieso, José Libardo Londoño Avendaño, José Octavio Osorio, Orlando Martinez Castillo, José Milton Cañas Cano, Diego Fernando Ochoa López, Alejandra María Ochoa López, Giovanny Herrera Cañas, Oswaldo Enrique Vázquez, Ender González Baena, José Reinel Campo Arévalo, Fernando Ardila Landinez, Oscar Leonel Barrera Santa, Robert Wells Gordillo Solano, Wilfredo Pérez Serna, Daniel Campos Pérez, Juan Carlos Rodríguez Arenas, Carlos Enrique Escobar Jiménez, Melquisedec Salamanca Quintero, Carlos Arturo Alaixt Prada, Ricky Nelson García, Luis Fernando Suárez Suárez, Wilson Pacheco Quiroz, Yesid Peña Rodríguez y Gary Pinedo Rangel.</w:t>
      </w:r>
    </w:p>
    <w:p w14:paraId="51ECDBF7" w14:textId="77777777" w:rsidR="00A244CD" w:rsidRPr="00997A8F" w:rsidRDefault="00A244CD" w:rsidP="00A244CD">
      <w:pPr>
        <w:autoSpaceDE w:val="0"/>
        <w:autoSpaceDN w:val="0"/>
        <w:adjustRightInd w:val="0"/>
        <w:spacing w:after="0" w:line="240" w:lineRule="auto"/>
        <w:rPr>
          <w:rFonts w:ascii="Cambria" w:hAnsi="Cambria" w:cs="Cambria"/>
          <w:sz w:val="20"/>
          <w:szCs w:val="20"/>
          <w:lang w:val="es-CO"/>
        </w:rPr>
      </w:pPr>
    </w:p>
    <w:p w14:paraId="06BF6275" w14:textId="5E773FE7" w:rsidR="00A244CD" w:rsidRPr="00997A8F" w:rsidRDefault="00730714" w:rsidP="00730714">
      <w:pPr>
        <w:tabs>
          <w:tab w:val="left" w:pos="360"/>
        </w:tabs>
        <w:autoSpaceDE w:val="0"/>
        <w:autoSpaceDN w:val="0"/>
        <w:adjustRightInd w:val="0"/>
        <w:spacing w:after="0" w:line="240" w:lineRule="auto"/>
        <w:jc w:val="both"/>
        <w:rPr>
          <w:rFonts w:ascii="Cambria" w:hAnsi="Cambria" w:cs="Cambria"/>
          <w:sz w:val="20"/>
          <w:szCs w:val="20"/>
          <w:lang w:val="es-CO"/>
        </w:rPr>
      </w:pPr>
      <w:r w:rsidRPr="00997A8F">
        <w:rPr>
          <w:rFonts w:ascii="Cambria" w:hAnsi="Cambria" w:cs="Cambria"/>
          <w:sz w:val="20"/>
          <w:szCs w:val="20"/>
          <w:lang w:val="es-CO"/>
        </w:rPr>
        <w:tab/>
      </w:r>
      <w:r w:rsidR="00A244CD" w:rsidRPr="00997A8F">
        <w:rPr>
          <w:rFonts w:ascii="Cambria" w:hAnsi="Cambria" w:cs="Cambria"/>
          <w:sz w:val="20"/>
          <w:szCs w:val="20"/>
          <w:lang w:val="es-CO"/>
        </w:rPr>
        <w:t xml:space="preserve">Adicionalmente, la CIDH notó que José Javier Jaramillo Díaz tenía y Carlos Enrique Escobar Jiménez tenían 17 años de edad para la época de los hechos y que Yesid Peña Rodríguez tenía 16 años de edad por lo cual consideró que el Estado desconoció su obligación de protección especial de los niños, sobre todo en un contexto de conflicto armado. </w:t>
      </w:r>
    </w:p>
    <w:p w14:paraId="7B18C6C6" w14:textId="77777777" w:rsidR="00D543CE" w:rsidRPr="00997A8F" w:rsidRDefault="00D543C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6206DE9A" w14:textId="1FDB6865"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Respecto a la investigación de los hechos, la CIDH destacó que diversos familiares y residentes de la zona fueron de manera inmediata a la estación policial a denunciar los hechos. No obstante, durante las primeras semanas ninguna autoridad estatal adoptó medidas a efectos de investigar los hechos, localizar el paradero de las personas desaparecidas, ni actuó con la diligencia mínima para preservar evidencia que vinculaba de manera directa la participación de miembros de las Fuerzas Armadas. En conclusión, la Comisión consideró </w:t>
      </w:r>
      <w:r w:rsidR="0096467E" w:rsidRPr="00997A8F">
        <w:rPr>
          <w:rFonts w:ascii="Cambria" w:eastAsia="Arial Unicode MS" w:hAnsi="Cambria"/>
          <w:sz w:val="20"/>
          <w:szCs w:val="20"/>
          <w:bdr w:val="nil"/>
          <w:lang w:val="es-CO"/>
        </w:rPr>
        <w:lastRenderedPageBreak/>
        <w:t xml:space="preserve">que desde las primeras diligencias el Estado incurrió en omisiones y obstrucciones que dificultaron el conocimiento de la verdad de los hechos y la sanción a los responsables. Además, </w:t>
      </w:r>
      <w:r w:rsidR="00954055" w:rsidRPr="00997A8F">
        <w:rPr>
          <w:rFonts w:ascii="Cambria" w:eastAsia="Arial Unicode MS" w:hAnsi="Cambria"/>
          <w:sz w:val="20"/>
          <w:szCs w:val="20"/>
          <w:bdr w:val="nil"/>
          <w:lang w:val="es-CO"/>
        </w:rPr>
        <w:t xml:space="preserve">la Comisión notó </w:t>
      </w:r>
      <w:r w:rsidR="00DF5FAA" w:rsidRPr="00997A8F">
        <w:rPr>
          <w:rFonts w:ascii="Cambria" w:eastAsia="Arial Unicode MS" w:hAnsi="Cambria"/>
          <w:sz w:val="20"/>
          <w:szCs w:val="20"/>
          <w:bdr w:val="nil"/>
          <w:lang w:val="es-CO"/>
        </w:rPr>
        <w:t>que,</w:t>
      </w:r>
      <w:r w:rsidR="00954055" w:rsidRPr="00997A8F">
        <w:rPr>
          <w:rFonts w:ascii="Cambria" w:eastAsia="Arial Unicode MS" w:hAnsi="Cambria"/>
          <w:sz w:val="20"/>
          <w:szCs w:val="20"/>
          <w:bdr w:val="nil"/>
          <w:lang w:val="es-CO"/>
        </w:rPr>
        <w:t xml:space="preserve"> </w:t>
      </w:r>
      <w:r w:rsidR="0096467E" w:rsidRPr="00997A8F">
        <w:rPr>
          <w:rFonts w:ascii="Cambria" w:eastAsia="Arial Unicode MS" w:hAnsi="Cambria"/>
          <w:sz w:val="20"/>
          <w:szCs w:val="20"/>
          <w:bdr w:val="nil"/>
          <w:lang w:val="es-CO"/>
        </w:rPr>
        <w:t xml:space="preserve">a las semanas de ocurridos los hechos, diversos testigos recibieron amenazas de muerte sin que conste algún tipo de medida específica de protección otorgada para resguardar la vida e integridad de dichas personas, e identificar las causas de riesgo. </w:t>
      </w:r>
    </w:p>
    <w:p w14:paraId="31DD514C" w14:textId="77777777" w:rsidR="00730714"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p>
    <w:p w14:paraId="7831B1DE" w14:textId="1284964C"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54055" w:rsidRPr="00997A8F">
        <w:rPr>
          <w:rFonts w:ascii="Cambria" w:eastAsia="Arial Unicode MS" w:hAnsi="Cambria"/>
          <w:sz w:val="20"/>
          <w:szCs w:val="20"/>
          <w:bdr w:val="nil"/>
          <w:lang w:val="es-CO"/>
        </w:rPr>
        <w:t>Asimismo, la Comisión observó que a</w:t>
      </w:r>
      <w:r w:rsidR="0096467E" w:rsidRPr="00997A8F">
        <w:rPr>
          <w:rFonts w:ascii="Cambria" w:eastAsia="Arial Unicode MS" w:hAnsi="Cambria"/>
          <w:sz w:val="20"/>
          <w:szCs w:val="20"/>
          <w:bdr w:val="nil"/>
          <w:lang w:val="es-CO"/>
        </w:rPr>
        <w:t xml:space="preserve"> ocho años de ocurridos los hechos la Fiscalía Delegada ante el Tribunal ordenó la vinculación de seis agentes militares y dos agentes del DAS al proceso; y a quince años de ocurridos los hechos, la Fiscalía Especializada en Derechos Humanos y Derechos Internacional Humanitario decidió absolver a los agentes del DAS, ordenando la detención preventiva de los otros seis agentes militares por los delitos de homicidio agravado y desaparición forzada</w:t>
      </w:r>
      <w:r w:rsidR="00954055" w:rsidRPr="00997A8F">
        <w:rPr>
          <w:rFonts w:ascii="Cambria" w:eastAsia="Arial Unicode MS" w:hAnsi="Cambria"/>
          <w:sz w:val="20"/>
          <w:szCs w:val="20"/>
          <w:bdr w:val="nil"/>
          <w:lang w:val="es-CO"/>
        </w:rPr>
        <w:t xml:space="preserve">, sin que se cuente con </w:t>
      </w:r>
      <w:r w:rsidR="0096467E" w:rsidRPr="00997A8F">
        <w:rPr>
          <w:rFonts w:ascii="Cambria" w:eastAsia="Arial Unicode MS" w:hAnsi="Cambria"/>
          <w:sz w:val="20"/>
          <w:szCs w:val="20"/>
          <w:bdr w:val="nil"/>
          <w:lang w:val="es-CO"/>
        </w:rPr>
        <w:t xml:space="preserve">información sobre el estado de la investigación. </w:t>
      </w:r>
    </w:p>
    <w:p w14:paraId="258197C6" w14:textId="77777777" w:rsidR="0096467E" w:rsidRPr="00997A8F" w:rsidRDefault="0096467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77A83FCC" w14:textId="0386923E" w:rsidR="0096467E" w:rsidRPr="00997A8F" w:rsidRDefault="00730714" w:rsidP="0073071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La Comisión observó </w:t>
      </w:r>
      <w:r w:rsidR="00954055" w:rsidRPr="00997A8F">
        <w:rPr>
          <w:rFonts w:ascii="Cambria" w:eastAsia="Arial Unicode MS" w:hAnsi="Cambria"/>
          <w:sz w:val="20"/>
          <w:szCs w:val="20"/>
          <w:bdr w:val="nil"/>
          <w:lang w:val="es-CO"/>
        </w:rPr>
        <w:t xml:space="preserve">también </w:t>
      </w:r>
      <w:r w:rsidR="0096467E" w:rsidRPr="00997A8F">
        <w:rPr>
          <w:rFonts w:ascii="Cambria" w:eastAsia="Arial Unicode MS" w:hAnsi="Cambria"/>
          <w:sz w:val="20"/>
          <w:szCs w:val="20"/>
          <w:bdr w:val="nil"/>
          <w:lang w:val="es-CO"/>
        </w:rPr>
        <w:t xml:space="preserve">que, a pesar de las pruebas existentes, no se adoptó ninguna acción efectiva para identificar la responsabilidad penal de otros actores ni para indagar sobre la participación de altos mandos de los organismos de seguridad y otros agentes estatales en los hechos. Por lo tanto, </w:t>
      </w:r>
      <w:r w:rsidR="007D005C" w:rsidRPr="00997A8F">
        <w:rPr>
          <w:rFonts w:ascii="Cambria" w:eastAsia="Arial Unicode MS" w:hAnsi="Cambria"/>
          <w:sz w:val="20"/>
          <w:szCs w:val="20"/>
          <w:bdr w:val="nil"/>
          <w:lang w:val="es-CO"/>
        </w:rPr>
        <w:t xml:space="preserve">consideró que </w:t>
      </w:r>
      <w:r w:rsidR="0096467E" w:rsidRPr="00997A8F">
        <w:rPr>
          <w:rFonts w:ascii="Cambria" w:eastAsia="Arial Unicode MS" w:hAnsi="Cambria"/>
          <w:sz w:val="20"/>
          <w:szCs w:val="20"/>
          <w:bdr w:val="nil"/>
          <w:lang w:val="es-CO"/>
        </w:rPr>
        <w:t xml:space="preserve">no se siguió una línea de investigación efectiva que estuviera destinada a vincular a todas las personas responsables, incluyendo a autores materiales e intelectuales. </w:t>
      </w:r>
      <w:r w:rsidR="004C033F" w:rsidRPr="00997A8F">
        <w:rPr>
          <w:rFonts w:ascii="Cambria" w:eastAsia="Arial Unicode MS" w:hAnsi="Cambria"/>
          <w:sz w:val="20"/>
          <w:szCs w:val="20"/>
          <w:bdr w:val="nil"/>
          <w:lang w:val="es-CO"/>
        </w:rPr>
        <w:t>En este sentido, l</w:t>
      </w:r>
      <w:r w:rsidR="0096467E" w:rsidRPr="00997A8F">
        <w:rPr>
          <w:rFonts w:ascii="Cambria" w:eastAsia="Arial Unicode MS" w:hAnsi="Cambria"/>
          <w:sz w:val="20"/>
          <w:szCs w:val="20"/>
          <w:bdr w:val="nil"/>
          <w:lang w:val="es-CO"/>
        </w:rPr>
        <w:t xml:space="preserve">a Comisión concluyó que existió una clara falta de debida diligencia en la investigación, con lo cual el Estado ha perpetuado la situación de impunidad en la que se encuentran los hechos del presente caso. </w:t>
      </w:r>
    </w:p>
    <w:p w14:paraId="0CA47025" w14:textId="77777777" w:rsidR="0096467E" w:rsidRPr="00997A8F" w:rsidRDefault="0096467E" w:rsidP="0096467E">
      <w:pPr>
        <w:tabs>
          <w:tab w:val="num" w:pos="0"/>
          <w:tab w:val="left" w:pos="360"/>
          <w:tab w:val="left" w:pos="426"/>
        </w:tabs>
        <w:spacing w:after="0" w:line="240" w:lineRule="auto"/>
        <w:jc w:val="both"/>
        <w:rPr>
          <w:rFonts w:ascii="Cambria" w:eastAsia="Arial Unicode MS" w:hAnsi="Cambria"/>
          <w:sz w:val="20"/>
          <w:szCs w:val="20"/>
          <w:bdr w:val="nil"/>
          <w:lang w:val="es-CO"/>
        </w:rPr>
      </w:pPr>
    </w:p>
    <w:p w14:paraId="1B6EF8CF" w14:textId="5CA50394" w:rsidR="0096467E" w:rsidRPr="00997A8F" w:rsidRDefault="00730714" w:rsidP="006B0C34">
      <w:pPr>
        <w:tabs>
          <w:tab w:val="num" w:pos="0"/>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96467E" w:rsidRPr="00997A8F">
        <w:rPr>
          <w:rFonts w:ascii="Cambria" w:eastAsia="Arial Unicode MS" w:hAnsi="Cambria"/>
          <w:sz w:val="20"/>
          <w:szCs w:val="20"/>
          <w:bdr w:val="nil"/>
          <w:lang w:val="es-CO"/>
        </w:rPr>
        <w:t xml:space="preserve">Por otra parte, </w:t>
      </w:r>
      <w:r w:rsidR="00954055" w:rsidRPr="00997A8F">
        <w:rPr>
          <w:rFonts w:ascii="Cambria" w:eastAsia="Arial Unicode MS" w:hAnsi="Cambria"/>
          <w:sz w:val="20"/>
          <w:szCs w:val="20"/>
          <w:bdr w:val="nil"/>
          <w:lang w:val="es-CO"/>
        </w:rPr>
        <w:t xml:space="preserve">con respecto al </w:t>
      </w:r>
      <w:r w:rsidR="0096467E" w:rsidRPr="00997A8F">
        <w:rPr>
          <w:rFonts w:ascii="Cambria" w:eastAsia="Arial Unicode MS" w:hAnsi="Cambria"/>
          <w:sz w:val="20"/>
          <w:szCs w:val="20"/>
          <w:bdr w:val="nil"/>
          <w:lang w:val="es-CO"/>
        </w:rPr>
        <w:t>grupo de paramilitares</w:t>
      </w:r>
      <w:r w:rsidR="00954055" w:rsidRPr="00997A8F">
        <w:rPr>
          <w:rFonts w:ascii="Cambria" w:eastAsia="Arial Unicode MS" w:hAnsi="Cambria"/>
          <w:sz w:val="20"/>
          <w:szCs w:val="20"/>
          <w:bdr w:val="nil"/>
          <w:lang w:val="es-CO"/>
        </w:rPr>
        <w:t xml:space="preserve"> que</w:t>
      </w:r>
      <w:r w:rsidR="0096467E" w:rsidRPr="00997A8F">
        <w:rPr>
          <w:rFonts w:ascii="Cambria" w:eastAsia="Arial Unicode MS" w:hAnsi="Cambria"/>
          <w:sz w:val="20"/>
          <w:szCs w:val="20"/>
          <w:bdr w:val="nil"/>
          <w:lang w:val="es-CO"/>
        </w:rPr>
        <w:t xml:space="preserve"> fue procesado en el marco de la Ley No. 975 de Justicia y Paz</w:t>
      </w:r>
      <w:r w:rsidR="00954055" w:rsidRPr="00997A8F">
        <w:rPr>
          <w:rFonts w:ascii="Cambria" w:eastAsia="Arial Unicode MS" w:hAnsi="Cambria"/>
          <w:sz w:val="20"/>
          <w:szCs w:val="20"/>
          <w:bdr w:val="nil"/>
          <w:lang w:val="es-CO"/>
        </w:rPr>
        <w:t>,</w:t>
      </w:r>
      <w:r w:rsidR="0096467E" w:rsidRPr="00997A8F">
        <w:rPr>
          <w:rFonts w:ascii="Cambria" w:eastAsia="Arial Unicode MS" w:hAnsi="Cambria"/>
          <w:sz w:val="20"/>
          <w:szCs w:val="20"/>
          <w:bdr w:val="nil"/>
          <w:lang w:val="es-CO"/>
        </w:rPr>
        <w:t xml:space="preserve"> la CIDH señaló que a la fecha continúa el proceso seguido a otros paramilitares, el cual se encontraría en etapa investigativa</w:t>
      </w:r>
      <w:r w:rsidR="002D48D1" w:rsidRPr="00997A8F">
        <w:rPr>
          <w:rFonts w:ascii="Cambria" w:eastAsia="Arial Unicode MS" w:hAnsi="Cambria"/>
          <w:sz w:val="20"/>
          <w:szCs w:val="20"/>
          <w:bdr w:val="nil"/>
          <w:lang w:val="es-CO"/>
        </w:rPr>
        <w:t>, ante lo cual la Comisión d</w:t>
      </w:r>
      <w:r w:rsidR="0096467E" w:rsidRPr="00997A8F">
        <w:rPr>
          <w:rFonts w:ascii="Cambria" w:eastAsia="Arial Unicode MS" w:hAnsi="Cambria"/>
          <w:sz w:val="20"/>
          <w:szCs w:val="20"/>
          <w:bdr w:val="nil"/>
          <w:lang w:val="es-CO"/>
        </w:rPr>
        <w:t xml:space="preserve">estacó que existe una demora excesiva de los procedimientos que continúan abiertos, sin que se hubiere presentado alguna justificación. </w:t>
      </w:r>
      <w:r w:rsidR="002D48D1" w:rsidRPr="00997A8F">
        <w:rPr>
          <w:rFonts w:ascii="Cambria" w:eastAsia="Arial Unicode MS" w:hAnsi="Cambria"/>
          <w:sz w:val="20"/>
          <w:szCs w:val="20"/>
          <w:bdr w:val="nil"/>
          <w:lang w:val="es-CO"/>
        </w:rPr>
        <w:t xml:space="preserve">La Comisión resaltó </w:t>
      </w:r>
      <w:r w:rsidR="002647A0" w:rsidRPr="00997A8F">
        <w:rPr>
          <w:rFonts w:ascii="Cambria" w:eastAsia="Arial Unicode MS" w:hAnsi="Cambria"/>
          <w:sz w:val="20"/>
          <w:szCs w:val="20"/>
          <w:bdr w:val="nil"/>
          <w:lang w:val="es-CO"/>
        </w:rPr>
        <w:t>que la confesión de los imputados no puede eximir a las autoridades de su obligación de investigar diligentemente los hechos y establecer las responsabilidades a las que dieran lugar, máxime que, como lo indicó el Estado, alrededor de 40 paramilitares habrían participado en el hecho</w:t>
      </w:r>
      <w:r w:rsidR="006B0C34" w:rsidRPr="00997A8F">
        <w:rPr>
          <w:rFonts w:ascii="Cambria" w:eastAsia="Arial Unicode MS" w:hAnsi="Cambria"/>
          <w:sz w:val="20"/>
          <w:szCs w:val="20"/>
          <w:bdr w:val="nil"/>
          <w:lang w:val="es-CO"/>
        </w:rPr>
        <w:t>.</w:t>
      </w:r>
      <w:r w:rsidR="006B0C34" w:rsidRPr="00997A8F">
        <w:rPr>
          <w:lang w:val="es-CO"/>
        </w:rPr>
        <w:t xml:space="preserve"> </w:t>
      </w:r>
      <w:r w:rsidR="006B0C34" w:rsidRPr="00997A8F">
        <w:rPr>
          <w:rFonts w:ascii="Cambria" w:eastAsia="Arial Unicode MS" w:hAnsi="Cambria"/>
          <w:sz w:val="20"/>
          <w:szCs w:val="20"/>
          <w:bdr w:val="nil"/>
          <w:lang w:val="es-CO"/>
        </w:rPr>
        <w:t>La Comisión consideró que el Estado no ha cumplido con su obligación de investigar y señaló que no se desprende del expediente información relacionada a las diligencias realizadas en el marco de la Ley de Justicia y Paz a fin de aseverar las declaraciones de los paramilitares procesados y condenados, a efecto de esclarecer los hechos y, en particular, identificar el paradero de todas las víctimas desaparecidas.</w:t>
      </w:r>
    </w:p>
    <w:p w14:paraId="0B4BEDFA" w14:textId="77777777" w:rsidR="0096467E" w:rsidRPr="00997A8F" w:rsidRDefault="0096467E" w:rsidP="0096467E">
      <w:pPr>
        <w:tabs>
          <w:tab w:val="left" w:pos="360"/>
          <w:tab w:val="left" w:pos="426"/>
        </w:tabs>
        <w:spacing w:after="0" w:line="240" w:lineRule="auto"/>
        <w:jc w:val="both"/>
        <w:rPr>
          <w:rFonts w:ascii="Cambria" w:eastAsia="Arial Unicode MS" w:hAnsi="Cambria"/>
          <w:sz w:val="20"/>
          <w:szCs w:val="20"/>
          <w:bdr w:val="nil"/>
          <w:lang w:val="es-CO"/>
        </w:rPr>
      </w:pPr>
    </w:p>
    <w:p w14:paraId="7AF53BF3" w14:textId="4187214D" w:rsidR="0096467E" w:rsidRPr="00997A8F" w:rsidRDefault="00730714" w:rsidP="007E25C9">
      <w:pPr>
        <w:tabs>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6B0C34" w:rsidRPr="00997A8F">
        <w:rPr>
          <w:rFonts w:ascii="Cambria" w:eastAsia="Arial Unicode MS" w:hAnsi="Cambria"/>
          <w:sz w:val="20"/>
          <w:szCs w:val="20"/>
          <w:bdr w:val="nil"/>
          <w:lang w:val="es-CO"/>
        </w:rPr>
        <w:t>Aunado a esto</w:t>
      </w:r>
      <w:r w:rsidR="002D48D1" w:rsidRPr="00997A8F">
        <w:rPr>
          <w:rFonts w:ascii="Cambria" w:eastAsia="Arial Unicode MS" w:hAnsi="Cambria"/>
          <w:sz w:val="20"/>
          <w:szCs w:val="20"/>
          <w:bdr w:val="nil"/>
          <w:lang w:val="es-CO"/>
        </w:rPr>
        <w:t>, l</w:t>
      </w:r>
      <w:r w:rsidR="0096467E" w:rsidRPr="00997A8F">
        <w:rPr>
          <w:rFonts w:ascii="Cambria" w:eastAsia="Arial Unicode MS" w:hAnsi="Cambria"/>
          <w:sz w:val="20"/>
          <w:szCs w:val="20"/>
          <w:bdr w:val="nil"/>
          <w:lang w:val="es-CO"/>
        </w:rPr>
        <w:t>a Comisión consideró que el lapso de alrededor de 23 años en los que se enc</w:t>
      </w:r>
      <w:r w:rsidR="004F4D13" w:rsidRPr="00997A8F">
        <w:rPr>
          <w:rFonts w:ascii="Cambria" w:eastAsia="Arial Unicode MS" w:hAnsi="Cambria"/>
          <w:sz w:val="20"/>
          <w:szCs w:val="20"/>
          <w:bdr w:val="nil"/>
          <w:lang w:val="es-CO"/>
        </w:rPr>
        <w:t>ontraba</w:t>
      </w:r>
      <w:r w:rsidR="0096467E" w:rsidRPr="00997A8F">
        <w:rPr>
          <w:rFonts w:ascii="Cambria" w:eastAsia="Arial Unicode MS" w:hAnsi="Cambria"/>
          <w:sz w:val="20"/>
          <w:szCs w:val="20"/>
          <w:bdr w:val="nil"/>
          <w:lang w:val="es-CO"/>
        </w:rPr>
        <w:t xml:space="preserve"> el proceso penal ante la jurisdicción ordinaria sobrepasa un plazo que pueda considerarse razonable para que el Estado realice las correspondientes diligencias investigativas, y constituye una denegación de justicia en perjuicio de los familiares de las víctimas.</w:t>
      </w:r>
    </w:p>
    <w:p w14:paraId="2D09D8F5" w14:textId="77777777" w:rsidR="0096467E" w:rsidRPr="00997A8F" w:rsidRDefault="0096467E" w:rsidP="007E25C9">
      <w:pPr>
        <w:tabs>
          <w:tab w:val="num" w:pos="0"/>
          <w:tab w:val="left" w:pos="360"/>
          <w:tab w:val="left" w:pos="426"/>
        </w:tabs>
        <w:spacing w:after="0" w:line="240" w:lineRule="auto"/>
        <w:jc w:val="both"/>
        <w:rPr>
          <w:rFonts w:ascii="Cambria" w:eastAsia="Arial Unicode MS" w:hAnsi="Cambria"/>
          <w:sz w:val="20"/>
          <w:szCs w:val="20"/>
          <w:bdr w:val="nil"/>
          <w:lang w:val="es-CO"/>
        </w:rPr>
      </w:pPr>
    </w:p>
    <w:p w14:paraId="7841EC1E" w14:textId="78156D52" w:rsidR="004F4D13" w:rsidRPr="00997A8F" w:rsidRDefault="00730714" w:rsidP="007E25C9">
      <w:pPr>
        <w:tabs>
          <w:tab w:val="left" w:pos="360"/>
          <w:tab w:val="left" w:pos="426"/>
        </w:tabs>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4F4D13" w:rsidRPr="00997A8F">
        <w:rPr>
          <w:rFonts w:ascii="Cambria" w:eastAsia="Arial Unicode MS" w:hAnsi="Cambria"/>
          <w:sz w:val="20"/>
          <w:szCs w:val="20"/>
          <w:bdr w:val="nil"/>
          <w:lang w:val="es-CO"/>
        </w:rPr>
        <w:t>Adicionalmente</w:t>
      </w:r>
      <w:r w:rsidR="0096467E" w:rsidRPr="00997A8F">
        <w:rPr>
          <w:rFonts w:ascii="Cambria" w:eastAsia="Arial Unicode MS" w:hAnsi="Cambria"/>
          <w:sz w:val="20"/>
          <w:szCs w:val="20"/>
          <w:bdr w:val="nil"/>
          <w:lang w:val="es-CO"/>
        </w:rPr>
        <w:t xml:space="preserve">, la Comisión observó que se presentaron diversas demandas en la jurisdicción contenciosa administrativa y que el proceso continuaba pendiente de resolución al momento de la adopción del informe. Por lo tanto, consideró que la jurisdicción contencioso-administrativa tampoco habría constituido un recurso efectivo para, de manera complementaria el proceso penal, permitir la reparación a las víctimas del caso. </w:t>
      </w:r>
    </w:p>
    <w:p w14:paraId="18A0E4A7" w14:textId="77777777" w:rsidR="008A545D" w:rsidRPr="00997A8F" w:rsidRDefault="008A545D" w:rsidP="00F10E97">
      <w:pPr>
        <w:tabs>
          <w:tab w:val="left" w:pos="360"/>
          <w:tab w:val="left" w:pos="426"/>
        </w:tabs>
        <w:spacing w:after="0" w:line="240" w:lineRule="auto"/>
        <w:jc w:val="both"/>
        <w:rPr>
          <w:rFonts w:ascii="Cambria" w:eastAsia="Arial Unicode MS" w:hAnsi="Cambria"/>
          <w:sz w:val="20"/>
          <w:szCs w:val="20"/>
          <w:bdr w:val="nil"/>
          <w:lang w:val="es-CO"/>
        </w:rPr>
      </w:pPr>
    </w:p>
    <w:p w14:paraId="4E209B0F" w14:textId="690FE7A2" w:rsidR="008A545D" w:rsidRPr="00997A8F" w:rsidRDefault="00730714" w:rsidP="00730714">
      <w:pPr>
        <w:tabs>
          <w:tab w:val="left" w:pos="360"/>
        </w:tabs>
        <w:autoSpaceDE w:val="0"/>
        <w:autoSpaceDN w:val="0"/>
        <w:adjustRightInd w:val="0"/>
        <w:spacing w:after="0" w:line="240" w:lineRule="auto"/>
        <w:jc w:val="both"/>
        <w:rPr>
          <w:rFonts w:ascii="Cambria" w:eastAsia="Arial Unicode MS" w:hAnsi="Cambria"/>
          <w:sz w:val="20"/>
          <w:szCs w:val="20"/>
          <w:bdr w:val="nil"/>
          <w:lang w:val="es-CO"/>
        </w:rPr>
      </w:pPr>
      <w:r w:rsidRPr="00997A8F">
        <w:rPr>
          <w:rFonts w:ascii="Cambria" w:eastAsia="Arial Unicode MS" w:hAnsi="Cambria"/>
          <w:sz w:val="20"/>
          <w:szCs w:val="20"/>
          <w:bdr w:val="nil"/>
          <w:lang w:val="es-CO"/>
        </w:rPr>
        <w:tab/>
      </w:r>
      <w:r w:rsidR="008A545D" w:rsidRPr="00997A8F">
        <w:rPr>
          <w:rFonts w:ascii="Cambria" w:eastAsia="Arial Unicode MS" w:hAnsi="Cambria"/>
          <w:sz w:val="20"/>
          <w:szCs w:val="20"/>
          <w:bdr w:val="nil"/>
          <w:lang w:val="es-CO"/>
        </w:rPr>
        <w:t>En este sentido, la Comisión co</w:t>
      </w:r>
      <w:r w:rsidR="00F10E97" w:rsidRPr="00997A8F">
        <w:rPr>
          <w:rFonts w:ascii="Cambria" w:eastAsia="Arial Unicode MS" w:hAnsi="Cambria"/>
          <w:sz w:val="20"/>
          <w:szCs w:val="20"/>
          <w:bdr w:val="nil"/>
          <w:lang w:val="es-CO"/>
        </w:rPr>
        <w:t xml:space="preserve">ncluyó que </w:t>
      </w:r>
      <w:r w:rsidR="00F10E97" w:rsidRPr="00997A8F">
        <w:rPr>
          <w:rFonts w:ascii="Cambria" w:eastAsiaTheme="minorHAnsi" w:hAnsi="Cambria" w:cs="Cambria"/>
          <w:sz w:val="20"/>
          <w:szCs w:val="20"/>
          <w:lang w:val="es-CO"/>
          <w14:ligatures w14:val="standardContextual"/>
        </w:rPr>
        <w:t xml:space="preserve">las investigaciones y procedimientos internos no han constituido recursos efectivos para garantizar el acceso a la justicia, determinar la verdad de los hechos, la investigación y sanción de los responsables y la reparación de las consecuencias de las violaciones, en violación del derecho a las garantías judiciales y a la protección judicial. </w:t>
      </w:r>
    </w:p>
    <w:p w14:paraId="353E3B04" w14:textId="77777777" w:rsidR="004F4D13" w:rsidRPr="00997A8F" w:rsidRDefault="004F4D13" w:rsidP="00F10E97">
      <w:pPr>
        <w:tabs>
          <w:tab w:val="left" w:pos="360"/>
          <w:tab w:val="left" w:pos="426"/>
        </w:tabs>
        <w:spacing w:after="0" w:line="240" w:lineRule="auto"/>
        <w:jc w:val="both"/>
        <w:rPr>
          <w:rFonts w:ascii="Cambria" w:eastAsia="Arial Unicode MS" w:hAnsi="Cambria"/>
          <w:sz w:val="20"/>
          <w:szCs w:val="20"/>
          <w:bdr w:val="nil"/>
          <w:lang w:val="es-CO"/>
        </w:rPr>
      </w:pPr>
    </w:p>
    <w:p w14:paraId="7D6D4FFE" w14:textId="17A14B26" w:rsidR="007E25C9" w:rsidRPr="00997A8F" w:rsidRDefault="00730714" w:rsidP="00730714">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997A8F">
        <w:rPr>
          <w:rFonts w:ascii="Cambria" w:eastAsia="Arial Unicode MS" w:hAnsi="Cambria"/>
          <w:sz w:val="20"/>
          <w:szCs w:val="20"/>
          <w:bdr w:val="nil"/>
          <w:lang w:val="es-CO"/>
        </w:rPr>
        <w:tab/>
      </w:r>
      <w:r w:rsidR="004F4D13" w:rsidRPr="00997A8F">
        <w:rPr>
          <w:rFonts w:ascii="Cambria" w:eastAsia="Arial Unicode MS" w:hAnsi="Cambria"/>
          <w:sz w:val="20"/>
          <w:szCs w:val="20"/>
          <w:bdr w:val="nil"/>
          <w:lang w:val="es-CO"/>
        </w:rPr>
        <w:t xml:space="preserve">Finalmente, la Comisión </w:t>
      </w:r>
      <w:r w:rsidR="007E25C9" w:rsidRPr="00997A8F">
        <w:rPr>
          <w:rFonts w:ascii="Cambria" w:eastAsia="Arial Unicode MS" w:hAnsi="Cambria"/>
          <w:sz w:val="20"/>
          <w:szCs w:val="20"/>
          <w:bdr w:val="nil"/>
          <w:lang w:val="es-CO"/>
        </w:rPr>
        <w:t xml:space="preserve">señaló que </w:t>
      </w:r>
      <w:r w:rsidR="007E25C9" w:rsidRPr="00997A8F">
        <w:rPr>
          <w:rFonts w:ascii="Cambria" w:eastAsiaTheme="minorHAnsi" w:hAnsi="Cambria" w:cs="Cambria"/>
          <w:sz w:val="20"/>
          <w:szCs w:val="20"/>
          <w:lang w:val="es-CO"/>
          <w14:ligatures w14:val="standardContextual"/>
        </w:rPr>
        <w:t xml:space="preserve">resulta evidente que la angustia que han vivido los familiares de las víctimas en la búsqueda de justicia por los asesinatos y desaparición forzada de sus seres queridos, la falta de una protección efectiva y el profundo sufrimiento y cambio radical en sus vidas ha afectado su integridad personal. En consecuencia, la Comisión concluyó que el Estado violó el derecho a la integridad psíquica y moral de los familiares. </w:t>
      </w:r>
    </w:p>
    <w:p w14:paraId="7D4F0CE6" w14:textId="44315F88" w:rsidR="00C675FF" w:rsidRPr="00997A8F" w:rsidRDefault="00730714" w:rsidP="00730714">
      <w:pPr>
        <w:tabs>
          <w:tab w:val="left" w:pos="360"/>
          <w:tab w:val="left" w:pos="540"/>
          <w:tab w:val="left" w:pos="1440"/>
        </w:tabs>
        <w:spacing w:after="0" w:line="240" w:lineRule="auto"/>
        <w:jc w:val="both"/>
        <w:rPr>
          <w:rFonts w:ascii="Cambria" w:hAnsi="Cambria"/>
          <w:sz w:val="20"/>
          <w:szCs w:val="20"/>
          <w:lang w:val="es-CO"/>
        </w:rPr>
      </w:pPr>
      <w:r w:rsidRPr="00997A8F">
        <w:rPr>
          <w:rFonts w:ascii="Cambria" w:hAnsi="Cambria"/>
          <w:sz w:val="20"/>
          <w:szCs w:val="20"/>
          <w:lang w:val="es-CO"/>
        </w:rPr>
        <w:lastRenderedPageBreak/>
        <w:tab/>
      </w:r>
      <w:r w:rsidR="00C675FF" w:rsidRPr="00997A8F">
        <w:rPr>
          <w:rFonts w:ascii="Cambria" w:hAnsi="Cambria"/>
          <w:sz w:val="20"/>
          <w:szCs w:val="20"/>
          <w:lang w:val="es-CO"/>
        </w:rPr>
        <w:t xml:space="preserve">Con base en dichas determinaciones, </w:t>
      </w:r>
      <w:r w:rsidR="002F54C3" w:rsidRPr="00997A8F">
        <w:rPr>
          <w:rFonts w:ascii="Cambria" w:hAnsi="Cambria"/>
          <w:sz w:val="20"/>
          <w:szCs w:val="20"/>
          <w:lang w:val="es-CO"/>
        </w:rPr>
        <w:t>la Comisión Interamericana concluyó que el Estado es responsable por la violación de los derechos a la</w:t>
      </w:r>
      <w:r w:rsidR="00DF3B9E" w:rsidRPr="00997A8F">
        <w:rPr>
          <w:rFonts w:ascii="Cambria" w:hAnsi="Cambria"/>
          <w:sz w:val="20"/>
          <w:szCs w:val="20"/>
          <w:lang w:val="es-CO"/>
        </w:rPr>
        <w:t xml:space="preserve"> personalidad </w:t>
      </w:r>
      <w:r w:rsidR="00C35964" w:rsidRPr="00997A8F">
        <w:rPr>
          <w:rFonts w:ascii="Cambria" w:hAnsi="Cambria"/>
          <w:sz w:val="20"/>
          <w:szCs w:val="20"/>
          <w:lang w:val="es-CO"/>
        </w:rPr>
        <w:t>jurídica,</w:t>
      </w:r>
      <w:r w:rsidR="002F54C3" w:rsidRPr="00997A8F">
        <w:rPr>
          <w:rFonts w:ascii="Cambria" w:hAnsi="Cambria"/>
          <w:sz w:val="20"/>
          <w:szCs w:val="20"/>
          <w:lang w:val="es-CO"/>
        </w:rPr>
        <w:t xml:space="preserve"> vida, integridad personal, libertad personal, garantías judiciales</w:t>
      </w:r>
      <w:r w:rsidR="00C35964" w:rsidRPr="00997A8F">
        <w:rPr>
          <w:rFonts w:ascii="Cambria" w:hAnsi="Cambria"/>
          <w:sz w:val="20"/>
          <w:szCs w:val="20"/>
          <w:lang w:val="es-CO"/>
        </w:rPr>
        <w:t>, derechos de niñez</w:t>
      </w:r>
      <w:r w:rsidR="002F54C3" w:rsidRPr="00997A8F">
        <w:rPr>
          <w:rFonts w:ascii="Cambria" w:hAnsi="Cambria"/>
          <w:sz w:val="20"/>
          <w:szCs w:val="20"/>
          <w:lang w:val="es-CO"/>
        </w:rPr>
        <w:t xml:space="preserve"> y protección</w:t>
      </w:r>
      <w:r w:rsidR="00C35964" w:rsidRPr="00997A8F">
        <w:rPr>
          <w:rFonts w:ascii="Cambria" w:hAnsi="Cambria"/>
          <w:sz w:val="20"/>
          <w:szCs w:val="20"/>
          <w:lang w:val="es-CO"/>
        </w:rPr>
        <w:t xml:space="preserve"> judicial</w:t>
      </w:r>
      <w:r w:rsidR="002F54C3" w:rsidRPr="00997A8F">
        <w:rPr>
          <w:rFonts w:ascii="Cambria" w:hAnsi="Cambria"/>
          <w:sz w:val="20"/>
          <w:szCs w:val="20"/>
          <w:lang w:val="es-CO"/>
        </w:rPr>
        <w:t>, establecidos en los artículos 3, 4, 5, 7, 8.1, 19 y 25.1 de la Convención Americana sobre Derechos Humanos, en relación con el artículo 1.1 del mismo instrumento, en perjuicio de las personas indicadas en cada una de las secciones del informe. Asimismo, el Estado es responsable por la violación de los artículos I.a), I.b) y III de la Convención Interamericana sobre Desaparición Forzada de Personas, a partir de que dicho tratado entró en vigor para Colombia.</w:t>
      </w:r>
    </w:p>
    <w:p w14:paraId="5CAEE0CB" w14:textId="77777777" w:rsidR="00C675FF" w:rsidRPr="00997A8F" w:rsidRDefault="00C675FF" w:rsidP="00C675FF">
      <w:pPr>
        <w:tabs>
          <w:tab w:val="left" w:pos="567"/>
          <w:tab w:val="left" w:pos="1440"/>
        </w:tabs>
        <w:spacing w:after="0" w:line="240" w:lineRule="auto"/>
        <w:ind w:firstLine="720"/>
        <w:jc w:val="both"/>
        <w:rPr>
          <w:rFonts w:ascii="Cambria" w:hAnsi="Cambria"/>
          <w:sz w:val="20"/>
          <w:szCs w:val="20"/>
          <w:lang w:val="es-CO"/>
        </w:rPr>
      </w:pPr>
    </w:p>
    <w:p w14:paraId="3BF2B4B9" w14:textId="466C2A8E" w:rsidR="00C675FF" w:rsidRPr="00997A8F" w:rsidRDefault="00730714" w:rsidP="00730714">
      <w:pPr>
        <w:pStyle w:val="HTMLPreformatted"/>
        <w:tabs>
          <w:tab w:val="left" w:pos="360"/>
          <w:tab w:val="left" w:pos="540"/>
        </w:tabs>
        <w:jc w:val="both"/>
        <w:rPr>
          <w:rFonts w:ascii="Cambria" w:hAnsi="Cambria" w:cs="Calibri"/>
          <w:lang w:val="es-CO"/>
        </w:rPr>
      </w:pPr>
      <w:r w:rsidRPr="00997A8F">
        <w:rPr>
          <w:rFonts w:ascii="Cambria" w:hAnsi="Cambria" w:cs="Calibri"/>
          <w:lang w:val="es-CO"/>
        </w:rPr>
        <w:tab/>
      </w:r>
      <w:r w:rsidR="00C675FF" w:rsidRPr="00997A8F">
        <w:rPr>
          <w:rFonts w:ascii="Cambria" w:hAnsi="Cambria" w:cs="Calibri"/>
          <w:lang w:val="es-CO"/>
        </w:rPr>
        <w:t xml:space="preserve">El Estado de Colombia depositó el instrumento de ratificación de la Convención Americana sobre Derechos Humanos el 31 de julio de 1973 y aceptó la competencia contenciosa de la Corte Interamericana el 21 de junio de 1985. </w:t>
      </w:r>
      <w:r w:rsidR="00702D19" w:rsidRPr="00997A8F">
        <w:rPr>
          <w:rFonts w:ascii="Cambria" w:hAnsi="Cambria" w:cs="Calibri"/>
          <w:lang w:val="es-CO"/>
        </w:rPr>
        <w:t>Adicionalmente, el 12 de abril de 2005 el Estado depositó el instrumento de ratificación de la Convención Interamericana sobre Desaparición Forzada de Personas</w:t>
      </w:r>
      <w:r w:rsidR="0040432F" w:rsidRPr="00997A8F">
        <w:rPr>
          <w:rFonts w:ascii="Cambria" w:hAnsi="Cambria" w:cs="Calibri"/>
          <w:lang w:val="es-CO"/>
        </w:rPr>
        <w:t>.</w:t>
      </w:r>
    </w:p>
    <w:p w14:paraId="690BE30A" w14:textId="77777777" w:rsidR="00C675FF" w:rsidRPr="00997A8F" w:rsidRDefault="00C675FF" w:rsidP="00C675FF">
      <w:pPr>
        <w:pStyle w:val="HTMLPreformatted"/>
        <w:tabs>
          <w:tab w:val="clear" w:pos="916"/>
          <w:tab w:val="left" w:pos="720"/>
        </w:tabs>
        <w:jc w:val="both"/>
        <w:rPr>
          <w:rFonts w:ascii="Cambria" w:hAnsi="Cambria" w:cs="Calibri"/>
          <w:lang w:val="es-CO"/>
        </w:rPr>
      </w:pPr>
    </w:p>
    <w:p w14:paraId="0811DB91" w14:textId="3EA965F9" w:rsidR="00C675FF" w:rsidRPr="00997A8F" w:rsidRDefault="00C675FF" w:rsidP="00C675FF">
      <w:pPr>
        <w:tabs>
          <w:tab w:val="left" w:pos="540"/>
        </w:tabs>
        <w:spacing w:after="0" w:line="240" w:lineRule="auto"/>
        <w:ind w:firstLine="360"/>
        <w:jc w:val="both"/>
        <w:rPr>
          <w:rFonts w:ascii="Cambria" w:hAnsi="Cambria" w:cs="Calibri"/>
          <w:sz w:val="20"/>
          <w:szCs w:val="20"/>
          <w:highlight w:val="yellow"/>
          <w:lang w:val="es-CO"/>
        </w:rPr>
      </w:pPr>
      <w:r w:rsidRPr="00997A8F">
        <w:rPr>
          <w:rFonts w:ascii="Cambria" w:hAnsi="Cambria" w:cs="Calibri"/>
          <w:sz w:val="20"/>
          <w:szCs w:val="20"/>
          <w:lang w:val="es-CO"/>
        </w:rPr>
        <w:t>La Comisión ha designado al Comisionado José Luis Caballero Ochoa y a la Secretaria Ejecutiva Tania Reneaum Panszi como su delegado y delegada. Asimismo, Jorge Humberto Meza Flores, Secretario Ejecutivo Adjunto, y Erick Acuña, especialista de la Secretaría Ejecutiva de la CIDH, actuarán como asesores legales.</w:t>
      </w:r>
    </w:p>
    <w:p w14:paraId="5A5CB318" w14:textId="77777777" w:rsidR="00C675FF" w:rsidRPr="00997A8F" w:rsidRDefault="00C675FF" w:rsidP="00C675FF">
      <w:pPr>
        <w:spacing w:after="0" w:line="240" w:lineRule="auto"/>
        <w:jc w:val="both"/>
        <w:rPr>
          <w:rFonts w:ascii="Cambria" w:hAnsi="Cambria" w:cs="Calibri"/>
          <w:sz w:val="20"/>
          <w:szCs w:val="20"/>
          <w:highlight w:val="yellow"/>
          <w:lang w:val="es-CO"/>
        </w:rPr>
      </w:pPr>
    </w:p>
    <w:p w14:paraId="314F7F2E" w14:textId="03B9D9E0" w:rsidR="00C675FF" w:rsidRPr="00997A8F" w:rsidRDefault="00C675FF" w:rsidP="00C675FF">
      <w:pPr>
        <w:tabs>
          <w:tab w:val="left" w:pos="540"/>
        </w:tabs>
        <w:spacing w:after="0" w:line="240" w:lineRule="auto"/>
        <w:ind w:firstLine="360"/>
        <w:jc w:val="both"/>
        <w:rPr>
          <w:rFonts w:ascii="Cambria" w:hAnsi="Cambria" w:cs="Calibri"/>
          <w:sz w:val="20"/>
          <w:szCs w:val="20"/>
          <w:lang w:val="es-CO"/>
        </w:rPr>
      </w:pPr>
      <w:r w:rsidRPr="00997A8F">
        <w:rPr>
          <w:rFonts w:ascii="Cambria" w:hAnsi="Cambria" w:cs="Calibri"/>
          <w:sz w:val="20"/>
          <w:szCs w:val="20"/>
          <w:lang w:val="es-CO"/>
        </w:rPr>
        <w:t xml:space="preserve">De conformidad con el artículo 35 del Reglamento de la Corte Interamericana, la Comisión adjunta copia del Informe de Fondo No. </w:t>
      </w:r>
      <w:r w:rsidR="009A7053" w:rsidRPr="00997A8F">
        <w:rPr>
          <w:rFonts w:ascii="Cambria" w:hAnsi="Cambria" w:cs="Calibri"/>
          <w:sz w:val="20"/>
          <w:szCs w:val="20"/>
          <w:lang w:val="es-CO"/>
        </w:rPr>
        <w:t xml:space="preserve">141/21 </w:t>
      </w:r>
      <w:r w:rsidRPr="00997A8F">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No. </w:t>
      </w:r>
      <w:r w:rsidR="009A7053" w:rsidRPr="00997A8F">
        <w:rPr>
          <w:rFonts w:ascii="Cambria" w:hAnsi="Cambria" w:cs="Calibri"/>
          <w:sz w:val="20"/>
          <w:szCs w:val="20"/>
          <w:lang w:val="es-CO"/>
        </w:rPr>
        <w:t xml:space="preserve">141/21 </w:t>
      </w:r>
      <w:r w:rsidRPr="00997A8F">
        <w:rPr>
          <w:rFonts w:ascii="Cambria" w:hAnsi="Cambria" w:cs="Calibri"/>
          <w:sz w:val="20"/>
          <w:szCs w:val="20"/>
          <w:lang w:val="es-CO"/>
        </w:rPr>
        <w:t xml:space="preserve">(Anexos). </w:t>
      </w:r>
    </w:p>
    <w:p w14:paraId="51CECAEC" w14:textId="77777777" w:rsidR="00C675FF" w:rsidRPr="00997A8F" w:rsidRDefault="00C675FF" w:rsidP="00C675FF">
      <w:pPr>
        <w:spacing w:after="0" w:line="240" w:lineRule="auto"/>
        <w:ind w:firstLine="720"/>
        <w:jc w:val="both"/>
        <w:rPr>
          <w:rFonts w:ascii="Cambria" w:hAnsi="Cambria" w:cs="Calibri"/>
          <w:sz w:val="20"/>
          <w:szCs w:val="20"/>
          <w:lang w:val="es-CO"/>
        </w:rPr>
      </w:pPr>
    </w:p>
    <w:p w14:paraId="054B96F4" w14:textId="6422FB9F" w:rsidR="00C675FF" w:rsidRPr="00997A8F" w:rsidRDefault="00730714" w:rsidP="00730714">
      <w:pPr>
        <w:tabs>
          <w:tab w:val="left" w:pos="360"/>
          <w:tab w:val="left" w:pos="540"/>
        </w:tabs>
        <w:spacing w:after="0" w:line="240" w:lineRule="auto"/>
        <w:jc w:val="both"/>
        <w:rPr>
          <w:rFonts w:ascii="Cambria" w:eastAsia="Times New Roman" w:hAnsi="Cambria" w:cs="Cambria"/>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Dicho Informe de Fondo fue notificado al Estado el </w:t>
      </w:r>
      <w:r w:rsidR="001F7D93" w:rsidRPr="00997A8F">
        <w:rPr>
          <w:rFonts w:ascii="Cambria" w:hAnsi="Cambria" w:cs="Calibri"/>
          <w:sz w:val="20"/>
          <w:szCs w:val="20"/>
          <w:lang w:val="es-CO"/>
        </w:rPr>
        <w:t>28 de julio de 2021</w:t>
      </w:r>
      <w:r w:rsidR="00C675FF" w:rsidRPr="00997A8F">
        <w:rPr>
          <w:rFonts w:ascii="Cambria" w:hAnsi="Cambria" w:cs="Calibri"/>
          <w:sz w:val="20"/>
          <w:szCs w:val="20"/>
          <w:lang w:val="es-CO"/>
        </w:rPr>
        <w:t xml:space="preserve">, otorgándole un plazo de dos meses para informar sobre el cumplimiento de las recomendaciones. Tras el otorgamiento por parte de la CIDH de </w:t>
      </w:r>
      <w:r w:rsidR="00766B98" w:rsidRPr="00997A8F">
        <w:rPr>
          <w:rFonts w:ascii="Cambria" w:hAnsi="Cambria" w:cs="Calibri"/>
          <w:sz w:val="20"/>
          <w:szCs w:val="20"/>
          <w:lang w:val="es-CO"/>
        </w:rPr>
        <w:t>11</w:t>
      </w:r>
      <w:r w:rsidR="00C675FF" w:rsidRPr="00997A8F">
        <w:rPr>
          <w:rFonts w:ascii="Cambria" w:hAnsi="Cambria" w:cs="Calibri"/>
          <w:sz w:val="20"/>
          <w:szCs w:val="20"/>
          <w:lang w:val="es-CO"/>
        </w:rPr>
        <w:t xml:space="preserve"> prórrogas, el </w:t>
      </w:r>
      <w:r w:rsidR="00A10EEF" w:rsidRPr="00997A8F">
        <w:rPr>
          <w:rFonts w:ascii="Cambria" w:hAnsi="Cambria" w:cs="Calibri"/>
          <w:sz w:val="20"/>
          <w:szCs w:val="20"/>
          <w:lang w:val="es-CO"/>
        </w:rPr>
        <w:t>12</w:t>
      </w:r>
      <w:r w:rsidR="00C675FF" w:rsidRPr="00997A8F">
        <w:rPr>
          <w:rFonts w:ascii="Cambria" w:hAnsi="Cambria" w:cs="Calibri"/>
          <w:sz w:val="20"/>
          <w:szCs w:val="20"/>
          <w:lang w:val="es-CO"/>
        </w:rPr>
        <w:t xml:space="preserve"> de </w:t>
      </w:r>
      <w:r w:rsidR="00A10EEF" w:rsidRPr="00997A8F">
        <w:rPr>
          <w:rFonts w:ascii="Cambria" w:hAnsi="Cambria" w:cs="Calibri"/>
          <w:sz w:val="20"/>
          <w:szCs w:val="20"/>
          <w:lang w:val="es-CO"/>
        </w:rPr>
        <w:t>julio</w:t>
      </w:r>
      <w:r w:rsidR="00C675FF" w:rsidRPr="00997A8F">
        <w:rPr>
          <w:rFonts w:ascii="Cambria" w:hAnsi="Cambria" w:cs="Calibri"/>
          <w:sz w:val="20"/>
          <w:szCs w:val="20"/>
          <w:lang w:val="es-CO"/>
        </w:rPr>
        <w:t xml:space="preserve"> de 202</w:t>
      </w:r>
      <w:r w:rsidR="00A10EEF" w:rsidRPr="00997A8F">
        <w:rPr>
          <w:rFonts w:ascii="Cambria" w:hAnsi="Cambria" w:cs="Calibri"/>
          <w:sz w:val="20"/>
          <w:szCs w:val="20"/>
          <w:lang w:val="es-CO"/>
        </w:rPr>
        <w:t>4</w:t>
      </w:r>
      <w:r w:rsidR="00C675FF" w:rsidRPr="00997A8F">
        <w:rPr>
          <w:rFonts w:ascii="Cambria" w:hAnsi="Cambria" w:cs="Calibri"/>
          <w:sz w:val="20"/>
          <w:szCs w:val="20"/>
          <w:lang w:val="es-CO"/>
        </w:rPr>
        <w:t xml:space="preserve"> el Estado solicitó una </w:t>
      </w:r>
      <w:r w:rsidR="00A10EEF" w:rsidRPr="00997A8F">
        <w:rPr>
          <w:rFonts w:ascii="Cambria" w:hAnsi="Cambria" w:cs="Calibri"/>
          <w:sz w:val="20"/>
          <w:szCs w:val="20"/>
          <w:lang w:val="es-CO"/>
        </w:rPr>
        <w:t xml:space="preserve">nueva </w:t>
      </w:r>
      <w:r w:rsidR="00C675FF" w:rsidRPr="00997A8F">
        <w:rPr>
          <w:rFonts w:ascii="Cambria" w:hAnsi="Cambria" w:cs="Calibri"/>
          <w:sz w:val="20"/>
          <w:szCs w:val="20"/>
          <w:lang w:val="es-CO"/>
        </w:rPr>
        <w:t xml:space="preserve">prórroga. Al evaluar dicha solicitud, la Comisión observó que a </w:t>
      </w:r>
      <w:r w:rsidR="00A10EEF" w:rsidRPr="00997A8F">
        <w:rPr>
          <w:rFonts w:ascii="Cambria" w:hAnsi="Cambria" w:cs="Calibri"/>
          <w:sz w:val="20"/>
          <w:szCs w:val="20"/>
          <w:lang w:val="es-CO"/>
        </w:rPr>
        <w:t>tres</w:t>
      </w:r>
      <w:r w:rsidR="00C675FF" w:rsidRPr="00997A8F">
        <w:rPr>
          <w:rFonts w:ascii="Cambria" w:hAnsi="Cambria" w:cs="Calibri"/>
          <w:sz w:val="20"/>
          <w:szCs w:val="20"/>
          <w:lang w:val="es-CO"/>
        </w:rPr>
        <w:t xml:space="preserve"> </w:t>
      </w:r>
      <w:r w:rsidR="003F1E90" w:rsidRPr="00997A8F">
        <w:rPr>
          <w:rFonts w:ascii="Cambria" w:hAnsi="Cambria" w:cs="Calibri"/>
          <w:sz w:val="20"/>
          <w:szCs w:val="20"/>
          <w:lang w:val="es-CO"/>
        </w:rPr>
        <w:t xml:space="preserve">años </w:t>
      </w:r>
      <w:r w:rsidR="00C675FF" w:rsidRPr="00997A8F">
        <w:rPr>
          <w:rFonts w:ascii="Cambria" w:hAnsi="Cambria" w:cs="Calibri"/>
          <w:sz w:val="20"/>
          <w:szCs w:val="20"/>
          <w:lang w:val="es-CO"/>
        </w:rPr>
        <w:t xml:space="preserve">de notificado el informe de fondo, pese a los esfuerzos estatales, no se advertían </w:t>
      </w:r>
      <w:r w:rsidR="00C675FF" w:rsidRPr="00997A8F">
        <w:rPr>
          <w:rFonts w:ascii="Cambria" w:eastAsia="Times New Roman" w:hAnsi="Cambria" w:cs="Cambria"/>
          <w:sz w:val="20"/>
          <w:szCs w:val="20"/>
          <w:lang w:val="es-CO"/>
        </w:rPr>
        <w:t>avances sustantivos en el cumplimiento de las recomendaciones. Asimismo, la Comisión notó que las partes no habían logrado arribar a un acuerdo de cumplimiento respecto de las medidas necesarias. Por lo tanto</w:t>
      </w:r>
      <w:r w:rsidR="00C675FF" w:rsidRPr="00997A8F">
        <w:rPr>
          <w:rFonts w:ascii="Cambria" w:hAnsi="Cambria" w:cs="Calibri"/>
          <w:sz w:val="20"/>
          <w:szCs w:val="20"/>
          <w:lang w:val="es-CO"/>
        </w:rPr>
        <w:t xml:space="preserve">, teniendo en cuenta la necesidad de obtención de justicia y reparación para las víctimas, </w:t>
      </w:r>
      <w:r w:rsidR="0076113A" w:rsidRPr="00997A8F">
        <w:rPr>
          <w:rFonts w:ascii="Cambria" w:hAnsi="Cambria" w:cs="Calibri"/>
          <w:sz w:val="20"/>
          <w:szCs w:val="20"/>
          <w:lang w:val="es-CO"/>
        </w:rPr>
        <w:t xml:space="preserve">así como la voluntad expresada por la parte peticionaria, </w:t>
      </w:r>
      <w:r w:rsidR="00C675FF" w:rsidRPr="00997A8F">
        <w:rPr>
          <w:rFonts w:ascii="Cambria" w:hAnsi="Cambria" w:cs="Calibri"/>
          <w:sz w:val="20"/>
          <w:szCs w:val="20"/>
          <w:lang w:val="es-CO"/>
        </w:rPr>
        <w:t xml:space="preserve">la Comisión decidió someter el caso a la jurisdicción de la Corte Interamericana. </w:t>
      </w:r>
    </w:p>
    <w:p w14:paraId="3FEAD29A" w14:textId="77777777" w:rsidR="00C675FF" w:rsidRPr="00997A8F" w:rsidRDefault="00C675FF" w:rsidP="00C675FF">
      <w:pPr>
        <w:tabs>
          <w:tab w:val="left" w:pos="810"/>
        </w:tabs>
        <w:spacing w:after="0" w:line="240" w:lineRule="auto"/>
        <w:jc w:val="both"/>
        <w:rPr>
          <w:rFonts w:ascii="Cambria" w:hAnsi="Cambria"/>
          <w:sz w:val="20"/>
          <w:szCs w:val="20"/>
          <w:lang w:val="es-CO"/>
        </w:rPr>
      </w:pPr>
    </w:p>
    <w:p w14:paraId="2E9E2E1F" w14:textId="23DBEFBC" w:rsidR="00C675FF" w:rsidRPr="00997A8F" w:rsidRDefault="00730714" w:rsidP="00730714">
      <w:pPr>
        <w:tabs>
          <w:tab w:val="left" w:pos="360"/>
          <w:tab w:val="left" w:pos="540"/>
          <w:tab w:val="left" w:pos="1440"/>
        </w:tabs>
        <w:spacing w:after="0" w:line="240" w:lineRule="auto"/>
        <w:jc w:val="both"/>
        <w:rPr>
          <w:rFonts w:ascii="Cambria" w:hAnsi="Cambria"/>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 xml:space="preserve">En ese sentido, la Comisión solicita a la Honorable Corte que concluya y declare que el Estado de Colombia </w:t>
      </w:r>
      <w:r w:rsidR="006A6464" w:rsidRPr="00997A8F">
        <w:rPr>
          <w:rFonts w:ascii="Cambria" w:hAnsi="Cambria" w:cs="Calibri"/>
          <w:sz w:val="20"/>
          <w:szCs w:val="20"/>
          <w:lang w:val="es-CO"/>
        </w:rPr>
        <w:t>es responsable por la violación de los derechos a</w:t>
      </w:r>
      <w:r w:rsidR="0076113A" w:rsidRPr="00997A8F">
        <w:rPr>
          <w:rFonts w:ascii="Cambria" w:hAnsi="Cambria" w:cs="Calibri"/>
          <w:sz w:val="20"/>
          <w:szCs w:val="20"/>
          <w:lang w:val="es-CO"/>
        </w:rPr>
        <w:t xml:space="preserve"> la personalidad jurídica,</w:t>
      </w:r>
      <w:r w:rsidR="006A6464" w:rsidRPr="00997A8F">
        <w:rPr>
          <w:rFonts w:ascii="Cambria" w:hAnsi="Cambria" w:cs="Calibri"/>
          <w:sz w:val="20"/>
          <w:szCs w:val="20"/>
          <w:lang w:val="es-CO"/>
        </w:rPr>
        <w:t xml:space="preserve"> la vida, integridad personal, libertad personal, garantías judiciales</w:t>
      </w:r>
      <w:r w:rsidR="0076113A" w:rsidRPr="00997A8F">
        <w:rPr>
          <w:rFonts w:ascii="Cambria" w:hAnsi="Cambria" w:cs="Calibri"/>
          <w:sz w:val="20"/>
          <w:szCs w:val="20"/>
          <w:lang w:val="es-CO"/>
        </w:rPr>
        <w:t>, derechos de niñez</w:t>
      </w:r>
      <w:r w:rsidR="006A6464" w:rsidRPr="00997A8F">
        <w:rPr>
          <w:rFonts w:ascii="Cambria" w:hAnsi="Cambria" w:cs="Calibri"/>
          <w:sz w:val="20"/>
          <w:szCs w:val="20"/>
          <w:lang w:val="es-CO"/>
        </w:rPr>
        <w:t xml:space="preserve"> y</w:t>
      </w:r>
      <w:r w:rsidR="0076113A" w:rsidRPr="00997A8F">
        <w:rPr>
          <w:rFonts w:ascii="Cambria" w:hAnsi="Cambria" w:cs="Calibri"/>
          <w:sz w:val="20"/>
          <w:szCs w:val="20"/>
          <w:lang w:val="es-CO"/>
        </w:rPr>
        <w:t xml:space="preserve"> a la</w:t>
      </w:r>
      <w:r w:rsidR="006A6464" w:rsidRPr="00997A8F">
        <w:rPr>
          <w:rFonts w:ascii="Cambria" w:hAnsi="Cambria" w:cs="Calibri"/>
          <w:sz w:val="20"/>
          <w:szCs w:val="20"/>
          <w:lang w:val="es-CO"/>
        </w:rPr>
        <w:t xml:space="preserve"> protección</w:t>
      </w:r>
      <w:r w:rsidR="0076113A" w:rsidRPr="00997A8F">
        <w:rPr>
          <w:rFonts w:ascii="Cambria" w:hAnsi="Cambria" w:cs="Calibri"/>
          <w:sz w:val="20"/>
          <w:szCs w:val="20"/>
          <w:lang w:val="es-CO"/>
        </w:rPr>
        <w:t xml:space="preserve"> judicial</w:t>
      </w:r>
      <w:r w:rsidR="006A6464" w:rsidRPr="00997A8F">
        <w:rPr>
          <w:rFonts w:ascii="Cambria" w:hAnsi="Cambria" w:cs="Calibri"/>
          <w:sz w:val="20"/>
          <w:szCs w:val="20"/>
          <w:lang w:val="es-CO"/>
        </w:rPr>
        <w:t>, establecidos en los artículos 3, 4, 5, 7, 8.1, 19 y 25.1 de la Convención Americana sobre Derechos Humanos, en relación con el artículo 1.1 del mismo instrumento, en perjuicio de las personas indicadas en cada una de las secciones del informe. Asimismo, el Estado es responsable por la violación de los artículos I.a), I.b) y III de la Convención Interamericana sobre Desaparición Forzada de Personas, a partir de que dicho tratado entró en vigor para Colombia.</w:t>
      </w:r>
    </w:p>
    <w:p w14:paraId="055C1C61" w14:textId="77777777" w:rsidR="00C675FF" w:rsidRPr="00997A8F" w:rsidRDefault="00C675FF" w:rsidP="00C675FF">
      <w:pPr>
        <w:tabs>
          <w:tab w:val="left" w:pos="810"/>
        </w:tabs>
        <w:spacing w:after="0" w:line="240" w:lineRule="auto"/>
        <w:jc w:val="both"/>
        <w:rPr>
          <w:rFonts w:ascii="Cambria" w:hAnsi="Cambria" w:cs="Calibri"/>
          <w:sz w:val="16"/>
          <w:szCs w:val="16"/>
          <w:lang w:val="es-CO"/>
        </w:rPr>
      </w:pPr>
    </w:p>
    <w:p w14:paraId="110420B7" w14:textId="6718EFBB" w:rsidR="00265BF3" w:rsidRPr="00997A8F" w:rsidRDefault="00730714" w:rsidP="00730714">
      <w:pPr>
        <w:pStyle w:val="ListParagraph"/>
        <w:tabs>
          <w:tab w:val="left" w:pos="360"/>
          <w:tab w:val="left" w:pos="540"/>
          <w:tab w:val="left" w:pos="1440"/>
        </w:tabs>
        <w:ind w:left="0"/>
        <w:jc w:val="both"/>
        <w:rPr>
          <w:rFonts w:cs="Calibri"/>
          <w:color w:val="auto"/>
          <w:sz w:val="20"/>
          <w:szCs w:val="20"/>
          <w:lang w:val="es-CO"/>
        </w:rPr>
      </w:pPr>
      <w:r w:rsidRPr="00997A8F">
        <w:rPr>
          <w:rFonts w:eastAsia="Calibri" w:cs="Calibri"/>
          <w:color w:val="auto"/>
          <w:sz w:val="20"/>
          <w:szCs w:val="20"/>
          <w:bdr w:val="none" w:sz="0" w:space="0" w:color="auto"/>
          <w:lang w:val="es-CO" w:eastAsia="en-US"/>
        </w:rPr>
        <w:tab/>
      </w:r>
      <w:r w:rsidR="00C675FF" w:rsidRPr="00997A8F">
        <w:rPr>
          <w:rFonts w:cs="Calibri"/>
          <w:color w:val="auto"/>
          <w:sz w:val="20"/>
          <w:szCs w:val="20"/>
          <w:lang w:val="es-CO"/>
        </w:rPr>
        <w:t>En consecuencia, la Comisión solicita a la Corte Interamericana que establezca las siguientes medidas de reparación:</w:t>
      </w:r>
    </w:p>
    <w:p w14:paraId="60B48EC0" w14:textId="77777777" w:rsidR="0076113A" w:rsidRPr="00997A8F" w:rsidRDefault="0076113A" w:rsidP="0076113A">
      <w:pPr>
        <w:pStyle w:val="ListParagraph"/>
        <w:tabs>
          <w:tab w:val="left" w:pos="540"/>
          <w:tab w:val="left" w:pos="1440"/>
        </w:tabs>
        <w:ind w:left="0" w:right="450"/>
        <w:jc w:val="both"/>
        <w:rPr>
          <w:rFonts w:eastAsia="Calibri" w:cs="Calibri"/>
          <w:color w:val="auto"/>
          <w:sz w:val="20"/>
          <w:szCs w:val="20"/>
          <w:bdr w:val="none" w:sz="0" w:space="0" w:color="auto"/>
          <w:lang w:val="es-CO" w:eastAsia="en-US"/>
        </w:rPr>
      </w:pPr>
    </w:p>
    <w:p w14:paraId="1065BC13" w14:textId="353E3475" w:rsidR="00265BF3" w:rsidRPr="00997A8F" w:rsidRDefault="00E921E6"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Tahoma"/>
          <w:color w:val="auto"/>
          <w:sz w:val="20"/>
          <w:szCs w:val="20"/>
          <w:lang w:val="es-CO"/>
        </w:rPr>
        <w:t>Reparar integralmente las violaciones de derechos humanos declaradas en el presente</w:t>
      </w:r>
      <w:r w:rsidR="00265BF3" w:rsidRPr="00997A8F">
        <w:rPr>
          <w:rFonts w:eastAsia="Times New Roman" w:cs="Tahoma"/>
          <w:color w:val="auto"/>
          <w:sz w:val="20"/>
          <w:szCs w:val="20"/>
          <w:lang w:val="es-CO"/>
        </w:rPr>
        <w:t xml:space="preserve"> </w:t>
      </w:r>
      <w:r w:rsidRPr="00997A8F">
        <w:rPr>
          <w:rFonts w:eastAsia="Times New Roman" w:cs="Tahoma"/>
          <w:color w:val="auto"/>
          <w:sz w:val="20"/>
          <w:szCs w:val="20"/>
          <w:lang w:val="es-CO"/>
        </w:rPr>
        <w:t>informe tanto en el aspecto material como moral.</w:t>
      </w:r>
    </w:p>
    <w:p w14:paraId="7DF3B5E2" w14:textId="77777777" w:rsidR="00265BF3" w:rsidRPr="00997A8F" w:rsidRDefault="00265BF3" w:rsidP="0076113A">
      <w:pPr>
        <w:pStyle w:val="ListParagraph"/>
        <w:tabs>
          <w:tab w:val="left" w:pos="1170"/>
        </w:tabs>
        <w:ind w:left="810" w:right="450"/>
        <w:jc w:val="both"/>
        <w:rPr>
          <w:rFonts w:eastAsia="Times New Roman" w:cs="Tahoma"/>
          <w:color w:val="auto"/>
          <w:sz w:val="20"/>
          <w:szCs w:val="20"/>
          <w:lang w:val="es-CO"/>
        </w:rPr>
      </w:pPr>
    </w:p>
    <w:p w14:paraId="2C1319F9" w14:textId="77777777" w:rsidR="003C16EE" w:rsidRPr="00997A8F" w:rsidRDefault="00265BF3"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heme="minorHAnsi"/>
          <w:color w:val="auto"/>
          <w:sz w:val="20"/>
          <w:szCs w:val="20"/>
          <w:lang w:val="es-CO"/>
          <w14:ligatures w14:val="standardContextual"/>
        </w:rPr>
        <w:t>Brindar tratamiento médico y psicológico o psiquiátrico, en coordinación con las víctimas, por el tiempo que sea necesario para atender las afecciones derivadas de las violaciones declaradas en el presente informe.</w:t>
      </w:r>
    </w:p>
    <w:p w14:paraId="73D83CD2" w14:textId="77777777" w:rsidR="003C16EE" w:rsidRPr="00997A8F" w:rsidRDefault="003C16EE" w:rsidP="0076113A">
      <w:pPr>
        <w:pStyle w:val="ListParagraph"/>
        <w:ind w:right="450"/>
        <w:rPr>
          <w:rFonts w:eastAsia="Times New Roman" w:cs="Calibri"/>
          <w:color w:val="auto"/>
          <w:sz w:val="20"/>
          <w:szCs w:val="20"/>
          <w:lang w:val="es-CO"/>
        </w:rPr>
      </w:pPr>
    </w:p>
    <w:p w14:paraId="5C903BCF" w14:textId="77777777" w:rsidR="00F704EA" w:rsidRPr="00997A8F" w:rsidRDefault="003A28FB"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Emprender un plan de búsqueda, a través de todos los medios disponibles, del destino o</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paradero de las víctimas desaparecidas o de sus restos mortales. Para ello se debe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establecer</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una estrategia de comunicación con los familiares y acordar un marco de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 xml:space="preserve">acción coordinada, </w:t>
      </w:r>
      <w:r w:rsidRPr="00997A8F">
        <w:rPr>
          <w:rFonts w:eastAsia="Times New Roman" w:cs="Calibri"/>
          <w:color w:val="auto"/>
          <w:sz w:val="20"/>
          <w:szCs w:val="20"/>
          <w:lang w:val="es-CO"/>
        </w:rPr>
        <w:lastRenderedPageBreak/>
        <w:t>para procurar su participación, conocimiento y presencia, conforme</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a las directrices y</w:t>
      </w:r>
      <w:r w:rsidR="003C16EE"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protocolos en la materia.</w:t>
      </w:r>
    </w:p>
    <w:p w14:paraId="245366D7" w14:textId="77777777" w:rsidR="00F704EA" w:rsidRPr="00997A8F" w:rsidRDefault="00F704EA" w:rsidP="0076113A">
      <w:pPr>
        <w:pStyle w:val="ListParagraph"/>
        <w:ind w:right="450"/>
        <w:rPr>
          <w:rFonts w:eastAsia="Times New Roman" w:cs="Calibri"/>
          <w:color w:val="auto"/>
          <w:sz w:val="16"/>
          <w:szCs w:val="16"/>
          <w:lang w:val="es-CO"/>
        </w:rPr>
      </w:pPr>
    </w:p>
    <w:p w14:paraId="26B51AE2" w14:textId="77777777" w:rsidR="00F704EA" w:rsidRPr="00997A8F" w:rsidRDefault="003A28FB" w:rsidP="0076113A">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Continuar las investigaciones de manera imparcial, efectiva y dentro de un plazo razonable</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con el objeto de esclarecer los hechos en forma completa, identificar a los autores intelectuales</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y materiales e imponer las sanciones que correspondan, tomando en cuenta los vínculos y</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patrones de acción conjunta identificados en el presente informe. Asimismo, las</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investigaciones relacionadas con las mujeres y niñas víctimas de este caso deberán de contar</w:t>
      </w:r>
      <w:r w:rsidR="00F704EA"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con una perspectiva de género.</w:t>
      </w:r>
    </w:p>
    <w:p w14:paraId="0CD51890" w14:textId="77777777" w:rsidR="00F704EA" w:rsidRPr="00997A8F" w:rsidRDefault="00F704EA" w:rsidP="0076113A">
      <w:pPr>
        <w:pStyle w:val="ListParagraph"/>
        <w:ind w:right="450"/>
        <w:rPr>
          <w:rFonts w:eastAsia="Times New Roman" w:cs="Calibri"/>
          <w:color w:val="auto"/>
          <w:sz w:val="16"/>
          <w:szCs w:val="16"/>
          <w:lang w:val="es-CO"/>
        </w:rPr>
      </w:pPr>
    </w:p>
    <w:p w14:paraId="5D0D880E" w14:textId="605F392A" w:rsidR="00FB4AB7" w:rsidRPr="00997A8F" w:rsidRDefault="00CA05BF" w:rsidP="00730714">
      <w:pPr>
        <w:pStyle w:val="ListParagraph"/>
        <w:numPr>
          <w:ilvl w:val="0"/>
          <w:numId w:val="2"/>
        </w:numPr>
        <w:tabs>
          <w:tab w:val="left" w:pos="1170"/>
        </w:tabs>
        <w:ind w:right="450"/>
        <w:jc w:val="both"/>
        <w:rPr>
          <w:rFonts w:eastAsia="Times New Roman" w:cs="Tahoma"/>
          <w:color w:val="auto"/>
          <w:sz w:val="20"/>
          <w:szCs w:val="20"/>
          <w:lang w:val="es-CO"/>
        </w:rPr>
      </w:pPr>
      <w:r w:rsidRPr="00997A8F">
        <w:rPr>
          <w:rFonts w:eastAsia="Times New Roman" w:cs="Calibri"/>
          <w:color w:val="auto"/>
          <w:sz w:val="20"/>
          <w:szCs w:val="20"/>
          <w:lang w:val="es-CO"/>
        </w:rPr>
        <w:t>Adoptar las medidas necesarias para evitar que en el futuro se repitan los hechos del presente</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caso, en particular mediante el fortalecimiento de: i) la capacidad investigativa de contextos y</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patrones de actuación conjunta entre agentes estatales y grupos armados ilegales en la zona</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donde ocurrieron los hechos del presente caso y ii) los mecanismos de respuesta estatales</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para la protección de testigos en procesos penales relacionados con violencia de parte de</w:t>
      </w:r>
      <w:r w:rsidR="00FB4AB7" w:rsidRPr="00997A8F">
        <w:rPr>
          <w:rFonts w:eastAsia="Times New Roman" w:cs="Calibri"/>
          <w:color w:val="auto"/>
          <w:sz w:val="20"/>
          <w:szCs w:val="20"/>
          <w:lang w:val="es-CO"/>
        </w:rPr>
        <w:t xml:space="preserve"> </w:t>
      </w:r>
      <w:r w:rsidRPr="00997A8F">
        <w:rPr>
          <w:rFonts w:eastAsia="Times New Roman" w:cs="Calibri"/>
          <w:color w:val="auto"/>
          <w:sz w:val="20"/>
          <w:szCs w:val="20"/>
          <w:lang w:val="es-CO"/>
        </w:rPr>
        <w:t>grupos armados.</w:t>
      </w:r>
    </w:p>
    <w:p w14:paraId="4AC89250" w14:textId="77777777" w:rsidR="00730714" w:rsidRPr="00997A8F" w:rsidRDefault="00730714" w:rsidP="00730714">
      <w:pPr>
        <w:tabs>
          <w:tab w:val="left" w:pos="1170"/>
        </w:tabs>
        <w:spacing w:after="0" w:line="240" w:lineRule="auto"/>
        <w:ind w:right="450"/>
        <w:jc w:val="both"/>
        <w:rPr>
          <w:rFonts w:eastAsia="Times New Roman" w:cs="Tahoma"/>
          <w:sz w:val="16"/>
          <w:szCs w:val="16"/>
          <w:lang w:val="es-CO"/>
        </w:rPr>
      </w:pPr>
    </w:p>
    <w:p w14:paraId="6A5EEF89" w14:textId="1BDFD50A" w:rsidR="00E83ED6" w:rsidRPr="00997A8F" w:rsidRDefault="00730714" w:rsidP="00730714">
      <w:pPr>
        <w:pStyle w:val="ListParagraph"/>
        <w:tabs>
          <w:tab w:val="left" w:pos="360"/>
          <w:tab w:val="left" w:pos="630"/>
        </w:tabs>
        <w:ind w:left="0"/>
        <w:jc w:val="both"/>
        <w:rPr>
          <w:rFonts w:eastAsia="Times New Roman"/>
          <w:color w:val="auto"/>
          <w:sz w:val="20"/>
          <w:szCs w:val="20"/>
          <w:lang w:val="es-CO" w:eastAsia="en-US"/>
        </w:rPr>
      </w:pPr>
      <w:r w:rsidRPr="00997A8F">
        <w:rPr>
          <w:rFonts w:cs="Calibri"/>
          <w:color w:val="auto"/>
          <w:sz w:val="20"/>
          <w:szCs w:val="20"/>
          <w:lang w:val="es-CO"/>
        </w:rPr>
        <w:tab/>
      </w:r>
      <w:r w:rsidR="00C675FF" w:rsidRPr="00997A8F">
        <w:rPr>
          <w:rFonts w:eastAsia="Times New Roman" w:cs="Calibri"/>
          <w:color w:val="auto"/>
          <w:sz w:val="20"/>
          <w:szCs w:val="20"/>
          <w:lang w:val="es-CO"/>
        </w:rPr>
        <w:t>Además de la necesidad de obtención de justicia y reparación po</w:t>
      </w:r>
      <w:r w:rsidR="00AF6B77" w:rsidRPr="00997A8F">
        <w:rPr>
          <w:rFonts w:eastAsia="Times New Roman" w:cs="Calibri"/>
          <w:color w:val="auto"/>
          <w:sz w:val="20"/>
          <w:szCs w:val="20"/>
          <w:lang w:val="es-CO"/>
        </w:rPr>
        <w:t>r</w:t>
      </w:r>
      <w:r w:rsidR="00C675FF" w:rsidRPr="00997A8F">
        <w:rPr>
          <w:rFonts w:eastAsia="Times New Roman" w:cs="Calibri"/>
          <w:color w:val="auto"/>
          <w:sz w:val="20"/>
          <w:szCs w:val="20"/>
          <w:lang w:val="es-CO"/>
        </w:rPr>
        <w:t xml:space="preserve"> la falta de cumplimiento de las recomendaciones del Informe de Fondo, la Comisión considera que el caso presenta cuestiones de orden público interamericano. El mismo permitirá a la Honorable Corte continuar </w:t>
      </w:r>
      <w:r w:rsidR="00C675FF" w:rsidRPr="00997A8F">
        <w:rPr>
          <w:rFonts w:eastAsia="Times New Roman"/>
          <w:color w:val="auto"/>
          <w:sz w:val="20"/>
          <w:szCs w:val="20"/>
          <w:lang w:val="es-CO"/>
        </w:rPr>
        <w:t xml:space="preserve">desarrollando su jurisprudencia </w:t>
      </w:r>
      <w:r w:rsidR="00CA19FC" w:rsidRPr="00997A8F">
        <w:rPr>
          <w:rFonts w:eastAsia="Times New Roman"/>
          <w:color w:val="auto"/>
          <w:sz w:val="20"/>
          <w:szCs w:val="20"/>
          <w:lang w:val="es-CO" w:eastAsia="en-US"/>
        </w:rPr>
        <w:t xml:space="preserve">sobre </w:t>
      </w:r>
      <w:r w:rsidR="0047427F" w:rsidRPr="00997A8F">
        <w:rPr>
          <w:rFonts w:eastAsia="Times New Roman"/>
          <w:color w:val="auto"/>
          <w:sz w:val="20"/>
          <w:szCs w:val="20"/>
          <w:lang w:val="es-CO" w:eastAsia="en-US"/>
        </w:rPr>
        <w:t xml:space="preserve">las obligaciones estatales de respeto y garantía </w:t>
      </w:r>
      <w:r w:rsidR="009D63C4" w:rsidRPr="00997A8F">
        <w:rPr>
          <w:rFonts w:eastAsia="Times New Roman"/>
          <w:color w:val="auto"/>
          <w:sz w:val="20"/>
          <w:szCs w:val="20"/>
          <w:lang w:val="es-CO" w:eastAsia="en-US"/>
        </w:rPr>
        <w:t xml:space="preserve">en relación con la </w:t>
      </w:r>
      <w:r w:rsidR="0047427F" w:rsidRPr="00997A8F">
        <w:rPr>
          <w:rFonts w:eastAsia="Times New Roman"/>
          <w:color w:val="auto"/>
          <w:sz w:val="20"/>
          <w:szCs w:val="20"/>
          <w:lang w:val="es-CO" w:eastAsia="en-US"/>
        </w:rPr>
        <w:t>desaparición forzada de personas y ejecución extrajudicial</w:t>
      </w:r>
      <w:r w:rsidR="009D63C4" w:rsidRPr="00997A8F">
        <w:rPr>
          <w:rFonts w:eastAsia="Times New Roman"/>
          <w:color w:val="auto"/>
          <w:sz w:val="20"/>
          <w:szCs w:val="20"/>
          <w:lang w:val="es-CO" w:eastAsia="en-US"/>
        </w:rPr>
        <w:t xml:space="preserve">, en particular </w:t>
      </w:r>
      <w:r w:rsidR="0047427F" w:rsidRPr="00997A8F">
        <w:rPr>
          <w:rFonts w:eastAsia="Times New Roman"/>
          <w:color w:val="auto"/>
          <w:sz w:val="20"/>
          <w:szCs w:val="20"/>
          <w:lang w:val="es-CO" w:eastAsia="en-US"/>
        </w:rPr>
        <w:t>en casos de actuación conjunta entre agentes estatales y grupos armados ilegales en el contexto de conflictos armados internos</w:t>
      </w:r>
      <w:r w:rsidR="009D63C4" w:rsidRPr="00997A8F">
        <w:rPr>
          <w:rFonts w:eastAsia="Times New Roman"/>
          <w:color w:val="auto"/>
          <w:sz w:val="20"/>
          <w:szCs w:val="20"/>
          <w:lang w:val="es-CO" w:eastAsia="en-US"/>
        </w:rPr>
        <w:t xml:space="preserve">. La Corte </w:t>
      </w:r>
      <w:r w:rsidR="004D4296" w:rsidRPr="00997A8F">
        <w:rPr>
          <w:rFonts w:eastAsia="Times New Roman"/>
          <w:color w:val="auto"/>
          <w:sz w:val="20"/>
          <w:szCs w:val="20"/>
          <w:lang w:val="es-CO" w:eastAsia="en-US"/>
        </w:rPr>
        <w:t>también</w:t>
      </w:r>
      <w:r w:rsidR="009D63C4" w:rsidRPr="00997A8F">
        <w:rPr>
          <w:rFonts w:eastAsia="Times New Roman"/>
          <w:color w:val="auto"/>
          <w:sz w:val="20"/>
          <w:szCs w:val="20"/>
          <w:lang w:val="es-CO" w:eastAsia="en-US"/>
        </w:rPr>
        <w:t xml:space="preserve"> podrá referirse a </w:t>
      </w:r>
      <w:r w:rsidR="004D4CE9" w:rsidRPr="00997A8F">
        <w:rPr>
          <w:rFonts w:eastAsia="Times New Roman"/>
          <w:color w:val="auto"/>
          <w:sz w:val="20"/>
          <w:szCs w:val="20"/>
          <w:lang w:val="es-CO" w:eastAsia="en-US"/>
        </w:rPr>
        <w:t>la obligación que tienen los Estado de prevenir de manera razonable la comisión de est</w:t>
      </w:r>
      <w:r w:rsidR="004D4296" w:rsidRPr="00997A8F">
        <w:rPr>
          <w:rFonts w:eastAsia="Times New Roman"/>
          <w:color w:val="auto"/>
          <w:sz w:val="20"/>
          <w:szCs w:val="20"/>
          <w:lang w:val="es-CO" w:eastAsia="en-US"/>
        </w:rPr>
        <w:t>os</w:t>
      </w:r>
      <w:r w:rsidR="004D4CE9" w:rsidRPr="00997A8F">
        <w:rPr>
          <w:rFonts w:eastAsia="Times New Roman"/>
          <w:color w:val="auto"/>
          <w:sz w:val="20"/>
          <w:szCs w:val="20"/>
          <w:lang w:val="es-CO" w:eastAsia="en-US"/>
        </w:rPr>
        <w:t xml:space="preserve"> delito</w:t>
      </w:r>
      <w:r w:rsidR="004D4296" w:rsidRPr="00997A8F">
        <w:rPr>
          <w:rFonts w:eastAsia="Times New Roman"/>
          <w:color w:val="auto"/>
          <w:sz w:val="20"/>
          <w:szCs w:val="20"/>
          <w:lang w:val="es-CO" w:eastAsia="en-US"/>
        </w:rPr>
        <w:t>s</w:t>
      </w:r>
      <w:r w:rsidR="004D4CE9" w:rsidRPr="00997A8F">
        <w:rPr>
          <w:rFonts w:eastAsia="Times New Roman"/>
          <w:color w:val="auto"/>
          <w:sz w:val="20"/>
          <w:szCs w:val="20"/>
          <w:lang w:val="es-CO" w:eastAsia="en-US"/>
        </w:rPr>
        <w:t>, investigar seriamente lo sucedido a fin de identificar a los responsables e imponerles las sanciones pertinentes, así como asegurar a la víctima una adecuada reparación.</w:t>
      </w:r>
      <w:r w:rsidR="001D2D03" w:rsidRPr="00997A8F">
        <w:rPr>
          <w:rFonts w:eastAsia="Times New Roman"/>
          <w:color w:val="auto"/>
          <w:sz w:val="20"/>
          <w:szCs w:val="20"/>
          <w:lang w:val="es-CO" w:eastAsia="en-US"/>
        </w:rPr>
        <w:t xml:space="preserve"> </w:t>
      </w:r>
      <w:r w:rsidR="00C675FF" w:rsidRPr="00997A8F">
        <w:rPr>
          <w:rFonts w:eastAsia="Times New Roman"/>
          <w:color w:val="auto"/>
          <w:sz w:val="20"/>
          <w:szCs w:val="20"/>
          <w:lang w:val="es-CO" w:eastAsia="en-US"/>
        </w:rPr>
        <w:t xml:space="preserve">Asimismo, la Corte podrá profundizar el análisis sobre </w:t>
      </w:r>
      <w:r w:rsidR="004D4CE9" w:rsidRPr="00997A8F">
        <w:rPr>
          <w:rFonts w:eastAsia="Times New Roman"/>
          <w:color w:val="auto"/>
          <w:sz w:val="20"/>
          <w:szCs w:val="20"/>
          <w:lang w:val="es-CO" w:eastAsia="en-US"/>
        </w:rPr>
        <w:t xml:space="preserve">las medidas que deben tomar los </w:t>
      </w:r>
      <w:r w:rsidR="004D4296" w:rsidRPr="00997A8F">
        <w:rPr>
          <w:rFonts w:eastAsia="Times New Roman"/>
          <w:color w:val="auto"/>
          <w:sz w:val="20"/>
          <w:szCs w:val="20"/>
          <w:lang w:val="es-CO" w:eastAsia="en-US"/>
        </w:rPr>
        <w:t>E</w:t>
      </w:r>
      <w:r w:rsidR="004D4CE9" w:rsidRPr="00997A8F">
        <w:rPr>
          <w:rFonts w:eastAsia="Times New Roman"/>
          <w:color w:val="auto"/>
          <w:sz w:val="20"/>
          <w:szCs w:val="20"/>
          <w:lang w:val="es-CO" w:eastAsia="en-US"/>
        </w:rPr>
        <w:t xml:space="preserve">stados para </w:t>
      </w:r>
      <w:r w:rsidR="00E83ED6" w:rsidRPr="00997A8F">
        <w:rPr>
          <w:rFonts w:eastAsia="Times New Roman"/>
          <w:color w:val="auto"/>
          <w:sz w:val="20"/>
          <w:szCs w:val="20"/>
          <w:lang w:val="es-CO" w:eastAsia="en-US"/>
        </w:rPr>
        <w:t xml:space="preserve">asegurar la protección y cuidado de las niñas y niños afectados por un conflicto armado con base </w:t>
      </w:r>
      <w:r w:rsidR="00CA19FC" w:rsidRPr="00997A8F">
        <w:rPr>
          <w:rFonts w:eastAsia="Times New Roman"/>
          <w:color w:val="auto"/>
          <w:sz w:val="20"/>
          <w:szCs w:val="20"/>
          <w:lang w:val="es-CO" w:eastAsia="en-US"/>
        </w:rPr>
        <w:t xml:space="preserve">a su </w:t>
      </w:r>
      <w:r w:rsidR="004D4CE9" w:rsidRPr="00997A8F">
        <w:rPr>
          <w:rFonts w:eastAsia="Times New Roman"/>
          <w:color w:val="auto"/>
          <w:sz w:val="20"/>
          <w:szCs w:val="20"/>
          <w:lang w:val="es-CO" w:eastAsia="en-US"/>
        </w:rPr>
        <w:t>interés superior</w:t>
      </w:r>
      <w:r w:rsidR="00CA19FC" w:rsidRPr="00997A8F">
        <w:rPr>
          <w:rFonts w:eastAsia="Times New Roman"/>
          <w:color w:val="auto"/>
          <w:sz w:val="20"/>
          <w:szCs w:val="20"/>
          <w:lang w:val="es-CO" w:eastAsia="en-US"/>
        </w:rPr>
        <w:t xml:space="preserve">. </w:t>
      </w:r>
    </w:p>
    <w:p w14:paraId="25900D2D" w14:textId="77777777" w:rsidR="00C675FF" w:rsidRPr="00997A8F" w:rsidRDefault="00C675FF" w:rsidP="00CA19FC">
      <w:pPr>
        <w:spacing w:after="0" w:line="240" w:lineRule="auto"/>
        <w:jc w:val="both"/>
        <w:rPr>
          <w:rFonts w:ascii="Cambria" w:hAnsi="Cambria" w:cs="Calibri"/>
          <w:sz w:val="16"/>
          <w:szCs w:val="16"/>
          <w:lang w:val="es-CO"/>
        </w:rPr>
      </w:pPr>
    </w:p>
    <w:p w14:paraId="225639E3" w14:textId="74FC9B4C" w:rsidR="00C675FF" w:rsidRPr="00997A8F" w:rsidRDefault="00730714" w:rsidP="00730714">
      <w:pPr>
        <w:tabs>
          <w:tab w:val="left" w:pos="360"/>
        </w:tabs>
        <w:spacing w:after="0" w:line="240" w:lineRule="auto"/>
        <w:jc w:val="both"/>
        <w:rPr>
          <w:rFonts w:ascii="Cambria" w:hAnsi="Cambria" w:cs="Calibri"/>
          <w:sz w:val="20"/>
          <w:szCs w:val="20"/>
          <w:lang w:val="es-CO"/>
        </w:rPr>
      </w:pPr>
      <w:r w:rsidRPr="00997A8F">
        <w:rPr>
          <w:rFonts w:ascii="Cambria" w:hAnsi="Cambria" w:cs="Calibri"/>
          <w:sz w:val="20"/>
          <w:szCs w:val="20"/>
          <w:lang w:val="es-CO"/>
        </w:rPr>
        <w:tab/>
      </w:r>
      <w:r w:rsidR="00C675FF" w:rsidRPr="00997A8F">
        <w:rPr>
          <w:rFonts w:ascii="Cambria" w:hAnsi="Cambria" w:cs="Calibri"/>
          <w:sz w:val="20"/>
          <w:szCs w:val="20"/>
          <w:lang w:val="es-CO"/>
        </w:rPr>
        <w:t>La Comisión pone en conocimiento de la Honorable Corte la siguiente información de quienes actúan como parte peticionaria en el trámite ante la CIDH conforme a la información más reciente:</w:t>
      </w:r>
    </w:p>
    <w:p w14:paraId="60F77854" w14:textId="77777777" w:rsidR="00C675FF" w:rsidRPr="00997A8F" w:rsidRDefault="00C675FF" w:rsidP="00C675FF">
      <w:pPr>
        <w:spacing w:after="0" w:line="240" w:lineRule="auto"/>
        <w:jc w:val="center"/>
        <w:rPr>
          <w:rFonts w:ascii="Cambria" w:hAnsi="Cambria" w:cs="Calibri"/>
          <w:sz w:val="16"/>
          <w:szCs w:val="16"/>
          <w:lang w:val="es-CO"/>
        </w:rPr>
      </w:pPr>
    </w:p>
    <w:p w14:paraId="03015CB9" w14:textId="32BC9385"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sz w:val="20"/>
          <w:szCs w:val="20"/>
          <w:lang w:val="es-US"/>
        </w:rPr>
        <w:t>Centro por la Justicia y el Derecho Internacional</w:t>
      </w:r>
    </w:p>
    <w:p w14:paraId="7BB2EE09" w14:textId="159E4634"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cs="Calibri"/>
          <w:sz w:val="20"/>
          <w:szCs w:val="20"/>
          <w:lang w:val="es-CO"/>
        </w:rPr>
        <w:t>CEJIL</w:t>
      </w:r>
    </w:p>
    <w:p w14:paraId="5B930891" w14:textId="3288C9F6" w:rsidR="00997A8F" w:rsidRPr="00997A8F" w:rsidRDefault="00997A8F" w:rsidP="00C675FF">
      <w:pPr>
        <w:spacing w:after="0" w:line="240" w:lineRule="auto"/>
        <w:jc w:val="center"/>
        <w:rPr>
          <w:rFonts w:ascii="Cambria" w:hAnsi="Cambria" w:cs="Calibri"/>
          <w:sz w:val="20"/>
          <w:szCs w:val="20"/>
          <w:lang w:val="es-CO"/>
        </w:rPr>
      </w:pPr>
      <w:r w:rsidRPr="00997A8F">
        <w:rPr>
          <w:rFonts w:ascii="Cambria" w:hAnsi="Cambria"/>
          <w:sz w:val="20"/>
          <w:szCs w:val="20"/>
          <w:lang w:val="es-US"/>
        </w:rPr>
        <w:t>Gisela de León - Directora Jurídica</w:t>
      </w:r>
    </w:p>
    <w:p w14:paraId="14114321" w14:textId="423F24F7" w:rsidR="00C675FF" w:rsidRPr="00997A8F" w:rsidRDefault="00997A8F" w:rsidP="00C675FF">
      <w:pPr>
        <w:spacing w:after="0" w:line="240" w:lineRule="auto"/>
        <w:jc w:val="center"/>
        <w:rPr>
          <w:rFonts w:ascii="Cambria" w:hAnsi="Cambria"/>
          <w:sz w:val="20"/>
          <w:szCs w:val="20"/>
          <w:lang w:val="es-US"/>
        </w:rPr>
      </w:pPr>
      <w:r w:rsidRPr="00997A8F">
        <w:rPr>
          <w:rFonts w:ascii="Cambria" w:hAnsi="Cambria"/>
          <w:sz w:val="20"/>
          <w:szCs w:val="20"/>
          <w:lang w:val="es-US"/>
        </w:rPr>
        <w:t>Florencia Reggiardo</w:t>
      </w:r>
    </w:p>
    <w:p w14:paraId="3393E04D" w14:textId="1709544E" w:rsidR="00997A8F" w:rsidRPr="00997A8F" w:rsidRDefault="00997A8F" w:rsidP="00C675FF">
      <w:pPr>
        <w:spacing w:after="0" w:line="240" w:lineRule="auto"/>
        <w:jc w:val="center"/>
        <w:rPr>
          <w:rFonts w:ascii="Cambria" w:hAnsi="Cambria"/>
          <w:sz w:val="20"/>
          <w:szCs w:val="20"/>
          <w:lang w:val="es-US"/>
        </w:rPr>
      </w:pPr>
      <w:r w:rsidRPr="00997A8F">
        <w:rPr>
          <w:rFonts w:ascii="Cambria" w:hAnsi="Cambria"/>
          <w:sz w:val="20"/>
          <w:szCs w:val="20"/>
          <w:lang w:val="es-US"/>
        </w:rPr>
        <w:t>Directora Programa Región Andina, Norteamérica y el Caribe</w:t>
      </w:r>
    </w:p>
    <w:p w14:paraId="5AC5104C" w14:textId="31515766" w:rsidR="00997A8F" w:rsidRPr="00C17B86" w:rsidRDefault="00C17B86" w:rsidP="00C675FF">
      <w:pPr>
        <w:spacing w:after="0" w:line="240" w:lineRule="auto"/>
        <w:jc w:val="center"/>
        <w:rPr>
          <w:rFonts w:ascii="Cambria" w:hAnsi="Cambria"/>
          <w:sz w:val="20"/>
          <w:szCs w:val="20"/>
          <w:highlight w:val="black"/>
          <w:lang w:val="es-US"/>
        </w:rPr>
      </w:pPr>
      <w:r w:rsidRPr="00C17B86">
        <w:rPr>
          <w:rFonts w:ascii="Cambria" w:hAnsi="Cambria"/>
          <w:sz w:val="20"/>
          <w:szCs w:val="20"/>
          <w:highlight w:val="black"/>
          <w:lang w:val="es-US"/>
        </w:rPr>
        <w:t>XXXXXXXXXXXXXXXXXXXXXXXXXXXXXX</w:t>
      </w:r>
    </w:p>
    <w:p w14:paraId="3F3B92AA" w14:textId="77777777" w:rsidR="00997A8F" w:rsidRPr="00997A8F" w:rsidRDefault="00997A8F" w:rsidP="00C675FF">
      <w:pPr>
        <w:spacing w:after="0" w:line="240" w:lineRule="auto"/>
        <w:jc w:val="center"/>
        <w:rPr>
          <w:rFonts w:ascii="Cambria" w:hAnsi="Cambria"/>
          <w:sz w:val="16"/>
          <w:szCs w:val="16"/>
          <w:lang w:val="es-US"/>
        </w:rPr>
      </w:pPr>
    </w:p>
    <w:p w14:paraId="38EDFC7D" w14:textId="057842EC" w:rsidR="00997A8F" w:rsidRPr="00997A8F" w:rsidRDefault="00997A8F" w:rsidP="00C675FF">
      <w:pPr>
        <w:spacing w:after="0" w:line="240" w:lineRule="auto"/>
        <w:jc w:val="center"/>
        <w:rPr>
          <w:rFonts w:ascii="Cambria" w:hAnsi="Cambria"/>
          <w:sz w:val="20"/>
          <w:szCs w:val="20"/>
          <w:lang w:val="pt-BR"/>
        </w:rPr>
      </w:pPr>
      <w:r w:rsidRPr="00997A8F">
        <w:rPr>
          <w:rFonts w:ascii="Cambria" w:hAnsi="Cambria"/>
          <w:sz w:val="20"/>
          <w:szCs w:val="20"/>
          <w:lang w:val="pt-BR"/>
        </w:rPr>
        <w:t>Colectivo de Abogados José Alvear Restrepo</w:t>
      </w:r>
    </w:p>
    <w:p w14:paraId="0BE59058" w14:textId="7FFED3BD" w:rsidR="00997A8F" w:rsidRPr="00997A8F" w:rsidRDefault="00997A8F" w:rsidP="00C675FF">
      <w:pPr>
        <w:spacing w:after="0" w:line="240" w:lineRule="auto"/>
        <w:jc w:val="center"/>
        <w:rPr>
          <w:rFonts w:ascii="Cambria" w:hAnsi="Cambria"/>
          <w:sz w:val="20"/>
          <w:szCs w:val="20"/>
          <w:lang w:val="pt-BR"/>
        </w:rPr>
      </w:pPr>
      <w:r w:rsidRPr="00997A8F">
        <w:rPr>
          <w:rFonts w:ascii="Cambria" w:hAnsi="Cambria"/>
          <w:sz w:val="20"/>
          <w:szCs w:val="20"/>
          <w:lang w:val="pt-BR"/>
        </w:rPr>
        <w:t>CAJAR</w:t>
      </w:r>
    </w:p>
    <w:p w14:paraId="1408F4A3" w14:textId="4FB9F54E"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w:t>
      </w:r>
    </w:p>
    <w:p w14:paraId="5CE313BB" w14:textId="4461FA45"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XXXXXXXXXXXXXXXXXXXXXXXXX</w:t>
      </w:r>
    </w:p>
    <w:p w14:paraId="65AAD960" w14:textId="7226D9D6"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XXXXXXXXXXXXXXXXXXXXXXXXXXXXXX</w:t>
      </w:r>
    </w:p>
    <w:p w14:paraId="4A39F9C6" w14:textId="5E9DFCC0" w:rsidR="00997A8F" w:rsidRPr="00C17B86" w:rsidRDefault="00C17B86" w:rsidP="00C675FF">
      <w:pPr>
        <w:spacing w:after="0" w:line="240" w:lineRule="auto"/>
        <w:jc w:val="center"/>
        <w:rPr>
          <w:rFonts w:ascii="Cambria" w:hAnsi="Cambria"/>
          <w:sz w:val="20"/>
          <w:szCs w:val="20"/>
          <w:highlight w:val="black"/>
          <w:lang w:val="pt-BR"/>
        </w:rPr>
      </w:pPr>
      <w:r w:rsidRPr="00C17B86">
        <w:rPr>
          <w:rFonts w:ascii="Cambria" w:hAnsi="Cambria"/>
          <w:sz w:val="20"/>
          <w:szCs w:val="20"/>
          <w:highlight w:val="black"/>
          <w:lang w:val="pt-BR"/>
        </w:rPr>
        <w:t>XXXXXXXXXXXXXXXXXXXXXXX</w:t>
      </w:r>
    </w:p>
    <w:p w14:paraId="345F45DF" w14:textId="77777777" w:rsidR="00997A8F" w:rsidRPr="00997A8F" w:rsidRDefault="00997A8F" w:rsidP="00C675FF">
      <w:pPr>
        <w:spacing w:after="0" w:line="240" w:lineRule="auto"/>
        <w:jc w:val="center"/>
        <w:rPr>
          <w:rFonts w:ascii="Cambria" w:hAnsi="Cambria" w:cs="Calibri"/>
          <w:sz w:val="16"/>
          <w:szCs w:val="16"/>
          <w:lang w:val="pt-BR"/>
        </w:rPr>
      </w:pPr>
    </w:p>
    <w:p w14:paraId="75491689" w14:textId="77777777" w:rsidR="00C675FF" w:rsidRPr="00CE0F83" w:rsidRDefault="00C675FF" w:rsidP="00C675FF">
      <w:pPr>
        <w:spacing w:after="0" w:line="240" w:lineRule="auto"/>
        <w:ind w:firstLine="720"/>
        <w:jc w:val="both"/>
        <w:rPr>
          <w:rFonts w:ascii="Cambria" w:hAnsi="Cambria" w:cs="Calibri"/>
          <w:sz w:val="20"/>
          <w:szCs w:val="20"/>
          <w:lang w:val="pt-BR"/>
        </w:rPr>
      </w:pPr>
      <w:r w:rsidRPr="00CE0F83">
        <w:rPr>
          <w:rFonts w:ascii="Cambria" w:hAnsi="Cambria" w:cs="Calibri"/>
          <w:sz w:val="20"/>
          <w:szCs w:val="20"/>
          <w:lang w:val="pt-BR"/>
        </w:rPr>
        <w:t>Aprovecho la oportunidad para saludar a usted muy atentamente,</w:t>
      </w:r>
    </w:p>
    <w:p w14:paraId="5F2EB266" w14:textId="2FD82196" w:rsidR="00997A8F" w:rsidRPr="00997A8F" w:rsidRDefault="00997A8F" w:rsidP="00997A8F">
      <w:pPr>
        <w:tabs>
          <w:tab w:val="left" w:pos="3926"/>
        </w:tabs>
        <w:spacing w:after="0" w:line="240" w:lineRule="auto"/>
        <w:rPr>
          <w:sz w:val="24"/>
          <w:szCs w:val="24"/>
          <w:lang w:val="pt-BR"/>
        </w:rPr>
      </w:pPr>
      <w:bookmarkStart w:id="2" w:name="_Hlk128731904"/>
      <w:bookmarkStart w:id="3" w:name="_Hlk129855594"/>
      <w:bookmarkStart w:id="4" w:name="_Hlk129970904"/>
      <w:bookmarkStart w:id="5" w:name="_Hlk122115986"/>
      <w:bookmarkStart w:id="6" w:name="_Hlk118969572"/>
      <w:bookmarkStart w:id="7" w:name="_Hlk120781836"/>
      <w:bookmarkStart w:id="8" w:name="_Hlk119577459"/>
      <w:bookmarkStart w:id="9" w:name="_Hlk130997932"/>
      <w:bookmarkStart w:id="10" w:name="_Hlk131167805"/>
    </w:p>
    <w:p w14:paraId="1D7ED49D" w14:textId="77777777" w:rsidR="00997A8F" w:rsidRPr="00997A8F" w:rsidRDefault="00997A8F" w:rsidP="00997A8F">
      <w:pPr>
        <w:spacing w:after="0" w:line="240" w:lineRule="auto"/>
        <w:jc w:val="center"/>
        <w:rPr>
          <w:lang w:val="pt-BR"/>
        </w:rPr>
      </w:pPr>
    </w:p>
    <w:p w14:paraId="25AF518B" w14:textId="77777777" w:rsidR="00997A8F" w:rsidRPr="00997A8F" w:rsidRDefault="00997A8F" w:rsidP="00997A8F">
      <w:pPr>
        <w:spacing w:after="0" w:line="240" w:lineRule="auto"/>
        <w:rPr>
          <w:lang w:val="pt-BR"/>
        </w:rPr>
      </w:pPr>
    </w:p>
    <w:p w14:paraId="51D8186A" w14:textId="77777777" w:rsidR="00997A8F" w:rsidRPr="00997A8F" w:rsidRDefault="00997A8F" w:rsidP="00997A8F">
      <w:pPr>
        <w:tabs>
          <w:tab w:val="center" w:pos="5040"/>
        </w:tabs>
        <w:spacing w:after="0" w:line="240" w:lineRule="auto"/>
        <w:jc w:val="center"/>
        <w:rPr>
          <w:lang w:val="pt-BR"/>
        </w:rPr>
      </w:pPr>
    </w:p>
    <w:p w14:paraId="6A2D68F5" w14:textId="77777777" w:rsidR="00997A8F" w:rsidRPr="00997A8F" w:rsidRDefault="00997A8F" w:rsidP="00997A8F">
      <w:pPr>
        <w:spacing w:after="0" w:line="240" w:lineRule="auto"/>
        <w:jc w:val="center"/>
        <w:rPr>
          <w:rFonts w:ascii="Cambria" w:hAnsi="Cambria" w:cs="Calibri"/>
          <w:sz w:val="20"/>
          <w:szCs w:val="20"/>
          <w:lang w:val="pt-BR"/>
        </w:rPr>
      </w:pPr>
      <w:r w:rsidRPr="00997A8F">
        <w:rPr>
          <w:rFonts w:ascii="Cambria" w:hAnsi="Cambria" w:cs="Calibri"/>
          <w:sz w:val="20"/>
          <w:szCs w:val="20"/>
          <w:lang w:val="pt-BR"/>
        </w:rPr>
        <w:t>Jorge Meza Flores</w:t>
      </w:r>
    </w:p>
    <w:p w14:paraId="485E445B" w14:textId="6E3C7B91" w:rsidR="00C675FF" w:rsidRPr="00997A8F" w:rsidRDefault="00997A8F" w:rsidP="00C675FF">
      <w:pPr>
        <w:spacing w:after="0" w:line="240" w:lineRule="auto"/>
        <w:jc w:val="center"/>
        <w:rPr>
          <w:rFonts w:ascii="Cambria" w:hAnsi="Cambria"/>
          <w:sz w:val="20"/>
          <w:szCs w:val="20"/>
          <w:lang w:val="pt-BR"/>
        </w:rPr>
      </w:pPr>
      <w:r w:rsidRPr="00997A8F">
        <w:rPr>
          <w:rFonts w:ascii="Cambria" w:hAnsi="Cambria" w:cs="Calibri"/>
          <w:sz w:val="20"/>
          <w:szCs w:val="20"/>
          <w:lang w:val="pt-BR"/>
        </w:rPr>
        <w:t>Secretario Ejecutivo Adjunto</w:t>
      </w:r>
      <w:bookmarkStart w:id="11" w:name="_Hlk129896549"/>
      <w:bookmarkEnd w:id="2"/>
    </w:p>
    <w:bookmarkEnd w:id="3"/>
    <w:bookmarkEnd w:id="4"/>
    <w:bookmarkEnd w:id="5"/>
    <w:bookmarkEnd w:id="6"/>
    <w:bookmarkEnd w:id="7"/>
    <w:bookmarkEnd w:id="8"/>
    <w:bookmarkEnd w:id="11"/>
    <w:p w14:paraId="08C6D539" w14:textId="73B40798" w:rsidR="00C675FF" w:rsidRPr="00997A8F" w:rsidRDefault="00997A8F" w:rsidP="00C675FF">
      <w:pPr>
        <w:tabs>
          <w:tab w:val="left" w:pos="-720"/>
        </w:tabs>
        <w:suppressAutoHyphens/>
        <w:spacing w:after="0" w:line="240" w:lineRule="auto"/>
        <w:jc w:val="both"/>
        <w:rPr>
          <w:rFonts w:ascii="Cambria" w:hAnsi="Cambria"/>
          <w:sz w:val="20"/>
          <w:szCs w:val="20"/>
          <w:lang w:val="pt-BR"/>
        </w:rPr>
      </w:pPr>
      <w:r w:rsidRPr="00997A8F">
        <w:rPr>
          <w:rFonts w:ascii="Cambria" w:hAnsi="Cambria"/>
          <w:sz w:val="20"/>
          <w:szCs w:val="20"/>
          <w:lang w:val="pt-BR"/>
        </w:rPr>
        <w:t>Anexo</w:t>
      </w:r>
      <w:bookmarkEnd w:id="9"/>
      <w:bookmarkEnd w:id="10"/>
    </w:p>
    <w:sectPr w:rsidR="00C675FF" w:rsidRPr="00997A8F" w:rsidSect="00C675FF">
      <w:headerReference w:type="default" r:id="rId7"/>
      <w:footerReference w:type="default" r:id="rId8"/>
      <w:headerReference w:type="first" r:id="rId9"/>
      <w:footerReference w:type="first" r:id="rId10"/>
      <w:pgSz w:w="12240" w:h="15840"/>
      <w:pgMar w:top="-148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9711" w14:textId="77777777" w:rsidR="007343A2" w:rsidRDefault="007343A2">
      <w:pPr>
        <w:spacing w:after="0" w:line="240" w:lineRule="auto"/>
      </w:pPr>
      <w:r>
        <w:separator/>
      </w:r>
    </w:p>
  </w:endnote>
  <w:endnote w:type="continuationSeparator" w:id="0">
    <w:p w14:paraId="432C9846" w14:textId="77777777" w:rsidR="007343A2" w:rsidRDefault="0073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6797" w14:textId="77777777" w:rsidR="00BC22CA" w:rsidRPr="00623374" w:rsidRDefault="00CC0F40">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3788DC41" w14:textId="77777777" w:rsidR="00BC22CA" w:rsidRDefault="00CC0F40">
    <w:pPr>
      <w:pStyle w:val="Footer"/>
      <w:spacing w:line="360" w:lineRule="auto"/>
    </w:pPr>
    <w:r>
      <w:t>_____________________________________________________________________________________</w:t>
    </w:r>
  </w:p>
  <w:p w14:paraId="18767FA2" w14:textId="77777777" w:rsidR="00BC22CA" w:rsidRDefault="00CC0F40">
    <w:pPr>
      <w:pStyle w:val="Footer"/>
      <w:jc w:val="center"/>
    </w:pPr>
    <w:r w:rsidRPr="008A5CB5">
      <w:rPr>
        <w:noProof/>
      </w:rPr>
      <w:drawing>
        <wp:inline distT="0" distB="0" distL="0" distR="0" wp14:anchorId="1798BDAD" wp14:editId="59B15636">
          <wp:extent cx="5120640" cy="320040"/>
          <wp:effectExtent l="0" t="0" r="3810" b="3810"/>
          <wp:docPr id="5"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832A" w14:textId="77777777" w:rsidR="00BC22CA" w:rsidRDefault="00CC0F40">
    <w:pPr>
      <w:pStyle w:val="Footer"/>
      <w:spacing w:line="360" w:lineRule="auto"/>
    </w:pPr>
    <w:r>
      <w:t>_____________________________________________________________________________________</w:t>
    </w:r>
  </w:p>
  <w:p w14:paraId="1055D6C6" w14:textId="77777777" w:rsidR="00BC22CA" w:rsidRDefault="00CC0F40">
    <w:pPr>
      <w:pStyle w:val="Footer"/>
      <w:jc w:val="center"/>
    </w:pPr>
    <w:r w:rsidRPr="008A5CB5">
      <w:rPr>
        <w:noProof/>
      </w:rPr>
      <w:drawing>
        <wp:inline distT="0" distB="0" distL="0" distR="0" wp14:anchorId="29E7370D" wp14:editId="2637B85A">
          <wp:extent cx="5120640" cy="320040"/>
          <wp:effectExtent l="0" t="0" r="3810" b="3810"/>
          <wp:docPr id="2"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2ED8" w14:textId="77777777" w:rsidR="007343A2" w:rsidRDefault="007343A2">
      <w:pPr>
        <w:spacing w:after="0" w:line="240" w:lineRule="auto"/>
      </w:pPr>
      <w:r>
        <w:separator/>
      </w:r>
    </w:p>
  </w:footnote>
  <w:footnote w:type="continuationSeparator" w:id="0">
    <w:p w14:paraId="691F8B2C" w14:textId="77777777" w:rsidR="007343A2" w:rsidRDefault="0073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F37E" w14:textId="77777777" w:rsidR="00BC22CA" w:rsidRPr="0058688A" w:rsidRDefault="00CC0F40">
    <w:pPr>
      <w:pStyle w:val="Header"/>
      <w:jc w:val="center"/>
      <w:rPr>
        <w:lang w:val="es-ES_tradnl"/>
      </w:rPr>
    </w:pPr>
    <w:r>
      <w:rPr>
        <w:noProof/>
        <w:lang w:val="es-ES_tradnl"/>
      </w:rPr>
      <w:drawing>
        <wp:inline distT="0" distB="0" distL="0" distR="0" wp14:anchorId="2298D274" wp14:editId="5BCE622A">
          <wp:extent cx="228600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50361AE3" w14:textId="77777777" w:rsidR="00BC22CA" w:rsidRDefault="00CC0F40">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4E87" w14:textId="77777777" w:rsidR="00BC22CA" w:rsidRDefault="00CC0F40">
    <w:pPr>
      <w:pStyle w:val="Header"/>
    </w:pPr>
    <w:r w:rsidRPr="008A5CB5">
      <w:rPr>
        <w:noProof/>
      </w:rPr>
      <w:drawing>
        <wp:inline distT="0" distB="0" distL="0" distR="0" wp14:anchorId="03453096" wp14:editId="10658B3D">
          <wp:extent cx="2354580" cy="457200"/>
          <wp:effectExtent l="0" t="0" r="7620" b="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229B651A" wp14:editId="3E825AEE">
          <wp:extent cx="1661160" cy="487680"/>
          <wp:effectExtent l="0" t="0" r="0" b="762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07987287" w14:textId="77777777" w:rsidR="00BC22CA" w:rsidRDefault="00CC0F40">
    <w:pPr>
      <w:pStyle w:val="Header"/>
    </w:pPr>
    <w:r>
      <w:rPr>
        <w:noProof/>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D18"/>
    <w:multiLevelType w:val="hybridMultilevel"/>
    <w:tmpl w:val="D19E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2342E"/>
    <w:multiLevelType w:val="multilevel"/>
    <w:tmpl w:val="1ADE2FB2"/>
    <w:styleLink w:val="List19"/>
    <w:lvl w:ilvl="0">
      <w:start w:val="1"/>
      <w:numFmt w:val="decimal"/>
      <w:lvlText w:val="%1."/>
      <w:lvlJc w:val="left"/>
      <w:pPr>
        <w:tabs>
          <w:tab w:val="num" w:pos="806"/>
        </w:tabs>
        <w:ind w:left="806" w:hanging="806"/>
      </w:pPr>
      <w:rPr>
        <w:rFonts w:ascii="Cambria" w:eastAsia="Cambria" w:hAnsi="Cambria" w:cs="Cambria"/>
        <w:position w:val="0"/>
        <w:sz w:val="20"/>
        <w:szCs w:val="20"/>
        <w:rtl w:val="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rtl w:val="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rtl w:val="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rtl w:val="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rtl w:val="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rtl w:val="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rtl w:val="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rtl w:val="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rtl w:val="0"/>
        <w:lang w:val="es-ES_tradnl"/>
      </w:rPr>
    </w:lvl>
  </w:abstractNum>
  <w:abstractNum w:abstractNumId="2" w15:restartNumberingAfterBreak="0">
    <w:nsid w:val="61AE267C"/>
    <w:multiLevelType w:val="hybridMultilevel"/>
    <w:tmpl w:val="A9A6F8B0"/>
    <w:lvl w:ilvl="0" w:tplc="44B079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40343857">
    <w:abstractNumId w:val="1"/>
  </w:num>
  <w:num w:numId="2" w16cid:durableId="2014142477">
    <w:abstractNumId w:val="2"/>
  </w:num>
  <w:num w:numId="3" w16cid:durableId="4937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FF"/>
    <w:rsid w:val="000014B9"/>
    <w:rsid w:val="000060F4"/>
    <w:rsid w:val="00020163"/>
    <w:rsid w:val="0004384C"/>
    <w:rsid w:val="0006783F"/>
    <w:rsid w:val="00083E7F"/>
    <w:rsid w:val="00096856"/>
    <w:rsid w:val="000A7702"/>
    <w:rsid w:val="000D2B7D"/>
    <w:rsid w:val="001124AD"/>
    <w:rsid w:val="00124924"/>
    <w:rsid w:val="00134143"/>
    <w:rsid w:val="00136E0E"/>
    <w:rsid w:val="00186807"/>
    <w:rsid w:val="001C624A"/>
    <w:rsid w:val="001D2D03"/>
    <w:rsid w:val="001E4C58"/>
    <w:rsid w:val="001F7D93"/>
    <w:rsid w:val="002030D2"/>
    <w:rsid w:val="00213766"/>
    <w:rsid w:val="00215B1B"/>
    <w:rsid w:val="00216D3E"/>
    <w:rsid w:val="00232D6B"/>
    <w:rsid w:val="00236718"/>
    <w:rsid w:val="00261FAF"/>
    <w:rsid w:val="002647A0"/>
    <w:rsid w:val="00265BF3"/>
    <w:rsid w:val="00286461"/>
    <w:rsid w:val="00292800"/>
    <w:rsid w:val="002B4BA3"/>
    <w:rsid w:val="002D3637"/>
    <w:rsid w:val="002D48D1"/>
    <w:rsid w:val="002F54C3"/>
    <w:rsid w:val="0032334B"/>
    <w:rsid w:val="00343E14"/>
    <w:rsid w:val="00345FA1"/>
    <w:rsid w:val="003A28FB"/>
    <w:rsid w:val="003B4FE9"/>
    <w:rsid w:val="003C16EE"/>
    <w:rsid w:val="003F1E90"/>
    <w:rsid w:val="003F3270"/>
    <w:rsid w:val="003F3A60"/>
    <w:rsid w:val="0040432F"/>
    <w:rsid w:val="00406974"/>
    <w:rsid w:val="0044503B"/>
    <w:rsid w:val="0047427F"/>
    <w:rsid w:val="004C033F"/>
    <w:rsid w:val="004D4296"/>
    <w:rsid w:val="004D4CE9"/>
    <w:rsid w:val="004F466B"/>
    <w:rsid w:val="004F4D13"/>
    <w:rsid w:val="0050640D"/>
    <w:rsid w:val="00510825"/>
    <w:rsid w:val="00532F7D"/>
    <w:rsid w:val="005705A6"/>
    <w:rsid w:val="005943FF"/>
    <w:rsid w:val="005D3C3F"/>
    <w:rsid w:val="005E3BDB"/>
    <w:rsid w:val="005F5F74"/>
    <w:rsid w:val="00617CBC"/>
    <w:rsid w:val="00636228"/>
    <w:rsid w:val="006547D6"/>
    <w:rsid w:val="00662698"/>
    <w:rsid w:val="006A6464"/>
    <w:rsid w:val="006B0C34"/>
    <w:rsid w:val="006D4C4D"/>
    <w:rsid w:val="006F50FF"/>
    <w:rsid w:val="00702D19"/>
    <w:rsid w:val="007068C8"/>
    <w:rsid w:val="00730714"/>
    <w:rsid w:val="007343A2"/>
    <w:rsid w:val="0076113A"/>
    <w:rsid w:val="00765670"/>
    <w:rsid w:val="00765D74"/>
    <w:rsid w:val="00766B98"/>
    <w:rsid w:val="00770204"/>
    <w:rsid w:val="00792A4D"/>
    <w:rsid w:val="007A1742"/>
    <w:rsid w:val="007D005C"/>
    <w:rsid w:val="007E25C9"/>
    <w:rsid w:val="007E3227"/>
    <w:rsid w:val="007E7905"/>
    <w:rsid w:val="0080468D"/>
    <w:rsid w:val="00806D1E"/>
    <w:rsid w:val="00853709"/>
    <w:rsid w:val="00855328"/>
    <w:rsid w:val="0086304A"/>
    <w:rsid w:val="00866AF4"/>
    <w:rsid w:val="008A47B4"/>
    <w:rsid w:val="008A545D"/>
    <w:rsid w:val="008B1C64"/>
    <w:rsid w:val="009142BC"/>
    <w:rsid w:val="00926638"/>
    <w:rsid w:val="00945B1D"/>
    <w:rsid w:val="00946DB9"/>
    <w:rsid w:val="00954055"/>
    <w:rsid w:val="0096467E"/>
    <w:rsid w:val="00997A8F"/>
    <w:rsid w:val="009A4CFE"/>
    <w:rsid w:val="009A7053"/>
    <w:rsid w:val="009B56E6"/>
    <w:rsid w:val="009D233C"/>
    <w:rsid w:val="009D63C4"/>
    <w:rsid w:val="00A0790A"/>
    <w:rsid w:val="00A10EEF"/>
    <w:rsid w:val="00A11040"/>
    <w:rsid w:val="00A244CD"/>
    <w:rsid w:val="00A50A3F"/>
    <w:rsid w:val="00A51164"/>
    <w:rsid w:val="00A62902"/>
    <w:rsid w:val="00A93D37"/>
    <w:rsid w:val="00AA3A68"/>
    <w:rsid w:val="00AB5993"/>
    <w:rsid w:val="00AC200C"/>
    <w:rsid w:val="00AF6B77"/>
    <w:rsid w:val="00B01250"/>
    <w:rsid w:val="00B74886"/>
    <w:rsid w:val="00BA10F2"/>
    <w:rsid w:val="00BA73DC"/>
    <w:rsid w:val="00BC22CA"/>
    <w:rsid w:val="00BC44F1"/>
    <w:rsid w:val="00BC7394"/>
    <w:rsid w:val="00C17B86"/>
    <w:rsid w:val="00C35964"/>
    <w:rsid w:val="00C37FA4"/>
    <w:rsid w:val="00C675FF"/>
    <w:rsid w:val="00C85002"/>
    <w:rsid w:val="00C90301"/>
    <w:rsid w:val="00C96835"/>
    <w:rsid w:val="00CA05BF"/>
    <w:rsid w:val="00CA19FC"/>
    <w:rsid w:val="00CC0F40"/>
    <w:rsid w:val="00CC1BCF"/>
    <w:rsid w:val="00CC7C85"/>
    <w:rsid w:val="00CE0F83"/>
    <w:rsid w:val="00D07C99"/>
    <w:rsid w:val="00D10DD3"/>
    <w:rsid w:val="00D41257"/>
    <w:rsid w:val="00D543CE"/>
    <w:rsid w:val="00D74483"/>
    <w:rsid w:val="00D75E05"/>
    <w:rsid w:val="00DB5EF8"/>
    <w:rsid w:val="00DC2360"/>
    <w:rsid w:val="00DC6B0B"/>
    <w:rsid w:val="00DD2D4F"/>
    <w:rsid w:val="00DD404E"/>
    <w:rsid w:val="00DF3B9E"/>
    <w:rsid w:val="00DF4D33"/>
    <w:rsid w:val="00DF5FAA"/>
    <w:rsid w:val="00E11F63"/>
    <w:rsid w:val="00E142C4"/>
    <w:rsid w:val="00E60F83"/>
    <w:rsid w:val="00E81990"/>
    <w:rsid w:val="00E83ED6"/>
    <w:rsid w:val="00E921E6"/>
    <w:rsid w:val="00EB02EE"/>
    <w:rsid w:val="00EF2BEF"/>
    <w:rsid w:val="00EF7ECF"/>
    <w:rsid w:val="00F0435D"/>
    <w:rsid w:val="00F071FB"/>
    <w:rsid w:val="00F10E97"/>
    <w:rsid w:val="00F36815"/>
    <w:rsid w:val="00F40BCE"/>
    <w:rsid w:val="00F704EA"/>
    <w:rsid w:val="00F7115F"/>
    <w:rsid w:val="00F97463"/>
    <w:rsid w:val="00FB4AB7"/>
    <w:rsid w:val="00FC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F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C675FF"/>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C675FF"/>
    <w:rPr>
      <w:rFonts w:ascii="Calibri" w:eastAsia="Calibri" w:hAnsi="Calibri" w:cs="Times New Roman"/>
      <w:kern w:val="0"/>
      <w14:ligatures w14:val="none"/>
    </w:rPr>
  </w:style>
  <w:style w:type="paragraph" w:styleId="Footer">
    <w:name w:val="footer"/>
    <w:basedOn w:val="Normal"/>
    <w:link w:val="FooterChar"/>
    <w:unhideWhenUsed/>
    <w:rsid w:val="00C675FF"/>
    <w:pPr>
      <w:tabs>
        <w:tab w:val="center" w:pos="4680"/>
        <w:tab w:val="right" w:pos="9360"/>
      </w:tabs>
      <w:spacing w:after="0" w:line="240" w:lineRule="auto"/>
    </w:pPr>
  </w:style>
  <w:style w:type="character" w:customStyle="1" w:styleId="FooterChar">
    <w:name w:val="Footer Char"/>
    <w:basedOn w:val="DefaultParagraphFont"/>
    <w:link w:val="Footer"/>
    <w:rsid w:val="00C675FF"/>
    <w:rPr>
      <w:rFonts w:ascii="Calibri" w:eastAsia="Calibri" w:hAnsi="Calibri" w:cs="Times New Roman"/>
      <w:kern w:val="0"/>
      <w14:ligatures w14:val="none"/>
    </w:rPr>
  </w:style>
  <w:style w:type="character" w:styleId="Hyperlink">
    <w:name w:val="Hyperlink"/>
    <w:uiPriority w:val="99"/>
    <w:rsid w:val="00C675FF"/>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qFormat/>
    <w:rsid w:val="00C675FF"/>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C675FF"/>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C675FF"/>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C675FF"/>
    <w:rPr>
      <w:rFonts w:ascii="Cambria" w:eastAsia="Arial Unicode MS" w:hAnsi="Cambria" w:cs="Times New Roman"/>
      <w:color w:val="000000"/>
      <w:kern w:val="0"/>
      <w:sz w:val="20"/>
      <w:szCs w:val="20"/>
      <w:bdr w:val="nil"/>
      <w:lang w:val="es-VE"/>
      <w14:ligatures w14:val="none"/>
    </w:rPr>
  </w:style>
  <w:style w:type="paragraph" w:styleId="HTMLPreformatted">
    <w:name w:val="HTML Preformatted"/>
    <w:basedOn w:val="Normal"/>
    <w:link w:val="HTMLPreformattedChar"/>
    <w:uiPriority w:val="99"/>
    <w:unhideWhenUsed/>
    <w:rsid w:val="00C6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75FF"/>
    <w:rPr>
      <w:rFonts w:ascii="Courier New" w:eastAsia="Times New Roman" w:hAnsi="Courier New" w:cs="Courier New"/>
      <w:kern w:val="0"/>
      <w:sz w:val="20"/>
      <w:szCs w:val="20"/>
      <w14:ligatures w14:val="none"/>
    </w:rPr>
  </w:style>
  <w:style w:type="numbering" w:customStyle="1" w:styleId="List19">
    <w:name w:val="List 19"/>
    <w:basedOn w:val="NoList"/>
    <w:rsid w:val="00C675FF"/>
    <w:pPr>
      <w:numPr>
        <w:numId w:val="1"/>
      </w:numPr>
    </w:pPr>
  </w:style>
  <w:style w:type="character" w:styleId="Emphasis">
    <w:name w:val="Emphasis"/>
    <w:uiPriority w:val="20"/>
    <w:qFormat/>
    <w:rsid w:val="00C675FF"/>
    <w:rPr>
      <w:i/>
      <w:iCs/>
    </w:rPr>
  </w:style>
  <w:style w:type="character" w:styleId="UnresolvedMention">
    <w:name w:val="Unresolved Mention"/>
    <w:basedOn w:val="DefaultParagraphFont"/>
    <w:uiPriority w:val="99"/>
    <w:semiHidden/>
    <w:unhideWhenUsed/>
    <w:rsid w:val="0099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3511</Words>
  <Characters>20016</Characters>
  <Application>Microsoft Office Word</Application>
  <DocSecurity>0</DocSecurity>
  <Lines>166</Lines>
  <Paragraphs>46</Paragraphs>
  <ScaleCrop>false</ScaleCrop>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