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FB17" w14:textId="77777777" w:rsidR="00650377" w:rsidRPr="002568E6" w:rsidRDefault="00650377" w:rsidP="00650377">
      <w:pPr>
        <w:spacing w:after="0" w:line="240" w:lineRule="auto"/>
        <w:jc w:val="right"/>
        <w:rPr>
          <w:rFonts w:ascii="Cambria" w:hAnsi="Cambria" w:cs="Calibri"/>
          <w:color w:val="000000"/>
          <w:sz w:val="20"/>
          <w:szCs w:val="20"/>
          <w:lang w:val="es-CO"/>
        </w:rPr>
      </w:pPr>
    </w:p>
    <w:p w14:paraId="60CB6E15" w14:textId="77777777" w:rsidR="00650377" w:rsidRPr="002568E6" w:rsidRDefault="00650377" w:rsidP="00650377">
      <w:pPr>
        <w:spacing w:after="0" w:line="240" w:lineRule="auto"/>
        <w:rPr>
          <w:rFonts w:ascii="Cambria" w:hAnsi="Cambria" w:cs="Calibri"/>
          <w:color w:val="000000"/>
          <w:sz w:val="20"/>
          <w:szCs w:val="20"/>
          <w:lang w:val="es-CO"/>
        </w:rPr>
      </w:pPr>
    </w:p>
    <w:p w14:paraId="774AF577" w14:textId="77777777" w:rsidR="00650377" w:rsidRDefault="00650377" w:rsidP="00650377">
      <w:pPr>
        <w:spacing w:after="0" w:line="240" w:lineRule="auto"/>
        <w:rPr>
          <w:rFonts w:ascii="Cambria" w:hAnsi="Cambria" w:cs="Calibri"/>
          <w:color w:val="000000"/>
          <w:sz w:val="20"/>
          <w:szCs w:val="20"/>
          <w:lang w:val="es-CO"/>
        </w:rPr>
      </w:pPr>
    </w:p>
    <w:p w14:paraId="2937CAC8" w14:textId="77777777" w:rsidR="00813E71" w:rsidRPr="002568E6" w:rsidRDefault="00813E71" w:rsidP="00650377">
      <w:pPr>
        <w:spacing w:after="0" w:line="240" w:lineRule="auto"/>
        <w:rPr>
          <w:rFonts w:ascii="Cambria" w:hAnsi="Cambria" w:cs="Calibri"/>
          <w:color w:val="000000"/>
          <w:sz w:val="20"/>
          <w:szCs w:val="20"/>
          <w:lang w:val="es-CO"/>
        </w:rPr>
      </w:pPr>
    </w:p>
    <w:p w14:paraId="11B7CE45" w14:textId="0B0ED981" w:rsidR="00650377" w:rsidRPr="00813E71" w:rsidRDefault="00650377" w:rsidP="00650377">
      <w:pPr>
        <w:spacing w:after="0" w:line="240" w:lineRule="auto"/>
        <w:ind w:left="6480"/>
        <w:jc w:val="right"/>
        <w:rPr>
          <w:rFonts w:ascii="Cambria" w:hAnsi="Cambria" w:cs="Calibri"/>
          <w:color w:val="000000"/>
          <w:sz w:val="20"/>
          <w:szCs w:val="20"/>
          <w:lang w:val="pt-BR"/>
        </w:rPr>
      </w:pPr>
      <w:r w:rsidRPr="002568E6">
        <w:rPr>
          <w:rFonts w:ascii="Cambria" w:hAnsi="Cambria" w:cs="Calibri"/>
          <w:color w:val="000000"/>
          <w:sz w:val="20"/>
          <w:szCs w:val="20"/>
          <w:lang w:val="es-CO"/>
        </w:rPr>
        <w:t xml:space="preserve">          </w:t>
      </w:r>
      <w:r w:rsidRPr="00813E71">
        <w:rPr>
          <w:rFonts w:ascii="Cambria" w:hAnsi="Cambria" w:cs="Calibri"/>
          <w:color w:val="000000"/>
          <w:sz w:val="20"/>
          <w:szCs w:val="20"/>
          <w:lang w:val="pt-BR"/>
        </w:rPr>
        <w:t>21 de abril de 2024</w:t>
      </w:r>
    </w:p>
    <w:p w14:paraId="5370E03E" w14:textId="0E619AE5" w:rsidR="00650377" w:rsidRPr="00813E71" w:rsidRDefault="00650377" w:rsidP="00650377">
      <w:pPr>
        <w:spacing w:after="0" w:line="240" w:lineRule="auto"/>
        <w:jc w:val="both"/>
        <w:rPr>
          <w:rFonts w:ascii="Cambria" w:hAnsi="Cambria" w:cs="Calibri"/>
          <w:b/>
          <w:color w:val="000000"/>
          <w:sz w:val="20"/>
          <w:szCs w:val="20"/>
          <w:lang w:val="pt-BR"/>
        </w:rPr>
      </w:pPr>
      <w:r w:rsidRPr="00813E71">
        <w:rPr>
          <w:rFonts w:ascii="Cambria" w:hAnsi="Cambria" w:cs="Calibri"/>
          <w:b/>
          <w:color w:val="000000"/>
          <w:sz w:val="20"/>
          <w:szCs w:val="20"/>
          <w:lang w:val="pt-BR"/>
        </w:rPr>
        <w:t>REF.:</w:t>
      </w:r>
      <w:bookmarkStart w:id="0" w:name="Peticion_n"/>
      <w:bookmarkEnd w:id="0"/>
      <w:r w:rsidRPr="00813E71">
        <w:rPr>
          <w:rFonts w:ascii="Cambria" w:hAnsi="Cambria" w:cs="Calibri"/>
          <w:b/>
          <w:color w:val="000000"/>
          <w:sz w:val="20"/>
          <w:szCs w:val="20"/>
          <w:lang w:val="pt-BR"/>
        </w:rPr>
        <w:tab/>
        <w:t xml:space="preserve">Caso Nº </w:t>
      </w:r>
      <w:r w:rsidRPr="00813E71">
        <w:rPr>
          <w:rFonts w:ascii="Cambria" w:eastAsia="Arial Unicode MS" w:hAnsi="Cambria"/>
          <w:b/>
          <w:spacing w:val="-3"/>
          <w:sz w:val="20"/>
          <w:szCs w:val="20"/>
          <w:bdr w:val="nil"/>
          <w:lang w:val="pt-BR"/>
        </w:rPr>
        <w:t>13.726</w:t>
      </w:r>
    </w:p>
    <w:p w14:paraId="2C5786B0" w14:textId="4E53B56C" w:rsidR="00650377" w:rsidRPr="002568E6" w:rsidRDefault="00650377" w:rsidP="00650377">
      <w:pPr>
        <w:tabs>
          <w:tab w:val="left" w:pos="7165"/>
        </w:tabs>
        <w:spacing w:after="0" w:line="240" w:lineRule="auto"/>
        <w:ind w:firstLine="720"/>
        <w:jc w:val="both"/>
        <w:rPr>
          <w:rFonts w:ascii="Cambria" w:eastAsia="Arial Unicode MS" w:hAnsi="Cambria"/>
          <w:b/>
          <w:bCs/>
          <w:spacing w:val="-3"/>
          <w:sz w:val="20"/>
          <w:szCs w:val="20"/>
          <w:bdr w:val="nil"/>
          <w:lang w:val="es-CO"/>
        </w:rPr>
      </w:pPr>
      <w:r w:rsidRPr="002568E6">
        <w:rPr>
          <w:rFonts w:ascii="Cambria" w:eastAsia="Arial Unicode MS" w:hAnsi="Cambria"/>
          <w:b/>
          <w:bCs/>
          <w:spacing w:val="-3"/>
          <w:sz w:val="20"/>
          <w:szCs w:val="20"/>
          <w:bdr w:val="nil"/>
          <w:lang w:val="es-CO"/>
        </w:rPr>
        <w:t>Héctor René Reyes Pérez y familia</w:t>
      </w:r>
    </w:p>
    <w:p w14:paraId="34D6D173" w14:textId="16606B20" w:rsidR="00650377" w:rsidRPr="002568E6" w:rsidRDefault="00650377" w:rsidP="00650377">
      <w:pPr>
        <w:tabs>
          <w:tab w:val="left" w:pos="7165"/>
        </w:tabs>
        <w:spacing w:after="0" w:line="240" w:lineRule="auto"/>
        <w:ind w:firstLine="720"/>
        <w:jc w:val="both"/>
        <w:rPr>
          <w:rFonts w:ascii="Cambria" w:hAnsi="Cambria" w:cs="Calibri"/>
          <w:b/>
          <w:color w:val="000000"/>
          <w:sz w:val="20"/>
          <w:szCs w:val="20"/>
          <w:lang w:val="es-CO"/>
        </w:rPr>
      </w:pPr>
      <w:r w:rsidRPr="002568E6">
        <w:rPr>
          <w:rFonts w:ascii="Cambria" w:hAnsi="Cambria" w:cs="Calibri"/>
          <w:b/>
          <w:color w:val="000000"/>
          <w:sz w:val="20"/>
          <w:szCs w:val="20"/>
          <w:lang w:val="es-CO"/>
        </w:rPr>
        <w:t>Guatemala</w:t>
      </w:r>
    </w:p>
    <w:p w14:paraId="302DF581" w14:textId="77777777" w:rsidR="00650377" w:rsidRPr="002568E6" w:rsidRDefault="00650377" w:rsidP="00650377">
      <w:pPr>
        <w:tabs>
          <w:tab w:val="left" w:pos="7165"/>
        </w:tabs>
        <w:spacing w:after="0" w:line="240" w:lineRule="auto"/>
        <w:jc w:val="both"/>
        <w:rPr>
          <w:rFonts w:ascii="Cambria" w:hAnsi="Cambria" w:cs="Calibri"/>
          <w:b/>
          <w:color w:val="000000"/>
          <w:sz w:val="20"/>
          <w:szCs w:val="20"/>
          <w:lang w:val="es-CO"/>
        </w:rPr>
      </w:pPr>
    </w:p>
    <w:p w14:paraId="6E302FB3" w14:textId="77777777" w:rsidR="00650377" w:rsidRPr="002568E6" w:rsidRDefault="00650377" w:rsidP="00650377">
      <w:pPr>
        <w:tabs>
          <w:tab w:val="left" w:pos="7165"/>
        </w:tabs>
        <w:spacing w:after="0" w:line="240" w:lineRule="auto"/>
        <w:jc w:val="both"/>
        <w:rPr>
          <w:rFonts w:ascii="Cambria" w:hAnsi="Cambria" w:cs="Calibri"/>
          <w:b/>
          <w:color w:val="000000"/>
          <w:sz w:val="20"/>
          <w:szCs w:val="20"/>
          <w:lang w:val="es-CO"/>
        </w:rPr>
      </w:pPr>
    </w:p>
    <w:p w14:paraId="49A2DE10" w14:textId="77777777" w:rsidR="00650377" w:rsidRPr="002568E6" w:rsidRDefault="00650377" w:rsidP="00650377">
      <w:pPr>
        <w:spacing w:after="0" w:line="240" w:lineRule="auto"/>
        <w:jc w:val="both"/>
        <w:rPr>
          <w:rFonts w:ascii="Cambria" w:hAnsi="Cambria" w:cs="Calibri"/>
          <w:color w:val="000000"/>
          <w:sz w:val="20"/>
          <w:szCs w:val="20"/>
          <w:lang w:val="es-CO"/>
        </w:rPr>
      </w:pPr>
      <w:r w:rsidRPr="002568E6">
        <w:rPr>
          <w:rFonts w:ascii="Cambria" w:hAnsi="Cambria" w:cs="Calibri"/>
          <w:color w:val="000000"/>
          <w:sz w:val="20"/>
          <w:szCs w:val="20"/>
          <w:lang w:val="es-CO"/>
        </w:rPr>
        <w:t>Señor Secretario:</w:t>
      </w:r>
    </w:p>
    <w:p w14:paraId="082DE55B" w14:textId="77777777" w:rsidR="00650377" w:rsidRPr="002568E6" w:rsidRDefault="00650377" w:rsidP="00650377">
      <w:pPr>
        <w:spacing w:after="0" w:line="240" w:lineRule="auto"/>
        <w:jc w:val="both"/>
        <w:rPr>
          <w:rFonts w:ascii="Cambria" w:hAnsi="Cambria" w:cs="Calibri"/>
          <w:color w:val="000000"/>
          <w:sz w:val="20"/>
          <w:szCs w:val="20"/>
          <w:lang w:val="es-CO"/>
        </w:rPr>
      </w:pPr>
    </w:p>
    <w:p w14:paraId="63C489DB" w14:textId="240C385E" w:rsidR="00650377" w:rsidRPr="002568E6" w:rsidRDefault="00650377" w:rsidP="00650377">
      <w:pPr>
        <w:pStyle w:val="parrafos"/>
        <w:tabs>
          <w:tab w:val="left" w:pos="360"/>
        </w:tabs>
        <w:rPr>
          <w:lang w:val="es-CO"/>
        </w:rPr>
      </w:pPr>
      <w:r w:rsidRPr="002568E6">
        <w:rPr>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Pr="002568E6">
        <w:rPr>
          <w:lang w:val="es-CO"/>
        </w:rPr>
        <w:t xml:space="preserve">13.726 – Héctor René Reyes Pérez y familia </w:t>
      </w:r>
      <w:r w:rsidRPr="002568E6">
        <w:rPr>
          <w:rFonts w:cs="Calibri"/>
          <w:lang w:val="es-CO"/>
        </w:rPr>
        <w:t>respecto de la República de Guatemala (en adelante “el Estado”, “el Estado guatemalteco” o “Guatemala”)</w:t>
      </w:r>
      <w:r w:rsidRPr="002568E6">
        <w:rPr>
          <w:lang w:val="es-CO"/>
        </w:rPr>
        <w:t xml:space="preserve">. </w:t>
      </w:r>
      <w:r w:rsidR="002E1DFE" w:rsidRPr="002568E6">
        <w:rPr>
          <w:lang w:val="es-CO"/>
        </w:rPr>
        <w:t>El caso se refiere a la responsabilidad internacional del Estado de Guatemala por la violación de los derechos a la vida, a la integridad personal, a la libertad personal, a las garantías judiciales y a la protección judicial debido a la desaparición de la que fue víctima el Sr. Reyes Pérez en el mes de septiembre de 2003</w:t>
      </w:r>
      <w:r w:rsidRPr="002568E6">
        <w:rPr>
          <w:lang w:val="es-CO"/>
        </w:rPr>
        <w:t xml:space="preserve">. </w:t>
      </w:r>
    </w:p>
    <w:p w14:paraId="54B53E4A" w14:textId="77777777" w:rsidR="00B75A4C" w:rsidRPr="002568E6" w:rsidRDefault="00B75A4C" w:rsidP="00B75A4C">
      <w:pPr>
        <w:pStyle w:val="NormalWeb"/>
        <w:spacing w:before="0" w:beforeAutospacing="0" w:after="0" w:afterAutospacing="0"/>
        <w:jc w:val="both"/>
        <w:rPr>
          <w:rFonts w:ascii="Cambria" w:hAnsi="Cambria"/>
          <w:sz w:val="20"/>
          <w:szCs w:val="20"/>
          <w:lang w:val="es-CO"/>
        </w:rPr>
      </w:pPr>
    </w:p>
    <w:p w14:paraId="4823846F" w14:textId="4BB57626" w:rsidR="00B75A4C" w:rsidRPr="002568E6" w:rsidRDefault="00EE0C73" w:rsidP="00EE0C73">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ab/>
      </w:r>
      <w:r w:rsidR="00B75A4C" w:rsidRPr="002568E6">
        <w:rPr>
          <w:rFonts w:ascii="Cambria" w:hAnsi="Cambria"/>
          <w:sz w:val="20"/>
          <w:szCs w:val="20"/>
          <w:lang w:val="es-CO"/>
        </w:rPr>
        <w:t>Al momento de su desaparición el Sr. Reyes Pérez contaba con 52 años y se desempeñaba desde 1995 como administrador general de la finca Nueva Linda ubicada en la localidad de Retalhuleu, donde vivía junto a su esposa y 6 hijos. Asimismo, el Sr. Reyes Pérez integraba una organización campesina denominada “Mayas sin Tierra”, en el marco de la cual había sido beneficiario de la adjudicación de un terreno para el cultivo y vivienda en la finca Montecristo, ante lo cual deci</w:t>
      </w:r>
      <w:r w:rsidR="00863E14" w:rsidRPr="002568E6">
        <w:rPr>
          <w:rFonts w:ascii="Cambria" w:hAnsi="Cambria"/>
          <w:sz w:val="20"/>
          <w:szCs w:val="20"/>
          <w:lang w:val="es-CO"/>
        </w:rPr>
        <w:t>dió</w:t>
      </w:r>
      <w:r w:rsidR="00B75A4C" w:rsidRPr="002568E6">
        <w:rPr>
          <w:rFonts w:ascii="Cambria" w:hAnsi="Cambria"/>
          <w:sz w:val="20"/>
          <w:szCs w:val="20"/>
          <w:lang w:val="es-CO"/>
        </w:rPr>
        <w:t xml:space="preserve"> solicitar su desvinculación de la finca Nueva Linda y la respectiva indemnización laboral ante su empleador</w:t>
      </w:r>
      <w:r w:rsidR="00AA1C30" w:rsidRPr="002568E6">
        <w:rPr>
          <w:rFonts w:ascii="Cambria" w:hAnsi="Cambria"/>
          <w:sz w:val="20"/>
          <w:szCs w:val="20"/>
          <w:lang w:val="es-CO"/>
        </w:rPr>
        <w:t>, el Sr. Carlos Vidal Fernández Alejos</w:t>
      </w:r>
      <w:r w:rsidR="00B75A4C" w:rsidRPr="002568E6">
        <w:rPr>
          <w:rFonts w:ascii="Cambria" w:hAnsi="Cambria"/>
          <w:sz w:val="20"/>
          <w:szCs w:val="20"/>
          <w:lang w:val="es-CO"/>
        </w:rPr>
        <w:t xml:space="preserve">. </w:t>
      </w:r>
    </w:p>
    <w:p w14:paraId="223D6FB0" w14:textId="77777777" w:rsidR="00346B83" w:rsidRPr="002568E6" w:rsidRDefault="00346B83" w:rsidP="00B75A4C">
      <w:pPr>
        <w:pStyle w:val="NormalWeb"/>
        <w:spacing w:before="0" w:beforeAutospacing="0" w:after="0" w:afterAutospacing="0"/>
        <w:jc w:val="both"/>
        <w:rPr>
          <w:rFonts w:ascii="Cambria" w:hAnsi="Cambria"/>
          <w:sz w:val="20"/>
          <w:szCs w:val="20"/>
          <w:lang w:val="es-CO"/>
        </w:rPr>
      </w:pPr>
    </w:p>
    <w:p w14:paraId="40280464" w14:textId="16E9D7AE" w:rsidR="000D39FC" w:rsidRPr="002568E6" w:rsidRDefault="000A6047" w:rsidP="00EE0C73">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ab/>
        <w:t>L</w:t>
      </w:r>
      <w:r w:rsidR="0077274F" w:rsidRPr="002568E6">
        <w:rPr>
          <w:rFonts w:ascii="Cambria" w:hAnsi="Cambria"/>
          <w:sz w:val="20"/>
          <w:szCs w:val="20"/>
          <w:lang w:val="es-CO"/>
        </w:rPr>
        <w:t>a Sra. Floridalma Toledo Chávez, esposa del Sr. Reyes Pérez</w:t>
      </w:r>
      <w:r w:rsidR="00863E14" w:rsidRPr="002568E6">
        <w:rPr>
          <w:rFonts w:ascii="Cambria" w:hAnsi="Cambria"/>
          <w:sz w:val="20"/>
          <w:szCs w:val="20"/>
          <w:lang w:val="es-CO"/>
        </w:rPr>
        <w:t xml:space="preserve">, </w:t>
      </w:r>
      <w:r w:rsidRPr="002568E6">
        <w:rPr>
          <w:rFonts w:ascii="Cambria" w:hAnsi="Cambria"/>
          <w:sz w:val="20"/>
          <w:szCs w:val="20"/>
          <w:lang w:val="es-CO"/>
        </w:rPr>
        <w:t xml:space="preserve">declaró que </w:t>
      </w:r>
      <w:r w:rsidR="0077274F" w:rsidRPr="002568E6">
        <w:rPr>
          <w:rFonts w:ascii="Cambria" w:hAnsi="Cambria"/>
          <w:sz w:val="20"/>
          <w:szCs w:val="20"/>
          <w:lang w:val="es-CO"/>
        </w:rPr>
        <w:t xml:space="preserve">el </w:t>
      </w:r>
      <w:r w:rsidR="00863E14" w:rsidRPr="002568E6">
        <w:rPr>
          <w:rFonts w:ascii="Cambria" w:hAnsi="Cambria"/>
          <w:sz w:val="20"/>
          <w:szCs w:val="20"/>
          <w:lang w:val="es-CO"/>
        </w:rPr>
        <w:t>5 de septiembre</w:t>
      </w:r>
      <w:r w:rsidR="0077274F" w:rsidRPr="002568E6">
        <w:rPr>
          <w:rFonts w:ascii="Cambria" w:hAnsi="Cambria"/>
          <w:sz w:val="20"/>
          <w:szCs w:val="20"/>
          <w:lang w:val="es-CO"/>
        </w:rPr>
        <w:t xml:space="preserve"> de 2003</w:t>
      </w:r>
      <w:r w:rsidR="00863E14" w:rsidRPr="002568E6">
        <w:rPr>
          <w:rFonts w:ascii="Cambria" w:hAnsi="Cambria"/>
          <w:sz w:val="20"/>
          <w:szCs w:val="20"/>
          <w:lang w:val="es-CO"/>
        </w:rPr>
        <w:t>, a las 4:00 horas de la madrugada una persona que desempeñaba labores de seguridad llamado Víctor de Jesús Chinchilla Morales concurrió a su domicilio y</w:t>
      </w:r>
      <w:r w:rsidR="00D378F6" w:rsidRPr="002568E6">
        <w:rPr>
          <w:rFonts w:ascii="Cambria" w:hAnsi="Cambria"/>
          <w:sz w:val="20"/>
          <w:szCs w:val="20"/>
          <w:lang w:val="es-CO"/>
        </w:rPr>
        <w:t xml:space="preserve"> salió junto a </w:t>
      </w:r>
      <w:r w:rsidR="00863E14" w:rsidRPr="002568E6">
        <w:rPr>
          <w:rFonts w:ascii="Cambria" w:hAnsi="Cambria"/>
          <w:sz w:val="20"/>
          <w:szCs w:val="20"/>
          <w:lang w:val="es-CO"/>
        </w:rPr>
        <w:t>su esposo en un vehículo propiedad de la finca Nueva Linda a dejar abono a la finca San Miguel Mapán ubicada en Santa Lucia Cotzumalguapa. Desde ese entonces,</w:t>
      </w:r>
      <w:r w:rsidR="00B960BF" w:rsidRPr="002568E6">
        <w:rPr>
          <w:rFonts w:ascii="Cambria" w:hAnsi="Cambria"/>
          <w:sz w:val="20"/>
          <w:szCs w:val="20"/>
          <w:lang w:val="es-CO"/>
        </w:rPr>
        <w:t xml:space="preserve"> </w:t>
      </w:r>
      <w:r w:rsidR="00863E14" w:rsidRPr="002568E6">
        <w:rPr>
          <w:rFonts w:ascii="Cambria" w:hAnsi="Cambria"/>
          <w:sz w:val="20"/>
          <w:szCs w:val="20"/>
          <w:lang w:val="es-CO"/>
        </w:rPr>
        <w:t>se desconoc</w:t>
      </w:r>
      <w:r w:rsidR="000D39FC" w:rsidRPr="002568E6">
        <w:rPr>
          <w:rFonts w:ascii="Cambria" w:hAnsi="Cambria"/>
          <w:sz w:val="20"/>
          <w:szCs w:val="20"/>
          <w:lang w:val="es-CO"/>
        </w:rPr>
        <w:t xml:space="preserve">e </w:t>
      </w:r>
      <w:r w:rsidR="00863E14" w:rsidRPr="002568E6">
        <w:rPr>
          <w:rFonts w:ascii="Cambria" w:hAnsi="Cambria"/>
          <w:sz w:val="20"/>
          <w:szCs w:val="20"/>
          <w:lang w:val="es-CO"/>
        </w:rPr>
        <w:t>el paradero de</w:t>
      </w:r>
      <w:r w:rsidR="000D39FC" w:rsidRPr="002568E6">
        <w:rPr>
          <w:rFonts w:ascii="Cambria" w:hAnsi="Cambria"/>
          <w:sz w:val="20"/>
          <w:szCs w:val="20"/>
          <w:lang w:val="es-CO"/>
        </w:rPr>
        <w:t xml:space="preserve">l </w:t>
      </w:r>
      <w:r w:rsidR="009045B5" w:rsidRPr="002568E6">
        <w:rPr>
          <w:rFonts w:ascii="Cambria" w:hAnsi="Cambria"/>
          <w:sz w:val="20"/>
          <w:szCs w:val="20"/>
          <w:lang w:val="es-CO"/>
        </w:rPr>
        <w:t>Sr.</w:t>
      </w:r>
      <w:r w:rsidR="000D39FC" w:rsidRPr="002568E6">
        <w:rPr>
          <w:rFonts w:ascii="Cambria" w:hAnsi="Cambria"/>
          <w:sz w:val="20"/>
          <w:szCs w:val="20"/>
          <w:lang w:val="es-CO"/>
        </w:rPr>
        <w:t xml:space="preserve"> Reyes Pérez</w:t>
      </w:r>
      <w:r w:rsidR="00863E14" w:rsidRPr="002568E6">
        <w:rPr>
          <w:rFonts w:ascii="Cambria" w:hAnsi="Cambria"/>
          <w:sz w:val="20"/>
          <w:szCs w:val="20"/>
          <w:lang w:val="es-CO"/>
        </w:rPr>
        <w:t xml:space="preserve">. </w:t>
      </w:r>
    </w:p>
    <w:p w14:paraId="7B676FE5" w14:textId="77777777" w:rsidR="000D39FC" w:rsidRPr="002568E6" w:rsidRDefault="000D39FC" w:rsidP="00EE0C73">
      <w:pPr>
        <w:pStyle w:val="NormalWeb"/>
        <w:tabs>
          <w:tab w:val="left" w:pos="360"/>
        </w:tabs>
        <w:spacing w:before="0" w:beforeAutospacing="0" w:after="0" w:afterAutospacing="0"/>
        <w:jc w:val="both"/>
        <w:rPr>
          <w:rFonts w:ascii="Cambria" w:hAnsi="Cambria"/>
          <w:sz w:val="20"/>
          <w:szCs w:val="20"/>
          <w:lang w:val="es-CO"/>
        </w:rPr>
      </w:pPr>
    </w:p>
    <w:p w14:paraId="2DB00B1F" w14:textId="6E9D99BB" w:rsidR="00B75A4C" w:rsidRPr="002568E6" w:rsidRDefault="003622C6" w:rsidP="003622C6">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ab/>
      </w:r>
      <w:r w:rsidR="00B75A4C" w:rsidRPr="002568E6">
        <w:rPr>
          <w:rFonts w:ascii="Cambria" w:hAnsi="Cambria"/>
          <w:sz w:val="20"/>
          <w:szCs w:val="20"/>
          <w:lang w:val="es-CO"/>
        </w:rPr>
        <w:t>El 6 de septiembre de 2003, la</w:t>
      </w:r>
      <w:r w:rsidR="000D39FC" w:rsidRPr="002568E6">
        <w:rPr>
          <w:rFonts w:ascii="Cambria" w:hAnsi="Cambria"/>
          <w:sz w:val="20"/>
          <w:szCs w:val="20"/>
          <w:lang w:val="es-CO"/>
        </w:rPr>
        <w:t xml:space="preserve"> Sra.</w:t>
      </w:r>
      <w:r w:rsidR="00B75A4C" w:rsidRPr="002568E6">
        <w:rPr>
          <w:rFonts w:ascii="Cambria" w:hAnsi="Cambria"/>
          <w:sz w:val="20"/>
          <w:szCs w:val="20"/>
          <w:lang w:val="es-CO"/>
        </w:rPr>
        <w:t xml:space="preserve"> Toledo Chávez, denunció ante la oficina de atención ciudadana de la Subestación Retalhuleu de la Policía Nacional Civil la desaparición de su esposo y el 8 de septiembre ratificó la denuncia ante la Fiscalía Distrital de Retalhuleu. </w:t>
      </w:r>
      <w:r w:rsidR="00F13F5D" w:rsidRPr="002568E6">
        <w:rPr>
          <w:rFonts w:ascii="Cambria" w:hAnsi="Cambria"/>
          <w:sz w:val="20"/>
          <w:szCs w:val="20"/>
          <w:lang w:val="es-CO"/>
        </w:rPr>
        <w:t>El 24 de septiembre de 2003, l</w:t>
      </w:r>
      <w:r w:rsidR="0055248C" w:rsidRPr="002568E6">
        <w:rPr>
          <w:rFonts w:ascii="Cambria" w:hAnsi="Cambria"/>
          <w:sz w:val="20"/>
          <w:szCs w:val="20"/>
          <w:lang w:val="es-CO"/>
        </w:rPr>
        <w:t xml:space="preserve">a Sra. Toledo Chávez </w:t>
      </w:r>
      <w:r w:rsidR="00F13F5D" w:rsidRPr="002568E6">
        <w:rPr>
          <w:rFonts w:ascii="Cambria" w:hAnsi="Cambria"/>
          <w:sz w:val="20"/>
          <w:szCs w:val="20"/>
          <w:lang w:val="es-CO"/>
        </w:rPr>
        <w:t xml:space="preserve">rindió una nueva declaración en la que </w:t>
      </w:r>
      <w:r w:rsidR="0055248C" w:rsidRPr="002568E6">
        <w:rPr>
          <w:rFonts w:ascii="Cambria" w:hAnsi="Cambria"/>
          <w:sz w:val="20"/>
          <w:szCs w:val="20"/>
          <w:lang w:val="es-CO"/>
        </w:rPr>
        <w:t>expresó sus sospechas respecto</w:t>
      </w:r>
      <w:r w:rsidR="002C0F47" w:rsidRPr="002568E6">
        <w:rPr>
          <w:rFonts w:ascii="Cambria" w:hAnsi="Cambria"/>
          <w:sz w:val="20"/>
          <w:szCs w:val="20"/>
          <w:lang w:val="es-CO"/>
        </w:rPr>
        <w:t xml:space="preserve"> </w:t>
      </w:r>
      <w:r w:rsidR="0055248C" w:rsidRPr="002568E6">
        <w:rPr>
          <w:rFonts w:ascii="Cambria" w:hAnsi="Cambria"/>
          <w:sz w:val="20"/>
          <w:szCs w:val="20"/>
          <w:lang w:val="es-CO"/>
        </w:rPr>
        <w:t xml:space="preserve">del Sr. Chinchilla Morales y del Sr. Vidal Fernández Alejos, propietario de la finca Nueva Linda. </w:t>
      </w:r>
    </w:p>
    <w:p w14:paraId="5CA14641" w14:textId="77777777" w:rsidR="00290EDF" w:rsidRPr="002568E6" w:rsidRDefault="00290EDF" w:rsidP="003622C6">
      <w:pPr>
        <w:pStyle w:val="NormalWeb"/>
        <w:tabs>
          <w:tab w:val="left" w:pos="360"/>
        </w:tabs>
        <w:spacing w:before="0" w:beforeAutospacing="0" w:after="0" w:afterAutospacing="0"/>
        <w:jc w:val="both"/>
        <w:rPr>
          <w:rFonts w:ascii="Cambria" w:hAnsi="Cambria"/>
          <w:sz w:val="20"/>
          <w:szCs w:val="20"/>
          <w:lang w:val="es-CO"/>
        </w:rPr>
      </w:pPr>
    </w:p>
    <w:p w14:paraId="7CFB06B1" w14:textId="034E6277" w:rsidR="008F3642" w:rsidRPr="002568E6" w:rsidRDefault="007D172E" w:rsidP="007D172E">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ab/>
      </w:r>
      <w:r w:rsidR="008F3642" w:rsidRPr="002568E6">
        <w:rPr>
          <w:rFonts w:ascii="Cambria" w:hAnsi="Cambria"/>
          <w:sz w:val="20"/>
          <w:szCs w:val="20"/>
          <w:lang w:val="es-CO"/>
        </w:rPr>
        <w:t>Por los hechos del presente caso, las autoridades nacionales llevaron a cabo diversas investigaciones</w:t>
      </w:r>
      <w:r w:rsidR="002D4B54" w:rsidRPr="002568E6">
        <w:rPr>
          <w:rFonts w:ascii="Cambria" w:hAnsi="Cambria"/>
          <w:sz w:val="20"/>
          <w:szCs w:val="20"/>
          <w:lang w:val="es-CO"/>
        </w:rPr>
        <w:t xml:space="preserve">, que incluyeron </w:t>
      </w:r>
      <w:r w:rsidR="008F3642" w:rsidRPr="002568E6">
        <w:rPr>
          <w:rFonts w:ascii="Cambria" w:hAnsi="Cambria"/>
          <w:sz w:val="20"/>
          <w:szCs w:val="20"/>
          <w:lang w:val="es-CO"/>
        </w:rPr>
        <w:t xml:space="preserve">i) </w:t>
      </w:r>
      <w:r w:rsidR="002D4B54" w:rsidRPr="002568E6">
        <w:rPr>
          <w:rFonts w:ascii="Cambria" w:hAnsi="Cambria"/>
          <w:sz w:val="20"/>
          <w:szCs w:val="20"/>
          <w:lang w:val="es-CO"/>
        </w:rPr>
        <w:t>una</w:t>
      </w:r>
      <w:r w:rsidR="008F3642" w:rsidRPr="002568E6">
        <w:rPr>
          <w:rFonts w:ascii="Cambria" w:hAnsi="Cambria"/>
          <w:sz w:val="20"/>
          <w:szCs w:val="20"/>
          <w:lang w:val="es-CO"/>
        </w:rPr>
        <w:t xml:space="preserve"> investigación </w:t>
      </w:r>
      <w:r w:rsidR="002C0F47" w:rsidRPr="002568E6">
        <w:rPr>
          <w:rFonts w:ascii="Cambria" w:hAnsi="Cambria"/>
          <w:sz w:val="20"/>
          <w:szCs w:val="20"/>
          <w:lang w:val="es-CO"/>
        </w:rPr>
        <w:t>de</w:t>
      </w:r>
      <w:r w:rsidR="008F3642" w:rsidRPr="002568E6">
        <w:rPr>
          <w:rFonts w:ascii="Cambria" w:hAnsi="Cambria"/>
          <w:sz w:val="20"/>
          <w:szCs w:val="20"/>
          <w:lang w:val="es-CO"/>
        </w:rPr>
        <w:t xml:space="preserve"> la Fiscalía Distrital de Retalhulue desde septiembre del 2003; ii)</w:t>
      </w:r>
      <w:r w:rsidR="002D4B54" w:rsidRPr="002568E6">
        <w:rPr>
          <w:rFonts w:ascii="Cambria" w:hAnsi="Cambria"/>
          <w:sz w:val="20"/>
          <w:szCs w:val="20"/>
          <w:lang w:val="es-CO"/>
        </w:rPr>
        <w:t xml:space="preserve"> una</w:t>
      </w:r>
      <w:r w:rsidR="008F3642" w:rsidRPr="002568E6">
        <w:rPr>
          <w:rFonts w:ascii="Cambria" w:hAnsi="Cambria"/>
          <w:sz w:val="20"/>
          <w:szCs w:val="20"/>
          <w:lang w:val="es-CO"/>
        </w:rPr>
        <w:t xml:space="preserve"> investigación de la Fiscalía Especial de Derechos Humanos del Ministerio Público desde noviembre de 2003; iii) una investigación realizada por la Fiscalía Distrital de Coatepeque desde mayo del 2004</w:t>
      </w:r>
      <w:r w:rsidR="009050C8" w:rsidRPr="002568E6">
        <w:rPr>
          <w:rFonts w:ascii="Cambria" w:hAnsi="Cambria"/>
          <w:sz w:val="20"/>
          <w:szCs w:val="20"/>
          <w:lang w:val="es-CO"/>
        </w:rPr>
        <w:t xml:space="preserve"> y</w:t>
      </w:r>
      <w:r w:rsidR="008F3642" w:rsidRPr="002568E6">
        <w:rPr>
          <w:rFonts w:ascii="Cambria" w:hAnsi="Cambria"/>
          <w:sz w:val="20"/>
          <w:szCs w:val="20"/>
          <w:lang w:val="es-CO"/>
        </w:rPr>
        <w:t xml:space="preserve"> iv) </w:t>
      </w:r>
      <w:r w:rsidR="00EC1DFB" w:rsidRPr="002568E6">
        <w:rPr>
          <w:rFonts w:ascii="Cambria" w:hAnsi="Cambria"/>
          <w:sz w:val="20"/>
          <w:szCs w:val="20"/>
          <w:lang w:val="es-CO"/>
        </w:rPr>
        <w:t xml:space="preserve">una </w:t>
      </w:r>
      <w:r w:rsidR="002C0F47" w:rsidRPr="002568E6">
        <w:rPr>
          <w:rFonts w:ascii="Cambria" w:hAnsi="Cambria"/>
          <w:sz w:val="20"/>
          <w:szCs w:val="20"/>
          <w:lang w:val="es-CO"/>
        </w:rPr>
        <w:t>investigación realizada por un Fiscal Esp</w:t>
      </w:r>
      <w:r w:rsidR="005215BF" w:rsidRPr="002568E6">
        <w:rPr>
          <w:rFonts w:ascii="Cambria" w:hAnsi="Cambria"/>
          <w:sz w:val="20"/>
          <w:szCs w:val="20"/>
          <w:lang w:val="es-CO"/>
        </w:rPr>
        <w:t>ecial</w:t>
      </w:r>
      <w:r w:rsidR="008F3642" w:rsidRPr="002568E6">
        <w:rPr>
          <w:rFonts w:ascii="Cambria" w:hAnsi="Cambria"/>
          <w:sz w:val="20"/>
          <w:szCs w:val="20"/>
          <w:lang w:val="es-CO"/>
        </w:rPr>
        <w:t xml:space="preserve"> nombra</w:t>
      </w:r>
      <w:r w:rsidR="005215BF" w:rsidRPr="002568E6">
        <w:rPr>
          <w:rFonts w:ascii="Cambria" w:hAnsi="Cambria"/>
          <w:sz w:val="20"/>
          <w:szCs w:val="20"/>
          <w:lang w:val="es-CO"/>
        </w:rPr>
        <w:t xml:space="preserve">do </w:t>
      </w:r>
      <w:r w:rsidR="008F3642" w:rsidRPr="002568E6">
        <w:rPr>
          <w:rFonts w:ascii="Cambria" w:hAnsi="Cambria"/>
          <w:sz w:val="20"/>
          <w:szCs w:val="20"/>
          <w:lang w:val="es-CO"/>
        </w:rPr>
        <w:t>por</w:t>
      </w:r>
      <w:r w:rsidR="00EC1DFB" w:rsidRPr="002568E6">
        <w:rPr>
          <w:rFonts w:ascii="Cambria" w:hAnsi="Cambria"/>
          <w:sz w:val="20"/>
          <w:szCs w:val="20"/>
          <w:lang w:val="es-CO"/>
        </w:rPr>
        <w:t xml:space="preserve"> </w:t>
      </w:r>
      <w:r w:rsidR="008F3642" w:rsidRPr="002568E6">
        <w:rPr>
          <w:rFonts w:ascii="Cambria" w:hAnsi="Cambria"/>
          <w:sz w:val="20"/>
          <w:szCs w:val="20"/>
          <w:lang w:val="es-CO"/>
        </w:rPr>
        <w:t>el Fiscal General de la República</w:t>
      </w:r>
      <w:r w:rsidR="00EC1DFB" w:rsidRPr="002568E6">
        <w:rPr>
          <w:rFonts w:ascii="Cambria" w:hAnsi="Cambria"/>
          <w:sz w:val="20"/>
          <w:szCs w:val="20"/>
          <w:lang w:val="es-CO"/>
        </w:rPr>
        <w:t xml:space="preserve"> el 2 de diciembre de 2004</w:t>
      </w:r>
      <w:r w:rsidR="009050C8" w:rsidRPr="002568E6">
        <w:rPr>
          <w:rFonts w:ascii="Cambria" w:hAnsi="Cambria"/>
          <w:sz w:val="20"/>
          <w:szCs w:val="20"/>
          <w:lang w:val="es-CO"/>
        </w:rPr>
        <w:t xml:space="preserve">. </w:t>
      </w:r>
    </w:p>
    <w:p w14:paraId="4486AEF4" w14:textId="77777777" w:rsidR="008F3642" w:rsidRPr="002568E6" w:rsidRDefault="008F3642" w:rsidP="007D172E">
      <w:pPr>
        <w:pStyle w:val="NormalWeb"/>
        <w:tabs>
          <w:tab w:val="left" w:pos="360"/>
        </w:tabs>
        <w:spacing w:before="0" w:beforeAutospacing="0" w:after="0" w:afterAutospacing="0"/>
        <w:jc w:val="both"/>
        <w:rPr>
          <w:rFonts w:ascii="Cambria" w:hAnsi="Cambria"/>
          <w:sz w:val="20"/>
          <w:szCs w:val="20"/>
          <w:lang w:val="es-CO"/>
        </w:rPr>
      </w:pPr>
    </w:p>
    <w:p w14:paraId="1471AB42" w14:textId="070AB25E" w:rsidR="00B520B2" w:rsidRPr="002568E6" w:rsidRDefault="00B520B2" w:rsidP="007D172E">
      <w:pPr>
        <w:pStyle w:val="NormalWeb"/>
        <w:tabs>
          <w:tab w:val="left" w:pos="360"/>
        </w:tabs>
        <w:spacing w:before="0" w:beforeAutospacing="0" w:after="0" w:afterAutospacing="0"/>
        <w:jc w:val="both"/>
        <w:rPr>
          <w:rFonts w:ascii="Cambria" w:hAnsi="Cambria"/>
          <w:sz w:val="20"/>
          <w:szCs w:val="20"/>
          <w:lang w:val="es-CO"/>
        </w:rPr>
      </w:pPr>
    </w:p>
    <w:p w14:paraId="5AA2CD28" w14:textId="77777777" w:rsidR="00B520B2" w:rsidRPr="002568E6" w:rsidRDefault="00B520B2" w:rsidP="007D172E">
      <w:pPr>
        <w:pStyle w:val="NormalWeb"/>
        <w:tabs>
          <w:tab w:val="left" w:pos="360"/>
        </w:tabs>
        <w:spacing w:before="0" w:beforeAutospacing="0" w:after="0" w:afterAutospacing="0"/>
        <w:jc w:val="both"/>
        <w:rPr>
          <w:rFonts w:ascii="Cambria" w:hAnsi="Cambria"/>
          <w:sz w:val="20"/>
          <w:szCs w:val="20"/>
          <w:lang w:val="es-CO"/>
        </w:rPr>
      </w:pPr>
    </w:p>
    <w:p w14:paraId="635BDE1B" w14:textId="77777777" w:rsidR="00B520B2" w:rsidRPr="002568E6" w:rsidRDefault="00B520B2" w:rsidP="00B520B2">
      <w:pPr>
        <w:spacing w:after="0" w:line="240" w:lineRule="auto"/>
        <w:jc w:val="both"/>
        <w:rPr>
          <w:rFonts w:ascii="Cambria" w:hAnsi="Cambria" w:cs="Calibri"/>
          <w:color w:val="000000"/>
          <w:sz w:val="20"/>
          <w:szCs w:val="20"/>
          <w:lang w:val="es-CO"/>
        </w:rPr>
      </w:pPr>
      <w:r w:rsidRPr="002568E6">
        <w:rPr>
          <w:rFonts w:ascii="Cambria" w:hAnsi="Cambria" w:cs="Calibri"/>
          <w:color w:val="000000"/>
          <w:sz w:val="20"/>
          <w:szCs w:val="20"/>
          <w:lang w:val="es-CO"/>
        </w:rPr>
        <w:t>Señor</w:t>
      </w:r>
    </w:p>
    <w:p w14:paraId="56649610" w14:textId="77777777" w:rsidR="00B520B2" w:rsidRPr="002568E6" w:rsidRDefault="00B520B2" w:rsidP="00B520B2">
      <w:pPr>
        <w:spacing w:after="0" w:line="240" w:lineRule="auto"/>
        <w:jc w:val="both"/>
        <w:rPr>
          <w:rFonts w:ascii="Cambria" w:hAnsi="Cambria" w:cs="Calibri"/>
          <w:color w:val="000000"/>
          <w:sz w:val="20"/>
          <w:szCs w:val="20"/>
          <w:lang w:val="es-CO"/>
        </w:rPr>
      </w:pPr>
      <w:r w:rsidRPr="002568E6">
        <w:rPr>
          <w:rFonts w:ascii="Cambria" w:hAnsi="Cambria" w:cs="Calibri"/>
          <w:color w:val="000000"/>
          <w:sz w:val="20"/>
          <w:szCs w:val="20"/>
          <w:lang w:val="es-CO"/>
        </w:rPr>
        <w:t>Pablo Saavedra Alessandri</w:t>
      </w:r>
    </w:p>
    <w:p w14:paraId="6BDDBEFF" w14:textId="77777777" w:rsidR="00B520B2" w:rsidRPr="002568E6" w:rsidRDefault="00B520B2" w:rsidP="00B520B2">
      <w:pPr>
        <w:spacing w:after="0" w:line="240" w:lineRule="auto"/>
        <w:jc w:val="both"/>
        <w:rPr>
          <w:rFonts w:ascii="Cambria" w:hAnsi="Cambria" w:cs="Calibri"/>
          <w:color w:val="000000"/>
          <w:sz w:val="20"/>
          <w:szCs w:val="20"/>
          <w:lang w:val="es-CO"/>
        </w:rPr>
      </w:pPr>
      <w:r w:rsidRPr="002568E6">
        <w:rPr>
          <w:rFonts w:ascii="Cambria" w:hAnsi="Cambria" w:cs="Calibri"/>
          <w:color w:val="000000"/>
          <w:sz w:val="20"/>
          <w:szCs w:val="20"/>
          <w:lang w:val="es-CO"/>
        </w:rPr>
        <w:t>Secretario</w:t>
      </w:r>
    </w:p>
    <w:p w14:paraId="34F53F03" w14:textId="77777777" w:rsidR="00B520B2" w:rsidRPr="002568E6" w:rsidRDefault="00B520B2" w:rsidP="00B520B2">
      <w:pPr>
        <w:spacing w:after="0" w:line="240" w:lineRule="auto"/>
        <w:jc w:val="both"/>
        <w:rPr>
          <w:rFonts w:ascii="Cambria" w:hAnsi="Cambria" w:cs="Calibri"/>
          <w:color w:val="000000"/>
          <w:sz w:val="20"/>
          <w:szCs w:val="20"/>
          <w:lang w:val="es-CO"/>
        </w:rPr>
      </w:pPr>
      <w:r w:rsidRPr="002568E6">
        <w:rPr>
          <w:rFonts w:ascii="Cambria" w:hAnsi="Cambria" w:cs="Calibri"/>
          <w:color w:val="000000"/>
          <w:sz w:val="20"/>
          <w:szCs w:val="20"/>
          <w:lang w:val="es-CO"/>
        </w:rPr>
        <w:t>Corte Interamericana de Derechos Humanos</w:t>
      </w:r>
    </w:p>
    <w:p w14:paraId="3F7F3207" w14:textId="77777777" w:rsidR="00B520B2" w:rsidRPr="002568E6" w:rsidRDefault="00B520B2" w:rsidP="00B520B2">
      <w:pPr>
        <w:spacing w:after="0" w:line="240" w:lineRule="auto"/>
        <w:jc w:val="both"/>
        <w:rPr>
          <w:rFonts w:ascii="Cambria" w:hAnsi="Cambria" w:cs="Calibri"/>
          <w:color w:val="000000"/>
          <w:sz w:val="20"/>
          <w:szCs w:val="20"/>
          <w:lang w:val="es-CO"/>
        </w:rPr>
      </w:pPr>
      <w:r w:rsidRPr="002568E6">
        <w:rPr>
          <w:rFonts w:ascii="Cambria" w:hAnsi="Cambria" w:cs="Calibri"/>
          <w:color w:val="000000"/>
          <w:sz w:val="20"/>
          <w:szCs w:val="20"/>
          <w:lang w:val="es-CO"/>
        </w:rPr>
        <w:t>San José, Costa Rica</w:t>
      </w:r>
    </w:p>
    <w:p w14:paraId="0BE1B32B" w14:textId="77777777" w:rsidR="00B520B2" w:rsidRPr="002568E6" w:rsidRDefault="00B520B2" w:rsidP="007D172E">
      <w:pPr>
        <w:pStyle w:val="NormalWeb"/>
        <w:tabs>
          <w:tab w:val="left" w:pos="360"/>
        </w:tabs>
        <w:spacing w:before="0" w:beforeAutospacing="0" w:after="0" w:afterAutospacing="0"/>
        <w:jc w:val="both"/>
        <w:rPr>
          <w:rFonts w:ascii="Cambria" w:hAnsi="Cambria"/>
          <w:sz w:val="20"/>
          <w:szCs w:val="20"/>
          <w:lang w:val="es-CO"/>
        </w:rPr>
      </w:pPr>
    </w:p>
    <w:p w14:paraId="432A3EAC" w14:textId="77777777" w:rsidR="00B520B2" w:rsidRPr="002568E6" w:rsidRDefault="00B520B2" w:rsidP="007D172E">
      <w:pPr>
        <w:pStyle w:val="NormalWeb"/>
        <w:tabs>
          <w:tab w:val="left" w:pos="360"/>
        </w:tabs>
        <w:spacing w:before="0" w:beforeAutospacing="0" w:after="0" w:afterAutospacing="0"/>
        <w:jc w:val="both"/>
        <w:rPr>
          <w:rFonts w:ascii="Cambria" w:hAnsi="Cambria"/>
          <w:sz w:val="20"/>
          <w:szCs w:val="20"/>
          <w:lang w:val="es-CO"/>
        </w:rPr>
      </w:pPr>
    </w:p>
    <w:p w14:paraId="418DD496" w14:textId="7A42F849" w:rsidR="00A72794" w:rsidRPr="002568E6" w:rsidRDefault="007A7C87" w:rsidP="007A7C87">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ab/>
      </w:r>
      <w:r w:rsidR="00820AB0" w:rsidRPr="002568E6">
        <w:rPr>
          <w:rFonts w:ascii="Cambria" w:hAnsi="Cambria"/>
          <w:sz w:val="20"/>
          <w:szCs w:val="20"/>
          <w:lang w:val="es-CO"/>
        </w:rPr>
        <w:t xml:space="preserve">Las autoridades nacionales </w:t>
      </w:r>
      <w:r w:rsidR="00D40986" w:rsidRPr="002568E6">
        <w:rPr>
          <w:rFonts w:ascii="Cambria" w:hAnsi="Cambria"/>
          <w:sz w:val="20"/>
          <w:szCs w:val="20"/>
          <w:lang w:val="es-CO"/>
        </w:rPr>
        <w:t>efectuaron</w:t>
      </w:r>
      <w:r w:rsidR="00820AB0" w:rsidRPr="002568E6">
        <w:rPr>
          <w:rFonts w:ascii="Cambria" w:hAnsi="Cambria"/>
          <w:sz w:val="20"/>
          <w:szCs w:val="20"/>
          <w:lang w:val="es-CO"/>
        </w:rPr>
        <w:t xml:space="preserve"> una serie de </w:t>
      </w:r>
      <w:r w:rsidR="00A72794" w:rsidRPr="002568E6">
        <w:rPr>
          <w:rFonts w:ascii="Cambria" w:hAnsi="Cambria"/>
          <w:sz w:val="20"/>
          <w:szCs w:val="20"/>
          <w:lang w:val="es-CO"/>
        </w:rPr>
        <w:t>diligencias</w:t>
      </w:r>
      <w:r w:rsidR="00167C84" w:rsidRPr="002568E6">
        <w:rPr>
          <w:rFonts w:ascii="Cambria" w:hAnsi="Cambria"/>
          <w:sz w:val="20"/>
          <w:szCs w:val="20"/>
          <w:lang w:val="es-CO"/>
        </w:rPr>
        <w:t xml:space="preserve"> </w:t>
      </w:r>
      <w:r w:rsidR="00820AB0" w:rsidRPr="002568E6">
        <w:rPr>
          <w:rFonts w:ascii="Cambria" w:hAnsi="Cambria"/>
          <w:sz w:val="20"/>
          <w:szCs w:val="20"/>
          <w:lang w:val="es-CO"/>
        </w:rPr>
        <w:t>como part</w:t>
      </w:r>
      <w:r w:rsidR="00D40986" w:rsidRPr="002568E6">
        <w:rPr>
          <w:rFonts w:ascii="Cambria" w:hAnsi="Cambria"/>
          <w:sz w:val="20"/>
          <w:szCs w:val="20"/>
          <w:lang w:val="es-CO"/>
        </w:rPr>
        <w:t xml:space="preserve">e de la investigación. Entre estas, se realizó </w:t>
      </w:r>
      <w:r w:rsidR="007D172E" w:rsidRPr="002568E6">
        <w:rPr>
          <w:rFonts w:ascii="Cambria" w:hAnsi="Cambria"/>
          <w:sz w:val="20"/>
          <w:szCs w:val="20"/>
          <w:lang w:val="es-CO"/>
        </w:rPr>
        <w:t xml:space="preserve">un peritaje de prueba luminol en el vehículo en cual fue visto por última vez el </w:t>
      </w:r>
      <w:r w:rsidR="009045B5" w:rsidRPr="002568E6">
        <w:rPr>
          <w:rFonts w:ascii="Cambria" w:hAnsi="Cambria"/>
          <w:sz w:val="20"/>
          <w:szCs w:val="20"/>
          <w:lang w:val="es-CO"/>
        </w:rPr>
        <w:t>Sr.</w:t>
      </w:r>
      <w:r w:rsidR="007D172E" w:rsidRPr="002568E6">
        <w:rPr>
          <w:rFonts w:ascii="Cambria" w:hAnsi="Cambria"/>
          <w:sz w:val="20"/>
          <w:szCs w:val="20"/>
          <w:lang w:val="es-CO"/>
        </w:rPr>
        <w:t xml:space="preserve"> Reyes Pérez, resultando el mismo positivo para manchas de sangre en el interior de la cabina</w:t>
      </w:r>
      <w:r w:rsidR="00EB3B47" w:rsidRPr="002568E6">
        <w:rPr>
          <w:rFonts w:ascii="Cambria" w:hAnsi="Cambria"/>
          <w:sz w:val="20"/>
          <w:szCs w:val="20"/>
          <w:lang w:val="es-CO"/>
        </w:rPr>
        <w:t xml:space="preserve"> y</w:t>
      </w:r>
      <w:r w:rsidR="00FE6427" w:rsidRPr="002568E6">
        <w:rPr>
          <w:rFonts w:ascii="Cambria" w:hAnsi="Cambria"/>
          <w:sz w:val="20"/>
          <w:szCs w:val="20"/>
          <w:lang w:val="es-CO"/>
        </w:rPr>
        <w:t xml:space="preserve"> se tomaron entrevistas de la </w:t>
      </w:r>
      <w:r w:rsidR="002D5ECC" w:rsidRPr="002568E6">
        <w:rPr>
          <w:rFonts w:ascii="Cambria" w:hAnsi="Cambria"/>
          <w:sz w:val="20"/>
          <w:szCs w:val="20"/>
          <w:lang w:val="es-CO"/>
        </w:rPr>
        <w:t xml:space="preserve">esposa </w:t>
      </w:r>
      <w:r w:rsidR="005215BF" w:rsidRPr="002568E6">
        <w:rPr>
          <w:rFonts w:ascii="Cambria" w:hAnsi="Cambria"/>
          <w:sz w:val="20"/>
          <w:szCs w:val="20"/>
          <w:lang w:val="es-CO"/>
        </w:rPr>
        <w:t>del Sr.</w:t>
      </w:r>
      <w:r w:rsidR="002D5ECC" w:rsidRPr="002568E6">
        <w:rPr>
          <w:rFonts w:ascii="Cambria" w:hAnsi="Cambria"/>
          <w:sz w:val="20"/>
          <w:szCs w:val="20"/>
          <w:lang w:val="es-CO"/>
        </w:rPr>
        <w:t xml:space="preserve"> Reyes Pérez y de </w:t>
      </w:r>
      <w:r w:rsidR="00A56420" w:rsidRPr="002568E6">
        <w:rPr>
          <w:rFonts w:ascii="Cambria" w:hAnsi="Cambria"/>
          <w:sz w:val="20"/>
          <w:szCs w:val="20"/>
          <w:lang w:val="es-CO"/>
        </w:rPr>
        <w:t>dirigentes de la Coordinadora de Comunidades Indígenas y Campesinas Sur Occidente</w:t>
      </w:r>
      <w:r w:rsidR="005778A7" w:rsidRPr="002568E6">
        <w:rPr>
          <w:rFonts w:ascii="Cambria" w:hAnsi="Cambria"/>
          <w:sz w:val="20"/>
          <w:szCs w:val="20"/>
          <w:lang w:val="es-CO"/>
        </w:rPr>
        <w:t xml:space="preserve">, quienes </w:t>
      </w:r>
      <w:r w:rsidR="00A56420" w:rsidRPr="002568E6">
        <w:rPr>
          <w:rFonts w:ascii="Cambria" w:hAnsi="Cambria"/>
          <w:sz w:val="20"/>
          <w:szCs w:val="20"/>
          <w:lang w:val="es-CO"/>
        </w:rPr>
        <w:t>responsabilizaron a los Sres. Vidal Fernández Alejos y Chinchilla Morales por la desaparición</w:t>
      </w:r>
      <w:r w:rsidR="003272F6" w:rsidRPr="002568E6">
        <w:rPr>
          <w:rFonts w:ascii="Cambria" w:hAnsi="Cambria"/>
          <w:sz w:val="20"/>
          <w:szCs w:val="20"/>
          <w:lang w:val="es-CO"/>
        </w:rPr>
        <w:t>. Asimismo, se llev</w:t>
      </w:r>
      <w:r w:rsidR="009802E2" w:rsidRPr="002568E6">
        <w:rPr>
          <w:rFonts w:ascii="Cambria" w:hAnsi="Cambria"/>
          <w:sz w:val="20"/>
          <w:szCs w:val="20"/>
          <w:lang w:val="es-CO"/>
        </w:rPr>
        <w:t xml:space="preserve">ó a cabo la </w:t>
      </w:r>
      <w:r w:rsidR="00A72794" w:rsidRPr="002568E6">
        <w:rPr>
          <w:rFonts w:ascii="Cambria" w:hAnsi="Cambria"/>
          <w:sz w:val="20"/>
          <w:szCs w:val="20"/>
          <w:lang w:val="es-CO"/>
        </w:rPr>
        <w:t xml:space="preserve">exhumación </w:t>
      </w:r>
      <w:r w:rsidR="004B7909" w:rsidRPr="002568E6">
        <w:rPr>
          <w:rFonts w:ascii="Cambria" w:hAnsi="Cambria"/>
          <w:sz w:val="20"/>
          <w:szCs w:val="20"/>
          <w:lang w:val="es-CO"/>
        </w:rPr>
        <w:t>de</w:t>
      </w:r>
      <w:r w:rsidR="00AD7A35" w:rsidRPr="002568E6">
        <w:rPr>
          <w:rFonts w:ascii="Cambria" w:hAnsi="Cambria"/>
          <w:sz w:val="20"/>
          <w:szCs w:val="20"/>
          <w:lang w:val="es-CO"/>
        </w:rPr>
        <w:t xml:space="preserve"> un cuerpo sepultado en la Finca Santa Clara Las Arenas y de</w:t>
      </w:r>
      <w:r w:rsidR="00F04D60" w:rsidRPr="002568E6">
        <w:rPr>
          <w:rFonts w:ascii="Cambria" w:hAnsi="Cambria"/>
          <w:sz w:val="20"/>
          <w:szCs w:val="20"/>
          <w:lang w:val="es-CO"/>
        </w:rPr>
        <w:t xml:space="preserve"> </w:t>
      </w:r>
      <w:r w:rsidR="004B7909" w:rsidRPr="002568E6">
        <w:rPr>
          <w:rFonts w:ascii="Cambria" w:hAnsi="Cambria"/>
          <w:sz w:val="20"/>
          <w:szCs w:val="20"/>
          <w:lang w:val="es-CO"/>
        </w:rPr>
        <w:t xml:space="preserve">cuerpos </w:t>
      </w:r>
      <w:r w:rsidR="00D84115" w:rsidRPr="002568E6">
        <w:rPr>
          <w:rFonts w:ascii="Cambria" w:hAnsi="Cambria"/>
          <w:sz w:val="20"/>
          <w:szCs w:val="20"/>
          <w:lang w:val="es-CO"/>
        </w:rPr>
        <w:t>sin identificar enterrados en el Cementerio General de Santa Lucía Cot</w:t>
      </w:r>
      <w:r w:rsidR="00C11E74">
        <w:rPr>
          <w:rFonts w:ascii="Cambria" w:hAnsi="Cambria"/>
          <w:sz w:val="20"/>
          <w:szCs w:val="20"/>
          <w:lang w:val="es-CO"/>
        </w:rPr>
        <w:t>z</w:t>
      </w:r>
      <w:r w:rsidR="00D84115" w:rsidRPr="002568E6">
        <w:rPr>
          <w:rFonts w:ascii="Cambria" w:hAnsi="Cambria"/>
          <w:sz w:val="20"/>
          <w:szCs w:val="20"/>
          <w:lang w:val="es-CO"/>
        </w:rPr>
        <w:t>umalguapa</w:t>
      </w:r>
      <w:r w:rsidR="00AD7A35" w:rsidRPr="002568E6">
        <w:rPr>
          <w:rFonts w:ascii="Cambria" w:hAnsi="Cambria"/>
          <w:sz w:val="20"/>
          <w:szCs w:val="20"/>
          <w:lang w:val="es-CO"/>
        </w:rPr>
        <w:t xml:space="preserve">, concluyendo que ninguno de ellos correspondía al del Sr. Reyes Pérez. </w:t>
      </w:r>
      <w:r w:rsidR="00F5712E" w:rsidRPr="002568E6">
        <w:rPr>
          <w:rFonts w:ascii="Cambria" w:hAnsi="Cambria"/>
          <w:sz w:val="20"/>
          <w:szCs w:val="20"/>
          <w:lang w:val="es-CO"/>
        </w:rPr>
        <w:t>A la fecha de aprobación del informe la investigación permanecía abierta</w:t>
      </w:r>
      <w:r w:rsidR="00DA437D" w:rsidRPr="002568E6">
        <w:rPr>
          <w:rFonts w:ascii="Cambria" w:hAnsi="Cambria"/>
          <w:sz w:val="20"/>
          <w:szCs w:val="20"/>
          <w:lang w:val="es-CO"/>
        </w:rPr>
        <w:t xml:space="preserve"> sin que se hubiese</w:t>
      </w:r>
      <w:r w:rsidR="005948E2" w:rsidRPr="002568E6">
        <w:rPr>
          <w:rFonts w:ascii="Cambria" w:hAnsi="Cambria"/>
          <w:sz w:val="20"/>
          <w:szCs w:val="20"/>
          <w:lang w:val="es-CO"/>
        </w:rPr>
        <w:t xml:space="preserve"> logrado identificar y sancionar a los responsable</w:t>
      </w:r>
      <w:r w:rsidR="005959A2" w:rsidRPr="002568E6">
        <w:rPr>
          <w:rFonts w:ascii="Cambria" w:hAnsi="Cambria"/>
          <w:sz w:val="20"/>
          <w:szCs w:val="20"/>
          <w:lang w:val="es-CO"/>
        </w:rPr>
        <w:t>s</w:t>
      </w:r>
      <w:r w:rsidR="005948E2" w:rsidRPr="002568E6">
        <w:rPr>
          <w:rFonts w:ascii="Cambria" w:hAnsi="Cambria"/>
          <w:sz w:val="20"/>
          <w:szCs w:val="20"/>
          <w:lang w:val="es-CO"/>
        </w:rPr>
        <w:t xml:space="preserve"> ni ubicar los restos </w:t>
      </w:r>
      <w:r w:rsidR="005959A2" w:rsidRPr="002568E6">
        <w:rPr>
          <w:rFonts w:ascii="Cambria" w:hAnsi="Cambria"/>
          <w:sz w:val="20"/>
          <w:szCs w:val="20"/>
          <w:lang w:val="es-CO"/>
        </w:rPr>
        <w:t>del Sr. Reyes Pérez</w:t>
      </w:r>
      <w:r w:rsidR="00F5712E" w:rsidRPr="002568E6">
        <w:rPr>
          <w:rFonts w:ascii="Cambria" w:hAnsi="Cambria"/>
          <w:sz w:val="20"/>
          <w:szCs w:val="20"/>
          <w:lang w:val="es-CO"/>
        </w:rPr>
        <w:t xml:space="preserve">.  </w:t>
      </w:r>
    </w:p>
    <w:p w14:paraId="687B05B3" w14:textId="77777777" w:rsidR="00F04D60" w:rsidRPr="002568E6" w:rsidRDefault="00F04D60" w:rsidP="002401C5">
      <w:pPr>
        <w:pStyle w:val="NormalWeb"/>
        <w:spacing w:before="0" w:beforeAutospacing="0" w:after="0" w:afterAutospacing="0"/>
        <w:jc w:val="both"/>
        <w:rPr>
          <w:rFonts w:ascii="Cambria" w:hAnsi="Cambria"/>
          <w:sz w:val="20"/>
          <w:szCs w:val="20"/>
          <w:lang w:val="es-CO"/>
        </w:rPr>
      </w:pPr>
    </w:p>
    <w:p w14:paraId="43A2259C" w14:textId="65CE0188" w:rsidR="0009350E" w:rsidRPr="002568E6" w:rsidRDefault="007A7C87" w:rsidP="007A7C87">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ab/>
      </w:r>
      <w:r w:rsidR="005B31A9" w:rsidRPr="002568E6">
        <w:rPr>
          <w:rFonts w:ascii="Cambria" w:hAnsi="Cambria"/>
          <w:sz w:val="20"/>
          <w:szCs w:val="20"/>
          <w:lang w:val="es-CO"/>
        </w:rPr>
        <w:t>Adicionalmente, en el ámbito del Juzgado de Paz del Municipio de la Gomera, Departamento de Escuintla, se</w:t>
      </w:r>
      <w:r w:rsidR="003E1E71" w:rsidRPr="002568E6">
        <w:rPr>
          <w:rFonts w:ascii="Cambria" w:hAnsi="Cambria"/>
          <w:sz w:val="20"/>
          <w:szCs w:val="20"/>
          <w:lang w:val="es-CO"/>
        </w:rPr>
        <w:t xml:space="preserve"> inició un proceso el 20 de septiembre de 2003 por </w:t>
      </w:r>
      <w:r w:rsidR="005B31A9" w:rsidRPr="002568E6">
        <w:rPr>
          <w:rFonts w:ascii="Cambria" w:hAnsi="Cambria"/>
          <w:sz w:val="20"/>
          <w:szCs w:val="20"/>
          <w:lang w:val="es-CO"/>
        </w:rPr>
        <w:t>la presencia de un cadáver de sexo masculino ubicado en la playa del Océano Pacifico</w:t>
      </w:r>
      <w:r w:rsidR="00F0773C" w:rsidRPr="002568E6">
        <w:rPr>
          <w:rFonts w:ascii="Cambria" w:hAnsi="Cambria"/>
          <w:sz w:val="20"/>
          <w:szCs w:val="20"/>
          <w:lang w:val="es-CO"/>
        </w:rPr>
        <w:t>, boca barra del río Coyolate</w:t>
      </w:r>
      <w:r w:rsidR="00F20581" w:rsidRPr="002568E6">
        <w:rPr>
          <w:rFonts w:ascii="Cambria" w:hAnsi="Cambria"/>
          <w:sz w:val="20"/>
          <w:szCs w:val="20"/>
          <w:lang w:val="es-CO"/>
        </w:rPr>
        <w:t xml:space="preserve">. </w:t>
      </w:r>
      <w:r w:rsidR="00692A8E" w:rsidRPr="002568E6">
        <w:rPr>
          <w:rFonts w:ascii="Cambria" w:hAnsi="Cambria"/>
          <w:sz w:val="20"/>
          <w:szCs w:val="20"/>
          <w:lang w:val="es-CO"/>
        </w:rPr>
        <w:t xml:space="preserve">De acuerdo con el acta de inspección ocular, el cadáver no poseía identificaciones y contaba con varios orificios por proyectiles de arma de fuego en diferentes partes del cuerpo. </w:t>
      </w:r>
      <w:r w:rsidR="005B31A9" w:rsidRPr="002568E6">
        <w:rPr>
          <w:rFonts w:ascii="Cambria" w:hAnsi="Cambria"/>
          <w:sz w:val="20"/>
          <w:szCs w:val="20"/>
          <w:lang w:val="es-CO"/>
        </w:rPr>
        <w:t>El cuerpo fue inhumado en el Cementerio General de Santa Lucía Cotzumalguapa y el expediente fue archivado el 18 de marzo de 2004</w:t>
      </w:r>
      <w:r w:rsidR="00231ED7">
        <w:rPr>
          <w:rFonts w:ascii="Cambria" w:hAnsi="Cambria"/>
          <w:sz w:val="20"/>
          <w:szCs w:val="20"/>
          <w:lang w:val="es-CO"/>
        </w:rPr>
        <w:t xml:space="preserve">, </w:t>
      </w:r>
      <w:r w:rsidR="005B31A9" w:rsidRPr="002568E6">
        <w:rPr>
          <w:rFonts w:ascii="Cambria" w:hAnsi="Cambria"/>
          <w:sz w:val="20"/>
          <w:szCs w:val="20"/>
          <w:lang w:val="es-CO"/>
        </w:rPr>
        <w:t>sin que</w:t>
      </w:r>
      <w:r w:rsidR="0009350E" w:rsidRPr="002568E6">
        <w:rPr>
          <w:rFonts w:ascii="Cambria" w:hAnsi="Cambria"/>
          <w:sz w:val="20"/>
          <w:szCs w:val="20"/>
          <w:lang w:val="es-CO"/>
        </w:rPr>
        <w:t xml:space="preserve"> </w:t>
      </w:r>
      <w:r w:rsidR="005B31A9" w:rsidRPr="002568E6">
        <w:rPr>
          <w:rFonts w:ascii="Cambria" w:hAnsi="Cambria"/>
          <w:sz w:val="20"/>
          <w:szCs w:val="20"/>
          <w:lang w:val="es-CO"/>
        </w:rPr>
        <w:t>se realizaran otras diligencias</w:t>
      </w:r>
      <w:r w:rsidR="00960AEC">
        <w:rPr>
          <w:rFonts w:ascii="Cambria" w:hAnsi="Cambria"/>
          <w:sz w:val="20"/>
          <w:szCs w:val="20"/>
          <w:lang w:val="es-CO"/>
        </w:rPr>
        <w:t xml:space="preserve"> </w:t>
      </w:r>
      <w:r w:rsidR="00AD0D27">
        <w:rPr>
          <w:rFonts w:ascii="Cambria" w:hAnsi="Cambria"/>
          <w:sz w:val="20"/>
          <w:szCs w:val="20"/>
          <w:lang w:val="es-CO"/>
        </w:rPr>
        <w:t>destinadas a facilitar la identificación del cuerpo</w:t>
      </w:r>
      <w:r w:rsidR="003E1385" w:rsidRPr="002568E6">
        <w:rPr>
          <w:rFonts w:ascii="Cambria" w:hAnsi="Cambria"/>
          <w:sz w:val="20"/>
          <w:szCs w:val="20"/>
          <w:lang w:val="es-CO"/>
        </w:rPr>
        <w:t>.</w:t>
      </w:r>
    </w:p>
    <w:p w14:paraId="411B628F" w14:textId="77777777" w:rsidR="0009350E" w:rsidRPr="002568E6" w:rsidRDefault="0009350E" w:rsidP="007A7C87">
      <w:pPr>
        <w:pStyle w:val="NormalWeb"/>
        <w:tabs>
          <w:tab w:val="left" w:pos="360"/>
        </w:tabs>
        <w:spacing w:before="0" w:beforeAutospacing="0" w:after="0" w:afterAutospacing="0"/>
        <w:jc w:val="both"/>
        <w:rPr>
          <w:rFonts w:ascii="Cambria" w:hAnsi="Cambria"/>
          <w:sz w:val="20"/>
          <w:szCs w:val="20"/>
          <w:lang w:val="es-CO"/>
        </w:rPr>
      </w:pPr>
    </w:p>
    <w:p w14:paraId="26A69782" w14:textId="00354CD7" w:rsidR="00857240" w:rsidRPr="002568E6" w:rsidRDefault="003E1385" w:rsidP="007A7C87">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 xml:space="preserve"> </w:t>
      </w:r>
      <w:r w:rsidR="009D5977" w:rsidRPr="002568E6">
        <w:rPr>
          <w:rFonts w:ascii="Cambria" w:hAnsi="Cambria"/>
          <w:sz w:val="20"/>
          <w:szCs w:val="20"/>
          <w:lang w:val="es-CO"/>
        </w:rPr>
        <w:tab/>
      </w:r>
      <w:r w:rsidR="004013F0" w:rsidRPr="002568E6">
        <w:rPr>
          <w:rFonts w:ascii="Cambria" w:hAnsi="Cambria"/>
          <w:sz w:val="20"/>
          <w:szCs w:val="20"/>
          <w:lang w:val="es-CO"/>
        </w:rPr>
        <w:t>E</w:t>
      </w:r>
      <w:r w:rsidR="00414F04" w:rsidRPr="002568E6">
        <w:rPr>
          <w:rFonts w:ascii="Cambria" w:hAnsi="Cambria"/>
          <w:sz w:val="20"/>
          <w:szCs w:val="20"/>
          <w:lang w:val="es-CO"/>
        </w:rPr>
        <w:t>l Auxiliar Fiscal de la Fiscalía Especial que conoció del caso manifestó que existían muchas similitudes entre el cadáver hallado en el rio Coyolate y enterrado en el Cementerio General de Santa Lucía Cotzumalguapa con los datos que existen sobre el Sr. Reyes Pérez</w:t>
      </w:r>
      <w:r w:rsidR="00057A9D" w:rsidRPr="002568E6">
        <w:rPr>
          <w:rFonts w:ascii="Cambria" w:hAnsi="Cambria"/>
          <w:sz w:val="20"/>
          <w:szCs w:val="20"/>
          <w:lang w:val="es-CO"/>
        </w:rPr>
        <w:t xml:space="preserve">. Asimismo, afirmó que </w:t>
      </w:r>
      <w:r w:rsidR="00414F04" w:rsidRPr="002568E6">
        <w:rPr>
          <w:rFonts w:ascii="Cambria" w:hAnsi="Cambria"/>
          <w:sz w:val="20"/>
          <w:szCs w:val="20"/>
          <w:lang w:val="es-CO"/>
        </w:rPr>
        <w:t>no fue posible hallar las fotografías del cadáver en los archivos del Servicio de Investigación Criminal de la Policía Nacional Civil de Escuintla a pesar de encontrase registradas y que fue muy difícil la búsqueda del cuerpo ya que “el cuaderno del administrador del cementerio de Santa Lucía Cotzumalguapa el cual era utilizado para llevar el registro de las personas enterradas solo contenía espacios blancos en el periodo comprendido de agosto a noviembre de dos mil tres”</w:t>
      </w:r>
      <w:r w:rsidR="00DE1906" w:rsidRPr="002568E6">
        <w:rPr>
          <w:rFonts w:ascii="Cambria" w:hAnsi="Cambria"/>
          <w:sz w:val="20"/>
          <w:szCs w:val="20"/>
          <w:lang w:val="es-CO"/>
        </w:rPr>
        <w:t xml:space="preserve">. </w:t>
      </w:r>
    </w:p>
    <w:p w14:paraId="21C34CCF" w14:textId="77777777" w:rsidR="002401C5" w:rsidRPr="002568E6" w:rsidRDefault="002401C5" w:rsidP="003622C6">
      <w:pPr>
        <w:pStyle w:val="NormalWeb"/>
        <w:tabs>
          <w:tab w:val="left" w:pos="360"/>
        </w:tabs>
        <w:spacing w:before="0" w:beforeAutospacing="0" w:after="0" w:afterAutospacing="0"/>
        <w:jc w:val="both"/>
        <w:rPr>
          <w:rFonts w:ascii="Cambria" w:hAnsi="Cambria"/>
          <w:sz w:val="20"/>
          <w:szCs w:val="20"/>
          <w:lang w:val="es-CO"/>
        </w:rPr>
      </w:pPr>
    </w:p>
    <w:p w14:paraId="6BD29BD1" w14:textId="5B92754A" w:rsidR="00541C41" w:rsidRPr="002568E6" w:rsidRDefault="007A7C87" w:rsidP="00224E76">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ab/>
      </w:r>
      <w:r w:rsidR="00B75A4C" w:rsidRPr="002568E6">
        <w:rPr>
          <w:rFonts w:ascii="Cambria" w:hAnsi="Cambria"/>
          <w:sz w:val="20"/>
          <w:szCs w:val="20"/>
          <w:lang w:val="es-CO"/>
        </w:rPr>
        <w:t>En su Informe de Fondo No. 398/21, l</w:t>
      </w:r>
      <w:bookmarkStart w:id="2" w:name="_Hlk125035391"/>
      <w:r w:rsidR="0097217E" w:rsidRPr="002568E6">
        <w:rPr>
          <w:rFonts w:ascii="Cambria" w:hAnsi="Cambria"/>
          <w:sz w:val="20"/>
          <w:szCs w:val="20"/>
          <w:lang w:val="es-CO"/>
        </w:rPr>
        <w:t>a</w:t>
      </w:r>
      <w:r w:rsidR="007A4AC8" w:rsidRPr="002568E6">
        <w:rPr>
          <w:rFonts w:ascii="Cambria" w:hAnsi="Cambria"/>
          <w:sz w:val="20"/>
          <w:szCs w:val="20"/>
          <w:lang w:val="es-CO"/>
        </w:rPr>
        <w:t xml:space="preserve"> Comisión consideró que</w:t>
      </w:r>
      <w:r w:rsidR="00CF50C3">
        <w:rPr>
          <w:rFonts w:ascii="Cambria" w:hAnsi="Cambria"/>
          <w:sz w:val="20"/>
          <w:szCs w:val="20"/>
          <w:lang w:val="es-CO"/>
        </w:rPr>
        <w:t xml:space="preserve">, </w:t>
      </w:r>
      <w:r w:rsidR="007A4AC8" w:rsidRPr="002568E6">
        <w:rPr>
          <w:rFonts w:ascii="Cambria" w:hAnsi="Cambria"/>
          <w:sz w:val="20"/>
          <w:szCs w:val="20"/>
          <w:lang w:val="es-CO"/>
        </w:rPr>
        <w:t xml:space="preserve">de </w:t>
      </w:r>
      <w:r w:rsidR="00EC127A" w:rsidRPr="002568E6">
        <w:rPr>
          <w:rFonts w:ascii="Cambria" w:hAnsi="Cambria"/>
          <w:sz w:val="20"/>
          <w:szCs w:val="20"/>
          <w:lang w:val="es-CO"/>
        </w:rPr>
        <w:t>un análisis global de la manera en que ha sido conducida la investigación</w:t>
      </w:r>
      <w:r w:rsidR="00CF50C3">
        <w:rPr>
          <w:rFonts w:ascii="Cambria" w:hAnsi="Cambria"/>
          <w:sz w:val="20"/>
          <w:szCs w:val="20"/>
          <w:lang w:val="es-CO"/>
        </w:rPr>
        <w:t xml:space="preserve">, </w:t>
      </w:r>
      <w:r w:rsidR="007A4AC8" w:rsidRPr="002568E6">
        <w:rPr>
          <w:rFonts w:ascii="Cambria" w:hAnsi="Cambria"/>
          <w:sz w:val="20"/>
          <w:szCs w:val="20"/>
          <w:lang w:val="es-CO"/>
        </w:rPr>
        <w:t xml:space="preserve">se puede </w:t>
      </w:r>
      <w:r w:rsidR="00EC127A" w:rsidRPr="002568E6">
        <w:rPr>
          <w:rFonts w:ascii="Cambria" w:hAnsi="Cambria"/>
          <w:sz w:val="20"/>
          <w:szCs w:val="20"/>
          <w:lang w:val="es-CO"/>
        </w:rPr>
        <w:t xml:space="preserve">concluir que </w:t>
      </w:r>
      <w:r w:rsidR="00030888" w:rsidRPr="002568E6">
        <w:rPr>
          <w:rFonts w:ascii="Cambria" w:hAnsi="Cambria"/>
          <w:sz w:val="20"/>
          <w:szCs w:val="20"/>
          <w:lang w:val="es-CO"/>
        </w:rPr>
        <w:t>ésta se ha caracterizado por la falta de adopción inmediata de diligencias probatorias oportunas y eficaces, como así también por la existencia de numerosas negligencias e irregularidades</w:t>
      </w:r>
      <w:r w:rsidR="002B78BD" w:rsidRPr="002568E6">
        <w:rPr>
          <w:rFonts w:ascii="Cambria" w:hAnsi="Cambria"/>
          <w:sz w:val="20"/>
          <w:szCs w:val="20"/>
          <w:lang w:val="es-CO"/>
        </w:rPr>
        <w:t xml:space="preserve">. La Comisión señaló </w:t>
      </w:r>
      <w:r w:rsidR="00541C41" w:rsidRPr="002568E6">
        <w:rPr>
          <w:rFonts w:ascii="Cambria" w:hAnsi="Cambria"/>
          <w:sz w:val="20"/>
          <w:szCs w:val="20"/>
          <w:lang w:val="es-CO"/>
        </w:rPr>
        <w:t>que,</w:t>
      </w:r>
      <w:r w:rsidR="002B78BD" w:rsidRPr="002568E6">
        <w:rPr>
          <w:rFonts w:ascii="Cambria" w:hAnsi="Cambria"/>
          <w:sz w:val="20"/>
          <w:szCs w:val="20"/>
          <w:lang w:val="es-CO"/>
        </w:rPr>
        <w:t xml:space="preserve"> </w:t>
      </w:r>
      <w:r w:rsidR="00EC127A" w:rsidRPr="002568E6">
        <w:rPr>
          <w:rFonts w:ascii="Cambria" w:hAnsi="Cambria"/>
          <w:sz w:val="20"/>
          <w:szCs w:val="20"/>
          <w:lang w:val="es-CO"/>
        </w:rPr>
        <w:t xml:space="preserve">durante muchos momentos, </w:t>
      </w:r>
      <w:r w:rsidR="002B78BD" w:rsidRPr="002568E6">
        <w:rPr>
          <w:rFonts w:ascii="Cambria" w:hAnsi="Cambria"/>
          <w:sz w:val="20"/>
          <w:szCs w:val="20"/>
          <w:lang w:val="es-CO"/>
        </w:rPr>
        <w:t>la investigación c</w:t>
      </w:r>
      <w:r w:rsidR="00EC127A" w:rsidRPr="002568E6">
        <w:rPr>
          <w:rFonts w:ascii="Cambria" w:hAnsi="Cambria"/>
          <w:sz w:val="20"/>
          <w:szCs w:val="20"/>
          <w:lang w:val="es-CO"/>
        </w:rPr>
        <w:t xml:space="preserve">areció de una estrategia integral que permitiera realizar una búsqueda efectiva del paradero del Sr. Reyes Pérez e identificar y sancionar a los responsables de su desaparición. </w:t>
      </w:r>
    </w:p>
    <w:p w14:paraId="564AD5F2" w14:textId="77777777" w:rsidR="00541C41" w:rsidRPr="002568E6" w:rsidRDefault="00541C41" w:rsidP="00224E76">
      <w:pPr>
        <w:pStyle w:val="NormalWeb"/>
        <w:tabs>
          <w:tab w:val="left" w:pos="360"/>
        </w:tabs>
        <w:spacing w:before="0" w:beforeAutospacing="0" w:after="0" w:afterAutospacing="0"/>
        <w:jc w:val="both"/>
        <w:rPr>
          <w:rFonts w:ascii="Cambria" w:hAnsi="Cambria"/>
          <w:sz w:val="20"/>
          <w:szCs w:val="20"/>
          <w:lang w:val="es-CO"/>
        </w:rPr>
      </w:pPr>
    </w:p>
    <w:p w14:paraId="51CD9035" w14:textId="086FA963" w:rsidR="00D462F3" w:rsidRPr="002568E6" w:rsidRDefault="00815806" w:rsidP="00541C41">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ab/>
      </w:r>
      <w:r w:rsidR="00541C41" w:rsidRPr="002568E6">
        <w:rPr>
          <w:rFonts w:ascii="Cambria" w:hAnsi="Cambria"/>
          <w:sz w:val="20"/>
          <w:szCs w:val="20"/>
          <w:lang w:val="es-CO"/>
        </w:rPr>
        <w:t>Asimismo, l</w:t>
      </w:r>
      <w:r w:rsidR="00EC127A" w:rsidRPr="002568E6">
        <w:rPr>
          <w:rFonts w:ascii="Cambria" w:hAnsi="Cambria"/>
          <w:sz w:val="20"/>
          <w:szCs w:val="20"/>
          <w:lang w:val="es-CO"/>
        </w:rPr>
        <w:t xml:space="preserve">a Comisión </w:t>
      </w:r>
      <w:r w:rsidR="00D00D31" w:rsidRPr="002568E6">
        <w:rPr>
          <w:rFonts w:ascii="Cambria" w:hAnsi="Cambria"/>
          <w:sz w:val="20"/>
          <w:szCs w:val="20"/>
          <w:lang w:val="es-CO"/>
        </w:rPr>
        <w:t>verificó</w:t>
      </w:r>
      <w:r w:rsidR="00EC127A" w:rsidRPr="002568E6">
        <w:rPr>
          <w:rFonts w:ascii="Cambria" w:hAnsi="Cambria"/>
          <w:sz w:val="20"/>
          <w:szCs w:val="20"/>
          <w:lang w:val="es-CO"/>
        </w:rPr>
        <w:t xml:space="preserve"> que los constantes cambios en la conducción de la investigación y los prolongados periodos de inactividad que se sucedieron entre cada transición de una fiscalía a otra perjudicaron el avance de las investigaciones. </w:t>
      </w:r>
      <w:r w:rsidR="00D00D31" w:rsidRPr="002568E6">
        <w:rPr>
          <w:rFonts w:ascii="Cambria" w:hAnsi="Cambria"/>
          <w:sz w:val="20"/>
          <w:szCs w:val="20"/>
          <w:lang w:val="es-CO"/>
        </w:rPr>
        <w:t xml:space="preserve">En particular, la Comisión resaltó </w:t>
      </w:r>
      <w:r w:rsidR="00EC127A" w:rsidRPr="002568E6">
        <w:rPr>
          <w:rFonts w:ascii="Cambria" w:hAnsi="Cambria"/>
          <w:sz w:val="20"/>
          <w:szCs w:val="20"/>
          <w:lang w:val="es-CO"/>
        </w:rPr>
        <w:t xml:space="preserve">las demoras que se produjeron cuando culminó la intervención del Fiscal Especial y el caso regresó a la Fiscalía Distrital de Retalhuleu, </w:t>
      </w:r>
      <w:r w:rsidR="00F31D67" w:rsidRPr="002568E6">
        <w:rPr>
          <w:rFonts w:ascii="Cambria" w:hAnsi="Cambria"/>
          <w:sz w:val="20"/>
          <w:szCs w:val="20"/>
          <w:lang w:val="es-CO"/>
        </w:rPr>
        <w:t xml:space="preserve">en donde </w:t>
      </w:r>
      <w:r w:rsidR="00EC127A" w:rsidRPr="002568E6">
        <w:rPr>
          <w:rFonts w:ascii="Cambria" w:hAnsi="Cambria"/>
          <w:sz w:val="20"/>
          <w:szCs w:val="20"/>
          <w:lang w:val="es-CO"/>
        </w:rPr>
        <w:t>el caso estuvo tres meses asignado sin que el propio fiscal lo supiera. Asimismo, la superposición de órganos investigadores y la falta de coordinación entre los mismos ocasionó que algunas diligencias hayan sido reiteradas en diversas oportunidades, como por ejemplo la toma de declaración testimonial de la Sra. Toledo Chávez, acrecentando el riesgo de causarle una situación revictimizante.</w:t>
      </w:r>
      <w:r w:rsidR="000234DB" w:rsidRPr="002568E6">
        <w:rPr>
          <w:rFonts w:ascii="Cambria" w:hAnsi="Cambria"/>
          <w:sz w:val="20"/>
          <w:szCs w:val="20"/>
          <w:lang w:val="es-CO"/>
        </w:rPr>
        <w:t xml:space="preserve"> </w:t>
      </w:r>
    </w:p>
    <w:p w14:paraId="24CFB2AB" w14:textId="002B980A" w:rsidR="009F0CAD" w:rsidRPr="002568E6" w:rsidRDefault="009F0CAD" w:rsidP="00541C41">
      <w:pPr>
        <w:pStyle w:val="NormalWeb"/>
        <w:tabs>
          <w:tab w:val="left" w:pos="360"/>
        </w:tabs>
        <w:spacing w:before="0" w:beforeAutospacing="0" w:after="0" w:afterAutospacing="0"/>
        <w:jc w:val="both"/>
        <w:rPr>
          <w:rFonts w:ascii="Cambria" w:hAnsi="Cambria"/>
          <w:sz w:val="20"/>
          <w:szCs w:val="20"/>
          <w:lang w:val="es-CO"/>
        </w:rPr>
      </w:pPr>
    </w:p>
    <w:p w14:paraId="2811C462" w14:textId="0C391C1D" w:rsidR="00425110" w:rsidRPr="002568E6" w:rsidRDefault="00815806" w:rsidP="00541C41">
      <w:pPr>
        <w:pStyle w:val="NormalWeb"/>
        <w:tabs>
          <w:tab w:val="left" w:pos="360"/>
        </w:tabs>
        <w:spacing w:before="0" w:beforeAutospacing="0" w:after="0" w:afterAutospacing="0"/>
        <w:jc w:val="both"/>
        <w:rPr>
          <w:rFonts w:ascii="Cambria" w:hAnsi="Cambria"/>
          <w:sz w:val="20"/>
          <w:szCs w:val="20"/>
          <w:lang w:val="es-CO"/>
        </w:rPr>
      </w:pPr>
      <w:r w:rsidRPr="002568E6">
        <w:rPr>
          <w:rFonts w:ascii="Cambria" w:hAnsi="Cambria"/>
          <w:sz w:val="20"/>
          <w:szCs w:val="20"/>
          <w:lang w:val="es-CO"/>
        </w:rPr>
        <w:tab/>
      </w:r>
      <w:r w:rsidR="00425110" w:rsidRPr="002568E6">
        <w:rPr>
          <w:rFonts w:ascii="Cambria" w:hAnsi="Cambria"/>
          <w:sz w:val="20"/>
          <w:szCs w:val="20"/>
          <w:lang w:val="es-CO"/>
        </w:rPr>
        <w:t>La Comisión tambi</w:t>
      </w:r>
      <w:r w:rsidR="00DC0715" w:rsidRPr="002568E6">
        <w:rPr>
          <w:rFonts w:ascii="Cambria" w:hAnsi="Cambria"/>
          <w:sz w:val="20"/>
          <w:szCs w:val="20"/>
          <w:lang w:val="es-CO"/>
        </w:rPr>
        <w:t xml:space="preserve">én notó </w:t>
      </w:r>
      <w:r w:rsidR="00551AD9" w:rsidRPr="002568E6">
        <w:rPr>
          <w:rFonts w:ascii="Cambria" w:hAnsi="Cambria"/>
          <w:sz w:val="20"/>
          <w:szCs w:val="20"/>
          <w:lang w:val="es-CO"/>
        </w:rPr>
        <w:t xml:space="preserve">que los funcionarios del Ministerio Público a cargo de la investigación no tomaron las medidas oportunas para determinar si el cuerpo del </w:t>
      </w:r>
      <w:r w:rsidR="002B2F94" w:rsidRPr="002568E6">
        <w:rPr>
          <w:rFonts w:ascii="Cambria" w:hAnsi="Cambria"/>
          <w:sz w:val="20"/>
          <w:szCs w:val="20"/>
          <w:lang w:val="es-CO"/>
        </w:rPr>
        <w:t xml:space="preserve">Sr. </w:t>
      </w:r>
      <w:r w:rsidR="00551AD9" w:rsidRPr="002568E6">
        <w:rPr>
          <w:rFonts w:ascii="Cambria" w:hAnsi="Cambria"/>
          <w:sz w:val="20"/>
          <w:szCs w:val="20"/>
          <w:lang w:val="es-CO"/>
        </w:rPr>
        <w:t xml:space="preserve">Reyes Pérez había sido localizado en otras jurisdicciones y enterrado como persona sin identificar </w:t>
      </w:r>
      <w:r w:rsidR="007A49C5" w:rsidRPr="002568E6">
        <w:rPr>
          <w:rFonts w:ascii="Cambria" w:hAnsi="Cambria"/>
          <w:sz w:val="20"/>
          <w:szCs w:val="20"/>
          <w:lang w:val="es-CO"/>
        </w:rPr>
        <w:t>y resaltó la informalidad existente en el Cementerio General de Santa Lucía Cotzum</w:t>
      </w:r>
      <w:r w:rsidR="009577A4" w:rsidRPr="002568E6">
        <w:rPr>
          <w:rFonts w:ascii="Cambria" w:hAnsi="Cambria"/>
          <w:sz w:val="20"/>
          <w:szCs w:val="20"/>
          <w:lang w:val="es-CO"/>
        </w:rPr>
        <w:t xml:space="preserve">alguapa durante esos meses en lo relativo a los registros de inhumaciones </w:t>
      </w:r>
      <w:r w:rsidR="00025402" w:rsidRPr="002568E6">
        <w:rPr>
          <w:rFonts w:ascii="Cambria" w:hAnsi="Cambria"/>
          <w:sz w:val="20"/>
          <w:szCs w:val="20"/>
          <w:lang w:val="es-CO"/>
        </w:rPr>
        <w:t>de cadáveres sin identificar y la falta de medidas tendientes a procurar subsanar tales omisiones</w:t>
      </w:r>
      <w:r w:rsidR="000230B2" w:rsidRPr="002568E6">
        <w:rPr>
          <w:rFonts w:ascii="Cambria" w:hAnsi="Cambria"/>
          <w:sz w:val="20"/>
          <w:szCs w:val="20"/>
          <w:lang w:val="es-CO"/>
        </w:rPr>
        <w:t xml:space="preserve">, lo cual dificultó notablemente las tareas de investigación forense en el cementerio y las sucesivas diligencias de exhumación </w:t>
      </w:r>
      <w:r w:rsidR="00364613" w:rsidRPr="002568E6">
        <w:rPr>
          <w:rFonts w:ascii="Cambria" w:hAnsi="Cambria"/>
          <w:sz w:val="20"/>
          <w:szCs w:val="20"/>
          <w:lang w:val="es-CO"/>
        </w:rPr>
        <w:t xml:space="preserve">de cadáveres realizadas. </w:t>
      </w:r>
    </w:p>
    <w:p w14:paraId="770007AB" w14:textId="77777777" w:rsidR="00D462F3" w:rsidRDefault="00D462F3" w:rsidP="00541C41">
      <w:pPr>
        <w:pStyle w:val="NormalWeb"/>
        <w:tabs>
          <w:tab w:val="left" w:pos="360"/>
        </w:tabs>
        <w:spacing w:before="0" w:beforeAutospacing="0" w:after="0" w:afterAutospacing="0"/>
        <w:jc w:val="both"/>
        <w:rPr>
          <w:rFonts w:ascii="Cambria" w:hAnsi="Cambria"/>
          <w:sz w:val="20"/>
          <w:szCs w:val="20"/>
          <w:lang w:val="es-CO"/>
        </w:rPr>
      </w:pPr>
    </w:p>
    <w:p w14:paraId="13ECEA4D" w14:textId="77777777" w:rsidR="00813E71" w:rsidRPr="002568E6" w:rsidRDefault="00813E71" w:rsidP="00541C41">
      <w:pPr>
        <w:pStyle w:val="NormalWeb"/>
        <w:tabs>
          <w:tab w:val="left" w:pos="360"/>
        </w:tabs>
        <w:spacing w:before="0" w:beforeAutospacing="0" w:after="0" w:afterAutospacing="0"/>
        <w:jc w:val="both"/>
        <w:rPr>
          <w:rFonts w:ascii="Cambria" w:hAnsi="Cambria"/>
          <w:sz w:val="20"/>
          <w:szCs w:val="20"/>
          <w:lang w:val="es-CO"/>
        </w:rPr>
      </w:pPr>
    </w:p>
    <w:p w14:paraId="3E37A2CF" w14:textId="61899727" w:rsidR="00EC127A" w:rsidRPr="002568E6" w:rsidRDefault="00815806" w:rsidP="00541C41">
      <w:pPr>
        <w:pStyle w:val="NormalWeb"/>
        <w:tabs>
          <w:tab w:val="left" w:pos="360"/>
        </w:tabs>
        <w:spacing w:before="0" w:beforeAutospacing="0" w:after="0" w:afterAutospacing="0"/>
        <w:jc w:val="both"/>
        <w:rPr>
          <w:rFonts w:ascii="Cambria" w:hAnsi="Cambria"/>
          <w:bCs/>
          <w:sz w:val="20"/>
          <w:szCs w:val="20"/>
          <w:lang w:val="es-CO"/>
        </w:rPr>
      </w:pPr>
      <w:r w:rsidRPr="002568E6">
        <w:rPr>
          <w:rFonts w:ascii="Cambria" w:hAnsi="Cambria"/>
          <w:sz w:val="20"/>
          <w:szCs w:val="20"/>
          <w:lang w:val="es-CO"/>
        </w:rPr>
        <w:tab/>
      </w:r>
      <w:r w:rsidR="00224E76" w:rsidRPr="002568E6">
        <w:rPr>
          <w:rFonts w:ascii="Cambria" w:hAnsi="Cambria"/>
          <w:sz w:val="20"/>
          <w:szCs w:val="20"/>
          <w:lang w:val="es-CO"/>
        </w:rPr>
        <w:t>La Comisión consideró que todas estas circunstancias comprometieron la responsabilidad internacional del Estado guatemalteco por la violación del deber de investigar los hechos con la debida diligencia y explican en gran medida la falta de esclarecimiento de la suerte de la víctima.</w:t>
      </w:r>
      <w:r w:rsidR="00541C41" w:rsidRPr="002568E6">
        <w:rPr>
          <w:rFonts w:ascii="Cambria" w:hAnsi="Cambria"/>
          <w:sz w:val="20"/>
          <w:szCs w:val="20"/>
          <w:lang w:val="es-CO"/>
        </w:rPr>
        <w:t xml:space="preserve"> </w:t>
      </w:r>
      <w:r w:rsidR="000234DB" w:rsidRPr="002568E6">
        <w:rPr>
          <w:rFonts w:ascii="Cambria" w:hAnsi="Cambria"/>
          <w:sz w:val="20"/>
          <w:szCs w:val="20"/>
          <w:lang w:val="es-CO"/>
        </w:rPr>
        <w:t xml:space="preserve">En este sentido, la Comisión </w:t>
      </w:r>
      <w:r w:rsidR="00D10459" w:rsidRPr="002568E6">
        <w:rPr>
          <w:rFonts w:ascii="Cambria" w:hAnsi="Cambria"/>
          <w:sz w:val="20"/>
          <w:szCs w:val="20"/>
          <w:lang w:val="es-CO"/>
        </w:rPr>
        <w:t xml:space="preserve">concluyó que el Estado es responsable por el incumplimiento de su obligación de investigar, juzgar y sancionar, en un plazo razonable y con la debida diligencia, la desaparición de la víctima y es </w:t>
      </w:r>
      <w:r w:rsidR="00C061CC" w:rsidRPr="002568E6">
        <w:rPr>
          <w:rFonts w:ascii="Cambria" w:hAnsi="Cambria"/>
          <w:sz w:val="20"/>
          <w:szCs w:val="20"/>
          <w:lang w:val="es-CO"/>
        </w:rPr>
        <w:t xml:space="preserve">por lo tanto </w:t>
      </w:r>
      <w:r w:rsidR="00D10459" w:rsidRPr="002568E6">
        <w:rPr>
          <w:rFonts w:ascii="Cambria" w:hAnsi="Cambria"/>
          <w:sz w:val="20"/>
          <w:szCs w:val="20"/>
          <w:lang w:val="es-CO"/>
        </w:rPr>
        <w:t xml:space="preserve">responsable por la violación de los </w:t>
      </w:r>
      <w:r w:rsidR="00D10459" w:rsidRPr="002568E6">
        <w:rPr>
          <w:rFonts w:ascii="Cambria" w:hAnsi="Cambria"/>
          <w:bCs/>
          <w:sz w:val="20"/>
          <w:szCs w:val="20"/>
          <w:lang w:val="es-CO"/>
        </w:rPr>
        <w:t xml:space="preserve">derechos a las garantías judiciales y a la protección judicial. </w:t>
      </w:r>
    </w:p>
    <w:p w14:paraId="37AF60E1" w14:textId="77777777" w:rsidR="00D10459" w:rsidRPr="002568E6" w:rsidRDefault="00D10459" w:rsidP="00541C41">
      <w:pPr>
        <w:pStyle w:val="NormalWeb"/>
        <w:tabs>
          <w:tab w:val="left" w:pos="360"/>
        </w:tabs>
        <w:spacing w:before="0" w:beforeAutospacing="0" w:after="0" w:afterAutospacing="0"/>
        <w:jc w:val="both"/>
        <w:rPr>
          <w:rFonts w:ascii="Cambria" w:hAnsi="Cambria"/>
          <w:sz w:val="20"/>
          <w:szCs w:val="20"/>
          <w:lang w:val="es-CO"/>
        </w:rPr>
      </w:pPr>
    </w:p>
    <w:p w14:paraId="6DBF5001" w14:textId="5410E59C" w:rsidR="00B75A4C" w:rsidRPr="002568E6" w:rsidRDefault="00815806" w:rsidP="00815806">
      <w:pPr>
        <w:pStyle w:val="parrafos"/>
        <w:tabs>
          <w:tab w:val="left" w:pos="360"/>
        </w:tabs>
        <w:rPr>
          <w:lang w:val="es-CO"/>
        </w:rPr>
      </w:pPr>
      <w:r w:rsidRPr="002568E6">
        <w:rPr>
          <w:lang w:val="es-CO"/>
        </w:rPr>
        <w:tab/>
      </w:r>
      <w:r w:rsidR="00B75A4C" w:rsidRPr="002568E6">
        <w:rPr>
          <w:lang w:val="es-CO"/>
        </w:rPr>
        <w:t>La Comisión también co</w:t>
      </w:r>
      <w:r w:rsidR="00D462F3" w:rsidRPr="002568E6">
        <w:rPr>
          <w:lang w:val="es-CO"/>
        </w:rPr>
        <w:t>nstató</w:t>
      </w:r>
      <w:r w:rsidR="00B75A4C" w:rsidRPr="002568E6">
        <w:rPr>
          <w:lang w:val="es-CO"/>
        </w:rPr>
        <w:t xml:space="preserve"> que el Estado conocía desde las primeras horas de la desaparición del Sr. Reyes Pérez la situación de riesgo en que se encontraba, así como que la naturaleza misma y gravedad de los hechos denunciados por la Sra. Toledo Chávez podrían razonablemente llevar a la conclusión de que el Sr. Reyes Perez se hallaba en peligro de vida y que las autoridades a cargo de la investigación no actuaron de forma diligente durante los primeros días de la desaparición</w:t>
      </w:r>
      <w:r w:rsidR="00F4167C" w:rsidRPr="002568E6">
        <w:rPr>
          <w:lang w:val="es-CO"/>
        </w:rPr>
        <w:t xml:space="preserve"> ni a lo largo de todo el proceso</w:t>
      </w:r>
      <w:r w:rsidR="00B75A4C" w:rsidRPr="002568E6">
        <w:rPr>
          <w:lang w:val="es-CO"/>
        </w:rPr>
        <w:t>. En este sentido, la Corte determinó que el Estado e</w:t>
      </w:r>
      <w:r w:rsidR="00154979" w:rsidRPr="002568E6">
        <w:rPr>
          <w:lang w:val="es-CO"/>
        </w:rPr>
        <w:t xml:space="preserve">s </w:t>
      </w:r>
      <w:r w:rsidR="00B75A4C" w:rsidRPr="002568E6">
        <w:rPr>
          <w:lang w:val="es-CO"/>
        </w:rPr>
        <w:t>responsable por haber infringido su deber de proteger los derechos a la vida, a la libertad y a la integridad personal del Sr. Reyes Pérez.</w:t>
      </w:r>
    </w:p>
    <w:p w14:paraId="2DEE3FF0" w14:textId="77777777" w:rsidR="007469E5" w:rsidRPr="002568E6" w:rsidRDefault="007469E5" w:rsidP="00815806">
      <w:pPr>
        <w:pStyle w:val="parrafos"/>
        <w:tabs>
          <w:tab w:val="left" w:pos="360"/>
        </w:tabs>
        <w:rPr>
          <w:lang w:val="es-CO"/>
        </w:rPr>
      </w:pPr>
    </w:p>
    <w:p w14:paraId="306801F5" w14:textId="738F4AA8" w:rsidR="007469E5" w:rsidRPr="002568E6" w:rsidRDefault="00CF51A7" w:rsidP="00815806">
      <w:pPr>
        <w:pStyle w:val="parrafos"/>
        <w:tabs>
          <w:tab w:val="left" w:pos="360"/>
        </w:tabs>
        <w:rPr>
          <w:lang w:val="es-CO"/>
        </w:rPr>
      </w:pPr>
      <w:r w:rsidRPr="002568E6">
        <w:rPr>
          <w:lang w:val="es-CO"/>
        </w:rPr>
        <w:tab/>
      </w:r>
      <w:r w:rsidR="007469E5" w:rsidRPr="002568E6">
        <w:rPr>
          <w:lang w:val="es-CO"/>
        </w:rPr>
        <w:t>Finalmente, la Comisión consideró que la desaparición del Sr</w:t>
      </w:r>
      <w:r w:rsidR="00AB2703" w:rsidRPr="002568E6">
        <w:rPr>
          <w:lang w:val="es-CO"/>
        </w:rPr>
        <w:t xml:space="preserve">. </w:t>
      </w:r>
      <w:r w:rsidR="007469E5" w:rsidRPr="002568E6">
        <w:rPr>
          <w:lang w:val="es-CO"/>
        </w:rPr>
        <w:t xml:space="preserve">Reyes Pérez ha generado un profundo sentimiento de dolor, angustia e incertidumbre en sus familiares, quienes han recurrido a diversas autoridades y han emprendido múltiples acciones judiciales y extrajudiciales de búsqueda que han resultado infructuosas; sentimientos que se han profundizado por la falta de una investigación efectiva y diligente. Asimismo, la Comisión </w:t>
      </w:r>
      <w:r w:rsidR="005C3173" w:rsidRPr="002568E6">
        <w:rPr>
          <w:lang w:val="es-CO"/>
        </w:rPr>
        <w:t xml:space="preserve">resaltó que </w:t>
      </w:r>
      <w:r w:rsidR="007469E5" w:rsidRPr="002568E6">
        <w:rPr>
          <w:lang w:val="es-CO"/>
        </w:rPr>
        <w:t>- producto de los múltiples cambios en la conducción de la investigación y de la falta de coordinación entre los investigadores - la esposa del Sr. Reyes Pérez ha sido llamada a testificar en numerosas oportunidades, circunstancia que sin dudas ha generado sentimientos de revictimización y angustia. Conforme a lo anterior, la Comisión estim</w:t>
      </w:r>
      <w:r w:rsidR="005C3173" w:rsidRPr="002568E6">
        <w:rPr>
          <w:lang w:val="es-CO"/>
        </w:rPr>
        <w:t xml:space="preserve">ó </w:t>
      </w:r>
      <w:r w:rsidR="007469E5" w:rsidRPr="002568E6">
        <w:rPr>
          <w:lang w:val="es-CO"/>
        </w:rPr>
        <w:t>que el Estado violó el derecho a la integridad personal en perjuicio de los familiare</w:t>
      </w:r>
      <w:r w:rsidR="00B23351" w:rsidRPr="002568E6">
        <w:rPr>
          <w:lang w:val="es-CO"/>
        </w:rPr>
        <w:t>s</w:t>
      </w:r>
      <w:r w:rsidR="007469E5" w:rsidRPr="002568E6">
        <w:rPr>
          <w:lang w:val="es-CO"/>
        </w:rPr>
        <w:t>.</w:t>
      </w:r>
    </w:p>
    <w:p w14:paraId="2FC83CA5" w14:textId="1C3173DF" w:rsidR="00650377" w:rsidRPr="002568E6" w:rsidRDefault="00B75A4C" w:rsidP="00CF51A7">
      <w:pPr>
        <w:pStyle w:val="NormalWeb"/>
        <w:ind w:firstLine="360"/>
        <w:jc w:val="both"/>
        <w:rPr>
          <w:rFonts w:ascii="Cambria" w:hAnsi="Cambria"/>
          <w:sz w:val="20"/>
          <w:szCs w:val="20"/>
          <w:lang w:val="es-CO"/>
        </w:rPr>
      </w:pPr>
      <w:r w:rsidRPr="002568E6">
        <w:rPr>
          <w:rFonts w:ascii="Cambria" w:hAnsi="Cambria"/>
          <w:sz w:val="20"/>
          <w:szCs w:val="20"/>
          <w:lang w:val="es-CO"/>
        </w:rPr>
        <w:t xml:space="preserve">Con base en las determinaciones de hecho y de derecho del informe, la Comisión Interamericana concluyó </w:t>
      </w:r>
      <w:r w:rsidR="00CF51A7" w:rsidRPr="002568E6">
        <w:rPr>
          <w:rFonts w:ascii="Cambria" w:hAnsi="Cambria"/>
          <w:sz w:val="20"/>
          <w:szCs w:val="20"/>
          <w:lang w:val="es-CO"/>
        </w:rPr>
        <w:t>que la República de Guatemala es responsable por la violación de los derechos a la vida, a la integridad personal, a la libertad personal, a las garantías judiciales y a la protección judicial consagrados en los artículos 4, 5.1, 7, 8.1 y 25.1 de la Convención Americana sobre Derechos Humanos, respectivamente, en relación con el artículo 1.1 del mismo instrumento. Asimismo, la Comisión concluy</w:t>
      </w:r>
      <w:r w:rsidR="000A6654" w:rsidRPr="002568E6">
        <w:rPr>
          <w:rFonts w:ascii="Cambria" w:hAnsi="Cambria"/>
          <w:sz w:val="20"/>
          <w:szCs w:val="20"/>
          <w:lang w:val="es-CO"/>
        </w:rPr>
        <w:t>ó</w:t>
      </w:r>
      <w:r w:rsidR="00CF51A7" w:rsidRPr="002568E6">
        <w:rPr>
          <w:rFonts w:ascii="Cambria" w:hAnsi="Cambria"/>
          <w:sz w:val="20"/>
          <w:szCs w:val="20"/>
          <w:lang w:val="es-CO"/>
        </w:rPr>
        <w:t xml:space="preserve"> que el Estado resulta responsable a nivel internacional por la violación del derecho a la integridad personal consagrado en el artículo 5.1 de la Convención Americana respecto de la esposa del Sr. Reyes Pérez y de sus seis hijos mencionados en el párrafo 63 de</w:t>
      </w:r>
      <w:r w:rsidR="000A6654" w:rsidRPr="002568E6">
        <w:rPr>
          <w:rFonts w:ascii="Cambria" w:hAnsi="Cambria"/>
          <w:sz w:val="20"/>
          <w:szCs w:val="20"/>
          <w:lang w:val="es-CO"/>
        </w:rPr>
        <w:t>l</w:t>
      </w:r>
      <w:r w:rsidR="00CF51A7" w:rsidRPr="002568E6">
        <w:rPr>
          <w:rFonts w:ascii="Cambria" w:hAnsi="Cambria"/>
          <w:sz w:val="20"/>
          <w:szCs w:val="20"/>
          <w:lang w:val="es-CO"/>
        </w:rPr>
        <w:t xml:space="preserve"> informe.</w:t>
      </w:r>
      <w:r w:rsidRPr="002568E6">
        <w:rPr>
          <w:rFonts w:ascii="Cambria" w:hAnsi="Cambria"/>
          <w:sz w:val="20"/>
          <w:szCs w:val="20"/>
          <w:lang w:val="es-CO"/>
        </w:rPr>
        <w:t xml:space="preserve"> </w:t>
      </w:r>
      <w:bookmarkEnd w:id="2"/>
      <w:r w:rsidR="00650377" w:rsidRPr="002568E6">
        <w:rPr>
          <w:rFonts w:ascii="Cambria" w:hAnsi="Cambria"/>
          <w:sz w:val="20"/>
          <w:szCs w:val="20"/>
          <w:lang w:val="es-CO"/>
        </w:rPr>
        <w:tab/>
      </w:r>
    </w:p>
    <w:p w14:paraId="60331D49" w14:textId="3036EFAE" w:rsidR="00650377" w:rsidRPr="002568E6" w:rsidRDefault="00650377" w:rsidP="00650377">
      <w:pPr>
        <w:pStyle w:val="BodyTextIndent"/>
        <w:rPr>
          <w:rFonts w:cs="Calibri"/>
          <w:color w:val="000000"/>
        </w:rPr>
      </w:pPr>
      <w:r w:rsidRPr="002568E6">
        <w:t xml:space="preserve">El Estado de Guatemala depositó su instrumento de ratificación de la Convención Americana el 25 de mayo de 1978 y aceptó la jurisdicción contenciosa de la Corte el 9 de marzo de 1987. </w:t>
      </w:r>
    </w:p>
    <w:p w14:paraId="30DACB4A" w14:textId="77777777" w:rsidR="00650377" w:rsidRPr="002568E6" w:rsidRDefault="00650377" w:rsidP="00650377">
      <w:pPr>
        <w:spacing w:after="0" w:line="240" w:lineRule="auto"/>
        <w:jc w:val="both"/>
        <w:rPr>
          <w:rFonts w:ascii="Cambria" w:hAnsi="Cambria" w:cs="Calibri"/>
          <w:color w:val="000000"/>
          <w:sz w:val="20"/>
          <w:szCs w:val="20"/>
          <w:lang w:val="es-CO"/>
        </w:rPr>
      </w:pPr>
    </w:p>
    <w:p w14:paraId="54B59E90" w14:textId="59AF066D" w:rsidR="00650377" w:rsidRPr="002568E6" w:rsidRDefault="00650377" w:rsidP="00650377">
      <w:pPr>
        <w:tabs>
          <w:tab w:val="left" w:pos="360"/>
        </w:tabs>
        <w:spacing w:after="0" w:line="240" w:lineRule="auto"/>
        <w:jc w:val="both"/>
        <w:rPr>
          <w:rFonts w:ascii="Cambria" w:hAnsi="Cambria" w:cs="Calibri"/>
          <w:color w:val="000000"/>
          <w:sz w:val="20"/>
          <w:szCs w:val="20"/>
          <w:lang w:val="es-CO"/>
        </w:rPr>
      </w:pPr>
      <w:r w:rsidRPr="002568E6">
        <w:rPr>
          <w:rFonts w:ascii="Cambria" w:hAnsi="Cambria" w:cs="Calibri"/>
          <w:color w:val="000000"/>
          <w:sz w:val="20"/>
          <w:szCs w:val="20"/>
          <w:lang w:val="es-CO"/>
        </w:rPr>
        <w:tab/>
        <w:t xml:space="preserve">La Comisión ha designado a la Comisionada Andrea Pochak y a la Secretaria Ejecutiva Tania Reneaum Panszi como sus delegadas. Asimismo, Jorge Humberto Meza Flores, Secretario Ejecutivo Adjunto e Ignacio Bollier, especialista de la Secretaría Ejecutiva de la CIDH, actuarán como sus asesores legales. </w:t>
      </w:r>
    </w:p>
    <w:p w14:paraId="5690DB7E" w14:textId="77777777" w:rsidR="00650377" w:rsidRPr="002568E6" w:rsidRDefault="00650377" w:rsidP="00650377">
      <w:pPr>
        <w:spacing w:after="0" w:line="240" w:lineRule="auto"/>
        <w:jc w:val="both"/>
        <w:rPr>
          <w:rFonts w:ascii="Cambria" w:hAnsi="Cambria" w:cs="Calibri"/>
          <w:sz w:val="20"/>
          <w:szCs w:val="20"/>
          <w:highlight w:val="yellow"/>
          <w:lang w:val="es-CO"/>
        </w:rPr>
      </w:pPr>
    </w:p>
    <w:p w14:paraId="0E41612B" w14:textId="15722892" w:rsidR="00650377" w:rsidRPr="002568E6" w:rsidRDefault="00650377" w:rsidP="00650377">
      <w:pPr>
        <w:tabs>
          <w:tab w:val="left" w:pos="360"/>
        </w:tabs>
        <w:spacing w:after="0" w:line="240" w:lineRule="auto"/>
        <w:jc w:val="both"/>
        <w:rPr>
          <w:rFonts w:ascii="Cambria" w:hAnsi="Cambria" w:cs="Calibri"/>
          <w:sz w:val="20"/>
          <w:szCs w:val="20"/>
          <w:lang w:val="es-CO"/>
        </w:rPr>
      </w:pPr>
      <w:r w:rsidRPr="002568E6">
        <w:rPr>
          <w:rFonts w:ascii="Cambria" w:hAnsi="Cambria" w:cs="Calibri"/>
          <w:sz w:val="20"/>
          <w:szCs w:val="20"/>
          <w:lang w:val="es-CO"/>
        </w:rPr>
        <w:tab/>
        <w:t xml:space="preserve">De conformidad con el artículo 35 del Reglamento de la Corte Interamericana, la Comisión adjunta copia del </w:t>
      </w:r>
      <w:r w:rsidRPr="002568E6">
        <w:rPr>
          <w:rFonts w:ascii="Cambria" w:hAnsi="Cambria"/>
          <w:sz w:val="20"/>
          <w:szCs w:val="20"/>
          <w:lang w:val="es-CO"/>
        </w:rPr>
        <w:t xml:space="preserve">Informe de Fondo No. 398/21 </w:t>
      </w:r>
      <w:r w:rsidRPr="002568E6">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w:t>
      </w:r>
      <w:r w:rsidRPr="002568E6">
        <w:rPr>
          <w:rFonts w:ascii="Cambria" w:hAnsi="Cambria"/>
          <w:sz w:val="20"/>
          <w:szCs w:val="20"/>
          <w:lang w:val="es-CO"/>
        </w:rPr>
        <w:t>Informe de Fondo No. 398/21</w:t>
      </w:r>
      <w:r w:rsidRPr="002568E6">
        <w:rPr>
          <w:rFonts w:ascii="Cambria" w:hAnsi="Cambria" w:cs="Calibri"/>
          <w:sz w:val="20"/>
          <w:szCs w:val="20"/>
          <w:lang w:val="es-CO"/>
        </w:rPr>
        <w:t xml:space="preserve"> (Anexos). </w:t>
      </w:r>
    </w:p>
    <w:p w14:paraId="7D3973C7" w14:textId="77777777" w:rsidR="00650377" w:rsidRPr="002568E6" w:rsidRDefault="00650377" w:rsidP="00650377">
      <w:pPr>
        <w:spacing w:after="0" w:line="240" w:lineRule="auto"/>
        <w:jc w:val="both"/>
        <w:rPr>
          <w:rFonts w:ascii="Cambria" w:hAnsi="Cambria" w:cs="Calibri"/>
          <w:color w:val="FF0000"/>
          <w:sz w:val="20"/>
          <w:szCs w:val="20"/>
          <w:lang w:val="es-CO"/>
        </w:rPr>
      </w:pPr>
    </w:p>
    <w:p w14:paraId="201B8C3C" w14:textId="075E3FBF" w:rsidR="00650377" w:rsidRPr="002568E6" w:rsidRDefault="00650377" w:rsidP="00650377">
      <w:pPr>
        <w:tabs>
          <w:tab w:val="left" w:pos="360"/>
          <w:tab w:val="left" w:pos="810"/>
        </w:tabs>
        <w:spacing w:after="0" w:line="240" w:lineRule="auto"/>
        <w:jc w:val="both"/>
        <w:rPr>
          <w:rFonts w:ascii="Cambria" w:hAnsi="Cambria" w:cs="Calibri"/>
          <w:sz w:val="20"/>
          <w:szCs w:val="20"/>
          <w:lang w:val="es-CO"/>
        </w:rPr>
      </w:pPr>
      <w:r w:rsidRPr="002568E6">
        <w:rPr>
          <w:rFonts w:ascii="Cambria" w:hAnsi="Cambria" w:cs="Calibri"/>
          <w:sz w:val="20"/>
          <w:szCs w:val="20"/>
          <w:lang w:val="es-CO"/>
        </w:rPr>
        <w:tab/>
        <w:t xml:space="preserve">Dicho Informe de Fondo fue notificado al Estado el </w:t>
      </w:r>
      <w:r w:rsidR="00EB00CD" w:rsidRPr="002568E6">
        <w:rPr>
          <w:rFonts w:ascii="Cambria" w:hAnsi="Cambria" w:cs="Calibri"/>
          <w:sz w:val="20"/>
          <w:szCs w:val="20"/>
          <w:lang w:val="es-CO"/>
        </w:rPr>
        <w:t>21</w:t>
      </w:r>
      <w:r w:rsidRPr="002568E6">
        <w:rPr>
          <w:rFonts w:ascii="Cambria" w:hAnsi="Cambria" w:cs="Calibri"/>
          <w:sz w:val="20"/>
          <w:szCs w:val="20"/>
          <w:lang w:val="es-CO"/>
        </w:rPr>
        <w:t xml:space="preserve"> de abril de 2022</w:t>
      </w:r>
      <w:r w:rsidR="00090998" w:rsidRPr="002568E6">
        <w:rPr>
          <w:rFonts w:ascii="Cambria" w:hAnsi="Cambria" w:cs="Calibri"/>
          <w:sz w:val="20"/>
          <w:szCs w:val="20"/>
          <w:lang w:val="es-CO"/>
        </w:rPr>
        <w:t xml:space="preserve"> otorgándole un plazo de dos meses para informar sobre el cumplimiento de las recomendaciones.</w:t>
      </w:r>
      <w:r w:rsidR="005B5C15" w:rsidRPr="002568E6">
        <w:rPr>
          <w:rFonts w:ascii="Cambria" w:hAnsi="Cambria" w:cs="Calibri"/>
          <w:sz w:val="20"/>
          <w:szCs w:val="20"/>
          <w:lang w:val="es-CO"/>
        </w:rPr>
        <w:t xml:space="preserve"> </w:t>
      </w:r>
      <w:r w:rsidRPr="002568E6">
        <w:rPr>
          <w:rFonts w:ascii="Cambria" w:hAnsi="Cambria" w:cs="Calibri"/>
          <w:sz w:val="20"/>
          <w:szCs w:val="20"/>
          <w:lang w:val="es-CO"/>
        </w:rPr>
        <w:t>Tras el otorgamiento por parte de la CIDH de 7 prórrogas, la Comisión valoró y tomó nota de las gestiones realizadas que motivaron el otorgamiento de las anteriores prórrogas</w:t>
      </w:r>
      <w:r w:rsidR="000A6654" w:rsidRPr="002568E6">
        <w:rPr>
          <w:rFonts w:ascii="Cambria" w:hAnsi="Cambria" w:cs="Calibri"/>
          <w:sz w:val="20"/>
          <w:szCs w:val="20"/>
          <w:lang w:val="es-CO"/>
        </w:rPr>
        <w:t xml:space="preserve"> y del avance en </w:t>
      </w:r>
      <w:r w:rsidR="00370C7D" w:rsidRPr="002568E6">
        <w:rPr>
          <w:rFonts w:ascii="Cambria" w:hAnsi="Cambria" w:cs="Calibri"/>
          <w:sz w:val="20"/>
          <w:szCs w:val="20"/>
          <w:lang w:val="es-CO"/>
        </w:rPr>
        <w:t>algunas de las recomendaciones</w:t>
      </w:r>
      <w:r w:rsidRPr="002568E6">
        <w:rPr>
          <w:rFonts w:ascii="Cambria" w:hAnsi="Cambria" w:cs="Calibri"/>
          <w:sz w:val="20"/>
          <w:szCs w:val="20"/>
          <w:lang w:val="es-CO"/>
        </w:rPr>
        <w:t xml:space="preserve">. Sin embargo, observó que, </w:t>
      </w:r>
      <w:r w:rsidRPr="002568E6">
        <w:rPr>
          <w:rFonts w:ascii="Cambria" w:hAnsi="Cambria"/>
          <w:sz w:val="20"/>
          <w:szCs w:val="20"/>
          <w:lang w:val="es-CO"/>
        </w:rPr>
        <w:t xml:space="preserve">no obstante, el paso de dos años desde notificado el </w:t>
      </w:r>
      <w:r w:rsidR="00C52AEC">
        <w:rPr>
          <w:rFonts w:ascii="Cambria" w:hAnsi="Cambria"/>
          <w:sz w:val="20"/>
          <w:szCs w:val="20"/>
          <w:lang w:val="es-CO"/>
        </w:rPr>
        <w:t>I</w:t>
      </w:r>
      <w:r w:rsidRPr="002568E6">
        <w:rPr>
          <w:rFonts w:ascii="Cambria" w:hAnsi="Cambria"/>
          <w:sz w:val="20"/>
          <w:szCs w:val="20"/>
          <w:lang w:val="es-CO"/>
        </w:rPr>
        <w:t xml:space="preserve">nforme de </w:t>
      </w:r>
      <w:r w:rsidR="00C52AEC">
        <w:rPr>
          <w:rFonts w:ascii="Cambria" w:hAnsi="Cambria"/>
          <w:sz w:val="20"/>
          <w:szCs w:val="20"/>
          <w:lang w:val="es-CO"/>
        </w:rPr>
        <w:t>F</w:t>
      </w:r>
      <w:r w:rsidRPr="002568E6">
        <w:rPr>
          <w:rFonts w:ascii="Cambria" w:hAnsi="Cambria"/>
          <w:sz w:val="20"/>
          <w:szCs w:val="20"/>
          <w:lang w:val="es-CO"/>
        </w:rPr>
        <w:t>ondo,</w:t>
      </w:r>
      <w:r w:rsidR="002B5D4F" w:rsidRPr="002568E6">
        <w:rPr>
          <w:rFonts w:ascii="Cambria" w:hAnsi="Cambria"/>
          <w:sz w:val="20"/>
          <w:szCs w:val="20"/>
          <w:lang w:val="es-CO"/>
        </w:rPr>
        <w:t xml:space="preserve"> las víctimas no han obtenido una reparación integral</w:t>
      </w:r>
      <w:r w:rsidRPr="002568E6">
        <w:rPr>
          <w:rFonts w:ascii="Cambria" w:hAnsi="Cambria"/>
          <w:sz w:val="20"/>
          <w:szCs w:val="20"/>
          <w:lang w:val="es-CO"/>
        </w:rPr>
        <w:t>.</w:t>
      </w:r>
      <w:r w:rsidR="00370C7D" w:rsidRPr="002568E6">
        <w:rPr>
          <w:rFonts w:ascii="Cambria" w:hAnsi="Cambria"/>
          <w:sz w:val="20"/>
          <w:szCs w:val="20"/>
          <w:lang w:val="es-CO"/>
        </w:rPr>
        <w:t xml:space="preserve"> </w:t>
      </w:r>
      <w:r w:rsidR="00370C7D" w:rsidRPr="002568E6">
        <w:rPr>
          <w:rFonts w:ascii="Cambria" w:hAnsi="Cambria"/>
          <w:sz w:val="20"/>
          <w:szCs w:val="20"/>
          <w:lang w:val="es-CO"/>
        </w:rPr>
        <w:lastRenderedPageBreak/>
        <w:t xml:space="preserve">En particular, la Comisión observó que el Estado no ha avanzado en </w:t>
      </w:r>
      <w:r w:rsidR="00C22A7F" w:rsidRPr="002568E6">
        <w:rPr>
          <w:rFonts w:ascii="Cambria" w:hAnsi="Cambria"/>
          <w:sz w:val="20"/>
          <w:szCs w:val="20"/>
          <w:lang w:val="es-CO"/>
        </w:rPr>
        <w:t xml:space="preserve">una propuesta para la reparación pecuniaria y que no ha informado sobre avances concretos en la búsqueda </w:t>
      </w:r>
      <w:r w:rsidR="00A83D91" w:rsidRPr="002568E6">
        <w:rPr>
          <w:rFonts w:ascii="Cambria" w:hAnsi="Cambria"/>
          <w:sz w:val="20"/>
          <w:szCs w:val="20"/>
          <w:lang w:val="es-CO"/>
        </w:rPr>
        <w:t xml:space="preserve">de la víctima desaparecida. </w:t>
      </w:r>
      <w:r w:rsidRPr="002568E6">
        <w:rPr>
          <w:rFonts w:ascii="Cambria" w:eastAsia="Times New Roman" w:hAnsi="Cambria" w:cs="Cambria"/>
          <w:sz w:val="20"/>
          <w:szCs w:val="20"/>
          <w:lang w:val="es-CO"/>
        </w:rPr>
        <w:t>En consecuencia</w:t>
      </w:r>
      <w:r w:rsidRPr="002568E6">
        <w:rPr>
          <w:rFonts w:ascii="Cambria" w:hAnsi="Cambria" w:cs="Calibri"/>
          <w:sz w:val="20"/>
          <w:szCs w:val="20"/>
          <w:lang w:val="es-CO"/>
        </w:rPr>
        <w:t>, ante la necesidad de obtención de justicia y reparación para las víctimas, la Comisión decidió someter el caso a la jurisdicción de la Corte Interamericana.</w:t>
      </w:r>
      <w:r w:rsidRPr="002568E6">
        <w:rPr>
          <w:rFonts w:ascii="Cambria" w:hAnsi="Cambria" w:cs="Calibri"/>
          <w:color w:val="FF0000"/>
          <w:sz w:val="20"/>
          <w:szCs w:val="20"/>
          <w:lang w:val="es-CO"/>
        </w:rPr>
        <w:t xml:space="preserve"> </w:t>
      </w:r>
    </w:p>
    <w:p w14:paraId="5BDFA5D9" w14:textId="77777777" w:rsidR="00650377" w:rsidRPr="002568E6" w:rsidRDefault="00650377" w:rsidP="00650377">
      <w:pPr>
        <w:tabs>
          <w:tab w:val="left" w:pos="810"/>
        </w:tabs>
        <w:spacing w:after="0" w:line="240" w:lineRule="auto"/>
        <w:jc w:val="both"/>
        <w:rPr>
          <w:rFonts w:ascii="Cambria" w:hAnsi="Cambria"/>
          <w:color w:val="FF0000"/>
          <w:sz w:val="20"/>
          <w:szCs w:val="20"/>
          <w:lang w:val="es-CO"/>
        </w:rPr>
      </w:pPr>
    </w:p>
    <w:p w14:paraId="2DEA5DAF" w14:textId="1736697E" w:rsidR="00650377" w:rsidRPr="002568E6" w:rsidRDefault="00650377" w:rsidP="00650377">
      <w:pPr>
        <w:tabs>
          <w:tab w:val="left" w:pos="360"/>
        </w:tabs>
        <w:spacing w:after="0" w:line="240" w:lineRule="auto"/>
        <w:jc w:val="both"/>
        <w:rPr>
          <w:rFonts w:ascii="Cambria" w:eastAsia="Cambria" w:hAnsi="Cambria" w:cs="Cambria"/>
          <w:sz w:val="20"/>
          <w:szCs w:val="20"/>
          <w:lang w:val="es-CO"/>
        </w:rPr>
      </w:pPr>
      <w:r w:rsidRPr="002568E6">
        <w:rPr>
          <w:rFonts w:ascii="Cambria" w:hAnsi="Cambria" w:cs="Calibri"/>
          <w:sz w:val="20"/>
          <w:szCs w:val="20"/>
          <w:lang w:val="es-CO"/>
        </w:rPr>
        <w:tab/>
        <w:t xml:space="preserve">En ese sentido, la Comisión solicita a la Honorable Corte que concluya y declare que el Estado de </w:t>
      </w:r>
      <w:r w:rsidR="000612EE" w:rsidRPr="002568E6">
        <w:rPr>
          <w:rFonts w:ascii="Cambria" w:hAnsi="Cambria" w:cs="Calibri"/>
          <w:sz w:val="20"/>
          <w:szCs w:val="20"/>
          <w:lang w:val="es-CO"/>
        </w:rPr>
        <w:t>Guatemala</w:t>
      </w:r>
      <w:r w:rsidRPr="002568E6">
        <w:rPr>
          <w:rFonts w:ascii="Cambria" w:eastAsia="Cambria" w:hAnsi="Cambria" w:cs="Cambria"/>
          <w:sz w:val="20"/>
          <w:szCs w:val="20"/>
          <w:lang w:val="es-CO"/>
        </w:rPr>
        <w:t xml:space="preserve"> </w:t>
      </w:r>
      <w:r w:rsidR="000612EE" w:rsidRPr="002568E6">
        <w:rPr>
          <w:rFonts w:ascii="Cambria" w:hAnsi="Cambria"/>
          <w:sz w:val="20"/>
          <w:szCs w:val="20"/>
          <w:lang w:val="es-CO"/>
        </w:rPr>
        <w:t xml:space="preserve">es responsable por la violación de los derechos a la vida, a la integridad personal, a la libertad personal, a las garantías judiciales y a la protección judicial consagrados en los artículos 4, 5.1, 7, 8.1 y 25.1 de la Convención Americana sobre Derechos Humanos, respectivamente, en relación con el artículo 1.1 del mismo instrumento. Asimismo, </w:t>
      </w:r>
      <w:r w:rsidR="009D5977" w:rsidRPr="002568E6">
        <w:rPr>
          <w:rFonts w:ascii="Cambria" w:hAnsi="Cambria"/>
          <w:sz w:val="20"/>
          <w:szCs w:val="20"/>
          <w:lang w:val="es-CO"/>
        </w:rPr>
        <w:t>que concluya que</w:t>
      </w:r>
      <w:r w:rsidR="000612EE" w:rsidRPr="002568E6">
        <w:rPr>
          <w:rFonts w:ascii="Cambria" w:hAnsi="Cambria"/>
          <w:sz w:val="20"/>
          <w:szCs w:val="20"/>
          <w:lang w:val="es-CO"/>
        </w:rPr>
        <w:t xml:space="preserve"> el Estado resulta responsable a nivel internacional por la violación del derecho a la integridad personal consagrado en el artículo 5.1 de la Convención Americana respecto de la esposa del Sr. Reyes Pérez y de sus seis hijos.</w:t>
      </w:r>
    </w:p>
    <w:p w14:paraId="64FAACAA" w14:textId="3A35B7E5" w:rsidR="00650377" w:rsidRPr="002568E6" w:rsidRDefault="00650377" w:rsidP="00650377">
      <w:pPr>
        <w:pStyle w:val="parrafos"/>
        <w:rPr>
          <w:rFonts w:eastAsia="Batang"/>
          <w:lang w:val="es-CO"/>
        </w:rPr>
      </w:pPr>
    </w:p>
    <w:p w14:paraId="7FBEEEEA" w14:textId="77777777" w:rsidR="00650377" w:rsidRPr="002568E6" w:rsidRDefault="00650377" w:rsidP="00650377">
      <w:pPr>
        <w:pStyle w:val="ListParagraph"/>
        <w:tabs>
          <w:tab w:val="left" w:pos="360"/>
          <w:tab w:val="left" w:pos="720"/>
          <w:tab w:val="left" w:pos="1440"/>
        </w:tabs>
        <w:ind w:left="0"/>
        <w:jc w:val="both"/>
        <w:rPr>
          <w:rFonts w:ascii="Cambria" w:hAnsi="Cambria" w:cs="Calibri"/>
          <w:sz w:val="20"/>
          <w:szCs w:val="20"/>
          <w:lang w:val="es-CO"/>
        </w:rPr>
      </w:pPr>
      <w:r w:rsidRPr="002568E6">
        <w:rPr>
          <w:rFonts w:ascii="Cambria" w:hAnsi="Cambria" w:cs="Calibri"/>
          <w:sz w:val="20"/>
          <w:szCs w:val="20"/>
          <w:lang w:val="es-CO"/>
        </w:rPr>
        <w:tab/>
        <w:t>En consecuencia, la Comisión solicita a la Corte Interamericana que establezca las siguientes medidas de reparación:</w:t>
      </w:r>
    </w:p>
    <w:p w14:paraId="5AE07C32" w14:textId="77777777" w:rsidR="00650377" w:rsidRPr="002568E6" w:rsidRDefault="00650377" w:rsidP="00650377">
      <w:pPr>
        <w:pStyle w:val="ListParagraph"/>
        <w:tabs>
          <w:tab w:val="left" w:pos="540"/>
          <w:tab w:val="left" w:pos="720"/>
          <w:tab w:val="left" w:pos="810"/>
        </w:tabs>
        <w:ind w:left="810" w:right="720"/>
        <w:jc w:val="both"/>
        <w:rPr>
          <w:rFonts w:ascii="Cambria" w:hAnsi="Cambria" w:cs="Calibri"/>
          <w:sz w:val="20"/>
          <w:szCs w:val="20"/>
          <w:lang w:val="es-CO"/>
        </w:rPr>
      </w:pPr>
    </w:p>
    <w:p w14:paraId="6D0F9E82" w14:textId="445E19C8" w:rsidR="000612EE" w:rsidRPr="002568E6" w:rsidRDefault="00650377" w:rsidP="000612EE">
      <w:pPr>
        <w:pStyle w:val="ListParagraph"/>
        <w:numPr>
          <w:ilvl w:val="0"/>
          <w:numId w:val="2"/>
        </w:numPr>
        <w:tabs>
          <w:tab w:val="left" w:pos="540"/>
          <w:tab w:val="left" w:pos="720"/>
          <w:tab w:val="left" w:pos="810"/>
        </w:tabs>
        <w:spacing w:after="120" w:line="240" w:lineRule="auto"/>
        <w:ind w:left="1166"/>
        <w:contextualSpacing w:val="0"/>
        <w:jc w:val="both"/>
        <w:rPr>
          <w:rFonts w:ascii="Cambria" w:hAnsi="Cambria" w:cs="Calibri"/>
          <w:sz w:val="20"/>
          <w:szCs w:val="20"/>
          <w:lang w:val="es-CO"/>
        </w:rPr>
      </w:pPr>
      <w:r w:rsidRPr="002568E6">
        <w:rPr>
          <w:rFonts w:ascii="Cambria" w:hAnsi="Cambria"/>
          <w:sz w:val="20"/>
          <w:szCs w:val="20"/>
          <w:lang w:val="es-CO"/>
        </w:rPr>
        <w:t xml:space="preserve">Reparar adecuadamente todas las violaciones a los derechos humanos reconocidas en el presente informe, incluyendo las medidas de satisfacción pertinentes y el pago por el daño en el aspecto material e inmaterial. </w:t>
      </w:r>
    </w:p>
    <w:p w14:paraId="598E2BD6" w14:textId="54D57236" w:rsidR="000612EE" w:rsidRPr="002568E6" w:rsidRDefault="00650377" w:rsidP="000612EE">
      <w:pPr>
        <w:pStyle w:val="ListParagraph"/>
        <w:numPr>
          <w:ilvl w:val="0"/>
          <w:numId w:val="2"/>
        </w:numPr>
        <w:tabs>
          <w:tab w:val="left" w:pos="540"/>
          <w:tab w:val="left" w:pos="720"/>
          <w:tab w:val="left" w:pos="810"/>
        </w:tabs>
        <w:spacing w:after="120" w:line="240" w:lineRule="auto"/>
        <w:ind w:left="1166"/>
        <w:contextualSpacing w:val="0"/>
        <w:jc w:val="both"/>
        <w:rPr>
          <w:rFonts w:ascii="Cambria" w:hAnsi="Cambria" w:cs="Calibri"/>
          <w:sz w:val="20"/>
          <w:szCs w:val="20"/>
          <w:lang w:val="es-CO"/>
        </w:rPr>
      </w:pPr>
      <w:r w:rsidRPr="002568E6">
        <w:rPr>
          <w:rFonts w:ascii="Cambria" w:hAnsi="Cambria"/>
          <w:sz w:val="20"/>
          <w:szCs w:val="20"/>
          <w:lang w:val="es-CO"/>
        </w:rPr>
        <w:t>Disponer las medidas de atención en salud física y mental necesarias para la rehabilitación de los familiares del señor Héctor René Reyes Pérez, de ser su voluntad y de manera concertada.</w:t>
      </w:r>
    </w:p>
    <w:p w14:paraId="46EF8446" w14:textId="707C99B0" w:rsidR="00650377" w:rsidRPr="002568E6" w:rsidRDefault="000612EE" w:rsidP="000612EE">
      <w:pPr>
        <w:pStyle w:val="ListParagraph"/>
        <w:numPr>
          <w:ilvl w:val="0"/>
          <w:numId w:val="2"/>
        </w:numPr>
        <w:tabs>
          <w:tab w:val="left" w:pos="540"/>
          <w:tab w:val="left" w:pos="720"/>
          <w:tab w:val="left" w:pos="810"/>
        </w:tabs>
        <w:spacing w:after="120" w:line="240" w:lineRule="auto"/>
        <w:ind w:left="1166"/>
        <w:contextualSpacing w:val="0"/>
        <w:jc w:val="both"/>
        <w:rPr>
          <w:rFonts w:ascii="Cambria" w:hAnsi="Cambria" w:cs="Calibri"/>
          <w:sz w:val="20"/>
          <w:szCs w:val="20"/>
          <w:lang w:val="es-CO"/>
        </w:rPr>
      </w:pPr>
      <w:r w:rsidRPr="002568E6">
        <w:rPr>
          <w:rFonts w:ascii="Cambria" w:hAnsi="Cambria"/>
          <w:sz w:val="20"/>
          <w:szCs w:val="20"/>
          <w:lang w:val="es-CO"/>
        </w:rPr>
        <w:t>Implementar de un plan de búsqueda adecuado, en coordinación con los familiares, y con resultados medibles en el tiempo, respecto del destino o paradero de Héctor René Reyes Pérez y, de ser el caso, adoptar las medidas necesarias para identificar y entregar a sus familiares sus restos mortales.</w:t>
      </w:r>
    </w:p>
    <w:p w14:paraId="7299ECC6" w14:textId="199721BD" w:rsidR="000612EE" w:rsidRPr="002568E6" w:rsidRDefault="000612EE" w:rsidP="000612EE">
      <w:pPr>
        <w:pStyle w:val="ListParagraph"/>
        <w:numPr>
          <w:ilvl w:val="0"/>
          <w:numId w:val="2"/>
        </w:numPr>
        <w:tabs>
          <w:tab w:val="left" w:pos="540"/>
          <w:tab w:val="left" w:pos="720"/>
          <w:tab w:val="left" w:pos="810"/>
        </w:tabs>
        <w:spacing w:after="120" w:line="240" w:lineRule="auto"/>
        <w:ind w:left="1166"/>
        <w:contextualSpacing w:val="0"/>
        <w:jc w:val="both"/>
        <w:rPr>
          <w:rFonts w:ascii="Cambria" w:hAnsi="Cambria" w:cs="Calibri"/>
          <w:sz w:val="20"/>
          <w:szCs w:val="20"/>
          <w:lang w:val="es-CO"/>
        </w:rPr>
      </w:pPr>
      <w:r w:rsidRPr="002568E6">
        <w:rPr>
          <w:rFonts w:ascii="Cambria" w:hAnsi="Cambria"/>
          <w:sz w:val="20"/>
          <w:szCs w:val="20"/>
          <w:lang w:val="es-CO"/>
        </w:rPr>
        <w:t>Generar e implementar protocolos de actuación en materia de preservación de la escena del hecho en casos de muertes violentas y de identificación de cadáveres conforme los estándares reseñados en este informe. En particular, asegurar el adecuado registro de las tareas forenses y de las inhumaciones de cadáveres sin identificar a efectos de facilitar la eventual búsqueda del paradero y determinación de la suerte de las personas desaparecidas.</w:t>
      </w:r>
    </w:p>
    <w:p w14:paraId="069A5CB3" w14:textId="0E45CC89" w:rsidR="000612EE" w:rsidRPr="002568E6" w:rsidRDefault="000612EE" w:rsidP="000612EE">
      <w:pPr>
        <w:pStyle w:val="ListParagraph"/>
        <w:numPr>
          <w:ilvl w:val="0"/>
          <w:numId w:val="2"/>
        </w:numPr>
        <w:tabs>
          <w:tab w:val="left" w:pos="540"/>
          <w:tab w:val="left" w:pos="720"/>
          <w:tab w:val="left" w:pos="810"/>
        </w:tabs>
        <w:spacing w:after="120" w:line="240" w:lineRule="auto"/>
        <w:ind w:left="1166"/>
        <w:contextualSpacing w:val="0"/>
        <w:jc w:val="both"/>
        <w:rPr>
          <w:rFonts w:ascii="Cambria" w:hAnsi="Cambria" w:cs="Calibri"/>
          <w:sz w:val="20"/>
          <w:szCs w:val="20"/>
          <w:lang w:val="es-CO"/>
        </w:rPr>
      </w:pPr>
      <w:r w:rsidRPr="002568E6">
        <w:rPr>
          <w:rFonts w:ascii="Cambria" w:hAnsi="Cambria"/>
          <w:sz w:val="20"/>
          <w:szCs w:val="20"/>
          <w:lang w:val="es-CO"/>
        </w:rPr>
        <w:t>Fortalecer las capacidades de investigación del Ministerio Público, mediante la provisión de los recursos humanos y técnicos adecuados, para poder llevar adelante investigaciones por desapariciones de personas de manera diligente y eficiente y garantizar que dicho órgano cuente con toda la colaboración que sea necesaria por parte del resto de las autoridades públicas del país.</w:t>
      </w:r>
    </w:p>
    <w:p w14:paraId="4C5931BF" w14:textId="77777777" w:rsidR="00650377" w:rsidRPr="002568E6" w:rsidRDefault="00650377" w:rsidP="00DE04F6">
      <w:pPr>
        <w:spacing w:after="0" w:line="240" w:lineRule="auto"/>
        <w:jc w:val="both"/>
        <w:rPr>
          <w:rFonts w:ascii="Cambria" w:eastAsia="Times New Roman" w:hAnsi="Cambria" w:cs="Calibri"/>
          <w:sz w:val="20"/>
          <w:szCs w:val="20"/>
          <w:lang w:val="es-CO"/>
        </w:rPr>
      </w:pPr>
    </w:p>
    <w:p w14:paraId="70F59D17" w14:textId="6636344F" w:rsidR="00650377" w:rsidRPr="002568E6" w:rsidRDefault="00650377" w:rsidP="00885D46">
      <w:pPr>
        <w:tabs>
          <w:tab w:val="left" w:pos="360"/>
        </w:tabs>
        <w:spacing w:after="0" w:line="240" w:lineRule="auto"/>
        <w:jc w:val="both"/>
        <w:rPr>
          <w:rFonts w:ascii="Cambria" w:eastAsia="Times New Roman" w:hAnsi="Cambria" w:cs="Calibri"/>
          <w:sz w:val="20"/>
          <w:szCs w:val="20"/>
          <w:lang w:val="es-CO"/>
        </w:rPr>
      </w:pPr>
      <w:r w:rsidRPr="002568E6">
        <w:rPr>
          <w:rFonts w:ascii="Cambria" w:eastAsia="Times New Roman" w:hAnsi="Cambria" w:cs="Calibri"/>
          <w:sz w:val="20"/>
          <w:szCs w:val="20"/>
          <w:lang w:val="es-CO"/>
        </w:rPr>
        <w:tab/>
        <w:t xml:space="preserve">Además de la necesidad de obtención de justicia y reparación por la falta de cumplimiento de las recomendaciones del Informe de Fondo, la Comisión considera que el caso presenta cuestiones de orden público interamericano. El caso permitirá a la Honorable Corte </w:t>
      </w:r>
      <w:r w:rsidR="00A663C5" w:rsidRPr="002568E6">
        <w:rPr>
          <w:rFonts w:ascii="Cambria" w:eastAsia="Times New Roman" w:hAnsi="Cambria" w:cs="Calibri"/>
          <w:sz w:val="20"/>
          <w:szCs w:val="20"/>
          <w:lang w:val="es-CO"/>
        </w:rPr>
        <w:t>profundizar su jurisprudencia respecto a la obligaci</w:t>
      </w:r>
      <w:r w:rsidR="00E20DFA" w:rsidRPr="002568E6">
        <w:rPr>
          <w:rFonts w:ascii="Cambria" w:eastAsia="Times New Roman" w:hAnsi="Cambria" w:cs="Calibri"/>
          <w:sz w:val="20"/>
          <w:szCs w:val="20"/>
          <w:lang w:val="es-CO"/>
        </w:rPr>
        <w:t>ón est</w:t>
      </w:r>
      <w:r w:rsidR="00A663C5" w:rsidRPr="002568E6">
        <w:rPr>
          <w:rFonts w:ascii="Cambria" w:eastAsia="Times New Roman" w:hAnsi="Cambria" w:cs="Calibri"/>
          <w:sz w:val="20"/>
          <w:szCs w:val="20"/>
          <w:lang w:val="es-CO"/>
        </w:rPr>
        <w:t>a</w:t>
      </w:r>
      <w:r w:rsidR="00E20DFA" w:rsidRPr="002568E6">
        <w:rPr>
          <w:rFonts w:ascii="Cambria" w:eastAsia="Times New Roman" w:hAnsi="Cambria" w:cs="Calibri"/>
          <w:sz w:val="20"/>
          <w:szCs w:val="20"/>
          <w:lang w:val="es-CO"/>
        </w:rPr>
        <w:t>tal</w:t>
      </w:r>
      <w:r w:rsidR="00A663C5" w:rsidRPr="002568E6">
        <w:rPr>
          <w:rFonts w:ascii="Cambria" w:eastAsia="Times New Roman" w:hAnsi="Cambria" w:cs="Calibri"/>
          <w:sz w:val="20"/>
          <w:szCs w:val="20"/>
          <w:lang w:val="es-CO"/>
        </w:rPr>
        <w:t xml:space="preserve"> de investigar casos de desapariciones y su vínculo con la protección a la vida e integridad de la persona que se denuncia desaparecida.  En particular, la Corte podr</w:t>
      </w:r>
      <w:r w:rsidR="00A06FC1" w:rsidRPr="002568E6">
        <w:rPr>
          <w:rFonts w:ascii="Cambria" w:eastAsia="Times New Roman" w:hAnsi="Cambria" w:cs="Calibri"/>
          <w:sz w:val="20"/>
          <w:szCs w:val="20"/>
          <w:lang w:val="es-CO"/>
        </w:rPr>
        <w:t>á</w:t>
      </w:r>
      <w:r w:rsidR="00A663C5" w:rsidRPr="002568E6">
        <w:rPr>
          <w:rFonts w:ascii="Cambria" w:eastAsia="Times New Roman" w:hAnsi="Cambria" w:cs="Calibri"/>
          <w:sz w:val="20"/>
          <w:szCs w:val="20"/>
          <w:lang w:val="es-CO"/>
        </w:rPr>
        <w:t xml:space="preserve"> consolidar su jurisprudencia sobre el estándar de debida diligencia en </w:t>
      </w:r>
      <w:r w:rsidR="002F5D0E" w:rsidRPr="002568E6">
        <w:rPr>
          <w:rFonts w:ascii="Cambria" w:eastAsia="Times New Roman" w:hAnsi="Cambria" w:cs="Calibri"/>
          <w:sz w:val="20"/>
          <w:szCs w:val="20"/>
          <w:lang w:val="es-CO"/>
        </w:rPr>
        <w:t xml:space="preserve">la creación e implementación de una estrategia integral de búsqueda </w:t>
      </w:r>
      <w:r w:rsidR="00A663C5" w:rsidRPr="002568E6">
        <w:rPr>
          <w:rFonts w:ascii="Cambria" w:eastAsia="Times New Roman" w:hAnsi="Cambria" w:cs="Calibri"/>
          <w:sz w:val="20"/>
          <w:szCs w:val="20"/>
          <w:lang w:val="es-CO"/>
        </w:rPr>
        <w:t>y</w:t>
      </w:r>
      <w:r w:rsidR="00E60657" w:rsidRPr="002568E6">
        <w:rPr>
          <w:rFonts w:ascii="Cambria" w:eastAsia="Times New Roman" w:hAnsi="Cambria" w:cs="Calibri"/>
          <w:sz w:val="20"/>
          <w:szCs w:val="20"/>
          <w:lang w:val="es-CO"/>
        </w:rPr>
        <w:t xml:space="preserve"> sobre</w:t>
      </w:r>
      <w:r w:rsidR="00A663C5" w:rsidRPr="002568E6">
        <w:rPr>
          <w:rFonts w:ascii="Cambria" w:eastAsia="Times New Roman" w:hAnsi="Cambria" w:cs="Calibri"/>
          <w:sz w:val="20"/>
          <w:szCs w:val="20"/>
          <w:lang w:val="es-CO"/>
        </w:rPr>
        <w:t xml:space="preserve"> la responsabilidad</w:t>
      </w:r>
      <w:r w:rsidR="00C61249" w:rsidRPr="002568E6">
        <w:rPr>
          <w:rFonts w:ascii="Cambria" w:eastAsia="Times New Roman" w:hAnsi="Cambria" w:cs="Calibri"/>
          <w:sz w:val="20"/>
          <w:szCs w:val="20"/>
          <w:lang w:val="es-CO"/>
        </w:rPr>
        <w:t xml:space="preserve"> estatal</w:t>
      </w:r>
      <w:r w:rsidR="00A663C5" w:rsidRPr="002568E6">
        <w:rPr>
          <w:rFonts w:ascii="Cambria" w:eastAsia="Times New Roman" w:hAnsi="Cambria" w:cs="Calibri"/>
          <w:sz w:val="20"/>
          <w:szCs w:val="20"/>
          <w:lang w:val="es-CO"/>
        </w:rPr>
        <w:t xml:space="preserve"> en la</w:t>
      </w:r>
      <w:r w:rsidR="00C61249" w:rsidRPr="002568E6">
        <w:rPr>
          <w:rFonts w:ascii="Cambria" w:eastAsia="Times New Roman" w:hAnsi="Cambria" w:cs="Calibri"/>
          <w:sz w:val="20"/>
          <w:szCs w:val="20"/>
          <w:lang w:val="es-CO"/>
        </w:rPr>
        <w:t xml:space="preserve"> </w:t>
      </w:r>
      <w:r w:rsidR="009854A8" w:rsidRPr="002568E6">
        <w:rPr>
          <w:rFonts w:ascii="Cambria" w:eastAsia="Times New Roman" w:hAnsi="Cambria" w:cs="Calibri"/>
          <w:sz w:val="20"/>
          <w:szCs w:val="20"/>
          <w:lang w:val="es-CO"/>
        </w:rPr>
        <w:t xml:space="preserve">obtención </w:t>
      </w:r>
      <w:r w:rsidR="00A663C5" w:rsidRPr="002568E6">
        <w:rPr>
          <w:rFonts w:ascii="Cambria" w:eastAsia="Times New Roman" w:hAnsi="Cambria" w:cs="Calibri"/>
          <w:sz w:val="20"/>
          <w:szCs w:val="20"/>
          <w:lang w:val="es-CO"/>
        </w:rPr>
        <w:t>y valoración de la prueba</w:t>
      </w:r>
      <w:r w:rsidR="00506F8C" w:rsidRPr="002568E6">
        <w:rPr>
          <w:rFonts w:ascii="Cambria" w:eastAsia="Times New Roman" w:hAnsi="Cambria" w:cs="Calibri"/>
          <w:sz w:val="20"/>
          <w:szCs w:val="20"/>
          <w:lang w:val="es-CO"/>
        </w:rPr>
        <w:t xml:space="preserve"> en estos casos</w:t>
      </w:r>
      <w:r w:rsidR="00A663C5" w:rsidRPr="002568E6">
        <w:rPr>
          <w:rFonts w:ascii="Cambria" w:eastAsia="Times New Roman" w:hAnsi="Cambria" w:cs="Calibri"/>
          <w:sz w:val="20"/>
          <w:szCs w:val="20"/>
          <w:lang w:val="es-CO"/>
        </w:rPr>
        <w:t xml:space="preserve">. </w:t>
      </w:r>
      <w:r w:rsidR="00885D46" w:rsidRPr="002568E6">
        <w:rPr>
          <w:rFonts w:ascii="Cambria" w:eastAsia="Times New Roman" w:hAnsi="Cambria" w:cs="Calibri"/>
          <w:sz w:val="20"/>
          <w:szCs w:val="20"/>
          <w:lang w:val="es-CO"/>
        </w:rPr>
        <w:t>Asimismo, e</w:t>
      </w:r>
      <w:r w:rsidR="00A663C5" w:rsidRPr="002568E6">
        <w:rPr>
          <w:rFonts w:ascii="Cambria" w:eastAsia="Times New Roman" w:hAnsi="Cambria" w:cs="Calibri"/>
          <w:sz w:val="20"/>
          <w:szCs w:val="20"/>
          <w:lang w:val="es-CO"/>
        </w:rPr>
        <w:t>l caso permitir</w:t>
      </w:r>
      <w:r w:rsidR="00626EAF" w:rsidRPr="002568E6">
        <w:rPr>
          <w:rFonts w:ascii="Cambria" w:eastAsia="Times New Roman" w:hAnsi="Cambria" w:cs="Calibri"/>
          <w:sz w:val="20"/>
          <w:szCs w:val="20"/>
          <w:lang w:val="es-CO"/>
        </w:rPr>
        <w:t>á</w:t>
      </w:r>
      <w:r w:rsidR="00A663C5" w:rsidRPr="002568E6">
        <w:rPr>
          <w:rFonts w:ascii="Cambria" w:eastAsia="Times New Roman" w:hAnsi="Cambria" w:cs="Calibri"/>
          <w:sz w:val="20"/>
          <w:szCs w:val="20"/>
          <w:lang w:val="es-CO"/>
        </w:rPr>
        <w:t xml:space="preserve"> </w:t>
      </w:r>
      <w:r w:rsidR="0058766D" w:rsidRPr="002568E6">
        <w:rPr>
          <w:rFonts w:ascii="Cambria" w:eastAsia="Times New Roman" w:hAnsi="Cambria" w:cs="Calibri"/>
          <w:sz w:val="20"/>
          <w:szCs w:val="20"/>
          <w:lang w:val="es-CO"/>
        </w:rPr>
        <w:t xml:space="preserve">a la Corte pronunciarse sobre los estándares </w:t>
      </w:r>
      <w:r w:rsidR="00192588" w:rsidRPr="002568E6">
        <w:rPr>
          <w:rFonts w:ascii="Cambria" w:eastAsia="Times New Roman" w:hAnsi="Cambria" w:cs="Calibri"/>
          <w:sz w:val="20"/>
          <w:szCs w:val="20"/>
          <w:lang w:val="es-CO"/>
        </w:rPr>
        <w:t xml:space="preserve">aplicables </w:t>
      </w:r>
      <w:r w:rsidR="0058766D" w:rsidRPr="002568E6">
        <w:rPr>
          <w:rFonts w:ascii="Cambria" w:hAnsi="Cambria"/>
          <w:sz w:val="20"/>
          <w:szCs w:val="20"/>
          <w:lang w:val="es-CO"/>
        </w:rPr>
        <w:t>en materia de preservación de la escena del hecho en casos de muertes violentas y de identificación de cadávere</w:t>
      </w:r>
      <w:r w:rsidR="00FB40B9" w:rsidRPr="002568E6">
        <w:rPr>
          <w:rFonts w:ascii="Cambria" w:hAnsi="Cambria"/>
          <w:sz w:val="20"/>
          <w:szCs w:val="20"/>
          <w:lang w:val="es-CO"/>
        </w:rPr>
        <w:t>s</w:t>
      </w:r>
      <w:r w:rsidR="0058766D" w:rsidRPr="002568E6">
        <w:rPr>
          <w:rFonts w:ascii="Cambria" w:hAnsi="Cambria"/>
          <w:sz w:val="20"/>
          <w:szCs w:val="20"/>
          <w:lang w:val="es-CO"/>
        </w:rPr>
        <w:t>. E</w:t>
      </w:r>
      <w:r w:rsidR="000C56B8" w:rsidRPr="002568E6">
        <w:rPr>
          <w:rFonts w:ascii="Cambria" w:hAnsi="Cambria"/>
          <w:sz w:val="20"/>
          <w:szCs w:val="20"/>
          <w:lang w:val="es-CO"/>
        </w:rPr>
        <w:t>n este sentido, la Corte podrá referirse a</w:t>
      </w:r>
      <w:r w:rsidR="00192588" w:rsidRPr="002568E6">
        <w:rPr>
          <w:rFonts w:ascii="Cambria" w:hAnsi="Cambria"/>
          <w:sz w:val="20"/>
          <w:szCs w:val="20"/>
          <w:lang w:val="es-CO"/>
        </w:rPr>
        <w:t xml:space="preserve"> la obligación que tienen los Estados de </w:t>
      </w:r>
      <w:r w:rsidR="0058766D" w:rsidRPr="002568E6">
        <w:rPr>
          <w:rFonts w:ascii="Cambria" w:hAnsi="Cambria"/>
          <w:sz w:val="20"/>
          <w:szCs w:val="20"/>
          <w:lang w:val="es-CO"/>
        </w:rPr>
        <w:t>asegurar el adecuado registro de las tareas forenses y de las inhumaciones de cadáveres sin identificar a efectos de facilitar la eventual búsqueda del paradero y determinación de la suerte de las personas desaparecidas</w:t>
      </w:r>
      <w:r w:rsidR="00A663C5" w:rsidRPr="002568E6">
        <w:rPr>
          <w:rFonts w:ascii="Cambria" w:eastAsia="Times New Roman" w:hAnsi="Cambria" w:cs="Calibri"/>
          <w:sz w:val="20"/>
          <w:szCs w:val="20"/>
          <w:lang w:val="es-CO"/>
        </w:rPr>
        <w:t>.</w:t>
      </w:r>
    </w:p>
    <w:p w14:paraId="4C56EB48" w14:textId="6BB6419E" w:rsidR="00885D46" w:rsidRDefault="00885D46" w:rsidP="00885D46">
      <w:pPr>
        <w:tabs>
          <w:tab w:val="left" w:pos="360"/>
        </w:tabs>
        <w:spacing w:after="0" w:line="240" w:lineRule="auto"/>
        <w:jc w:val="both"/>
        <w:rPr>
          <w:rFonts w:ascii="Cambria" w:hAnsi="Cambria"/>
          <w:sz w:val="20"/>
          <w:szCs w:val="20"/>
          <w:lang w:val="es-CO"/>
        </w:rPr>
      </w:pPr>
    </w:p>
    <w:p w14:paraId="2F69B455" w14:textId="77777777" w:rsidR="00813E71" w:rsidRDefault="00813E71" w:rsidP="00885D46">
      <w:pPr>
        <w:tabs>
          <w:tab w:val="left" w:pos="360"/>
        </w:tabs>
        <w:spacing w:after="0" w:line="240" w:lineRule="auto"/>
        <w:jc w:val="both"/>
        <w:rPr>
          <w:rFonts w:ascii="Cambria" w:hAnsi="Cambria"/>
          <w:sz w:val="20"/>
          <w:szCs w:val="20"/>
          <w:lang w:val="es-CO"/>
        </w:rPr>
      </w:pPr>
    </w:p>
    <w:p w14:paraId="4B1101C4" w14:textId="77777777" w:rsidR="00813E71" w:rsidRPr="002568E6" w:rsidRDefault="00813E71" w:rsidP="00885D46">
      <w:pPr>
        <w:tabs>
          <w:tab w:val="left" w:pos="360"/>
        </w:tabs>
        <w:spacing w:after="0" w:line="240" w:lineRule="auto"/>
        <w:jc w:val="both"/>
        <w:rPr>
          <w:rFonts w:ascii="Cambria" w:hAnsi="Cambria"/>
          <w:sz w:val="20"/>
          <w:szCs w:val="20"/>
          <w:lang w:val="es-CO"/>
        </w:rPr>
      </w:pPr>
    </w:p>
    <w:p w14:paraId="19987D6F" w14:textId="77777777" w:rsidR="00650377" w:rsidRPr="002568E6" w:rsidRDefault="00650377" w:rsidP="00650377">
      <w:pPr>
        <w:tabs>
          <w:tab w:val="left" w:pos="360"/>
        </w:tabs>
        <w:spacing w:after="0" w:line="240" w:lineRule="auto"/>
        <w:jc w:val="both"/>
        <w:rPr>
          <w:rFonts w:ascii="Cambria" w:hAnsi="Cambria" w:cstheme="minorHAnsi"/>
          <w:sz w:val="20"/>
          <w:szCs w:val="20"/>
          <w:lang w:val="es-CO"/>
        </w:rPr>
      </w:pPr>
      <w:r w:rsidRPr="002568E6">
        <w:rPr>
          <w:rFonts w:ascii="Cambria" w:hAnsi="Cambria" w:cstheme="minorHAnsi"/>
          <w:sz w:val="20"/>
          <w:szCs w:val="20"/>
          <w:lang w:val="es-CO"/>
        </w:rPr>
        <w:tab/>
        <w:t>La Comisión pone en conocimiento de la Honorable Corte la siguiente información de quienes actuaron como parte peticionaria en el trámite ante la CIDH conforme a la información más reciente:</w:t>
      </w:r>
    </w:p>
    <w:p w14:paraId="0A10CB64" w14:textId="77777777" w:rsidR="00650377" w:rsidRDefault="00650377" w:rsidP="00E82F7C">
      <w:pPr>
        <w:spacing w:after="0" w:line="240" w:lineRule="auto"/>
        <w:jc w:val="center"/>
        <w:rPr>
          <w:rFonts w:ascii="Cambria" w:hAnsi="Cambria"/>
          <w:sz w:val="20"/>
          <w:szCs w:val="20"/>
          <w:lang w:val="es-CO"/>
        </w:rPr>
      </w:pPr>
    </w:p>
    <w:p w14:paraId="356C98F5" w14:textId="695A16CB" w:rsidR="00E82F7C" w:rsidRPr="00E82F7C" w:rsidRDefault="00E82F7C" w:rsidP="00E82F7C">
      <w:pPr>
        <w:spacing w:after="0" w:line="240" w:lineRule="auto"/>
        <w:jc w:val="center"/>
        <w:rPr>
          <w:rFonts w:ascii="Cambria" w:eastAsiaTheme="minorHAnsi" w:hAnsi="Cambria" w:cstheme="minorHAnsi"/>
          <w:sz w:val="20"/>
          <w:szCs w:val="20"/>
          <w:lang w:val="es-US"/>
        </w:rPr>
      </w:pPr>
      <w:r w:rsidRPr="00E82F7C">
        <w:rPr>
          <w:rFonts w:ascii="Cambria" w:hAnsi="Cambria" w:cstheme="minorHAnsi"/>
          <w:sz w:val="20"/>
          <w:szCs w:val="20"/>
          <w:lang w:val="es-US"/>
        </w:rPr>
        <w:t>Procuraduría de los DD HH de Guatemala</w:t>
      </w:r>
    </w:p>
    <w:p w14:paraId="2234B284" w14:textId="3DE4CE60" w:rsidR="00E82F7C" w:rsidRPr="00E82F7C" w:rsidRDefault="00E82F7C" w:rsidP="00E82F7C">
      <w:pPr>
        <w:spacing w:after="0" w:line="240" w:lineRule="auto"/>
        <w:jc w:val="center"/>
        <w:rPr>
          <w:rFonts w:ascii="Cambria" w:hAnsi="Cambria" w:cstheme="minorHAnsi"/>
          <w:kern w:val="2"/>
          <w:sz w:val="20"/>
          <w:szCs w:val="20"/>
          <w:lang w:val="es-US"/>
          <w14:ligatures w14:val="standardContextual"/>
        </w:rPr>
      </w:pPr>
      <w:r w:rsidRPr="00E82F7C">
        <w:rPr>
          <w:rFonts w:ascii="Cambria" w:hAnsi="Cambria" w:cstheme="minorHAnsi"/>
          <w:sz w:val="20"/>
          <w:szCs w:val="20"/>
          <w:lang w:val="es-US"/>
        </w:rPr>
        <w:t>Sección de Mecanismos Internacionales de Protección</w:t>
      </w:r>
    </w:p>
    <w:p w14:paraId="5AB13EAE" w14:textId="0001B3A8" w:rsidR="00E82F7C" w:rsidRPr="00EF5170" w:rsidRDefault="00EF5170" w:rsidP="00E82F7C">
      <w:pPr>
        <w:spacing w:after="0" w:line="240" w:lineRule="auto"/>
        <w:jc w:val="center"/>
        <w:rPr>
          <w:rFonts w:ascii="Cambria" w:hAnsi="Cambria" w:cstheme="minorBidi"/>
          <w:sz w:val="20"/>
          <w:szCs w:val="20"/>
          <w:highlight w:val="black"/>
          <w:lang w:val="es-US"/>
        </w:rPr>
      </w:pPr>
      <w:r w:rsidRPr="00EF5170">
        <w:rPr>
          <w:rFonts w:ascii="Cambria" w:hAnsi="Cambria" w:cstheme="minorBidi"/>
          <w:sz w:val="20"/>
          <w:szCs w:val="20"/>
          <w:highlight w:val="black"/>
          <w:lang w:val="es-US"/>
        </w:rPr>
        <w:t>XXXXXXXXXXXXXXXXXXXX</w:t>
      </w:r>
    </w:p>
    <w:p w14:paraId="5CBE730C" w14:textId="77777777" w:rsidR="00E82F7C" w:rsidRPr="00E82F7C" w:rsidRDefault="00E82F7C" w:rsidP="00E82F7C">
      <w:pPr>
        <w:spacing w:after="0" w:line="240" w:lineRule="auto"/>
        <w:jc w:val="center"/>
        <w:rPr>
          <w:rFonts w:ascii="Cambria" w:hAnsi="Cambria"/>
          <w:sz w:val="20"/>
          <w:szCs w:val="20"/>
          <w:lang w:val="es-US"/>
        </w:rPr>
      </w:pPr>
    </w:p>
    <w:p w14:paraId="11508B66" w14:textId="77777777" w:rsidR="00E82F7C" w:rsidRPr="00E82F7C" w:rsidRDefault="00E82F7C" w:rsidP="00E82F7C">
      <w:pPr>
        <w:spacing w:after="0" w:line="240" w:lineRule="auto"/>
        <w:jc w:val="center"/>
        <w:rPr>
          <w:rFonts w:ascii="Cambria" w:hAnsi="Cambria"/>
          <w:sz w:val="20"/>
          <w:szCs w:val="20"/>
          <w:lang w:val="es-US"/>
        </w:rPr>
      </w:pPr>
      <w:r w:rsidRPr="00E82F7C">
        <w:rPr>
          <w:rFonts w:ascii="Cambria" w:hAnsi="Cambria" w:cstheme="minorHAnsi"/>
          <w:sz w:val="20"/>
          <w:szCs w:val="20"/>
          <w:lang w:val="es-US"/>
        </w:rPr>
        <w:t>Dr. Milton Alfredo Herrera</w:t>
      </w:r>
    </w:p>
    <w:p w14:paraId="5A007B14" w14:textId="77777777" w:rsidR="00E82F7C" w:rsidRPr="00E82F7C" w:rsidRDefault="00E82F7C" w:rsidP="00E82F7C">
      <w:pPr>
        <w:spacing w:after="0" w:line="240" w:lineRule="auto"/>
        <w:jc w:val="center"/>
        <w:rPr>
          <w:rFonts w:ascii="Cambria" w:hAnsi="Cambria" w:cstheme="minorHAnsi"/>
          <w:sz w:val="20"/>
          <w:szCs w:val="20"/>
          <w:lang w:val="es-US"/>
        </w:rPr>
      </w:pPr>
      <w:r w:rsidRPr="00E82F7C">
        <w:rPr>
          <w:rFonts w:ascii="Cambria" w:hAnsi="Cambria" w:cstheme="minorHAnsi"/>
          <w:sz w:val="20"/>
          <w:szCs w:val="20"/>
          <w:lang w:val="es-US"/>
        </w:rPr>
        <w:t>Director de Procuración</w:t>
      </w:r>
    </w:p>
    <w:p w14:paraId="5F7EA2DA" w14:textId="6631FCD0" w:rsidR="00E82F7C" w:rsidRPr="00EF5170" w:rsidRDefault="00EF5170" w:rsidP="00E82F7C">
      <w:pPr>
        <w:spacing w:after="0" w:line="240" w:lineRule="auto"/>
        <w:jc w:val="center"/>
        <w:rPr>
          <w:rFonts w:ascii="Cambria" w:hAnsi="Cambria" w:cstheme="minorBidi"/>
          <w:sz w:val="20"/>
          <w:szCs w:val="20"/>
          <w:highlight w:val="black"/>
          <w:lang w:val="es-US"/>
        </w:rPr>
      </w:pPr>
      <w:r w:rsidRPr="00EF5170">
        <w:rPr>
          <w:rFonts w:ascii="Cambria" w:hAnsi="Cambria" w:cstheme="minorBidi"/>
          <w:sz w:val="20"/>
          <w:szCs w:val="20"/>
          <w:highlight w:val="black"/>
          <w:lang w:val="es-US"/>
        </w:rPr>
        <w:t>XXXXXXXXXXXXXXXXXXXX</w:t>
      </w:r>
    </w:p>
    <w:p w14:paraId="183A7750" w14:textId="77777777" w:rsidR="00E82F7C" w:rsidRPr="00E82F7C" w:rsidRDefault="00E82F7C" w:rsidP="00E82F7C">
      <w:pPr>
        <w:spacing w:after="0" w:line="240" w:lineRule="auto"/>
        <w:jc w:val="center"/>
        <w:rPr>
          <w:rFonts w:ascii="Cambria" w:hAnsi="Cambria"/>
          <w:sz w:val="20"/>
          <w:szCs w:val="20"/>
          <w:lang w:val="es-US"/>
        </w:rPr>
      </w:pPr>
    </w:p>
    <w:p w14:paraId="1600040B" w14:textId="77777777" w:rsidR="00E82F7C" w:rsidRPr="00E82F7C" w:rsidRDefault="00E82F7C" w:rsidP="00E82F7C">
      <w:pPr>
        <w:spacing w:after="0" w:line="240" w:lineRule="auto"/>
        <w:jc w:val="center"/>
        <w:rPr>
          <w:rFonts w:ascii="Cambria" w:hAnsi="Cambria" w:cstheme="minorHAnsi"/>
          <w:sz w:val="20"/>
          <w:szCs w:val="20"/>
          <w:lang w:val="es-US"/>
        </w:rPr>
      </w:pPr>
      <w:r w:rsidRPr="00E82F7C">
        <w:rPr>
          <w:rFonts w:ascii="Cambria" w:hAnsi="Cambria" w:cstheme="minorHAnsi"/>
          <w:sz w:val="20"/>
          <w:szCs w:val="20"/>
          <w:lang w:val="es-US"/>
        </w:rPr>
        <w:t>María Eugenia Rivera Lacayo de Erazo</w:t>
      </w:r>
    </w:p>
    <w:p w14:paraId="19A7D485" w14:textId="77777777" w:rsidR="00E82F7C" w:rsidRPr="00E82F7C" w:rsidRDefault="00E82F7C" w:rsidP="00E82F7C">
      <w:pPr>
        <w:spacing w:after="0" w:line="240" w:lineRule="auto"/>
        <w:jc w:val="center"/>
        <w:rPr>
          <w:rFonts w:ascii="Cambria" w:hAnsi="Cambria" w:cstheme="minorHAnsi"/>
          <w:kern w:val="2"/>
          <w:sz w:val="20"/>
          <w:szCs w:val="20"/>
          <w:lang w:val="pt-BR"/>
          <w14:ligatures w14:val="standardContextual"/>
        </w:rPr>
      </w:pPr>
      <w:r w:rsidRPr="00E82F7C">
        <w:rPr>
          <w:rFonts w:ascii="Cambria" w:hAnsi="Cambria" w:cstheme="minorHAnsi"/>
          <w:sz w:val="20"/>
          <w:szCs w:val="20"/>
          <w:lang w:val="pt-BR"/>
        </w:rPr>
        <w:t>Procuradora Adjunta I</w:t>
      </w:r>
    </w:p>
    <w:p w14:paraId="5690A079" w14:textId="2D9E3183" w:rsidR="00E82F7C" w:rsidRPr="00EF5170" w:rsidRDefault="00EF5170" w:rsidP="00E82F7C">
      <w:pPr>
        <w:spacing w:after="0" w:line="240" w:lineRule="auto"/>
        <w:jc w:val="center"/>
        <w:rPr>
          <w:rFonts w:ascii="Cambria" w:hAnsi="Cambria" w:cstheme="minorHAnsi"/>
          <w:sz w:val="20"/>
          <w:szCs w:val="20"/>
          <w:highlight w:val="black"/>
          <w:lang w:val="pt-BR"/>
        </w:rPr>
      </w:pPr>
      <w:r w:rsidRPr="00EF5170">
        <w:rPr>
          <w:rFonts w:ascii="Cambria" w:hAnsi="Cambria" w:cstheme="minorHAnsi"/>
          <w:sz w:val="20"/>
          <w:szCs w:val="20"/>
          <w:highlight w:val="black"/>
          <w:lang w:val="pt-BR"/>
        </w:rPr>
        <w:t>XXXXXXXXXXXXXXXXXXXXX</w:t>
      </w:r>
    </w:p>
    <w:p w14:paraId="049B5438" w14:textId="77777777" w:rsidR="00650377" w:rsidRPr="00E82F7C" w:rsidRDefault="00650377" w:rsidP="00650377">
      <w:pPr>
        <w:spacing w:after="0" w:line="240" w:lineRule="auto"/>
        <w:jc w:val="center"/>
        <w:rPr>
          <w:rFonts w:ascii="Cambria" w:hAnsi="Cambria"/>
          <w:sz w:val="20"/>
          <w:szCs w:val="20"/>
          <w:lang w:val="pt-BR"/>
        </w:rPr>
      </w:pPr>
    </w:p>
    <w:p w14:paraId="036266A5" w14:textId="3BBE24E7" w:rsidR="00650377" w:rsidRPr="002568E6" w:rsidRDefault="00650377" w:rsidP="00DE04F6">
      <w:pPr>
        <w:spacing w:after="0" w:line="240" w:lineRule="auto"/>
        <w:ind w:firstLine="360"/>
        <w:jc w:val="both"/>
        <w:rPr>
          <w:rFonts w:ascii="Cambria" w:hAnsi="Cambria" w:cstheme="minorHAnsi"/>
          <w:color w:val="000000"/>
          <w:sz w:val="20"/>
          <w:szCs w:val="20"/>
          <w:lang w:val="es-CO"/>
        </w:rPr>
      </w:pPr>
      <w:r w:rsidRPr="002568E6">
        <w:rPr>
          <w:rFonts w:ascii="Cambria" w:hAnsi="Cambria" w:cstheme="minorHAnsi"/>
          <w:color w:val="000000"/>
          <w:sz w:val="20"/>
          <w:szCs w:val="20"/>
          <w:lang w:val="es-CO"/>
        </w:rPr>
        <w:t>Aprovecho la oportunidad para saludar a usted muy atentamente,</w:t>
      </w:r>
      <w:bookmarkStart w:id="3" w:name="_Hlk128731904"/>
      <w:bookmarkStart w:id="4" w:name="_Hlk129855594"/>
      <w:bookmarkStart w:id="5" w:name="_Hlk129970904"/>
      <w:bookmarkStart w:id="6" w:name="_Hlk122115986"/>
      <w:bookmarkStart w:id="7" w:name="_Hlk118969572"/>
      <w:bookmarkStart w:id="8" w:name="_Hlk120781836"/>
      <w:bookmarkStart w:id="9" w:name="_Hlk119577459"/>
      <w:bookmarkStart w:id="10" w:name="_Hlk130997932"/>
      <w:bookmarkStart w:id="11" w:name="_Hlk131167805"/>
    </w:p>
    <w:p w14:paraId="777AABFD" w14:textId="77777777" w:rsidR="00813E71" w:rsidRPr="0097788D" w:rsidRDefault="00813E71" w:rsidP="00813E71">
      <w:pPr>
        <w:tabs>
          <w:tab w:val="left" w:pos="-720"/>
        </w:tabs>
        <w:suppressAutoHyphens/>
        <w:spacing w:after="0" w:line="240" w:lineRule="auto"/>
        <w:jc w:val="both"/>
        <w:rPr>
          <w:sz w:val="24"/>
          <w:szCs w:val="24"/>
          <w:lang w:val="es-MX"/>
        </w:rPr>
      </w:pPr>
    </w:p>
    <w:p w14:paraId="382500B9" w14:textId="77777777" w:rsidR="00813E71" w:rsidRPr="0097788D" w:rsidRDefault="00813E71" w:rsidP="00813E71">
      <w:pPr>
        <w:tabs>
          <w:tab w:val="left" w:pos="-720"/>
          <w:tab w:val="left" w:pos="1380"/>
        </w:tabs>
        <w:suppressAutoHyphens/>
        <w:spacing w:after="0" w:line="240" w:lineRule="auto"/>
        <w:jc w:val="both"/>
        <w:rPr>
          <w:sz w:val="24"/>
          <w:szCs w:val="24"/>
          <w:lang w:val="es-MX"/>
        </w:rPr>
      </w:pPr>
    </w:p>
    <w:p w14:paraId="7E997DC3" w14:textId="6CBE9985" w:rsidR="00813E71" w:rsidRPr="00264291" w:rsidRDefault="00813E71" w:rsidP="00813E71">
      <w:pPr>
        <w:tabs>
          <w:tab w:val="left" w:pos="3926"/>
        </w:tabs>
        <w:spacing w:after="0" w:line="240" w:lineRule="auto"/>
        <w:rPr>
          <w:sz w:val="24"/>
          <w:szCs w:val="24"/>
          <w:lang w:val="es-MX"/>
        </w:rPr>
      </w:pPr>
      <w:bookmarkStart w:id="12" w:name="_Hlk129896549"/>
    </w:p>
    <w:p w14:paraId="617AA9C2" w14:textId="77777777" w:rsidR="00813E71" w:rsidRPr="00EA4018" w:rsidRDefault="00813E71" w:rsidP="00813E71">
      <w:pPr>
        <w:spacing w:after="0" w:line="240" w:lineRule="auto"/>
        <w:jc w:val="center"/>
        <w:rPr>
          <w:lang w:val="es-MX"/>
        </w:rPr>
      </w:pPr>
    </w:p>
    <w:p w14:paraId="39CF647F" w14:textId="77777777" w:rsidR="00813E71" w:rsidRPr="00EA4018" w:rsidRDefault="00813E71" w:rsidP="00813E71">
      <w:pPr>
        <w:spacing w:after="0" w:line="240" w:lineRule="auto"/>
        <w:rPr>
          <w:lang w:val="es-MX"/>
        </w:rPr>
      </w:pPr>
    </w:p>
    <w:p w14:paraId="644F40FD" w14:textId="77777777" w:rsidR="00813E71" w:rsidRPr="00EA4018" w:rsidRDefault="00813E71" w:rsidP="00813E71">
      <w:pPr>
        <w:tabs>
          <w:tab w:val="center" w:pos="5040"/>
        </w:tabs>
        <w:spacing w:after="0" w:line="240" w:lineRule="auto"/>
        <w:jc w:val="center"/>
        <w:rPr>
          <w:lang w:val="es-MX"/>
        </w:rPr>
      </w:pPr>
    </w:p>
    <w:bookmarkEnd w:id="12"/>
    <w:p w14:paraId="6CB58C36" w14:textId="77777777" w:rsidR="00650377" w:rsidRPr="002568E6" w:rsidRDefault="00650377" w:rsidP="00650377">
      <w:pPr>
        <w:spacing w:after="0" w:line="240" w:lineRule="auto"/>
        <w:jc w:val="center"/>
        <w:rPr>
          <w:rFonts w:ascii="Cambria" w:hAnsi="Cambria"/>
          <w:sz w:val="20"/>
          <w:szCs w:val="20"/>
          <w:lang w:val="es-CO"/>
        </w:rPr>
      </w:pPr>
      <w:r w:rsidRPr="002568E6">
        <w:rPr>
          <w:rFonts w:ascii="Cambria" w:hAnsi="Cambria"/>
          <w:sz w:val="20"/>
          <w:szCs w:val="20"/>
          <w:lang w:val="es-CO"/>
        </w:rPr>
        <w:t>Jorge Meza Flores</w:t>
      </w:r>
    </w:p>
    <w:p w14:paraId="0BD0DA46" w14:textId="77777777" w:rsidR="00650377" w:rsidRPr="002568E6" w:rsidRDefault="00650377" w:rsidP="00650377">
      <w:pPr>
        <w:spacing w:after="0" w:line="240" w:lineRule="auto"/>
        <w:jc w:val="center"/>
        <w:rPr>
          <w:rFonts w:ascii="Cambria" w:hAnsi="Cambria"/>
          <w:sz w:val="20"/>
          <w:szCs w:val="20"/>
          <w:lang w:val="es-CO"/>
        </w:rPr>
      </w:pPr>
      <w:r w:rsidRPr="002568E6">
        <w:rPr>
          <w:rFonts w:ascii="Cambria" w:hAnsi="Cambria"/>
          <w:sz w:val="20"/>
          <w:szCs w:val="20"/>
          <w:lang w:val="es-CO"/>
        </w:rPr>
        <w:t>Secretario Ejecutivo Adjunto</w:t>
      </w:r>
    </w:p>
    <w:bookmarkEnd w:id="3"/>
    <w:bookmarkEnd w:id="4"/>
    <w:bookmarkEnd w:id="5"/>
    <w:bookmarkEnd w:id="6"/>
    <w:bookmarkEnd w:id="7"/>
    <w:bookmarkEnd w:id="8"/>
    <w:bookmarkEnd w:id="9"/>
    <w:p w14:paraId="66525D35" w14:textId="77777777" w:rsidR="00650377" w:rsidRPr="002568E6" w:rsidRDefault="00650377" w:rsidP="00650377">
      <w:pPr>
        <w:tabs>
          <w:tab w:val="left" w:pos="-720"/>
        </w:tabs>
        <w:suppressAutoHyphens/>
        <w:spacing w:after="0" w:line="240" w:lineRule="auto"/>
        <w:jc w:val="both"/>
        <w:rPr>
          <w:rFonts w:ascii="Cambria" w:hAnsi="Cambria" w:cstheme="minorHAnsi"/>
          <w:sz w:val="20"/>
          <w:szCs w:val="20"/>
          <w:lang w:val="es-CO"/>
        </w:rPr>
      </w:pPr>
    </w:p>
    <w:p w14:paraId="00CEB9C9" w14:textId="77777777" w:rsidR="00650377" w:rsidRPr="002568E6" w:rsidRDefault="00650377" w:rsidP="00650377">
      <w:pPr>
        <w:tabs>
          <w:tab w:val="left" w:pos="-720"/>
        </w:tabs>
        <w:suppressAutoHyphens/>
        <w:spacing w:after="0" w:line="240" w:lineRule="auto"/>
        <w:jc w:val="both"/>
        <w:rPr>
          <w:rFonts w:ascii="Cambria" w:hAnsi="Cambria" w:cstheme="minorHAnsi"/>
          <w:sz w:val="20"/>
          <w:szCs w:val="20"/>
          <w:lang w:val="es-CO"/>
        </w:rPr>
      </w:pPr>
    </w:p>
    <w:bookmarkEnd w:id="10"/>
    <w:bookmarkEnd w:id="11"/>
    <w:p w14:paraId="15BA0D58" w14:textId="77777777" w:rsidR="00650377" w:rsidRPr="002568E6" w:rsidRDefault="00650377" w:rsidP="00650377">
      <w:pPr>
        <w:spacing w:after="0" w:line="240" w:lineRule="auto"/>
        <w:jc w:val="both"/>
        <w:rPr>
          <w:rFonts w:ascii="Cambria" w:hAnsi="Cambria"/>
          <w:sz w:val="20"/>
          <w:szCs w:val="20"/>
          <w:lang w:val="es-CO"/>
        </w:rPr>
      </w:pPr>
      <w:r w:rsidRPr="002568E6">
        <w:rPr>
          <w:rFonts w:ascii="Cambria" w:hAnsi="Cambria" w:cstheme="minorHAnsi"/>
          <w:color w:val="000000"/>
          <w:sz w:val="20"/>
          <w:szCs w:val="20"/>
          <w:lang w:val="es-CO"/>
        </w:rPr>
        <w:t>Anexo</w:t>
      </w:r>
    </w:p>
    <w:sectPr w:rsidR="00650377" w:rsidRPr="002568E6" w:rsidSect="006B7720">
      <w:headerReference w:type="default" r:id="rId8"/>
      <w:footerReference w:type="default" r:id="rId9"/>
      <w:headerReference w:type="first" r:id="rId10"/>
      <w:footerReference w:type="first" r:id="rId11"/>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D316" w14:textId="77777777" w:rsidR="00D7554A" w:rsidRDefault="00D7554A">
      <w:pPr>
        <w:spacing w:after="0" w:line="240" w:lineRule="auto"/>
      </w:pPr>
      <w:r>
        <w:separator/>
      </w:r>
    </w:p>
  </w:endnote>
  <w:endnote w:type="continuationSeparator" w:id="0">
    <w:p w14:paraId="753D862B" w14:textId="77777777" w:rsidR="00D7554A" w:rsidRDefault="00D7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6DF7" w14:textId="77777777" w:rsidR="002220EC" w:rsidRPr="00623374" w:rsidRDefault="009045B5">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277781BC" w14:textId="77777777" w:rsidR="002220EC" w:rsidRDefault="009045B5" w:rsidP="002E628E">
    <w:pPr>
      <w:pStyle w:val="Footer"/>
      <w:spacing w:line="360" w:lineRule="auto"/>
    </w:pPr>
    <w:r>
      <w:t>_____________________________________________________________________________________</w:t>
    </w:r>
  </w:p>
  <w:p w14:paraId="2EB8DD71" w14:textId="77777777" w:rsidR="002220EC" w:rsidRDefault="009045B5" w:rsidP="00F8734F">
    <w:pPr>
      <w:pStyle w:val="Footer"/>
      <w:jc w:val="center"/>
    </w:pPr>
    <w:r w:rsidRPr="008A5CB5">
      <w:rPr>
        <w:noProof/>
      </w:rPr>
      <w:drawing>
        <wp:inline distT="0" distB="0" distL="0" distR="0" wp14:anchorId="51DDEF76" wp14:editId="4A38721C">
          <wp:extent cx="5114925" cy="323850"/>
          <wp:effectExtent l="0" t="0" r="9525" b="0"/>
          <wp:docPr id="564563880"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1385" w14:textId="77777777" w:rsidR="002220EC" w:rsidRDefault="009045B5" w:rsidP="00162CE1">
    <w:pPr>
      <w:pStyle w:val="Footer"/>
      <w:spacing w:line="360" w:lineRule="auto"/>
    </w:pPr>
    <w:r>
      <w:t>_____________________________________________________________________________________</w:t>
    </w:r>
  </w:p>
  <w:p w14:paraId="4F739B13" w14:textId="77777777" w:rsidR="002220EC" w:rsidRDefault="009045B5" w:rsidP="00162CE1">
    <w:pPr>
      <w:pStyle w:val="Footer"/>
      <w:jc w:val="center"/>
    </w:pPr>
    <w:r w:rsidRPr="008A5CB5">
      <w:rPr>
        <w:noProof/>
      </w:rPr>
      <w:drawing>
        <wp:inline distT="0" distB="0" distL="0" distR="0" wp14:anchorId="505ACC78" wp14:editId="4662E525">
          <wp:extent cx="5114925" cy="323850"/>
          <wp:effectExtent l="0" t="0" r="9525" b="0"/>
          <wp:docPr id="814087289"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CD47" w14:textId="77777777" w:rsidR="00D7554A" w:rsidRDefault="00D7554A">
      <w:pPr>
        <w:spacing w:after="0" w:line="240" w:lineRule="auto"/>
      </w:pPr>
      <w:r>
        <w:separator/>
      </w:r>
    </w:p>
  </w:footnote>
  <w:footnote w:type="continuationSeparator" w:id="0">
    <w:p w14:paraId="1861BE15" w14:textId="77777777" w:rsidR="00D7554A" w:rsidRDefault="00D75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50C" w14:textId="77777777" w:rsidR="002220EC" w:rsidRPr="0058688A" w:rsidRDefault="009045B5" w:rsidP="00162CE1">
    <w:pPr>
      <w:pStyle w:val="Header"/>
      <w:jc w:val="center"/>
      <w:rPr>
        <w:lang w:val="es-ES_tradnl"/>
      </w:rPr>
    </w:pPr>
    <w:r>
      <w:rPr>
        <w:noProof/>
        <w:lang w:val="es-ES_tradnl"/>
      </w:rPr>
      <w:drawing>
        <wp:inline distT="0" distB="0" distL="0" distR="0" wp14:anchorId="251AC096" wp14:editId="0E5AF10B">
          <wp:extent cx="2286000" cy="123825"/>
          <wp:effectExtent l="0" t="0" r="0" b="9525"/>
          <wp:docPr id="3586797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71D2A357" w14:textId="77777777" w:rsidR="002220EC" w:rsidRDefault="009045B5">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4AA9" w14:textId="77777777" w:rsidR="002220EC" w:rsidRDefault="009045B5" w:rsidP="00162CE1">
    <w:pPr>
      <w:pStyle w:val="Header"/>
    </w:pPr>
    <w:r w:rsidRPr="008A5CB5">
      <w:rPr>
        <w:noProof/>
      </w:rPr>
      <w:drawing>
        <wp:inline distT="0" distB="0" distL="0" distR="0" wp14:anchorId="727E79C1" wp14:editId="7911DC4B">
          <wp:extent cx="2371725" cy="447675"/>
          <wp:effectExtent l="0" t="0" r="9525" b="9525"/>
          <wp:docPr id="1966794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47675"/>
                  </a:xfrm>
                  <a:prstGeom prst="rect">
                    <a:avLst/>
                  </a:prstGeom>
                  <a:noFill/>
                  <a:ln>
                    <a:noFill/>
                  </a:ln>
                </pic:spPr>
              </pic:pic>
            </a:graphicData>
          </a:graphic>
        </wp:inline>
      </w:drawing>
    </w:r>
    <w:r>
      <w:tab/>
    </w:r>
    <w:r>
      <w:tab/>
    </w:r>
    <w:r w:rsidRPr="008A5CB5">
      <w:rPr>
        <w:noProof/>
      </w:rPr>
      <w:drawing>
        <wp:inline distT="0" distB="0" distL="0" distR="0" wp14:anchorId="3D3D1AC3" wp14:editId="6C388BDF">
          <wp:extent cx="1685925" cy="485775"/>
          <wp:effectExtent l="0" t="0" r="9525" b="9525"/>
          <wp:docPr id="612614051"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85775"/>
                  </a:xfrm>
                  <a:prstGeom prst="rect">
                    <a:avLst/>
                  </a:prstGeom>
                  <a:noFill/>
                  <a:ln>
                    <a:noFill/>
                  </a:ln>
                </pic:spPr>
              </pic:pic>
            </a:graphicData>
          </a:graphic>
        </wp:inline>
      </w:drawing>
    </w:r>
  </w:p>
  <w:p w14:paraId="106E33E0" w14:textId="77777777" w:rsidR="002220EC" w:rsidRDefault="009045B5"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56C2F"/>
    <w:multiLevelType w:val="hybridMultilevel"/>
    <w:tmpl w:val="1054DA24"/>
    <w:lvl w:ilvl="0" w:tplc="A84CF0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50BA2D9C"/>
    <w:multiLevelType w:val="hybridMultilevel"/>
    <w:tmpl w:val="E026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484343">
    <w:abstractNumId w:val="1"/>
  </w:num>
  <w:num w:numId="2" w16cid:durableId="146396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77"/>
    <w:rsid w:val="000230B2"/>
    <w:rsid w:val="000234DB"/>
    <w:rsid w:val="00023718"/>
    <w:rsid w:val="00025402"/>
    <w:rsid w:val="00030888"/>
    <w:rsid w:val="00057A9D"/>
    <w:rsid w:val="000612EE"/>
    <w:rsid w:val="0006734D"/>
    <w:rsid w:val="00090998"/>
    <w:rsid w:val="0009350E"/>
    <w:rsid w:val="000A04A6"/>
    <w:rsid w:val="000A6047"/>
    <w:rsid w:val="000A6654"/>
    <w:rsid w:val="000C56B8"/>
    <w:rsid w:val="000D39FC"/>
    <w:rsid w:val="000F2D45"/>
    <w:rsid w:val="001031F7"/>
    <w:rsid w:val="0010684A"/>
    <w:rsid w:val="00152AFE"/>
    <w:rsid w:val="00154979"/>
    <w:rsid w:val="00167C84"/>
    <w:rsid w:val="001778C0"/>
    <w:rsid w:val="00192588"/>
    <w:rsid w:val="001C072A"/>
    <w:rsid w:val="002030D2"/>
    <w:rsid w:val="002220EC"/>
    <w:rsid w:val="00224E76"/>
    <w:rsid w:val="00231ED7"/>
    <w:rsid w:val="00236718"/>
    <w:rsid w:val="002401C5"/>
    <w:rsid w:val="002568E6"/>
    <w:rsid w:val="00260F01"/>
    <w:rsid w:val="0027319C"/>
    <w:rsid w:val="00282ADF"/>
    <w:rsid w:val="00290EDF"/>
    <w:rsid w:val="002B2F94"/>
    <w:rsid w:val="002B5D4F"/>
    <w:rsid w:val="002B78BD"/>
    <w:rsid w:val="002C0F47"/>
    <w:rsid w:val="002D0B72"/>
    <w:rsid w:val="002D4B54"/>
    <w:rsid w:val="002D5ECC"/>
    <w:rsid w:val="002E1DFE"/>
    <w:rsid w:val="002F5D0E"/>
    <w:rsid w:val="003148FF"/>
    <w:rsid w:val="003272F6"/>
    <w:rsid w:val="00346B83"/>
    <w:rsid w:val="00347D65"/>
    <w:rsid w:val="003622C6"/>
    <w:rsid w:val="00364613"/>
    <w:rsid w:val="00370C7D"/>
    <w:rsid w:val="00384546"/>
    <w:rsid w:val="0038503B"/>
    <w:rsid w:val="003C611D"/>
    <w:rsid w:val="003D4650"/>
    <w:rsid w:val="003E1385"/>
    <w:rsid w:val="003E1E71"/>
    <w:rsid w:val="003F6080"/>
    <w:rsid w:val="004013F0"/>
    <w:rsid w:val="00414F04"/>
    <w:rsid w:val="00425110"/>
    <w:rsid w:val="00437A60"/>
    <w:rsid w:val="00453E6D"/>
    <w:rsid w:val="004B7909"/>
    <w:rsid w:val="004C10B8"/>
    <w:rsid w:val="004F70D3"/>
    <w:rsid w:val="005058BE"/>
    <w:rsid w:val="005067D1"/>
    <w:rsid w:val="00506F8C"/>
    <w:rsid w:val="005215BF"/>
    <w:rsid w:val="00532F7D"/>
    <w:rsid w:val="00541C41"/>
    <w:rsid w:val="00546F27"/>
    <w:rsid w:val="00551AD9"/>
    <w:rsid w:val="0055248C"/>
    <w:rsid w:val="005778A7"/>
    <w:rsid w:val="00586D9D"/>
    <w:rsid w:val="0058766D"/>
    <w:rsid w:val="005948E2"/>
    <w:rsid w:val="005959A2"/>
    <w:rsid w:val="005A5A63"/>
    <w:rsid w:val="005B31A9"/>
    <w:rsid w:val="005B5C15"/>
    <w:rsid w:val="005C3173"/>
    <w:rsid w:val="005D6A11"/>
    <w:rsid w:val="005E54F9"/>
    <w:rsid w:val="00626EAF"/>
    <w:rsid w:val="00630F11"/>
    <w:rsid w:val="00643348"/>
    <w:rsid w:val="00646D90"/>
    <w:rsid w:val="00650377"/>
    <w:rsid w:val="00661270"/>
    <w:rsid w:val="00682CB7"/>
    <w:rsid w:val="00692A8E"/>
    <w:rsid w:val="00696C08"/>
    <w:rsid w:val="006A3297"/>
    <w:rsid w:val="006F6F20"/>
    <w:rsid w:val="007119C6"/>
    <w:rsid w:val="00732E72"/>
    <w:rsid w:val="00735AB4"/>
    <w:rsid w:val="00745F20"/>
    <w:rsid w:val="007469E5"/>
    <w:rsid w:val="0077274F"/>
    <w:rsid w:val="007845F4"/>
    <w:rsid w:val="007A49C5"/>
    <w:rsid w:val="007A4AC8"/>
    <w:rsid w:val="007A7C87"/>
    <w:rsid w:val="007B1B5A"/>
    <w:rsid w:val="007C73CB"/>
    <w:rsid w:val="007D09A6"/>
    <w:rsid w:val="007D172E"/>
    <w:rsid w:val="007E120E"/>
    <w:rsid w:val="007E7905"/>
    <w:rsid w:val="008118D3"/>
    <w:rsid w:val="00813E71"/>
    <w:rsid w:val="00815806"/>
    <w:rsid w:val="00820AB0"/>
    <w:rsid w:val="00857240"/>
    <w:rsid w:val="00863E14"/>
    <w:rsid w:val="008659F8"/>
    <w:rsid w:val="00885D46"/>
    <w:rsid w:val="008A112F"/>
    <w:rsid w:val="008D163C"/>
    <w:rsid w:val="008F3642"/>
    <w:rsid w:val="00903CBB"/>
    <w:rsid w:val="009045B5"/>
    <w:rsid w:val="009050C8"/>
    <w:rsid w:val="0092075A"/>
    <w:rsid w:val="00930D9B"/>
    <w:rsid w:val="009577A4"/>
    <w:rsid w:val="00960AEC"/>
    <w:rsid w:val="0097217E"/>
    <w:rsid w:val="00975282"/>
    <w:rsid w:val="009802E2"/>
    <w:rsid w:val="009854A8"/>
    <w:rsid w:val="00986ECB"/>
    <w:rsid w:val="009A778B"/>
    <w:rsid w:val="009B6BDA"/>
    <w:rsid w:val="009D4EB9"/>
    <w:rsid w:val="009D5977"/>
    <w:rsid w:val="009E432A"/>
    <w:rsid w:val="009F0CAD"/>
    <w:rsid w:val="00A06FC1"/>
    <w:rsid w:val="00A12DE7"/>
    <w:rsid w:val="00A331C8"/>
    <w:rsid w:val="00A427E8"/>
    <w:rsid w:val="00A547E6"/>
    <w:rsid w:val="00A56420"/>
    <w:rsid w:val="00A663C5"/>
    <w:rsid w:val="00A70FB8"/>
    <w:rsid w:val="00A72794"/>
    <w:rsid w:val="00A83D91"/>
    <w:rsid w:val="00A8408E"/>
    <w:rsid w:val="00A94D20"/>
    <w:rsid w:val="00AA1C30"/>
    <w:rsid w:val="00AB2703"/>
    <w:rsid w:val="00AB7038"/>
    <w:rsid w:val="00AC6B69"/>
    <w:rsid w:val="00AD0D27"/>
    <w:rsid w:val="00AD7A35"/>
    <w:rsid w:val="00AF4C81"/>
    <w:rsid w:val="00B00B00"/>
    <w:rsid w:val="00B23351"/>
    <w:rsid w:val="00B43629"/>
    <w:rsid w:val="00B44142"/>
    <w:rsid w:val="00B520B2"/>
    <w:rsid w:val="00B75A4C"/>
    <w:rsid w:val="00B9430E"/>
    <w:rsid w:val="00B960BF"/>
    <w:rsid w:val="00BC3345"/>
    <w:rsid w:val="00BD6331"/>
    <w:rsid w:val="00BE15B3"/>
    <w:rsid w:val="00C061CC"/>
    <w:rsid w:val="00C11E74"/>
    <w:rsid w:val="00C229A1"/>
    <w:rsid w:val="00C22A7F"/>
    <w:rsid w:val="00C30431"/>
    <w:rsid w:val="00C32FA8"/>
    <w:rsid w:val="00C34A14"/>
    <w:rsid w:val="00C52AEC"/>
    <w:rsid w:val="00C61249"/>
    <w:rsid w:val="00CF50C3"/>
    <w:rsid w:val="00CF51A7"/>
    <w:rsid w:val="00D00D31"/>
    <w:rsid w:val="00D070B5"/>
    <w:rsid w:val="00D10459"/>
    <w:rsid w:val="00D378F6"/>
    <w:rsid w:val="00D40986"/>
    <w:rsid w:val="00D462F3"/>
    <w:rsid w:val="00D727A4"/>
    <w:rsid w:val="00D7554A"/>
    <w:rsid w:val="00D7640E"/>
    <w:rsid w:val="00D84115"/>
    <w:rsid w:val="00D975F6"/>
    <w:rsid w:val="00DA437D"/>
    <w:rsid w:val="00DC0715"/>
    <w:rsid w:val="00DC428C"/>
    <w:rsid w:val="00DD210A"/>
    <w:rsid w:val="00DD787F"/>
    <w:rsid w:val="00DE04F6"/>
    <w:rsid w:val="00DE1906"/>
    <w:rsid w:val="00E06452"/>
    <w:rsid w:val="00E20DFA"/>
    <w:rsid w:val="00E418DB"/>
    <w:rsid w:val="00E45806"/>
    <w:rsid w:val="00E60657"/>
    <w:rsid w:val="00E63BEA"/>
    <w:rsid w:val="00E75FAC"/>
    <w:rsid w:val="00E82BCA"/>
    <w:rsid w:val="00E82F7C"/>
    <w:rsid w:val="00EB00CD"/>
    <w:rsid w:val="00EB1C48"/>
    <w:rsid w:val="00EB3B47"/>
    <w:rsid w:val="00EC127A"/>
    <w:rsid w:val="00EC1DFB"/>
    <w:rsid w:val="00ED32B8"/>
    <w:rsid w:val="00EE0C73"/>
    <w:rsid w:val="00EF42C6"/>
    <w:rsid w:val="00EF5170"/>
    <w:rsid w:val="00F04D60"/>
    <w:rsid w:val="00F0773C"/>
    <w:rsid w:val="00F13F5D"/>
    <w:rsid w:val="00F20581"/>
    <w:rsid w:val="00F232F2"/>
    <w:rsid w:val="00F2360B"/>
    <w:rsid w:val="00F26D36"/>
    <w:rsid w:val="00F315D0"/>
    <w:rsid w:val="00F31D67"/>
    <w:rsid w:val="00F4167C"/>
    <w:rsid w:val="00F4279B"/>
    <w:rsid w:val="00F44727"/>
    <w:rsid w:val="00F5712E"/>
    <w:rsid w:val="00F816C3"/>
    <w:rsid w:val="00F96C78"/>
    <w:rsid w:val="00FB40B9"/>
    <w:rsid w:val="00FC498D"/>
    <w:rsid w:val="00FD4A70"/>
    <w:rsid w:val="00FE2A45"/>
    <w:rsid w:val="00FE6427"/>
    <w:rsid w:val="00FE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06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7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basedOn w:val="Normal"/>
    <w:link w:val="ListParagraphChar"/>
    <w:uiPriority w:val="99"/>
    <w:qFormat/>
    <w:rsid w:val="00650377"/>
    <w:pPr>
      <w:ind w:left="720"/>
      <w:contextualSpacing/>
    </w:pPr>
  </w:style>
  <w:style w:type="paragraph" w:styleId="Header">
    <w:name w:val="header"/>
    <w:aliases w:val="encabezado"/>
    <w:basedOn w:val="Normal"/>
    <w:link w:val="HeaderChar"/>
    <w:unhideWhenUsed/>
    <w:rsid w:val="00650377"/>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650377"/>
    <w:rPr>
      <w:rFonts w:ascii="Calibri" w:eastAsia="Calibri" w:hAnsi="Calibri" w:cs="Times New Roman"/>
      <w:kern w:val="0"/>
      <w14:ligatures w14:val="none"/>
    </w:rPr>
  </w:style>
  <w:style w:type="paragraph" w:styleId="Footer">
    <w:name w:val="footer"/>
    <w:basedOn w:val="Normal"/>
    <w:link w:val="FooterChar"/>
    <w:unhideWhenUsed/>
    <w:rsid w:val="00650377"/>
    <w:pPr>
      <w:tabs>
        <w:tab w:val="center" w:pos="4680"/>
        <w:tab w:val="right" w:pos="9360"/>
      </w:tabs>
      <w:spacing w:after="0" w:line="240" w:lineRule="auto"/>
    </w:pPr>
  </w:style>
  <w:style w:type="character" w:customStyle="1" w:styleId="FooterChar">
    <w:name w:val="Footer Char"/>
    <w:basedOn w:val="DefaultParagraphFont"/>
    <w:link w:val="Footer"/>
    <w:rsid w:val="00650377"/>
    <w:rPr>
      <w:rFonts w:ascii="Calibri" w:eastAsia="Calibri" w:hAnsi="Calibri" w:cs="Times New Roman"/>
      <w:kern w:val="0"/>
      <w14:ligatures w14:val="none"/>
    </w:rPr>
  </w:style>
  <w:style w:type="character" w:styleId="Hyperlink">
    <w:name w:val="Hyperlink"/>
    <w:uiPriority w:val="99"/>
    <w:rsid w:val="00650377"/>
    <w:rPr>
      <w:color w:val="0000FF"/>
      <w:u w:val="singl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qFormat/>
    <w:locked/>
    <w:rsid w:val="00650377"/>
    <w:rPr>
      <w:rFonts w:ascii="Calibri" w:eastAsia="Calibri" w:hAnsi="Calibri" w:cs="Times New Roman"/>
      <w:kern w:val="0"/>
      <w14:ligatures w14:val="none"/>
    </w:rPr>
  </w:style>
  <w:style w:type="paragraph" w:customStyle="1" w:styleId="parrafos">
    <w:name w:val="parrafos"/>
    <w:basedOn w:val="Normal"/>
    <w:link w:val="parrafosChar"/>
    <w:qFormat/>
    <w:rsid w:val="00650377"/>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650377"/>
    <w:rPr>
      <w:rFonts w:ascii="Cambria" w:eastAsia="Arial Unicode MS" w:hAnsi="Cambria" w:cs="Times New Roman"/>
      <w:color w:val="000000"/>
      <w:kern w:val="0"/>
      <w:sz w:val="20"/>
      <w:szCs w:val="20"/>
      <w:bdr w:val="nil"/>
      <w:lang w:val="es-VE"/>
      <w14:ligatures w14:val="none"/>
    </w:rPr>
  </w:style>
  <w:style w:type="paragraph" w:styleId="BodyTextIndent">
    <w:name w:val="Body Text Indent"/>
    <w:basedOn w:val="Normal"/>
    <w:link w:val="BodyTextIndentChar"/>
    <w:uiPriority w:val="99"/>
    <w:unhideWhenUsed/>
    <w:rsid w:val="00650377"/>
    <w:pPr>
      <w:spacing w:after="0" w:line="240" w:lineRule="auto"/>
      <w:ind w:firstLine="360"/>
      <w:jc w:val="both"/>
    </w:pPr>
    <w:rPr>
      <w:rFonts w:ascii="Cambria" w:hAnsi="Cambria"/>
      <w:sz w:val="20"/>
      <w:szCs w:val="20"/>
      <w:lang w:val="es-CO"/>
    </w:rPr>
  </w:style>
  <w:style w:type="character" w:customStyle="1" w:styleId="BodyTextIndentChar">
    <w:name w:val="Body Text Indent Char"/>
    <w:basedOn w:val="DefaultParagraphFont"/>
    <w:link w:val="BodyTextIndent"/>
    <w:uiPriority w:val="99"/>
    <w:rsid w:val="00650377"/>
    <w:rPr>
      <w:rFonts w:ascii="Cambria" w:eastAsia="Calibri" w:hAnsi="Cambria" w:cs="Times New Roman"/>
      <w:kern w:val="0"/>
      <w:sz w:val="20"/>
      <w:szCs w:val="20"/>
      <w:lang w:val="es-CO"/>
      <w14:ligatures w14:val="none"/>
    </w:rPr>
  </w:style>
  <w:style w:type="paragraph" w:styleId="NormalWeb">
    <w:name w:val="Normal (Web)"/>
    <w:basedOn w:val="Normal"/>
    <w:uiPriority w:val="99"/>
    <w:unhideWhenUsed/>
    <w:rsid w:val="00B75A4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4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5CBFC-2CDA-487E-A008-3205EA44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2466</Words>
  <Characters>14060</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2025-01-24T14:43:00Z</dcterms:created>
  <dcterms:modified xsi:type="dcterms:W3CDTF">2025-01-24T14:43:00Z</dcterms:modified>
</cp:coreProperties>
</file>