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14A" w14:textId="77777777" w:rsidR="00A9224E" w:rsidRPr="00E80B86" w:rsidRDefault="00A9224E" w:rsidP="00A9224E">
      <w:pPr>
        <w:spacing w:after="0" w:line="240" w:lineRule="auto"/>
        <w:jc w:val="right"/>
        <w:rPr>
          <w:rFonts w:ascii="Cambria" w:hAnsi="Cambria" w:cs="Calibri"/>
          <w:color w:val="000000"/>
          <w:sz w:val="20"/>
          <w:szCs w:val="20"/>
          <w:lang w:val="es-CO"/>
        </w:rPr>
      </w:pPr>
    </w:p>
    <w:p w14:paraId="58365E3A" w14:textId="77777777" w:rsidR="00E80B86" w:rsidRPr="00E80B86" w:rsidRDefault="00E80B86" w:rsidP="00E80B86">
      <w:pPr>
        <w:spacing w:after="0" w:line="240" w:lineRule="auto"/>
        <w:rPr>
          <w:rFonts w:ascii="Cambria" w:hAnsi="Cambria" w:cs="Calibri"/>
          <w:color w:val="000000"/>
          <w:sz w:val="16"/>
          <w:szCs w:val="16"/>
          <w:lang w:val="es-CO"/>
        </w:rPr>
      </w:pPr>
    </w:p>
    <w:p w14:paraId="0CA376E9" w14:textId="77777777" w:rsidR="00E80B86" w:rsidRPr="00E80B86" w:rsidRDefault="00E80B86" w:rsidP="00E80B86">
      <w:pPr>
        <w:spacing w:after="0" w:line="240" w:lineRule="auto"/>
        <w:rPr>
          <w:rFonts w:ascii="Cambria" w:hAnsi="Cambria" w:cs="Calibri"/>
          <w:color w:val="000000"/>
          <w:sz w:val="16"/>
          <w:szCs w:val="16"/>
          <w:lang w:val="es-CO"/>
        </w:rPr>
      </w:pPr>
    </w:p>
    <w:p w14:paraId="2A25BCDE" w14:textId="37AB5F9E" w:rsidR="00A9224E" w:rsidRPr="00E80B86" w:rsidRDefault="00A9224E" w:rsidP="00E80B86">
      <w:pPr>
        <w:spacing w:after="0" w:line="240" w:lineRule="auto"/>
        <w:ind w:left="6480"/>
        <w:jc w:val="right"/>
        <w:rPr>
          <w:rFonts w:ascii="Cambria" w:hAnsi="Cambria" w:cs="Calibri"/>
          <w:color w:val="000000"/>
          <w:sz w:val="20"/>
          <w:szCs w:val="20"/>
          <w:lang w:val="pt-BR"/>
        </w:rPr>
      </w:pPr>
      <w:r w:rsidRPr="00E80B86">
        <w:rPr>
          <w:rFonts w:ascii="Cambria" w:hAnsi="Cambria" w:cs="Calibri"/>
          <w:color w:val="000000"/>
          <w:sz w:val="20"/>
          <w:szCs w:val="20"/>
          <w:lang w:val="pt-BR"/>
        </w:rPr>
        <w:t xml:space="preserve">          </w:t>
      </w:r>
      <w:r w:rsidR="009A5A76" w:rsidRPr="00E80B86">
        <w:rPr>
          <w:rFonts w:ascii="Cambria" w:hAnsi="Cambria" w:cs="Calibri"/>
          <w:color w:val="000000"/>
          <w:sz w:val="20"/>
          <w:szCs w:val="20"/>
          <w:lang w:val="pt-BR"/>
        </w:rPr>
        <w:t>11</w:t>
      </w:r>
      <w:r w:rsidRPr="00E80B86">
        <w:rPr>
          <w:rFonts w:ascii="Cambria" w:hAnsi="Cambria" w:cs="Calibri"/>
          <w:color w:val="000000"/>
          <w:sz w:val="20"/>
          <w:szCs w:val="20"/>
          <w:lang w:val="pt-BR"/>
        </w:rPr>
        <w:t xml:space="preserve"> de </w:t>
      </w:r>
      <w:r w:rsidR="009A5A76" w:rsidRPr="00E80B86">
        <w:rPr>
          <w:rFonts w:ascii="Cambria" w:hAnsi="Cambria" w:cs="Calibri"/>
          <w:color w:val="000000"/>
          <w:sz w:val="20"/>
          <w:szCs w:val="20"/>
          <w:lang w:val="pt-BR"/>
        </w:rPr>
        <w:t>abril</w:t>
      </w:r>
      <w:r w:rsidRPr="00E80B86">
        <w:rPr>
          <w:rFonts w:ascii="Cambria" w:hAnsi="Cambria" w:cs="Calibri"/>
          <w:color w:val="000000"/>
          <w:sz w:val="20"/>
          <w:szCs w:val="20"/>
          <w:lang w:val="pt-BR"/>
        </w:rPr>
        <w:t xml:space="preserve"> de 202</w:t>
      </w:r>
      <w:r w:rsidR="009A5A76" w:rsidRPr="00E80B86">
        <w:rPr>
          <w:rFonts w:ascii="Cambria" w:hAnsi="Cambria" w:cs="Calibri"/>
          <w:color w:val="000000"/>
          <w:sz w:val="20"/>
          <w:szCs w:val="20"/>
          <w:lang w:val="pt-BR"/>
        </w:rPr>
        <w:t>4</w:t>
      </w:r>
    </w:p>
    <w:p w14:paraId="04CB5416" w14:textId="38C9B854" w:rsidR="00A9224E" w:rsidRPr="00E80B86" w:rsidRDefault="00A9224E" w:rsidP="00A9224E">
      <w:pPr>
        <w:spacing w:after="0" w:line="240" w:lineRule="auto"/>
        <w:jc w:val="both"/>
        <w:rPr>
          <w:rFonts w:ascii="Cambria" w:hAnsi="Cambria" w:cs="Calibri"/>
          <w:b/>
          <w:color w:val="000000"/>
          <w:sz w:val="20"/>
          <w:szCs w:val="20"/>
          <w:lang w:val="pt-BR"/>
        </w:rPr>
      </w:pPr>
      <w:r w:rsidRPr="00E80B86">
        <w:rPr>
          <w:rFonts w:ascii="Cambria" w:hAnsi="Cambria" w:cs="Calibri"/>
          <w:b/>
          <w:color w:val="000000"/>
          <w:sz w:val="20"/>
          <w:szCs w:val="20"/>
          <w:lang w:val="pt-BR"/>
        </w:rPr>
        <w:t>REF.:</w:t>
      </w:r>
      <w:bookmarkStart w:id="0" w:name="Peticion_n"/>
      <w:bookmarkEnd w:id="0"/>
      <w:r w:rsidRPr="00E80B86">
        <w:rPr>
          <w:rFonts w:ascii="Cambria" w:hAnsi="Cambria" w:cs="Calibri"/>
          <w:b/>
          <w:color w:val="000000"/>
          <w:sz w:val="20"/>
          <w:szCs w:val="20"/>
          <w:lang w:val="pt-BR"/>
        </w:rPr>
        <w:tab/>
        <w:t xml:space="preserve">Caso Nº </w:t>
      </w:r>
      <w:r w:rsidR="009907EA" w:rsidRPr="00E80B86">
        <w:rPr>
          <w:rFonts w:ascii="Cambria" w:eastAsia="Arial Unicode MS" w:hAnsi="Cambria"/>
          <w:b/>
          <w:spacing w:val="-3"/>
          <w:sz w:val="20"/>
          <w:szCs w:val="20"/>
          <w:bdr w:val="nil"/>
          <w:lang w:val="pt-BR"/>
        </w:rPr>
        <w:t>13.645</w:t>
      </w:r>
    </w:p>
    <w:p w14:paraId="076595C1" w14:textId="58FC063A" w:rsidR="00A9224E" w:rsidRPr="00E80B86" w:rsidRDefault="009A5A76" w:rsidP="00A9224E">
      <w:pPr>
        <w:tabs>
          <w:tab w:val="left" w:pos="7165"/>
        </w:tabs>
        <w:spacing w:after="0" w:line="240" w:lineRule="auto"/>
        <w:ind w:firstLine="720"/>
        <w:jc w:val="both"/>
        <w:rPr>
          <w:rFonts w:ascii="Cambria" w:eastAsia="Arial Unicode MS" w:hAnsi="Cambria"/>
          <w:b/>
          <w:bCs/>
          <w:spacing w:val="-3"/>
          <w:sz w:val="20"/>
          <w:szCs w:val="20"/>
          <w:bdr w:val="nil"/>
          <w:lang w:val="es-CO"/>
        </w:rPr>
      </w:pPr>
      <w:r w:rsidRPr="00E80B86">
        <w:rPr>
          <w:rFonts w:ascii="Cambria" w:eastAsia="Arial Unicode MS" w:hAnsi="Cambria"/>
          <w:b/>
          <w:bCs/>
          <w:spacing w:val="-3"/>
          <w:sz w:val="20"/>
          <w:szCs w:val="20"/>
          <w:bdr w:val="nil"/>
          <w:lang w:val="es-CO"/>
        </w:rPr>
        <w:t>Leonela Zelaya</w:t>
      </w:r>
    </w:p>
    <w:p w14:paraId="5F2EC4B5" w14:textId="77777777" w:rsidR="00A9224E" w:rsidRPr="00E80B86" w:rsidRDefault="00A9224E" w:rsidP="00A9224E">
      <w:pPr>
        <w:tabs>
          <w:tab w:val="left" w:pos="7165"/>
        </w:tabs>
        <w:spacing w:after="0" w:line="240" w:lineRule="auto"/>
        <w:ind w:firstLine="720"/>
        <w:jc w:val="both"/>
        <w:rPr>
          <w:rFonts w:ascii="Cambria" w:hAnsi="Cambria" w:cs="Calibri"/>
          <w:b/>
          <w:color w:val="000000"/>
          <w:sz w:val="20"/>
          <w:szCs w:val="20"/>
          <w:lang w:val="es-CO"/>
        </w:rPr>
      </w:pPr>
      <w:r w:rsidRPr="00E80B86">
        <w:rPr>
          <w:rFonts w:ascii="Cambria" w:hAnsi="Cambria" w:cs="Calibri"/>
          <w:b/>
          <w:color w:val="000000"/>
          <w:sz w:val="20"/>
          <w:szCs w:val="20"/>
          <w:lang w:val="es-CO"/>
        </w:rPr>
        <w:t>Honduras</w:t>
      </w:r>
    </w:p>
    <w:p w14:paraId="203D4B6B" w14:textId="77777777" w:rsidR="00A9224E" w:rsidRPr="00E80B86" w:rsidRDefault="00A9224E" w:rsidP="00A9224E">
      <w:pPr>
        <w:tabs>
          <w:tab w:val="left" w:pos="7165"/>
        </w:tabs>
        <w:spacing w:after="0" w:line="240" w:lineRule="auto"/>
        <w:jc w:val="both"/>
        <w:rPr>
          <w:rFonts w:ascii="Cambria" w:hAnsi="Cambria" w:cs="Calibri"/>
          <w:b/>
          <w:color w:val="000000"/>
          <w:sz w:val="16"/>
          <w:szCs w:val="16"/>
          <w:lang w:val="es-CO"/>
        </w:rPr>
      </w:pPr>
    </w:p>
    <w:p w14:paraId="5F5EC7F4" w14:textId="77777777" w:rsidR="00E80B86" w:rsidRPr="00E80B86" w:rsidRDefault="00E80B86" w:rsidP="00A9224E">
      <w:pPr>
        <w:tabs>
          <w:tab w:val="left" w:pos="7165"/>
        </w:tabs>
        <w:spacing w:after="0" w:line="240" w:lineRule="auto"/>
        <w:jc w:val="both"/>
        <w:rPr>
          <w:rFonts w:ascii="Cambria" w:hAnsi="Cambria" w:cs="Calibri"/>
          <w:b/>
          <w:color w:val="000000"/>
          <w:sz w:val="16"/>
          <w:szCs w:val="16"/>
          <w:lang w:val="es-CO"/>
        </w:rPr>
      </w:pPr>
    </w:p>
    <w:p w14:paraId="6A82FE6B" w14:textId="77777777" w:rsidR="00A9224E" w:rsidRPr="00E80B86" w:rsidRDefault="00A9224E" w:rsidP="00A9224E">
      <w:pPr>
        <w:spacing w:after="0" w:line="240" w:lineRule="auto"/>
        <w:jc w:val="both"/>
        <w:rPr>
          <w:rFonts w:ascii="Cambria" w:hAnsi="Cambria" w:cs="Calibri"/>
          <w:color w:val="000000"/>
          <w:sz w:val="20"/>
          <w:szCs w:val="20"/>
          <w:lang w:val="es-CO"/>
        </w:rPr>
      </w:pPr>
      <w:r w:rsidRPr="00E80B86">
        <w:rPr>
          <w:rFonts w:ascii="Cambria" w:hAnsi="Cambria" w:cs="Calibri"/>
          <w:color w:val="000000"/>
          <w:sz w:val="20"/>
          <w:szCs w:val="20"/>
          <w:lang w:val="es-CO"/>
        </w:rPr>
        <w:t>Señor Secretario:</w:t>
      </w:r>
    </w:p>
    <w:p w14:paraId="3E6731B4" w14:textId="77777777" w:rsidR="00A9224E" w:rsidRPr="00E80B86" w:rsidRDefault="00A9224E" w:rsidP="00A9224E">
      <w:pPr>
        <w:spacing w:after="0" w:line="240" w:lineRule="auto"/>
        <w:jc w:val="both"/>
        <w:rPr>
          <w:rFonts w:ascii="Cambria" w:hAnsi="Cambria" w:cs="Calibri"/>
          <w:color w:val="000000"/>
          <w:sz w:val="20"/>
          <w:szCs w:val="20"/>
          <w:lang w:val="es-CO"/>
        </w:rPr>
      </w:pPr>
    </w:p>
    <w:p w14:paraId="79629EC4" w14:textId="24250247" w:rsidR="00F21767" w:rsidRPr="00E80B86" w:rsidRDefault="007D7547" w:rsidP="007D7547">
      <w:pPr>
        <w:pStyle w:val="parrafos"/>
        <w:tabs>
          <w:tab w:val="left" w:pos="360"/>
        </w:tabs>
        <w:rPr>
          <w:lang w:val="es-CO"/>
        </w:rPr>
      </w:pPr>
      <w:r w:rsidRPr="00E80B86">
        <w:rPr>
          <w:lang w:val="es-CO"/>
        </w:rPr>
        <w:tab/>
      </w:r>
      <w:r w:rsidR="00A9224E" w:rsidRPr="00E80B86">
        <w:rPr>
          <w:lang w:val="es-CO"/>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A9224E" w:rsidRPr="00E80B86">
        <w:rPr>
          <w:lang w:val="es-CO"/>
        </w:rPr>
        <w:t>1</w:t>
      </w:r>
      <w:r w:rsidR="00FF4CE2" w:rsidRPr="00E80B86">
        <w:rPr>
          <w:lang w:val="es-CO"/>
        </w:rPr>
        <w:t>3.645</w:t>
      </w:r>
      <w:r w:rsidR="00A9224E" w:rsidRPr="00E80B86">
        <w:rPr>
          <w:lang w:val="es-CO"/>
        </w:rPr>
        <w:t xml:space="preserve"> –</w:t>
      </w:r>
      <w:r w:rsidR="00FF4CE2" w:rsidRPr="00E80B86">
        <w:rPr>
          <w:lang w:val="es-CO"/>
        </w:rPr>
        <w:t xml:space="preserve"> Leonela Zelaya</w:t>
      </w:r>
      <w:r w:rsidR="00A9224E" w:rsidRPr="00E80B86">
        <w:rPr>
          <w:lang w:val="es-CO"/>
        </w:rPr>
        <w:t xml:space="preserve"> de la República de Honduras (en adelante “el Estado”, “el Estado hondureño” u “Honduras”). </w:t>
      </w:r>
      <w:r w:rsidR="001A1067" w:rsidRPr="00E80B86">
        <w:rPr>
          <w:lang w:val="es-CO"/>
        </w:rPr>
        <w:t xml:space="preserve">El caso se refiere a la responsabilidad </w:t>
      </w:r>
      <w:r w:rsidR="00F21767" w:rsidRPr="00E80B86">
        <w:rPr>
          <w:lang w:val="es-CO"/>
        </w:rPr>
        <w:t xml:space="preserve">internacional del Estado hondureño </w:t>
      </w:r>
      <w:r w:rsidR="006C4B3C" w:rsidRPr="00E80B86">
        <w:rPr>
          <w:lang w:val="es-CO"/>
        </w:rPr>
        <w:t xml:space="preserve">por la muerte de Leonela Zelaya, quien era una mujer trans, y </w:t>
      </w:r>
      <w:r w:rsidR="00A44E0C" w:rsidRPr="00E80B86">
        <w:rPr>
          <w:lang w:val="es-CO"/>
        </w:rPr>
        <w:t xml:space="preserve">por </w:t>
      </w:r>
      <w:r w:rsidR="006C4B3C" w:rsidRPr="00E80B86">
        <w:rPr>
          <w:lang w:val="es-CO"/>
        </w:rPr>
        <w:t>la situación de impunidad</w:t>
      </w:r>
      <w:r w:rsidR="00A44E0C" w:rsidRPr="00E80B86">
        <w:rPr>
          <w:lang w:val="es-CO"/>
        </w:rPr>
        <w:t xml:space="preserve"> de los hechos</w:t>
      </w:r>
      <w:r w:rsidR="006C4B3C" w:rsidRPr="00E80B86">
        <w:rPr>
          <w:lang w:val="es-CO"/>
        </w:rPr>
        <w:t xml:space="preserve">. </w:t>
      </w:r>
    </w:p>
    <w:p w14:paraId="429519C4" w14:textId="77777777" w:rsidR="00F21767" w:rsidRPr="00E80B86" w:rsidRDefault="00F21767" w:rsidP="007D7547">
      <w:pPr>
        <w:pStyle w:val="parrafos"/>
        <w:tabs>
          <w:tab w:val="left" w:pos="360"/>
        </w:tabs>
        <w:rPr>
          <w:lang w:val="es-CO"/>
        </w:rPr>
      </w:pPr>
    </w:p>
    <w:p w14:paraId="0A47CA1D" w14:textId="6D0A5A41" w:rsidR="006C4B3C" w:rsidRPr="00E80B86" w:rsidRDefault="00F21767" w:rsidP="007D7547">
      <w:pPr>
        <w:pStyle w:val="parrafos"/>
        <w:tabs>
          <w:tab w:val="left" w:pos="360"/>
        </w:tabs>
        <w:rPr>
          <w:lang w:val="es-CO"/>
        </w:rPr>
      </w:pPr>
      <w:r w:rsidRPr="00E80B86">
        <w:rPr>
          <w:lang w:val="es-CO"/>
        </w:rPr>
        <w:tab/>
      </w:r>
      <w:r w:rsidR="006C4B3C" w:rsidRPr="00E80B86">
        <w:rPr>
          <w:lang w:val="es-CO"/>
        </w:rPr>
        <w:t xml:space="preserve">Leonela Zelaya nació en el departamento de Cortés y fue registrada al nacer como Oscar Zelaya. Estudió únicamente la educación primaria y creció en un ambiente de violencia y discriminación por parte de sus familiares debido a su identidad de género. Según la parte peticionaria, Leonela fue diagnosticada con VIH a inicios de los años noventa. </w:t>
      </w:r>
    </w:p>
    <w:p w14:paraId="7F2170DB" w14:textId="77777777" w:rsidR="006C4B3C" w:rsidRPr="00E80B86" w:rsidRDefault="006C4B3C" w:rsidP="006C4B3C">
      <w:pPr>
        <w:pStyle w:val="parrafos"/>
        <w:rPr>
          <w:lang w:val="es-CO"/>
        </w:rPr>
      </w:pPr>
    </w:p>
    <w:p w14:paraId="40F375D9" w14:textId="0C339F42" w:rsidR="006C4B3C" w:rsidRPr="00E80B86" w:rsidRDefault="007D7547" w:rsidP="007D7547">
      <w:pPr>
        <w:pStyle w:val="parrafos"/>
        <w:tabs>
          <w:tab w:val="left" w:pos="360"/>
        </w:tabs>
        <w:rPr>
          <w:lang w:val="es-CO"/>
        </w:rPr>
      </w:pPr>
      <w:r w:rsidRPr="00E80B86">
        <w:rPr>
          <w:lang w:val="es-CO"/>
        </w:rPr>
        <w:tab/>
      </w:r>
      <w:r w:rsidR="006C4B3C" w:rsidRPr="00E80B86">
        <w:rPr>
          <w:lang w:val="es-CO"/>
        </w:rPr>
        <w:t>En la época de los hechos Leon</w:t>
      </w:r>
      <w:r w:rsidR="00384C44" w:rsidRPr="00E80B86">
        <w:rPr>
          <w:lang w:val="es-CO"/>
        </w:rPr>
        <w:t xml:space="preserve">ela </w:t>
      </w:r>
      <w:r w:rsidR="006C4B3C" w:rsidRPr="00E80B86">
        <w:rPr>
          <w:lang w:val="es-CO"/>
        </w:rPr>
        <w:t xml:space="preserve">tenía 34 años, era trabajadora sexual y vivía con Talía Rodríguez en una habitación en la ciudad de Tegucigalpa. Talía manifestó que Leonela era como su hermana, compartían festividades y celebraciones juntas, se daban apoyo emocional y económico. </w:t>
      </w:r>
    </w:p>
    <w:p w14:paraId="56FCDC13" w14:textId="77777777" w:rsidR="006C4B3C" w:rsidRPr="00E80B86" w:rsidRDefault="006C4B3C" w:rsidP="006C4B3C">
      <w:pPr>
        <w:pStyle w:val="parrafos"/>
        <w:rPr>
          <w:lang w:val="es-CO"/>
        </w:rPr>
      </w:pPr>
    </w:p>
    <w:p w14:paraId="3C76FE56" w14:textId="331FF4BB" w:rsidR="00663AB1" w:rsidRPr="00E80B86" w:rsidRDefault="007D7547" w:rsidP="007D7547">
      <w:pPr>
        <w:pStyle w:val="parrafos"/>
        <w:tabs>
          <w:tab w:val="left" w:pos="360"/>
        </w:tabs>
        <w:rPr>
          <w:lang w:val="es-CO"/>
        </w:rPr>
      </w:pPr>
      <w:r w:rsidRPr="00E80B86">
        <w:rPr>
          <w:lang w:val="es-CO"/>
        </w:rPr>
        <w:tab/>
      </w:r>
      <w:r w:rsidR="006C4B3C" w:rsidRPr="00E80B86">
        <w:rPr>
          <w:lang w:val="es-CO"/>
        </w:rPr>
        <w:t xml:space="preserve">Según la peticionaria el 15 de agosto de 2004, Leonela Zelaya fue golpeada con porras y culatas de pistolas por agentes de la Policía Preventiva de la Estación de Policía Número 4 de Comayagüela. </w:t>
      </w:r>
      <w:r w:rsidR="00B63C30" w:rsidRPr="00E80B86">
        <w:rPr>
          <w:lang w:val="es-CO"/>
        </w:rPr>
        <w:t>L</w:t>
      </w:r>
      <w:r w:rsidR="00D967ED" w:rsidRPr="00E80B86">
        <w:rPr>
          <w:lang w:val="es-CO"/>
        </w:rPr>
        <w:t>a peticionaria informó que</w:t>
      </w:r>
      <w:r w:rsidR="00663AB1" w:rsidRPr="00E80B86">
        <w:rPr>
          <w:lang w:val="es-CO"/>
        </w:rPr>
        <w:t xml:space="preserve">, </w:t>
      </w:r>
      <w:r w:rsidR="006C4B3C" w:rsidRPr="00E80B86">
        <w:rPr>
          <w:lang w:val="es-CO"/>
        </w:rPr>
        <w:t xml:space="preserve">a raíz de esta agresión, Leonela presentó hematomas e hinchazón en las piernas, el rostro, el dorso y los brazos, fiebre y dolor de cabeza. </w:t>
      </w:r>
    </w:p>
    <w:p w14:paraId="1959FA97" w14:textId="77777777" w:rsidR="00663AB1" w:rsidRPr="00E80B86" w:rsidRDefault="00663AB1" w:rsidP="007D7547">
      <w:pPr>
        <w:pStyle w:val="parrafos"/>
        <w:tabs>
          <w:tab w:val="left" w:pos="360"/>
        </w:tabs>
        <w:rPr>
          <w:lang w:val="es-CO"/>
        </w:rPr>
      </w:pPr>
    </w:p>
    <w:p w14:paraId="3D93A15D" w14:textId="100C74DD" w:rsidR="006C4B3C" w:rsidRPr="00E80B86" w:rsidRDefault="00663AB1" w:rsidP="007D7547">
      <w:pPr>
        <w:pStyle w:val="parrafos"/>
        <w:tabs>
          <w:tab w:val="left" w:pos="360"/>
        </w:tabs>
        <w:rPr>
          <w:lang w:val="es-CO"/>
        </w:rPr>
      </w:pPr>
      <w:r w:rsidRPr="00E80B86">
        <w:rPr>
          <w:lang w:val="es-CO"/>
        </w:rPr>
        <w:tab/>
      </w:r>
      <w:r w:rsidR="006C4B3C" w:rsidRPr="00E80B86">
        <w:rPr>
          <w:lang w:val="es-CO"/>
        </w:rPr>
        <w:t>Talía Rodríguez declaró que la noche del 6 de septiembre de 2004, salió a trabajar junto con Leonela y que, aunque le pidió que regresaran a casa junta</w:t>
      </w:r>
      <w:r w:rsidR="00A1701C" w:rsidRPr="00E80B86">
        <w:rPr>
          <w:lang w:val="es-CO"/>
        </w:rPr>
        <w:t>s</w:t>
      </w:r>
      <w:r w:rsidR="006C4B3C" w:rsidRPr="00E80B86">
        <w:rPr>
          <w:lang w:val="es-CO"/>
        </w:rPr>
        <w:t>, e</w:t>
      </w:r>
      <w:r w:rsidR="00A1701C" w:rsidRPr="00E80B86">
        <w:rPr>
          <w:lang w:val="es-CO"/>
        </w:rPr>
        <w:t xml:space="preserve">lla indicó que “esperaría </w:t>
      </w:r>
      <w:r w:rsidR="00452FF6" w:rsidRPr="00E80B86">
        <w:rPr>
          <w:lang w:val="es-CO"/>
        </w:rPr>
        <w:t>un rato más”.</w:t>
      </w:r>
      <w:r w:rsidR="006C4B3C" w:rsidRPr="00E80B86">
        <w:rPr>
          <w:lang w:val="es-CO"/>
        </w:rPr>
        <w:t xml:space="preserve"> </w:t>
      </w:r>
      <w:r w:rsidR="00B63C30" w:rsidRPr="00E80B86">
        <w:rPr>
          <w:lang w:val="es-CO"/>
        </w:rPr>
        <w:t>A</w:t>
      </w:r>
      <w:r w:rsidR="006C4B3C" w:rsidRPr="00E80B86">
        <w:rPr>
          <w:lang w:val="es-CO"/>
        </w:rPr>
        <w:t xml:space="preserve">lrededor de las 5:00am del día siguiente, el cuerpo de Leonela fue hallado en la vía pública de la ciudad de Comayagüela, por una señora que vendía golosinas en la zona. </w:t>
      </w:r>
    </w:p>
    <w:p w14:paraId="63A24C2B" w14:textId="77777777" w:rsidR="006C4B3C" w:rsidRPr="00E80B86" w:rsidRDefault="006C4B3C" w:rsidP="006C4B3C">
      <w:pPr>
        <w:pStyle w:val="parrafos"/>
        <w:rPr>
          <w:lang w:val="es-CO"/>
        </w:rPr>
      </w:pPr>
    </w:p>
    <w:p w14:paraId="6450F03A" w14:textId="6843B22C" w:rsidR="006C4B3C" w:rsidRPr="00E80B86" w:rsidRDefault="007D7547" w:rsidP="007D7547">
      <w:pPr>
        <w:pStyle w:val="parrafos"/>
        <w:tabs>
          <w:tab w:val="left" w:pos="360"/>
        </w:tabs>
        <w:rPr>
          <w:lang w:val="es-CO"/>
        </w:rPr>
      </w:pPr>
      <w:r w:rsidRPr="00E80B86">
        <w:rPr>
          <w:lang w:val="es-CO"/>
        </w:rPr>
        <w:tab/>
      </w:r>
      <w:r w:rsidR="006C4B3C" w:rsidRPr="00E80B86">
        <w:rPr>
          <w:lang w:val="es-CO"/>
        </w:rPr>
        <w:t>El 7 de septiembre de 2004 a las 6:45am, el fiscal del Ministerio Público realizó el levantamiento del cadáver. El forense concluyó que Leonela fue asesinada por arma blanca. Su identidad se registró como “una persona de sexo masculino el cual es de nombre desconocido (</w:t>
      </w:r>
      <w:r w:rsidR="00537CC2" w:rsidRPr="00E80B86">
        <w:rPr>
          <w:lang w:val="es-CO"/>
        </w:rPr>
        <w:t>H</w:t>
      </w:r>
      <w:r w:rsidR="006C4B3C" w:rsidRPr="00E80B86">
        <w:rPr>
          <w:lang w:val="es-CO"/>
        </w:rPr>
        <w:t>omosexual)”.</w:t>
      </w:r>
    </w:p>
    <w:p w14:paraId="101CBC69" w14:textId="77777777" w:rsidR="006C4B3C" w:rsidRPr="00E80B86" w:rsidRDefault="006C4B3C" w:rsidP="006C4B3C">
      <w:pPr>
        <w:pStyle w:val="parrafos"/>
        <w:rPr>
          <w:lang w:val="es-CO"/>
        </w:rPr>
      </w:pPr>
    </w:p>
    <w:p w14:paraId="3974CBBB" w14:textId="6188A2DE" w:rsidR="006C4B3C" w:rsidRPr="00E80B86" w:rsidRDefault="007D7547" w:rsidP="007D7547">
      <w:pPr>
        <w:pStyle w:val="parrafos"/>
        <w:tabs>
          <w:tab w:val="left" w:pos="360"/>
        </w:tabs>
        <w:rPr>
          <w:lang w:val="es-CO"/>
        </w:rPr>
      </w:pPr>
      <w:r w:rsidRPr="00E80B86">
        <w:rPr>
          <w:lang w:val="es-CO"/>
        </w:rPr>
        <w:tab/>
      </w:r>
      <w:r w:rsidR="00C603E2" w:rsidRPr="00E80B86">
        <w:rPr>
          <w:lang w:val="es-CO"/>
        </w:rPr>
        <w:t>L</w:t>
      </w:r>
      <w:r w:rsidR="006C4B3C" w:rsidRPr="00E80B86">
        <w:rPr>
          <w:lang w:val="es-CO"/>
        </w:rPr>
        <w:t xml:space="preserve">a muerte fue registrada en el centro de recepción de denuncias en la Dirección General de Investigación Criminal </w:t>
      </w:r>
      <w:r w:rsidR="00443DD0" w:rsidRPr="00E80B86">
        <w:rPr>
          <w:lang w:val="es-CO"/>
        </w:rPr>
        <w:t xml:space="preserve">(DGIC) </w:t>
      </w:r>
      <w:r w:rsidR="00986B21" w:rsidRPr="00E80B86">
        <w:rPr>
          <w:lang w:val="es-CO"/>
        </w:rPr>
        <w:t xml:space="preserve">el 8 de septiembre de 2004 </w:t>
      </w:r>
      <w:r w:rsidR="00BC676A" w:rsidRPr="00E80B86">
        <w:rPr>
          <w:lang w:val="es-CO"/>
        </w:rPr>
        <w:t>bajo el número de expediente 963-04 en perjuicio de “víctima desconocida”</w:t>
      </w:r>
      <w:r w:rsidR="00986B21" w:rsidRPr="00E80B86">
        <w:rPr>
          <w:lang w:val="es-CO"/>
        </w:rPr>
        <w:t xml:space="preserve">. </w:t>
      </w:r>
      <w:r w:rsidR="00443DD0" w:rsidRPr="00E80B86">
        <w:rPr>
          <w:lang w:val="es-CO"/>
        </w:rPr>
        <w:t>E</w:t>
      </w:r>
      <w:r w:rsidR="006C4B3C" w:rsidRPr="00E80B86">
        <w:rPr>
          <w:lang w:val="es-CO"/>
        </w:rPr>
        <w:t>l 20 de septiembre del mismo año se emitió el auto de requerimiento de investigación por el delito de homicidio</w:t>
      </w:r>
      <w:r w:rsidR="00B3173D" w:rsidRPr="00E80B86">
        <w:rPr>
          <w:lang w:val="es-CO"/>
        </w:rPr>
        <w:t>. Sin embargo, la parte peticionaria indicó que las autoridades no realizaron ninguna diligencia tendiente a identificar testigos, o recabar otro tipo de evidencia en el lugar de los hechos con la finalidad de determinar la causa, forma y momento de los hechos</w:t>
      </w:r>
      <w:r w:rsidR="000611FF" w:rsidRPr="00E80B86">
        <w:rPr>
          <w:lang w:val="es-CO"/>
        </w:rPr>
        <w:t>. En efecto,</w:t>
      </w:r>
      <w:r w:rsidR="00B3173D" w:rsidRPr="00E80B86">
        <w:rPr>
          <w:lang w:val="es-CO"/>
        </w:rPr>
        <w:t xml:space="preserve"> la C</w:t>
      </w:r>
      <w:r w:rsidR="000611FF" w:rsidRPr="00E80B86">
        <w:rPr>
          <w:lang w:val="es-CO"/>
        </w:rPr>
        <w:t>omisión</w:t>
      </w:r>
      <w:r w:rsidR="00B3173D" w:rsidRPr="00E80B86">
        <w:rPr>
          <w:lang w:val="es-CO"/>
        </w:rPr>
        <w:t xml:space="preserve"> no c</w:t>
      </w:r>
      <w:r w:rsidR="00ED4B7A" w:rsidRPr="00E80B86">
        <w:rPr>
          <w:lang w:val="es-CO"/>
        </w:rPr>
        <w:t xml:space="preserve">ontó </w:t>
      </w:r>
      <w:r w:rsidR="00B3173D" w:rsidRPr="00E80B86">
        <w:rPr>
          <w:lang w:val="es-CO"/>
        </w:rPr>
        <w:t>con documentación sobre la realización de diligencias o actos procesales entre dicha fecha hasta enero de 2017</w:t>
      </w:r>
      <w:r w:rsidR="006C4B3C" w:rsidRPr="00E80B86">
        <w:rPr>
          <w:lang w:val="es-CO"/>
        </w:rPr>
        <w:t xml:space="preserve">.  </w:t>
      </w:r>
    </w:p>
    <w:p w14:paraId="50B898A1" w14:textId="77777777" w:rsidR="006C4B3C" w:rsidRPr="00E80B86" w:rsidRDefault="006C4B3C" w:rsidP="006C4B3C">
      <w:pPr>
        <w:pStyle w:val="parrafos"/>
        <w:rPr>
          <w:lang w:val="es-CO"/>
        </w:rPr>
      </w:pPr>
    </w:p>
    <w:p w14:paraId="06E1BC3B" w14:textId="77777777" w:rsidR="00E80B86" w:rsidRPr="00E80B86" w:rsidRDefault="00E80B86" w:rsidP="006C4B3C">
      <w:pPr>
        <w:pStyle w:val="parrafos"/>
        <w:rPr>
          <w:lang w:val="es-CO"/>
        </w:rPr>
      </w:pPr>
    </w:p>
    <w:p w14:paraId="31672183" w14:textId="77777777" w:rsidR="00E80B86" w:rsidRPr="00E80B86" w:rsidRDefault="00E80B86" w:rsidP="006C4B3C">
      <w:pPr>
        <w:pStyle w:val="parrafos"/>
        <w:rPr>
          <w:lang w:val="es-CO"/>
        </w:rPr>
      </w:pPr>
    </w:p>
    <w:p w14:paraId="4996F915" w14:textId="77A30F1E" w:rsidR="0036649D" w:rsidRPr="00E80B86" w:rsidRDefault="0036649D" w:rsidP="0036649D">
      <w:pPr>
        <w:spacing w:after="0" w:line="240" w:lineRule="auto"/>
        <w:jc w:val="both"/>
        <w:rPr>
          <w:rFonts w:ascii="Cambria" w:hAnsi="Cambria" w:cs="Calibri"/>
          <w:color w:val="000000"/>
          <w:sz w:val="20"/>
          <w:szCs w:val="20"/>
          <w:lang w:val="es-CO"/>
        </w:rPr>
      </w:pPr>
      <w:r w:rsidRPr="00E80B86">
        <w:rPr>
          <w:rFonts w:ascii="Cambria" w:hAnsi="Cambria" w:cs="Calibri"/>
          <w:color w:val="000000"/>
          <w:sz w:val="20"/>
          <w:szCs w:val="20"/>
          <w:lang w:val="es-CO"/>
        </w:rPr>
        <w:t>Señor</w:t>
      </w:r>
    </w:p>
    <w:p w14:paraId="3FDE7392" w14:textId="77777777" w:rsidR="0036649D" w:rsidRPr="00E80B86" w:rsidRDefault="0036649D" w:rsidP="0036649D">
      <w:pPr>
        <w:spacing w:after="0" w:line="240" w:lineRule="auto"/>
        <w:jc w:val="both"/>
        <w:rPr>
          <w:rFonts w:ascii="Cambria" w:hAnsi="Cambria" w:cs="Calibri"/>
          <w:color w:val="000000"/>
          <w:sz w:val="20"/>
          <w:szCs w:val="20"/>
          <w:lang w:val="es-CO"/>
        </w:rPr>
      </w:pPr>
      <w:r w:rsidRPr="00E80B86">
        <w:rPr>
          <w:rFonts w:ascii="Cambria" w:hAnsi="Cambria" w:cs="Calibri"/>
          <w:color w:val="000000"/>
          <w:sz w:val="20"/>
          <w:szCs w:val="20"/>
          <w:lang w:val="es-CO"/>
        </w:rPr>
        <w:t>Pablo Saavedra Alessandri</w:t>
      </w:r>
    </w:p>
    <w:p w14:paraId="540472D1" w14:textId="77777777" w:rsidR="0036649D" w:rsidRPr="00E80B86" w:rsidRDefault="0036649D" w:rsidP="0036649D">
      <w:pPr>
        <w:spacing w:after="0" w:line="240" w:lineRule="auto"/>
        <w:jc w:val="both"/>
        <w:rPr>
          <w:rFonts w:ascii="Cambria" w:hAnsi="Cambria" w:cs="Calibri"/>
          <w:color w:val="000000"/>
          <w:sz w:val="20"/>
          <w:szCs w:val="20"/>
          <w:lang w:val="es-CO"/>
        </w:rPr>
      </w:pPr>
      <w:r w:rsidRPr="00E80B86">
        <w:rPr>
          <w:rFonts w:ascii="Cambria" w:hAnsi="Cambria" w:cs="Calibri"/>
          <w:color w:val="000000"/>
          <w:sz w:val="20"/>
          <w:szCs w:val="20"/>
          <w:lang w:val="es-CO"/>
        </w:rPr>
        <w:t>Secretario</w:t>
      </w:r>
    </w:p>
    <w:p w14:paraId="49B5A068" w14:textId="77777777" w:rsidR="0036649D" w:rsidRPr="00E80B86" w:rsidRDefault="0036649D" w:rsidP="0036649D">
      <w:pPr>
        <w:spacing w:after="0" w:line="240" w:lineRule="auto"/>
        <w:jc w:val="both"/>
        <w:rPr>
          <w:rFonts w:ascii="Cambria" w:hAnsi="Cambria" w:cs="Calibri"/>
          <w:color w:val="000000"/>
          <w:sz w:val="20"/>
          <w:szCs w:val="20"/>
          <w:lang w:val="es-CO"/>
        </w:rPr>
      </w:pPr>
      <w:r w:rsidRPr="00E80B86">
        <w:rPr>
          <w:rFonts w:ascii="Cambria" w:hAnsi="Cambria" w:cs="Calibri"/>
          <w:color w:val="000000"/>
          <w:sz w:val="20"/>
          <w:szCs w:val="20"/>
          <w:lang w:val="es-CO"/>
        </w:rPr>
        <w:t>Corte Interamericana de Derechos Humanos</w:t>
      </w:r>
    </w:p>
    <w:p w14:paraId="57D77F82" w14:textId="77777777" w:rsidR="0036649D" w:rsidRPr="00E80B86" w:rsidRDefault="0036649D" w:rsidP="0036649D">
      <w:pPr>
        <w:spacing w:after="0" w:line="240" w:lineRule="auto"/>
        <w:jc w:val="both"/>
        <w:rPr>
          <w:rFonts w:ascii="Cambria" w:hAnsi="Cambria"/>
          <w:b/>
          <w:bCs/>
          <w:sz w:val="20"/>
          <w:szCs w:val="20"/>
          <w:lang w:val="es-CO"/>
        </w:rPr>
      </w:pPr>
      <w:r w:rsidRPr="00E80B86">
        <w:rPr>
          <w:rFonts w:ascii="Cambria" w:hAnsi="Cambria" w:cs="Calibri"/>
          <w:color w:val="000000"/>
          <w:sz w:val="20"/>
          <w:szCs w:val="20"/>
          <w:lang w:val="es-CO"/>
        </w:rPr>
        <w:t>San José, Costa Rica</w:t>
      </w:r>
    </w:p>
    <w:p w14:paraId="253E7BFE" w14:textId="5C7D7116" w:rsidR="00CA3337" w:rsidRPr="00E80B86" w:rsidRDefault="00CA3337" w:rsidP="007D7547">
      <w:pPr>
        <w:pStyle w:val="parrafos"/>
        <w:tabs>
          <w:tab w:val="left" w:pos="360"/>
        </w:tabs>
        <w:rPr>
          <w:lang w:val="es-CO"/>
        </w:rPr>
      </w:pPr>
    </w:p>
    <w:p w14:paraId="3C918998" w14:textId="7DD2385D" w:rsidR="00CA3337" w:rsidRPr="00E80B86" w:rsidRDefault="00CA3337" w:rsidP="00CA3337">
      <w:pPr>
        <w:pStyle w:val="parrafos"/>
        <w:tabs>
          <w:tab w:val="left" w:pos="360"/>
        </w:tabs>
        <w:rPr>
          <w:lang w:val="es-CO"/>
        </w:rPr>
      </w:pPr>
      <w:r w:rsidRPr="00E80B86">
        <w:rPr>
          <w:lang w:val="es-CO"/>
        </w:rPr>
        <w:tab/>
        <w:t xml:space="preserve">El 28 de agosto de 2019, el Estado manifestó a la Comisión que la Secretaría de Estado realizó un proceso de investigación y determinó que el responsable del homicidio fue Luis Alberto Sosa Ardón y que el motivo fue un intento de asalto. Asimismo, informó que el señor Ardón falleció en el año 2007. </w:t>
      </w:r>
    </w:p>
    <w:p w14:paraId="2E242AFA" w14:textId="77777777" w:rsidR="00CA3337" w:rsidRPr="00E80B86" w:rsidRDefault="00CA3337" w:rsidP="007D7547">
      <w:pPr>
        <w:pStyle w:val="parrafos"/>
        <w:tabs>
          <w:tab w:val="left" w:pos="360"/>
        </w:tabs>
        <w:rPr>
          <w:lang w:val="es-CO"/>
        </w:rPr>
      </w:pPr>
    </w:p>
    <w:p w14:paraId="54C42E35" w14:textId="688EEC78" w:rsidR="006C4B3C" w:rsidRPr="00E80B86" w:rsidRDefault="00CA3337" w:rsidP="007D7547">
      <w:pPr>
        <w:pStyle w:val="parrafos"/>
        <w:tabs>
          <w:tab w:val="left" w:pos="360"/>
        </w:tabs>
        <w:rPr>
          <w:lang w:val="es-CO"/>
        </w:rPr>
      </w:pPr>
      <w:r w:rsidRPr="00E80B86">
        <w:rPr>
          <w:lang w:val="es-CO"/>
        </w:rPr>
        <w:tab/>
      </w:r>
      <w:r w:rsidR="006C4B3C" w:rsidRPr="00E80B86">
        <w:rPr>
          <w:lang w:val="es-CO"/>
        </w:rPr>
        <w:t>En su Informe de Fondo No. 450/21, la C</w:t>
      </w:r>
      <w:r w:rsidR="006E2E0B" w:rsidRPr="00E80B86">
        <w:rPr>
          <w:lang w:val="es-CO"/>
        </w:rPr>
        <w:t>omisi</w:t>
      </w:r>
      <w:r w:rsidR="00462631" w:rsidRPr="00E80B86">
        <w:rPr>
          <w:lang w:val="es-CO"/>
        </w:rPr>
        <w:t>ón consideró que</w:t>
      </w:r>
      <w:r w:rsidR="00E2405C" w:rsidRPr="00E80B86">
        <w:rPr>
          <w:lang w:val="es-CO"/>
        </w:rPr>
        <w:t xml:space="preserve"> la naturaleza y condiciones en las que fue encontrado el cuerpo de Leonela Zelaya, y el indicio adicional que se desprende del contexto </w:t>
      </w:r>
      <w:r w:rsidR="00D23A87" w:rsidRPr="00E80B86">
        <w:rPr>
          <w:lang w:val="es-CO"/>
        </w:rPr>
        <w:t>de violencia en el</w:t>
      </w:r>
      <w:r w:rsidR="009D1681" w:rsidRPr="00E80B86">
        <w:rPr>
          <w:lang w:val="es-CO"/>
        </w:rPr>
        <w:t xml:space="preserve"> que</w:t>
      </w:r>
      <w:r w:rsidR="00D23A87" w:rsidRPr="00E80B86">
        <w:rPr>
          <w:lang w:val="es-CO"/>
        </w:rPr>
        <w:t xml:space="preserve"> ocurrieron los hechos, permite caracterizar </w:t>
      </w:r>
      <w:r w:rsidR="006C4B3C" w:rsidRPr="00E80B86">
        <w:rPr>
          <w:lang w:val="es-CO"/>
        </w:rPr>
        <w:t>lo sucedido como un asesinato por prejuicio sobre identidad y expresión de género como mujer trans y, por lo tanto, un transfemicidio.</w:t>
      </w:r>
      <w:r w:rsidR="00E8476B" w:rsidRPr="00E80B86">
        <w:rPr>
          <w:lang w:val="es-CO"/>
        </w:rPr>
        <w:t xml:space="preserve"> En particular, la Comisión advirtió </w:t>
      </w:r>
      <w:r w:rsidR="00935F04" w:rsidRPr="00E80B86">
        <w:rPr>
          <w:lang w:val="es-CO"/>
        </w:rPr>
        <w:t xml:space="preserve">que </w:t>
      </w:r>
      <w:r w:rsidR="00F84849" w:rsidRPr="00E80B86">
        <w:rPr>
          <w:lang w:val="es-CO"/>
        </w:rPr>
        <w:t xml:space="preserve">dentro del expediente judicial del caso se consignó una foto en donde se observa que el cuerpo de la víctima fue hallado con el pecho descubierto, lo cual podría ser indicativo de violencia sexual, pese a lo cual no consta información sobre la realización de análisis respectivos para descartar que Leonela Zelaya haya sido víctima de </w:t>
      </w:r>
      <w:r w:rsidR="009D1681" w:rsidRPr="00E80B86">
        <w:rPr>
          <w:lang w:val="es-CO"/>
        </w:rPr>
        <w:t>é</w:t>
      </w:r>
      <w:r w:rsidR="00F84849" w:rsidRPr="00E80B86">
        <w:rPr>
          <w:lang w:val="es-CO"/>
        </w:rPr>
        <w:t>sta. Asimismo, la Comisión observ</w:t>
      </w:r>
      <w:r w:rsidR="00E43805" w:rsidRPr="00E80B86">
        <w:rPr>
          <w:lang w:val="es-CO"/>
        </w:rPr>
        <w:t>ó</w:t>
      </w:r>
      <w:r w:rsidR="00F84849" w:rsidRPr="00E80B86">
        <w:rPr>
          <w:lang w:val="es-CO"/>
        </w:rPr>
        <w:t xml:space="preserve"> que Leonela Zelaya fue asesinada por arma blanca y que su cuerpo fue hallado en la vía pública; elementos concordantes con lo encontrado por la CIDH en relación con cómo se cometen la mayoría de los crímenes por prejuicio en contra de las mujeres trans, en varias ocasiones en situaciones vinculadas con el trabajo sexual, tal como se da en el presente caso.</w:t>
      </w:r>
      <w:r w:rsidR="00123032" w:rsidRPr="00E80B86">
        <w:rPr>
          <w:lang w:val="es-CO"/>
        </w:rPr>
        <w:t xml:space="preserve"> </w:t>
      </w:r>
    </w:p>
    <w:p w14:paraId="052D794E" w14:textId="77777777" w:rsidR="006C4B3C" w:rsidRPr="00E80B86" w:rsidRDefault="006C4B3C" w:rsidP="006C4B3C">
      <w:pPr>
        <w:pStyle w:val="parrafos"/>
        <w:rPr>
          <w:lang w:val="es-CO"/>
        </w:rPr>
      </w:pPr>
    </w:p>
    <w:p w14:paraId="6311E6D2" w14:textId="64A23C12" w:rsidR="00F034F7" w:rsidRPr="00E80B86" w:rsidRDefault="007D7547" w:rsidP="007D7547">
      <w:pPr>
        <w:pStyle w:val="parrafos"/>
        <w:tabs>
          <w:tab w:val="left" w:pos="360"/>
        </w:tabs>
        <w:rPr>
          <w:lang w:val="es-CO"/>
        </w:rPr>
      </w:pPr>
      <w:r w:rsidRPr="00E80B86">
        <w:rPr>
          <w:lang w:val="es-CO"/>
        </w:rPr>
        <w:tab/>
      </w:r>
      <w:r w:rsidR="006C4B3C" w:rsidRPr="00E80B86">
        <w:rPr>
          <w:lang w:val="es-CO"/>
        </w:rPr>
        <w:t xml:space="preserve">Asimismo, </w:t>
      </w:r>
      <w:r w:rsidR="006C4B3C" w:rsidRPr="00E80B86">
        <w:rPr>
          <w:rFonts w:eastAsiaTheme="minorHAnsi" w:cs="Cambria"/>
          <w:lang w:val="es-CO"/>
        </w:rPr>
        <w:t xml:space="preserve">la Comisión advirtió que el Estado hondureño </w:t>
      </w:r>
      <w:r w:rsidR="0051766E" w:rsidRPr="00E80B86">
        <w:rPr>
          <w:lang w:val="es-CO"/>
        </w:rPr>
        <w:t>conocía de la existencia del contexto de discriminación histórica en contra de las personas LGBTI, particularmente en contra de las personas trans y trabajadores sexuales en la época del asesinato de Leonela</w:t>
      </w:r>
      <w:r w:rsidR="00790416" w:rsidRPr="00E80B86">
        <w:rPr>
          <w:lang w:val="es-CO"/>
        </w:rPr>
        <w:t xml:space="preserve">. Dicho contexto </w:t>
      </w:r>
      <w:r w:rsidR="001E0FE5" w:rsidRPr="00E80B86">
        <w:rPr>
          <w:lang w:val="es-CO"/>
        </w:rPr>
        <w:t xml:space="preserve">también ha sido conocido por la Corte en el caso </w:t>
      </w:r>
      <w:r w:rsidR="001E0FE5" w:rsidRPr="00E80B86">
        <w:rPr>
          <w:i/>
          <w:iCs/>
          <w:lang w:val="es-CO"/>
        </w:rPr>
        <w:t>Vicky Hernandez contra Honduras</w:t>
      </w:r>
      <w:r w:rsidR="001E0FE5" w:rsidRPr="00E80B86">
        <w:rPr>
          <w:lang w:val="es-CO"/>
        </w:rPr>
        <w:t>. A</w:t>
      </w:r>
      <w:r w:rsidR="0051766E" w:rsidRPr="00E80B86">
        <w:rPr>
          <w:lang w:val="es-CO"/>
        </w:rPr>
        <w:t xml:space="preserve"> pesar de ello,</w:t>
      </w:r>
      <w:r w:rsidR="000E05DF" w:rsidRPr="00E80B86">
        <w:rPr>
          <w:lang w:val="es-CO"/>
        </w:rPr>
        <w:t xml:space="preserve"> </w:t>
      </w:r>
      <w:r w:rsidR="00923A02" w:rsidRPr="00E80B86">
        <w:rPr>
          <w:lang w:val="es-CO"/>
        </w:rPr>
        <w:t xml:space="preserve">el Estado </w:t>
      </w:r>
      <w:r w:rsidR="000E05DF" w:rsidRPr="00E80B86">
        <w:rPr>
          <w:lang w:val="es-CO"/>
        </w:rPr>
        <w:t xml:space="preserve">no adoptó medidas </w:t>
      </w:r>
      <w:r w:rsidR="0051766E" w:rsidRPr="00E80B86">
        <w:rPr>
          <w:lang w:val="es-CO"/>
        </w:rPr>
        <w:t>para enfrentar</w:t>
      </w:r>
      <w:r w:rsidR="00790416" w:rsidRPr="00E80B86">
        <w:rPr>
          <w:lang w:val="es-CO"/>
        </w:rPr>
        <w:t xml:space="preserve">lo </w:t>
      </w:r>
      <w:r w:rsidR="0051766E" w:rsidRPr="00E80B86">
        <w:rPr>
          <w:lang w:val="es-CO"/>
        </w:rPr>
        <w:t xml:space="preserve">y prevenir su continuidad. Por el contrario, de la información aportada, </w:t>
      </w:r>
      <w:r w:rsidR="000A37C1" w:rsidRPr="00E80B86">
        <w:rPr>
          <w:lang w:val="es-CO"/>
        </w:rPr>
        <w:t xml:space="preserve">la Comisión resaltó que, en </w:t>
      </w:r>
      <w:r w:rsidR="0051766E" w:rsidRPr="00E80B86">
        <w:rPr>
          <w:lang w:val="es-CO"/>
        </w:rPr>
        <w:t>al menos una ocasión</w:t>
      </w:r>
      <w:r w:rsidR="004224E9" w:rsidRPr="00E80B86">
        <w:rPr>
          <w:lang w:val="es-CO"/>
        </w:rPr>
        <w:t xml:space="preserve">, </w:t>
      </w:r>
      <w:r w:rsidR="0051766E" w:rsidRPr="00E80B86">
        <w:rPr>
          <w:lang w:val="es-CO"/>
        </w:rPr>
        <w:t>Leonela fue víctima de agresiones por parte de agentes estatales</w:t>
      </w:r>
      <w:r w:rsidR="008332E8" w:rsidRPr="00E80B86">
        <w:rPr>
          <w:lang w:val="es-CO"/>
        </w:rPr>
        <w:t>, de tal manera que su muerte</w:t>
      </w:r>
      <w:r w:rsidR="008525C6" w:rsidRPr="00E80B86">
        <w:rPr>
          <w:lang w:val="es-CO"/>
        </w:rPr>
        <w:t xml:space="preserve">, </w:t>
      </w:r>
      <w:r w:rsidR="008332E8" w:rsidRPr="00E80B86">
        <w:rPr>
          <w:lang w:val="es-CO"/>
        </w:rPr>
        <w:t xml:space="preserve">además de que se inserta en una situación de gran vulnerabilidad y exposición al riesgo creada por el propio Estado, sugiere incluso </w:t>
      </w:r>
      <w:r w:rsidR="005A0759" w:rsidRPr="00E80B86">
        <w:rPr>
          <w:lang w:val="es-CO"/>
        </w:rPr>
        <w:t xml:space="preserve">la posible participación de </w:t>
      </w:r>
      <w:r w:rsidR="008332E8" w:rsidRPr="00E80B86">
        <w:rPr>
          <w:lang w:val="es-CO"/>
        </w:rPr>
        <w:t>agentes estatales</w:t>
      </w:r>
      <w:r w:rsidR="005A0759" w:rsidRPr="00E80B86">
        <w:rPr>
          <w:lang w:val="es-CO"/>
        </w:rPr>
        <w:t>, lo cual no fue desvirtuado en la investigación interna.</w:t>
      </w:r>
    </w:p>
    <w:p w14:paraId="293E77A2" w14:textId="77777777" w:rsidR="00F034F7" w:rsidRPr="00E80B86" w:rsidRDefault="00F034F7" w:rsidP="007D7547">
      <w:pPr>
        <w:pStyle w:val="parrafos"/>
        <w:tabs>
          <w:tab w:val="left" w:pos="360"/>
        </w:tabs>
        <w:rPr>
          <w:lang w:val="es-CO"/>
        </w:rPr>
      </w:pPr>
    </w:p>
    <w:p w14:paraId="3C9354D7" w14:textId="290CDC67" w:rsidR="006C4B3C" w:rsidRPr="00E80B86" w:rsidRDefault="00F034F7" w:rsidP="007D7547">
      <w:pPr>
        <w:pStyle w:val="parrafos"/>
        <w:tabs>
          <w:tab w:val="left" w:pos="360"/>
        </w:tabs>
        <w:rPr>
          <w:lang w:val="es-CO"/>
        </w:rPr>
      </w:pPr>
      <w:r w:rsidRPr="00E80B86">
        <w:rPr>
          <w:lang w:val="es-CO"/>
        </w:rPr>
        <w:tab/>
      </w:r>
      <w:r w:rsidR="006C4B3C" w:rsidRPr="00E80B86">
        <w:rPr>
          <w:rFonts w:eastAsiaTheme="minorHAnsi" w:cs="Cambria"/>
          <w:lang w:val="es-CO"/>
        </w:rPr>
        <w:t xml:space="preserve">En ese sentido, la </w:t>
      </w:r>
      <w:r w:rsidR="006C4B3C" w:rsidRPr="00E80B86">
        <w:rPr>
          <w:lang w:val="es-CO"/>
        </w:rPr>
        <w:t xml:space="preserve">Comisión concluyó que el Estado es responsable por la violación de los derechos a la vida, integridad personal, vida privada, </w:t>
      </w:r>
      <w:r w:rsidR="001E0FE5" w:rsidRPr="00E80B86">
        <w:rPr>
          <w:lang w:val="es-CO"/>
        </w:rPr>
        <w:t>honra y</w:t>
      </w:r>
      <w:r w:rsidR="006C4B3C" w:rsidRPr="00E80B86">
        <w:rPr>
          <w:lang w:val="es-CO"/>
        </w:rPr>
        <w:t xml:space="preserve"> dignidad, libertad de expresión, igualdad y no discriminación, así como a vivir libre de violencia</w:t>
      </w:r>
      <w:r w:rsidRPr="00E80B86">
        <w:rPr>
          <w:lang w:val="es-CO"/>
        </w:rPr>
        <w:t xml:space="preserve">. </w:t>
      </w:r>
      <w:r w:rsidR="006C4B3C" w:rsidRPr="00E80B86">
        <w:rPr>
          <w:lang w:val="es-CO"/>
        </w:rPr>
        <w:t xml:space="preserve"> </w:t>
      </w:r>
    </w:p>
    <w:p w14:paraId="7B2A9C16" w14:textId="77777777" w:rsidR="006C4B3C" w:rsidRPr="00E80B86" w:rsidRDefault="006C4B3C" w:rsidP="006C4B3C">
      <w:pPr>
        <w:pStyle w:val="parrafos"/>
        <w:rPr>
          <w:lang w:val="es-CO"/>
        </w:rPr>
      </w:pPr>
    </w:p>
    <w:p w14:paraId="3F4C8655" w14:textId="5129D789" w:rsidR="002D5E89" w:rsidRPr="00E80B86" w:rsidRDefault="007D7547" w:rsidP="007D7547">
      <w:pPr>
        <w:pStyle w:val="parrafos"/>
        <w:tabs>
          <w:tab w:val="left" w:pos="360"/>
        </w:tabs>
        <w:rPr>
          <w:lang w:val="es-CO"/>
        </w:rPr>
      </w:pPr>
      <w:r w:rsidRPr="00E80B86">
        <w:rPr>
          <w:lang w:val="es-CO"/>
        </w:rPr>
        <w:tab/>
      </w:r>
      <w:r w:rsidR="006C4B3C" w:rsidRPr="00E80B86">
        <w:rPr>
          <w:lang w:val="es-CO"/>
        </w:rPr>
        <w:t xml:space="preserve">Con respecto </w:t>
      </w:r>
      <w:r w:rsidR="0014603C">
        <w:rPr>
          <w:lang w:val="es-CO"/>
        </w:rPr>
        <w:t xml:space="preserve">a </w:t>
      </w:r>
      <w:r w:rsidR="006C4B3C" w:rsidRPr="00E80B86">
        <w:rPr>
          <w:lang w:val="es-CO"/>
        </w:rPr>
        <w:t xml:space="preserve">la investigación penal, la Comisión observó que </w:t>
      </w:r>
      <w:r w:rsidR="00E6641C" w:rsidRPr="00E80B86">
        <w:rPr>
          <w:lang w:val="es-CO"/>
        </w:rPr>
        <w:t xml:space="preserve">el Estado </w:t>
      </w:r>
      <w:r w:rsidR="00757741" w:rsidRPr="00E80B86">
        <w:rPr>
          <w:lang w:val="es-CO"/>
        </w:rPr>
        <w:t>no diseñó ni implementó líneas lógicas de investigación derivadas de los elementos de prueba y contexto que rodearon los hechos del caso</w:t>
      </w:r>
      <w:r w:rsidR="0042561D" w:rsidRPr="00E80B86">
        <w:rPr>
          <w:lang w:val="es-CO"/>
        </w:rPr>
        <w:t xml:space="preserve">, siguiendo únicamente </w:t>
      </w:r>
      <w:r w:rsidR="00757741" w:rsidRPr="00E80B86">
        <w:rPr>
          <w:lang w:val="es-CO"/>
        </w:rPr>
        <w:t>la línea de investigación consistente en la hipótesis de que el homicidio de Leonela Zelaya fue producto de una discusión o enfrentamiento con un civil desconocido</w:t>
      </w:r>
      <w:r w:rsidR="002D5E89" w:rsidRPr="00E80B86">
        <w:rPr>
          <w:lang w:val="es-CO"/>
        </w:rPr>
        <w:t xml:space="preserve"> y omitiendo </w:t>
      </w:r>
      <w:r w:rsidR="00CE03E9" w:rsidRPr="00E80B86">
        <w:rPr>
          <w:lang w:val="es-CO"/>
        </w:rPr>
        <w:t xml:space="preserve">por completo de la investigación el análisis de los múltiples elementos que indicaban que el hecho podría enmarcarse dentro del concepto de crimen por prejuicio y la posible participación de agentes estatales. </w:t>
      </w:r>
    </w:p>
    <w:p w14:paraId="69DB0E1C" w14:textId="77777777" w:rsidR="002D5E89" w:rsidRPr="00E80B86" w:rsidRDefault="002D5E89" w:rsidP="007D7547">
      <w:pPr>
        <w:pStyle w:val="parrafos"/>
        <w:tabs>
          <w:tab w:val="left" w:pos="360"/>
        </w:tabs>
        <w:rPr>
          <w:lang w:val="es-CO"/>
        </w:rPr>
      </w:pPr>
    </w:p>
    <w:p w14:paraId="0348E4B6" w14:textId="191D967D" w:rsidR="00083AEC" w:rsidRPr="00E80B86" w:rsidRDefault="00F9397B" w:rsidP="007D7547">
      <w:pPr>
        <w:pStyle w:val="parrafos"/>
        <w:tabs>
          <w:tab w:val="left" w:pos="360"/>
        </w:tabs>
        <w:rPr>
          <w:lang w:val="es-CO"/>
        </w:rPr>
      </w:pPr>
      <w:r w:rsidRPr="00E80B86">
        <w:rPr>
          <w:lang w:val="es-CO"/>
        </w:rPr>
        <w:tab/>
      </w:r>
      <w:r w:rsidR="002D5E89" w:rsidRPr="00E80B86">
        <w:rPr>
          <w:lang w:val="es-CO"/>
        </w:rPr>
        <w:t xml:space="preserve">Aunado a esto, </w:t>
      </w:r>
      <w:r w:rsidR="00290445" w:rsidRPr="00E80B86">
        <w:rPr>
          <w:lang w:val="es-CO"/>
        </w:rPr>
        <w:t>la Comisión consider</w:t>
      </w:r>
      <w:r w:rsidR="002D5E89" w:rsidRPr="00E80B86">
        <w:rPr>
          <w:lang w:val="es-CO"/>
        </w:rPr>
        <w:t xml:space="preserve">ó </w:t>
      </w:r>
      <w:r w:rsidR="00290445" w:rsidRPr="00E80B86">
        <w:rPr>
          <w:lang w:val="es-CO"/>
        </w:rPr>
        <w:t xml:space="preserve">que el proceso investigativo interno </w:t>
      </w:r>
      <w:r w:rsidR="002D5E89" w:rsidRPr="00E80B86">
        <w:rPr>
          <w:lang w:val="es-CO"/>
        </w:rPr>
        <w:t>fue</w:t>
      </w:r>
      <w:r w:rsidR="00290445" w:rsidRPr="00E80B86">
        <w:rPr>
          <w:lang w:val="es-CO"/>
        </w:rPr>
        <w:t xml:space="preserve"> deficiente y la actividad probatoria </w:t>
      </w:r>
      <w:r w:rsidR="002D5E89" w:rsidRPr="00E80B86">
        <w:rPr>
          <w:lang w:val="es-CO"/>
        </w:rPr>
        <w:t xml:space="preserve">fue </w:t>
      </w:r>
      <w:r w:rsidR="00290445" w:rsidRPr="00E80B86">
        <w:rPr>
          <w:lang w:val="es-CO"/>
        </w:rPr>
        <w:t xml:space="preserve">mínima. </w:t>
      </w:r>
      <w:r w:rsidR="002D5E89" w:rsidRPr="00E80B86">
        <w:rPr>
          <w:lang w:val="es-CO"/>
        </w:rPr>
        <w:t xml:space="preserve">En particular, </w:t>
      </w:r>
      <w:r w:rsidR="00083AEC" w:rsidRPr="00E80B86">
        <w:rPr>
          <w:lang w:val="es-CO"/>
        </w:rPr>
        <w:t xml:space="preserve">la CIDH </w:t>
      </w:r>
      <w:r w:rsidR="000F65E6" w:rsidRPr="00E80B86">
        <w:rPr>
          <w:lang w:val="es-CO"/>
        </w:rPr>
        <w:t>observó</w:t>
      </w:r>
      <w:r w:rsidR="00083AEC" w:rsidRPr="00E80B86">
        <w:rPr>
          <w:lang w:val="es-CO"/>
        </w:rPr>
        <w:t xml:space="preserve"> </w:t>
      </w:r>
      <w:r w:rsidRPr="00E80B86">
        <w:rPr>
          <w:lang w:val="es-CO"/>
        </w:rPr>
        <w:t>que,</w:t>
      </w:r>
      <w:r w:rsidR="00083AEC" w:rsidRPr="00E80B86">
        <w:rPr>
          <w:lang w:val="es-CO"/>
        </w:rPr>
        <w:t xml:space="preserve"> en las notas de la investigación del caso contenidas en el expediente judicial, se consignó que al cuerpo hallado “supuestamente le </w:t>
      </w:r>
      <w:r w:rsidR="000F65E6" w:rsidRPr="00E80B86">
        <w:rPr>
          <w:lang w:val="es-CO"/>
        </w:rPr>
        <w:t>decían</w:t>
      </w:r>
      <w:r w:rsidR="00083AEC" w:rsidRPr="00E80B86">
        <w:rPr>
          <w:lang w:val="es-CO"/>
        </w:rPr>
        <w:t xml:space="preserve"> Leonela”. La Comisión consider</w:t>
      </w:r>
      <w:r w:rsidR="000F65E6" w:rsidRPr="00E80B86">
        <w:rPr>
          <w:lang w:val="es-CO"/>
        </w:rPr>
        <w:t xml:space="preserve">ó </w:t>
      </w:r>
      <w:r w:rsidR="00083AEC" w:rsidRPr="00E80B86">
        <w:rPr>
          <w:lang w:val="es-CO"/>
        </w:rPr>
        <w:t>que ello permite evidenciar que las autoridades que llevaron a cabo el levantamiento del cuerpo tuvieron conocimiento de su identidad desde el momento en que se realizaron las primeras diligencias. Sin embargo, dicha información no fue consignada en ninguna de las actas de levantamiento, así como tampoco en la constancia de denuncia. En su lugar se registró a Leonela como “persona desconocida”</w:t>
      </w:r>
      <w:r w:rsidR="00801CC2" w:rsidRPr="00E80B86">
        <w:rPr>
          <w:lang w:val="es-CO"/>
        </w:rPr>
        <w:t xml:space="preserve">, lo cual </w:t>
      </w:r>
      <w:r w:rsidR="00083AEC" w:rsidRPr="00E80B86">
        <w:rPr>
          <w:lang w:val="es-CO"/>
        </w:rPr>
        <w:t xml:space="preserve">resultó </w:t>
      </w:r>
      <w:r w:rsidR="00801CC2" w:rsidRPr="00E80B86">
        <w:rPr>
          <w:lang w:val="es-CO"/>
        </w:rPr>
        <w:t xml:space="preserve">en </w:t>
      </w:r>
      <w:r w:rsidR="00083AEC" w:rsidRPr="00E80B86">
        <w:rPr>
          <w:lang w:val="es-CO"/>
        </w:rPr>
        <w:t>una grave omisión en las actividades de diligencia del Estado, y refuerza los estereotipos de género.</w:t>
      </w:r>
    </w:p>
    <w:p w14:paraId="11D7A8EE" w14:textId="77777777" w:rsidR="00F9397B" w:rsidRPr="00E80B86" w:rsidRDefault="00F9397B" w:rsidP="007D7547">
      <w:pPr>
        <w:pStyle w:val="parrafos"/>
        <w:tabs>
          <w:tab w:val="left" w:pos="360"/>
        </w:tabs>
        <w:rPr>
          <w:lang w:val="es-CO"/>
        </w:rPr>
      </w:pPr>
    </w:p>
    <w:p w14:paraId="0FFBA2EB" w14:textId="77C12FCD" w:rsidR="00713530" w:rsidRPr="00E80B86" w:rsidRDefault="00F9397B" w:rsidP="007D7547">
      <w:pPr>
        <w:pStyle w:val="parrafos"/>
        <w:tabs>
          <w:tab w:val="left" w:pos="360"/>
        </w:tabs>
        <w:rPr>
          <w:lang w:val="es-CO"/>
        </w:rPr>
      </w:pPr>
      <w:r w:rsidRPr="00E80B86">
        <w:rPr>
          <w:lang w:val="es-CO"/>
        </w:rPr>
        <w:tab/>
      </w:r>
      <w:r w:rsidR="00FB2830" w:rsidRPr="00E80B86">
        <w:rPr>
          <w:lang w:val="es-CO"/>
        </w:rPr>
        <w:t>E</w:t>
      </w:r>
      <w:r w:rsidR="00713530" w:rsidRPr="00E80B86">
        <w:rPr>
          <w:lang w:val="es-CO"/>
        </w:rPr>
        <w:t xml:space="preserve">n relación con el plazo razonable, la Comisión observó </w:t>
      </w:r>
      <w:r w:rsidR="00491714" w:rsidRPr="00E80B86">
        <w:rPr>
          <w:lang w:val="es-CO"/>
        </w:rPr>
        <w:t xml:space="preserve">que </w:t>
      </w:r>
      <w:r w:rsidR="00713530" w:rsidRPr="00E80B86">
        <w:rPr>
          <w:lang w:val="es-CO"/>
        </w:rPr>
        <w:t xml:space="preserve">habían transcurrido más de 17 años desde que se inició la investigación por la muerte de Leonela sin que se hayan realizado diligencias para esclarecer los hechos y sancionar a las personas responsables, e incluso </w:t>
      </w:r>
      <w:r w:rsidR="00B468D3" w:rsidRPr="00E80B86">
        <w:rPr>
          <w:lang w:val="es-CO"/>
        </w:rPr>
        <w:t xml:space="preserve">que </w:t>
      </w:r>
      <w:r w:rsidR="00713530" w:rsidRPr="00E80B86">
        <w:rPr>
          <w:lang w:val="es-CO"/>
        </w:rPr>
        <w:t xml:space="preserve">el Estado reconoció que el expediente estuvo extraviado por más de una década. </w:t>
      </w:r>
      <w:r w:rsidR="00B468D3" w:rsidRPr="00E80B86">
        <w:rPr>
          <w:lang w:val="es-CO"/>
        </w:rPr>
        <w:t>L</w:t>
      </w:r>
      <w:r w:rsidR="00713530" w:rsidRPr="00E80B86">
        <w:rPr>
          <w:lang w:val="es-CO"/>
        </w:rPr>
        <w:t>a Comisión consider</w:t>
      </w:r>
      <w:r w:rsidR="00B468D3" w:rsidRPr="00E80B86">
        <w:rPr>
          <w:lang w:val="es-CO"/>
        </w:rPr>
        <w:t xml:space="preserve">ó </w:t>
      </w:r>
      <w:r w:rsidR="00DC0F12" w:rsidRPr="00E80B86">
        <w:rPr>
          <w:lang w:val="es-CO"/>
        </w:rPr>
        <w:t xml:space="preserve">que de la </w:t>
      </w:r>
      <w:r w:rsidR="00713530" w:rsidRPr="00E80B86">
        <w:rPr>
          <w:lang w:val="es-CO"/>
        </w:rPr>
        <w:t>información disponible resulta evidente que el Estado no ha cumplido con el deber de investigar con la debida diligencia y en un plazo razonable.</w:t>
      </w:r>
    </w:p>
    <w:p w14:paraId="45D68290" w14:textId="77777777" w:rsidR="00E80B86" w:rsidRDefault="00E80B86" w:rsidP="007D7547">
      <w:pPr>
        <w:pStyle w:val="parrafos"/>
        <w:tabs>
          <w:tab w:val="left" w:pos="360"/>
        </w:tabs>
        <w:rPr>
          <w:lang w:val="es-CO"/>
        </w:rPr>
      </w:pPr>
    </w:p>
    <w:p w14:paraId="0D5997AA" w14:textId="77777777" w:rsidR="00E80B86" w:rsidRPr="00E80B86" w:rsidRDefault="00E80B86" w:rsidP="007D7547">
      <w:pPr>
        <w:pStyle w:val="parrafos"/>
        <w:tabs>
          <w:tab w:val="left" w:pos="360"/>
        </w:tabs>
        <w:rPr>
          <w:lang w:val="es-CO"/>
        </w:rPr>
      </w:pPr>
    </w:p>
    <w:p w14:paraId="2CB2EBFC" w14:textId="0B6BFCA1" w:rsidR="006C4B3C" w:rsidRPr="00E80B86" w:rsidRDefault="00F9397B" w:rsidP="007D7547">
      <w:pPr>
        <w:pStyle w:val="parrafos"/>
        <w:tabs>
          <w:tab w:val="left" w:pos="360"/>
        </w:tabs>
        <w:rPr>
          <w:lang w:val="es-CO"/>
        </w:rPr>
      </w:pPr>
      <w:r w:rsidRPr="00E80B86">
        <w:rPr>
          <w:lang w:val="es-CO"/>
        </w:rPr>
        <w:tab/>
      </w:r>
      <w:r w:rsidR="006C4B3C" w:rsidRPr="00E80B86">
        <w:rPr>
          <w:lang w:val="es-CO"/>
        </w:rPr>
        <w:t>En consecuencia, la CIDH concluyó que el Estado es responsable por la violación de los derechos a las garantías judiciales, a la igualdad y no discriminación y a la protección judicial</w:t>
      </w:r>
      <w:r w:rsidR="00B22DE1" w:rsidRPr="00E80B86">
        <w:rPr>
          <w:lang w:val="es-CO"/>
        </w:rPr>
        <w:t xml:space="preserve">. </w:t>
      </w:r>
    </w:p>
    <w:p w14:paraId="6713DCEA" w14:textId="77777777" w:rsidR="006C4B3C" w:rsidRPr="00E80B86" w:rsidRDefault="006C4B3C" w:rsidP="006C4B3C">
      <w:pPr>
        <w:pStyle w:val="parrafos"/>
        <w:rPr>
          <w:lang w:val="es-CO"/>
        </w:rPr>
      </w:pPr>
    </w:p>
    <w:p w14:paraId="5E6D305A" w14:textId="24C14A0F" w:rsidR="00A9224E" w:rsidRPr="00E80B86" w:rsidRDefault="007D7547" w:rsidP="00594BEA">
      <w:pPr>
        <w:pStyle w:val="parrafos"/>
        <w:tabs>
          <w:tab w:val="left" w:pos="360"/>
        </w:tabs>
        <w:rPr>
          <w:rFonts w:eastAsiaTheme="minorHAnsi" w:cs="Cambria"/>
          <w:lang w:val="es-CO"/>
        </w:rPr>
      </w:pPr>
      <w:r w:rsidRPr="00E80B86">
        <w:rPr>
          <w:lang w:val="es-CO"/>
        </w:rPr>
        <w:tab/>
      </w:r>
      <w:r w:rsidR="006C4B3C" w:rsidRPr="00E80B86">
        <w:rPr>
          <w:lang w:val="es-CO"/>
        </w:rPr>
        <w:t xml:space="preserve">Finalmente, </w:t>
      </w:r>
      <w:r w:rsidR="00341AE3" w:rsidRPr="00E80B86">
        <w:rPr>
          <w:lang w:val="es-CO"/>
        </w:rPr>
        <w:t>teniendo en cuenta que el concepto de familia no debe encontrarse restringido exclusivamente a la familia nuclear</w:t>
      </w:r>
      <w:r w:rsidR="00B65184" w:rsidRPr="00E80B86">
        <w:rPr>
          <w:lang w:val="es-CO"/>
        </w:rPr>
        <w:t>, y</w:t>
      </w:r>
      <w:r w:rsidR="00A66AC6" w:rsidRPr="00E80B86">
        <w:rPr>
          <w:lang w:val="es-CO"/>
        </w:rPr>
        <w:t xml:space="preserve"> </w:t>
      </w:r>
      <w:r w:rsidR="004C08B0" w:rsidRPr="00E80B86">
        <w:rPr>
          <w:lang w:val="es-CO"/>
        </w:rPr>
        <w:t xml:space="preserve">que </w:t>
      </w:r>
      <w:r w:rsidR="00B65184" w:rsidRPr="00E80B86">
        <w:rPr>
          <w:lang w:val="es-CO"/>
        </w:rPr>
        <w:t xml:space="preserve">en particular </w:t>
      </w:r>
      <w:r w:rsidR="00D435AA" w:rsidRPr="00E80B86">
        <w:rPr>
          <w:lang w:val="es-CO"/>
        </w:rPr>
        <w:t xml:space="preserve">quienes hacen parte la comunidad trans, debido a los factores de vulnerabilidad económica y social a los que se ven expuestas, </w:t>
      </w:r>
      <w:r w:rsidR="00B05588" w:rsidRPr="00E80B86">
        <w:rPr>
          <w:lang w:val="es-CO"/>
        </w:rPr>
        <w:t xml:space="preserve">construyen redes </w:t>
      </w:r>
      <w:r w:rsidR="00065567" w:rsidRPr="00E80B86">
        <w:rPr>
          <w:lang w:val="es-CO"/>
        </w:rPr>
        <w:t>comunitarias</w:t>
      </w:r>
      <w:r w:rsidR="00B05588" w:rsidRPr="00E80B86">
        <w:rPr>
          <w:lang w:val="es-CO"/>
        </w:rPr>
        <w:t xml:space="preserve"> </w:t>
      </w:r>
      <w:r w:rsidR="004C08B0" w:rsidRPr="00E80B86">
        <w:rPr>
          <w:lang w:val="es-CO"/>
        </w:rPr>
        <w:t xml:space="preserve">y </w:t>
      </w:r>
      <w:r w:rsidR="00B05588" w:rsidRPr="00E80B86">
        <w:rPr>
          <w:lang w:val="es-CO"/>
        </w:rPr>
        <w:t xml:space="preserve">lazos de amistad, sororidad, apoyo económico y </w:t>
      </w:r>
      <w:r w:rsidR="00065567" w:rsidRPr="00E80B86">
        <w:rPr>
          <w:lang w:val="es-CO"/>
        </w:rPr>
        <w:t>creación</w:t>
      </w:r>
      <w:r w:rsidR="00B05588" w:rsidRPr="00E80B86">
        <w:rPr>
          <w:lang w:val="es-CO"/>
        </w:rPr>
        <w:t xml:space="preserve"> de formas de vidas comunes</w:t>
      </w:r>
      <w:r w:rsidR="00D728D2" w:rsidRPr="00E80B86">
        <w:rPr>
          <w:lang w:val="es-CO"/>
        </w:rPr>
        <w:t xml:space="preserve">, </w:t>
      </w:r>
      <w:r w:rsidR="00A66AC6" w:rsidRPr="00E80B86">
        <w:rPr>
          <w:lang w:val="es-CO"/>
        </w:rPr>
        <w:t xml:space="preserve">la Comisión </w:t>
      </w:r>
      <w:r w:rsidR="00D728D2" w:rsidRPr="00E80B86">
        <w:rPr>
          <w:lang w:val="es-CO"/>
        </w:rPr>
        <w:t xml:space="preserve">reconoció a Talía </w:t>
      </w:r>
      <w:r w:rsidR="009E7BE9" w:rsidRPr="00E80B86">
        <w:rPr>
          <w:lang w:val="es-CO"/>
        </w:rPr>
        <w:t xml:space="preserve">Rodríguez </w:t>
      </w:r>
      <w:r w:rsidR="00D728D2" w:rsidRPr="00E80B86">
        <w:rPr>
          <w:lang w:val="es-CO"/>
        </w:rPr>
        <w:t>como familiar</w:t>
      </w:r>
      <w:r w:rsidR="009E7BE9" w:rsidRPr="00E80B86">
        <w:rPr>
          <w:lang w:val="es-CO"/>
        </w:rPr>
        <w:t xml:space="preserve"> de Leonela Zelaya</w:t>
      </w:r>
      <w:r w:rsidR="00D728D2" w:rsidRPr="00E80B86">
        <w:rPr>
          <w:lang w:val="es-CO"/>
        </w:rPr>
        <w:t xml:space="preserve">. En este sentido, </w:t>
      </w:r>
      <w:r w:rsidR="006C4B3C" w:rsidRPr="00E80B86">
        <w:rPr>
          <w:lang w:val="es-CO"/>
        </w:rPr>
        <w:t>la CIDH</w:t>
      </w:r>
      <w:r w:rsidR="00D728D2" w:rsidRPr="00E80B86">
        <w:rPr>
          <w:lang w:val="es-CO"/>
        </w:rPr>
        <w:t xml:space="preserve"> </w:t>
      </w:r>
      <w:r w:rsidR="006C4B3C" w:rsidRPr="00E80B86">
        <w:rPr>
          <w:lang w:val="es-CO"/>
        </w:rPr>
        <w:t>co</w:t>
      </w:r>
      <w:r w:rsidR="005D1B63" w:rsidRPr="00E80B86">
        <w:rPr>
          <w:lang w:val="es-CO"/>
        </w:rPr>
        <w:t>nsideró que</w:t>
      </w:r>
      <w:r w:rsidR="00D728D2" w:rsidRPr="00E80B86">
        <w:rPr>
          <w:lang w:val="es-CO"/>
        </w:rPr>
        <w:t xml:space="preserve"> </w:t>
      </w:r>
      <w:r w:rsidR="006C4B3C" w:rsidRPr="00E80B86">
        <w:rPr>
          <w:lang w:val="es-CO"/>
        </w:rPr>
        <w:t xml:space="preserve">el Estado es responsable por la violación del derecho a la integridad personal en perjuicio de </w:t>
      </w:r>
      <w:r w:rsidR="006C4B3C" w:rsidRPr="00E80B86">
        <w:rPr>
          <w:rFonts w:eastAsiaTheme="minorHAnsi" w:cs="Cambria"/>
          <w:lang w:val="es-CO"/>
        </w:rPr>
        <w:t>Talía Rodríguez</w:t>
      </w:r>
      <w:r w:rsidR="00594BEA" w:rsidRPr="00E80B86">
        <w:rPr>
          <w:rFonts w:eastAsiaTheme="minorHAnsi" w:cs="Cambria"/>
          <w:lang w:val="es-CO"/>
        </w:rPr>
        <w:t xml:space="preserve"> </w:t>
      </w:r>
      <w:r w:rsidR="006C4B3C" w:rsidRPr="00E80B86">
        <w:rPr>
          <w:rFonts w:eastAsiaTheme="minorHAnsi" w:cs="Cambria"/>
          <w:lang w:val="es-CO"/>
        </w:rPr>
        <w:t>debido a la pérdida de su ser querido, la gravedad de los hechos ocurridos, sumado a la ausencia de un esclarecimiento y respuesta judicial adecuada y oportuna.</w:t>
      </w:r>
    </w:p>
    <w:p w14:paraId="668F18FB" w14:textId="77777777" w:rsidR="00594BEA" w:rsidRPr="00E80B86" w:rsidRDefault="00594BEA" w:rsidP="00594BEA">
      <w:pPr>
        <w:pStyle w:val="parrafos"/>
        <w:tabs>
          <w:tab w:val="left" w:pos="360"/>
        </w:tabs>
        <w:rPr>
          <w:lang w:val="es-CO"/>
        </w:rPr>
      </w:pPr>
    </w:p>
    <w:p w14:paraId="1DE4DD8A" w14:textId="309F040D" w:rsidR="00A9224E" w:rsidRPr="00E80B86" w:rsidRDefault="0024511F" w:rsidP="00A31D11">
      <w:pPr>
        <w:pStyle w:val="BodyTextIndent"/>
        <w:rPr>
          <w:rFonts w:cs="Calibri"/>
          <w:color w:val="000000"/>
        </w:rPr>
      </w:pPr>
      <w:r w:rsidRPr="00E80B86">
        <w:t>Con base en las determinaciones de hecho y de derecho del informe, la Comisión Interamericana concluy</w:t>
      </w:r>
      <w:r w:rsidR="00C411C8" w:rsidRPr="00E80B86">
        <w:t>ó</w:t>
      </w:r>
      <w:r w:rsidRPr="00E80B86">
        <w:t xml:space="preserve"> que el Estado es responsable por la violación de los derechos a la vida, integridad personal, garantías judiciales, la honra y dignidad, libertad de expresión, igualdad y no discriminación y protección judicial establecidos en los artículos 4.1, 5.1, 8.1, 11, 13, 24 y 25.1 de la Convención Americana, en relación con el artículo 1.1 del mismo instrumento; y del artículo 7 de la Convención Interamericana para Prevenir, Sancionar y Erradicar la Violencia contra la Mujer, en perjuicio de Leonela Zelaya y Talía Rodríguez</w:t>
      </w:r>
      <w:r w:rsidR="00A9224E" w:rsidRPr="00E80B86">
        <w:t>.</w:t>
      </w:r>
    </w:p>
    <w:p w14:paraId="7013BFBC" w14:textId="77777777" w:rsidR="00A9224E" w:rsidRPr="00E80B86" w:rsidRDefault="00A9224E" w:rsidP="00A9224E">
      <w:pPr>
        <w:spacing w:after="0" w:line="240" w:lineRule="auto"/>
        <w:jc w:val="both"/>
        <w:rPr>
          <w:rFonts w:ascii="Cambria" w:eastAsia="Cambria" w:hAnsi="Cambria" w:cs="Cambria"/>
          <w:sz w:val="20"/>
          <w:szCs w:val="20"/>
          <w:lang w:val="es-CO"/>
        </w:rPr>
      </w:pPr>
    </w:p>
    <w:p w14:paraId="40AF8FE0" w14:textId="3A5C00AC" w:rsidR="00A9224E" w:rsidRPr="00E80B86" w:rsidRDefault="00927F99" w:rsidP="00927F99">
      <w:pPr>
        <w:pStyle w:val="parrafos"/>
        <w:tabs>
          <w:tab w:val="left" w:pos="360"/>
        </w:tabs>
        <w:rPr>
          <w:rFonts w:cs="Calibri"/>
          <w:lang w:val="es-CO"/>
        </w:rPr>
      </w:pPr>
      <w:r w:rsidRPr="00E80B86">
        <w:rPr>
          <w:rFonts w:cs="Calibri"/>
          <w:lang w:val="es-CO"/>
        </w:rPr>
        <w:tab/>
      </w:r>
      <w:r w:rsidR="00A9224E" w:rsidRPr="00E80B86">
        <w:rPr>
          <w:rFonts w:cs="Calibri"/>
          <w:lang w:val="es-CO"/>
        </w:rPr>
        <w:t>El Estado de Honduras depositó el instrumento de ratificación de la Convención Americana sobre Derechos Humanos el 8 de septiembre de 1977 y aceptó la competencia contenciosa de la Corte el 9 de septiembre de 1981.</w:t>
      </w:r>
      <w:r w:rsidR="007B5A4B" w:rsidRPr="00E80B86">
        <w:t xml:space="preserve"> </w:t>
      </w:r>
      <w:r w:rsidR="007B5A4B" w:rsidRPr="00E80B86">
        <w:rPr>
          <w:rFonts w:cs="Calibri"/>
          <w:lang w:val="es-CO"/>
        </w:rPr>
        <w:t>Asimismo, el Estado ratificó la Convención Interamericana para Prevenir, Sancionar y Erradicar la Violencia contra la Mujer (Convención de Belem do Pará) el 12 de julio de 1995.</w:t>
      </w:r>
    </w:p>
    <w:p w14:paraId="2A2F5287" w14:textId="77777777" w:rsidR="00A9224E" w:rsidRPr="00E80B86" w:rsidRDefault="00A9224E" w:rsidP="00A9224E">
      <w:pPr>
        <w:spacing w:after="0" w:line="240" w:lineRule="auto"/>
        <w:jc w:val="both"/>
        <w:rPr>
          <w:rFonts w:ascii="Cambria" w:hAnsi="Cambria" w:cs="Calibri"/>
          <w:color w:val="000000"/>
          <w:sz w:val="20"/>
          <w:szCs w:val="20"/>
          <w:lang w:val="es-CO"/>
        </w:rPr>
      </w:pPr>
    </w:p>
    <w:p w14:paraId="747DC9D3" w14:textId="3F5D8089" w:rsidR="00A9224E" w:rsidRPr="00E80B86" w:rsidRDefault="00927F99" w:rsidP="00927F99">
      <w:pPr>
        <w:tabs>
          <w:tab w:val="left" w:pos="360"/>
        </w:tabs>
        <w:spacing w:after="0" w:line="240" w:lineRule="auto"/>
        <w:jc w:val="both"/>
        <w:rPr>
          <w:rFonts w:ascii="Cambria" w:hAnsi="Cambria" w:cs="Calibri"/>
          <w:color w:val="000000"/>
          <w:sz w:val="20"/>
          <w:szCs w:val="20"/>
          <w:lang w:val="es-CO"/>
        </w:rPr>
      </w:pPr>
      <w:r w:rsidRPr="00E80B86">
        <w:rPr>
          <w:rFonts w:ascii="Cambria" w:hAnsi="Cambria" w:cs="Calibri"/>
          <w:color w:val="000000"/>
          <w:sz w:val="20"/>
          <w:szCs w:val="20"/>
          <w:lang w:val="es-CO"/>
        </w:rPr>
        <w:tab/>
      </w:r>
      <w:r w:rsidR="00A9224E" w:rsidRPr="00E80B86">
        <w:rPr>
          <w:rFonts w:ascii="Cambria" w:hAnsi="Cambria" w:cs="Calibri"/>
          <w:color w:val="000000"/>
          <w:sz w:val="20"/>
          <w:szCs w:val="20"/>
          <w:lang w:val="es-CO"/>
        </w:rPr>
        <w:t>La Comisión ha designado a</w:t>
      </w:r>
      <w:r w:rsidR="00EF5093" w:rsidRPr="00E80B86">
        <w:rPr>
          <w:rFonts w:ascii="Cambria" w:hAnsi="Cambria" w:cs="Calibri"/>
          <w:color w:val="000000"/>
          <w:sz w:val="20"/>
          <w:szCs w:val="20"/>
          <w:lang w:val="es-CO"/>
        </w:rPr>
        <w:t xml:space="preserve"> la</w:t>
      </w:r>
      <w:r w:rsidR="00A9224E" w:rsidRPr="00E80B86">
        <w:rPr>
          <w:rFonts w:ascii="Cambria" w:hAnsi="Cambria" w:cs="Calibri"/>
          <w:color w:val="000000"/>
          <w:sz w:val="20"/>
          <w:szCs w:val="20"/>
          <w:lang w:val="es-CO"/>
        </w:rPr>
        <w:t xml:space="preserve"> Comisionad</w:t>
      </w:r>
      <w:r w:rsidR="00EF5093" w:rsidRPr="00E80B86">
        <w:rPr>
          <w:rFonts w:ascii="Cambria" w:hAnsi="Cambria" w:cs="Calibri"/>
          <w:color w:val="000000"/>
          <w:sz w:val="20"/>
          <w:szCs w:val="20"/>
          <w:lang w:val="es-CO"/>
        </w:rPr>
        <w:t>a Andrea Pochak</w:t>
      </w:r>
      <w:r w:rsidR="00A9224E" w:rsidRPr="00E80B86">
        <w:rPr>
          <w:rFonts w:ascii="Cambria" w:hAnsi="Cambria" w:cs="Calibri"/>
          <w:color w:val="000000"/>
          <w:sz w:val="20"/>
          <w:szCs w:val="20"/>
          <w:lang w:val="es-CO"/>
        </w:rPr>
        <w:t xml:space="preserve"> y a la Secretaria Ejecutiva Tania Reneaum Panszi</w:t>
      </w:r>
      <w:r w:rsidR="000C0AA2" w:rsidRPr="00E80B86">
        <w:rPr>
          <w:rFonts w:ascii="Cambria" w:hAnsi="Cambria" w:cs="Calibri"/>
          <w:color w:val="000000"/>
          <w:sz w:val="20"/>
          <w:szCs w:val="20"/>
          <w:lang w:val="es-CO"/>
        </w:rPr>
        <w:t xml:space="preserve"> </w:t>
      </w:r>
      <w:r w:rsidR="00A9224E" w:rsidRPr="00E80B86">
        <w:rPr>
          <w:rFonts w:ascii="Cambria" w:hAnsi="Cambria" w:cs="Calibri"/>
          <w:color w:val="000000"/>
          <w:sz w:val="20"/>
          <w:szCs w:val="20"/>
          <w:lang w:val="es-CO"/>
        </w:rPr>
        <w:t>como su</w:t>
      </w:r>
      <w:r w:rsidR="009C47AF" w:rsidRPr="00E80B86">
        <w:rPr>
          <w:rFonts w:ascii="Cambria" w:hAnsi="Cambria" w:cs="Calibri"/>
          <w:color w:val="000000"/>
          <w:sz w:val="20"/>
          <w:szCs w:val="20"/>
          <w:lang w:val="es-CO"/>
        </w:rPr>
        <w:t>s</w:t>
      </w:r>
      <w:r w:rsidR="00A9224E" w:rsidRPr="00E80B86">
        <w:rPr>
          <w:rFonts w:ascii="Cambria" w:hAnsi="Cambria" w:cs="Calibri"/>
          <w:color w:val="000000"/>
          <w:sz w:val="20"/>
          <w:szCs w:val="20"/>
          <w:lang w:val="es-CO"/>
        </w:rPr>
        <w:t xml:space="preserve"> delegada</w:t>
      </w:r>
      <w:r w:rsidR="009C47AF" w:rsidRPr="00E80B86">
        <w:rPr>
          <w:rFonts w:ascii="Cambria" w:hAnsi="Cambria" w:cs="Calibri"/>
          <w:color w:val="000000"/>
          <w:sz w:val="20"/>
          <w:szCs w:val="20"/>
          <w:lang w:val="es-CO"/>
        </w:rPr>
        <w:t>s</w:t>
      </w:r>
      <w:r w:rsidR="00A9224E" w:rsidRPr="00E80B86">
        <w:rPr>
          <w:rFonts w:ascii="Cambria" w:hAnsi="Cambria" w:cs="Calibri"/>
          <w:color w:val="000000"/>
          <w:sz w:val="20"/>
          <w:szCs w:val="20"/>
          <w:lang w:val="es-CO"/>
        </w:rPr>
        <w:t xml:space="preserve">. Asimismo, Jorge Humberto Meza Flores, Secretario Ejecutivo Adjunto y </w:t>
      </w:r>
      <w:r w:rsidR="00DA6066" w:rsidRPr="00E80B86">
        <w:rPr>
          <w:rFonts w:ascii="Cambria" w:hAnsi="Cambria" w:cs="Calibri"/>
          <w:color w:val="000000"/>
          <w:sz w:val="20"/>
          <w:szCs w:val="20"/>
          <w:lang w:val="es-CO"/>
        </w:rPr>
        <w:t>Erick Acuña</w:t>
      </w:r>
      <w:r w:rsidR="00A9224E" w:rsidRPr="00E80B86">
        <w:rPr>
          <w:rFonts w:ascii="Cambria" w:hAnsi="Cambria" w:cs="Calibri"/>
          <w:color w:val="000000"/>
          <w:sz w:val="20"/>
          <w:szCs w:val="20"/>
          <w:lang w:val="es-CO"/>
        </w:rPr>
        <w:t>, especialista de la Secretaría Ejecutiva de la CIDH, actuarán como su</w:t>
      </w:r>
      <w:r w:rsidR="00DA6066" w:rsidRPr="00E80B86">
        <w:rPr>
          <w:rFonts w:ascii="Cambria" w:hAnsi="Cambria" w:cs="Calibri"/>
          <w:color w:val="000000"/>
          <w:sz w:val="20"/>
          <w:szCs w:val="20"/>
          <w:lang w:val="es-CO"/>
        </w:rPr>
        <w:t>s</w:t>
      </w:r>
      <w:r w:rsidR="00A9224E" w:rsidRPr="00E80B86">
        <w:rPr>
          <w:rFonts w:ascii="Cambria" w:hAnsi="Cambria" w:cs="Calibri"/>
          <w:color w:val="000000"/>
          <w:sz w:val="20"/>
          <w:szCs w:val="20"/>
          <w:lang w:val="es-CO"/>
        </w:rPr>
        <w:t xml:space="preserve"> asesor</w:t>
      </w:r>
      <w:r w:rsidR="00DA6066" w:rsidRPr="00E80B86">
        <w:rPr>
          <w:rFonts w:ascii="Cambria" w:hAnsi="Cambria" w:cs="Calibri"/>
          <w:color w:val="000000"/>
          <w:sz w:val="20"/>
          <w:szCs w:val="20"/>
          <w:lang w:val="es-CO"/>
        </w:rPr>
        <w:t>es</w:t>
      </w:r>
      <w:r w:rsidR="00A9224E" w:rsidRPr="00E80B86">
        <w:rPr>
          <w:rFonts w:ascii="Cambria" w:hAnsi="Cambria" w:cs="Calibri"/>
          <w:color w:val="000000"/>
          <w:sz w:val="20"/>
          <w:szCs w:val="20"/>
          <w:lang w:val="es-CO"/>
        </w:rPr>
        <w:t xml:space="preserve"> legales. </w:t>
      </w:r>
    </w:p>
    <w:p w14:paraId="18B49A1E" w14:textId="77777777" w:rsidR="00A9224E" w:rsidRPr="00E80B86" w:rsidRDefault="00A9224E" w:rsidP="00A9224E">
      <w:pPr>
        <w:spacing w:after="0" w:line="240" w:lineRule="auto"/>
        <w:jc w:val="both"/>
        <w:rPr>
          <w:rFonts w:ascii="Cambria" w:hAnsi="Cambria" w:cs="Calibri"/>
          <w:sz w:val="20"/>
          <w:szCs w:val="20"/>
          <w:highlight w:val="yellow"/>
          <w:lang w:val="es-CO"/>
        </w:rPr>
      </w:pPr>
    </w:p>
    <w:p w14:paraId="63892B1E" w14:textId="0118DE77" w:rsidR="00A9224E" w:rsidRPr="00E80B86" w:rsidRDefault="00927F99" w:rsidP="00927F99">
      <w:pPr>
        <w:tabs>
          <w:tab w:val="left" w:pos="360"/>
        </w:tabs>
        <w:spacing w:after="0" w:line="240" w:lineRule="auto"/>
        <w:jc w:val="both"/>
        <w:rPr>
          <w:rFonts w:ascii="Cambria" w:hAnsi="Cambria" w:cs="Calibri"/>
          <w:sz w:val="20"/>
          <w:szCs w:val="20"/>
          <w:lang w:val="es-CO"/>
        </w:rPr>
      </w:pPr>
      <w:r w:rsidRPr="00E80B86">
        <w:rPr>
          <w:rFonts w:ascii="Cambria" w:hAnsi="Cambria" w:cs="Calibri"/>
          <w:sz w:val="20"/>
          <w:szCs w:val="20"/>
          <w:lang w:val="es-CO"/>
        </w:rPr>
        <w:tab/>
      </w:r>
      <w:r w:rsidR="00A9224E" w:rsidRPr="00E80B86">
        <w:rPr>
          <w:rFonts w:ascii="Cambria" w:hAnsi="Cambria" w:cs="Calibri"/>
          <w:sz w:val="20"/>
          <w:szCs w:val="20"/>
          <w:lang w:val="es-CO"/>
        </w:rPr>
        <w:t xml:space="preserve">De conformidad con el artículo 35 del Reglamento de la Corte Interamericana, la Comisión adjunta copia del </w:t>
      </w:r>
      <w:r w:rsidR="00A9224E" w:rsidRPr="00E80B86">
        <w:rPr>
          <w:rFonts w:ascii="Cambria" w:hAnsi="Cambria"/>
          <w:sz w:val="20"/>
          <w:szCs w:val="20"/>
          <w:lang w:val="es-CO"/>
        </w:rPr>
        <w:t xml:space="preserve">Informe de Fondo No. </w:t>
      </w:r>
      <w:r w:rsidR="001F3EE5" w:rsidRPr="00E80B86">
        <w:rPr>
          <w:rFonts w:ascii="Cambria" w:hAnsi="Cambria"/>
          <w:sz w:val="20"/>
          <w:szCs w:val="20"/>
          <w:lang w:val="es-CO"/>
        </w:rPr>
        <w:t>450</w:t>
      </w:r>
      <w:r w:rsidR="00A9224E" w:rsidRPr="00E80B86">
        <w:rPr>
          <w:rFonts w:ascii="Cambria" w:hAnsi="Cambria"/>
          <w:sz w:val="20"/>
          <w:szCs w:val="20"/>
          <w:lang w:val="es-CO"/>
        </w:rPr>
        <w:t>/2</w:t>
      </w:r>
      <w:r w:rsidR="001F3EE5" w:rsidRPr="00E80B86">
        <w:rPr>
          <w:rFonts w:ascii="Cambria" w:hAnsi="Cambria"/>
          <w:sz w:val="20"/>
          <w:szCs w:val="20"/>
          <w:lang w:val="es-CO"/>
        </w:rPr>
        <w:t>1</w:t>
      </w:r>
      <w:r w:rsidR="00A9224E" w:rsidRPr="00E80B86">
        <w:rPr>
          <w:rFonts w:ascii="Cambria" w:hAnsi="Cambria"/>
          <w:sz w:val="20"/>
          <w:szCs w:val="20"/>
          <w:lang w:val="es-CO"/>
        </w:rPr>
        <w:t xml:space="preserve"> </w:t>
      </w:r>
      <w:r w:rsidR="00A9224E" w:rsidRPr="00E80B86">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w:t>
      </w:r>
      <w:r w:rsidR="00A9224E" w:rsidRPr="00E80B86">
        <w:rPr>
          <w:rFonts w:ascii="Cambria" w:hAnsi="Cambria"/>
          <w:sz w:val="20"/>
          <w:szCs w:val="20"/>
          <w:lang w:val="es-CO"/>
        </w:rPr>
        <w:t xml:space="preserve">Informe de Fondo No. </w:t>
      </w:r>
      <w:r w:rsidR="001F3EE5" w:rsidRPr="00E80B86">
        <w:rPr>
          <w:rFonts w:ascii="Cambria" w:hAnsi="Cambria"/>
          <w:sz w:val="20"/>
          <w:szCs w:val="20"/>
          <w:lang w:val="es-CO"/>
        </w:rPr>
        <w:t>450</w:t>
      </w:r>
      <w:r w:rsidR="00A9224E" w:rsidRPr="00E80B86">
        <w:rPr>
          <w:rFonts w:ascii="Cambria" w:hAnsi="Cambria"/>
          <w:sz w:val="20"/>
          <w:szCs w:val="20"/>
          <w:lang w:val="es-CO"/>
        </w:rPr>
        <w:t>/2</w:t>
      </w:r>
      <w:r w:rsidR="001F3EE5" w:rsidRPr="00E80B86">
        <w:rPr>
          <w:rFonts w:ascii="Cambria" w:hAnsi="Cambria"/>
          <w:sz w:val="20"/>
          <w:szCs w:val="20"/>
          <w:lang w:val="es-CO"/>
        </w:rPr>
        <w:t>1</w:t>
      </w:r>
      <w:r w:rsidR="00A9224E" w:rsidRPr="00E80B86">
        <w:rPr>
          <w:rFonts w:ascii="Cambria" w:hAnsi="Cambria" w:cs="Calibri"/>
          <w:sz w:val="20"/>
          <w:szCs w:val="20"/>
          <w:lang w:val="es-CO"/>
        </w:rPr>
        <w:t xml:space="preserve"> (Anexos). </w:t>
      </w:r>
    </w:p>
    <w:p w14:paraId="2047FCE9" w14:textId="77777777" w:rsidR="00A9224E" w:rsidRPr="00E80B86" w:rsidRDefault="00A9224E" w:rsidP="00E80B86">
      <w:pPr>
        <w:spacing w:after="0" w:line="240" w:lineRule="auto"/>
        <w:jc w:val="both"/>
        <w:rPr>
          <w:rFonts w:ascii="Cambria" w:hAnsi="Cambria" w:cs="Calibri"/>
          <w:color w:val="FF0000"/>
          <w:sz w:val="20"/>
          <w:szCs w:val="20"/>
          <w:lang w:val="es-CO"/>
        </w:rPr>
      </w:pPr>
    </w:p>
    <w:p w14:paraId="04BE366A" w14:textId="56532C2C" w:rsidR="00A9224E" w:rsidRPr="00E80B86" w:rsidRDefault="00927F99" w:rsidP="00927F99">
      <w:pPr>
        <w:tabs>
          <w:tab w:val="left" w:pos="360"/>
          <w:tab w:val="left" w:pos="810"/>
        </w:tabs>
        <w:spacing w:after="0" w:line="240" w:lineRule="auto"/>
        <w:jc w:val="both"/>
        <w:rPr>
          <w:rFonts w:ascii="Cambria" w:hAnsi="Cambria" w:cs="Calibri"/>
          <w:sz w:val="20"/>
          <w:szCs w:val="20"/>
          <w:lang w:val="es-CO"/>
        </w:rPr>
      </w:pPr>
      <w:r w:rsidRPr="00E80B86">
        <w:rPr>
          <w:rFonts w:ascii="Cambria" w:hAnsi="Cambria" w:cs="Calibri"/>
          <w:sz w:val="20"/>
          <w:szCs w:val="20"/>
          <w:lang w:val="es-CO"/>
        </w:rPr>
        <w:tab/>
      </w:r>
      <w:r w:rsidR="00A9224E" w:rsidRPr="00E80B86">
        <w:rPr>
          <w:rFonts w:ascii="Cambria" w:hAnsi="Cambria" w:cs="Calibri"/>
          <w:sz w:val="20"/>
          <w:szCs w:val="20"/>
          <w:lang w:val="es-CO"/>
        </w:rPr>
        <w:t>Dicho Informe de Fondo fue notificado al Estado el 1</w:t>
      </w:r>
      <w:r w:rsidR="009D3E42" w:rsidRPr="00E80B86">
        <w:rPr>
          <w:rFonts w:ascii="Cambria" w:hAnsi="Cambria" w:cs="Calibri"/>
          <w:sz w:val="20"/>
          <w:szCs w:val="20"/>
          <w:lang w:val="es-CO"/>
        </w:rPr>
        <w:t>1</w:t>
      </w:r>
      <w:r w:rsidR="00A9224E" w:rsidRPr="00E80B86">
        <w:rPr>
          <w:rFonts w:ascii="Cambria" w:hAnsi="Cambria" w:cs="Calibri"/>
          <w:sz w:val="20"/>
          <w:szCs w:val="20"/>
          <w:lang w:val="es-CO"/>
        </w:rPr>
        <w:t xml:space="preserve"> de </w:t>
      </w:r>
      <w:r w:rsidR="009D3E42" w:rsidRPr="00E80B86">
        <w:rPr>
          <w:rFonts w:ascii="Cambria" w:hAnsi="Cambria" w:cs="Calibri"/>
          <w:sz w:val="20"/>
          <w:szCs w:val="20"/>
          <w:lang w:val="es-CO"/>
        </w:rPr>
        <w:t>abril</w:t>
      </w:r>
      <w:r w:rsidR="00A9224E" w:rsidRPr="00E80B86">
        <w:rPr>
          <w:rFonts w:ascii="Cambria" w:hAnsi="Cambria" w:cs="Calibri"/>
          <w:sz w:val="20"/>
          <w:szCs w:val="20"/>
          <w:lang w:val="es-CO"/>
        </w:rPr>
        <w:t xml:space="preserve"> de 202</w:t>
      </w:r>
      <w:r w:rsidR="009D3E42" w:rsidRPr="00E80B86">
        <w:rPr>
          <w:rFonts w:ascii="Cambria" w:hAnsi="Cambria" w:cs="Calibri"/>
          <w:sz w:val="20"/>
          <w:szCs w:val="20"/>
          <w:lang w:val="es-CO"/>
        </w:rPr>
        <w:t>2</w:t>
      </w:r>
      <w:r w:rsidR="00A9224E" w:rsidRPr="00E80B86">
        <w:rPr>
          <w:rFonts w:ascii="Cambria" w:hAnsi="Cambria" w:cs="Calibri"/>
          <w:sz w:val="20"/>
          <w:szCs w:val="20"/>
          <w:lang w:val="es-CO"/>
        </w:rPr>
        <w:t xml:space="preserve">. Tras el otorgamiento por parte de la CIDH de </w:t>
      </w:r>
      <w:r w:rsidR="00F0245A" w:rsidRPr="00E80B86">
        <w:rPr>
          <w:rFonts w:ascii="Cambria" w:hAnsi="Cambria" w:cs="Calibri"/>
          <w:sz w:val="20"/>
          <w:szCs w:val="20"/>
          <w:lang w:val="es-CO"/>
        </w:rPr>
        <w:t>7</w:t>
      </w:r>
      <w:r w:rsidR="00A9224E" w:rsidRPr="00E80B86">
        <w:rPr>
          <w:rFonts w:ascii="Cambria" w:hAnsi="Cambria" w:cs="Calibri"/>
          <w:sz w:val="20"/>
          <w:szCs w:val="20"/>
          <w:lang w:val="es-CO"/>
        </w:rPr>
        <w:t xml:space="preserve"> prórrogas para que el Estado cumpliera con las recomendaciones del informe de fondo, la Comisión valoró y tomó nota de las gestiones realizadas que motivaron el otorgamiento de las anteriores prórrogas. Sin embargo, observó que, </w:t>
      </w:r>
      <w:r w:rsidR="00A9224E" w:rsidRPr="00E80B86">
        <w:rPr>
          <w:rFonts w:ascii="Cambria" w:hAnsi="Cambria"/>
          <w:sz w:val="20"/>
          <w:szCs w:val="20"/>
          <w:lang w:val="es-CO"/>
        </w:rPr>
        <w:t xml:space="preserve">no obstante, el paso de dos años desde notificado el informe de fondo, </w:t>
      </w:r>
      <w:r w:rsidR="00B91AD9" w:rsidRPr="00E80B86">
        <w:rPr>
          <w:rFonts w:ascii="Cambria" w:hAnsi="Cambria"/>
          <w:sz w:val="20"/>
          <w:szCs w:val="20"/>
          <w:lang w:val="es-CO"/>
        </w:rPr>
        <w:t>el Estado no h</w:t>
      </w:r>
      <w:r w:rsidR="00E86450" w:rsidRPr="00E80B86">
        <w:rPr>
          <w:rFonts w:ascii="Cambria" w:hAnsi="Cambria"/>
          <w:sz w:val="20"/>
          <w:szCs w:val="20"/>
          <w:lang w:val="es-CO"/>
        </w:rPr>
        <w:t>a cumplido con las recomendaciones</w:t>
      </w:r>
      <w:r w:rsidR="00515FDA" w:rsidRPr="00E80B86">
        <w:rPr>
          <w:rFonts w:ascii="Cambria" w:hAnsi="Cambria"/>
          <w:sz w:val="20"/>
          <w:szCs w:val="20"/>
          <w:lang w:val="es-CO"/>
        </w:rPr>
        <w:t xml:space="preserve"> dictadas por la Comisión</w:t>
      </w:r>
      <w:r w:rsidR="00A9224E" w:rsidRPr="00E80B86">
        <w:rPr>
          <w:rFonts w:ascii="Cambria" w:hAnsi="Cambria"/>
          <w:sz w:val="20"/>
          <w:szCs w:val="20"/>
          <w:lang w:val="es-CO"/>
        </w:rPr>
        <w:t xml:space="preserve">. </w:t>
      </w:r>
      <w:r w:rsidR="00A9224E" w:rsidRPr="00E80B86">
        <w:rPr>
          <w:rFonts w:ascii="Cambria" w:eastAsia="Times New Roman" w:hAnsi="Cambria" w:cs="Cambria"/>
          <w:sz w:val="20"/>
          <w:szCs w:val="20"/>
          <w:lang w:val="es-CO"/>
        </w:rPr>
        <w:t>En consecuencia</w:t>
      </w:r>
      <w:r w:rsidR="00A9224E" w:rsidRPr="00E80B86">
        <w:rPr>
          <w:rFonts w:ascii="Cambria" w:hAnsi="Cambria" w:cs="Calibri"/>
          <w:sz w:val="20"/>
          <w:szCs w:val="20"/>
          <w:lang w:val="es-CO"/>
        </w:rPr>
        <w:t>, ante la necesidad de obtención de justicia y reparación para las víctimas, la Comisión decidió someter el caso a la jurisdicción de la Corte Interamericana.</w:t>
      </w:r>
      <w:r w:rsidR="00A9224E" w:rsidRPr="00E80B86">
        <w:rPr>
          <w:rFonts w:ascii="Cambria" w:hAnsi="Cambria" w:cs="Calibri"/>
          <w:color w:val="FF0000"/>
          <w:sz w:val="20"/>
          <w:szCs w:val="20"/>
          <w:lang w:val="es-CO"/>
        </w:rPr>
        <w:t xml:space="preserve"> </w:t>
      </w:r>
    </w:p>
    <w:p w14:paraId="103A23BA" w14:textId="77777777" w:rsidR="00A9224E" w:rsidRPr="00E80B86" w:rsidRDefault="00A9224E" w:rsidP="00A9224E">
      <w:pPr>
        <w:tabs>
          <w:tab w:val="left" w:pos="810"/>
        </w:tabs>
        <w:spacing w:after="0" w:line="240" w:lineRule="auto"/>
        <w:jc w:val="both"/>
        <w:rPr>
          <w:rFonts w:ascii="Cambria" w:hAnsi="Cambria"/>
          <w:color w:val="FF0000"/>
          <w:sz w:val="20"/>
          <w:szCs w:val="20"/>
          <w:lang w:val="es-CO"/>
        </w:rPr>
      </w:pPr>
    </w:p>
    <w:p w14:paraId="21795849" w14:textId="4FD26F79" w:rsidR="00A9224E" w:rsidRPr="00E80B86" w:rsidRDefault="00927F99" w:rsidP="00927F99">
      <w:pPr>
        <w:tabs>
          <w:tab w:val="left" w:pos="360"/>
        </w:tabs>
        <w:spacing w:after="0" w:line="240" w:lineRule="auto"/>
        <w:jc w:val="both"/>
        <w:rPr>
          <w:rFonts w:ascii="Cambria" w:eastAsia="Cambria" w:hAnsi="Cambria" w:cs="Cambria"/>
          <w:sz w:val="20"/>
          <w:szCs w:val="20"/>
          <w:lang w:val="es-CO"/>
        </w:rPr>
      </w:pPr>
      <w:r w:rsidRPr="00E80B86">
        <w:rPr>
          <w:rFonts w:ascii="Cambria" w:hAnsi="Cambria" w:cs="Calibri"/>
          <w:sz w:val="20"/>
          <w:szCs w:val="20"/>
          <w:lang w:val="es-CO"/>
        </w:rPr>
        <w:tab/>
      </w:r>
      <w:r w:rsidR="00A9224E" w:rsidRPr="00E80B86">
        <w:rPr>
          <w:rFonts w:ascii="Cambria" w:hAnsi="Cambria" w:cs="Calibri"/>
          <w:sz w:val="20"/>
          <w:szCs w:val="20"/>
          <w:lang w:val="es-CO"/>
        </w:rPr>
        <w:t>En ese sentido, la Comisión solicita a la Honorable Corte que concluya y declare que el Estado de Honduras</w:t>
      </w:r>
      <w:r w:rsidR="002D22EA" w:rsidRPr="00E80B86">
        <w:rPr>
          <w:rFonts w:ascii="Cambria" w:eastAsia="Cambria" w:hAnsi="Cambria" w:cs="Cambria"/>
          <w:sz w:val="20"/>
          <w:szCs w:val="20"/>
          <w:lang w:val="es-CO"/>
        </w:rPr>
        <w:t xml:space="preserve"> </w:t>
      </w:r>
      <w:r w:rsidR="002D22EA" w:rsidRPr="00E80B86">
        <w:rPr>
          <w:rFonts w:ascii="Cambria" w:hAnsi="Cambria"/>
          <w:sz w:val="20"/>
          <w:szCs w:val="20"/>
          <w:lang w:val="es-CO"/>
        </w:rPr>
        <w:t>es responsable por la violación de los derechos a la vida, integridad personal, garantías judiciales, la honra y dignidad, libertad de expresión, igualdad y no discriminación y protección judicial establecidos en los artículos 4.1, 5.1, 8.1, 11, 13, 24 y 25.1 de la Convención Americana, en relación con el artículo 1.1 del mismo instrumento; y del artículo 7 de la Convención Interamericana para Prevenir, Sancionar y Erradicar la Violencia contra la Mujer, en perjuicio de Leonela Zelaya y Talía Rodríguez.</w:t>
      </w:r>
    </w:p>
    <w:p w14:paraId="473CA776" w14:textId="77777777" w:rsidR="00A9224E" w:rsidRPr="00E80B86" w:rsidRDefault="00A9224E" w:rsidP="00E80B86">
      <w:pPr>
        <w:pStyle w:val="parrafos"/>
        <w:rPr>
          <w:rFonts w:eastAsia="Batang"/>
          <w:lang w:val="es-CO"/>
        </w:rPr>
      </w:pPr>
    </w:p>
    <w:p w14:paraId="29657058" w14:textId="77777777" w:rsidR="00E80B86" w:rsidRPr="00E80B86" w:rsidRDefault="00E80B86" w:rsidP="00E80B86">
      <w:pPr>
        <w:pStyle w:val="parrafos"/>
        <w:rPr>
          <w:rFonts w:eastAsia="Batang"/>
          <w:lang w:val="es-CO"/>
        </w:rPr>
      </w:pPr>
    </w:p>
    <w:p w14:paraId="0A2EA260" w14:textId="77777777" w:rsidR="00E80B86" w:rsidRDefault="00E80B86" w:rsidP="00E80B86">
      <w:pPr>
        <w:pStyle w:val="parrafos"/>
        <w:rPr>
          <w:rFonts w:eastAsia="Batang"/>
          <w:lang w:val="es-CO"/>
        </w:rPr>
      </w:pPr>
    </w:p>
    <w:p w14:paraId="6C71AC16" w14:textId="77777777" w:rsidR="00E80B86" w:rsidRDefault="00E80B86" w:rsidP="00E80B86">
      <w:pPr>
        <w:pStyle w:val="parrafos"/>
        <w:rPr>
          <w:rFonts w:eastAsia="Batang"/>
          <w:lang w:val="es-CO"/>
        </w:rPr>
      </w:pPr>
    </w:p>
    <w:p w14:paraId="3DD7D6B1" w14:textId="77777777" w:rsidR="00E80B86" w:rsidRDefault="00E80B86" w:rsidP="00E80B86">
      <w:pPr>
        <w:pStyle w:val="parrafos"/>
        <w:rPr>
          <w:rFonts w:eastAsia="Batang"/>
          <w:lang w:val="es-CO"/>
        </w:rPr>
      </w:pPr>
    </w:p>
    <w:p w14:paraId="62DF91BD" w14:textId="77777777" w:rsidR="00E80B86" w:rsidRPr="00E80B86" w:rsidRDefault="00E80B86" w:rsidP="00E80B86">
      <w:pPr>
        <w:pStyle w:val="parrafos"/>
        <w:rPr>
          <w:rFonts w:eastAsia="Batang"/>
          <w:lang w:val="es-CO"/>
        </w:rPr>
      </w:pPr>
    </w:p>
    <w:p w14:paraId="7CF12385" w14:textId="49B58682" w:rsidR="00A9224E" w:rsidRPr="00E80B86" w:rsidRDefault="00927F99" w:rsidP="00927F99">
      <w:pPr>
        <w:pStyle w:val="ListParagraph"/>
        <w:tabs>
          <w:tab w:val="left" w:pos="360"/>
          <w:tab w:val="left" w:pos="720"/>
          <w:tab w:val="left" w:pos="1440"/>
        </w:tabs>
        <w:ind w:left="0"/>
        <w:jc w:val="both"/>
        <w:rPr>
          <w:rFonts w:ascii="Cambria" w:hAnsi="Cambria" w:cs="Calibri"/>
          <w:sz w:val="20"/>
          <w:szCs w:val="20"/>
          <w:lang w:val="es-CO"/>
        </w:rPr>
      </w:pPr>
      <w:r w:rsidRPr="00E80B86">
        <w:rPr>
          <w:rFonts w:ascii="Cambria" w:hAnsi="Cambria" w:cs="Calibri"/>
          <w:sz w:val="20"/>
          <w:szCs w:val="20"/>
          <w:lang w:val="es-CO"/>
        </w:rPr>
        <w:tab/>
      </w:r>
      <w:r w:rsidR="00A9224E" w:rsidRPr="00E80B86">
        <w:rPr>
          <w:rFonts w:ascii="Cambria" w:hAnsi="Cambria" w:cs="Calibri"/>
          <w:sz w:val="20"/>
          <w:szCs w:val="20"/>
          <w:lang w:val="es-CO"/>
        </w:rPr>
        <w:t>En consecuencia, la Comisión solicita a la Corte Interamericana que establezca las siguientes medidas de reparación:</w:t>
      </w:r>
    </w:p>
    <w:p w14:paraId="49EC945C" w14:textId="77777777" w:rsidR="00A9224E" w:rsidRPr="00E80B86" w:rsidRDefault="00A9224E" w:rsidP="00A9224E">
      <w:pPr>
        <w:pStyle w:val="ListParagraph"/>
        <w:tabs>
          <w:tab w:val="left" w:pos="540"/>
          <w:tab w:val="left" w:pos="720"/>
          <w:tab w:val="left" w:pos="810"/>
        </w:tabs>
        <w:ind w:left="810" w:right="720"/>
        <w:jc w:val="both"/>
        <w:rPr>
          <w:rFonts w:ascii="Cambria" w:hAnsi="Cambria" w:cs="Calibri"/>
          <w:sz w:val="20"/>
          <w:szCs w:val="20"/>
          <w:lang w:val="es-CO"/>
        </w:rPr>
      </w:pPr>
    </w:p>
    <w:p w14:paraId="14046EC2" w14:textId="2E90DFF1" w:rsidR="00A9224E" w:rsidRPr="00E80B86" w:rsidRDefault="00C158AF" w:rsidP="00A9224E">
      <w:pPr>
        <w:pStyle w:val="ListParagraph"/>
        <w:numPr>
          <w:ilvl w:val="0"/>
          <w:numId w:val="1"/>
        </w:numPr>
        <w:pBdr>
          <w:top w:val="nil"/>
          <w:left w:val="nil"/>
          <w:bottom w:val="nil"/>
          <w:right w:val="nil"/>
          <w:between w:val="nil"/>
          <w:bar w:val="nil"/>
        </w:pBdr>
        <w:autoSpaceDE w:val="0"/>
        <w:autoSpaceDN w:val="0"/>
        <w:adjustRightInd w:val="0"/>
        <w:spacing w:after="0" w:line="240" w:lineRule="auto"/>
        <w:ind w:left="1080"/>
        <w:contextualSpacing w:val="0"/>
        <w:jc w:val="both"/>
        <w:rPr>
          <w:rFonts w:ascii="Cambria" w:eastAsiaTheme="minorHAnsi" w:hAnsi="Cambria"/>
          <w:sz w:val="20"/>
          <w:szCs w:val="20"/>
          <w:lang w:val="es-CO"/>
          <w14:ligatures w14:val="standardContextual"/>
        </w:rPr>
      </w:pPr>
      <w:r w:rsidRPr="00E80B86">
        <w:rPr>
          <w:rFonts w:ascii="Cambria" w:hAnsi="Cambria"/>
          <w:sz w:val="20"/>
          <w:szCs w:val="20"/>
          <w:lang w:val="es-CO"/>
        </w:rPr>
        <w:t>Reparar integralmente las violaciones de derechos humanos declaradas en el presente informe tanto en el aspecto material como inmaterial. El Estado deberá adoptar las medidas de compensación económica y satisfacción</w:t>
      </w:r>
      <w:r w:rsidR="00A9224E" w:rsidRPr="00E80B86">
        <w:rPr>
          <w:rFonts w:ascii="Cambria" w:eastAsiaTheme="minorHAnsi" w:hAnsi="Cambria"/>
          <w:sz w:val="20"/>
          <w:szCs w:val="20"/>
          <w:lang w:val="es-CO"/>
          <w14:ligatures w14:val="standardContextual"/>
        </w:rPr>
        <w:t>.</w:t>
      </w:r>
    </w:p>
    <w:p w14:paraId="0919BA15" w14:textId="77777777" w:rsidR="00A9224E" w:rsidRPr="00E80B86" w:rsidRDefault="00A9224E" w:rsidP="00A9224E">
      <w:pPr>
        <w:pStyle w:val="ListParagraph"/>
        <w:autoSpaceDE w:val="0"/>
        <w:autoSpaceDN w:val="0"/>
        <w:adjustRightInd w:val="0"/>
        <w:ind w:left="1080"/>
        <w:jc w:val="both"/>
        <w:rPr>
          <w:rFonts w:ascii="Cambria" w:eastAsiaTheme="minorHAnsi" w:hAnsi="Cambria"/>
          <w:sz w:val="20"/>
          <w:szCs w:val="20"/>
          <w:lang w:val="es-CO"/>
          <w14:ligatures w14:val="standardContextual"/>
        </w:rPr>
      </w:pPr>
    </w:p>
    <w:p w14:paraId="3B04748C" w14:textId="69BD34FE" w:rsidR="00A9224E" w:rsidRPr="00E80B86" w:rsidRDefault="00C158AF" w:rsidP="00A9224E">
      <w:pPr>
        <w:pStyle w:val="ListParagraph"/>
        <w:numPr>
          <w:ilvl w:val="0"/>
          <w:numId w:val="1"/>
        </w:numPr>
        <w:pBdr>
          <w:top w:val="nil"/>
          <w:left w:val="nil"/>
          <w:bottom w:val="nil"/>
          <w:right w:val="nil"/>
          <w:between w:val="nil"/>
          <w:bar w:val="nil"/>
        </w:pBdr>
        <w:autoSpaceDE w:val="0"/>
        <w:autoSpaceDN w:val="0"/>
        <w:adjustRightInd w:val="0"/>
        <w:spacing w:after="240" w:line="240" w:lineRule="auto"/>
        <w:ind w:left="1080"/>
        <w:contextualSpacing w:val="0"/>
        <w:jc w:val="both"/>
        <w:rPr>
          <w:rFonts w:ascii="Cambria" w:eastAsiaTheme="minorHAnsi" w:hAnsi="Cambria"/>
          <w:sz w:val="20"/>
          <w:szCs w:val="20"/>
          <w:lang w:val="es-CO"/>
          <w14:ligatures w14:val="standardContextual"/>
        </w:rPr>
      </w:pPr>
      <w:r w:rsidRPr="00E80B86">
        <w:rPr>
          <w:rFonts w:ascii="Cambria" w:hAnsi="Cambria"/>
          <w:sz w:val="20"/>
          <w:szCs w:val="20"/>
          <w:lang w:val="es-CO"/>
        </w:rPr>
        <w:t>Disponer las medidas de atención en salud física y mental necesarias</w:t>
      </w:r>
      <w:r w:rsidR="00A8090D" w:rsidRPr="00E80B86">
        <w:rPr>
          <w:rFonts w:ascii="Cambria" w:hAnsi="Cambria"/>
          <w:sz w:val="20"/>
          <w:szCs w:val="20"/>
          <w:lang w:val="es-CO"/>
        </w:rPr>
        <w:t xml:space="preserve"> </w:t>
      </w:r>
      <w:r w:rsidRPr="00E80B86">
        <w:rPr>
          <w:rFonts w:ascii="Cambria" w:hAnsi="Cambria"/>
          <w:sz w:val="20"/>
          <w:szCs w:val="20"/>
          <w:lang w:val="es-CO"/>
        </w:rPr>
        <w:t>para la rehabilitación de Talía Rodríguez, de ser su voluntad y de manera concertada</w:t>
      </w:r>
      <w:r w:rsidR="00A9224E" w:rsidRPr="00E80B86">
        <w:rPr>
          <w:rFonts w:ascii="Cambria" w:eastAsiaTheme="minorHAnsi" w:hAnsi="Cambria"/>
          <w:sz w:val="20"/>
          <w:szCs w:val="20"/>
          <w:lang w:val="es-CO"/>
          <w14:ligatures w14:val="standardContextual"/>
        </w:rPr>
        <w:t>.</w:t>
      </w:r>
    </w:p>
    <w:p w14:paraId="55217766" w14:textId="5D4D5C7E" w:rsidR="00A8090D" w:rsidRPr="00E80B86" w:rsidRDefault="00A8090D" w:rsidP="00A8090D">
      <w:pPr>
        <w:pStyle w:val="ListParagraph"/>
        <w:numPr>
          <w:ilvl w:val="0"/>
          <w:numId w:val="1"/>
        </w:numPr>
        <w:pBdr>
          <w:top w:val="nil"/>
          <w:left w:val="nil"/>
          <w:bottom w:val="nil"/>
          <w:right w:val="nil"/>
          <w:between w:val="nil"/>
          <w:bar w:val="nil"/>
        </w:pBdr>
        <w:autoSpaceDE w:val="0"/>
        <w:autoSpaceDN w:val="0"/>
        <w:adjustRightInd w:val="0"/>
        <w:spacing w:after="0" w:line="240" w:lineRule="auto"/>
        <w:ind w:left="1080"/>
        <w:contextualSpacing w:val="0"/>
        <w:jc w:val="both"/>
        <w:rPr>
          <w:rFonts w:ascii="Cambria" w:eastAsiaTheme="minorHAnsi" w:hAnsi="Cambria"/>
          <w:sz w:val="20"/>
          <w:szCs w:val="20"/>
          <w:lang w:val="es-CO"/>
          <w14:ligatures w14:val="standardContextual"/>
        </w:rPr>
      </w:pPr>
      <w:r w:rsidRPr="00E80B86">
        <w:rPr>
          <w:rFonts w:ascii="Cambria" w:hAnsi="Cambria"/>
          <w:sz w:val="20"/>
          <w:szCs w:val="20"/>
          <w:lang w:val="es-CO"/>
        </w:rPr>
        <w:t>Continuar o reabrir la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 En el cumplimiento de esta recomendación, el Estado deberá tomar en consideración las falencias establecidas en el presente informe, incluyendo el diseño de líneas lógicas de investigación referidas en el mismo</w:t>
      </w:r>
      <w:r w:rsidR="00A9224E" w:rsidRPr="00E80B86">
        <w:rPr>
          <w:rFonts w:ascii="Cambria" w:eastAsiaTheme="minorHAnsi" w:hAnsi="Cambria"/>
          <w:sz w:val="20"/>
          <w:szCs w:val="20"/>
          <w:lang w:val="es-CO"/>
          <w14:ligatures w14:val="standardContextual"/>
        </w:rPr>
        <w:t>.</w:t>
      </w:r>
    </w:p>
    <w:p w14:paraId="79E4E5B5" w14:textId="77777777" w:rsidR="00A8090D" w:rsidRPr="00E80B86" w:rsidRDefault="00A8090D" w:rsidP="00A8090D">
      <w:pPr>
        <w:pStyle w:val="ListParagraph"/>
        <w:pBdr>
          <w:top w:val="nil"/>
          <w:left w:val="nil"/>
          <w:bottom w:val="nil"/>
          <w:right w:val="nil"/>
          <w:between w:val="nil"/>
          <w:bar w:val="nil"/>
        </w:pBdr>
        <w:autoSpaceDE w:val="0"/>
        <w:autoSpaceDN w:val="0"/>
        <w:adjustRightInd w:val="0"/>
        <w:spacing w:after="0" w:line="240" w:lineRule="auto"/>
        <w:ind w:left="1080"/>
        <w:contextualSpacing w:val="0"/>
        <w:jc w:val="both"/>
        <w:rPr>
          <w:rFonts w:ascii="Cambria" w:eastAsiaTheme="minorHAnsi" w:hAnsi="Cambria"/>
          <w:sz w:val="20"/>
          <w:szCs w:val="20"/>
          <w:lang w:val="es-CO"/>
          <w14:ligatures w14:val="standardContextual"/>
        </w:rPr>
      </w:pPr>
    </w:p>
    <w:p w14:paraId="609167EE" w14:textId="550EEAC8" w:rsidR="00A9224E" w:rsidRPr="00E80B86" w:rsidRDefault="00A8090D" w:rsidP="00A8090D">
      <w:pPr>
        <w:pStyle w:val="ListParagraph"/>
        <w:numPr>
          <w:ilvl w:val="0"/>
          <w:numId w:val="1"/>
        </w:numPr>
        <w:pBdr>
          <w:top w:val="nil"/>
          <w:left w:val="nil"/>
          <w:bottom w:val="nil"/>
          <w:right w:val="nil"/>
          <w:between w:val="nil"/>
          <w:bar w:val="nil"/>
        </w:pBdr>
        <w:autoSpaceDE w:val="0"/>
        <w:autoSpaceDN w:val="0"/>
        <w:adjustRightInd w:val="0"/>
        <w:spacing w:after="0" w:line="240" w:lineRule="auto"/>
        <w:ind w:left="1080"/>
        <w:contextualSpacing w:val="0"/>
        <w:jc w:val="both"/>
        <w:rPr>
          <w:rFonts w:ascii="Cambria" w:eastAsiaTheme="minorHAnsi" w:hAnsi="Cambria"/>
          <w:sz w:val="20"/>
          <w:szCs w:val="20"/>
          <w:lang w:val="es-CO"/>
          <w14:ligatures w14:val="standardContextual"/>
        </w:rPr>
      </w:pPr>
      <w:r w:rsidRPr="00E80B86">
        <w:rPr>
          <w:rFonts w:ascii="Cambria" w:hAnsi="Cambria"/>
          <w:sz w:val="20"/>
          <w:szCs w:val="20"/>
          <w:lang w:val="es-CO"/>
        </w:rPr>
        <w:t>Disponer mecanismos de no repetición que incluyan: i) adoptar medidas legislativas, administrativas o de otra índole para lograr el reconocimiento de la identidad de género auto percibida de las personas trans, no binarias y de género diverso tomando en cuenta los estándares interamericanos en la materia; ii) adoptar medidas legislativas, administrativas o de otra índole para efectuar un diagnóstico adecuado sobre el contexto de violencia que enfrentan las personas LGBTI en Honduras, incluyendo la recolección de datos desagregados y sistemáticos sobre su prevalencia, y disponer una política integral de prevención y erradicación efectiva del mismo, atendiendo a sus causas estructurales; iii) diseñar programas de formación, sensibilización y capacitación para los cuerpos de seguridad del Estado en materia del sistema interamericano de derechos humanos, incluyendo la temática de violencia por prejuicio contra personas LGBTI; iv) elaborar e implementar campañas informativas de sensibilización y concientización en los medios de comunicación sobre orientación sexual, identidad de género, expresión de género y diversidad de características sexuales, y el enfoque de género, promoviendo el respecto y la aceptación e inclusión social integral de todas las personas, incluyendo las personas LGBTI; v) establecer mecanismos adecuados de rendición de cuentas por parte de cuerpos de seguridad del Estado frente a supuestos de violencia por prejuicio contra personas LGBTI; vi) adoptar todas las medidas necesarias para garantizar el acceso a la justicia en casos de violencia contra personas LGBTI con base en los estándares interamericanos sobre la materia; y vii) adoptar las medidas necesarias para impulsar la ratificación de la Convención Interamericana contra toda forma de Discriminación e Intolerancia.</w:t>
      </w:r>
    </w:p>
    <w:p w14:paraId="454D02EE" w14:textId="77777777" w:rsidR="00A9224E" w:rsidRPr="00E80B86" w:rsidRDefault="00A9224E" w:rsidP="00A9224E">
      <w:pPr>
        <w:spacing w:after="0" w:line="240" w:lineRule="auto"/>
        <w:ind w:firstLine="567"/>
        <w:jc w:val="both"/>
        <w:rPr>
          <w:rFonts w:ascii="Cambria" w:eastAsia="Times New Roman" w:hAnsi="Cambria" w:cs="Calibri"/>
          <w:sz w:val="20"/>
          <w:szCs w:val="20"/>
          <w:lang w:val="es-CO"/>
        </w:rPr>
      </w:pPr>
    </w:p>
    <w:p w14:paraId="6E70199E" w14:textId="73025F13" w:rsidR="00A9224E" w:rsidRPr="00E80B86" w:rsidRDefault="00927F99" w:rsidP="00927F99">
      <w:pPr>
        <w:tabs>
          <w:tab w:val="left" w:pos="360"/>
        </w:tabs>
        <w:spacing w:after="0" w:line="240" w:lineRule="auto"/>
        <w:jc w:val="both"/>
        <w:rPr>
          <w:rFonts w:ascii="Cambria" w:eastAsia="Times New Roman" w:hAnsi="Cambria" w:cs="Calibri"/>
          <w:sz w:val="20"/>
          <w:szCs w:val="20"/>
          <w:lang w:val="es-CO"/>
        </w:rPr>
      </w:pPr>
      <w:r w:rsidRPr="00E80B86">
        <w:rPr>
          <w:rFonts w:ascii="Cambria" w:eastAsia="Times New Roman" w:hAnsi="Cambria" w:cs="Calibri"/>
          <w:sz w:val="20"/>
          <w:szCs w:val="20"/>
          <w:lang w:val="es-CO"/>
        </w:rPr>
        <w:tab/>
      </w:r>
      <w:r w:rsidR="001F05E2" w:rsidRPr="00E80B86">
        <w:rPr>
          <w:rFonts w:ascii="Cambria" w:eastAsia="Times New Roman" w:hAnsi="Cambria" w:cs="Calibri"/>
          <w:sz w:val="20"/>
          <w:szCs w:val="20"/>
          <w:lang w:val="es-CO"/>
        </w:rPr>
        <w:t xml:space="preserve">Además de la necesidad de obtención de justicia y reparación por la falta de cumplimiento de las recomendaciones del Informe de Fondo, la Comisión considera que el caso presenta cuestiones de orden público interamericano. El caso permitirá a la Honorable Corte referirse a los estándares aplicables a la protección al derecho a la vida de personas trans y de género diverso. Asimismo, el caso permitiría consolidar la jurisprudencia referente a la obligación que tienen los Estados, ante la agresión o muerte de una persona trans de llevar a cabo una investigación encaminada a determinar si el delito fue cometido con base en la orientación sexual o la identidad de género de la víctima. En particular la Corte podrá referirse al deber de las autoridades </w:t>
      </w:r>
      <w:r w:rsidR="00B640A9" w:rsidRPr="00E80B86">
        <w:rPr>
          <w:rFonts w:ascii="Cambria" w:eastAsia="Times New Roman" w:hAnsi="Cambria" w:cs="Calibri"/>
          <w:sz w:val="20"/>
          <w:szCs w:val="20"/>
          <w:lang w:val="es-CO"/>
        </w:rPr>
        <w:t xml:space="preserve">estatales </w:t>
      </w:r>
      <w:r w:rsidR="001F05E2" w:rsidRPr="00E80B86">
        <w:rPr>
          <w:rFonts w:ascii="Cambria" w:eastAsia="Times New Roman" w:hAnsi="Cambria" w:cs="Calibri"/>
          <w:sz w:val="20"/>
          <w:szCs w:val="20"/>
          <w:lang w:val="es-CO"/>
        </w:rPr>
        <w:t>de abrir líneas de investigación que tomen en cuenta la posibilidad de que la motivación haya estado basada en prejuicios, y de conducir investigaciones libres de estereotipos relacionados con orientaciones sexuales, identidades y expresiones de género diversas, así como de tomar en consideración el contexto general de estereotipos, prejuicios y violencia contra las personas LGBTI en sus países.</w:t>
      </w:r>
    </w:p>
    <w:p w14:paraId="62C7812F" w14:textId="77777777" w:rsidR="002E5392" w:rsidRDefault="002E5392" w:rsidP="00A9224E">
      <w:pPr>
        <w:spacing w:after="0" w:line="240" w:lineRule="auto"/>
        <w:jc w:val="both"/>
        <w:rPr>
          <w:rFonts w:ascii="Cambria" w:hAnsi="Cambria" w:cstheme="minorHAnsi"/>
          <w:sz w:val="20"/>
          <w:szCs w:val="20"/>
          <w:lang w:val="es-CO"/>
        </w:rPr>
      </w:pPr>
    </w:p>
    <w:p w14:paraId="60910E35" w14:textId="77777777" w:rsidR="00E80B86" w:rsidRDefault="00E80B86" w:rsidP="00A9224E">
      <w:pPr>
        <w:spacing w:after="0" w:line="240" w:lineRule="auto"/>
        <w:jc w:val="both"/>
        <w:rPr>
          <w:rFonts w:ascii="Cambria" w:hAnsi="Cambria" w:cstheme="minorHAnsi"/>
          <w:sz w:val="20"/>
          <w:szCs w:val="20"/>
          <w:lang w:val="es-CO"/>
        </w:rPr>
      </w:pPr>
    </w:p>
    <w:p w14:paraId="4FE903F6" w14:textId="77777777" w:rsidR="00E80B86" w:rsidRPr="00E80B86" w:rsidRDefault="00E80B86" w:rsidP="00A9224E">
      <w:pPr>
        <w:spacing w:after="0" w:line="240" w:lineRule="auto"/>
        <w:jc w:val="both"/>
        <w:rPr>
          <w:rFonts w:ascii="Cambria" w:hAnsi="Cambria" w:cstheme="minorHAnsi"/>
          <w:sz w:val="20"/>
          <w:szCs w:val="20"/>
          <w:lang w:val="es-CO"/>
        </w:rPr>
      </w:pPr>
    </w:p>
    <w:p w14:paraId="5D93AFA4" w14:textId="25547DED" w:rsidR="00A9224E" w:rsidRPr="00E80B86" w:rsidRDefault="00927F99" w:rsidP="00927F99">
      <w:pPr>
        <w:tabs>
          <w:tab w:val="left" w:pos="360"/>
        </w:tabs>
        <w:spacing w:after="0" w:line="240" w:lineRule="auto"/>
        <w:jc w:val="both"/>
        <w:rPr>
          <w:rFonts w:ascii="Cambria" w:hAnsi="Cambria" w:cstheme="minorHAnsi"/>
          <w:sz w:val="20"/>
          <w:szCs w:val="20"/>
          <w:lang w:val="es-CO"/>
        </w:rPr>
      </w:pPr>
      <w:r w:rsidRPr="00E80B86">
        <w:rPr>
          <w:rFonts w:ascii="Cambria" w:hAnsi="Cambria" w:cstheme="minorHAnsi"/>
          <w:sz w:val="20"/>
          <w:szCs w:val="20"/>
          <w:lang w:val="es-CO"/>
        </w:rPr>
        <w:tab/>
      </w:r>
      <w:r w:rsidR="00A9224E" w:rsidRPr="00E80B86">
        <w:rPr>
          <w:rFonts w:ascii="Cambria" w:hAnsi="Cambria" w:cstheme="minorHAnsi"/>
          <w:sz w:val="20"/>
          <w:szCs w:val="20"/>
          <w:lang w:val="es-CO"/>
        </w:rPr>
        <w:t>La Comisión pone en conocimiento de la Honorable Corte la siguiente información de quienes actuaron como parte peticionaria en el trámite ante la CIDH conforme a la información más reciente:</w:t>
      </w:r>
    </w:p>
    <w:p w14:paraId="3D23B262" w14:textId="77777777" w:rsidR="00E80B86" w:rsidRPr="00701BCB" w:rsidRDefault="00E80B86" w:rsidP="00A9224E">
      <w:pPr>
        <w:spacing w:after="0" w:line="240" w:lineRule="auto"/>
        <w:jc w:val="center"/>
        <w:rPr>
          <w:rFonts w:ascii="Cambria" w:hAnsi="Cambria"/>
          <w:sz w:val="20"/>
          <w:szCs w:val="20"/>
          <w:lang w:val="es-US"/>
        </w:rPr>
      </w:pPr>
    </w:p>
    <w:p w14:paraId="21100100" w14:textId="32352D9D" w:rsidR="00E80B86" w:rsidRPr="00E80B86" w:rsidRDefault="00E80B86" w:rsidP="00A9224E">
      <w:pPr>
        <w:spacing w:after="0" w:line="240" w:lineRule="auto"/>
        <w:jc w:val="center"/>
        <w:rPr>
          <w:rFonts w:ascii="Cambria" w:eastAsia="Arial Unicode MS" w:hAnsi="Cambria" w:cstheme="minorHAnsi"/>
          <w:sz w:val="20"/>
          <w:szCs w:val="20"/>
          <w:bdr w:val="nil"/>
        </w:rPr>
      </w:pPr>
      <w:r w:rsidRPr="00E80B86">
        <w:rPr>
          <w:rFonts w:ascii="Cambria" w:hAnsi="Cambria"/>
          <w:sz w:val="20"/>
          <w:szCs w:val="20"/>
        </w:rPr>
        <w:t>Robert F. Kennedy Human Rights</w:t>
      </w:r>
    </w:p>
    <w:p w14:paraId="60EDC4FB" w14:textId="24DA21CE" w:rsidR="00A9224E" w:rsidRPr="005B0405" w:rsidRDefault="005B0405" w:rsidP="00A9224E">
      <w:pPr>
        <w:spacing w:after="0" w:line="240" w:lineRule="auto"/>
        <w:jc w:val="center"/>
        <w:rPr>
          <w:rStyle w:val="Hyperlink"/>
          <w:rFonts w:ascii="Cambria" w:hAnsi="Cambria"/>
          <w:color w:val="auto"/>
          <w:sz w:val="20"/>
          <w:szCs w:val="20"/>
          <w:highlight w:val="black"/>
          <w:shd w:val="clear" w:color="auto" w:fill="FFFFFF"/>
        </w:rPr>
      </w:pPr>
      <w:r w:rsidRPr="005B0405">
        <w:rPr>
          <w:rStyle w:val="Hyperlink"/>
          <w:rFonts w:ascii="Cambria" w:hAnsi="Cambria"/>
          <w:color w:val="auto"/>
          <w:sz w:val="20"/>
          <w:szCs w:val="20"/>
          <w:highlight w:val="black"/>
          <w:shd w:val="clear" w:color="auto" w:fill="FFFFFF"/>
        </w:rPr>
        <w:t>XXXXXXXXXXXXXXXXXXXXXXXXX</w:t>
      </w:r>
    </w:p>
    <w:p w14:paraId="1D7F24FB" w14:textId="77777777" w:rsidR="00E80B86" w:rsidRPr="00E80B86" w:rsidRDefault="00E80B86" w:rsidP="00E80B86">
      <w:pPr>
        <w:spacing w:after="0" w:line="240" w:lineRule="auto"/>
        <w:jc w:val="center"/>
        <w:rPr>
          <w:rFonts w:ascii="Cambria" w:hAnsi="Cambria"/>
          <w:sz w:val="20"/>
          <w:szCs w:val="20"/>
        </w:rPr>
      </w:pPr>
    </w:p>
    <w:p w14:paraId="31BA80AF" w14:textId="77777777" w:rsidR="00E80B86" w:rsidRPr="00E80B86" w:rsidRDefault="00E80B86" w:rsidP="00E80B86">
      <w:pPr>
        <w:spacing w:after="0" w:line="240" w:lineRule="auto"/>
        <w:jc w:val="center"/>
        <w:rPr>
          <w:rFonts w:ascii="Cambria" w:hAnsi="Cambria"/>
          <w:sz w:val="20"/>
          <w:szCs w:val="20"/>
          <w:lang w:val="es-US"/>
        </w:rPr>
      </w:pPr>
      <w:r w:rsidRPr="00E80B86">
        <w:rPr>
          <w:rFonts w:ascii="Cambria" w:hAnsi="Cambria"/>
          <w:sz w:val="20"/>
          <w:szCs w:val="20"/>
          <w:lang w:val="es-US"/>
        </w:rPr>
        <w:t>Indyra Mendoza</w:t>
      </w:r>
    </w:p>
    <w:p w14:paraId="5AE788B2" w14:textId="0FA90325" w:rsidR="00E80B86" w:rsidRPr="005B0405" w:rsidRDefault="005B0405" w:rsidP="00E80B86">
      <w:pPr>
        <w:spacing w:after="0" w:line="240" w:lineRule="auto"/>
        <w:jc w:val="center"/>
        <w:rPr>
          <w:rFonts w:ascii="Cambria" w:hAnsi="Cambria"/>
          <w:sz w:val="20"/>
          <w:szCs w:val="20"/>
          <w:highlight w:val="black"/>
          <w:lang w:val="es-US"/>
        </w:rPr>
      </w:pPr>
      <w:r w:rsidRPr="005B0405">
        <w:rPr>
          <w:rFonts w:ascii="Cambria" w:hAnsi="Cambria"/>
          <w:sz w:val="20"/>
          <w:szCs w:val="20"/>
          <w:highlight w:val="black"/>
          <w:lang w:val="es-US"/>
        </w:rPr>
        <w:t>XXXXXXXXXXXXXXXXXXXXXXXX</w:t>
      </w:r>
    </w:p>
    <w:p w14:paraId="7F740DAB" w14:textId="77777777" w:rsidR="00E80B86" w:rsidRPr="00E80B86" w:rsidRDefault="00E80B86" w:rsidP="00E80B86">
      <w:pPr>
        <w:spacing w:after="0" w:line="240" w:lineRule="auto"/>
        <w:jc w:val="center"/>
        <w:rPr>
          <w:rFonts w:ascii="Cambria" w:hAnsi="Cambria"/>
          <w:sz w:val="20"/>
          <w:szCs w:val="20"/>
          <w:lang w:val="es-US"/>
        </w:rPr>
      </w:pPr>
    </w:p>
    <w:p w14:paraId="1CAAC806" w14:textId="77777777" w:rsidR="00A9224E" w:rsidRPr="00E80B86" w:rsidRDefault="00A9224E" w:rsidP="00701BCB">
      <w:pPr>
        <w:spacing w:after="0" w:line="240" w:lineRule="auto"/>
        <w:ind w:firstLine="360"/>
        <w:jc w:val="both"/>
        <w:rPr>
          <w:rFonts w:ascii="Cambria" w:hAnsi="Cambria" w:cstheme="minorHAnsi"/>
          <w:color w:val="000000"/>
          <w:sz w:val="20"/>
          <w:szCs w:val="20"/>
          <w:lang w:val="es-CO"/>
        </w:rPr>
      </w:pPr>
      <w:r w:rsidRPr="00E80B86">
        <w:rPr>
          <w:rFonts w:ascii="Cambria" w:hAnsi="Cambria" w:cstheme="minorHAnsi"/>
          <w:color w:val="000000"/>
          <w:sz w:val="20"/>
          <w:szCs w:val="20"/>
          <w:lang w:val="es-CO"/>
        </w:rPr>
        <w:t>Aprovecho la oportunidad para saludar a usted muy atentamente,</w:t>
      </w:r>
    </w:p>
    <w:p w14:paraId="7210B69C" w14:textId="77777777" w:rsidR="00E80B86" w:rsidRPr="00E80B86" w:rsidRDefault="00E80B86" w:rsidP="00E80B86">
      <w:pPr>
        <w:tabs>
          <w:tab w:val="left" w:pos="-720"/>
          <w:tab w:val="left" w:pos="1380"/>
        </w:tabs>
        <w:suppressAutoHyphens/>
        <w:spacing w:after="0" w:line="240" w:lineRule="auto"/>
        <w:jc w:val="both"/>
        <w:rPr>
          <w:rFonts w:ascii="Cambria" w:hAnsi="Cambria"/>
          <w:sz w:val="20"/>
          <w:szCs w:val="20"/>
          <w:lang w:val="es-MX"/>
        </w:rPr>
      </w:pPr>
      <w:bookmarkStart w:id="2" w:name="_Hlk128731904"/>
      <w:bookmarkStart w:id="3" w:name="_Hlk129855594"/>
      <w:bookmarkStart w:id="4" w:name="_Hlk129970904"/>
      <w:bookmarkStart w:id="5" w:name="_Hlk122115986"/>
      <w:bookmarkStart w:id="6" w:name="_Hlk118969572"/>
      <w:bookmarkStart w:id="7" w:name="_Hlk120781836"/>
      <w:bookmarkStart w:id="8" w:name="_Hlk119577459"/>
      <w:bookmarkStart w:id="9" w:name="_Hlk130997932"/>
      <w:bookmarkStart w:id="10" w:name="_Hlk131167805"/>
    </w:p>
    <w:p w14:paraId="063A75E3" w14:textId="7E21A6E5" w:rsidR="00E80B86" w:rsidRPr="00E80B86" w:rsidRDefault="00E80B86" w:rsidP="00E80B86">
      <w:pPr>
        <w:tabs>
          <w:tab w:val="left" w:pos="3926"/>
        </w:tabs>
        <w:spacing w:after="0" w:line="240" w:lineRule="auto"/>
        <w:rPr>
          <w:rFonts w:ascii="Cambria" w:hAnsi="Cambria"/>
          <w:sz w:val="20"/>
          <w:szCs w:val="20"/>
          <w:lang w:val="es-MX"/>
        </w:rPr>
      </w:pPr>
    </w:p>
    <w:p w14:paraId="0BC938A5" w14:textId="77777777" w:rsidR="00E80B86" w:rsidRPr="00E80B86" w:rsidRDefault="00E80B86" w:rsidP="00E80B86">
      <w:pPr>
        <w:spacing w:after="0" w:line="240" w:lineRule="auto"/>
        <w:jc w:val="center"/>
        <w:rPr>
          <w:rFonts w:ascii="Cambria" w:hAnsi="Cambria"/>
          <w:sz w:val="20"/>
          <w:szCs w:val="20"/>
          <w:lang w:val="es-MX"/>
        </w:rPr>
      </w:pPr>
    </w:p>
    <w:p w14:paraId="418EC7BD" w14:textId="77777777" w:rsidR="00E80B86" w:rsidRPr="00E80B86" w:rsidRDefault="00E80B86" w:rsidP="00E80B86">
      <w:pPr>
        <w:spacing w:after="0" w:line="240" w:lineRule="auto"/>
        <w:rPr>
          <w:rFonts w:ascii="Cambria" w:hAnsi="Cambria"/>
          <w:sz w:val="20"/>
          <w:szCs w:val="20"/>
          <w:lang w:val="es-MX"/>
        </w:rPr>
      </w:pPr>
    </w:p>
    <w:p w14:paraId="1D918789" w14:textId="77777777" w:rsidR="00E80B86" w:rsidRPr="00E80B86" w:rsidRDefault="00E80B86" w:rsidP="00E80B86">
      <w:pPr>
        <w:tabs>
          <w:tab w:val="center" w:pos="5040"/>
        </w:tabs>
        <w:spacing w:after="0" w:line="240" w:lineRule="auto"/>
        <w:jc w:val="center"/>
        <w:rPr>
          <w:rFonts w:ascii="Cambria" w:hAnsi="Cambria"/>
          <w:sz w:val="20"/>
          <w:szCs w:val="20"/>
          <w:lang w:val="es-MX"/>
        </w:rPr>
      </w:pPr>
    </w:p>
    <w:p w14:paraId="73095F7E" w14:textId="77777777" w:rsidR="00E80B86" w:rsidRPr="00E80B86" w:rsidRDefault="00E80B86" w:rsidP="00E80B86">
      <w:pPr>
        <w:spacing w:after="0" w:line="240" w:lineRule="auto"/>
        <w:jc w:val="center"/>
        <w:rPr>
          <w:rFonts w:ascii="Cambria" w:hAnsi="Cambria"/>
          <w:sz w:val="20"/>
          <w:szCs w:val="20"/>
          <w:lang w:val="pt-BR"/>
        </w:rPr>
      </w:pPr>
      <w:r w:rsidRPr="00E80B86">
        <w:rPr>
          <w:rFonts w:ascii="Cambria" w:hAnsi="Cambria"/>
          <w:sz w:val="20"/>
          <w:szCs w:val="20"/>
          <w:lang w:val="pt-BR"/>
        </w:rPr>
        <w:t>Jorge Meza Flores</w:t>
      </w:r>
    </w:p>
    <w:p w14:paraId="49A164FA" w14:textId="77777777" w:rsidR="00E80B86" w:rsidRPr="00E80B86" w:rsidRDefault="00E80B86" w:rsidP="00E80B86">
      <w:pPr>
        <w:spacing w:after="0" w:line="240" w:lineRule="auto"/>
        <w:jc w:val="center"/>
        <w:rPr>
          <w:rFonts w:ascii="Cambria" w:hAnsi="Cambria"/>
          <w:sz w:val="20"/>
          <w:szCs w:val="20"/>
          <w:lang w:val="pt-BR"/>
        </w:rPr>
      </w:pPr>
      <w:r w:rsidRPr="00E80B86">
        <w:rPr>
          <w:rFonts w:ascii="Cambria" w:hAnsi="Cambria"/>
          <w:sz w:val="20"/>
          <w:szCs w:val="20"/>
          <w:lang w:val="pt-BR"/>
        </w:rPr>
        <w:t>Secretario Ejecutivo Adjunto</w:t>
      </w:r>
    </w:p>
    <w:bookmarkEnd w:id="2"/>
    <w:bookmarkEnd w:id="3"/>
    <w:bookmarkEnd w:id="4"/>
    <w:bookmarkEnd w:id="5"/>
    <w:bookmarkEnd w:id="6"/>
    <w:bookmarkEnd w:id="7"/>
    <w:bookmarkEnd w:id="8"/>
    <w:p w14:paraId="7CFF2659" w14:textId="77777777" w:rsidR="00A9224E" w:rsidRPr="00E80B86" w:rsidRDefault="00A9224E" w:rsidP="00A9224E">
      <w:pPr>
        <w:tabs>
          <w:tab w:val="left" w:pos="-720"/>
        </w:tabs>
        <w:suppressAutoHyphens/>
        <w:spacing w:after="0" w:line="240" w:lineRule="auto"/>
        <w:jc w:val="both"/>
        <w:rPr>
          <w:rFonts w:ascii="Cambria" w:hAnsi="Cambria" w:cstheme="minorHAnsi"/>
          <w:sz w:val="20"/>
          <w:szCs w:val="20"/>
          <w:lang w:val="es-CO"/>
        </w:rPr>
      </w:pPr>
    </w:p>
    <w:p w14:paraId="0A0940B6" w14:textId="77777777" w:rsidR="00E80B86" w:rsidRPr="00E80B86" w:rsidRDefault="00E80B86" w:rsidP="00A9224E">
      <w:pPr>
        <w:tabs>
          <w:tab w:val="left" w:pos="-720"/>
        </w:tabs>
        <w:suppressAutoHyphens/>
        <w:spacing w:after="0" w:line="240" w:lineRule="auto"/>
        <w:jc w:val="both"/>
        <w:rPr>
          <w:rFonts w:ascii="Cambria" w:hAnsi="Cambria" w:cstheme="minorHAnsi"/>
          <w:sz w:val="20"/>
          <w:szCs w:val="20"/>
          <w:lang w:val="es-CO"/>
        </w:rPr>
      </w:pPr>
    </w:p>
    <w:bookmarkEnd w:id="9"/>
    <w:bookmarkEnd w:id="10"/>
    <w:p w14:paraId="5E676AA6" w14:textId="32E12408" w:rsidR="00A9224E" w:rsidRPr="00E80B86" w:rsidRDefault="00A9224E" w:rsidP="00E80B86">
      <w:pPr>
        <w:spacing w:after="0" w:line="240" w:lineRule="auto"/>
        <w:jc w:val="both"/>
        <w:rPr>
          <w:rFonts w:ascii="Cambria" w:hAnsi="Cambria"/>
          <w:sz w:val="20"/>
          <w:szCs w:val="20"/>
          <w:lang w:val="es-CO"/>
        </w:rPr>
      </w:pPr>
      <w:r w:rsidRPr="00E80B86">
        <w:rPr>
          <w:rFonts w:ascii="Cambria" w:hAnsi="Cambria" w:cstheme="minorHAnsi"/>
          <w:color w:val="000000"/>
          <w:sz w:val="20"/>
          <w:szCs w:val="20"/>
          <w:lang w:val="es-CO"/>
        </w:rPr>
        <w:t>Anexo</w:t>
      </w:r>
    </w:p>
    <w:sectPr w:rsidR="00A9224E" w:rsidRPr="00E80B86" w:rsidSect="006B7720">
      <w:headerReference w:type="default" r:id="rId7"/>
      <w:footerReference w:type="default" r:id="rId8"/>
      <w:headerReference w:type="first" r:id="rId9"/>
      <w:footerReference w:type="first" r:id="rId10"/>
      <w:pgSz w:w="12240" w:h="15840"/>
      <w:pgMar w:top="-14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3069" w14:textId="77777777" w:rsidR="0041649C" w:rsidRDefault="0041649C">
      <w:pPr>
        <w:spacing w:after="0" w:line="240" w:lineRule="auto"/>
      </w:pPr>
      <w:r>
        <w:separator/>
      </w:r>
    </w:p>
  </w:endnote>
  <w:endnote w:type="continuationSeparator" w:id="0">
    <w:p w14:paraId="410AE7A9" w14:textId="77777777" w:rsidR="0041649C" w:rsidRDefault="0041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8CBD" w14:textId="77777777" w:rsidR="00CA3337" w:rsidRPr="00623374" w:rsidRDefault="00CA3337">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2F612306" w14:textId="77777777" w:rsidR="00CA3337" w:rsidRDefault="00CA3337" w:rsidP="002E628E">
    <w:pPr>
      <w:pStyle w:val="Footer"/>
      <w:spacing w:line="360" w:lineRule="auto"/>
    </w:pPr>
    <w:r>
      <w:t>_____________________________________________________________________________________</w:t>
    </w:r>
  </w:p>
  <w:p w14:paraId="3C897A77" w14:textId="77777777" w:rsidR="00CA3337" w:rsidRDefault="00CA3337" w:rsidP="00F8734F">
    <w:pPr>
      <w:pStyle w:val="Footer"/>
      <w:jc w:val="center"/>
    </w:pPr>
    <w:r w:rsidRPr="008A5CB5">
      <w:rPr>
        <w:noProof/>
      </w:rPr>
      <w:drawing>
        <wp:inline distT="0" distB="0" distL="0" distR="0" wp14:anchorId="67581233" wp14:editId="38BF2C55">
          <wp:extent cx="5114925" cy="323850"/>
          <wp:effectExtent l="0" t="0" r="9525" b="0"/>
          <wp:docPr id="564563880"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1285" w14:textId="77777777" w:rsidR="00CA3337" w:rsidRDefault="00CA3337" w:rsidP="00162CE1">
    <w:pPr>
      <w:pStyle w:val="Footer"/>
      <w:spacing w:line="360" w:lineRule="auto"/>
    </w:pPr>
    <w:r>
      <w:t>_____________________________________________________________________________________</w:t>
    </w:r>
  </w:p>
  <w:p w14:paraId="54812CFD" w14:textId="77777777" w:rsidR="00CA3337" w:rsidRDefault="00CA3337" w:rsidP="00162CE1">
    <w:pPr>
      <w:pStyle w:val="Footer"/>
      <w:jc w:val="center"/>
    </w:pPr>
    <w:r w:rsidRPr="008A5CB5">
      <w:rPr>
        <w:noProof/>
      </w:rPr>
      <w:drawing>
        <wp:inline distT="0" distB="0" distL="0" distR="0" wp14:anchorId="7DFD2F1E" wp14:editId="75058390">
          <wp:extent cx="5114925" cy="323850"/>
          <wp:effectExtent l="0" t="0" r="9525" b="0"/>
          <wp:docPr id="814087289"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C2D6" w14:textId="77777777" w:rsidR="0041649C" w:rsidRDefault="0041649C">
      <w:pPr>
        <w:spacing w:after="0" w:line="240" w:lineRule="auto"/>
      </w:pPr>
      <w:r>
        <w:separator/>
      </w:r>
    </w:p>
  </w:footnote>
  <w:footnote w:type="continuationSeparator" w:id="0">
    <w:p w14:paraId="320B152E" w14:textId="77777777" w:rsidR="0041649C" w:rsidRDefault="0041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45C" w14:textId="77777777" w:rsidR="00CA3337" w:rsidRPr="0058688A" w:rsidRDefault="00CA3337" w:rsidP="00162CE1">
    <w:pPr>
      <w:pStyle w:val="Header"/>
      <w:jc w:val="center"/>
      <w:rPr>
        <w:lang w:val="es-ES_tradnl"/>
      </w:rPr>
    </w:pPr>
    <w:r>
      <w:rPr>
        <w:noProof/>
        <w:lang w:val="es-ES_tradnl"/>
      </w:rPr>
      <w:drawing>
        <wp:inline distT="0" distB="0" distL="0" distR="0" wp14:anchorId="14706C84" wp14:editId="37FFB1E3">
          <wp:extent cx="2286000" cy="123825"/>
          <wp:effectExtent l="0" t="0" r="0" b="9525"/>
          <wp:docPr id="3586797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5BE6EF8B" w14:textId="77777777" w:rsidR="00CA3337" w:rsidRDefault="00CA3337">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B7C6" w14:textId="77777777" w:rsidR="00CA3337" w:rsidRDefault="00CA3337" w:rsidP="00162CE1">
    <w:pPr>
      <w:pStyle w:val="Header"/>
    </w:pPr>
    <w:r w:rsidRPr="008A5CB5">
      <w:rPr>
        <w:noProof/>
      </w:rPr>
      <w:drawing>
        <wp:inline distT="0" distB="0" distL="0" distR="0" wp14:anchorId="191491BF" wp14:editId="45281032">
          <wp:extent cx="2371725" cy="447675"/>
          <wp:effectExtent l="0" t="0" r="9525" b="9525"/>
          <wp:docPr id="19667943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47675"/>
                  </a:xfrm>
                  <a:prstGeom prst="rect">
                    <a:avLst/>
                  </a:prstGeom>
                  <a:noFill/>
                  <a:ln>
                    <a:noFill/>
                  </a:ln>
                </pic:spPr>
              </pic:pic>
            </a:graphicData>
          </a:graphic>
        </wp:inline>
      </w:drawing>
    </w:r>
    <w:r>
      <w:tab/>
    </w:r>
    <w:r>
      <w:tab/>
    </w:r>
    <w:r w:rsidRPr="008A5CB5">
      <w:rPr>
        <w:noProof/>
      </w:rPr>
      <w:drawing>
        <wp:inline distT="0" distB="0" distL="0" distR="0" wp14:anchorId="2D0236C4" wp14:editId="48FBC68F">
          <wp:extent cx="1685925" cy="485775"/>
          <wp:effectExtent l="0" t="0" r="9525" b="9525"/>
          <wp:docPr id="612614051"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85775"/>
                  </a:xfrm>
                  <a:prstGeom prst="rect">
                    <a:avLst/>
                  </a:prstGeom>
                  <a:noFill/>
                  <a:ln>
                    <a:noFill/>
                  </a:ln>
                </pic:spPr>
              </pic:pic>
            </a:graphicData>
          </a:graphic>
        </wp:inline>
      </w:drawing>
    </w:r>
  </w:p>
  <w:p w14:paraId="56ADE006" w14:textId="77777777" w:rsidR="00CA3337" w:rsidRDefault="00CA3337"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A2D9C"/>
    <w:multiLevelType w:val="hybridMultilevel"/>
    <w:tmpl w:val="E026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01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4E"/>
    <w:rsid w:val="0001396D"/>
    <w:rsid w:val="000611FF"/>
    <w:rsid w:val="00065567"/>
    <w:rsid w:val="00075832"/>
    <w:rsid w:val="00083AEC"/>
    <w:rsid w:val="000A37C1"/>
    <w:rsid w:val="000C0AA2"/>
    <w:rsid w:val="000E05DF"/>
    <w:rsid w:val="000F65E6"/>
    <w:rsid w:val="00123032"/>
    <w:rsid w:val="0014603C"/>
    <w:rsid w:val="001A1067"/>
    <w:rsid w:val="001E0FE5"/>
    <w:rsid w:val="001E632A"/>
    <w:rsid w:val="001F05E2"/>
    <w:rsid w:val="001F3EE5"/>
    <w:rsid w:val="002030D2"/>
    <w:rsid w:val="00203F7D"/>
    <w:rsid w:val="0024511F"/>
    <w:rsid w:val="00253558"/>
    <w:rsid w:val="00290445"/>
    <w:rsid w:val="002B4E01"/>
    <w:rsid w:val="002D22EA"/>
    <w:rsid w:val="002D5E89"/>
    <w:rsid w:val="002E5392"/>
    <w:rsid w:val="00341AE3"/>
    <w:rsid w:val="00355F7A"/>
    <w:rsid w:val="0036649D"/>
    <w:rsid w:val="00384C44"/>
    <w:rsid w:val="0041649C"/>
    <w:rsid w:val="004224E9"/>
    <w:rsid w:val="0042561D"/>
    <w:rsid w:val="00443DD0"/>
    <w:rsid w:val="00452FF6"/>
    <w:rsid w:val="00462631"/>
    <w:rsid w:val="00491714"/>
    <w:rsid w:val="004C08B0"/>
    <w:rsid w:val="00511149"/>
    <w:rsid w:val="00515FDA"/>
    <w:rsid w:val="00516744"/>
    <w:rsid w:val="0051766E"/>
    <w:rsid w:val="00537CC2"/>
    <w:rsid w:val="00594BEA"/>
    <w:rsid w:val="005A0759"/>
    <w:rsid w:val="005B0405"/>
    <w:rsid w:val="005D1B63"/>
    <w:rsid w:val="0061212C"/>
    <w:rsid w:val="0062698A"/>
    <w:rsid w:val="006324DD"/>
    <w:rsid w:val="00634E09"/>
    <w:rsid w:val="00663AB1"/>
    <w:rsid w:val="00682922"/>
    <w:rsid w:val="006B7720"/>
    <w:rsid w:val="006C4B3C"/>
    <w:rsid w:val="006E2E0B"/>
    <w:rsid w:val="00701BCB"/>
    <w:rsid w:val="00713530"/>
    <w:rsid w:val="00757741"/>
    <w:rsid w:val="00790416"/>
    <w:rsid w:val="007B5A4B"/>
    <w:rsid w:val="007D7547"/>
    <w:rsid w:val="00801CC2"/>
    <w:rsid w:val="008332E8"/>
    <w:rsid w:val="008525C6"/>
    <w:rsid w:val="008D1F1F"/>
    <w:rsid w:val="008D4197"/>
    <w:rsid w:val="008E19F7"/>
    <w:rsid w:val="00914586"/>
    <w:rsid w:val="00923A02"/>
    <w:rsid w:val="00927F99"/>
    <w:rsid w:val="00935F04"/>
    <w:rsid w:val="00957BB0"/>
    <w:rsid w:val="00986B21"/>
    <w:rsid w:val="009907EA"/>
    <w:rsid w:val="009A5A76"/>
    <w:rsid w:val="009C47AF"/>
    <w:rsid w:val="009D046A"/>
    <w:rsid w:val="009D1681"/>
    <w:rsid w:val="009D31F5"/>
    <w:rsid w:val="009D3E42"/>
    <w:rsid w:val="009E7BE9"/>
    <w:rsid w:val="00A1701C"/>
    <w:rsid w:val="00A31D11"/>
    <w:rsid w:val="00A44E0C"/>
    <w:rsid w:val="00A66AC6"/>
    <w:rsid w:val="00A8090D"/>
    <w:rsid w:val="00A83BFC"/>
    <w:rsid w:val="00A9224E"/>
    <w:rsid w:val="00AC0183"/>
    <w:rsid w:val="00B05588"/>
    <w:rsid w:val="00B22DE1"/>
    <w:rsid w:val="00B3173D"/>
    <w:rsid w:val="00B468D3"/>
    <w:rsid w:val="00B61F83"/>
    <w:rsid w:val="00B63C30"/>
    <w:rsid w:val="00B640A9"/>
    <w:rsid w:val="00B65184"/>
    <w:rsid w:val="00B91AD9"/>
    <w:rsid w:val="00BC571B"/>
    <w:rsid w:val="00BC676A"/>
    <w:rsid w:val="00BD685D"/>
    <w:rsid w:val="00BD7AC2"/>
    <w:rsid w:val="00C0466D"/>
    <w:rsid w:val="00C158AF"/>
    <w:rsid w:val="00C3257F"/>
    <w:rsid w:val="00C411C8"/>
    <w:rsid w:val="00C603E2"/>
    <w:rsid w:val="00CA3337"/>
    <w:rsid w:val="00CE03E9"/>
    <w:rsid w:val="00D05A51"/>
    <w:rsid w:val="00D23A87"/>
    <w:rsid w:val="00D435AA"/>
    <w:rsid w:val="00D728D2"/>
    <w:rsid w:val="00D967ED"/>
    <w:rsid w:val="00DA6066"/>
    <w:rsid w:val="00DC0F12"/>
    <w:rsid w:val="00E2405C"/>
    <w:rsid w:val="00E43805"/>
    <w:rsid w:val="00E6641C"/>
    <w:rsid w:val="00E80B86"/>
    <w:rsid w:val="00E8476B"/>
    <w:rsid w:val="00E86450"/>
    <w:rsid w:val="00ED4B7A"/>
    <w:rsid w:val="00ED78A8"/>
    <w:rsid w:val="00EF5093"/>
    <w:rsid w:val="00F0245A"/>
    <w:rsid w:val="00F034F7"/>
    <w:rsid w:val="00F16EE3"/>
    <w:rsid w:val="00F20369"/>
    <w:rsid w:val="00F21767"/>
    <w:rsid w:val="00F84849"/>
    <w:rsid w:val="00F9397B"/>
    <w:rsid w:val="00FB2830"/>
    <w:rsid w:val="00FF4CE2"/>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29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24E"/>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A92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2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2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2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24E"/>
    <w:rPr>
      <w:rFonts w:eastAsiaTheme="majorEastAsia" w:cstheme="majorBidi"/>
      <w:color w:val="272727" w:themeColor="text1" w:themeTint="D8"/>
    </w:rPr>
  </w:style>
  <w:style w:type="paragraph" w:styleId="Title">
    <w:name w:val="Title"/>
    <w:basedOn w:val="Normal"/>
    <w:next w:val="Normal"/>
    <w:link w:val="TitleChar"/>
    <w:uiPriority w:val="10"/>
    <w:qFormat/>
    <w:rsid w:val="00A92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24E"/>
    <w:pPr>
      <w:spacing w:before="160"/>
      <w:jc w:val="center"/>
    </w:pPr>
    <w:rPr>
      <w:i/>
      <w:iCs/>
      <w:color w:val="404040" w:themeColor="text1" w:themeTint="BF"/>
    </w:rPr>
  </w:style>
  <w:style w:type="character" w:customStyle="1" w:styleId="QuoteChar">
    <w:name w:val="Quote Char"/>
    <w:basedOn w:val="DefaultParagraphFont"/>
    <w:link w:val="Quote"/>
    <w:uiPriority w:val="29"/>
    <w:rsid w:val="00A9224E"/>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basedOn w:val="Normal"/>
    <w:link w:val="ListParagraphChar"/>
    <w:uiPriority w:val="99"/>
    <w:qFormat/>
    <w:rsid w:val="00A9224E"/>
    <w:pPr>
      <w:ind w:left="720"/>
      <w:contextualSpacing/>
    </w:pPr>
  </w:style>
  <w:style w:type="character" w:styleId="IntenseEmphasis">
    <w:name w:val="Intense Emphasis"/>
    <w:basedOn w:val="DefaultParagraphFont"/>
    <w:uiPriority w:val="21"/>
    <w:qFormat/>
    <w:rsid w:val="00A9224E"/>
    <w:rPr>
      <w:i/>
      <w:iCs/>
      <w:color w:val="0F4761" w:themeColor="accent1" w:themeShade="BF"/>
    </w:rPr>
  </w:style>
  <w:style w:type="paragraph" w:styleId="IntenseQuote">
    <w:name w:val="Intense Quote"/>
    <w:basedOn w:val="Normal"/>
    <w:next w:val="Normal"/>
    <w:link w:val="IntenseQuoteChar"/>
    <w:uiPriority w:val="30"/>
    <w:qFormat/>
    <w:rsid w:val="00A92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24E"/>
    <w:rPr>
      <w:i/>
      <w:iCs/>
      <w:color w:val="0F4761" w:themeColor="accent1" w:themeShade="BF"/>
    </w:rPr>
  </w:style>
  <w:style w:type="character" w:styleId="IntenseReference">
    <w:name w:val="Intense Reference"/>
    <w:basedOn w:val="DefaultParagraphFont"/>
    <w:uiPriority w:val="32"/>
    <w:qFormat/>
    <w:rsid w:val="00A9224E"/>
    <w:rPr>
      <w:b/>
      <w:bCs/>
      <w:smallCaps/>
      <w:color w:val="0F4761" w:themeColor="accent1" w:themeShade="BF"/>
      <w:spacing w:val="5"/>
    </w:rPr>
  </w:style>
  <w:style w:type="paragraph" w:styleId="Header">
    <w:name w:val="header"/>
    <w:aliases w:val="encabezado"/>
    <w:basedOn w:val="Normal"/>
    <w:link w:val="HeaderChar"/>
    <w:unhideWhenUsed/>
    <w:rsid w:val="00A9224E"/>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A9224E"/>
    <w:rPr>
      <w:rFonts w:ascii="Calibri" w:eastAsia="Calibri" w:hAnsi="Calibri" w:cs="Times New Roman"/>
      <w:kern w:val="0"/>
      <w:sz w:val="22"/>
      <w:szCs w:val="22"/>
      <w14:ligatures w14:val="none"/>
    </w:rPr>
  </w:style>
  <w:style w:type="paragraph" w:styleId="Footer">
    <w:name w:val="footer"/>
    <w:basedOn w:val="Normal"/>
    <w:link w:val="FooterChar"/>
    <w:unhideWhenUsed/>
    <w:rsid w:val="00A9224E"/>
    <w:pPr>
      <w:tabs>
        <w:tab w:val="center" w:pos="4680"/>
        <w:tab w:val="right" w:pos="9360"/>
      </w:tabs>
      <w:spacing w:after="0" w:line="240" w:lineRule="auto"/>
    </w:pPr>
  </w:style>
  <w:style w:type="character" w:customStyle="1" w:styleId="FooterChar">
    <w:name w:val="Footer Char"/>
    <w:basedOn w:val="DefaultParagraphFont"/>
    <w:link w:val="Footer"/>
    <w:rsid w:val="00A9224E"/>
    <w:rPr>
      <w:rFonts w:ascii="Calibri" w:eastAsia="Calibri" w:hAnsi="Calibri" w:cs="Times New Roman"/>
      <w:kern w:val="0"/>
      <w:sz w:val="22"/>
      <w:szCs w:val="22"/>
      <w14:ligatures w14:val="none"/>
    </w:rPr>
  </w:style>
  <w:style w:type="character" w:styleId="Hyperlink">
    <w:name w:val="Hyperlink"/>
    <w:uiPriority w:val="99"/>
    <w:rsid w:val="00A9224E"/>
    <w:rPr>
      <w:color w:val="0000FF"/>
      <w:u w:val="singl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99"/>
    <w:qFormat/>
    <w:locked/>
    <w:rsid w:val="00A9224E"/>
  </w:style>
  <w:style w:type="paragraph" w:customStyle="1" w:styleId="parrafos">
    <w:name w:val="parrafos"/>
    <w:basedOn w:val="Normal"/>
    <w:link w:val="parrafosChar"/>
    <w:qFormat/>
    <w:rsid w:val="00A9224E"/>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A9224E"/>
    <w:rPr>
      <w:rFonts w:ascii="Cambria" w:eastAsia="Arial Unicode MS" w:hAnsi="Cambria" w:cs="Times New Roman"/>
      <w:color w:val="000000"/>
      <w:kern w:val="0"/>
      <w:sz w:val="20"/>
      <w:szCs w:val="20"/>
      <w:bdr w:val="nil"/>
      <w:lang w:val="es-VE"/>
      <w14:ligatures w14:val="none"/>
    </w:rPr>
  </w:style>
  <w:style w:type="character" w:customStyle="1" w:styleId="normaltextrun">
    <w:name w:val="normaltextrun"/>
    <w:basedOn w:val="DefaultParagraphFont"/>
    <w:rsid w:val="006C4B3C"/>
  </w:style>
  <w:style w:type="paragraph" w:styleId="BodyTextIndent">
    <w:name w:val="Body Text Indent"/>
    <w:basedOn w:val="Normal"/>
    <w:link w:val="BodyTextIndentChar"/>
    <w:uiPriority w:val="99"/>
    <w:unhideWhenUsed/>
    <w:rsid w:val="00A31D11"/>
    <w:pPr>
      <w:spacing w:after="0" w:line="240" w:lineRule="auto"/>
      <w:ind w:firstLine="360"/>
      <w:jc w:val="both"/>
    </w:pPr>
    <w:rPr>
      <w:rFonts w:ascii="Cambria" w:hAnsi="Cambria"/>
      <w:sz w:val="20"/>
      <w:szCs w:val="20"/>
      <w:lang w:val="es-CO"/>
    </w:rPr>
  </w:style>
  <w:style w:type="character" w:customStyle="1" w:styleId="BodyTextIndentChar">
    <w:name w:val="Body Text Indent Char"/>
    <w:basedOn w:val="DefaultParagraphFont"/>
    <w:link w:val="BodyTextIndent"/>
    <w:uiPriority w:val="99"/>
    <w:rsid w:val="00A31D11"/>
    <w:rPr>
      <w:rFonts w:ascii="Cambria" w:eastAsia="Calibri" w:hAnsi="Cambria" w:cs="Times New Roman"/>
      <w:kern w:val="0"/>
      <w:sz w:val="20"/>
      <w:szCs w:val="20"/>
      <w:lang w:val="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2408</Words>
  <Characters>13726</Characters>
  <Application>Microsoft Office Word</Application>
  <DocSecurity>0</DocSecurity>
  <Lines>114</Lines>
  <Paragraphs>32</Paragraphs>
  <ScaleCrop>false</ScaleCrop>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2025-01-24T14:43:00Z</dcterms:created>
  <dcterms:modified xsi:type="dcterms:W3CDTF">2025-01-24T14:43:00Z</dcterms:modified>
</cp:coreProperties>
</file>