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29BA7" w14:textId="77777777" w:rsidR="00737437" w:rsidRDefault="00737437" w:rsidP="00737437">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17DFD3E7" wp14:editId="00D10A61">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6E87ED53" wp14:editId="6FA86AEF">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2B1B39DA" wp14:editId="4E8730BE">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CA13C9" w14:textId="77777777" w:rsidR="00737437" w:rsidRPr="00411A74" w:rsidRDefault="00737437" w:rsidP="00737437">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7765CFBF" w14:textId="77777777" w:rsidR="00737437" w:rsidRDefault="00737437" w:rsidP="00737437">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33AF6FA7" w14:textId="77777777" w:rsidR="00F725A5" w:rsidRPr="004533E5" w:rsidRDefault="00F725A5" w:rsidP="004533E5">
      <w:pPr>
        <w:jc w:val="both"/>
        <w:rPr>
          <w:rFonts w:ascii="Calibri Light" w:hAnsi="Calibri Light"/>
          <w:sz w:val="16"/>
          <w:szCs w:val="16"/>
          <w:lang w:val="es-PE"/>
        </w:rPr>
      </w:pPr>
    </w:p>
    <w:tbl>
      <w:tblPr>
        <w:tblStyle w:val="Tabladelista2-nfasis11"/>
        <w:tblW w:w="0" w:type="auto"/>
        <w:tblLook w:val="04A0" w:firstRow="1" w:lastRow="0" w:firstColumn="1" w:lastColumn="0" w:noHBand="0" w:noVBand="1"/>
      </w:tblPr>
      <w:tblGrid>
        <w:gridCol w:w="3678"/>
        <w:gridCol w:w="2515"/>
        <w:gridCol w:w="2528"/>
      </w:tblGrid>
      <w:tr w:rsidR="005173CF" w:rsidRPr="004533E5" w14:paraId="01A2F61A" w14:textId="77777777" w:rsidTr="000840AE">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Default="00AC6F31" w:rsidP="00AC6F31">
            <w:pPr>
              <w:pStyle w:val="ListParagraph"/>
              <w:rPr>
                <w:rFonts w:ascii="Calibri Light" w:hAnsi="Calibri Light"/>
              </w:rPr>
            </w:pPr>
          </w:p>
          <w:p w14:paraId="160CE2AC" w14:textId="77777777" w:rsidR="00212F62" w:rsidRDefault="007A6C56" w:rsidP="00AC6F31">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6BA3A748" w:rsidR="00AC6F31" w:rsidRPr="00AC6F31" w:rsidRDefault="00AC6F31" w:rsidP="00AC6F31">
            <w:pPr>
              <w:pStyle w:val="ListParagraph"/>
              <w:rPr>
                <w:rFonts w:ascii="Calibri Light" w:hAnsi="Calibri Light"/>
              </w:rPr>
            </w:pPr>
          </w:p>
        </w:tc>
      </w:tr>
      <w:tr w:rsidR="004533E5" w:rsidRPr="004533E5" w14:paraId="275AD1EA" w14:textId="77777777" w:rsidTr="000840A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Nombre del caso</w:t>
            </w:r>
          </w:p>
        </w:tc>
        <w:tc>
          <w:tcPr>
            <w:tcW w:w="5043" w:type="dxa"/>
            <w:gridSpan w:val="2"/>
          </w:tcPr>
          <w:p w14:paraId="084A5991" w14:textId="74749EDC" w:rsidR="005173CF" w:rsidRPr="004533E5" w:rsidRDefault="00A136B2" w:rsidP="002A2CE5">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Maurilia Coc M</w:t>
            </w:r>
            <w:r w:rsidR="002A2CE5">
              <w:rPr>
                <w:rFonts w:ascii="Calibri Light" w:hAnsi="Calibri Light"/>
              </w:rPr>
              <w:t xml:space="preserve">ax y otros (Masacre de Xamán), </w:t>
            </w:r>
            <w:r>
              <w:rPr>
                <w:rFonts w:ascii="Calibri Light" w:hAnsi="Calibri Light"/>
              </w:rPr>
              <w:t>Guatemala</w:t>
            </w:r>
          </w:p>
        </w:tc>
      </w:tr>
      <w:tr w:rsidR="00F464EC" w:rsidRPr="004533E5" w14:paraId="59A6A8A1" w14:textId="77777777" w:rsidTr="000840AE">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6F3F9852" w:rsidR="00F464EC" w:rsidRPr="004533E5" w:rsidRDefault="002A2CE5" w:rsidP="00A65231">
            <w:pPr>
              <w:pStyle w:val="ListParagraph"/>
              <w:numPr>
                <w:ilvl w:val="0"/>
                <w:numId w:val="3"/>
              </w:numPr>
              <w:rPr>
                <w:rFonts w:ascii="Calibri Light" w:hAnsi="Calibri Light"/>
              </w:rPr>
            </w:pPr>
            <w:r>
              <w:rPr>
                <w:rFonts w:ascii="Calibri Light" w:hAnsi="Calibri Light"/>
              </w:rPr>
              <w:t>Parte peticionaria</w:t>
            </w:r>
          </w:p>
        </w:tc>
        <w:tc>
          <w:tcPr>
            <w:tcW w:w="5043" w:type="dxa"/>
            <w:gridSpan w:val="2"/>
          </w:tcPr>
          <w:p w14:paraId="3A67829D" w14:textId="77777777" w:rsidR="00A136B2" w:rsidRDefault="00A136B2"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 xml:space="preserve">Rigoberta Menchú Tum </w:t>
            </w:r>
          </w:p>
          <w:p w14:paraId="34445F37" w14:textId="77777777" w:rsidR="00A136B2" w:rsidRDefault="00A136B2"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 xml:space="preserve">Eduardo Antonio Salerno </w:t>
            </w:r>
          </w:p>
          <w:p w14:paraId="26FFE5EE" w14:textId="77777777" w:rsidR="00A136B2" w:rsidRDefault="00A136B2"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María López Funes</w:t>
            </w:r>
          </w:p>
          <w:p w14:paraId="374B2A68" w14:textId="142F8973" w:rsidR="00A136B2" w:rsidRDefault="00A136B2"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Grupo de Apoyo Mutuo (GAM)</w:t>
            </w:r>
          </w:p>
        </w:tc>
      </w:tr>
      <w:tr w:rsidR="005173CF" w:rsidRPr="004533E5" w14:paraId="3A483B4F" w14:textId="77777777" w:rsidTr="000840A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3E058ADC"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 xml:space="preserve">Número de Informe </w:t>
            </w:r>
          </w:p>
        </w:tc>
        <w:tc>
          <w:tcPr>
            <w:tcW w:w="5043" w:type="dxa"/>
            <w:gridSpan w:val="2"/>
          </w:tcPr>
          <w:p w14:paraId="77740DF4" w14:textId="3540E59D" w:rsidR="005173CF" w:rsidRPr="004533E5" w:rsidRDefault="00EE0D91" w:rsidP="00A136B2">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A136B2" w:rsidRPr="00A136B2">
                <w:rPr>
                  <w:rStyle w:val="Hyperlink"/>
                  <w:rFonts w:ascii="Calibri Light" w:hAnsi="Calibri Light"/>
                </w:rPr>
                <w:t>Informe No. 28/16</w:t>
              </w:r>
            </w:hyperlink>
          </w:p>
        </w:tc>
      </w:tr>
      <w:tr w:rsidR="004533E5" w:rsidRPr="004533E5" w14:paraId="5EC10F5F" w14:textId="77777777" w:rsidTr="000840AE">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F725A5" w:rsidRDefault="00954E20" w:rsidP="00954E20">
            <w:pPr>
              <w:pStyle w:val="ListParagraph"/>
              <w:numPr>
                <w:ilvl w:val="0"/>
                <w:numId w:val="3"/>
              </w:numPr>
            </w:pPr>
            <w:r w:rsidRPr="004533E5">
              <w:rPr>
                <w:rFonts w:ascii="Calibri Light" w:hAnsi="Calibri Light"/>
              </w:rPr>
              <w:t xml:space="preserve">Tipo de informe </w:t>
            </w:r>
          </w:p>
        </w:tc>
        <w:tc>
          <w:tcPr>
            <w:tcW w:w="5043" w:type="dxa"/>
            <w:gridSpan w:val="2"/>
          </w:tcPr>
          <w:p w14:paraId="35E9A08D" w14:textId="0A65D82D" w:rsidR="005173CF" w:rsidRPr="004533E5" w:rsidRDefault="00A136B2" w:rsidP="00954E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de Admisibilidad y Fondo</w:t>
            </w:r>
            <w:r w:rsidR="00AB11B8">
              <w:rPr>
                <w:rFonts w:ascii="Calibri Light" w:hAnsi="Calibri Light"/>
              </w:rPr>
              <w:t xml:space="preserve"> (Caso en la Corte IDH)</w:t>
            </w:r>
          </w:p>
        </w:tc>
      </w:tr>
      <w:tr w:rsidR="005173CF" w:rsidRPr="004533E5" w14:paraId="7ED5AB61" w14:textId="77777777" w:rsidTr="000840A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4533E5" w:rsidRDefault="00954E20" w:rsidP="00A65231">
            <w:pPr>
              <w:pStyle w:val="ListParagraph"/>
              <w:numPr>
                <w:ilvl w:val="0"/>
                <w:numId w:val="3"/>
              </w:numPr>
              <w:rPr>
                <w:rFonts w:ascii="Calibri Light" w:hAnsi="Calibri Light"/>
              </w:rPr>
            </w:pPr>
            <w:r>
              <w:rPr>
                <w:rFonts w:ascii="Calibri Light" w:hAnsi="Calibri Light"/>
              </w:rPr>
              <w:t>Fecha</w:t>
            </w:r>
            <w:r w:rsidR="007A6C56" w:rsidRPr="004533E5">
              <w:rPr>
                <w:rFonts w:ascii="Calibri Light" w:hAnsi="Calibri Light"/>
              </w:rPr>
              <w:t xml:space="preserve"> </w:t>
            </w:r>
          </w:p>
        </w:tc>
        <w:tc>
          <w:tcPr>
            <w:tcW w:w="5043" w:type="dxa"/>
            <w:gridSpan w:val="2"/>
          </w:tcPr>
          <w:p w14:paraId="1C803DF5" w14:textId="5D2B041B" w:rsidR="005173CF" w:rsidRPr="004533E5" w:rsidRDefault="00A136B2" w:rsidP="00BB61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10 de junio de 2016</w:t>
            </w:r>
            <w:r w:rsidR="00954E20">
              <w:rPr>
                <w:rFonts w:ascii="Calibri Light" w:hAnsi="Calibri Light"/>
              </w:rPr>
              <w:t xml:space="preserve"> </w:t>
            </w:r>
          </w:p>
        </w:tc>
      </w:tr>
      <w:tr w:rsidR="004533E5" w:rsidRPr="004533E5" w14:paraId="1A0D058F" w14:textId="77777777" w:rsidTr="00AB11B8">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4533E5" w:rsidRDefault="00BB61C6" w:rsidP="00A65231">
            <w:pPr>
              <w:pStyle w:val="ListParagraph"/>
              <w:numPr>
                <w:ilvl w:val="0"/>
                <w:numId w:val="3"/>
              </w:numPr>
              <w:rPr>
                <w:rFonts w:ascii="Calibri Light" w:hAnsi="Calibri Light"/>
              </w:rPr>
            </w:pPr>
            <w:r>
              <w:rPr>
                <w:rFonts w:ascii="Calibri Light" w:hAnsi="Calibri Light"/>
              </w:rPr>
              <w:t>Decisiones de la CIDH</w:t>
            </w:r>
            <w:r w:rsidR="007A6C56" w:rsidRPr="004533E5">
              <w:rPr>
                <w:rFonts w:ascii="Calibri Light" w:hAnsi="Calibri Light"/>
              </w:rPr>
              <w:t xml:space="preserve"> </w:t>
            </w:r>
            <w:r w:rsidR="00DD3C7C">
              <w:rPr>
                <w:rFonts w:ascii="Calibri Light" w:hAnsi="Calibri Light"/>
              </w:rPr>
              <w:t xml:space="preserve">y/o la Corte IDH, </w:t>
            </w:r>
            <w:r w:rsidR="007A6C56" w:rsidRPr="004533E5">
              <w:rPr>
                <w:rFonts w:ascii="Calibri Light" w:hAnsi="Calibri Light"/>
              </w:rPr>
              <w:t>relacionadas</w:t>
            </w:r>
          </w:p>
        </w:tc>
        <w:tc>
          <w:tcPr>
            <w:tcW w:w="5043" w:type="dxa"/>
            <w:gridSpan w:val="2"/>
            <w:vAlign w:val="center"/>
          </w:tcPr>
          <w:p w14:paraId="1B45FFF2" w14:textId="77777777" w:rsidR="00132E0B" w:rsidRDefault="00AC34C1" w:rsidP="00AC34C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Coc Max y otros (Masacre de Xamán) vs. Guatemala (</w:t>
            </w:r>
            <w:hyperlink r:id="rId13" w:history="1">
              <w:r w:rsidRPr="00AC34C1">
                <w:rPr>
                  <w:rStyle w:val="Hyperlink"/>
                  <w:rFonts w:ascii="Calibri Light" w:hAnsi="Calibri Light"/>
                </w:rPr>
                <w:t>Sentencia de 22 de agosto de 2018</w:t>
              </w:r>
            </w:hyperlink>
            <w:r>
              <w:rPr>
                <w:rFonts w:ascii="Calibri Light" w:hAnsi="Calibri Light"/>
              </w:rPr>
              <w:t>)</w:t>
            </w:r>
          </w:p>
          <w:p w14:paraId="72EA1AA4" w14:textId="35745CC8" w:rsidR="00132E0B" w:rsidRPr="004533E5" w:rsidRDefault="001C7690" w:rsidP="00AC34C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Resoluci</w:t>
            </w:r>
            <w:r w:rsidR="00073EEC">
              <w:rPr>
                <w:rFonts w:ascii="Calibri Light" w:hAnsi="Calibri Light"/>
              </w:rPr>
              <w:t>ones</w:t>
            </w:r>
            <w:r>
              <w:rPr>
                <w:rFonts w:ascii="Calibri Light" w:hAnsi="Calibri Light"/>
              </w:rPr>
              <w:t xml:space="preserve"> de m</w:t>
            </w:r>
            <w:r w:rsidR="00132E0B">
              <w:rPr>
                <w:rFonts w:ascii="Calibri Light" w:hAnsi="Calibri Light"/>
              </w:rPr>
              <w:t xml:space="preserve">edidas provisionales de </w:t>
            </w:r>
            <w:hyperlink r:id="rId14" w:history="1">
              <w:r w:rsidR="00132E0B" w:rsidRPr="00132E0B">
                <w:rPr>
                  <w:rStyle w:val="Hyperlink"/>
                  <w:rFonts w:ascii="Calibri Light" w:hAnsi="Calibri Light"/>
                </w:rPr>
                <w:t>8 de febrero de 2018</w:t>
              </w:r>
            </w:hyperlink>
            <w:r w:rsidR="00132E0B">
              <w:rPr>
                <w:rFonts w:ascii="Calibri Light" w:hAnsi="Calibri Light"/>
              </w:rPr>
              <w:t xml:space="preserve"> y </w:t>
            </w:r>
            <w:hyperlink r:id="rId15" w:history="1">
              <w:r w:rsidR="00132E0B" w:rsidRPr="00132E0B">
                <w:rPr>
                  <w:rStyle w:val="Hyperlink"/>
                  <w:rFonts w:ascii="Calibri Light" w:hAnsi="Calibri Light"/>
                </w:rPr>
                <w:t>6 de febrero de 2019</w:t>
              </w:r>
            </w:hyperlink>
          </w:p>
        </w:tc>
      </w:tr>
      <w:tr w:rsidR="000840AE" w:rsidRPr="004533E5" w14:paraId="570485B4" w14:textId="77777777" w:rsidTr="000840A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0840AE" w:rsidRDefault="000840AE" w:rsidP="00A65231">
            <w:pPr>
              <w:pStyle w:val="ListParagraph"/>
              <w:numPr>
                <w:ilvl w:val="0"/>
                <w:numId w:val="3"/>
              </w:numPr>
              <w:rPr>
                <w:rFonts w:ascii="Calibri Light" w:hAnsi="Calibri Light"/>
              </w:rPr>
            </w:pPr>
            <w:r>
              <w:rPr>
                <w:rFonts w:ascii="Calibri Light" w:hAnsi="Calibri Light"/>
              </w:rPr>
              <w:t>Artículos analizados</w:t>
            </w:r>
          </w:p>
        </w:tc>
        <w:tc>
          <w:tcPr>
            <w:tcW w:w="5043" w:type="dxa"/>
            <w:gridSpan w:val="2"/>
          </w:tcPr>
          <w:p w14:paraId="18718B95" w14:textId="2B053B09" w:rsidR="000840AE" w:rsidRPr="004533E5" w:rsidRDefault="000840AE" w:rsidP="00AC6F31">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Convención Americana sobre Derechos Humanos</w:t>
            </w:r>
          </w:p>
        </w:tc>
      </w:tr>
      <w:tr w:rsidR="000840AE" w:rsidRPr="004533E5" w14:paraId="69CFEF28" w14:textId="65331CBA" w:rsidTr="000840AE">
        <w:trPr>
          <w:trHeight w:val="387"/>
        </w:trPr>
        <w:tc>
          <w:tcPr>
            <w:cnfStyle w:val="001000000000" w:firstRow="0" w:lastRow="0" w:firstColumn="1" w:lastColumn="0" w:oddVBand="0" w:evenVBand="0" w:oddHBand="0" w:evenHBand="0" w:firstRowFirstColumn="0" w:firstRowLastColumn="0" w:lastRowFirstColumn="0" w:lastRowLastColumn="0"/>
            <w:tcW w:w="3678" w:type="dxa"/>
            <w:vMerge/>
          </w:tcPr>
          <w:p w14:paraId="77C97FB2" w14:textId="77777777" w:rsidR="000840AE" w:rsidRDefault="000840AE" w:rsidP="00A65231">
            <w:pPr>
              <w:pStyle w:val="ListParagraph"/>
              <w:numPr>
                <w:ilvl w:val="0"/>
                <w:numId w:val="3"/>
              </w:numPr>
              <w:rPr>
                <w:rFonts w:ascii="Calibri Light" w:hAnsi="Calibri Light"/>
              </w:rPr>
            </w:pPr>
          </w:p>
        </w:tc>
        <w:tc>
          <w:tcPr>
            <w:tcW w:w="2515" w:type="dxa"/>
          </w:tcPr>
          <w:p w14:paraId="0834B9FE" w14:textId="3B67E502" w:rsidR="000840AE" w:rsidRDefault="000840AE"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analizados declarados violados</w:t>
            </w:r>
          </w:p>
        </w:tc>
        <w:tc>
          <w:tcPr>
            <w:tcW w:w="2528" w:type="dxa"/>
          </w:tcPr>
          <w:p w14:paraId="74E1F6F1" w14:textId="16CB183D" w:rsidR="000840AE" w:rsidRDefault="000840AE" w:rsidP="000840AE">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analizados no declarados violados</w:t>
            </w:r>
          </w:p>
        </w:tc>
      </w:tr>
      <w:tr w:rsidR="000840AE" w:rsidRPr="000840AE" w14:paraId="5B7CE9F6" w14:textId="7CCC63A4" w:rsidTr="008D61C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678" w:type="dxa"/>
            <w:vMerge/>
          </w:tcPr>
          <w:p w14:paraId="169FBE89" w14:textId="77777777" w:rsidR="000840AE" w:rsidRDefault="000840AE" w:rsidP="00A65231">
            <w:pPr>
              <w:pStyle w:val="ListParagraph"/>
              <w:numPr>
                <w:ilvl w:val="0"/>
                <w:numId w:val="3"/>
              </w:numPr>
              <w:rPr>
                <w:rFonts w:ascii="Calibri Light" w:hAnsi="Calibri Light"/>
              </w:rPr>
            </w:pPr>
          </w:p>
        </w:tc>
        <w:tc>
          <w:tcPr>
            <w:tcW w:w="2515" w:type="dxa"/>
          </w:tcPr>
          <w:p w14:paraId="095D4DC3" w14:textId="02943299" w:rsidR="000840AE" w:rsidRPr="00AB11B8" w:rsidRDefault="000840AE" w:rsidP="00AC6F31">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0840AE">
              <w:rPr>
                <w:rFonts w:ascii="Calibri Light" w:hAnsi="Calibri Light"/>
                <w:lang w:val="en-US"/>
              </w:rPr>
              <w:t>Art. 1</w:t>
            </w:r>
            <w:r w:rsidR="00AB11B8">
              <w:rPr>
                <w:rFonts w:ascii="Calibri Light" w:hAnsi="Calibri Light"/>
                <w:lang w:val="en-US"/>
              </w:rPr>
              <w:t>, a</w:t>
            </w:r>
            <w:r w:rsidRPr="000840AE">
              <w:rPr>
                <w:rFonts w:ascii="Calibri Light" w:hAnsi="Calibri Light"/>
                <w:lang w:val="en-US"/>
              </w:rPr>
              <w:t>rt. 4</w:t>
            </w:r>
            <w:r w:rsidR="00AB11B8">
              <w:rPr>
                <w:rFonts w:ascii="Calibri Light" w:hAnsi="Calibri Light"/>
                <w:lang w:val="en-US"/>
              </w:rPr>
              <w:t>, a</w:t>
            </w:r>
            <w:r w:rsidRPr="000840AE">
              <w:rPr>
                <w:rFonts w:ascii="Calibri Light" w:hAnsi="Calibri Light"/>
                <w:lang w:val="en-US"/>
              </w:rPr>
              <w:t>rt. 5</w:t>
            </w:r>
            <w:r w:rsidR="00AB11B8">
              <w:rPr>
                <w:rFonts w:ascii="Calibri Light" w:hAnsi="Calibri Light"/>
                <w:lang w:val="en-US"/>
              </w:rPr>
              <w:t>, a</w:t>
            </w:r>
            <w:r w:rsidRPr="000840AE">
              <w:rPr>
                <w:rFonts w:ascii="Calibri Light" w:hAnsi="Calibri Light"/>
                <w:lang w:val="en-US"/>
              </w:rPr>
              <w:t>rt. 8</w:t>
            </w:r>
            <w:r w:rsidR="00AB11B8">
              <w:rPr>
                <w:rFonts w:ascii="Calibri Light" w:hAnsi="Calibri Light"/>
                <w:lang w:val="en-US"/>
              </w:rPr>
              <w:t xml:space="preserve">, art. 19, art. 24, </w:t>
            </w:r>
            <w:r w:rsidR="00AB11B8" w:rsidRPr="00C568FE">
              <w:rPr>
                <w:rFonts w:ascii="Calibri Light" w:hAnsi="Calibri Light"/>
                <w:lang w:val="en-US"/>
              </w:rPr>
              <w:t>a</w:t>
            </w:r>
            <w:r w:rsidRPr="00C568FE">
              <w:rPr>
                <w:rFonts w:ascii="Calibri Light" w:hAnsi="Calibri Light"/>
                <w:lang w:val="en-US"/>
              </w:rPr>
              <w:t>rt. 25</w:t>
            </w:r>
          </w:p>
        </w:tc>
        <w:tc>
          <w:tcPr>
            <w:tcW w:w="2528" w:type="dxa"/>
            <w:vAlign w:val="center"/>
          </w:tcPr>
          <w:p w14:paraId="48177606" w14:textId="299DA4F8" w:rsidR="000840AE" w:rsidRPr="000840AE" w:rsidRDefault="008D61CD" w:rsidP="008D61CD">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Pr>
                <w:rFonts w:ascii="Calibri Light" w:hAnsi="Calibri Light"/>
                <w:lang w:val="es-PE"/>
              </w:rPr>
              <w:t>-</w:t>
            </w:r>
          </w:p>
        </w:tc>
      </w:tr>
      <w:tr w:rsidR="005173CF" w:rsidRPr="004533E5" w14:paraId="54B7813B" w14:textId="77777777" w:rsidTr="000840AE">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6955E7D8" w:rsidR="00AC6F31" w:rsidRPr="000840AE" w:rsidRDefault="00AC6F31" w:rsidP="00AC6F31">
            <w:pPr>
              <w:pStyle w:val="ListParagraph"/>
              <w:rPr>
                <w:rFonts w:ascii="Calibri Light" w:hAnsi="Calibri Light"/>
                <w:lang w:val="es-PE"/>
              </w:rPr>
            </w:pPr>
          </w:p>
          <w:p w14:paraId="1ECE5967"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Sumilla</w:t>
            </w:r>
          </w:p>
          <w:p w14:paraId="009AFBB8" w14:textId="77777777" w:rsidR="00AC6F31" w:rsidRPr="004533E5" w:rsidRDefault="00AC6F31" w:rsidP="00AC6F31">
            <w:pPr>
              <w:pStyle w:val="ListParagraph"/>
              <w:rPr>
                <w:rFonts w:ascii="Calibri Light" w:hAnsi="Calibri Light"/>
              </w:rPr>
            </w:pPr>
          </w:p>
        </w:tc>
      </w:tr>
      <w:tr w:rsidR="007A6C56" w:rsidRPr="004533E5" w14:paraId="6B670455" w14:textId="77777777" w:rsidTr="000840AE">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03C967CD" w14:textId="77777777" w:rsidR="00AC6F31" w:rsidRDefault="00AC6F31" w:rsidP="00931244">
            <w:pPr>
              <w:jc w:val="both"/>
              <w:rPr>
                <w:rFonts w:ascii="Calibri Light" w:hAnsi="Calibri Light"/>
                <w:b w:val="0"/>
              </w:rPr>
            </w:pPr>
          </w:p>
          <w:p w14:paraId="58535231" w14:textId="0117EC7D" w:rsidR="00AC6F31" w:rsidRDefault="0007326A" w:rsidP="0007326A">
            <w:pPr>
              <w:jc w:val="both"/>
              <w:rPr>
                <w:rFonts w:ascii="Calibri Light" w:hAnsi="Calibri Light"/>
                <w:b w:val="0"/>
              </w:rPr>
            </w:pPr>
            <w:r>
              <w:rPr>
                <w:rFonts w:ascii="Calibri Light" w:hAnsi="Calibri Light"/>
                <w:b w:val="0"/>
              </w:rPr>
              <w:t>El caso trata sobre las ejecuciones extrajudiciales y lesiones graves provocadas en perjuicio de varios miembros de la Comunidad Aurora 8</w:t>
            </w:r>
            <w:r w:rsidR="001D76FA">
              <w:rPr>
                <w:rFonts w:ascii="Calibri Light" w:hAnsi="Calibri Light"/>
                <w:b w:val="0"/>
              </w:rPr>
              <w:t xml:space="preserve"> de Octubre</w:t>
            </w:r>
            <w:r>
              <w:rPr>
                <w:rFonts w:ascii="Calibri Light" w:hAnsi="Calibri Light"/>
                <w:b w:val="0"/>
              </w:rPr>
              <w:t xml:space="preserve">, compuesta por familias indígenas que en su mayoría, habían estado previamente refugiadas en México como consecuencia del conflicto armado interno en Guatemala. Dentro de las víctimas, se encontraban dos niños </w:t>
            </w:r>
            <w:r w:rsidR="001D76FA">
              <w:rPr>
                <w:rFonts w:ascii="Calibri Light" w:hAnsi="Calibri Light"/>
                <w:b w:val="0"/>
              </w:rPr>
              <w:t>y una niña</w:t>
            </w:r>
            <w:r>
              <w:rPr>
                <w:rFonts w:ascii="Calibri Light" w:hAnsi="Calibri Light"/>
                <w:b w:val="0"/>
              </w:rPr>
              <w:t xml:space="preserve">. </w:t>
            </w:r>
            <w:r w:rsidR="001D76FA">
              <w:rPr>
                <w:rFonts w:ascii="Calibri Light" w:hAnsi="Calibri Light"/>
                <w:b w:val="0"/>
              </w:rPr>
              <w:t xml:space="preserve">Nueve años después de los hechos, se condenó por el delito de ejecuciones extrajudiciales a 14 militares. El proceso aún sigue pendiente respecto de otros 11 acusados. </w:t>
            </w:r>
          </w:p>
          <w:p w14:paraId="1EE5A7E7" w14:textId="69048BF9" w:rsidR="0007326A" w:rsidRPr="004533E5" w:rsidRDefault="0007326A" w:rsidP="0007326A">
            <w:pPr>
              <w:jc w:val="both"/>
              <w:rPr>
                <w:rFonts w:ascii="Calibri Light" w:hAnsi="Calibri Light"/>
                <w:b w:val="0"/>
              </w:rPr>
            </w:pPr>
          </w:p>
        </w:tc>
      </w:tr>
      <w:tr w:rsidR="007A6C56" w:rsidRPr="004533E5" w14:paraId="238A2196" w14:textId="77777777" w:rsidTr="000840AE">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AC6F31" w:rsidRDefault="00AC6F31" w:rsidP="00AC6F31">
            <w:pPr>
              <w:pStyle w:val="ListParagraph"/>
              <w:rPr>
                <w:rFonts w:ascii="Calibri Light" w:hAnsi="Calibri Light"/>
              </w:rPr>
            </w:pPr>
          </w:p>
          <w:p w14:paraId="6E7AC4B8" w14:textId="77777777" w:rsidR="007A6C56" w:rsidRDefault="007A6C56" w:rsidP="0029671B">
            <w:pPr>
              <w:pStyle w:val="ListParagraph"/>
              <w:numPr>
                <w:ilvl w:val="0"/>
                <w:numId w:val="2"/>
              </w:numPr>
              <w:jc w:val="center"/>
              <w:rPr>
                <w:rFonts w:ascii="Calibri Light" w:hAnsi="Calibri Light"/>
              </w:rPr>
            </w:pPr>
            <w:r w:rsidRPr="004533E5">
              <w:rPr>
                <w:rFonts w:ascii="Calibri Light" w:hAnsi="Calibri Light"/>
              </w:rPr>
              <w:t>Palabras clave</w:t>
            </w:r>
          </w:p>
          <w:p w14:paraId="6A1E32A7" w14:textId="77777777" w:rsidR="00AC6F31" w:rsidRPr="004533E5" w:rsidRDefault="00AC6F31" w:rsidP="00AC6F31">
            <w:pPr>
              <w:pStyle w:val="ListParagraph"/>
              <w:rPr>
                <w:rFonts w:ascii="Calibri Light" w:hAnsi="Calibri Light"/>
              </w:rPr>
            </w:pPr>
          </w:p>
        </w:tc>
      </w:tr>
      <w:tr w:rsidR="007A6C56" w:rsidRPr="004533E5" w14:paraId="34AE2D45" w14:textId="77777777" w:rsidTr="001D76FA">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6F21E89F" w14:textId="77777777" w:rsidR="001D76FA" w:rsidRDefault="001D76FA" w:rsidP="001D76FA">
            <w:pPr>
              <w:jc w:val="both"/>
              <w:rPr>
                <w:rFonts w:ascii="Calibri Light" w:hAnsi="Calibri Light" w:cs="Calibri Light"/>
                <w:b w:val="0"/>
                <w:sz w:val="23"/>
                <w:szCs w:val="23"/>
              </w:rPr>
            </w:pPr>
          </w:p>
          <w:p w14:paraId="02E60AF6" w14:textId="77777777" w:rsidR="001D76FA" w:rsidRDefault="008D61CD" w:rsidP="001D76FA">
            <w:pPr>
              <w:jc w:val="both"/>
              <w:rPr>
                <w:rFonts w:ascii="Calibri Light" w:hAnsi="Calibri Light" w:cs="Calibri Light"/>
                <w:b w:val="0"/>
                <w:sz w:val="23"/>
                <w:szCs w:val="23"/>
              </w:rPr>
            </w:pPr>
            <w:r w:rsidRPr="008D61CD">
              <w:rPr>
                <w:rFonts w:ascii="Calibri Light" w:hAnsi="Calibri Light" w:cs="Calibri Light"/>
                <w:b w:val="0"/>
                <w:sz w:val="23"/>
                <w:szCs w:val="23"/>
              </w:rPr>
              <w:t>Ejecución extrajudicial, Integridad personal, No discriminación, Protección judicial y garantías judiciales, Pueblos indígenas, Vida</w:t>
            </w:r>
          </w:p>
          <w:p w14:paraId="05374712" w14:textId="3E50222F" w:rsidR="001D76FA" w:rsidRPr="001D76FA" w:rsidRDefault="001D76FA" w:rsidP="001D76FA">
            <w:pPr>
              <w:jc w:val="both"/>
              <w:rPr>
                <w:rFonts w:ascii="Calibri Light" w:hAnsi="Calibri Light" w:cs="Calibri Light"/>
                <w:b w:val="0"/>
                <w:sz w:val="23"/>
                <w:szCs w:val="23"/>
                <w:u w:val="single"/>
              </w:rPr>
            </w:pPr>
          </w:p>
        </w:tc>
      </w:tr>
      <w:tr w:rsidR="005173CF" w:rsidRPr="004533E5" w14:paraId="69044E7B" w14:textId="77777777" w:rsidTr="000840AE">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AC6F31" w:rsidRDefault="00AC6F31" w:rsidP="00AC6F31">
            <w:pPr>
              <w:pStyle w:val="ListParagraph"/>
              <w:rPr>
                <w:rFonts w:ascii="Calibri Light" w:hAnsi="Calibri Light"/>
              </w:rPr>
            </w:pPr>
          </w:p>
          <w:p w14:paraId="177FF988"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Hechos</w:t>
            </w:r>
          </w:p>
          <w:p w14:paraId="190B7E98" w14:textId="77777777" w:rsidR="00AC6F31" w:rsidRPr="004533E5" w:rsidRDefault="00AC6F31" w:rsidP="00AC6F31">
            <w:pPr>
              <w:pStyle w:val="ListParagraph"/>
              <w:rPr>
                <w:rFonts w:ascii="Calibri Light" w:hAnsi="Calibri Light"/>
              </w:rPr>
            </w:pPr>
          </w:p>
        </w:tc>
      </w:tr>
      <w:tr w:rsidR="005173CF" w:rsidRPr="004533E5" w14:paraId="6F58DE83" w14:textId="77777777" w:rsidTr="000840A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146FA577" w14:textId="3C6864CE" w:rsidR="00BD3E1C" w:rsidRDefault="00BD3E1C" w:rsidP="009F6C32">
            <w:pPr>
              <w:jc w:val="both"/>
              <w:rPr>
                <w:rFonts w:ascii="Calibri Light" w:hAnsi="Calibri Light"/>
                <w:b w:val="0"/>
              </w:rPr>
            </w:pPr>
          </w:p>
          <w:p w14:paraId="1159C49B" w14:textId="24990769" w:rsidR="00BD3E1C" w:rsidRDefault="00C0417E" w:rsidP="009F6C32">
            <w:pPr>
              <w:jc w:val="both"/>
              <w:rPr>
                <w:rFonts w:ascii="Calibri Light" w:hAnsi="Calibri Light"/>
                <w:b w:val="0"/>
              </w:rPr>
            </w:pPr>
            <w:r>
              <w:rPr>
                <w:rFonts w:ascii="Calibri Light" w:hAnsi="Calibri Light"/>
                <w:b w:val="0"/>
              </w:rPr>
              <w:t xml:space="preserve">Los hechos del caso se enmarcan en el conflicto armado interno ocurrido en Guatemala, el cual tuvo como una de sus consecuencias el desplazamiento y la búsqueda de refugio en otros países de miles de personas, en su mayoría indígenas. El 8 de octubre de 1992, se firmaron acuerdos para que las personas refugiadas retornaran. Ese mismo año, el gobierno se comprometió a alejar a los destacamentos militares de las zonas de reasentamiento, con la finalidad de facilitar las buenas relaciones entre las personas retornadas y los soldados. </w:t>
            </w:r>
          </w:p>
          <w:p w14:paraId="2B494D05" w14:textId="77777777" w:rsidR="00C0417E" w:rsidRDefault="00C0417E" w:rsidP="009F6C32">
            <w:pPr>
              <w:jc w:val="both"/>
              <w:rPr>
                <w:rFonts w:ascii="Calibri Light" w:hAnsi="Calibri Light"/>
                <w:b w:val="0"/>
              </w:rPr>
            </w:pPr>
          </w:p>
          <w:p w14:paraId="7E805FFD" w14:textId="346922DC" w:rsidR="00A759BC" w:rsidRDefault="00CC0168" w:rsidP="009F6C32">
            <w:pPr>
              <w:jc w:val="both"/>
              <w:rPr>
                <w:rFonts w:ascii="Calibri Light" w:hAnsi="Calibri Light"/>
                <w:b w:val="0"/>
              </w:rPr>
            </w:pPr>
            <w:r>
              <w:rPr>
                <w:rFonts w:ascii="Calibri Light" w:hAnsi="Calibri Light"/>
                <w:b w:val="0"/>
              </w:rPr>
              <w:t xml:space="preserve">En ese contexto, fue creada </w:t>
            </w:r>
            <w:r w:rsidR="004C74E7">
              <w:rPr>
                <w:rFonts w:ascii="Calibri Light" w:hAnsi="Calibri Light"/>
                <w:b w:val="0"/>
              </w:rPr>
              <w:t xml:space="preserve">en 1994, </w:t>
            </w:r>
            <w:r>
              <w:rPr>
                <w:rFonts w:ascii="Calibri Light" w:hAnsi="Calibri Light"/>
                <w:b w:val="0"/>
              </w:rPr>
              <w:t xml:space="preserve">la Comunidad Aurora 8 </w:t>
            </w:r>
            <w:r w:rsidR="001D76FA">
              <w:rPr>
                <w:rFonts w:ascii="Calibri Light" w:hAnsi="Calibri Light"/>
                <w:b w:val="0"/>
              </w:rPr>
              <w:t xml:space="preserve">de Octubre </w:t>
            </w:r>
            <w:r>
              <w:rPr>
                <w:rFonts w:ascii="Calibri Light" w:hAnsi="Calibri Light"/>
                <w:b w:val="0"/>
              </w:rPr>
              <w:t xml:space="preserve">en la Finca de </w:t>
            </w:r>
            <w:r w:rsidRPr="00CC0168">
              <w:rPr>
                <w:rFonts w:ascii="Calibri Light" w:hAnsi="Calibri Light"/>
                <w:b w:val="0"/>
                <w:i/>
              </w:rPr>
              <w:t>Xamán</w:t>
            </w:r>
            <w:r>
              <w:rPr>
                <w:rFonts w:ascii="Calibri Light" w:hAnsi="Calibri Light"/>
                <w:b w:val="0"/>
              </w:rPr>
              <w:t xml:space="preserve">. </w:t>
            </w:r>
            <w:r w:rsidR="004C74E7">
              <w:rPr>
                <w:rFonts w:ascii="Calibri Light" w:hAnsi="Calibri Light"/>
                <w:b w:val="0"/>
              </w:rPr>
              <w:t xml:space="preserve">Esta estaba compuesta por 90 familias previamente refugiadas en México y 50 familias que ya vivían en </w:t>
            </w:r>
            <w:r w:rsidR="00A0716B">
              <w:rPr>
                <w:rFonts w:ascii="Calibri Light" w:hAnsi="Calibri Light"/>
                <w:b w:val="0"/>
              </w:rPr>
              <w:t xml:space="preserve">ese </w:t>
            </w:r>
            <w:r w:rsidR="004C74E7">
              <w:rPr>
                <w:rFonts w:ascii="Calibri Light" w:hAnsi="Calibri Light"/>
                <w:b w:val="0"/>
              </w:rPr>
              <w:t xml:space="preserve">lugar, todas de origen indígena. Los primeros días de octubre de 1995, una patrulla de las Fuerzas Armadas ingresó a la finca, llegando hasta el centro de la ciudad y provocando </w:t>
            </w:r>
            <w:r w:rsidR="00184978">
              <w:rPr>
                <w:rFonts w:ascii="Calibri Light" w:hAnsi="Calibri Light"/>
                <w:b w:val="0"/>
              </w:rPr>
              <w:t>descontento</w:t>
            </w:r>
            <w:r w:rsidR="004C74E7">
              <w:rPr>
                <w:rFonts w:ascii="Calibri Light" w:hAnsi="Calibri Light"/>
                <w:b w:val="0"/>
              </w:rPr>
              <w:t xml:space="preserve"> en</w:t>
            </w:r>
            <w:r w:rsidR="00184978">
              <w:rPr>
                <w:rFonts w:ascii="Calibri Light" w:hAnsi="Calibri Light"/>
                <w:b w:val="0"/>
              </w:rPr>
              <w:t>tre</w:t>
            </w:r>
            <w:r w:rsidR="004C74E7">
              <w:rPr>
                <w:rFonts w:ascii="Calibri Light" w:hAnsi="Calibri Light"/>
                <w:b w:val="0"/>
              </w:rPr>
              <w:t xml:space="preserve"> los pobladores. </w:t>
            </w:r>
            <w:r w:rsidR="00184978">
              <w:rPr>
                <w:rFonts w:ascii="Calibri Light" w:hAnsi="Calibri Light"/>
                <w:b w:val="0"/>
              </w:rPr>
              <w:t>Estos profirieron expresiones verbales en contra de los militares y una mujer intentó quitarle el arma a uno de ellos, frente a lo cual comenzaron a disparar indiscriminadamente. Como consecuencia, murieron 11 personas de la comunidad, incluyendo 2 niños y 1 niña; y resultaron heridas 29</w:t>
            </w:r>
            <w:r w:rsidR="00A0716B">
              <w:rPr>
                <w:rFonts w:ascii="Calibri Light" w:hAnsi="Calibri Light"/>
                <w:b w:val="0"/>
              </w:rPr>
              <w:t xml:space="preserve"> personas</w:t>
            </w:r>
            <w:r w:rsidR="00184978">
              <w:rPr>
                <w:rFonts w:ascii="Calibri Light" w:hAnsi="Calibri Light"/>
                <w:b w:val="0"/>
              </w:rPr>
              <w:t>, 3 de las cuales fallecieron posteriormente. Los hechos fueron calificados por la Comisión de Esclarecimiento Histórico como la “</w:t>
            </w:r>
            <w:r w:rsidR="00184978" w:rsidRPr="00184978">
              <w:rPr>
                <w:rFonts w:ascii="Calibri Light" w:hAnsi="Calibri Light"/>
                <w:b w:val="0"/>
              </w:rPr>
              <w:t>Masacre de</w:t>
            </w:r>
            <w:r w:rsidR="00184978" w:rsidRPr="00184978">
              <w:rPr>
                <w:rFonts w:ascii="Calibri Light" w:hAnsi="Calibri Light"/>
                <w:b w:val="0"/>
                <w:i/>
              </w:rPr>
              <w:t xml:space="preserve"> Xamán</w:t>
            </w:r>
            <w:r w:rsidR="00184978">
              <w:rPr>
                <w:rFonts w:ascii="Calibri Light" w:hAnsi="Calibri Light"/>
                <w:b w:val="0"/>
              </w:rPr>
              <w:t xml:space="preserve">”. </w:t>
            </w:r>
          </w:p>
          <w:p w14:paraId="3F8DC26B" w14:textId="77777777" w:rsidR="00CC0168" w:rsidRDefault="00CC0168" w:rsidP="009F6C32">
            <w:pPr>
              <w:jc w:val="both"/>
              <w:rPr>
                <w:rFonts w:ascii="Calibri Light" w:hAnsi="Calibri Light"/>
                <w:b w:val="0"/>
              </w:rPr>
            </w:pPr>
          </w:p>
          <w:p w14:paraId="67DBB91B" w14:textId="187B8236" w:rsidR="00023800" w:rsidRDefault="00FD396D" w:rsidP="009F6C32">
            <w:pPr>
              <w:jc w:val="both"/>
              <w:rPr>
                <w:rFonts w:ascii="Calibri Light" w:hAnsi="Calibri Light"/>
                <w:b w:val="0"/>
              </w:rPr>
            </w:pPr>
            <w:r>
              <w:rPr>
                <w:rFonts w:ascii="Calibri Light" w:hAnsi="Calibri Light"/>
                <w:b w:val="0"/>
              </w:rPr>
              <w:t>En un inicio, las investigaciones fueron llevadas a cabo por la justicia militar hasta que producto de un escrito presentado por la señora Menchú, se trasladó el expediente a la justicia ordinaria. En 1997, el Tribunal de Sentencia de Cobán dio apertura al juicio. No obstante, a finales de ese año, el expediente del caso se perdió aproximadamente por dos meses. Para 1998, el juicio oral aún no había iniciado y el fiscal del caso, Ramiro Contreras, había renunciado en vista de las amenazas e intimidaciones. El 12 de agosto de 1999, el Tribunal de Sentencia Pena</w:t>
            </w:r>
            <w:r w:rsidR="00023800">
              <w:rPr>
                <w:rFonts w:ascii="Calibri Light" w:hAnsi="Calibri Light"/>
                <w:b w:val="0"/>
              </w:rPr>
              <w:t>l</w:t>
            </w:r>
            <w:r>
              <w:rPr>
                <w:rFonts w:ascii="Calibri Light" w:hAnsi="Calibri Light"/>
                <w:b w:val="0"/>
              </w:rPr>
              <w:t xml:space="preserve"> de Narcoactividad y Delitos contra el Ambiente </w:t>
            </w:r>
            <w:r w:rsidR="00A0716B">
              <w:rPr>
                <w:rFonts w:ascii="Calibri Light" w:hAnsi="Calibri Light"/>
                <w:b w:val="0"/>
              </w:rPr>
              <w:t xml:space="preserve">(Tribunal de Sentencia Penal) </w:t>
            </w:r>
            <w:r>
              <w:rPr>
                <w:rFonts w:ascii="Calibri Light" w:hAnsi="Calibri Light"/>
                <w:b w:val="0"/>
              </w:rPr>
              <w:t>dictó una sentencia absolviendo a los acusados de los delitos de ejecuciones extrajudiciales y lesiones</w:t>
            </w:r>
            <w:r w:rsidR="00023800">
              <w:rPr>
                <w:rFonts w:ascii="Calibri Light" w:hAnsi="Calibri Light"/>
                <w:b w:val="0"/>
              </w:rPr>
              <w:t xml:space="preserve"> graves</w:t>
            </w:r>
            <w:r>
              <w:rPr>
                <w:rFonts w:ascii="Calibri Light" w:hAnsi="Calibri Light"/>
                <w:b w:val="0"/>
              </w:rPr>
              <w:t xml:space="preserve">, y condenando por homicidio culposo en calidad de autores a 11 militares, incluyendo el oficial al mando, </w:t>
            </w:r>
            <w:r w:rsidR="00023800">
              <w:rPr>
                <w:rFonts w:ascii="Calibri Light" w:hAnsi="Calibri Light"/>
                <w:b w:val="0"/>
              </w:rPr>
              <w:t xml:space="preserve">y por homicidio culposo en complicidad a los 14 acusados restantes. La sentencia fue apelada ante la Sala Décimo Cuarta de la Corte de Apelaciones que condenó, en su lugar, a 10 militares, sin incluir al oficial al mando, por los delitos de homicidio y lesiones graves, y absolvió al resto de militares. </w:t>
            </w:r>
          </w:p>
          <w:p w14:paraId="410BEE2D" w14:textId="77777777" w:rsidR="00023800" w:rsidRDefault="00023800" w:rsidP="009F6C32">
            <w:pPr>
              <w:jc w:val="both"/>
              <w:rPr>
                <w:rFonts w:ascii="Calibri Light" w:hAnsi="Calibri Light"/>
                <w:b w:val="0"/>
              </w:rPr>
            </w:pPr>
          </w:p>
          <w:p w14:paraId="4BE2A866" w14:textId="1759DF47" w:rsidR="00FD396D" w:rsidRDefault="00023800" w:rsidP="009F6C32">
            <w:pPr>
              <w:jc w:val="both"/>
              <w:rPr>
                <w:rFonts w:ascii="Calibri Light" w:hAnsi="Calibri Light"/>
                <w:b w:val="0"/>
              </w:rPr>
            </w:pPr>
            <w:r>
              <w:rPr>
                <w:rFonts w:ascii="Calibri Light" w:hAnsi="Calibri Light"/>
                <w:b w:val="0"/>
              </w:rPr>
              <w:t xml:space="preserve">El 12 de abril de 2000, la Cámara Penal de la Corte Suprema anuló esta sentencia y ordenó un nuevo debate y la detención de las 15 personas absueltas. El Tribunal de Sentencia de Cobán no ejecutó las órdenes de detención y recién en 2003, se inició el debate oral. El 8 de julio de 2004, el Tribunal de Sentencia Penal condenó a 14 militares, incluyendo el oficial al mando, por los delitos de ejecuciones extrajudiciales y lesiones graves a 40 años de prisión inconmutables. La decisión fue confirmada posteriormente por la Corte Suprema el 9 de mayo de 2005. </w:t>
            </w:r>
            <w:r w:rsidR="00A0716B">
              <w:rPr>
                <w:rFonts w:ascii="Calibri Light" w:hAnsi="Calibri Light"/>
                <w:b w:val="0"/>
              </w:rPr>
              <w:t xml:space="preserve">El juicio aún se encuentra pendiente respecto de los 11 acusados que no habían sido aprehendidos para ese momento. A lo largo del proceso penal, los sobrevivientes y otros miembros de la comunidad fueron víctimas de hostigamiento. No se tiene conocimiento sobre el estado actual de la demanda por daños y prejuicios interpuesta por los peticionarios en 1996, más allá que en julio de 2002, se inhibió del caso el Juzgado de Primera Instancia Civil y Económico Coativo de Cobán. </w:t>
            </w:r>
          </w:p>
          <w:p w14:paraId="62497DB1" w14:textId="77777777" w:rsidR="00FD396D" w:rsidRDefault="00FD396D" w:rsidP="009F6C32">
            <w:pPr>
              <w:jc w:val="both"/>
              <w:rPr>
                <w:rFonts w:ascii="Calibri Light" w:hAnsi="Calibri Light"/>
                <w:b w:val="0"/>
              </w:rPr>
            </w:pPr>
          </w:p>
          <w:p w14:paraId="6E68533E" w14:textId="77777777" w:rsidR="00AC6F31" w:rsidRDefault="00F012F8" w:rsidP="00F012F8">
            <w:pPr>
              <w:jc w:val="both"/>
              <w:rPr>
                <w:rFonts w:ascii="Calibri Light" w:hAnsi="Calibri Light"/>
                <w:b w:val="0"/>
              </w:rPr>
            </w:pPr>
            <w:r>
              <w:rPr>
                <w:rFonts w:ascii="Calibri Light" w:hAnsi="Calibri Light"/>
                <w:b w:val="0"/>
              </w:rPr>
              <w:t>E</w:t>
            </w:r>
            <w:r w:rsidR="009F6C32">
              <w:rPr>
                <w:rFonts w:ascii="Calibri Light" w:hAnsi="Calibri Light"/>
                <w:b w:val="0"/>
              </w:rPr>
              <w:t xml:space="preserve">l 16 de noviembre de 1995, Rigoberta Menchú Tum, Eduardo Antonio Salerno y María López Funes </w:t>
            </w:r>
            <w:r w:rsidR="009F6C32" w:rsidRPr="00204509">
              <w:rPr>
                <w:rFonts w:ascii="Calibri Light" w:hAnsi="Calibri Light"/>
                <w:b w:val="0"/>
              </w:rPr>
              <w:t xml:space="preserve">presentaron una petición ante la CIDH, denunciando que </w:t>
            </w:r>
            <w:r w:rsidR="009F6C32">
              <w:rPr>
                <w:rFonts w:ascii="Calibri Light" w:hAnsi="Calibri Light"/>
                <w:b w:val="0"/>
              </w:rPr>
              <w:t xml:space="preserve">Guatemala </w:t>
            </w:r>
            <w:r w:rsidR="009F6C32" w:rsidRPr="00204509">
              <w:rPr>
                <w:rFonts w:ascii="Calibri Light" w:hAnsi="Calibri Light"/>
                <w:b w:val="0"/>
              </w:rPr>
              <w:t>había vulnerado los derechos</w:t>
            </w:r>
            <w:r w:rsidR="009F6C32">
              <w:rPr>
                <w:rFonts w:ascii="Calibri Light" w:hAnsi="Calibri Light"/>
                <w:b w:val="0"/>
              </w:rPr>
              <w:t xml:space="preserve"> a la vida (artículo 4), integridad personal (artículo 5), garantías judiciales (artículo 8), derechos de los niños y niñas (artículo 19), propiedad (artículo 21), igualdad ante la ley (artículo 24) y protección judicial (artículo 25), </w:t>
            </w:r>
            <w:r w:rsidR="009F6C32" w:rsidRPr="00204509">
              <w:rPr>
                <w:rFonts w:ascii="Calibri Light" w:hAnsi="Calibri Light"/>
                <w:b w:val="0"/>
              </w:rPr>
              <w:t xml:space="preserve">reconocidos en la  </w:t>
            </w:r>
            <w:r w:rsidR="009F6C32">
              <w:rPr>
                <w:rFonts w:ascii="Calibri Light" w:hAnsi="Calibri Light"/>
                <w:b w:val="0"/>
              </w:rPr>
              <w:t xml:space="preserve">Convención Americana sobre los Derechos Humanos </w:t>
            </w:r>
            <w:r w:rsidR="009F6C32" w:rsidRPr="00204509">
              <w:rPr>
                <w:rFonts w:ascii="Calibri Light" w:hAnsi="Calibri Light"/>
                <w:b w:val="0"/>
              </w:rPr>
              <w:t>(en adelante,</w:t>
            </w:r>
            <w:r w:rsidR="009F6C32">
              <w:rPr>
                <w:rFonts w:ascii="Calibri Light" w:hAnsi="Calibri Light"/>
                <w:b w:val="0"/>
              </w:rPr>
              <w:t xml:space="preserve"> CADH</w:t>
            </w:r>
            <w:r w:rsidR="009F6C32" w:rsidRPr="00204509">
              <w:rPr>
                <w:rFonts w:ascii="Calibri Light" w:hAnsi="Calibri Light"/>
                <w:b w:val="0"/>
              </w:rPr>
              <w:t>).</w:t>
            </w:r>
            <w:r w:rsidR="009F6C32">
              <w:rPr>
                <w:rFonts w:ascii="Calibri Light" w:hAnsi="Calibri Light"/>
                <w:b w:val="0"/>
              </w:rPr>
              <w:t xml:space="preserve"> Posteriormente, se constituyó como peticionario </w:t>
            </w:r>
            <w:r w:rsidR="009F6C32">
              <w:rPr>
                <w:rFonts w:ascii="Calibri Light" w:hAnsi="Calibri Light"/>
                <w:b w:val="0"/>
              </w:rPr>
              <w:lastRenderedPageBreak/>
              <w:t xml:space="preserve">GAM. </w:t>
            </w:r>
            <w:r w:rsidR="00EA5D4E">
              <w:rPr>
                <w:rFonts w:ascii="Calibri Light" w:hAnsi="Calibri Light"/>
                <w:b w:val="0"/>
              </w:rPr>
              <w:t xml:space="preserve">La CIDH declaró la admisibilidad de la petición solamente en relación a los artículos 4, 5, 8, 19, 24 y 25 de la CADH.  </w:t>
            </w:r>
          </w:p>
          <w:p w14:paraId="6543A68A" w14:textId="553F09D0" w:rsidR="00F012F8" w:rsidRPr="004533E5" w:rsidRDefault="00F012F8" w:rsidP="00F012F8">
            <w:pPr>
              <w:jc w:val="both"/>
              <w:rPr>
                <w:rFonts w:ascii="Calibri Light" w:hAnsi="Calibri Light"/>
                <w:b w:val="0"/>
              </w:rPr>
            </w:pPr>
          </w:p>
        </w:tc>
      </w:tr>
      <w:tr w:rsidR="005173CF" w:rsidRPr="004533E5" w14:paraId="7B81A2F3" w14:textId="77777777" w:rsidTr="000840AE">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AC6F31" w:rsidRDefault="00AC6F31" w:rsidP="00AC6F31">
            <w:pPr>
              <w:pStyle w:val="ListParagraph"/>
              <w:rPr>
                <w:rFonts w:ascii="Calibri Light" w:hAnsi="Calibri Light"/>
              </w:rPr>
            </w:pPr>
          </w:p>
          <w:p w14:paraId="1FB8AB09" w14:textId="77777777" w:rsidR="005173CF" w:rsidRDefault="003E6AB8" w:rsidP="003E6AB8">
            <w:pPr>
              <w:pStyle w:val="ListParagraph"/>
              <w:numPr>
                <w:ilvl w:val="0"/>
                <w:numId w:val="2"/>
              </w:numPr>
              <w:jc w:val="center"/>
              <w:rPr>
                <w:rFonts w:ascii="Calibri Light" w:hAnsi="Calibri Light"/>
              </w:rPr>
            </w:pPr>
            <w:r>
              <w:rPr>
                <w:rFonts w:ascii="Calibri Light" w:hAnsi="Calibri Light"/>
              </w:rPr>
              <w:t>Análisis jurídico</w:t>
            </w:r>
          </w:p>
          <w:p w14:paraId="158A739A" w14:textId="77777777" w:rsidR="00AC6F31" w:rsidRPr="004533E5" w:rsidRDefault="00AC6F31" w:rsidP="00AC6F31">
            <w:pPr>
              <w:pStyle w:val="ListParagraph"/>
              <w:rPr>
                <w:rFonts w:ascii="Calibri Light" w:hAnsi="Calibri Light"/>
              </w:rPr>
            </w:pPr>
          </w:p>
        </w:tc>
      </w:tr>
      <w:tr w:rsidR="005173CF" w:rsidRPr="004533E5" w14:paraId="71AB3B44" w14:textId="77777777" w:rsidTr="000840AE">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26AC653F" w14:textId="54C7DADE" w:rsidR="00AC6F31" w:rsidRDefault="00AC6F31" w:rsidP="00AC6F31">
            <w:pPr>
              <w:pStyle w:val="ListParagraph"/>
              <w:ind w:left="360"/>
              <w:jc w:val="both"/>
              <w:rPr>
                <w:rFonts w:ascii="Calibri Light" w:hAnsi="Calibri Light"/>
                <w:b w:val="0"/>
              </w:rPr>
            </w:pPr>
          </w:p>
          <w:p w14:paraId="652A26D6" w14:textId="49F7977F" w:rsidR="00AC6F31" w:rsidRDefault="00453B3E" w:rsidP="00743C10">
            <w:pPr>
              <w:jc w:val="both"/>
              <w:rPr>
                <w:rFonts w:ascii="Calibri Light" w:hAnsi="Calibri Light"/>
              </w:rPr>
            </w:pPr>
            <w:r>
              <w:rPr>
                <w:rFonts w:ascii="Calibri Light" w:hAnsi="Calibri Light"/>
              </w:rPr>
              <w:t>Los derechos a la vida e integridad personal (artículo 4 y 5 de la CADH en relación a los artículos 1.1 y 19)</w:t>
            </w:r>
          </w:p>
          <w:p w14:paraId="1D20C486" w14:textId="77777777" w:rsidR="00453B3E" w:rsidRDefault="00453B3E" w:rsidP="00743C10">
            <w:pPr>
              <w:jc w:val="both"/>
              <w:rPr>
                <w:rFonts w:ascii="Calibri Light" w:hAnsi="Calibri Light"/>
              </w:rPr>
            </w:pPr>
          </w:p>
          <w:p w14:paraId="0DD82F4F" w14:textId="599CA1EC" w:rsidR="001D76FA" w:rsidRDefault="00794450" w:rsidP="00743C10">
            <w:pPr>
              <w:jc w:val="both"/>
              <w:rPr>
                <w:rFonts w:ascii="Calibri Light" w:hAnsi="Calibri Light"/>
                <w:b w:val="0"/>
              </w:rPr>
            </w:pPr>
            <w:r>
              <w:rPr>
                <w:rFonts w:ascii="Calibri Light" w:hAnsi="Calibri Light"/>
                <w:b w:val="0"/>
              </w:rPr>
              <w:t xml:space="preserve">La CIDH reiteró que el derecho a la vida presupone, además de que ninguna persona sea arbitrariamente privada de esta, que los Estados tomen medidas para proteger y preservar el derecho, tales como i) crear un marco normativo adecuado que disuada cualquier amenaza al derecho a la vida, ii) vigilar que sus cuerpos de seguridad, encargados del uso de la fuerza, respeten este derecho, iii) establecer un sistema de justicia efectivo que investigue, castigue y repare por la privación de la vida realizada por agentes estatales y particulares, y iv) salvaguardar que no se impida el acceso a condiciones que garanticen una existencia digna. </w:t>
            </w:r>
          </w:p>
          <w:p w14:paraId="68FCC608" w14:textId="77777777" w:rsidR="00794450" w:rsidRDefault="00794450" w:rsidP="00743C10">
            <w:pPr>
              <w:jc w:val="both"/>
              <w:rPr>
                <w:rFonts w:ascii="Calibri Light" w:hAnsi="Calibri Light"/>
                <w:b w:val="0"/>
              </w:rPr>
            </w:pPr>
          </w:p>
          <w:p w14:paraId="418B0DB0" w14:textId="77777777" w:rsidR="001776AE" w:rsidRDefault="00794450" w:rsidP="00743C10">
            <w:pPr>
              <w:jc w:val="both"/>
              <w:rPr>
                <w:rFonts w:ascii="Calibri Light" w:hAnsi="Calibri Light"/>
                <w:b w:val="0"/>
              </w:rPr>
            </w:pPr>
            <w:r>
              <w:rPr>
                <w:rFonts w:ascii="Calibri Light" w:hAnsi="Calibri Light"/>
                <w:b w:val="0"/>
              </w:rPr>
              <w:t>En ese sentido, la CIDH señaló que cuando por el uso o despliegue de fuerza por agentes estatales se</w:t>
            </w:r>
            <w:r w:rsidR="00275243">
              <w:rPr>
                <w:rFonts w:ascii="Calibri Light" w:hAnsi="Calibri Light"/>
                <w:b w:val="0"/>
              </w:rPr>
              <w:t xml:space="preserve"> produce</w:t>
            </w:r>
            <w:r>
              <w:rPr>
                <w:rFonts w:ascii="Calibri Light" w:hAnsi="Calibri Light"/>
                <w:b w:val="0"/>
              </w:rPr>
              <w:t xml:space="preserve"> la muerte o lesiones de una persona, correspond</w:t>
            </w:r>
            <w:r w:rsidR="00275243">
              <w:rPr>
                <w:rFonts w:ascii="Calibri Light" w:hAnsi="Calibri Light"/>
                <w:b w:val="0"/>
              </w:rPr>
              <w:t xml:space="preserve">e analizar el uso de la fuerza y que el Estado brinde una respuesta satisfactoria que desvirtúe las alegaciones sobre su responsabilidad. </w:t>
            </w:r>
            <w:r w:rsidR="00E540B2">
              <w:rPr>
                <w:rFonts w:ascii="Calibri Light" w:hAnsi="Calibri Light"/>
                <w:b w:val="0"/>
              </w:rPr>
              <w:t xml:space="preserve">Para ello, se deberán tomar en cuenta los elementos de finalidad legítima, absoluta necesidad y proporcionalidad. En este caso, el Estado guatemalteco no brindó una explicación satisfactoria sobre el cumplimiento de estos elementos. Por el contrario, reconoció su responsabilidad sobre los mismos. </w:t>
            </w:r>
          </w:p>
          <w:p w14:paraId="1C2AF387" w14:textId="77777777" w:rsidR="001776AE" w:rsidRDefault="001776AE" w:rsidP="00743C10">
            <w:pPr>
              <w:jc w:val="both"/>
              <w:rPr>
                <w:rFonts w:ascii="Calibri Light" w:hAnsi="Calibri Light"/>
                <w:b w:val="0"/>
              </w:rPr>
            </w:pPr>
          </w:p>
          <w:p w14:paraId="63B3FF9D" w14:textId="4404C1D8" w:rsidR="00E540B2" w:rsidRDefault="00E540B2" w:rsidP="00743C10">
            <w:pPr>
              <w:jc w:val="both"/>
              <w:rPr>
                <w:rFonts w:ascii="Calibri Light" w:hAnsi="Calibri Light"/>
                <w:b w:val="0"/>
              </w:rPr>
            </w:pPr>
            <w:r>
              <w:rPr>
                <w:rFonts w:ascii="Calibri Light" w:hAnsi="Calibri Light"/>
                <w:b w:val="0"/>
              </w:rPr>
              <w:t xml:space="preserve">En vista de ello, la CIDH consideró que el uso de la fuerza efectuado por los militares en la finca Xamán contravino los principios de finalidad legítima, necesidad y proporcionalidad. </w:t>
            </w:r>
            <w:r w:rsidR="00DD6F74">
              <w:rPr>
                <w:rFonts w:ascii="Calibri Light" w:hAnsi="Calibri Light"/>
                <w:b w:val="0"/>
              </w:rPr>
              <w:t xml:space="preserve">Por ello, las muertes provocadas constituyeron privaciones arbitrarias a la vida y las lesiones causadas, afectaciones al derecho a la integridad. </w:t>
            </w:r>
            <w:r w:rsidR="001776AE">
              <w:rPr>
                <w:rFonts w:ascii="Calibri Light" w:hAnsi="Calibri Light"/>
                <w:b w:val="0"/>
              </w:rPr>
              <w:t xml:space="preserve">En esa medida, la CIDH declaró que el Estado había violado el artículo 4.1 de la CADH en relación al artículo 1.1 en perjuicio de los 8 adultos que murieron, y en relación a los artículos 1.1 y 19, en perjuicio de los 3 niños que murieron. Además, declaró que </w:t>
            </w:r>
            <w:r w:rsidR="00116E86">
              <w:rPr>
                <w:rFonts w:ascii="Calibri Light" w:hAnsi="Calibri Light"/>
                <w:b w:val="0"/>
              </w:rPr>
              <w:t xml:space="preserve">Guatemala </w:t>
            </w:r>
            <w:r w:rsidR="001776AE">
              <w:rPr>
                <w:rFonts w:ascii="Calibri Light" w:hAnsi="Calibri Light"/>
                <w:b w:val="0"/>
              </w:rPr>
              <w:t>había violado el artículo 5.1 de la CADH en relación al artículo 1.1</w:t>
            </w:r>
            <w:r w:rsidR="00116E86">
              <w:rPr>
                <w:rFonts w:ascii="Calibri Light" w:hAnsi="Calibri Light"/>
                <w:b w:val="0"/>
              </w:rPr>
              <w:t>,</w:t>
            </w:r>
            <w:r w:rsidR="001776AE">
              <w:rPr>
                <w:rFonts w:ascii="Calibri Light" w:hAnsi="Calibri Light"/>
                <w:b w:val="0"/>
              </w:rPr>
              <w:t xml:space="preserve"> en perjui</w:t>
            </w:r>
            <w:r w:rsidR="00116E86">
              <w:rPr>
                <w:rFonts w:ascii="Calibri Light" w:hAnsi="Calibri Light"/>
                <w:b w:val="0"/>
              </w:rPr>
              <w:t>cio de 26</w:t>
            </w:r>
            <w:r w:rsidR="001776AE">
              <w:rPr>
                <w:rFonts w:ascii="Calibri Light" w:hAnsi="Calibri Light"/>
                <w:b w:val="0"/>
              </w:rPr>
              <w:t xml:space="preserve"> personas que </w:t>
            </w:r>
            <w:r w:rsidR="00116E86">
              <w:rPr>
                <w:rFonts w:ascii="Calibri Light" w:hAnsi="Calibri Light"/>
                <w:b w:val="0"/>
              </w:rPr>
              <w:t>resultaron</w:t>
            </w:r>
            <w:r w:rsidR="001776AE">
              <w:rPr>
                <w:rFonts w:ascii="Calibri Light" w:hAnsi="Calibri Light"/>
                <w:b w:val="0"/>
              </w:rPr>
              <w:t xml:space="preserve"> heridas. </w:t>
            </w:r>
            <w:r w:rsidR="00116E86">
              <w:rPr>
                <w:rFonts w:ascii="Calibri Light" w:hAnsi="Calibri Light"/>
                <w:b w:val="0"/>
              </w:rPr>
              <w:t xml:space="preserve">Con relación a las 3 personas heridas que posteriormente murieron y en vista de que el Estado no había controvertido el nexo causal entre estos hechos, la CIDH declaró violados los artículos 5.1 y 4.1 de la CADH, en relación al artículo 1.1. </w:t>
            </w:r>
          </w:p>
          <w:p w14:paraId="2E601094" w14:textId="77777777" w:rsidR="00794450" w:rsidRPr="00794450" w:rsidRDefault="00794450" w:rsidP="00743C10">
            <w:pPr>
              <w:jc w:val="both"/>
              <w:rPr>
                <w:rFonts w:ascii="Calibri Light" w:hAnsi="Calibri Light"/>
                <w:b w:val="0"/>
              </w:rPr>
            </w:pPr>
          </w:p>
          <w:p w14:paraId="7C580EDE" w14:textId="77777777" w:rsidR="00453B3E" w:rsidRDefault="00453B3E" w:rsidP="00453B3E">
            <w:pPr>
              <w:jc w:val="both"/>
              <w:rPr>
                <w:rFonts w:ascii="Calibri Light" w:hAnsi="Calibri Light"/>
              </w:rPr>
            </w:pPr>
            <w:r>
              <w:rPr>
                <w:rFonts w:ascii="Calibri Light" w:hAnsi="Calibri Light"/>
              </w:rPr>
              <w:t>Los derechos a las garantías judiciales y protección judicial (artículo 8 y 25 de la CADH en relación con el artículo 1.1)</w:t>
            </w:r>
          </w:p>
          <w:p w14:paraId="6DDAF6F5" w14:textId="77777777" w:rsidR="00453B3E" w:rsidRDefault="00453B3E" w:rsidP="00453B3E">
            <w:pPr>
              <w:jc w:val="both"/>
              <w:rPr>
                <w:rFonts w:ascii="Calibri Light" w:hAnsi="Calibri Light"/>
              </w:rPr>
            </w:pPr>
          </w:p>
          <w:p w14:paraId="15F8AC08" w14:textId="77777777" w:rsidR="00453B3E" w:rsidRDefault="00453B3E" w:rsidP="00453B3E">
            <w:pPr>
              <w:pStyle w:val="ListParagraph"/>
              <w:numPr>
                <w:ilvl w:val="0"/>
                <w:numId w:val="8"/>
              </w:numPr>
              <w:jc w:val="both"/>
              <w:rPr>
                <w:rFonts w:ascii="Calibri Light" w:hAnsi="Calibri Light"/>
              </w:rPr>
            </w:pPr>
            <w:r>
              <w:rPr>
                <w:rFonts w:ascii="Calibri Light" w:hAnsi="Calibri Light"/>
              </w:rPr>
              <w:t xml:space="preserve">Deber de investigar de manera independiente e imparcial </w:t>
            </w:r>
          </w:p>
          <w:p w14:paraId="7F67BB6A" w14:textId="77777777" w:rsidR="00EB79B9" w:rsidRDefault="00EB79B9" w:rsidP="00EB79B9">
            <w:pPr>
              <w:jc w:val="both"/>
              <w:rPr>
                <w:rFonts w:ascii="Calibri Light" w:hAnsi="Calibri Light"/>
              </w:rPr>
            </w:pPr>
          </w:p>
          <w:p w14:paraId="59B67E9E" w14:textId="77777777" w:rsidR="00223608" w:rsidRDefault="00EB79B9" w:rsidP="00EB79B9">
            <w:pPr>
              <w:jc w:val="both"/>
              <w:rPr>
                <w:rFonts w:ascii="Calibri Light" w:hAnsi="Calibri Light"/>
                <w:b w:val="0"/>
              </w:rPr>
            </w:pPr>
            <w:r>
              <w:rPr>
                <w:rFonts w:ascii="Calibri Light" w:hAnsi="Calibri Light"/>
                <w:b w:val="0"/>
              </w:rPr>
              <w:t xml:space="preserve">Los tribunales militares no cumplen de acuerdo a la jurisprudencia de la Corte IDH con las garantías de imparcialidad e independencia, por factores como la subordinación de sus integrantes a superiores jerárquicos, el hecho de que su nombramiento no esté sujeto a su competencia profesional o que no cuenten con garantías de inamovilidad. Por eso, su competencia debe ser restringida y solo deben juzgar delitos o faltas que atenten con bienes jurídicos propios del orden militar cometidas por personal activo. </w:t>
            </w:r>
            <w:r w:rsidR="00223608">
              <w:rPr>
                <w:rFonts w:ascii="Calibri Light" w:hAnsi="Calibri Light"/>
                <w:b w:val="0"/>
              </w:rPr>
              <w:t xml:space="preserve">Tanto la Corte IDH como la CIDH han considerado que la sola aplicación de jurisdicción penal militar en casos de graves violaciones de derechos humanos es contraria a la CADH. </w:t>
            </w:r>
          </w:p>
          <w:p w14:paraId="13D30AE2" w14:textId="77777777" w:rsidR="00223608" w:rsidRDefault="00223608" w:rsidP="00EB79B9">
            <w:pPr>
              <w:jc w:val="both"/>
              <w:rPr>
                <w:rFonts w:ascii="Calibri Light" w:hAnsi="Calibri Light"/>
                <w:b w:val="0"/>
              </w:rPr>
            </w:pPr>
          </w:p>
          <w:p w14:paraId="78473CDB" w14:textId="74E3A609" w:rsidR="00223608" w:rsidRDefault="00223608" w:rsidP="00EB79B9">
            <w:pPr>
              <w:jc w:val="both"/>
              <w:rPr>
                <w:rFonts w:ascii="Calibri Light" w:hAnsi="Calibri Light"/>
                <w:b w:val="0"/>
              </w:rPr>
            </w:pPr>
            <w:r>
              <w:rPr>
                <w:rFonts w:ascii="Calibri Light" w:hAnsi="Calibri Light"/>
                <w:b w:val="0"/>
              </w:rPr>
              <w:lastRenderedPageBreak/>
              <w:t xml:space="preserve">En este caso, además de que la investigación estuvo inicialmente dos meses bajo la jurisdicción militar, se produjeron otros hechos que afectaron la independencia e imparcialidad. Estos fueron los intentos de miembros del Ejército de exculpar a los responsables y el hecho </w:t>
            </w:r>
            <w:r w:rsidR="00C568FE">
              <w:rPr>
                <w:rFonts w:ascii="Calibri Light" w:hAnsi="Calibri Light"/>
                <w:b w:val="0"/>
              </w:rPr>
              <w:t xml:space="preserve">de </w:t>
            </w:r>
            <w:r>
              <w:rPr>
                <w:rFonts w:ascii="Calibri Light" w:hAnsi="Calibri Light"/>
                <w:b w:val="0"/>
              </w:rPr>
              <w:t>que los jueces militares consultaran con los abogados defensores sobre distintos actos procesales. En esa medida, la CIDH encontró responsable a Guatemala por la violación de los artículos 8.1 y 25.1 de la CADH</w:t>
            </w:r>
            <w:r w:rsidR="003F6AAD">
              <w:rPr>
                <w:rFonts w:ascii="Calibri Light" w:hAnsi="Calibri Light"/>
                <w:b w:val="0"/>
              </w:rPr>
              <w:t>,</w:t>
            </w:r>
            <w:r>
              <w:rPr>
                <w:rFonts w:ascii="Calibri Light" w:hAnsi="Calibri Light"/>
                <w:b w:val="0"/>
              </w:rPr>
              <w:t xml:space="preserve"> en relación al artículo 1.1, en perjuicio de las víctimas sobrevivientes y los familiares de todas las víctimas. </w:t>
            </w:r>
          </w:p>
          <w:p w14:paraId="15A1A9EE" w14:textId="77777777" w:rsidR="00EB79B9" w:rsidRDefault="00EB79B9" w:rsidP="00EB79B9">
            <w:pPr>
              <w:jc w:val="both"/>
              <w:rPr>
                <w:rFonts w:ascii="Calibri Light" w:hAnsi="Calibri Light"/>
              </w:rPr>
            </w:pPr>
          </w:p>
          <w:p w14:paraId="31427EDA" w14:textId="77777777" w:rsidR="00453B3E" w:rsidRDefault="00453B3E" w:rsidP="00453B3E">
            <w:pPr>
              <w:pStyle w:val="ListParagraph"/>
              <w:numPr>
                <w:ilvl w:val="0"/>
                <w:numId w:val="8"/>
              </w:numPr>
              <w:jc w:val="both"/>
              <w:rPr>
                <w:rFonts w:ascii="Calibri Light" w:hAnsi="Calibri Light"/>
              </w:rPr>
            </w:pPr>
            <w:r>
              <w:rPr>
                <w:rFonts w:ascii="Calibri Light" w:hAnsi="Calibri Light"/>
              </w:rPr>
              <w:t>Deber de investigar con la debida diligencia</w:t>
            </w:r>
          </w:p>
          <w:p w14:paraId="7075F3D6" w14:textId="77777777" w:rsidR="00D93F81" w:rsidRDefault="00D93F81" w:rsidP="00D93F81">
            <w:pPr>
              <w:jc w:val="both"/>
              <w:rPr>
                <w:rFonts w:ascii="Calibri Light" w:hAnsi="Calibri Light"/>
              </w:rPr>
            </w:pPr>
          </w:p>
          <w:p w14:paraId="7F04E07C" w14:textId="77777777" w:rsidR="003F6AAD" w:rsidRDefault="00376769" w:rsidP="00D93F81">
            <w:pPr>
              <w:jc w:val="both"/>
              <w:rPr>
                <w:rFonts w:ascii="Calibri Light" w:hAnsi="Calibri Light"/>
                <w:b w:val="0"/>
              </w:rPr>
            </w:pPr>
            <w:r>
              <w:rPr>
                <w:rFonts w:ascii="Calibri Light" w:hAnsi="Calibri Light"/>
                <w:b w:val="0"/>
              </w:rPr>
              <w:t>El</w:t>
            </w:r>
            <w:r w:rsidRPr="00376769">
              <w:rPr>
                <w:rFonts w:ascii="Calibri Light" w:hAnsi="Calibri Light"/>
                <w:b w:val="0"/>
              </w:rPr>
              <w:t xml:space="preserve"> deber de </w:t>
            </w:r>
            <w:r>
              <w:rPr>
                <w:rFonts w:ascii="Calibri Light" w:hAnsi="Calibri Light"/>
                <w:b w:val="0"/>
              </w:rPr>
              <w:t xml:space="preserve">los Estados de </w:t>
            </w:r>
            <w:r w:rsidRPr="00376769">
              <w:rPr>
                <w:rFonts w:ascii="Calibri Light" w:hAnsi="Calibri Light"/>
                <w:b w:val="0"/>
              </w:rPr>
              <w:t xml:space="preserve">debida diligencia en las investigaciones </w:t>
            </w:r>
            <w:r>
              <w:rPr>
                <w:rFonts w:ascii="Calibri Light" w:hAnsi="Calibri Light"/>
                <w:b w:val="0"/>
              </w:rPr>
              <w:t xml:space="preserve">es aplicable </w:t>
            </w:r>
            <w:r w:rsidRPr="00376769">
              <w:rPr>
                <w:rFonts w:ascii="Calibri Light" w:hAnsi="Calibri Light"/>
                <w:b w:val="0"/>
              </w:rPr>
              <w:t xml:space="preserve">desde las primeras etapas del proceso, incluso </w:t>
            </w:r>
            <w:r>
              <w:rPr>
                <w:rFonts w:ascii="Calibri Light" w:hAnsi="Calibri Light"/>
                <w:b w:val="0"/>
              </w:rPr>
              <w:t>en</w:t>
            </w:r>
            <w:r w:rsidRPr="00376769">
              <w:rPr>
                <w:rFonts w:ascii="Calibri Light" w:hAnsi="Calibri Light"/>
                <w:b w:val="0"/>
              </w:rPr>
              <w:t xml:space="preserve"> los actos de investigación previos al proceso judicial.</w:t>
            </w:r>
            <w:r>
              <w:rPr>
                <w:rFonts w:ascii="Calibri Light" w:hAnsi="Calibri Light"/>
                <w:b w:val="0"/>
              </w:rPr>
              <w:t xml:space="preserve"> Por ello, tomando en cuenta el Manual sobre la Prevención e Investigación de las Ejecuciones Extralegales, Arbitrarias o Sumarias, y la importancia del mantenimiento de la cadena de custodia en todo elemento de prueba forense, la CIDH consideró que el Ministerio de Público </w:t>
            </w:r>
            <w:r w:rsidR="003F6AAD">
              <w:rPr>
                <w:rFonts w:ascii="Calibri Light" w:hAnsi="Calibri Light"/>
                <w:b w:val="0"/>
              </w:rPr>
              <w:t xml:space="preserve">y otras instituciones involucradas en de manera previa y durante el proceso </w:t>
            </w:r>
            <w:r>
              <w:rPr>
                <w:rFonts w:ascii="Calibri Light" w:hAnsi="Calibri Light"/>
                <w:b w:val="0"/>
              </w:rPr>
              <w:t>había</w:t>
            </w:r>
            <w:r w:rsidR="003F6AAD">
              <w:rPr>
                <w:rFonts w:ascii="Calibri Light" w:hAnsi="Calibri Light"/>
                <w:b w:val="0"/>
              </w:rPr>
              <w:t>n</w:t>
            </w:r>
            <w:r>
              <w:rPr>
                <w:rFonts w:ascii="Calibri Light" w:hAnsi="Calibri Light"/>
                <w:b w:val="0"/>
              </w:rPr>
              <w:t xml:space="preserve"> cometido una serie de irregularidades. </w:t>
            </w:r>
          </w:p>
          <w:p w14:paraId="1951B077" w14:textId="77777777" w:rsidR="003F6AAD" w:rsidRDefault="003F6AAD" w:rsidP="00D93F81">
            <w:pPr>
              <w:jc w:val="both"/>
              <w:rPr>
                <w:rFonts w:ascii="Calibri Light" w:hAnsi="Calibri Light"/>
                <w:b w:val="0"/>
              </w:rPr>
            </w:pPr>
          </w:p>
          <w:p w14:paraId="36DDE42F" w14:textId="77777777" w:rsidR="003F6AAD" w:rsidRDefault="00376769" w:rsidP="003F6AAD">
            <w:pPr>
              <w:jc w:val="both"/>
              <w:rPr>
                <w:rFonts w:ascii="Calibri Light" w:hAnsi="Calibri Light"/>
                <w:b w:val="0"/>
              </w:rPr>
            </w:pPr>
            <w:r>
              <w:rPr>
                <w:rFonts w:ascii="Calibri Light" w:hAnsi="Calibri Light"/>
                <w:b w:val="0"/>
              </w:rPr>
              <w:t xml:space="preserve">Estas incluyen: i) no preservar adecuadamente material probatorio relevante, como los casquillos de bala y las ropas de las víctimas; ii) no acordonar la escena del crimen para preservarla adecuadamente; iii) realizar las autopsias de las personas fallecidas de modo superficial y sin los requisitos técnicos </w:t>
            </w:r>
            <w:r w:rsidR="003F6AAD">
              <w:rPr>
                <w:rFonts w:ascii="Calibri Light" w:hAnsi="Calibri Light"/>
                <w:b w:val="0"/>
              </w:rPr>
              <w:t xml:space="preserve">necesarios; iv) grandes periodos de inactividad en el proceso sin realizar diligencias; y v) irregularidades en el trámite del proceso por parte de distintos jueces que estuvieron a cargo de la investigación, como aceptar contrariamente al marco legal recursos y pruebas por parte de la defensa, o rechazar arbitrariamente pruebas y declaraciones de los querellantes. Por ello, la CIDH consideró que Guatemala había violado los artículos 8.1 y 25.1 de la CADH, en relación al artículo 1.1, en perjuicio de las víctimas sobrevivientes y los familiares de todas las víctimas. </w:t>
            </w:r>
          </w:p>
          <w:p w14:paraId="0FA8CAB3" w14:textId="77777777" w:rsidR="00376769" w:rsidRPr="00D93F81" w:rsidRDefault="00376769" w:rsidP="00D93F81">
            <w:pPr>
              <w:jc w:val="both"/>
              <w:rPr>
                <w:rFonts w:ascii="Calibri Light" w:hAnsi="Calibri Light"/>
              </w:rPr>
            </w:pPr>
          </w:p>
          <w:p w14:paraId="024C9C7B" w14:textId="77777777" w:rsidR="00453B3E" w:rsidRDefault="00453B3E" w:rsidP="00453B3E">
            <w:pPr>
              <w:pStyle w:val="ListParagraph"/>
              <w:numPr>
                <w:ilvl w:val="0"/>
                <w:numId w:val="8"/>
              </w:numPr>
              <w:jc w:val="both"/>
              <w:rPr>
                <w:rFonts w:ascii="Calibri Light" w:hAnsi="Calibri Light"/>
              </w:rPr>
            </w:pPr>
            <w:r>
              <w:rPr>
                <w:rFonts w:ascii="Calibri Light" w:hAnsi="Calibri Light"/>
              </w:rPr>
              <w:t>Situación de riesgo para operadores jurídicos, testigos y otros actores en el proceso</w:t>
            </w:r>
          </w:p>
          <w:p w14:paraId="7987A74D" w14:textId="77777777" w:rsidR="003F6AAD" w:rsidRDefault="003F6AAD" w:rsidP="003F6AAD">
            <w:pPr>
              <w:jc w:val="both"/>
              <w:rPr>
                <w:rFonts w:ascii="Calibri Light" w:hAnsi="Calibri Light"/>
              </w:rPr>
            </w:pPr>
          </w:p>
          <w:p w14:paraId="4A55C33A" w14:textId="77777777" w:rsidR="00FD7A5C" w:rsidRDefault="00FD7A5C" w:rsidP="00FD7A5C">
            <w:pPr>
              <w:jc w:val="both"/>
              <w:rPr>
                <w:rFonts w:ascii="Calibri Light" w:hAnsi="Calibri Light"/>
                <w:b w:val="0"/>
              </w:rPr>
            </w:pPr>
            <w:r>
              <w:rPr>
                <w:rFonts w:ascii="Calibri Light" w:hAnsi="Calibri Light"/>
                <w:b w:val="0"/>
              </w:rPr>
              <w:t xml:space="preserve">Relacionado al deber de investigar con debida diligencia, se encuentra la obligación de los Estados de enfrentar adecuadamente los obstáculos que puedan derivarse de las amenazas y hostigamientos a actores en el proceso, como testigos e investigadores. En este caso, el Estado no demostró que hubiera tomado este tipo de medidas o hubiera protegido a las personas que fueron hostigadas en el marco del proceso (víctimas sobrevivientes, familiares de las víctimas, el fiscal que se vio obligado a renunciar). En base a ello, la CIDH señaló que Guatemala había violado los artículos 8.1 y 25.1 de la CADH, en relación al artículo 1.1, en perjuicio de las víctimas sobrevivientes y los familiares de todas las víctimas. </w:t>
            </w:r>
          </w:p>
          <w:p w14:paraId="50CAF79A" w14:textId="77777777" w:rsidR="00FD7A5C" w:rsidRPr="003F6AAD" w:rsidRDefault="00FD7A5C" w:rsidP="003F6AAD">
            <w:pPr>
              <w:jc w:val="both"/>
              <w:rPr>
                <w:rFonts w:ascii="Calibri Light" w:hAnsi="Calibri Light"/>
                <w:b w:val="0"/>
              </w:rPr>
            </w:pPr>
          </w:p>
          <w:p w14:paraId="1A198B69" w14:textId="6105E7E0" w:rsidR="00453B3E" w:rsidRDefault="00453B3E" w:rsidP="00453B3E">
            <w:pPr>
              <w:pStyle w:val="ListParagraph"/>
              <w:numPr>
                <w:ilvl w:val="0"/>
                <w:numId w:val="8"/>
              </w:numPr>
              <w:jc w:val="both"/>
              <w:rPr>
                <w:rFonts w:ascii="Calibri Light" w:hAnsi="Calibri Light"/>
              </w:rPr>
            </w:pPr>
            <w:r>
              <w:rPr>
                <w:rFonts w:ascii="Calibri Light" w:hAnsi="Calibri Light"/>
              </w:rPr>
              <w:t>Plazo razonable</w:t>
            </w:r>
          </w:p>
          <w:p w14:paraId="572F553F" w14:textId="77777777" w:rsidR="00FD7A5C" w:rsidRDefault="00FD7A5C" w:rsidP="00FD7A5C">
            <w:pPr>
              <w:jc w:val="both"/>
              <w:rPr>
                <w:rFonts w:ascii="Calibri Light" w:hAnsi="Calibri Light"/>
              </w:rPr>
            </w:pPr>
          </w:p>
          <w:p w14:paraId="0AB58B2B" w14:textId="71A89FD3" w:rsidR="008E5E60" w:rsidRDefault="00571026" w:rsidP="008E5E60">
            <w:pPr>
              <w:jc w:val="both"/>
              <w:rPr>
                <w:rFonts w:ascii="Calibri Light" w:hAnsi="Calibri Light"/>
                <w:b w:val="0"/>
              </w:rPr>
            </w:pPr>
            <w:r w:rsidRPr="00571026">
              <w:rPr>
                <w:rFonts w:ascii="Calibri Light" w:hAnsi="Calibri Light"/>
                <w:b w:val="0"/>
              </w:rPr>
              <w:t>La CIDH reiteró que existen cuatro criterios para evaluar el plazo razonable. Estos son: i) la complejidad del asunto, ii) la actividad procesal del interesado, iii) la conducta de las autoridades judiciales, y iv) la afectación generada en la situación de la persona involucrada en el proceso.</w:t>
            </w:r>
            <w:r>
              <w:rPr>
                <w:rFonts w:ascii="Calibri Light" w:hAnsi="Calibri Light"/>
                <w:b w:val="0"/>
              </w:rPr>
              <w:t xml:space="preserve"> En este caso, transcurrieron aproximadamente 9 años entre la fecha en que ocurrieron los casos y la fecha en que se condenó por ejecución extrajudicial a 14 militares. La CIDH consideró que dicha duración, no se encontraba justificada pues para empezar, no era un caso complejo. En efecto, se había individualizado a los probables autores, existían testigos y posibles líneas de investigación. En cuanto a la actuación de las autoridades, la CIDH se remitió a su análisis en los dos apartados anteriores. Respecto de la participación de los interesados, observó que estos habían participado activamente en el proceso y dado seguimiento a la </w:t>
            </w:r>
            <w:r>
              <w:rPr>
                <w:rFonts w:ascii="Calibri Light" w:hAnsi="Calibri Light"/>
                <w:b w:val="0"/>
              </w:rPr>
              <w:lastRenderedPageBreak/>
              <w:t xml:space="preserve">demora en el proceso. </w:t>
            </w:r>
            <w:r w:rsidR="008E5E60">
              <w:rPr>
                <w:rFonts w:ascii="Calibri Light" w:hAnsi="Calibri Light"/>
                <w:b w:val="0"/>
              </w:rPr>
              <w:t xml:space="preserve">Por todo ello, consideró que se habían violado los artículos 8.1 y 25.1 de la CADH, en relación al artículo 1.1, en perjuicio de las víctimas sobrevivientes y los familiares de todas las víctimas. </w:t>
            </w:r>
          </w:p>
          <w:p w14:paraId="3BFDFE82" w14:textId="77777777" w:rsidR="00453B3E" w:rsidRDefault="00453B3E" w:rsidP="00453B3E">
            <w:pPr>
              <w:jc w:val="both"/>
              <w:rPr>
                <w:rFonts w:ascii="Calibri Light" w:hAnsi="Calibri Light"/>
              </w:rPr>
            </w:pPr>
          </w:p>
          <w:p w14:paraId="3A9D6713" w14:textId="57BB00FB" w:rsidR="00453B3E" w:rsidRDefault="00453B3E" w:rsidP="00453B3E">
            <w:pPr>
              <w:jc w:val="both"/>
              <w:rPr>
                <w:rFonts w:ascii="Calibri Light" w:hAnsi="Calibri Light"/>
              </w:rPr>
            </w:pPr>
            <w:r>
              <w:rPr>
                <w:rFonts w:ascii="Calibri Light" w:hAnsi="Calibri Light"/>
              </w:rPr>
              <w:t>Igualdad ante la ley (artículo 24 de la CADH en relación al artículo 1.1)</w:t>
            </w:r>
          </w:p>
          <w:p w14:paraId="55EFEA75" w14:textId="77777777" w:rsidR="00453B3E" w:rsidRDefault="00453B3E" w:rsidP="00453B3E">
            <w:pPr>
              <w:jc w:val="both"/>
              <w:rPr>
                <w:rFonts w:ascii="Calibri Light" w:hAnsi="Calibri Light"/>
              </w:rPr>
            </w:pPr>
          </w:p>
          <w:p w14:paraId="6D084C1F" w14:textId="0031209D" w:rsidR="008E5E60" w:rsidRDefault="002F4AD5" w:rsidP="00453B3E">
            <w:pPr>
              <w:jc w:val="both"/>
              <w:rPr>
                <w:rFonts w:ascii="Calibri Light" w:hAnsi="Calibri Light"/>
                <w:b w:val="0"/>
              </w:rPr>
            </w:pPr>
            <w:r>
              <w:rPr>
                <w:rFonts w:ascii="Calibri Light" w:hAnsi="Calibri Light"/>
                <w:b w:val="0"/>
              </w:rPr>
              <w:t xml:space="preserve">La discriminación racial ha sido definida por la Convención Internacional sobre la Eliminación de Todas las Formas de Discriminación Racial, de la cual Guatemala es parte, como </w:t>
            </w:r>
            <w:r w:rsidR="00B95F38">
              <w:rPr>
                <w:rFonts w:ascii="Calibri Light" w:hAnsi="Calibri Light"/>
                <w:b w:val="0"/>
              </w:rPr>
              <w:t xml:space="preserve">“[…] toda distinción, exclusión, restricción o preferencia basada en motivos de raza, color, linaje u origen nacional o étnico que tenga por objeto o por resultado anular o menoscabar el reconocimiento, goce o ejercicio, en condiciones de igualdad, de los derechos humanos y libertades fundamentales […]”. </w:t>
            </w:r>
            <w:r w:rsidR="00C269D5">
              <w:rPr>
                <w:rFonts w:ascii="Calibri Light" w:hAnsi="Calibri Light"/>
                <w:b w:val="0"/>
              </w:rPr>
              <w:t xml:space="preserve">En materia de pueblos indígenas, además de este tratado, la prohibición de discriminación racial se encuentra reconocida en la Declaración de las Naciones Unidas sobre los Derechos de los Pueblos Indígenas y el Convenio 169 de la OIT. </w:t>
            </w:r>
          </w:p>
          <w:p w14:paraId="37936222" w14:textId="77777777" w:rsidR="002F4AD5" w:rsidRDefault="002F4AD5" w:rsidP="00453B3E">
            <w:pPr>
              <w:jc w:val="both"/>
              <w:rPr>
                <w:rFonts w:ascii="Calibri Light" w:hAnsi="Calibri Light"/>
                <w:b w:val="0"/>
              </w:rPr>
            </w:pPr>
          </w:p>
          <w:p w14:paraId="77BCC7ED" w14:textId="67F2086D" w:rsidR="00C269D5" w:rsidRDefault="00C269D5" w:rsidP="00453B3E">
            <w:pPr>
              <w:jc w:val="both"/>
              <w:rPr>
                <w:rFonts w:ascii="Calibri Light" w:hAnsi="Calibri Light"/>
                <w:b w:val="0"/>
              </w:rPr>
            </w:pPr>
            <w:r>
              <w:rPr>
                <w:rFonts w:ascii="Calibri Light" w:hAnsi="Calibri Light"/>
                <w:b w:val="0"/>
              </w:rPr>
              <w:t xml:space="preserve">En este caso, la CIDH </w:t>
            </w:r>
            <w:r w:rsidR="00460AAA">
              <w:rPr>
                <w:rFonts w:ascii="Calibri Light" w:hAnsi="Calibri Light"/>
                <w:b w:val="0"/>
              </w:rPr>
              <w:t xml:space="preserve">determinó que los hechos en los que se enmarcó la petición constituyeron una expresión de discriminación racial ejercida contra el pueblo maya. Cabe recordar que este pueblo fue el más afectado por el conflicto armado interno y que la mayoría de familias de la Comunidad Aurora 8 de Octubre eran de origen indígena y habían estado refugiadas como consecuencia del conflicto. Además, es preciso señalar que </w:t>
            </w:r>
            <w:r w:rsidR="00AB0E91">
              <w:rPr>
                <w:rFonts w:ascii="Calibri Light" w:hAnsi="Calibri Light"/>
                <w:b w:val="0"/>
              </w:rPr>
              <w:t>las tensiones generadas por la presencia de los militares en la comunidad reflejaron las prácticas que estos tenían con las comunidades indígenas, y que las deficiencias y demoras en las investigaciones y en el proceso judicial reflejaron la despriorización de</w:t>
            </w:r>
            <w:r w:rsidR="00460AAA">
              <w:rPr>
                <w:rFonts w:ascii="Calibri Light" w:hAnsi="Calibri Light"/>
                <w:b w:val="0"/>
              </w:rPr>
              <w:t xml:space="preserve"> </w:t>
            </w:r>
            <w:r w:rsidR="00AB0E91">
              <w:rPr>
                <w:rFonts w:ascii="Calibri Light" w:hAnsi="Calibri Light"/>
                <w:b w:val="0"/>
              </w:rPr>
              <w:t xml:space="preserve">los casos de graves violaciones de derechos humanos contra dichas comunidades. Por ello, la CIDH encontró a Guatemala responsable por la violación del artículo 24 de la CADH, en relación al artículo 1.1. </w:t>
            </w:r>
          </w:p>
          <w:p w14:paraId="629A4EA4" w14:textId="77777777" w:rsidR="00460AAA" w:rsidRPr="002F4AD5" w:rsidRDefault="00460AAA" w:rsidP="00453B3E">
            <w:pPr>
              <w:jc w:val="both"/>
              <w:rPr>
                <w:rFonts w:ascii="Calibri Light" w:hAnsi="Calibri Light"/>
                <w:b w:val="0"/>
              </w:rPr>
            </w:pPr>
          </w:p>
          <w:p w14:paraId="7002604B" w14:textId="29B768DD" w:rsidR="00453B3E" w:rsidRDefault="00453B3E" w:rsidP="00453B3E">
            <w:pPr>
              <w:jc w:val="both"/>
              <w:rPr>
                <w:rFonts w:ascii="Calibri Light" w:hAnsi="Calibri Light"/>
              </w:rPr>
            </w:pPr>
            <w:r>
              <w:rPr>
                <w:rFonts w:ascii="Calibri Light" w:hAnsi="Calibri Light"/>
              </w:rPr>
              <w:t>Derecho a la integridad personal a favor de los familiares (artículo 5 de la CADH)</w:t>
            </w:r>
          </w:p>
          <w:p w14:paraId="0338DD02" w14:textId="77777777" w:rsidR="002F4AD5" w:rsidRDefault="002F4AD5" w:rsidP="00453B3E">
            <w:pPr>
              <w:jc w:val="both"/>
              <w:rPr>
                <w:rFonts w:ascii="Calibri Light" w:hAnsi="Calibri Light"/>
              </w:rPr>
            </w:pPr>
          </w:p>
          <w:p w14:paraId="7E0FAC4A" w14:textId="77777777" w:rsidR="00AB0E91" w:rsidRDefault="002F4AD5" w:rsidP="00453B3E">
            <w:pPr>
              <w:jc w:val="both"/>
              <w:rPr>
                <w:rFonts w:ascii="Calibri Light" w:hAnsi="Calibri Light"/>
                <w:b w:val="0"/>
              </w:rPr>
            </w:pPr>
            <w:r>
              <w:rPr>
                <w:rFonts w:ascii="Calibri Light" w:hAnsi="Calibri Light"/>
                <w:b w:val="0"/>
              </w:rPr>
              <w:t xml:space="preserve">La integridad psíquica y moral de los familiares de las víctimas puede verse afectada como consecuencia de las circunstancias particulares de las violaciones de derechos humanos sufridas por las víctimas y las omisiones o actuaciones de las autoridades frente a estos hechos. En este caso, las afectaciones a este derecho se originaron por la pérdida de un ser querido en un contexto como el del presente caso, la demora en el proceso, el hecho de que presenciaran los hechos de la masacre y no recibiera asistencia médica ni psicológica pese al reconocimiento de responsabilidad del Estado. Por ello, la CIDH concluyó que Guatemala había violado el artículo 5.1 de la CADH, en relación al artículo 1.1, en perjuicio de los familiares de las víctimas. </w:t>
            </w:r>
          </w:p>
          <w:p w14:paraId="55E05763" w14:textId="77777777" w:rsidR="009E37C2" w:rsidRDefault="009E37C2" w:rsidP="00453B3E">
            <w:pPr>
              <w:jc w:val="both"/>
              <w:rPr>
                <w:rFonts w:ascii="Calibri Light" w:hAnsi="Calibri Light"/>
                <w:b w:val="0"/>
              </w:rPr>
            </w:pPr>
          </w:p>
          <w:p w14:paraId="076AE736" w14:textId="77777777" w:rsidR="003F526E" w:rsidRDefault="009E37C2" w:rsidP="00453B3E">
            <w:pPr>
              <w:jc w:val="both"/>
              <w:rPr>
                <w:rFonts w:ascii="Calibri Light" w:hAnsi="Calibri Light"/>
              </w:rPr>
            </w:pPr>
            <w:r>
              <w:rPr>
                <w:rFonts w:ascii="Calibri Light" w:hAnsi="Calibri Light"/>
              </w:rPr>
              <w:t>Consideraciones sobre el deber de reparar integralmente las violaciones de derechos humanos</w:t>
            </w:r>
          </w:p>
          <w:p w14:paraId="1E9C9B04" w14:textId="77777777" w:rsidR="003F526E" w:rsidRDefault="003F526E" w:rsidP="00453B3E">
            <w:pPr>
              <w:jc w:val="both"/>
              <w:rPr>
                <w:rFonts w:ascii="Calibri Light" w:hAnsi="Calibri Light"/>
              </w:rPr>
            </w:pPr>
          </w:p>
          <w:p w14:paraId="37833F3D" w14:textId="5F7C7554" w:rsidR="002F4AD5" w:rsidRDefault="003F526E" w:rsidP="00453B3E">
            <w:pPr>
              <w:jc w:val="both"/>
              <w:rPr>
                <w:rFonts w:ascii="Calibri Light" w:hAnsi="Calibri Light"/>
              </w:rPr>
            </w:pPr>
            <w:r>
              <w:rPr>
                <w:rFonts w:ascii="Calibri Light" w:hAnsi="Calibri Light"/>
                <w:b w:val="0"/>
              </w:rPr>
              <w:t>El deber de reparar adecuadamente la violación  de una obligación internacional es un principio del Derecho Internacional</w:t>
            </w:r>
            <w:r w:rsidR="002F4AD5">
              <w:rPr>
                <w:rFonts w:ascii="Calibri Light" w:hAnsi="Calibri Light"/>
                <w:b w:val="0"/>
              </w:rPr>
              <w:t xml:space="preserve"> </w:t>
            </w:r>
            <w:r>
              <w:rPr>
                <w:rFonts w:ascii="Calibri Light" w:hAnsi="Calibri Light"/>
                <w:b w:val="0"/>
              </w:rPr>
              <w:t xml:space="preserve">y una norma consuetudinaria. Este deber ha sido considerado tanto por la CIDH como por la Corte IDH como parte de la obligación de garantizar los derechos en la CADH. </w:t>
            </w:r>
            <w:r w:rsidR="00546733">
              <w:rPr>
                <w:rFonts w:ascii="Calibri Light" w:hAnsi="Calibri Light"/>
                <w:b w:val="0"/>
              </w:rPr>
              <w:t xml:space="preserve">La CIDH consideró que pese a la sentencia de condena a 14 militares el 8 de julio de 2004, el Estado aún no había materializado las medidas de compensación, rehabilitación, satisfacción y no repetición necesarias para alcanzar una reparación integral. </w:t>
            </w:r>
          </w:p>
          <w:p w14:paraId="5AA471B6" w14:textId="02F4BEE9" w:rsidR="00453B3E" w:rsidRPr="00453B3E" w:rsidRDefault="00453B3E" w:rsidP="00453B3E">
            <w:pPr>
              <w:jc w:val="both"/>
              <w:rPr>
                <w:rFonts w:ascii="Calibri Light" w:hAnsi="Calibri Light"/>
              </w:rPr>
            </w:pPr>
          </w:p>
        </w:tc>
      </w:tr>
      <w:tr w:rsidR="005173CF" w:rsidRPr="004533E5" w14:paraId="0FBFBB6F" w14:textId="77777777" w:rsidTr="000840AE">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AC6F31" w:rsidRDefault="00AC6F31" w:rsidP="00AC6F31">
            <w:pPr>
              <w:pStyle w:val="ListParagraph"/>
              <w:rPr>
                <w:rFonts w:ascii="Calibri Light" w:hAnsi="Calibri Light"/>
              </w:rPr>
            </w:pPr>
          </w:p>
          <w:p w14:paraId="5CF7BA21" w14:textId="75C37C4B"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Recomendaciones</w:t>
            </w:r>
            <w:r w:rsidR="002A2CE5">
              <w:rPr>
                <w:rFonts w:ascii="Calibri Light" w:hAnsi="Calibri Light"/>
              </w:rPr>
              <w:t xml:space="preserve"> de la CIDH al Estado</w:t>
            </w:r>
          </w:p>
          <w:p w14:paraId="510D8BF9" w14:textId="77777777" w:rsidR="00AC6F31" w:rsidRPr="004533E5" w:rsidRDefault="00AC6F31" w:rsidP="00AC6F31">
            <w:pPr>
              <w:pStyle w:val="ListParagraph"/>
              <w:rPr>
                <w:rFonts w:ascii="Calibri Light" w:hAnsi="Calibri Light"/>
              </w:rPr>
            </w:pPr>
          </w:p>
        </w:tc>
      </w:tr>
      <w:tr w:rsidR="007A6C56" w:rsidRPr="004533E5" w14:paraId="3D91AF16" w14:textId="77777777" w:rsidTr="000840AE">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80C0C5" w14:textId="792D77FF" w:rsidR="00AC6F31" w:rsidRDefault="00AC6F31" w:rsidP="004B1311">
            <w:pPr>
              <w:pStyle w:val="ListParagraph"/>
              <w:ind w:left="0"/>
              <w:jc w:val="both"/>
              <w:rPr>
                <w:rFonts w:ascii="Calibri Light" w:hAnsi="Calibri Light"/>
                <w:b w:val="0"/>
              </w:rPr>
            </w:pPr>
          </w:p>
          <w:p w14:paraId="02353AA5" w14:textId="77777777" w:rsidR="008D61CD" w:rsidRPr="008D61CD" w:rsidRDefault="008D61CD" w:rsidP="008D61CD">
            <w:pPr>
              <w:pStyle w:val="Default"/>
              <w:numPr>
                <w:ilvl w:val="0"/>
                <w:numId w:val="7"/>
              </w:numPr>
              <w:jc w:val="both"/>
              <w:rPr>
                <w:rFonts w:ascii="Calibri Light" w:hAnsi="Calibri Light"/>
                <w:b w:val="0"/>
                <w:sz w:val="22"/>
                <w:szCs w:val="22"/>
              </w:rPr>
            </w:pPr>
            <w:r w:rsidRPr="008D61CD">
              <w:rPr>
                <w:rFonts w:ascii="Calibri Light" w:hAnsi="Calibri Light"/>
                <w:b w:val="0"/>
                <w:sz w:val="22"/>
                <w:szCs w:val="22"/>
              </w:rPr>
              <w:t xml:space="preserve">Reparar integralmente las violaciones de derechos humanos declaradas en el presente </w:t>
            </w:r>
            <w:r w:rsidRPr="008D61CD">
              <w:rPr>
                <w:rFonts w:ascii="Calibri Light" w:hAnsi="Calibri Light"/>
                <w:b w:val="0"/>
                <w:sz w:val="22"/>
                <w:szCs w:val="22"/>
              </w:rPr>
              <w:lastRenderedPageBreak/>
              <w:t xml:space="preserve">informe en el aspecto material, moral y cultural, incluyendo: i) una justa compensación; ii) medidas de satisfacción para la recuperación de la memoria de las víctimas y para el reconocimiento público de la responsabilidad estatal por los hechos; y iii) medidas de rehabilitación mediante la implementación de un programa de atención en salud física y mental y/o psicosocial culturalmente adecuado a los sobrevivientes y familiares de las víctimas. </w:t>
            </w:r>
          </w:p>
          <w:p w14:paraId="4F178E67" w14:textId="77777777" w:rsidR="00676230" w:rsidRPr="008D61CD" w:rsidRDefault="00676230" w:rsidP="008D61CD">
            <w:pPr>
              <w:pStyle w:val="ListParagraph"/>
              <w:ind w:left="0"/>
              <w:jc w:val="both"/>
              <w:rPr>
                <w:rFonts w:ascii="Calibri Light" w:hAnsi="Calibri Light"/>
                <w:b w:val="0"/>
                <w:lang w:val="es-PE"/>
              </w:rPr>
            </w:pPr>
          </w:p>
          <w:p w14:paraId="3DC0A049" w14:textId="77777777" w:rsidR="008D61CD" w:rsidRPr="008D61CD" w:rsidRDefault="008D61CD" w:rsidP="008D61CD">
            <w:pPr>
              <w:pStyle w:val="Default"/>
              <w:numPr>
                <w:ilvl w:val="0"/>
                <w:numId w:val="7"/>
              </w:numPr>
              <w:jc w:val="both"/>
              <w:rPr>
                <w:rFonts w:ascii="Calibri Light" w:hAnsi="Calibri Light"/>
                <w:b w:val="0"/>
                <w:sz w:val="22"/>
                <w:szCs w:val="22"/>
              </w:rPr>
            </w:pPr>
            <w:r w:rsidRPr="008D61CD">
              <w:rPr>
                <w:rFonts w:ascii="Calibri Light" w:hAnsi="Calibri Light"/>
                <w:b w:val="0"/>
                <w:sz w:val="22"/>
                <w:szCs w:val="22"/>
              </w:rPr>
              <w:t xml:space="preserve">Adoptar las medidas necesarias para evitar que en el futuro se produzcan hechos similares. Estas medidas deben incluir: i) la implementación de programas permanentes de derechos humanos y derecho internacional humanitario en las escuelas de formación de las Fuerzas Armadas; ii) el fortalecimiento de la capacidad institucional para investigar las graves violaciones de derechos humanos ocurridas durante el conflicto armado interno; y iii) adoptar mecanismos eficaces para enfrentar las amenazas y hostigamientos contra operadores jurídicos, víctimas y testigos en el marco de dichas investigaciones. </w:t>
            </w:r>
          </w:p>
          <w:p w14:paraId="49863AFC" w14:textId="02A63D47" w:rsidR="008D61CD" w:rsidRPr="008D61CD" w:rsidRDefault="008D61CD" w:rsidP="004B1311">
            <w:pPr>
              <w:pStyle w:val="ListParagraph"/>
              <w:ind w:left="0"/>
              <w:jc w:val="both"/>
              <w:rPr>
                <w:rFonts w:ascii="Calibri Light" w:hAnsi="Calibri Light"/>
                <w:b w:val="0"/>
                <w:lang w:val="es-PE"/>
              </w:rPr>
            </w:pPr>
          </w:p>
        </w:tc>
      </w:tr>
      <w:tr w:rsidR="00F464EC" w:rsidRPr="004533E5" w14:paraId="0B7CC98E" w14:textId="77777777" w:rsidTr="000840AE">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F464EC" w:rsidRDefault="00F464EC" w:rsidP="00F464EC">
            <w:pPr>
              <w:pStyle w:val="ListParagraph"/>
              <w:spacing w:after="200" w:line="276" w:lineRule="auto"/>
              <w:rPr>
                <w:rFonts w:ascii="Calibri Light" w:hAnsi="Calibri Light"/>
              </w:rPr>
            </w:pPr>
          </w:p>
          <w:p w14:paraId="7B045F14" w14:textId="2270E615" w:rsidR="00F464EC" w:rsidRDefault="00F464EC" w:rsidP="00F464EC">
            <w:pPr>
              <w:pStyle w:val="ListParagraph"/>
              <w:numPr>
                <w:ilvl w:val="0"/>
                <w:numId w:val="2"/>
              </w:numPr>
              <w:spacing w:after="200" w:line="276" w:lineRule="auto"/>
              <w:jc w:val="center"/>
              <w:rPr>
                <w:rFonts w:ascii="Calibri Light" w:hAnsi="Calibri Light"/>
              </w:rPr>
            </w:pPr>
            <w:r>
              <w:rPr>
                <w:rFonts w:ascii="Calibri Light" w:hAnsi="Calibri Light"/>
              </w:rPr>
              <w:t>Análisis de cumplimiento de las recomendaciones</w:t>
            </w:r>
          </w:p>
          <w:p w14:paraId="3C93C1C0" w14:textId="77777777" w:rsidR="00F464EC" w:rsidRDefault="00F464EC" w:rsidP="00F464EC">
            <w:pPr>
              <w:pStyle w:val="ListParagraph"/>
              <w:ind w:left="0"/>
              <w:jc w:val="center"/>
              <w:rPr>
                <w:rFonts w:ascii="Calibri Light" w:hAnsi="Calibri Light"/>
                <w:b w:val="0"/>
              </w:rPr>
            </w:pPr>
          </w:p>
        </w:tc>
      </w:tr>
      <w:tr w:rsidR="00F464EC" w:rsidRPr="004533E5" w14:paraId="41FA15A1" w14:textId="77777777" w:rsidTr="008D61CD">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1F3EA985" w14:textId="7988FA14" w:rsidR="00F464EC" w:rsidRDefault="008D61CD" w:rsidP="008D61CD">
            <w:pPr>
              <w:pStyle w:val="ListParagraph"/>
              <w:ind w:left="0"/>
              <w:jc w:val="center"/>
              <w:rPr>
                <w:rFonts w:ascii="Calibri Light" w:hAnsi="Calibri Light"/>
                <w:b w:val="0"/>
              </w:rPr>
            </w:pPr>
            <w:r>
              <w:rPr>
                <w:rFonts w:ascii="Calibri Light" w:hAnsi="Calibri Light"/>
                <w:b w:val="0"/>
              </w:rPr>
              <w:t>-</w:t>
            </w:r>
          </w:p>
        </w:tc>
      </w:tr>
    </w:tbl>
    <w:p w14:paraId="23A9A3C3" w14:textId="77777777" w:rsidR="00714E42" w:rsidRDefault="00714E42" w:rsidP="00A65231"/>
    <w:sectPr w:rsidR="00714E42" w:rsidSect="00794450">
      <w:footerReference w:type="default" r:id="rId16"/>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4D3A5" w14:textId="77777777" w:rsidR="001F778B" w:rsidRDefault="001F778B" w:rsidP="00A65231">
      <w:pPr>
        <w:spacing w:after="0" w:line="240" w:lineRule="auto"/>
      </w:pPr>
      <w:r>
        <w:separator/>
      </w:r>
    </w:p>
  </w:endnote>
  <w:endnote w:type="continuationSeparator" w:id="0">
    <w:p w14:paraId="55F8ADB7" w14:textId="77777777" w:rsidR="001F778B" w:rsidRDefault="001F778B"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77777777" w:rsidR="00FD7A5C" w:rsidRDefault="00FD7A5C">
        <w:pPr>
          <w:pStyle w:val="Footer"/>
          <w:jc w:val="right"/>
        </w:pPr>
        <w:r>
          <w:fldChar w:fldCharType="begin"/>
        </w:r>
        <w:r>
          <w:instrText>PAGE   \* MERGEFORMAT</w:instrText>
        </w:r>
        <w:r>
          <w:fldChar w:fldCharType="separate"/>
        </w:r>
        <w:r w:rsidR="00552F6F" w:rsidRPr="00552F6F">
          <w:rPr>
            <w:noProof/>
            <w:lang w:val="es-ES"/>
          </w:rPr>
          <w:t>6</w:t>
        </w:r>
        <w:r>
          <w:fldChar w:fldCharType="end"/>
        </w:r>
      </w:p>
    </w:sdtContent>
  </w:sdt>
  <w:p w14:paraId="6353BB13" w14:textId="77777777" w:rsidR="00FD7A5C" w:rsidRDefault="00FD7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D01A4" w14:textId="77777777" w:rsidR="001F778B" w:rsidRDefault="001F778B" w:rsidP="00A65231">
      <w:pPr>
        <w:spacing w:after="0" w:line="240" w:lineRule="auto"/>
      </w:pPr>
      <w:r>
        <w:separator/>
      </w:r>
    </w:p>
  </w:footnote>
  <w:footnote w:type="continuationSeparator" w:id="0">
    <w:p w14:paraId="2DC926E4" w14:textId="77777777" w:rsidR="001F778B" w:rsidRDefault="001F778B"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71FC70B4"/>
    <w:lvl w:ilvl="0" w:tplc="04EC3880">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1B331BC3"/>
    <w:multiLevelType w:val="hybridMultilevel"/>
    <w:tmpl w:val="0F70A9A2"/>
    <w:lvl w:ilvl="0" w:tplc="C7C8BBFA">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2CDA5292"/>
    <w:multiLevelType w:val="hybridMultilevel"/>
    <w:tmpl w:val="C02E150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05A010C"/>
    <w:multiLevelType w:val="hybridMultilevel"/>
    <w:tmpl w:val="8D1013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23800"/>
    <w:rsid w:val="00035508"/>
    <w:rsid w:val="00055601"/>
    <w:rsid w:val="0007326A"/>
    <w:rsid w:val="00073EEC"/>
    <w:rsid w:val="000840AE"/>
    <w:rsid w:val="000C2ED1"/>
    <w:rsid w:val="000C5A72"/>
    <w:rsid w:val="000D3CF2"/>
    <w:rsid w:val="000E246F"/>
    <w:rsid w:val="000F2C70"/>
    <w:rsid w:val="00107EA7"/>
    <w:rsid w:val="00116E86"/>
    <w:rsid w:val="00132E0B"/>
    <w:rsid w:val="001776AE"/>
    <w:rsid w:val="00184978"/>
    <w:rsid w:val="001A14F7"/>
    <w:rsid w:val="001C28EC"/>
    <w:rsid w:val="001C7690"/>
    <w:rsid w:val="001D76FA"/>
    <w:rsid w:val="001F778B"/>
    <w:rsid w:val="00212F62"/>
    <w:rsid w:val="00213757"/>
    <w:rsid w:val="002164F0"/>
    <w:rsid w:val="00220B75"/>
    <w:rsid w:val="00223608"/>
    <w:rsid w:val="002244F2"/>
    <w:rsid w:val="002558BA"/>
    <w:rsid w:val="00275243"/>
    <w:rsid w:val="0029671B"/>
    <w:rsid w:val="002A2CE5"/>
    <w:rsid w:val="002F4AD5"/>
    <w:rsid w:val="00317EE5"/>
    <w:rsid w:val="00376769"/>
    <w:rsid w:val="003A16BF"/>
    <w:rsid w:val="003C2124"/>
    <w:rsid w:val="003E6AB8"/>
    <w:rsid w:val="003F526E"/>
    <w:rsid w:val="003F6AAD"/>
    <w:rsid w:val="00411A74"/>
    <w:rsid w:val="004204CF"/>
    <w:rsid w:val="00421D6C"/>
    <w:rsid w:val="00451809"/>
    <w:rsid w:val="00452AA6"/>
    <w:rsid w:val="004533E5"/>
    <w:rsid w:val="00453B3E"/>
    <w:rsid w:val="00460AAA"/>
    <w:rsid w:val="00464CAC"/>
    <w:rsid w:val="004858A8"/>
    <w:rsid w:val="004861D8"/>
    <w:rsid w:val="004B1311"/>
    <w:rsid w:val="004C74E7"/>
    <w:rsid w:val="004E678F"/>
    <w:rsid w:val="004F061A"/>
    <w:rsid w:val="005173CF"/>
    <w:rsid w:val="00546733"/>
    <w:rsid w:val="00552F6F"/>
    <w:rsid w:val="00557C90"/>
    <w:rsid w:val="00561359"/>
    <w:rsid w:val="00571026"/>
    <w:rsid w:val="005C3229"/>
    <w:rsid w:val="005D4FDF"/>
    <w:rsid w:val="0060189C"/>
    <w:rsid w:val="006407DD"/>
    <w:rsid w:val="00676230"/>
    <w:rsid w:val="00685F04"/>
    <w:rsid w:val="006D488A"/>
    <w:rsid w:val="00714E42"/>
    <w:rsid w:val="00737437"/>
    <w:rsid w:val="00743C10"/>
    <w:rsid w:val="00747E22"/>
    <w:rsid w:val="00794450"/>
    <w:rsid w:val="0079477F"/>
    <w:rsid w:val="007A6C56"/>
    <w:rsid w:val="007B7ED8"/>
    <w:rsid w:val="007D48C8"/>
    <w:rsid w:val="007E382B"/>
    <w:rsid w:val="008036E7"/>
    <w:rsid w:val="0083689F"/>
    <w:rsid w:val="00841B0E"/>
    <w:rsid w:val="00865442"/>
    <w:rsid w:val="00866A4D"/>
    <w:rsid w:val="008D61CD"/>
    <w:rsid w:val="008E5E60"/>
    <w:rsid w:val="0090367F"/>
    <w:rsid w:val="00931244"/>
    <w:rsid w:val="00954E20"/>
    <w:rsid w:val="00960DA9"/>
    <w:rsid w:val="00985194"/>
    <w:rsid w:val="009E37C2"/>
    <w:rsid w:val="009F6C32"/>
    <w:rsid w:val="00A0716B"/>
    <w:rsid w:val="00A133CC"/>
    <w:rsid w:val="00A136B2"/>
    <w:rsid w:val="00A271BF"/>
    <w:rsid w:val="00A4435A"/>
    <w:rsid w:val="00A65231"/>
    <w:rsid w:val="00A658DE"/>
    <w:rsid w:val="00A732F5"/>
    <w:rsid w:val="00A759BC"/>
    <w:rsid w:val="00A91B24"/>
    <w:rsid w:val="00AB0E91"/>
    <w:rsid w:val="00AB11B8"/>
    <w:rsid w:val="00AC34C1"/>
    <w:rsid w:val="00AC6F31"/>
    <w:rsid w:val="00B02614"/>
    <w:rsid w:val="00B07E72"/>
    <w:rsid w:val="00B21566"/>
    <w:rsid w:val="00B47285"/>
    <w:rsid w:val="00B71B8C"/>
    <w:rsid w:val="00B771B5"/>
    <w:rsid w:val="00B93CB9"/>
    <w:rsid w:val="00B95F38"/>
    <w:rsid w:val="00BB61C6"/>
    <w:rsid w:val="00BD3E1C"/>
    <w:rsid w:val="00BD48E5"/>
    <w:rsid w:val="00BE6FA1"/>
    <w:rsid w:val="00C0417E"/>
    <w:rsid w:val="00C16487"/>
    <w:rsid w:val="00C269D5"/>
    <w:rsid w:val="00C31DFF"/>
    <w:rsid w:val="00C568FE"/>
    <w:rsid w:val="00C63B25"/>
    <w:rsid w:val="00CC0168"/>
    <w:rsid w:val="00D0696E"/>
    <w:rsid w:val="00D90EDA"/>
    <w:rsid w:val="00D93F81"/>
    <w:rsid w:val="00D945C3"/>
    <w:rsid w:val="00DC7AE0"/>
    <w:rsid w:val="00DD3C7C"/>
    <w:rsid w:val="00DD6F74"/>
    <w:rsid w:val="00DF2AFB"/>
    <w:rsid w:val="00E106E6"/>
    <w:rsid w:val="00E35FF7"/>
    <w:rsid w:val="00E44005"/>
    <w:rsid w:val="00E540B2"/>
    <w:rsid w:val="00E97595"/>
    <w:rsid w:val="00EA5D4E"/>
    <w:rsid w:val="00EB79B9"/>
    <w:rsid w:val="00EE0D91"/>
    <w:rsid w:val="00F012F8"/>
    <w:rsid w:val="00F06184"/>
    <w:rsid w:val="00F35633"/>
    <w:rsid w:val="00F464EC"/>
    <w:rsid w:val="00F53444"/>
    <w:rsid w:val="00F55CD0"/>
    <w:rsid w:val="00F725A5"/>
    <w:rsid w:val="00F83405"/>
    <w:rsid w:val="00FA1071"/>
    <w:rsid w:val="00FB0F60"/>
    <w:rsid w:val="00FB1D17"/>
    <w:rsid w:val="00FD396D"/>
    <w:rsid w:val="00FD7A5C"/>
    <w:rsid w:val="00FF283E"/>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A136B2"/>
    <w:rPr>
      <w:color w:val="0000FF" w:themeColor="hyperlink"/>
      <w:u w:val="single"/>
    </w:rPr>
  </w:style>
  <w:style w:type="paragraph" w:customStyle="1" w:styleId="Default">
    <w:name w:val="Default"/>
    <w:rsid w:val="008D61CD"/>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132E0B"/>
    <w:rPr>
      <w:color w:val="605E5C"/>
      <w:shd w:val="clear" w:color="auto" w:fill="E1DFDD"/>
    </w:rPr>
  </w:style>
  <w:style w:type="character" w:styleId="FollowedHyperlink">
    <w:name w:val="FollowedHyperlink"/>
    <w:basedOn w:val="DefaultParagraphFont"/>
    <w:uiPriority w:val="99"/>
    <w:semiHidden/>
    <w:unhideWhenUsed/>
    <w:rsid w:val="00C16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rteidh.or.cr/docs/casos/articulos/seriec_356_esp.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6/11550Fondo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corteidh.or.cr/docs/medidas/coc_se_02.pd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s://www.corteidh.or.cr/docs/medidas/coc_se_0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DD399-5C48-4AEA-AF2C-5682C7D9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2672</Words>
  <Characters>15232</Characters>
  <Application>Microsoft Office Word</Application>
  <DocSecurity>0</DocSecurity>
  <Lines>126</Lines>
  <Paragraphs>35</Paragraphs>
  <ScaleCrop>false</ScaleCrop>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2021-02-11T09:46:00Z</dcterms:created>
  <dcterms:modified xsi:type="dcterms:W3CDTF">2021-02-11T09:46:00Z</dcterms:modified>
</cp:coreProperties>
</file>