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2F6E1" w14:textId="77777777" w:rsidR="00967C90" w:rsidRDefault="00967C90" w:rsidP="00967C90">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3D02E020" wp14:editId="325CFCEC">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345FC6A6" wp14:editId="59548AC5">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1B5C97D0" wp14:editId="4A38BDC9">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160130" w14:textId="77777777" w:rsidR="00967C90" w:rsidRPr="00411A74" w:rsidRDefault="00967C90" w:rsidP="00967C90">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65385432" w14:textId="77777777" w:rsidR="00967C90" w:rsidRDefault="00967C90" w:rsidP="00967C90">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78BFD1EF" w14:textId="774375E5" w:rsidR="00561359" w:rsidRPr="00963C3C" w:rsidRDefault="00561359" w:rsidP="00561359">
      <w:pPr>
        <w:pStyle w:val="Header"/>
        <w:jc w:val="center"/>
        <w:rPr>
          <w:rFonts w:cs="Arial"/>
          <w:b/>
          <w:noProof/>
          <w:lang w:val="es-PE" w:eastAsia="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362F7255" w:rsidR="005173CF" w:rsidRPr="005A1DB6" w:rsidRDefault="00061E2D" w:rsidP="00CF2B48">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Asociación Nacional de Cesantes y Jubilados de la Superintendencia Nacional de Administración Tributaria (ANCEJUB-SUNAT)</w:t>
            </w:r>
            <w:r w:rsidR="00CF2B48">
              <w:rPr>
                <w:rFonts w:ascii="Calibri Light" w:hAnsi="Calibri Light"/>
              </w:rPr>
              <w:t>,</w:t>
            </w:r>
            <w:r>
              <w:rPr>
                <w:rFonts w:ascii="Calibri Light" w:hAnsi="Calibri Light"/>
              </w:rPr>
              <w:t xml:space="preserve"> Perú</w:t>
            </w:r>
          </w:p>
        </w:tc>
      </w:tr>
      <w:tr w:rsidR="00F464EC"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554207FD" w:rsidR="00F464EC" w:rsidRPr="00295E72" w:rsidRDefault="00CF2B48"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74B2A68" w14:textId="3440ED52" w:rsidR="00295E72" w:rsidRPr="00295E72" w:rsidRDefault="00061E2D"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ANCEJUB-SUNAT</w:t>
            </w:r>
          </w:p>
        </w:tc>
      </w:tr>
      <w:tr w:rsidR="005173CF"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AC7F4"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0B98D22B" w:rsidR="005173CF" w:rsidRPr="00295E72" w:rsidRDefault="00E72814" w:rsidP="00061E2D">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CF2D40" w:rsidRPr="00061E2D">
                <w:rPr>
                  <w:rStyle w:val="Hyperlink"/>
                  <w:rFonts w:ascii="Calibri Light" w:hAnsi="Calibri Light"/>
                </w:rPr>
                <w:t xml:space="preserve">Informe No. </w:t>
              </w:r>
              <w:r w:rsidR="00061E2D" w:rsidRPr="00061E2D">
                <w:rPr>
                  <w:rStyle w:val="Hyperlink"/>
                  <w:rFonts w:ascii="Calibri Light" w:hAnsi="Calibri Light"/>
                </w:rPr>
                <w:t>41</w:t>
              </w:r>
              <w:r w:rsidR="00295E72" w:rsidRPr="00061E2D">
                <w:rPr>
                  <w:rStyle w:val="Hyperlink"/>
                  <w:rFonts w:ascii="Calibri Light" w:hAnsi="Calibri Light"/>
                </w:rPr>
                <w:t>/</w:t>
              </w:r>
              <w:r w:rsidR="00061E2D" w:rsidRPr="00061E2D">
                <w:rPr>
                  <w:rStyle w:val="Hyperlink"/>
                  <w:rFonts w:ascii="Calibri Light" w:hAnsi="Calibri Light"/>
                </w:rPr>
                <w:t>17</w:t>
              </w:r>
            </w:hyperlink>
          </w:p>
        </w:tc>
      </w:tr>
      <w:tr w:rsidR="004533E5"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255D4274" w:rsidR="005173CF" w:rsidRPr="00295E72" w:rsidRDefault="001077C9"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Informe de Fondo</w:t>
            </w:r>
            <w:r w:rsidR="00243C42" w:rsidRPr="00295E72">
              <w:rPr>
                <w:rFonts w:ascii="Calibri Light" w:hAnsi="Calibri Light"/>
              </w:rPr>
              <w:t xml:space="preserve"> </w:t>
            </w:r>
            <w:r w:rsidR="00F07CF4" w:rsidRPr="00295E72">
              <w:rPr>
                <w:rFonts w:ascii="Calibri Light" w:hAnsi="Calibri Light"/>
              </w:rPr>
              <w:t>(Caso en la Corte IDH)</w:t>
            </w:r>
          </w:p>
        </w:tc>
      </w:tr>
      <w:tr w:rsidR="005173CF" w:rsidRPr="004533E5" w14:paraId="7ED5AB61" w14:textId="77777777" w:rsidTr="00A94EE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4CB7CA24" w:rsidR="005173CF" w:rsidRPr="005A1DB6" w:rsidRDefault="00061E2D" w:rsidP="00061E2D">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23</w:t>
            </w:r>
            <w:r w:rsidR="00295E72" w:rsidRPr="00295E72">
              <w:rPr>
                <w:rFonts w:ascii="Calibri Light" w:hAnsi="Calibri Light"/>
              </w:rPr>
              <w:t xml:space="preserve"> de </w:t>
            </w:r>
            <w:r>
              <w:rPr>
                <w:rFonts w:ascii="Calibri Light" w:hAnsi="Calibri Light"/>
              </w:rPr>
              <w:t>mayo</w:t>
            </w:r>
            <w:r w:rsidR="00295E72" w:rsidRPr="00295E72">
              <w:rPr>
                <w:rFonts w:ascii="Calibri Light" w:hAnsi="Calibri Light"/>
              </w:rPr>
              <w:t xml:space="preserve"> de </w:t>
            </w:r>
            <w:r>
              <w:rPr>
                <w:rFonts w:ascii="Calibri Light" w:hAnsi="Calibri Light"/>
              </w:rPr>
              <w:t>2017</w:t>
            </w:r>
            <w:r w:rsidR="00954E20" w:rsidRPr="00295E72">
              <w:rPr>
                <w:rFonts w:ascii="Calibri Light" w:hAnsi="Calibri Light"/>
              </w:rPr>
              <w:t xml:space="preserve"> </w:t>
            </w:r>
          </w:p>
        </w:tc>
      </w:tr>
      <w:tr w:rsidR="004533E5" w:rsidRPr="004533E5" w14:paraId="1A0D058F" w14:textId="77777777" w:rsidTr="00E7071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0D2B2730" w14:textId="77777777" w:rsidR="0042581C" w:rsidRDefault="00243C42" w:rsidP="00061E2D">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 xml:space="preserve">Informe </w:t>
            </w:r>
            <w:r w:rsidR="0042581C" w:rsidRPr="00295E72">
              <w:rPr>
                <w:rFonts w:ascii="Calibri Light" w:hAnsi="Calibri Light"/>
              </w:rPr>
              <w:t xml:space="preserve">No. </w:t>
            </w:r>
            <w:r w:rsidR="00061E2D">
              <w:rPr>
                <w:rFonts w:ascii="Calibri Light" w:hAnsi="Calibri Light"/>
              </w:rPr>
              <w:t>21</w:t>
            </w:r>
            <w:r w:rsidRPr="00295E72">
              <w:rPr>
                <w:rFonts w:ascii="Calibri Light" w:hAnsi="Calibri Light"/>
              </w:rPr>
              <w:t>/</w:t>
            </w:r>
            <w:r w:rsidR="00061E2D">
              <w:rPr>
                <w:rFonts w:ascii="Calibri Light" w:hAnsi="Calibri Light"/>
              </w:rPr>
              <w:t>09</w:t>
            </w:r>
            <w:r w:rsidRPr="00295E72">
              <w:rPr>
                <w:rFonts w:ascii="Calibri Light" w:hAnsi="Calibri Light"/>
              </w:rPr>
              <w:t xml:space="preserve"> (</w:t>
            </w:r>
            <w:hyperlink r:id="rId13" w:history="1">
              <w:r w:rsidRPr="00295E72">
                <w:rPr>
                  <w:rStyle w:val="Hyperlink"/>
                  <w:rFonts w:ascii="Calibri Light" w:hAnsi="Calibri Light"/>
                </w:rPr>
                <w:t>Admisibilidad</w:t>
              </w:r>
            </w:hyperlink>
            <w:r w:rsidRPr="00295E72">
              <w:rPr>
                <w:rFonts w:ascii="Calibri Light" w:hAnsi="Calibri Light"/>
              </w:rPr>
              <w:t>)</w:t>
            </w:r>
          </w:p>
          <w:p w14:paraId="72EA1AA4" w14:textId="65E666EF" w:rsidR="00967C90" w:rsidRPr="00295E72" w:rsidRDefault="00967C90" w:rsidP="00967C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Asociación Nacional de Cesantes y Jubilados de la Superintendencia Nacional de Administración Tributaria (ANCEJUB-SUNAT) vs. Perú (</w:t>
            </w:r>
            <w:hyperlink r:id="rId14" w:history="1">
              <w:r w:rsidRPr="00967C90">
                <w:rPr>
                  <w:rStyle w:val="Hyperlink"/>
                  <w:rFonts w:ascii="Calibri Light" w:hAnsi="Calibri Light"/>
                </w:rPr>
                <w:t>Sentencia de 21 de noviembre de 2019</w:t>
              </w:r>
            </w:hyperlink>
            <w:r>
              <w:rPr>
                <w:rFonts w:ascii="Calibri Light" w:hAnsi="Calibri Light"/>
              </w:rPr>
              <w:t>)</w:t>
            </w:r>
          </w:p>
        </w:tc>
      </w:tr>
      <w:tr w:rsidR="004C2E50"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2E50" w:rsidRDefault="004C2E50"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44612EDF" w:rsidR="004C2E50" w:rsidRPr="00295E72" w:rsidRDefault="004C2E50" w:rsidP="0042581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295E72">
              <w:rPr>
                <w:rFonts w:ascii="Calibri Light" w:hAnsi="Calibri Light"/>
              </w:rPr>
              <w:t>Convención Americana sobre Derechos Humanos</w:t>
            </w:r>
          </w:p>
        </w:tc>
      </w:tr>
      <w:tr w:rsidR="004C2E50"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4C2E50" w:rsidRDefault="004C2E50" w:rsidP="00A65231">
            <w:pPr>
              <w:pStyle w:val="ListParagraph"/>
              <w:numPr>
                <w:ilvl w:val="0"/>
                <w:numId w:val="3"/>
              </w:numPr>
              <w:rPr>
                <w:rFonts w:ascii="Calibri Light" w:hAnsi="Calibri Light"/>
              </w:rPr>
            </w:pPr>
          </w:p>
        </w:tc>
        <w:tc>
          <w:tcPr>
            <w:tcW w:w="2490" w:type="dxa"/>
          </w:tcPr>
          <w:p w14:paraId="04C377A5" w14:textId="03DDDCE4" w:rsidR="004C2E50" w:rsidRPr="00295E72"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declarados violados</w:t>
            </w:r>
          </w:p>
        </w:tc>
        <w:tc>
          <w:tcPr>
            <w:tcW w:w="2553" w:type="dxa"/>
          </w:tcPr>
          <w:p w14:paraId="277975FB" w14:textId="56CF35CB" w:rsidR="004C2E50" w:rsidRPr="00295E72"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no declarados violados</w:t>
            </w:r>
          </w:p>
        </w:tc>
      </w:tr>
      <w:tr w:rsidR="004C2E50" w:rsidRPr="00A94EE7"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4C2E50" w:rsidRDefault="004C2E50" w:rsidP="00A65231">
            <w:pPr>
              <w:pStyle w:val="ListParagraph"/>
              <w:numPr>
                <w:ilvl w:val="0"/>
                <w:numId w:val="3"/>
              </w:numPr>
              <w:rPr>
                <w:rFonts w:ascii="Calibri Light" w:hAnsi="Calibri Light"/>
              </w:rPr>
            </w:pPr>
          </w:p>
        </w:tc>
        <w:tc>
          <w:tcPr>
            <w:tcW w:w="2490" w:type="dxa"/>
          </w:tcPr>
          <w:p w14:paraId="5E6682FC" w14:textId="7606A946" w:rsidR="004C2E50" w:rsidRPr="004E58DE" w:rsidRDefault="004C2E50" w:rsidP="00C20AC7">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n-US"/>
              </w:rPr>
            </w:pPr>
            <w:r w:rsidRPr="004C2E50">
              <w:rPr>
                <w:rFonts w:ascii="Calibri Light" w:hAnsi="Calibri Light"/>
                <w:lang w:val="en-US"/>
              </w:rPr>
              <w:t xml:space="preserve">Art. 8, art. </w:t>
            </w:r>
            <w:r w:rsidR="00C20AC7">
              <w:rPr>
                <w:rFonts w:ascii="Calibri Light" w:hAnsi="Calibri Light"/>
                <w:lang w:val="en-US"/>
              </w:rPr>
              <w:t>2</w:t>
            </w:r>
            <w:r w:rsidRPr="004C2E50">
              <w:rPr>
                <w:rFonts w:ascii="Calibri Light" w:hAnsi="Calibri Light"/>
                <w:lang w:val="en-US"/>
              </w:rPr>
              <w:t xml:space="preserve">1, art. 25 </w:t>
            </w:r>
          </w:p>
        </w:tc>
        <w:tc>
          <w:tcPr>
            <w:tcW w:w="2553" w:type="dxa"/>
            <w:vAlign w:val="center"/>
          </w:tcPr>
          <w:p w14:paraId="1DBBF8BB" w14:textId="2D7D4AB9" w:rsidR="004C2E50" w:rsidRPr="005A1DB6" w:rsidRDefault="004C2E50" w:rsidP="00A94EE7">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s-PE"/>
              </w:rPr>
            </w:pPr>
            <w:r w:rsidRPr="004E58DE">
              <w:rPr>
                <w:rFonts w:ascii="Calibri Light" w:hAnsi="Calibri Light"/>
                <w:lang w:val="es-PE"/>
              </w:rPr>
              <w:t>-</w:t>
            </w:r>
          </w:p>
        </w:tc>
      </w:tr>
      <w:tr w:rsidR="004C2E50" w:rsidRPr="004533E5" w14:paraId="54B7813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33F046F3" w:rsidR="004C2E50" w:rsidRPr="00E70716" w:rsidRDefault="004C2E50" w:rsidP="00AC6F31">
            <w:pPr>
              <w:pStyle w:val="ListParagraph"/>
              <w:rPr>
                <w:rFonts w:ascii="Calibri Light" w:hAnsi="Calibri Light"/>
                <w:lang w:val="es-PE"/>
              </w:rPr>
            </w:pPr>
          </w:p>
          <w:p w14:paraId="1ECE5967"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4C2E50" w:rsidRPr="004533E5" w:rsidRDefault="004C2E50" w:rsidP="00AC6F31">
            <w:pPr>
              <w:pStyle w:val="ListParagraph"/>
              <w:rPr>
                <w:rFonts w:ascii="Calibri Light" w:hAnsi="Calibri Light"/>
              </w:rPr>
            </w:pPr>
          </w:p>
        </w:tc>
      </w:tr>
      <w:tr w:rsidR="004C2E50" w:rsidRPr="004533E5"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C62C63C" w14:textId="7FC43BEB" w:rsidR="004C2E50" w:rsidRDefault="004C2E50" w:rsidP="00243C42">
            <w:pPr>
              <w:jc w:val="both"/>
              <w:rPr>
                <w:rFonts w:ascii="Calibri Light" w:hAnsi="Calibri Light"/>
                <w:b w:val="0"/>
              </w:rPr>
            </w:pPr>
          </w:p>
          <w:p w14:paraId="263BAB5F" w14:textId="6E978D08" w:rsidR="00865E7D" w:rsidRDefault="00865E7D" w:rsidP="00243C42">
            <w:pPr>
              <w:jc w:val="both"/>
              <w:rPr>
                <w:rFonts w:ascii="Calibri Light" w:hAnsi="Calibri Light"/>
                <w:b w:val="0"/>
              </w:rPr>
            </w:pPr>
            <w:r>
              <w:rPr>
                <w:rFonts w:ascii="Calibri Light" w:hAnsi="Calibri Light"/>
                <w:b w:val="0"/>
              </w:rPr>
              <w:t xml:space="preserve">El caso trata sobre la falta de cumplimiento de una sentencia judicial </w:t>
            </w:r>
            <w:r w:rsidR="0053092C">
              <w:rPr>
                <w:rFonts w:ascii="Calibri Light" w:hAnsi="Calibri Light"/>
                <w:b w:val="0"/>
              </w:rPr>
              <w:t xml:space="preserve">de la Corte Suprema de Justicia </w:t>
            </w:r>
            <w:r>
              <w:rPr>
                <w:rFonts w:ascii="Calibri Light" w:hAnsi="Calibri Light"/>
                <w:b w:val="0"/>
              </w:rPr>
              <w:t xml:space="preserve">de 1993, </w:t>
            </w:r>
            <w:r w:rsidR="005B68C6">
              <w:rPr>
                <w:rFonts w:ascii="Calibri Light" w:hAnsi="Calibri Light"/>
                <w:b w:val="0"/>
              </w:rPr>
              <w:t>que</w:t>
            </w:r>
            <w:r>
              <w:rPr>
                <w:rFonts w:ascii="Calibri Light" w:hAnsi="Calibri Light"/>
                <w:b w:val="0"/>
              </w:rPr>
              <w:t xml:space="preserve"> reconocía derechos pensionarios a </w:t>
            </w:r>
            <w:r w:rsidR="00B74514">
              <w:rPr>
                <w:rFonts w:ascii="Calibri Light" w:hAnsi="Calibri Light"/>
                <w:b w:val="0"/>
              </w:rPr>
              <w:t>los</w:t>
            </w:r>
            <w:r>
              <w:rPr>
                <w:rFonts w:ascii="Calibri Light" w:hAnsi="Calibri Light"/>
                <w:b w:val="0"/>
              </w:rPr>
              <w:t xml:space="preserve"> </w:t>
            </w:r>
            <w:r w:rsidR="00111A5A">
              <w:rPr>
                <w:rFonts w:ascii="Calibri Light" w:hAnsi="Calibri Light"/>
                <w:b w:val="0"/>
              </w:rPr>
              <w:t>integrantes</w:t>
            </w:r>
            <w:r>
              <w:rPr>
                <w:rFonts w:ascii="Calibri Light" w:hAnsi="Calibri Light"/>
                <w:b w:val="0"/>
              </w:rPr>
              <w:t xml:space="preserve"> de la </w:t>
            </w:r>
            <w:r w:rsidRPr="00865E7D">
              <w:rPr>
                <w:rFonts w:ascii="Calibri Light" w:hAnsi="Calibri Light"/>
                <w:b w:val="0"/>
              </w:rPr>
              <w:t>Asociación Nacional de Cesantes y Jubilados de la Superintendencia Nacional de Administración Tributaria (ANCEJUB-SUNAT)</w:t>
            </w:r>
            <w:r>
              <w:rPr>
                <w:rFonts w:ascii="Calibri Light" w:hAnsi="Calibri Light"/>
                <w:b w:val="0"/>
              </w:rPr>
              <w:t xml:space="preserve">. A causa de múltiples controversias </w:t>
            </w:r>
            <w:r w:rsidR="00DD5424">
              <w:rPr>
                <w:rFonts w:ascii="Calibri Light" w:hAnsi="Calibri Light"/>
                <w:b w:val="0"/>
              </w:rPr>
              <w:t xml:space="preserve">sobre la entidad competente para realizar el pago y el monto del mismo, </w:t>
            </w:r>
            <w:r>
              <w:rPr>
                <w:rFonts w:ascii="Calibri Light" w:hAnsi="Calibri Light"/>
                <w:b w:val="0"/>
              </w:rPr>
              <w:t>las autoridades judiciales no lograron resolver de manera definitiva</w:t>
            </w:r>
            <w:r w:rsidR="00DD5424">
              <w:rPr>
                <w:rFonts w:ascii="Calibri Light" w:hAnsi="Calibri Light"/>
                <w:b w:val="0"/>
              </w:rPr>
              <w:t xml:space="preserve"> y</w:t>
            </w:r>
            <w:r>
              <w:rPr>
                <w:rFonts w:ascii="Calibri Light" w:hAnsi="Calibri Light"/>
                <w:b w:val="0"/>
              </w:rPr>
              <w:t xml:space="preserve"> el </w:t>
            </w:r>
            <w:r w:rsidR="00F845A6">
              <w:rPr>
                <w:rFonts w:ascii="Calibri Light" w:hAnsi="Calibri Light"/>
                <w:b w:val="0"/>
              </w:rPr>
              <w:t xml:space="preserve">respectivo </w:t>
            </w:r>
            <w:r>
              <w:rPr>
                <w:rFonts w:ascii="Calibri Light" w:hAnsi="Calibri Light"/>
                <w:b w:val="0"/>
              </w:rPr>
              <w:t>proceso de ejecución se</w:t>
            </w:r>
            <w:r w:rsidR="00111A5A">
              <w:rPr>
                <w:rFonts w:ascii="Calibri Light" w:hAnsi="Calibri Light"/>
                <w:b w:val="0"/>
              </w:rPr>
              <w:t xml:space="preserve"> ha mantenido </w:t>
            </w:r>
            <w:r w:rsidR="00F845A6">
              <w:rPr>
                <w:rFonts w:ascii="Calibri Light" w:hAnsi="Calibri Light"/>
                <w:b w:val="0"/>
              </w:rPr>
              <w:t>abierto hasta la fecha. Asimismo, t</w:t>
            </w:r>
            <w:r>
              <w:rPr>
                <w:rFonts w:ascii="Calibri Light" w:hAnsi="Calibri Light"/>
                <w:b w:val="0"/>
              </w:rPr>
              <w:t xml:space="preserve">ranscurridos más de 23 años de la referida sentencia, </w:t>
            </w:r>
            <w:r w:rsidR="00F845A6">
              <w:rPr>
                <w:rFonts w:ascii="Calibri Light" w:hAnsi="Calibri Light"/>
                <w:b w:val="0"/>
              </w:rPr>
              <w:t>varios</w:t>
            </w:r>
            <w:r>
              <w:rPr>
                <w:rFonts w:ascii="Calibri Light" w:hAnsi="Calibri Light"/>
                <w:b w:val="0"/>
              </w:rPr>
              <w:t xml:space="preserve"> </w:t>
            </w:r>
            <w:r w:rsidR="00111A5A">
              <w:rPr>
                <w:rFonts w:ascii="Calibri Light" w:hAnsi="Calibri Light"/>
                <w:b w:val="0"/>
              </w:rPr>
              <w:t>integrantes</w:t>
            </w:r>
            <w:r>
              <w:rPr>
                <w:rFonts w:ascii="Calibri Light" w:hAnsi="Calibri Light"/>
                <w:b w:val="0"/>
              </w:rPr>
              <w:t xml:space="preserve"> de </w:t>
            </w:r>
            <w:r w:rsidR="00B1308C">
              <w:rPr>
                <w:rFonts w:ascii="Calibri Light" w:hAnsi="Calibri Light"/>
                <w:b w:val="0"/>
              </w:rPr>
              <w:t>dicha Asociación</w:t>
            </w:r>
            <w:r>
              <w:rPr>
                <w:rFonts w:ascii="Calibri Light" w:hAnsi="Calibri Light"/>
                <w:b w:val="0"/>
              </w:rPr>
              <w:t xml:space="preserve"> han fallecido debido a su edad</w:t>
            </w:r>
            <w:r w:rsidR="00DC69A4">
              <w:rPr>
                <w:rFonts w:ascii="Calibri Light" w:hAnsi="Calibri Light"/>
                <w:b w:val="0"/>
              </w:rPr>
              <w:t xml:space="preserve"> sin haber logrado hacer efectivo el pago de sus pensiones</w:t>
            </w:r>
            <w:r>
              <w:rPr>
                <w:rFonts w:ascii="Calibri Light" w:hAnsi="Calibri Light"/>
                <w:b w:val="0"/>
              </w:rPr>
              <w:t>.</w:t>
            </w:r>
          </w:p>
          <w:p w14:paraId="1EE5A7E7" w14:textId="69048BF9" w:rsidR="004C2E50" w:rsidRPr="004533E5" w:rsidRDefault="004C2E50" w:rsidP="00865E7D">
            <w:pPr>
              <w:jc w:val="both"/>
              <w:rPr>
                <w:rFonts w:ascii="Calibri Light" w:hAnsi="Calibri Light"/>
                <w:b w:val="0"/>
              </w:rPr>
            </w:pPr>
          </w:p>
        </w:tc>
      </w:tr>
      <w:tr w:rsidR="004C2E50" w:rsidRPr="004533E5" w14:paraId="238A2196"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4C2E50" w:rsidRDefault="004C2E50" w:rsidP="00AC6F31">
            <w:pPr>
              <w:pStyle w:val="ListParagraph"/>
              <w:rPr>
                <w:rFonts w:ascii="Calibri Light" w:hAnsi="Calibri Light"/>
              </w:rPr>
            </w:pPr>
          </w:p>
          <w:p w14:paraId="6E7AC4B8"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4C2E50" w:rsidRPr="004533E5" w:rsidRDefault="004C2E50" w:rsidP="00AC6F31">
            <w:pPr>
              <w:pStyle w:val="ListParagraph"/>
              <w:rPr>
                <w:rFonts w:ascii="Calibri Light" w:hAnsi="Calibri Light"/>
              </w:rPr>
            </w:pPr>
          </w:p>
        </w:tc>
      </w:tr>
      <w:tr w:rsidR="004C2E50" w:rsidRPr="004533E5" w14:paraId="34AE2D45" w14:textId="77777777" w:rsidTr="00E707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22670832" w14:textId="77777777" w:rsidR="004C2E50" w:rsidRDefault="004C2E50" w:rsidP="00C20AC7">
            <w:pPr>
              <w:jc w:val="both"/>
              <w:rPr>
                <w:rFonts w:ascii="Calibri Light" w:hAnsi="Calibri Light"/>
                <w:b w:val="0"/>
              </w:rPr>
            </w:pPr>
          </w:p>
          <w:p w14:paraId="65B23716" w14:textId="03CD0708" w:rsidR="00C20AC7" w:rsidRDefault="00C20AC7" w:rsidP="00C20AC7">
            <w:pPr>
              <w:jc w:val="both"/>
              <w:rPr>
                <w:rFonts w:ascii="Calibri Light" w:hAnsi="Calibri Light"/>
                <w:b w:val="0"/>
              </w:rPr>
            </w:pPr>
            <w:r w:rsidRPr="00C20AC7">
              <w:rPr>
                <w:rFonts w:ascii="Calibri Light" w:hAnsi="Calibri Light"/>
                <w:b w:val="0"/>
              </w:rPr>
              <w:t>DESCA</w:t>
            </w:r>
            <w:r>
              <w:rPr>
                <w:rFonts w:ascii="Calibri Light" w:hAnsi="Calibri Light"/>
                <w:b w:val="0"/>
              </w:rPr>
              <w:t>,</w:t>
            </w:r>
            <w:r w:rsidRPr="00C20AC7">
              <w:rPr>
                <w:rFonts w:ascii="Calibri Light" w:hAnsi="Calibri Light"/>
                <w:b w:val="0"/>
              </w:rPr>
              <w:t xml:space="preserve"> Propiedad</w:t>
            </w:r>
            <w:r>
              <w:rPr>
                <w:rFonts w:ascii="Calibri Light" w:hAnsi="Calibri Light"/>
                <w:b w:val="0"/>
              </w:rPr>
              <w:t>,</w:t>
            </w:r>
            <w:r w:rsidRPr="00C20AC7">
              <w:rPr>
                <w:rFonts w:ascii="Calibri Light" w:hAnsi="Calibri Light"/>
                <w:b w:val="0"/>
              </w:rPr>
              <w:t xml:space="preserve"> Protección judicial y garantías judiciales, </w:t>
            </w:r>
            <w:r>
              <w:rPr>
                <w:rFonts w:ascii="Calibri Light" w:hAnsi="Calibri Light"/>
                <w:b w:val="0"/>
              </w:rPr>
              <w:t>Seguridad social</w:t>
            </w:r>
          </w:p>
          <w:p w14:paraId="05374712" w14:textId="47F3DA48" w:rsidR="00C20AC7" w:rsidRPr="004533E5" w:rsidRDefault="00C20AC7" w:rsidP="00C20AC7">
            <w:pPr>
              <w:jc w:val="both"/>
              <w:rPr>
                <w:rFonts w:ascii="Calibri Light" w:hAnsi="Calibri Light"/>
                <w:b w:val="0"/>
              </w:rPr>
            </w:pPr>
          </w:p>
        </w:tc>
      </w:tr>
      <w:tr w:rsidR="004C2E50" w:rsidRPr="004533E5" w14:paraId="69044E7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4C2E50" w:rsidRDefault="004C2E50" w:rsidP="00AC6F31">
            <w:pPr>
              <w:pStyle w:val="ListParagraph"/>
              <w:rPr>
                <w:rFonts w:ascii="Calibri Light" w:hAnsi="Calibri Light"/>
              </w:rPr>
            </w:pPr>
          </w:p>
          <w:p w14:paraId="177FF988" w14:textId="77777777" w:rsidR="004C2E50" w:rsidRDefault="004C2E50"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4C2E50" w:rsidRPr="004533E5" w:rsidRDefault="004C2E50" w:rsidP="00AC6F31">
            <w:pPr>
              <w:pStyle w:val="ListParagraph"/>
              <w:rPr>
                <w:rFonts w:ascii="Calibri Light" w:hAnsi="Calibri Light"/>
              </w:rPr>
            </w:pPr>
          </w:p>
        </w:tc>
      </w:tr>
      <w:tr w:rsidR="004C2E50" w:rsidRPr="004533E5" w14:paraId="6F58DE83" w14:textId="77777777" w:rsidTr="00A94EE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4A7CA1F8" w:rsidR="004C2E50" w:rsidRDefault="004C2E50" w:rsidP="008036E7">
            <w:pPr>
              <w:jc w:val="both"/>
              <w:rPr>
                <w:rFonts w:ascii="Calibri Light" w:hAnsi="Calibri Light"/>
                <w:b w:val="0"/>
              </w:rPr>
            </w:pPr>
          </w:p>
          <w:p w14:paraId="18738F98" w14:textId="7070589C" w:rsidR="00111A5A" w:rsidRPr="000A0C5C" w:rsidRDefault="00111A5A" w:rsidP="00732BC0">
            <w:pPr>
              <w:jc w:val="both"/>
              <w:rPr>
                <w:rFonts w:ascii="Calibri Light" w:hAnsi="Calibri Light"/>
                <w:b w:val="0"/>
              </w:rPr>
            </w:pPr>
            <w:r>
              <w:rPr>
                <w:rFonts w:ascii="Calibri Light" w:hAnsi="Calibri Light"/>
                <w:b w:val="0"/>
              </w:rPr>
              <w:t xml:space="preserve">En 1991, los integrantes de la Asociación Nacional de Cesantes y Jubilados de la Superintendencia Nacional de Administración Tributaria (en adelante, ANCEJUB-SUNAT) recibían sus pensiones conforme al régimen de jubilación del Decreto Ley </w:t>
            </w:r>
            <w:r w:rsidR="005B68C6">
              <w:rPr>
                <w:rFonts w:ascii="Calibri Light" w:hAnsi="Calibri Light"/>
                <w:b w:val="0"/>
              </w:rPr>
              <w:t xml:space="preserve">No. </w:t>
            </w:r>
            <w:r>
              <w:rPr>
                <w:rFonts w:ascii="Calibri Light" w:hAnsi="Calibri Light"/>
                <w:b w:val="0"/>
              </w:rPr>
              <w:t xml:space="preserve">20530. No obstante, el 24 de setiembre de ese mismo año, se emitió el Decreto Legislativo </w:t>
            </w:r>
            <w:r w:rsidR="005B68C6">
              <w:rPr>
                <w:rFonts w:ascii="Calibri Light" w:hAnsi="Calibri Light"/>
                <w:b w:val="0"/>
              </w:rPr>
              <w:t xml:space="preserve">No. </w:t>
            </w:r>
            <w:r>
              <w:rPr>
                <w:rFonts w:ascii="Calibri Light" w:hAnsi="Calibri Light"/>
                <w:b w:val="0"/>
              </w:rPr>
              <w:t xml:space="preserve">673, </w:t>
            </w:r>
            <w:r w:rsidR="008017E4">
              <w:rPr>
                <w:rFonts w:ascii="Calibri Light" w:hAnsi="Calibri Light"/>
                <w:b w:val="0"/>
              </w:rPr>
              <w:t>que</w:t>
            </w:r>
            <w:r w:rsidR="005B68C6">
              <w:rPr>
                <w:rFonts w:ascii="Calibri Light" w:hAnsi="Calibri Light"/>
                <w:b w:val="0"/>
              </w:rPr>
              <w:t xml:space="preserve"> </w:t>
            </w:r>
            <w:r>
              <w:rPr>
                <w:rFonts w:ascii="Calibri Light" w:hAnsi="Calibri Light"/>
                <w:b w:val="0"/>
              </w:rPr>
              <w:t xml:space="preserve">suspendió la </w:t>
            </w:r>
            <w:r w:rsidRPr="000A0C5C">
              <w:rPr>
                <w:rFonts w:ascii="Calibri Light" w:hAnsi="Calibri Light"/>
                <w:b w:val="0"/>
              </w:rPr>
              <w:t>aplicación de dicho régimen pensionario y, por tanto, el pago de las referidas pensiones.</w:t>
            </w:r>
          </w:p>
          <w:p w14:paraId="2AAD03EF" w14:textId="77777777" w:rsidR="00111A5A" w:rsidRPr="000A0C5C" w:rsidRDefault="00111A5A" w:rsidP="00732BC0">
            <w:pPr>
              <w:jc w:val="both"/>
              <w:rPr>
                <w:rFonts w:ascii="Calibri Light" w:hAnsi="Calibri Light"/>
                <w:b w:val="0"/>
              </w:rPr>
            </w:pPr>
          </w:p>
          <w:p w14:paraId="7DBF1D94" w14:textId="0546FE86" w:rsidR="003570F3" w:rsidRPr="000A0C5C" w:rsidRDefault="005B68C6" w:rsidP="003570F3">
            <w:pPr>
              <w:jc w:val="both"/>
              <w:rPr>
                <w:rFonts w:ascii="Calibri Light" w:hAnsi="Calibri Light"/>
                <w:b w:val="0"/>
              </w:rPr>
            </w:pPr>
            <w:r>
              <w:rPr>
                <w:rFonts w:ascii="Calibri Light" w:hAnsi="Calibri Light"/>
                <w:b w:val="0"/>
              </w:rPr>
              <w:t>Frente a</w:t>
            </w:r>
            <w:r w:rsidR="00111A5A" w:rsidRPr="000A0C5C">
              <w:rPr>
                <w:rFonts w:ascii="Calibri Light" w:hAnsi="Calibri Light"/>
                <w:b w:val="0"/>
              </w:rPr>
              <w:t xml:space="preserve"> ello</w:t>
            </w:r>
            <w:r w:rsidR="00113C7B">
              <w:rPr>
                <w:rFonts w:ascii="Calibri Light" w:hAnsi="Calibri Light"/>
                <w:b w:val="0"/>
              </w:rPr>
              <w:t>, el 19 de diciembre de 1991, los integrantes de la ANCEJUB-SUNAT interpusieron</w:t>
            </w:r>
            <w:r w:rsidR="00111A5A" w:rsidRPr="000A0C5C">
              <w:rPr>
                <w:rFonts w:ascii="Calibri Light" w:hAnsi="Calibri Light"/>
                <w:b w:val="0"/>
              </w:rPr>
              <w:t xml:space="preserve"> un</w:t>
            </w:r>
            <w:r w:rsidR="000A0C5C">
              <w:rPr>
                <w:rFonts w:ascii="Calibri Light" w:hAnsi="Calibri Light"/>
                <w:b w:val="0"/>
              </w:rPr>
              <w:t>a</w:t>
            </w:r>
            <w:r w:rsidR="00111A5A" w:rsidRPr="000A0C5C">
              <w:rPr>
                <w:rFonts w:ascii="Calibri Light" w:hAnsi="Calibri Light"/>
                <w:b w:val="0"/>
              </w:rPr>
              <w:t xml:space="preserve"> </w:t>
            </w:r>
            <w:r w:rsidR="000A0C5C">
              <w:rPr>
                <w:rFonts w:ascii="Calibri Light" w:hAnsi="Calibri Light"/>
                <w:b w:val="0"/>
              </w:rPr>
              <w:t>acción</w:t>
            </w:r>
            <w:r w:rsidR="00111A5A" w:rsidRPr="000A0C5C">
              <w:rPr>
                <w:rFonts w:ascii="Calibri Light" w:hAnsi="Calibri Light"/>
                <w:b w:val="0"/>
              </w:rPr>
              <w:t xml:space="preserve"> de amparo</w:t>
            </w:r>
            <w:r w:rsidR="000A0C5C">
              <w:rPr>
                <w:rFonts w:ascii="Calibri Light" w:hAnsi="Calibri Light"/>
                <w:b w:val="0"/>
              </w:rPr>
              <w:t xml:space="preserve"> para que</w:t>
            </w:r>
            <w:r w:rsidR="00111A5A" w:rsidRPr="000A0C5C">
              <w:rPr>
                <w:rFonts w:ascii="Calibri Light" w:hAnsi="Calibri Light"/>
                <w:b w:val="0"/>
              </w:rPr>
              <w:t xml:space="preserve"> se les reincorporara a su anterior régimen pensionario. </w:t>
            </w:r>
            <w:r w:rsidR="000A0C5C">
              <w:rPr>
                <w:rFonts w:ascii="Calibri Light" w:hAnsi="Calibri Light"/>
                <w:b w:val="0"/>
              </w:rPr>
              <w:t>Esta</w:t>
            </w:r>
            <w:r w:rsidR="00111A5A" w:rsidRPr="000A0C5C">
              <w:rPr>
                <w:rFonts w:ascii="Calibri Light" w:hAnsi="Calibri Light"/>
                <w:b w:val="0"/>
              </w:rPr>
              <w:t xml:space="preserve"> fue </w:t>
            </w:r>
            <w:r w:rsidR="000A0C5C" w:rsidRPr="000A0C5C">
              <w:rPr>
                <w:rFonts w:ascii="Calibri Light" w:hAnsi="Calibri Light"/>
                <w:b w:val="0"/>
              </w:rPr>
              <w:t>resuelta</w:t>
            </w:r>
            <w:r w:rsidR="00111A5A" w:rsidRPr="000A0C5C">
              <w:rPr>
                <w:rFonts w:ascii="Calibri Light" w:hAnsi="Calibri Light"/>
                <w:b w:val="0"/>
              </w:rPr>
              <w:t xml:space="preserve"> en última instancia por la Corte Suprema de Justicia, </w:t>
            </w:r>
            <w:r w:rsidR="00D36417">
              <w:rPr>
                <w:rFonts w:ascii="Calibri Light" w:hAnsi="Calibri Light"/>
                <w:b w:val="0"/>
              </w:rPr>
              <w:t>la cual declaró</w:t>
            </w:r>
            <w:r w:rsidR="00D36417" w:rsidRPr="000A0C5C">
              <w:rPr>
                <w:rFonts w:ascii="Calibri Light" w:hAnsi="Calibri Light"/>
                <w:b w:val="0"/>
              </w:rPr>
              <w:t xml:space="preserve"> </w:t>
            </w:r>
            <w:r w:rsidR="00111A5A" w:rsidRPr="000A0C5C">
              <w:rPr>
                <w:rFonts w:ascii="Calibri Light" w:hAnsi="Calibri Light"/>
                <w:b w:val="0"/>
              </w:rPr>
              <w:t>fundad</w:t>
            </w:r>
            <w:r w:rsidR="00D36417">
              <w:rPr>
                <w:rFonts w:ascii="Calibri Light" w:hAnsi="Calibri Light"/>
                <w:b w:val="0"/>
              </w:rPr>
              <w:t>a</w:t>
            </w:r>
            <w:r w:rsidR="00111A5A" w:rsidRPr="000A0C5C">
              <w:rPr>
                <w:rFonts w:ascii="Calibri Light" w:hAnsi="Calibri Light"/>
                <w:b w:val="0"/>
              </w:rPr>
              <w:t xml:space="preserve"> </w:t>
            </w:r>
            <w:r w:rsidR="00D36417">
              <w:rPr>
                <w:rFonts w:ascii="Calibri Light" w:hAnsi="Calibri Light"/>
                <w:b w:val="0"/>
              </w:rPr>
              <w:t>la demanda</w:t>
            </w:r>
            <w:r w:rsidR="00D36417" w:rsidRPr="000A0C5C">
              <w:rPr>
                <w:rFonts w:ascii="Calibri Light" w:hAnsi="Calibri Light"/>
                <w:b w:val="0"/>
              </w:rPr>
              <w:t xml:space="preserve"> mediante </w:t>
            </w:r>
            <w:r w:rsidR="00D36417">
              <w:rPr>
                <w:rFonts w:ascii="Calibri Light" w:hAnsi="Calibri Light"/>
                <w:b w:val="0"/>
              </w:rPr>
              <w:t xml:space="preserve">una </w:t>
            </w:r>
            <w:r w:rsidR="00D36417" w:rsidRPr="000A0C5C">
              <w:rPr>
                <w:rFonts w:ascii="Calibri Light" w:hAnsi="Calibri Light"/>
                <w:b w:val="0"/>
              </w:rPr>
              <w:t>sentencia del 25 de octubre de 1993</w:t>
            </w:r>
            <w:r w:rsidR="00111A5A" w:rsidRPr="000A0C5C">
              <w:rPr>
                <w:rFonts w:ascii="Calibri Light" w:hAnsi="Calibri Light"/>
                <w:b w:val="0"/>
              </w:rPr>
              <w:t xml:space="preserve">. A partir de esa fecha, </w:t>
            </w:r>
            <w:r w:rsidR="000A0C5C">
              <w:rPr>
                <w:rFonts w:ascii="Calibri Light" w:hAnsi="Calibri Light"/>
                <w:b w:val="0"/>
              </w:rPr>
              <w:t>las</w:t>
            </w:r>
            <w:r w:rsidR="00111A5A" w:rsidRPr="000A0C5C">
              <w:rPr>
                <w:rFonts w:ascii="Calibri Light" w:hAnsi="Calibri Light"/>
                <w:b w:val="0"/>
              </w:rPr>
              <w:t xml:space="preserve"> </w:t>
            </w:r>
            <w:r w:rsidR="003570F3" w:rsidRPr="000A0C5C">
              <w:rPr>
                <w:rFonts w:ascii="Calibri Light" w:hAnsi="Calibri Light"/>
                <w:b w:val="0"/>
              </w:rPr>
              <w:t xml:space="preserve">autoridades judiciales se pronunciaron y anularon pronunciamientos relativos a si la entidad que debía realizar los pagos era la </w:t>
            </w:r>
            <w:r w:rsidR="00951BB8" w:rsidRPr="00951BB8">
              <w:rPr>
                <w:rFonts w:ascii="Calibri Light" w:hAnsi="Calibri Light"/>
                <w:b w:val="0"/>
              </w:rPr>
              <w:t>Superintendencia Nacional de Aduanas y de Administración Tributaria</w:t>
            </w:r>
            <w:r w:rsidR="00951BB8">
              <w:rPr>
                <w:rFonts w:ascii="Calibri Light" w:hAnsi="Calibri Light"/>
                <w:b w:val="0"/>
              </w:rPr>
              <w:t xml:space="preserve"> (</w:t>
            </w:r>
            <w:r w:rsidR="003570F3" w:rsidRPr="000A0C5C">
              <w:rPr>
                <w:rFonts w:ascii="Calibri Light" w:hAnsi="Calibri Light"/>
                <w:b w:val="0"/>
              </w:rPr>
              <w:t>SUNAT</w:t>
            </w:r>
            <w:r w:rsidR="00951BB8">
              <w:rPr>
                <w:rFonts w:ascii="Calibri Light" w:hAnsi="Calibri Light"/>
                <w:b w:val="0"/>
              </w:rPr>
              <w:t>)</w:t>
            </w:r>
            <w:r w:rsidR="003570F3" w:rsidRPr="000A0C5C">
              <w:rPr>
                <w:rFonts w:ascii="Calibri Light" w:hAnsi="Calibri Light"/>
                <w:b w:val="0"/>
              </w:rPr>
              <w:t xml:space="preserve"> o el Ministerio de Economía y Finanzas</w:t>
            </w:r>
            <w:r w:rsidR="00D5293F">
              <w:rPr>
                <w:rFonts w:ascii="Calibri Light" w:hAnsi="Calibri Light"/>
                <w:b w:val="0"/>
              </w:rPr>
              <w:t>, por lo que no pudieron ejecutar la sentencia de 1993</w:t>
            </w:r>
            <w:r w:rsidR="003570F3" w:rsidRPr="000A0C5C">
              <w:rPr>
                <w:rFonts w:ascii="Calibri Light" w:hAnsi="Calibri Light"/>
                <w:b w:val="0"/>
              </w:rPr>
              <w:t>.</w:t>
            </w:r>
          </w:p>
          <w:p w14:paraId="5C480C8D" w14:textId="77777777" w:rsidR="006051D5" w:rsidRPr="000A0C5C" w:rsidRDefault="006051D5" w:rsidP="00732BC0">
            <w:pPr>
              <w:jc w:val="both"/>
              <w:rPr>
                <w:rFonts w:ascii="Calibri Light" w:hAnsi="Calibri Light"/>
                <w:b w:val="0"/>
              </w:rPr>
            </w:pPr>
          </w:p>
          <w:p w14:paraId="76620070" w14:textId="0487F0FF" w:rsidR="000A0C5C" w:rsidRDefault="00D36417" w:rsidP="00732BC0">
            <w:pPr>
              <w:jc w:val="both"/>
              <w:rPr>
                <w:rFonts w:ascii="Calibri Light" w:hAnsi="Calibri Light"/>
                <w:b w:val="0"/>
              </w:rPr>
            </w:pPr>
            <w:r>
              <w:rPr>
                <w:rFonts w:ascii="Calibri Light" w:hAnsi="Calibri Light"/>
                <w:b w:val="0"/>
              </w:rPr>
              <w:t>Ante</w:t>
            </w:r>
            <w:r w:rsidR="006051D5" w:rsidRPr="000A0C5C">
              <w:rPr>
                <w:rFonts w:ascii="Calibri Light" w:hAnsi="Calibri Light"/>
                <w:b w:val="0"/>
              </w:rPr>
              <w:t xml:space="preserve"> la falta de cumplimiento de</w:t>
            </w:r>
            <w:r w:rsidR="000A0C5C">
              <w:rPr>
                <w:rFonts w:ascii="Calibri Light" w:hAnsi="Calibri Light"/>
                <w:b w:val="0"/>
              </w:rPr>
              <w:t xml:space="preserve"> dicha</w:t>
            </w:r>
            <w:r w:rsidR="00113C7B">
              <w:rPr>
                <w:rFonts w:ascii="Calibri Light" w:hAnsi="Calibri Light"/>
                <w:b w:val="0"/>
              </w:rPr>
              <w:t xml:space="preserve"> sentencia, en abril de 1999, los integrantes de la ANCEJUB-SUNAT interpusieron</w:t>
            </w:r>
            <w:r w:rsidR="000A0C5C">
              <w:rPr>
                <w:rFonts w:ascii="Calibri Light" w:hAnsi="Calibri Light"/>
                <w:b w:val="0"/>
              </w:rPr>
              <w:t xml:space="preserve"> una segunda acción de amparo para que se ejecute </w:t>
            </w:r>
            <w:r w:rsidR="00B74514">
              <w:rPr>
                <w:rFonts w:ascii="Calibri Light" w:hAnsi="Calibri Light"/>
                <w:b w:val="0"/>
              </w:rPr>
              <w:t>el fallo</w:t>
            </w:r>
            <w:r w:rsidR="000A0C5C">
              <w:rPr>
                <w:rFonts w:ascii="Calibri Light" w:hAnsi="Calibri Light"/>
                <w:b w:val="0"/>
              </w:rPr>
              <w:t xml:space="preserve"> de la Corte Suprema de Justicia. Esta fue </w:t>
            </w:r>
            <w:r>
              <w:rPr>
                <w:rFonts w:ascii="Calibri Light" w:hAnsi="Calibri Light"/>
                <w:b w:val="0"/>
              </w:rPr>
              <w:t xml:space="preserve">declarada fundada </w:t>
            </w:r>
            <w:r w:rsidR="000A0C5C">
              <w:rPr>
                <w:rFonts w:ascii="Calibri Light" w:hAnsi="Calibri Light"/>
                <w:b w:val="0"/>
              </w:rPr>
              <w:t>por el Tribunal Constitucional</w:t>
            </w:r>
            <w:r>
              <w:rPr>
                <w:rFonts w:ascii="Calibri Light" w:hAnsi="Calibri Light"/>
                <w:b w:val="0"/>
              </w:rPr>
              <w:t xml:space="preserve"> </w:t>
            </w:r>
            <w:r w:rsidR="000A0C5C">
              <w:rPr>
                <w:rFonts w:ascii="Calibri Light" w:hAnsi="Calibri Light"/>
                <w:b w:val="0"/>
              </w:rPr>
              <w:t xml:space="preserve">el 10 de mayo de 2001. En </w:t>
            </w:r>
            <w:r w:rsidR="008017E4">
              <w:rPr>
                <w:rFonts w:ascii="Calibri Light" w:hAnsi="Calibri Light"/>
                <w:b w:val="0"/>
              </w:rPr>
              <w:t>el contexto de este segundo proceso</w:t>
            </w:r>
            <w:r w:rsidR="000A0C5C">
              <w:rPr>
                <w:rFonts w:ascii="Calibri Light" w:hAnsi="Calibri Light"/>
                <w:b w:val="0"/>
              </w:rPr>
              <w:t>, las autoridades judiciales debatieron si cada miembro de la ANCEJUB-SUNAT debía interponer individualmente un nuevo reclamo administrativo o judicial</w:t>
            </w:r>
            <w:r w:rsidR="00ED109E">
              <w:rPr>
                <w:rFonts w:ascii="Calibri Light" w:hAnsi="Calibri Light"/>
                <w:b w:val="0"/>
              </w:rPr>
              <w:t xml:space="preserve">, dado que la SUNAT y el Ministerio de Economía y Finanzas no </w:t>
            </w:r>
            <w:r w:rsidR="008017E4">
              <w:rPr>
                <w:rFonts w:ascii="Calibri Light" w:hAnsi="Calibri Light"/>
                <w:b w:val="0"/>
              </w:rPr>
              <w:t>habían considerad</w:t>
            </w:r>
            <w:r w:rsidR="00C7534D">
              <w:rPr>
                <w:rFonts w:ascii="Calibri Light" w:hAnsi="Calibri Light"/>
                <w:b w:val="0"/>
              </w:rPr>
              <w:t>o</w:t>
            </w:r>
            <w:r w:rsidR="008017E4">
              <w:rPr>
                <w:rFonts w:ascii="Calibri Light" w:hAnsi="Calibri Light"/>
                <w:b w:val="0"/>
              </w:rPr>
              <w:t xml:space="preserve"> </w:t>
            </w:r>
            <w:r w:rsidR="00ED109E">
              <w:rPr>
                <w:rFonts w:ascii="Calibri Light" w:hAnsi="Calibri Light"/>
                <w:b w:val="0"/>
              </w:rPr>
              <w:t>a todos los integrantes de ANCEJUB-SUNAT para realizar el pago</w:t>
            </w:r>
            <w:r w:rsidR="000A0C5C">
              <w:rPr>
                <w:rFonts w:ascii="Calibri Light" w:hAnsi="Calibri Light"/>
                <w:b w:val="0"/>
              </w:rPr>
              <w:t>.</w:t>
            </w:r>
          </w:p>
          <w:p w14:paraId="2D12EB0B" w14:textId="77777777" w:rsidR="000A0C5C" w:rsidRDefault="000A0C5C" w:rsidP="00732BC0">
            <w:pPr>
              <w:jc w:val="both"/>
              <w:rPr>
                <w:rFonts w:ascii="Calibri Light" w:hAnsi="Calibri Light"/>
                <w:b w:val="0"/>
              </w:rPr>
            </w:pPr>
          </w:p>
          <w:p w14:paraId="7CF61906" w14:textId="02B02B43" w:rsidR="003570F3" w:rsidRPr="000A0C5C" w:rsidRDefault="000A0C5C" w:rsidP="000A0C5C">
            <w:pPr>
              <w:jc w:val="both"/>
              <w:rPr>
                <w:rFonts w:ascii="Calibri Light" w:hAnsi="Calibri Light"/>
                <w:b w:val="0"/>
              </w:rPr>
            </w:pPr>
            <w:r>
              <w:rPr>
                <w:rFonts w:ascii="Calibri Light" w:hAnsi="Calibri Light"/>
                <w:b w:val="0"/>
              </w:rPr>
              <w:t>A partir de 2002, se rindieron múltiples peritajes para liquidar el monto del pago</w:t>
            </w:r>
            <w:r w:rsidR="00D36417">
              <w:rPr>
                <w:rFonts w:ascii="Calibri Light" w:hAnsi="Calibri Light"/>
                <w:b w:val="0"/>
              </w:rPr>
              <w:t xml:space="preserve">. Sin embargo, </w:t>
            </w:r>
            <w:r>
              <w:rPr>
                <w:rFonts w:ascii="Calibri Light" w:hAnsi="Calibri Light"/>
                <w:b w:val="0"/>
              </w:rPr>
              <w:t xml:space="preserve">ninguno de estos fue aprobado por las autoridades judiciales a cargo del proceso de ejecución. </w:t>
            </w:r>
            <w:r w:rsidR="00050512">
              <w:rPr>
                <w:rFonts w:ascii="Calibri Light" w:hAnsi="Calibri Light"/>
                <w:b w:val="0"/>
              </w:rPr>
              <w:t>Además</w:t>
            </w:r>
            <w:r>
              <w:rPr>
                <w:rFonts w:ascii="Calibri Light" w:hAnsi="Calibri Light"/>
                <w:b w:val="0"/>
              </w:rPr>
              <w:t>, hubo periodos</w:t>
            </w:r>
            <w:r w:rsidR="003570F3" w:rsidRPr="000A0C5C">
              <w:rPr>
                <w:rFonts w:ascii="Calibri Light" w:hAnsi="Calibri Light"/>
                <w:b w:val="0"/>
              </w:rPr>
              <w:t xml:space="preserve"> </w:t>
            </w:r>
            <w:r w:rsidR="00050512">
              <w:rPr>
                <w:rFonts w:ascii="Calibri Light" w:hAnsi="Calibri Light"/>
                <w:b w:val="0"/>
              </w:rPr>
              <w:t xml:space="preserve">significativos de inactividad, así como </w:t>
            </w:r>
            <w:r w:rsidR="003570F3" w:rsidRPr="000A0C5C">
              <w:rPr>
                <w:rFonts w:ascii="Calibri Light" w:hAnsi="Calibri Light"/>
                <w:b w:val="0"/>
              </w:rPr>
              <w:t>obstáculos logísticos y de capacidad institucional para la rendición de los peritajes</w:t>
            </w:r>
            <w:r w:rsidR="00050512">
              <w:rPr>
                <w:rFonts w:ascii="Calibri Light" w:hAnsi="Calibri Light"/>
                <w:b w:val="0"/>
              </w:rPr>
              <w:t xml:space="preserve">. </w:t>
            </w:r>
            <w:r w:rsidR="008836A6">
              <w:rPr>
                <w:rFonts w:ascii="Calibri Light" w:hAnsi="Calibri Light"/>
                <w:b w:val="0"/>
              </w:rPr>
              <w:t>Así</w:t>
            </w:r>
            <w:r w:rsidR="00050512">
              <w:rPr>
                <w:rFonts w:ascii="Calibri Light" w:hAnsi="Calibri Light"/>
                <w:b w:val="0"/>
              </w:rPr>
              <w:t>, transcurrieron más de 23 años desde el primer fallo judicial a favor</w:t>
            </w:r>
            <w:r w:rsidR="00113C7B">
              <w:rPr>
                <w:rFonts w:ascii="Calibri Light" w:hAnsi="Calibri Light"/>
                <w:b w:val="0"/>
              </w:rPr>
              <w:t xml:space="preserve"> de los integrantes de la</w:t>
            </w:r>
            <w:r w:rsidR="00050512">
              <w:rPr>
                <w:rFonts w:ascii="Calibri Light" w:hAnsi="Calibri Light"/>
                <w:b w:val="0"/>
              </w:rPr>
              <w:t xml:space="preserve"> ANCEJUB-SUNAT sin que se ejecutara dicha decisión. </w:t>
            </w:r>
            <w:r w:rsidR="008836A6">
              <w:rPr>
                <w:rFonts w:ascii="Calibri Light" w:hAnsi="Calibri Light"/>
                <w:b w:val="0"/>
              </w:rPr>
              <w:t>A</w:t>
            </w:r>
            <w:r w:rsidR="00050512">
              <w:rPr>
                <w:rFonts w:ascii="Calibri Light" w:hAnsi="Calibri Light"/>
                <w:b w:val="0"/>
              </w:rPr>
              <w:t xml:space="preserve"> la fecha, más de 100 </w:t>
            </w:r>
            <w:r w:rsidR="00113C7B">
              <w:rPr>
                <w:rFonts w:ascii="Calibri Light" w:hAnsi="Calibri Light"/>
                <w:b w:val="0"/>
              </w:rPr>
              <w:t>miembros</w:t>
            </w:r>
            <w:r w:rsidR="00050512">
              <w:rPr>
                <w:rFonts w:ascii="Calibri Light" w:hAnsi="Calibri Light"/>
                <w:b w:val="0"/>
              </w:rPr>
              <w:t xml:space="preserve"> de dicha Asociación han fallecido debido a su edad. </w:t>
            </w:r>
          </w:p>
          <w:p w14:paraId="3D8EF4FF" w14:textId="77777777" w:rsidR="003570F3" w:rsidRPr="000A0C5C" w:rsidRDefault="003570F3" w:rsidP="00732BC0">
            <w:pPr>
              <w:jc w:val="both"/>
              <w:rPr>
                <w:rFonts w:ascii="Calibri Light" w:hAnsi="Calibri Light"/>
                <w:b w:val="0"/>
              </w:rPr>
            </w:pPr>
          </w:p>
          <w:p w14:paraId="577A3EB2" w14:textId="7CDF43FA" w:rsidR="005C7F1E" w:rsidRPr="000A0C5C" w:rsidRDefault="005C7F1E" w:rsidP="00732BC0">
            <w:pPr>
              <w:jc w:val="both"/>
              <w:rPr>
                <w:rFonts w:ascii="Calibri Light" w:hAnsi="Calibri Light"/>
              </w:rPr>
            </w:pPr>
            <w:r w:rsidRPr="000A0C5C">
              <w:rPr>
                <w:rFonts w:ascii="Calibri Light" w:hAnsi="Calibri Light"/>
                <w:b w:val="0"/>
              </w:rPr>
              <w:t xml:space="preserve">Frente a tales hechos, </w:t>
            </w:r>
            <w:r w:rsidR="00050512">
              <w:rPr>
                <w:rFonts w:ascii="Calibri Light" w:hAnsi="Calibri Light"/>
                <w:b w:val="0"/>
              </w:rPr>
              <w:t xml:space="preserve">703 integrantes de la </w:t>
            </w:r>
            <w:r w:rsidR="003570F3" w:rsidRPr="000A0C5C">
              <w:rPr>
                <w:rFonts w:ascii="Calibri Light" w:hAnsi="Calibri Light"/>
                <w:b w:val="0"/>
              </w:rPr>
              <w:t xml:space="preserve">ANCEJUB-SUNAT </w:t>
            </w:r>
            <w:r w:rsidRPr="000A0C5C">
              <w:rPr>
                <w:rFonts w:ascii="Calibri Light" w:hAnsi="Calibri Light"/>
                <w:b w:val="0"/>
              </w:rPr>
              <w:t>present</w:t>
            </w:r>
            <w:r w:rsidR="00050512">
              <w:rPr>
                <w:rFonts w:ascii="Calibri Light" w:hAnsi="Calibri Light"/>
                <w:b w:val="0"/>
              </w:rPr>
              <w:t>aron</w:t>
            </w:r>
            <w:r w:rsidR="003570F3" w:rsidRPr="000A0C5C">
              <w:rPr>
                <w:rFonts w:ascii="Calibri Light" w:hAnsi="Calibri Light"/>
                <w:b w:val="0"/>
              </w:rPr>
              <w:t xml:space="preserve"> </w:t>
            </w:r>
            <w:r w:rsidRPr="000A0C5C">
              <w:rPr>
                <w:rFonts w:ascii="Calibri Light" w:hAnsi="Calibri Light"/>
                <w:b w:val="0"/>
              </w:rPr>
              <w:t xml:space="preserve">una petición ante la CIDH, denunciando que el Estado de </w:t>
            </w:r>
            <w:r w:rsidR="00050512">
              <w:rPr>
                <w:rFonts w:ascii="Calibri Light" w:hAnsi="Calibri Light"/>
                <w:b w:val="0"/>
              </w:rPr>
              <w:t>Perú</w:t>
            </w:r>
            <w:r w:rsidRPr="000A0C5C">
              <w:rPr>
                <w:rFonts w:ascii="Calibri Light" w:hAnsi="Calibri Light"/>
                <w:b w:val="0"/>
              </w:rPr>
              <w:t xml:space="preserve"> había vulnerado los derechos </w:t>
            </w:r>
            <w:r w:rsidR="00111A5A" w:rsidRPr="000A0C5C">
              <w:rPr>
                <w:rFonts w:ascii="Calibri Light" w:hAnsi="Calibri Light"/>
                <w:b w:val="0"/>
              </w:rPr>
              <w:t xml:space="preserve">a las garantías judiciales, propiedad privada y protección judicial, </w:t>
            </w:r>
            <w:r w:rsidRPr="000A0C5C">
              <w:rPr>
                <w:rFonts w:ascii="Calibri Light" w:hAnsi="Calibri Light"/>
                <w:b w:val="0"/>
              </w:rPr>
              <w:t>reconocidos en la Convención Americana sobre Derechos Humanos</w:t>
            </w:r>
            <w:r w:rsidR="00050512">
              <w:rPr>
                <w:rFonts w:ascii="Calibri Light" w:hAnsi="Calibri Light"/>
                <w:b w:val="0"/>
              </w:rPr>
              <w:t xml:space="preserve"> </w:t>
            </w:r>
            <w:r w:rsidRPr="000A0C5C">
              <w:rPr>
                <w:rFonts w:ascii="Calibri Light" w:hAnsi="Calibri Light"/>
                <w:b w:val="0"/>
              </w:rPr>
              <w:t>(en adelante, CADH).</w:t>
            </w:r>
          </w:p>
          <w:p w14:paraId="6543A68A" w14:textId="6025D995" w:rsidR="004F4491" w:rsidRPr="004533E5" w:rsidRDefault="004F4491" w:rsidP="00732BC0">
            <w:pPr>
              <w:jc w:val="both"/>
              <w:rPr>
                <w:rFonts w:ascii="Calibri Light" w:hAnsi="Calibri Light"/>
                <w:b w:val="0"/>
              </w:rPr>
            </w:pPr>
          </w:p>
        </w:tc>
      </w:tr>
      <w:tr w:rsidR="004C2E50" w:rsidRPr="004533E5" w14:paraId="7B81A2F3"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4C2E50" w:rsidRDefault="004C2E50" w:rsidP="00AC6F31">
            <w:pPr>
              <w:pStyle w:val="ListParagraph"/>
              <w:rPr>
                <w:rFonts w:ascii="Calibri Light" w:hAnsi="Calibri Light"/>
              </w:rPr>
            </w:pPr>
          </w:p>
          <w:p w14:paraId="1FB8AB09" w14:textId="77777777" w:rsidR="004C2E50" w:rsidRDefault="004C2E50"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4C2E50" w:rsidRPr="004533E5" w:rsidRDefault="004C2E50" w:rsidP="00AC6F31">
            <w:pPr>
              <w:pStyle w:val="ListParagraph"/>
              <w:rPr>
                <w:rFonts w:ascii="Calibri Light" w:hAnsi="Calibri Light"/>
              </w:rPr>
            </w:pPr>
          </w:p>
        </w:tc>
      </w:tr>
      <w:tr w:rsidR="004C2E50" w:rsidRPr="004533E5" w14:paraId="71AB3B44" w14:textId="77777777" w:rsidTr="001A2DF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8721" w:type="dxa"/>
            <w:gridSpan w:val="3"/>
          </w:tcPr>
          <w:p w14:paraId="4C3AFF68" w14:textId="5BBF820F" w:rsidR="00FF34AE" w:rsidRDefault="00FF34AE" w:rsidP="00FF34AE">
            <w:pPr>
              <w:jc w:val="both"/>
              <w:rPr>
                <w:rFonts w:ascii="Calibri Light" w:hAnsi="Calibri Light"/>
                <w:b w:val="0"/>
              </w:rPr>
            </w:pPr>
          </w:p>
          <w:p w14:paraId="0E651C97" w14:textId="409C6A62" w:rsidR="00310836" w:rsidRDefault="00310836" w:rsidP="00FF34AE">
            <w:pPr>
              <w:jc w:val="both"/>
              <w:rPr>
                <w:rFonts w:ascii="Calibri Light" w:hAnsi="Calibri Light"/>
              </w:rPr>
            </w:pPr>
            <w:r w:rsidRPr="00310836">
              <w:rPr>
                <w:rFonts w:ascii="Calibri Light" w:hAnsi="Calibri Light"/>
              </w:rPr>
              <w:t>El d</w:t>
            </w:r>
            <w:r w:rsidR="00310250" w:rsidRPr="00310836">
              <w:rPr>
                <w:rFonts w:ascii="Calibri Light" w:hAnsi="Calibri Light"/>
              </w:rPr>
              <w:t xml:space="preserve">erecho a la </w:t>
            </w:r>
            <w:r w:rsidR="00FF34AE">
              <w:rPr>
                <w:rFonts w:ascii="Calibri Light" w:hAnsi="Calibri Light"/>
              </w:rPr>
              <w:t>tutela judicial efectiva y el cumplimiento de los fallos internos</w:t>
            </w:r>
            <w:r w:rsidRPr="00310836">
              <w:rPr>
                <w:rFonts w:ascii="Calibri Light" w:hAnsi="Calibri Light"/>
              </w:rPr>
              <w:t xml:space="preserve"> (</w:t>
            </w:r>
            <w:r w:rsidR="00FE3FFE">
              <w:rPr>
                <w:rFonts w:ascii="Calibri Light" w:hAnsi="Calibri Light"/>
              </w:rPr>
              <w:t xml:space="preserve">artículo </w:t>
            </w:r>
            <w:r w:rsidR="00FF34AE">
              <w:rPr>
                <w:rFonts w:ascii="Calibri Light" w:hAnsi="Calibri Light"/>
              </w:rPr>
              <w:t>25</w:t>
            </w:r>
            <w:r w:rsidR="00FE3FFE">
              <w:rPr>
                <w:rFonts w:ascii="Calibri Light" w:hAnsi="Calibri Light"/>
              </w:rPr>
              <w:t xml:space="preserve"> de la CADH</w:t>
            </w:r>
            <w:r w:rsidRPr="00310836">
              <w:rPr>
                <w:rFonts w:ascii="Calibri Light" w:hAnsi="Calibri Light"/>
              </w:rPr>
              <w:t>)</w:t>
            </w:r>
          </w:p>
          <w:p w14:paraId="58067E3B" w14:textId="6312DE20" w:rsidR="00FF34AE" w:rsidRDefault="00FF34AE" w:rsidP="00FF34AE">
            <w:pPr>
              <w:jc w:val="both"/>
              <w:rPr>
                <w:rFonts w:ascii="Calibri Light" w:hAnsi="Calibri Light"/>
                <w:b w:val="0"/>
              </w:rPr>
            </w:pPr>
          </w:p>
          <w:p w14:paraId="21589B8B" w14:textId="0FFCAED3" w:rsidR="00B74514" w:rsidRDefault="00B74514" w:rsidP="00B74514">
            <w:pPr>
              <w:jc w:val="both"/>
              <w:rPr>
                <w:rFonts w:ascii="Calibri Light" w:hAnsi="Calibri Light"/>
                <w:b w:val="0"/>
              </w:rPr>
            </w:pPr>
            <w:r>
              <w:rPr>
                <w:rFonts w:ascii="Calibri Light" w:hAnsi="Calibri Light"/>
                <w:b w:val="0"/>
              </w:rPr>
              <w:t>La CIDH señaló que el l</w:t>
            </w:r>
            <w:r w:rsidR="00117B5F" w:rsidRPr="00B15F5E">
              <w:rPr>
                <w:rFonts w:ascii="Calibri Light" w:hAnsi="Calibri Light"/>
                <w:b w:val="0"/>
              </w:rPr>
              <w:t>ograr la</w:t>
            </w:r>
            <w:r w:rsidR="00117B5F">
              <w:rPr>
                <w:rFonts w:ascii="Calibri Light" w:hAnsi="Calibri Light"/>
                <w:b w:val="0"/>
              </w:rPr>
              <w:t xml:space="preserve"> </w:t>
            </w:r>
            <w:r w:rsidR="00117B5F" w:rsidRPr="00B15F5E">
              <w:rPr>
                <w:rFonts w:ascii="Calibri Light" w:hAnsi="Calibri Light"/>
                <w:b w:val="0"/>
              </w:rPr>
              <w:t>ejecución de las sentencias judiciales constituye un aspecto fundamental a la esencia misma del Estado de</w:t>
            </w:r>
            <w:r w:rsidR="00117B5F">
              <w:rPr>
                <w:rFonts w:ascii="Calibri Light" w:hAnsi="Calibri Light"/>
                <w:b w:val="0"/>
              </w:rPr>
              <w:t xml:space="preserve"> </w:t>
            </w:r>
            <w:r w:rsidR="008836A6">
              <w:rPr>
                <w:rFonts w:ascii="Calibri Light" w:hAnsi="Calibri Light"/>
                <w:b w:val="0"/>
              </w:rPr>
              <w:t>D</w:t>
            </w:r>
            <w:r w:rsidR="00117B5F" w:rsidRPr="00B15F5E">
              <w:rPr>
                <w:rFonts w:ascii="Calibri Light" w:hAnsi="Calibri Light"/>
                <w:b w:val="0"/>
              </w:rPr>
              <w:t>erecho</w:t>
            </w:r>
            <w:r w:rsidR="00117B5F">
              <w:rPr>
                <w:rFonts w:ascii="Calibri Light" w:hAnsi="Calibri Light"/>
                <w:b w:val="0"/>
              </w:rPr>
              <w:t>.</w:t>
            </w:r>
            <w:r>
              <w:rPr>
                <w:rFonts w:ascii="Calibri Light" w:hAnsi="Calibri Light"/>
                <w:b w:val="0"/>
              </w:rPr>
              <w:t xml:space="preserve"> </w:t>
            </w:r>
            <w:r w:rsidR="00142A41">
              <w:rPr>
                <w:rFonts w:ascii="Calibri Light" w:hAnsi="Calibri Light"/>
                <w:b w:val="0"/>
              </w:rPr>
              <w:t>De</w:t>
            </w:r>
            <w:r>
              <w:rPr>
                <w:rFonts w:ascii="Calibri Light" w:hAnsi="Calibri Light"/>
                <w:b w:val="0"/>
              </w:rPr>
              <w:t xml:space="preserve"> acuerdo con</w:t>
            </w:r>
            <w:r w:rsidR="00142A41">
              <w:rPr>
                <w:rFonts w:ascii="Calibri Light" w:hAnsi="Calibri Light"/>
                <w:b w:val="0"/>
              </w:rPr>
              <w:t xml:space="preserve"> la jurisprudencia de la Corte IDH,</w:t>
            </w:r>
            <w:r w:rsidR="00B15F5E">
              <w:rPr>
                <w:rFonts w:ascii="Calibri Light" w:hAnsi="Calibri Light"/>
                <w:b w:val="0"/>
              </w:rPr>
              <w:t xml:space="preserve"> </w:t>
            </w:r>
            <w:r w:rsidR="00B15F5E" w:rsidRPr="00B15F5E">
              <w:rPr>
                <w:rFonts w:ascii="Calibri Light" w:hAnsi="Calibri Light"/>
                <w:b w:val="0"/>
              </w:rPr>
              <w:t>la efectividad de las sen</w:t>
            </w:r>
            <w:r w:rsidR="00142A41">
              <w:rPr>
                <w:rFonts w:ascii="Calibri Light" w:hAnsi="Calibri Light"/>
                <w:b w:val="0"/>
              </w:rPr>
              <w:t>tencias depende de su ejecución y l</w:t>
            </w:r>
            <w:r w:rsidR="00B15F5E" w:rsidRPr="00B15F5E">
              <w:rPr>
                <w:rFonts w:ascii="Calibri Light" w:hAnsi="Calibri Light"/>
                <w:b w:val="0"/>
              </w:rPr>
              <w:t>o contrario</w:t>
            </w:r>
            <w:r w:rsidR="00B15F5E">
              <w:rPr>
                <w:rFonts w:ascii="Calibri Light" w:hAnsi="Calibri Light"/>
                <w:b w:val="0"/>
              </w:rPr>
              <w:t xml:space="preserve"> </w:t>
            </w:r>
            <w:r w:rsidR="00B15F5E" w:rsidRPr="00B15F5E">
              <w:rPr>
                <w:rFonts w:ascii="Calibri Light" w:hAnsi="Calibri Light"/>
                <w:b w:val="0"/>
              </w:rPr>
              <w:t>supone la negación misma del derecho involucrado</w:t>
            </w:r>
            <w:r w:rsidR="00B15F5E">
              <w:rPr>
                <w:rFonts w:ascii="Calibri Light" w:hAnsi="Calibri Light"/>
                <w:b w:val="0"/>
              </w:rPr>
              <w:t>.</w:t>
            </w:r>
            <w:r w:rsidR="00142A41">
              <w:rPr>
                <w:rFonts w:ascii="Calibri Light" w:hAnsi="Calibri Light"/>
                <w:b w:val="0"/>
              </w:rPr>
              <w:t xml:space="preserve"> Por ello</w:t>
            </w:r>
            <w:r>
              <w:rPr>
                <w:rFonts w:ascii="Calibri Light" w:hAnsi="Calibri Light"/>
                <w:b w:val="0"/>
              </w:rPr>
              <w:t>,</w:t>
            </w:r>
            <w:r w:rsidR="00142A41">
              <w:rPr>
                <w:rFonts w:ascii="Calibri Light" w:hAnsi="Calibri Light"/>
                <w:b w:val="0"/>
              </w:rPr>
              <w:t xml:space="preserve"> </w:t>
            </w:r>
            <w:r w:rsidR="00B15F5E" w:rsidRPr="00B15F5E">
              <w:rPr>
                <w:rFonts w:ascii="Calibri Light" w:hAnsi="Calibri Light"/>
                <w:b w:val="0"/>
              </w:rPr>
              <w:t>las decisiones judiciales</w:t>
            </w:r>
            <w:r w:rsidR="00B15F5E">
              <w:rPr>
                <w:rFonts w:ascii="Calibri Light" w:hAnsi="Calibri Light"/>
                <w:b w:val="0"/>
              </w:rPr>
              <w:t xml:space="preserve"> </w:t>
            </w:r>
            <w:r w:rsidR="00B15F5E" w:rsidRPr="00B15F5E">
              <w:rPr>
                <w:rFonts w:ascii="Calibri Light" w:hAnsi="Calibri Light"/>
                <w:b w:val="0"/>
              </w:rPr>
              <w:t>deben ser cumplidas, ya sea de forma voluntaria o de manera coercitiva de ser necesario</w:t>
            </w:r>
            <w:r w:rsidR="00B15F5E">
              <w:rPr>
                <w:rFonts w:ascii="Calibri Light" w:hAnsi="Calibri Light"/>
                <w:b w:val="0"/>
              </w:rPr>
              <w:t>.</w:t>
            </w:r>
            <w:r>
              <w:rPr>
                <w:rFonts w:ascii="Calibri Light" w:hAnsi="Calibri Light"/>
                <w:b w:val="0"/>
              </w:rPr>
              <w:t xml:space="preserve"> Asimismo, </w:t>
            </w:r>
            <w:r w:rsidRPr="00B15F5E">
              <w:rPr>
                <w:rFonts w:ascii="Calibri Light" w:hAnsi="Calibri Light"/>
                <w:b w:val="0"/>
              </w:rPr>
              <w:t>la ejecución de las sentencias debe ser regida por aquellos estándares específicos que</w:t>
            </w:r>
            <w:r>
              <w:rPr>
                <w:rFonts w:ascii="Calibri Light" w:hAnsi="Calibri Light"/>
                <w:b w:val="0"/>
              </w:rPr>
              <w:t xml:space="preserve"> </w:t>
            </w:r>
            <w:r w:rsidR="00394D84">
              <w:rPr>
                <w:rFonts w:ascii="Calibri Light" w:hAnsi="Calibri Light"/>
                <w:b w:val="0"/>
              </w:rPr>
              <w:t>permitan hacer efectivo, entre otros, el principio de tutela judicial efectiva.</w:t>
            </w:r>
            <w:r w:rsidRPr="00B15F5E">
              <w:rPr>
                <w:rFonts w:ascii="Calibri Light" w:hAnsi="Calibri Light"/>
                <w:b w:val="0"/>
              </w:rPr>
              <w:t xml:space="preserve"> </w:t>
            </w:r>
            <w:r w:rsidR="00394D84">
              <w:rPr>
                <w:rFonts w:ascii="Calibri Light" w:hAnsi="Calibri Light"/>
                <w:b w:val="0"/>
              </w:rPr>
              <w:t xml:space="preserve">Este último </w:t>
            </w:r>
            <w:r w:rsidRPr="00B15F5E">
              <w:rPr>
                <w:rFonts w:ascii="Calibri Light" w:hAnsi="Calibri Light"/>
                <w:b w:val="0"/>
              </w:rPr>
              <w:t>requiere</w:t>
            </w:r>
            <w:r>
              <w:rPr>
                <w:rFonts w:ascii="Calibri Light" w:hAnsi="Calibri Light"/>
                <w:b w:val="0"/>
              </w:rPr>
              <w:t xml:space="preserve"> </w:t>
            </w:r>
            <w:r w:rsidRPr="00B15F5E">
              <w:rPr>
                <w:rFonts w:ascii="Calibri Light" w:hAnsi="Calibri Light"/>
                <w:b w:val="0"/>
              </w:rPr>
              <w:t xml:space="preserve">que los </w:t>
            </w:r>
            <w:r w:rsidRPr="00B15F5E">
              <w:rPr>
                <w:rFonts w:ascii="Calibri Light" w:hAnsi="Calibri Light"/>
                <w:b w:val="0"/>
              </w:rPr>
              <w:lastRenderedPageBreak/>
              <w:t>procedimientos de ejecución sean accesibles para las partes, sin obstáculos o demoras indebidas, a fin</w:t>
            </w:r>
            <w:r>
              <w:rPr>
                <w:rFonts w:ascii="Calibri Light" w:hAnsi="Calibri Light"/>
                <w:b w:val="0"/>
              </w:rPr>
              <w:t xml:space="preserve"> </w:t>
            </w:r>
            <w:r w:rsidRPr="00B15F5E">
              <w:rPr>
                <w:rFonts w:ascii="Calibri Light" w:hAnsi="Calibri Light"/>
                <w:b w:val="0"/>
              </w:rPr>
              <w:t>de que alcancen su objetivo de manera rápida, sencilla e integral</w:t>
            </w:r>
            <w:r>
              <w:rPr>
                <w:rFonts w:ascii="Calibri Light" w:hAnsi="Calibri Light"/>
                <w:b w:val="0"/>
              </w:rPr>
              <w:t>.</w:t>
            </w:r>
          </w:p>
          <w:p w14:paraId="44F57726" w14:textId="77777777" w:rsidR="00B74514" w:rsidRDefault="00B74514" w:rsidP="00B15F5E">
            <w:pPr>
              <w:jc w:val="both"/>
              <w:rPr>
                <w:rFonts w:ascii="Calibri Light" w:hAnsi="Calibri Light"/>
                <w:b w:val="0"/>
              </w:rPr>
            </w:pPr>
          </w:p>
          <w:p w14:paraId="3306F1C0" w14:textId="78BF5C57" w:rsidR="00B74514" w:rsidRDefault="00394D84" w:rsidP="00B74514">
            <w:pPr>
              <w:jc w:val="both"/>
              <w:rPr>
                <w:rFonts w:ascii="Calibri Light" w:hAnsi="Calibri Light"/>
                <w:b w:val="0"/>
              </w:rPr>
            </w:pPr>
            <w:r>
              <w:rPr>
                <w:rFonts w:ascii="Calibri Light" w:hAnsi="Calibri Light"/>
                <w:b w:val="0"/>
              </w:rPr>
              <w:t>Por otro lado, l</w:t>
            </w:r>
            <w:r w:rsidR="00B74514">
              <w:rPr>
                <w:rFonts w:ascii="Calibri Light" w:hAnsi="Calibri Light"/>
                <w:b w:val="0"/>
              </w:rPr>
              <w:t xml:space="preserve">a CIDH sostuvo que los Estados deben garantizar los medios para ejecutar las decisiones judiciales definitivas </w:t>
            </w:r>
            <w:r w:rsidR="008836A6">
              <w:rPr>
                <w:rFonts w:ascii="Calibri Light" w:hAnsi="Calibri Light"/>
                <w:b w:val="0"/>
              </w:rPr>
              <w:t>para que</w:t>
            </w:r>
            <w:r w:rsidR="00B74514">
              <w:rPr>
                <w:rFonts w:ascii="Calibri Light" w:hAnsi="Calibri Light"/>
                <w:b w:val="0"/>
              </w:rPr>
              <w:t xml:space="preserve">, de esta forma, se protejan efectivamente los derechos fundamentales. En esa línea, para que el Poder Judicial sirva de manera efectiva como órgano de control, garantía y protección de los derechos humanos, no solo se requiere que este exista de manera formal, sino que debe ser además independiente, imparcial y que sus sentencias sean cumplidas. Además, las autoridades públicas deben </w:t>
            </w:r>
            <w:r w:rsidR="00B74514" w:rsidRPr="00B15F5E">
              <w:rPr>
                <w:rFonts w:ascii="Calibri Light" w:hAnsi="Calibri Light"/>
                <w:b w:val="0"/>
              </w:rPr>
              <w:t>atender las</w:t>
            </w:r>
            <w:r w:rsidR="00B74514">
              <w:rPr>
                <w:rFonts w:ascii="Calibri Light" w:hAnsi="Calibri Light"/>
                <w:b w:val="0"/>
              </w:rPr>
              <w:t xml:space="preserve"> </w:t>
            </w:r>
            <w:r w:rsidR="00B74514" w:rsidRPr="00B15F5E">
              <w:rPr>
                <w:rFonts w:ascii="Calibri Light" w:hAnsi="Calibri Light"/>
                <w:b w:val="0"/>
              </w:rPr>
              <w:t>decisiones judiciales, así como dar impulso y ejecución a las mismas sin obstaculizar el sentido y alcance de la</w:t>
            </w:r>
            <w:r w:rsidR="00B74514">
              <w:rPr>
                <w:rFonts w:ascii="Calibri Light" w:hAnsi="Calibri Light"/>
                <w:b w:val="0"/>
              </w:rPr>
              <w:t xml:space="preserve"> </w:t>
            </w:r>
            <w:r w:rsidR="00B74514" w:rsidRPr="00B15F5E">
              <w:rPr>
                <w:rFonts w:ascii="Calibri Light" w:hAnsi="Calibri Light"/>
                <w:b w:val="0"/>
              </w:rPr>
              <w:t>decisión ni retrasar indebidamente su ejecución</w:t>
            </w:r>
            <w:r w:rsidR="00B74514">
              <w:rPr>
                <w:rFonts w:ascii="Calibri Light" w:hAnsi="Calibri Light"/>
                <w:b w:val="0"/>
              </w:rPr>
              <w:t>.</w:t>
            </w:r>
          </w:p>
          <w:p w14:paraId="000A103A" w14:textId="77777777" w:rsidR="00B74514" w:rsidRDefault="00B74514" w:rsidP="00B15F5E">
            <w:pPr>
              <w:jc w:val="both"/>
              <w:rPr>
                <w:rFonts w:ascii="Calibri Light" w:hAnsi="Calibri Light"/>
                <w:b w:val="0"/>
              </w:rPr>
            </w:pPr>
          </w:p>
          <w:p w14:paraId="40D07FF2" w14:textId="313CD09F" w:rsidR="00142A41" w:rsidRDefault="00142A41" w:rsidP="00142A41">
            <w:pPr>
              <w:jc w:val="both"/>
              <w:rPr>
                <w:rFonts w:ascii="Calibri Light" w:hAnsi="Calibri Light" w:cs="Calibri Light"/>
                <w:b w:val="0"/>
              </w:rPr>
            </w:pPr>
            <w:r>
              <w:rPr>
                <w:rFonts w:ascii="Calibri Light" w:hAnsi="Calibri Light"/>
                <w:b w:val="0"/>
              </w:rPr>
              <w:t xml:space="preserve">En el caso en específico, la CIDH </w:t>
            </w:r>
            <w:r w:rsidR="008836A6">
              <w:rPr>
                <w:rFonts w:ascii="Calibri Light" w:hAnsi="Calibri Light"/>
                <w:b w:val="0"/>
              </w:rPr>
              <w:t xml:space="preserve">evidenció </w:t>
            </w:r>
            <w:r w:rsidRPr="00142A41">
              <w:rPr>
                <w:rFonts w:ascii="Calibri Light" w:hAnsi="Calibri Light"/>
                <w:b w:val="0"/>
              </w:rPr>
              <w:t>que</w:t>
            </w:r>
            <w:r>
              <w:rPr>
                <w:rFonts w:ascii="Calibri Light" w:hAnsi="Calibri Light"/>
                <w:b w:val="0"/>
              </w:rPr>
              <w:t xml:space="preserve"> </w:t>
            </w:r>
            <w:r w:rsidRPr="00142A41">
              <w:rPr>
                <w:rFonts w:ascii="Calibri Light" w:hAnsi="Calibri Light"/>
                <w:b w:val="0"/>
              </w:rPr>
              <w:t>el Poder Judicial peruano —a través del pr</w:t>
            </w:r>
            <w:r>
              <w:rPr>
                <w:rFonts w:ascii="Calibri Light" w:hAnsi="Calibri Light"/>
                <w:b w:val="0"/>
              </w:rPr>
              <w:t>oceso de ejecución de sentencia</w:t>
            </w:r>
            <w:r w:rsidRPr="00142A41">
              <w:rPr>
                <w:rFonts w:ascii="Calibri Light" w:hAnsi="Calibri Light"/>
                <w:b w:val="0"/>
              </w:rPr>
              <w:t>— no ha</w:t>
            </w:r>
            <w:r w:rsidR="008836A6">
              <w:rPr>
                <w:rFonts w:ascii="Calibri Light" w:hAnsi="Calibri Light"/>
                <w:b w:val="0"/>
              </w:rPr>
              <w:t>bía</w:t>
            </w:r>
            <w:r w:rsidRPr="00142A41">
              <w:rPr>
                <w:rFonts w:ascii="Calibri Light" w:hAnsi="Calibri Light"/>
                <w:b w:val="0"/>
              </w:rPr>
              <w:t xml:space="preserve"> aplicado las medidas</w:t>
            </w:r>
            <w:r>
              <w:rPr>
                <w:rFonts w:ascii="Calibri Light" w:hAnsi="Calibri Light"/>
                <w:b w:val="0"/>
              </w:rPr>
              <w:t xml:space="preserve"> </w:t>
            </w:r>
            <w:r w:rsidRPr="00142A41">
              <w:rPr>
                <w:rFonts w:ascii="Calibri Light" w:hAnsi="Calibri Light"/>
                <w:b w:val="0"/>
              </w:rPr>
              <w:t xml:space="preserve">necesarias para </w:t>
            </w:r>
            <w:r w:rsidR="008836A6">
              <w:rPr>
                <w:rFonts w:ascii="Calibri Light" w:hAnsi="Calibri Light"/>
                <w:b w:val="0"/>
              </w:rPr>
              <w:t>determinar</w:t>
            </w:r>
            <w:r w:rsidR="008836A6" w:rsidRPr="00142A41">
              <w:rPr>
                <w:rFonts w:ascii="Calibri Light" w:hAnsi="Calibri Light"/>
                <w:b w:val="0"/>
              </w:rPr>
              <w:t xml:space="preserve"> </w:t>
            </w:r>
            <w:r w:rsidRPr="00142A41">
              <w:rPr>
                <w:rFonts w:ascii="Calibri Light" w:hAnsi="Calibri Light"/>
                <w:b w:val="0"/>
              </w:rPr>
              <w:t xml:space="preserve">aspectos fundamentales </w:t>
            </w:r>
            <w:r w:rsidR="008836A6">
              <w:rPr>
                <w:rFonts w:ascii="Calibri Light" w:hAnsi="Calibri Light"/>
                <w:b w:val="0"/>
              </w:rPr>
              <w:t>para</w:t>
            </w:r>
            <w:r w:rsidR="008836A6" w:rsidRPr="00142A41">
              <w:rPr>
                <w:rFonts w:ascii="Calibri Light" w:hAnsi="Calibri Light"/>
                <w:b w:val="0"/>
              </w:rPr>
              <w:t xml:space="preserve"> </w:t>
            </w:r>
            <w:r w:rsidRPr="00142A41">
              <w:rPr>
                <w:rFonts w:ascii="Calibri Light" w:hAnsi="Calibri Light"/>
                <w:b w:val="0"/>
              </w:rPr>
              <w:t>la implementación de un fallo judicial favorable a un</w:t>
            </w:r>
            <w:r>
              <w:rPr>
                <w:rFonts w:ascii="Calibri Light" w:hAnsi="Calibri Light"/>
                <w:b w:val="0"/>
              </w:rPr>
              <w:t xml:space="preserve"> </w:t>
            </w:r>
            <w:r w:rsidRPr="00142A41">
              <w:rPr>
                <w:rFonts w:ascii="Calibri Light" w:hAnsi="Calibri Light"/>
                <w:b w:val="0"/>
              </w:rPr>
              <w:t>grupo de pensionistas, tales como la autoridad a cargo del cumplimiento, los beneficiarios del fallo</w:t>
            </w:r>
            <w:r w:rsidR="008836A6">
              <w:rPr>
                <w:rFonts w:ascii="Calibri Light" w:hAnsi="Calibri Light"/>
                <w:b w:val="0"/>
              </w:rPr>
              <w:t xml:space="preserve">, </w:t>
            </w:r>
            <w:r w:rsidR="00285AD3">
              <w:rPr>
                <w:rFonts w:ascii="Calibri Light" w:hAnsi="Calibri Light"/>
                <w:b w:val="0"/>
              </w:rPr>
              <w:t xml:space="preserve">los </w:t>
            </w:r>
            <w:r w:rsidR="00891434">
              <w:rPr>
                <w:rFonts w:ascii="Calibri Light" w:hAnsi="Calibri Light"/>
                <w:b w:val="0"/>
              </w:rPr>
              <w:t>efectos</w:t>
            </w:r>
            <w:r w:rsidRPr="00142A41">
              <w:rPr>
                <w:rFonts w:ascii="Calibri Light" w:hAnsi="Calibri Light"/>
                <w:b w:val="0"/>
              </w:rPr>
              <w:t xml:space="preserve"> patrimoniales de las pensiones</w:t>
            </w:r>
            <w:r w:rsidR="008836A6">
              <w:rPr>
                <w:rFonts w:ascii="Calibri Light" w:hAnsi="Calibri Light"/>
                <w:b w:val="0"/>
              </w:rPr>
              <w:t xml:space="preserve"> y</w:t>
            </w:r>
            <w:r w:rsidRPr="00142A41">
              <w:rPr>
                <w:rFonts w:ascii="Calibri Light" w:hAnsi="Calibri Light"/>
                <w:b w:val="0"/>
              </w:rPr>
              <w:t xml:space="preserve"> los montos dejados de</w:t>
            </w:r>
            <w:r>
              <w:rPr>
                <w:rFonts w:ascii="Calibri Light" w:hAnsi="Calibri Light"/>
                <w:b w:val="0"/>
              </w:rPr>
              <w:t xml:space="preserve"> </w:t>
            </w:r>
            <w:r w:rsidRPr="00142A41">
              <w:rPr>
                <w:rFonts w:ascii="Calibri Light" w:hAnsi="Calibri Light"/>
                <w:b w:val="0"/>
              </w:rPr>
              <w:t xml:space="preserve">percibir en todos </w:t>
            </w:r>
            <w:r>
              <w:rPr>
                <w:rFonts w:ascii="Calibri Light" w:hAnsi="Calibri Light"/>
                <w:b w:val="0"/>
              </w:rPr>
              <w:t xml:space="preserve">esos </w:t>
            </w:r>
            <w:r w:rsidRPr="00142A41">
              <w:rPr>
                <w:rFonts w:ascii="Calibri Light" w:hAnsi="Calibri Light"/>
                <w:b w:val="0"/>
              </w:rPr>
              <w:t>años</w:t>
            </w:r>
            <w:r>
              <w:rPr>
                <w:rFonts w:ascii="Calibri Light" w:hAnsi="Calibri Light"/>
                <w:b w:val="0"/>
              </w:rPr>
              <w:t xml:space="preserve">. De esta manera, </w:t>
            </w:r>
            <w:r w:rsidRPr="00142A41">
              <w:rPr>
                <w:rFonts w:ascii="Calibri Light" w:hAnsi="Calibri Light" w:cs="Calibri Light"/>
                <w:b w:val="0"/>
              </w:rPr>
              <w:t>pasados más de 23 años desde el primer fallo judicial</w:t>
            </w:r>
            <w:r>
              <w:rPr>
                <w:rFonts w:ascii="Calibri Light" w:hAnsi="Calibri Light" w:cs="Calibri Light"/>
                <w:b w:val="0"/>
              </w:rPr>
              <w:t xml:space="preserve"> </w:t>
            </w:r>
            <w:r w:rsidR="00F845A6">
              <w:rPr>
                <w:rFonts w:ascii="Calibri Light" w:hAnsi="Calibri Light" w:cs="Calibri Light"/>
                <w:b w:val="0"/>
              </w:rPr>
              <w:t xml:space="preserve">favorable </w:t>
            </w:r>
            <w:r w:rsidR="00113C7B">
              <w:rPr>
                <w:rFonts w:ascii="Calibri Light" w:hAnsi="Calibri Light" w:cs="Calibri Light"/>
                <w:b w:val="0"/>
              </w:rPr>
              <w:t>para los miembros de la</w:t>
            </w:r>
            <w:r>
              <w:rPr>
                <w:rFonts w:ascii="Calibri Light" w:hAnsi="Calibri Light" w:cs="Calibri Light"/>
                <w:b w:val="0"/>
              </w:rPr>
              <w:t xml:space="preserve"> ANCEJUB-SUNAT,</w:t>
            </w:r>
            <w:r>
              <w:rPr>
                <w:rFonts w:ascii="Calibri Light" w:hAnsi="Calibri Light"/>
                <w:b w:val="0"/>
              </w:rPr>
              <w:t xml:space="preserve"> el Estado </w:t>
            </w:r>
            <w:r w:rsidRPr="00142A41">
              <w:rPr>
                <w:rFonts w:ascii="Calibri Light" w:hAnsi="Calibri Light" w:cs="Calibri Light"/>
                <w:b w:val="0"/>
              </w:rPr>
              <w:t>continúa violando su derecho a la tutela judicial efectiva ante la ausenc</w:t>
            </w:r>
            <w:r w:rsidR="00F845A6">
              <w:rPr>
                <w:rFonts w:ascii="Calibri Light" w:hAnsi="Calibri Light" w:cs="Calibri Light"/>
                <w:b w:val="0"/>
              </w:rPr>
              <w:t xml:space="preserve">ia de ejecución de dicha sentencia, </w:t>
            </w:r>
            <w:r w:rsidRPr="00142A41">
              <w:rPr>
                <w:rFonts w:ascii="Calibri Light" w:hAnsi="Calibri Light" w:cs="Calibri Light"/>
                <w:b w:val="0"/>
              </w:rPr>
              <w:t>así como la inefectividad de los mecanismos judiciales activados posteriormente para lograr dicho cumplimiento.</w:t>
            </w:r>
            <w:r w:rsidR="00C7534D">
              <w:rPr>
                <w:rFonts w:ascii="Calibri Light" w:hAnsi="Calibri Light"/>
                <w:b w:val="0"/>
              </w:rPr>
              <w:t xml:space="preserve"> </w:t>
            </w:r>
            <w:r w:rsidR="00F845A6">
              <w:rPr>
                <w:rFonts w:ascii="Calibri Light" w:hAnsi="Calibri Light"/>
                <w:b w:val="0"/>
              </w:rPr>
              <w:t xml:space="preserve">Por </w:t>
            </w:r>
            <w:r w:rsidR="00394D84">
              <w:rPr>
                <w:rFonts w:ascii="Calibri Light" w:hAnsi="Calibri Light"/>
                <w:b w:val="0"/>
              </w:rPr>
              <w:t xml:space="preserve">todo </w:t>
            </w:r>
            <w:r w:rsidR="00F845A6">
              <w:rPr>
                <w:rFonts w:ascii="Calibri Light" w:hAnsi="Calibri Light"/>
                <w:b w:val="0"/>
              </w:rPr>
              <w:t>ello, la CIDH</w:t>
            </w:r>
            <w:r w:rsidRPr="00142A41">
              <w:rPr>
                <w:rFonts w:ascii="Calibri Light" w:hAnsi="Calibri Light" w:cs="Calibri Light"/>
                <w:b w:val="0"/>
              </w:rPr>
              <w:t xml:space="preserve"> </w:t>
            </w:r>
            <w:r>
              <w:rPr>
                <w:rFonts w:ascii="Calibri Light" w:hAnsi="Calibri Light" w:cs="Calibri Light"/>
                <w:b w:val="0"/>
              </w:rPr>
              <w:t xml:space="preserve">consideró que </w:t>
            </w:r>
            <w:r w:rsidRPr="00142A41">
              <w:rPr>
                <w:rFonts w:ascii="Calibri Light" w:hAnsi="Calibri Light" w:cs="Calibri Light"/>
                <w:b w:val="0"/>
              </w:rPr>
              <w:t>el Estado</w:t>
            </w:r>
            <w:r>
              <w:rPr>
                <w:rFonts w:ascii="Calibri Light" w:hAnsi="Calibri Light" w:cs="Calibri Light"/>
                <w:b w:val="0"/>
              </w:rPr>
              <w:t xml:space="preserve"> de Perú</w:t>
            </w:r>
            <w:r w:rsidRPr="00142A41">
              <w:rPr>
                <w:rFonts w:ascii="Calibri Light" w:hAnsi="Calibri Light" w:cs="Calibri Light"/>
                <w:b w:val="0"/>
              </w:rPr>
              <w:t xml:space="preserve"> </w:t>
            </w:r>
            <w:r>
              <w:rPr>
                <w:rFonts w:ascii="Calibri Light" w:hAnsi="Calibri Light" w:cs="Calibri Light"/>
                <w:b w:val="0"/>
              </w:rPr>
              <w:t xml:space="preserve">había violado el artículo 25 de la CADH, </w:t>
            </w:r>
            <w:r w:rsidR="008836A6">
              <w:rPr>
                <w:rFonts w:ascii="Calibri Light" w:hAnsi="Calibri Light" w:cs="Calibri Light"/>
                <w:b w:val="0"/>
              </w:rPr>
              <w:t xml:space="preserve">en relación al artículo 1.1, </w:t>
            </w:r>
            <w:r>
              <w:rPr>
                <w:rFonts w:ascii="Calibri Light" w:hAnsi="Calibri Light" w:cs="Calibri Light"/>
                <w:b w:val="0"/>
              </w:rPr>
              <w:t xml:space="preserve">en perjuicio de los integrantes de la ANCEJUB-SUNAT. </w:t>
            </w:r>
          </w:p>
          <w:p w14:paraId="18FC0BAD" w14:textId="77777777" w:rsidR="00FF34AE" w:rsidRPr="00FF34AE" w:rsidRDefault="00FF34AE" w:rsidP="00FF34AE">
            <w:pPr>
              <w:jc w:val="both"/>
              <w:rPr>
                <w:rFonts w:ascii="Calibri Light" w:hAnsi="Calibri Light"/>
                <w:b w:val="0"/>
              </w:rPr>
            </w:pPr>
          </w:p>
          <w:p w14:paraId="08331F27" w14:textId="4BAA0239" w:rsidR="00FF34AE" w:rsidRDefault="00FF34AE" w:rsidP="00FF34AE">
            <w:pPr>
              <w:jc w:val="both"/>
              <w:rPr>
                <w:rFonts w:ascii="Calibri Light" w:hAnsi="Calibri Light"/>
              </w:rPr>
            </w:pPr>
            <w:r>
              <w:rPr>
                <w:rFonts w:ascii="Calibri Light" w:hAnsi="Calibri Light"/>
              </w:rPr>
              <w:t>El derecho al plazo razonable en la ejecución de los fallos internos (artículo 8 de la CADH)</w:t>
            </w:r>
          </w:p>
          <w:p w14:paraId="2C3EDC5B" w14:textId="77777777" w:rsidR="00FF34AE" w:rsidRDefault="00FF34AE" w:rsidP="00FF34AE">
            <w:pPr>
              <w:jc w:val="both"/>
              <w:rPr>
                <w:rFonts w:ascii="Calibri Light" w:hAnsi="Calibri Light"/>
                <w:b w:val="0"/>
              </w:rPr>
            </w:pPr>
          </w:p>
          <w:p w14:paraId="176D3DAF" w14:textId="23F3A572" w:rsidR="009D24D2" w:rsidRDefault="00C627BB" w:rsidP="00C627BB">
            <w:pPr>
              <w:jc w:val="both"/>
              <w:rPr>
                <w:rFonts w:ascii="Calibri Light" w:hAnsi="Calibri Light"/>
                <w:b w:val="0"/>
              </w:rPr>
            </w:pPr>
            <w:r>
              <w:rPr>
                <w:rFonts w:ascii="Calibri Light" w:hAnsi="Calibri Light"/>
                <w:b w:val="0"/>
              </w:rPr>
              <w:t>U</w:t>
            </w:r>
            <w:r w:rsidRPr="00C627BB">
              <w:rPr>
                <w:rFonts w:ascii="Calibri Light" w:hAnsi="Calibri Light"/>
                <w:b w:val="0"/>
              </w:rPr>
              <w:t>no de los elementos del debido</w:t>
            </w:r>
            <w:r>
              <w:rPr>
                <w:rFonts w:ascii="Calibri Light" w:hAnsi="Calibri Light"/>
                <w:b w:val="0"/>
              </w:rPr>
              <w:t xml:space="preserve"> </w:t>
            </w:r>
            <w:r w:rsidRPr="00C627BB">
              <w:rPr>
                <w:rFonts w:ascii="Calibri Light" w:hAnsi="Calibri Light"/>
                <w:b w:val="0"/>
              </w:rPr>
              <w:t xml:space="preserve">proceso </w:t>
            </w:r>
            <w:r w:rsidR="008704B9">
              <w:rPr>
                <w:rFonts w:ascii="Calibri Light" w:hAnsi="Calibri Light"/>
                <w:b w:val="0"/>
              </w:rPr>
              <w:t xml:space="preserve">es </w:t>
            </w:r>
            <w:r w:rsidRPr="00C627BB">
              <w:rPr>
                <w:rFonts w:ascii="Calibri Light" w:hAnsi="Calibri Light"/>
                <w:b w:val="0"/>
              </w:rPr>
              <w:t>que los tribunales decidan los casos sometidos a su conocimiento en un plazo razonable</w:t>
            </w:r>
            <w:r>
              <w:rPr>
                <w:rFonts w:ascii="Calibri Light" w:hAnsi="Calibri Light"/>
                <w:b w:val="0"/>
              </w:rPr>
              <w:t xml:space="preserve">; por ello, </w:t>
            </w:r>
            <w:r w:rsidRPr="00C627BB">
              <w:rPr>
                <w:rFonts w:ascii="Calibri Light" w:hAnsi="Calibri Light"/>
                <w:b w:val="0"/>
              </w:rPr>
              <w:t>una demora prolongada puede llegar a constituir, por sí misma, una violación de las garantías</w:t>
            </w:r>
            <w:r>
              <w:rPr>
                <w:rFonts w:ascii="Calibri Light" w:hAnsi="Calibri Light"/>
                <w:b w:val="0"/>
              </w:rPr>
              <w:t xml:space="preserve"> </w:t>
            </w:r>
            <w:r w:rsidRPr="00C627BB">
              <w:rPr>
                <w:rFonts w:ascii="Calibri Light" w:hAnsi="Calibri Light"/>
                <w:b w:val="0"/>
              </w:rPr>
              <w:t>judiciales</w:t>
            </w:r>
            <w:r>
              <w:rPr>
                <w:rFonts w:ascii="Calibri Light" w:hAnsi="Calibri Light"/>
                <w:b w:val="0"/>
              </w:rPr>
              <w:t>.</w:t>
            </w:r>
            <w:r w:rsidR="008704B9">
              <w:rPr>
                <w:rFonts w:ascii="Calibri Light" w:hAnsi="Calibri Light"/>
                <w:b w:val="0"/>
              </w:rPr>
              <w:t xml:space="preserve"> </w:t>
            </w:r>
            <w:r w:rsidR="002F7136">
              <w:rPr>
                <w:rFonts w:ascii="Calibri Light" w:hAnsi="Calibri Light"/>
                <w:b w:val="0"/>
              </w:rPr>
              <w:t>Al respecto, la CIDH estableció que esta disposición también puede ser aplicada a la ejecución de una sentencia judicial firme</w:t>
            </w:r>
            <w:r w:rsidR="001D066F">
              <w:rPr>
                <w:rFonts w:ascii="Calibri Light" w:hAnsi="Calibri Light"/>
                <w:b w:val="0"/>
              </w:rPr>
              <w:t xml:space="preserve"> y, por ende, se debían considerar cuatro elementos para determinar la razonabilidad del plazo de ejecución:</w:t>
            </w:r>
            <w:r w:rsidR="00947225">
              <w:rPr>
                <w:rFonts w:ascii="Calibri Light" w:hAnsi="Calibri Light"/>
                <w:b w:val="0"/>
              </w:rPr>
              <w:t xml:space="preserve"> i) la complejidad del asunto; ii) la actividad procesal del interesado; iii) la conducta de las autoridades judiciales; y, iv) la afectación generada en la situación jurídica de la persona involucrada en el proceso.</w:t>
            </w:r>
            <w:r w:rsidR="002F7136">
              <w:rPr>
                <w:rFonts w:ascii="Calibri Light" w:hAnsi="Calibri Light"/>
                <w:b w:val="0"/>
              </w:rPr>
              <w:t xml:space="preserve"> </w:t>
            </w:r>
          </w:p>
          <w:p w14:paraId="0D006907" w14:textId="0FDF087B" w:rsidR="009D24D2" w:rsidRDefault="009D24D2" w:rsidP="00C627BB">
            <w:pPr>
              <w:jc w:val="both"/>
              <w:rPr>
                <w:rFonts w:ascii="Calibri Light" w:hAnsi="Calibri Light"/>
                <w:b w:val="0"/>
              </w:rPr>
            </w:pPr>
          </w:p>
          <w:p w14:paraId="18C3A10E" w14:textId="051C3F54" w:rsidR="00BA2B50" w:rsidRDefault="009D24D2" w:rsidP="00FF34AE">
            <w:pPr>
              <w:jc w:val="both"/>
              <w:rPr>
                <w:rFonts w:ascii="Calibri Light" w:hAnsi="Calibri Light"/>
                <w:b w:val="0"/>
              </w:rPr>
            </w:pPr>
            <w:r>
              <w:rPr>
                <w:rFonts w:ascii="Calibri Light" w:hAnsi="Calibri Light"/>
                <w:b w:val="0"/>
              </w:rPr>
              <w:t>Sobre el primer elemento, la CIDH determinó que cuando ya existe una decisión judicial firme que deb</w:t>
            </w:r>
            <w:r w:rsidR="00BA2B50">
              <w:rPr>
                <w:rFonts w:ascii="Calibri Light" w:hAnsi="Calibri Light"/>
                <w:b w:val="0"/>
              </w:rPr>
              <w:t>e</w:t>
            </w:r>
            <w:r>
              <w:rPr>
                <w:rFonts w:ascii="Calibri Light" w:hAnsi="Calibri Light"/>
                <w:b w:val="0"/>
              </w:rPr>
              <w:t xml:space="preserve"> ser ejecutada, en principio, no existe complejidad. </w:t>
            </w:r>
            <w:r w:rsidR="00BA2B50">
              <w:rPr>
                <w:rFonts w:ascii="Calibri Light" w:hAnsi="Calibri Light"/>
                <w:b w:val="0"/>
              </w:rPr>
              <w:t>Por ello, el asunto del presente caso no resultaba complejo. En cuanto a</w:t>
            </w:r>
            <w:r w:rsidR="002F7136">
              <w:rPr>
                <w:rFonts w:ascii="Calibri Light" w:hAnsi="Calibri Light"/>
                <w:b w:val="0"/>
              </w:rPr>
              <w:t>l segundo elemento, la CIDH precisó que si las personas afectadas presentan recursos que se encuentran disponibles en el ordenamiento interno a efectos que se vea cumplida una decisión judicial, est</w:t>
            </w:r>
            <w:r w:rsidR="008836A6">
              <w:rPr>
                <w:rFonts w:ascii="Calibri Light" w:hAnsi="Calibri Light"/>
                <w:b w:val="0"/>
              </w:rPr>
              <w:t>a conducta</w:t>
            </w:r>
            <w:r w:rsidR="002F7136">
              <w:rPr>
                <w:rFonts w:ascii="Calibri Light" w:hAnsi="Calibri Light"/>
                <w:b w:val="0"/>
              </w:rPr>
              <w:t xml:space="preserve"> es compatible con sus derechos y en sí misma no implica una justificación de la demora del proceso.</w:t>
            </w:r>
            <w:r w:rsidR="00113C7B">
              <w:rPr>
                <w:rFonts w:ascii="Calibri Light" w:hAnsi="Calibri Light"/>
                <w:b w:val="0"/>
              </w:rPr>
              <w:t xml:space="preserve"> </w:t>
            </w:r>
            <w:r w:rsidR="008836A6">
              <w:rPr>
                <w:rFonts w:ascii="Calibri Light" w:hAnsi="Calibri Light"/>
                <w:b w:val="0"/>
              </w:rPr>
              <w:t>En esa medida</w:t>
            </w:r>
            <w:r w:rsidR="00113C7B">
              <w:rPr>
                <w:rFonts w:ascii="Calibri Light" w:hAnsi="Calibri Light"/>
                <w:b w:val="0"/>
              </w:rPr>
              <w:t>, consideró que los integrantes de la</w:t>
            </w:r>
            <w:r w:rsidR="00BA2B50">
              <w:rPr>
                <w:rFonts w:ascii="Calibri Light" w:hAnsi="Calibri Light"/>
                <w:b w:val="0"/>
              </w:rPr>
              <w:t xml:space="preserve"> ANCEJUB-SUNAT no dilataron el proceso, ya que</w:t>
            </w:r>
            <w:r>
              <w:rPr>
                <w:rFonts w:ascii="Calibri Light" w:hAnsi="Calibri Light"/>
                <w:b w:val="0"/>
              </w:rPr>
              <w:t xml:space="preserve"> usaron los medios legales p</w:t>
            </w:r>
            <w:r w:rsidR="001D066F">
              <w:rPr>
                <w:rFonts w:ascii="Calibri Light" w:hAnsi="Calibri Light"/>
                <w:b w:val="0"/>
              </w:rPr>
              <w:t>ara lograr el cumplimiento del f</w:t>
            </w:r>
            <w:r>
              <w:rPr>
                <w:rFonts w:ascii="Calibri Light" w:hAnsi="Calibri Light"/>
                <w:b w:val="0"/>
              </w:rPr>
              <w:t xml:space="preserve">allo. </w:t>
            </w:r>
          </w:p>
          <w:p w14:paraId="3CD101D3" w14:textId="77777777" w:rsidR="00BA2B50" w:rsidRDefault="00BA2B50" w:rsidP="00FF34AE">
            <w:pPr>
              <w:jc w:val="both"/>
              <w:rPr>
                <w:rFonts w:ascii="Calibri Light" w:hAnsi="Calibri Light"/>
                <w:b w:val="0"/>
              </w:rPr>
            </w:pPr>
          </w:p>
          <w:p w14:paraId="3ED96CBC" w14:textId="7ACE47CD" w:rsidR="00394D84" w:rsidRDefault="00BA2B50" w:rsidP="00FF34AE">
            <w:pPr>
              <w:jc w:val="both"/>
              <w:rPr>
                <w:rFonts w:ascii="Calibri Light" w:hAnsi="Calibri Light"/>
                <w:b w:val="0"/>
              </w:rPr>
            </w:pPr>
            <w:r>
              <w:rPr>
                <w:rFonts w:ascii="Calibri Light" w:hAnsi="Calibri Light"/>
                <w:b w:val="0"/>
              </w:rPr>
              <w:t xml:space="preserve">Respecto al tercer elemento, </w:t>
            </w:r>
            <w:r w:rsidR="009D24D2">
              <w:rPr>
                <w:rFonts w:ascii="Calibri Light" w:hAnsi="Calibri Light"/>
                <w:b w:val="0"/>
              </w:rPr>
              <w:t xml:space="preserve">observó que </w:t>
            </w:r>
            <w:r>
              <w:rPr>
                <w:rFonts w:ascii="Calibri Light" w:hAnsi="Calibri Light"/>
                <w:b w:val="0"/>
              </w:rPr>
              <w:t>las autoridades judiciales</w:t>
            </w:r>
            <w:r w:rsidR="009D24D2">
              <w:rPr>
                <w:rFonts w:ascii="Calibri Light" w:hAnsi="Calibri Light"/>
                <w:b w:val="0"/>
              </w:rPr>
              <w:t xml:space="preserve"> habían actuado de forma inefectiva para resolver aspectos indispensables para el cumplimiento del fallo. Por último, </w:t>
            </w:r>
            <w:r w:rsidR="008836A6">
              <w:rPr>
                <w:rFonts w:ascii="Calibri Light" w:hAnsi="Calibri Light"/>
                <w:b w:val="0"/>
              </w:rPr>
              <w:t xml:space="preserve">respecto del cuarto elemento, </w:t>
            </w:r>
            <w:r>
              <w:rPr>
                <w:rFonts w:ascii="Calibri Light" w:hAnsi="Calibri Light"/>
                <w:b w:val="0"/>
              </w:rPr>
              <w:t>la CIDH expresó que en materia de pensiones el transcurso del tiempo puede tener un efecto muy particular e impactante</w:t>
            </w:r>
            <w:r w:rsidR="00113C7B">
              <w:rPr>
                <w:rFonts w:ascii="Calibri Light" w:hAnsi="Calibri Light"/>
                <w:b w:val="0"/>
              </w:rPr>
              <w:t xml:space="preserve"> para las personas implicadas</w:t>
            </w:r>
            <w:r>
              <w:rPr>
                <w:rFonts w:ascii="Calibri Light" w:hAnsi="Calibri Light"/>
                <w:b w:val="0"/>
              </w:rPr>
              <w:t xml:space="preserve">. Al haber fallecido más de 100 integrantes de la ANCEJUB-SUNAT debido a su edad, así como por la situación económica y de salud precaria </w:t>
            </w:r>
            <w:r w:rsidR="00113C7B">
              <w:rPr>
                <w:rFonts w:ascii="Calibri Light" w:hAnsi="Calibri Light"/>
                <w:b w:val="0"/>
              </w:rPr>
              <w:t>en la que se encontraban varios de ellos</w:t>
            </w:r>
            <w:r>
              <w:rPr>
                <w:rFonts w:ascii="Calibri Light" w:hAnsi="Calibri Light"/>
                <w:b w:val="0"/>
              </w:rPr>
              <w:t xml:space="preserve">, </w:t>
            </w:r>
            <w:r w:rsidR="00113C7B">
              <w:rPr>
                <w:rFonts w:ascii="Calibri Light" w:hAnsi="Calibri Light"/>
                <w:b w:val="0"/>
              </w:rPr>
              <w:t xml:space="preserve">la CIDH determinó que </w:t>
            </w:r>
            <w:r>
              <w:rPr>
                <w:rFonts w:ascii="Calibri Light" w:hAnsi="Calibri Light"/>
                <w:b w:val="0"/>
              </w:rPr>
              <w:t xml:space="preserve">existía </w:t>
            </w:r>
            <w:r w:rsidR="00113C7B">
              <w:rPr>
                <w:rFonts w:ascii="Calibri Light" w:hAnsi="Calibri Light"/>
                <w:b w:val="0"/>
              </w:rPr>
              <w:t>una gran afectación a todas ellas</w:t>
            </w:r>
            <w:r>
              <w:rPr>
                <w:rFonts w:ascii="Calibri Light" w:hAnsi="Calibri Light"/>
                <w:b w:val="0"/>
              </w:rPr>
              <w:t xml:space="preserve">. </w:t>
            </w:r>
          </w:p>
          <w:p w14:paraId="0F3F5FD9" w14:textId="77777777" w:rsidR="00394D84" w:rsidRDefault="00394D84" w:rsidP="00FF34AE">
            <w:pPr>
              <w:jc w:val="both"/>
              <w:rPr>
                <w:rFonts w:ascii="Calibri Light" w:hAnsi="Calibri Light"/>
                <w:b w:val="0"/>
              </w:rPr>
            </w:pPr>
          </w:p>
          <w:p w14:paraId="30921248" w14:textId="341A4D37" w:rsidR="00BA2B50" w:rsidRDefault="00394D84" w:rsidP="00FF34AE">
            <w:pPr>
              <w:jc w:val="both"/>
              <w:rPr>
                <w:rFonts w:ascii="Calibri Light" w:hAnsi="Calibri Light"/>
                <w:b w:val="0"/>
              </w:rPr>
            </w:pPr>
            <w:r>
              <w:rPr>
                <w:rFonts w:ascii="Calibri Light" w:hAnsi="Calibri Light"/>
                <w:b w:val="0"/>
              </w:rPr>
              <w:lastRenderedPageBreak/>
              <w:t>En virtud de ello</w:t>
            </w:r>
            <w:r w:rsidR="00BA2B50">
              <w:rPr>
                <w:rFonts w:ascii="Calibri Light" w:hAnsi="Calibri Light"/>
                <w:b w:val="0"/>
              </w:rPr>
              <w:t>, la CIDH consideró que el plazo resultaba irrazonable por los cuatro elementos y, por tanto, que el Estado de Perú había violado el artículo 8</w:t>
            </w:r>
            <w:r w:rsidR="008836A6">
              <w:rPr>
                <w:rFonts w:ascii="Calibri Light" w:hAnsi="Calibri Light"/>
                <w:b w:val="0"/>
              </w:rPr>
              <w:t>.1</w:t>
            </w:r>
            <w:r w:rsidR="00BA2B50">
              <w:rPr>
                <w:rFonts w:ascii="Calibri Light" w:hAnsi="Calibri Light"/>
                <w:b w:val="0"/>
              </w:rPr>
              <w:t xml:space="preserve"> de la CADH, </w:t>
            </w:r>
            <w:r w:rsidR="008836A6">
              <w:rPr>
                <w:rFonts w:ascii="Calibri Light" w:hAnsi="Calibri Light"/>
                <w:b w:val="0"/>
              </w:rPr>
              <w:t xml:space="preserve">en relación al artículo 1.1, </w:t>
            </w:r>
            <w:r w:rsidR="00BA2B50">
              <w:rPr>
                <w:rFonts w:ascii="Calibri Light" w:hAnsi="Calibri Light"/>
                <w:b w:val="0"/>
              </w:rPr>
              <w:t>en perjuicio de los integrantes de ANCEJUB-SUNAT.</w:t>
            </w:r>
          </w:p>
          <w:p w14:paraId="6D7DCD28" w14:textId="77777777" w:rsidR="002F7136" w:rsidRPr="00FF34AE" w:rsidRDefault="002F7136" w:rsidP="00FF34AE">
            <w:pPr>
              <w:jc w:val="both"/>
              <w:rPr>
                <w:rFonts w:ascii="Calibri Light" w:hAnsi="Calibri Light"/>
                <w:b w:val="0"/>
              </w:rPr>
            </w:pPr>
          </w:p>
          <w:p w14:paraId="0B44150C" w14:textId="77777777" w:rsidR="00FF34AE" w:rsidRDefault="00FF34AE" w:rsidP="00FF34AE">
            <w:pPr>
              <w:jc w:val="both"/>
              <w:rPr>
                <w:rFonts w:ascii="Calibri Light" w:hAnsi="Calibri Light"/>
              </w:rPr>
            </w:pPr>
            <w:r>
              <w:rPr>
                <w:rFonts w:ascii="Calibri Light" w:hAnsi="Calibri Light"/>
              </w:rPr>
              <w:t>El derecho a la propiedad privada en relación con la falta de ejecución de los fallos internos relativos a la pensión (artículo 21 de la CADH)</w:t>
            </w:r>
          </w:p>
          <w:p w14:paraId="4DE833DE" w14:textId="77777777" w:rsidR="00FF34AE" w:rsidRDefault="00FF34AE" w:rsidP="00FF34AE">
            <w:pPr>
              <w:jc w:val="both"/>
              <w:rPr>
                <w:rFonts w:ascii="Calibri Light" w:hAnsi="Calibri Light"/>
                <w:b w:val="0"/>
              </w:rPr>
            </w:pPr>
          </w:p>
          <w:p w14:paraId="7CFFC104" w14:textId="3B0B1556" w:rsidR="007532FD" w:rsidRDefault="007532FD" w:rsidP="00B15F5E">
            <w:pPr>
              <w:jc w:val="both"/>
              <w:rPr>
                <w:rFonts w:ascii="Calibri Light" w:hAnsi="Calibri Light"/>
                <w:b w:val="0"/>
              </w:rPr>
            </w:pPr>
            <w:r>
              <w:rPr>
                <w:rFonts w:ascii="Calibri Light" w:hAnsi="Calibri Light"/>
                <w:b w:val="0"/>
              </w:rPr>
              <w:t xml:space="preserve">La CIDH y la Corte IDH </w:t>
            </w:r>
            <w:r w:rsidR="008836A6">
              <w:rPr>
                <w:rFonts w:ascii="Calibri Light" w:hAnsi="Calibri Light"/>
                <w:b w:val="0"/>
              </w:rPr>
              <w:t xml:space="preserve">han establecido </w:t>
            </w:r>
            <w:r>
              <w:rPr>
                <w:rFonts w:ascii="Calibri Light" w:hAnsi="Calibri Light"/>
                <w:b w:val="0"/>
              </w:rPr>
              <w:t>un concepto amplio de propiedad que abarca, entre otros</w:t>
            </w:r>
            <w:r w:rsidR="00113C7B">
              <w:rPr>
                <w:rFonts w:ascii="Calibri Light" w:hAnsi="Calibri Light"/>
                <w:b w:val="0"/>
              </w:rPr>
              <w:t xml:space="preserve"> aspectos</w:t>
            </w:r>
            <w:r>
              <w:rPr>
                <w:rFonts w:ascii="Calibri Light" w:hAnsi="Calibri Light"/>
                <w:b w:val="0"/>
              </w:rPr>
              <w:t xml:space="preserve">, el uso y goce de bienes, definidos como cosas materiales apropiables, así como todo derecho que pueda formar parte del patrimonio de una persona. </w:t>
            </w:r>
            <w:r w:rsidR="00DD4004">
              <w:rPr>
                <w:rFonts w:ascii="Calibri Light" w:hAnsi="Calibri Light"/>
                <w:b w:val="0"/>
              </w:rPr>
              <w:t>Bajo este entendimiento, el derecho a la pensión que adquiere una persona</w:t>
            </w:r>
            <w:r w:rsidR="001A2DF7">
              <w:rPr>
                <w:rFonts w:ascii="Calibri Light" w:hAnsi="Calibri Light"/>
                <w:b w:val="0"/>
              </w:rPr>
              <w:t>,</w:t>
            </w:r>
            <w:r w:rsidR="00DD4004">
              <w:rPr>
                <w:rFonts w:ascii="Calibri Light" w:hAnsi="Calibri Light"/>
                <w:b w:val="0"/>
              </w:rPr>
              <w:t xml:space="preserve"> según la normativa interna</w:t>
            </w:r>
            <w:r w:rsidR="001A2DF7">
              <w:rPr>
                <w:rFonts w:ascii="Calibri Light" w:hAnsi="Calibri Light"/>
                <w:b w:val="0"/>
              </w:rPr>
              <w:t>,</w:t>
            </w:r>
            <w:r w:rsidR="00DD4004">
              <w:rPr>
                <w:rFonts w:ascii="Calibri Light" w:hAnsi="Calibri Light"/>
                <w:b w:val="0"/>
              </w:rPr>
              <w:t xml:space="preserve"> tiene efectos patrimoniales</w:t>
            </w:r>
            <w:r w:rsidR="001A2DF7">
              <w:rPr>
                <w:rFonts w:ascii="Calibri Light" w:hAnsi="Calibri Light"/>
                <w:b w:val="0"/>
              </w:rPr>
              <w:t xml:space="preserve"> que</w:t>
            </w:r>
            <w:r w:rsidR="00DD4004">
              <w:rPr>
                <w:rFonts w:ascii="Calibri Light" w:hAnsi="Calibri Light"/>
                <w:b w:val="0"/>
              </w:rPr>
              <w:t xml:space="preserve"> están protegidos por la CADH.</w:t>
            </w:r>
            <w:r w:rsidR="001A2DF7">
              <w:rPr>
                <w:rFonts w:ascii="Calibri Light" w:hAnsi="Calibri Light"/>
                <w:b w:val="0"/>
              </w:rPr>
              <w:t xml:space="preserve"> </w:t>
            </w:r>
            <w:r w:rsidR="00432AE1">
              <w:rPr>
                <w:rFonts w:ascii="Calibri Light" w:hAnsi="Calibri Light"/>
                <w:b w:val="0"/>
              </w:rPr>
              <w:t>En ese sentido</w:t>
            </w:r>
            <w:r w:rsidR="001A2DF7">
              <w:rPr>
                <w:rFonts w:ascii="Calibri Light" w:hAnsi="Calibri Light"/>
                <w:b w:val="0"/>
              </w:rPr>
              <w:t>, la Corte IDH ha declarado la violación del derecho a la propiedad por la afectación patrimonial causada por el incumplimiento de sentencias que buscaban proteger el derecho a una pensión.</w:t>
            </w:r>
          </w:p>
          <w:p w14:paraId="4BEDC380" w14:textId="77777777" w:rsidR="00DD4004" w:rsidRDefault="00DD4004" w:rsidP="00B15F5E">
            <w:pPr>
              <w:jc w:val="both"/>
              <w:rPr>
                <w:rFonts w:ascii="Calibri Light" w:hAnsi="Calibri Light"/>
                <w:b w:val="0"/>
              </w:rPr>
            </w:pPr>
          </w:p>
          <w:p w14:paraId="2B0BD748" w14:textId="42D86948" w:rsidR="00FF34AE" w:rsidRDefault="00DD4004" w:rsidP="001A2DF7">
            <w:pPr>
              <w:jc w:val="both"/>
              <w:rPr>
                <w:rFonts w:ascii="Calibri Light" w:hAnsi="Calibri Light"/>
                <w:b w:val="0"/>
              </w:rPr>
            </w:pPr>
            <w:r>
              <w:rPr>
                <w:rFonts w:ascii="Calibri Light" w:hAnsi="Calibri Light"/>
                <w:b w:val="0"/>
              </w:rPr>
              <w:t xml:space="preserve">En el caso de los integrantes de </w:t>
            </w:r>
            <w:r w:rsidR="00C627BB">
              <w:rPr>
                <w:rFonts w:ascii="Calibri Light" w:hAnsi="Calibri Light"/>
                <w:b w:val="0"/>
              </w:rPr>
              <w:t xml:space="preserve">la </w:t>
            </w:r>
            <w:r>
              <w:rPr>
                <w:rFonts w:ascii="Calibri Light" w:hAnsi="Calibri Light"/>
                <w:b w:val="0"/>
              </w:rPr>
              <w:t xml:space="preserve">ANCEJUB-SUNAT, estos </w:t>
            </w:r>
            <w:r w:rsidR="001A2DF7">
              <w:rPr>
                <w:rFonts w:ascii="Calibri Light" w:hAnsi="Calibri Light"/>
                <w:b w:val="0"/>
              </w:rPr>
              <w:t xml:space="preserve">accedieron de manera legal al régimen pensionario del Decreto Ley </w:t>
            </w:r>
            <w:r w:rsidR="00FE62BA">
              <w:rPr>
                <w:rFonts w:ascii="Calibri Light" w:hAnsi="Calibri Light"/>
                <w:b w:val="0"/>
              </w:rPr>
              <w:t xml:space="preserve">No. </w:t>
            </w:r>
            <w:r w:rsidR="001A2DF7">
              <w:rPr>
                <w:rFonts w:ascii="Calibri Light" w:hAnsi="Calibri Light"/>
                <w:b w:val="0"/>
              </w:rPr>
              <w:t xml:space="preserve">20530 y fueron privados de continuar con los beneficios de dicho régimen, a pesar de contar posteriormente con sentencias favorables a su pretensión. Con la falta de ejecución de estos fallos, no se </w:t>
            </w:r>
            <w:r w:rsidR="00C627BB">
              <w:rPr>
                <w:rFonts w:ascii="Calibri Light" w:hAnsi="Calibri Light"/>
                <w:b w:val="0"/>
              </w:rPr>
              <w:t>determinaron</w:t>
            </w:r>
            <w:r w:rsidR="00921D52">
              <w:rPr>
                <w:rFonts w:ascii="Calibri Light" w:hAnsi="Calibri Light"/>
                <w:b w:val="0"/>
              </w:rPr>
              <w:t xml:space="preserve"> los efectos patrimoniales </w:t>
            </w:r>
            <w:r w:rsidR="00C627BB">
              <w:rPr>
                <w:rFonts w:ascii="Calibri Light" w:hAnsi="Calibri Light"/>
                <w:b w:val="0"/>
              </w:rPr>
              <w:t xml:space="preserve">y, </w:t>
            </w:r>
            <w:r w:rsidR="00113C7B">
              <w:rPr>
                <w:rFonts w:ascii="Calibri Light" w:hAnsi="Calibri Light"/>
                <w:b w:val="0"/>
              </w:rPr>
              <w:t>por ende</w:t>
            </w:r>
            <w:r w:rsidR="00C627BB">
              <w:rPr>
                <w:rFonts w:ascii="Calibri Light" w:hAnsi="Calibri Light"/>
                <w:b w:val="0"/>
              </w:rPr>
              <w:t xml:space="preserve">, </w:t>
            </w:r>
            <w:r w:rsidR="00113C7B">
              <w:rPr>
                <w:rFonts w:ascii="Calibri Light" w:hAnsi="Calibri Light"/>
                <w:b w:val="0"/>
              </w:rPr>
              <w:t xml:space="preserve">tampoco se determinaron </w:t>
            </w:r>
            <w:r w:rsidR="00C627BB">
              <w:rPr>
                <w:rFonts w:ascii="Calibri Light" w:hAnsi="Calibri Light"/>
                <w:b w:val="0"/>
              </w:rPr>
              <w:t xml:space="preserve">los </w:t>
            </w:r>
            <w:r w:rsidR="00113C7B">
              <w:rPr>
                <w:rFonts w:ascii="Calibri Light" w:hAnsi="Calibri Light"/>
                <w:b w:val="0"/>
              </w:rPr>
              <w:t xml:space="preserve">montos que </w:t>
            </w:r>
            <w:r w:rsidR="00113C7B" w:rsidRPr="00113C7B">
              <w:rPr>
                <w:rFonts w:ascii="Calibri Light" w:hAnsi="Calibri Light"/>
                <w:b w:val="0"/>
              </w:rPr>
              <w:t>—</w:t>
            </w:r>
            <w:r w:rsidR="00113C7B">
              <w:rPr>
                <w:rFonts w:ascii="Calibri Light" w:hAnsi="Calibri Light"/>
                <w:b w:val="0"/>
              </w:rPr>
              <w:t>conforme</w:t>
            </w:r>
            <w:r w:rsidR="00C627BB">
              <w:rPr>
                <w:rFonts w:ascii="Calibri Light" w:hAnsi="Calibri Light"/>
                <w:b w:val="0"/>
              </w:rPr>
              <w:t xml:space="preserve"> a dichas sentencias</w:t>
            </w:r>
            <w:r w:rsidR="00113C7B" w:rsidRPr="00113C7B">
              <w:rPr>
                <w:rFonts w:ascii="Calibri Light" w:hAnsi="Calibri Light"/>
                <w:b w:val="0"/>
              </w:rPr>
              <w:t>—</w:t>
            </w:r>
            <w:r w:rsidR="00C627BB">
              <w:rPr>
                <w:rFonts w:ascii="Calibri Light" w:hAnsi="Calibri Light"/>
                <w:b w:val="0"/>
              </w:rPr>
              <w:t xml:space="preserve"> debían ingresar al patrimonio de las víctimas.</w:t>
            </w:r>
            <w:r w:rsidR="00BA2B50">
              <w:rPr>
                <w:rFonts w:ascii="Calibri Light" w:hAnsi="Calibri Light"/>
                <w:b w:val="0"/>
              </w:rPr>
              <w:t xml:space="preserve"> </w:t>
            </w:r>
            <w:r w:rsidR="00891434">
              <w:rPr>
                <w:rFonts w:ascii="Calibri Light" w:hAnsi="Calibri Light"/>
                <w:b w:val="0"/>
              </w:rPr>
              <w:t>Ello generó una situación de incertidumbre respecto a los patrimonios de este grupo</w:t>
            </w:r>
            <w:r w:rsidR="00B27AF0">
              <w:rPr>
                <w:rFonts w:ascii="Calibri Light" w:hAnsi="Calibri Light"/>
                <w:b w:val="0"/>
              </w:rPr>
              <w:t xml:space="preserve"> </w:t>
            </w:r>
            <w:r w:rsidR="00E967B5">
              <w:rPr>
                <w:rFonts w:ascii="Calibri Light" w:hAnsi="Calibri Light"/>
                <w:b w:val="0"/>
              </w:rPr>
              <w:t xml:space="preserve">de personas </w:t>
            </w:r>
            <w:r w:rsidR="00B27AF0">
              <w:rPr>
                <w:rFonts w:ascii="Calibri Light" w:hAnsi="Calibri Light"/>
                <w:b w:val="0"/>
              </w:rPr>
              <w:t>que les impidió gozar plenamente de su derecho a la propiedad</w:t>
            </w:r>
            <w:r w:rsidR="00891434">
              <w:rPr>
                <w:rFonts w:ascii="Calibri Light" w:hAnsi="Calibri Light"/>
                <w:b w:val="0"/>
              </w:rPr>
              <w:t>.</w:t>
            </w:r>
            <w:r w:rsidR="00432AE1">
              <w:rPr>
                <w:rFonts w:ascii="Calibri Light" w:hAnsi="Calibri Light"/>
                <w:b w:val="0"/>
              </w:rPr>
              <w:t xml:space="preserve"> </w:t>
            </w:r>
            <w:r w:rsidR="007532FD">
              <w:rPr>
                <w:rFonts w:ascii="Calibri Light" w:hAnsi="Calibri Light"/>
                <w:b w:val="0"/>
              </w:rPr>
              <w:t xml:space="preserve">Por ello, </w:t>
            </w:r>
            <w:r w:rsidR="008C0FDC">
              <w:rPr>
                <w:rFonts w:ascii="Calibri Light" w:hAnsi="Calibri Light"/>
                <w:b w:val="0"/>
              </w:rPr>
              <w:t xml:space="preserve">la CIDH </w:t>
            </w:r>
            <w:r w:rsidR="007532FD">
              <w:rPr>
                <w:rFonts w:ascii="Calibri Light" w:hAnsi="Calibri Light"/>
                <w:b w:val="0"/>
              </w:rPr>
              <w:t xml:space="preserve">consideró que el Estado de Perú había violado el artículo 21 de la CADH, </w:t>
            </w:r>
            <w:r w:rsidR="00DC69A4">
              <w:rPr>
                <w:rFonts w:ascii="Calibri Light" w:hAnsi="Calibri Light"/>
                <w:b w:val="0"/>
              </w:rPr>
              <w:t xml:space="preserve">en relación al artículo 1.1, </w:t>
            </w:r>
            <w:r w:rsidR="007532FD">
              <w:rPr>
                <w:rFonts w:ascii="Calibri Light" w:hAnsi="Calibri Light"/>
                <w:b w:val="0"/>
              </w:rPr>
              <w:t>en perjuicio de los integrantes de ANCEJUB-SUNAT.</w:t>
            </w:r>
          </w:p>
          <w:p w14:paraId="5AA471B6" w14:textId="071E28B2" w:rsidR="001A2DF7" w:rsidRPr="00FF34AE" w:rsidRDefault="001A2DF7" w:rsidP="001A2DF7">
            <w:pPr>
              <w:jc w:val="both"/>
              <w:rPr>
                <w:rFonts w:ascii="Calibri Light" w:hAnsi="Calibri Light"/>
                <w:b w:val="0"/>
              </w:rPr>
            </w:pPr>
          </w:p>
        </w:tc>
      </w:tr>
      <w:tr w:rsidR="004C2E50" w:rsidRPr="004533E5" w14:paraId="0FBFBB6F"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4C2E50" w:rsidRPr="00310836" w:rsidRDefault="004C2E50" w:rsidP="00AC6F31">
            <w:pPr>
              <w:pStyle w:val="ListParagraph"/>
              <w:rPr>
                <w:rFonts w:ascii="Calibri Light" w:hAnsi="Calibri Light"/>
              </w:rPr>
            </w:pPr>
          </w:p>
          <w:p w14:paraId="5CF7BA21" w14:textId="5A517AF0" w:rsidR="004C2E50" w:rsidRPr="00310836" w:rsidRDefault="004C2E50" w:rsidP="0029671B">
            <w:pPr>
              <w:pStyle w:val="ListParagraph"/>
              <w:numPr>
                <w:ilvl w:val="0"/>
                <w:numId w:val="2"/>
              </w:numPr>
              <w:jc w:val="center"/>
              <w:rPr>
                <w:rFonts w:ascii="Calibri Light" w:hAnsi="Calibri Light"/>
              </w:rPr>
            </w:pPr>
            <w:r w:rsidRPr="00310836">
              <w:rPr>
                <w:rFonts w:ascii="Calibri Light" w:hAnsi="Calibri Light"/>
              </w:rPr>
              <w:t>Recomendaciones</w:t>
            </w:r>
            <w:r w:rsidR="005572E4">
              <w:rPr>
                <w:rFonts w:ascii="Calibri Light" w:hAnsi="Calibri Light"/>
              </w:rPr>
              <w:t xml:space="preserve"> de la CIDH al Estado</w:t>
            </w:r>
          </w:p>
          <w:p w14:paraId="510D8BF9" w14:textId="77777777" w:rsidR="004C2E50" w:rsidRPr="00310836" w:rsidRDefault="004C2E50" w:rsidP="00AC6F31">
            <w:pPr>
              <w:pStyle w:val="ListParagraph"/>
              <w:rPr>
                <w:rFonts w:ascii="Calibri Light" w:hAnsi="Calibri Light"/>
              </w:rPr>
            </w:pPr>
          </w:p>
        </w:tc>
      </w:tr>
      <w:tr w:rsidR="004C2E50" w:rsidRPr="004533E5"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F086D22" w14:textId="77777777" w:rsidR="004C2E50" w:rsidRPr="00B1308C" w:rsidRDefault="004C2E50" w:rsidP="004B1311">
            <w:pPr>
              <w:pStyle w:val="ListParagraph"/>
              <w:ind w:left="0"/>
              <w:jc w:val="both"/>
              <w:rPr>
                <w:rFonts w:ascii="Calibri Light" w:hAnsi="Calibri Light"/>
                <w:b w:val="0"/>
              </w:rPr>
            </w:pPr>
          </w:p>
          <w:p w14:paraId="4AC0CF90" w14:textId="73804F40" w:rsidR="00103C4C" w:rsidRPr="00B1308C" w:rsidRDefault="00B1308C" w:rsidP="00103C4C">
            <w:pPr>
              <w:pStyle w:val="ListParagraph"/>
              <w:numPr>
                <w:ilvl w:val="0"/>
                <w:numId w:val="4"/>
              </w:numPr>
              <w:jc w:val="both"/>
              <w:rPr>
                <w:rFonts w:ascii="Calibri Light" w:hAnsi="Calibri Light"/>
                <w:b w:val="0"/>
              </w:rPr>
            </w:pPr>
            <w:r w:rsidRPr="00B1308C">
              <w:rPr>
                <w:rFonts w:ascii="Calibri Light" w:hAnsi="Calibri Light"/>
                <w:b w:val="0"/>
              </w:rPr>
              <w:t xml:space="preserve">Dar cumplimiento a la mayor brevedad posible a las sentencias de la Corte Suprema de Justicia de 25 de octubre de 1993, y del Tribunal Constitucional de 10 de mayo de 2001. Esto implica la adopción inmediata de las medidas necesarias para el pago de la pensión a las personas </w:t>
            </w:r>
            <w:r>
              <w:rPr>
                <w:rFonts w:ascii="Calibri Light" w:hAnsi="Calibri Light"/>
                <w:b w:val="0"/>
              </w:rPr>
              <w:t>implicadas</w:t>
            </w:r>
            <w:r w:rsidRPr="00B1308C">
              <w:rPr>
                <w:rFonts w:ascii="Calibri Light" w:hAnsi="Calibri Light"/>
                <w:b w:val="0"/>
              </w:rPr>
              <w:t xml:space="preserve"> bajo el régimen del Decreto Ley 20530. Lo anterior incluye el pago de los montos dejados de percibir desde el momento de su jubilación hasta la fecha en que se haga efectivo el pago. Tomando en cuenta la inefectividad del proceso judicial de ejecución de sentencia por más de 23 años y la urgencia del cumplimiento del fallo dada la avanzada edad de las víctimas, </w:t>
            </w:r>
            <w:r>
              <w:rPr>
                <w:rFonts w:ascii="Calibri Light" w:hAnsi="Calibri Light"/>
                <w:b w:val="0"/>
              </w:rPr>
              <w:t>se debe</w:t>
            </w:r>
            <w:r w:rsidRPr="00B1308C">
              <w:rPr>
                <w:rFonts w:ascii="Calibri Light" w:hAnsi="Calibri Light"/>
                <w:b w:val="0"/>
              </w:rPr>
              <w:t xml:space="preserve"> implementar inmediatamente un mecanismo expedito para que en el tiempo más breve posible se establezcan los efectos patrimoniales del fallo en su favor y se disponga su pago sin mayores dilaciones y obstáculos.</w:t>
            </w:r>
          </w:p>
          <w:p w14:paraId="1E6F6312" w14:textId="77777777" w:rsidR="004C2E50" w:rsidRPr="00B1308C" w:rsidRDefault="004C2E50" w:rsidP="00E70716">
            <w:pPr>
              <w:pStyle w:val="ListParagraph"/>
              <w:ind w:left="360"/>
              <w:jc w:val="both"/>
              <w:rPr>
                <w:rFonts w:ascii="Calibri Light" w:hAnsi="Calibri Light"/>
                <w:b w:val="0"/>
              </w:rPr>
            </w:pPr>
          </w:p>
          <w:p w14:paraId="38CDC32F" w14:textId="3F98A9E0" w:rsidR="004C2E50" w:rsidRPr="00B1308C" w:rsidRDefault="00B1308C" w:rsidP="00243C42">
            <w:pPr>
              <w:pStyle w:val="ListParagraph"/>
              <w:numPr>
                <w:ilvl w:val="0"/>
                <w:numId w:val="4"/>
              </w:numPr>
              <w:jc w:val="both"/>
              <w:rPr>
                <w:rFonts w:ascii="Calibri Light" w:hAnsi="Calibri Light"/>
                <w:b w:val="0"/>
              </w:rPr>
            </w:pPr>
            <w:r w:rsidRPr="00B1308C">
              <w:rPr>
                <w:rFonts w:ascii="Calibri Light" w:hAnsi="Calibri Light"/>
                <w:b w:val="0"/>
              </w:rPr>
              <w:t>Reparar integralmente las violaciones declaradas, incluyendo una debida compensación que incluya el daño material e inmaterial causado. Esta repara</w:t>
            </w:r>
            <w:r>
              <w:rPr>
                <w:rFonts w:ascii="Calibri Light" w:hAnsi="Calibri Light"/>
                <w:b w:val="0"/>
              </w:rPr>
              <w:t>ción debe ser implementada no so</w:t>
            </w:r>
            <w:r w:rsidRPr="00B1308C">
              <w:rPr>
                <w:rFonts w:ascii="Calibri Light" w:hAnsi="Calibri Light"/>
                <w:b w:val="0"/>
              </w:rPr>
              <w:t xml:space="preserve">lo respecto de los </w:t>
            </w:r>
            <w:r w:rsidR="00BE4AFD">
              <w:rPr>
                <w:rFonts w:ascii="Calibri Light" w:hAnsi="Calibri Light"/>
                <w:b w:val="0"/>
              </w:rPr>
              <w:t>integrantes</w:t>
            </w:r>
            <w:r w:rsidRPr="00B1308C">
              <w:rPr>
                <w:rFonts w:ascii="Calibri Light" w:hAnsi="Calibri Light"/>
                <w:b w:val="0"/>
              </w:rPr>
              <w:t xml:space="preserve"> de la ANCEJUB-SUNAT que continúan con vida, sino también respecto de aquellos que fallecieron a la esperar del cumplimiento del fallo a su favor. En el caso de estas personas, </w:t>
            </w:r>
            <w:r>
              <w:rPr>
                <w:rFonts w:ascii="Calibri Light" w:hAnsi="Calibri Light"/>
                <w:b w:val="0"/>
              </w:rPr>
              <w:t>se</w:t>
            </w:r>
            <w:r w:rsidRPr="00B1308C">
              <w:rPr>
                <w:rFonts w:ascii="Calibri Light" w:hAnsi="Calibri Light"/>
                <w:b w:val="0"/>
              </w:rPr>
              <w:t xml:space="preserve"> deberá hacer efectiva la reparación respecto de sus familiares.</w:t>
            </w:r>
          </w:p>
          <w:p w14:paraId="644B373D" w14:textId="77777777" w:rsidR="004C2E50" w:rsidRPr="00B1308C" w:rsidRDefault="004C2E50" w:rsidP="00E70716">
            <w:pPr>
              <w:pStyle w:val="ListParagraph"/>
              <w:rPr>
                <w:rFonts w:ascii="Calibri Light" w:hAnsi="Calibri Light"/>
              </w:rPr>
            </w:pPr>
          </w:p>
          <w:p w14:paraId="3AF8DA55" w14:textId="0218ED19" w:rsidR="004C2E50" w:rsidRPr="00B1308C" w:rsidRDefault="00B1308C" w:rsidP="00243C42">
            <w:pPr>
              <w:pStyle w:val="ListParagraph"/>
              <w:numPr>
                <w:ilvl w:val="0"/>
                <w:numId w:val="4"/>
              </w:numPr>
              <w:jc w:val="both"/>
              <w:rPr>
                <w:rFonts w:ascii="Calibri Light" w:hAnsi="Calibri Light"/>
                <w:b w:val="0"/>
              </w:rPr>
            </w:pPr>
            <w:r w:rsidRPr="00B1308C">
              <w:rPr>
                <w:rFonts w:ascii="Calibri Light" w:hAnsi="Calibri Light"/>
                <w:b w:val="0"/>
              </w:rPr>
              <w:t xml:space="preserve">Adoptar las medidas legislativas o de otra índole necesarias para evitar la repetición de las violaciones declaradas en el presente informe. Al respecto, </w:t>
            </w:r>
            <w:r>
              <w:rPr>
                <w:rFonts w:ascii="Calibri Light" w:hAnsi="Calibri Light"/>
                <w:b w:val="0"/>
              </w:rPr>
              <w:t>se</w:t>
            </w:r>
            <w:r w:rsidRPr="00B1308C">
              <w:rPr>
                <w:rFonts w:ascii="Calibri Light" w:hAnsi="Calibri Light"/>
                <w:b w:val="0"/>
              </w:rPr>
              <w:t xml:space="preserve"> deberá disponer las medidas necesarias para: i) </w:t>
            </w:r>
            <w:r w:rsidR="00BE4AFD">
              <w:rPr>
                <w:rFonts w:ascii="Calibri Light" w:hAnsi="Calibri Light"/>
                <w:b w:val="0"/>
              </w:rPr>
              <w:t>a</w:t>
            </w:r>
            <w:r w:rsidRPr="00B1308C">
              <w:rPr>
                <w:rFonts w:ascii="Calibri Light" w:hAnsi="Calibri Light"/>
                <w:b w:val="0"/>
              </w:rPr>
              <w:t xml:space="preserve">segurar que las empresas estatales cumplan con los fallos judiciales que </w:t>
            </w:r>
            <w:r w:rsidRPr="00B1308C">
              <w:rPr>
                <w:rFonts w:ascii="Calibri Light" w:hAnsi="Calibri Light"/>
                <w:b w:val="0"/>
              </w:rPr>
              <w:lastRenderedPageBreak/>
              <w:t xml:space="preserve">reconocen derechos pensionarios a ex-trabajadores; ii) </w:t>
            </w:r>
            <w:r w:rsidR="00BE4AFD">
              <w:rPr>
                <w:rFonts w:ascii="Calibri Light" w:hAnsi="Calibri Light"/>
                <w:b w:val="0"/>
              </w:rPr>
              <w:t>a</w:t>
            </w:r>
            <w:r w:rsidRPr="00B1308C">
              <w:rPr>
                <w:rFonts w:ascii="Calibri Light" w:hAnsi="Calibri Light"/>
                <w:b w:val="0"/>
              </w:rPr>
              <w:t xml:space="preserve">segurar que los procesos de ejecución de sentencia cumplan con el estándar convencional de sencillez y rapidez; y iii) </w:t>
            </w:r>
            <w:r w:rsidR="00BE4AFD">
              <w:rPr>
                <w:rFonts w:ascii="Calibri Light" w:hAnsi="Calibri Light"/>
                <w:b w:val="0"/>
              </w:rPr>
              <w:t>a</w:t>
            </w:r>
            <w:r w:rsidRPr="00B1308C">
              <w:rPr>
                <w:rFonts w:ascii="Calibri Light" w:hAnsi="Calibri Light"/>
                <w:b w:val="0"/>
              </w:rPr>
              <w:t>segurar que las autoridades judiciales que conocen tales procesos se encuentren facultados legalmente y apliquen en la práctica los mecanismos coercitivos necesarios para garantizar el cumplimiento de los fallos judiciales.</w:t>
            </w:r>
          </w:p>
          <w:p w14:paraId="49863AFC" w14:textId="27A6BE90" w:rsidR="004C2E50" w:rsidRPr="00310836" w:rsidRDefault="004C2E50" w:rsidP="00B1308C">
            <w:pPr>
              <w:pStyle w:val="ListParagraph"/>
              <w:ind w:left="360"/>
              <w:jc w:val="both"/>
              <w:rPr>
                <w:rFonts w:ascii="Calibri Light" w:hAnsi="Calibri Light"/>
                <w:b w:val="0"/>
              </w:rPr>
            </w:pPr>
          </w:p>
        </w:tc>
      </w:tr>
      <w:tr w:rsidR="004C2E50" w:rsidRPr="004533E5" w14:paraId="0B7CC98E" w14:textId="77777777" w:rsidTr="00A94EE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4C2E50" w:rsidRPr="00310836" w:rsidRDefault="004C2E50" w:rsidP="00F464EC">
            <w:pPr>
              <w:pStyle w:val="ListParagraph"/>
              <w:spacing w:after="200" w:line="276" w:lineRule="auto"/>
              <w:rPr>
                <w:rFonts w:ascii="Calibri Light" w:hAnsi="Calibri Light"/>
              </w:rPr>
            </w:pPr>
          </w:p>
          <w:p w14:paraId="7B045F14" w14:textId="2270E615" w:rsidR="004C2E50" w:rsidRPr="00310836" w:rsidRDefault="004C2E50" w:rsidP="00F464EC">
            <w:pPr>
              <w:pStyle w:val="ListParagraph"/>
              <w:numPr>
                <w:ilvl w:val="0"/>
                <w:numId w:val="2"/>
              </w:numPr>
              <w:spacing w:after="200" w:line="276" w:lineRule="auto"/>
              <w:jc w:val="center"/>
              <w:rPr>
                <w:rFonts w:ascii="Calibri Light" w:hAnsi="Calibri Light"/>
              </w:rPr>
            </w:pPr>
            <w:r w:rsidRPr="00310836">
              <w:rPr>
                <w:rFonts w:ascii="Calibri Light" w:hAnsi="Calibri Light"/>
              </w:rPr>
              <w:t>Análisis de cumplimiento de las recomendaciones</w:t>
            </w:r>
          </w:p>
          <w:p w14:paraId="3C93C1C0" w14:textId="77777777" w:rsidR="004C2E50" w:rsidRPr="00310836" w:rsidRDefault="004C2E50" w:rsidP="00F464EC">
            <w:pPr>
              <w:pStyle w:val="ListParagraph"/>
              <w:ind w:left="0"/>
              <w:jc w:val="center"/>
              <w:rPr>
                <w:rFonts w:ascii="Calibri Light" w:hAnsi="Calibri Light"/>
                <w:b w:val="0"/>
              </w:rPr>
            </w:pPr>
          </w:p>
        </w:tc>
      </w:tr>
      <w:tr w:rsidR="004C2E50" w:rsidRPr="004533E5"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AAFA1A0" w14:textId="77777777" w:rsidR="004C2E50" w:rsidRPr="00310836" w:rsidRDefault="004C2E50" w:rsidP="004B1311">
            <w:pPr>
              <w:pStyle w:val="ListParagraph"/>
              <w:ind w:left="0"/>
              <w:jc w:val="both"/>
              <w:rPr>
                <w:rFonts w:ascii="Calibri Light" w:hAnsi="Calibri Light"/>
                <w:b w:val="0"/>
              </w:rPr>
            </w:pPr>
          </w:p>
          <w:p w14:paraId="59C6DB00" w14:textId="77777777" w:rsidR="004C2E50" w:rsidRPr="00310836" w:rsidRDefault="004C2E50" w:rsidP="00826869">
            <w:pPr>
              <w:pStyle w:val="ListParagraph"/>
              <w:ind w:left="0"/>
              <w:jc w:val="center"/>
              <w:rPr>
                <w:rFonts w:ascii="Calibri Light" w:hAnsi="Calibri Light"/>
                <w:b w:val="0"/>
              </w:rPr>
            </w:pPr>
            <w:r w:rsidRPr="00310836">
              <w:rPr>
                <w:rFonts w:ascii="Calibri Light" w:hAnsi="Calibri Light"/>
                <w:b w:val="0"/>
              </w:rPr>
              <w:t>-</w:t>
            </w:r>
          </w:p>
          <w:p w14:paraId="1F3EA985" w14:textId="4ED84473" w:rsidR="004C2E50" w:rsidRPr="00310836" w:rsidRDefault="004C2E50" w:rsidP="00826869">
            <w:pPr>
              <w:pStyle w:val="ListParagraph"/>
              <w:ind w:left="0"/>
              <w:jc w:val="center"/>
              <w:rPr>
                <w:rFonts w:ascii="Calibri Light" w:hAnsi="Calibri Light"/>
                <w:b w:val="0"/>
              </w:rPr>
            </w:pPr>
          </w:p>
        </w:tc>
      </w:tr>
    </w:tbl>
    <w:p w14:paraId="23A9A3C3" w14:textId="77777777" w:rsidR="00714E42" w:rsidRDefault="00714E42" w:rsidP="00A65231"/>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08066" w14:textId="77777777" w:rsidR="00FE00E3" w:rsidRDefault="00FE00E3" w:rsidP="00A65231">
      <w:pPr>
        <w:spacing w:after="0" w:line="240" w:lineRule="auto"/>
      </w:pPr>
      <w:r>
        <w:separator/>
      </w:r>
    </w:p>
  </w:endnote>
  <w:endnote w:type="continuationSeparator" w:id="0">
    <w:p w14:paraId="7FB24785" w14:textId="77777777" w:rsidR="00FE00E3" w:rsidRDefault="00FE00E3"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04232DE1" w:rsidR="00B44EA1" w:rsidRDefault="00B44EA1">
        <w:pPr>
          <w:pStyle w:val="Footer"/>
          <w:jc w:val="right"/>
        </w:pPr>
        <w:r>
          <w:fldChar w:fldCharType="begin"/>
        </w:r>
        <w:r>
          <w:instrText>PAGE   \* MERGEFORMAT</w:instrText>
        </w:r>
        <w:r>
          <w:fldChar w:fldCharType="separate"/>
        </w:r>
        <w:r w:rsidR="00CE4217" w:rsidRPr="00CE4217">
          <w:rPr>
            <w:noProof/>
            <w:lang w:val="es-ES"/>
          </w:rPr>
          <w:t>5</w:t>
        </w:r>
        <w:r>
          <w:fldChar w:fldCharType="end"/>
        </w:r>
      </w:p>
    </w:sdtContent>
  </w:sdt>
  <w:p w14:paraId="6353BB13" w14:textId="77777777" w:rsidR="00B44EA1" w:rsidRDefault="00B44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1ACBD" w14:textId="77777777" w:rsidR="00FE00E3" w:rsidRDefault="00FE00E3" w:rsidP="00A65231">
      <w:pPr>
        <w:spacing w:after="0" w:line="240" w:lineRule="auto"/>
      </w:pPr>
      <w:r>
        <w:separator/>
      </w:r>
    </w:p>
  </w:footnote>
  <w:footnote w:type="continuationSeparator" w:id="0">
    <w:p w14:paraId="5AD27621" w14:textId="77777777" w:rsidR="00FE00E3" w:rsidRDefault="00FE00E3"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9"/>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27257"/>
    <w:rsid w:val="00032656"/>
    <w:rsid w:val="00050512"/>
    <w:rsid w:val="00061E2D"/>
    <w:rsid w:val="0008203A"/>
    <w:rsid w:val="000A0C5C"/>
    <w:rsid w:val="000C2ED1"/>
    <w:rsid w:val="000C5A72"/>
    <w:rsid w:val="000D3CF2"/>
    <w:rsid w:val="000E79B6"/>
    <w:rsid w:val="000F2C70"/>
    <w:rsid w:val="001026DE"/>
    <w:rsid w:val="00103C4C"/>
    <w:rsid w:val="001077C9"/>
    <w:rsid w:val="00111A5A"/>
    <w:rsid w:val="00113C7B"/>
    <w:rsid w:val="00117B5F"/>
    <w:rsid w:val="00142A41"/>
    <w:rsid w:val="001754B7"/>
    <w:rsid w:val="001A14F7"/>
    <w:rsid w:val="001A2DF7"/>
    <w:rsid w:val="001C28EC"/>
    <w:rsid w:val="001D066F"/>
    <w:rsid w:val="00212F62"/>
    <w:rsid w:val="00213757"/>
    <w:rsid w:val="00216A2A"/>
    <w:rsid w:val="00220B75"/>
    <w:rsid w:val="0022426F"/>
    <w:rsid w:val="00226BE9"/>
    <w:rsid w:val="00237E09"/>
    <w:rsid w:val="00243C42"/>
    <w:rsid w:val="00252E50"/>
    <w:rsid w:val="002720DA"/>
    <w:rsid w:val="00280835"/>
    <w:rsid w:val="00285AD3"/>
    <w:rsid w:val="00287BBC"/>
    <w:rsid w:val="0029049D"/>
    <w:rsid w:val="00295E72"/>
    <w:rsid w:val="0029671B"/>
    <w:rsid w:val="002C4CED"/>
    <w:rsid w:val="002C67E8"/>
    <w:rsid w:val="002D1D2F"/>
    <w:rsid w:val="002D4A90"/>
    <w:rsid w:val="002D5158"/>
    <w:rsid w:val="002D7F8F"/>
    <w:rsid w:val="002F7136"/>
    <w:rsid w:val="00310250"/>
    <w:rsid w:val="00310836"/>
    <w:rsid w:val="003111DB"/>
    <w:rsid w:val="00317EE5"/>
    <w:rsid w:val="003501C8"/>
    <w:rsid w:val="003570F3"/>
    <w:rsid w:val="003920AF"/>
    <w:rsid w:val="00394D84"/>
    <w:rsid w:val="003A0CC7"/>
    <w:rsid w:val="003B0A2C"/>
    <w:rsid w:val="003C7680"/>
    <w:rsid w:val="003E2B29"/>
    <w:rsid w:val="003E6AB8"/>
    <w:rsid w:val="00411A74"/>
    <w:rsid w:val="00414F2C"/>
    <w:rsid w:val="00421D6C"/>
    <w:rsid w:val="00423B23"/>
    <w:rsid w:val="0042581C"/>
    <w:rsid w:val="00432AE1"/>
    <w:rsid w:val="00441ADC"/>
    <w:rsid w:val="00451809"/>
    <w:rsid w:val="00452AA6"/>
    <w:rsid w:val="004533E5"/>
    <w:rsid w:val="00464CAC"/>
    <w:rsid w:val="004858A8"/>
    <w:rsid w:val="004861D8"/>
    <w:rsid w:val="004B1311"/>
    <w:rsid w:val="004B2686"/>
    <w:rsid w:val="004C0481"/>
    <w:rsid w:val="004C2E50"/>
    <w:rsid w:val="004E58DE"/>
    <w:rsid w:val="004E678F"/>
    <w:rsid w:val="004F061A"/>
    <w:rsid w:val="004F4491"/>
    <w:rsid w:val="005000F5"/>
    <w:rsid w:val="0051197B"/>
    <w:rsid w:val="005173CF"/>
    <w:rsid w:val="0053092C"/>
    <w:rsid w:val="005572E4"/>
    <w:rsid w:val="00557C90"/>
    <w:rsid w:val="00561359"/>
    <w:rsid w:val="005631C8"/>
    <w:rsid w:val="00572196"/>
    <w:rsid w:val="00580A2E"/>
    <w:rsid w:val="005A1DB6"/>
    <w:rsid w:val="005B607F"/>
    <w:rsid w:val="005B68C6"/>
    <w:rsid w:val="005C3229"/>
    <w:rsid w:val="005C71F0"/>
    <w:rsid w:val="005C7F1E"/>
    <w:rsid w:val="005D4FDF"/>
    <w:rsid w:val="005F442D"/>
    <w:rsid w:val="006007A4"/>
    <w:rsid w:val="006051D5"/>
    <w:rsid w:val="00613D24"/>
    <w:rsid w:val="00640787"/>
    <w:rsid w:val="006407DD"/>
    <w:rsid w:val="00676230"/>
    <w:rsid w:val="00677AC6"/>
    <w:rsid w:val="006853B3"/>
    <w:rsid w:val="00685F04"/>
    <w:rsid w:val="006A3F5E"/>
    <w:rsid w:val="006A4E40"/>
    <w:rsid w:val="006A6517"/>
    <w:rsid w:val="006B4F38"/>
    <w:rsid w:val="006D488A"/>
    <w:rsid w:val="0070524A"/>
    <w:rsid w:val="00714E42"/>
    <w:rsid w:val="0073272E"/>
    <w:rsid w:val="00732BC0"/>
    <w:rsid w:val="00733E0F"/>
    <w:rsid w:val="00747E22"/>
    <w:rsid w:val="007518FD"/>
    <w:rsid w:val="007532FD"/>
    <w:rsid w:val="007572E9"/>
    <w:rsid w:val="00762060"/>
    <w:rsid w:val="00790783"/>
    <w:rsid w:val="0079477F"/>
    <w:rsid w:val="007A6C56"/>
    <w:rsid w:val="007B1131"/>
    <w:rsid w:val="007B39E9"/>
    <w:rsid w:val="007B7ED8"/>
    <w:rsid w:val="007C597B"/>
    <w:rsid w:val="007E382B"/>
    <w:rsid w:val="008017E4"/>
    <w:rsid w:val="008036E7"/>
    <w:rsid w:val="00803879"/>
    <w:rsid w:val="00826869"/>
    <w:rsid w:val="00841B0E"/>
    <w:rsid w:val="00850A45"/>
    <w:rsid w:val="00850DCC"/>
    <w:rsid w:val="00865E7D"/>
    <w:rsid w:val="00866A4D"/>
    <w:rsid w:val="008704B9"/>
    <w:rsid w:val="00871530"/>
    <w:rsid w:val="008742D2"/>
    <w:rsid w:val="008836A6"/>
    <w:rsid w:val="00891434"/>
    <w:rsid w:val="008A0F6C"/>
    <w:rsid w:val="008C0FDC"/>
    <w:rsid w:val="008D1B19"/>
    <w:rsid w:val="008F0C5B"/>
    <w:rsid w:val="0090367F"/>
    <w:rsid w:val="00921D52"/>
    <w:rsid w:val="009261E2"/>
    <w:rsid w:val="00931244"/>
    <w:rsid w:val="009363AD"/>
    <w:rsid w:val="00947225"/>
    <w:rsid w:val="00951BB8"/>
    <w:rsid w:val="00954E20"/>
    <w:rsid w:val="00967C90"/>
    <w:rsid w:val="00970941"/>
    <w:rsid w:val="00975D0F"/>
    <w:rsid w:val="00996958"/>
    <w:rsid w:val="009978DE"/>
    <w:rsid w:val="009B0A86"/>
    <w:rsid w:val="009C2C05"/>
    <w:rsid w:val="009D24D2"/>
    <w:rsid w:val="009E6228"/>
    <w:rsid w:val="009F6931"/>
    <w:rsid w:val="00A06F98"/>
    <w:rsid w:val="00A125A9"/>
    <w:rsid w:val="00A133CC"/>
    <w:rsid w:val="00A208BC"/>
    <w:rsid w:val="00A271BF"/>
    <w:rsid w:val="00A423CC"/>
    <w:rsid w:val="00A4435A"/>
    <w:rsid w:val="00A5581A"/>
    <w:rsid w:val="00A60087"/>
    <w:rsid w:val="00A65231"/>
    <w:rsid w:val="00A85413"/>
    <w:rsid w:val="00A85DC9"/>
    <w:rsid w:val="00A91B24"/>
    <w:rsid w:val="00A94EE7"/>
    <w:rsid w:val="00AA7F00"/>
    <w:rsid w:val="00AB1B03"/>
    <w:rsid w:val="00AC5A6A"/>
    <w:rsid w:val="00AC6F31"/>
    <w:rsid w:val="00AD36B4"/>
    <w:rsid w:val="00AE31D9"/>
    <w:rsid w:val="00AF0F2A"/>
    <w:rsid w:val="00B07E72"/>
    <w:rsid w:val="00B1308C"/>
    <w:rsid w:val="00B15F5E"/>
    <w:rsid w:val="00B27AF0"/>
    <w:rsid w:val="00B34CCF"/>
    <w:rsid w:val="00B44EA1"/>
    <w:rsid w:val="00B535C2"/>
    <w:rsid w:val="00B6265F"/>
    <w:rsid w:val="00B71B8C"/>
    <w:rsid w:val="00B74514"/>
    <w:rsid w:val="00B771B5"/>
    <w:rsid w:val="00B90050"/>
    <w:rsid w:val="00B93CB9"/>
    <w:rsid w:val="00BA2B50"/>
    <w:rsid w:val="00BA7DB9"/>
    <w:rsid w:val="00BB61C6"/>
    <w:rsid w:val="00BC6AC9"/>
    <w:rsid w:val="00BD48E5"/>
    <w:rsid w:val="00BE4AFD"/>
    <w:rsid w:val="00BE6FA1"/>
    <w:rsid w:val="00BF2A00"/>
    <w:rsid w:val="00C10BC5"/>
    <w:rsid w:val="00C13F4C"/>
    <w:rsid w:val="00C20AC7"/>
    <w:rsid w:val="00C31DFF"/>
    <w:rsid w:val="00C47FFC"/>
    <w:rsid w:val="00C61809"/>
    <w:rsid w:val="00C627BB"/>
    <w:rsid w:val="00C63B25"/>
    <w:rsid w:val="00C72CF5"/>
    <w:rsid w:val="00C7534D"/>
    <w:rsid w:val="00C86F65"/>
    <w:rsid w:val="00C9455E"/>
    <w:rsid w:val="00CB180B"/>
    <w:rsid w:val="00CC717F"/>
    <w:rsid w:val="00CE4217"/>
    <w:rsid w:val="00CF2B48"/>
    <w:rsid w:val="00CF2D40"/>
    <w:rsid w:val="00D00FCD"/>
    <w:rsid w:val="00D0696E"/>
    <w:rsid w:val="00D10449"/>
    <w:rsid w:val="00D36417"/>
    <w:rsid w:val="00D51658"/>
    <w:rsid w:val="00D5293F"/>
    <w:rsid w:val="00DC299D"/>
    <w:rsid w:val="00DC69A4"/>
    <w:rsid w:val="00DD3C7C"/>
    <w:rsid w:val="00DD4004"/>
    <w:rsid w:val="00DD5424"/>
    <w:rsid w:val="00DF2AFB"/>
    <w:rsid w:val="00E13FCE"/>
    <w:rsid w:val="00E35FF7"/>
    <w:rsid w:val="00E374E5"/>
    <w:rsid w:val="00E6558E"/>
    <w:rsid w:val="00E70716"/>
    <w:rsid w:val="00E72814"/>
    <w:rsid w:val="00E82999"/>
    <w:rsid w:val="00E967B5"/>
    <w:rsid w:val="00EB47E0"/>
    <w:rsid w:val="00EC207D"/>
    <w:rsid w:val="00EC4E9F"/>
    <w:rsid w:val="00ED109E"/>
    <w:rsid w:val="00ED1B65"/>
    <w:rsid w:val="00EE6130"/>
    <w:rsid w:val="00F06184"/>
    <w:rsid w:val="00F07CF4"/>
    <w:rsid w:val="00F30F76"/>
    <w:rsid w:val="00F35633"/>
    <w:rsid w:val="00F464EC"/>
    <w:rsid w:val="00F505FB"/>
    <w:rsid w:val="00F53444"/>
    <w:rsid w:val="00F55CD0"/>
    <w:rsid w:val="00F61401"/>
    <w:rsid w:val="00F654E4"/>
    <w:rsid w:val="00F725A5"/>
    <w:rsid w:val="00F83405"/>
    <w:rsid w:val="00F845A6"/>
    <w:rsid w:val="00FB0F60"/>
    <w:rsid w:val="00FB1A15"/>
    <w:rsid w:val="00FB1D17"/>
    <w:rsid w:val="00FE00E3"/>
    <w:rsid w:val="00FE2BA4"/>
    <w:rsid w:val="00FE3FFE"/>
    <w:rsid w:val="00FE62BA"/>
    <w:rsid w:val="00FF0EB7"/>
    <w:rsid w:val="00FF34A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character" w:styleId="UnresolvedMention">
    <w:name w:val="Unresolved Mention"/>
    <w:basedOn w:val="DefaultParagraphFont"/>
    <w:uiPriority w:val="99"/>
    <w:semiHidden/>
    <w:unhideWhenUsed/>
    <w:rsid w:val="0096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9sp/Peru965-98.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2701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94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1085-2098-480D-8A66-B0C7D7EA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2021-02-11T09:47:00Z</dcterms:created>
  <dcterms:modified xsi:type="dcterms:W3CDTF">2021-02-11T09:47:00Z</dcterms:modified>
</cp:coreProperties>
</file>