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84C03" w14:textId="77777777" w:rsidR="002B1CD8" w:rsidRDefault="002B1CD8" w:rsidP="002B1CD8">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2F111380" wp14:editId="3D25E167">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71450654" wp14:editId="0010C386">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1E299AAA" wp14:editId="3D1F1AF7">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E9004F" w14:textId="77777777" w:rsidR="002B1CD8" w:rsidRPr="00411A74" w:rsidRDefault="002B1CD8" w:rsidP="002B1CD8">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32BD9BDC" w14:textId="77777777" w:rsidR="002B1CD8" w:rsidRDefault="002B1CD8" w:rsidP="002B1CD8">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452F8515" w14:textId="77777777" w:rsidR="00D7386D" w:rsidRPr="000636DA" w:rsidRDefault="00D7386D" w:rsidP="00D7386D">
      <w:pPr>
        <w:spacing w:after="0" w:line="240" w:lineRule="auto"/>
        <w:jc w:val="center"/>
        <w:outlineLvl w:val="0"/>
        <w:rPr>
          <w:rFonts w:ascii="Calibri Light" w:hAnsi="Calibri Light"/>
          <w:b/>
          <w:i/>
          <w:lang w:val="es-PE"/>
        </w:rPr>
      </w:pPr>
    </w:p>
    <w:tbl>
      <w:tblPr>
        <w:tblStyle w:val="a"/>
        <w:tblW w:w="8504" w:type="dxa"/>
        <w:tblInd w:w="0" w:type="dxa"/>
        <w:tblBorders>
          <w:top w:val="single" w:sz="4" w:space="0" w:color="9CC3E5"/>
          <w:bottom w:val="single" w:sz="4" w:space="0" w:color="9CC3E5"/>
          <w:insideH w:val="single" w:sz="4" w:space="0" w:color="9CC3E5"/>
        </w:tblBorders>
        <w:tblLayout w:type="fixed"/>
        <w:tblLook w:val="04A0" w:firstRow="1" w:lastRow="0" w:firstColumn="1" w:lastColumn="0" w:noHBand="0" w:noVBand="1"/>
      </w:tblPr>
      <w:tblGrid>
        <w:gridCol w:w="3586"/>
        <w:gridCol w:w="2343"/>
        <w:gridCol w:w="2575"/>
      </w:tblGrid>
      <w:tr w:rsidR="00321F34" w:rsidRPr="00D7386D" w14:paraId="60657112" w14:textId="77777777" w:rsidTr="00321F3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3E5"/>
              <w:left w:val="nil"/>
              <w:bottom w:val="single" w:sz="4" w:space="0" w:color="9CC3E5"/>
              <w:right w:val="nil"/>
            </w:tcBorders>
          </w:tcPr>
          <w:p w14:paraId="19806DAB" w14:textId="77777777" w:rsidR="00321F34" w:rsidRPr="00D7386D" w:rsidRDefault="00321F34" w:rsidP="00B81591">
            <w:pPr>
              <w:pBdr>
                <w:top w:val="nil"/>
                <w:left w:val="nil"/>
                <w:bottom w:val="nil"/>
                <w:right w:val="nil"/>
                <w:between w:val="nil"/>
              </w:pBdr>
              <w:ind w:left="720" w:hanging="720"/>
              <w:rPr>
                <w:rFonts w:ascii="Calibri Light" w:hAnsi="Calibri Light"/>
                <w:color w:val="000000"/>
              </w:rPr>
            </w:pPr>
          </w:p>
          <w:p w14:paraId="6EFBFF1A" w14:textId="77777777" w:rsidR="00321F34" w:rsidRPr="00D7386D" w:rsidRDefault="00B81591" w:rsidP="00B81591">
            <w:pPr>
              <w:numPr>
                <w:ilvl w:val="0"/>
                <w:numId w:val="2"/>
              </w:numPr>
              <w:pBdr>
                <w:top w:val="nil"/>
                <w:left w:val="nil"/>
                <w:bottom w:val="nil"/>
                <w:right w:val="nil"/>
                <w:between w:val="nil"/>
              </w:pBdr>
              <w:contextualSpacing/>
              <w:jc w:val="center"/>
              <w:rPr>
                <w:rFonts w:ascii="Calibri Light" w:hAnsi="Calibri Light"/>
                <w:color w:val="000000"/>
              </w:rPr>
            </w:pPr>
            <w:r w:rsidRPr="00D7386D">
              <w:rPr>
                <w:rFonts w:ascii="Calibri Light" w:hAnsi="Calibri Light"/>
                <w:color w:val="000000"/>
              </w:rPr>
              <w:t>Datos generales</w:t>
            </w:r>
          </w:p>
          <w:p w14:paraId="54767B4F" w14:textId="77777777" w:rsidR="00321F34" w:rsidRPr="00D7386D" w:rsidRDefault="00321F34" w:rsidP="00B81591">
            <w:pPr>
              <w:pBdr>
                <w:top w:val="nil"/>
                <w:left w:val="nil"/>
                <w:bottom w:val="nil"/>
                <w:right w:val="nil"/>
                <w:between w:val="nil"/>
              </w:pBdr>
              <w:ind w:left="720" w:hanging="720"/>
              <w:rPr>
                <w:rFonts w:ascii="Calibri Light" w:hAnsi="Calibri Light"/>
                <w:color w:val="000000"/>
              </w:rPr>
            </w:pPr>
          </w:p>
        </w:tc>
      </w:tr>
      <w:tr w:rsidR="00321F34" w:rsidRPr="00D7386D" w14:paraId="254B38BF" w14:textId="77777777" w:rsidTr="00321F3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586" w:type="dxa"/>
            <w:tcBorders>
              <w:top w:val="single" w:sz="4" w:space="0" w:color="9CC3E5"/>
              <w:left w:val="nil"/>
              <w:bottom w:val="single" w:sz="4" w:space="0" w:color="9CC3E5"/>
              <w:right w:val="nil"/>
            </w:tcBorders>
          </w:tcPr>
          <w:p w14:paraId="2EAFA48B" w14:textId="77777777" w:rsidR="00321F34" w:rsidRPr="00D7386D" w:rsidRDefault="00B81591" w:rsidP="00B81591">
            <w:pPr>
              <w:numPr>
                <w:ilvl w:val="0"/>
                <w:numId w:val="3"/>
              </w:numPr>
              <w:pBdr>
                <w:top w:val="nil"/>
                <w:left w:val="nil"/>
                <w:bottom w:val="nil"/>
                <w:right w:val="nil"/>
                <w:between w:val="nil"/>
              </w:pBdr>
              <w:contextualSpacing/>
              <w:rPr>
                <w:rFonts w:ascii="Calibri Light" w:hAnsi="Calibri Light"/>
                <w:color w:val="000000"/>
              </w:rPr>
            </w:pPr>
            <w:r w:rsidRPr="00D7386D">
              <w:rPr>
                <w:rFonts w:ascii="Calibri Light" w:hAnsi="Calibri Light"/>
                <w:color w:val="000000"/>
              </w:rPr>
              <w:t>Nombre del caso</w:t>
            </w:r>
          </w:p>
        </w:tc>
        <w:tc>
          <w:tcPr>
            <w:tcW w:w="4918" w:type="dxa"/>
            <w:gridSpan w:val="2"/>
            <w:tcBorders>
              <w:top w:val="single" w:sz="4" w:space="0" w:color="9CC3E5"/>
              <w:left w:val="nil"/>
              <w:bottom w:val="single" w:sz="4" w:space="0" w:color="9CC3E5"/>
              <w:right w:val="nil"/>
            </w:tcBorders>
          </w:tcPr>
          <w:p w14:paraId="23483CA5" w14:textId="77777777" w:rsidR="00321F34" w:rsidRPr="00D7386D" w:rsidRDefault="00B81591" w:rsidP="00B81591">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D7386D">
              <w:rPr>
                <w:rFonts w:ascii="Calibri Light" w:hAnsi="Calibri Light"/>
              </w:rPr>
              <w:t>Robert Ignacio Díaz Loreto, David Octavio Díaz Loreto, Octavio Ignacio Díaz Álvarez y familiares, Venezuela</w:t>
            </w:r>
          </w:p>
        </w:tc>
      </w:tr>
      <w:tr w:rsidR="00321F34" w:rsidRPr="00D7386D" w14:paraId="0610A9BC" w14:textId="77777777" w:rsidTr="00321F34">
        <w:trPr>
          <w:trHeight w:val="260"/>
        </w:trPr>
        <w:tc>
          <w:tcPr>
            <w:cnfStyle w:val="001000000000" w:firstRow="0" w:lastRow="0" w:firstColumn="1" w:lastColumn="0" w:oddVBand="0" w:evenVBand="0" w:oddHBand="0" w:evenHBand="0" w:firstRowFirstColumn="0" w:firstRowLastColumn="0" w:lastRowFirstColumn="0" w:lastRowLastColumn="0"/>
            <w:tcW w:w="3586" w:type="dxa"/>
            <w:tcBorders>
              <w:top w:val="single" w:sz="4" w:space="0" w:color="9CC3E5"/>
              <w:left w:val="nil"/>
              <w:bottom w:val="single" w:sz="4" w:space="0" w:color="9CC3E5"/>
              <w:right w:val="nil"/>
            </w:tcBorders>
          </w:tcPr>
          <w:p w14:paraId="51CCB0B5" w14:textId="1D9DD260" w:rsidR="00321F34" w:rsidRPr="00D7386D" w:rsidRDefault="00FA13F7" w:rsidP="00B81591">
            <w:pPr>
              <w:numPr>
                <w:ilvl w:val="0"/>
                <w:numId w:val="3"/>
              </w:numPr>
              <w:pBdr>
                <w:top w:val="nil"/>
                <w:left w:val="nil"/>
                <w:bottom w:val="nil"/>
                <w:right w:val="nil"/>
                <w:between w:val="nil"/>
              </w:pBdr>
              <w:contextualSpacing/>
              <w:rPr>
                <w:rFonts w:ascii="Calibri Light" w:hAnsi="Calibri Light"/>
                <w:color w:val="000000"/>
              </w:rPr>
            </w:pPr>
            <w:r w:rsidRPr="00D7386D">
              <w:rPr>
                <w:rFonts w:ascii="Calibri Light" w:hAnsi="Calibri Light"/>
                <w:color w:val="000000"/>
              </w:rPr>
              <w:t>P</w:t>
            </w:r>
            <w:r w:rsidR="00B81591" w:rsidRPr="00D7386D">
              <w:rPr>
                <w:rFonts w:ascii="Calibri Light" w:hAnsi="Calibri Light"/>
                <w:color w:val="000000"/>
              </w:rPr>
              <w:t>arte peticionaria</w:t>
            </w:r>
          </w:p>
        </w:tc>
        <w:tc>
          <w:tcPr>
            <w:tcW w:w="4918" w:type="dxa"/>
            <w:gridSpan w:val="2"/>
            <w:tcBorders>
              <w:top w:val="single" w:sz="4" w:space="0" w:color="9CC3E5"/>
              <w:left w:val="nil"/>
              <w:bottom w:val="single" w:sz="4" w:space="0" w:color="9CC3E5"/>
              <w:right w:val="nil"/>
            </w:tcBorders>
          </w:tcPr>
          <w:p w14:paraId="34A3E7DF" w14:textId="77777777" w:rsidR="00321F34" w:rsidRPr="00D7386D" w:rsidRDefault="00B81591" w:rsidP="00B8159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D7386D">
              <w:rPr>
                <w:rFonts w:ascii="Calibri Light" w:hAnsi="Calibri Light"/>
              </w:rPr>
              <w:t>Luis Aguilera, Secretario General de la Comisión de Derechos Humanos de Justicia y Paz del estado de Aragua</w:t>
            </w:r>
          </w:p>
          <w:p w14:paraId="0F0320DE" w14:textId="77777777" w:rsidR="00321F34" w:rsidRPr="00D7386D" w:rsidRDefault="00B81591" w:rsidP="00B8159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D7386D">
              <w:rPr>
                <w:rFonts w:ascii="Calibri Light" w:hAnsi="Calibri Light"/>
              </w:rPr>
              <w:t>Juana Emilia Díaz Loreto</w:t>
            </w:r>
          </w:p>
        </w:tc>
      </w:tr>
      <w:tr w:rsidR="00321F34" w:rsidRPr="00D7386D" w14:paraId="54C6D3E0" w14:textId="77777777" w:rsidTr="00321F3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586" w:type="dxa"/>
            <w:tcBorders>
              <w:top w:val="single" w:sz="4" w:space="0" w:color="9CC3E5"/>
              <w:left w:val="nil"/>
              <w:bottom w:val="single" w:sz="4" w:space="0" w:color="9CC3E5"/>
              <w:right w:val="nil"/>
            </w:tcBorders>
          </w:tcPr>
          <w:p w14:paraId="484C56E8" w14:textId="77777777" w:rsidR="00321F34" w:rsidRPr="00D7386D" w:rsidRDefault="00B81591" w:rsidP="00B81591">
            <w:pPr>
              <w:numPr>
                <w:ilvl w:val="0"/>
                <w:numId w:val="3"/>
              </w:numPr>
              <w:pBdr>
                <w:top w:val="nil"/>
                <w:left w:val="nil"/>
                <w:bottom w:val="nil"/>
                <w:right w:val="nil"/>
                <w:between w:val="nil"/>
              </w:pBdr>
              <w:contextualSpacing/>
              <w:rPr>
                <w:rFonts w:ascii="Calibri Light" w:hAnsi="Calibri Light"/>
                <w:color w:val="000000"/>
              </w:rPr>
            </w:pPr>
            <w:r w:rsidRPr="00D7386D">
              <w:rPr>
                <w:rFonts w:ascii="Calibri Light" w:hAnsi="Calibri Light"/>
                <w:color w:val="000000"/>
              </w:rPr>
              <w:t xml:space="preserve">Número de Informe </w:t>
            </w:r>
          </w:p>
        </w:tc>
        <w:tc>
          <w:tcPr>
            <w:tcW w:w="4918" w:type="dxa"/>
            <w:gridSpan w:val="2"/>
            <w:tcBorders>
              <w:top w:val="single" w:sz="4" w:space="0" w:color="9CC3E5"/>
              <w:left w:val="nil"/>
              <w:bottom w:val="single" w:sz="4" w:space="0" w:color="9CC3E5"/>
              <w:right w:val="nil"/>
            </w:tcBorders>
          </w:tcPr>
          <w:p w14:paraId="33AED24E" w14:textId="77777777" w:rsidR="00321F34" w:rsidRPr="00D7386D" w:rsidRDefault="00E52B6D" w:rsidP="00B81591">
            <w:pPr>
              <w:jc w:val="both"/>
              <w:cnfStyle w:val="000000100000" w:firstRow="0" w:lastRow="0" w:firstColumn="0" w:lastColumn="0" w:oddVBand="0" w:evenVBand="0" w:oddHBand="1" w:evenHBand="0" w:firstRowFirstColumn="0" w:firstRowLastColumn="0" w:lastRowFirstColumn="0" w:lastRowLastColumn="0"/>
              <w:rPr>
                <w:rFonts w:ascii="Calibri Light" w:hAnsi="Calibri Light"/>
                <w:color w:val="0000FF"/>
              </w:rPr>
            </w:pPr>
            <w:hyperlink r:id="rId12">
              <w:r w:rsidR="00B81591" w:rsidRPr="00D7386D">
                <w:rPr>
                  <w:rFonts w:ascii="Calibri Light" w:hAnsi="Calibri Light"/>
                  <w:color w:val="0000FF"/>
                  <w:u w:val="single"/>
                </w:rPr>
                <w:t>Informe No. 80/17</w:t>
              </w:r>
            </w:hyperlink>
          </w:p>
        </w:tc>
      </w:tr>
      <w:tr w:rsidR="00321F34" w:rsidRPr="00D7386D" w14:paraId="43B847AB" w14:textId="77777777" w:rsidTr="00321F34">
        <w:trPr>
          <w:trHeight w:val="200"/>
        </w:trPr>
        <w:tc>
          <w:tcPr>
            <w:cnfStyle w:val="001000000000" w:firstRow="0" w:lastRow="0" w:firstColumn="1" w:lastColumn="0" w:oddVBand="0" w:evenVBand="0" w:oddHBand="0" w:evenHBand="0" w:firstRowFirstColumn="0" w:firstRowLastColumn="0" w:lastRowFirstColumn="0" w:lastRowLastColumn="0"/>
            <w:tcW w:w="3586" w:type="dxa"/>
            <w:tcBorders>
              <w:top w:val="single" w:sz="4" w:space="0" w:color="9CC3E5"/>
              <w:left w:val="nil"/>
              <w:bottom w:val="single" w:sz="4" w:space="0" w:color="9CC3E5"/>
              <w:right w:val="nil"/>
            </w:tcBorders>
          </w:tcPr>
          <w:p w14:paraId="6ABB1489" w14:textId="77777777" w:rsidR="00321F34" w:rsidRPr="00D7386D" w:rsidRDefault="00B81591" w:rsidP="00B81591">
            <w:pPr>
              <w:numPr>
                <w:ilvl w:val="0"/>
                <w:numId w:val="3"/>
              </w:numPr>
              <w:pBdr>
                <w:top w:val="nil"/>
                <w:left w:val="nil"/>
                <w:bottom w:val="nil"/>
                <w:right w:val="nil"/>
                <w:between w:val="nil"/>
              </w:pBdr>
              <w:contextualSpacing/>
              <w:rPr>
                <w:rFonts w:ascii="Calibri Light" w:hAnsi="Calibri Light"/>
              </w:rPr>
            </w:pPr>
            <w:r w:rsidRPr="00D7386D">
              <w:rPr>
                <w:rFonts w:ascii="Calibri Light" w:hAnsi="Calibri Light"/>
                <w:color w:val="000000"/>
              </w:rPr>
              <w:t xml:space="preserve">Tipo de informe </w:t>
            </w:r>
          </w:p>
        </w:tc>
        <w:tc>
          <w:tcPr>
            <w:tcW w:w="4918" w:type="dxa"/>
            <w:gridSpan w:val="2"/>
            <w:tcBorders>
              <w:top w:val="single" w:sz="4" w:space="0" w:color="9CC3E5"/>
              <w:left w:val="nil"/>
              <w:bottom w:val="single" w:sz="4" w:space="0" w:color="9CC3E5"/>
              <w:right w:val="nil"/>
            </w:tcBorders>
            <w:vAlign w:val="center"/>
          </w:tcPr>
          <w:p w14:paraId="260FB5A5" w14:textId="77777777" w:rsidR="00321F34" w:rsidRPr="00D7386D" w:rsidRDefault="00B81591" w:rsidP="00B8159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D7386D">
              <w:rPr>
                <w:rFonts w:ascii="Calibri Light" w:hAnsi="Calibri Light"/>
              </w:rPr>
              <w:t>Informe de Fondo (Caso en la Corte IDH)</w:t>
            </w:r>
          </w:p>
        </w:tc>
      </w:tr>
      <w:tr w:rsidR="00321F34" w:rsidRPr="00D7386D" w14:paraId="2AB05006" w14:textId="77777777" w:rsidTr="00321F3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86" w:type="dxa"/>
            <w:tcBorders>
              <w:top w:val="single" w:sz="4" w:space="0" w:color="9CC3E5"/>
              <w:left w:val="nil"/>
              <w:bottom w:val="single" w:sz="4" w:space="0" w:color="9CC3E5"/>
              <w:right w:val="nil"/>
            </w:tcBorders>
          </w:tcPr>
          <w:p w14:paraId="0FA244F7" w14:textId="77777777" w:rsidR="00321F34" w:rsidRPr="00D7386D" w:rsidRDefault="00B81591" w:rsidP="00B81591">
            <w:pPr>
              <w:numPr>
                <w:ilvl w:val="0"/>
                <w:numId w:val="3"/>
              </w:numPr>
              <w:pBdr>
                <w:top w:val="nil"/>
                <w:left w:val="nil"/>
                <w:bottom w:val="nil"/>
                <w:right w:val="nil"/>
                <w:between w:val="nil"/>
              </w:pBdr>
              <w:contextualSpacing/>
              <w:rPr>
                <w:rFonts w:ascii="Calibri Light" w:hAnsi="Calibri Light"/>
                <w:color w:val="000000"/>
              </w:rPr>
            </w:pPr>
            <w:r w:rsidRPr="00D7386D">
              <w:rPr>
                <w:rFonts w:ascii="Calibri Light" w:hAnsi="Calibri Light"/>
                <w:color w:val="000000"/>
              </w:rPr>
              <w:t xml:space="preserve">Fecha </w:t>
            </w:r>
          </w:p>
        </w:tc>
        <w:tc>
          <w:tcPr>
            <w:tcW w:w="4918" w:type="dxa"/>
            <w:gridSpan w:val="2"/>
            <w:tcBorders>
              <w:top w:val="single" w:sz="4" w:space="0" w:color="9CC3E5"/>
              <w:left w:val="nil"/>
              <w:bottom w:val="single" w:sz="4" w:space="0" w:color="9CC3E5"/>
              <w:right w:val="nil"/>
            </w:tcBorders>
            <w:vAlign w:val="center"/>
          </w:tcPr>
          <w:p w14:paraId="5F3C630A" w14:textId="77777777" w:rsidR="00321F34" w:rsidRPr="00D7386D" w:rsidRDefault="00B81591" w:rsidP="00B81591">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D7386D">
              <w:rPr>
                <w:rFonts w:ascii="Calibri Light" w:hAnsi="Calibri Light"/>
              </w:rPr>
              <w:t>05 de julio de 2017</w:t>
            </w:r>
          </w:p>
        </w:tc>
      </w:tr>
      <w:tr w:rsidR="00321F34" w:rsidRPr="00D7386D" w14:paraId="566E74BF" w14:textId="77777777" w:rsidTr="00321F34">
        <w:trPr>
          <w:trHeight w:val="600"/>
        </w:trPr>
        <w:tc>
          <w:tcPr>
            <w:cnfStyle w:val="001000000000" w:firstRow="0" w:lastRow="0" w:firstColumn="1" w:lastColumn="0" w:oddVBand="0" w:evenVBand="0" w:oddHBand="0" w:evenHBand="0" w:firstRowFirstColumn="0" w:firstRowLastColumn="0" w:lastRowFirstColumn="0" w:lastRowLastColumn="0"/>
            <w:tcW w:w="3586" w:type="dxa"/>
            <w:tcBorders>
              <w:top w:val="single" w:sz="4" w:space="0" w:color="9CC3E5"/>
              <w:left w:val="nil"/>
              <w:bottom w:val="single" w:sz="4" w:space="0" w:color="9CC3E5"/>
              <w:right w:val="nil"/>
            </w:tcBorders>
          </w:tcPr>
          <w:p w14:paraId="48FAC468" w14:textId="77777777" w:rsidR="00321F34" w:rsidRPr="00D7386D" w:rsidRDefault="00B81591" w:rsidP="00B81591">
            <w:pPr>
              <w:numPr>
                <w:ilvl w:val="0"/>
                <w:numId w:val="3"/>
              </w:numPr>
              <w:pBdr>
                <w:top w:val="nil"/>
                <w:left w:val="nil"/>
                <w:bottom w:val="nil"/>
                <w:right w:val="nil"/>
                <w:between w:val="nil"/>
              </w:pBdr>
              <w:contextualSpacing/>
              <w:rPr>
                <w:rFonts w:ascii="Calibri Light" w:hAnsi="Calibri Light"/>
                <w:color w:val="000000"/>
              </w:rPr>
            </w:pPr>
            <w:r w:rsidRPr="00D7386D">
              <w:rPr>
                <w:rFonts w:ascii="Calibri Light" w:hAnsi="Calibri Light"/>
                <w:color w:val="000000"/>
              </w:rPr>
              <w:t>Decisiones de la CIDH y/o la Corte IDH, relacionadas</w:t>
            </w:r>
          </w:p>
        </w:tc>
        <w:tc>
          <w:tcPr>
            <w:tcW w:w="4918" w:type="dxa"/>
            <w:gridSpan w:val="2"/>
            <w:tcBorders>
              <w:top w:val="single" w:sz="4" w:space="0" w:color="9CC3E5"/>
              <w:left w:val="nil"/>
              <w:bottom w:val="single" w:sz="4" w:space="0" w:color="9CC3E5"/>
              <w:right w:val="nil"/>
            </w:tcBorders>
            <w:vAlign w:val="center"/>
          </w:tcPr>
          <w:p w14:paraId="1044C34C" w14:textId="77777777" w:rsidR="00321F34" w:rsidRDefault="00B81591" w:rsidP="00B8159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D7386D">
              <w:rPr>
                <w:rFonts w:ascii="Calibri Light" w:hAnsi="Calibri Light"/>
              </w:rPr>
              <w:t>Informe No. 51/08 (</w:t>
            </w:r>
            <w:hyperlink r:id="rId13">
              <w:r w:rsidRPr="00411313">
                <w:rPr>
                  <w:rFonts w:ascii="Calibri Light" w:hAnsi="Calibri Light"/>
                  <w:color w:val="0000FF"/>
                  <w:u w:val="single"/>
                </w:rPr>
                <w:t>Admisibilidad</w:t>
              </w:r>
            </w:hyperlink>
            <w:r w:rsidRPr="00D7386D">
              <w:rPr>
                <w:rFonts w:ascii="Calibri Light" w:hAnsi="Calibri Light"/>
              </w:rPr>
              <w:t>)</w:t>
            </w:r>
          </w:p>
          <w:p w14:paraId="574D9588" w14:textId="28654A71" w:rsidR="002B1CD8" w:rsidRPr="00D7386D" w:rsidRDefault="002B1CD8" w:rsidP="00B8159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Caso Díaz Loreto y otros vs. Venezuela (</w:t>
            </w:r>
            <w:hyperlink r:id="rId14" w:history="1">
              <w:r w:rsidRPr="002B1CD8">
                <w:rPr>
                  <w:rStyle w:val="Hyperlink"/>
                  <w:rFonts w:ascii="Calibri Light" w:hAnsi="Calibri Light"/>
                </w:rPr>
                <w:t>Sentencia de 19 de noviembre de 2019</w:t>
              </w:r>
            </w:hyperlink>
            <w:r>
              <w:rPr>
                <w:rFonts w:ascii="Calibri Light" w:hAnsi="Calibri Light"/>
              </w:rPr>
              <w:t>)</w:t>
            </w:r>
          </w:p>
        </w:tc>
      </w:tr>
      <w:tr w:rsidR="00321F34" w:rsidRPr="00D7386D" w14:paraId="70CDB322" w14:textId="77777777" w:rsidTr="00AE4D4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586" w:type="dxa"/>
            <w:vMerge w:val="restart"/>
            <w:tcBorders>
              <w:top w:val="single" w:sz="4" w:space="0" w:color="9CC3E5"/>
              <w:left w:val="nil"/>
              <w:right w:val="nil"/>
            </w:tcBorders>
          </w:tcPr>
          <w:p w14:paraId="6681A444" w14:textId="77777777" w:rsidR="00321F34" w:rsidRPr="00D7386D" w:rsidRDefault="00B81591" w:rsidP="00B81591">
            <w:pPr>
              <w:numPr>
                <w:ilvl w:val="0"/>
                <w:numId w:val="3"/>
              </w:numPr>
              <w:pBdr>
                <w:top w:val="nil"/>
                <w:left w:val="nil"/>
                <w:bottom w:val="nil"/>
                <w:right w:val="nil"/>
                <w:between w:val="nil"/>
              </w:pBdr>
              <w:contextualSpacing/>
              <w:rPr>
                <w:rFonts w:ascii="Calibri Light" w:hAnsi="Calibri Light"/>
                <w:color w:val="000000"/>
              </w:rPr>
            </w:pPr>
            <w:r w:rsidRPr="00D7386D">
              <w:rPr>
                <w:rFonts w:ascii="Calibri Light" w:hAnsi="Calibri Light"/>
                <w:color w:val="000000"/>
              </w:rPr>
              <w:t xml:space="preserve">Artículos analizados </w:t>
            </w:r>
          </w:p>
        </w:tc>
        <w:tc>
          <w:tcPr>
            <w:tcW w:w="4918" w:type="dxa"/>
            <w:gridSpan w:val="2"/>
            <w:tcBorders>
              <w:top w:val="single" w:sz="4" w:space="0" w:color="9CC3E5"/>
              <w:left w:val="nil"/>
              <w:bottom w:val="single" w:sz="4" w:space="0" w:color="9CC3E5"/>
              <w:right w:val="nil"/>
            </w:tcBorders>
            <w:vAlign w:val="center"/>
          </w:tcPr>
          <w:p w14:paraId="1687BF97" w14:textId="77777777" w:rsidR="00321F34" w:rsidRPr="00D7386D" w:rsidRDefault="00B81591" w:rsidP="00B81591">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D7386D">
              <w:rPr>
                <w:rFonts w:ascii="Calibri Light" w:hAnsi="Calibri Light"/>
              </w:rPr>
              <w:t>Convención Americana sobre Derechos Humanos</w:t>
            </w:r>
          </w:p>
        </w:tc>
      </w:tr>
      <w:tr w:rsidR="00321F34" w:rsidRPr="00D7386D" w14:paraId="7387E535" w14:textId="77777777" w:rsidTr="00321F34">
        <w:trPr>
          <w:trHeight w:val="600"/>
        </w:trPr>
        <w:tc>
          <w:tcPr>
            <w:cnfStyle w:val="001000000000" w:firstRow="0" w:lastRow="0" w:firstColumn="1" w:lastColumn="0" w:oddVBand="0" w:evenVBand="0" w:oddHBand="0" w:evenHBand="0" w:firstRowFirstColumn="0" w:firstRowLastColumn="0" w:lastRowFirstColumn="0" w:lastRowLastColumn="0"/>
            <w:tcW w:w="3586" w:type="dxa"/>
            <w:vMerge/>
            <w:tcBorders>
              <w:top w:val="single" w:sz="4" w:space="0" w:color="9CC3E5"/>
              <w:left w:val="nil"/>
              <w:right w:val="nil"/>
            </w:tcBorders>
          </w:tcPr>
          <w:p w14:paraId="1E5E10CC" w14:textId="77777777" w:rsidR="00321F34" w:rsidRPr="00D7386D" w:rsidRDefault="00321F34" w:rsidP="00B81591">
            <w:pPr>
              <w:widowControl w:val="0"/>
              <w:pBdr>
                <w:top w:val="nil"/>
                <w:left w:val="nil"/>
                <w:bottom w:val="nil"/>
                <w:right w:val="nil"/>
                <w:between w:val="nil"/>
              </w:pBdr>
              <w:rPr>
                <w:rFonts w:ascii="Calibri Light" w:hAnsi="Calibri Light"/>
              </w:rPr>
            </w:pPr>
          </w:p>
        </w:tc>
        <w:tc>
          <w:tcPr>
            <w:tcW w:w="2343" w:type="dxa"/>
            <w:tcBorders>
              <w:top w:val="single" w:sz="4" w:space="0" w:color="9CC3E5"/>
              <w:left w:val="nil"/>
              <w:bottom w:val="single" w:sz="4" w:space="0" w:color="9CC3E5"/>
              <w:right w:val="nil"/>
            </w:tcBorders>
            <w:vAlign w:val="center"/>
          </w:tcPr>
          <w:p w14:paraId="19B715E3" w14:textId="77777777" w:rsidR="00321F34" w:rsidRPr="00D7386D" w:rsidRDefault="00B81591" w:rsidP="00B8159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D7386D">
              <w:rPr>
                <w:rFonts w:ascii="Calibri Light" w:hAnsi="Calibri Light"/>
              </w:rPr>
              <w:t>Artículos analizados declarados violados</w:t>
            </w:r>
          </w:p>
        </w:tc>
        <w:tc>
          <w:tcPr>
            <w:tcW w:w="2575" w:type="dxa"/>
            <w:tcBorders>
              <w:top w:val="single" w:sz="4" w:space="0" w:color="9CC3E5"/>
              <w:left w:val="nil"/>
              <w:bottom w:val="single" w:sz="4" w:space="0" w:color="9CC3E5"/>
              <w:right w:val="nil"/>
            </w:tcBorders>
            <w:vAlign w:val="center"/>
          </w:tcPr>
          <w:p w14:paraId="1FCF6CA6" w14:textId="77777777" w:rsidR="00321F34" w:rsidRPr="00D7386D" w:rsidRDefault="00B81591" w:rsidP="00B8159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D7386D">
              <w:rPr>
                <w:rFonts w:ascii="Calibri Light" w:hAnsi="Calibri Light"/>
              </w:rPr>
              <w:t>Artículos analizados no declarados violados</w:t>
            </w:r>
          </w:p>
        </w:tc>
      </w:tr>
      <w:tr w:rsidR="00321F34" w:rsidRPr="00D7386D" w14:paraId="1B7F04AA" w14:textId="77777777" w:rsidTr="00321F3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586" w:type="dxa"/>
            <w:vMerge/>
            <w:tcBorders>
              <w:top w:val="single" w:sz="4" w:space="0" w:color="9CC3E5"/>
              <w:left w:val="nil"/>
              <w:right w:val="nil"/>
            </w:tcBorders>
          </w:tcPr>
          <w:p w14:paraId="3F711857" w14:textId="77777777" w:rsidR="00321F34" w:rsidRPr="00D7386D" w:rsidRDefault="00321F34" w:rsidP="00B81591">
            <w:pPr>
              <w:widowControl w:val="0"/>
              <w:pBdr>
                <w:top w:val="nil"/>
                <w:left w:val="nil"/>
                <w:bottom w:val="nil"/>
                <w:right w:val="nil"/>
                <w:between w:val="nil"/>
              </w:pBdr>
              <w:rPr>
                <w:rFonts w:ascii="Calibri Light" w:hAnsi="Calibri Light"/>
              </w:rPr>
            </w:pPr>
          </w:p>
        </w:tc>
        <w:tc>
          <w:tcPr>
            <w:tcW w:w="2343" w:type="dxa"/>
            <w:tcBorders>
              <w:top w:val="single" w:sz="4" w:space="0" w:color="9CC3E5"/>
              <w:left w:val="nil"/>
              <w:bottom w:val="single" w:sz="4" w:space="0" w:color="9CC3E5"/>
              <w:right w:val="nil"/>
            </w:tcBorders>
            <w:vAlign w:val="center"/>
          </w:tcPr>
          <w:p w14:paraId="70BFA5A2" w14:textId="77777777" w:rsidR="00321F34" w:rsidRPr="00D7386D" w:rsidRDefault="00B81591" w:rsidP="00B81591">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D7386D">
              <w:rPr>
                <w:rFonts w:ascii="Calibri Light" w:hAnsi="Calibri Light"/>
                <w:lang w:val="en-US"/>
              </w:rPr>
              <w:t>Art. 1, art. 4, art. 5, art. 7, art. 8, art. 25</w:t>
            </w:r>
          </w:p>
        </w:tc>
        <w:tc>
          <w:tcPr>
            <w:tcW w:w="2575" w:type="dxa"/>
            <w:tcBorders>
              <w:top w:val="single" w:sz="4" w:space="0" w:color="9CC3E5"/>
              <w:left w:val="nil"/>
              <w:bottom w:val="single" w:sz="4" w:space="0" w:color="9CC3E5"/>
              <w:right w:val="nil"/>
            </w:tcBorders>
            <w:vAlign w:val="center"/>
          </w:tcPr>
          <w:p w14:paraId="03422480" w14:textId="77777777" w:rsidR="00321F34" w:rsidRPr="00D7386D" w:rsidRDefault="00B81591" w:rsidP="00B81591">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D7386D">
              <w:rPr>
                <w:rFonts w:ascii="Calibri Light" w:hAnsi="Calibri Light"/>
              </w:rPr>
              <w:t>-</w:t>
            </w:r>
          </w:p>
        </w:tc>
      </w:tr>
      <w:tr w:rsidR="00321F34" w:rsidRPr="00D7386D" w14:paraId="25C896A2" w14:textId="77777777" w:rsidTr="00321F34">
        <w:trPr>
          <w:trHeight w:val="260"/>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3E5"/>
              <w:left w:val="nil"/>
              <w:bottom w:val="single" w:sz="4" w:space="0" w:color="9CC3E5"/>
              <w:right w:val="nil"/>
            </w:tcBorders>
          </w:tcPr>
          <w:p w14:paraId="72E2B025" w14:textId="77777777" w:rsidR="00321F34" w:rsidRPr="00D7386D" w:rsidRDefault="00321F34" w:rsidP="00B81591">
            <w:pPr>
              <w:pBdr>
                <w:top w:val="nil"/>
                <w:left w:val="nil"/>
                <w:bottom w:val="nil"/>
                <w:right w:val="nil"/>
                <w:between w:val="nil"/>
              </w:pBdr>
              <w:ind w:left="720" w:hanging="720"/>
              <w:rPr>
                <w:rFonts w:ascii="Calibri Light" w:hAnsi="Calibri Light"/>
                <w:color w:val="000000"/>
              </w:rPr>
            </w:pPr>
          </w:p>
          <w:p w14:paraId="7D8C69BB" w14:textId="77777777" w:rsidR="00321F34" w:rsidRPr="00D7386D" w:rsidRDefault="00B81591" w:rsidP="00B81591">
            <w:pPr>
              <w:numPr>
                <w:ilvl w:val="0"/>
                <w:numId w:val="2"/>
              </w:numPr>
              <w:pBdr>
                <w:top w:val="nil"/>
                <w:left w:val="nil"/>
                <w:bottom w:val="nil"/>
                <w:right w:val="nil"/>
                <w:between w:val="nil"/>
              </w:pBdr>
              <w:contextualSpacing/>
              <w:jc w:val="center"/>
              <w:rPr>
                <w:rFonts w:ascii="Calibri Light" w:hAnsi="Calibri Light"/>
                <w:color w:val="000000"/>
              </w:rPr>
            </w:pPr>
            <w:r w:rsidRPr="00D7386D">
              <w:rPr>
                <w:rFonts w:ascii="Calibri Light" w:hAnsi="Calibri Light"/>
                <w:color w:val="000000"/>
              </w:rPr>
              <w:t>Sumilla</w:t>
            </w:r>
          </w:p>
          <w:p w14:paraId="0EC13987" w14:textId="77777777" w:rsidR="00321F34" w:rsidRPr="00D7386D" w:rsidRDefault="00321F34" w:rsidP="00B81591">
            <w:pPr>
              <w:pBdr>
                <w:top w:val="nil"/>
                <w:left w:val="nil"/>
                <w:bottom w:val="nil"/>
                <w:right w:val="nil"/>
                <w:between w:val="nil"/>
              </w:pBdr>
              <w:ind w:left="720" w:hanging="720"/>
              <w:rPr>
                <w:rFonts w:ascii="Calibri Light" w:hAnsi="Calibri Light"/>
                <w:color w:val="000000"/>
              </w:rPr>
            </w:pPr>
          </w:p>
        </w:tc>
      </w:tr>
      <w:tr w:rsidR="00321F34" w:rsidRPr="00D7386D" w14:paraId="69FB9DCF" w14:textId="77777777" w:rsidTr="00321F34">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3E5"/>
              <w:left w:val="nil"/>
              <w:bottom w:val="single" w:sz="4" w:space="0" w:color="9CC3E5"/>
              <w:right w:val="nil"/>
            </w:tcBorders>
          </w:tcPr>
          <w:p w14:paraId="1B478D3C" w14:textId="77777777" w:rsidR="00321F34" w:rsidRPr="00D7386D" w:rsidRDefault="00321F34" w:rsidP="00B81591">
            <w:pPr>
              <w:jc w:val="both"/>
              <w:rPr>
                <w:rFonts w:ascii="Calibri Light" w:hAnsi="Calibri Light"/>
              </w:rPr>
            </w:pPr>
          </w:p>
          <w:p w14:paraId="2301FC1C" w14:textId="596316DE" w:rsidR="00321F34" w:rsidRPr="00D7386D" w:rsidRDefault="00B81591" w:rsidP="00B81591">
            <w:pPr>
              <w:jc w:val="both"/>
              <w:rPr>
                <w:rFonts w:ascii="Calibri Light" w:hAnsi="Calibri Light"/>
              </w:rPr>
            </w:pPr>
            <w:r w:rsidRPr="00D7386D">
              <w:rPr>
                <w:rFonts w:ascii="Calibri Light" w:hAnsi="Calibri Light"/>
                <w:b w:val="0"/>
              </w:rPr>
              <w:t xml:space="preserve">El caso </w:t>
            </w:r>
            <w:r w:rsidR="00411313">
              <w:rPr>
                <w:rFonts w:ascii="Calibri Light" w:hAnsi="Calibri Light"/>
                <w:b w:val="0"/>
              </w:rPr>
              <w:t xml:space="preserve">trata sobre </w:t>
            </w:r>
            <w:r w:rsidRPr="00D7386D">
              <w:rPr>
                <w:rFonts w:ascii="Calibri Light" w:hAnsi="Calibri Light"/>
                <w:b w:val="0"/>
              </w:rPr>
              <w:t xml:space="preserve">la </w:t>
            </w:r>
            <w:r w:rsidR="00E769D5">
              <w:rPr>
                <w:rFonts w:ascii="Calibri Light" w:hAnsi="Calibri Light"/>
                <w:b w:val="0"/>
              </w:rPr>
              <w:t>muerte</w:t>
            </w:r>
            <w:r w:rsidRPr="00D7386D">
              <w:rPr>
                <w:rFonts w:ascii="Calibri Light" w:hAnsi="Calibri Light"/>
                <w:b w:val="0"/>
              </w:rPr>
              <w:t xml:space="preserve"> de Robert Díaz Loreto, David Díaz Loreto y Octavio Díaz Álvarez</w:t>
            </w:r>
            <w:r w:rsidR="00E769D5">
              <w:rPr>
                <w:rFonts w:ascii="Calibri Light" w:hAnsi="Calibri Light"/>
                <w:b w:val="0"/>
              </w:rPr>
              <w:t xml:space="preserve">, en un contexto en el que existía un patrón sistemático de ejecuciones extrajudiciales en Venezuela. Respecto de los hechos, existieron dos versiones. De acuerdo a la primera versión, los señores Díaz Loreto y el señor Díaz Álvarez fallecieron en medio de un enfrentamiento con agentes policiales. Según la segunda versión, fueron ejecutados extrajudicialmente. El proceso iniciado por estos hechos absolvió inicialmente a los presuntos responsables. No obstante, posteriormente, fue anulado y se ordenó emitir una sentencia que todavía estaría pendiente. </w:t>
            </w:r>
          </w:p>
          <w:p w14:paraId="1E317253" w14:textId="77777777" w:rsidR="00321F34" w:rsidRPr="00D7386D" w:rsidRDefault="00321F34" w:rsidP="00B81591">
            <w:pPr>
              <w:jc w:val="both"/>
              <w:rPr>
                <w:rFonts w:ascii="Calibri Light" w:hAnsi="Calibri Light"/>
              </w:rPr>
            </w:pPr>
          </w:p>
        </w:tc>
      </w:tr>
      <w:tr w:rsidR="00321F34" w:rsidRPr="00D7386D" w14:paraId="11074DB7" w14:textId="77777777" w:rsidTr="00321F34">
        <w:trPr>
          <w:trHeight w:val="260"/>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3E5"/>
              <w:left w:val="nil"/>
              <w:bottom w:val="single" w:sz="4" w:space="0" w:color="9CC3E5"/>
              <w:right w:val="nil"/>
            </w:tcBorders>
          </w:tcPr>
          <w:p w14:paraId="74E20F39" w14:textId="77777777" w:rsidR="00321F34" w:rsidRPr="00D7386D" w:rsidRDefault="00321F34" w:rsidP="00B81591">
            <w:pPr>
              <w:pBdr>
                <w:top w:val="nil"/>
                <w:left w:val="nil"/>
                <w:bottom w:val="nil"/>
                <w:right w:val="nil"/>
                <w:between w:val="nil"/>
              </w:pBdr>
              <w:ind w:left="720" w:hanging="720"/>
              <w:rPr>
                <w:rFonts w:ascii="Calibri Light" w:hAnsi="Calibri Light"/>
                <w:color w:val="000000"/>
              </w:rPr>
            </w:pPr>
          </w:p>
          <w:p w14:paraId="1F6EF5AB" w14:textId="77777777" w:rsidR="00321F34" w:rsidRPr="00D7386D" w:rsidRDefault="00B81591" w:rsidP="00B81591">
            <w:pPr>
              <w:numPr>
                <w:ilvl w:val="0"/>
                <w:numId w:val="2"/>
              </w:numPr>
              <w:pBdr>
                <w:top w:val="nil"/>
                <w:left w:val="nil"/>
                <w:bottom w:val="nil"/>
                <w:right w:val="nil"/>
                <w:between w:val="nil"/>
              </w:pBdr>
              <w:contextualSpacing/>
              <w:jc w:val="center"/>
              <w:rPr>
                <w:rFonts w:ascii="Calibri Light" w:hAnsi="Calibri Light"/>
                <w:color w:val="000000"/>
              </w:rPr>
            </w:pPr>
            <w:r w:rsidRPr="00D7386D">
              <w:rPr>
                <w:rFonts w:ascii="Calibri Light" w:hAnsi="Calibri Light"/>
                <w:color w:val="000000"/>
              </w:rPr>
              <w:t>Palabras clave</w:t>
            </w:r>
          </w:p>
          <w:p w14:paraId="7ED3739D" w14:textId="77777777" w:rsidR="00321F34" w:rsidRPr="00D7386D" w:rsidRDefault="00321F34" w:rsidP="00B81591">
            <w:pPr>
              <w:pBdr>
                <w:top w:val="nil"/>
                <w:left w:val="nil"/>
                <w:bottom w:val="nil"/>
                <w:right w:val="nil"/>
                <w:between w:val="nil"/>
              </w:pBdr>
              <w:ind w:left="720" w:hanging="720"/>
              <w:rPr>
                <w:rFonts w:ascii="Calibri Light" w:hAnsi="Calibri Light"/>
                <w:color w:val="000000"/>
              </w:rPr>
            </w:pPr>
          </w:p>
        </w:tc>
      </w:tr>
      <w:tr w:rsidR="00321F34" w:rsidRPr="00D7386D" w14:paraId="677FD5EA" w14:textId="77777777" w:rsidTr="00321F34">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3E5"/>
              <w:left w:val="nil"/>
              <w:bottom w:val="single" w:sz="4" w:space="0" w:color="9CC3E5"/>
              <w:right w:val="nil"/>
            </w:tcBorders>
          </w:tcPr>
          <w:p w14:paraId="603D2CBC" w14:textId="77777777" w:rsidR="00321F34" w:rsidRPr="00D7386D" w:rsidRDefault="00321F34" w:rsidP="00B81591">
            <w:pPr>
              <w:jc w:val="both"/>
              <w:rPr>
                <w:rFonts w:ascii="Calibri Light" w:hAnsi="Calibri Light"/>
              </w:rPr>
            </w:pPr>
          </w:p>
          <w:p w14:paraId="25EA1E89" w14:textId="77777777" w:rsidR="00321F34" w:rsidRPr="00D7386D" w:rsidRDefault="00B81591" w:rsidP="00B81591">
            <w:pPr>
              <w:jc w:val="both"/>
              <w:rPr>
                <w:rFonts w:ascii="Calibri Light" w:hAnsi="Calibri Light"/>
              </w:rPr>
            </w:pPr>
            <w:r w:rsidRPr="00D7386D">
              <w:rPr>
                <w:rFonts w:ascii="Calibri Light" w:hAnsi="Calibri Light"/>
                <w:b w:val="0"/>
              </w:rPr>
              <w:t>Integridad personal, Ejecución extrajudicial, Protección judicial y garantías judiciales, Uso de la fuerza, Vida</w:t>
            </w:r>
          </w:p>
          <w:p w14:paraId="21A23960" w14:textId="77777777" w:rsidR="00321F34" w:rsidRPr="00D7386D" w:rsidRDefault="00321F34" w:rsidP="00B81591">
            <w:pPr>
              <w:jc w:val="both"/>
              <w:rPr>
                <w:rFonts w:ascii="Calibri Light" w:hAnsi="Calibri Light"/>
              </w:rPr>
            </w:pPr>
          </w:p>
        </w:tc>
      </w:tr>
      <w:tr w:rsidR="00321F34" w:rsidRPr="00D7386D" w14:paraId="39512834" w14:textId="77777777" w:rsidTr="00321F34">
        <w:trPr>
          <w:trHeight w:val="260"/>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3E5"/>
              <w:left w:val="nil"/>
              <w:bottom w:val="single" w:sz="4" w:space="0" w:color="9CC3E5"/>
              <w:right w:val="nil"/>
            </w:tcBorders>
          </w:tcPr>
          <w:p w14:paraId="2E3E5B22" w14:textId="77777777" w:rsidR="00321F34" w:rsidRPr="00D7386D" w:rsidRDefault="00321F34" w:rsidP="00B81591">
            <w:pPr>
              <w:rPr>
                <w:rFonts w:ascii="Calibri Light" w:hAnsi="Calibri Light"/>
              </w:rPr>
            </w:pPr>
          </w:p>
          <w:p w14:paraId="293AFB20" w14:textId="77777777" w:rsidR="00321F34" w:rsidRPr="00D7386D" w:rsidRDefault="00B81591" w:rsidP="00B81591">
            <w:pPr>
              <w:numPr>
                <w:ilvl w:val="0"/>
                <w:numId w:val="2"/>
              </w:numPr>
              <w:pBdr>
                <w:top w:val="nil"/>
                <w:left w:val="nil"/>
                <w:bottom w:val="nil"/>
                <w:right w:val="nil"/>
                <w:between w:val="nil"/>
              </w:pBdr>
              <w:contextualSpacing/>
              <w:jc w:val="center"/>
              <w:rPr>
                <w:rFonts w:ascii="Calibri Light" w:hAnsi="Calibri Light"/>
                <w:color w:val="000000"/>
              </w:rPr>
            </w:pPr>
            <w:r w:rsidRPr="00D7386D">
              <w:rPr>
                <w:rFonts w:ascii="Calibri Light" w:hAnsi="Calibri Light"/>
                <w:color w:val="000000"/>
              </w:rPr>
              <w:t>Hechos</w:t>
            </w:r>
          </w:p>
          <w:p w14:paraId="56C0B0F2" w14:textId="77777777" w:rsidR="00321F34" w:rsidRPr="00D7386D" w:rsidRDefault="00321F34" w:rsidP="00B81591">
            <w:pPr>
              <w:pBdr>
                <w:top w:val="nil"/>
                <w:left w:val="nil"/>
                <w:bottom w:val="nil"/>
                <w:right w:val="nil"/>
                <w:between w:val="nil"/>
              </w:pBdr>
              <w:ind w:left="720" w:hanging="720"/>
              <w:rPr>
                <w:rFonts w:ascii="Calibri Light" w:hAnsi="Calibri Light"/>
                <w:color w:val="000000"/>
              </w:rPr>
            </w:pPr>
          </w:p>
        </w:tc>
      </w:tr>
      <w:tr w:rsidR="00321F34" w:rsidRPr="00D7386D" w14:paraId="0CB1DA64" w14:textId="77777777" w:rsidTr="00321F34">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3E5"/>
              <w:left w:val="nil"/>
              <w:bottom w:val="single" w:sz="4" w:space="0" w:color="9CC3E5"/>
              <w:right w:val="nil"/>
            </w:tcBorders>
          </w:tcPr>
          <w:p w14:paraId="79802921" w14:textId="77777777" w:rsidR="00321F34" w:rsidRPr="00D7386D" w:rsidRDefault="00321F34" w:rsidP="00B81591">
            <w:pPr>
              <w:jc w:val="both"/>
              <w:rPr>
                <w:rFonts w:ascii="Calibri Light" w:hAnsi="Calibri Light"/>
              </w:rPr>
            </w:pPr>
          </w:p>
          <w:p w14:paraId="5C77E942" w14:textId="6C127F55" w:rsidR="00321F34" w:rsidRPr="00D7386D" w:rsidRDefault="00B81591" w:rsidP="00B81591">
            <w:pPr>
              <w:jc w:val="both"/>
              <w:rPr>
                <w:rFonts w:ascii="Calibri Light" w:hAnsi="Calibri Light"/>
              </w:rPr>
            </w:pPr>
            <w:r w:rsidRPr="00D7386D">
              <w:rPr>
                <w:rFonts w:ascii="Calibri Light" w:hAnsi="Calibri Light"/>
                <w:b w:val="0"/>
              </w:rPr>
              <w:t xml:space="preserve">A inicios de la década del 2000, en Venezuela </w:t>
            </w:r>
            <w:r w:rsidR="00743ABF" w:rsidRPr="00D7386D">
              <w:rPr>
                <w:rFonts w:ascii="Calibri Light" w:hAnsi="Calibri Light"/>
                <w:b w:val="0"/>
              </w:rPr>
              <w:t>existía</w:t>
            </w:r>
            <w:r w:rsidRPr="00D7386D">
              <w:rPr>
                <w:rFonts w:ascii="Calibri Light" w:hAnsi="Calibri Light"/>
                <w:b w:val="0"/>
              </w:rPr>
              <w:t xml:space="preserve"> un patrón de ejecuciones extrajudiciales cometidas por agentes estatales y/o grupos parapoliciales bajo su aquiescencia o colaboración. En este contexto, se produjo la muerte de Robert Díaz Loreto, David Díaz Loreto y su p</w:t>
            </w:r>
            <w:r w:rsidR="00D7386D">
              <w:rPr>
                <w:rFonts w:ascii="Calibri Light" w:hAnsi="Calibri Light"/>
                <w:b w:val="0"/>
              </w:rPr>
              <w:t xml:space="preserve">adre, Octavio Díaz Álvarez, el </w:t>
            </w:r>
            <w:r w:rsidRPr="00D7386D">
              <w:rPr>
                <w:rFonts w:ascii="Calibri Light" w:hAnsi="Calibri Light"/>
                <w:b w:val="0"/>
              </w:rPr>
              <w:t xml:space="preserve">6 de enero de 2003. Respecto a </w:t>
            </w:r>
            <w:r w:rsidR="009560E7" w:rsidRPr="00D7386D">
              <w:rPr>
                <w:rFonts w:ascii="Calibri Light" w:hAnsi="Calibri Light"/>
                <w:b w:val="0"/>
              </w:rPr>
              <w:t xml:space="preserve">las </w:t>
            </w:r>
            <w:r w:rsidRPr="00D7386D">
              <w:rPr>
                <w:rFonts w:ascii="Calibri Light" w:hAnsi="Calibri Light"/>
                <w:b w:val="0"/>
              </w:rPr>
              <w:t xml:space="preserve">circunstancias </w:t>
            </w:r>
            <w:r w:rsidR="009560E7" w:rsidRPr="00D7386D">
              <w:rPr>
                <w:rFonts w:ascii="Calibri Light" w:hAnsi="Calibri Light"/>
                <w:b w:val="0"/>
              </w:rPr>
              <w:t>de</w:t>
            </w:r>
            <w:r w:rsidRPr="00D7386D">
              <w:rPr>
                <w:rFonts w:ascii="Calibri Light" w:hAnsi="Calibri Light"/>
                <w:b w:val="0"/>
              </w:rPr>
              <w:t xml:space="preserve"> sus fallecimientos, </w:t>
            </w:r>
            <w:r w:rsidR="00B64D97" w:rsidRPr="00D7386D">
              <w:rPr>
                <w:rFonts w:ascii="Calibri Light" w:hAnsi="Calibri Light"/>
                <w:b w:val="0"/>
              </w:rPr>
              <w:t xml:space="preserve">existieron </w:t>
            </w:r>
            <w:r w:rsidRPr="00D7386D">
              <w:rPr>
                <w:rFonts w:ascii="Calibri Light" w:hAnsi="Calibri Light"/>
                <w:b w:val="0"/>
              </w:rPr>
              <w:t>dos versiones</w:t>
            </w:r>
            <w:r w:rsidR="00B64D97" w:rsidRPr="00D7386D">
              <w:rPr>
                <w:rFonts w:ascii="Calibri Light" w:hAnsi="Calibri Light"/>
                <w:b w:val="0"/>
              </w:rPr>
              <w:t>. De un lado,</w:t>
            </w:r>
            <w:r w:rsidRPr="00D7386D">
              <w:rPr>
                <w:rFonts w:ascii="Calibri Light" w:hAnsi="Calibri Light"/>
                <w:b w:val="0"/>
              </w:rPr>
              <w:t xml:space="preserve"> la versión oficial del Cuerpo de Seguridad y Orden Público del estado de Aragua (CSOPEA), y</w:t>
            </w:r>
            <w:r w:rsidR="00B64D97" w:rsidRPr="00D7386D">
              <w:rPr>
                <w:rFonts w:ascii="Calibri Light" w:hAnsi="Calibri Light"/>
                <w:b w:val="0"/>
              </w:rPr>
              <w:t xml:space="preserve"> de otro,</w:t>
            </w:r>
            <w:r w:rsidRPr="00D7386D">
              <w:rPr>
                <w:rFonts w:ascii="Calibri Light" w:hAnsi="Calibri Light"/>
                <w:b w:val="0"/>
              </w:rPr>
              <w:t xml:space="preserve"> la versión </w:t>
            </w:r>
            <w:r w:rsidR="004E64B4" w:rsidRPr="00D7386D">
              <w:rPr>
                <w:rFonts w:ascii="Calibri Light" w:hAnsi="Calibri Light"/>
                <w:b w:val="0"/>
              </w:rPr>
              <w:t xml:space="preserve">de testigos externos al CSOPEA </w:t>
            </w:r>
            <w:r w:rsidRPr="00D7386D">
              <w:rPr>
                <w:rFonts w:ascii="Calibri Light" w:hAnsi="Calibri Light"/>
                <w:b w:val="0"/>
              </w:rPr>
              <w:t xml:space="preserve">relativa a </w:t>
            </w:r>
            <w:r w:rsidR="0067345E" w:rsidRPr="00D7386D">
              <w:rPr>
                <w:rFonts w:ascii="Calibri Light" w:hAnsi="Calibri Light"/>
                <w:b w:val="0"/>
              </w:rPr>
              <w:t>supuestas</w:t>
            </w:r>
            <w:r w:rsidRPr="00D7386D">
              <w:rPr>
                <w:rFonts w:ascii="Calibri Light" w:hAnsi="Calibri Light"/>
                <w:b w:val="0"/>
              </w:rPr>
              <w:t xml:space="preserve"> ejecu</w:t>
            </w:r>
            <w:r w:rsidR="0067345E" w:rsidRPr="00D7386D">
              <w:rPr>
                <w:rFonts w:ascii="Calibri Light" w:hAnsi="Calibri Light"/>
                <w:b w:val="0"/>
              </w:rPr>
              <w:t>ciones</w:t>
            </w:r>
            <w:r w:rsidRPr="00D7386D">
              <w:rPr>
                <w:rFonts w:ascii="Calibri Light" w:hAnsi="Calibri Light"/>
                <w:b w:val="0"/>
              </w:rPr>
              <w:t xml:space="preserve"> extrajudicial</w:t>
            </w:r>
            <w:r w:rsidR="0067345E" w:rsidRPr="00D7386D">
              <w:rPr>
                <w:rFonts w:ascii="Calibri Light" w:hAnsi="Calibri Light"/>
                <w:b w:val="0"/>
              </w:rPr>
              <w:t>es</w:t>
            </w:r>
            <w:r w:rsidRPr="00D7386D">
              <w:rPr>
                <w:rFonts w:ascii="Calibri Light" w:hAnsi="Calibri Light"/>
                <w:b w:val="0"/>
              </w:rPr>
              <w:t>.</w:t>
            </w:r>
          </w:p>
          <w:p w14:paraId="7F3C826F" w14:textId="77777777" w:rsidR="00321F34" w:rsidRPr="00D7386D" w:rsidRDefault="00321F34" w:rsidP="00B81591">
            <w:pPr>
              <w:jc w:val="both"/>
              <w:rPr>
                <w:rFonts w:ascii="Calibri Light" w:hAnsi="Calibri Light"/>
              </w:rPr>
            </w:pPr>
          </w:p>
          <w:p w14:paraId="4F64C706" w14:textId="1CAE235C" w:rsidR="00321F34" w:rsidRPr="00D7386D" w:rsidRDefault="00B81591" w:rsidP="00B81591">
            <w:pPr>
              <w:jc w:val="both"/>
              <w:rPr>
                <w:rFonts w:ascii="Calibri Light" w:hAnsi="Calibri Light"/>
              </w:rPr>
            </w:pPr>
            <w:r w:rsidRPr="00D7386D">
              <w:rPr>
                <w:rFonts w:ascii="Calibri Light" w:hAnsi="Calibri Light"/>
                <w:b w:val="0"/>
              </w:rPr>
              <w:t>Según la versión del CSOPEA, las muertes se produjeron en el marco de un operativo</w:t>
            </w:r>
            <w:r w:rsidR="0010327D" w:rsidRPr="00D7386D">
              <w:rPr>
                <w:rFonts w:ascii="Calibri Light" w:hAnsi="Calibri Light"/>
                <w:b w:val="0"/>
              </w:rPr>
              <w:t xml:space="preserve"> para atender una denuncia de robo </w:t>
            </w:r>
            <w:r w:rsidR="00D7386D">
              <w:rPr>
                <w:rFonts w:ascii="Calibri Light" w:hAnsi="Calibri Light"/>
                <w:b w:val="0"/>
              </w:rPr>
              <w:t>efectuada por</w:t>
            </w:r>
            <w:r w:rsidR="0010327D" w:rsidRPr="00D7386D">
              <w:rPr>
                <w:rFonts w:ascii="Calibri Light" w:hAnsi="Calibri Light"/>
                <w:b w:val="0"/>
              </w:rPr>
              <w:t xml:space="preserve"> tres personas qu</w:t>
            </w:r>
            <w:r w:rsidR="00D7386D">
              <w:rPr>
                <w:rFonts w:ascii="Calibri Light" w:hAnsi="Calibri Light"/>
                <w:b w:val="0"/>
              </w:rPr>
              <w:t xml:space="preserve">e </w:t>
            </w:r>
            <w:r w:rsidR="0010327D" w:rsidRPr="00D7386D">
              <w:rPr>
                <w:rFonts w:ascii="Calibri Light" w:hAnsi="Calibri Light"/>
                <w:b w:val="0"/>
              </w:rPr>
              <w:t>serían</w:t>
            </w:r>
            <w:r w:rsidRPr="00D7386D">
              <w:rPr>
                <w:rFonts w:ascii="Calibri Light" w:hAnsi="Calibri Light"/>
                <w:b w:val="0"/>
              </w:rPr>
              <w:t xml:space="preserve"> </w:t>
            </w:r>
            <w:r w:rsidR="00743ABF" w:rsidRPr="00D7386D">
              <w:rPr>
                <w:rFonts w:ascii="Calibri Light" w:hAnsi="Calibri Light"/>
                <w:b w:val="0"/>
              </w:rPr>
              <w:t>los señores Díaz Loreto</w:t>
            </w:r>
            <w:r w:rsidR="008A76A9" w:rsidRPr="00D7386D">
              <w:rPr>
                <w:rFonts w:ascii="Calibri Light" w:hAnsi="Calibri Light"/>
                <w:b w:val="0"/>
              </w:rPr>
              <w:t xml:space="preserve"> y el señor </w:t>
            </w:r>
            <w:r w:rsidR="00743ABF" w:rsidRPr="00D7386D">
              <w:rPr>
                <w:rFonts w:ascii="Calibri Light" w:hAnsi="Calibri Light"/>
                <w:b w:val="0"/>
              </w:rPr>
              <w:t>Díaz Álvarez</w:t>
            </w:r>
            <w:r w:rsidRPr="00D7386D">
              <w:rPr>
                <w:rFonts w:ascii="Calibri Light" w:hAnsi="Calibri Light"/>
                <w:b w:val="0"/>
              </w:rPr>
              <w:t xml:space="preserve">. Según los funcionarios policiales, se provocó un enfrentamiento por el ataque de los dos hermanos y el padre para evitar ser aprehendidos. Cuando los agentes repelieron el ataque, varios impactos de bala habrían herido </w:t>
            </w:r>
            <w:r w:rsidR="00743ABF" w:rsidRPr="00D7386D">
              <w:rPr>
                <w:rFonts w:ascii="Calibri Light" w:hAnsi="Calibri Light"/>
                <w:b w:val="0"/>
              </w:rPr>
              <w:t>a Robert Díaz Loreto</w:t>
            </w:r>
            <w:r w:rsidRPr="00D7386D">
              <w:rPr>
                <w:rFonts w:ascii="Calibri Light" w:hAnsi="Calibri Light"/>
                <w:b w:val="0"/>
              </w:rPr>
              <w:t>, a quien habrían ayudado y llevado al hospital</w:t>
            </w:r>
            <w:r w:rsidR="00B64D97" w:rsidRPr="00D7386D">
              <w:rPr>
                <w:rFonts w:ascii="Calibri Light" w:hAnsi="Calibri Light"/>
                <w:b w:val="0"/>
              </w:rPr>
              <w:t xml:space="preserve">. </w:t>
            </w:r>
            <w:r w:rsidR="00743ABF" w:rsidRPr="00D7386D">
              <w:rPr>
                <w:rFonts w:ascii="Calibri Light" w:hAnsi="Calibri Light"/>
                <w:b w:val="0"/>
              </w:rPr>
              <w:t>David Díaz Loreto</w:t>
            </w:r>
            <w:r w:rsidRPr="00D7386D">
              <w:rPr>
                <w:rFonts w:ascii="Calibri Light" w:hAnsi="Calibri Light"/>
                <w:b w:val="0"/>
              </w:rPr>
              <w:t xml:space="preserve"> y </w:t>
            </w:r>
            <w:r w:rsidR="00743ABF" w:rsidRPr="00D7386D">
              <w:rPr>
                <w:rFonts w:ascii="Calibri Light" w:hAnsi="Calibri Light"/>
                <w:b w:val="0"/>
              </w:rPr>
              <w:t>Octavio Díaz Álvarez</w:t>
            </w:r>
            <w:r w:rsidRPr="00D7386D">
              <w:rPr>
                <w:rFonts w:ascii="Calibri Light" w:hAnsi="Calibri Light"/>
                <w:b w:val="0"/>
              </w:rPr>
              <w:t xml:space="preserve"> se habrían dado a la fuga. Al perseguirlos, se habría generado un nuevo enfrentamiento, en el que padre e hijo resultaron heridos y fueron trasladados al hospital más cercano. </w:t>
            </w:r>
          </w:p>
          <w:p w14:paraId="6833FDD4" w14:textId="77777777" w:rsidR="00321F34" w:rsidRPr="00D7386D" w:rsidRDefault="00321F34" w:rsidP="00B81591">
            <w:pPr>
              <w:jc w:val="both"/>
              <w:rPr>
                <w:rFonts w:ascii="Calibri Light" w:hAnsi="Calibri Light"/>
              </w:rPr>
            </w:pPr>
          </w:p>
          <w:p w14:paraId="14753704" w14:textId="11F44AE9" w:rsidR="00321F34" w:rsidRPr="00D7386D" w:rsidRDefault="00B81591" w:rsidP="00B81591">
            <w:pPr>
              <w:jc w:val="both"/>
              <w:rPr>
                <w:rFonts w:ascii="Calibri Light" w:hAnsi="Calibri Light"/>
              </w:rPr>
            </w:pPr>
            <w:r w:rsidRPr="00D7386D">
              <w:rPr>
                <w:rFonts w:ascii="Calibri Light" w:hAnsi="Calibri Light"/>
                <w:b w:val="0"/>
              </w:rPr>
              <w:t>De acuerdo a la segunda versión, varios testigos afir</w:t>
            </w:r>
            <w:r w:rsidR="00D14B0B" w:rsidRPr="00D7386D">
              <w:rPr>
                <w:rFonts w:ascii="Calibri Light" w:hAnsi="Calibri Light"/>
                <w:b w:val="0"/>
              </w:rPr>
              <w:t>maron que los agentes estatales</w:t>
            </w:r>
            <w:r w:rsidR="00AB1051" w:rsidRPr="00D7386D">
              <w:rPr>
                <w:rFonts w:ascii="Calibri Light" w:hAnsi="Calibri Light"/>
                <w:b w:val="0"/>
              </w:rPr>
              <w:t xml:space="preserve"> llegaron al lugar</w:t>
            </w:r>
            <w:r w:rsidRPr="00D7386D">
              <w:rPr>
                <w:rFonts w:ascii="Calibri Light" w:hAnsi="Calibri Light"/>
                <w:b w:val="0"/>
              </w:rPr>
              <w:t xml:space="preserve"> donde vivía la familia Díaz Lo</w:t>
            </w:r>
            <w:r w:rsidR="00AB1051" w:rsidRPr="00D7386D">
              <w:rPr>
                <w:rFonts w:ascii="Calibri Light" w:hAnsi="Calibri Light"/>
                <w:b w:val="0"/>
              </w:rPr>
              <w:t>reto</w:t>
            </w:r>
            <w:r w:rsidR="00DF6978" w:rsidRPr="00D7386D">
              <w:rPr>
                <w:rFonts w:ascii="Calibri Light" w:hAnsi="Calibri Light"/>
                <w:b w:val="0"/>
              </w:rPr>
              <w:t xml:space="preserve"> y</w:t>
            </w:r>
            <w:r w:rsidRPr="00D7386D">
              <w:rPr>
                <w:rFonts w:ascii="Calibri Light" w:hAnsi="Calibri Light"/>
                <w:b w:val="0"/>
              </w:rPr>
              <w:t xml:space="preserve"> sacaron a</w:t>
            </w:r>
            <w:r w:rsidR="00B64D97" w:rsidRPr="00D7386D">
              <w:rPr>
                <w:rFonts w:ascii="Calibri Light" w:hAnsi="Calibri Light"/>
                <w:b w:val="0"/>
              </w:rPr>
              <w:t xml:space="preserve"> </w:t>
            </w:r>
            <w:r w:rsidR="00743ABF" w:rsidRPr="00D7386D">
              <w:rPr>
                <w:rFonts w:ascii="Calibri Light" w:hAnsi="Calibri Light"/>
                <w:b w:val="0"/>
              </w:rPr>
              <w:t>Robert Díaz Loreto</w:t>
            </w:r>
            <w:r w:rsidRPr="00D7386D">
              <w:rPr>
                <w:rFonts w:ascii="Calibri Light" w:hAnsi="Calibri Light"/>
                <w:b w:val="0"/>
              </w:rPr>
              <w:t xml:space="preserve"> por la fuerza y le dispararon, mientras otros agentes permanecían al interior de la vivienda. </w:t>
            </w:r>
            <w:r w:rsidR="00B64D97" w:rsidRPr="00D7386D">
              <w:rPr>
                <w:rFonts w:ascii="Calibri Light" w:hAnsi="Calibri Light"/>
                <w:b w:val="0"/>
              </w:rPr>
              <w:t>En lugar de trasladarlo</w:t>
            </w:r>
            <w:r w:rsidRPr="00D7386D">
              <w:rPr>
                <w:rFonts w:ascii="Calibri Light" w:hAnsi="Calibri Light"/>
                <w:b w:val="0"/>
              </w:rPr>
              <w:t xml:space="preserve"> al hospital, </w:t>
            </w:r>
            <w:r w:rsidR="00DF6978" w:rsidRPr="00D7386D">
              <w:rPr>
                <w:rFonts w:ascii="Calibri Light" w:hAnsi="Calibri Light"/>
                <w:b w:val="0"/>
              </w:rPr>
              <w:t>lo mantuvieron en la patrulla</w:t>
            </w:r>
            <w:r w:rsidR="00AB1051" w:rsidRPr="00D7386D">
              <w:rPr>
                <w:rFonts w:ascii="Calibri Light" w:hAnsi="Calibri Light"/>
                <w:b w:val="0"/>
              </w:rPr>
              <w:t xml:space="preserve"> dando vueltas por los alrededores</w:t>
            </w:r>
            <w:r w:rsidRPr="00D7386D">
              <w:rPr>
                <w:rFonts w:ascii="Calibri Light" w:hAnsi="Calibri Light"/>
                <w:b w:val="0"/>
              </w:rPr>
              <w:t xml:space="preserve">. </w:t>
            </w:r>
            <w:r w:rsidR="00B51202" w:rsidRPr="00D7386D">
              <w:rPr>
                <w:rFonts w:ascii="Calibri Light" w:hAnsi="Calibri Light"/>
                <w:b w:val="0"/>
              </w:rPr>
              <w:t>Posteriormente</w:t>
            </w:r>
            <w:r w:rsidRPr="00D7386D">
              <w:rPr>
                <w:rFonts w:ascii="Calibri Light" w:hAnsi="Calibri Light"/>
                <w:b w:val="0"/>
              </w:rPr>
              <w:t>, habría sido ingresado a un hospital cercano sin signos vitales.</w:t>
            </w:r>
            <w:r w:rsidR="009560E7" w:rsidRPr="00D7386D">
              <w:rPr>
                <w:rFonts w:ascii="Calibri Light" w:hAnsi="Calibri Light"/>
                <w:b w:val="0"/>
              </w:rPr>
              <w:t xml:space="preserve"> </w:t>
            </w:r>
            <w:r w:rsidRPr="00D7386D">
              <w:rPr>
                <w:rFonts w:ascii="Calibri Light" w:hAnsi="Calibri Light"/>
                <w:b w:val="0"/>
              </w:rPr>
              <w:t>Mientras</w:t>
            </w:r>
            <w:r w:rsidR="00266A53" w:rsidRPr="00D7386D">
              <w:rPr>
                <w:rFonts w:ascii="Calibri Light" w:hAnsi="Calibri Light"/>
                <w:b w:val="0"/>
              </w:rPr>
              <w:t xml:space="preserve"> tanto</w:t>
            </w:r>
            <w:r w:rsidRPr="00D7386D">
              <w:rPr>
                <w:rFonts w:ascii="Calibri Light" w:hAnsi="Calibri Light"/>
                <w:b w:val="0"/>
              </w:rPr>
              <w:t xml:space="preserve">, </w:t>
            </w:r>
            <w:r w:rsidR="00743ABF" w:rsidRPr="00D7386D">
              <w:rPr>
                <w:rFonts w:ascii="Calibri Light" w:hAnsi="Calibri Light"/>
                <w:b w:val="0"/>
              </w:rPr>
              <w:t>David Díaz Loreto</w:t>
            </w:r>
            <w:r w:rsidRPr="00D7386D">
              <w:rPr>
                <w:rFonts w:ascii="Calibri Light" w:hAnsi="Calibri Light"/>
                <w:b w:val="0"/>
              </w:rPr>
              <w:t xml:space="preserve"> y </w:t>
            </w:r>
            <w:r w:rsidR="00743ABF" w:rsidRPr="00D7386D">
              <w:rPr>
                <w:rFonts w:ascii="Calibri Light" w:hAnsi="Calibri Light"/>
                <w:b w:val="0"/>
              </w:rPr>
              <w:t xml:space="preserve">Octavio Díaz </w:t>
            </w:r>
            <w:r w:rsidR="00266A53" w:rsidRPr="00D7386D">
              <w:rPr>
                <w:rFonts w:ascii="Calibri Light" w:hAnsi="Calibri Light"/>
                <w:b w:val="0"/>
              </w:rPr>
              <w:t xml:space="preserve">Álvarez </w:t>
            </w:r>
            <w:r w:rsidRPr="00D7386D">
              <w:rPr>
                <w:rFonts w:ascii="Calibri Light" w:hAnsi="Calibri Light"/>
                <w:b w:val="0"/>
              </w:rPr>
              <w:t xml:space="preserve">habrían salido de su vivienda para dirigirse al </w:t>
            </w:r>
            <w:r w:rsidR="00AB1051" w:rsidRPr="00D7386D">
              <w:rPr>
                <w:rFonts w:ascii="Calibri Light" w:hAnsi="Calibri Light"/>
                <w:b w:val="0"/>
              </w:rPr>
              <w:t>hospital más cercano con el fin de</w:t>
            </w:r>
            <w:r w:rsidRPr="00D7386D">
              <w:rPr>
                <w:rFonts w:ascii="Calibri Light" w:hAnsi="Calibri Light"/>
                <w:b w:val="0"/>
              </w:rPr>
              <w:t xml:space="preserve"> ubicar </w:t>
            </w:r>
            <w:r w:rsidR="00266A53" w:rsidRPr="00D7386D">
              <w:rPr>
                <w:rFonts w:ascii="Calibri Light" w:hAnsi="Calibri Light"/>
                <w:b w:val="0"/>
              </w:rPr>
              <w:t>a su familiar</w:t>
            </w:r>
            <w:r w:rsidRPr="00D7386D">
              <w:rPr>
                <w:rFonts w:ascii="Calibri Light" w:hAnsi="Calibri Light"/>
                <w:b w:val="0"/>
              </w:rPr>
              <w:t xml:space="preserve">. Un vecino declaró haberlos ayudado trasladándolos en su auto, pero </w:t>
            </w:r>
            <w:r w:rsidR="00B64D97" w:rsidRPr="00D7386D">
              <w:rPr>
                <w:rFonts w:ascii="Calibri Light" w:hAnsi="Calibri Light"/>
                <w:b w:val="0"/>
              </w:rPr>
              <w:t xml:space="preserve">precisó </w:t>
            </w:r>
            <w:r w:rsidRPr="00D7386D">
              <w:rPr>
                <w:rFonts w:ascii="Calibri Light" w:hAnsi="Calibri Light"/>
                <w:b w:val="0"/>
              </w:rPr>
              <w:t>que fueron interceptados por agentes policiales que dispararon en contra de</w:t>
            </w:r>
            <w:r w:rsidR="00B64D97" w:rsidRPr="00D7386D">
              <w:rPr>
                <w:rFonts w:ascii="Calibri Light" w:hAnsi="Calibri Light"/>
                <w:b w:val="0"/>
              </w:rPr>
              <w:t xml:space="preserve"> su</w:t>
            </w:r>
            <w:r w:rsidRPr="00D7386D">
              <w:rPr>
                <w:rFonts w:ascii="Calibri Light" w:hAnsi="Calibri Light"/>
                <w:b w:val="0"/>
              </w:rPr>
              <w:t xml:space="preserve"> vehículo. Horas después se supo de la muerte </w:t>
            </w:r>
            <w:r w:rsidR="00266A53" w:rsidRPr="00D7386D">
              <w:rPr>
                <w:rFonts w:ascii="Calibri Light" w:hAnsi="Calibri Light"/>
                <w:b w:val="0"/>
              </w:rPr>
              <w:t>David Díaz Loreto y Octavio Díaz Álvarez</w:t>
            </w:r>
            <w:r w:rsidRPr="00D7386D">
              <w:rPr>
                <w:rFonts w:ascii="Calibri Light" w:hAnsi="Calibri Light"/>
                <w:b w:val="0"/>
              </w:rPr>
              <w:t xml:space="preserve">, quienes </w:t>
            </w:r>
            <w:r w:rsidR="00266A53" w:rsidRPr="00D7386D">
              <w:rPr>
                <w:rFonts w:ascii="Calibri Light" w:hAnsi="Calibri Light"/>
                <w:b w:val="0"/>
              </w:rPr>
              <w:t xml:space="preserve">también </w:t>
            </w:r>
            <w:r w:rsidRPr="00D7386D">
              <w:rPr>
                <w:rFonts w:ascii="Calibri Light" w:hAnsi="Calibri Light"/>
                <w:b w:val="0"/>
              </w:rPr>
              <w:t>habrían sido ingresados al hospital sin signos vitales.</w:t>
            </w:r>
          </w:p>
          <w:p w14:paraId="6FCC3FD6" w14:textId="77777777" w:rsidR="00321F34" w:rsidRPr="00D7386D" w:rsidRDefault="00321F34" w:rsidP="00B81591">
            <w:pPr>
              <w:jc w:val="both"/>
              <w:rPr>
                <w:rFonts w:ascii="Calibri Light" w:hAnsi="Calibri Light"/>
              </w:rPr>
            </w:pPr>
          </w:p>
          <w:p w14:paraId="2A5A7D18" w14:textId="64EAAA8F" w:rsidR="00321F34" w:rsidRPr="00D7386D" w:rsidRDefault="0010327D" w:rsidP="00B81591">
            <w:pPr>
              <w:jc w:val="both"/>
              <w:rPr>
                <w:rFonts w:ascii="Calibri Light" w:hAnsi="Calibri Light"/>
              </w:rPr>
            </w:pPr>
            <w:r w:rsidRPr="00D7386D">
              <w:rPr>
                <w:rFonts w:ascii="Calibri Light" w:hAnsi="Calibri Light"/>
                <w:b w:val="0"/>
              </w:rPr>
              <w:t xml:space="preserve">Por lo sucedido, </w:t>
            </w:r>
            <w:r w:rsidR="00B81591" w:rsidRPr="00D7386D">
              <w:rPr>
                <w:rFonts w:ascii="Calibri Light" w:hAnsi="Calibri Light"/>
                <w:b w:val="0"/>
              </w:rPr>
              <w:t xml:space="preserve">el Cuerpo de Investigaciones Científicas, Penales y Criminalísticas (CICPC) inició </w:t>
            </w:r>
            <w:r w:rsidR="0067345E" w:rsidRPr="00D7386D">
              <w:rPr>
                <w:rFonts w:ascii="Calibri Light" w:hAnsi="Calibri Light"/>
                <w:b w:val="0"/>
              </w:rPr>
              <w:t xml:space="preserve">la investigación </w:t>
            </w:r>
            <w:r w:rsidR="00B81591" w:rsidRPr="00D7386D">
              <w:rPr>
                <w:rFonts w:ascii="Calibri Light" w:hAnsi="Calibri Light"/>
                <w:b w:val="0"/>
              </w:rPr>
              <w:t>con base en la versión del CSOPEA</w:t>
            </w:r>
            <w:r w:rsidR="00593B5B">
              <w:rPr>
                <w:rFonts w:ascii="Calibri Light" w:hAnsi="Calibri Light"/>
                <w:b w:val="0"/>
              </w:rPr>
              <w:t>, considerando al Estado como agraviado y a los tres fallecidos como imputados</w:t>
            </w:r>
            <w:r w:rsidR="00B81591" w:rsidRPr="00D7386D">
              <w:rPr>
                <w:rFonts w:ascii="Calibri Light" w:hAnsi="Calibri Light"/>
                <w:b w:val="0"/>
              </w:rPr>
              <w:t xml:space="preserve">. </w:t>
            </w:r>
            <w:r w:rsidR="00E94FEB" w:rsidRPr="00D7386D">
              <w:rPr>
                <w:rFonts w:ascii="Calibri Light" w:hAnsi="Calibri Light"/>
                <w:b w:val="0"/>
              </w:rPr>
              <w:t xml:space="preserve">El 13 </w:t>
            </w:r>
            <w:r w:rsidR="00B81591" w:rsidRPr="00D7386D">
              <w:rPr>
                <w:rFonts w:ascii="Calibri Light" w:hAnsi="Calibri Light"/>
                <w:b w:val="0"/>
              </w:rPr>
              <w:t>junio de 2003, la Fiscalía Novena Auxiliar del Ministerio Público de la Circunscripción Judicial del estado de Aragua presentó acusación en contra de siete funcionarios del CSOPEA, solicitando que se decretaran</w:t>
            </w:r>
            <w:r w:rsidR="0067345E" w:rsidRPr="00D7386D">
              <w:rPr>
                <w:rFonts w:ascii="Calibri Light" w:hAnsi="Calibri Light"/>
                <w:b w:val="0"/>
              </w:rPr>
              <w:t xml:space="preserve"> </w:t>
            </w:r>
            <w:r w:rsidR="00B81591" w:rsidRPr="00D7386D">
              <w:rPr>
                <w:rFonts w:ascii="Calibri Light" w:hAnsi="Calibri Light"/>
                <w:b w:val="0"/>
              </w:rPr>
              <w:t xml:space="preserve">medidas privativas de la libertad, impedimentos de salida del país y separación del ejercicio de sus funciones. En agosto del mismo año, </w:t>
            </w:r>
            <w:r w:rsidR="0067345E" w:rsidRPr="00D7386D">
              <w:rPr>
                <w:rFonts w:ascii="Calibri Light" w:hAnsi="Calibri Light"/>
                <w:b w:val="0"/>
              </w:rPr>
              <w:t>la</w:t>
            </w:r>
            <w:r w:rsidR="00B81591" w:rsidRPr="00D7386D">
              <w:rPr>
                <w:rFonts w:ascii="Calibri Light" w:hAnsi="Calibri Light"/>
                <w:b w:val="0"/>
              </w:rPr>
              <w:t xml:space="preserve"> esposa </w:t>
            </w:r>
            <w:r w:rsidR="00266A53" w:rsidRPr="00D7386D">
              <w:rPr>
                <w:rFonts w:ascii="Calibri Light" w:hAnsi="Calibri Light"/>
                <w:b w:val="0"/>
              </w:rPr>
              <w:t>de Octavio Díaz Álvarez</w:t>
            </w:r>
            <w:r w:rsidR="00B81591" w:rsidRPr="00D7386D">
              <w:rPr>
                <w:rFonts w:ascii="Calibri Light" w:hAnsi="Calibri Light"/>
                <w:b w:val="0"/>
              </w:rPr>
              <w:t xml:space="preserve"> y madre de </w:t>
            </w:r>
            <w:r w:rsidR="00266A53" w:rsidRPr="00D7386D">
              <w:rPr>
                <w:rFonts w:ascii="Calibri Light" w:hAnsi="Calibri Light"/>
                <w:b w:val="0"/>
              </w:rPr>
              <w:t>las otras dos víctimas</w:t>
            </w:r>
            <w:r w:rsidR="00B81591" w:rsidRPr="00D7386D">
              <w:rPr>
                <w:rFonts w:ascii="Calibri Light" w:hAnsi="Calibri Light"/>
                <w:b w:val="0"/>
              </w:rPr>
              <w:t xml:space="preserve">, presentó una querella ante el Tribunal Quinto de Control del Circuito Judicial Penal del estado de Aragua. </w:t>
            </w:r>
            <w:r w:rsidR="00A1479B" w:rsidRPr="00D7386D">
              <w:rPr>
                <w:rFonts w:ascii="Calibri Light" w:hAnsi="Calibri Light"/>
                <w:b w:val="0"/>
              </w:rPr>
              <w:t xml:space="preserve">El 7 de agosto de 2003, dicho Tribunal </w:t>
            </w:r>
            <w:r w:rsidR="00E94FEB" w:rsidRPr="00D7386D">
              <w:rPr>
                <w:rFonts w:ascii="Calibri Light" w:hAnsi="Calibri Light"/>
                <w:b w:val="0"/>
              </w:rPr>
              <w:t>ordenó la apertura</w:t>
            </w:r>
            <w:r w:rsidR="00A1479B" w:rsidRPr="00D7386D">
              <w:rPr>
                <w:rFonts w:ascii="Calibri Light" w:hAnsi="Calibri Light"/>
                <w:b w:val="0"/>
              </w:rPr>
              <w:t xml:space="preserve"> </w:t>
            </w:r>
            <w:r w:rsidR="00E94FEB" w:rsidRPr="00D7386D">
              <w:rPr>
                <w:rFonts w:ascii="Calibri Light" w:hAnsi="Calibri Light"/>
                <w:b w:val="0"/>
              </w:rPr>
              <w:t>d</w:t>
            </w:r>
            <w:r w:rsidR="00A1479B" w:rsidRPr="00D7386D">
              <w:rPr>
                <w:rFonts w:ascii="Calibri Light" w:hAnsi="Calibri Light"/>
                <w:b w:val="0"/>
              </w:rPr>
              <w:t>e</w:t>
            </w:r>
            <w:r w:rsidR="00B81591" w:rsidRPr="00D7386D">
              <w:rPr>
                <w:rFonts w:ascii="Calibri Light" w:hAnsi="Calibri Light"/>
                <w:b w:val="0"/>
              </w:rPr>
              <w:t>l juicio oral y público, aunque a lo largo del proceso se presentaron varias inhibiciones judiciales. Finalm</w:t>
            </w:r>
            <w:r w:rsidR="00273FB8" w:rsidRPr="00D7386D">
              <w:rPr>
                <w:rFonts w:ascii="Calibri Light" w:hAnsi="Calibri Light"/>
                <w:b w:val="0"/>
              </w:rPr>
              <w:t xml:space="preserve">ente, </w:t>
            </w:r>
            <w:r w:rsidR="00E94FEB" w:rsidRPr="00D7386D">
              <w:rPr>
                <w:rFonts w:ascii="Calibri Light" w:hAnsi="Calibri Light"/>
                <w:b w:val="0"/>
              </w:rPr>
              <w:t xml:space="preserve">el 18 de </w:t>
            </w:r>
            <w:r w:rsidR="00273FB8" w:rsidRPr="00D7386D">
              <w:rPr>
                <w:rFonts w:ascii="Calibri Light" w:hAnsi="Calibri Light"/>
                <w:b w:val="0"/>
              </w:rPr>
              <w:t>enero de 2007</w:t>
            </w:r>
            <w:r w:rsidR="00266A53" w:rsidRPr="00D7386D">
              <w:rPr>
                <w:rFonts w:ascii="Calibri Light" w:hAnsi="Calibri Light"/>
                <w:b w:val="0"/>
              </w:rPr>
              <w:t>,</w:t>
            </w:r>
            <w:r w:rsidR="00273FB8" w:rsidRPr="00D7386D">
              <w:rPr>
                <w:rFonts w:ascii="Calibri Light" w:hAnsi="Calibri Light"/>
                <w:b w:val="0"/>
              </w:rPr>
              <w:t xml:space="preserve"> se inició</w:t>
            </w:r>
            <w:r w:rsidR="00B81591" w:rsidRPr="00D7386D">
              <w:rPr>
                <w:rFonts w:ascii="Calibri Light" w:hAnsi="Calibri Light"/>
                <w:b w:val="0"/>
              </w:rPr>
              <w:t xml:space="preserve"> el juicio ante el Tribunal Quinto de Juicio de Primera Instancia del Circuito Judic</w:t>
            </w:r>
            <w:r w:rsidR="00AB1051" w:rsidRPr="00D7386D">
              <w:rPr>
                <w:rFonts w:ascii="Calibri Light" w:hAnsi="Calibri Light"/>
                <w:b w:val="0"/>
              </w:rPr>
              <w:t>ial Penal del estado de Aragua</w:t>
            </w:r>
            <w:r w:rsidR="00B81591" w:rsidRPr="00D7386D">
              <w:rPr>
                <w:rFonts w:ascii="Calibri Light" w:hAnsi="Calibri Light"/>
                <w:b w:val="0"/>
              </w:rPr>
              <w:t>.</w:t>
            </w:r>
          </w:p>
          <w:p w14:paraId="6C7DC1EE" w14:textId="77777777" w:rsidR="00321F34" w:rsidRPr="00D7386D" w:rsidRDefault="00321F34" w:rsidP="00B81591">
            <w:pPr>
              <w:jc w:val="both"/>
              <w:rPr>
                <w:rFonts w:ascii="Calibri Light" w:hAnsi="Calibri Light"/>
              </w:rPr>
            </w:pPr>
          </w:p>
          <w:p w14:paraId="2F85BADA" w14:textId="08D7772D" w:rsidR="00321F34" w:rsidRPr="00D7386D" w:rsidRDefault="00B81591" w:rsidP="00107C55">
            <w:pPr>
              <w:jc w:val="both"/>
              <w:rPr>
                <w:rFonts w:ascii="Calibri Light" w:hAnsi="Calibri Light"/>
              </w:rPr>
            </w:pPr>
            <w:r w:rsidRPr="00D7386D">
              <w:rPr>
                <w:rFonts w:ascii="Calibri Light" w:hAnsi="Calibri Light"/>
                <w:b w:val="0"/>
              </w:rPr>
              <w:t>Tras la finalización del debate oral y público e</w:t>
            </w:r>
            <w:r w:rsidR="00E94FEB" w:rsidRPr="00D7386D">
              <w:rPr>
                <w:rFonts w:ascii="Calibri Light" w:hAnsi="Calibri Light"/>
                <w:b w:val="0"/>
              </w:rPr>
              <w:t>l</w:t>
            </w:r>
            <w:r w:rsidRPr="00D7386D">
              <w:rPr>
                <w:rFonts w:ascii="Calibri Light" w:hAnsi="Calibri Light"/>
                <w:b w:val="0"/>
              </w:rPr>
              <w:t xml:space="preserve"> </w:t>
            </w:r>
            <w:r w:rsidR="00E94FEB" w:rsidRPr="00D7386D">
              <w:rPr>
                <w:rFonts w:ascii="Calibri Light" w:hAnsi="Calibri Light"/>
                <w:b w:val="0"/>
              </w:rPr>
              <w:t xml:space="preserve">25 de </w:t>
            </w:r>
            <w:r w:rsidRPr="00D7386D">
              <w:rPr>
                <w:rFonts w:ascii="Calibri Light" w:hAnsi="Calibri Light"/>
                <w:b w:val="0"/>
              </w:rPr>
              <w:t xml:space="preserve">abril de 2007, se dictó sentencia absolutoria a favor de los siete acusados, argumentando que los funcionarios policiales habrían actuado en cumplimiento de su deber. El Ministerio Público interpuso </w:t>
            </w:r>
            <w:r w:rsidR="00266A53" w:rsidRPr="00D7386D">
              <w:rPr>
                <w:rFonts w:ascii="Calibri Light" w:hAnsi="Calibri Light"/>
                <w:b w:val="0"/>
              </w:rPr>
              <w:t xml:space="preserve">un recurso de </w:t>
            </w:r>
            <w:r w:rsidRPr="00D7386D">
              <w:rPr>
                <w:rFonts w:ascii="Calibri Light" w:hAnsi="Calibri Light"/>
                <w:b w:val="0"/>
              </w:rPr>
              <w:t xml:space="preserve">apelación en julio del mismo año, </w:t>
            </w:r>
            <w:r w:rsidR="00A87749" w:rsidRPr="00D7386D">
              <w:rPr>
                <w:rFonts w:ascii="Calibri Light" w:hAnsi="Calibri Light"/>
                <w:b w:val="0"/>
              </w:rPr>
              <w:t xml:space="preserve">que </w:t>
            </w:r>
            <w:r w:rsidR="00DF6978" w:rsidRPr="00D7386D">
              <w:rPr>
                <w:rFonts w:ascii="Calibri Light" w:hAnsi="Calibri Light"/>
                <w:b w:val="0"/>
              </w:rPr>
              <w:t>confirmó</w:t>
            </w:r>
            <w:r w:rsidRPr="00D7386D">
              <w:rPr>
                <w:rFonts w:ascii="Calibri Light" w:hAnsi="Calibri Light"/>
                <w:b w:val="0"/>
              </w:rPr>
              <w:t xml:space="preserve"> la sentencia absolutoria. De forma posterior, interpuso un recurso de casación</w:t>
            </w:r>
            <w:r w:rsidR="00A87749" w:rsidRPr="00D7386D">
              <w:rPr>
                <w:rFonts w:ascii="Calibri Light" w:hAnsi="Calibri Light"/>
                <w:b w:val="0"/>
              </w:rPr>
              <w:t xml:space="preserve">. Este fue resuelto por </w:t>
            </w:r>
            <w:r w:rsidRPr="00D7386D">
              <w:rPr>
                <w:rFonts w:ascii="Calibri Light" w:hAnsi="Calibri Light"/>
                <w:b w:val="0"/>
              </w:rPr>
              <w:t>la Sala de Casación Penal</w:t>
            </w:r>
            <w:r w:rsidR="00A87749" w:rsidRPr="00D7386D">
              <w:rPr>
                <w:rFonts w:ascii="Calibri Light" w:hAnsi="Calibri Light"/>
                <w:b w:val="0"/>
              </w:rPr>
              <w:t>, la cual</w:t>
            </w:r>
            <w:r w:rsidRPr="00D7386D">
              <w:rPr>
                <w:rFonts w:ascii="Calibri Light" w:hAnsi="Calibri Light"/>
                <w:b w:val="0"/>
              </w:rPr>
              <w:t xml:space="preserve"> determinó que existieron “vicios de inmotivación” en la sentencia apelada</w:t>
            </w:r>
            <w:r w:rsidR="00107C55" w:rsidRPr="00D7386D">
              <w:rPr>
                <w:rFonts w:ascii="Calibri Light" w:hAnsi="Calibri Light"/>
                <w:b w:val="0"/>
              </w:rPr>
              <w:t xml:space="preserve"> respecto a las razones por las que se consideraban aplicables las eximentes de legítima defensa y cumplimiento del deber. Por ello, declaró que</w:t>
            </w:r>
            <w:r w:rsidRPr="00D7386D">
              <w:rPr>
                <w:rFonts w:ascii="Calibri Light" w:hAnsi="Calibri Light"/>
                <w:b w:val="0"/>
              </w:rPr>
              <w:t xml:space="preserve"> debía emitirse una nueva</w:t>
            </w:r>
            <w:r w:rsidR="00107C55" w:rsidRPr="00D7386D">
              <w:rPr>
                <w:rFonts w:ascii="Calibri Light" w:hAnsi="Calibri Light"/>
                <w:b w:val="0"/>
              </w:rPr>
              <w:t xml:space="preserve"> sentencia</w:t>
            </w:r>
            <w:r w:rsidRPr="00D7386D">
              <w:rPr>
                <w:rFonts w:ascii="Calibri Light" w:hAnsi="Calibri Light"/>
                <w:b w:val="0"/>
              </w:rPr>
              <w:t xml:space="preserve">. Para </w:t>
            </w:r>
            <w:r w:rsidR="00107C55" w:rsidRPr="00D7386D">
              <w:rPr>
                <w:rFonts w:ascii="Calibri Light" w:hAnsi="Calibri Light"/>
                <w:b w:val="0"/>
              </w:rPr>
              <w:t>esto</w:t>
            </w:r>
            <w:r w:rsidRPr="00D7386D">
              <w:rPr>
                <w:rFonts w:ascii="Calibri Light" w:hAnsi="Calibri Light"/>
                <w:b w:val="0"/>
              </w:rPr>
              <w:t xml:space="preserve">, constituyó la Sala Accidental No. 66 </w:t>
            </w:r>
            <w:r w:rsidR="00E94FEB" w:rsidRPr="00D7386D">
              <w:rPr>
                <w:rFonts w:ascii="Calibri Light" w:hAnsi="Calibri Light"/>
                <w:b w:val="0"/>
              </w:rPr>
              <w:t xml:space="preserve">el 12 de </w:t>
            </w:r>
            <w:r w:rsidRPr="00D7386D">
              <w:rPr>
                <w:rFonts w:ascii="Calibri Light" w:hAnsi="Calibri Light"/>
                <w:b w:val="0"/>
              </w:rPr>
              <w:t xml:space="preserve">enero de 2011, la cual declaró con lugar el </w:t>
            </w:r>
            <w:r w:rsidRPr="00D7386D">
              <w:rPr>
                <w:rFonts w:ascii="Calibri Light" w:hAnsi="Calibri Light"/>
                <w:b w:val="0"/>
              </w:rPr>
              <w:lastRenderedPageBreak/>
              <w:t xml:space="preserve">recurso de apelación y ordenó la celebración de un nuevo juicio oral. </w:t>
            </w:r>
            <w:r w:rsidR="00CF7890" w:rsidRPr="00D7386D">
              <w:rPr>
                <w:rFonts w:ascii="Calibri Light" w:hAnsi="Calibri Light"/>
                <w:b w:val="0"/>
              </w:rPr>
              <w:t>La CIDH no cuenta</w:t>
            </w:r>
            <w:r w:rsidRPr="00D7386D">
              <w:rPr>
                <w:rFonts w:ascii="Calibri Light" w:hAnsi="Calibri Light"/>
                <w:b w:val="0"/>
              </w:rPr>
              <w:t xml:space="preserve"> con información sobre el estado </w:t>
            </w:r>
            <w:r w:rsidR="00A87749" w:rsidRPr="00D7386D">
              <w:rPr>
                <w:rFonts w:ascii="Calibri Light" w:hAnsi="Calibri Light"/>
                <w:b w:val="0"/>
              </w:rPr>
              <w:t xml:space="preserve">actual </w:t>
            </w:r>
            <w:r w:rsidRPr="00D7386D">
              <w:rPr>
                <w:rFonts w:ascii="Calibri Light" w:hAnsi="Calibri Light"/>
                <w:b w:val="0"/>
              </w:rPr>
              <w:t>de</w:t>
            </w:r>
            <w:r w:rsidR="00CF7890" w:rsidRPr="00D7386D">
              <w:rPr>
                <w:rFonts w:ascii="Calibri Light" w:hAnsi="Calibri Light"/>
                <w:b w:val="0"/>
              </w:rPr>
              <w:t xml:space="preserve"> este</w:t>
            </w:r>
            <w:r w:rsidRPr="00D7386D">
              <w:rPr>
                <w:rFonts w:ascii="Calibri Light" w:hAnsi="Calibri Light"/>
                <w:b w:val="0"/>
              </w:rPr>
              <w:t xml:space="preserve"> segundo proceso</w:t>
            </w:r>
            <w:r w:rsidR="003F335D">
              <w:rPr>
                <w:rFonts w:ascii="Calibri Light" w:hAnsi="Calibri Light"/>
                <w:b w:val="0"/>
              </w:rPr>
              <w:t>. En base a la información provista previamente por el Estado,</w:t>
            </w:r>
            <w:r w:rsidR="00E94FEB" w:rsidRPr="00D7386D">
              <w:rPr>
                <w:rFonts w:ascii="Calibri Light" w:hAnsi="Calibri Light"/>
                <w:b w:val="0"/>
              </w:rPr>
              <w:t xml:space="preserve"> consideró </w:t>
            </w:r>
            <w:r w:rsidR="003F335D">
              <w:rPr>
                <w:rFonts w:ascii="Calibri Light" w:hAnsi="Calibri Light"/>
                <w:b w:val="0"/>
              </w:rPr>
              <w:t xml:space="preserve">que este se encontraba todavía </w:t>
            </w:r>
            <w:r w:rsidR="00E94FEB" w:rsidRPr="00D7386D">
              <w:rPr>
                <w:rFonts w:ascii="Calibri Light" w:hAnsi="Calibri Light"/>
                <w:b w:val="0"/>
              </w:rPr>
              <w:t>pendiente</w:t>
            </w:r>
            <w:r w:rsidRPr="00D7386D">
              <w:rPr>
                <w:rFonts w:ascii="Calibri Light" w:hAnsi="Calibri Light"/>
                <w:b w:val="0"/>
              </w:rPr>
              <w:t>.</w:t>
            </w:r>
          </w:p>
          <w:p w14:paraId="385E0C8C" w14:textId="77777777" w:rsidR="00321F34" w:rsidRPr="00D7386D" w:rsidRDefault="00321F34" w:rsidP="00B81591">
            <w:pPr>
              <w:jc w:val="both"/>
              <w:rPr>
                <w:rFonts w:ascii="Calibri Light" w:hAnsi="Calibri Light"/>
              </w:rPr>
            </w:pPr>
          </w:p>
          <w:p w14:paraId="0B14180D" w14:textId="6C4A0ACA" w:rsidR="00321F34" w:rsidRPr="00D7386D" w:rsidRDefault="00B81591" w:rsidP="00B81591">
            <w:pPr>
              <w:jc w:val="both"/>
              <w:rPr>
                <w:rFonts w:ascii="Calibri Light" w:hAnsi="Calibri Light"/>
              </w:rPr>
            </w:pPr>
            <w:r w:rsidRPr="00D7386D">
              <w:rPr>
                <w:rFonts w:ascii="Calibri Light" w:hAnsi="Calibri Light"/>
                <w:b w:val="0"/>
              </w:rPr>
              <w:t xml:space="preserve">Frente a tales hechos, Luis Aguilera, Secretario General de la Comisión de Derechos Humanos de Justicia y Paz del estado de Aragua, y Juana Emilia Díaz Loreto presentaron una petición ante la CIDH, denunciando que el Estado de Venezuela había vulnerado los derechos a la vida, a la integridad, a la libertad personal, a </w:t>
            </w:r>
            <w:r w:rsidR="00CF7890" w:rsidRPr="00D7386D">
              <w:rPr>
                <w:rFonts w:ascii="Calibri Light" w:hAnsi="Calibri Light"/>
                <w:b w:val="0"/>
              </w:rPr>
              <w:t xml:space="preserve">las garantías judiciales y </w:t>
            </w:r>
            <w:r w:rsidR="003F335D">
              <w:rPr>
                <w:rFonts w:ascii="Calibri Light" w:hAnsi="Calibri Light"/>
                <w:b w:val="0"/>
              </w:rPr>
              <w:t>la protección judicial</w:t>
            </w:r>
            <w:r w:rsidRPr="00D7386D">
              <w:rPr>
                <w:rFonts w:ascii="Calibri Light" w:hAnsi="Calibri Light"/>
                <w:b w:val="0"/>
              </w:rPr>
              <w:t>, reconocidos en la Convención Americana sobre Derechos Humanos (en adelante, CADH)</w:t>
            </w:r>
            <w:r w:rsidR="00CF7890" w:rsidRPr="00D7386D">
              <w:rPr>
                <w:rFonts w:ascii="Calibri Light" w:hAnsi="Calibri Light"/>
                <w:b w:val="0"/>
              </w:rPr>
              <w:t>,</w:t>
            </w:r>
            <w:r w:rsidRPr="00D7386D">
              <w:rPr>
                <w:rFonts w:ascii="Calibri Light" w:hAnsi="Calibri Light"/>
                <w:b w:val="0"/>
              </w:rPr>
              <w:t xml:space="preserve"> en perjuicio de Robert Díaz Loreto, David Díaz Loreto, Octavio Díaz Álvarez y </w:t>
            </w:r>
            <w:r w:rsidR="00CF7890" w:rsidRPr="00D7386D">
              <w:rPr>
                <w:rFonts w:ascii="Calibri Light" w:hAnsi="Calibri Light"/>
                <w:b w:val="0"/>
              </w:rPr>
              <w:t xml:space="preserve">sus </w:t>
            </w:r>
            <w:r w:rsidRPr="00D7386D">
              <w:rPr>
                <w:rFonts w:ascii="Calibri Light" w:hAnsi="Calibri Light"/>
                <w:b w:val="0"/>
              </w:rPr>
              <w:t>familiares.</w:t>
            </w:r>
          </w:p>
          <w:p w14:paraId="1CEB5F40" w14:textId="77777777" w:rsidR="00321F34" w:rsidRPr="00D7386D" w:rsidRDefault="00B81591" w:rsidP="00B81591">
            <w:pPr>
              <w:jc w:val="both"/>
              <w:rPr>
                <w:rFonts w:ascii="Calibri Light" w:hAnsi="Calibri Light"/>
              </w:rPr>
            </w:pPr>
            <w:r w:rsidRPr="00D7386D">
              <w:rPr>
                <w:rFonts w:ascii="Calibri Light" w:hAnsi="Calibri Light"/>
                <w:b w:val="0"/>
              </w:rPr>
              <w:t xml:space="preserve"> </w:t>
            </w:r>
          </w:p>
        </w:tc>
      </w:tr>
      <w:tr w:rsidR="00321F34" w:rsidRPr="00D7386D" w14:paraId="6BB146FB" w14:textId="77777777" w:rsidTr="00321F34">
        <w:trPr>
          <w:trHeight w:val="260"/>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3E5"/>
              <w:left w:val="nil"/>
              <w:bottom w:val="single" w:sz="4" w:space="0" w:color="9CC3E5"/>
              <w:right w:val="nil"/>
            </w:tcBorders>
          </w:tcPr>
          <w:p w14:paraId="1E13F463" w14:textId="77777777" w:rsidR="00321F34" w:rsidRPr="00D7386D" w:rsidRDefault="00321F34" w:rsidP="00B81591">
            <w:pPr>
              <w:pBdr>
                <w:top w:val="nil"/>
                <w:left w:val="nil"/>
                <w:bottom w:val="nil"/>
                <w:right w:val="nil"/>
                <w:between w:val="nil"/>
              </w:pBdr>
              <w:ind w:left="720" w:hanging="720"/>
              <w:rPr>
                <w:rFonts w:ascii="Calibri Light" w:hAnsi="Calibri Light"/>
                <w:color w:val="000000"/>
              </w:rPr>
            </w:pPr>
          </w:p>
          <w:p w14:paraId="7E934D6E" w14:textId="77777777" w:rsidR="00321F34" w:rsidRPr="00D7386D" w:rsidRDefault="00B81591" w:rsidP="00B81591">
            <w:pPr>
              <w:numPr>
                <w:ilvl w:val="0"/>
                <w:numId w:val="2"/>
              </w:numPr>
              <w:pBdr>
                <w:top w:val="nil"/>
                <w:left w:val="nil"/>
                <w:bottom w:val="nil"/>
                <w:right w:val="nil"/>
                <w:between w:val="nil"/>
              </w:pBdr>
              <w:contextualSpacing/>
              <w:jc w:val="center"/>
              <w:rPr>
                <w:rFonts w:ascii="Calibri Light" w:hAnsi="Calibri Light"/>
                <w:color w:val="000000"/>
              </w:rPr>
            </w:pPr>
            <w:r w:rsidRPr="00D7386D">
              <w:rPr>
                <w:rFonts w:ascii="Calibri Light" w:hAnsi="Calibri Light"/>
                <w:color w:val="000000"/>
              </w:rPr>
              <w:t>Análisis jurídico</w:t>
            </w:r>
          </w:p>
          <w:p w14:paraId="740E827F" w14:textId="77777777" w:rsidR="00321F34" w:rsidRPr="00D7386D" w:rsidRDefault="00321F34" w:rsidP="00B81591">
            <w:pPr>
              <w:pBdr>
                <w:top w:val="nil"/>
                <w:left w:val="nil"/>
                <w:bottom w:val="nil"/>
                <w:right w:val="nil"/>
                <w:between w:val="nil"/>
              </w:pBdr>
              <w:ind w:left="720" w:hanging="720"/>
              <w:rPr>
                <w:rFonts w:ascii="Calibri Light" w:hAnsi="Calibri Light"/>
                <w:color w:val="000000"/>
              </w:rPr>
            </w:pPr>
          </w:p>
        </w:tc>
      </w:tr>
      <w:tr w:rsidR="00321F34" w:rsidRPr="00D7386D" w14:paraId="30E7E5DA" w14:textId="77777777" w:rsidTr="0041131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3E5"/>
              <w:left w:val="nil"/>
              <w:bottom w:val="single" w:sz="4" w:space="0" w:color="9CC3E5"/>
              <w:right w:val="nil"/>
            </w:tcBorders>
          </w:tcPr>
          <w:p w14:paraId="0AFD0D56" w14:textId="77777777" w:rsidR="00321F34" w:rsidRPr="00D7386D" w:rsidRDefault="00321F34" w:rsidP="00B81591">
            <w:pPr>
              <w:jc w:val="both"/>
              <w:rPr>
                <w:rFonts w:ascii="Calibri Light" w:hAnsi="Calibri Light"/>
              </w:rPr>
            </w:pPr>
          </w:p>
          <w:p w14:paraId="28F5635A" w14:textId="207F022C" w:rsidR="00321F34" w:rsidRPr="00D7386D" w:rsidRDefault="00B81591" w:rsidP="00B81591">
            <w:pPr>
              <w:jc w:val="both"/>
              <w:rPr>
                <w:rFonts w:ascii="Calibri Light" w:hAnsi="Calibri Light"/>
              </w:rPr>
            </w:pPr>
            <w:r w:rsidRPr="00D7386D">
              <w:rPr>
                <w:rFonts w:ascii="Calibri Light" w:hAnsi="Calibri Light"/>
              </w:rPr>
              <w:t>Derechos a la vida, a la integridad personal y libertad personal de Robert Díaz Loreto, David Díaz Loreto y Octavio Díaz Álvarez (artículos 4, 5 y 7 de la CADH)</w:t>
            </w:r>
          </w:p>
          <w:p w14:paraId="68F135A1" w14:textId="77777777" w:rsidR="00321F34" w:rsidRPr="00D7386D" w:rsidRDefault="00321F34" w:rsidP="00B81591">
            <w:pPr>
              <w:jc w:val="both"/>
              <w:rPr>
                <w:rFonts w:ascii="Calibri Light" w:hAnsi="Calibri Light"/>
              </w:rPr>
            </w:pPr>
          </w:p>
          <w:p w14:paraId="08A35BB3" w14:textId="1617110D" w:rsidR="00321F34" w:rsidRPr="003F335D" w:rsidRDefault="00AB1051" w:rsidP="003F335D">
            <w:pPr>
              <w:pStyle w:val="ListParagraph"/>
              <w:numPr>
                <w:ilvl w:val="2"/>
                <w:numId w:val="2"/>
              </w:numPr>
              <w:jc w:val="both"/>
              <w:rPr>
                <w:rFonts w:ascii="Calibri Light" w:hAnsi="Calibri Light"/>
              </w:rPr>
            </w:pPr>
            <w:r w:rsidRPr="003F335D">
              <w:rPr>
                <w:rFonts w:ascii="Calibri Light" w:hAnsi="Calibri Light"/>
              </w:rPr>
              <w:t>Consideraciones generales</w:t>
            </w:r>
          </w:p>
          <w:p w14:paraId="7E019F51" w14:textId="77777777" w:rsidR="00321F34" w:rsidRPr="00D7386D" w:rsidRDefault="00321F34" w:rsidP="00B81591">
            <w:pPr>
              <w:jc w:val="both"/>
              <w:rPr>
                <w:rFonts w:ascii="Calibri Light" w:hAnsi="Calibri Light"/>
              </w:rPr>
            </w:pPr>
          </w:p>
          <w:p w14:paraId="57C5C7B9" w14:textId="4C7ABD1C" w:rsidR="00421964" w:rsidRPr="00D7386D" w:rsidRDefault="0051663C" w:rsidP="00B81591">
            <w:pPr>
              <w:jc w:val="both"/>
              <w:rPr>
                <w:rFonts w:ascii="Calibri Light" w:hAnsi="Calibri Light"/>
                <w:b w:val="0"/>
              </w:rPr>
            </w:pPr>
            <w:r w:rsidRPr="00D7386D">
              <w:rPr>
                <w:rFonts w:ascii="Calibri Light" w:hAnsi="Calibri Light"/>
                <w:b w:val="0"/>
              </w:rPr>
              <w:t>En lo referente al derecho a la vida, la CIDH resaltó que este es un prerrequisito del disfrute de los demás derechos humanos. En los casos en que se hace el despliegue del u</w:t>
            </w:r>
            <w:r w:rsidR="00CF160F" w:rsidRPr="00D7386D">
              <w:rPr>
                <w:rFonts w:ascii="Calibri Light" w:hAnsi="Calibri Light"/>
                <w:b w:val="0"/>
              </w:rPr>
              <w:t xml:space="preserve">so de la fuerza, corresponde realizar un análisis sobre su empleo. </w:t>
            </w:r>
            <w:r w:rsidR="00CD1407" w:rsidRPr="00D7386D">
              <w:rPr>
                <w:rFonts w:ascii="Calibri Light" w:hAnsi="Calibri Light"/>
                <w:b w:val="0"/>
              </w:rPr>
              <w:t>Para ello</w:t>
            </w:r>
            <w:r w:rsidR="00CF160F" w:rsidRPr="00D7386D">
              <w:rPr>
                <w:rFonts w:ascii="Calibri Light" w:hAnsi="Calibri Light"/>
                <w:b w:val="0"/>
              </w:rPr>
              <w:t xml:space="preserve">, la CIDH </w:t>
            </w:r>
            <w:r w:rsidR="00CD1407" w:rsidRPr="00D7386D">
              <w:rPr>
                <w:rFonts w:ascii="Calibri Light" w:hAnsi="Calibri Light"/>
                <w:b w:val="0"/>
              </w:rPr>
              <w:t xml:space="preserve">ha tomado </w:t>
            </w:r>
            <w:r w:rsidR="00CF160F" w:rsidRPr="00D7386D">
              <w:rPr>
                <w:rFonts w:ascii="Calibri Light" w:hAnsi="Calibri Light"/>
                <w:b w:val="0"/>
              </w:rPr>
              <w:t xml:space="preserve">como parámetros los </w:t>
            </w:r>
            <w:r w:rsidR="00CF160F" w:rsidRPr="003F335D">
              <w:rPr>
                <w:rFonts w:ascii="Calibri Light" w:hAnsi="Calibri Light"/>
                <w:b w:val="0"/>
                <w:i/>
              </w:rPr>
              <w:t>Principios Básicos sobre el empleo del uso de la fuerza y de armas de fuego por los funcionarios encargados de hacer cumplir la ley</w:t>
            </w:r>
            <w:r w:rsidR="003F335D">
              <w:rPr>
                <w:rFonts w:ascii="Calibri Light" w:hAnsi="Calibri Light"/>
                <w:b w:val="0"/>
              </w:rPr>
              <w:t xml:space="preserve"> y </w:t>
            </w:r>
            <w:r w:rsidR="00CF160F" w:rsidRPr="00D7386D">
              <w:rPr>
                <w:rFonts w:ascii="Calibri Light" w:hAnsi="Calibri Light"/>
                <w:b w:val="0"/>
              </w:rPr>
              <w:t xml:space="preserve">el </w:t>
            </w:r>
            <w:r w:rsidR="00CF160F" w:rsidRPr="003F335D">
              <w:rPr>
                <w:rFonts w:ascii="Calibri Light" w:hAnsi="Calibri Light"/>
                <w:b w:val="0"/>
                <w:i/>
              </w:rPr>
              <w:t xml:space="preserve">Código de </w:t>
            </w:r>
            <w:r w:rsidR="00A87749" w:rsidRPr="003F335D">
              <w:rPr>
                <w:rFonts w:ascii="Calibri Light" w:hAnsi="Calibri Light"/>
                <w:b w:val="0"/>
                <w:i/>
              </w:rPr>
              <w:t>C</w:t>
            </w:r>
            <w:r w:rsidR="00CF160F" w:rsidRPr="003F335D">
              <w:rPr>
                <w:rFonts w:ascii="Calibri Light" w:hAnsi="Calibri Light"/>
                <w:b w:val="0"/>
                <w:i/>
              </w:rPr>
              <w:t>onducta para funcionarios encargados de hacer cumplir la ley</w:t>
            </w:r>
            <w:r w:rsidR="00CF160F" w:rsidRPr="00D7386D">
              <w:rPr>
                <w:rFonts w:ascii="Calibri Light" w:hAnsi="Calibri Light"/>
                <w:b w:val="0"/>
              </w:rPr>
              <w:t>.</w:t>
            </w:r>
            <w:r w:rsidRPr="00D7386D">
              <w:rPr>
                <w:rFonts w:ascii="Calibri Light" w:hAnsi="Calibri Light"/>
                <w:b w:val="0"/>
              </w:rPr>
              <w:t xml:space="preserve"> </w:t>
            </w:r>
            <w:r w:rsidR="00CD1407" w:rsidRPr="00D7386D">
              <w:rPr>
                <w:rFonts w:ascii="Calibri Light" w:hAnsi="Calibri Light"/>
                <w:b w:val="0"/>
              </w:rPr>
              <w:t>De acuerdo a estos instrumentos, s</w:t>
            </w:r>
            <w:r w:rsidR="00421964" w:rsidRPr="00D7386D">
              <w:rPr>
                <w:rFonts w:ascii="Calibri Light" w:hAnsi="Calibri Light"/>
                <w:b w:val="0"/>
              </w:rPr>
              <w:t xml:space="preserve">on tres los elementos que deben concurrir </w:t>
            </w:r>
            <w:r w:rsidR="00DF6978" w:rsidRPr="00D7386D">
              <w:rPr>
                <w:rFonts w:ascii="Calibri Light" w:hAnsi="Calibri Light"/>
                <w:b w:val="0"/>
              </w:rPr>
              <w:t xml:space="preserve">y </w:t>
            </w:r>
            <w:r w:rsidR="003F335D">
              <w:rPr>
                <w:rFonts w:ascii="Calibri Light" w:hAnsi="Calibri Light"/>
                <w:b w:val="0"/>
              </w:rPr>
              <w:t xml:space="preserve">debe </w:t>
            </w:r>
            <w:r w:rsidR="00DF6978" w:rsidRPr="00D7386D">
              <w:rPr>
                <w:rFonts w:ascii="Calibri Light" w:hAnsi="Calibri Light"/>
                <w:b w:val="0"/>
              </w:rPr>
              <w:t xml:space="preserve">acreditar el Estado </w:t>
            </w:r>
            <w:r w:rsidR="00421964" w:rsidRPr="00D7386D">
              <w:rPr>
                <w:rFonts w:ascii="Calibri Light" w:hAnsi="Calibri Light"/>
                <w:b w:val="0"/>
              </w:rPr>
              <w:t>para justificar el uso de la fuerza: i) finalidad legítima, ii) absoluta necesidad, iii) proporcionalidad.</w:t>
            </w:r>
          </w:p>
          <w:p w14:paraId="6695BB3C" w14:textId="77777777" w:rsidR="00421964" w:rsidRPr="00D7386D" w:rsidRDefault="00421964" w:rsidP="00B81591">
            <w:pPr>
              <w:jc w:val="both"/>
              <w:rPr>
                <w:rFonts w:ascii="Calibri Light" w:hAnsi="Calibri Light"/>
                <w:b w:val="0"/>
              </w:rPr>
            </w:pPr>
          </w:p>
          <w:p w14:paraId="292BD58D" w14:textId="7A93DDCD" w:rsidR="005B730B" w:rsidRPr="00D7386D" w:rsidRDefault="003F3246" w:rsidP="00B81591">
            <w:pPr>
              <w:jc w:val="both"/>
              <w:rPr>
                <w:rFonts w:ascii="Calibri Light" w:hAnsi="Calibri Light"/>
                <w:b w:val="0"/>
              </w:rPr>
            </w:pPr>
            <w:r w:rsidRPr="00D7386D">
              <w:rPr>
                <w:rFonts w:ascii="Calibri Light" w:hAnsi="Calibri Light"/>
                <w:b w:val="0"/>
              </w:rPr>
              <w:t xml:space="preserve">Asimismo, la CIDH consideró que los agentes estatales que intervienen en operativos deben aplicar criterios de uso diferenciado y progresivo de la fuerza, determinando el grado de cooperación, resistencia o agresión por parte del sujeto al cual se pretende intervenir, y con ello, emplear tácticas de negociación, control o uso de la fuerza según corresponda, lo cual se encuentra en consonancia con los Principios </w:t>
            </w:r>
            <w:r w:rsidR="00CD1407" w:rsidRPr="00D7386D">
              <w:rPr>
                <w:rFonts w:ascii="Calibri Light" w:hAnsi="Calibri Light"/>
                <w:b w:val="0"/>
              </w:rPr>
              <w:t>Básicos</w:t>
            </w:r>
            <w:r w:rsidRPr="00D7386D">
              <w:rPr>
                <w:rFonts w:ascii="Calibri Light" w:hAnsi="Calibri Light"/>
                <w:b w:val="0"/>
              </w:rPr>
              <w:t>. Una explicación satisfactoria y convincente sobre lo sucedido en casos de uso de la fuerza deberá hacer referencia a todos los elementos citados para lograr desvirtuar la responsabilidad del Estado.</w:t>
            </w:r>
          </w:p>
          <w:p w14:paraId="3DBA7D64" w14:textId="7B663AD8" w:rsidR="00321F34" w:rsidRPr="00D7386D" w:rsidRDefault="00321F34" w:rsidP="00B81591">
            <w:pPr>
              <w:jc w:val="both"/>
              <w:rPr>
                <w:rFonts w:ascii="Calibri Light" w:hAnsi="Calibri Light"/>
              </w:rPr>
            </w:pPr>
          </w:p>
          <w:p w14:paraId="17D68611" w14:textId="3029DCAE" w:rsidR="000C4777" w:rsidRPr="00D7386D" w:rsidRDefault="003F3246" w:rsidP="00B81591">
            <w:pPr>
              <w:jc w:val="both"/>
              <w:rPr>
                <w:rFonts w:ascii="Calibri Light" w:hAnsi="Calibri Light"/>
                <w:b w:val="0"/>
              </w:rPr>
            </w:pPr>
            <w:r w:rsidRPr="00D7386D">
              <w:rPr>
                <w:rFonts w:ascii="Calibri Light" w:hAnsi="Calibri Light"/>
                <w:b w:val="0"/>
              </w:rPr>
              <w:t xml:space="preserve">Acerca de </w:t>
            </w:r>
            <w:r w:rsidR="005B730B" w:rsidRPr="00D7386D">
              <w:rPr>
                <w:rFonts w:ascii="Calibri Light" w:hAnsi="Calibri Light"/>
                <w:b w:val="0"/>
              </w:rPr>
              <w:t xml:space="preserve">la libertad personal, </w:t>
            </w:r>
            <w:r w:rsidR="000C5481" w:rsidRPr="00D7386D">
              <w:rPr>
                <w:rFonts w:ascii="Calibri Light" w:hAnsi="Calibri Light"/>
                <w:b w:val="0"/>
              </w:rPr>
              <w:t>la CIDH recordó que su protección abarca tanto la libertad física com</w:t>
            </w:r>
            <w:r w:rsidR="009A5E97" w:rsidRPr="00D7386D">
              <w:rPr>
                <w:rFonts w:ascii="Calibri Light" w:hAnsi="Calibri Light"/>
                <w:b w:val="0"/>
              </w:rPr>
              <w:t xml:space="preserve">o la seguridad personal, </w:t>
            </w:r>
            <w:r w:rsidR="00AF62FF">
              <w:rPr>
                <w:rFonts w:ascii="Calibri Light" w:hAnsi="Calibri Light"/>
                <w:b w:val="0"/>
              </w:rPr>
              <w:t>e</w:t>
            </w:r>
            <w:r w:rsidR="000C4777" w:rsidRPr="00D7386D">
              <w:rPr>
                <w:rFonts w:ascii="Calibri Light" w:hAnsi="Calibri Light"/>
                <w:b w:val="0"/>
              </w:rPr>
              <w:t xml:space="preserve"> implica el deber </w:t>
            </w:r>
            <w:r w:rsidR="00AF62FF">
              <w:rPr>
                <w:rFonts w:ascii="Calibri Light" w:hAnsi="Calibri Light"/>
                <w:b w:val="0"/>
              </w:rPr>
              <w:t xml:space="preserve">de los Estados </w:t>
            </w:r>
            <w:r w:rsidR="000C4777" w:rsidRPr="00D7386D">
              <w:rPr>
                <w:rFonts w:ascii="Calibri Light" w:hAnsi="Calibri Light"/>
                <w:b w:val="0"/>
              </w:rPr>
              <w:t>de prevenir que la libertad de los individuos se vea menoscabada por la actuación de agentes estatales y terceros particulares, así como investigar y sancionar los actos violatorios de este derecho.</w:t>
            </w:r>
            <w:r w:rsidR="009560E7" w:rsidRPr="00D7386D">
              <w:rPr>
                <w:rFonts w:ascii="Calibri Light" w:hAnsi="Calibri Light"/>
                <w:b w:val="0"/>
              </w:rPr>
              <w:t xml:space="preserve"> </w:t>
            </w:r>
            <w:r w:rsidR="00867670" w:rsidRPr="00D7386D">
              <w:rPr>
                <w:rFonts w:ascii="Calibri Light" w:hAnsi="Calibri Light"/>
                <w:b w:val="0"/>
              </w:rPr>
              <w:t xml:space="preserve">Sobre el </w:t>
            </w:r>
            <w:r w:rsidR="000C4777" w:rsidRPr="00D7386D">
              <w:rPr>
                <w:rFonts w:ascii="Calibri Light" w:hAnsi="Calibri Light"/>
                <w:b w:val="0"/>
              </w:rPr>
              <w:t xml:space="preserve">derecho a la integridad personal, la Corte IDH ha </w:t>
            </w:r>
            <w:r w:rsidR="001E35CB" w:rsidRPr="00D7386D">
              <w:rPr>
                <w:rFonts w:ascii="Calibri Light" w:hAnsi="Calibri Light"/>
                <w:b w:val="0"/>
              </w:rPr>
              <w:t xml:space="preserve">señalado que la tortura y las penas o tratos crueles, inhumanos o degradantes están prohibidos por el Derecho Internacional de los Derechos Humanos. </w:t>
            </w:r>
            <w:r w:rsidR="00867670" w:rsidRPr="00D7386D">
              <w:rPr>
                <w:rFonts w:ascii="Calibri Light" w:hAnsi="Calibri Light"/>
                <w:b w:val="0"/>
              </w:rPr>
              <w:t>Por otro lado, l</w:t>
            </w:r>
            <w:r w:rsidR="00BE09D4" w:rsidRPr="00D7386D">
              <w:rPr>
                <w:rFonts w:ascii="Calibri Light" w:hAnsi="Calibri Light"/>
                <w:b w:val="0"/>
              </w:rPr>
              <w:t xml:space="preserve">a protección que brinda la CADH no solo implica el deber de investigar estos actos, sino que se deben tener en cuenta para el esclarecimiento </w:t>
            </w:r>
            <w:r w:rsidR="00867670" w:rsidRPr="00D7386D">
              <w:rPr>
                <w:rFonts w:ascii="Calibri Light" w:hAnsi="Calibri Light"/>
                <w:b w:val="0"/>
              </w:rPr>
              <w:t>de posibles casos elementos tales como</w:t>
            </w:r>
            <w:r w:rsidR="00BE09D4" w:rsidRPr="00D7386D">
              <w:rPr>
                <w:rFonts w:ascii="Calibri Light" w:hAnsi="Calibri Light"/>
                <w:b w:val="0"/>
              </w:rPr>
              <w:t xml:space="preserve">: </w:t>
            </w:r>
            <w:r w:rsidR="00103B59" w:rsidRPr="00D7386D">
              <w:rPr>
                <w:rFonts w:ascii="Calibri Light" w:hAnsi="Calibri Light"/>
                <w:b w:val="0"/>
              </w:rPr>
              <w:t>i) el hecho de</w:t>
            </w:r>
            <w:r w:rsidR="00CD1407" w:rsidRPr="00D7386D">
              <w:rPr>
                <w:rFonts w:ascii="Calibri Light" w:hAnsi="Calibri Light"/>
                <w:b w:val="0"/>
              </w:rPr>
              <w:t xml:space="preserve"> que</w:t>
            </w:r>
            <w:r w:rsidR="00103B59" w:rsidRPr="00D7386D">
              <w:rPr>
                <w:rFonts w:ascii="Calibri Light" w:hAnsi="Calibri Light"/>
                <w:b w:val="0"/>
              </w:rPr>
              <w:t xml:space="preserve"> la víctima </w:t>
            </w:r>
            <w:r w:rsidR="00CD1407" w:rsidRPr="00D7386D">
              <w:rPr>
                <w:rFonts w:ascii="Calibri Light" w:hAnsi="Calibri Light"/>
                <w:b w:val="0"/>
              </w:rPr>
              <w:t xml:space="preserve">estuviese </w:t>
            </w:r>
            <w:r w:rsidR="00103B59" w:rsidRPr="00D7386D">
              <w:rPr>
                <w:rFonts w:ascii="Calibri Light" w:hAnsi="Calibri Light"/>
                <w:b w:val="0"/>
              </w:rPr>
              <w:t xml:space="preserve">bajo custodia de agentes de seguridad del Estado sin control judicial alguno y tras una detención ilegal y arbitraria; ii) la ausencia de una investigación </w:t>
            </w:r>
            <w:r w:rsidR="00CD1407" w:rsidRPr="00D7386D">
              <w:rPr>
                <w:rFonts w:ascii="Calibri Light" w:hAnsi="Calibri Light"/>
                <w:b w:val="0"/>
              </w:rPr>
              <w:t>para</w:t>
            </w:r>
            <w:r w:rsidR="00103B59" w:rsidRPr="00D7386D">
              <w:rPr>
                <w:rFonts w:ascii="Calibri Light" w:hAnsi="Calibri Light"/>
                <w:b w:val="0"/>
              </w:rPr>
              <w:t xml:space="preserve"> determinar la causa de posibles lesiones en el cuerpo de la víctima; </w:t>
            </w:r>
            <w:r w:rsidR="00867670" w:rsidRPr="00D7386D">
              <w:rPr>
                <w:rFonts w:ascii="Calibri Light" w:hAnsi="Calibri Light"/>
                <w:b w:val="0"/>
              </w:rPr>
              <w:t xml:space="preserve">y </w:t>
            </w:r>
            <w:r w:rsidR="00103B59" w:rsidRPr="00D7386D">
              <w:rPr>
                <w:rFonts w:ascii="Calibri Light" w:hAnsi="Calibri Light"/>
                <w:b w:val="0"/>
              </w:rPr>
              <w:t>iii) el profundo temor sentido ante su</w:t>
            </w:r>
            <w:r w:rsidR="0031475C" w:rsidRPr="00D7386D">
              <w:rPr>
                <w:rFonts w:ascii="Calibri Light" w:hAnsi="Calibri Light"/>
                <w:b w:val="0"/>
              </w:rPr>
              <w:t xml:space="preserve"> posible</w:t>
            </w:r>
            <w:r w:rsidR="00103B59" w:rsidRPr="00D7386D">
              <w:rPr>
                <w:rFonts w:ascii="Calibri Light" w:hAnsi="Calibri Light"/>
                <w:b w:val="0"/>
              </w:rPr>
              <w:t xml:space="preserve"> destino bajo las circunstancias en las que ha sido privado de la libertad.</w:t>
            </w:r>
          </w:p>
          <w:p w14:paraId="36694995" w14:textId="77777777" w:rsidR="00321F34" w:rsidRPr="00D7386D" w:rsidRDefault="00321F34" w:rsidP="00B81591">
            <w:pPr>
              <w:jc w:val="both"/>
              <w:rPr>
                <w:rFonts w:ascii="Calibri Light" w:hAnsi="Calibri Light"/>
              </w:rPr>
            </w:pPr>
          </w:p>
          <w:p w14:paraId="0038B452" w14:textId="03BC465E" w:rsidR="00321F34" w:rsidRPr="003F335D" w:rsidRDefault="00B81591" w:rsidP="003F335D">
            <w:pPr>
              <w:pStyle w:val="ListParagraph"/>
              <w:numPr>
                <w:ilvl w:val="2"/>
                <w:numId w:val="2"/>
              </w:numPr>
              <w:jc w:val="both"/>
              <w:rPr>
                <w:rFonts w:ascii="Calibri Light" w:hAnsi="Calibri Light"/>
              </w:rPr>
            </w:pPr>
            <w:r w:rsidRPr="003F335D">
              <w:rPr>
                <w:rFonts w:ascii="Calibri Light" w:hAnsi="Calibri Light"/>
              </w:rPr>
              <w:lastRenderedPageBreak/>
              <w:t>Análisis del caso</w:t>
            </w:r>
          </w:p>
          <w:p w14:paraId="1A6A6371" w14:textId="77777777" w:rsidR="00321F34" w:rsidRPr="00D7386D" w:rsidRDefault="00321F34" w:rsidP="00B81591">
            <w:pPr>
              <w:jc w:val="both"/>
              <w:rPr>
                <w:rFonts w:ascii="Calibri Light" w:hAnsi="Calibri Light"/>
              </w:rPr>
            </w:pPr>
          </w:p>
          <w:p w14:paraId="0F0FA985" w14:textId="5E897891" w:rsidR="004D780D" w:rsidRPr="00D7386D" w:rsidRDefault="00116E8A" w:rsidP="00B81591">
            <w:pPr>
              <w:jc w:val="both"/>
              <w:rPr>
                <w:rFonts w:ascii="Calibri Light" w:hAnsi="Calibri Light"/>
                <w:b w:val="0"/>
              </w:rPr>
            </w:pPr>
            <w:r w:rsidRPr="00D7386D">
              <w:rPr>
                <w:rFonts w:ascii="Calibri Light" w:hAnsi="Calibri Light"/>
                <w:b w:val="0"/>
              </w:rPr>
              <w:t xml:space="preserve">De acuerdo al expediente del caso, </w:t>
            </w:r>
            <w:r w:rsidR="00AF62FF">
              <w:rPr>
                <w:rFonts w:ascii="Calibri Light" w:hAnsi="Calibri Light"/>
                <w:b w:val="0"/>
              </w:rPr>
              <w:t>existían</w:t>
            </w:r>
            <w:r w:rsidR="005D50EC" w:rsidRPr="00D7386D">
              <w:rPr>
                <w:rFonts w:ascii="Calibri Light" w:hAnsi="Calibri Light"/>
                <w:b w:val="0"/>
              </w:rPr>
              <w:t xml:space="preserve"> dos versiones sobre los hechos de la muerte </w:t>
            </w:r>
            <w:r w:rsidR="004C53C1" w:rsidRPr="00D7386D">
              <w:rPr>
                <w:rFonts w:ascii="Calibri Light" w:hAnsi="Calibri Light"/>
                <w:b w:val="0"/>
              </w:rPr>
              <w:t>de los señores Díaz Loreto y el señor Díaz Álvarez.</w:t>
            </w:r>
            <w:r w:rsidR="00F9626D" w:rsidRPr="00D7386D">
              <w:rPr>
                <w:rFonts w:ascii="Calibri Light" w:hAnsi="Calibri Light"/>
                <w:b w:val="0"/>
              </w:rPr>
              <w:t xml:space="preserve"> Ello se suma a varias otras irregularidades y deficiencias en el curso de la investigación, como que esta</w:t>
            </w:r>
            <w:r w:rsidR="004C39F9" w:rsidRPr="00D7386D">
              <w:rPr>
                <w:rFonts w:ascii="Calibri Light" w:hAnsi="Calibri Light"/>
                <w:b w:val="0"/>
              </w:rPr>
              <w:t xml:space="preserve"> haya iniciado con la premisa de que el Estado venezolano era el agraviado.</w:t>
            </w:r>
            <w:r w:rsidR="00C8689D" w:rsidRPr="00D7386D">
              <w:rPr>
                <w:rFonts w:ascii="Calibri Light" w:hAnsi="Calibri Light"/>
                <w:b w:val="0"/>
              </w:rPr>
              <w:t xml:space="preserve"> Asimismo, l</w:t>
            </w:r>
            <w:r w:rsidR="00F5740F" w:rsidRPr="00D7386D">
              <w:rPr>
                <w:rFonts w:ascii="Calibri Light" w:hAnsi="Calibri Light"/>
                <w:b w:val="0"/>
              </w:rPr>
              <w:t>a CIDH estableció que el Estado no aportó una explicación que cumpliera con los parámetros para el uso de la fuerza, por lo que correspondía presumir que se trataba de un u</w:t>
            </w:r>
            <w:r w:rsidR="00C8689D" w:rsidRPr="00D7386D">
              <w:rPr>
                <w:rFonts w:ascii="Calibri Light" w:hAnsi="Calibri Light"/>
                <w:b w:val="0"/>
              </w:rPr>
              <w:t>so ilegítimo de la fuerza letal.</w:t>
            </w:r>
            <w:r w:rsidR="0068277F" w:rsidRPr="00D7386D">
              <w:rPr>
                <w:rFonts w:ascii="Calibri Light" w:hAnsi="Calibri Light"/>
                <w:b w:val="0"/>
              </w:rPr>
              <w:t xml:space="preserve"> </w:t>
            </w:r>
          </w:p>
          <w:p w14:paraId="5B7AD4F1" w14:textId="1247F699" w:rsidR="004D780D" w:rsidRPr="00D7386D" w:rsidRDefault="004D780D" w:rsidP="00B81591">
            <w:pPr>
              <w:jc w:val="both"/>
              <w:rPr>
                <w:rFonts w:ascii="Calibri Light" w:hAnsi="Calibri Light"/>
                <w:b w:val="0"/>
              </w:rPr>
            </w:pPr>
          </w:p>
          <w:p w14:paraId="5B1C38B2" w14:textId="285AA6CF" w:rsidR="00F529E2" w:rsidRPr="00D7386D" w:rsidRDefault="004D780D" w:rsidP="00B81591">
            <w:pPr>
              <w:jc w:val="both"/>
              <w:rPr>
                <w:rFonts w:ascii="Calibri Light" w:hAnsi="Calibri Light"/>
                <w:b w:val="0"/>
              </w:rPr>
            </w:pPr>
            <w:r w:rsidRPr="00D7386D">
              <w:rPr>
                <w:rFonts w:ascii="Calibri Light" w:hAnsi="Calibri Light"/>
                <w:b w:val="0"/>
              </w:rPr>
              <w:t xml:space="preserve">Incluso si se toma como cierta la versión de la CSOPEA, el operativo llevado a cabo en contra </w:t>
            </w:r>
            <w:r w:rsidR="004C53C1" w:rsidRPr="00D7386D">
              <w:rPr>
                <w:rFonts w:ascii="Calibri Light" w:hAnsi="Calibri Light"/>
                <w:b w:val="0"/>
              </w:rPr>
              <w:t>de los señores Díaz Loreto y el señor Díaz Álvarez</w:t>
            </w:r>
            <w:r w:rsidRPr="00D7386D">
              <w:rPr>
                <w:rFonts w:ascii="Calibri Light" w:hAnsi="Calibri Light"/>
                <w:b w:val="0"/>
              </w:rPr>
              <w:t xml:space="preserve"> no se encontraba amparado por el propio sistema jurídico venezolano, el cual establecía que para que pudiera producirse una detención o arresto sin una orden judicial, se requería que se encontrara a quien cometía el delito </w:t>
            </w:r>
            <w:r w:rsidRPr="00AF62FF">
              <w:rPr>
                <w:rFonts w:ascii="Calibri Light" w:hAnsi="Calibri Light"/>
                <w:b w:val="0"/>
                <w:i/>
              </w:rPr>
              <w:t>infraganti</w:t>
            </w:r>
            <w:r w:rsidRPr="00D7386D">
              <w:rPr>
                <w:rFonts w:ascii="Calibri Light" w:hAnsi="Calibri Light"/>
                <w:b w:val="0"/>
              </w:rPr>
              <w:t>. De esa versión, se desprende que los funcionarios no presenciaron el presunto robo, sino que accionaron de forma posterior. En esta línea,</w:t>
            </w:r>
            <w:r w:rsidR="00B65D02" w:rsidRPr="00D7386D">
              <w:rPr>
                <w:rFonts w:ascii="Calibri Light" w:hAnsi="Calibri Light"/>
                <w:b w:val="0"/>
              </w:rPr>
              <w:t xml:space="preserve"> el operativo no perseguía un fin legítimo</w:t>
            </w:r>
            <w:r w:rsidR="0031475C" w:rsidRPr="00D7386D">
              <w:rPr>
                <w:rFonts w:ascii="Calibri Light" w:hAnsi="Calibri Light"/>
                <w:b w:val="0"/>
              </w:rPr>
              <w:t xml:space="preserve">, </w:t>
            </w:r>
            <w:r w:rsidR="00AF62FF">
              <w:rPr>
                <w:rFonts w:ascii="Calibri Light" w:hAnsi="Calibri Light"/>
                <w:b w:val="0"/>
              </w:rPr>
              <w:t>y</w:t>
            </w:r>
            <w:r w:rsidR="0031475C" w:rsidRPr="00D7386D">
              <w:rPr>
                <w:rFonts w:ascii="Calibri Light" w:hAnsi="Calibri Light"/>
                <w:b w:val="0"/>
              </w:rPr>
              <w:t xml:space="preserve">, en consecuencia, </w:t>
            </w:r>
            <w:r w:rsidR="00AF62FF">
              <w:rPr>
                <w:rFonts w:ascii="Calibri Light" w:hAnsi="Calibri Light"/>
                <w:b w:val="0"/>
              </w:rPr>
              <w:t xml:space="preserve">se trataba de </w:t>
            </w:r>
            <w:r w:rsidR="0031475C" w:rsidRPr="00D7386D">
              <w:rPr>
                <w:rFonts w:ascii="Calibri Light" w:hAnsi="Calibri Light"/>
                <w:b w:val="0"/>
              </w:rPr>
              <w:t>una detención ilegal en términos de la CADH</w:t>
            </w:r>
            <w:r w:rsidR="00B65D02" w:rsidRPr="00D7386D">
              <w:rPr>
                <w:rFonts w:ascii="Calibri Light" w:hAnsi="Calibri Light"/>
                <w:b w:val="0"/>
              </w:rPr>
              <w:t>.</w:t>
            </w:r>
            <w:r w:rsidR="00102C76" w:rsidRPr="00D7386D">
              <w:rPr>
                <w:rFonts w:ascii="Calibri Light" w:hAnsi="Calibri Light"/>
                <w:b w:val="0"/>
              </w:rPr>
              <w:t xml:space="preserve"> </w:t>
            </w:r>
            <w:r w:rsidR="00B65D02" w:rsidRPr="00D7386D">
              <w:rPr>
                <w:rFonts w:ascii="Calibri Light" w:hAnsi="Calibri Light"/>
                <w:b w:val="0"/>
              </w:rPr>
              <w:t>Además,</w:t>
            </w:r>
            <w:r w:rsidRPr="00D7386D">
              <w:rPr>
                <w:rFonts w:ascii="Calibri Light" w:hAnsi="Calibri Light"/>
                <w:b w:val="0"/>
              </w:rPr>
              <w:t xml:space="preserve"> l</w:t>
            </w:r>
            <w:r w:rsidR="00AB2D2A" w:rsidRPr="00D7386D">
              <w:rPr>
                <w:rFonts w:ascii="Calibri Light" w:hAnsi="Calibri Light"/>
                <w:b w:val="0"/>
              </w:rPr>
              <w:t xml:space="preserve">a CIDH recordó </w:t>
            </w:r>
            <w:r w:rsidR="004C53C1" w:rsidRPr="00D7386D">
              <w:rPr>
                <w:rFonts w:ascii="Calibri Light" w:hAnsi="Calibri Light"/>
                <w:b w:val="0"/>
              </w:rPr>
              <w:t xml:space="preserve">que </w:t>
            </w:r>
            <w:r w:rsidR="00B65D02" w:rsidRPr="00D7386D">
              <w:rPr>
                <w:rFonts w:ascii="Calibri Light" w:hAnsi="Calibri Light"/>
                <w:b w:val="0"/>
              </w:rPr>
              <w:t>los agentes estatales no se encuentran autorizados a emplear</w:t>
            </w:r>
            <w:r w:rsidR="00AB2D2A" w:rsidRPr="00D7386D">
              <w:rPr>
                <w:rFonts w:ascii="Calibri Light" w:hAnsi="Calibri Light"/>
                <w:b w:val="0"/>
              </w:rPr>
              <w:t xml:space="preserve"> la fuerza contra personas qu</w:t>
            </w:r>
            <w:r w:rsidR="00102C76" w:rsidRPr="00D7386D">
              <w:rPr>
                <w:rFonts w:ascii="Calibri Light" w:hAnsi="Calibri Light"/>
                <w:b w:val="0"/>
              </w:rPr>
              <w:t xml:space="preserve">e ya no representen un peligro </w:t>
            </w:r>
            <w:r w:rsidR="00AB2D2A" w:rsidRPr="00D7386D">
              <w:rPr>
                <w:rFonts w:ascii="Calibri Light" w:hAnsi="Calibri Light"/>
                <w:b w:val="0"/>
              </w:rPr>
              <w:t>inclusive cuando la falta del uso de la fuerza resultare en la pérdi</w:t>
            </w:r>
            <w:r w:rsidRPr="00D7386D">
              <w:rPr>
                <w:rFonts w:ascii="Calibri Light" w:hAnsi="Calibri Light"/>
                <w:b w:val="0"/>
              </w:rPr>
              <w:t>da de la oportunidad de captura</w:t>
            </w:r>
            <w:r w:rsidR="00102C76" w:rsidRPr="00D7386D">
              <w:rPr>
                <w:rFonts w:ascii="Calibri Light" w:hAnsi="Calibri Light"/>
                <w:b w:val="0"/>
              </w:rPr>
              <w:t>.</w:t>
            </w:r>
          </w:p>
          <w:p w14:paraId="7CBD4E15" w14:textId="77777777" w:rsidR="00F529E2" w:rsidRPr="00D7386D" w:rsidRDefault="00F529E2" w:rsidP="00B81591">
            <w:pPr>
              <w:jc w:val="both"/>
              <w:rPr>
                <w:rFonts w:ascii="Calibri Light" w:hAnsi="Calibri Light"/>
                <w:b w:val="0"/>
              </w:rPr>
            </w:pPr>
          </w:p>
          <w:p w14:paraId="6BF32A48" w14:textId="1C6EA084" w:rsidR="000F66B5" w:rsidRPr="00D7386D" w:rsidRDefault="00FC7644" w:rsidP="00B81591">
            <w:pPr>
              <w:jc w:val="both"/>
              <w:rPr>
                <w:rFonts w:ascii="Calibri Light" w:hAnsi="Calibri Light"/>
                <w:b w:val="0"/>
              </w:rPr>
            </w:pPr>
            <w:r w:rsidRPr="00D7386D">
              <w:rPr>
                <w:rFonts w:ascii="Calibri Light" w:hAnsi="Calibri Light"/>
                <w:b w:val="0"/>
              </w:rPr>
              <w:t xml:space="preserve">Por otro lado, las declaraciones </w:t>
            </w:r>
            <w:r w:rsidR="00F5740F" w:rsidRPr="00D7386D">
              <w:rPr>
                <w:rFonts w:ascii="Calibri Light" w:hAnsi="Calibri Light"/>
                <w:b w:val="0"/>
              </w:rPr>
              <w:t xml:space="preserve">de la segunda versión </w:t>
            </w:r>
            <w:r w:rsidRPr="00D7386D">
              <w:rPr>
                <w:rFonts w:ascii="Calibri Light" w:hAnsi="Calibri Light"/>
                <w:b w:val="0"/>
              </w:rPr>
              <w:t xml:space="preserve">sobre lo sucedido </w:t>
            </w:r>
            <w:r w:rsidR="00F5740F" w:rsidRPr="00D7386D">
              <w:rPr>
                <w:rFonts w:ascii="Calibri Light" w:hAnsi="Calibri Light"/>
                <w:b w:val="0"/>
              </w:rPr>
              <w:t>eran consistentes entre sí y con el contexto ge</w:t>
            </w:r>
            <w:r w:rsidRPr="00D7386D">
              <w:rPr>
                <w:rFonts w:ascii="Calibri Light" w:hAnsi="Calibri Light"/>
                <w:b w:val="0"/>
              </w:rPr>
              <w:t>neral que se vivía en Venezuela</w:t>
            </w:r>
            <w:r w:rsidR="004C53C1" w:rsidRPr="00D7386D">
              <w:rPr>
                <w:rFonts w:ascii="Calibri Light" w:hAnsi="Calibri Light"/>
                <w:b w:val="0"/>
              </w:rPr>
              <w:t>.</w:t>
            </w:r>
            <w:r w:rsidRPr="00D7386D">
              <w:rPr>
                <w:rFonts w:ascii="Calibri Light" w:hAnsi="Calibri Light"/>
                <w:b w:val="0"/>
              </w:rPr>
              <w:t xml:space="preserve"> </w:t>
            </w:r>
            <w:r w:rsidR="004C53C1" w:rsidRPr="00D7386D">
              <w:rPr>
                <w:rFonts w:ascii="Calibri Light" w:hAnsi="Calibri Light"/>
                <w:b w:val="0"/>
              </w:rPr>
              <w:t>S</w:t>
            </w:r>
            <w:r w:rsidRPr="00D7386D">
              <w:rPr>
                <w:rFonts w:ascii="Calibri Light" w:hAnsi="Calibri Light"/>
                <w:b w:val="0"/>
              </w:rPr>
              <w:t xml:space="preserve">in embargo, </w:t>
            </w:r>
            <w:r w:rsidR="00B02E4C" w:rsidRPr="00D7386D">
              <w:rPr>
                <w:rFonts w:ascii="Calibri Light" w:hAnsi="Calibri Light"/>
                <w:b w:val="0"/>
              </w:rPr>
              <w:t xml:space="preserve">no fueron tomadas en cuenta en el curso de la investigación seguida. Tampoco se esclareció </w:t>
            </w:r>
            <w:r w:rsidR="003A3312" w:rsidRPr="00D7386D">
              <w:rPr>
                <w:rFonts w:ascii="Calibri Light" w:hAnsi="Calibri Light"/>
                <w:b w:val="0"/>
              </w:rPr>
              <w:t>porqué al momento de ser ingresado al hospital el cuerpo del señor Robert</w:t>
            </w:r>
            <w:r w:rsidR="00F5740F" w:rsidRPr="00D7386D">
              <w:rPr>
                <w:rFonts w:ascii="Calibri Light" w:hAnsi="Calibri Light"/>
                <w:b w:val="0"/>
              </w:rPr>
              <w:t xml:space="preserve"> se encontraba lleno de barro y “aguas negras”</w:t>
            </w:r>
            <w:r w:rsidR="000F66B5" w:rsidRPr="00D7386D">
              <w:rPr>
                <w:rFonts w:ascii="Calibri Light" w:hAnsi="Calibri Light"/>
                <w:b w:val="0"/>
              </w:rPr>
              <w:t>.</w:t>
            </w:r>
            <w:r w:rsidR="004C53C1" w:rsidRPr="00D7386D">
              <w:rPr>
                <w:rFonts w:ascii="Calibri Light" w:hAnsi="Calibri Light"/>
                <w:b w:val="0"/>
              </w:rPr>
              <w:t xml:space="preserve"> </w:t>
            </w:r>
            <w:r w:rsidR="000F66B5" w:rsidRPr="00D7386D">
              <w:rPr>
                <w:rFonts w:ascii="Calibri Light" w:hAnsi="Calibri Light"/>
                <w:b w:val="0"/>
              </w:rPr>
              <w:t xml:space="preserve">Por todo lo expuesto, la CIDH declaró que el Estado de Venezuela era responsable por la violación de los artículos 4.1, 5.1 y 7.1 de la CADH, en relación con el artículo 1.1, en perjuicio </w:t>
            </w:r>
            <w:r w:rsidR="004C53C1" w:rsidRPr="00D7386D">
              <w:rPr>
                <w:rFonts w:ascii="Calibri Light" w:hAnsi="Calibri Light"/>
                <w:b w:val="0"/>
              </w:rPr>
              <w:t>de los señores Díaz Loreto y del señor Díaz Álvarez</w:t>
            </w:r>
            <w:r w:rsidR="000F66B5" w:rsidRPr="00D7386D">
              <w:rPr>
                <w:rFonts w:ascii="Calibri Light" w:hAnsi="Calibri Light"/>
                <w:b w:val="0"/>
              </w:rPr>
              <w:t>.</w:t>
            </w:r>
          </w:p>
          <w:p w14:paraId="00E02C77" w14:textId="77777777" w:rsidR="00321F34" w:rsidRPr="00D7386D" w:rsidRDefault="00321F34" w:rsidP="00B81591">
            <w:pPr>
              <w:jc w:val="both"/>
              <w:rPr>
                <w:rFonts w:ascii="Calibri Light" w:hAnsi="Calibri Light"/>
              </w:rPr>
            </w:pPr>
          </w:p>
          <w:p w14:paraId="3316871B" w14:textId="27B4764C" w:rsidR="00321F34" w:rsidRPr="00D7386D" w:rsidRDefault="00B81591" w:rsidP="00B81591">
            <w:pPr>
              <w:jc w:val="both"/>
              <w:rPr>
                <w:rFonts w:ascii="Calibri Light" w:hAnsi="Calibri Light"/>
              </w:rPr>
            </w:pPr>
            <w:r w:rsidRPr="00D7386D">
              <w:rPr>
                <w:rFonts w:ascii="Calibri Light" w:hAnsi="Calibri Light"/>
              </w:rPr>
              <w:t>Derechos a las garantías judiciales y a la protección judicial (artículos 8 y 25 de la CADH</w:t>
            </w:r>
            <w:r w:rsidR="008C334B" w:rsidRPr="00D7386D">
              <w:rPr>
                <w:rFonts w:ascii="Calibri Light" w:hAnsi="Calibri Light"/>
              </w:rPr>
              <w:t>)</w:t>
            </w:r>
          </w:p>
          <w:p w14:paraId="0249E14B" w14:textId="77777777" w:rsidR="00321F34" w:rsidRPr="00D7386D" w:rsidRDefault="00321F34" w:rsidP="00B81591">
            <w:pPr>
              <w:jc w:val="both"/>
              <w:rPr>
                <w:rFonts w:ascii="Calibri Light" w:hAnsi="Calibri Light"/>
              </w:rPr>
            </w:pPr>
          </w:p>
          <w:p w14:paraId="6754A7FD" w14:textId="302BB64A" w:rsidR="00321F34" w:rsidRPr="00D7386D" w:rsidRDefault="00B81591" w:rsidP="00B81591">
            <w:pPr>
              <w:jc w:val="both"/>
              <w:rPr>
                <w:rFonts w:ascii="Calibri Light" w:hAnsi="Calibri Light"/>
              </w:rPr>
            </w:pPr>
            <w:r w:rsidRPr="00D7386D">
              <w:rPr>
                <w:rFonts w:ascii="Calibri Light" w:hAnsi="Calibri Light"/>
                <w:b w:val="0"/>
              </w:rPr>
              <w:t>De acuerdo a los parámetros establecidos en el Sistema Interamericano de</w:t>
            </w:r>
            <w:r w:rsidR="00045CA3" w:rsidRPr="00D7386D">
              <w:rPr>
                <w:rFonts w:ascii="Calibri Light" w:hAnsi="Calibri Light"/>
                <w:b w:val="0"/>
              </w:rPr>
              <w:t xml:space="preserve"> Derechos Humanos (</w:t>
            </w:r>
            <w:r w:rsidRPr="00D7386D">
              <w:rPr>
                <w:rFonts w:ascii="Calibri Light" w:hAnsi="Calibri Light"/>
                <w:b w:val="0"/>
              </w:rPr>
              <w:t xml:space="preserve">SIDH), cuando se produce la muerte o afectación a la integridad de una persona surge la obligación de realizar una investigación </w:t>
            </w:r>
            <w:r w:rsidRPr="00D7386D">
              <w:rPr>
                <w:rFonts w:ascii="Calibri Light" w:hAnsi="Calibri Light"/>
                <w:b w:val="0"/>
                <w:i/>
              </w:rPr>
              <w:t>ex officio</w:t>
            </w:r>
            <w:r w:rsidRPr="00D7386D">
              <w:rPr>
                <w:rFonts w:ascii="Calibri Light" w:hAnsi="Calibri Light"/>
                <w:b w:val="0"/>
              </w:rPr>
              <w:t>, sin dilación, seria, imparcial y efectiva. Asimismo, el Estado ha de proveer un recurso rápido y sencillo para la tutela de los derechos que pudieran haber sido afectados. El deber se ve reforzado cuando la muerte puede haber sido consecuencia del uso letal de la fuerza, ante lo cual el escrutinio deber ser más cuidadoso respecto no solo a las acciones, sino también a la planificación y control de estas. En base a ello, la CIDH dividió su análisis de este caso de la siguiente forma:</w:t>
            </w:r>
          </w:p>
          <w:p w14:paraId="35BD7DC7" w14:textId="77777777" w:rsidR="00321F34" w:rsidRPr="00D7386D" w:rsidRDefault="00321F34" w:rsidP="00B81591">
            <w:pPr>
              <w:jc w:val="both"/>
              <w:rPr>
                <w:rFonts w:ascii="Calibri Light" w:hAnsi="Calibri Light"/>
              </w:rPr>
            </w:pPr>
            <w:bookmarkStart w:id="0" w:name="_4660quimcdjr" w:colFirst="0" w:colLast="0"/>
            <w:bookmarkEnd w:id="0"/>
          </w:p>
          <w:p w14:paraId="418EFA75" w14:textId="3445ABE6" w:rsidR="00321F34" w:rsidRPr="003F335D" w:rsidRDefault="00B81591" w:rsidP="003F335D">
            <w:pPr>
              <w:pStyle w:val="ListParagraph"/>
              <w:numPr>
                <w:ilvl w:val="5"/>
                <w:numId w:val="2"/>
              </w:numPr>
              <w:jc w:val="both"/>
              <w:rPr>
                <w:rFonts w:ascii="Calibri Light" w:hAnsi="Calibri Light"/>
              </w:rPr>
            </w:pPr>
            <w:r w:rsidRPr="003F335D">
              <w:rPr>
                <w:rFonts w:ascii="Calibri Light" w:hAnsi="Calibri Light"/>
              </w:rPr>
              <w:t>La debida diligencia en la investigación</w:t>
            </w:r>
          </w:p>
          <w:p w14:paraId="252B3911" w14:textId="77777777" w:rsidR="00321F34" w:rsidRPr="00D7386D" w:rsidRDefault="00321F34" w:rsidP="00B81591">
            <w:pPr>
              <w:jc w:val="both"/>
              <w:rPr>
                <w:rFonts w:ascii="Calibri Light" w:hAnsi="Calibri Light"/>
              </w:rPr>
            </w:pPr>
          </w:p>
          <w:p w14:paraId="6539BE17" w14:textId="04B68710" w:rsidR="00321F34" w:rsidRPr="00D7386D" w:rsidRDefault="00B81591" w:rsidP="00B81591">
            <w:pPr>
              <w:jc w:val="both"/>
              <w:rPr>
                <w:rFonts w:ascii="Calibri Light" w:hAnsi="Calibri Light"/>
              </w:rPr>
            </w:pPr>
            <w:bookmarkStart w:id="1" w:name="_gjdgxs" w:colFirst="0" w:colLast="0"/>
            <w:bookmarkEnd w:id="1"/>
            <w:r w:rsidRPr="00D7386D">
              <w:rPr>
                <w:rFonts w:ascii="Calibri Light" w:hAnsi="Calibri Light"/>
                <w:b w:val="0"/>
              </w:rPr>
              <w:t xml:space="preserve">La CIDH y la Corte IDH han indicado que los Estados han de actuar con toda acuciosidad desde las primeras diligencias en los casos de muerte de una persona. El </w:t>
            </w:r>
            <w:r w:rsidRPr="00AF62FF">
              <w:rPr>
                <w:rFonts w:ascii="Calibri Light" w:hAnsi="Calibri Light"/>
                <w:b w:val="0"/>
                <w:i/>
              </w:rPr>
              <w:t>Manual sobre la Prevención e Investigación Efectiva de Ejecuciones Extrajudiciales, Arbitrarias y Sumarias</w:t>
            </w:r>
            <w:r w:rsidRPr="00D7386D">
              <w:rPr>
                <w:rFonts w:ascii="Calibri Light" w:hAnsi="Calibri Light"/>
                <w:b w:val="0"/>
              </w:rPr>
              <w:t xml:space="preserve"> de Naciones Unidas especifica que entre las diligencias clave se encuentran identificar a la víctima, recuperar y preservar el material probatorio relevante, identificar posibles testigos y obtener sus declaraciones, determinar la causa, forma, lugar y momento de la muerte, entre otras. </w:t>
            </w:r>
            <w:bookmarkStart w:id="2" w:name="_39s1myp325d1" w:colFirst="0" w:colLast="0"/>
            <w:bookmarkStart w:id="3" w:name="_mev6exakskoz" w:colFirst="0" w:colLast="0"/>
            <w:bookmarkEnd w:id="2"/>
            <w:bookmarkEnd w:id="3"/>
            <w:r w:rsidRPr="00D7386D">
              <w:rPr>
                <w:rFonts w:ascii="Calibri Light" w:hAnsi="Calibri Light"/>
                <w:b w:val="0"/>
              </w:rPr>
              <w:t xml:space="preserve">Toda la investigación debe encontrarse orientada a esclarecer los hechos, y perseguir y sancionar a los responsables. Para cumplir adecuadamente con los estándares sobre la investigación, el Estado debe demostrar que se analizaron todas las líneas investigativas posibles. </w:t>
            </w:r>
            <w:r w:rsidR="004C53C1" w:rsidRPr="00D7386D">
              <w:rPr>
                <w:rFonts w:ascii="Calibri Light" w:hAnsi="Calibri Light"/>
                <w:b w:val="0"/>
              </w:rPr>
              <w:t>C</w:t>
            </w:r>
            <w:r w:rsidRPr="00D7386D">
              <w:rPr>
                <w:rFonts w:ascii="Calibri Light" w:hAnsi="Calibri Light"/>
                <w:b w:val="0"/>
              </w:rPr>
              <w:t xml:space="preserve">uando exista más de una versión, y estas sean contradictorias, no bastarán solo las diligencias probatorias, sino que deberá evaluar si se permitió el esclarecimiento judicial de lo </w:t>
            </w:r>
            <w:r w:rsidRPr="00D7386D">
              <w:rPr>
                <w:rFonts w:ascii="Calibri Light" w:hAnsi="Calibri Light"/>
                <w:b w:val="0"/>
              </w:rPr>
              <w:lastRenderedPageBreak/>
              <w:t>sucedido y la calificación jurídica correspondiente.</w:t>
            </w:r>
          </w:p>
          <w:p w14:paraId="733E72C9" w14:textId="77777777" w:rsidR="00321F34" w:rsidRPr="00D7386D" w:rsidRDefault="00321F34" w:rsidP="00B81591">
            <w:pPr>
              <w:jc w:val="both"/>
              <w:rPr>
                <w:rFonts w:ascii="Calibri Light" w:hAnsi="Calibri Light"/>
              </w:rPr>
            </w:pPr>
            <w:bookmarkStart w:id="4" w:name="_lgpb451lsjb4" w:colFirst="0" w:colLast="0"/>
            <w:bookmarkEnd w:id="4"/>
          </w:p>
          <w:p w14:paraId="3DC68194" w14:textId="7EDFDA9A" w:rsidR="00321F34" w:rsidRPr="00D7386D" w:rsidRDefault="00B81591" w:rsidP="00B81591">
            <w:pPr>
              <w:jc w:val="both"/>
              <w:rPr>
                <w:rFonts w:ascii="Calibri Light" w:hAnsi="Calibri Light"/>
              </w:rPr>
            </w:pPr>
            <w:bookmarkStart w:id="5" w:name="_otux23n6mowh" w:colFirst="0" w:colLast="0"/>
            <w:bookmarkEnd w:id="5"/>
            <w:r w:rsidRPr="00D7386D">
              <w:rPr>
                <w:rFonts w:ascii="Calibri Light" w:hAnsi="Calibri Light"/>
                <w:b w:val="0"/>
              </w:rPr>
              <w:t xml:space="preserve">En el presente caso, la CIDH resaltó </w:t>
            </w:r>
            <w:r w:rsidR="00505793" w:rsidRPr="00D7386D">
              <w:rPr>
                <w:rFonts w:ascii="Calibri Light" w:hAnsi="Calibri Light"/>
                <w:b w:val="0"/>
              </w:rPr>
              <w:t>que</w:t>
            </w:r>
            <w:r w:rsidRPr="00D7386D">
              <w:rPr>
                <w:rFonts w:ascii="Calibri Light" w:hAnsi="Calibri Light"/>
                <w:b w:val="0"/>
              </w:rPr>
              <w:t xml:space="preserve"> la investigación realizada tuvo como </w:t>
            </w:r>
            <w:r w:rsidR="00107C55" w:rsidRPr="00D7386D">
              <w:rPr>
                <w:rFonts w:ascii="Calibri Light" w:hAnsi="Calibri Light"/>
                <w:b w:val="0"/>
              </w:rPr>
              <w:t xml:space="preserve">hipótesis central </w:t>
            </w:r>
            <w:r w:rsidRPr="00D7386D">
              <w:rPr>
                <w:rFonts w:ascii="Calibri Light" w:hAnsi="Calibri Light"/>
                <w:b w:val="0"/>
              </w:rPr>
              <w:t xml:space="preserve">la versión del CSOPEA, por lo que las pruebas tuvieron como fin constatarla, sin tomar con la seriedad debida las declaraciones de testigos sobre la segunda versión de los hechos y </w:t>
            </w:r>
            <w:r w:rsidR="0067345E" w:rsidRPr="00D7386D">
              <w:rPr>
                <w:rFonts w:ascii="Calibri Light" w:hAnsi="Calibri Light"/>
                <w:b w:val="0"/>
              </w:rPr>
              <w:t>sin</w:t>
            </w:r>
            <w:r w:rsidRPr="00D7386D">
              <w:rPr>
                <w:rFonts w:ascii="Calibri Light" w:hAnsi="Calibri Light"/>
                <w:b w:val="0"/>
              </w:rPr>
              <w:t xml:space="preserve"> realizar pruebas que pudieran confrontar ambas versiones o probar la veracidad de la segunda. </w:t>
            </w:r>
            <w:r w:rsidR="00E24DF2" w:rsidRPr="00D7386D">
              <w:rPr>
                <w:rFonts w:ascii="Calibri Light" w:hAnsi="Calibri Light"/>
                <w:b w:val="0"/>
              </w:rPr>
              <w:t>Además, l</w:t>
            </w:r>
            <w:r w:rsidRPr="00D7386D">
              <w:rPr>
                <w:rFonts w:ascii="Calibri Light" w:hAnsi="Calibri Light"/>
                <w:b w:val="0"/>
              </w:rPr>
              <w:t>as falencias en la investigación quedaron demostradas en la decisión del recurso de casación, que notó la falta de una adecuada motivación sobre la aplicación de las eximentes de responsabilidad a los acusados. Asimismo, observó que no se siguió ninguna línea de investigación relacionada con el contexto de ejecuciones extrajudiciales que se vivía en Venezuela.</w:t>
            </w:r>
            <w:r w:rsidR="00107C55" w:rsidRPr="00D7386D">
              <w:rPr>
                <w:rFonts w:ascii="Calibri Light" w:hAnsi="Calibri Light"/>
                <w:b w:val="0"/>
              </w:rPr>
              <w:t xml:space="preserve"> </w:t>
            </w:r>
            <w:r w:rsidR="0024546B" w:rsidRPr="00D7386D">
              <w:rPr>
                <w:rFonts w:ascii="Calibri Light" w:hAnsi="Calibri Light"/>
                <w:b w:val="0"/>
              </w:rPr>
              <w:t>Con ello</w:t>
            </w:r>
            <w:r w:rsidR="00107C55" w:rsidRPr="00D7386D">
              <w:rPr>
                <w:rFonts w:ascii="Calibri Light" w:hAnsi="Calibri Light"/>
                <w:b w:val="0"/>
              </w:rPr>
              <w:t xml:space="preserve">, </w:t>
            </w:r>
            <w:r w:rsidR="0024546B" w:rsidRPr="00D7386D">
              <w:rPr>
                <w:rFonts w:ascii="Calibri Light" w:hAnsi="Calibri Light"/>
                <w:b w:val="0"/>
              </w:rPr>
              <w:t>la CIDH consideró que estas omisiones no fueron debidamente subsanadas y mermaron las perspectivas de obtención de verdad y justicia para los familiares de las víctimas.</w:t>
            </w:r>
          </w:p>
          <w:p w14:paraId="0365EEA6" w14:textId="77777777" w:rsidR="00321F34" w:rsidRPr="00D7386D" w:rsidRDefault="00321F34" w:rsidP="00B81591">
            <w:pPr>
              <w:jc w:val="both"/>
              <w:rPr>
                <w:rFonts w:ascii="Calibri Light" w:hAnsi="Calibri Light"/>
              </w:rPr>
            </w:pPr>
          </w:p>
          <w:p w14:paraId="78810EA6" w14:textId="53CEEBFC" w:rsidR="00321F34" w:rsidRPr="003F335D" w:rsidRDefault="00B81591" w:rsidP="003F335D">
            <w:pPr>
              <w:pStyle w:val="ListParagraph"/>
              <w:numPr>
                <w:ilvl w:val="2"/>
                <w:numId w:val="2"/>
              </w:numPr>
              <w:jc w:val="both"/>
              <w:rPr>
                <w:rFonts w:ascii="Calibri Light" w:hAnsi="Calibri Light"/>
              </w:rPr>
            </w:pPr>
            <w:r w:rsidRPr="003F335D">
              <w:rPr>
                <w:rFonts w:ascii="Calibri Light" w:hAnsi="Calibri Light"/>
              </w:rPr>
              <w:t>El plazo razonable</w:t>
            </w:r>
          </w:p>
          <w:p w14:paraId="0A1BE6ED" w14:textId="77777777" w:rsidR="00321F34" w:rsidRPr="00D7386D" w:rsidRDefault="00321F34" w:rsidP="00B81591">
            <w:pPr>
              <w:jc w:val="both"/>
              <w:rPr>
                <w:rFonts w:ascii="Calibri Light" w:hAnsi="Calibri Light"/>
              </w:rPr>
            </w:pPr>
          </w:p>
          <w:p w14:paraId="6B76C5DF" w14:textId="1A404195" w:rsidR="00321F34" w:rsidRPr="00D7386D" w:rsidRDefault="00B81591" w:rsidP="00B81591">
            <w:pPr>
              <w:jc w:val="both"/>
              <w:rPr>
                <w:rFonts w:ascii="Calibri Light" w:hAnsi="Calibri Light"/>
              </w:rPr>
            </w:pPr>
            <w:r w:rsidRPr="00D7386D">
              <w:rPr>
                <w:rFonts w:ascii="Calibri Light" w:hAnsi="Calibri Light"/>
                <w:b w:val="0"/>
              </w:rPr>
              <w:t>Entre las garantías judiciales protegidas por la CADH, se encuentra el derecho a que los tribunales decidan los casos sometidos a su conocimiento en un plazo razonable. La razonabilidad del plazo en el SIDH se eval</w:t>
            </w:r>
            <w:r w:rsidR="00AF62FF">
              <w:rPr>
                <w:rFonts w:ascii="Calibri Light" w:hAnsi="Calibri Light"/>
                <w:b w:val="0"/>
              </w:rPr>
              <w:t>úa en base a cuatro criterios: i</w:t>
            </w:r>
            <w:r w:rsidRPr="00D7386D">
              <w:rPr>
                <w:rFonts w:ascii="Calibri Light" w:hAnsi="Calibri Light"/>
                <w:b w:val="0"/>
              </w:rPr>
              <w:t xml:space="preserve">) la complejidad del asunto, </w:t>
            </w:r>
            <w:r w:rsidR="00AF62FF">
              <w:rPr>
                <w:rFonts w:ascii="Calibri Light" w:hAnsi="Calibri Light"/>
                <w:b w:val="0"/>
              </w:rPr>
              <w:t>ii</w:t>
            </w:r>
            <w:r w:rsidRPr="00D7386D">
              <w:rPr>
                <w:rFonts w:ascii="Calibri Light" w:hAnsi="Calibri Light"/>
                <w:b w:val="0"/>
              </w:rPr>
              <w:t xml:space="preserve">) la actividad procesal del interesado, </w:t>
            </w:r>
            <w:r w:rsidR="00AF62FF">
              <w:rPr>
                <w:rFonts w:ascii="Calibri Light" w:hAnsi="Calibri Light"/>
                <w:b w:val="0"/>
              </w:rPr>
              <w:t>iii</w:t>
            </w:r>
            <w:r w:rsidRPr="00D7386D">
              <w:rPr>
                <w:rFonts w:ascii="Calibri Light" w:hAnsi="Calibri Light"/>
                <w:b w:val="0"/>
              </w:rPr>
              <w:t>) la conducta de</w:t>
            </w:r>
            <w:r w:rsidR="00AF62FF">
              <w:rPr>
                <w:rFonts w:ascii="Calibri Light" w:hAnsi="Calibri Light"/>
                <w:b w:val="0"/>
              </w:rPr>
              <w:t xml:space="preserve"> las autoridades judiciales, y iv</w:t>
            </w:r>
            <w:r w:rsidRPr="00D7386D">
              <w:rPr>
                <w:rFonts w:ascii="Calibri Light" w:hAnsi="Calibri Light"/>
                <w:b w:val="0"/>
              </w:rPr>
              <w:t>) la afectación generada en la situación jurídica de la persona involucrada en el proceso.</w:t>
            </w:r>
          </w:p>
          <w:p w14:paraId="4691E98F" w14:textId="77777777" w:rsidR="00321F34" w:rsidRPr="00D7386D" w:rsidRDefault="00321F34" w:rsidP="00B81591">
            <w:pPr>
              <w:jc w:val="both"/>
              <w:rPr>
                <w:rFonts w:ascii="Calibri Light" w:hAnsi="Calibri Light"/>
              </w:rPr>
            </w:pPr>
          </w:p>
          <w:p w14:paraId="60B9F1F7" w14:textId="2EF94437" w:rsidR="00321F34" w:rsidRPr="00D7386D" w:rsidRDefault="00B81591" w:rsidP="00B81591">
            <w:pPr>
              <w:jc w:val="both"/>
              <w:rPr>
                <w:rFonts w:ascii="Calibri Light" w:hAnsi="Calibri Light"/>
                <w:b w:val="0"/>
              </w:rPr>
            </w:pPr>
            <w:r w:rsidRPr="00D7386D">
              <w:rPr>
                <w:rFonts w:ascii="Calibri Light" w:hAnsi="Calibri Light"/>
                <w:b w:val="0"/>
              </w:rPr>
              <w:t>La CIDH consideró que no se cumplía con el primer criterio, ya que el Estado no agotó todas las líneas de investigación posibles del caso</w:t>
            </w:r>
            <w:r w:rsidR="00411313">
              <w:rPr>
                <w:rFonts w:ascii="Calibri Light" w:hAnsi="Calibri Light"/>
                <w:b w:val="0"/>
              </w:rPr>
              <w:t xml:space="preserve">. Además, </w:t>
            </w:r>
            <w:r w:rsidRPr="00D7386D">
              <w:rPr>
                <w:rFonts w:ascii="Calibri Light" w:hAnsi="Calibri Light"/>
                <w:b w:val="0"/>
              </w:rPr>
              <w:t>los elementos aportados por el Estado para sustentar la alegada complejidad</w:t>
            </w:r>
            <w:r w:rsidR="00411313">
              <w:rPr>
                <w:rFonts w:ascii="Calibri Light" w:hAnsi="Calibri Light"/>
                <w:b w:val="0"/>
              </w:rPr>
              <w:t xml:space="preserve"> - como señalar que los </w:t>
            </w:r>
            <w:r w:rsidR="009560E7" w:rsidRPr="00D7386D">
              <w:rPr>
                <w:rFonts w:ascii="Calibri Light" w:hAnsi="Calibri Light"/>
                <w:b w:val="0"/>
              </w:rPr>
              <w:t>hechos ocurri</w:t>
            </w:r>
            <w:r w:rsidR="00411313">
              <w:rPr>
                <w:rFonts w:ascii="Calibri Light" w:hAnsi="Calibri Light"/>
                <w:b w:val="0"/>
              </w:rPr>
              <w:t>eron</w:t>
            </w:r>
            <w:r w:rsidR="009560E7" w:rsidRPr="00D7386D">
              <w:rPr>
                <w:rFonts w:ascii="Calibri Light" w:hAnsi="Calibri Light"/>
                <w:b w:val="0"/>
              </w:rPr>
              <w:t xml:space="preserve"> en el marco de un enfrentamiento, </w:t>
            </w:r>
            <w:r w:rsidR="00411313">
              <w:rPr>
                <w:rFonts w:ascii="Calibri Light" w:hAnsi="Calibri Light"/>
                <w:b w:val="0"/>
              </w:rPr>
              <w:t xml:space="preserve">que las </w:t>
            </w:r>
            <w:r w:rsidR="009560E7" w:rsidRPr="00D7386D">
              <w:rPr>
                <w:rFonts w:ascii="Calibri Light" w:hAnsi="Calibri Light"/>
                <w:b w:val="0"/>
              </w:rPr>
              <w:t xml:space="preserve">víctimas </w:t>
            </w:r>
            <w:r w:rsidR="00411313">
              <w:rPr>
                <w:rFonts w:ascii="Calibri Light" w:hAnsi="Calibri Light"/>
                <w:b w:val="0"/>
              </w:rPr>
              <w:t xml:space="preserve">estaban </w:t>
            </w:r>
            <w:r w:rsidR="009560E7" w:rsidRPr="00D7386D">
              <w:rPr>
                <w:rFonts w:ascii="Calibri Light" w:hAnsi="Calibri Light"/>
                <w:b w:val="0"/>
              </w:rPr>
              <w:t xml:space="preserve">en situación de flagrancia y </w:t>
            </w:r>
            <w:r w:rsidR="00411313">
              <w:rPr>
                <w:rFonts w:ascii="Calibri Light" w:hAnsi="Calibri Light"/>
                <w:b w:val="0"/>
              </w:rPr>
              <w:t xml:space="preserve">que existían </w:t>
            </w:r>
            <w:r w:rsidR="009560E7" w:rsidRPr="00D7386D">
              <w:rPr>
                <w:rFonts w:ascii="Calibri Light" w:hAnsi="Calibri Light"/>
                <w:b w:val="0"/>
              </w:rPr>
              <w:t xml:space="preserve">versiones de familiares </w:t>
            </w:r>
            <w:r w:rsidR="00411313">
              <w:rPr>
                <w:rFonts w:ascii="Calibri Light" w:hAnsi="Calibri Light"/>
                <w:b w:val="0"/>
              </w:rPr>
              <w:t xml:space="preserve">que </w:t>
            </w:r>
            <w:r w:rsidR="009560E7" w:rsidRPr="00D7386D">
              <w:rPr>
                <w:rFonts w:ascii="Calibri Light" w:hAnsi="Calibri Light"/>
                <w:b w:val="0"/>
              </w:rPr>
              <w:t>no coincidían con otros testimonios</w:t>
            </w:r>
            <w:r w:rsidR="00411313">
              <w:rPr>
                <w:rFonts w:ascii="Calibri Light" w:hAnsi="Calibri Light"/>
                <w:b w:val="0"/>
              </w:rPr>
              <w:t xml:space="preserve"> - </w:t>
            </w:r>
            <w:r w:rsidRPr="00D7386D">
              <w:rPr>
                <w:rFonts w:ascii="Calibri Light" w:hAnsi="Calibri Light"/>
                <w:b w:val="0"/>
              </w:rPr>
              <w:t xml:space="preserve">no guardaban relación con la demora. </w:t>
            </w:r>
            <w:r w:rsidR="0067345E" w:rsidRPr="00D7386D">
              <w:rPr>
                <w:rFonts w:ascii="Calibri Light" w:hAnsi="Calibri Light"/>
                <w:b w:val="0"/>
              </w:rPr>
              <w:t>R</w:t>
            </w:r>
            <w:r w:rsidRPr="00D7386D">
              <w:rPr>
                <w:rFonts w:ascii="Calibri Light" w:hAnsi="Calibri Light"/>
                <w:b w:val="0"/>
              </w:rPr>
              <w:t>especto al tercer criterio, durante el proceso judicial se presentaron periodos de inactividad no justificados</w:t>
            </w:r>
            <w:r w:rsidR="009560E7" w:rsidRPr="00D7386D">
              <w:rPr>
                <w:rFonts w:ascii="Calibri Light" w:hAnsi="Calibri Light"/>
                <w:b w:val="0"/>
              </w:rPr>
              <w:t xml:space="preserve"> —como la apertura del juicio oral en 2003 y que este iniciara recién en 2007—</w:t>
            </w:r>
            <w:r w:rsidRPr="00D7386D">
              <w:rPr>
                <w:rFonts w:ascii="Calibri Light" w:hAnsi="Calibri Light"/>
                <w:b w:val="0"/>
              </w:rPr>
              <w:t xml:space="preserve"> y no se </w:t>
            </w:r>
            <w:r w:rsidR="00E24DF2" w:rsidRPr="00D7386D">
              <w:rPr>
                <w:rFonts w:ascii="Calibri Light" w:hAnsi="Calibri Light"/>
                <w:b w:val="0"/>
              </w:rPr>
              <w:t xml:space="preserve">cuenta </w:t>
            </w:r>
            <w:r w:rsidRPr="00D7386D">
              <w:rPr>
                <w:rFonts w:ascii="Calibri Light" w:hAnsi="Calibri Light"/>
                <w:b w:val="0"/>
              </w:rPr>
              <w:t>con información sobre el curso del segundo proceso judicial. Acerca de la actividad procesal de los interesados, los familiares participaron de forma activa en todas las etapas del proceso.</w:t>
            </w:r>
            <w:r w:rsidR="00505793" w:rsidRPr="00D7386D">
              <w:rPr>
                <w:rFonts w:ascii="Calibri Light" w:hAnsi="Calibri Light"/>
                <w:b w:val="0"/>
              </w:rPr>
              <w:t xml:space="preserve"> </w:t>
            </w:r>
            <w:r w:rsidR="009560E7" w:rsidRPr="00D7386D">
              <w:rPr>
                <w:rFonts w:ascii="Calibri Light" w:hAnsi="Calibri Light"/>
                <w:b w:val="0"/>
              </w:rPr>
              <w:t xml:space="preserve">Si bien la CIDH no se pronunció expresamente sobre el cuarto criterio, señaló que la demora no era razonable y afectaba los derechos de los familiares identificados. </w:t>
            </w:r>
            <w:r w:rsidRPr="00D7386D">
              <w:rPr>
                <w:rFonts w:ascii="Calibri Light" w:hAnsi="Calibri Light"/>
                <w:b w:val="0"/>
              </w:rPr>
              <w:t xml:space="preserve">En ese sentido, la CIDH declaró que el Estado Venezolano </w:t>
            </w:r>
            <w:r w:rsidR="009560E7" w:rsidRPr="00D7386D">
              <w:rPr>
                <w:rFonts w:ascii="Calibri Light" w:hAnsi="Calibri Light"/>
                <w:b w:val="0"/>
              </w:rPr>
              <w:t xml:space="preserve">había violado </w:t>
            </w:r>
            <w:r w:rsidRPr="00D7386D">
              <w:rPr>
                <w:rFonts w:ascii="Calibri Light" w:hAnsi="Calibri Light"/>
                <w:b w:val="0"/>
              </w:rPr>
              <w:t xml:space="preserve">los artículos 8.1 y 25.1 de la CADH, en relación con el artículo 1.1, en perjuicio </w:t>
            </w:r>
            <w:r w:rsidR="00E24DF2" w:rsidRPr="00D7386D">
              <w:rPr>
                <w:rFonts w:ascii="Calibri Light" w:hAnsi="Calibri Light"/>
                <w:b w:val="0"/>
              </w:rPr>
              <w:t>de los</w:t>
            </w:r>
            <w:r w:rsidR="009560E7" w:rsidRPr="00D7386D">
              <w:rPr>
                <w:rFonts w:ascii="Calibri Light" w:hAnsi="Calibri Light"/>
                <w:b w:val="0"/>
              </w:rPr>
              <w:t xml:space="preserve"> familiares de los</w:t>
            </w:r>
            <w:r w:rsidR="00E24DF2" w:rsidRPr="00D7386D">
              <w:rPr>
                <w:rFonts w:ascii="Calibri Light" w:hAnsi="Calibri Light"/>
                <w:b w:val="0"/>
              </w:rPr>
              <w:t xml:space="preserve"> señores Díaz Loreto y del señor Díaz Álvarez</w:t>
            </w:r>
            <w:r w:rsidRPr="00D7386D">
              <w:rPr>
                <w:rFonts w:ascii="Calibri Light" w:hAnsi="Calibri Light"/>
                <w:b w:val="0"/>
              </w:rPr>
              <w:t>.</w:t>
            </w:r>
          </w:p>
          <w:p w14:paraId="58847E20" w14:textId="77777777" w:rsidR="00321F34" w:rsidRPr="00D7386D" w:rsidRDefault="00321F34" w:rsidP="00B81591">
            <w:pPr>
              <w:jc w:val="both"/>
              <w:rPr>
                <w:rFonts w:ascii="Calibri Light" w:hAnsi="Calibri Light"/>
              </w:rPr>
            </w:pPr>
          </w:p>
          <w:p w14:paraId="6DE789F5" w14:textId="3BA750B3" w:rsidR="00321F34" w:rsidRPr="00D7386D" w:rsidRDefault="00B81591" w:rsidP="00B81591">
            <w:pPr>
              <w:jc w:val="both"/>
              <w:rPr>
                <w:rFonts w:ascii="Calibri Light" w:hAnsi="Calibri Light"/>
              </w:rPr>
            </w:pPr>
            <w:r w:rsidRPr="00D7386D">
              <w:rPr>
                <w:rFonts w:ascii="Calibri Light" w:hAnsi="Calibri Light"/>
              </w:rPr>
              <w:t>Derecho a la integridad personal respecto de los familiares de Robert Díaz Loreto, David Díaz Loreto y Octavio Díaz Loreto (artículo 5 de la CADH)</w:t>
            </w:r>
          </w:p>
          <w:p w14:paraId="66A47144" w14:textId="77777777" w:rsidR="00321F34" w:rsidRPr="00D7386D" w:rsidRDefault="00321F34" w:rsidP="00B81591">
            <w:pPr>
              <w:jc w:val="both"/>
              <w:rPr>
                <w:rFonts w:ascii="Calibri Light" w:hAnsi="Calibri Light"/>
              </w:rPr>
            </w:pPr>
          </w:p>
          <w:p w14:paraId="4D9A21E2" w14:textId="66207E41" w:rsidR="00321F34" w:rsidRPr="00D7386D" w:rsidRDefault="00B81591" w:rsidP="00B81591">
            <w:pPr>
              <w:jc w:val="both"/>
              <w:rPr>
                <w:rFonts w:ascii="Calibri Light" w:hAnsi="Calibri Light"/>
              </w:rPr>
            </w:pPr>
            <w:r w:rsidRPr="00D7386D">
              <w:rPr>
                <w:rFonts w:ascii="Calibri Light" w:hAnsi="Calibri Light"/>
                <w:b w:val="0"/>
              </w:rPr>
              <w:t xml:space="preserve">Tanto la CIDH como la Corte IDH han establecido que los familiares de víctimas de ciertas violaciones de derechos humanos pueden ser considerados, a su vez, como víctimas por la vulneración de su integridad psíquica y moral. Dicha vulneración puede ocasionarse al conocer las situaciones particulares a las que fueron sometidas sus familiares, o por las posteriores actuaciones u omisiones de las autoridades. </w:t>
            </w:r>
            <w:r w:rsidR="00607B53" w:rsidRPr="00D7386D">
              <w:rPr>
                <w:rFonts w:ascii="Calibri Light" w:hAnsi="Calibri Light"/>
                <w:b w:val="0"/>
              </w:rPr>
              <w:t>E</w:t>
            </w:r>
            <w:r w:rsidRPr="00D7386D">
              <w:rPr>
                <w:rFonts w:ascii="Calibri Light" w:hAnsi="Calibri Light"/>
                <w:b w:val="0"/>
              </w:rPr>
              <w:t xml:space="preserve">n casos en que la investigación de los hechos no es completa y efectiva, </w:t>
            </w:r>
            <w:r w:rsidR="006B315E" w:rsidRPr="00D7386D">
              <w:rPr>
                <w:rFonts w:ascii="Calibri Light" w:hAnsi="Calibri Light"/>
                <w:b w:val="0"/>
              </w:rPr>
              <w:t xml:space="preserve">esta </w:t>
            </w:r>
            <w:r w:rsidRPr="00D7386D">
              <w:rPr>
                <w:rFonts w:ascii="Calibri Light" w:hAnsi="Calibri Light"/>
                <w:b w:val="0"/>
              </w:rPr>
              <w:t>constituye una fuente de sufrimiento y angustia adicional y se afecta su derecho a la verdad.</w:t>
            </w:r>
          </w:p>
          <w:p w14:paraId="2D12AF53" w14:textId="77777777" w:rsidR="00321F34" w:rsidRPr="00D7386D" w:rsidRDefault="00321F34" w:rsidP="00B81591">
            <w:pPr>
              <w:jc w:val="both"/>
              <w:rPr>
                <w:rFonts w:ascii="Calibri Light" w:hAnsi="Calibri Light"/>
              </w:rPr>
            </w:pPr>
          </w:p>
          <w:p w14:paraId="4C2E8D19" w14:textId="2BBABAF6" w:rsidR="00321F34" w:rsidRPr="00D7386D" w:rsidRDefault="00411313" w:rsidP="00B81591">
            <w:pPr>
              <w:jc w:val="both"/>
              <w:rPr>
                <w:rFonts w:ascii="Calibri Light" w:hAnsi="Calibri Light"/>
              </w:rPr>
            </w:pPr>
            <w:r>
              <w:rPr>
                <w:rFonts w:ascii="Calibri Light" w:hAnsi="Calibri Light"/>
                <w:b w:val="0"/>
              </w:rPr>
              <w:t>En este caso</w:t>
            </w:r>
            <w:r w:rsidR="00607B53" w:rsidRPr="00D7386D">
              <w:rPr>
                <w:rFonts w:ascii="Calibri Light" w:hAnsi="Calibri Light"/>
                <w:b w:val="0"/>
              </w:rPr>
              <w:t>, la CIDH consideró los familiares vieron vulnerada su integridad psíquica y mora e</w:t>
            </w:r>
            <w:r w:rsidR="00B81591" w:rsidRPr="00D7386D">
              <w:rPr>
                <w:rFonts w:ascii="Calibri Light" w:hAnsi="Calibri Light"/>
                <w:b w:val="0"/>
              </w:rPr>
              <w:t xml:space="preserve">n tanto: i) se determinó que </w:t>
            </w:r>
            <w:r w:rsidR="00607B53" w:rsidRPr="00D7386D">
              <w:rPr>
                <w:rFonts w:ascii="Calibri Light" w:hAnsi="Calibri Light"/>
                <w:b w:val="0"/>
              </w:rPr>
              <w:t xml:space="preserve">los señores Díaz Loreto y el señor Díaz Álvarez </w:t>
            </w:r>
            <w:r w:rsidR="00B81591" w:rsidRPr="00D7386D">
              <w:rPr>
                <w:rFonts w:ascii="Calibri Light" w:hAnsi="Calibri Light"/>
                <w:b w:val="0"/>
              </w:rPr>
              <w:t xml:space="preserve">fallecieron en circunstancias en las cuales los agentes estatales </w:t>
            </w:r>
            <w:r w:rsidR="00607B53" w:rsidRPr="00D7386D">
              <w:rPr>
                <w:rFonts w:ascii="Calibri Light" w:hAnsi="Calibri Light"/>
                <w:b w:val="0"/>
              </w:rPr>
              <w:t>hicieron</w:t>
            </w:r>
            <w:r w:rsidR="00B81591" w:rsidRPr="00D7386D">
              <w:rPr>
                <w:rFonts w:ascii="Calibri Light" w:hAnsi="Calibri Light"/>
                <w:b w:val="0"/>
              </w:rPr>
              <w:t xml:space="preserve"> uso de la fuerza sin perseguir un fin legítimo y de forma innecesaria y desproporcionada; ii) no se logró el esclarecimiento de los </w:t>
            </w:r>
            <w:r w:rsidR="00B81591" w:rsidRPr="00D7386D">
              <w:rPr>
                <w:rFonts w:ascii="Calibri Light" w:hAnsi="Calibri Light"/>
                <w:b w:val="0"/>
              </w:rPr>
              <w:lastRenderedPageBreak/>
              <w:t>hechos en el proceso judicial seguido por sus muertes; y iii) los familiares alegaron haber sido hostigados y amen</w:t>
            </w:r>
            <w:r>
              <w:rPr>
                <w:rFonts w:ascii="Calibri Light" w:hAnsi="Calibri Light"/>
                <w:b w:val="0"/>
              </w:rPr>
              <w:t>azados a lo largo de los años</w:t>
            </w:r>
            <w:r w:rsidR="00B81591" w:rsidRPr="00D7386D">
              <w:rPr>
                <w:rFonts w:ascii="Calibri Light" w:hAnsi="Calibri Light"/>
                <w:b w:val="0"/>
              </w:rPr>
              <w:t xml:space="preserve">. En ese sentido, declaró al Estado de Venezuela como responsable de la violación del artículo 5.1 de la CADH, en relación con el artículo 1.1, en perjuicio de los familiares de </w:t>
            </w:r>
            <w:r w:rsidR="00607B53" w:rsidRPr="00D7386D">
              <w:rPr>
                <w:rFonts w:ascii="Calibri Light" w:hAnsi="Calibri Light"/>
                <w:b w:val="0"/>
              </w:rPr>
              <w:t>los señores Díaz Loreto y del señor Díaz Álvarez</w:t>
            </w:r>
            <w:r w:rsidR="00B81591" w:rsidRPr="00D7386D">
              <w:rPr>
                <w:rFonts w:ascii="Calibri Light" w:hAnsi="Calibri Light"/>
                <w:b w:val="0"/>
              </w:rPr>
              <w:t>.</w:t>
            </w:r>
          </w:p>
        </w:tc>
      </w:tr>
      <w:tr w:rsidR="00321F34" w:rsidRPr="00D7386D" w14:paraId="09AC6C87" w14:textId="77777777" w:rsidTr="00321F34">
        <w:trPr>
          <w:trHeight w:val="260"/>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3E5"/>
              <w:left w:val="nil"/>
              <w:bottom w:val="single" w:sz="4" w:space="0" w:color="9CC3E5"/>
              <w:right w:val="nil"/>
            </w:tcBorders>
          </w:tcPr>
          <w:p w14:paraId="4B69BA01" w14:textId="77777777" w:rsidR="00321F34" w:rsidRPr="00D7386D" w:rsidRDefault="00321F34" w:rsidP="00B81591">
            <w:pPr>
              <w:pBdr>
                <w:top w:val="nil"/>
                <w:left w:val="nil"/>
                <w:bottom w:val="nil"/>
                <w:right w:val="nil"/>
                <w:between w:val="nil"/>
              </w:pBdr>
              <w:ind w:left="720" w:hanging="720"/>
              <w:rPr>
                <w:rFonts w:ascii="Calibri Light" w:hAnsi="Calibri Light"/>
                <w:color w:val="000000"/>
              </w:rPr>
            </w:pPr>
          </w:p>
          <w:p w14:paraId="3211A217" w14:textId="77777777" w:rsidR="00321F34" w:rsidRPr="00D7386D" w:rsidRDefault="00B81591" w:rsidP="00B81591">
            <w:pPr>
              <w:numPr>
                <w:ilvl w:val="0"/>
                <w:numId w:val="2"/>
              </w:numPr>
              <w:pBdr>
                <w:top w:val="nil"/>
                <w:left w:val="nil"/>
                <w:bottom w:val="nil"/>
                <w:right w:val="nil"/>
                <w:between w:val="nil"/>
              </w:pBdr>
              <w:contextualSpacing/>
              <w:jc w:val="center"/>
              <w:rPr>
                <w:rFonts w:ascii="Calibri Light" w:hAnsi="Calibri Light"/>
                <w:color w:val="000000"/>
              </w:rPr>
            </w:pPr>
            <w:r w:rsidRPr="00D7386D">
              <w:rPr>
                <w:rFonts w:ascii="Calibri Light" w:hAnsi="Calibri Light"/>
                <w:color w:val="000000"/>
              </w:rPr>
              <w:t>Recomendaciones de la CIDH al Estado</w:t>
            </w:r>
          </w:p>
          <w:p w14:paraId="69840B25" w14:textId="77777777" w:rsidR="00321F34" w:rsidRPr="00D7386D" w:rsidRDefault="00321F34" w:rsidP="00B81591">
            <w:pPr>
              <w:pBdr>
                <w:top w:val="nil"/>
                <w:left w:val="nil"/>
                <w:bottom w:val="nil"/>
                <w:right w:val="nil"/>
                <w:between w:val="nil"/>
              </w:pBdr>
              <w:ind w:left="720" w:hanging="720"/>
              <w:rPr>
                <w:rFonts w:ascii="Calibri Light" w:hAnsi="Calibri Light"/>
                <w:color w:val="000000"/>
              </w:rPr>
            </w:pPr>
          </w:p>
        </w:tc>
      </w:tr>
      <w:tr w:rsidR="00321F34" w:rsidRPr="00D7386D" w14:paraId="44C2ECEE" w14:textId="77777777" w:rsidTr="00321F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3E5"/>
              <w:left w:val="nil"/>
              <w:bottom w:val="single" w:sz="4" w:space="0" w:color="9CC3E5"/>
              <w:right w:val="nil"/>
            </w:tcBorders>
          </w:tcPr>
          <w:p w14:paraId="36CC219A" w14:textId="77777777" w:rsidR="00321F34" w:rsidRPr="00D7386D" w:rsidRDefault="00321F34" w:rsidP="00B81591">
            <w:pPr>
              <w:pBdr>
                <w:top w:val="nil"/>
                <w:left w:val="nil"/>
                <w:bottom w:val="nil"/>
                <w:right w:val="nil"/>
                <w:between w:val="nil"/>
              </w:pBdr>
              <w:ind w:hanging="720"/>
              <w:jc w:val="both"/>
              <w:rPr>
                <w:rFonts w:ascii="Calibri Light" w:hAnsi="Calibri Light"/>
                <w:color w:val="000000"/>
              </w:rPr>
            </w:pPr>
          </w:p>
          <w:p w14:paraId="5031F161" w14:textId="77777777" w:rsidR="00321F34" w:rsidRPr="00D7386D" w:rsidRDefault="00B81591" w:rsidP="00CF7890">
            <w:pPr>
              <w:numPr>
                <w:ilvl w:val="0"/>
                <w:numId w:val="1"/>
              </w:numPr>
              <w:pBdr>
                <w:top w:val="nil"/>
                <w:left w:val="nil"/>
                <w:bottom w:val="nil"/>
                <w:right w:val="nil"/>
                <w:between w:val="nil"/>
              </w:pBdr>
              <w:ind w:left="360"/>
              <w:contextualSpacing/>
              <w:jc w:val="both"/>
              <w:rPr>
                <w:rFonts w:ascii="Calibri Light" w:hAnsi="Calibri Light"/>
                <w:color w:val="000000"/>
              </w:rPr>
            </w:pPr>
            <w:r w:rsidRPr="00D7386D">
              <w:rPr>
                <w:rFonts w:ascii="Calibri Light" w:hAnsi="Calibri Light"/>
                <w:b w:val="0"/>
                <w:color w:val="000000"/>
              </w:rPr>
              <w:t>Reparar integralmente las violaciones de derechos humanos declaradas en el informe fondo, adoptando medidas de compensación económica, satisfacción del daño moral, y rehabilitación para los familiares que así lo deseen.</w:t>
            </w:r>
          </w:p>
          <w:p w14:paraId="2EB979C5" w14:textId="77777777" w:rsidR="00CF7890" w:rsidRPr="00D7386D" w:rsidRDefault="00CF7890" w:rsidP="00CF7890">
            <w:pPr>
              <w:pBdr>
                <w:top w:val="nil"/>
                <w:left w:val="nil"/>
                <w:bottom w:val="nil"/>
                <w:right w:val="nil"/>
                <w:between w:val="nil"/>
              </w:pBdr>
              <w:ind w:left="360"/>
              <w:contextualSpacing/>
              <w:jc w:val="both"/>
              <w:rPr>
                <w:rFonts w:ascii="Calibri Light" w:hAnsi="Calibri Light"/>
                <w:color w:val="000000"/>
              </w:rPr>
            </w:pPr>
          </w:p>
          <w:p w14:paraId="2705E750" w14:textId="35A3460F" w:rsidR="00321F34" w:rsidRPr="00D7386D" w:rsidRDefault="00B81591" w:rsidP="00CF7890">
            <w:pPr>
              <w:numPr>
                <w:ilvl w:val="0"/>
                <w:numId w:val="1"/>
              </w:numPr>
              <w:pBdr>
                <w:top w:val="nil"/>
                <w:left w:val="nil"/>
                <w:bottom w:val="nil"/>
                <w:right w:val="nil"/>
                <w:between w:val="nil"/>
              </w:pBdr>
              <w:ind w:left="360"/>
              <w:contextualSpacing/>
              <w:jc w:val="both"/>
              <w:rPr>
                <w:rFonts w:ascii="Calibri Light" w:hAnsi="Calibri Light"/>
                <w:color w:val="000000"/>
              </w:rPr>
            </w:pPr>
            <w:r w:rsidRPr="00D7386D">
              <w:rPr>
                <w:rFonts w:ascii="Calibri Light" w:hAnsi="Calibri Light"/>
                <w:b w:val="0"/>
                <w:color w:val="000000"/>
              </w:rPr>
              <w:t>Continuar con la investigación penal respetando los parámetros establecidos en el informe de fondo, e incorpor</w:t>
            </w:r>
            <w:r w:rsidR="00CF7890" w:rsidRPr="00D7386D">
              <w:rPr>
                <w:rFonts w:ascii="Calibri Light" w:hAnsi="Calibri Light"/>
                <w:b w:val="0"/>
                <w:color w:val="000000"/>
              </w:rPr>
              <w:t>ando</w:t>
            </w:r>
            <w:r w:rsidRPr="00D7386D">
              <w:rPr>
                <w:rFonts w:ascii="Calibri Light" w:hAnsi="Calibri Light"/>
                <w:b w:val="0"/>
                <w:color w:val="000000"/>
              </w:rPr>
              <w:t xml:space="preserve"> los elementos relevantes de contexto en los términos descritos por la CIDH. Asimismo, investigar los demás hechos alegados por los familiares de las víctimas fallecidas y su posible interrelación.</w:t>
            </w:r>
          </w:p>
          <w:p w14:paraId="1C815263" w14:textId="77777777" w:rsidR="00CF7890" w:rsidRPr="00D7386D" w:rsidRDefault="00CF7890" w:rsidP="00CF7890">
            <w:pPr>
              <w:pBdr>
                <w:top w:val="nil"/>
                <w:left w:val="nil"/>
                <w:bottom w:val="nil"/>
                <w:right w:val="nil"/>
                <w:between w:val="nil"/>
              </w:pBdr>
              <w:ind w:left="360"/>
              <w:contextualSpacing/>
              <w:jc w:val="both"/>
              <w:rPr>
                <w:rFonts w:ascii="Calibri Light" w:hAnsi="Calibri Light"/>
                <w:color w:val="000000"/>
              </w:rPr>
            </w:pPr>
          </w:p>
          <w:p w14:paraId="2887B012" w14:textId="77777777" w:rsidR="00321F34" w:rsidRPr="00D7386D" w:rsidRDefault="00B81591" w:rsidP="00CF7890">
            <w:pPr>
              <w:numPr>
                <w:ilvl w:val="0"/>
                <w:numId w:val="1"/>
              </w:numPr>
              <w:pBdr>
                <w:top w:val="nil"/>
                <w:left w:val="nil"/>
                <w:bottom w:val="nil"/>
                <w:right w:val="nil"/>
                <w:between w:val="nil"/>
              </w:pBdr>
              <w:ind w:left="360"/>
              <w:contextualSpacing/>
              <w:jc w:val="both"/>
              <w:rPr>
                <w:rFonts w:ascii="Calibri Light" w:hAnsi="Calibri Light"/>
                <w:color w:val="000000"/>
              </w:rPr>
            </w:pPr>
            <w:r w:rsidRPr="00D7386D">
              <w:rPr>
                <w:rFonts w:ascii="Calibri Light" w:hAnsi="Calibri Light"/>
                <w:b w:val="0"/>
                <w:color w:val="000000"/>
              </w:rPr>
              <w:t>Disponer las medidas administrativas, disciplinarias o penales que correspondan frente a las acciones u omisiones de quienes contribuyeron a la impunidad en el caso.</w:t>
            </w:r>
          </w:p>
          <w:p w14:paraId="28424EF2" w14:textId="77777777" w:rsidR="00CF7890" w:rsidRPr="00D7386D" w:rsidRDefault="00CF7890" w:rsidP="00CF7890">
            <w:pPr>
              <w:pBdr>
                <w:top w:val="nil"/>
                <w:left w:val="nil"/>
                <w:bottom w:val="nil"/>
                <w:right w:val="nil"/>
                <w:between w:val="nil"/>
              </w:pBdr>
              <w:ind w:left="360"/>
              <w:contextualSpacing/>
              <w:jc w:val="both"/>
              <w:rPr>
                <w:rFonts w:ascii="Calibri Light" w:hAnsi="Calibri Light"/>
                <w:color w:val="000000"/>
              </w:rPr>
            </w:pPr>
          </w:p>
          <w:p w14:paraId="787A6B5E" w14:textId="77777777" w:rsidR="00321F34" w:rsidRPr="00D7386D" w:rsidRDefault="00B81591" w:rsidP="00CF7890">
            <w:pPr>
              <w:numPr>
                <w:ilvl w:val="0"/>
                <w:numId w:val="1"/>
              </w:numPr>
              <w:pBdr>
                <w:top w:val="nil"/>
                <w:left w:val="nil"/>
                <w:bottom w:val="nil"/>
                <w:right w:val="nil"/>
                <w:between w:val="nil"/>
              </w:pBdr>
              <w:ind w:left="360"/>
              <w:contextualSpacing/>
              <w:jc w:val="both"/>
              <w:rPr>
                <w:rFonts w:ascii="Calibri Light" w:hAnsi="Calibri Light"/>
                <w:color w:val="000000"/>
              </w:rPr>
            </w:pPr>
            <w:r w:rsidRPr="00D7386D">
              <w:rPr>
                <w:rFonts w:ascii="Calibri Light" w:hAnsi="Calibri Light"/>
                <w:b w:val="0"/>
                <w:color w:val="000000"/>
              </w:rPr>
              <w:t>Disponer mecanismos de no repetición que incluyan: i) programas de capacitación sobre estándares internacionales de derechos humanos, dirigidos en particular a agentes estatales y operadores de justicia; ii) medidas para asegurar la imposición de sanciones o penas necesarias en casos de presunto abuso de poder por parte de agentes del Estado; y iii) medidas legislativas, administrativas y de otra índole para asegurar que las investigaciones en casos de uso letal de la fuerza sigan los estándares internacionales de derechos humanos.</w:t>
            </w:r>
          </w:p>
          <w:p w14:paraId="0B75E445" w14:textId="77777777" w:rsidR="00321F34" w:rsidRPr="00D7386D" w:rsidRDefault="00321F34" w:rsidP="00B81591">
            <w:pPr>
              <w:pBdr>
                <w:top w:val="nil"/>
                <w:left w:val="nil"/>
                <w:bottom w:val="nil"/>
                <w:right w:val="nil"/>
                <w:between w:val="nil"/>
              </w:pBdr>
              <w:ind w:left="720" w:hanging="720"/>
              <w:jc w:val="both"/>
              <w:rPr>
                <w:rFonts w:ascii="Calibri Light" w:hAnsi="Calibri Light"/>
                <w:color w:val="000000"/>
              </w:rPr>
            </w:pPr>
          </w:p>
        </w:tc>
      </w:tr>
      <w:tr w:rsidR="00321F34" w:rsidRPr="00D7386D" w14:paraId="42777207" w14:textId="77777777" w:rsidTr="00321F34">
        <w:trPr>
          <w:trHeight w:val="460"/>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3E5"/>
              <w:left w:val="nil"/>
              <w:bottom w:val="single" w:sz="4" w:space="0" w:color="9CC3E5"/>
              <w:right w:val="nil"/>
            </w:tcBorders>
          </w:tcPr>
          <w:p w14:paraId="05083357" w14:textId="77777777" w:rsidR="00321F34" w:rsidRPr="00D7386D" w:rsidRDefault="00321F34" w:rsidP="00B81591">
            <w:pPr>
              <w:pBdr>
                <w:top w:val="nil"/>
                <w:left w:val="nil"/>
                <w:bottom w:val="nil"/>
                <w:right w:val="nil"/>
                <w:between w:val="nil"/>
              </w:pBdr>
              <w:ind w:left="720" w:hanging="720"/>
              <w:rPr>
                <w:rFonts w:ascii="Calibri Light" w:hAnsi="Calibri Light"/>
                <w:color w:val="000000"/>
              </w:rPr>
            </w:pPr>
          </w:p>
          <w:p w14:paraId="26A65205" w14:textId="77777777" w:rsidR="00321F34" w:rsidRPr="00D7386D" w:rsidRDefault="00B81591" w:rsidP="00B81591">
            <w:pPr>
              <w:numPr>
                <w:ilvl w:val="0"/>
                <w:numId w:val="2"/>
              </w:numPr>
              <w:pBdr>
                <w:top w:val="nil"/>
                <w:left w:val="nil"/>
                <w:bottom w:val="nil"/>
                <w:right w:val="nil"/>
                <w:between w:val="nil"/>
              </w:pBdr>
              <w:contextualSpacing/>
              <w:jc w:val="center"/>
              <w:rPr>
                <w:rFonts w:ascii="Calibri Light" w:hAnsi="Calibri Light"/>
                <w:color w:val="000000"/>
              </w:rPr>
            </w:pPr>
            <w:r w:rsidRPr="00D7386D">
              <w:rPr>
                <w:rFonts w:ascii="Calibri Light" w:hAnsi="Calibri Light"/>
                <w:color w:val="000000"/>
              </w:rPr>
              <w:t>Análisis de cumplimiento de las recomendaciones</w:t>
            </w:r>
          </w:p>
          <w:p w14:paraId="55A5533F" w14:textId="77777777" w:rsidR="00321F34" w:rsidRPr="00D7386D" w:rsidRDefault="00321F34" w:rsidP="00B81591">
            <w:pPr>
              <w:pBdr>
                <w:top w:val="nil"/>
                <w:left w:val="nil"/>
                <w:bottom w:val="nil"/>
                <w:right w:val="nil"/>
                <w:between w:val="nil"/>
              </w:pBdr>
              <w:ind w:hanging="720"/>
              <w:jc w:val="center"/>
              <w:rPr>
                <w:rFonts w:ascii="Calibri Light" w:hAnsi="Calibri Light"/>
                <w:color w:val="000000"/>
              </w:rPr>
            </w:pPr>
          </w:p>
        </w:tc>
      </w:tr>
      <w:tr w:rsidR="00321F34" w:rsidRPr="00D7386D" w14:paraId="11603AE6" w14:textId="77777777" w:rsidTr="00321F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3E5"/>
              <w:left w:val="nil"/>
              <w:bottom w:val="single" w:sz="4" w:space="0" w:color="9CC3E5"/>
              <w:right w:val="nil"/>
            </w:tcBorders>
          </w:tcPr>
          <w:p w14:paraId="7B5E3DB9" w14:textId="77777777" w:rsidR="00321F34" w:rsidRPr="00D7386D" w:rsidRDefault="00321F34" w:rsidP="00B81591">
            <w:pPr>
              <w:pBdr>
                <w:top w:val="nil"/>
                <w:left w:val="nil"/>
                <w:bottom w:val="nil"/>
                <w:right w:val="nil"/>
                <w:between w:val="nil"/>
              </w:pBdr>
              <w:ind w:hanging="720"/>
              <w:jc w:val="center"/>
              <w:rPr>
                <w:rFonts w:ascii="Calibri Light" w:hAnsi="Calibri Light"/>
                <w:color w:val="000000"/>
              </w:rPr>
            </w:pPr>
          </w:p>
          <w:p w14:paraId="6972D179" w14:textId="77777777" w:rsidR="00321F34" w:rsidRPr="00D7386D" w:rsidRDefault="00B81591" w:rsidP="00B81591">
            <w:pPr>
              <w:pBdr>
                <w:top w:val="nil"/>
                <w:left w:val="nil"/>
                <w:bottom w:val="nil"/>
                <w:right w:val="nil"/>
                <w:between w:val="nil"/>
              </w:pBdr>
              <w:ind w:hanging="720"/>
              <w:jc w:val="center"/>
              <w:rPr>
                <w:rFonts w:ascii="Calibri Light" w:hAnsi="Calibri Light"/>
                <w:color w:val="000000"/>
              </w:rPr>
            </w:pPr>
            <w:r w:rsidRPr="00D7386D">
              <w:rPr>
                <w:rFonts w:ascii="Calibri Light" w:hAnsi="Calibri Light"/>
                <w:b w:val="0"/>
                <w:color w:val="000000"/>
              </w:rPr>
              <w:t>-</w:t>
            </w:r>
          </w:p>
          <w:p w14:paraId="74DB051E" w14:textId="77777777" w:rsidR="00321F34" w:rsidRPr="00D7386D" w:rsidRDefault="00321F34" w:rsidP="00B81591">
            <w:pPr>
              <w:pBdr>
                <w:top w:val="nil"/>
                <w:left w:val="nil"/>
                <w:bottom w:val="nil"/>
                <w:right w:val="nil"/>
                <w:between w:val="nil"/>
              </w:pBdr>
              <w:ind w:hanging="720"/>
              <w:jc w:val="center"/>
              <w:rPr>
                <w:rFonts w:ascii="Calibri Light" w:hAnsi="Calibri Light"/>
                <w:color w:val="000000"/>
              </w:rPr>
            </w:pPr>
          </w:p>
        </w:tc>
      </w:tr>
    </w:tbl>
    <w:p w14:paraId="7325943A" w14:textId="77777777" w:rsidR="00321F34" w:rsidRPr="00D7386D" w:rsidRDefault="00321F34" w:rsidP="009560E7">
      <w:pPr>
        <w:spacing w:line="240" w:lineRule="auto"/>
        <w:rPr>
          <w:rFonts w:ascii="Calibri Light" w:hAnsi="Calibri Light"/>
        </w:rPr>
      </w:pPr>
    </w:p>
    <w:sectPr w:rsidR="00321F34" w:rsidRPr="00D7386D">
      <w:footerReference w:type="defaul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52CC7" w14:textId="77777777" w:rsidR="00AC3ABD" w:rsidRDefault="00AC3ABD" w:rsidP="00D7386D">
      <w:pPr>
        <w:spacing w:after="0" w:line="240" w:lineRule="auto"/>
      </w:pPr>
      <w:r>
        <w:separator/>
      </w:r>
    </w:p>
  </w:endnote>
  <w:endnote w:type="continuationSeparator" w:id="0">
    <w:p w14:paraId="0506343E" w14:textId="77777777" w:rsidR="00AC3ABD" w:rsidRDefault="00AC3ABD" w:rsidP="00D73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Light" w:hAnsi="Calibri Light"/>
      </w:rPr>
      <w:id w:val="-1043199832"/>
      <w:docPartObj>
        <w:docPartGallery w:val="Page Numbers (Bottom of Page)"/>
        <w:docPartUnique/>
      </w:docPartObj>
    </w:sdtPr>
    <w:sdtEndPr/>
    <w:sdtContent>
      <w:p w14:paraId="7934DF15" w14:textId="66BA4710" w:rsidR="00D7386D" w:rsidRPr="00411313" w:rsidRDefault="00D7386D">
        <w:pPr>
          <w:pStyle w:val="Footer"/>
          <w:jc w:val="right"/>
          <w:rPr>
            <w:rFonts w:ascii="Calibri Light" w:hAnsi="Calibri Light"/>
          </w:rPr>
        </w:pPr>
        <w:r w:rsidRPr="00411313">
          <w:rPr>
            <w:rFonts w:ascii="Calibri Light" w:hAnsi="Calibri Light"/>
          </w:rPr>
          <w:fldChar w:fldCharType="begin"/>
        </w:r>
        <w:r w:rsidRPr="00411313">
          <w:rPr>
            <w:rFonts w:ascii="Calibri Light" w:hAnsi="Calibri Light"/>
          </w:rPr>
          <w:instrText>PAGE   \* MERGEFORMAT</w:instrText>
        </w:r>
        <w:r w:rsidRPr="00411313">
          <w:rPr>
            <w:rFonts w:ascii="Calibri Light" w:hAnsi="Calibri Light"/>
          </w:rPr>
          <w:fldChar w:fldCharType="separate"/>
        </w:r>
        <w:r w:rsidR="00D6028F" w:rsidRPr="00D6028F">
          <w:rPr>
            <w:rFonts w:ascii="Calibri Light" w:hAnsi="Calibri Light"/>
            <w:noProof/>
            <w:lang w:val="es-ES"/>
          </w:rPr>
          <w:t>1</w:t>
        </w:r>
        <w:r w:rsidRPr="00411313">
          <w:rPr>
            <w:rFonts w:ascii="Calibri Light" w:hAnsi="Calibri Light"/>
          </w:rPr>
          <w:fldChar w:fldCharType="end"/>
        </w:r>
      </w:p>
    </w:sdtContent>
  </w:sdt>
  <w:p w14:paraId="4231901A" w14:textId="77777777" w:rsidR="00D7386D" w:rsidRPr="00411313" w:rsidRDefault="00D7386D">
    <w:pPr>
      <w:pStyle w:val="Footer"/>
      <w:rPr>
        <w:rFonts w:ascii="Calibri Light" w:hAnsi="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1AA03" w14:textId="77777777" w:rsidR="00AC3ABD" w:rsidRDefault="00AC3ABD" w:rsidP="00D7386D">
      <w:pPr>
        <w:spacing w:after="0" w:line="240" w:lineRule="auto"/>
      </w:pPr>
      <w:r>
        <w:separator/>
      </w:r>
    </w:p>
  </w:footnote>
  <w:footnote w:type="continuationSeparator" w:id="0">
    <w:p w14:paraId="2826424D" w14:textId="77777777" w:rsidR="00AC3ABD" w:rsidRDefault="00AC3ABD" w:rsidP="00D73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A7DFE"/>
    <w:multiLevelType w:val="multilevel"/>
    <w:tmpl w:val="82264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9846DA"/>
    <w:multiLevelType w:val="multilevel"/>
    <w:tmpl w:val="8CCE6010"/>
    <w:lvl w:ilvl="0">
      <w:start w:val="1"/>
      <w:numFmt w:val="decimal"/>
      <w:lvlText w:val="%1."/>
      <w:lvlJc w:val="left"/>
      <w:pPr>
        <w:ind w:left="360" w:hanging="360"/>
      </w:pPr>
      <w:rPr>
        <w:rFonts w:ascii="Calibri Light" w:eastAsia="Calibri" w:hAnsi="Calibri Light" w:cs="Calibri"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5F74CF7"/>
    <w:multiLevelType w:val="multilevel"/>
    <w:tmpl w:val="C264F7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322"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322"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21F34"/>
    <w:rsid w:val="0003280D"/>
    <w:rsid w:val="00045CA3"/>
    <w:rsid w:val="000560BD"/>
    <w:rsid w:val="00097B4D"/>
    <w:rsid w:val="000C4777"/>
    <w:rsid w:val="000C5481"/>
    <w:rsid w:val="000F2924"/>
    <w:rsid w:val="000F504F"/>
    <w:rsid w:val="000F66B5"/>
    <w:rsid w:val="00102C76"/>
    <w:rsid w:val="0010327D"/>
    <w:rsid w:val="00103B59"/>
    <w:rsid w:val="00107C55"/>
    <w:rsid w:val="00116E8A"/>
    <w:rsid w:val="001E35CB"/>
    <w:rsid w:val="00230DC2"/>
    <w:rsid w:val="00233F4F"/>
    <w:rsid w:val="0024546B"/>
    <w:rsid w:val="00266A53"/>
    <w:rsid w:val="00273FB8"/>
    <w:rsid w:val="002B1CD8"/>
    <w:rsid w:val="002C7258"/>
    <w:rsid w:val="00302246"/>
    <w:rsid w:val="00312027"/>
    <w:rsid w:val="0031475C"/>
    <w:rsid w:val="00321F34"/>
    <w:rsid w:val="0036004C"/>
    <w:rsid w:val="00385DAD"/>
    <w:rsid w:val="003A3312"/>
    <w:rsid w:val="003B7A87"/>
    <w:rsid w:val="003C5DB9"/>
    <w:rsid w:val="003F3246"/>
    <w:rsid w:val="003F335D"/>
    <w:rsid w:val="00411313"/>
    <w:rsid w:val="00415CB7"/>
    <w:rsid w:val="00417704"/>
    <w:rsid w:val="00421964"/>
    <w:rsid w:val="00435890"/>
    <w:rsid w:val="00441678"/>
    <w:rsid w:val="004C39F9"/>
    <w:rsid w:val="004C53C1"/>
    <w:rsid w:val="004C7E36"/>
    <w:rsid w:val="004D0E8D"/>
    <w:rsid w:val="004D780D"/>
    <w:rsid w:val="004E64B4"/>
    <w:rsid w:val="004E6C85"/>
    <w:rsid w:val="00505793"/>
    <w:rsid w:val="0051663C"/>
    <w:rsid w:val="00524F23"/>
    <w:rsid w:val="00573B38"/>
    <w:rsid w:val="00593B5B"/>
    <w:rsid w:val="005B3E49"/>
    <w:rsid w:val="005B730B"/>
    <w:rsid w:val="005D50EC"/>
    <w:rsid w:val="0060031A"/>
    <w:rsid w:val="00607B53"/>
    <w:rsid w:val="00630EED"/>
    <w:rsid w:val="00635F4A"/>
    <w:rsid w:val="0064231A"/>
    <w:rsid w:val="0067345E"/>
    <w:rsid w:val="0068277F"/>
    <w:rsid w:val="006B315E"/>
    <w:rsid w:val="006D2F4D"/>
    <w:rsid w:val="007066DB"/>
    <w:rsid w:val="007244A5"/>
    <w:rsid w:val="00724839"/>
    <w:rsid w:val="00743ABF"/>
    <w:rsid w:val="00753815"/>
    <w:rsid w:val="00786B10"/>
    <w:rsid w:val="007C3C7A"/>
    <w:rsid w:val="008015D5"/>
    <w:rsid w:val="00811551"/>
    <w:rsid w:val="008319C0"/>
    <w:rsid w:val="0085521F"/>
    <w:rsid w:val="00857DDA"/>
    <w:rsid w:val="00867670"/>
    <w:rsid w:val="00881584"/>
    <w:rsid w:val="008A76A9"/>
    <w:rsid w:val="008C334B"/>
    <w:rsid w:val="00920877"/>
    <w:rsid w:val="00920A8E"/>
    <w:rsid w:val="009321CA"/>
    <w:rsid w:val="009560E7"/>
    <w:rsid w:val="0098472B"/>
    <w:rsid w:val="009862C8"/>
    <w:rsid w:val="009A5E97"/>
    <w:rsid w:val="009B1179"/>
    <w:rsid w:val="009B78C2"/>
    <w:rsid w:val="009E0AD8"/>
    <w:rsid w:val="009F4680"/>
    <w:rsid w:val="00A1479B"/>
    <w:rsid w:val="00A51267"/>
    <w:rsid w:val="00A51F38"/>
    <w:rsid w:val="00A75CA8"/>
    <w:rsid w:val="00A87749"/>
    <w:rsid w:val="00A91BD5"/>
    <w:rsid w:val="00AB0BB0"/>
    <w:rsid w:val="00AB1051"/>
    <w:rsid w:val="00AB2D2A"/>
    <w:rsid w:val="00AC1507"/>
    <w:rsid w:val="00AC3ABD"/>
    <w:rsid w:val="00AD4CD2"/>
    <w:rsid w:val="00AE4D40"/>
    <w:rsid w:val="00AF62FF"/>
    <w:rsid w:val="00B02E4C"/>
    <w:rsid w:val="00B06893"/>
    <w:rsid w:val="00B41103"/>
    <w:rsid w:val="00B51202"/>
    <w:rsid w:val="00B52B82"/>
    <w:rsid w:val="00B52F7A"/>
    <w:rsid w:val="00B64D97"/>
    <w:rsid w:val="00B65D02"/>
    <w:rsid w:val="00B81591"/>
    <w:rsid w:val="00BB7AAD"/>
    <w:rsid w:val="00BE0914"/>
    <w:rsid w:val="00BE09D4"/>
    <w:rsid w:val="00BE6120"/>
    <w:rsid w:val="00C0570E"/>
    <w:rsid w:val="00C07714"/>
    <w:rsid w:val="00C3426B"/>
    <w:rsid w:val="00C8446D"/>
    <w:rsid w:val="00C8689D"/>
    <w:rsid w:val="00CC006A"/>
    <w:rsid w:val="00CD1407"/>
    <w:rsid w:val="00CF160F"/>
    <w:rsid w:val="00CF7890"/>
    <w:rsid w:val="00D14B0B"/>
    <w:rsid w:val="00D5027D"/>
    <w:rsid w:val="00D6028F"/>
    <w:rsid w:val="00D7386D"/>
    <w:rsid w:val="00D833AC"/>
    <w:rsid w:val="00DB16C2"/>
    <w:rsid w:val="00DF6978"/>
    <w:rsid w:val="00E113AD"/>
    <w:rsid w:val="00E24DF2"/>
    <w:rsid w:val="00E32D90"/>
    <w:rsid w:val="00E37822"/>
    <w:rsid w:val="00E52B6D"/>
    <w:rsid w:val="00E769D5"/>
    <w:rsid w:val="00E821D3"/>
    <w:rsid w:val="00E94FEB"/>
    <w:rsid w:val="00F529E2"/>
    <w:rsid w:val="00F5740F"/>
    <w:rsid w:val="00F9626D"/>
    <w:rsid w:val="00FA13F7"/>
    <w:rsid w:val="00FB1A93"/>
    <w:rsid w:val="00FB261F"/>
    <w:rsid w:val="00FC0192"/>
    <w:rsid w:val="00FC7644"/>
    <w:rsid w:val="00FF31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character" w:styleId="CommentReference">
    <w:name w:val="annotation reference"/>
    <w:basedOn w:val="DefaultParagraphFont"/>
    <w:uiPriority w:val="99"/>
    <w:semiHidden/>
    <w:unhideWhenUsed/>
    <w:rsid w:val="00CF160F"/>
    <w:rPr>
      <w:sz w:val="16"/>
      <w:szCs w:val="16"/>
    </w:rPr>
  </w:style>
  <w:style w:type="paragraph" w:styleId="CommentText">
    <w:name w:val="annotation text"/>
    <w:basedOn w:val="Normal"/>
    <w:link w:val="CommentTextChar"/>
    <w:uiPriority w:val="99"/>
    <w:semiHidden/>
    <w:unhideWhenUsed/>
    <w:rsid w:val="00CF160F"/>
    <w:pPr>
      <w:spacing w:line="240" w:lineRule="auto"/>
    </w:pPr>
    <w:rPr>
      <w:sz w:val="20"/>
      <w:szCs w:val="20"/>
    </w:rPr>
  </w:style>
  <w:style w:type="character" w:customStyle="1" w:styleId="CommentTextChar">
    <w:name w:val="Comment Text Char"/>
    <w:basedOn w:val="DefaultParagraphFont"/>
    <w:link w:val="CommentText"/>
    <w:uiPriority w:val="99"/>
    <w:semiHidden/>
    <w:rsid w:val="00CF160F"/>
    <w:rPr>
      <w:sz w:val="20"/>
      <w:szCs w:val="20"/>
    </w:rPr>
  </w:style>
  <w:style w:type="paragraph" w:styleId="CommentSubject">
    <w:name w:val="annotation subject"/>
    <w:basedOn w:val="CommentText"/>
    <w:next w:val="CommentText"/>
    <w:link w:val="CommentSubjectChar"/>
    <w:uiPriority w:val="99"/>
    <w:semiHidden/>
    <w:unhideWhenUsed/>
    <w:rsid w:val="00CF160F"/>
    <w:rPr>
      <w:b/>
      <w:bCs/>
    </w:rPr>
  </w:style>
  <w:style w:type="character" w:customStyle="1" w:styleId="CommentSubjectChar">
    <w:name w:val="Comment Subject Char"/>
    <w:basedOn w:val="CommentTextChar"/>
    <w:link w:val="CommentSubject"/>
    <w:uiPriority w:val="99"/>
    <w:semiHidden/>
    <w:rsid w:val="00CF160F"/>
    <w:rPr>
      <w:b/>
      <w:bCs/>
      <w:sz w:val="20"/>
      <w:szCs w:val="20"/>
    </w:rPr>
  </w:style>
  <w:style w:type="paragraph" w:styleId="BalloonText">
    <w:name w:val="Balloon Text"/>
    <w:basedOn w:val="Normal"/>
    <w:link w:val="BalloonTextChar"/>
    <w:uiPriority w:val="99"/>
    <w:semiHidden/>
    <w:unhideWhenUsed/>
    <w:rsid w:val="00CF1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60F"/>
    <w:rPr>
      <w:rFonts w:ascii="Segoe UI" w:hAnsi="Segoe UI" w:cs="Segoe UI"/>
      <w:sz w:val="18"/>
      <w:szCs w:val="18"/>
    </w:rPr>
  </w:style>
  <w:style w:type="paragraph" w:styleId="Header">
    <w:name w:val="header"/>
    <w:basedOn w:val="Normal"/>
    <w:link w:val="HeaderChar"/>
    <w:uiPriority w:val="99"/>
    <w:unhideWhenUsed/>
    <w:rsid w:val="00D7386D"/>
    <w:pPr>
      <w:tabs>
        <w:tab w:val="center" w:pos="4419"/>
        <w:tab w:val="right" w:pos="8838"/>
      </w:tabs>
      <w:spacing w:after="0" w:line="240" w:lineRule="auto"/>
    </w:pPr>
  </w:style>
  <w:style w:type="character" w:customStyle="1" w:styleId="HeaderChar">
    <w:name w:val="Header Char"/>
    <w:basedOn w:val="DefaultParagraphFont"/>
    <w:link w:val="Header"/>
    <w:uiPriority w:val="99"/>
    <w:rsid w:val="00D7386D"/>
  </w:style>
  <w:style w:type="paragraph" w:styleId="Footer">
    <w:name w:val="footer"/>
    <w:basedOn w:val="Normal"/>
    <w:link w:val="FooterChar"/>
    <w:uiPriority w:val="99"/>
    <w:unhideWhenUsed/>
    <w:rsid w:val="00D7386D"/>
    <w:pPr>
      <w:tabs>
        <w:tab w:val="center" w:pos="4419"/>
        <w:tab w:val="right" w:pos="8838"/>
      </w:tabs>
      <w:spacing w:after="0" w:line="240" w:lineRule="auto"/>
    </w:pPr>
  </w:style>
  <w:style w:type="character" w:customStyle="1" w:styleId="FooterChar">
    <w:name w:val="Footer Char"/>
    <w:basedOn w:val="DefaultParagraphFont"/>
    <w:link w:val="Footer"/>
    <w:uiPriority w:val="99"/>
    <w:rsid w:val="00D7386D"/>
  </w:style>
  <w:style w:type="paragraph" w:styleId="ListParagraph">
    <w:name w:val="List Paragraph"/>
    <w:basedOn w:val="Normal"/>
    <w:uiPriority w:val="34"/>
    <w:qFormat/>
    <w:rsid w:val="003F335D"/>
    <w:pPr>
      <w:ind w:left="720"/>
      <w:contextualSpacing/>
    </w:pPr>
  </w:style>
  <w:style w:type="character" w:styleId="Hyperlink">
    <w:name w:val="Hyperlink"/>
    <w:basedOn w:val="DefaultParagraphFont"/>
    <w:uiPriority w:val="99"/>
    <w:unhideWhenUsed/>
    <w:rsid w:val="002B1CD8"/>
    <w:rPr>
      <w:color w:val="0000FF" w:themeColor="hyperlink"/>
      <w:u w:val="single"/>
    </w:rPr>
  </w:style>
  <w:style w:type="character" w:styleId="UnresolvedMention">
    <w:name w:val="Unresolved Mention"/>
    <w:basedOn w:val="DefaultParagraphFont"/>
    <w:uiPriority w:val="99"/>
    <w:semiHidden/>
    <w:unhideWhenUsed/>
    <w:rsid w:val="002B1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dh.oas.org/annualrep/2008sp/Venezuela299-07.sp.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corte/2017/12662Fondo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hyperlink" Target="https://www.corteidh.or.cr/docs/casos/articulos/seriec_392_es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B67B7-AC1E-420C-BD70-D24B39B8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2848</Words>
  <Characters>16236</Characters>
  <Application>Microsoft Office Word</Application>
  <DocSecurity>0</DocSecurity>
  <Lines>135</Lines>
  <Paragraphs>38</Paragraphs>
  <ScaleCrop>false</ScaleCrop>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2021-02-11T09:47:00Z</dcterms:created>
  <dcterms:modified xsi:type="dcterms:W3CDTF">2021-02-11T09:47:00Z</dcterms:modified>
</cp:coreProperties>
</file>