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1C6E5" w14:textId="77777777" w:rsidR="00825AD0" w:rsidRDefault="00825AD0" w:rsidP="00825AD0">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58EEF239" wp14:editId="61CF5A02">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6ABCEEBE" wp14:editId="6D1FDE11">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7A97135B" wp14:editId="10CE7A87">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B82552" w14:textId="77777777" w:rsidR="00825AD0" w:rsidRPr="00411A74" w:rsidRDefault="00825AD0" w:rsidP="00825AD0">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97C845F" w14:textId="77777777" w:rsidR="00825AD0" w:rsidRDefault="00825AD0" w:rsidP="00825AD0">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45524EB0" w14:textId="77777777" w:rsidR="0052400A" w:rsidRPr="0052400A" w:rsidRDefault="0052400A" w:rsidP="0052400A">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8"/>
        <w:gridCol w:w="2490"/>
        <w:gridCol w:w="2553"/>
      </w:tblGrid>
      <w:tr w:rsidR="005173CF" w:rsidRPr="0052400A" w14:paraId="01A2F61A" w14:textId="77777777" w:rsidTr="00A94E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Pr="0052400A" w:rsidRDefault="00AC6F31" w:rsidP="00AC6F31">
            <w:pPr>
              <w:pStyle w:val="ListParagraph"/>
              <w:rPr>
                <w:rFonts w:ascii="Calibri Light" w:hAnsi="Calibri Light"/>
              </w:rPr>
            </w:pPr>
          </w:p>
          <w:p w14:paraId="160CE2AC" w14:textId="77777777" w:rsidR="00212F62" w:rsidRPr="0052400A" w:rsidRDefault="007A6C56" w:rsidP="00AC6F31">
            <w:pPr>
              <w:pStyle w:val="ListParagraph"/>
              <w:numPr>
                <w:ilvl w:val="0"/>
                <w:numId w:val="2"/>
              </w:numPr>
              <w:jc w:val="center"/>
              <w:rPr>
                <w:rFonts w:ascii="Calibri Light" w:hAnsi="Calibri Light"/>
              </w:rPr>
            </w:pPr>
            <w:r w:rsidRPr="0052400A">
              <w:rPr>
                <w:rFonts w:ascii="Calibri Light" w:hAnsi="Calibri Light"/>
              </w:rPr>
              <w:t>Datos generales</w:t>
            </w:r>
          </w:p>
          <w:p w14:paraId="6C5B323B" w14:textId="6BA3A748" w:rsidR="00AC6F31" w:rsidRPr="0052400A" w:rsidRDefault="00AC6F31" w:rsidP="00AC6F31">
            <w:pPr>
              <w:pStyle w:val="ListParagraph"/>
              <w:rPr>
                <w:rFonts w:ascii="Calibri Light" w:hAnsi="Calibri Light"/>
              </w:rPr>
            </w:pPr>
          </w:p>
        </w:tc>
      </w:tr>
      <w:tr w:rsidR="004533E5" w:rsidRPr="0052400A" w14:paraId="275AD1EA" w14:textId="77777777" w:rsidTr="00A94EE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52400A" w:rsidRDefault="007A6C56" w:rsidP="00A65231">
            <w:pPr>
              <w:pStyle w:val="ListParagraph"/>
              <w:numPr>
                <w:ilvl w:val="0"/>
                <w:numId w:val="3"/>
              </w:numPr>
              <w:rPr>
                <w:rFonts w:ascii="Calibri Light" w:hAnsi="Calibri Light"/>
              </w:rPr>
            </w:pPr>
            <w:r w:rsidRPr="0052400A">
              <w:rPr>
                <w:rFonts w:ascii="Calibri Light" w:hAnsi="Calibri Light"/>
              </w:rPr>
              <w:t>Nombre del caso</w:t>
            </w:r>
          </w:p>
        </w:tc>
        <w:tc>
          <w:tcPr>
            <w:tcW w:w="5043" w:type="dxa"/>
            <w:gridSpan w:val="2"/>
          </w:tcPr>
          <w:p w14:paraId="084A5991" w14:textId="14CC41B9" w:rsidR="005173CF" w:rsidRPr="0052400A" w:rsidRDefault="00802D6A" w:rsidP="00813AD2">
            <w:pP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sidRPr="0052400A">
              <w:rPr>
                <w:rFonts w:ascii="Calibri Light" w:hAnsi="Calibri Light"/>
              </w:rPr>
              <w:t>Gabriel Oscar Jenkins</w:t>
            </w:r>
            <w:r w:rsidR="00813AD2" w:rsidRPr="0052400A">
              <w:rPr>
                <w:rFonts w:ascii="Calibri Light" w:hAnsi="Calibri Light"/>
              </w:rPr>
              <w:t>,</w:t>
            </w:r>
            <w:r w:rsidR="00061E2D" w:rsidRPr="0052400A">
              <w:rPr>
                <w:rFonts w:ascii="Calibri Light" w:hAnsi="Calibri Light"/>
              </w:rPr>
              <w:t xml:space="preserve"> </w:t>
            </w:r>
            <w:r w:rsidRPr="0052400A">
              <w:rPr>
                <w:rFonts w:ascii="Calibri Light" w:hAnsi="Calibri Light"/>
              </w:rPr>
              <w:t>Argentina</w:t>
            </w:r>
          </w:p>
        </w:tc>
      </w:tr>
      <w:tr w:rsidR="00F464EC" w:rsidRPr="0052400A" w14:paraId="59A6A8A1" w14:textId="77777777" w:rsidTr="00A94EE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7B021DE9" w:rsidR="00F464EC" w:rsidRPr="0052400A" w:rsidRDefault="00813AD2" w:rsidP="00A65231">
            <w:pPr>
              <w:pStyle w:val="ListParagraph"/>
              <w:numPr>
                <w:ilvl w:val="0"/>
                <w:numId w:val="3"/>
              </w:numPr>
              <w:rPr>
                <w:rFonts w:ascii="Calibri Light" w:hAnsi="Calibri Light"/>
              </w:rPr>
            </w:pPr>
            <w:r w:rsidRPr="0052400A">
              <w:rPr>
                <w:rFonts w:ascii="Calibri Light" w:hAnsi="Calibri Light"/>
              </w:rPr>
              <w:t>Parte peticionaria</w:t>
            </w:r>
          </w:p>
        </w:tc>
        <w:tc>
          <w:tcPr>
            <w:tcW w:w="5043" w:type="dxa"/>
            <w:gridSpan w:val="2"/>
          </w:tcPr>
          <w:p w14:paraId="374B2A68" w14:textId="104827E6" w:rsidR="00295E72" w:rsidRPr="0052400A" w:rsidRDefault="00802D6A"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2400A">
              <w:rPr>
                <w:rFonts w:ascii="Calibri Light" w:hAnsi="Calibri Light"/>
              </w:rPr>
              <w:t>Gabriel Oscar Jenkins</w:t>
            </w:r>
          </w:p>
        </w:tc>
      </w:tr>
      <w:tr w:rsidR="005173CF" w:rsidRPr="0052400A" w14:paraId="3A483B4F" w14:textId="77777777" w:rsidTr="00A94EE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AC7F4" w:rsidR="005173CF" w:rsidRPr="0052400A" w:rsidRDefault="007A6C56" w:rsidP="00A65231">
            <w:pPr>
              <w:pStyle w:val="ListParagraph"/>
              <w:numPr>
                <w:ilvl w:val="0"/>
                <w:numId w:val="3"/>
              </w:numPr>
              <w:rPr>
                <w:rFonts w:ascii="Calibri Light" w:hAnsi="Calibri Light"/>
              </w:rPr>
            </w:pPr>
            <w:r w:rsidRPr="0052400A">
              <w:rPr>
                <w:rFonts w:ascii="Calibri Light" w:hAnsi="Calibri Light"/>
              </w:rPr>
              <w:t xml:space="preserve">Número de Informe </w:t>
            </w:r>
          </w:p>
        </w:tc>
        <w:tc>
          <w:tcPr>
            <w:tcW w:w="5043" w:type="dxa"/>
            <w:gridSpan w:val="2"/>
          </w:tcPr>
          <w:p w14:paraId="77740DF4" w14:textId="180C1481" w:rsidR="005173CF" w:rsidRPr="0052400A" w:rsidRDefault="00D5303B" w:rsidP="00802D6A">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CF2D40" w:rsidRPr="0052400A">
                <w:rPr>
                  <w:rStyle w:val="Hyperlink"/>
                  <w:rFonts w:ascii="Calibri Light" w:hAnsi="Calibri Light"/>
                </w:rPr>
                <w:t xml:space="preserve">Informe No. </w:t>
              </w:r>
              <w:r w:rsidR="00802D6A" w:rsidRPr="0052400A">
                <w:rPr>
                  <w:rStyle w:val="Hyperlink"/>
                  <w:rFonts w:ascii="Calibri Light" w:hAnsi="Calibri Light"/>
                </w:rPr>
                <w:t>53</w:t>
              </w:r>
              <w:r w:rsidR="00295E72" w:rsidRPr="0052400A">
                <w:rPr>
                  <w:rStyle w:val="Hyperlink"/>
                  <w:rFonts w:ascii="Calibri Light" w:hAnsi="Calibri Light"/>
                </w:rPr>
                <w:t>/</w:t>
              </w:r>
              <w:r w:rsidR="00802D6A" w:rsidRPr="0052400A">
                <w:rPr>
                  <w:rStyle w:val="Hyperlink"/>
                  <w:rFonts w:ascii="Calibri Light" w:hAnsi="Calibri Light"/>
                </w:rPr>
                <w:t>16</w:t>
              </w:r>
            </w:hyperlink>
          </w:p>
        </w:tc>
      </w:tr>
      <w:tr w:rsidR="004533E5" w:rsidRPr="0052400A" w14:paraId="5EC10F5F" w14:textId="77777777" w:rsidTr="00A94EE7">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52400A" w:rsidRDefault="00954E20" w:rsidP="00954E20">
            <w:pPr>
              <w:pStyle w:val="ListParagraph"/>
              <w:numPr>
                <w:ilvl w:val="0"/>
                <w:numId w:val="3"/>
              </w:numPr>
              <w:rPr>
                <w:rFonts w:ascii="Calibri Light" w:hAnsi="Calibri Light"/>
              </w:rPr>
            </w:pPr>
            <w:r w:rsidRPr="0052400A">
              <w:rPr>
                <w:rFonts w:ascii="Calibri Light" w:hAnsi="Calibri Light"/>
              </w:rPr>
              <w:t xml:space="preserve">Tipo de informe </w:t>
            </w:r>
          </w:p>
        </w:tc>
        <w:tc>
          <w:tcPr>
            <w:tcW w:w="5043" w:type="dxa"/>
            <w:gridSpan w:val="2"/>
          </w:tcPr>
          <w:p w14:paraId="35E9A08D" w14:textId="255D4274" w:rsidR="005173CF" w:rsidRPr="0052400A" w:rsidRDefault="001077C9" w:rsidP="00F07CF4">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2400A">
              <w:rPr>
                <w:rFonts w:ascii="Calibri Light" w:hAnsi="Calibri Light"/>
              </w:rPr>
              <w:t>Informe de Fondo</w:t>
            </w:r>
            <w:r w:rsidR="00243C42" w:rsidRPr="0052400A">
              <w:rPr>
                <w:rFonts w:ascii="Calibri Light" w:hAnsi="Calibri Light"/>
              </w:rPr>
              <w:t xml:space="preserve"> </w:t>
            </w:r>
            <w:r w:rsidR="00F07CF4" w:rsidRPr="0052400A">
              <w:rPr>
                <w:rFonts w:ascii="Calibri Light" w:hAnsi="Calibri Light"/>
              </w:rPr>
              <w:t>(Caso en la Corte IDH)</w:t>
            </w:r>
          </w:p>
        </w:tc>
      </w:tr>
      <w:tr w:rsidR="005173CF" w:rsidRPr="0052400A" w14:paraId="7ED5AB61" w14:textId="77777777" w:rsidTr="00A94EE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52400A" w:rsidRDefault="00954E20" w:rsidP="00A65231">
            <w:pPr>
              <w:pStyle w:val="ListParagraph"/>
              <w:numPr>
                <w:ilvl w:val="0"/>
                <w:numId w:val="3"/>
              </w:numPr>
              <w:rPr>
                <w:rFonts w:ascii="Calibri Light" w:hAnsi="Calibri Light"/>
              </w:rPr>
            </w:pPr>
            <w:r w:rsidRPr="0052400A">
              <w:rPr>
                <w:rFonts w:ascii="Calibri Light" w:hAnsi="Calibri Light"/>
              </w:rPr>
              <w:t>Fecha</w:t>
            </w:r>
            <w:r w:rsidR="007A6C56" w:rsidRPr="0052400A">
              <w:rPr>
                <w:rFonts w:ascii="Calibri Light" w:hAnsi="Calibri Light"/>
              </w:rPr>
              <w:t xml:space="preserve"> </w:t>
            </w:r>
          </w:p>
        </w:tc>
        <w:tc>
          <w:tcPr>
            <w:tcW w:w="5043" w:type="dxa"/>
            <w:gridSpan w:val="2"/>
          </w:tcPr>
          <w:p w14:paraId="1C803DF5" w14:textId="1688A799" w:rsidR="005173CF" w:rsidRPr="0052400A" w:rsidRDefault="00802D6A" w:rsidP="00802D6A">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rPr>
            </w:pPr>
            <w:r w:rsidRPr="0052400A">
              <w:rPr>
                <w:rFonts w:ascii="Calibri Light" w:hAnsi="Calibri Light"/>
              </w:rPr>
              <w:t>6</w:t>
            </w:r>
            <w:r w:rsidR="00295E72" w:rsidRPr="0052400A">
              <w:rPr>
                <w:rFonts w:ascii="Calibri Light" w:hAnsi="Calibri Light"/>
              </w:rPr>
              <w:t xml:space="preserve"> de </w:t>
            </w:r>
            <w:r w:rsidRPr="0052400A">
              <w:rPr>
                <w:rFonts w:ascii="Calibri Light" w:hAnsi="Calibri Light"/>
              </w:rPr>
              <w:t>diciembre</w:t>
            </w:r>
            <w:r w:rsidR="00295E72" w:rsidRPr="0052400A">
              <w:rPr>
                <w:rFonts w:ascii="Calibri Light" w:hAnsi="Calibri Light"/>
              </w:rPr>
              <w:t xml:space="preserve"> de </w:t>
            </w:r>
            <w:r w:rsidR="00061E2D" w:rsidRPr="0052400A">
              <w:rPr>
                <w:rFonts w:ascii="Calibri Light" w:hAnsi="Calibri Light"/>
              </w:rPr>
              <w:t>201</w:t>
            </w:r>
            <w:r w:rsidRPr="0052400A">
              <w:rPr>
                <w:rFonts w:ascii="Calibri Light" w:hAnsi="Calibri Light"/>
              </w:rPr>
              <w:t>6</w:t>
            </w:r>
            <w:r w:rsidR="00954E20" w:rsidRPr="0052400A">
              <w:rPr>
                <w:rFonts w:ascii="Calibri Light" w:hAnsi="Calibri Light"/>
              </w:rPr>
              <w:t xml:space="preserve"> </w:t>
            </w:r>
          </w:p>
        </w:tc>
      </w:tr>
      <w:tr w:rsidR="004533E5" w:rsidRPr="0052400A" w14:paraId="1A0D058F" w14:textId="77777777" w:rsidTr="00E70716">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52400A" w:rsidRDefault="00BB61C6" w:rsidP="00A65231">
            <w:pPr>
              <w:pStyle w:val="ListParagraph"/>
              <w:numPr>
                <w:ilvl w:val="0"/>
                <w:numId w:val="3"/>
              </w:numPr>
              <w:rPr>
                <w:rFonts w:ascii="Calibri Light" w:hAnsi="Calibri Light"/>
              </w:rPr>
            </w:pPr>
            <w:r w:rsidRPr="0052400A">
              <w:rPr>
                <w:rFonts w:ascii="Calibri Light" w:hAnsi="Calibri Light"/>
              </w:rPr>
              <w:t>Decisiones de la CIDH</w:t>
            </w:r>
            <w:r w:rsidR="007A6C56" w:rsidRPr="0052400A">
              <w:rPr>
                <w:rFonts w:ascii="Calibri Light" w:hAnsi="Calibri Light"/>
              </w:rPr>
              <w:t xml:space="preserve"> </w:t>
            </w:r>
            <w:r w:rsidR="00DD3C7C" w:rsidRPr="0052400A">
              <w:rPr>
                <w:rFonts w:ascii="Calibri Light" w:hAnsi="Calibri Light"/>
              </w:rPr>
              <w:t xml:space="preserve">y/o la Corte IDH, </w:t>
            </w:r>
            <w:r w:rsidR="007A6C56" w:rsidRPr="0052400A">
              <w:rPr>
                <w:rFonts w:ascii="Calibri Light" w:hAnsi="Calibri Light"/>
              </w:rPr>
              <w:t>relacionadas</w:t>
            </w:r>
          </w:p>
        </w:tc>
        <w:tc>
          <w:tcPr>
            <w:tcW w:w="5043" w:type="dxa"/>
            <w:gridSpan w:val="2"/>
            <w:vAlign w:val="center"/>
          </w:tcPr>
          <w:p w14:paraId="37CFC91D" w14:textId="77777777" w:rsidR="0042581C" w:rsidRDefault="00243C42" w:rsidP="00802D6A">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2400A">
              <w:rPr>
                <w:rFonts w:ascii="Calibri Light" w:hAnsi="Calibri Light"/>
              </w:rPr>
              <w:t xml:space="preserve">Informe </w:t>
            </w:r>
            <w:r w:rsidR="0042581C" w:rsidRPr="0052400A">
              <w:rPr>
                <w:rFonts w:ascii="Calibri Light" w:hAnsi="Calibri Light"/>
              </w:rPr>
              <w:t xml:space="preserve">No. </w:t>
            </w:r>
            <w:r w:rsidR="00802D6A" w:rsidRPr="0052400A">
              <w:rPr>
                <w:rFonts w:ascii="Calibri Light" w:hAnsi="Calibri Light"/>
              </w:rPr>
              <w:t>50</w:t>
            </w:r>
            <w:r w:rsidRPr="0052400A">
              <w:rPr>
                <w:rFonts w:ascii="Calibri Light" w:hAnsi="Calibri Light"/>
              </w:rPr>
              <w:t>/</w:t>
            </w:r>
            <w:r w:rsidR="00061E2D" w:rsidRPr="0052400A">
              <w:rPr>
                <w:rFonts w:ascii="Calibri Light" w:hAnsi="Calibri Light"/>
              </w:rPr>
              <w:t>0</w:t>
            </w:r>
            <w:r w:rsidR="00802D6A" w:rsidRPr="0052400A">
              <w:rPr>
                <w:rFonts w:ascii="Calibri Light" w:hAnsi="Calibri Light"/>
              </w:rPr>
              <w:t>4</w:t>
            </w:r>
            <w:r w:rsidRPr="0052400A">
              <w:rPr>
                <w:rFonts w:ascii="Calibri Light" w:hAnsi="Calibri Light"/>
              </w:rPr>
              <w:t xml:space="preserve"> (</w:t>
            </w:r>
            <w:hyperlink r:id="rId13" w:history="1">
              <w:r w:rsidRPr="0052400A">
                <w:rPr>
                  <w:rStyle w:val="Hyperlink"/>
                  <w:rFonts w:ascii="Calibri Light" w:hAnsi="Calibri Light"/>
                </w:rPr>
                <w:t>Admisibilidad</w:t>
              </w:r>
            </w:hyperlink>
            <w:r w:rsidRPr="0052400A">
              <w:rPr>
                <w:rFonts w:ascii="Calibri Light" w:hAnsi="Calibri Light"/>
              </w:rPr>
              <w:t>)</w:t>
            </w:r>
          </w:p>
          <w:p w14:paraId="72EA1AA4" w14:textId="17A1BE97" w:rsidR="00825AD0" w:rsidRPr="0052400A" w:rsidRDefault="00825AD0" w:rsidP="00825AD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Jenkins vs. Argentina (</w:t>
            </w:r>
            <w:hyperlink r:id="rId14" w:history="1">
              <w:r w:rsidRPr="00825AD0">
                <w:rPr>
                  <w:rStyle w:val="Hyperlink"/>
                  <w:rFonts w:ascii="Calibri Light" w:hAnsi="Calibri Light"/>
                </w:rPr>
                <w:t>Sentencia de 26 de noviembre de 2019</w:t>
              </w:r>
            </w:hyperlink>
            <w:r>
              <w:rPr>
                <w:rFonts w:ascii="Calibri Light" w:hAnsi="Calibri Light"/>
              </w:rPr>
              <w:t>)</w:t>
            </w:r>
          </w:p>
        </w:tc>
      </w:tr>
      <w:tr w:rsidR="004C2E50" w:rsidRPr="0052400A" w14:paraId="570485B4" w14:textId="77777777" w:rsidTr="00A94E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4C2E50" w:rsidRPr="0052400A" w:rsidRDefault="004C2E50" w:rsidP="00A65231">
            <w:pPr>
              <w:pStyle w:val="ListParagraph"/>
              <w:numPr>
                <w:ilvl w:val="0"/>
                <w:numId w:val="3"/>
              </w:numPr>
              <w:rPr>
                <w:rFonts w:ascii="Calibri Light" w:hAnsi="Calibri Light"/>
              </w:rPr>
            </w:pPr>
            <w:r w:rsidRPr="0052400A">
              <w:rPr>
                <w:rFonts w:ascii="Calibri Light" w:hAnsi="Calibri Light"/>
              </w:rPr>
              <w:t>Artículos analizados</w:t>
            </w:r>
          </w:p>
        </w:tc>
        <w:tc>
          <w:tcPr>
            <w:tcW w:w="5043" w:type="dxa"/>
            <w:gridSpan w:val="2"/>
          </w:tcPr>
          <w:p w14:paraId="18718B95" w14:textId="44612EDF" w:rsidR="004C2E50" w:rsidRPr="0052400A" w:rsidRDefault="004C2E50" w:rsidP="0042581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52400A">
              <w:rPr>
                <w:rFonts w:ascii="Calibri Light" w:hAnsi="Calibri Light"/>
              </w:rPr>
              <w:t>Convención Americana sobre Derechos Humanos</w:t>
            </w:r>
          </w:p>
        </w:tc>
      </w:tr>
      <w:tr w:rsidR="004C2E50" w:rsidRPr="0052400A" w14:paraId="59D19EAD" w14:textId="3753DE07" w:rsidTr="00A94EE7">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7BB3A97" w14:textId="77777777" w:rsidR="004C2E50" w:rsidRPr="0052400A" w:rsidRDefault="004C2E50" w:rsidP="00A65231">
            <w:pPr>
              <w:pStyle w:val="ListParagraph"/>
              <w:numPr>
                <w:ilvl w:val="0"/>
                <w:numId w:val="3"/>
              </w:numPr>
              <w:rPr>
                <w:rFonts w:ascii="Calibri Light" w:hAnsi="Calibri Light"/>
              </w:rPr>
            </w:pPr>
          </w:p>
        </w:tc>
        <w:tc>
          <w:tcPr>
            <w:tcW w:w="2490" w:type="dxa"/>
          </w:tcPr>
          <w:p w14:paraId="04C377A5" w14:textId="03DDDCE4" w:rsidR="004C2E50" w:rsidRPr="0052400A" w:rsidRDefault="004C2E50"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2400A">
              <w:rPr>
                <w:rFonts w:ascii="Calibri Light" w:hAnsi="Calibri Light"/>
              </w:rPr>
              <w:t>Artículos analizados declarados violados</w:t>
            </w:r>
          </w:p>
        </w:tc>
        <w:tc>
          <w:tcPr>
            <w:tcW w:w="2553" w:type="dxa"/>
          </w:tcPr>
          <w:p w14:paraId="277975FB" w14:textId="56CF35CB" w:rsidR="004C2E50" w:rsidRPr="0052400A" w:rsidRDefault="004C2E50"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2400A">
              <w:rPr>
                <w:rFonts w:ascii="Calibri Light" w:hAnsi="Calibri Light"/>
              </w:rPr>
              <w:t>Artículos analizados no declarados violados</w:t>
            </w:r>
          </w:p>
        </w:tc>
      </w:tr>
      <w:tr w:rsidR="004C2E50" w:rsidRPr="0052400A" w14:paraId="4F41E916" w14:textId="77777777" w:rsidTr="00A94EE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1D1C3694" w14:textId="77777777" w:rsidR="004C2E50" w:rsidRPr="0052400A" w:rsidRDefault="004C2E50" w:rsidP="00A65231">
            <w:pPr>
              <w:pStyle w:val="ListParagraph"/>
              <w:numPr>
                <w:ilvl w:val="0"/>
                <w:numId w:val="3"/>
              </w:numPr>
              <w:rPr>
                <w:rFonts w:ascii="Calibri Light" w:hAnsi="Calibri Light"/>
              </w:rPr>
            </w:pPr>
          </w:p>
        </w:tc>
        <w:tc>
          <w:tcPr>
            <w:tcW w:w="2490" w:type="dxa"/>
          </w:tcPr>
          <w:p w14:paraId="5E6682FC" w14:textId="69674F8F" w:rsidR="004C2E50" w:rsidRPr="0052400A" w:rsidRDefault="00732EDB" w:rsidP="00732EDB">
            <w:pPr>
              <w:jc w:val="both"/>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n-US"/>
              </w:rPr>
            </w:pPr>
            <w:r w:rsidRPr="0052400A">
              <w:rPr>
                <w:rFonts w:ascii="Calibri Light" w:hAnsi="Calibri Light"/>
                <w:lang w:val="en-US"/>
              </w:rPr>
              <w:t xml:space="preserve">Art.1, </w:t>
            </w:r>
            <w:r w:rsidR="00BA0B2B" w:rsidRPr="0052400A">
              <w:rPr>
                <w:rFonts w:ascii="Calibri Light" w:hAnsi="Calibri Light"/>
                <w:lang w:val="en-US"/>
              </w:rPr>
              <w:t xml:space="preserve">art. 2, </w:t>
            </w:r>
            <w:r w:rsidRPr="0052400A">
              <w:rPr>
                <w:rFonts w:ascii="Calibri Light" w:hAnsi="Calibri Light"/>
                <w:lang w:val="en-US"/>
              </w:rPr>
              <w:t>a</w:t>
            </w:r>
            <w:r w:rsidR="00802D6A" w:rsidRPr="0052400A">
              <w:rPr>
                <w:rFonts w:ascii="Calibri Light" w:hAnsi="Calibri Light"/>
                <w:lang w:val="en-US"/>
              </w:rPr>
              <w:t>rt. 7</w:t>
            </w:r>
            <w:r w:rsidR="004C2E50" w:rsidRPr="0052400A">
              <w:rPr>
                <w:rFonts w:ascii="Calibri Light" w:hAnsi="Calibri Light"/>
                <w:lang w:val="en-US"/>
              </w:rPr>
              <w:t xml:space="preserve">, art. </w:t>
            </w:r>
            <w:r w:rsidR="00802D6A" w:rsidRPr="0052400A">
              <w:rPr>
                <w:rFonts w:ascii="Calibri Light" w:hAnsi="Calibri Light"/>
                <w:lang w:val="en-US"/>
              </w:rPr>
              <w:t>8</w:t>
            </w:r>
            <w:r w:rsidR="004C2E50" w:rsidRPr="0052400A">
              <w:rPr>
                <w:rFonts w:ascii="Calibri Light" w:hAnsi="Calibri Light"/>
                <w:lang w:val="en-US"/>
              </w:rPr>
              <w:t>, art. 2</w:t>
            </w:r>
            <w:r w:rsidR="00802D6A" w:rsidRPr="0052400A">
              <w:rPr>
                <w:rFonts w:ascii="Calibri Light" w:hAnsi="Calibri Light"/>
                <w:lang w:val="en-US"/>
              </w:rPr>
              <w:t>4, art. 25</w:t>
            </w:r>
            <w:r w:rsidR="004C2E50" w:rsidRPr="0052400A">
              <w:rPr>
                <w:rFonts w:ascii="Calibri Light" w:hAnsi="Calibri Light"/>
                <w:lang w:val="en-US"/>
              </w:rPr>
              <w:t xml:space="preserve"> </w:t>
            </w:r>
          </w:p>
        </w:tc>
        <w:tc>
          <w:tcPr>
            <w:tcW w:w="2553" w:type="dxa"/>
            <w:vAlign w:val="center"/>
          </w:tcPr>
          <w:p w14:paraId="1DBBF8BB" w14:textId="2D7D4AB9" w:rsidR="004C2E50" w:rsidRPr="0052400A" w:rsidRDefault="004C2E50" w:rsidP="00A94EE7">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highlight w:val="yellow"/>
                <w:lang w:val="es-PE"/>
              </w:rPr>
            </w:pPr>
            <w:r w:rsidRPr="0052400A">
              <w:rPr>
                <w:rFonts w:ascii="Calibri Light" w:hAnsi="Calibri Light"/>
                <w:lang w:val="es-PE"/>
              </w:rPr>
              <w:t>-</w:t>
            </w:r>
          </w:p>
        </w:tc>
      </w:tr>
      <w:tr w:rsidR="004C2E50" w:rsidRPr="0052400A" w14:paraId="54B7813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33F046F3" w:rsidR="004C2E50" w:rsidRPr="0052400A" w:rsidRDefault="004C2E50" w:rsidP="00AC6F31">
            <w:pPr>
              <w:pStyle w:val="ListParagraph"/>
              <w:rPr>
                <w:rFonts w:ascii="Calibri Light" w:hAnsi="Calibri Light"/>
                <w:lang w:val="es-PE"/>
              </w:rPr>
            </w:pPr>
          </w:p>
          <w:p w14:paraId="1ECE5967" w14:textId="77777777" w:rsidR="004C2E50" w:rsidRPr="0052400A" w:rsidRDefault="004C2E50" w:rsidP="0029671B">
            <w:pPr>
              <w:pStyle w:val="ListParagraph"/>
              <w:numPr>
                <w:ilvl w:val="0"/>
                <w:numId w:val="2"/>
              </w:numPr>
              <w:jc w:val="center"/>
              <w:rPr>
                <w:rFonts w:ascii="Calibri Light" w:hAnsi="Calibri Light"/>
              </w:rPr>
            </w:pPr>
            <w:r w:rsidRPr="0052400A">
              <w:rPr>
                <w:rFonts w:ascii="Calibri Light" w:hAnsi="Calibri Light"/>
              </w:rPr>
              <w:t>Sumilla</w:t>
            </w:r>
          </w:p>
          <w:p w14:paraId="009AFBB8" w14:textId="77777777" w:rsidR="004C2E50" w:rsidRPr="0052400A" w:rsidRDefault="004C2E50" w:rsidP="00AC6F31">
            <w:pPr>
              <w:pStyle w:val="ListParagraph"/>
              <w:rPr>
                <w:rFonts w:ascii="Calibri Light" w:hAnsi="Calibri Light"/>
              </w:rPr>
            </w:pPr>
          </w:p>
        </w:tc>
      </w:tr>
      <w:tr w:rsidR="004C2E50" w:rsidRPr="0052400A" w14:paraId="6B670455" w14:textId="77777777" w:rsidTr="00A94EE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5C62C63C" w14:textId="7FC43BEB" w:rsidR="004C2E50" w:rsidRPr="0052400A" w:rsidRDefault="004C2E50" w:rsidP="00243C42">
            <w:pPr>
              <w:jc w:val="both"/>
              <w:rPr>
                <w:rFonts w:ascii="Calibri Light" w:hAnsi="Calibri Light"/>
                <w:b w:val="0"/>
              </w:rPr>
            </w:pPr>
          </w:p>
          <w:p w14:paraId="5BA46E5F" w14:textId="7D606650" w:rsidR="007B2A0D" w:rsidRPr="0052400A" w:rsidRDefault="007B2A0D" w:rsidP="007B2A0D">
            <w:pPr>
              <w:jc w:val="both"/>
              <w:rPr>
                <w:rFonts w:ascii="Calibri Light" w:hAnsi="Calibri Light"/>
                <w:b w:val="0"/>
              </w:rPr>
            </w:pPr>
            <w:r w:rsidRPr="0052400A">
              <w:rPr>
                <w:rFonts w:ascii="Calibri Light" w:hAnsi="Calibri Light"/>
                <w:b w:val="0"/>
              </w:rPr>
              <w:t xml:space="preserve">El caso trata sobre la </w:t>
            </w:r>
            <w:r w:rsidR="0052400A">
              <w:rPr>
                <w:rFonts w:ascii="Calibri Light" w:hAnsi="Calibri Light"/>
                <w:b w:val="0"/>
              </w:rPr>
              <w:t>aplicación de la medida de</w:t>
            </w:r>
            <w:r w:rsidRPr="0052400A">
              <w:rPr>
                <w:rFonts w:ascii="Calibri Light" w:hAnsi="Calibri Light"/>
                <w:b w:val="0"/>
              </w:rPr>
              <w:t xml:space="preserve"> prisión preventiva </w:t>
            </w:r>
            <w:r w:rsidR="0052400A">
              <w:rPr>
                <w:rFonts w:ascii="Calibri Light" w:hAnsi="Calibri Light"/>
                <w:b w:val="0"/>
              </w:rPr>
              <w:t>a</w:t>
            </w:r>
            <w:r w:rsidR="0052400A" w:rsidRPr="0052400A">
              <w:rPr>
                <w:rFonts w:ascii="Calibri Light" w:hAnsi="Calibri Light"/>
                <w:b w:val="0"/>
              </w:rPr>
              <w:t xml:space="preserve"> Gabriel Oscar Jenkins </w:t>
            </w:r>
            <w:r w:rsidRPr="0052400A">
              <w:rPr>
                <w:rFonts w:ascii="Calibri Light" w:hAnsi="Calibri Light"/>
                <w:b w:val="0"/>
              </w:rPr>
              <w:t xml:space="preserve">por más de tres años, en el marco de un proceso penal por los delitos de tráfico ilícito de estupefacientes y asociación ilícita. Durante ese período, las autoridades judiciales argentinas se negaron a concederle el beneficio de excarcelación </w:t>
            </w:r>
            <w:r w:rsidR="009D4E29" w:rsidRPr="0052400A">
              <w:rPr>
                <w:rFonts w:ascii="Calibri Light" w:hAnsi="Calibri Light"/>
                <w:b w:val="0"/>
              </w:rPr>
              <w:t xml:space="preserve">debido a que la normativa interna </w:t>
            </w:r>
            <w:r w:rsidR="0052400A">
              <w:rPr>
                <w:rFonts w:ascii="Calibri Light" w:hAnsi="Calibri Light"/>
                <w:b w:val="0"/>
              </w:rPr>
              <w:t xml:space="preserve">lo </w:t>
            </w:r>
            <w:r w:rsidR="009D4E29" w:rsidRPr="0052400A">
              <w:rPr>
                <w:rFonts w:ascii="Calibri Light" w:hAnsi="Calibri Light"/>
                <w:b w:val="0"/>
              </w:rPr>
              <w:t>prohibía para tales delitos</w:t>
            </w:r>
            <w:r w:rsidRPr="0052400A">
              <w:rPr>
                <w:rFonts w:ascii="Calibri Light" w:hAnsi="Calibri Light"/>
                <w:b w:val="0"/>
              </w:rPr>
              <w:t xml:space="preserve">. Además, </w:t>
            </w:r>
            <w:r w:rsidR="002938AF" w:rsidRPr="0052400A">
              <w:rPr>
                <w:rFonts w:ascii="Calibri Light" w:hAnsi="Calibri Light"/>
                <w:b w:val="0"/>
              </w:rPr>
              <w:t xml:space="preserve">la </w:t>
            </w:r>
            <w:r w:rsidRPr="0052400A">
              <w:rPr>
                <w:rFonts w:ascii="Calibri Light" w:hAnsi="Calibri Light"/>
                <w:b w:val="0"/>
              </w:rPr>
              <w:t xml:space="preserve">demanda por daños y perjuicios </w:t>
            </w:r>
            <w:r w:rsidR="002938AF" w:rsidRPr="0052400A">
              <w:rPr>
                <w:rFonts w:ascii="Calibri Light" w:hAnsi="Calibri Light"/>
                <w:b w:val="0"/>
              </w:rPr>
              <w:t>presentada por el señor Jenki</w:t>
            </w:r>
            <w:r w:rsidR="0052400A">
              <w:rPr>
                <w:rFonts w:ascii="Calibri Light" w:hAnsi="Calibri Light"/>
                <w:b w:val="0"/>
              </w:rPr>
              <w:t>n</w:t>
            </w:r>
            <w:r w:rsidR="002938AF" w:rsidRPr="0052400A">
              <w:rPr>
                <w:rFonts w:ascii="Calibri Light" w:hAnsi="Calibri Light"/>
                <w:b w:val="0"/>
              </w:rPr>
              <w:t>s frente a estos hechos fue rechaza</w:t>
            </w:r>
            <w:r w:rsidR="00892544" w:rsidRPr="0052400A">
              <w:rPr>
                <w:rFonts w:ascii="Calibri Light" w:hAnsi="Calibri Light"/>
                <w:b w:val="0"/>
              </w:rPr>
              <w:t>da</w:t>
            </w:r>
            <w:r w:rsidR="002938AF" w:rsidRPr="0052400A">
              <w:rPr>
                <w:rFonts w:ascii="Calibri Light" w:hAnsi="Calibri Light"/>
                <w:b w:val="0"/>
              </w:rPr>
              <w:t xml:space="preserve"> y </w:t>
            </w:r>
            <w:r w:rsidRPr="0052400A">
              <w:rPr>
                <w:rFonts w:ascii="Calibri Light" w:hAnsi="Calibri Light"/>
                <w:b w:val="0"/>
              </w:rPr>
              <w:t>t</w:t>
            </w:r>
            <w:r w:rsidR="008E6CC6" w:rsidRPr="0052400A">
              <w:rPr>
                <w:rFonts w:ascii="Calibri Light" w:hAnsi="Calibri Light"/>
                <w:b w:val="0"/>
              </w:rPr>
              <w:t>ardó más de</w:t>
            </w:r>
            <w:r w:rsidRPr="0052400A">
              <w:rPr>
                <w:rFonts w:ascii="Calibri Light" w:hAnsi="Calibri Light"/>
                <w:b w:val="0"/>
              </w:rPr>
              <w:t xml:space="preserve"> nueve años en resolverse.</w:t>
            </w:r>
          </w:p>
          <w:p w14:paraId="1EE5A7E7" w14:textId="69048BF9" w:rsidR="004C2E50" w:rsidRPr="0052400A" w:rsidRDefault="004C2E50" w:rsidP="007B2A0D">
            <w:pPr>
              <w:jc w:val="both"/>
              <w:rPr>
                <w:rFonts w:ascii="Calibri Light" w:hAnsi="Calibri Light"/>
                <w:b w:val="0"/>
              </w:rPr>
            </w:pPr>
          </w:p>
        </w:tc>
      </w:tr>
      <w:tr w:rsidR="004C2E50" w:rsidRPr="0052400A" w14:paraId="238A2196"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4C2E50" w:rsidRPr="0052400A" w:rsidRDefault="004C2E50" w:rsidP="00AC6F31">
            <w:pPr>
              <w:pStyle w:val="ListParagraph"/>
              <w:rPr>
                <w:rFonts w:ascii="Calibri Light" w:hAnsi="Calibri Light"/>
              </w:rPr>
            </w:pPr>
          </w:p>
          <w:p w14:paraId="6E7AC4B8" w14:textId="77777777" w:rsidR="004C2E50" w:rsidRPr="0052400A" w:rsidRDefault="004C2E50" w:rsidP="0029671B">
            <w:pPr>
              <w:pStyle w:val="ListParagraph"/>
              <w:numPr>
                <w:ilvl w:val="0"/>
                <w:numId w:val="2"/>
              </w:numPr>
              <w:jc w:val="center"/>
              <w:rPr>
                <w:rFonts w:ascii="Calibri Light" w:hAnsi="Calibri Light"/>
              </w:rPr>
            </w:pPr>
            <w:r w:rsidRPr="0052400A">
              <w:rPr>
                <w:rFonts w:ascii="Calibri Light" w:hAnsi="Calibri Light"/>
              </w:rPr>
              <w:t>Palabras clave</w:t>
            </w:r>
          </w:p>
          <w:p w14:paraId="6A1E32A7" w14:textId="77777777" w:rsidR="004C2E50" w:rsidRPr="0052400A" w:rsidRDefault="004C2E50" w:rsidP="00AC6F31">
            <w:pPr>
              <w:pStyle w:val="ListParagraph"/>
              <w:rPr>
                <w:rFonts w:ascii="Calibri Light" w:hAnsi="Calibri Light"/>
              </w:rPr>
            </w:pPr>
          </w:p>
        </w:tc>
      </w:tr>
      <w:tr w:rsidR="004C2E50" w:rsidRPr="0052400A" w14:paraId="34AE2D45" w14:textId="77777777" w:rsidTr="00E7071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22670832" w14:textId="77777777" w:rsidR="004C2E50" w:rsidRPr="0052400A" w:rsidRDefault="004C2E50" w:rsidP="00C20AC7">
            <w:pPr>
              <w:jc w:val="both"/>
              <w:rPr>
                <w:rFonts w:ascii="Calibri Light" w:hAnsi="Calibri Light"/>
                <w:b w:val="0"/>
              </w:rPr>
            </w:pPr>
          </w:p>
          <w:p w14:paraId="676FDBE4" w14:textId="77777777" w:rsidR="00C20AC7" w:rsidRPr="0052400A" w:rsidRDefault="007B2A0D" w:rsidP="007B2A0D">
            <w:pPr>
              <w:jc w:val="both"/>
              <w:rPr>
                <w:rFonts w:ascii="Calibri Light" w:hAnsi="Calibri Light"/>
                <w:b w:val="0"/>
              </w:rPr>
            </w:pPr>
            <w:r w:rsidRPr="0052400A">
              <w:rPr>
                <w:rFonts w:ascii="Calibri Light" w:hAnsi="Calibri Light"/>
                <w:b w:val="0"/>
              </w:rPr>
              <w:t>Igualdad ante la ley, Libertad personal, Prisión preventiva, Protección judicial y garantías judiciales</w:t>
            </w:r>
          </w:p>
          <w:p w14:paraId="05374712" w14:textId="37C3A3CE" w:rsidR="007B2A0D" w:rsidRPr="0052400A" w:rsidRDefault="007B2A0D" w:rsidP="007B2A0D">
            <w:pPr>
              <w:jc w:val="both"/>
              <w:rPr>
                <w:rFonts w:ascii="Calibri Light" w:hAnsi="Calibri Light"/>
                <w:b w:val="0"/>
              </w:rPr>
            </w:pPr>
          </w:p>
        </w:tc>
      </w:tr>
      <w:tr w:rsidR="004C2E50" w:rsidRPr="0052400A" w14:paraId="69044E7B"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4C2E50" w:rsidRPr="0052400A" w:rsidRDefault="004C2E50" w:rsidP="00AC6F31">
            <w:pPr>
              <w:pStyle w:val="ListParagraph"/>
              <w:rPr>
                <w:rFonts w:ascii="Calibri Light" w:hAnsi="Calibri Light"/>
              </w:rPr>
            </w:pPr>
          </w:p>
          <w:p w14:paraId="177FF988" w14:textId="77777777" w:rsidR="004C2E50" w:rsidRPr="0052400A" w:rsidRDefault="004C2E50" w:rsidP="0029671B">
            <w:pPr>
              <w:pStyle w:val="ListParagraph"/>
              <w:numPr>
                <w:ilvl w:val="0"/>
                <w:numId w:val="2"/>
              </w:numPr>
              <w:jc w:val="center"/>
              <w:rPr>
                <w:rFonts w:ascii="Calibri Light" w:hAnsi="Calibri Light"/>
              </w:rPr>
            </w:pPr>
            <w:r w:rsidRPr="0052400A">
              <w:rPr>
                <w:rFonts w:ascii="Calibri Light" w:hAnsi="Calibri Light"/>
              </w:rPr>
              <w:t>Hechos</w:t>
            </w:r>
          </w:p>
          <w:p w14:paraId="190B7E98" w14:textId="77777777" w:rsidR="004C2E50" w:rsidRPr="0052400A" w:rsidRDefault="004C2E50" w:rsidP="00AC6F31">
            <w:pPr>
              <w:pStyle w:val="ListParagraph"/>
              <w:rPr>
                <w:rFonts w:ascii="Calibri Light" w:hAnsi="Calibri Light"/>
              </w:rPr>
            </w:pPr>
          </w:p>
        </w:tc>
      </w:tr>
      <w:tr w:rsidR="004C2E50" w:rsidRPr="0052400A" w14:paraId="6F58DE83" w14:textId="77777777" w:rsidTr="00A94EE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4A7CA1F8" w:rsidR="004C2E50" w:rsidRPr="0052400A" w:rsidRDefault="004C2E50" w:rsidP="008036E7">
            <w:pPr>
              <w:jc w:val="both"/>
              <w:rPr>
                <w:rFonts w:ascii="Calibri Light" w:hAnsi="Calibri Light"/>
                <w:b w:val="0"/>
              </w:rPr>
            </w:pPr>
          </w:p>
          <w:p w14:paraId="7CF61906" w14:textId="2D1CAF35" w:rsidR="003570F3" w:rsidRPr="0052400A" w:rsidRDefault="002E18A5" w:rsidP="000A0C5C">
            <w:pPr>
              <w:jc w:val="both"/>
              <w:rPr>
                <w:rFonts w:ascii="Calibri Light" w:hAnsi="Calibri Light"/>
                <w:b w:val="0"/>
              </w:rPr>
            </w:pPr>
            <w:r w:rsidRPr="0052400A">
              <w:rPr>
                <w:rFonts w:ascii="Calibri Light" w:hAnsi="Calibri Light"/>
                <w:b w:val="0"/>
              </w:rPr>
              <w:t xml:space="preserve">El 8 de junio de 1994, Gabriel Oscar Jenkins fue detenido </w:t>
            </w:r>
            <w:r w:rsidR="00BA694D" w:rsidRPr="0052400A">
              <w:rPr>
                <w:rFonts w:ascii="Calibri Light" w:hAnsi="Calibri Light"/>
                <w:b w:val="0"/>
              </w:rPr>
              <w:t xml:space="preserve">bajo prisión preventiva </w:t>
            </w:r>
            <w:r w:rsidRPr="0052400A">
              <w:rPr>
                <w:rFonts w:ascii="Calibri Light" w:hAnsi="Calibri Light"/>
                <w:b w:val="0"/>
              </w:rPr>
              <w:t xml:space="preserve">en virtud de una orden judicial </w:t>
            </w:r>
            <w:r w:rsidR="00FE0200" w:rsidRPr="0052400A">
              <w:rPr>
                <w:rFonts w:ascii="Calibri Light" w:hAnsi="Calibri Light"/>
                <w:b w:val="0"/>
              </w:rPr>
              <w:t xml:space="preserve">dictada </w:t>
            </w:r>
            <w:r w:rsidRPr="0052400A">
              <w:rPr>
                <w:rFonts w:ascii="Calibri Light" w:hAnsi="Calibri Light"/>
                <w:b w:val="0"/>
              </w:rPr>
              <w:t>en el marco del proceso penal sobre la causa “Padilla Echevarry y otros”</w:t>
            </w:r>
            <w:r w:rsidR="00365121" w:rsidRPr="0052400A">
              <w:rPr>
                <w:rFonts w:ascii="Calibri Light" w:hAnsi="Calibri Light"/>
                <w:b w:val="0"/>
              </w:rPr>
              <w:t>,</w:t>
            </w:r>
            <w:r w:rsidRPr="0052400A">
              <w:rPr>
                <w:rFonts w:ascii="Calibri Light" w:hAnsi="Calibri Light"/>
                <w:b w:val="0"/>
              </w:rPr>
              <w:t xml:space="preserve"> </w:t>
            </w:r>
            <w:r w:rsidR="00892544" w:rsidRPr="0052400A">
              <w:rPr>
                <w:rFonts w:ascii="Calibri Light" w:hAnsi="Calibri Light"/>
                <w:b w:val="0"/>
              </w:rPr>
              <w:t xml:space="preserve">seguido en su contra y de otras personas </w:t>
            </w:r>
            <w:r w:rsidRPr="0052400A">
              <w:rPr>
                <w:rFonts w:ascii="Calibri Light" w:hAnsi="Calibri Light"/>
                <w:b w:val="0"/>
              </w:rPr>
              <w:t>por los delitos de tráfico ilícito de estupefacientes y asociación ilícita</w:t>
            </w:r>
            <w:r w:rsidR="00892544" w:rsidRPr="0052400A">
              <w:rPr>
                <w:rFonts w:ascii="Calibri Light" w:hAnsi="Calibri Light"/>
                <w:b w:val="0"/>
              </w:rPr>
              <w:t>.</w:t>
            </w:r>
            <w:r w:rsidR="00C6385F" w:rsidRPr="0052400A">
              <w:rPr>
                <w:rFonts w:ascii="Calibri Light" w:hAnsi="Calibri Light"/>
                <w:b w:val="0"/>
              </w:rPr>
              <w:t xml:space="preserve"> </w:t>
            </w:r>
            <w:r w:rsidR="00892544" w:rsidRPr="0052400A">
              <w:rPr>
                <w:rFonts w:ascii="Calibri Light" w:hAnsi="Calibri Light"/>
                <w:b w:val="0"/>
              </w:rPr>
              <w:t xml:space="preserve">Se le acusaba </w:t>
            </w:r>
            <w:r w:rsidR="00EE5717" w:rsidRPr="0052400A">
              <w:rPr>
                <w:rFonts w:ascii="Calibri Light" w:hAnsi="Calibri Light"/>
                <w:b w:val="0"/>
              </w:rPr>
              <w:t>—</w:t>
            </w:r>
            <w:r w:rsidR="00545A33" w:rsidRPr="0052400A">
              <w:rPr>
                <w:rFonts w:ascii="Calibri Light" w:hAnsi="Calibri Light"/>
                <w:b w:val="0"/>
              </w:rPr>
              <w:t>en base a una conversación telefónica en la que el también procesado Jorge Martínez le solicitaba acompañarlo en un viaje al exterior</w:t>
            </w:r>
            <w:r w:rsidR="00EE5717" w:rsidRPr="0052400A">
              <w:rPr>
                <w:rFonts w:ascii="Calibri Light" w:hAnsi="Calibri Light"/>
                <w:b w:val="0"/>
              </w:rPr>
              <w:t>—</w:t>
            </w:r>
            <w:r w:rsidR="00545A33" w:rsidRPr="0052400A">
              <w:rPr>
                <w:rFonts w:ascii="Calibri Light" w:hAnsi="Calibri Light"/>
                <w:b w:val="0"/>
              </w:rPr>
              <w:t xml:space="preserve"> </w:t>
            </w:r>
            <w:r w:rsidR="00892544" w:rsidRPr="0052400A">
              <w:rPr>
                <w:rFonts w:ascii="Calibri Light" w:hAnsi="Calibri Light"/>
                <w:b w:val="0"/>
              </w:rPr>
              <w:t xml:space="preserve">de haber recibido </w:t>
            </w:r>
            <w:r w:rsidR="00C6385F" w:rsidRPr="0052400A">
              <w:rPr>
                <w:rFonts w:ascii="Calibri Light" w:hAnsi="Calibri Light"/>
                <w:b w:val="0"/>
              </w:rPr>
              <w:t xml:space="preserve">una invitación para </w:t>
            </w:r>
            <w:r w:rsidR="00892544" w:rsidRPr="0052400A">
              <w:rPr>
                <w:rFonts w:ascii="Calibri Light" w:hAnsi="Calibri Light"/>
                <w:b w:val="0"/>
              </w:rPr>
              <w:t xml:space="preserve">supuestamente </w:t>
            </w:r>
            <w:r w:rsidR="00C6385F" w:rsidRPr="0052400A">
              <w:rPr>
                <w:rFonts w:ascii="Calibri Light" w:hAnsi="Calibri Light"/>
                <w:b w:val="0"/>
              </w:rPr>
              <w:t xml:space="preserve">asistir </w:t>
            </w:r>
            <w:r w:rsidR="00892544" w:rsidRPr="0052400A">
              <w:rPr>
                <w:rFonts w:ascii="Calibri Light" w:hAnsi="Calibri Light"/>
                <w:b w:val="0"/>
              </w:rPr>
              <w:t>a una reunión del Cartel de Cali</w:t>
            </w:r>
            <w:r w:rsidR="00892544" w:rsidRPr="0052400A" w:rsidDel="00892544">
              <w:rPr>
                <w:rFonts w:ascii="Calibri Light" w:hAnsi="Calibri Light"/>
                <w:b w:val="0"/>
              </w:rPr>
              <w:t xml:space="preserve"> </w:t>
            </w:r>
            <w:r w:rsidR="00892544" w:rsidRPr="0052400A">
              <w:rPr>
                <w:rFonts w:ascii="Calibri Light" w:hAnsi="Calibri Light"/>
                <w:b w:val="0"/>
              </w:rPr>
              <w:t>en</w:t>
            </w:r>
            <w:r w:rsidR="00C6385F" w:rsidRPr="0052400A">
              <w:rPr>
                <w:rFonts w:ascii="Calibri Light" w:hAnsi="Calibri Light"/>
                <w:b w:val="0"/>
              </w:rPr>
              <w:t xml:space="preserve"> la </w:t>
            </w:r>
            <w:r w:rsidR="00C6385F" w:rsidRPr="0052400A">
              <w:rPr>
                <w:rFonts w:ascii="Calibri Light" w:hAnsi="Calibri Light"/>
                <w:b w:val="0"/>
              </w:rPr>
              <w:lastRenderedPageBreak/>
              <w:t>Rep</w:t>
            </w:r>
            <w:r w:rsidR="0052400A">
              <w:rPr>
                <w:rFonts w:ascii="Calibri Light" w:hAnsi="Calibri Light"/>
                <w:b w:val="0"/>
              </w:rPr>
              <w:t>ública de Panamá</w:t>
            </w:r>
            <w:r w:rsidRPr="0052400A">
              <w:rPr>
                <w:rFonts w:ascii="Calibri Light" w:hAnsi="Calibri Light"/>
                <w:b w:val="0"/>
              </w:rPr>
              <w:t xml:space="preserve">. </w:t>
            </w:r>
            <w:r w:rsidR="00BA694D" w:rsidRPr="0052400A">
              <w:rPr>
                <w:rFonts w:ascii="Calibri Light" w:hAnsi="Calibri Light"/>
                <w:b w:val="0"/>
              </w:rPr>
              <w:t xml:space="preserve">Sin embargo, el señor Jenkins </w:t>
            </w:r>
            <w:r w:rsidR="00545A33" w:rsidRPr="0052400A">
              <w:rPr>
                <w:rFonts w:ascii="Calibri Light" w:hAnsi="Calibri Light"/>
                <w:b w:val="0"/>
              </w:rPr>
              <w:t>argumentaba</w:t>
            </w:r>
            <w:r w:rsidR="00BA694D" w:rsidRPr="0052400A">
              <w:rPr>
                <w:rFonts w:ascii="Calibri Light" w:hAnsi="Calibri Light"/>
                <w:b w:val="0"/>
              </w:rPr>
              <w:t xml:space="preserve"> que </w:t>
            </w:r>
            <w:r w:rsidR="00545A33" w:rsidRPr="0052400A">
              <w:rPr>
                <w:rFonts w:ascii="Calibri Light" w:hAnsi="Calibri Light"/>
                <w:b w:val="0"/>
              </w:rPr>
              <w:t>había sido</w:t>
            </w:r>
            <w:r w:rsidR="00BA694D" w:rsidRPr="0052400A">
              <w:rPr>
                <w:rFonts w:ascii="Calibri Light" w:hAnsi="Calibri Light"/>
                <w:b w:val="0"/>
              </w:rPr>
              <w:t xml:space="preserve"> invitado a viajar para la compraventa de una embarcación deportiva. </w:t>
            </w:r>
            <w:r w:rsidR="00EE5717" w:rsidRPr="0052400A">
              <w:rPr>
                <w:rFonts w:ascii="Calibri Light" w:hAnsi="Calibri Light"/>
                <w:b w:val="0"/>
              </w:rPr>
              <w:t xml:space="preserve">La orden judicial </w:t>
            </w:r>
            <w:r w:rsidR="00536275">
              <w:rPr>
                <w:rFonts w:ascii="Calibri Light" w:hAnsi="Calibri Light"/>
                <w:b w:val="0"/>
              </w:rPr>
              <w:t xml:space="preserve">en su contra </w:t>
            </w:r>
            <w:r w:rsidR="00EE5717" w:rsidRPr="0052400A">
              <w:rPr>
                <w:rFonts w:ascii="Calibri Light" w:hAnsi="Calibri Light"/>
                <w:b w:val="0"/>
              </w:rPr>
              <w:t>se amparó en la Ley No. 24</w:t>
            </w:r>
            <w:r w:rsidR="0005629A" w:rsidRPr="0052400A">
              <w:rPr>
                <w:rFonts w:ascii="Calibri Light" w:hAnsi="Calibri Light"/>
                <w:b w:val="0"/>
              </w:rPr>
              <w:t>.390, que</w:t>
            </w:r>
            <w:r w:rsidR="00EE5717" w:rsidRPr="0052400A">
              <w:rPr>
                <w:rFonts w:ascii="Calibri Light" w:hAnsi="Calibri Light"/>
                <w:b w:val="0"/>
              </w:rPr>
              <w:t xml:space="preserve"> </w:t>
            </w:r>
            <w:r w:rsidR="0005629A" w:rsidRPr="0052400A">
              <w:rPr>
                <w:rFonts w:ascii="Calibri Light" w:hAnsi="Calibri Light"/>
                <w:b w:val="0"/>
              </w:rPr>
              <w:t xml:space="preserve">si bien </w:t>
            </w:r>
            <w:r w:rsidR="00EE5717" w:rsidRPr="0052400A">
              <w:rPr>
                <w:rFonts w:ascii="Calibri Light" w:hAnsi="Calibri Light"/>
                <w:b w:val="0"/>
              </w:rPr>
              <w:t>establecía límites a la prisión preventiva</w:t>
            </w:r>
            <w:r w:rsidR="002D7E52">
              <w:rPr>
                <w:rFonts w:ascii="Calibri Light" w:hAnsi="Calibri Light"/>
                <w:b w:val="0"/>
              </w:rPr>
              <w:t>,</w:t>
            </w:r>
            <w:r w:rsidR="00EE5717" w:rsidRPr="0052400A">
              <w:rPr>
                <w:rFonts w:ascii="Calibri Light" w:hAnsi="Calibri Light"/>
                <w:b w:val="0"/>
              </w:rPr>
              <w:t xml:space="preserve"> </w:t>
            </w:r>
            <w:r w:rsidR="0005629A" w:rsidRPr="0052400A">
              <w:rPr>
                <w:rFonts w:ascii="Calibri Light" w:hAnsi="Calibri Light"/>
                <w:b w:val="0"/>
              </w:rPr>
              <w:t xml:space="preserve">disponía que </w:t>
            </w:r>
            <w:r w:rsidR="00EE5717" w:rsidRPr="0052400A">
              <w:rPr>
                <w:rFonts w:ascii="Calibri Light" w:hAnsi="Calibri Light"/>
                <w:b w:val="0"/>
              </w:rPr>
              <w:t xml:space="preserve">sus alcances no se </w:t>
            </w:r>
            <w:r w:rsidR="0005629A" w:rsidRPr="0052400A">
              <w:rPr>
                <w:rFonts w:ascii="Calibri Light" w:hAnsi="Calibri Light"/>
                <w:b w:val="0"/>
              </w:rPr>
              <w:t>aplicaran</w:t>
            </w:r>
            <w:r w:rsidR="00EE5717" w:rsidRPr="0052400A">
              <w:rPr>
                <w:rFonts w:ascii="Calibri Light" w:hAnsi="Calibri Light"/>
                <w:b w:val="0"/>
              </w:rPr>
              <w:t xml:space="preserve"> a personas procesadas por delitos relacionados al narcotráfico, incluyendo la tenencia de estupefacientes</w:t>
            </w:r>
            <w:r w:rsidR="00CF63C3" w:rsidRPr="0052400A">
              <w:rPr>
                <w:rFonts w:ascii="Calibri Light" w:hAnsi="Calibri Light"/>
                <w:b w:val="0"/>
              </w:rPr>
              <w:t>. De este modo,</w:t>
            </w:r>
            <w:r w:rsidR="00EE5717" w:rsidRPr="0052400A">
              <w:rPr>
                <w:rFonts w:ascii="Calibri Light" w:hAnsi="Calibri Light"/>
                <w:b w:val="0"/>
              </w:rPr>
              <w:t xml:space="preserve"> se prohibía la excarcelación para casos</w:t>
            </w:r>
            <w:r w:rsidR="00CF63C3" w:rsidRPr="0052400A">
              <w:rPr>
                <w:rFonts w:ascii="Calibri Light" w:hAnsi="Calibri Light"/>
                <w:b w:val="0"/>
              </w:rPr>
              <w:t xml:space="preserve"> relativos a los mencionados delitos en los que se dictara prisión preventiva</w:t>
            </w:r>
            <w:r w:rsidR="00EE5717" w:rsidRPr="0052400A">
              <w:rPr>
                <w:rFonts w:ascii="Calibri Light" w:hAnsi="Calibri Light"/>
                <w:b w:val="0"/>
              </w:rPr>
              <w:t>.</w:t>
            </w:r>
          </w:p>
          <w:p w14:paraId="54D19727" w14:textId="4D3D7A9E" w:rsidR="00700883" w:rsidRPr="0052400A" w:rsidRDefault="00700883" w:rsidP="000A0C5C">
            <w:pPr>
              <w:jc w:val="both"/>
              <w:rPr>
                <w:rFonts w:ascii="Calibri Light" w:hAnsi="Calibri Light"/>
                <w:b w:val="0"/>
              </w:rPr>
            </w:pPr>
          </w:p>
          <w:p w14:paraId="4A95E53A" w14:textId="407A448B" w:rsidR="00DD4037" w:rsidRPr="0052400A" w:rsidRDefault="00FC1F1C" w:rsidP="000A0C5C">
            <w:pPr>
              <w:jc w:val="both"/>
              <w:rPr>
                <w:rFonts w:ascii="Calibri Light" w:hAnsi="Calibri Light"/>
                <w:b w:val="0"/>
              </w:rPr>
            </w:pPr>
            <w:r w:rsidRPr="0052400A">
              <w:rPr>
                <w:rFonts w:ascii="Calibri Light" w:hAnsi="Calibri Light"/>
                <w:b w:val="0"/>
              </w:rPr>
              <w:t>En</w:t>
            </w:r>
            <w:r w:rsidR="00545A33" w:rsidRPr="0052400A">
              <w:rPr>
                <w:rFonts w:ascii="Calibri Light" w:hAnsi="Calibri Light"/>
                <w:b w:val="0"/>
              </w:rPr>
              <w:t xml:space="preserve"> vista de su prolongada detención, </w:t>
            </w:r>
            <w:r w:rsidR="00DD4037" w:rsidRPr="0052400A">
              <w:rPr>
                <w:rFonts w:ascii="Calibri Light" w:hAnsi="Calibri Light"/>
                <w:b w:val="0"/>
              </w:rPr>
              <w:t>el señor Jenkins</w:t>
            </w:r>
            <w:r w:rsidR="00C6385F" w:rsidRPr="0052400A">
              <w:rPr>
                <w:rFonts w:ascii="Calibri Light" w:hAnsi="Calibri Light"/>
                <w:b w:val="0"/>
              </w:rPr>
              <w:t xml:space="preserve"> </w:t>
            </w:r>
            <w:r w:rsidR="00DD4037" w:rsidRPr="0052400A">
              <w:rPr>
                <w:rFonts w:ascii="Calibri Light" w:hAnsi="Calibri Light"/>
                <w:b w:val="0"/>
              </w:rPr>
              <w:t xml:space="preserve">interpuso una queja al Defensor del Pueblo, </w:t>
            </w:r>
            <w:r w:rsidR="00FE0200" w:rsidRPr="0052400A">
              <w:rPr>
                <w:rFonts w:ascii="Calibri Light" w:hAnsi="Calibri Light"/>
                <w:b w:val="0"/>
              </w:rPr>
              <w:t>por la cual este último</w:t>
            </w:r>
            <w:r w:rsidR="00DD4037" w:rsidRPr="0052400A">
              <w:rPr>
                <w:rFonts w:ascii="Calibri Light" w:hAnsi="Calibri Light"/>
                <w:b w:val="0"/>
              </w:rPr>
              <w:t xml:space="preserve"> exhortó </w:t>
            </w:r>
            <w:r w:rsidR="00C6385F" w:rsidRPr="0052400A">
              <w:rPr>
                <w:rFonts w:ascii="Calibri Light" w:hAnsi="Calibri Light"/>
                <w:b w:val="0"/>
              </w:rPr>
              <w:t xml:space="preserve">el 23 de junio de 1997 </w:t>
            </w:r>
            <w:r w:rsidR="00DD4037" w:rsidRPr="0052400A">
              <w:rPr>
                <w:rFonts w:ascii="Calibri Light" w:hAnsi="Calibri Light"/>
                <w:b w:val="0"/>
              </w:rPr>
              <w:t>al Tri</w:t>
            </w:r>
            <w:r w:rsidR="00393029" w:rsidRPr="0052400A">
              <w:rPr>
                <w:rFonts w:ascii="Calibri Light" w:hAnsi="Calibri Light"/>
                <w:b w:val="0"/>
              </w:rPr>
              <w:t>bunal competente a</w:t>
            </w:r>
            <w:r w:rsidR="00DD4037" w:rsidRPr="0052400A">
              <w:rPr>
                <w:rFonts w:ascii="Calibri Light" w:hAnsi="Calibri Light"/>
                <w:b w:val="0"/>
              </w:rPr>
              <w:t xml:space="preserve"> disponer la </w:t>
            </w:r>
            <w:r w:rsidR="00FE0200" w:rsidRPr="0052400A">
              <w:rPr>
                <w:rFonts w:ascii="Calibri Light" w:hAnsi="Calibri Light"/>
                <w:b w:val="0"/>
              </w:rPr>
              <w:t xml:space="preserve">libertad </w:t>
            </w:r>
            <w:r w:rsidR="00DD4037" w:rsidRPr="0052400A">
              <w:rPr>
                <w:rFonts w:ascii="Calibri Light" w:hAnsi="Calibri Light"/>
                <w:b w:val="0"/>
              </w:rPr>
              <w:t>de</w:t>
            </w:r>
            <w:r w:rsidR="00C6385F" w:rsidRPr="0052400A">
              <w:rPr>
                <w:rFonts w:ascii="Calibri Light" w:hAnsi="Calibri Light"/>
                <w:b w:val="0"/>
              </w:rPr>
              <w:t>l señor Jenkins y de</w:t>
            </w:r>
            <w:r w:rsidR="00DD4037" w:rsidRPr="0052400A">
              <w:rPr>
                <w:rFonts w:ascii="Calibri Light" w:hAnsi="Calibri Light"/>
                <w:b w:val="0"/>
              </w:rPr>
              <w:t xml:space="preserve"> quienes</w:t>
            </w:r>
            <w:r w:rsidR="00C6385F" w:rsidRPr="0052400A">
              <w:rPr>
                <w:rFonts w:ascii="Calibri Light" w:hAnsi="Calibri Light"/>
                <w:b w:val="0"/>
              </w:rPr>
              <w:t xml:space="preserve"> como él</w:t>
            </w:r>
            <w:r w:rsidR="00DD4037" w:rsidRPr="0052400A">
              <w:rPr>
                <w:rFonts w:ascii="Calibri Light" w:hAnsi="Calibri Light"/>
                <w:b w:val="0"/>
              </w:rPr>
              <w:t xml:space="preserve"> no hayan podido ser juzgados en un plazo razonable. </w:t>
            </w:r>
            <w:r w:rsidR="0005629A" w:rsidRPr="0052400A">
              <w:rPr>
                <w:rFonts w:ascii="Calibri Light" w:hAnsi="Calibri Light"/>
                <w:b w:val="0"/>
              </w:rPr>
              <w:t>Posteriormente</w:t>
            </w:r>
            <w:r w:rsidR="00DD4037" w:rsidRPr="0052400A">
              <w:rPr>
                <w:rFonts w:ascii="Calibri Light" w:hAnsi="Calibri Light"/>
                <w:b w:val="0"/>
              </w:rPr>
              <w:t xml:space="preserve">, </w:t>
            </w:r>
            <w:r w:rsidR="00FE0200" w:rsidRPr="0052400A">
              <w:rPr>
                <w:rFonts w:ascii="Calibri Light" w:hAnsi="Calibri Light"/>
                <w:b w:val="0"/>
              </w:rPr>
              <w:t xml:space="preserve">presentó </w:t>
            </w:r>
            <w:r w:rsidR="00DD4037" w:rsidRPr="0052400A">
              <w:rPr>
                <w:rFonts w:ascii="Calibri Light" w:hAnsi="Calibri Light"/>
                <w:b w:val="0"/>
              </w:rPr>
              <w:t xml:space="preserve">una acción </w:t>
            </w:r>
            <w:r w:rsidR="00C6385F" w:rsidRPr="0052400A">
              <w:rPr>
                <w:rFonts w:ascii="Calibri Light" w:hAnsi="Calibri Light"/>
                <w:b w:val="0"/>
              </w:rPr>
              <w:t xml:space="preserve">conjunta </w:t>
            </w:r>
            <w:r w:rsidR="00DD4037" w:rsidRPr="0052400A">
              <w:rPr>
                <w:rFonts w:ascii="Calibri Light" w:hAnsi="Calibri Light"/>
                <w:b w:val="0"/>
              </w:rPr>
              <w:t>de inconstitucionalidad y solicitud de excarcelación,</w:t>
            </w:r>
            <w:r w:rsidR="00BA694D" w:rsidRPr="0052400A">
              <w:rPr>
                <w:rFonts w:ascii="Calibri Light" w:hAnsi="Calibri Light"/>
                <w:b w:val="0"/>
              </w:rPr>
              <w:t xml:space="preserve"> alegando que la prohibición de excarcelación por los delitos en discusión no era razonable</w:t>
            </w:r>
            <w:r w:rsidR="0052400A">
              <w:rPr>
                <w:rFonts w:ascii="Calibri Light" w:hAnsi="Calibri Light"/>
                <w:b w:val="0"/>
              </w:rPr>
              <w:t>,</w:t>
            </w:r>
            <w:r w:rsidR="00EE5717" w:rsidRPr="0052400A">
              <w:rPr>
                <w:rFonts w:ascii="Calibri Light" w:hAnsi="Calibri Light"/>
                <w:b w:val="0"/>
              </w:rPr>
              <w:t xml:space="preserve"> ya que para otros delitos más graves no existía tal prohibición</w:t>
            </w:r>
            <w:r w:rsidR="0052400A">
              <w:rPr>
                <w:rFonts w:ascii="Calibri Light" w:hAnsi="Calibri Light"/>
                <w:b w:val="0"/>
              </w:rPr>
              <w:t>. Sin embargo</w:t>
            </w:r>
            <w:r w:rsidR="00CF63C3" w:rsidRPr="0052400A">
              <w:rPr>
                <w:rFonts w:ascii="Calibri Light" w:hAnsi="Calibri Light"/>
                <w:b w:val="0"/>
              </w:rPr>
              <w:t xml:space="preserve">, </w:t>
            </w:r>
            <w:r w:rsidR="0052400A">
              <w:rPr>
                <w:rFonts w:ascii="Calibri Light" w:hAnsi="Calibri Light"/>
                <w:b w:val="0"/>
              </w:rPr>
              <w:t xml:space="preserve">este recurso </w:t>
            </w:r>
            <w:r w:rsidR="00CF63C3" w:rsidRPr="0052400A">
              <w:rPr>
                <w:rFonts w:ascii="Calibri Light" w:hAnsi="Calibri Light"/>
                <w:b w:val="0"/>
              </w:rPr>
              <w:t>fue rechazad</w:t>
            </w:r>
            <w:r w:rsidR="0052400A">
              <w:rPr>
                <w:rFonts w:ascii="Calibri Light" w:hAnsi="Calibri Light"/>
                <w:b w:val="0"/>
              </w:rPr>
              <w:t>o</w:t>
            </w:r>
            <w:r w:rsidR="0005629A" w:rsidRPr="0052400A">
              <w:rPr>
                <w:rFonts w:ascii="Calibri Light" w:hAnsi="Calibri Light"/>
                <w:b w:val="0"/>
              </w:rPr>
              <w:t xml:space="preserve">. </w:t>
            </w:r>
            <w:r w:rsidR="00CF63C3" w:rsidRPr="0052400A">
              <w:rPr>
                <w:rFonts w:ascii="Calibri Light" w:hAnsi="Calibri Light"/>
                <w:b w:val="0"/>
              </w:rPr>
              <w:t>Ante ello</w:t>
            </w:r>
            <w:r w:rsidR="00F762FF" w:rsidRPr="0052400A">
              <w:rPr>
                <w:rFonts w:ascii="Calibri Light" w:hAnsi="Calibri Light"/>
                <w:b w:val="0"/>
              </w:rPr>
              <w:t xml:space="preserve">, presentó </w:t>
            </w:r>
            <w:r w:rsidR="00CF63C3" w:rsidRPr="0052400A">
              <w:rPr>
                <w:rFonts w:ascii="Calibri Light" w:hAnsi="Calibri Light"/>
                <w:b w:val="0"/>
              </w:rPr>
              <w:t>otra</w:t>
            </w:r>
            <w:r w:rsidR="00F762FF" w:rsidRPr="0052400A">
              <w:rPr>
                <w:rFonts w:ascii="Calibri Light" w:hAnsi="Calibri Light"/>
                <w:b w:val="0"/>
              </w:rPr>
              <w:t xml:space="preserve"> acción de inconstitucionalidad</w:t>
            </w:r>
            <w:r w:rsidR="00CF63C3" w:rsidRPr="0052400A">
              <w:rPr>
                <w:rFonts w:ascii="Calibri Light" w:hAnsi="Calibri Light"/>
                <w:b w:val="0"/>
              </w:rPr>
              <w:t xml:space="preserve"> contra dicha decisión</w:t>
            </w:r>
            <w:r w:rsidR="0005629A" w:rsidRPr="0052400A">
              <w:rPr>
                <w:rFonts w:ascii="Calibri Light" w:hAnsi="Calibri Light"/>
                <w:b w:val="0"/>
              </w:rPr>
              <w:t xml:space="preserve">, </w:t>
            </w:r>
            <w:r w:rsidR="00F762FF" w:rsidRPr="0052400A">
              <w:rPr>
                <w:rFonts w:ascii="Calibri Light" w:hAnsi="Calibri Light"/>
                <w:b w:val="0"/>
              </w:rPr>
              <w:t>alegando</w:t>
            </w:r>
            <w:r w:rsidR="0005629A" w:rsidRPr="0052400A">
              <w:rPr>
                <w:rFonts w:ascii="Calibri Light" w:hAnsi="Calibri Light"/>
                <w:b w:val="0"/>
              </w:rPr>
              <w:t xml:space="preserve"> que </w:t>
            </w:r>
            <w:r w:rsidR="00CF63C3" w:rsidRPr="0052400A">
              <w:rPr>
                <w:rFonts w:ascii="Calibri Light" w:hAnsi="Calibri Light"/>
                <w:b w:val="0"/>
              </w:rPr>
              <w:t xml:space="preserve">el Tribunal </w:t>
            </w:r>
            <w:r w:rsidR="0005629A" w:rsidRPr="0052400A">
              <w:rPr>
                <w:rFonts w:ascii="Calibri Light" w:hAnsi="Calibri Light"/>
                <w:b w:val="0"/>
              </w:rPr>
              <w:t xml:space="preserve">se </w:t>
            </w:r>
            <w:r w:rsidR="0052400A">
              <w:rPr>
                <w:rFonts w:ascii="Calibri Light" w:hAnsi="Calibri Light"/>
                <w:b w:val="0"/>
              </w:rPr>
              <w:t>había limitado</w:t>
            </w:r>
            <w:r w:rsidR="0005629A" w:rsidRPr="0052400A">
              <w:rPr>
                <w:rFonts w:ascii="Calibri Light" w:hAnsi="Calibri Light"/>
                <w:b w:val="0"/>
              </w:rPr>
              <w:t xml:space="preserve"> a repetir la aplicación de la Ley No. 24.390</w:t>
            </w:r>
            <w:r w:rsidR="00BA694D" w:rsidRPr="0052400A">
              <w:rPr>
                <w:rFonts w:ascii="Calibri Light" w:hAnsi="Calibri Light"/>
                <w:b w:val="0"/>
              </w:rPr>
              <w:t xml:space="preserve"> y </w:t>
            </w:r>
            <w:r w:rsidR="00F762FF" w:rsidRPr="0052400A">
              <w:rPr>
                <w:rFonts w:ascii="Calibri Light" w:hAnsi="Calibri Light"/>
                <w:b w:val="0"/>
              </w:rPr>
              <w:t xml:space="preserve">no </w:t>
            </w:r>
            <w:r w:rsidR="0052400A">
              <w:rPr>
                <w:rFonts w:ascii="Calibri Light" w:hAnsi="Calibri Light"/>
                <w:b w:val="0"/>
              </w:rPr>
              <w:t>había tomado</w:t>
            </w:r>
            <w:r w:rsidR="00BA694D" w:rsidRPr="0052400A">
              <w:rPr>
                <w:rFonts w:ascii="Calibri Light" w:hAnsi="Calibri Light"/>
                <w:b w:val="0"/>
              </w:rPr>
              <w:t xml:space="preserve"> en cuenta sus argumentos.</w:t>
            </w:r>
            <w:r w:rsidR="00DD4037" w:rsidRPr="0052400A">
              <w:rPr>
                <w:rFonts w:ascii="Calibri Light" w:hAnsi="Calibri Light"/>
                <w:b w:val="0"/>
              </w:rPr>
              <w:t xml:space="preserve"> </w:t>
            </w:r>
            <w:r w:rsidR="00BA694D" w:rsidRPr="0052400A">
              <w:rPr>
                <w:rFonts w:ascii="Calibri Light" w:hAnsi="Calibri Light"/>
                <w:b w:val="0"/>
              </w:rPr>
              <w:t>Dicha acción</w:t>
            </w:r>
            <w:r w:rsidR="00DD4037" w:rsidRPr="0052400A">
              <w:rPr>
                <w:rFonts w:ascii="Calibri Light" w:hAnsi="Calibri Light"/>
                <w:b w:val="0"/>
              </w:rPr>
              <w:t xml:space="preserve"> fue </w:t>
            </w:r>
            <w:r w:rsidR="00393029" w:rsidRPr="0052400A">
              <w:rPr>
                <w:rFonts w:ascii="Calibri Light" w:hAnsi="Calibri Light"/>
                <w:b w:val="0"/>
              </w:rPr>
              <w:t>rechazada</w:t>
            </w:r>
            <w:r w:rsidR="00DD4037" w:rsidRPr="0052400A">
              <w:rPr>
                <w:rFonts w:ascii="Calibri Light" w:hAnsi="Calibri Light"/>
                <w:b w:val="0"/>
              </w:rPr>
              <w:t xml:space="preserve"> en última instancia por la Cámara Nacional de Casación Penal el 10 de abril de 1997. </w:t>
            </w:r>
          </w:p>
          <w:p w14:paraId="720D84A6" w14:textId="77777777" w:rsidR="00DD4037" w:rsidRPr="0052400A" w:rsidRDefault="00DD4037" w:rsidP="000A0C5C">
            <w:pPr>
              <w:jc w:val="both"/>
              <w:rPr>
                <w:rFonts w:ascii="Calibri Light" w:hAnsi="Calibri Light"/>
                <w:b w:val="0"/>
              </w:rPr>
            </w:pPr>
          </w:p>
          <w:p w14:paraId="4A3FB14F" w14:textId="0C572320" w:rsidR="00620BB4" w:rsidRPr="0052400A" w:rsidRDefault="0052400A" w:rsidP="000A0C5C">
            <w:pPr>
              <w:jc w:val="both"/>
              <w:rPr>
                <w:rFonts w:ascii="Calibri Light" w:hAnsi="Calibri Light"/>
                <w:b w:val="0"/>
              </w:rPr>
            </w:pPr>
            <w:r>
              <w:rPr>
                <w:rFonts w:ascii="Calibri Light" w:hAnsi="Calibri Light"/>
                <w:b w:val="0"/>
              </w:rPr>
              <w:t>En</w:t>
            </w:r>
            <w:r w:rsidR="00365121" w:rsidRPr="0052400A">
              <w:rPr>
                <w:rFonts w:ascii="Calibri Light" w:hAnsi="Calibri Light"/>
                <w:b w:val="0"/>
              </w:rPr>
              <w:t xml:space="preserve"> la etapa de juicio, el Fiscal no encontró elementos de imputación en contra del señor Jenkins y solicitó su absolución de culpa y cargo. Este fue liberado el 13 de noviembre de 1997</w:t>
            </w:r>
            <w:r w:rsidR="00620BB4" w:rsidRPr="0052400A">
              <w:rPr>
                <w:rFonts w:ascii="Calibri Light" w:hAnsi="Calibri Light"/>
                <w:b w:val="0"/>
              </w:rPr>
              <w:t xml:space="preserve">, </w:t>
            </w:r>
            <w:r w:rsidR="00FE0200" w:rsidRPr="0052400A">
              <w:rPr>
                <w:rFonts w:ascii="Calibri Light" w:hAnsi="Calibri Light"/>
                <w:b w:val="0"/>
              </w:rPr>
              <w:t>mediante</w:t>
            </w:r>
            <w:r w:rsidR="00620BB4" w:rsidRPr="0052400A">
              <w:rPr>
                <w:rFonts w:ascii="Calibri Light" w:hAnsi="Calibri Light"/>
                <w:b w:val="0"/>
              </w:rPr>
              <w:t xml:space="preserve"> resolución de un Tribunal en lo Criminal Federal. Posteriormente, el</w:t>
            </w:r>
            <w:r w:rsidR="00365121" w:rsidRPr="0052400A">
              <w:rPr>
                <w:rFonts w:ascii="Calibri Light" w:hAnsi="Calibri Light"/>
                <w:b w:val="0"/>
              </w:rPr>
              <w:t xml:space="preserve"> 23 de diciembre de ese año, </w:t>
            </w:r>
            <w:r w:rsidR="00620BB4" w:rsidRPr="0052400A">
              <w:rPr>
                <w:rFonts w:ascii="Calibri Light" w:hAnsi="Calibri Light"/>
                <w:b w:val="0"/>
              </w:rPr>
              <w:t>el referido</w:t>
            </w:r>
            <w:r w:rsidR="00365121" w:rsidRPr="0052400A">
              <w:rPr>
                <w:rFonts w:ascii="Calibri Light" w:hAnsi="Calibri Light"/>
                <w:b w:val="0"/>
              </w:rPr>
              <w:t xml:space="preserve"> Tribunal dictó sentencia sobre el caso, </w:t>
            </w:r>
            <w:r w:rsidR="00FE0200" w:rsidRPr="0052400A">
              <w:rPr>
                <w:rFonts w:ascii="Calibri Light" w:hAnsi="Calibri Light"/>
                <w:b w:val="0"/>
              </w:rPr>
              <w:t xml:space="preserve">absolviendo </w:t>
            </w:r>
            <w:r w:rsidR="00365121" w:rsidRPr="0052400A">
              <w:rPr>
                <w:rFonts w:ascii="Calibri Light" w:hAnsi="Calibri Light"/>
                <w:b w:val="0"/>
              </w:rPr>
              <w:t>al señor Jenkins y</w:t>
            </w:r>
            <w:r w:rsidR="00620BB4" w:rsidRPr="0052400A">
              <w:rPr>
                <w:rFonts w:ascii="Calibri Light" w:hAnsi="Calibri Light"/>
                <w:b w:val="0"/>
              </w:rPr>
              <w:t xml:space="preserve"> a</w:t>
            </w:r>
            <w:r w:rsidR="00365121" w:rsidRPr="0052400A">
              <w:rPr>
                <w:rFonts w:ascii="Calibri Light" w:hAnsi="Calibri Light"/>
                <w:b w:val="0"/>
              </w:rPr>
              <w:t xml:space="preserve"> otros</w:t>
            </w:r>
            <w:r w:rsidR="00620BB4" w:rsidRPr="0052400A">
              <w:rPr>
                <w:rFonts w:ascii="Calibri Light" w:hAnsi="Calibri Light"/>
                <w:b w:val="0"/>
              </w:rPr>
              <w:t xml:space="preserve"> </w:t>
            </w:r>
            <w:r w:rsidR="000C3B41" w:rsidRPr="0052400A">
              <w:rPr>
                <w:rFonts w:ascii="Calibri Light" w:hAnsi="Calibri Light"/>
                <w:b w:val="0"/>
              </w:rPr>
              <w:t xml:space="preserve">imputados </w:t>
            </w:r>
            <w:r w:rsidR="00620BB4" w:rsidRPr="0052400A">
              <w:rPr>
                <w:rFonts w:ascii="Calibri Light" w:hAnsi="Calibri Light"/>
                <w:b w:val="0"/>
              </w:rPr>
              <w:t>de</w:t>
            </w:r>
            <w:r w:rsidR="00365121" w:rsidRPr="0052400A">
              <w:rPr>
                <w:rFonts w:ascii="Calibri Light" w:hAnsi="Calibri Light"/>
                <w:b w:val="0"/>
              </w:rPr>
              <w:t xml:space="preserve"> los delitos imputados.</w:t>
            </w:r>
            <w:r w:rsidR="00DD4037" w:rsidRPr="0052400A">
              <w:rPr>
                <w:rFonts w:ascii="Calibri Light" w:hAnsi="Calibri Light"/>
                <w:b w:val="0"/>
              </w:rPr>
              <w:t xml:space="preserve"> De este modo, </w:t>
            </w:r>
            <w:r w:rsidR="00620BB4" w:rsidRPr="0052400A">
              <w:rPr>
                <w:rFonts w:ascii="Calibri Light" w:hAnsi="Calibri Light"/>
                <w:b w:val="0"/>
              </w:rPr>
              <w:t xml:space="preserve">este </w:t>
            </w:r>
            <w:r w:rsidR="00DD4037" w:rsidRPr="0052400A">
              <w:rPr>
                <w:rFonts w:ascii="Calibri Light" w:hAnsi="Calibri Light"/>
                <w:b w:val="0"/>
              </w:rPr>
              <w:t xml:space="preserve">estuvo privado de libertad por más de </w:t>
            </w:r>
            <w:r w:rsidR="008E6CC6" w:rsidRPr="0052400A">
              <w:rPr>
                <w:rFonts w:ascii="Calibri Light" w:hAnsi="Calibri Light"/>
                <w:b w:val="0"/>
              </w:rPr>
              <w:t>tres</w:t>
            </w:r>
            <w:r w:rsidR="00DD4037" w:rsidRPr="0052400A">
              <w:rPr>
                <w:rFonts w:ascii="Calibri Light" w:hAnsi="Calibri Light"/>
                <w:b w:val="0"/>
              </w:rPr>
              <w:t xml:space="preserve"> años y </w:t>
            </w:r>
            <w:r w:rsidR="008E6CC6" w:rsidRPr="0052400A">
              <w:rPr>
                <w:rFonts w:ascii="Calibri Light" w:hAnsi="Calibri Light"/>
                <w:b w:val="0"/>
              </w:rPr>
              <w:t>cinco</w:t>
            </w:r>
            <w:r w:rsidR="00DD4037" w:rsidRPr="0052400A">
              <w:rPr>
                <w:rFonts w:ascii="Calibri Light" w:hAnsi="Calibri Light"/>
                <w:b w:val="0"/>
              </w:rPr>
              <w:t xml:space="preserve"> meses.</w:t>
            </w:r>
            <w:r w:rsidR="000C3B41" w:rsidRPr="0052400A">
              <w:rPr>
                <w:rFonts w:ascii="Calibri Light" w:hAnsi="Calibri Light"/>
                <w:b w:val="0"/>
              </w:rPr>
              <w:t xml:space="preserve"> En vista de ello</w:t>
            </w:r>
            <w:r w:rsidR="00620BB4" w:rsidRPr="0052400A">
              <w:rPr>
                <w:rFonts w:ascii="Calibri Light" w:hAnsi="Calibri Light"/>
                <w:b w:val="0"/>
              </w:rPr>
              <w:t xml:space="preserve">, en diciembre de 1999, el señor Jenkins presentó una demanda por daños y perjuicios en contra del Estado y del juez que ordenó </w:t>
            </w:r>
            <w:r w:rsidR="00BA694D" w:rsidRPr="0052400A">
              <w:rPr>
                <w:rFonts w:ascii="Calibri Light" w:hAnsi="Calibri Light"/>
                <w:b w:val="0"/>
              </w:rPr>
              <w:t>la prisión preventiva</w:t>
            </w:r>
            <w:r w:rsidR="000C3B41" w:rsidRPr="0052400A">
              <w:rPr>
                <w:rFonts w:ascii="Calibri Light" w:hAnsi="Calibri Light"/>
                <w:b w:val="0"/>
              </w:rPr>
              <w:t xml:space="preserve"> en su contra</w:t>
            </w:r>
            <w:r w:rsidR="00620BB4" w:rsidRPr="0052400A">
              <w:rPr>
                <w:rFonts w:ascii="Calibri Light" w:hAnsi="Calibri Light"/>
                <w:b w:val="0"/>
              </w:rPr>
              <w:t xml:space="preserve">. </w:t>
            </w:r>
            <w:r w:rsidR="000C3B41" w:rsidRPr="0052400A">
              <w:rPr>
                <w:rFonts w:ascii="Calibri Light" w:hAnsi="Calibri Light"/>
                <w:b w:val="0"/>
              </w:rPr>
              <w:t>No obstante, el pedido fue desestimado</w:t>
            </w:r>
            <w:r w:rsidR="00620BB4" w:rsidRPr="0052400A">
              <w:rPr>
                <w:rFonts w:ascii="Calibri Light" w:hAnsi="Calibri Light"/>
                <w:b w:val="0"/>
              </w:rPr>
              <w:t xml:space="preserve"> en última instancia por la Corte Suprema de Justicia de la Nación el 17 de marzo de 2009</w:t>
            </w:r>
            <w:r w:rsidR="000C3B41" w:rsidRPr="0052400A">
              <w:rPr>
                <w:rFonts w:ascii="Calibri Light" w:hAnsi="Calibri Light"/>
                <w:b w:val="0"/>
              </w:rPr>
              <w:t xml:space="preserve">, </w:t>
            </w:r>
            <w:r w:rsidR="00620BB4" w:rsidRPr="0052400A">
              <w:rPr>
                <w:rFonts w:ascii="Calibri Light" w:hAnsi="Calibri Light"/>
                <w:b w:val="0"/>
              </w:rPr>
              <w:t xml:space="preserve"> </w:t>
            </w:r>
            <w:r w:rsidR="008E6CC6" w:rsidRPr="0052400A">
              <w:rPr>
                <w:rFonts w:ascii="Calibri Light" w:hAnsi="Calibri Light"/>
                <w:b w:val="0"/>
              </w:rPr>
              <w:t>nueve</w:t>
            </w:r>
            <w:r w:rsidR="00620BB4" w:rsidRPr="0052400A">
              <w:rPr>
                <w:rFonts w:ascii="Calibri Light" w:hAnsi="Calibri Light"/>
                <w:b w:val="0"/>
              </w:rPr>
              <w:t xml:space="preserve"> años </w:t>
            </w:r>
            <w:r w:rsidR="008E6CC6" w:rsidRPr="0052400A">
              <w:rPr>
                <w:rFonts w:ascii="Calibri Light" w:hAnsi="Calibri Light"/>
                <w:b w:val="0"/>
              </w:rPr>
              <w:t xml:space="preserve">y tres meses </w:t>
            </w:r>
            <w:r w:rsidR="00620BB4" w:rsidRPr="0052400A">
              <w:rPr>
                <w:rFonts w:ascii="Calibri Light" w:hAnsi="Calibri Light"/>
                <w:b w:val="0"/>
              </w:rPr>
              <w:t xml:space="preserve">después de </w:t>
            </w:r>
            <w:r w:rsidR="000C3B41" w:rsidRPr="0052400A">
              <w:rPr>
                <w:rFonts w:ascii="Calibri Light" w:hAnsi="Calibri Light"/>
                <w:b w:val="0"/>
              </w:rPr>
              <w:t xml:space="preserve">que la demanda </w:t>
            </w:r>
            <w:r w:rsidR="00620BB4" w:rsidRPr="0052400A">
              <w:rPr>
                <w:rFonts w:ascii="Calibri Light" w:hAnsi="Calibri Light"/>
                <w:b w:val="0"/>
              </w:rPr>
              <w:t>ha</w:t>
            </w:r>
            <w:r w:rsidR="000C3B41" w:rsidRPr="0052400A">
              <w:rPr>
                <w:rFonts w:ascii="Calibri Light" w:hAnsi="Calibri Light"/>
                <w:b w:val="0"/>
              </w:rPr>
              <w:t>ya</w:t>
            </w:r>
            <w:r w:rsidR="00620BB4" w:rsidRPr="0052400A">
              <w:rPr>
                <w:rFonts w:ascii="Calibri Light" w:hAnsi="Calibri Light"/>
                <w:b w:val="0"/>
              </w:rPr>
              <w:t xml:space="preserve"> sido presentada.</w:t>
            </w:r>
          </w:p>
          <w:p w14:paraId="3D8EF4FF" w14:textId="77777777" w:rsidR="003570F3" w:rsidRPr="0052400A" w:rsidRDefault="003570F3" w:rsidP="00732BC0">
            <w:pPr>
              <w:jc w:val="both"/>
              <w:rPr>
                <w:rFonts w:ascii="Calibri Light" w:hAnsi="Calibri Light"/>
                <w:b w:val="0"/>
              </w:rPr>
            </w:pPr>
          </w:p>
          <w:p w14:paraId="577A3EB2" w14:textId="1300E62C" w:rsidR="005C7F1E" w:rsidRPr="0052400A" w:rsidRDefault="005C7F1E" w:rsidP="00732BC0">
            <w:pPr>
              <w:jc w:val="both"/>
              <w:rPr>
                <w:rFonts w:ascii="Calibri Light" w:hAnsi="Calibri Light"/>
              </w:rPr>
            </w:pPr>
            <w:r w:rsidRPr="0052400A">
              <w:rPr>
                <w:rFonts w:ascii="Calibri Light" w:hAnsi="Calibri Light"/>
                <w:b w:val="0"/>
              </w:rPr>
              <w:t xml:space="preserve">Frente a tales hechos, </w:t>
            </w:r>
            <w:r w:rsidR="00A3105E" w:rsidRPr="0052400A">
              <w:rPr>
                <w:rFonts w:ascii="Calibri Light" w:hAnsi="Calibri Light"/>
                <w:b w:val="0"/>
              </w:rPr>
              <w:t>el señor Jenkins presentó una</w:t>
            </w:r>
            <w:r w:rsidRPr="0052400A">
              <w:rPr>
                <w:rFonts w:ascii="Calibri Light" w:hAnsi="Calibri Light"/>
                <w:b w:val="0"/>
              </w:rPr>
              <w:t xml:space="preserve"> petición ante la CIDH, denunciando que el Estado de </w:t>
            </w:r>
            <w:r w:rsidR="00A3105E" w:rsidRPr="0052400A">
              <w:rPr>
                <w:rFonts w:ascii="Calibri Light" w:hAnsi="Calibri Light"/>
                <w:b w:val="0"/>
              </w:rPr>
              <w:t>Argentina</w:t>
            </w:r>
            <w:r w:rsidRPr="0052400A">
              <w:rPr>
                <w:rFonts w:ascii="Calibri Light" w:hAnsi="Calibri Light"/>
                <w:b w:val="0"/>
              </w:rPr>
              <w:t xml:space="preserve"> había vulnerado los derechos </w:t>
            </w:r>
            <w:r w:rsidR="00111A5A" w:rsidRPr="0052400A">
              <w:rPr>
                <w:rFonts w:ascii="Calibri Light" w:hAnsi="Calibri Light"/>
                <w:b w:val="0"/>
              </w:rPr>
              <w:t xml:space="preserve">a </w:t>
            </w:r>
            <w:r w:rsidR="002E18A5" w:rsidRPr="0052400A">
              <w:rPr>
                <w:rFonts w:ascii="Calibri Light" w:hAnsi="Calibri Light"/>
                <w:b w:val="0"/>
              </w:rPr>
              <w:t xml:space="preserve">la libertad personal, </w:t>
            </w:r>
            <w:r w:rsidR="00111A5A" w:rsidRPr="0052400A">
              <w:rPr>
                <w:rFonts w:ascii="Calibri Light" w:hAnsi="Calibri Light"/>
                <w:b w:val="0"/>
              </w:rPr>
              <w:t xml:space="preserve">las garantías judiciales, </w:t>
            </w:r>
            <w:r w:rsidR="002E18A5" w:rsidRPr="0052400A">
              <w:rPr>
                <w:rFonts w:ascii="Calibri Light" w:hAnsi="Calibri Light"/>
                <w:b w:val="0"/>
              </w:rPr>
              <w:t>igualdad ante la ley</w:t>
            </w:r>
            <w:r w:rsidR="00111A5A" w:rsidRPr="0052400A">
              <w:rPr>
                <w:rFonts w:ascii="Calibri Light" w:hAnsi="Calibri Light"/>
                <w:b w:val="0"/>
              </w:rPr>
              <w:t xml:space="preserve"> y protección judicial, </w:t>
            </w:r>
            <w:r w:rsidRPr="0052400A">
              <w:rPr>
                <w:rFonts w:ascii="Calibri Light" w:hAnsi="Calibri Light"/>
                <w:b w:val="0"/>
              </w:rPr>
              <w:t>reconocidos en la Convención Americana sobre Derechos Humanos</w:t>
            </w:r>
            <w:r w:rsidR="00050512" w:rsidRPr="0052400A">
              <w:rPr>
                <w:rFonts w:ascii="Calibri Light" w:hAnsi="Calibri Light"/>
                <w:b w:val="0"/>
              </w:rPr>
              <w:t xml:space="preserve"> </w:t>
            </w:r>
            <w:r w:rsidRPr="0052400A">
              <w:rPr>
                <w:rFonts w:ascii="Calibri Light" w:hAnsi="Calibri Light"/>
                <w:b w:val="0"/>
              </w:rPr>
              <w:t>(en adelante, CADH).</w:t>
            </w:r>
          </w:p>
          <w:p w14:paraId="6543A68A" w14:textId="6025D995" w:rsidR="004F4491" w:rsidRPr="0052400A" w:rsidRDefault="004F4491" w:rsidP="00732BC0">
            <w:pPr>
              <w:jc w:val="both"/>
              <w:rPr>
                <w:rFonts w:ascii="Calibri Light" w:hAnsi="Calibri Light"/>
                <w:b w:val="0"/>
              </w:rPr>
            </w:pPr>
          </w:p>
        </w:tc>
      </w:tr>
      <w:tr w:rsidR="004C2E50" w:rsidRPr="0052400A" w14:paraId="7B81A2F3"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4C2E50" w:rsidRPr="0052400A" w:rsidRDefault="004C2E50" w:rsidP="00AC6F31">
            <w:pPr>
              <w:pStyle w:val="ListParagraph"/>
              <w:rPr>
                <w:rFonts w:ascii="Calibri Light" w:hAnsi="Calibri Light"/>
              </w:rPr>
            </w:pPr>
          </w:p>
          <w:p w14:paraId="1FB8AB09" w14:textId="77777777" w:rsidR="004C2E50" w:rsidRPr="0052400A" w:rsidRDefault="004C2E50" w:rsidP="003E6AB8">
            <w:pPr>
              <w:pStyle w:val="ListParagraph"/>
              <w:numPr>
                <w:ilvl w:val="0"/>
                <w:numId w:val="2"/>
              </w:numPr>
              <w:jc w:val="center"/>
              <w:rPr>
                <w:rFonts w:ascii="Calibri Light" w:hAnsi="Calibri Light"/>
              </w:rPr>
            </w:pPr>
            <w:r w:rsidRPr="0052400A">
              <w:rPr>
                <w:rFonts w:ascii="Calibri Light" w:hAnsi="Calibri Light"/>
              </w:rPr>
              <w:t>Análisis jurídico</w:t>
            </w:r>
          </w:p>
          <w:p w14:paraId="158A739A" w14:textId="77777777" w:rsidR="004C2E50" w:rsidRPr="0052400A" w:rsidRDefault="004C2E50" w:rsidP="00AC6F31">
            <w:pPr>
              <w:pStyle w:val="ListParagraph"/>
              <w:rPr>
                <w:rFonts w:ascii="Calibri Light" w:hAnsi="Calibri Light"/>
              </w:rPr>
            </w:pPr>
          </w:p>
        </w:tc>
      </w:tr>
      <w:tr w:rsidR="004C2E50" w:rsidRPr="0052400A" w14:paraId="71AB3B44" w14:textId="77777777" w:rsidTr="001A2DF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8721" w:type="dxa"/>
            <w:gridSpan w:val="3"/>
          </w:tcPr>
          <w:p w14:paraId="4C3AFF68" w14:textId="612DC084" w:rsidR="00FF34AE" w:rsidRPr="0052400A" w:rsidRDefault="00FF34AE" w:rsidP="00FF34AE">
            <w:pPr>
              <w:jc w:val="both"/>
              <w:rPr>
                <w:rFonts w:ascii="Calibri Light" w:hAnsi="Calibri Light"/>
                <w:b w:val="0"/>
              </w:rPr>
            </w:pPr>
          </w:p>
          <w:p w14:paraId="0E651C97" w14:textId="524A26A5" w:rsidR="00310836" w:rsidRPr="0052400A" w:rsidRDefault="00310836" w:rsidP="00FF34AE">
            <w:pPr>
              <w:jc w:val="both"/>
              <w:rPr>
                <w:rFonts w:ascii="Calibri Light" w:hAnsi="Calibri Light"/>
              </w:rPr>
            </w:pPr>
            <w:r w:rsidRPr="0052400A">
              <w:rPr>
                <w:rFonts w:ascii="Calibri Light" w:hAnsi="Calibri Light"/>
              </w:rPr>
              <w:t>El d</w:t>
            </w:r>
            <w:r w:rsidR="00310250" w:rsidRPr="0052400A">
              <w:rPr>
                <w:rFonts w:ascii="Calibri Light" w:hAnsi="Calibri Light"/>
              </w:rPr>
              <w:t xml:space="preserve">erecho </w:t>
            </w:r>
            <w:r w:rsidR="002E4FA0" w:rsidRPr="0052400A">
              <w:rPr>
                <w:rFonts w:ascii="Calibri Light" w:hAnsi="Calibri Light"/>
              </w:rPr>
              <w:t xml:space="preserve">a la libertad personal, a la presunción de inocencia y a la protección judicial respecto de la motivación de la detención preventiva </w:t>
            </w:r>
            <w:r w:rsidRPr="0052400A">
              <w:rPr>
                <w:rFonts w:ascii="Calibri Light" w:hAnsi="Calibri Light"/>
              </w:rPr>
              <w:t>(</w:t>
            </w:r>
            <w:r w:rsidR="002E4FA0" w:rsidRPr="0052400A">
              <w:rPr>
                <w:rFonts w:ascii="Calibri Light" w:hAnsi="Calibri Light"/>
              </w:rPr>
              <w:t xml:space="preserve">artículos 7, 8 y 25 </w:t>
            </w:r>
            <w:r w:rsidR="00FE3FFE" w:rsidRPr="0052400A">
              <w:rPr>
                <w:rFonts w:ascii="Calibri Light" w:hAnsi="Calibri Light"/>
              </w:rPr>
              <w:t>de la CADH</w:t>
            </w:r>
            <w:r w:rsidRPr="0052400A">
              <w:rPr>
                <w:rFonts w:ascii="Calibri Light" w:hAnsi="Calibri Light"/>
              </w:rPr>
              <w:t>)</w:t>
            </w:r>
          </w:p>
          <w:p w14:paraId="5A5096F9" w14:textId="77777777" w:rsidR="00620BB4" w:rsidRPr="0052400A" w:rsidRDefault="00620BB4" w:rsidP="00142A41">
            <w:pPr>
              <w:jc w:val="both"/>
              <w:rPr>
                <w:rFonts w:ascii="Calibri Light" w:hAnsi="Calibri Light"/>
                <w:b w:val="0"/>
              </w:rPr>
            </w:pPr>
          </w:p>
          <w:p w14:paraId="3B1D0FB5" w14:textId="79803166" w:rsidR="00142A41" w:rsidRPr="0052400A" w:rsidRDefault="002E4FA0" w:rsidP="002E4FA0">
            <w:pPr>
              <w:jc w:val="both"/>
              <w:rPr>
                <w:rFonts w:ascii="Calibri Light" w:hAnsi="Calibri Light" w:cs="Calibri Light"/>
                <w:b w:val="0"/>
              </w:rPr>
            </w:pPr>
            <w:r w:rsidRPr="0052400A">
              <w:rPr>
                <w:rFonts w:ascii="Calibri Light" w:hAnsi="Calibri Light" w:cs="Calibri Light"/>
                <w:b w:val="0"/>
              </w:rPr>
              <w:t xml:space="preserve">La CIDH y la Corte IDH </w:t>
            </w:r>
            <w:r w:rsidR="00732EDB" w:rsidRPr="0052400A">
              <w:rPr>
                <w:rFonts w:ascii="Calibri Light" w:hAnsi="Calibri Light" w:cs="Calibri Light"/>
                <w:b w:val="0"/>
              </w:rPr>
              <w:t xml:space="preserve">han señalado </w:t>
            </w:r>
            <w:r w:rsidRPr="0052400A">
              <w:rPr>
                <w:rFonts w:ascii="Calibri Light" w:hAnsi="Calibri Light" w:cs="Calibri Light"/>
                <w:b w:val="0"/>
              </w:rPr>
              <w:t xml:space="preserve">que la prisión preventiva </w:t>
            </w:r>
            <w:r w:rsidR="000C3B41" w:rsidRPr="0052400A">
              <w:rPr>
                <w:rFonts w:ascii="Calibri Light" w:hAnsi="Calibri Light" w:cs="Calibri Light"/>
                <w:b w:val="0"/>
              </w:rPr>
              <w:t>es</w:t>
            </w:r>
            <w:r w:rsidRPr="0052400A">
              <w:rPr>
                <w:rFonts w:ascii="Calibri Light" w:hAnsi="Calibri Light" w:cs="Calibri Light"/>
                <w:b w:val="0"/>
              </w:rPr>
              <w:t xml:space="preserve"> una medida cautelar y no punitiva, siendo la más severa que se puede imponer a una persona</w:t>
            </w:r>
            <w:r w:rsidR="00732EDB" w:rsidRPr="0052400A">
              <w:rPr>
                <w:rFonts w:ascii="Calibri Light" w:hAnsi="Calibri Light" w:cs="Calibri Light"/>
                <w:b w:val="0"/>
              </w:rPr>
              <w:t>,</w:t>
            </w:r>
            <w:r w:rsidRPr="0052400A">
              <w:rPr>
                <w:rFonts w:ascii="Calibri Light" w:hAnsi="Calibri Light" w:cs="Calibri Light"/>
                <w:b w:val="0"/>
              </w:rPr>
              <w:t xml:space="preserve"> ya que la regla debe ser la libertad del procesado mientras se resuelve la responsabilidad personal. En esa línea, toda decisión que restrinja el derecho a la libertad personal </w:t>
            </w:r>
            <w:r w:rsidR="00C542EC" w:rsidRPr="0052400A">
              <w:rPr>
                <w:rFonts w:ascii="Calibri Light" w:hAnsi="Calibri Light" w:cs="Calibri Light"/>
                <w:b w:val="0"/>
              </w:rPr>
              <w:t>—</w:t>
            </w:r>
            <w:r w:rsidRPr="0052400A">
              <w:rPr>
                <w:rFonts w:ascii="Calibri Light" w:hAnsi="Calibri Light" w:cs="Calibri Light"/>
                <w:b w:val="0"/>
              </w:rPr>
              <w:t>por medio de la prisión preventiva</w:t>
            </w:r>
            <w:r w:rsidR="00C542EC" w:rsidRPr="0052400A">
              <w:rPr>
                <w:rFonts w:ascii="Calibri Light" w:hAnsi="Calibri Light" w:cs="Calibri Light"/>
                <w:b w:val="0"/>
              </w:rPr>
              <w:t>—</w:t>
            </w:r>
            <w:r w:rsidRPr="0052400A">
              <w:rPr>
                <w:rFonts w:ascii="Calibri Light" w:hAnsi="Calibri Light" w:cs="Calibri Light"/>
                <w:b w:val="0"/>
              </w:rPr>
              <w:t xml:space="preserve"> debe contener una motivación suficiente e individualizada que permita evaluar si tal detención se ajusta a condiciones necesarias para su aplicación</w:t>
            </w:r>
            <w:r w:rsidR="00C6011B" w:rsidRPr="0052400A">
              <w:rPr>
                <w:rFonts w:ascii="Calibri Light" w:hAnsi="Calibri Light" w:cs="Calibri Light"/>
                <w:b w:val="0"/>
              </w:rPr>
              <w:t xml:space="preserve">. La CIDH </w:t>
            </w:r>
            <w:r w:rsidR="000C3B41" w:rsidRPr="0052400A">
              <w:rPr>
                <w:rFonts w:ascii="Calibri Light" w:hAnsi="Calibri Light" w:cs="Calibri Light"/>
                <w:b w:val="0"/>
              </w:rPr>
              <w:t>ha precisado que las</w:t>
            </w:r>
            <w:r w:rsidR="00C6011B" w:rsidRPr="0052400A">
              <w:rPr>
                <w:rFonts w:ascii="Calibri Light" w:hAnsi="Calibri Light" w:cs="Calibri Light"/>
                <w:b w:val="0"/>
              </w:rPr>
              <w:t xml:space="preserve"> condiciones a evaluar son</w:t>
            </w:r>
            <w:r w:rsidRPr="0052400A">
              <w:rPr>
                <w:rFonts w:ascii="Calibri Light" w:hAnsi="Calibri Light" w:cs="Calibri Light"/>
                <w:b w:val="0"/>
              </w:rPr>
              <w:t xml:space="preserve"> </w:t>
            </w:r>
            <w:r w:rsidR="00C6011B" w:rsidRPr="0052400A">
              <w:rPr>
                <w:rFonts w:ascii="Calibri Light" w:hAnsi="Calibri Light" w:cs="Calibri Light"/>
                <w:b w:val="0"/>
              </w:rPr>
              <w:t>los</w:t>
            </w:r>
            <w:r w:rsidR="000C3B41" w:rsidRPr="0052400A">
              <w:rPr>
                <w:rFonts w:ascii="Calibri Light" w:hAnsi="Calibri Light" w:cs="Calibri Light"/>
                <w:b w:val="0"/>
              </w:rPr>
              <w:t xml:space="preserve"> </w:t>
            </w:r>
            <w:r w:rsidRPr="0052400A">
              <w:rPr>
                <w:rFonts w:ascii="Calibri Light" w:hAnsi="Calibri Light" w:cs="Calibri Light"/>
                <w:b w:val="0"/>
              </w:rPr>
              <w:t>indicios razonables que vinculen al acusado,</w:t>
            </w:r>
            <w:r w:rsidR="00C6011B" w:rsidRPr="0052400A">
              <w:rPr>
                <w:rFonts w:ascii="Calibri Light" w:hAnsi="Calibri Light" w:cs="Calibri Light"/>
                <w:b w:val="0"/>
              </w:rPr>
              <w:t xml:space="preserve"> los</w:t>
            </w:r>
            <w:r w:rsidRPr="0052400A">
              <w:rPr>
                <w:rFonts w:ascii="Calibri Light" w:hAnsi="Calibri Light" w:cs="Calibri Light"/>
                <w:b w:val="0"/>
              </w:rPr>
              <w:t xml:space="preserve"> fines legítimos, </w:t>
            </w:r>
            <w:r w:rsidR="00C6011B" w:rsidRPr="0052400A">
              <w:rPr>
                <w:rFonts w:ascii="Calibri Light" w:hAnsi="Calibri Light" w:cs="Calibri Light"/>
                <w:b w:val="0"/>
              </w:rPr>
              <w:t xml:space="preserve">la </w:t>
            </w:r>
            <w:r w:rsidRPr="0052400A">
              <w:rPr>
                <w:rFonts w:ascii="Calibri Light" w:hAnsi="Calibri Light" w:cs="Calibri Light"/>
                <w:b w:val="0"/>
              </w:rPr>
              <w:t xml:space="preserve">aplicación excepcional, y </w:t>
            </w:r>
            <w:r w:rsidR="00C6011B" w:rsidRPr="0052400A">
              <w:rPr>
                <w:rFonts w:ascii="Calibri Light" w:hAnsi="Calibri Light" w:cs="Calibri Light"/>
                <w:b w:val="0"/>
              </w:rPr>
              <w:t xml:space="preserve">los </w:t>
            </w:r>
            <w:r w:rsidRPr="0052400A">
              <w:rPr>
                <w:rFonts w:ascii="Calibri Light" w:hAnsi="Calibri Light" w:cs="Calibri Light"/>
                <w:b w:val="0"/>
              </w:rPr>
              <w:t>criterios de necesidad, razonabilidad y proporcionalidad.</w:t>
            </w:r>
          </w:p>
          <w:p w14:paraId="5357DF0E" w14:textId="5E604579" w:rsidR="00C542EC" w:rsidRPr="0052400A" w:rsidRDefault="00C542EC" w:rsidP="002E4FA0">
            <w:pPr>
              <w:jc w:val="both"/>
              <w:rPr>
                <w:rFonts w:ascii="Calibri Light" w:hAnsi="Calibri Light" w:cs="Calibri Light"/>
                <w:b w:val="0"/>
              </w:rPr>
            </w:pPr>
          </w:p>
          <w:p w14:paraId="2E562A65" w14:textId="53984F85" w:rsidR="00C542EC" w:rsidRDefault="00732EDB" w:rsidP="002E4FA0">
            <w:pPr>
              <w:jc w:val="both"/>
              <w:rPr>
                <w:rFonts w:ascii="Calibri Light" w:hAnsi="Calibri Light"/>
                <w:b w:val="0"/>
              </w:rPr>
            </w:pPr>
            <w:r w:rsidRPr="0052400A">
              <w:rPr>
                <w:rFonts w:ascii="Calibri Light" w:hAnsi="Calibri Light"/>
                <w:b w:val="0"/>
              </w:rPr>
              <w:t xml:space="preserve">En </w:t>
            </w:r>
            <w:r w:rsidR="00C542EC" w:rsidRPr="0052400A">
              <w:rPr>
                <w:rFonts w:ascii="Calibri Light" w:hAnsi="Calibri Light"/>
                <w:b w:val="0"/>
              </w:rPr>
              <w:t>el caso del señor Jenkins, la CIDH consideró que</w:t>
            </w:r>
            <w:r w:rsidR="000A4896" w:rsidRPr="0052400A">
              <w:rPr>
                <w:rFonts w:ascii="Calibri Light" w:hAnsi="Calibri Light"/>
                <w:b w:val="0"/>
              </w:rPr>
              <w:t xml:space="preserve"> </w:t>
            </w:r>
            <w:r w:rsidR="00C542EC" w:rsidRPr="0052400A">
              <w:rPr>
                <w:rFonts w:ascii="Calibri Light" w:hAnsi="Calibri Light"/>
                <w:b w:val="0"/>
              </w:rPr>
              <w:t>no existió una motivación individualizada</w:t>
            </w:r>
            <w:r w:rsidR="003E0B76">
              <w:rPr>
                <w:rFonts w:ascii="Calibri Light" w:hAnsi="Calibri Light"/>
                <w:b w:val="0"/>
              </w:rPr>
              <w:t xml:space="preserve"> </w:t>
            </w:r>
            <w:r w:rsidR="00C542EC" w:rsidRPr="0052400A">
              <w:rPr>
                <w:rFonts w:ascii="Calibri Light" w:hAnsi="Calibri Light"/>
                <w:b w:val="0"/>
              </w:rPr>
              <w:t xml:space="preserve">sobre los fines procesales perseguidos mediante la </w:t>
            </w:r>
            <w:r w:rsidR="007A7968">
              <w:rPr>
                <w:rFonts w:ascii="Calibri Light" w:hAnsi="Calibri Light"/>
                <w:b w:val="0"/>
              </w:rPr>
              <w:t xml:space="preserve">detención preventiva por tres razones: i) de </w:t>
            </w:r>
            <w:r w:rsidR="007A7968">
              <w:rPr>
                <w:rFonts w:ascii="Calibri Light" w:hAnsi="Calibri Light"/>
                <w:b w:val="0"/>
              </w:rPr>
              <w:lastRenderedPageBreak/>
              <w:t xml:space="preserve">acuerdo a la decisión que rechazó la demanda por daños y perjuicios, para dictar la prisión preventiva, se tomaron en cuenta “diversos elementos probatorios”, ii) </w:t>
            </w:r>
            <w:r w:rsidR="0074308B">
              <w:rPr>
                <w:rFonts w:ascii="Calibri Light" w:hAnsi="Calibri Light"/>
                <w:b w:val="0"/>
              </w:rPr>
              <w:t xml:space="preserve"> </w:t>
            </w:r>
            <w:r w:rsidR="002D7E52" w:rsidRPr="0052400A">
              <w:rPr>
                <w:rFonts w:ascii="Calibri Light" w:hAnsi="Calibri Light"/>
                <w:b w:val="0"/>
              </w:rPr>
              <w:t>la prisión preventiva se dictó de forma automática</w:t>
            </w:r>
            <w:r w:rsidR="002D7E52">
              <w:rPr>
                <w:rFonts w:ascii="Calibri Light" w:hAnsi="Calibri Light"/>
                <w:b w:val="0"/>
              </w:rPr>
              <w:t>, pues</w:t>
            </w:r>
            <w:r w:rsidR="002D7E52" w:rsidRPr="0052400A">
              <w:rPr>
                <w:rFonts w:ascii="Calibri Light" w:hAnsi="Calibri Light"/>
                <w:b w:val="0"/>
              </w:rPr>
              <w:t xml:space="preserve"> </w:t>
            </w:r>
            <w:r w:rsidR="00C542EC" w:rsidRPr="0052400A">
              <w:rPr>
                <w:rFonts w:ascii="Calibri Light" w:hAnsi="Calibri Light"/>
                <w:b w:val="0"/>
              </w:rPr>
              <w:t xml:space="preserve">la Ley </w:t>
            </w:r>
            <w:r w:rsidRPr="0052400A">
              <w:rPr>
                <w:rFonts w:ascii="Calibri Light" w:hAnsi="Calibri Light"/>
                <w:b w:val="0"/>
              </w:rPr>
              <w:t xml:space="preserve">No. </w:t>
            </w:r>
            <w:r w:rsidR="00C542EC" w:rsidRPr="0052400A">
              <w:rPr>
                <w:rFonts w:ascii="Calibri Light" w:hAnsi="Calibri Light"/>
                <w:b w:val="0"/>
              </w:rPr>
              <w:t>24.390</w:t>
            </w:r>
            <w:r w:rsidR="00D67484">
              <w:rPr>
                <w:rFonts w:ascii="Calibri Light" w:hAnsi="Calibri Light"/>
                <w:b w:val="0"/>
              </w:rPr>
              <w:t xml:space="preserve">, en base a la cual fueron rechazadas </w:t>
            </w:r>
            <w:r w:rsidR="002D7E52">
              <w:rPr>
                <w:rFonts w:ascii="Calibri Light" w:hAnsi="Calibri Light"/>
                <w:b w:val="0"/>
              </w:rPr>
              <w:t>sus solicitudes de revisión de la detención,</w:t>
            </w:r>
            <w:r w:rsidR="00C542EC" w:rsidRPr="0052400A">
              <w:rPr>
                <w:rFonts w:ascii="Calibri Light" w:hAnsi="Calibri Light"/>
                <w:b w:val="0"/>
              </w:rPr>
              <w:t xml:space="preserve"> negaba la posibilidad de excarcelación a personas procesadas por delitos como la tenencia de estupefacientes</w:t>
            </w:r>
            <w:r w:rsidR="007A7968">
              <w:rPr>
                <w:rFonts w:ascii="Calibri Light" w:hAnsi="Calibri Light"/>
                <w:b w:val="0"/>
              </w:rPr>
              <w:t>, y iii) el Estado no indicó que la prisión preventiva persiguiera un fin legítimo ni aportó documentación en ese sentido</w:t>
            </w:r>
            <w:r w:rsidR="00C542EC" w:rsidRPr="0052400A">
              <w:rPr>
                <w:rFonts w:ascii="Calibri Light" w:hAnsi="Calibri Light"/>
                <w:b w:val="0"/>
              </w:rPr>
              <w:t>.</w:t>
            </w:r>
            <w:r w:rsidR="007A7968">
              <w:rPr>
                <w:rFonts w:ascii="Calibri Light" w:hAnsi="Calibri Light"/>
                <w:b w:val="0"/>
              </w:rPr>
              <w:t xml:space="preserve"> </w:t>
            </w:r>
            <w:r w:rsidR="000309E6">
              <w:rPr>
                <w:rFonts w:ascii="Calibri Light" w:hAnsi="Calibri Light"/>
                <w:b w:val="0"/>
              </w:rPr>
              <w:t xml:space="preserve">En esa medida, la CIDH </w:t>
            </w:r>
            <w:r w:rsidR="002B6DC4">
              <w:rPr>
                <w:rFonts w:ascii="Calibri Light" w:hAnsi="Calibri Light"/>
                <w:b w:val="0"/>
              </w:rPr>
              <w:t>estimó</w:t>
            </w:r>
            <w:r w:rsidR="004E5313">
              <w:rPr>
                <w:rFonts w:ascii="Calibri Light" w:hAnsi="Calibri Light"/>
                <w:b w:val="0"/>
              </w:rPr>
              <w:t xml:space="preserve"> que </w:t>
            </w:r>
            <w:r w:rsidR="000309E6" w:rsidRPr="0052400A">
              <w:rPr>
                <w:rFonts w:ascii="Calibri Light" w:hAnsi="Calibri Light"/>
                <w:b w:val="0"/>
              </w:rPr>
              <w:t>solamente</w:t>
            </w:r>
            <w:r w:rsidR="000309E6">
              <w:rPr>
                <w:rFonts w:ascii="Calibri Light" w:hAnsi="Calibri Light"/>
                <w:b w:val="0"/>
              </w:rPr>
              <w:t xml:space="preserve"> </w:t>
            </w:r>
            <w:r w:rsidR="004E5313">
              <w:rPr>
                <w:rFonts w:ascii="Calibri Light" w:hAnsi="Calibri Light"/>
                <w:b w:val="0"/>
              </w:rPr>
              <w:t xml:space="preserve">se había tomado </w:t>
            </w:r>
            <w:r w:rsidR="007A7968" w:rsidRPr="0052400A">
              <w:rPr>
                <w:rFonts w:ascii="Calibri Light" w:hAnsi="Calibri Light"/>
                <w:b w:val="0"/>
              </w:rPr>
              <w:t xml:space="preserve">como base </w:t>
            </w:r>
            <w:r w:rsidR="004E5313">
              <w:rPr>
                <w:rFonts w:ascii="Calibri Light" w:hAnsi="Calibri Light"/>
                <w:b w:val="0"/>
              </w:rPr>
              <w:t xml:space="preserve">para la aplicación de prisión preventiva a </w:t>
            </w:r>
            <w:r w:rsidR="007A7968" w:rsidRPr="0052400A">
              <w:rPr>
                <w:rFonts w:ascii="Calibri Light" w:hAnsi="Calibri Light"/>
                <w:b w:val="0"/>
              </w:rPr>
              <w:t>la existencia</w:t>
            </w:r>
            <w:r w:rsidR="000309E6">
              <w:rPr>
                <w:rFonts w:ascii="Calibri Light" w:hAnsi="Calibri Light"/>
                <w:b w:val="0"/>
              </w:rPr>
              <w:t xml:space="preserve"> de indicios de responsabilidad; por lo cual, le medida constituyó</w:t>
            </w:r>
            <w:r w:rsidR="007A7968" w:rsidRPr="0052400A">
              <w:rPr>
                <w:rFonts w:ascii="Calibri Light" w:hAnsi="Calibri Light"/>
                <w:b w:val="0"/>
              </w:rPr>
              <w:t xml:space="preserve"> una anticipación de la pena y no una medida cautelar. </w:t>
            </w:r>
          </w:p>
          <w:p w14:paraId="25A936BD" w14:textId="77777777" w:rsidR="007A7968" w:rsidRPr="0052400A" w:rsidRDefault="007A7968" w:rsidP="002E4FA0">
            <w:pPr>
              <w:jc w:val="both"/>
              <w:rPr>
                <w:rFonts w:ascii="Calibri Light" w:hAnsi="Calibri Light" w:cs="Calibri Light"/>
                <w:b w:val="0"/>
              </w:rPr>
            </w:pPr>
          </w:p>
          <w:p w14:paraId="49801B13" w14:textId="353CFC16" w:rsidR="00745A34" w:rsidRPr="0052400A" w:rsidRDefault="00775806" w:rsidP="002F4E35">
            <w:pPr>
              <w:jc w:val="both"/>
              <w:rPr>
                <w:rFonts w:ascii="Calibri Light" w:hAnsi="Calibri Light" w:cs="Calibri Light"/>
                <w:b w:val="0"/>
              </w:rPr>
            </w:pPr>
            <w:r>
              <w:rPr>
                <w:rFonts w:ascii="Calibri Light" w:hAnsi="Calibri Light" w:cs="Calibri Light"/>
                <w:b w:val="0"/>
              </w:rPr>
              <w:t>De otra parte, cabe señalar que tanto la CIDH como</w:t>
            </w:r>
            <w:r w:rsidR="00745A34" w:rsidRPr="0052400A">
              <w:rPr>
                <w:rFonts w:ascii="Calibri Light" w:hAnsi="Calibri Light" w:cs="Calibri Light"/>
                <w:b w:val="0"/>
              </w:rPr>
              <w:t xml:space="preserve"> la Corte IDH </w:t>
            </w:r>
            <w:r w:rsidR="00732EDB" w:rsidRPr="0052400A">
              <w:rPr>
                <w:rFonts w:ascii="Calibri Light" w:hAnsi="Calibri Light" w:cs="Calibri Light"/>
                <w:b w:val="0"/>
              </w:rPr>
              <w:t xml:space="preserve">han indicado </w:t>
            </w:r>
            <w:r w:rsidR="00745A34" w:rsidRPr="0052400A">
              <w:rPr>
                <w:rFonts w:ascii="Calibri Light" w:hAnsi="Calibri Light" w:cs="Calibri Light"/>
                <w:b w:val="0"/>
              </w:rPr>
              <w:t>que el uso indebido de la detención preventiva puede tener un impacto en el principio de presunción de inocencia. Al respecto</w:t>
            </w:r>
            <w:r w:rsidR="002F4E35" w:rsidRPr="0052400A">
              <w:rPr>
                <w:rFonts w:ascii="Calibri Light" w:hAnsi="Calibri Light" w:cs="Calibri Light"/>
                <w:b w:val="0"/>
              </w:rPr>
              <w:t>,</w:t>
            </w:r>
            <w:r w:rsidR="00745A34" w:rsidRPr="0052400A">
              <w:rPr>
                <w:rFonts w:ascii="Calibri Light" w:hAnsi="Calibri Light" w:cs="Calibri Light"/>
                <w:b w:val="0"/>
              </w:rPr>
              <w:t xml:space="preserve"> se ha destacado la importancia del criterio de razonabilidad, </w:t>
            </w:r>
            <w:r w:rsidR="002F4E35" w:rsidRPr="0052400A">
              <w:rPr>
                <w:rFonts w:ascii="Calibri Light" w:hAnsi="Calibri Light" w:cs="Calibri Light"/>
                <w:b w:val="0"/>
              </w:rPr>
              <w:t>ya que</w:t>
            </w:r>
            <w:r w:rsidR="00745A34" w:rsidRPr="0052400A">
              <w:rPr>
                <w:rFonts w:ascii="Calibri Light" w:hAnsi="Calibri Light" w:cs="Calibri Light"/>
                <w:b w:val="0"/>
              </w:rPr>
              <w:t xml:space="preserve"> mantener privada de libertad a una persona más allá del tiempo razonable para el cumplimiento de los fines que justifican su detención equivaldría, en los hechos, a una pena anticipada. También se viola el principio de presunción de inocencia cuando la prisión preventiva se impone arbitrari</w:t>
            </w:r>
            <w:r w:rsidR="002F4E35" w:rsidRPr="0052400A">
              <w:rPr>
                <w:rFonts w:ascii="Calibri Light" w:hAnsi="Calibri Light" w:cs="Calibri Light"/>
                <w:b w:val="0"/>
              </w:rPr>
              <w:t>amente</w:t>
            </w:r>
            <w:r w:rsidR="007B7CED" w:rsidRPr="0052400A">
              <w:rPr>
                <w:rFonts w:ascii="Calibri Light" w:hAnsi="Calibri Light" w:cs="Calibri Light"/>
                <w:b w:val="0"/>
              </w:rPr>
              <w:t>, esto es,</w:t>
            </w:r>
            <w:r w:rsidR="002F4E35" w:rsidRPr="0052400A">
              <w:rPr>
                <w:rFonts w:ascii="Calibri Light" w:hAnsi="Calibri Light" w:cs="Calibri Light"/>
                <w:b w:val="0"/>
              </w:rPr>
              <w:t xml:space="preserve"> </w:t>
            </w:r>
            <w:r w:rsidR="007B7CED" w:rsidRPr="0052400A">
              <w:rPr>
                <w:rFonts w:ascii="Calibri Light" w:hAnsi="Calibri Light" w:cs="Calibri Light"/>
                <w:b w:val="0"/>
              </w:rPr>
              <w:t xml:space="preserve">sin fundamentación, </w:t>
            </w:r>
            <w:r w:rsidR="002F4E35" w:rsidRPr="0052400A">
              <w:rPr>
                <w:rFonts w:ascii="Calibri Light" w:hAnsi="Calibri Light" w:cs="Calibri Light"/>
                <w:b w:val="0"/>
              </w:rPr>
              <w:t>o cuando</w:t>
            </w:r>
            <w:r w:rsidR="00745A34" w:rsidRPr="0052400A">
              <w:rPr>
                <w:rFonts w:ascii="Calibri Light" w:hAnsi="Calibri Light" w:cs="Calibri Light"/>
                <w:b w:val="0"/>
              </w:rPr>
              <w:t xml:space="preserve"> su aplicación está determinada esencialmente, por ejemplo, por el tipo de delito, la expectativa de la pena o la mera existencia de indicios razonables que vinculen al acusado.</w:t>
            </w:r>
          </w:p>
          <w:p w14:paraId="7C7586D9" w14:textId="6411021E" w:rsidR="002F4E35" w:rsidRPr="0052400A" w:rsidRDefault="002F4E35" w:rsidP="002F4E35">
            <w:pPr>
              <w:jc w:val="both"/>
              <w:rPr>
                <w:rFonts w:ascii="Calibri Light" w:hAnsi="Calibri Light" w:cs="Calibri Light"/>
                <w:b w:val="0"/>
              </w:rPr>
            </w:pPr>
          </w:p>
          <w:p w14:paraId="7B8B3101" w14:textId="17CD2B8F" w:rsidR="002F4E35" w:rsidRPr="008440F6" w:rsidRDefault="002F4E35" w:rsidP="00794463">
            <w:pPr>
              <w:jc w:val="both"/>
              <w:rPr>
                <w:rFonts w:ascii="Calibri Light" w:hAnsi="Calibri Light" w:cs="Calibri Light"/>
                <w:b w:val="0"/>
              </w:rPr>
            </w:pPr>
            <w:r w:rsidRPr="00923997">
              <w:rPr>
                <w:rFonts w:ascii="Calibri Light" w:hAnsi="Calibri Light" w:cs="Calibri Light"/>
                <w:b w:val="0"/>
              </w:rPr>
              <w:t>En el presente caso, la CIDH concluyó que desde el inicio la detención contra el señor Jenkins fue arbitraria</w:t>
            </w:r>
            <w:r w:rsidR="00C853CF" w:rsidRPr="00923997">
              <w:rPr>
                <w:rFonts w:ascii="Calibri Light" w:hAnsi="Calibri Light" w:cs="Calibri Light"/>
                <w:b w:val="0"/>
              </w:rPr>
              <w:t xml:space="preserve">, </w:t>
            </w:r>
            <w:r w:rsidR="00775806" w:rsidRPr="00923997">
              <w:rPr>
                <w:rFonts w:ascii="Calibri Light" w:hAnsi="Calibri Light" w:cs="Calibri Light"/>
                <w:b w:val="0"/>
              </w:rPr>
              <w:t>pues</w:t>
            </w:r>
            <w:r w:rsidR="007B7CED" w:rsidRPr="00923997">
              <w:rPr>
                <w:rFonts w:ascii="Calibri Light" w:hAnsi="Calibri Light" w:cs="Calibri Light"/>
                <w:b w:val="0"/>
              </w:rPr>
              <w:t xml:space="preserve"> se impuso sin mayor fundamentación</w:t>
            </w:r>
            <w:r w:rsidR="00775806" w:rsidRPr="00923997">
              <w:rPr>
                <w:rFonts w:ascii="Calibri Light" w:hAnsi="Calibri Light" w:cs="Calibri Light"/>
                <w:b w:val="0"/>
              </w:rPr>
              <w:t xml:space="preserve">, desconociendo </w:t>
            </w:r>
            <w:r w:rsidR="00923997" w:rsidRPr="00923997">
              <w:rPr>
                <w:rFonts w:ascii="Calibri Light" w:hAnsi="Calibri Light" w:cs="Calibri Light"/>
                <w:b w:val="0"/>
              </w:rPr>
              <w:t xml:space="preserve">de esa manera </w:t>
            </w:r>
            <w:r w:rsidR="00775806" w:rsidRPr="00923997">
              <w:rPr>
                <w:rFonts w:ascii="Calibri Light" w:hAnsi="Calibri Light" w:cs="Calibri Light"/>
                <w:b w:val="0"/>
              </w:rPr>
              <w:t>el principio de presunción de inocencia</w:t>
            </w:r>
            <w:r w:rsidR="007B7CED" w:rsidRPr="00923997">
              <w:rPr>
                <w:rFonts w:ascii="Calibri Light" w:hAnsi="Calibri Light" w:cs="Calibri Light"/>
                <w:b w:val="0"/>
              </w:rPr>
              <w:t>.</w:t>
            </w:r>
            <w:r w:rsidR="00C853CF" w:rsidRPr="00923997">
              <w:rPr>
                <w:rFonts w:ascii="Calibri Light" w:hAnsi="Calibri Light" w:cs="Calibri Light"/>
                <w:b w:val="0"/>
              </w:rPr>
              <w:t xml:space="preserve"> </w:t>
            </w:r>
            <w:r w:rsidR="0074308B" w:rsidRPr="00923997">
              <w:rPr>
                <w:rFonts w:ascii="Calibri Light" w:hAnsi="Calibri Light" w:cs="Calibri Light"/>
                <w:b w:val="0"/>
              </w:rPr>
              <w:t>Además, l</w:t>
            </w:r>
            <w:r w:rsidRPr="00923997">
              <w:rPr>
                <w:rFonts w:ascii="Calibri Light" w:hAnsi="Calibri Light" w:cs="Calibri Light"/>
                <w:b w:val="0"/>
              </w:rPr>
              <w:t xml:space="preserve">a duración de tres años y cinco meses de la detención preventiva </w:t>
            </w:r>
            <w:r w:rsidR="00794463" w:rsidRPr="00923997">
              <w:rPr>
                <w:rFonts w:ascii="Calibri Light" w:hAnsi="Calibri Light" w:cs="Calibri Light"/>
                <w:b w:val="0"/>
              </w:rPr>
              <w:t>contra este</w:t>
            </w:r>
            <w:r w:rsidRPr="00923997">
              <w:rPr>
                <w:rFonts w:ascii="Calibri Light" w:hAnsi="Calibri Light" w:cs="Calibri Light"/>
                <w:b w:val="0"/>
              </w:rPr>
              <w:t xml:space="preserve"> fue excesiva en sus términos y de manera independiente a </w:t>
            </w:r>
            <w:r w:rsidR="00794463" w:rsidRPr="00923997">
              <w:rPr>
                <w:rFonts w:ascii="Calibri Light" w:hAnsi="Calibri Light" w:cs="Calibri Light"/>
                <w:b w:val="0"/>
              </w:rPr>
              <w:t xml:space="preserve">la existencia del </w:t>
            </w:r>
            <w:r w:rsidRPr="00923997">
              <w:rPr>
                <w:rFonts w:ascii="Calibri Light" w:hAnsi="Calibri Light" w:cs="Calibri Light"/>
                <w:b w:val="0"/>
              </w:rPr>
              <w:t xml:space="preserve">marco normativo, lo </w:t>
            </w:r>
            <w:r w:rsidR="00775806" w:rsidRPr="00923997">
              <w:rPr>
                <w:rFonts w:ascii="Calibri Light" w:hAnsi="Calibri Light" w:cs="Calibri Light"/>
                <w:b w:val="0"/>
              </w:rPr>
              <w:t>cual</w:t>
            </w:r>
            <w:r w:rsidRPr="00923997">
              <w:rPr>
                <w:rFonts w:ascii="Calibri Light" w:hAnsi="Calibri Light" w:cs="Calibri Light"/>
                <w:b w:val="0"/>
              </w:rPr>
              <w:t xml:space="preserve"> violó el principio de la razonabilidad</w:t>
            </w:r>
            <w:r w:rsidR="00794463" w:rsidRPr="00923997">
              <w:rPr>
                <w:rFonts w:ascii="Calibri Light" w:hAnsi="Calibri Light" w:cs="Calibri Light"/>
                <w:b w:val="0"/>
              </w:rPr>
              <w:t xml:space="preserve"> y, a su vez, la garantía de plazo razonable</w:t>
            </w:r>
            <w:r w:rsidRPr="00923997">
              <w:rPr>
                <w:rFonts w:ascii="Calibri Light" w:hAnsi="Calibri Light" w:cs="Calibri Light"/>
                <w:b w:val="0"/>
              </w:rPr>
              <w:t>. Asimismo</w:t>
            </w:r>
            <w:r w:rsidR="00794463" w:rsidRPr="00923997">
              <w:rPr>
                <w:rFonts w:ascii="Calibri Light" w:hAnsi="Calibri Light" w:cs="Calibri Light"/>
                <w:b w:val="0"/>
              </w:rPr>
              <w:t xml:space="preserve">, </w:t>
            </w:r>
            <w:r w:rsidR="00923997" w:rsidRPr="00923997">
              <w:rPr>
                <w:rFonts w:ascii="Calibri Light" w:hAnsi="Calibri Light" w:cs="Calibri Light"/>
                <w:b w:val="0"/>
              </w:rPr>
              <w:t xml:space="preserve">por </w:t>
            </w:r>
            <w:r w:rsidR="00895CF8">
              <w:rPr>
                <w:rFonts w:ascii="Calibri Light" w:hAnsi="Calibri Light" w:cs="Calibri Light"/>
                <w:b w:val="0"/>
              </w:rPr>
              <w:t>su extensión</w:t>
            </w:r>
            <w:r w:rsidR="00923997" w:rsidRPr="00923997">
              <w:rPr>
                <w:rFonts w:ascii="Calibri Light" w:hAnsi="Calibri Light" w:cs="Calibri Light"/>
                <w:b w:val="0"/>
              </w:rPr>
              <w:t xml:space="preserve">, </w:t>
            </w:r>
            <w:r w:rsidR="00794463" w:rsidRPr="00923997">
              <w:rPr>
                <w:rFonts w:ascii="Calibri Light" w:hAnsi="Calibri Light" w:cs="Calibri Light"/>
                <w:b w:val="0"/>
              </w:rPr>
              <w:t xml:space="preserve">dicha detención constituyó una anticipación de la pena que podría aplicársele en caso de ser condenado, </w:t>
            </w:r>
            <w:r w:rsidR="00923997" w:rsidRPr="00923997">
              <w:rPr>
                <w:rFonts w:ascii="Calibri Light" w:hAnsi="Calibri Light" w:cs="Calibri Light"/>
                <w:b w:val="0"/>
              </w:rPr>
              <w:t xml:space="preserve">que violó también </w:t>
            </w:r>
            <w:r w:rsidR="00794463" w:rsidRPr="00923997">
              <w:rPr>
                <w:rFonts w:ascii="Calibri Light" w:hAnsi="Calibri Light" w:cs="Calibri Light"/>
                <w:b w:val="0"/>
              </w:rPr>
              <w:t>el principio de presunción de inocencia.</w:t>
            </w:r>
          </w:p>
          <w:p w14:paraId="31FE4165" w14:textId="65E7A875" w:rsidR="00142A41" w:rsidRPr="0052400A" w:rsidRDefault="00142A41" w:rsidP="00142A41">
            <w:pPr>
              <w:jc w:val="both"/>
              <w:rPr>
                <w:rFonts w:ascii="Calibri Light" w:hAnsi="Calibri Light"/>
                <w:b w:val="0"/>
              </w:rPr>
            </w:pPr>
          </w:p>
          <w:p w14:paraId="26262D1E" w14:textId="7DFF177E" w:rsidR="002F4E35" w:rsidRPr="0052400A" w:rsidRDefault="002F4E35" w:rsidP="002F4E35">
            <w:pPr>
              <w:jc w:val="both"/>
              <w:rPr>
                <w:rFonts w:ascii="Calibri Light" w:hAnsi="Calibri Light"/>
                <w:b w:val="0"/>
              </w:rPr>
            </w:pPr>
            <w:r w:rsidRPr="0052400A">
              <w:rPr>
                <w:rFonts w:ascii="Calibri Light" w:hAnsi="Calibri Light"/>
                <w:b w:val="0"/>
              </w:rPr>
              <w:t xml:space="preserve">Por </w:t>
            </w:r>
            <w:r w:rsidR="00923997">
              <w:rPr>
                <w:rFonts w:ascii="Calibri Light" w:hAnsi="Calibri Light"/>
                <w:b w:val="0"/>
              </w:rPr>
              <w:t>otro lado</w:t>
            </w:r>
            <w:r w:rsidRPr="0052400A">
              <w:rPr>
                <w:rFonts w:ascii="Calibri Light" w:hAnsi="Calibri Light"/>
                <w:b w:val="0"/>
              </w:rPr>
              <w:t xml:space="preserve">, a toda persona privada de libertad le asiste el derecho a recurrir la legalidad de su detención ante un juez o tribunal competente, a fin de que este decida, sin demora, sobre la legalidad de la privación de libertad y, en su caso, decrete su libertad. Así, no basta con que los recursos existan formalmente, sino que es preciso que sean efectivos, es decir, que deben brindar a la persona la posibilidad real de interponer un recurso rápido y sencillo que permita alcanzar la protección judicial requerida. En el caso en específico, la CIDH determinó que las autoridades judiciales que negaron los recursos interpuestos por el señor Jenkins </w:t>
            </w:r>
            <w:r w:rsidR="0098005B">
              <w:rPr>
                <w:rFonts w:ascii="Calibri Light" w:hAnsi="Calibri Light"/>
                <w:b w:val="0"/>
              </w:rPr>
              <w:t>se basaron</w:t>
            </w:r>
            <w:r w:rsidRPr="0052400A">
              <w:rPr>
                <w:rFonts w:ascii="Calibri Light" w:hAnsi="Calibri Light"/>
                <w:b w:val="0"/>
              </w:rPr>
              <w:t xml:space="preserve"> en la naturaleza del delito o la gravedad de la pena atribuida, sin efectuar un análisis de convencionalidad. De este modo, tales recursos no posibilitaron una revisión efectiva </w:t>
            </w:r>
            <w:r w:rsidR="00732EDB" w:rsidRPr="0052400A">
              <w:rPr>
                <w:rFonts w:ascii="Calibri Light" w:hAnsi="Calibri Light"/>
                <w:b w:val="0"/>
              </w:rPr>
              <w:t xml:space="preserve">y sin demora </w:t>
            </w:r>
            <w:r w:rsidRPr="0052400A">
              <w:rPr>
                <w:rFonts w:ascii="Calibri Light" w:hAnsi="Calibri Light"/>
                <w:b w:val="0"/>
              </w:rPr>
              <w:t xml:space="preserve">de la motivación </w:t>
            </w:r>
            <w:r w:rsidR="00732EDB" w:rsidRPr="0052400A">
              <w:rPr>
                <w:rFonts w:ascii="Calibri Light" w:hAnsi="Calibri Light"/>
                <w:b w:val="0"/>
              </w:rPr>
              <w:t>y</w:t>
            </w:r>
            <w:r w:rsidRPr="0052400A">
              <w:rPr>
                <w:rFonts w:ascii="Calibri Light" w:hAnsi="Calibri Light"/>
                <w:b w:val="0"/>
              </w:rPr>
              <w:t xml:space="preserve"> duración de la prisión preventiva.</w:t>
            </w:r>
          </w:p>
          <w:p w14:paraId="2792E494" w14:textId="5E6679DF" w:rsidR="00C542EC" w:rsidRPr="0052400A" w:rsidRDefault="00C542EC" w:rsidP="00C81C09">
            <w:pPr>
              <w:jc w:val="both"/>
              <w:rPr>
                <w:rFonts w:ascii="Calibri Light" w:hAnsi="Calibri Light"/>
                <w:b w:val="0"/>
              </w:rPr>
            </w:pPr>
          </w:p>
          <w:p w14:paraId="40D07FF2" w14:textId="7ADCC4CD" w:rsidR="00142A41" w:rsidRPr="0052400A" w:rsidRDefault="00C542EC" w:rsidP="00142A41">
            <w:pPr>
              <w:jc w:val="both"/>
              <w:rPr>
                <w:rFonts w:ascii="Calibri Light" w:hAnsi="Calibri Light" w:cs="Calibri Light"/>
                <w:b w:val="0"/>
              </w:rPr>
            </w:pPr>
            <w:r w:rsidRPr="0052400A">
              <w:rPr>
                <w:rFonts w:ascii="Calibri Light" w:hAnsi="Calibri Light" w:cs="Calibri Light"/>
                <w:b w:val="0"/>
              </w:rPr>
              <w:t xml:space="preserve">Por </w:t>
            </w:r>
            <w:r w:rsidR="002F4E35" w:rsidRPr="0052400A">
              <w:rPr>
                <w:rFonts w:ascii="Calibri Light" w:hAnsi="Calibri Light" w:cs="Calibri Light"/>
                <w:b w:val="0"/>
              </w:rPr>
              <w:t>último</w:t>
            </w:r>
            <w:r w:rsidRPr="0052400A">
              <w:rPr>
                <w:rFonts w:ascii="Calibri Light" w:hAnsi="Calibri Light" w:cs="Calibri Light"/>
                <w:b w:val="0"/>
              </w:rPr>
              <w:t xml:space="preserve">, la CIDH indicó que existe una necesidad de revisión periódica de los fundamentos de la prisión preventiva y de su tiempo de duración, para que esta no se prolongue cuando no subsistan las razones que motivaron su adopción. Así, el juez no tiene que esperar hasta el momento de dictar sentencia absolutoria para que una persona detenida recupere su libertad. Respecto al caso, </w:t>
            </w:r>
            <w:r w:rsidR="00C81C09" w:rsidRPr="0052400A">
              <w:rPr>
                <w:rFonts w:ascii="Calibri Light" w:hAnsi="Calibri Light"/>
                <w:b w:val="0"/>
              </w:rPr>
              <w:t>la CIDH observó que durante el período que el señor Jenkins estuvo privado de libertad, no se efectuó de oficio una revisión periódica sobre la necesidad de mantener la detención preventiva</w:t>
            </w:r>
            <w:r w:rsidRPr="0052400A">
              <w:rPr>
                <w:rFonts w:ascii="Calibri Light" w:hAnsi="Calibri Light"/>
                <w:b w:val="0"/>
              </w:rPr>
              <w:t xml:space="preserve">, ni tampoco se efectúo </w:t>
            </w:r>
            <w:r w:rsidR="0074308B">
              <w:rPr>
                <w:rFonts w:ascii="Calibri Light" w:hAnsi="Calibri Light"/>
                <w:b w:val="0"/>
              </w:rPr>
              <w:t xml:space="preserve">revisión </w:t>
            </w:r>
            <w:r w:rsidRPr="0052400A">
              <w:rPr>
                <w:rFonts w:ascii="Calibri Light" w:hAnsi="Calibri Light"/>
                <w:b w:val="0"/>
              </w:rPr>
              <w:t>alguna</w:t>
            </w:r>
            <w:r w:rsidR="00C81C09" w:rsidRPr="0052400A">
              <w:rPr>
                <w:rFonts w:ascii="Calibri Light" w:hAnsi="Calibri Light"/>
                <w:b w:val="0"/>
              </w:rPr>
              <w:t xml:space="preserve"> </w:t>
            </w:r>
            <w:r w:rsidR="002D7E52">
              <w:rPr>
                <w:rFonts w:ascii="Calibri Light" w:hAnsi="Calibri Light"/>
                <w:b w:val="0"/>
              </w:rPr>
              <w:t>como consecuencia</w:t>
            </w:r>
            <w:r w:rsidR="00C81C09" w:rsidRPr="0052400A">
              <w:rPr>
                <w:rFonts w:ascii="Calibri Light" w:hAnsi="Calibri Light"/>
                <w:b w:val="0"/>
              </w:rPr>
              <w:t xml:space="preserve"> de los recursos interpuestos por</w:t>
            </w:r>
            <w:r w:rsidRPr="0052400A">
              <w:rPr>
                <w:rFonts w:ascii="Calibri Light" w:hAnsi="Calibri Light"/>
                <w:b w:val="0"/>
              </w:rPr>
              <w:t xml:space="preserve"> este</w:t>
            </w:r>
            <w:r w:rsidR="00C81C09" w:rsidRPr="0052400A">
              <w:rPr>
                <w:rFonts w:ascii="Calibri Light" w:hAnsi="Calibri Light"/>
                <w:b w:val="0"/>
              </w:rPr>
              <w:t xml:space="preserve"> para cuestionar su privación de libertad.</w:t>
            </w:r>
            <w:r w:rsidR="00732EDB" w:rsidRPr="0052400A" w:rsidDel="00732EDB">
              <w:rPr>
                <w:rFonts w:ascii="Calibri Light" w:hAnsi="Calibri Light"/>
                <w:b w:val="0"/>
              </w:rPr>
              <w:t xml:space="preserve"> </w:t>
            </w:r>
            <w:r w:rsidR="00F845A6" w:rsidRPr="0052400A">
              <w:rPr>
                <w:rFonts w:ascii="Calibri Light" w:hAnsi="Calibri Light"/>
                <w:b w:val="0"/>
              </w:rPr>
              <w:t xml:space="preserve">Por </w:t>
            </w:r>
            <w:r w:rsidR="00394D84" w:rsidRPr="0052400A">
              <w:rPr>
                <w:rFonts w:ascii="Calibri Light" w:hAnsi="Calibri Light"/>
                <w:b w:val="0"/>
              </w:rPr>
              <w:t xml:space="preserve">todo </w:t>
            </w:r>
            <w:r w:rsidR="00F845A6" w:rsidRPr="0052400A">
              <w:rPr>
                <w:rFonts w:ascii="Calibri Light" w:hAnsi="Calibri Light"/>
                <w:b w:val="0"/>
              </w:rPr>
              <w:t>ello, la CIDH</w:t>
            </w:r>
            <w:r w:rsidR="00142A41" w:rsidRPr="0052400A">
              <w:rPr>
                <w:rFonts w:ascii="Calibri Light" w:hAnsi="Calibri Light" w:cs="Calibri Light"/>
                <w:b w:val="0"/>
              </w:rPr>
              <w:t xml:space="preserve"> consideró que el Estado de </w:t>
            </w:r>
            <w:r w:rsidR="00620BB4" w:rsidRPr="0052400A">
              <w:rPr>
                <w:rFonts w:ascii="Calibri Light" w:hAnsi="Calibri Light" w:cs="Calibri Light"/>
                <w:b w:val="0"/>
              </w:rPr>
              <w:t>Argentina</w:t>
            </w:r>
            <w:r w:rsidR="00142A41" w:rsidRPr="0052400A">
              <w:rPr>
                <w:rFonts w:ascii="Calibri Light" w:hAnsi="Calibri Light" w:cs="Calibri Light"/>
                <w:b w:val="0"/>
              </w:rPr>
              <w:t xml:space="preserve"> había violado </w:t>
            </w:r>
            <w:r w:rsidRPr="0052400A">
              <w:rPr>
                <w:rFonts w:ascii="Calibri Light" w:hAnsi="Calibri Light" w:cs="Calibri Light"/>
                <w:b w:val="0"/>
              </w:rPr>
              <w:t>los</w:t>
            </w:r>
            <w:r w:rsidR="00142A41" w:rsidRPr="0052400A">
              <w:rPr>
                <w:rFonts w:ascii="Calibri Light" w:hAnsi="Calibri Light" w:cs="Calibri Light"/>
                <w:b w:val="0"/>
              </w:rPr>
              <w:t xml:space="preserve"> artículo</w:t>
            </w:r>
            <w:r w:rsidRPr="0052400A">
              <w:rPr>
                <w:rFonts w:ascii="Calibri Light" w:hAnsi="Calibri Light" w:cs="Calibri Light"/>
                <w:b w:val="0"/>
              </w:rPr>
              <w:t>s 7</w:t>
            </w:r>
            <w:r w:rsidR="000A4896" w:rsidRPr="0052400A">
              <w:rPr>
                <w:rFonts w:ascii="Calibri Light" w:hAnsi="Calibri Light" w:cs="Calibri Light"/>
                <w:b w:val="0"/>
              </w:rPr>
              <w:t>.1, 7.3, 7.5, 7.6</w:t>
            </w:r>
            <w:r w:rsidRPr="0052400A">
              <w:rPr>
                <w:rFonts w:ascii="Calibri Light" w:hAnsi="Calibri Light" w:cs="Calibri Light"/>
                <w:b w:val="0"/>
              </w:rPr>
              <w:t>, 8</w:t>
            </w:r>
            <w:r w:rsidR="000A4896" w:rsidRPr="0052400A">
              <w:rPr>
                <w:rFonts w:ascii="Calibri Light" w:hAnsi="Calibri Light" w:cs="Calibri Light"/>
                <w:b w:val="0"/>
              </w:rPr>
              <w:t>.1, 8.2</w:t>
            </w:r>
            <w:r w:rsidRPr="0052400A">
              <w:rPr>
                <w:rFonts w:ascii="Calibri Light" w:hAnsi="Calibri Light" w:cs="Calibri Light"/>
                <w:b w:val="0"/>
              </w:rPr>
              <w:t xml:space="preserve"> y 25</w:t>
            </w:r>
            <w:r w:rsidR="00142A41" w:rsidRPr="0052400A">
              <w:rPr>
                <w:rFonts w:ascii="Calibri Light" w:hAnsi="Calibri Light" w:cs="Calibri Light"/>
                <w:b w:val="0"/>
              </w:rPr>
              <w:t xml:space="preserve"> de la CADH, </w:t>
            </w:r>
            <w:r w:rsidR="00732EDB" w:rsidRPr="0052400A">
              <w:rPr>
                <w:rFonts w:ascii="Calibri Light" w:hAnsi="Calibri Light" w:cs="Calibri Light"/>
                <w:b w:val="0"/>
              </w:rPr>
              <w:t>en relación al artículo 1.1</w:t>
            </w:r>
            <w:r w:rsidR="00732EDB" w:rsidRPr="00923997">
              <w:rPr>
                <w:rFonts w:ascii="Calibri Light" w:hAnsi="Calibri Light" w:cs="Calibri Light"/>
                <w:b w:val="0"/>
              </w:rPr>
              <w:t>,</w:t>
            </w:r>
            <w:r w:rsidR="00732EDB" w:rsidRPr="0052400A">
              <w:rPr>
                <w:rFonts w:ascii="Calibri Light" w:hAnsi="Calibri Light" w:cs="Calibri Light"/>
                <w:b w:val="0"/>
              </w:rPr>
              <w:t xml:space="preserve"> </w:t>
            </w:r>
            <w:r w:rsidR="00142A41" w:rsidRPr="0052400A">
              <w:rPr>
                <w:rFonts w:ascii="Calibri Light" w:hAnsi="Calibri Light" w:cs="Calibri Light"/>
                <w:b w:val="0"/>
              </w:rPr>
              <w:t>en</w:t>
            </w:r>
            <w:r w:rsidRPr="0052400A">
              <w:rPr>
                <w:rFonts w:ascii="Calibri Light" w:hAnsi="Calibri Light" w:cs="Calibri Light"/>
                <w:b w:val="0"/>
              </w:rPr>
              <w:t xml:space="preserve"> perjuicio </w:t>
            </w:r>
            <w:r w:rsidR="00620BB4" w:rsidRPr="0052400A">
              <w:rPr>
                <w:rFonts w:ascii="Calibri Light" w:hAnsi="Calibri Light" w:cs="Calibri Light"/>
                <w:b w:val="0"/>
              </w:rPr>
              <w:t>del señor Jenkins</w:t>
            </w:r>
            <w:r w:rsidR="00142A41" w:rsidRPr="0052400A">
              <w:rPr>
                <w:rFonts w:ascii="Calibri Light" w:hAnsi="Calibri Light" w:cs="Calibri Light"/>
                <w:b w:val="0"/>
              </w:rPr>
              <w:t xml:space="preserve">. </w:t>
            </w:r>
          </w:p>
          <w:p w14:paraId="18FC0BAD" w14:textId="77777777" w:rsidR="00FF34AE" w:rsidRPr="0052400A" w:rsidRDefault="00FF34AE" w:rsidP="00FF34AE">
            <w:pPr>
              <w:jc w:val="both"/>
              <w:rPr>
                <w:rFonts w:ascii="Calibri Light" w:hAnsi="Calibri Light"/>
                <w:b w:val="0"/>
              </w:rPr>
            </w:pPr>
          </w:p>
          <w:p w14:paraId="08331F27" w14:textId="5DB8DF00" w:rsidR="00FF34AE" w:rsidRPr="0052400A" w:rsidRDefault="00FF34AE" w:rsidP="00FF34AE">
            <w:pPr>
              <w:jc w:val="both"/>
              <w:rPr>
                <w:rFonts w:ascii="Calibri Light" w:hAnsi="Calibri Light"/>
              </w:rPr>
            </w:pPr>
            <w:r w:rsidRPr="0052400A">
              <w:rPr>
                <w:rFonts w:ascii="Calibri Light" w:hAnsi="Calibri Light"/>
              </w:rPr>
              <w:t xml:space="preserve">El derecho </w:t>
            </w:r>
            <w:r w:rsidR="00987DF7" w:rsidRPr="0052400A">
              <w:rPr>
                <w:rFonts w:ascii="Calibri Light" w:hAnsi="Calibri Light"/>
              </w:rPr>
              <w:t>a la libertad personal y el derecho de igualdad ante la ley (artículos 7 y 24</w:t>
            </w:r>
            <w:r w:rsidRPr="0052400A">
              <w:rPr>
                <w:rFonts w:ascii="Calibri Light" w:hAnsi="Calibri Light"/>
              </w:rPr>
              <w:t xml:space="preserve"> de la </w:t>
            </w:r>
            <w:r w:rsidRPr="0052400A">
              <w:rPr>
                <w:rFonts w:ascii="Calibri Light" w:hAnsi="Calibri Light"/>
              </w:rPr>
              <w:lastRenderedPageBreak/>
              <w:t>CADH)</w:t>
            </w:r>
          </w:p>
          <w:p w14:paraId="2C3EDC5B" w14:textId="77777777" w:rsidR="00FF34AE" w:rsidRPr="0052400A" w:rsidRDefault="00FF34AE" w:rsidP="00FF34AE">
            <w:pPr>
              <w:jc w:val="both"/>
              <w:rPr>
                <w:rFonts w:ascii="Calibri Light" w:hAnsi="Calibri Light"/>
                <w:b w:val="0"/>
              </w:rPr>
            </w:pPr>
          </w:p>
          <w:p w14:paraId="3ED96CBC" w14:textId="52BFE8C8" w:rsidR="00394D84" w:rsidRPr="0052400A" w:rsidRDefault="00450046" w:rsidP="00450046">
            <w:pPr>
              <w:jc w:val="both"/>
              <w:rPr>
                <w:rFonts w:ascii="Calibri Light" w:hAnsi="Calibri Light"/>
                <w:b w:val="0"/>
              </w:rPr>
            </w:pPr>
            <w:r w:rsidRPr="0052400A">
              <w:rPr>
                <w:rFonts w:ascii="Calibri Light" w:hAnsi="Calibri Light"/>
                <w:b w:val="0"/>
              </w:rPr>
              <w:t xml:space="preserve">En base a la jurisprudencia de la Corte IDH, no toda distinción de trato puede considerarse ofensiva por sí misma, sino solo aquella que carece de justificación objetiva y razonable. Para determinar </w:t>
            </w:r>
            <w:r w:rsidR="00BA0B2B" w:rsidRPr="0052400A">
              <w:rPr>
                <w:rFonts w:ascii="Calibri Light" w:hAnsi="Calibri Light"/>
                <w:b w:val="0"/>
              </w:rPr>
              <w:t xml:space="preserve">la existencia de </w:t>
            </w:r>
            <w:r w:rsidR="00A01C9E" w:rsidRPr="0052400A">
              <w:rPr>
                <w:rFonts w:ascii="Calibri Light" w:hAnsi="Calibri Light"/>
                <w:b w:val="0"/>
              </w:rPr>
              <w:t>dicha justificación</w:t>
            </w:r>
            <w:r w:rsidRPr="0052400A">
              <w:rPr>
                <w:rFonts w:ascii="Calibri Light" w:hAnsi="Calibri Light"/>
                <w:b w:val="0"/>
              </w:rPr>
              <w:t xml:space="preserve">, </w:t>
            </w:r>
            <w:r w:rsidR="00923997">
              <w:rPr>
                <w:rFonts w:ascii="Calibri Light" w:hAnsi="Calibri Light"/>
                <w:b w:val="0"/>
              </w:rPr>
              <w:t>la CIDH</w:t>
            </w:r>
            <w:r w:rsidR="00A01C9E" w:rsidRPr="0052400A">
              <w:rPr>
                <w:rFonts w:ascii="Calibri Light" w:hAnsi="Calibri Light"/>
                <w:b w:val="0"/>
              </w:rPr>
              <w:t xml:space="preserve"> acudió </w:t>
            </w:r>
            <w:r w:rsidRPr="0052400A">
              <w:rPr>
                <w:rFonts w:ascii="Calibri Light" w:hAnsi="Calibri Light"/>
                <w:b w:val="0"/>
              </w:rPr>
              <w:t>a</w:t>
            </w:r>
            <w:r w:rsidR="00923997">
              <w:rPr>
                <w:rFonts w:ascii="Calibri Light" w:hAnsi="Calibri Light"/>
                <w:b w:val="0"/>
              </w:rPr>
              <w:t>l</w:t>
            </w:r>
            <w:r w:rsidRPr="0052400A">
              <w:rPr>
                <w:rFonts w:ascii="Calibri Light" w:hAnsi="Calibri Light"/>
                <w:b w:val="0"/>
              </w:rPr>
              <w:t xml:space="preserve"> juicio escalonado de proporcionalidad que incluye los siguientes </w:t>
            </w:r>
            <w:r w:rsidR="00A01C9E" w:rsidRPr="0052400A">
              <w:rPr>
                <w:rFonts w:ascii="Calibri Light" w:hAnsi="Calibri Light"/>
                <w:b w:val="0"/>
              </w:rPr>
              <w:t>requisitos</w:t>
            </w:r>
            <w:r w:rsidRPr="0052400A">
              <w:rPr>
                <w:rFonts w:ascii="Calibri Light" w:hAnsi="Calibri Light"/>
                <w:b w:val="0"/>
              </w:rPr>
              <w:t>: (i) la existencia de un fin legíti</w:t>
            </w:r>
            <w:r w:rsidR="00A01C9E" w:rsidRPr="0052400A">
              <w:rPr>
                <w:rFonts w:ascii="Calibri Light" w:hAnsi="Calibri Light"/>
                <w:b w:val="0"/>
              </w:rPr>
              <w:t xml:space="preserve">mo; (ii) la idoneidad, es decir, </w:t>
            </w:r>
            <w:r w:rsidRPr="0052400A">
              <w:rPr>
                <w:rFonts w:ascii="Calibri Light" w:hAnsi="Calibri Light"/>
                <w:b w:val="0"/>
              </w:rPr>
              <w:t>la determinación de si existe una relación lógica de causalidad de medio a fin entre la distinción y el fin que se persigue; (iii) la necesidad, esto es, la determinación de si existen alternativas menos restrictivas e igualmente idóneas; y (iv) la proporcionalidad en sentido estricto, es decir, el balance de los interés en juego y el grado de sacrificio de uno respecto del otro.</w:t>
            </w:r>
          </w:p>
          <w:p w14:paraId="0F3F5FD9" w14:textId="1B656E57" w:rsidR="00394D84" w:rsidRPr="0052400A" w:rsidRDefault="00394D84" w:rsidP="00FF34AE">
            <w:pPr>
              <w:jc w:val="both"/>
              <w:rPr>
                <w:rFonts w:ascii="Calibri Light" w:hAnsi="Calibri Light"/>
                <w:b w:val="0"/>
              </w:rPr>
            </w:pPr>
          </w:p>
          <w:p w14:paraId="1D46C272" w14:textId="156D3930" w:rsidR="00A01C9E" w:rsidRPr="0052400A" w:rsidRDefault="00A01C9E" w:rsidP="00A01C9E">
            <w:pPr>
              <w:jc w:val="both"/>
              <w:rPr>
                <w:rFonts w:ascii="Calibri Light" w:hAnsi="Calibri Light"/>
                <w:b w:val="0"/>
              </w:rPr>
            </w:pPr>
            <w:r w:rsidRPr="0052400A">
              <w:rPr>
                <w:rFonts w:ascii="Calibri Light" w:hAnsi="Calibri Light"/>
                <w:b w:val="0"/>
              </w:rPr>
              <w:t>Sobr</w:t>
            </w:r>
            <w:r w:rsidR="00923997">
              <w:rPr>
                <w:rFonts w:ascii="Calibri Light" w:hAnsi="Calibri Light"/>
                <w:b w:val="0"/>
              </w:rPr>
              <w:t>e el primer y segundo requisito</w:t>
            </w:r>
            <w:r w:rsidRPr="0052400A">
              <w:rPr>
                <w:rFonts w:ascii="Calibri Light" w:hAnsi="Calibri Light"/>
                <w:b w:val="0"/>
              </w:rPr>
              <w:t>, la CIDH consideró que la obligación de persecución de los delitos relacionados con el narcotráfico derivada de los tratados internacionales, así como el objetivo de asegurar la comparecencia de los imputados al proceso, constituyen fines legítimos. Asimismo, entendió que en abstracto puede</w:t>
            </w:r>
            <w:r w:rsidR="00382199" w:rsidRPr="0052400A">
              <w:rPr>
                <w:rFonts w:ascii="Calibri Light" w:hAnsi="Calibri Light"/>
                <w:b w:val="0"/>
              </w:rPr>
              <w:t>n</w:t>
            </w:r>
            <w:r w:rsidRPr="0052400A">
              <w:rPr>
                <w:rFonts w:ascii="Calibri Light" w:hAnsi="Calibri Light"/>
                <w:b w:val="0"/>
              </w:rPr>
              <w:t xml:space="preserve"> existir</w:t>
            </w:r>
            <w:r w:rsidR="00382199" w:rsidRPr="0052400A">
              <w:rPr>
                <w:rFonts w:ascii="Calibri Light" w:hAnsi="Calibri Light"/>
                <w:b w:val="0"/>
              </w:rPr>
              <w:t>,</w:t>
            </w:r>
            <w:r w:rsidRPr="0052400A">
              <w:rPr>
                <w:rFonts w:ascii="Calibri Light" w:hAnsi="Calibri Light"/>
                <w:b w:val="0"/>
              </w:rPr>
              <w:t xml:space="preserve"> en ciertos casos</w:t>
            </w:r>
            <w:r w:rsidR="00382199" w:rsidRPr="0052400A">
              <w:rPr>
                <w:rFonts w:ascii="Calibri Light" w:hAnsi="Calibri Light"/>
                <w:b w:val="0"/>
              </w:rPr>
              <w:t>,</w:t>
            </w:r>
            <w:r w:rsidRPr="0052400A">
              <w:rPr>
                <w:rFonts w:ascii="Calibri Light" w:hAnsi="Calibri Light"/>
                <w:b w:val="0"/>
              </w:rPr>
              <w:t xml:space="preserve"> una relación </w:t>
            </w:r>
            <w:r w:rsidR="0074308B">
              <w:rPr>
                <w:rFonts w:ascii="Calibri Light" w:hAnsi="Calibri Light"/>
                <w:b w:val="0"/>
              </w:rPr>
              <w:t>de medio y</w:t>
            </w:r>
            <w:r w:rsidRPr="0052400A">
              <w:rPr>
                <w:rFonts w:ascii="Calibri Light" w:hAnsi="Calibri Light"/>
                <w:b w:val="0"/>
              </w:rPr>
              <w:t xml:space="preserve"> fin entre la aplicación de la detención preventiva y la garantía de comparecencia durante el proceso. De este modo, la ley por la que no se permitió excarcelar al señor Jenkins cumplía ambos requisitos</w:t>
            </w:r>
            <w:r w:rsidR="00382199" w:rsidRPr="0052400A">
              <w:rPr>
                <w:rFonts w:ascii="Calibri Light" w:hAnsi="Calibri Light"/>
                <w:b w:val="0"/>
              </w:rPr>
              <w:t xml:space="preserve"> al tratarse de delitos vinculados al narcotráfico</w:t>
            </w:r>
            <w:r w:rsidRPr="0052400A">
              <w:rPr>
                <w:rFonts w:ascii="Calibri Light" w:hAnsi="Calibri Light"/>
                <w:b w:val="0"/>
              </w:rPr>
              <w:t>.</w:t>
            </w:r>
          </w:p>
          <w:p w14:paraId="04D0C119" w14:textId="7D2C40A7" w:rsidR="00A01C9E" w:rsidRPr="0052400A" w:rsidRDefault="00A01C9E" w:rsidP="00A01C9E">
            <w:pPr>
              <w:jc w:val="both"/>
              <w:rPr>
                <w:rFonts w:ascii="Calibri Light" w:hAnsi="Calibri Light"/>
                <w:b w:val="0"/>
              </w:rPr>
            </w:pPr>
          </w:p>
          <w:p w14:paraId="30921248" w14:textId="1BA33359" w:rsidR="00BA2B50" w:rsidRPr="0052400A" w:rsidRDefault="00A01C9E" w:rsidP="00FF34AE">
            <w:pPr>
              <w:jc w:val="both"/>
              <w:rPr>
                <w:rFonts w:ascii="Calibri Light" w:hAnsi="Calibri Light"/>
                <w:b w:val="0"/>
              </w:rPr>
            </w:pPr>
            <w:r w:rsidRPr="0052400A">
              <w:rPr>
                <w:rFonts w:ascii="Calibri Light" w:hAnsi="Calibri Light"/>
                <w:b w:val="0"/>
              </w:rPr>
              <w:t xml:space="preserve">Respecto al tercer requisito, la CIDH señaló que para lograr la finalidad antes comentada bastaría con la </w:t>
            </w:r>
            <w:r w:rsidR="00382199" w:rsidRPr="0052400A">
              <w:rPr>
                <w:rFonts w:ascii="Calibri Light" w:hAnsi="Calibri Light"/>
                <w:b w:val="0"/>
              </w:rPr>
              <w:t>prisión</w:t>
            </w:r>
            <w:r w:rsidRPr="0052400A">
              <w:rPr>
                <w:rFonts w:ascii="Calibri Light" w:hAnsi="Calibri Light"/>
                <w:b w:val="0"/>
              </w:rPr>
              <w:t xml:space="preserve"> preventiva exclusivamente en aquellos casos en los </w:t>
            </w:r>
            <w:r w:rsidR="00382199" w:rsidRPr="0052400A">
              <w:rPr>
                <w:rFonts w:ascii="Calibri Light" w:hAnsi="Calibri Light"/>
                <w:b w:val="0"/>
              </w:rPr>
              <w:t>que</w:t>
            </w:r>
            <w:r w:rsidRPr="0052400A">
              <w:rPr>
                <w:rFonts w:ascii="Calibri Light" w:hAnsi="Calibri Light"/>
                <w:b w:val="0"/>
              </w:rPr>
              <w:t xml:space="preserve"> existan indicios evaluados de que la persona impedirá el desarrollo del procedimiento o eludirá la acción de la justicia. </w:t>
            </w:r>
            <w:r w:rsidR="00382199" w:rsidRPr="0052400A">
              <w:rPr>
                <w:rFonts w:ascii="Calibri Light" w:hAnsi="Calibri Light"/>
                <w:b w:val="0"/>
              </w:rPr>
              <w:t xml:space="preserve">Esta entendió que una medida menos lesiva e igualmente idónea es contar con un marco normativo que no excluyera </w:t>
            </w:r>
            <w:r w:rsidR="00382199" w:rsidRPr="0052400A">
              <w:rPr>
                <w:rFonts w:ascii="Calibri Light" w:hAnsi="Calibri Light"/>
                <w:b w:val="0"/>
                <w:i/>
              </w:rPr>
              <w:t>a priori</w:t>
            </w:r>
            <w:r w:rsidR="00382199" w:rsidRPr="0052400A">
              <w:rPr>
                <w:rFonts w:ascii="Calibri Light" w:hAnsi="Calibri Light"/>
                <w:b w:val="0"/>
              </w:rPr>
              <w:t xml:space="preserve">, con base en la naturaleza de tales delitos, otro tipo de medidas, sino que permitiera a las autoridades judiciales valorar, en cada caso concreto, la pertinencia de aplicar la detención preventiva a la luz de los fines que el Estado busca proteger. </w:t>
            </w:r>
            <w:r w:rsidRPr="0052400A">
              <w:rPr>
                <w:rFonts w:ascii="Calibri Light" w:hAnsi="Calibri Light"/>
                <w:b w:val="0"/>
              </w:rPr>
              <w:t xml:space="preserve">En el caso en específico, ni la Ley </w:t>
            </w:r>
            <w:r w:rsidR="00BA0B2B" w:rsidRPr="0052400A">
              <w:rPr>
                <w:rFonts w:ascii="Calibri Light" w:hAnsi="Calibri Light"/>
                <w:b w:val="0"/>
              </w:rPr>
              <w:t xml:space="preserve">No. </w:t>
            </w:r>
            <w:r w:rsidRPr="0052400A">
              <w:rPr>
                <w:rFonts w:ascii="Calibri Light" w:hAnsi="Calibri Light"/>
                <w:b w:val="0"/>
              </w:rPr>
              <w:t xml:space="preserve">24.390 ni las autoridades argentinas </w:t>
            </w:r>
            <w:r w:rsidR="00382199" w:rsidRPr="0052400A">
              <w:rPr>
                <w:rFonts w:ascii="Calibri Light" w:hAnsi="Calibri Light"/>
                <w:b w:val="0"/>
              </w:rPr>
              <w:t>realizaron este ejercicio de justificar</w:t>
            </w:r>
            <w:r w:rsidRPr="0052400A">
              <w:rPr>
                <w:rFonts w:ascii="Calibri Light" w:hAnsi="Calibri Light"/>
                <w:b w:val="0"/>
              </w:rPr>
              <w:t xml:space="preserve"> la necesidad de la medida contra el señor Jenk</w:t>
            </w:r>
            <w:r w:rsidR="00382199" w:rsidRPr="0052400A">
              <w:rPr>
                <w:rFonts w:ascii="Calibri Light" w:hAnsi="Calibri Light"/>
                <w:b w:val="0"/>
              </w:rPr>
              <w:t>ins</w:t>
            </w:r>
            <w:r w:rsidR="00662334" w:rsidRPr="0052400A">
              <w:rPr>
                <w:rFonts w:ascii="Calibri Light" w:hAnsi="Calibri Light"/>
                <w:b w:val="0"/>
              </w:rPr>
              <w:t>.</w:t>
            </w:r>
            <w:r w:rsidR="00E60E26" w:rsidRPr="0052400A">
              <w:rPr>
                <w:rFonts w:ascii="Calibri Light" w:hAnsi="Calibri Light"/>
                <w:b w:val="0"/>
              </w:rPr>
              <w:t xml:space="preserve"> </w:t>
            </w:r>
            <w:r w:rsidR="00394D84" w:rsidRPr="0052400A">
              <w:rPr>
                <w:rFonts w:ascii="Calibri Light" w:hAnsi="Calibri Light"/>
                <w:b w:val="0"/>
              </w:rPr>
              <w:t>En virtud de ello</w:t>
            </w:r>
            <w:r w:rsidR="00382199" w:rsidRPr="0052400A">
              <w:rPr>
                <w:rFonts w:ascii="Calibri Light" w:hAnsi="Calibri Light"/>
                <w:b w:val="0"/>
              </w:rPr>
              <w:t>, y al no ser necesario el análisis del requisito de proporcionalidad en sentido estricto</w:t>
            </w:r>
            <w:r w:rsidR="00BA2B50" w:rsidRPr="0052400A">
              <w:rPr>
                <w:rFonts w:ascii="Calibri Light" w:hAnsi="Calibri Light"/>
                <w:b w:val="0"/>
              </w:rPr>
              <w:t xml:space="preserve">, la CIDH consideró que el Estado de </w:t>
            </w:r>
            <w:r w:rsidR="00620BB4" w:rsidRPr="0052400A">
              <w:rPr>
                <w:rFonts w:ascii="Calibri Light" w:hAnsi="Calibri Light"/>
                <w:b w:val="0"/>
              </w:rPr>
              <w:t xml:space="preserve">Argentina había violado </w:t>
            </w:r>
            <w:r w:rsidR="00382199" w:rsidRPr="0052400A">
              <w:rPr>
                <w:rFonts w:ascii="Calibri Light" w:hAnsi="Calibri Light"/>
                <w:b w:val="0"/>
              </w:rPr>
              <w:t>los</w:t>
            </w:r>
            <w:r w:rsidR="00620BB4" w:rsidRPr="0052400A">
              <w:rPr>
                <w:rFonts w:ascii="Calibri Light" w:hAnsi="Calibri Light"/>
                <w:b w:val="0"/>
              </w:rPr>
              <w:t xml:space="preserve"> artículo</w:t>
            </w:r>
            <w:r w:rsidR="00382199" w:rsidRPr="0052400A">
              <w:rPr>
                <w:rFonts w:ascii="Calibri Light" w:hAnsi="Calibri Light"/>
                <w:b w:val="0"/>
              </w:rPr>
              <w:t>s 7 y 24</w:t>
            </w:r>
            <w:r w:rsidR="00BA2B50" w:rsidRPr="0052400A">
              <w:rPr>
                <w:rFonts w:ascii="Calibri Light" w:hAnsi="Calibri Light"/>
                <w:b w:val="0"/>
              </w:rPr>
              <w:t xml:space="preserve"> de la CADH, </w:t>
            </w:r>
            <w:r w:rsidR="00BA0B2B" w:rsidRPr="0052400A">
              <w:rPr>
                <w:rFonts w:ascii="Calibri Light" w:hAnsi="Calibri Light"/>
                <w:b w:val="0"/>
              </w:rPr>
              <w:t>en relación a</w:t>
            </w:r>
            <w:r w:rsidR="000A4896" w:rsidRPr="0052400A">
              <w:rPr>
                <w:rFonts w:ascii="Calibri Light" w:hAnsi="Calibri Light"/>
                <w:b w:val="0"/>
              </w:rPr>
              <w:t xml:space="preserve"> </w:t>
            </w:r>
            <w:r w:rsidR="00BA0B2B" w:rsidRPr="0052400A">
              <w:rPr>
                <w:rFonts w:ascii="Calibri Light" w:hAnsi="Calibri Light"/>
                <w:b w:val="0"/>
              </w:rPr>
              <w:t>l</w:t>
            </w:r>
            <w:r w:rsidR="000A4896" w:rsidRPr="0052400A">
              <w:rPr>
                <w:rFonts w:ascii="Calibri Light" w:hAnsi="Calibri Light"/>
                <w:b w:val="0"/>
              </w:rPr>
              <w:t>os</w:t>
            </w:r>
            <w:r w:rsidR="00BA0B2B" w:rsidRPr="0052400A">
              <w:rPr>
                <w:rFonts w:ascii="Calibri Light" w:hAnsi="Calibri Light"/>
                <w:b w:val="0"/>
              </w:rPr>
              <w:t xml:space="preserve"> artículo</w:t>
            </w:r>
            <w:r w:rsidR="000A4896" w:rsidRPr="0052400A">
              <w:rPr>
                <w:rFonts w:ascii="Calibri Light" w:hAnsi="Calibri Light"/>
                <w:b w:val="0"/>
              </w:rPr>
              <w:t>s 1.1 y</w:t>
            </w:r>
            <w:r w:rsidR="00BA0B2B" w:rsidRPr="0052400A">
              <w:rPr>
                <w:rFonts w:ascii="Calibri Light" w:hAnsi="Calibri Light"/>
                <w:b w:val="0"/>
              </w:rPr>
              <w:t xml:space="preserve"> 2, </w:t>
            </w:r>
            <w:r w:rsidR="00BA2B50" w:rsidRPr="0052400A">
              <w:rPr>
                <w:rFonts w:ascii="Calibri Light" w:hAnsi="Calibri Light"/>
                <w:b w:val="0"/>
              </w:rPr>
              <w:t>en perjuicio de</w:t>
            </w:r>
            <w:r w:rsidR="00620BB4" w:rsidRPr="0052400A">
              <w:rPr>
                <w:rFonts w:ascii="Calibri Light" w:hAnsi="Calibri Light"/>
                <w:b w:val="0"/>
              </w:rPr>
              <w:t>l señor Jenkins</w:t>
            </w:r>
            <w:r w:rsidR="00BA2B50" w:rsidRPr="0052400A">
              <w:rPr>
                <w:rFonts w:ascii="Calibri Light" w:hAnsi="Calibri Light"/>
                <w:b w:val="0"/>
              </w:rPr>
              <w:t>.</w:t>
            </w:r>
          </w:p>
          <w:p w14:paraId="6D7DCD28" w14:textId="77777777" w:rsidR="002F7136" w:rsidRPr="0052400A" w:rsidRDefault="002F7136" w:rsidP="00FF34AE">
            <w:pPr>
              <w:jc w:val="both"/>
              <w:rPr>
                <w:rFonts w:ascii="Calibri Light" w:hAnsi="Calibri Light"/>
                <w:b w:val="0"/>
              </w:rPr>
            </w:pPr>
          </w:p>
          <w:p w14:paraId="0B44150C" w14:textId="4884940E" w:rsidR="00FF34AE" w:rsidRPr="0052400A" w:rsidRDefault="00FF34AE" w:rsidP="00FF34AE">
            <w:pPr>
              <w:jc w:val="both"/>
              <w:rPr>
                <w:rFonts w:ascii="Calibri Light" w:hAnsi="Calibri Light"/>
              </w:rPr>
            </w:pPr>
            <w:r w:rsidRPr="0052400A">
              <w:rPr>
                <w:rFonts w:ascii="Calibri Light" w:hAnsi="Calibri Light"/>
              </w:rPr>
              <w:t xml:space="preserve">El derecho </w:t>
            </w:r>
            <w:r w:rsidR="00987DF7" w:rsidRPr="0052400A">
              <w:rPr>
                <w:rFonts w:ascii="Calibri Light" w:hAnsi="Calibri Light"/>
              </w:rPr>
              <w:t>a la protección judicial y al plazo razonable respecto del proceso contencioso administrativo</w:t>
            </w:r>
            <w:r w:rsidRPr="0052400A">
              <w:rPr>
                <w:rFonts w:ascii="Calibri Light" w:hAnsi="Calibri Light"/>
              </w:rPr>
              <w:t xml:space="preserve"> (artículo</w:t>
            </w:r>
            <w:r w:rsidR="00987DF7" w:rsidRPr="0052400A">
              <w:rPr>
                <w:rFonts w:ascii="Calibri Light" w:hAnsi="Calibri Light"/>
              </w:rPr>
              <w:t>s 8 y 25</w:t>
            </w:r>
            <w:r w:rsidRPr="0052400A">
              <w:rPr>
                <w:rFonts w:ascii="Calibri Light" w:hAnsi="Calibri Light"/>
              </w:rPr>
              <w:t xml:space="preserve"> de la CADH)</w:t>
            </w:r>
          </w:p>
          <w:p w14:paraId="4DE833DE" w14:textId="77777777" w:rsidR="00FF34AE" w:rsidRPr="0052400A" w:rsidRDefault="00FF34AE" w:rsidP="00FF34AE">
            <w:pPr>
              <w:jc w:val="both"/>
              <w:rPr>
                <w:rFonts w:ascii="Calibri Light" w:hAnsi="Calibri Light"/>
                <w:b w:val="0"/>
              </w:rPr>
            </w:pPr>
          </w:p>
          <w:p w14:paraId="0C04E41C" w14:textId="35EC2625" w:rsidR="00987DF7" w:rsidRPr="0052400A" w:rsidRDefault="00987DF7" w:rsidP="00987DF7">
            <w:pPr>
              <w:jc w:val="both"/>
              <w:rPr>
                <w:rFonts w:ascii="Calibri Light" w:hAnsi="Calibri Light"/>
                <w:b w:val="0"/>
              </w:rPr>
            </w:pPr>
            <w:r w:rsidRPr="0052400A">
              <w:rPr>
                <w:rFonts w:ascii="Calibri Light" w:hAnsi="Calibri Light"/>
                <w:b w:val="0"/>
              </w:rPr>
              <w:t xml:space="preserve">Uno de los elementos del debido proceso es que los tribunales decidan los casos sometidos a su conocimiento en un plazo razonable; por ello, una demora prolongada puede llegar a constituir, por sí misma, una violación de las garantías judiciales. Al respecto, la CIDH reiteró los cuatro elementos para determinar la razonabilidad del plazo: i) la complejidad del asunto; ii) la actividad procesal del interesado; iii) la conducta de las autoridades judiciales; y, iv) la afectación generada en la situación jurídica de la persona involucrada en el proceso. </w:t>
            </w:r>
          </w:p>
          <w:p w14:paraId="3A461AC9" w14:textId="5F76B3AE" w:rsidR="00F64973" w:rsidRPr="0052400A" w:rsidRDefault="00F64973" w:rsidP="00987DF7">
            <w:pPr>
              <w:jc w:val="both"/>
              <w:rPr>
                <w:rFonts w:ascii="Calibri Light" w:hAnsi="Calibri Light"/>
                <w:b w:val="0"/>
              </w:rPr>
            </w:pPr>
          </w:p>
          <w:p w14:paraId="2B0BD748" w14:textId="0AAB631C" w:rsidR="00FF34AE" w:rsidRPr="0052400A" w:rsidRDefault="00E60E26" w:rsidP="001A2DF7">
            <w:pPr>
              <w:jc w:val="both"/>
              <w:rPr>
                <w:rFonts w:ascii="Calibri Light" w:hAnsi="Calibri Light"/>
                <w:b w:val="0"/>
              </w:rPr>
            </w:pPr>
            <w:r w:rsidRPr="0052400A">
              <w:rPr>
                <w:rFonts w:ascii="Calibri Light" w:hAnsi="Calibri Light"/>
                <w:b w:val="0"/>
              </w:rPr>
              <w:t xml:space="preserve">Estos </w:t>
            </w:r>
            <w:r w:rsidR="000A4896" w:rsidRPr="0052400A">
              <w:rPr>
                <w:rFonts w:ascii="Calibri Light" w:hAnsi="Calibri Light"/>
                <w:b w:val="0"/>
              </w:rPr>
              <w:t xml:space="preserve">cuatros elementos también </w:t>
            </w:r>
            <w:r w:rsidRPr="0052400A">
              <w:rPr>
                <w:rFonts w:ascii="Calibri Light" w:hAnsi="Calibri Light"/>
                <w:b w:val="0"/>
              </w:rPr>
              <w:t xml:space="preserve">son </w:t>
            </w:r>
            <w:r w:rsidR="000A4896" w:rsidRPr="0052400A">
              <w:rPr>
                <w:rFonts w:ascii="Calibri Light" w:hAnsi="Calibri Light"/>
                <w:b w:val="0"/>
              </w:rPr>
              <w:t xml:space="preserve">aplicables a los procesos de indemnización por daños y perjuicios. </w:t>
            </w:r>
            <w:r w:rsidR="00F64973" w:rsidRPr="0052400A">
              <w:rPr>
                <w:rFonts w:ascii="Calibri Light" w:hAnsi="Calibri Light"/>
                <w:b w:val="0"/>
              </w:rPr>
              <w:t>En cuanto al primer</w:t>
            </w:r>
            <w:r w:rsidR="000A4896" w:rsidRPr="0052400A">
              <w:rPr>
                <w:rFonts w:ascii="Calibri Light" w:hAnsi="Calibri Light"/>
                <w:b w:val="0"/>
              </w:rPr>
              <w:t>o</w:t>
            </w:r>
            <w:r w:rsidR="00F64973" w:rsidRPr="0052400A">
              <w:rPr>
                <w:rFonts w:ascii="Calibri Light" w:hAnsi="Calibri Light"/>
                <w:b w:val="0"/>
              </w:rPr>
              <w:t xml:space="preserve"> elemento, la CIDH consideró que la indemnización por daños y perjuicios a razón de un proceso penal que terminó en absolución no implica </w:t>
            </w:r>
            <w:r w:rsidR="0074308B">
              <w:rPr>
                <w:rFonts w:ascii="Calibri Light" w:hAnsi="Calibri Light"/>
                <w:b w:val="0"/>
              </w:rPr>
              <w:t>un</w:t>
            </w:r>
            <w:r w:rsidR="00BA0B2B" w:rsidRPr="0052400A">
              <w:rPr>
                <w:rFonts w:ascii="Calibri Light" w:hAnsi="Calibri Light"/>
                <w:b w:val="0"/>
              </w:rPr>
              <w:t xml:space="preserve">a </w:t>
            </w:r>
            <w:r w:rsidR="00F64973" w:rsidRPr="0052400A">
              <w:rPr>
                <w:rFonts w:ascii="Calibri Light" w:hAnsi="Calibri Light"/>
                <w:b w:val="0"/>
              </w:rPr>
              <w:t xml:space="preserve">práctica extensa de pruebas ni la necesidad de dilucidar debates fácticos importantes. En el caso específico, el proceso no revestía </w:t>
            </w:r>
            <w:r w:rsidR="00450046" w:rsidRPr="0052400A">
              <w:rPr>
                <w:rFonts w:ascii="Calibri Light" w:hAnsi="Calibri Light"/>
                <w:b w:val="0"/>
              </w:rPr>
              <w:t>de particular complejidad ya que, en efecto, se contaba con una sentencia absolutoria a favor del señor Jenkins. Respecto al tercer elemento, la CIDH señaló que correspond</w:t>
            </w:r>
            <w:r w:rsidR="00BA0B2B" w:rsidRPr="0052400A">
              <w:rPr>
                <w:rFonts w:ascii="Calibri Light" w:hAnsi="Calibri Light"/>
                <w:b w:val="0"/>
              </w:rPr>
              <w:t>ía</w:t>
            </w:r>
            <w:r w:rsidR="00450046" w:rsidRPr="0052400A">
              <w:rPr>
                <w:rFonts w:ascii="Calibri Light" w:hAnsi="Calibri Light"/>
                <w:b w:val="0"/>
              </w:rPr>
              <w:t xml:space="preserve"> al Estado exponer y probar la razón por la cual se ha</w:t>
            </w:r>
            <w:r w:rsidR="00923997">
              <w:rPr>
                <w:rFonts w:ascii="Calibri Light" w:hAnsi="Calibri Light"/>
                <w:b w:val="0"/>
              </w:rPr>
              <w:t>bía</w:t>
            </w:r>
            <w:r w:rsidR="00450046" w:rsidRPr="0052400A">
              <w:rPr>
                <w:rFonts w:ascii="Calibri Light" w:hAnsi="Calibri Light"/>
                <w:b w:val="0"/>
              </w:rPr>
              <w:t xml:space="preserve"> requerido más tiempo del razonable para dictar sentencia definitiva en un caso en particular. </w:t>
            </w:r>
            <w:r w:rsidR="00BA0B2B" w:rsidRPr="0052400A">
              <w:rPr>
                <w:rFonts w:ascii="Calibri Light" w:hAnsi="Calibri Light"/>
                <w:b w:val="0"/>
              </w:rPr>
              <w:t>Sin embargo</w:t>
            </w:r>
            <w:r w:rsidR="00450046" w:rsidRPr="0052400A">
              <w:rPr>
                <w:rFonts w:ascii="Calibri Light" w:hAnsi="Calibri Light"/>
                <w:b w:val="0"/>
              </w:rPr>
              <w:t xml:space="preserve">, </w:t>
            </w:r>
            <w:r w:rsidR="00BA0B2B" w:rsidRPr="0052400A">
              <w:rPr>
                <w:rFonts w:ascii="Calibri Light" w:hAnsi="Calibri Light"/>
                <w:b w:val="0"/>
              </w:rPr>
              <w:t>este no manifestó las</w:t>
            </w:r>
            <w:r w:rsidR="00450046" w:rsidRPr="0052400A">
              <w:rPr>
                <w:rFonts w:ascii="Calibri Light" w:hAnsi="Calibri Light"/>
                <w:b w:val="0"/>
              </w:rPr>
              <w:t xml:space="preserve"> razones para sustentar la demora del proceso de indemnización, el cual tardó </w:t>
            </w:r>
            <w:r w:rsidR="008E6CC6" w:rsidRPr="0052400A">
              <w:rPr>
                <w:rFonts w:ascii="Calibri Light" w:hAnsi="Calibri Light"/>
                <w:b w:val="0"/>
              </w:rPr>
              <w:t>más</w:t>
            </w:r>
            <w:r w:rsidR="00450046" w:rsidRPr="0052400A">
              <w:rPr>
                <w:rFonts w:ascii="Calibri Light" w:hAnsi="Calibri Light"/>
                <w:b w:val="0"/>
              </w:rPr>
              <w:t xml:space="preserve"> </w:t>
            </w:r>
            <w:r w:rsidR="00450046" w:rsidRPr="0052400A">
              <w:rPr>
                <w:rFonts w:ascii="Calibri Light" w:hAnsi="Calibri Light"/>
                <w:b w:val="0"/>
              </w:rPr>
              <w:lastRenderedPageBreak/>
              <w:t>de nueve años</w:t>
            </w:r>
            <w:r w:rsidR="008E6CC6" w:rsidRPr="0052400A">
              <w:rPr>
                <w:rFonts w:ascii="Calibri Light" w:hAnsi="Calibri Light"/>
                <w:b w:val="0"/>
              </w:rPr>
              <w:t xml:space="preserve"> para resolverse en última instancia</w:t>
            </w:r>
            <w:r w:rsidR="00450046" w:rsidRPr="0052400A">
              <w:rPr>
                <w:rFonts w:ascii="Calibri Light" w:hAnsi="Calibri Light"/>
                <w:b w:val="0"/>
              </w:rPr>
              <w:t>.</w:t>
            </w:r>
            <w:r w:rsidR="009D3630" w:rsidRPr="0052400A">
              <w:rPr>
                <w:rFonts w:ascii="Calibri Light" w:hAnsi="Calibri Light"/>
                <w:b w:val="0"/>
              </w:rPr>
              <w:t xml:space="preserve"> La CIDH no analizó </w:t>
            </w:r>
            <w:r w:rsidR="007B7CED" w:rsidRPr="0052400A">
              <w:rPr>
                <w:rFonts w:ascii="Calibri Light" w:hAnsi="Calibri Light"/>
                <w:b w:val="0"/>
              </w:rPr>
              <w:t xml:space="preserve">detalladamente </w:t>
            </w:r>
            <w:r w:rsidR="009D3630" w:rsidRPr="0052400A">
              <w:rPr>
                <w:rFonts w:ascii="Calibri Light" w:hAnsi="Calibri Light"/>
                <w:b w:val="0"/>
              </w:rPr>
              <w:t>el segundo y el cuarto elemento para determinar la razonabilidad del plazo en el presente caso</w:t>
            </w:r>
            <w:r w:rsidR="007B7CED" w:rsidRPr="0052400A">
              <w:rPr>
                <w:rFonts w:ascii="Calibri Light" w:hAnsi="Calibri Light"/>
                <w:b w:val="0"/>
              </w:rPr>
              <w:t>, ya que no existía información que indi</w:t>
            </w:r>
            <w:r w:rsidR="00923997">
              <w:rPr>
                <w:rFonts w:ascii="Calibri Light" w:hAnsi="Calibri Light"/>
                <w:b w:val="0"/>
              </w:rPr>
              <w:t>cara</w:t>
            </w:r>
            <w:r w:rsidR="007B7CED" w:rsidRPr="0052400A">
              <w:rPr>
                <w:rFonts w:ascii="Calibri Light" w:hAnsi="Calibri Light"/>
                <w:b w:val="0"/>
              </w:rPr>
              <w:t xml:space="preserve"> que el señor Jenkins haya obstaculizado el proceso</w:t>
            </w:r>
            <w:r w:rsidR="009D3630" w:rsidRPr="0052400A">
              <w:rPr>
                <w:rFonts w:ascii="Calibri Light" w:hAnsi="Calibri Light"/>
                <w:b w:val="0"/>
              </w:rPr>
              <w:t>.</w:t>
            </w:r>
            <w:r w:rsidR="0074308B">
              <w:rPr>
                <w:rFonts w:ascii="Calibri Light" w:hAnsi="Calibri Light"/>
                <w:b w:val="0"/>
              </w:rPr>
              <w:t xml:space="preserve"> </w:t>
            </w:r>
            <w:r w:rsidR="007532FD" w:rsidRPr="0052400A">
              <w:rPr>
                <w:rFonts w:ascii="Calibri Light" w:hAnsi="Calibri Light"/>
                <w:b w:val="0"/>
              </w:rPr>
              <w:t xml:space="preserve">Por ello, consideró que el Estado de </w:t>
            </w:r>
            <w:r w:rsidR="00620BB4" w:rsidRPr="0052400A">
              <w:rPr>
                <w:rFonts w:ascii="Calibri Light" w:hAnsi="Calibri Light"/>
                <w:b w:val="0"/>
              </w:rPr>
              <w:t>Argentina</w:t>
            </w:r>
            <w:r w:rsidR="007532FD" w:rsidRPr="0052400A">
              <w:rPr>
                <w:rFonts w:ascii="Calibri Light" w:hAnsi="Calibri Light"/>
                <w:b w:val="0"/>
              </w:rPr>
              <w:t xml:space="preserve"> había violado </w:t>
            </w:r>
            <w:r w:rsidR="00450046" w:rsidRPr="0052400A">
              <w:rPr>
                <w:rFonts w:ascii="Calibri Light" w:hAnsi="Calibri Light"/>
                <w:b w:val="0"/>
              </w:rPr>
              <w:t>los</w:t>
            </w:r>
            <w:r w:rsidR="007532FD" w:rsidRPr="0052400A">
              <w:rPr>
                <w:rFonts w:ascii="Calibri Light" w:hAnsi="Calibri Light"/>
                <w:b w:val="0"/>
              </w:rPr>
              <w:t xml:space="preserve"> artículo</w:t>
            </w:r>
            <w:r w:rsidR="00450046" w:rsidRPr="0052400A">
              <w:rPr>
                <w:rFonts w:ascii="Calibri Light" w:hAnsi="Calibri Light"/>
                <w:b w:val="0"/>
              </w:rPr>
              <w:t>s 8</w:t>
            </w:r>
            <w:r w:rsidR="009D3630" w:rsidRPr="0052400A">
              <w:rPr>
                <w:rFonts w:ascii="Calibri Light" w:hAnsi="Calibri Light"/>
                <w:b w:val="0"/>
              </w:rPr>
              <w:t>.1</w:t>
            </w:r>
            <w:r w:rsidR="00450046" w:rsidRPr="0052400A">
              <w:rPr>
                <w:rFonts w:ascii="Calibri Light" w:hAnsi="Calibri Light"/>
                <w:b w:val="0"/>
              </w:rPr>
              <w:t xml:space="preserve"> y 25</w:t>
            </w:r>
            <w:r w:rsidR="009D3630" w:rsidRPr="0052400A">
              <w:rPr>
                <w:rFonts w:ascii="Calibri Light" w:hAnsi="Calibri Light"/>
                <w:b w:val="0"/>
              </w:rPr>
              <w:t>.1</w:t>
            </w:r>
            <w:r w:rsidR="007532FD" w:rsidRPr="0052400A">
              <w:rPr>
                <w:rFonts w:ascii="Calibri Light" w:hAnsi="Calibri Light"/>
                <w:b w:val="0"/>
              </w:rPr>
              <w:t xml:space="preserve"> de la CADH, </w:t>
            </w:r>
            <w:r w:rsidR="00BA0B2B" w:rsidRPr="0052400A">
              <w:rPr>
                <w:rFonts w:ascii="Calibri Light" w:hAnsi="Calibri Light"/>
                <w:b w:val="0"/>
              </w:rPr>
              <w:t xml:space="preserve">en relación al artículo 1.1, </w:t>
            </w:r>
            <w:r w:rsidR="007532FD" w:rsidRPr="0052400A">
              <w:rPr>
                <w:rFonts w:ascii="Calibri Light" w:hAnsi="Calibri Light"/>
                <w:b w:val="0"/>
              </w:rPr>
              <w:t xml:space="preserve">en perjuicio </w:t>
            </w:r>
            <w:r w:rsidR="00620BB4" w:rsidRPr="0052400A">
              <w:rPr>
                <w:rFonts w:ascii="Calibri Light" w:hAnsi="Calibri Light"/>
                <w:b w:val="0"/>
              </w:rPr>
              <w:t>del señor Jenkins.</w:t>
            </w:r>
          </w:p>
          <w:p w14:paraId="5AA471B6" w14:textId="071E28B2" w:rsidR="001A2DF7" w:rsidRPr="0052400A" w:rsidRDefault="001A2DF7" w:rsidP="001A2DF7">
            <w:pPr>
              <w:jc w:val="both"/>
              <w:rPr>
                <w:rFonts w:ascii="Calibri Light" w:hAnsi="Calibri Light"/>
                <w:b w:val="0"/>
              </w:rPr>
            </w:pPr>
          </w:p>
        </w:tc>
      </w:tr>
      <w:tr w:rsidR="004C2E50" w:rsidRPr="0052400A" w14:paraId="0FBFBB6F" w14:textId="77777777" w:rsidTr="00A94EE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4C2E50" w:rsidRPr="0052400A" w:rsidRDefault="004C2E50" w:rsidP="00AC6F31">
            <w:pPr>
              <w:pStyle w:val="ListParagraph"/>
              <w:rPr>
                <w:rFonts w:ascii="Calibri Light" w:hAnsi="Calibri Light"/>
              </w:rPr>
            </w:pPr>
          </w:p>
          <w:p w14:paraId="5CF7BA21" w14:textId="072CDB28" w:rsidR="004C2E50" w:rsidRPr="0052400A" w:rsidRDefault="004C2E50" w:rsidP="0029671B">
            <w:pPr>
              <w:pStyle w:val="ListParagraph"/>
              <w:numPr>
                <w:ilvl w:val="0"/>
                <w:numId w:val="2"/>
              </w:numPr>
              <w:jc w:val="center"/>
              <w:rPr>
                <w:rFonts w:ascii="Calibri Light" w:hAnsi="Calibri Light"/>
              </w:rPr>
            </w:pPr>
            <w:r w:rsidRPr="0052400A">
              <w:rPr>
                <w:rFonts w:ascii="Calibri Light" w:hAnsi="Calibri Light"/>
              </w:rPr>
              <w:t>Recomendaciones</w:t>
            </w:r>
            <w:r w:rsidR="00C6011B" w:rsidRPr="0052400A">
              <w:rPr>
                <w:rFonts w:ascii="Calibri Light" w:hAnsi="Calibri Light"/>
              </w:rPr>
              <w:t xml:space="preserve"> de la CIDH al Estado</w:t>
            </w:r>
          </w:p>
          <w:p w14:paraId="510D8BF9" w14:textId="77777777" w:rsidR="004C2E50" w:rsidRPr="0052400A" w:rsidRDefault="004C2E50" w:rsidP="00AC6F31">
            <w:pPr>
              <w:pStyle w:val="ListParagraph"/>
              <w:rPr>
                <w:rFonts w:ascii="Calibri Light" w:hAnsi="Calibri Light"/>
              </w:rPr>
            </w:pPr>
          </w:p>
        </w:tc>
      </w:tr>
      <w:tr w:rsidR="004C2E50" w:rsidRPr="0052400A" w14:paraId="3D91AF16"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F086D22" w14:textId="77777777" w:rsidR="004C2E50" w:rsidRPr="0052400A" w:rsidRDefault="004C2E50" w:rsidP="004B1311">
            <w:pPr>
              <w:pStyle w:val="ListParagraph"/>
              <w:ind w:left="0"/>
              <w:jc w:val="both"/>
              <w:rPr>
                <w:rFonts w:ascii="Calibri Light" w:hAnsi="Calibri Light" w:cs="Calibri Light"/>
                <w:b w:val="0"/>
              </w:rPr>
            </w:pPr>
          </w:p>
          <w:p w14:paraId="4AC0CF90" w14:textId="329AC403" w:rsidR="00103C4C" w:rsidRPr="0052400A" w:rsidRDefault="00620BB4" w:rsidP="00103C4C">
            <w:pPr>
              <w:pStyle w:val="ListParagraph"/>
              <w:numPr>
                <w:ilvl w:val="0"/>
                <w:numId w:val="4"/>
              </w:numPr>
              <w:jc w:val="both"/>
              <w:rPr>
                <w:rFonts w:ascii="Calibri Light" w:hAnsi="Calibri Light" w:cs="Calibri Light"/>
                <w:b w:val="0"/>
              </w:rPr>
            </w:pPr>
            <w:r w:rsidRPr="0052400A">
              <w:rPr>
                <w:rFonts w:ascii="Calibri Light" w:hAnsi="Calibri Light" w:cs="Calibri Light"/>
                <w:b w:val="0"/>
              </w:rPr>
              <w:t>Reparar integralmente al señor Jenkins mediante medidas de compensación pecuniaria y de satisfacción que incluyan el daño material e inmaterial ocasionado a este como consecuencia de las violaciones declaradas.</w:t>
            </w:r>
          </w:p>
          <w:p w14:paraId="1E6F6312" w14:textId="77777777" w:rsidR="004C2E50" w:rsidRPr="0052400A" w:rsidRDefault="004C2E50" w:rsidP="00E70716">
            <w:pPr>
              <w:pStyle w:val="ListParagraph"/>
              <w:ind w:left="360"/>
              <w:jc w:val="both"/>
              <w:rPr>
                <w:rFonts w:ascii="Calibri Light" w:hAnsi="Calibri Light" w:cs="Calibri Light"/>
                <w:b w:val="0"/>
              </w:rPr>
            </w:pPr>
          </w:p>
          <w:p w14:paraId="38CDC32F" w14:textId="32E282DD" w:rsidR="004C2E50" w:rsidRPr="0052400A" w:rsidRDefault="00620BB4" w:rsidP="00243C42">
            <w:pPr>
              <w:pStyle w:val="ListParagraph"/>
              <w:numPr>
                <w:ilvl w:val="0"/>
                <w:numId w:val="4"/>
              </w:numPr>
              <w:jc w:val="both"/>
              <w:rPr>
                <w:rFonts w:ascii="Calibri Light" w:hAnsi="Calibri Light" w:cs="Calibri Light"/>
                <w:b w:val="0"/>
              </w:rPr>
            </w:pPr>
            <w:r w:rsidRPr="0052400A">
              <w:rPr>
                <w:rFonts w:ascii="Calibri Light" w:hAnsi="Calibri Light" w:cs="Calibri Light"/>
                <w:b w:val="0"/>
              </w:rPr>
              <w:t>Brindar de forma gratuita, inmediata y por el tiempo que sea necesario, el tratamiento de salud física o mental a</w:t>
            </w:r>
            <w:r w:rsidR="000F12DB" w:rsidRPr="0052400A">
              <w:rPr>
                <w:rFonts w:ascii="Calibri Light" w:hAnsi="Calibri Light" w:cs="Calibri Light"/>
                <w:b w:val="0"/>
              </w:rPr>
              <w:t>l señor Jenkins</w:t>
            </w:r>
            <w:r w:rsidRPr="0052400A">
              <w:rPr>
                <w:rFonts w:ascii="Calibri Light" w:hAnsi="Calibri Light" w:cs="Calibri Light"/>
                <w:b w:val="0"/>
              </w:rPr>
              <w:t xml:space="preserve"> siempre que así lo solicite y de manera concertada con él.</w:t>
            </w:r>
          </w:p>
          <w:p w14:paraId="644B373D" w14:textId="77777777" w:rsidR="004C2E50" w:rsidRPr="0052400A" w:rsidRDefault="004C2E50" w:rsidP="00E70716">
            <w:pPr>
              <w:pStyle w:val="ListParagraph"/>
              <w:rPr>
                <w:rFonts w:ascii="Calibri Light" w:hAnsi="Calibri Light" w:cs="Calibri Light"/>
                <w:b w:val="0"/>
              </w:rPr>
            </w:pPr>
          </w:p>
          <w:p w14:paraId="3AF8DA55" w14:textId="3C873F99" w:rsidR="004C2E50" w:rsidRPr="0052400A" w:rsidRDefault="000F12DB" w:rsidP="00243C42">
            <w:pPr>
              <w:pStyle w:val="ListParagraph"/>
              <w:numPr>
                <w:ilvl w:val="0"/>
                <w:numId w:val="4"/>
              </w:numPr>
              <w:jc w:val="both"/>
              <w:rPr>
                <w:rFonts w:ascii="Calibri Light" w:hAnsi="Calibri Light" w:cs="Calibri Light"/>
                <w:b w:val="0"/>
              </w:rPr>
            </w:pPr>
            <w:r w:rsidRPr="0052400A">
              <w:rPr>
                <w:rFonts w:ascii="Calibri Light" w:hAnsi="Calibri Light" w:cs="Calibri Light"/>
                <w:b w:val="0"/>
              </w:rPr>
              <w:t xml:space="preserve">Disponer las medidas necesarias para adecuar su legislación interna conforme a los estándares descritos en materia de detención preventiva. En particular, debe asegurar que: i) la detención preventiva se aplique de manera excepcional; ii) la detención preventiva se encuentre limitada por los principios de legalidad, presunción de inocencia, necesidad y proporcionalidad; y iii) no exista diferencia de trato con relación a los dos puntos anteriores con base en la naturaleza del delito. En ese sentido, debe dejar sin efecto la prohibición de excarcelación contemplada en la Ley </w:t>
            </w:r>
            <w:r w:rsidR="00BA0B2B" w:rsidRPr="0052400A">
              <w:rPr>
                <w:rFonts w:ascii="Calibri Light" w:hAnsi="Calibri Light" w:cs="Calibri Light"/>
                <w:b w:val="0"/>
              </w:rPr>
              <w:t xml:space="preserve">No. </w:t>
            </w:r>
            <w:r w:rsidRPr="0052400A">
              <w:rPr>
                <w:rFonts w:ascii="Calibri Light" w:hAnsi="Calibri Light" w:cs="Calibri Light"/>
                <w:b w:val="0"/>
              </w:rPr>
              <w:t>24.390.</w:t>
            </w:r>
          </w:p>
          <w:p w14:paraId="49863AFC" w14:textId="27A6BE90" w:rsidR="004C2E50" w:rsidRPr="0052400A" w:rsidRDefault="004C2E50" w:rsidP="00B1308C">
            <w:pPr>
              <w:pStyle w:val="ListParagraph"/>
              <w:ind w:left="360"/>
              <w:jc w:val="both"/>
              <w:rPr>
                <w:rFonts w:ascii="Calibri Light" w:hAnsi="Calibri Light"/>
                <w:b w:val="0"/>
              </w:rPr>
            </w:pPr>
          </w:p>
        </w:tc>
      </w:tr>
      <w:tr w:rsidR="004C2E50" w:rsidRPr="0052400A" w14:paraId="0B7CC98E" w14:textId="77777777" w:rsidTr="00A94EE7">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4C2E50" w:rsidRPr="0052400A" w:rsidRDefault="004C2E50" w:rsidP="00F464EC">
            <w:pPr>
              <w:pStyle w:val="ListParagraph"/>
              <w:spacing w:after="200" w:line="276" w:lineRule="auto"/>
              <w:rPr>
                <w:rFonts w:ascii="Calibri Light" w:hAnsi="Calibri Light"/>
              </w:rPr>
            </w:pPr>
          </w:p>
          <w:p w14:paraId="7B045F14" w14:textId="2270E615" w:rsidR="004C2E50" w:rsidRPr="0052400A" w:rsidRDefault="004C2E50" w:rsidP="00F464EC">
            <w:pPr>
              <w:pStyle w:val="ListParagraph"/>
              <w:numPr>
                <w:ilvl w:val="0"/>
                <w:numId w:val="2"/>
              </w:numPr>
              <w:spacing w:after="200" w:line="276" w:lineRule="auto"/>
              <w:jc w:val="center"/>
              <w:rPr>
                <w:rFonts w:ascii="Calibri Light" w:hAnsi="Calibri Light"/>
              </w:rPr>
            </w:pPr>
            <w:r w:rsidRPr="0052400A">
              <w:rPr>
                <w:rFonts w:ascii="Calibri Light" w:hAnsi="Calibri Light"/>
              </w:rPr>
              <w:t>Análisis de cumplimiento de las recomendaciones</w:t>
            </w:r>
          </w:p>
          <w:p w14:paraId="3C93C1C0" w14:textId="77777777" w:rsidR="004C2E50" w:rsidRPr="0052400A" w:rsidRDefault="004C2E50" w:rsidP="00F464EC">
            <w:pPr>
              <w:pStyle w:val="ListParagraph"/>
              <w:ind w:left="0"/>
              <w:jc w:val="center"/>
              <w:rPr>
                <w:rFonts w:ascii="Calibri Light" w:hAnsi="Calibri Light"/>
                <w:b w:val="0"/>
              </w:rPr>
            </w:pPr>
          </w:p>
        </w:tc>
      </w:tr>
      <w:tr w:rsidR="004C2E50" w:rsidRPr="0052400A" w14:paraId="41FA15A1"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4AAFA1A0" w14:textId="77777777" w:rsidR="004C2E50" w:rsidRPr="0052400A" w:rsidRDefault="004C2E50" w:rsidP="004B1311">
            <w:pPr>
              <w:pStyle w:val="ListParagraph"/>
              <w:ind w:left="0"/>
              <w:jc w:val="both"/>
              <w:rPr>
                <w:rFonts w:ascii="Calibri Light" w:hAnsi="Calibri Light"/>
                <w:b w:val="0"/>
              </w:rPr>
            </w:pPr>
          </w:p>
          <w:p w14:paraId="59C6DB00" w14:textId="77777777" w:rsidR="004C2E50" w:rsidRPr="0052400A" w:rsidRDefault="004C2E50" w:rsidP="00826869">
            <w:pPr>
              <w:pStyle w:val="ListParagraph"/>
              <w:ind w:left="0"/>
              <w:jc w:val="center"/>
              <w:rPr>
                <w:rFonts w:ascii="Calibri Light" w:hAnsi="Calibri Light"/>
                <w:b w:val="0"/>
              </w:rPr>
            </w:pPr>
            <w:r w:rsidRPr="0052400A">
              <w:rPr>
                <w:rFonts w:ascii="Calibri Light" w:hAnsi="Calibri Light"/>
                <w:b w:val="0"/>
              </w:rPr>
              <w:t>-</w:t>
            </w:r>
          </w:p>
          <w:p w14:paraId="1F3EA985" w14:textId="4ED84473" w:rsidR="004C2E50" w:rsidRPr="0052400A" w:rsidRDefault="004C2E50" w:rsidP="00826869">
            <w:pPr>
              <w:pStyle w:val="ListParagraph"/>
              <w:ind w:left="0"/>
              <w:jc w:val="center"/>
              <w:rPr>
                <w:rFonts w:ascii="Calibri Light" w:hAnsi="Calibri Light"/>
                <w:b w:val="0"/>
              </w:rPr>
            </w:pPr>
          </w:p>
        </w:tc>
      </w:tr>
    </w:tbl>
    <w:p w14:paraId="23A9A3C3" w14:textId="77777777" w:rsidR="00714E42" w:rsidRPr="0052400A" w:rsidRDefault="00714E42" w:rsidP="00A65231">
      <w:pPr>
        <w:rPr>
          <w:rFonts w:ascii="Calibri Light" w:hAnsi="Calibri Light"/>
        </w:rPr>
      </w:pPr>
    </w:p>
    <w:sectPr w:rsidR="00714E42" w:rsidRPr="0052400A"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43B49" w14:textId="77777777" w:rsidR="00525CD8" w:rsidRDefault="00525CD8" w:rsidP="00A65231">
      <w:pPr>
        <w:spacing w:after="0" w:line="240" w:lineRule="auto"/>
      </w:pPr>
      <w:r>
        <w:separator/>
      </w:r>
    </w:p>
  </w:endnote>
  <w:endnote w:type="continuationSeparator" w:id="0">
    <w:p w14:paraId="7613F8D9" w14:textId="77777777" w:rsidR="00525CD8" w:rsidRDefault="00525CD8"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0CCE046E" w:rsidR="00987DF7" w:rsidRDefault="00987DF7">
        <w:pPr>
          <w:pStyle w:val="Footer"/>
          <w:jc w:val="right"/>
        </w:pPr>
        <w:r>
          <w:fldChar w:fldCharType="begin"/>
        </w:r>
        <w:r>
          <w:instrText>PAGE   \* MERGEFORMAT</w:instrText>
        </w:r>
        <w:r>
          <w:fldChar w:fldCharType="separate"/>
        </w:r>
        <w:r w:rsidR="00C44FF8" w:rsidRPr="00C44FF8">
          <w:rPr>
            <w:noProof/>
            <w:lang w:val="es-ES"/>
          </w:rPr>
          <w:t>5</w:t>
        </w:r>
        <w:r>
          <w:fldChar w:fldCharType="end"/>
        </w:r>
      </w:p>
    </w:sdtContent>
  </w:sdt>
  <w:p w14:paraId="6353BB13" w14:textId="77777777" w:rsidR="00987DF7" w:rsidRDefault="00987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D321B" w14:textId="77777777" w:rsidR="00525CD8" w:rsidRDefault="00525CD8" w:rsidP="00A65231">
      <w:pPr>
        <w:spacing w:after="0" w:line="240" w:lineRule="auto"/>
      </w:pPr>
      <w:r>
        <w:separator/>
      </w:r>
    </w:p>
  </w:footnote>
  <w:footnote w:type="continuationSeparator" w:id="0">
    <w:p w14:paraId="1BD54A1D" w14:textId="77777777" w:rsidR="00525CD8" w:rsidRDefault="00525CD8"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61234EA"/>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40125F"/>
    <w:multiLevelType w:val="hybridMultilevel"/>
    <w:tmpl w:val="14741F4E"/>
    <w:lvl w:ilvl="0" w:tplc="D794FB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B3C6EF6"/>
    <w:multiLevelType w:val="hybridMultilevel"/>
    <w:tmpl w:val="56C8CD10"/>
    <w:lvl w:ilvl="0" w:tplc="0246725A">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0D38AD"/>
    <w:multiLevelType w:val="hybridMultilevel"/>
    <w:tmpl w:val="C068DABC"/>
    <w:lvl w:ilvl="0" w:tplc="A10A91B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4"/>
  </w:num>
  <w:num w:numId="6">
    <w:abstractNumId w:val="9"/>
  </w:num>
  <w:num w:numId="7">
    <w:abstractNumId w:val="6"/>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27257"/>
    <w:rsid w:val="000309E6"/>
    <w:rsid w:val="00047C28"/>
    <w:rsid w:val="00050512"/>
    <w:rsid w:val="0005629A"/>
    <w:rsid w:val="00061E2D"/>
    <w:rsid w:val="0008203A"/>
    <w:rsid w:val="00091F39"/>
    <w:rsid w:val="000A0C5C"/>
    <w:rsid w:val="000A4896"/>
    <w:rsid w:val="000C2ED1"/>
    <w:rsid w:val="000C3B41"/>
    <w:rsid w:val="000C5A72"/>
    <w:rsid w:val="000D3CF2"/>
    <w:rsid w:val="000E325D"/>
    <w:rsid w:val="000F12DB"/>
    <w:rsid w:val="000F2C70"/>
    <w:rsid w:val="001026DE"/>
    <w:rsid w:val="00103C4C"/>
    <w:rsid w:val="001077C9"/>
    <w:rsid w:val="00111A5A"/>
    <w:rsid w:val="00117B5F"/>
    <w:rsid w:val="00142A41"/>
    <w:rsid w:val="001754B7"/>
    <w:rsid w:val="001A14F7"/>
    <w:rsid w:val="001A2DF7"/>
    <w:rsid w:val="001C28EC"/>
    <w:rsid w:val="001D066F"/>
    <w:rsid w:val="00210971"/>
    <w:rsid w:val="00212F62"/>
    <w:rsid w:val="00213757"/>
    <w:rsid w:val="00216A2A"/>
    <w:rsid w:val="00220B75"/>
    <w:rsid w:val="0022426F"/>
    <w:rsid w:val="00226BE9"/>
    <w:rsid w:val="00237E09"/>
    <w:rsid w:val="00243C42"/>
    <w:rsid w:val="00252E50"/>
    <w:rsid w:val="002720DA"/>
    <w:rsid w:val="00273EA6"/>
    <w:rsid w:val="00280835"/>
    <w:rsid w:val="00287BBC"/>
    <w:rsid w:val="0029049D"/>
    <w:rsid w:val="002938AF"/>
    <w:rsid w:val="00295E72"/>
    <w:rsid w:val="0029671B"/>
    <w:rsid w:val="002B6DC4"/>
    <w:rsid w:val="002C271C"/>
    <w:rsid w:val="002C4CED"/>
    <w:rsid w:val="002C67E8"/>
    <w:rsid w:val="002D1D2F"/>
    <w:rsid w:val="002D4A90"/>
    <w:rsid w:val="002D5158"/>
    <w:rsid w:val="002D7E52"/>
    <w:rsid w:val="002D7F8F"/>
    <w:rsid w:val="002E18A5"/>
    <w:rsid w:val="002E4FA0"/>
    <w:rsid w:val="002F4E35"/>
    <w:rsid w:val="002F7136"/>
    <w:rsid w:val="00310250"/>
    <w:rsid w:val="00310836"/>
    <w:rsid w:val="003111DB"/>
    <w:rsid w:val="00314314"/>
    <w:rsid w:val="00317EE5"/>
    <w:rsid w:val="003501C8"/>
    <w:rsid w:val="003570F3"/>
    <w:rsid w:val="00365121"/>
    <w:rsid w:val="00382199"/>
    <w:rsid w:val="003920AF"/>
    <w:rsid w:val="00393029"/>
    <w:rsid w:val="00394D84"/>
    <w:rsid w:val="003A0CC7"/>
    <w:rsid w:val="003B0A2C"/>
    <w:rsid w:val="003C7680"/>
    <w:rsid w:val="003D1BAF"/>
    <w:rsid w:val="003E0B76"/>
    <w:rsid w:val="003E2B29"/>
    <w:rsid w:val="003E6AB8"/>
    <w:rsid w:val="00411A74"/>
    <w:rsid w:val="00414F2C"/>
    <w:rsid w:val="00421D6C"/>
    <w:rsid w:val="00423B23"/>
    <w:rsid w:val="0042581C"/>
    <w:rsid w:val="00441ADC"/>
    <w:rsid w:val="00450046"/>
    <w:rsid w:val="00451809"/>
    <w:rsid w:val="00452AA6"/>
    <w:rsid w:val="004533E5"/>
    <w:rsid w:val="00464CAC"/>
    <w:rsid w:val="004858A8"/>
    <w:rsid w:val="004861D8"/>
    <w:rsid w:val="004B1311"/>
    <w:rsid w:val="004B2686"/>
    <w:rsid w:val="004C0481"/>
    <w:rsid w:val="004C2E50"/>
    <w:rsid w:val="004E5313"/>
    <w:rsid w:val="004E58DE"/>
    <w:rsid w:val="004E678F"/>
    <w:rsid w:val="004F061A"/>
    <w:rsid w:val="004F4491"/>
    <w:rsid w:val="005000F5"/>
    <w:rsid w:val="005070CA"/>
    <w:rsid w:val="0051197B"/>
    <w:rsid w:val="005173CF"/>
    <w:rsid w:val="0052400A"/>
    <w:rsid w:val="00525CD8"/>
    <w:rsid w:val="00536275"/>
    <w:rsid w:val="00545A33"/>
    <w:rsid w:val="00557C90"/>
    <w:rsid w:val="00561359"/>
    <w:rsid w:val="005631C8"/>
    <w:rsid w:val="00580A2E"/>
    <w:rsid w:val="005A1DB6"/>
    <w:rsid w:val="005C3229"/>
    <w:rsid w:val="005C7F1E"/>
    <w:rsid w:val="005D1B9E"/>
    <w:rsid w:val="005D4FDF"/>
    <w:rsid w:val="005F442D"/>
    <w:rsid w:val="006007A4"/>
    <w:rsid w:val="006051D5"/>
    <w:rsid w:val="00613D24"/>
    <w:rsid w:val="00620BB4"/>
    <w:rsid w:val="00640787"/>
    <w:rsid w:val="006407DD"/>
    <w:rsid w:val="00662334"/>
    <w:rsid w:val="00676230"/>
    <w:rsid w:val="006853B3"/>
    <w:rsid w:val="00685F04"/>
    <w:rsid w:val="006975CB"/>
    <w:rsid w:val="006A3F5E"/>
    <w:rsid w:val="006A4E40"/>
    <w:rsid w:val="006A6517"/>
    <w:rsid w:val="006B4F38"/>
    <w:rsid w:val="006D488A"/>
    <w:rsid w:val="006D5390"/>
    <w:rsid w:val="006F0396"/>
    <w:rsid w:val="00700883"/>
    <w:rsid w:val="0070524A"/>
    <w:rsid w:val="00714E42"/>
    <w:rsid w:val="0073272E"/>
    <w:rsid w:val="00732BC0"/>
    <w:rsid w:val="00732EDB"/>
    <w:rsid w:val="00733E0F"/>
    <w:rsid w:val="0074308B"/>
    <w:rsid w:val="00745A34"/>
    <w:rsid w:val="00747E22"/>
    <w:rsid w:val="007518FD"/>
    <w:rsid w:val="007532FD"/>
    <w:rsid w:val="007572E9"/>
    <w:rsid w:val="00762060"/>
    <w:rsid w:val="00775806"/>
    <w:rsid w:val="00790783"/>
    <w:rsid w:val="00794463"/>
    <w:rsid w:val="0079477F"/>
    <w:rsid w:val="007A6C56"/>
    <w:rsid w:val="007A7968"/>
    <w:rsid w:val="007B1131"/>
    <w:rsid w:val="007B2A0D"/>
    <w:rsid w:val="007B39E9"/>
    <w:rsid w:val="007B7CED"/>
    <w:rsid w:val="007B7ED8"/>
    <w:rsid w:val="007C597B"/>
    <w:rsid w:val="007D1E30"/>
    <w:rsid w:val="007D58F7"/>
    <w:rsid w:val="007E382B"/>
    <w:rsid w:val="00802D6A"/>
    <w:rsid w:val="008036E7"/>
    <w:rsid w:val="00803879"/>
    <w:rsid w:val="00813AD2"/>
    <w:rsid w:val="00822238"/>
    <w:rsid w:val="00825AD0"/>
    <w:rsid w:val="00826869"/>
    <w:rsid w:val="00830387"/>
    <w:rsid w:val="00841B0E"/>
    <w:rsid w:val="008440F6"/>
    <w:rsid w:val="00850A45"/>
    <w:rsid w:val="00865E7D"/>
    <w:rsid w:val="00866A4D"/>
    <w:rsid w:val="008704B9"/>
    <w:rsid w:val="00871530"/>
    <w:rsid w:val="008742D2"/>
    <w:rsid w:val="00892544"/>
    <w:rsid w:val="00895CF8"/>
    <w:rsid w:val="008A0F6C"/>
    <w:rsid w:val="008D1B19"/>
    <w:rsid w:val="008E6CC6"/>
    <w:rsid w:val="008F0C5B"/>
    <w:rsid w:val="0090367F"/>
    <w:rsid w:val="00921D52"/>
    <w:rsid w:val="00923997"/>
    <w:rsid w:val="009261E2"/>
    <w:rsid w:val="00931244"/>
    <w:rsid w:val="009363AD"/>
    <w:rsid w:val="00947225"/>
    <w:rsid w:val="00950260"/>
    <w:rsid w:val="00954E20"/>
    <w:rsid w:val="00970941"/>
    <w:rsid w:val="00975D0F"/>
    <w:rsid w:val="0098005B"/>
    <w:rsid w:val="00984BBF"/>
    <w:rsid w:val="00987DF7"/>
    <w:rsid w:val="00996958"/>
    <w:rsid w:val="009978DE"/>
    <w:rsid w:val="009B0A86"/>
    <w:rsid w:val="009C2C05"/>
    <w:rsid w:val="009D24D2"/>
    <w:rsid w:val="009D3630"/>
    <w:rsid w:val="009D4CF6"/>
    <w:rsid w:val="009D4E29"/>
    <w:rsid w:val="009E6228"/>
    <w:rsid w:val="009F6931"/>
    <w:rsid w:val="00A01C9E"/>
    <w:rsid w:val="00A02F70"/>
    <w:rsid w:val="00A06F98"/>
    <w:rsid w:val="00A125A9"/>
    <w:rsid w:val="00A133CC"/>
    <w:rsid w:val="00A208BC"/>
    <w:rsid w:val="00A271BF"/>
    <w:rsid w:val="00A27B9C"/>
    <w:rsid w:val="00A3105E"/>
    <w:rsid w:val="00A423CC"/>
    <w:rsid w:val="00A4435A"/>
    <w:rsid w:val="00A5581A"/>
    <w:rsid w:val="00A60087"/>
    <w:rsid w:val="00A65231"/>
    <w:rsid w:val="00A85413"/>
    <w:rsid w:val="00A85DC9"/>
    <w:rsid w:val="00A91B24"/>
    <w:rsid w:val="00A94EE7"/>
    <w:rsid w:val="00AC5A6A"/>
    <w:rsid w:val="00AC6F31"/>
    <w:rsid w:val="00AD36B4"/>
    <w:rsid w:val="00AE31D9"/>
    <w:rsid w:val="00AF0F2A"/>
    <w:rsid w:val="00AF2E49"/>
    <w:rsid w:val="00B07E72"/>
    <w:rsid w:val="00B1308C"/>
    <w:rsid w:val="00B15F5E"/>
    <w:rsid w:val="00B44EA1"/>
    <w:rsid w:val="00B535C2"/>
    <w:rsid w:val="00B55B40"/>
    <w:rsid w:val="00B6265F"/>
    <w:rsid w:val="00B71B8C"/>
    <w:rsid w:val="00B74514"/>
    <w:rsid w:val="00B771B5"/>
    <w:rsid w:val="00B90050"/>
    <w:rsid w:val="00B93CB9"/>
    <w:rsid w:val="00BA0B2B"/>
    <w:rsid w:val="00BA2B50"/>
    <w:rsid w:val="00BA694D"/>
    <w:rsid w:val="00BA7DB9"/>
    <w:rsid w:val="00BB61C6"/>
    <w:rsid w:val="00BC6AC9"/>
    <w:rsid w:val="00BD48E5"/>
    <w:rsid w:val="00BE4AFD"/>
    <w:rsid w:val="00BE6FA1"/>
    <w:rsid w:val="00BF2A00"/>
    <w:rsid w:val="00C10842"/>
    <w:rsid w:val="00C10BC5"/>
    <w:rsid w:val="00C20AC7"/>
    <w:rsid w:val="00C31DFF"/>
    <w:rsid w:val="00C33237"/>
    <w:rsid w:val="00C44FF8"/>
    <w:rsid w:val="00C47FFC"/>
    <w:rsid w:val="00C542EC"/>
    <w:rsid w:val="00C6011B"/>
    <w:rsid w:val="00C61809"/>
    <w:rsid w:val="00C627BB"/>
    <w:rsid w:val="00C6385F"/>
    <w:rsid w:val="00C63B25"/>
    <w:rsid w:val="00C72CF5"/>
    <w:rsid w:val="00C81C09"/>
    <w:rsid w:val="00C853CF"/>
    <w:rsid w:val="00C86F65"/>
    <w:rsid w:val="00C9455E"/>
    <w:rsid w:val="00CB180B"/>
    <w:rsid w:val="00CC717F"/>
    <w:rsid w:val="00CF2D40"/>
    <w:rsid w:val="00CF63C3"/>
    <w:rsid w:val="00D0696E"/>
    <w:rsid w:val="00D10449"/>
    <w:rsid w:val="00D51658"/>
    <w:rsid w:val="00D5303B"/>
    <w:rsid w:val="00D67484"/>
    <w:rsid w:val="00DC299D"/>
    <w:rsid w:val="00DD3C7C"/>
    <w:rsid w:val="00DD4004"/>
    <w:rsid w:val="00DD4037"/>
    <w:rsid w:val="00DE3223"/>
    <w:rsid w:val="00DF2AFB"/>
    <w:rsid w:val="00E13FCE"/>
    <w:rsid w:val="00E35FF7"/>
    <w:rsid w:val="00E374E5"/>
    <w:rsid w:val="00E60E26"/>
    <w:rsid w:val="00E6558E"/>
    <w:rsid w:val="00E70716"/>
    <w:rsid w:val="00E75D54"/>
    <w:rsid w:val="00E82999"/>
    <w:rsid w:val="00EB47E0"/>
    <w:rsid w:val="00EC207D"/>
    <w:rsid w:val="00EC4E9F"/>
    <w:rsid w:val="00ED1B65"/>
    <w:rsid w:val="00EE5717"/>
    <w:rsid w:val="00EE6130"/>
    <w:rsid w:val="00F06184"/>
    <w:rsid w:val="00F07CF4"/>
    <w:rsid w:val="00F30F76"/>
    <w:rsid w:val="00F35633"/>
    <w:rsid w:val="00F464EC"/>
    <w:rsid w:val="00F505FB"/>
    <w:rsid w:val="00F53444"/>
    <w:rsid w:val="00F55CD0"/>
    <w:rsid w:val="00F61401"/>
    <w:rsid w:val="00F64973"/>
    <w:rsid w:val="00F654E4"/>
    <w:rsid w:val="00F725A5"/>
    <w:rsid w:val="00F762FF"/>
    <w:rsid w:val="00F83405"/>
    <w:rsid w:val="00F845A6"/>
    <w:rsid w:val="00FB0F60"/>
    <w:rsid w:val="00FB1A15"/>
    <w:rsid w:val="00FB1D17"/>
    <w:rsid w:val="00FC1F1C"/>
    <w:rsid w:val="00FE0200"/>
    <w:rsid w:val="00FE2BA4"/>
    <w:rsid w:val="00FE3E32"/>
    <w:rsid w:val="00FE3FFE"/>
    <w:rsid w:val="00FF0EB7"/>
    <w:rsid w:val="00FF34A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 w:type="paragraph" w:styleId="FootnoteText">
    <w:name w:val="footnote text"/>
    <w:basedOn w:val="Normal"/>
    <w:link w:val="FootnoteTextChar"/>
    <w:uiPriority w:val="99"/>
    <w:semiHidden/>
    <w:unhideWhenUsed/>
    <w:rsid w:val="00BA0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B2B"/>
    <w:rPr>
      <w:rFonts w:ascii="Calibri" w:eastAsia="Calibri" w:hAnsi="Calibri" w:cs="Times New Roman"/>
      <w:sz w:val="20"/>
      <w:szCs w:val="20"/>
      <w:lang w:val="es-MX"/>
    </w:rPr>
  </w:style>
  <w:style w:type="character" w:styleId="FootnoteReference">
    <w:name w:val="footnote reference"/>
    <w:basedOn w:val="DefaultParagraphFont"/>
    <w:uiPriority w:val="99"/>
    <w:semiHidden/>
    <w:unhideWhenUsed/>
    <w:rsid w:val="00BA0B2B"/>
    <w:rPr>
      <w:vertAlign w:val="superscript"/>
    </w:rPr>
  </w:style>
  <w:style w:type="character" w:styleId="UnresolvedMention">
    <w:name w:val="Unresolved Mention"/>
    <w:basedOn w:val="DefaultParagraphFont"/>
    <w:uiPriority w:val="99"/>
    <w:semiHidden/>
    <w:unhideWhenUsed/>
    <w:rsid w:val="00825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4sp/Argentina.12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7/12056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397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CCF2-714E-4E8A-A3D6-690CBD2F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2354</Words>
  <Characters>13420</Characters>
  <Application>Microsoft Office Word</Application>
  <DocSecurity>0</DocSecurity>
  <Lines>111</Lines>
  <Paragraphs>31</Paragraphs>
  <ScaleCrop>false</ScaleCrop>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2021-02-11T09:47:00Z</dcterms:created>
  <dcterms:modified xsi:type="dcterms:W3CDTF">2021-02-11T09:47:00Z</dcterms:modified>
</cp:coreProperties>
</file>